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1DDEEDA7" w14:textId="77777777" w:rsidR="000C3F9C" w:rsidRPr="00BC4D1D" w:rsidRDefault="000C3F9C" w:rsidP="000C3F9C">
      <w:pPr>
        <w:jc w:val="center"/>
        <w:rPr>
          <w:b/>
        </w:rPr>
      </w:pPr>
      <w:proofErr w:type="spellStart"/>
      <w:r w:rsidRPr="00BC4D1D">
        <w:rPr>
          <w:b/>
        </w:rPr>
        <w:t>Verzenios</w:t>
      </w:r>
      <w:proofErr w:type="spellEnd"/>
      <w:r w:rsidRPr="00BC4D1D">
        <w:rPr>
          <w:b/>
        </w:rPr>
        <w:t>,  50 mg, 100 mg, 150 mg,  plėvele dengtos tabletės</w:t>
      </w:r>
    </w:p>
    <w:p w14:paraId="0C4FD8A8" w14:textId="77777777" w:rsidR="000C3F9C" w:rsidRPr="00BC4D1D" w:rsidRDefault="000C3F9C" w:rsidP="000C3F9C">
      <w:pPr>
        <w:jc w:val="center"/>
        <w:rPr>
          <w:b/>
        </w:rPr>
      </w:pPr>
    </w:p>
    <w:p w14:paraId="6E374A9B" w14:textId="77777777" w:rsidR="000C3F9C" w:rsidRDefault="000C3F9C" w:rsidP="000C3F9C">
      <w:pPr>
        <w:jc w:val="center"/>
        <w:rPr>
          <w:b/>
        </w:rPr>
      </w:pPr>
      <w:r w:rsidRPr="00BC4D1D">
        <w:rPr>
          <w:b/>
        </w:rPr>
        <w:t>(</w:t>
      </w:r>
      <w:proofErr w:type="spellStart"/>
      <w:r w:rsidRPr="00BC4D1D">
        <w:rPr>
          <w:b/>
        </w:rPr>
        <w:t>Abemaciclibas</w:t>
      </w:r>
      <w:proofErr w:type="spellEnd"/>
      <w:r w:rsidRPr="00BC4D1D">
        <w:rPr>
          <w:b/>
        </w:rPr>
        <w:t>)</w:t>
      </w:r>
    </w:p>
    <w:p w14:paraId="5A360CE3" w14:textId="77777777" w:rsidR="000C3F9C" w:rsidRPr="00D05364" w:rsidRDefault="000C3F9C" w:rsidP="000C3F9C">
      <w:pPr>
        <w:jc w:val="center"/>
      </w:pPr>
    </w:p>
    <w:p w14:paraId="5BC2EA5D" w14:textId="52C45F2D" w:rsidR="00937907" w:rsidRPr="00E33EFF" w:rsidRDefault="000C3F9C" w:rsidP="000F0A5B">
      <w:pPr>
        <w:jc w:val="center"/>
        <w:rPr>
          <w:b/>
        </w:rPr>
      </w:pPr>
      <w:r w:rsidRPr="00D05364">
        <w:rPr>
          <w:b/>
        </w:rPr>
        <w:t>Paraiškos numeris</w:t>
      </w:r>
      <w:r>
        <w:rPr>
          <w:b/>
        </w:rPr>
        <w:t xml:space="preserve"> STV</w:t>
      </w:r>
      <w:r w:rsidR="000F0A5B">
        <w:rPr>
          <w:b/>
        </w:rPr>
        <w:t>-</w:t>
      </w:r>
      <w:r>
        <w:rPr>
          <w:b/>
        </w:rPr>
        <w:t>108</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0C3F9C" w:rsidRPr="00E33EFF" w14:paraId="18A83EC2" w14:textId="77777777" w:rsidTr="00BE7489">
        <w:trPr>
          <w:trHeight w:val="538"/>
        </w:trPr>
        <w:tc>
          <w:tcPr>
            <w:tcW w:w="632" w:type="dxa"/>
          </w:tcPr>
          <w:p w14:paraId="0646FBEA" w14:textId="77777777" w:rsidR="000C3F9C" w:rsidRPr="00E33EFF" w:rsidRDefault="000C3F9C" w:rsidP="000C3F9C">
            <w:pPr>
              <w:rPr>
                <w:rFonts w:eastAsia="Arial"/>
              </w:rPr>
            </w:pPr>
            <w:r w:rsidRPr="00E33EFF">
              <w:rPr>
                <w:rFonts w:eastAsia="Arial"/>
              </w:rPr>
              <w:t>1.1</w:t>
            </w:r>
          </w:p>
        </w:tc>
        <w:tc>
          <w:tcPr>
            <w:tcW w:w="3694" w:type="dxa"/>
          </w:tcPr>
          <w:p w14:paraId="6C3AE864" w14:textId="77777777" w:rsidR="000C3F9C" w:rsidRPr="00E33EFF" w:rsidRDefault="000C3F9C" w:rsidP="000C3F9C">
            <w:pPr>
              <w:rPr>
                <w:rFonts w:eastAsia="Arial"/>
              </w:rPr>
            </w:pPr>
            <w:r w:rsidRPr="00E33EFF">
              <w:rPr>
                <w:rFonts w:eastAsia="Arial"/>
              </w:rPr>
              <w:t>Pareiškėjas</w:t>
            </w:r>
          </w:p>
          <w:p w14:paraId="2AF240DC" w14:textId="77777777" w:rsidR="000C3F9C" w:rsidRPr="00E33EFF" w:rsidRDefault="000C3F9C" w:rsidP="000C3F9C">
            <w:pPr>
              <w:rPr>
                <w:rFonts w:eastAsia="Arial"/>
              </w:rPr>
            </w:pPr>
          </w:p>
        </w:tc>
        <w:tc>
          <w:tcPr>
            <w:tcW w:w="5167" w:type="dxa"/>
          </w:tcPr>
          <w:p w14:paraId="2AAF0D91" w14:textId="2D5E775A" w:rsidR="000C3F9C" w:rsidRPr="00E33EFF" w:rsidRDefault="000C3F9C" w:rsidP="000C3F9C">
            <w:pPr>
              <w:rPr>
                <w:rFonts w:eastAsia="Arial"/>
              </w:rPr>
            </w:pPr>
            <w:r w:rsidRPr="005E6C16">
              <w:t xml:space="preserve">UAB </w:t>
            </w:r>
            <w:proofErr w:type="spellStart"/>
            <w:r w:rsidRPr="005E6C16">
              <w:t>Eli</w:t>
            </w:r>
            <w:proofErr w:type="spellEnd"/>
            <w:r w:rsidRPr="005E6C16">
              <w:t xml:space="preserve"> </w:t>
            </w:r>
            <w:proofErr w:type="spellStart"/>
            <w:r w:rsidRPr="005E6C16">
              <w:t>Lilly</w:t>
            </w:r>
            <w:proofErr w:type="spellEnd"/>
            <w:r w:rsidRPr="005E6C16">
              <w:t xml:space="preserve"> Lietuva</w:t>
            </w:r>
          </w:p>
        </w:tc>
      </w:tr>
      <w:tr w:rsidR="000C3F9C" w:rsidRPr="00E33EFF" w14:paraId="31998B0D" w14:textId="77777777" w:rsidTr="00BE7489">
        <w:trPr>
          <w:trHeight w:val="538"/>
        </w:trPr>
        <w:tc>
          <w:tcPr>
            <w:tcW w:w="632" w:type="dxa"/>
          </w:tcPr>
          <w:p w14:paraId="2005EC67" w14:textId="662300D0" w:rsidR="000C3F9C" w:rsidRPr="00E33EFF" w:rsidRDefault="000C3F9C" w:rsidP="000C3F9C">
            <w:pPr>
              <w:rPr>
                <w:rFonts w:eastAsia="Arial"/>
              </w:rPr>
            </w:pPr>
            <w:r w:rsidRPr="00E33EFF">
              <w:rPr>
                <w:rFonts w:eastAsia="Arial"/>
              </w:rPr>
              <w:t>1.2</w:t>
            </w:r>
          </w:p>
        </w:tc>
        <w:tc>
          <w:tcPr>
            <w:tcW w:w="3694" w:type="dxa"/>
          </w:tcPr>
          <w:p w14:paraId="1E4AE3B1" w14:textId="77777777" w:rsidR="000C3F9C" w:rsidRPr="00E33EFF" w:rsidRDefault="000C3F9C" w:rsidP="000C3F9C">
            <w:pPr>
              <w:rPr>
                <w:bCs/>
                <w:color w:val="000000"/>
                <w:lang w:eastAsia="lt-LT"/>
              </w:rPr>
            </w:pPr>
            <w:r w:rsidRPr="00E33EFF">
              <w:rPr>
                <w:bCs/>
                <w:color w:val="000000"/>
                <w:lang w:eastAsia="lt-LT"/>
              </w:rPr>
              <w:t xml:space="preserve">Registracijos data </w:t>
            </w:r>
          </w:p>
          <w:p w14:paraId="3A0DC096" w14:textId="77777777" w:rsidR="000C3F9C" w:rsidRPr="00E33EFF" w:rsidRDefault="000C3F9C" w:rsidP="000C3F9C">
            <w:pPr>
              <w:rPr>
                <w:bCs/>
                <w:color w:val="000000"/>
                <w:lang w:eastAsia="lt-LT"/>
              </w:rPr>
            </w:pPr>
          </w:p>
        </w:tc>
        <w:tc>
          <w:tcPr>
            <w:tcW w:w="5167" w:type="dxa"/>
          </w:tcPr>
          <w:p w14:paraId="3CA218AD" w14:textId="02E1A1EB" w:rsidR="000C3F9C" w:rsidRPr="00E33EFF" w:rsidRDefault="000C3F9C" w:rsidP="000C3F9C">
            <w:pPr>
              <w:rPr>
                <w:rStyle w:val="Style2"/>
              </w:rPr>
            </w:pPr>
            <w:r w:rsidRPr="005E6C16">
              <w:t>2018 m. rugsėjo 28 d.</w:t>
            </w:r>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824B92">
            <w:pPr>
              <w:rPr>
                <w:bCs/>
                <w:color w:val="000000"/>
                <w:lang w:eastAsia="lt-LT"/>
              </w:rPr>
            </w:pPr>
          </w:p>
        </w:tc>
        <w:tc>
          <w:tcPr>
            <w:tcW w:w="5167" w:type="dxa"/>
          </w:tcPr>
          <w:p w14:paraId="208F40EC" w14:textId="2F4EA9C5" w:rsidR="00B13D65" w:rsidRPr="000F0A5B" w:rsidRDefault="00000000" w:rsidP="00824B92">
            <w:sdt>
              <w:sdtPr>
                <w:rPr>
                  <w:rStyle w:val="Style2"/>
                  <w:sz w:val="24"/>
                </w:rPr>
                <w:id w:val="526292078"/>
                <w15:color w:val="FFCC00"/>
                <w14:checkbox>
                  <w14:checked w14:val="1"/>
                  <w14:checkedState w14:val="2612" w14:font="MS Gothic"/>
                  <w14:uncheckedState w14:val="2610" w14:font="MS Gothic"/>
                </w14:checkbox>
              </w:sdtPr>
              <w:sdtContent>
                <w:r w:rsidR="003D1877" w:rsidRPr="000F0A5B">
                  <w:rPr>
                    <w:rStyle w:val="Style2"/>
                    <w:rFonts w:ascii="MS Gothic" w:eastAsia="MS Gothic" w:hAnsi="MS Gothic" w:hint="eastAsia"/>
                    <w:sz w:val="24"/>
                  </w:rPr>
                  <w:t>☒</w:t>
                </w:r>
              </w:sdtContent>
            </w:sdt>
            <w:r w:rsidR="00B13D65" w:rsidRPr="000F0A5B">
              <w:t xml:space="preserve">8.3 str. (pilna byla, pagrįsta savais tyrimais) </w:t>
            </w:r>
          </w:p>
          <w:p w14:paraId="32BA564E" w14:textId="3FDA3E01" w:rsidR="00B13D65" w:rsidRPr="000F0A5B" w:rsidRDefault="00000000" w:rsidP="00824B92">
            <w:sdt>
              <w:sdtPr>
                <w:rPr>
                  <w:rStyle w:val="Style2"/>
                  <w:sz w:val="24"/>
                </w:rPr>
                <w:id w:val="-1497953736"/>
                <w15:color w:val="FFCC00"/>
                <w14:checkbox>
                  <w14:checked w14:val="0"/>
                  <w14:checkedState w14:val="2612" w14:font="MS Gothic"/>
                  <w14:uncheckedState w14:val="2610" w14:font="MS Gothic"/>
                </w14:checkbox>
              </w:sdtPr>
              <w:sdtContent>
                <w:r w:rsidR="00CC7832" w:rsidRPr="000F0A5B">
                  <w:rPr>
                    <w:rStyle w:val="Style2"/>
                    <w:rFonts w:ascii="Segoe UI Symbol" w:eastAsia="MS Gothic" w:hAnsi="Segoe UI Symbol" w:cs="Segoe UI Symbol"/>
                    <w:sz w:val="24"/>
                  </w:rPr>
                  <w:t>☐</w:t>
                </w:r>
              </w:sdtContent>
            </w:sdt>
            <w:r w:rsidR="00B13D65" w:rsidRPr="000F0A5B">
              <w:t xml:space="preserve">10 a str. (pripažintas medicininis vartojimas) </w:t>
            </w:r>
          </w:p>
          <w:p w14:paraId="318DCD7F" w14:textId="32333E53" w:rsidR="00B13D65" w:rsidRPr="000F0A5B" w:rsidRDefault="00000000" w:rsidP="00824B92">
            <w:sdt>
              <w:sdtPr>
                <w:rPr>
                  <w:rStyle w:val="Style2"/>
                  <w:sz w:val="24"/>
                </w:rPr>
                <w:id w:val="204142496"/>
                <w15:color w:val="FFCC00"/>
                <w14:checkbox>
                  <w14:checked w14:val="0"/>
                  <w14:checkedState w14:val="2612" w14:font="MS Gothic"/>
                  <w14:uncheckedState w14:val="2610" w14:font="MS Gothic"/>
                </w14:checkbox>
              </w:sdtPr>
              <w:sdtContent>
                <w:r w:rsidR="00CC7832" w:rsidRPr="000F0A5B">
                  <w:rPr>
                    <w:rStyle w:val="Style2"/>
                    <w:rFonts w:ascii="Segoe UI Symbol" w:eastAsia="MS Gothic" w:hAnsi="Segoe UI Symbol" w:cs="Segoe UI Symbol"/>
                    <w:sz w:val="24"/>
                  </w:rPr>
                  <w:t>☐</w:t>
                </w:r>
              </w:sdtContent>
            </w:sdt>
            <w:r w:rsidR="00B13D65" w:rsidRPr="000F0A5B">
              <w:t>10.1 str. (</w:t>
            </w:r>
            <w:proofErr w:type="spellStart"/>
            <w:r w:rsidR="00B13D65" w:rsidRPr="000F0A5B">
              <w:t>generinis</w:t>
            </w:r>
            <w:proofErr w:type="spellEnd"/>
            <w:r w:rsidR="00B13D65" w:rsidRPr="000F0A5B">
              <w:t>)</w:t>
            </w:r>
          </w:p>
          <w:p w14:paraId="3B0A4F72" w14:textId="3F5FB073" w:rsidR="00B13D65" w:rsidRPr="00E33EFF" w:rsidRDefault="00000000"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CC7832" w:rsidRPr="000F0A5B">
                  <w:rPr>
                    <w:rStyle w:val="Style2"/>
                    <w:rFonts w:ascii="Segoe UI Symbol" w:eastAsia="MS Gothic" w:hAnsi="Segoe UI Symbol" w:cs="Segoe UI Symbol"/>
                    <w:sz w:val="24"/>
                  </w:rPr>
                  <w:t>☐</w:t>
                </w:r>
              </w:sdtContent>
            </w:sdt>
            <w:r w:rsidR="00B13D65" w:rsidRPr="000F0A5B">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824B92">
            <w:pPr>
              <w:rPr>
                <w:bCs/>
                <w:color w:val="000000"/>
                <w:lang w:eastAsia="lt-LT"/>
              </w:rPr>
            </w:pPr>
          </w:p>
        </w:tc>
        <w:tc>
          <w:tcPr>
            <w:tcW w:w="5167" w:type="dxa"/>
          </w:tcPr>
          <w:p w14:paraId="05845C60" w14:textId="4BD19A6F"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0F0A5B">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B13D65" w:rsidRPr="00E33EFF">
              <w:t xml:space="preserve"> Ne</w:t>
            </w:r>
          </w:p>
          <w:p w14:paraId="29C2CBBB" w14:textId="7701CC9C" w:rsidR="00B13D65" w:rsidRPr="00E33EFF" w:rsidRDefault="00B13D65" w:rsidP="00824B92">
            <w:pPr>
              <w:rPr>
                <w:rFonts w:eastAsia="Arial"/>
              </w:rPr>
            </w:pP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3FB07EE5" w14:textId="39AB446B" w:rsidR="00AE1322" w:rsidRDefault="00AE1322" w:rsidP="00824B92">
            <w:pPr>
              <w:rPr>
                <w:bCs/>
                <w:color w:val="000000"/>
                <w:lang w:eastAsia="lt-LT"/>
              </w:rPr>
            </w:pPr>
          </w:p>
          <w:p w14:paraId="7A6C9F2C" w14:textId="6725AEFB" w:rsidR="00D970E4" w:rsidRDefault="00D970E4" w:rsidP="00824B92">
            <w:pPr>
              <w:rPr>
                <w:bCs/>
                <w:color w:val="000000"/>
                <w:lang w:eastAsia="lt-LT"/>
              </w:rPr>
            </w:pPr>
          </w:p>
          <w:p w14:paraId="2BB6BD0F" w14:textId="16E59951" w:rsidR="00D970E4" w:rsidRDefault="00D970E4" w:rsidP="00824B92">
            <w:pPr>
              <w:rPr>
                <w:bCs/>
                <w:color w:val="000000"/>
                <w:lang w:eastAsia="lt-LT"/>
              </w:rPr>
            </w:pPr>
          </w:p>
          <w:p w14:paraId="01377C9D" w14:textId="7EBC2898" w:rsidR="00D970E4" w:rsidRDefault="00D970E4" w:rsidP="00824B92">
            <w:pPr>
              <w:rPr>
                <w:bCs/>
                <w:color w:val="000000"/>
                <w:lang w:eastAsia="lt-LT"/>
              </w:rPr>
            </w:pPr>
          </w:p>
          <w:p w14:paraId="136E50EC" w14:textId="09E9D927" w:rsidR="00D970E4" w:rsidRDefault="00D970E4" w:rsidP="00824B92">
            <w:pPr>
              <w:rPr>
                <w:bCs/>
                <w:color w:val="000000"/>
                <w:lang w:eastAsia="lt-LT"/>
              </w:rPr>
            </w:pPr>
          </w:p>
          <w:p w14:paraId="6B3C527B" w14:textId="202D84A5" w:rsidR="00D970E4" w:rsidRDefault="00D970E4" w:rsidP="00824B92">
            <w:pPr>
              <w:rPr>
                <w:bCs/>
                <w:color w:val="000000"/>
                <w:lang w:eastAsia="lt-LT"/>
              </w:rPr>
            </w:pPr>
          </w:p>
          <w:p w14:paraId="0D46828A" w14:textId="39583DB6" w:rsidR="00D970E4" w:rsidRDefault="00D970E4" w:rsidP="00824B92">
            <w:pPr>
              <w:rPr>
                <w:bCs/>
                <w:color w:val="000000"/>
                <w:lang w:eastAsia="lt-LT"/>
              </w:rPr>
            </w:pPr>
          </w:p>
          <w:p w14:paraId="09443FF8" w14:textId="4D0006A9" w:rsidR="00D970E4" w:rsidRDefault="00D970E4" w:rsidP="00824B92">
            <w:pPr>
              <w:rPr>
                <w:bCs/>
                <w:color w:val="000000"/>
                <w:lang w:eastAsia="lt-LT"/>
              </w:rPr>
            </w:pPr>
          </w:p>
          <w:p w14:paraId="150C5C6F" w14:textId="77777777" w:rsidR="00D970E4" w:rsidRDefault="00D970E4"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4C4D9C93" w14:textId="77777777" w:rsidR="000C3F9C" w:rsidRPr="00B72421" w:rsidRDefault="000C3F9C" w:rsidP="000C3F9C">
            <w:pPr>
              <w:spacing w:after="120"/>
              <w:jc w:val="both"/>
            </w:pPr>
            <w:proofErr w:type="spellStart"/>
            <w:r w:rsidRPr="00B72421">
              <w:lastRenderedPageBreak/>
              <w:t>Verzenios</w:t>
            </w:r>
            <w:proofErr w:type="spellEnd"/>
            <w:r w:rsidRPr="00B72421">
              <w:t xml:space="preserve"> skirtas suaugusiems pacientams, kuriems yra diagnozuotas ankstyvos stadijos krūties vėžys, kai nustatomi hormonų receptoriai (HR) ir nenustatomi 2 tipo žmogaus epidermio augimo faktoriaus receptoriai (angl. </w:t>
            </w:r>
            <w:proofErr w:type="spellStart"/>
            <w:r w:rsidRPr="000F0A5B">
              <w:rPr>
                <w:i/>
                <w:iCs/>
              </w:rPr>
              <w:t>human</w:t>
            </w:r>
            <w:proofErr w:type="spellEnd"/>
            <w:r w:rsidRPr="000F0A5B">
              <w:rPr>
                <w:i/>
                <w:iCs/>
              </w:rPr>
              <w:t xml:space="preserve"> </w:t>
            </w:r>
            <w:proofErr w:type="spellStart"/>
            <w:r w:rsidRPr="000F0A5B">
              <w:rPr>
                <w:i/>
                <w:iCs/>
              </w:rPr>
              <w:t>epidermal</w:t>
            </w:r>
            <w:proofErr w:type="spellEnd"/>
            <w:r w:rsidRPr="000F0A5B">
              <w:rPr>
                <w:i/>
                <w:iCs/>
              </w:rPr>
              <w:t xml:space="preserve"> </w:t>
            </w:r>
            <w:proofErr w:type="spellStart"/>
            <w:r w:rsidRPr="000F0A5B">
              <w:rPr>
                <w:i/>
                <w:iCs/>
              </w:rPr>
              <w:t>growth</w:t>
            </w:r>
            <w:proofErr w:type="spellEnd"/>
            <w:r w:rsidRPr="000F0A5B">
              <w:rPr>
                <w:i/>
                <w:iCs/>
              </w:rPr>
              <w:t xml:space="preserve"> </w:t>
            </w:r>
            <w:proofErr w:type="spellStart"/>
            <w:r w:rsidRPr="000F0A5B">
              <w:rPr>
                <w:i/>
                <w:iCs/>
              </w:rPr>
              <w:t>factor</w:t>
            </w:r>
            <w:proofErr w:type="spellEnd"/>
            <w:r w:rsidRPr="000F0A5B">
              <w:rPr>
                <w:i/>
                <w:iCs/>
              </w:rPr>
              <w:t xml:space="preserve"> </w:t>
            </w:r>
            <w:proofErr w:type="spellStart"/>
            <w:r w:rsidRPr="000F0A5B">
              <w:rPr>
                <w:i/>
                <w:iCs/>
              </w:rPr>
              <w:t>receptor</w:t>
            </w:r>
            <w:proofErr w:type="spellEnd"/>
            <w:r w:rsidRPr="000F0A5B">
              <w:rPr>
                <w:i/>
                <w:iCs/>
              </w:rPr>
              <w:t xml:space="preserve"> 2, HER2</w:t>
            </w:r>
            <w:r w:rsidRPr="00B72421">
              <w:t xml:space="preserve">), su metastazėmis limfmazgiuose ir didele ligos atsinaujinimo rizika </w:t>
            </w:r>
            <w:proofErr w:type="spellStart"/>
            <w:r w:rsidRPr="00B72421">
              <w:t>adjuvantiniam</w:t>
            </w:r>
            <w:proofErr w:type="spellEnd"/>
            <w:r w:rsidRPr="00B72421">
              <w:t xml:space="preserve"> gydymui derinant su endokrinine terapija.</w:t>
            </w:r>
          </w:p>
          <w:p w14:paraId="587C8B97" w14:textId="77777777" w:rsidR="000C3F9C" w:rsidRDefault="000C3F9C" w:rsidP="000C3F9C">
            <w:pPr>
              <w:pStyle w:val="Sraopastraipa"/>
              <w:spacing w:after="120"/>
              <w:ind w:left="0"/>
              <w:contextualSpacing w:val="0"/>
              <w:jc w:val="both"/>
            </w:pPr>
            <w:r w:rsidRPr="00B72421">
              <w:lastRenderedPageBreak/>
              <w:t xml:space="preserve">Moterims prieš menopauzę arba </w:t>
            </w:r>
            <w:proofErr w:type="spellStart"/>
            <w:r w:rsidRPr="00B72421">
              <w:t>perimenopauzės</w:t>
            </w:r>
            <w:proofErr w:type="spellEnd"/>
            <w:r w:rsidRPr="00B72421">
              <w:t xml:space="preserve"> laikotarpiu endokrininę terapiją </w:t>
            </w:r>
            <w:proofErr w:type="spellStart"/>
            <w:r w:rsidRPr="00B72421">
              <w:t>aromatazės</w:t>
            </w:r>
            <w:proofErr w:type="spellEnd"/>
            <w:r w:rsidRPr="00B72421">
              <w:t xml:space="preserve"> inhibitoriais reikia derinti su </w:t>
            </w:r>
            <w:proofErr w:type="spellStart"/>
            <w:r w:rsidRPr="00B72421">
              <w:t>liuteinizuojantį</w:t>
            </w:r>
            <w:proofErr w:type="spellEnd"/>
            <w:r w:rsidRPr="00B72421">
              <w:t xml:space="preserve"> hormoną atpalaiduojančio hormono (angl. </w:t>
            </w:r>
            <w:proofErr w:type="spellStart"/>
            <w:r w:rsidRPr="00B72421">
              <w:t>the</w:t>
            </w:r>
            <w:proofErr w:type="spellEnd"/>
            <w:r w:rsidRPr="00B72421">
              <w:t xml:space="preserve"> </w:t>
            </w:r>
            <w:proofErr w:type="spellStart"/>
            <w:r w:rsidRPr="00B72421">
              <w:t>luteinising</w:t>
            </w:r>
            <w:proofErr w:type="spellEnd"/>
            <w:r w:rsidRPr="00B72421">
              <w:t xml:space="preserve"> hormone-</w:t>
            </w:r>
            <w:proofErr w:type="spellStart"/>
            <w:r w:rsidRPr="00B72421">
              <w:t>releasing</w:t>
            </w:r>
            <w:proofErr w:type="spellEnd"/>
            <w:r w:rsidRPr="00B72421">
              <w:t xml:space="preserve"> hormone, LHRH) </w:t>
            </w:r>
            <w:proofErr w:type="spellStart"/>
            <w:r w:rsidRPr="00B72421">
              <w:t>agonistu</w:t>
            </w:r>
            <w:proofErr w:type="spellEnd"/>
            <w:r w:rsidRPr="00B72421">
              <w:t>.</w:t>
            </w:r>
          </w:p>
          <w:p w14:paraId="13F7DFB0" w14:textId="698E86C7" w:rsidR="00B13D65" w:rsidRPr="00E33EFF" w:rsidRDefault="00D970E4" w:rsidP="00D970E4">
            <w:pPr>
              <w:pStyle w:val="Sraopastraipa"/>
              <w:spacing w:after="120" w:line="276" w:lineRule="auto"/>
              <w:ind w:left="0"/>
              <w:contextualSpacing w:val="0"/>
              <w:jc w:val="both"/>
            </w:pPr>
            <w:r w:rsidRPr="00E312D5">
              <w:t>C50</w:t>
            </w:r>
            <w:r w:rsidR="003D1877" w:rsidRPr="001E2231">
              <w:t xml:space="preserve"> </w:t>
            </w:r>
            <w:r>
              <w:t>–</w:t>
            </w:r>
            <w:r w:rsidR="003D1877" w:rsidRPr="001E2231">
              <w:t xml:space="preserve"> </w:t>
            </w:r>
            <w:r>
              <w:t>Krūties vėžys</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824B92">
            <w:r>
              <w:t>Neteikiamos</w:t>
            </w:r>
          </w:p>
        </w:tc>
      </w:tr>
      <w:tr w:rsidR="00B13D65" w:rsidRPr="00E33EFF" w14:paraId="3B125269" w14:textId="77777777" w:rsidTr="000F0A5B">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643CC07B" w14:textId="317127CB" w:rsidR="00D970E4" w:rsidRPr="000F0A5B"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roofErr w:type="spellStart"/>
            <w:r w:rsidR="000F0A5B" w:rsidRPr="000F0A5B">
              <w:rPr>
                <w:bCs/>
                <w:color w:val="000000"/>
                <w:lang w:eastAsia="lt-LT"/>
              </w:rPr>
              <w:t>adjuvantinė</w:t>
            </w:r>
            <w:proofErr w:type="spellEnd"/>
            <w:r w:rsidR="000F0A5B" w:rsidRPr="000F0A5B">
              <w:rPr>
                <w:bCs/>
                <w:color w:val="000000"/>
                <w:lang w:eastAsia="lt-LT"/>
              </w:rPr>
              <w:t xml:space="preserve"> endokrininė terapija</w:t>
            </w:r>
            <w:r w:rsidR="000F0A5B" w:rsidRPr="000F0A5B">
              <w:rPr>
                <w:bCs/>
                <w:i/>
                <w:color w:val="000000"/>
                <w:lang w:eastAsia="lt-LT"/>
              </w:rPr>
              <w:t xml:space="preserve"> </w:t>
            </w:r>
          </w:p>
          <w:p w14:paraId="6CC1022E" w14:textId="2B6BCEE1" w:rsidR="009F4D66" w:rsidRPr="00E33EFF" w:rsidRDefault="009F4D66" w:rsidP="00FF61E2">
            <w:pPr>
              <w:rPr>
                <w:bCs/>
                <w:color w:val="000000"/>
                <w:lang w:eastAsia="lt-LT"/>
              </w:rPr>
            </w:pPr>
          </w:p>
        </w:tc>
        <w:tc>
          <w:tcPr>
            <w:tcW w:w="5167" w:type="dxa"/>
          </w:tcPr>
          <w:p w14:paraId="2383573D" w14:textId="428BDB72" w:rsidR="00D970E4" w:rsidRPr="00E33EFF" w:rsidRDefault="00000000" w:rsidP="000F0A5B">
            <w:sdt>
              <w:sdtPr>
                <w:rPr>
                  <w:rStyle w:val="Style2"/>
                  <w:sz w:val="24"/>
                </w:rPr>
                <w:id w:val="-439376113"/>
                <w15:color w:val="FFCC00"/>
                <w14:checkbox>
                  <w14:checked w14:val="1"/>
                  <w14:checkedState w14:val="2612" w14:font="MS Gothic"/>
                  <w14:uncheckedState w14:val="2610" w14:font="MS Gothic"/>
                </w14:checkbox>
              </w:sdtPr>
              <w:sdtContent>
                <w:r w:rsidR="000F0A5B">
                  <w:rPr>
                    <w:rStyle w:val="Style2"/>
                    <w:rFonts w:ascii="MS Gothic" w:eastAsia="MS Gothic" w:hAnsi="MS Gothic" w:hint="eastAsia"/>
                    <w:sz w:val="24"/>
                  </w:rPr>
                  <w:t>☒</w:t>
                </w:r>
              </w:sdtContent>
            </w:sdt>
            <w:r w:rsidR="00D970E4" w:rsidRPr="00E33EFF">
              <w:t xml:space="preserve"> Tinkamas</w:t>
            </w:r>
          </w:p>
          <w:p w14:paraId="5474EFC4" w14:textId="540F579F" w:rsidR="0047414A" w:rsidRDefault="00000000" w:rsidP="000F0A5B">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Content>
                <w:r w:rsidR="00FF61E2">
                  <w:rPr>
                    <w:rStyle w:val="Style2"/>
                    <w:rFonts w:ascii="MS Gothic" w:eastAsia="MS Gothic" w:hAnsi="MS Gothic" w:hint="eastAsia"/>
                    <w:sz w:val="24"/>
                  </w:rPr>
                  <w:t>☐</w:t>
                </w:r>
              </w:sdtContent>
            </w:sdt>
            <w:r w:rsidR="00D970E4" w:rsidRPr="00E33EFF">
              <w:t xml:space="preserve"> Netinkama</w:t>
            </w:r>
            <w:r w:rsidR="00D970E4">
              <w:t>s</w:t>
            </w:r>
          </w:p>
          <w:p w14:paraId="41B44044" w14:textId="31C58F5B" w:rsidR="00B13D65" w:rsidRPr="00E33EFF" w:rsidRDefault="00B13D65" w:rsidP="000F0A5B"/>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547"/>
        <w:gridCol w:w="1701"/>
        <w:gridCol w:w="3118"/>
        <w:gridCol w:w="2216"/>
      </w:tblGrid>
      <w:tr w:rsidR="00F70C9E" w:rsidRPr="00E33EFF" w14:paraId="7E72828B" w14:textId="77777777" w:rsidTr="00FF61E2">
        <w:trPr>
          <w:trHeight w:val="924"/>
        </w:trPr>
        <w:tc>
          <w:tcPr>
            <w:tcW w:w="2547"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701" w:type="dxa"/>
          </w:tcPr>
          <w:p w14:paraId="34AE1EDD" w14:textId="77777777" w:rsidR="00F70C9E" w:rsidRPr="00E33EFF" w:rsidRDefault="00F70C9E" w:rsidP="00824B92">
            <w:pPr>
              <w:rPr>
                <w:rFonts w:eastAsia="Arial"/>
              </w:rPr>
            </w:pPr>
            <w:r w:rsidRPr="00E33EFF">
              <w:rPr>
                <w:rFonts w:eastAsia="Arial"/>
              </w:rPr>
              <w:t>STV vertinimas atliktas</w:t>
            </w:r>
          </w:p>
        </w:tc>
        <w:tc>
          <w:tcPr>
            <w:tcW w:w="3118"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216" w:type="dxa"/>
          </w:tcPr>
          <w:p w14:paraId="1861E3F2" w14:textId="74803B5B" w:rsidR="00F70C9E" w:rsidRPr="00E33EFF" w:rsidRDefault="00F70C9E" w:rsidP="00824B92">
            <w:pPr>
              <w:rPr>
                <w:rFonts w:eastAsia="Arial"/>
              </w:rPr>
            </w:pPr>
            <w:proofErr w:type="spellStart"/>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w:t>
            </w:r>
            <w:proofErr w:type="spellEnd"/>
            <w:r w:rsidRPr="00E33EFF">
              <w:rPr>
                <w:rFonts w:eastAsia="Arial"/>
              </w:rPr>
              <w:t xml:space="preserve"> vertinimo išvada</w:t>
            </w:r>
          </w:p>
        </w:tc>
      </w:tr>
      <w:tr w:rsidR="00FF61E2" w:rsidRPr="00E33EFF" w14:paraId="129FA8F6" w14:textId="77777777" w:rsidTr="00FF61E2">
        <w:trPr>
          <w:trHeight w:val="2267"/>
        </w:trPr>
        <w:tc>
          <w:tcPr>
            <w:tcW w:w="2547" w:type="dxa"/>
          </w:tcPr>
          <w:p w14:paraId="1B9CFF63" w14:textId="77777777" w:rsidR="00FF61E2" w:rsidRPr="00D05364" w:rsidRDefault="00FF61E2" w:rsidP="00FF61E2">
            <w:pPr>
              <w:autoSpaceDE w:val="0"/>
              <w:autoSpaceDN w:val="0"/>
              <w:adjustRightInd w:val="0"/>
              <w:rPr>
                <w:bCs/>
              </w:rPr>
            </w:pPr>
            <w:r w:rsidRPr="00D05364">
              <w:rPr>
                <w:bCs/>
              </w:rPr>
              <w:t>Nacionalinis sveikatos ir klinikinės kompetencijos institutas, Didžioji Britanija</w:t>
            </w:r>
          </w:p>
          <w:p w14:paraId="49C6520D" w14:textId="70FE3AAD" w:rsidR="00FF61E2" w:rsidRPr="00E33EFF" w:rsidRDefault="00FF61E2" w:rsidP="00FF61E2">
            <w:pPr>
              <w:rPr>
                <w:rFonts w:eastAsia="Arial"/>
                <w:lang w:val="en-GB"/>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701" w:type="dxa"/>
          </w:tcPr>
          <w:p w14:paraId="69C675D2" w14:textId="77777777" w:rsidR="00FF61E2" w:rsidRPr="00D05364" w:rsidRDefault="00000000" w:rsidP="00FF61E2">
            <w:sdt>
              <w:sdtPr>
                <w:rPr>
                  <w:rStyle w:val="Style2"/>
                </w:rPr>
                <w:id w:val="1558205022"/>
                <w15:color w:val="FFCC00"/>
                <w14:checkbox>
                  <w14:checked w14:val="1"/>
                  <w14:checkedState w14:val="2612" w14:font="MS Gothic"/>
                  <w14:uncheckedState w14:val="2610" w14:font="MS Gothic"/>
                </w14:checkbox>
              </w:sdtPr>
              <w:sdtContent>
                <w:r w:rsidR="00FF61E2">
                  <w:rPr>
                    <w:rStyle w:val="Style2"/>
                    <w:rFonts w:ascii="MS Gothic" w:eastAsia="MS Gothic" w:hAnsi="MS Gothic" w:hint="eastAsia"/>
                  </w:rPr>
                  <w:t>☒</w:t>
                </w:r>
              </w:sdtContent>
            </w:sdt>
            <w:r w:rsidR="00FF61E2" w:rsidRPr="00D05364">
              <w:t xml:space="preserve"> Taip</w:t>
            </w:r>
          </w:p>
          <w:p w14:paraId="7DA2E854" w14:textId="77777777" w:rsidR="00FF61E2" w:rsidRPr="00D05364" w:rsidRDefault="00000000" w:rsidP="00FF61E2">
            <w:sdt>
              <w:sdtPr>
                <w:rPr>
                  <w:rStyle w:val="Style2"/>
                </w:rPr>
                <w:id w:val="866029625"/>
                <w15:color w:val="FFCC00"/>
                <w14:checkbox>
                  <w14:checked w14:val="0"/>
                  <w14:checkedState w14:val="2612" w14:font="MS Gothic"/>
                  <w14:uncheckedState w14:val="2610" w14:font="MS Gothic"/>
                </w14:checkbox>
              </w:sdtPr>
              <w:sdtContent>
                <w:r w:rsidR="00FF61E2">
                  <w:rPr>
                    <w:rStyle w:val="Style2"/>
                    <w:rFonts w:ascii="MS Gothic" w:eastAsia="MS Gothic" w:hAnsi="MS Gothic" w:hint="eastAsia"/>
                  </w:rPr>
                  <w:t>☐</w:t>
                </w:r>
              </w:sdtContent>
            </w:sdt>
            <w:r w:rsidR="00FF61E2" w:rsidRPr="00D05364">
              <w:t xml:space="preserve"> Ne</w:t>
            </w:r>
          </w:p>
          <w:p w14:paraId="7916359D" w14:textId="6DB7E60F" w:rsidR="00FF61E2" w:rsidRPr="00E33EFF" w:rsidRDefault="00000000" w:rsidP="00FF61E2">
            <w:pPr>
              <w:rPr>
                <w:rFonts w:eastAsia="Arial"/>
              </w:rPr>
            </w:pPr>
            <w:sdt>
              <w:sdtPr>
                <w:alias w:val="Nurodykite konkrečią dieną"/>
                <w:tag w:val="Nurodykite pradžios datą"/>
                <w:id w:val="922837954"/>
                <w:placeholder>
                  <w:docPart w:val="CC3699B4F947455FBE2931AB583B6F52"/>
                </w:placeholder>
                <w15:color w:val="FFCC99"/>
                <w:date w:fullDate="2022-10-18T00:00:00Z">
                  <w:dateFormat w:val="yyyy 'm.' MMMM d 'd.'"/>
                  <w:lid w:val="lt-LT"/>
                  <w:storeMappedDataAs w:val="dateTime"/>
                  <w:calendar w:val="gregorian"/>
                </w:date>
              </w:sdtPr>
              <w:sdtContent>
                <w:r w:rsidR="00FF61E2">
                  <w:t>2022 m. spalio 18 d.</w:t>
                </w:r>
              </w:sdtContent>
            </w:sdt>
          </w:p>
        </w:tc>
        <w:tc>
          <w:tcPr>
            <w:tcW w:w="3118" w:type="dxa"/>
          </w:tcPr>
          <w:p w14:paraId="6413D0ED" w14:textId="0A4DF1A1" w:rsidR="00FF61E2" w:rsidRPr="00E33EFF" w:rsidRDefault="00FF61E2" w:rsidP="00FF61E2">
            <w:pPr>
              <w:rPr>
                <w:rFonts w:eastAsia="Arial"/>
              </w:rPr>
            </w:pPr>
            <w:proofErr w:type="spellStart"/>
            <w:r w:rsidRPr="00576E92">
              <w:rPr>
                <w:rFonts w:eastAsia="Arial"/>
              </w:rPr>
              <w:t>Verzenio</w:t>
            </w:r>
            <w:proofErr w:type="spellEnd"/>
            <w:r w:rsidRPr="00576E92">
              <w:rPr>
                <w:rFonts w:eastAsia="Arial"/>
              </w:rPr>
              <w:t xml:space="preserve"> </w:t>
            </w:r>
            <w:r>
              <w:rPr>
                <w:rFonts w:eastAsia="Arial"/>
              </w:rPr>
              <w:t xml:space="preserve">rekomenduojamas kompensuoti skiriant kartu su endokrinine terapija pacientams, kuriems nustatytas </w:t>
            </w:r>
            <w:r w:rsidRPr="00B72421">
              <w:t xml:space="preserve">ankstyvos stadijos krūties vėžys, kai nustatomi hormonų receptoriai (HR) ir nenustatomi 2 tipo žmogaus epidermio augimo faktoriaus receptoriai (angl. </w:t>
            </w:r>
            <w:proofErr w:type="spellStart"/>
            <w:r w:rsidRPr="000F0A5B">
              <w:rPr>
                <w:i/>
                <w:iCs/>
              </w:rPr>
              <w:t>human</w:t>
            </w:r>
            <w:proofErr w:type="spellEnd"/>
            <w:r w:rsidRPr="000F0A5B">
              <w:rPr>
                <w:i/>
                <w:iCs/>
              </w:rPr>
              <w:t xml:space="preserve"> </w:t>
            </w:r>
            <w:proofErr w:type="spellStart"/>
            <w:r w:rsidRPr="000F0A5B">
              <w:rPr>
                <w:i/>
                <w:iCs/>
              </w:rPr>
              <w:t>epidermal</w:t>
            </w:r>
            <w:proofErr w:type="spellEnd"/>
            <w:r w:rsidRPr="000F0A5B">
              <w:rPr>
                <w:i/>
                <w:iCs/>
              </w:rPr>
              <w:t xml:space="preserve"> </w:t>
            </w:r>
            <w:proofErr w:type="spellStart"/>
            <w:r w:rsidRPr="000F0A5B">
              <w:rPr>
                <w:i/>
                <w:iCs/>
              </w:rPr>
              <w:t>growth</w:t>
            </w:r>
            <w:proofErr w:type="spellEnd"/>
            <w:r w:rsidRPr="000F0A5B">
              <w:rPr>
                <w:i/>
                <w:iCs/>
              </w:rPr>
              <w:t xml:space="preserve"> </w:t>
            </w:r>
            <w:proofErr w:type="spellStart"/>
            <w:r w:rsidRPr="000F0A5B">
              <w:rPr>
                <w:i/>
                <w:iCs/>
              </w:rPr>
              <w:t>factor</w:t>
            </w:r>
            <w:proofErr w:type="spellEnd"/>
            <w:r w:rsidRPr="000F0A5B">
              <w:rPr>
                <w:i/>
                <w:iCs/>
              </w:rPr>
              <w:t xml:space="preserve"> </w:t>
            </w:r>
            <w:proofErr w:type="spellStart"/>
            <w:r w:rsidRPr="000F0A5B">
              <w:rPr>
                <w:i/>
                <w:iCs/>
              </w:rPr>
              <w:t>receptor</w:t>
            </w:r>
            <w:proofErr w:type="spellEnd"/>
            <w:r w:rsidRPr="000F0A5B">
              <w:rPr>
                <w:i/>
                <w:iCs/>
              </w:rPr>
              <w:t xml:space="preserve"> 2, HER2</w:t>
            </w:r>
            <w:r w:rsidRPr="00B72421">
              <w:t xml:space="preserve">), su metastazėmis limfmazgiuose ir didele ligos atsinaujinimo rizika </w:t>
            </w:r>
            <w:proofErr w:type="spellStart"/>
            <w:r w:rsidRPr="00B72421">
              <w:t>adjuvantiniam</w:t>
            </w:r>
            <w:proofErr w:type="spellEnd"/>
            <w:r w:rsidRPr="00B72421">
              <w:t xml:space="preserve"> gydymui derinant su endokrinine terapija</w:t>
            </w:r>
            <w:r>
              <w:t>.</w:t>
            </w:r>
          </w:p>
        </w:tc>
        <w:tc>
          <w:tcPr>
            <w:tcW w:w="2216" w:type="dxa"/>
          </w:tcPr>
          <w:p w14:paraId="6B3B7006" w14:textId="77777777" w:rsidR="00FF61E2" w:rsidRDefault="00FF61E2" w:rsidP="000F0A5B">
            <w:pPr>
              <w:jc w:val="both"/>
            </w:pPr>
            <w:r>
              <w:t>Rekomenduojama kompensuoti, jei bus patenkinta sąlyga:</w:t>
            </w:r>
          </w:p>
          <w:p w14:paraId="62457B68" w14:textId="2300D223" w:rsidR="00FF61E2" w:rsidRDefault="00FF61E2" w:rsidP="000F0A5B">
            <w:pPr>
              <w:jc w:val="both"/>
            </w:pPr>
            <w:r>
              <w:t xml:space="preserve">reikalingas </w:t>
            </w:r>
            <w:proofErr w:type="spellStart"/>
            <w:r>
              <w:t>abemaciklibo</w:t>
            </w:r>
            <w:proofErr w:type="spellEnd"/>
            <w:r>
              <w:t xml:space="preserve"> kainos sumažinimas 24 proc. tam, kad </w:t>
            </w:r>
            <w:proofErr w:type="spellStart"/>
            <w:r>
              <w:t>abemaciklibo</w:t>
            </w:r>
            <w:proofErr w:type="spellEnd"/>
            <w:r w:rsidR="000F0A5B">
              <w:t xml:space="preserve"> derinyje su </w:t>
            </w:r>
            <w:r>
              <w:t xml:space="preserve"> endokrinin</w:t>
            </w:r>
            <w:r w:rsidR="000F0A5B">
              <w:t>e</w:t>
            </w:r>
            <w:r>
              <w:t xml:space="preserve"> terapija</w:t>
            </w:r>
            <w:r w:rsidR="000F0A5B">
              <w:t xml:space="preserve"> kaštų naudingumas pasiektų</w:t>
            </w:r>
            <w:r>
              <w:t xml:space="preserve"> tikslinį ICER.</w:t>
            </w:r>
          </w:p>
          <w:p w14:paraId="1E9C2DE8" w14:textId="77777777" w:rsidR="00FF61E2" w:rsidRDefault="00FF61E2" w:rsidP="00FF61E2">
            <w:pPr>
              <w:spacing w:line="276" w:lineRule="auto"/>
              <w:jc w:val="both"/>
            </w:pPr>
          </w:p>
          <w:p w14:paraId="67430EE7" w14:textId="77777777" w:rsidR="00FF61E2" w:rsidRPr="00E33EFF" w:rsidRDefault="00FF61E2" w:rsidP="00FF61E2">
            <w:pPr>
              <w:rPr>
                <w:rFonts w:eastAsia="Arial"/>
              </w:rPr>
            </w:pPr>
          </w:p>
        </w:tc>
      </w:tr>
      <w:tr w:rsidR="00FF61E2" w:rsidRPr="00E33EFF" w14:paraId="1CC31474" w14:textId="77777777" w:rsidTr="00FF61E2">
        <w:trPr>
          <w:trHeight w:val="1547"/>
        </w:trPr>
        <w:tc>
          <w:tcPr>
            <w:tcW w:w="2547" w:type="dxa"/>
          </w:tcPr>
          <w:p w14:paraId="74C15C68" w14:textId="77777777" w:rsidR="00FF61E2" w:rsidRPr="00D05364" w:rsidRDefault="00FF61E2" w:rsidP="00FF61E2">
            <w:pPr>
              <w:spacing w:line="276" w:lineRule="auto"/>
              <w:rPr>
                <w:rFonts w:eastAsia="Arial"/>
              </w:rPr>
            </w:pPr>
            <w:r w:rsidRPr="00D05364">
              <w:rPr>
                <w:rFonts w:eastAsia="Arial"/>
              </w:rPr>
              <w:t>Kanados sveikatos technologijų agentūra</w:t>
            </w:r>
          </w:p>
          <w:p w14:paraId="2C593A82" w14:textId="3902F612" w:rsidR="00FF61E2" w:rsidRPr="00E33EFF" w:rsidRDefault="00FF61E2" w:rsidP="00FF61E2">
            <w:pPr>
              <w:rPr>
                <w:rFonts w:eastAsia="Arial"/>
                <w:lang w:val="en-GB"/>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701" w:type="dxa"/>
          </w:tcPr>
          <w:p w14:paraId="3AF0631E" w14:textId="77777777" w:rsidR="00FF61E2" w:rsidRPr="00D05364" w:rsidRDefault="00000000" w:rsidP="00FF61E2">
            <w:sdt>
              <w:sdtPr>
                <w:rPr>
                  <w:rStyle w:val="Style2"/>
                </w:rPr>
                <w:id w:val="-372539057"/>
                <w15:color w:val="FFCC00"/>
                <w14:checkbox>
                  <w14:checked w14:val="1"/>
                  <w14:checkedState w14:val="2612" w14:font="MS Gothic"/>
                  <w14:uncheckedState w14:val="2610" w14:font="MS Gothic"/>
                </w14:checkbox>
              </w:sdtPr>
              <w:sdtContent>
                <w:r w:rsidR="00FF61E2">
                  <w:rPr>
                    <w:rStyle w:val="Style2"/>
                    <w:rFonts w:ascii="MS Gothic" w:eastAsia="MS Gothic" w:hAnsi="MS Gothic" w:hint="eastAsia"/>
                  </w:rPr>
                  <w:t>☒</w:t>
                </w:r>
              </w:sdtContent>
            </w:sdt>
            <w:r w:rsidR="00FF61E2" w:rsidRPr="00D05364">
              <w:t xml:space="preserve"> Taip</w:t>
            </w:r>
          </w:p>
          <w:p w14:paraId="33175549" w14:textId="77777777" w:rsidR="00FF61E2" w:rsidRPr="00D05364" w:rsidRDefault="00000000" w:rsidP="00FF61E2">
            <w:sdt>
              <w:sdtPr>
                <w:rPr>
                  <w:rStyle w:val="Style2"/>
                </w:rPr>
                <w:id w:val="594442222"/>
                <w15:color w:val="FFCC00"/>
                <w14:checkbox>
                  <w14:checked w14:val="0"/>
                  <w14:checkedState w14:val="2612" w14:font="MS Gothic"/>
                  <w14:uncheckedState w14:val="2610" w14:font="MS Gothic"/>
                </w14:checkbox>
              </w:sdtPr>
              <w:sdtContent>
                <w:r w:rsidR="00FF61E2">
                  <w:rPr>
                    <w:rStyle w:val="Style2"/>
                    <w:rFonts w:ascii="MS Gothic" w:eastAsia="MS Gothic" w:hAnsi="MS Gothic" w:hint="eastAsia"/>
                  </w:rPr>
                  <w:t>☐</w:t>
                </w:r>
              </w:sdtContent>
            </w:sdt>
            <w:r w:rsidR="00FF61E2" w:rsidRPr="00D05364">
              <w:t xml:space="preserve"> Ne</w:t>
            </w:r>
          </w:p>
          <w:p w14:paraId="0C0988CC" w14:textId="212F8DC4" w:rsidR="00FF61E2" w:rsidRPr="00E33EFF" w:rsidRDefault="00000000" w:rsidP="00FF61E2">
            <w:pPr>
              <w:rPr>
                <w:rFonts w:eastAsia="Arial"/>
              </w:rPr>
            </w:pPr>
            <w:sdt>
              <w:sdtPr>
                <w:alias w:val="Nurodykite konkrečią dieną"/>
                <w:tag w:val="Nurodykite pradžios datą"/>
                <w:id w:val="1072468416"/>
                <w:placeholder>
                  <w:docPart w:val="888C4BCC6ECA46B7BAB3BD31A099D56D"/>
                </w:placeholder>
                <w15:color w:val="FFCC99"/>
                <w:date w:fullDate="2022-07-20T00:00:00Z">
                  <w:dateFormat w:val="yyyy 'm.' MMMM d 'd.'"/>
                  <w:lid w:val="lt-LT"/>
                  <w:storeMappedDataAs w:val="dateTime"/>
                  <w:calendar w:val="gregorian"/>
                </w:date>
              </w:sdtPr>
              <w:sdtContent>
                <w:r w:rsidR="00FF61E2">
                  <w:t>2022 m. liepos 20 d.</w:t>
                </w:r>
              </w:sdtContent>
            </w:sdt>
          </w:p>
        </w:tc>
        <w:tc>
          <w:tcPr>
            <w:tcW w:w="3118" w:type="dxa"/>
          </w:tcPr>
          <w:p w14:paraId="127D0739" w14:textId="77777777" w:rsidR="00FF61E2" w:rsidRPr="00A31DB0" w:rsidRDefault="00FF61E2" w:rsidP="000F0A5B">
            <w:pPr>
              <w:jc w:val="both"/>
            </w:pPr>
            <w:proofErr w:type="spellStart"/>
            <w:r>
              <w:rPr>
                <w:rFonts w:eastAsia="Arial"/>
              </w:rPr>
              <w:t>Abemaciklibas</w:t>
            </w:r>
            <w:proofErr w:type="spellEnd"/>
            <w:r>
              <w:rPr>
                <w:rFonts w:eastAsia="Arial"/>
              </w:rPr>
              <w:t xml:space="preserve"> rekomenduojamas kompensuoti skiriant kartu su endokrinine terapija </w:t>
            </w:r>
            <w:proofErr w:type="spellStart"/>
            <w:r w:rsidRPr="00B72421">
              <w:t>adjuvantiniam</w:t>
            </w:r>
            <w:proofErr w:type="spellEnd"/>
            <w:r w:rsidRPr="00B72421">
              <w:t xml:space="preserve"> gyd</w:t>
            </w:r>
            <w:r>
              <w:t>ymui</w:t>
            </w:r>
            <w:r>
              <w:rPr>
                <w:rFonts w:eastAsia="Arial"/>
              </w:rPr>
              <w:t xml:space="preserve"> pacientams, kuriems nustatytas </w:t>
            </w:r>
            <w:r w:rsidRPr="00B72421">
              <w:t xml:space="preserve">ankstyvos stadijos krūties vėžys, kai nustatomi hormonų receptoriai (HR) ir nenustatomi 2 tipo žmogaus epidermio augimo faktoriaus receptoriai (angl. </w:t>
            </w:r>
            <w:proofErr w:type="spellStart"/>
            <w:r w:rsidRPr="00B72421">
              <w:t>human</w:t>
            </w:r>
            <w:proofErr w:type="spellEnd"/>
            <w:r w:rsidRPr="00B72421">
              <w:t xml:space="preserve"> </w:t>
            </w:r>
            <w:proofErr w:type="spellStart"/>
            <w:r w:rsidRPr="00B72421">
              <w:t>epidermal</w:t>
            </w:r>
            <w:proofErr w:type="spellEnd"/>
            <w:r w:rsidRPr="00B72421">
              <w:t xml:space="preserve"> </w:t>
            </w:r>
            <w:proofErr w:type="spellStart"/>
            <w:r w:rsidRPr="00B72421">
              <w:t>growth</w:t>
            </w:r>
            <w:proofErr w:type="spellEnd"/>
            <w:r w:rsidRPr="00B72421">
              <w:t xml:space="preserve"> </w:t>
            </w:r>
            <w:proofErr w:type="spellStart"/>
            <w:r w:rsidRPr="00B72421">
              <w:t>factor</w:t>
            </w:r>
            <w:proofErr w:type="spellEnd"/>
            <w:r w:rsidRPr="00B72421">
              <w:t xml:space="preserve"> </w:t>
            </w:r>
            <w:proofErr w:type="spellStart"/>
            <w:r w:rsidRPr="00B72421">
              <w:lastRenderedPageBreak/>
              <w:t>receptor</w:t>
            </w:r>
            <w:proofErr w:type="spellEnd"/>
            <w:r w:rsidRPr="00B72421">
              <w:t xml:space="preserve"> 2, HER2), su metastazėmis limfmazgiuose ir didele ligos atsinaujinimo rizika</w:t>
            </w:r>
            <w:r>
              <w:t xml:space="preserve">, </w:t>
            </w:r>
            <w:proofErr w:type="spellStart"/>
            <w:r>
              <w:t>t.y</w:t>
            </w:r>
            <w:proofErr w:type="spellEnd"/>
            <w:r>
              <w:t xml:space="preserve">. 1) ≥ 4 </w:t>
            </w:r>
            <w:proofErr w:type="spellStart"/>
            <w:r>
              <w:t>ipsilateraliniai</w:t>
            </w:r>
            <w:proofErr w:type="spellEnd"/>
            <w:r>
              <w:t xml:space="preserve"> pažasties limfmazgiai arba 2) </w:t>
            </w:r>
            <w:r w:rsidRPr="00A31DB0">
              <w:t xml:space="preserve">1-3 </w:t>
            </w:r>
            <w:proofErr w:type="spellStart"/>
            <w:r w:rsidRPr="00A31DB0">
              <w:t>ipsilatera</w:t>
            </w:r>
            <w:r>
              <w:t>liniai</w:t>
            </w:r>
            <w:proofErr w:type="spellEnd"/>
            <w:r>
              <w:t xml:space="preserve"> pažasties limfmazgiai bei </w:t>
            </w:r>
            <w:r w:rsidRPr="00A31DB0">
              <w:t xml:space="preserve">nustatytas 3 navikinių ląstelių diferenciacijos laipsnis </w:t>
            </w:r>
            <w:r>
              <w:t>arba</w:t>
            </w:r>
            <w:r w:rsidRPr="00A31DB0">
              <w:t xml:space="preserve"> pirminio naviko dydis ≥ 5 cm.</w:t>
            </w:r>
          </w:p>
          <w:p w14:paraId="64D1B800" w14:textId="618ACF53" w:rsidR="00FF61E2" w:rsidRPr="00E33EFF" w:rsidRDefault="00FF61E2" w:rsidP="000F0A5B">
            <w:pPr>
              <w:rPr>
                <w:rFonts w:eastAsia="Arial"/>
              </w:rPr>
            </w:pPr>
            <w:r>
              <w:t>Kompensuoti rekomenduojama, jei pareiškėjas pasirašo komercinį sutartį.</w:t>
            </w:r>
          </w:p>
        </w:tc>
        <w:tc>
          <w:tcPr>
            <w:tcW w:w="2216" w:type="dxa"/>
          </w:tcPr>
          <w:p w14:paraId="21A8D069" w14:textId="1635D7AD" w:rsidR="00FF61E2" w:rsidRDefault="0031008A" w:rsidP="00FF61E2">
            <w:pPr>
              <w:rPr>
                <w:rFonts w:eastAsia="Arial"/>
              </w:rPr>
            </w:pPr>
            <w:r>
              <w:rPr>
                <w:rFonts w:eastAsia="Arial"/>
              </w:rPr>
              <w:lastRenderedPageBreak/>
              <w:t xml:space="preserve">Reikalinga nuolaida </w:t>
            </w:r>
            <w:proofErr w:type="spellStart"/>
            <w:r>
              <w:rPr>
                <w:rFonts w:eastAsia="Arial"/>
              </w:rPr>
              <w:t>abemaciklibui</w:t>
            </w:r>
            <w:proofErr w:type="spellEnd"/>
            <w:r>
              <w:rPr>
                <w:rFonts w:eastAsia="Arial"/>
              </w:rPr>
              <w:t xml:space="preserve"> norint, kad </w:t>
            </w:r>
            <w:proofErr w:type="spellStart"/>
            <w:r>
              <w:rPr>
                <w:rFonts w:eastAsia="Arial"/>
              </w:rPr>
              <w:t>abemaciklibo</w:t>
            </w:r>
            <w:proofErr w:type="spellEnd"/>
            <w:r>
              <w:rPr>
                <w:rFonts w:eastAsia="Arial"/>
              </w:rPr>
              <w:t xml:space="preserve"> derinyje su endokrinine terapija kaštų naudingumas būtų priimtinas (ICER vertė iki </w:t>
            </w:r>
            <w:r w:rsidRPr="0031008A">
              <w:rPr>
                <w:rFonts w:eastAsia="Arial"/>
              </w:rPr>
              <w:t>$50,000</w:t>
            </w:r>
            <w:r>
              <w:rPr>
                <w:rFonts w:eastAsia="Arial"/>
              </w:rPr>
              <w:t>)</w:t>
            </w:r>
          </w:p>
          <w:p w14:paraId="6DD473FF" w14:textId="77777777" w:rsidR="0031008A" w:rsidRDefault="0031008A" w:rsidP="00FF61E2">
            <w:pPr>
              <w:rPr>
                <w:rFonts w:eastAsia="Arial"/>
              </w:rPr>
            </w:pPr>
          </w:p>
          <w:p w14:paraId="5C8CB330" w14:textId="4C4A31EB" w:rsidR="0031008A" w:rsidRPr="00E33EFF" w:rsidRDefault="0031008A" w:rsidP="0031008A">
            <w:pPr>
              <w:rPr>
                <w:rFonts w:eastAsia="Arial"/>
              </w:rPr>
            </w:pPr>
          </w:p>
        </w:tc>
      </w:tr>
      <w:tr w:rsidR="00FF61E2" w:rsidRPr="00E33EFF" w14:paraId="21C94D47" w14:textId="77777777" w:rsidTr="00FF61E2">
        <w:trPr>
          <w:trHeight w:val="2160"/>
        </w:trPr>
        <w:tc>
          <w:tcPr>
            <w:tcW w:w="2547" w:type="dxa"/>
          </w:tcPr>
          <w:p w14:paraId="39F320D0" w14:textId="77777777" w:rsidR="00FF61E2" w:rsidRPr="00D05364" w:rsidRDefault="00FF61E2" w:rsidP="0031008A">
            <w:pPr>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736F5072" w14:textId="3F3E9225" w:rsidR="00FF61E2" w:rsidRPr="00E33EFF" w:rsidRDefault="00FF61E2" w:rsidP="0031008A">
            <w:pPr>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701" w:type="dxa"/>
          </w:tcPr>
          <w:p w14:paraId="744A27D7" w14:textId="77777777" w:rsidR="00FF61E2" w:rsidRPr="00D05364" w:rsidRDefault="00000000" w:rsidP="00FF61E2">
            <w:sdt>
              <w:sdtPr>
                <w:rPr>
                  <w:rStyle w:val="Style2"/>
                </w:rPr>
                <w:id w:val="-1888403732"/>
                <w15:color w:val="FFCC00"/>
                <w14:checkbox>
                  <w14:checked w14:val="1"/>
                  <w14:checkedState w14:val="2612" w14:font="MS Gothic"/>
                  <w14:uncheckedState w14:val="2610" w14:font="MS Gothic"/>
                </w14:checkbox>
              </w:sdtPr>
              <w:sdtContent>
                <w:r w:rsidR="00FF61E2">
                  <w:rPr>
                    <w:rStyle w:val="Style2"/>
                    <w:rFonts w:ascii="MS Gothic" w:eastAsia="MS Gothic" w:hAnsi="MS Gothic" w:hint="eastAsia"/>
                  </w:rPr>
                  <w:t>☒</w:t>
                </w:r>
              </w:sdtContent>
            </w:sdt>
            <w:r w:rsidR="00FF61E2" w:rsidRPr="00D05364">
              <w:t xml:space="preserve"> Taip</w:t>
            </w:r>
          </w:p>
          <w:p w14:paraId="5BE76A80" w14:textId="77777777" w:rsidR="00FF61E2" w:rsidRPr="00D05364" w:rsidRDefault="00000000" w:rsidP="00FF61E2">
            <w:sdt>
              <w:sdtPr>
                <w:rPr>
                  <w:rStyle w:val="Style2"/>
                </w:rPr>
                <w:id w:val="1092201793"/>
                <w15:color w:val="FFCC00"/>
                <w14:checkbox>
                  <w14:checked w14:val="0"/>
                  <w14:checkedState w14:val="2612" w14:font="MS Gothic"/>
                  <w14:uncheckedState w14:val="2610" w14:font="MS Gothic"/>
                </w14:checkbox>
              </w:sdtPr>
              <w:sdtContent>
                <w:r w:rsidR="00FF61E2" w:rsidRPr="00D05364">
                  <w:rPr>
                    <w:rStyle w:val="Style2"/>
                    <w:rFonts w:ascii="Segoe UI Symbol" w:eastAsia="MS Gothic" w:hAnsi="Segoe UI Symbol" w:cs="Segoe UI Symbol"/>
                  </w:rPr>
                  <w:t>☐</w:t>
                </w:r>
              </w:sdtContent>
            </w:sdt>
            <w:r w:rsidR="00FF61E2" w:rsidRPr="00D05364">
              <w:t xml:space="preserve"> Ne</w:t>
            </w:r>
          </w:p>
          <w:p w14:paraId="69AA1151" w14:textId="57ED9308" w:rsidR="00FF61E2" w:rsidRPr="00E33EFF" w:rsidRDefault="00000000" w:rsidP="00FF61E2">
            <w:pPr>
              <w:rPr>
                <w:rFonts w:eastAsia="Arial"/>
              </w:rPr>
            </w:pPr>
            <w:sdt>
              <w:sdtPr>
                <w:alias w:val="Nurodykite konkrečią dieną"/>
                <w:tag w:val="Nurodykite pradžios datą"/>
                <w:id w:val="-198323198"/>
                <w:placeholder>
                  <w:docPart w:val="2FD8A36481B34BD7A48EA5F21EBB39A3"/>
                </w:placeholder>
                <w15:color w:val="FFCC99"/>
                <w:date w:fullDate="2023-09-19T00:00:00Z">
                  <w:dateFormat w:val="yyyy 'm.' MMMM d 'd.'"/>
                  <w:lid w:val="lt-LT"/>
                  <w:storeMappedDataAs w:val="dateTime"/>
                  <w:calendar w:val="gregorian"/>
                </w:date>
              </w:sdtPr>
              <w:sdtContent>
                <w:r w:rsidR="00FF61E2">
                  <w:t>2023 m. rugsėjo 19 d.</w:t>
                </w:r>
              </w:sdtContent>
            </w:sdt>
          </w:p>
        </w:tc>
        <w:tc>
          <w:tcPr>
            <w:tcW w:w="3118" w:type="dxa"/>
          </w:tcPr>
          <w:p w14:paraId="3C67423E" w14:textId="3B064CA9" w:rsidR="00FF61E2" w:rsidRPr="00E33EFF" w:rsidRDefault="00FF61E2" w:rsidP="00FF61E2">
            <w:pPr>
              <w:rPr>
                <w:rFonts w:eastAsia="Arial"/>
              </w:rPr>
            </w:pPr>
            <w:r>
              <w:rPr>
                <w:rFonts w:eastAsia="Arial"/>
              </w:rPr>
              <w:t>Rekomenduojama kompensuoti pagal registruotą indikaciją</w:t>
            </w:r>
          </w:p>
        </w:tc>
        <w:tc>
          <w:tcPr>
            <w:tcW w:w="2216" w:type="dxa"/>
          </w:tcPr>
          <w:p w14:paraId="60651AFD" w14:textId="14C1DCC8" w:rsidR="00FF61E2" w:rsidRPr="00E33EFF" w:rsidRDefault="00FF61E2" w:rsidP="00FF61E2">
            <w:pPr>
              <w:rPr>
                <w:rFonts w:eastAsia="Arial"/>
              </w:rPr>
            </w:pPr>
            <w:r>
              <w:rPr>
                <w:rFonts w:eastAsia="Arial"/>
              </w:rPr>
              <w:t xml:space="preserve">NCPE rekomenduoja kompensuoti </w:t>
            </w:r>
            <w:proofErr w:type="spellStart"/>
            <w:r>
              <w:rPr>
                <w:rFonts w:eastAsia="Arial"/>
              </w:rPr>
              <w:t>abemaciklibą</w:t>
            </w:r>
            <w:proofErr w:type="spellEnd"/>
            <w:r>
              <w:rPr>
                <w:rFonts w:eastAsia="Arial"/>
              </w:rPr>
              <w:t>, jei kaštų naudingumas bus pagerintas, lyginant su jau esamu gydymu.</w:t>
            </w:r>
          </w:p>
        </w:tc>
      </w:tr>
    </w:tbl>
    <w:p w14:paraId="2EB7FD31" w14:textId="4D2A8479" w:rsidR="007A2B68" w:rsidRDefault="007A2B68" w:rsidP="00E03C3F">
      <w:pPr>
        <w:pStyle w:val="Sraopastraipa"/>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15564DF9" w14:textId="5A038861" w:rsidR="00FF61E2" w:rsidRDefault="00FF61E2" w:rsidP="00A93AA6">
      <w:pPr>
        <w:pStyle w:val="Sraopastraipa"/>
        <w:tabs>
          <w:tab w:val="left" w:pos="426"/>
        </w:tabs>
        <w:ind w:left="0"/>
        <w:rPr>
          <w:b/>
          <w:bCs/>
          <w:caps/>
        </w:rPr>
      </w:pPr>
    </w:p>
    <w:p w14:paraId="521E93AA" w14:textId="0E32205B" w:rsidR="00DE0057" w:rsidRPr="00DE0057" w:rsidRDefault="00DE0057" w:rsidP="00DE0057">
      <w:pPr>
        <w:widowControl w:val="0"/>
        <w:pBdr>
          <w:top w:val="nil"/>
          <w:left w:val="nil"/>
          <w:bottom w:val="nil"/>
          <w:right w:val="nil"/>
          <w:between w:val="nil"/>
        </w:pBdr>
        <w:spacing w:line="276" w:lineRule="auto"/>
        <w:ind w:firstLine="720"/>
        <w:jc w:val="both"/>
        <w:rPr>
          <w:rFonts w:eastAsia="Arial"/>
        </w:rPr>
      </w:pPr>
      <w:r w:rsidRPr="00DE0057">
        <w:rPr>
          <w:rFonts w:eastAsia="Arial"/>
        </w:rPr>
        <w:t xml:space="preserve">Krūties vėžys (TLK-10-AM kodas C50) yra dažniausia moterų onkologinė liga pagal sergamumą ir moterų mirčių skaičių nuo vėžio tiek pasaulyje, tiek Lietuvoje. Lietuvoje per paskutinius 5 metus KV atvejų skaičius auga. Krūties vėžio stadija nustatoma vadovaujantis Tarptautinės vėžio draugijų sąjungos patvirtinta TNM klasifikacija. </w:t>
      </w:r>
      <w:r w:rsidRPr="00DE0057">
        <w:rPr>
          <w:szCs w:val="20"/>
        </w:rPr>
        <w:t>Dauguma pacientų (90 proc.), kuriems nustatytas krūties vėžys ankstyvoje stadijoje, 70 proc. atvejų turi hormonų receptorius (HR</w:t>
      </w:r>
      <w:r w:rsidRPr="00DE0057">
        <w:rPr>
          <w:szCs w:val="20"/>
          <w:vertAlign w:val="superscript"/>
        </w:rPr>
        <w:t>+</w:t>
      </w:r>
      <w:r w:rsidRPr="00DE0057">
        <w:rPr>
          <w:szCs w:val="20"/>
        </w:rPr>
        <w:t xml:space="preserve">) bei neturi </w:t>
      </w:r>
      <w:r w:rsidRPr="00DE0057">
        <w:t>2 tipo žmogaus epidermio augimo faktoriaus receptorių (HER2</w:t>
      </w:r>
      <w:r w:rsidRPr="00DE0057">
        <w:rPr>
          <w:vertAlign w:val="superscript"/>
        </w:rPr>
        <w:t>-</w:t>
      </w:r>
      <w:r w:rsidRPr="00DE0057">
        <w:t xml:space="preserve">). Tokiems pacientams standartinis gydymas priklauso nuo atsinaujinimo rizikos laipsnio, tačiau paprastai skiriamas chirurginis naviko pašalinimas, radioterapija, </w:t>
      </w:r>
      <w:proofErr w:type="spellStart"/>
      <w:r w:rsidRPr="00DE0057">
        <w:t>neo</w:t>
      </w:r>
      <w:proofErr w:type="spellEnd"/>
      <w:r w:rsidRPr="00DE0057">
        <w:t>-/</w:t>
      </w:r>
      <w:proofErr w:type="spellStart"/>
      <w:r w:rsidRPr="00DE0057">
        <w:t>adjuvantinė</w:t>
      </w:r>
      <w:proofErr w:type="spellEnd"/>
      <w:r w:rsidRPr="00DE0057">
        <w:t xml:space="preserve"> chemoterapija bei endokrininė terapija. </w:t>
      </w:r>
      <w:proofErr w:type="spellStart"/>
      <w:r w:rsidRPr="00DE0057">
        <w:t>Adjuvantinė</w:t>
      </w:r>
      <w:proofErr w:type="spellEnd"/>
      <w:r w:rsidRPr="00DE0057">
        <w:t xml:space="preserve"> endokrininė terapija (</w:t>
      </w:r>
      <w:proofErr w:type="spellStart"/>
      <w:r w:rsidRPr="00DE0057">
        <w:t>tamoksifenas</w:t>
      </w:r>
      <w:proofErr w:type="spellEnd"/>
      <w:r w:rsidRPr="00DE0057">
        <w:t xml:space="preserve">, </w:t>
      </w:r>
      <w:proofErr w:type="spellStart"/>
      <w:r w:rsidR="00740F3A">
        <w:t>aromatazės</w:t>
      </w:r>
      <w:proofErr w:type="spellEnd"/>
      <w:r w:rsidR="00740F3A">
        <w:t xml:space="preserve"> inhibitoriai (</w:t>
      </w:r>
      <w:proofErr w:type="spellStart"/>
      <w:r w:rsidRPr="00DE0057">
        <w:t>AIs</w:t>
      </w:r>
      <w:proofErr w:type="spellEnd"/>
      <w:r w:rsidR="00740F3A">
        <w:t>)</w:t>
      </w:r>
      <w:r w:rsidRPr="00DE0057">
        <w:t xml:space="preserve">, ir/arba </w:t>
      </w:r>
      <w:proofErr w:type="spellStart"/>
      <w:r w:rsidRPr="00DE0057">
        <w:t>priešestrogininė</w:t>
      </w:r>
      <w:proofErr w:type="spellEnd"/>
      <w:r w:rsidRPr="00DE0057">
        <w:t xml:space="preserve"> terapija su arba be kiaušidžių slopinimo) yra standartinė terapija esant ankstyvos stadijos krūties vėžiui, kai nustatomi hormonų receptoriai (HR) ir nenustatomi 2 tipo žmogaus epidermio augimo faktoriaus receptoriai, su metastazėmis limfmazgiuose ir didele ligos atsinaujinimo rizika. Įrodyta, kad toks ankstyvo vėžio gydymas reikšmingai mažina mirties riziką. Tačiau, </w:t>
      </w:r>
      <w:r w:rsidRPr="00DE0057">
        <w:rPr>
          <w:rFonts w:eastAsia="Arial"/>
        </w:rPr>
        <w:t xml:space="preserve">nepaisant to, kad dabartinis gydymo standartas yra gydyti ankstyvos stadijos krūties vėžį turint tikslą ligą išgydyti, maždaug 20–30 proc. pacientų, sergančių HR+ ankstyvos stadijos krūties vėžiu (I–IIIC stadijos), liga vis tiek pasikartoja, dažnai su nepagydomomis tolimomis metastazėmis. </w:t>
      </w:r>
      <w:r w:rsidR="00E312D5" w:rsidRPr="00AE6CA5">
        <w:t>Europos medicininės onkologijos draugijos</w:t>
      </w:r>
      <w:r w:rsidR="00E312D5">
        <w:t>,</w:t>
      </w:r>
      <w:r w:rsidR="00E312D5" w:rsidRPr="00AE6CA5">
        <w:t xml:space="preserve"> </w:t>
      </w:r>
      <w:r w:rsidR="00E312D5" w:rsidRPr="00DE0057">
        <w:rPr>
          <w:rFonts w:eastAsia="Arial"/>
        </w:rPr>
        <w:t>2019</w:t>
      </w:r>
      <w:r w:rsidR="00E312D5" w:rsidRPr="00AE6CA5">
        <w:t xml:space="preserve"> (</w:t>
      </w:r>
      <w:r w:rsidR="00E312D5" w:rsidRPr="00E312D5">
        <w:t xml:space="preserve">angl. </w:t>
      </w:r>
      <w:proofErr w:type="spellStart"/>
      <w:r w:rsidR="00E312D5" w:rsidRPr="00E312D5">
        <w:rPr>
          <w:i/>
        </w:rPr>
        <w:t>European</w:t>
      </w:r>
      <w:proofErr w:type="spellEnd"/>
      <w:r w:rsidR="00E312D5" w:rsidRPr="00E312D5">
        <w:rPr>
          <w:i/>
        </w:rPr>
        <w:t xml:space="preserve"> </w:t>
      </w:r>
      <w:proofErr w:type="spellStart"/>
      <w:r w:rsidR="00E312D5" w:rsidRPr="00E312D5">
        <w:rPr>
          <w:i/>
        </w:rPr>
        <w:t>Society</w:t>
      </w:r>
      <w:proofErr w:type="spellEnd"/>
      <w:r w:rsidR="00E312D5" w:rsidRPr="00E312D5">
        <w:rPr>
          <w:i/>
        </w:rPr>
        <w:t xml:space="preserve"> </w:t>
      </w:r>
      <w:proofErr w:type="spellStart"/>
      <w:r w:rsidR="00E312D5" w:rsidRPr="00E312D5">
        <w:rPr>
          <w:i/>
        </w:rPr>
        <w:t>of</w:t>
      </w:r>
      <w:proofErr w:type="spellEnd"/>
      <w:r w:rsidR="00E312D5" w:rsidRPr="00E312D5">
        <w:rPr>
          <w:i/>
        </w:rPr>
        <w:t xml:space="preserve"> </w:t>
      </w:r>
      <w:proofErr w:type="spellStart"/>
      <w:r w:rsidR="00E312D5" w:rsidRPr="00E312D5">
        <w:rPr>
          <w:i/>
        </w:rPr>
        <w:t>Medical</w:t>
      </w:r>
      <w:proofErr w:type="spellEnd"/>
      <w:r w:rsidR="00E312D5" w:rsidRPr="00E312D5">
        <w:rPr>
          <w:i/>
        </w:rPr>
        <w:t xml:space="preserve"> </w:t>
      </w:r>
      <w:proofErr w:type="spellStart"/>
      <w:r w:rsidR="00E312D5" w:rsidRPr="00E312D5">
        <w:rPr>
          <w:i/>
        </w:rPr>
        <w:t>Oncology</w:t>
      </w:r>
      <w:proofErr w:type="spellEnd"/>
      <w:r w:rsidR="00E312D5" w:rsidRPr="00E312D5">
        <w:rPr>
          <w:i/>
        </w:rPr>
        <w:t xml:space="preserve">, </w:t>
      </w:r>
      <w:r w:rsidRPr="00E312D5">
        <w:rPr>
          <w:rFonts w:eastAsia="Arial"/>
          <w:i/>
        </w:rPr>
        <w:t>ESMO</w:t>
      </w:r>
      <w:r w:rsidRPr="00E312D5">
        <w:rPr>
          <w:rFonts w:eastAsia="Arial"/>
        </w:rPr>
        <w:t>)</w:t>
      </w:r>
      <w:r w:rsidRPr="00DE0057">
        <w:rPr>
          <w:rFonts w:eastAsia="Arial"/>
        </w:rPr>
        <w:t xml:space="preserve"> rekomenduoja gydyti pacientus, kuriems nustatytas HR</w:t>
      </w:r>
      <w:r w:rsidRPr="00DE0057">
        <w:rPr>
          <w:rFonts w:eastAsia="Arial"/>
          <w:vertAlign w:val="superscript"/>
        </w:rPr>
        <w:t>+</w:t>
      </w:r>
      <w:r w:rsidRPr="00DE0057">
        <w:rPr>
          <w:rFonts w:eastAsia="Arial"/>
        </w:rPr>
        <w:t xml:space="preserve"> ir HER2</w:t>
      </w:r>
      <w:r w:rsidRPr="00DE0057">
        <w:rPr>
          <w:rFonts w:eastAsia="Arial"/>
          <w:vertAlign w:val="superscript"/>
        </w:rPr>
        <w:t>-</w:t>
      </w:r>
      <w:r w:rsidRPr="00DE0057">
        <w:rPr>
          <w:rFonts w:eastAsia="Arial"/>
        </w:rPr>
        <w:t>, endokrinine terapija (ET) arba ją derinti su chemoterapija.</w:t>
      </w:r>
    </w:p>
    <w:p w14:paraId="7A13C3F6" w14:textId="29F95107" w:rsidR="00DE0057" w:rsidRPr="00DE0057" w:rsidRDefault="00DE0057" w:rsidP="00DE0057">
      <w:pPr>
        <w:widowControl w:val="0"/>
        <w:pBdr>
          <w:top w:val="nil"/>
          <w:left w:val="nil"/>
          <w:bottom w:val="nil"/>
          <w:right w:val="nil"/>
          <w:between w:val="nil"/>
        </w:pBdr>
        <w:spacing w:line="276" w:lineRule="auto"/>
        <w:ind w:firstLine="720"/>
        <w:jc w:val="both"/>
        <w:rPr>
          <w:szCs w:val="20"/>
        </w:rPr>
      </w:pPr>
      <w:proofErr w:type="spellStart"/>
      <w:r w:rsidRPr="00DE0057">
        <w:rPr>
          <w:rFonts w:eastAsia="Calibri"/>
        </w:rPr>
        <w:t>Abemaciklibas</w:t>
      </w:r>
      <w:proofErr w:type="spellEnd"/>
      <w:r w:rsidRPr="00DE0057">
        <w:rPr>
          <w:rFonts w:eastAsia="Calibri"/>
        </w:rPr>
        <w:t xml:space="preserve"> būtų antras CDK 4/6 </w:t>
      </w:r>
      <w:r w:rsidR="0091382C" w:rsidRPr="00DE0057">
        <w:rPr>
          <w:rFonts w:eastAsia="Calibri"/>
        </w:rPr>
        <w:t>inhibitori</w:t>
      </w:r>
      <w:r w:rsidR="0031008A">
        <w:rPr>
          <w:rFonts w:eastAsia="Calibri"/>
        </w:rPr>
        <w:t>us</w:t>
      </w:r>
      <w:r w:rsidRPr="00DE0057">
        <w:rPr>
          <w:rFonts w:eastAsia="Calibri"/>
        </w:rPr>
        <w:t>, kur</w:t>
      </w:r>
      <w:r w:rsidR="0031008A">
        <w:rPr>
          <w:rFonts w:eastAsia="Calibri"/>
        </w:rPr>
        <w:t>į</w:t>
      </w:r>
      <w:r w:rsidRPr="00DE0057">
        <w:rPr>
          <w:rFonts w:eastAsia="Calibri"/>
        </w:rPr>
        <w:t xml:space="preserve"> galima būtų skirti kartu su </w:t>
      </w:r>
      <w:proofErr w:type="spellStart"/>
      <w:r w:rsidRPr="00DE0057">
        <w:rPr>
          <w:rFonts w:eastAsia="Calibri"/>
        </w:rPr>
        <w:t>aromatazės</w:t>
      </w:r>
      <w:proofErr w:type="spellEnd"/>
      <w:r w:rsidRPr="00DE0057">
        <w:rPr>
          <w:rFonts w:eastAsia="Calibri"/>
        </w:rPr>
        <w:t xml:space="preserve"> inhibitoriumi (t.</w:t>
      </w:r>
      <w:r w:rsidR="0031008A">
        <w:rPr>
          <w:rFonts w:eastAsia="Calibri"/>
        </w:rPr>
        <w:t xml:space="preserve"> </w:t>
      </w:r>
      <w:r w:rsidRPr="00DE0057">
        <w:rPr>
          <w:rFonts w:eastAsia="Calibri"/>
        </w:rPr>
        <w:t xml:space="preserve">y. </w:t>
      </w:r>
      <w:proofErr w:type="spellStart"/>
      <w:r w:rsidRPr="00DE0057">
        <w:rPr>
          <w:rFonts w:eastAsia="Calibri"/>
        </w:rPr>
        <w:t>anastrozoliu</w:t>
      </w:r>
      <w:proofErr w:type="spellEnd"/>
      <w:r w:rsidRPr="00DE0057">
        <w:rPr>
          <w:rFonts w:eastAsia="Calibri"/>
        </w:rPr>
        <w:t xml:space="preserve"> arba </w:t>
      </w:r>
      <w:proofErr w:type="spellStart"/>
      <w:r w:rsidRPr="00DE0057">
        <w:rPr>
          <w:rFonts w:eastAsia="Calibri"/>
        </w:rPr>
        <w:t>letrozoliu</w:t>
      </w:r>
      <w:proofErr w:type="spellEnd"/>
      <w:r w:rsidRPr="00DE0057">
        <w:rPr>
          <w:rFonts w:eastAsia="Calibri"/>
        </w:rPr>
        <w:t xml:space="preserve">). </w:t>
      </w:r>
      <w:proofErr w:type="spellStart"/>
      <w:r w:rsidRPr="00DE0057">
        <w:rPr>
          <w:szCs w:val="20"/>
        </w:rPr>
        <w:t>Abemaciklibas</w:t>
      </w:r>
      <w:proofErr w:type="spellEnd"/>
      <w:r w:rsidRPr="00DE0057">
        <w:rPr>
          <w:szCs w:val="20"/>
        </w:rPr>
        <w:t xml:space="preserve"> yra stiprus selektyvusis nuo ciklino priklausomų 4 ir 6 tipo </w:t>
      </w:r>
      <w:proofErr w:type="spellStart"/>
      <w:r w:rsidRPr="00DE0057">
        <w:rPr>
          <w:szCs w:val="20"/>
        </w:rPr>
        <w:t>kinazių</w:t>
      </w:r>
      <w:proofErr w:type="spellEnd"/>
      <w:r w:rsidRPr="00DE0057">
        <w:rPr>
          <w:szCs w:val="20"/>
        </w:rPr>
        <w:t xml:space="preserve"> inhibitorius, fermentinių tyrimų metu ypač slopinęs ciklino D1/CDK4. </w:t>
      </w:r>
    </w:p>
    <w:p w14:paraId="6351A116" w14:textId="2143EEE9" w:rsidR="00DE0057" w:rsidRPr="00DE0057" w:rsidRDefault="00DE0057" w:rsidP="00DE0057">
      <w:pPr>
        <w:tabs>
          <w:tab w:val="left" w:pos="426"/>
        </w:tabs>
        <w:spacing w:line="276" w:lineRule="auto"/>
        <w:jc w:val="both"/>
        <w:rPr>
          <w:bCs/>
          <w:color w:val="000000"/>
          <w:lang w:eastAsia="lt-LT"/>
        </w:rPr>
      </w:pPr>
      <w:r w:rsidRPr="00DE0057">
        <w:rPr>
          <w:bCs/>
          <w:color w:val="000000"/>
          <w:lang w:eastAsia="lt-LT"/>
        </w:rPr>
        <w:t xml:space="preserve">Įvertinus pateiktus tiesioginio palyginimo klinikinius duomenis bei remiantis </w:t>
      </w:r>
      <w:r w:rsidR="0031008A">
        <w:rPr>
          <w:bCs/>
          <w:color w:val="000000"/>
          <w:lang w:eastAsia="lt-LT"/>
        </w:rPr>
        <w:t>P</w:t>
      </w:r>
      <w:r w:rsidR="0031008A" w:rsidRPr="0031008A">
        <w:rPr>
          <w:bCs/>
          <w:color w:val="000000"/>
          <w:lang w:eastAsia="lt-LT"/>
        </w:rPr>
        <w:t>araiškos įrašyti vaistinį preparatą į kompensavimo sąrašus rengimo taisykl</w:t>
      </w:r>
      <w:r w:rsidR="0031008A">
        <w:rPr>
          <w:bCs/>
          <w:color w:val="000000"/>
          <w:lang w:eastAsia="lt-LT"/>
        </w:rPr>
        <w:t>ių, patvirtintų</w:t>
      </w:r>
      <w:r w:rsidR="0031008A" w:rsidRPr="00DE0057">
        <w:rPr>
          <w:bCs/>
          <w:color w:val="000000"/>
          <w:lang w:eastAsia="lt-LT"/>
        </w:rPr>
        <w:t xml:space="preserve"> </w:t>
      </w:r>
      <w:r w:rsidRPr="00DE0057">
        <w:rPr>
          <w:bCs/>
          <w:color w:val="000000"/>
          <w:lang w:eastAsia="lt-LT"/>
        </w:rPr>
        <w:t>L</w:t>
      </w:r>
      <w:r w:rsidRPr="00DE0057">
        <w:rPr>
          <w:rFonts w:eastAsia="Arial"/>
          <w:bCs/>
        </w:rPr>
        <w:t>ietuvos Respublikos sveikatos apsaugos ministro 2002 m. balandžio 5 d. įsakymu Nr. V-159 „Dėl vaistinių preparatų ir medicinos pagalbos priemonių įrašymo į kompensavimo sąrašus ir jų keitimo tvarkos aprašo patvirtinimo“</w:t>
      </w:r>
      <w:r w:rsidR="0031008A">
        <w:rPr>
          <w:rFonts w:eastAsia="Arial"/>
          <w:bCs/>
        </w:rPr>
        <w:t>,</w:t>
      </w:r>
      <w:r w:rsidRPr="00DE0057">
        <w:rPr>
          <w:rFonts w:eastAsia="Arial"/>
          <w:bCs/>
        </w:rPr>
        <w:t xml:space="preserve"> 116 – 119 punktais, </w:t>
      </w:r>
      <w:r w:rsidRPr="00DE0057">
        <w:rPr>
          <w:bCs/>
          <w:color w:val="000000"/>
          <w:lang w:eastAsia="lt-LT"/>
        </w:rPr>
        <w:t xml:space="preserve">palyginamasis gydymas - </w:t>
      </w:r>
      <w:proofErr w:type="spellStart"/>
      <w:r w:rsidRPr="00DE0057">
        <w:rPr>
          <w:bCs/>
          <w:color w:val="000000"/>
          <w:lang w:eastAsia="lt-LT"/>
        </w:rPr>
        <w:t>adjuvantinė</w:t>
      </w:r>
      <w:proofErr w:type="spellEnd"/>
      <w:r w:rsidRPr="00DE0057">
        <w:rPr>
          <w:bCs/>
          <w:color w:val="000000"/>
          <w:lang w:eastAsia="lt-LT"/>
        </w:rPr>
        <w:t xml:space="preserve"> endokrininė terapija – tinkamas, nes atitinka įprastinę klinikinę praktiką Lietuvoje. </w:t>
      </w:r>
    </w:p>
    <w:p w14:paraId="4D9DB869" w14:textId="5435204D" w:rsidR="00DE0057" w:rsidRPr="00DE0057" w:rsidRDefault="00736EF7" w:rsidP="00DE0057">
      <w:pPr>
        <w:tabs>
          <w:tab w:val="left" w:pos="426"/>
        </w:tabs>
        <w:spacing w:line="276" w:lineRule="auto"/>
        <w:jc w:val="both"/>
        <w:rPr>
          <w:lang w:eastAsia="lt-LT"/>
        </w:rPr>
      </w:pPr>
      <w:r>
        <w:rPr>
          <w:rFonts w:eastAsia="Arial"/>
          <w:color w:val="000000"/>
        </w:rPr>
        <w:tab/>
      </w:r>
      <w:r>
        <w:rPr>
          <w:rFonts w:eastAsia="Arial"/>
          <w:color w:val="000000"/>
        </w:rPr>
        <w:tab/>
      </w:r>
      <w:r w:rsidR="00DE0057" w:rsidRPr="00DE0057">
        <w:rPr>
          <w:rFonts w:eastAsia="Arial"/>
          <w:color w:val="000000"/>
        </w:rPr>
        <w:t xml:space="preserve">Klinikiniame tyrime </w:t>
      </w:r>
      <w:r w:rsidR="00E312D5">
        <w:rPr>
          <w:rFonts w:eastAsia="Arial"/>
          <w:color w:val="000000"/>
        </w:rPr>
        <w:t>„</w:t>
      </w:r>
      <w:proofErr w:type="spellStart"/>
      <w:r w:rsidR="00DE0057" w:rsidRPr="00DE0057">
        <w:rPr>
          <w:rFonts w:eastAsia="Arial"/>
          <w:i/>
          <w:color w:val="000000"/>
        </w:rPr>
        <w:t>monarch</w:t>
      </w:r>
      <w:proofErr w:type="spellEnd"/>
      <w:r w:rsidR="00DE0057" w:rsidRPr="00DE0057">
        <w:rPr>
          <w:rFonts w:eastAsia="Arial"/>
          <w:i/>
          <w:color w:val="000000"/>
        </w:rPr>
        <w:t xml:space="preserve"> E</w:t>
      </w:r>
      <w:r w:rsidR="00E312D5">
        <w:rPr>
          <w:rFonts w:eastAsia="Arial"/>
          <w:i/>
          <w:color w:val="000000"/>
        </w:rPr>
        <w:t>“</w:t>
      </w:r>
      <w:r w:rsidR="00DE0057" w:rsidRPr="00DE0057">
        <w:rPr>
          <w:rFonts w:eastAsia="Arial"/>
          <w:color w:val="000000"/>
        </w:rPr>
        <w:t xml:space="preserve"> dalyvavo 5637 pacientai. Jie buvo suskirstyti atsitiktiniu būdu į dvi pagrindines grupes: </w:t>
      </w:r>
      <w:proofErr w:type="spellStart"/>
      <w:r w:rsidR="00DE0057" w:rsidRPr="00DE0057">
        <w:rPr>
          <w:rFonts w:eastAsia="Arial"/>
          <w:color w:val="000000"/>
        </w:rPr>
        <w:t>abemaciklibo</w:t>
      </w:r>
      <w:proofErr w:type="spellEnd"/>
      <w:r w:rsidR="00DE0057" w:rsidRPr="00DE0057">
        <w:rPr>
          <w:rFonts w:eastAsia="Arial"/>
          <w:color w:val="000000"/>
        </w:rPr>
        <w:t xml:space="preserve"> (vienas ciklas 28 dienas)+ endokrininės terapijos derinys bei tik endokrininė terapija. Endokrininė terapija apėmė </w:t>
      </w:r>
      <w:proofErr w:type="spellStart"/>
      <w:r w:rsidR="00DE0057" w:rsidRPr="00DE0057">
        <w:rPr>
          <w:rFonts w:eastAsia="Arial"/>
          <w:color w:val="000000"/>
        </w:rPr>
        <w:t>tamoksifeną</w:t>
      </w:r>
      <w:proofErr w:type="spellEnd"/>
      <w:r w:rsidR="00DE0057" w:rsidRPr="00DE0057">
        <w:rPr>
          <w:rFonts w:eastAsia="Arial"/>
          <w:color w:val="000000"/>
        </w:rPr>
        <w:t xml:space="preserve"> arba </w:t>
      </w:r>
      <w:proofErr w:type="spellStart"/>
      <w:r w:rsidR="00DE0057" w:rsidRPr="00DE0057">
        <w:rPr>
          <w:rFonts w:eastAsia="Arial"/>
          <w:color w:val="000000"/>
        </w:rPr>
        <w:t>aromatazės</w:t>
      </w:r>
      <w:proofErr w:type="spellEnd"/>
      <w:r w:rsidR="00DE0057" w:rsidRPr="00DE0057">
        <w:rPr>
          <w:rFonts w:eastAsia="Arial"/>
          <w:color w:val="000000"/>
        </w:rPr>
        <w:t xml:space="preserve"> inhibitorius.</w:t>
      </w:r>
    </w:p>
    <w:p w14:paraId="36B871CE" w14:textId="3B21829F" w:rsidR="00DE0057" w:rsidRPr="00DE0057" w:rsidRDefault="00DE0057" w:rsidP="00DE0057">
      <w:pPr>
        <w:autoSpaceDE w:val="0"/>
        <w:autoSpaceDN w:val="0"/>
        <w:adjustRightInd w:val="0"/>
        <w:spacing w:line="276" w:lineRule="auto"/>
        <w:ind w:firstLine="720"/>
        <w:jc w:val="both"/>
        <w:rPr>
          <w:rFonts w:eastAsia="Arial"/>
        </w:rPr>
      </w:pPr>
      <w:r w:rsidRPr="00DE0057">
        <w:rPr>
          <w:rFonts w:eastAsia="Arial"/>
        </w:rPr>
        <w:t xml:space="preserve">Įvertinus visą tyrimo populiaciją, 95,4 proc. pacientų prieš tyrimą gavo radioterapiją ir taip pat buvo gydomi chemoterapija. Iš jų 37 proc. gavo </w:t>
      </w:r>
      <w:proofErr w:type="spellStart"/>
      <w:r w:rsidRPr="00DE0057">
        <w:rPr>
          <w:rFonts w:eastAsia="Arial"/>
        </w:rPr>
        <w:t>neoadjuvantinę</w:t>
      </w:r>
      <w:proofErr w:type="spellEnd"/>
      <w:r w:rsidRPr="00DE0057">
        <w:rPr>
          <w:rFonts w:eastAsia="Arial"/>
        </w:rPr>
        <w:t xml:space="preserve"> terapiją, 58,3 proc. – </w:t>
      </w:r>
      <w:proofErr w:type="spellStart"/>
      <w:r w:rsidRPr="00DE0057">
        <w:rPr>
          <w:rFonts w:eastAsia="Arial"/>
        </w:rPr>
        <w:t>adjuva</w:t>
      </w:r>
      <w:r w:rsidR="00AF41E2">
        <w:rPr>
          <w:rFonts w:eastAsia="Arial"/>
        </w:rPr>
        <w:t>n</w:t>
      </w:r>
      <w:r w:rsidRPr="00DE0057">
        <w:rPr>
          <w:rFonts w:eastAsia="Arial"/>
        </w:rPr>
        <w:t>tinę</w:t>
      </w:r>
      <w:proofErr w:type="spellEnd"/>
      <w:r w:rsidRPr="00DE0057">
        <w:rPr>
          <w:rFonts w:eastAsia="Arial"/>
        </w:rPr>
        <w:t>, 3,5</w:t>
      </w:r>
      <w:r w:rsidR="00E312D5">
        <w:rPr>
          <w:rFonts w:eastAsia="Arial"/>
        </w:rPr>
        <w:t xml:space="preserve"> proc. pacientų buvo gydomi </w:t>
      </w:r>
      <w:proofErr w:type="spellStart"/>
      <w:r w:rsidR="00E312D5">
        <w:rPr>
          <w:rFonts w:eastAsia="Arial"/>
        </w:rPr>
        <w:t>neoadjuvantine</w:t>
      </w:r>
      <w:proofErr w:type="spellEnd"/>
      <w:r w:rsidRPr="00DE0057">
        <w:rPr>
          <w:rFonts w:eastAsia="Arial"/>
        </w:rPr>
        <w:t xml:space="preserve"> ir </w:t>
      </w:r>
      <w:proofErr w:type="spellStart"/>
      <w:r w:rsidRPr="00DE0057">
        <w:rPr>
          <w:rFonts w:eastAsia="Arial"/>
        </w:rPr>
        <w:t>adjuvantine</w:t>
      </w:r>
      <w:proofErr w:type="spellEnd"/>
      <w:r w:rsidRPr="00DE0057">
        <w:rPr>
          <w:rFonts w:eastAsia="Arial"/>
        </w:rPr>
        <w:t xml:space="preserve"> terapija, bet buvo priskirti </w:t>
      </w:r>
      <w:proofErr w:type="spellStart"/>
      <w:r w:rsidRPr="00DE0057">
        <w:rPr>
          <w:rFonts w:eastAsia="Arial"/>
        </w:rPr>
        <w:t>neoadjunvantinės</w:t>
      </w:r>
      <w:proofErr w:type="spellEnd"/>
      <w:r w:rsidRPr="00DE0057">
        <w:rPr>
          <w:rFonts w:eastAsia="Arial"/>
        </w:rPr>
        <w:t xml:space="preserve"> terapijos grupei. Pradedant tyrimą, 68,3 proc. vartojo </w:t>
      </w:r>
      <w:proofErr w:type="spellStart"/>
      <w:r w:rsidR="004659AE">
        <w:rPr>
          <w:rFonts w:eastAsia="Arial"/>
        </w:rPr>
        <w:t>aromatazės</w:t>
      </w:r>
      <w:proofErr w:type="spellEnd"/>
      <w:r w:rsidR="004659AE">
        <w:rPr>
          <w:rFonts w:eastAsia="Arial"/>
        </w:rPr>
        <w:t xml:space="preserve"> inhibitorių (</w:t>
      </w:r>
      <w:proofErr w:type="spellStart"/>
      <w:r w:rsidRPr="004659AE">
        <w:rPr>
          <w:rFonts w:eastAsia="Arial"/>
        </w:rPr>
        <w:t>AIs</w:t>
      </w:r>
      <w:proofErr w:type="spellEnd"/>
      <w:r w:rsidR="004659AE" w:rsidRPr="004659AE">
        <w:rPr>
          <w:rFonts w:eastAsia="Arial"/>
        </w:rPr>
        <w:t>)</w:t>
      </w:r>
      <w:r w:rsidRPr="004659AE">
        <w:rPr>
          <w:rFonts w:eastAsia="Arial"/>
        </w:rPr>
        <w:t>,</w:t>
      </w:r>
      <w:r w:rsidRPr="00DE0057">
        <w:rPr>
          <w:rFonts w:eastAsia="Arial"/>
        </w:rPr>
        <w:t xml:space="preserve"> iš jų 14,2 proc. pacientų buvo tuo pačiu metu slopinama kiaušidžių funkcija. </w:t>
      </w:r>
      <w:proofErr w:type="spellStart"/>
      <w:r w:rsidRPr="00DE0057">
        <w:rPr>
          <w:rFonts w:eastAsia="Arial"/>
        </w:rPr>
        <w:t>Tamoksifeną</w:t>
      </w:r>
      <w:proofErr w:type="spellEnd"/>
      <w:r w:rsidRPr="00DE0057">
        <w:rPr>
          <w:rFonts w:eastAsia="Arial"/>
        </w:rPr>
        <w:t xml:space="preserve"> vartojo 31,4 proc. pacientų, iš jų 7,6 proc. pacientų buvo slopinama kiaušidžių funkcija.</w:t>
      </w:r>
    </w:p>
    <w:p w14:paraId="5CF2C79F" w14:textId="517DAA35" w:rsidR="00DE0057" w:rsidRPr="00DE0057" w:rsidRDefault="00DE0057" w:rsidP="00DE0057">
      <w:pPr>
        <w:tabs>
          <w:tab w:val="left" w:pos="426"/>
        </w:tabs>
        <w:spacing w:line="276" w:lineRule="auto"/>
        <w:jc w:val="both"/>
        <w:rPr>
          <w:rFonts w:eastAsia="Arial"/>
        </w:rPr>
      </w:pPr>
      <w:r w:rsidRPr="00DE0057">
        <w:rPr>
          <w:rFonts w:eastAsia="Arial"/>
        </w:rPr>
        <w:tab/>
      </w:r>
      <w:r w:rsidR="00736EF7">
        <w:rPr>
          <w:rFonts w:eastAsia="Arial"/>
        </w:rPr>
        <w:tab/>
      </w:r>
      <w:r w:rsidRPr="00DE0057">
        <w:rPr>
          <w:rFonts w:eastAsia="Arial"/>
        </w:rPr>
        <w:t>Pirminė tarpinė analizė buvo atlikta, kai 12,5 proc. pacientų (</w:t>
      </w:r>
      <w:r w:rsidRPr="00DE0057">
        <w:rPr>
          <w:rFonts w:eastAsia="Arial"/>
          <w:lang w:val="en-GB"/>
        </w:rPr>
        <w:t>N=707</w:t>
      </w:r>
      <w:r w:rsidRPr="00DE0057">
        <w:rPr>
          <w:rFonts w:eastAsia="Arial"/>
        </w:rPr>
        <w:t>) pabaigė 2 metų tyrimo gydymą, 78,2 proc. pacientų (</w:t>
      </w:r>
      <w:r w:rsidRPr="00DE0057">
        <w:rPr>
          <w:rFonts w:eastAsia="Arial"/>
          <w:lang w:val="en-GB"/>
        </w:rPr>
        <w:t>N=4101</w:t>
      </w:r>
      <w:r w:rsidRPr="00DE0057">
        <w:rPr>
          <w:rFonts w:eastAsia="Arial"/>
        </w:rPr>
        <w:t xml:space="preserve">) vis dar tęsė savo tyrimo gydymą. Stebėjimo laikotarpis sudarė 15,5 mėnesių abejose grupėse. Bendrai </w:t>
      </w:r>
      <w:proofErr w:type="spellStart"/>
      <w:r w:rsidRPr="00DE0057">
        <w:rPr>
          <w:rFonts w:eastAsia="Arial"/>
        </w:rPr>
        <w:t>abemaceklibo</w:t>
      </w:r>
      <w:proofErr w:type="spellEnd"/>
      <w:r w:rsidRPr="00DE0057">
        <w:rPr>
          <w:rFonts w:eastAsia="Arial"/>
        </w:rPr>
        <w:t xml:space="preserve"> (+ET) grupėje buvo 2808 pacientai, ET grupėje – 2829. </w:t>
      </w:r>
      <w:proofErr w:type="spellStart"/>
      <w:r w:rsidRPr="00DE0057">
        <w:rPr>
          <w:rFonts w:eastAsia="Arial"/>
        </w:rPr>
        <w:t>Abemaciklibo</w:t>
      </w:r>
      <w:proofErr w:type="spellEnd"/>
      <w:r w:rsidRPr="00DE0057">
        <w:rPr>
          <w:rFonts w:eastAsia="Arial"/>
        </w:rPr>
        <w:t xml:space="preserve"> (+ET) grupėje tyrimo gydymą gavo 2794 pacientai, ET grupėje – 2797 pacientai. Saugumo duomenys buvo vertinti 2791 pacientui </w:t>
      </w:r>
      <w:proofErr w:type="spellStart"/>
      <w:r w:rsidRPr="00DE0057">
        <w:rPr>
          <w:rFonts w:eastAsia="Arial"/>
        </w:rPr>
        <w:t>abemaciklibo</w:t>
      </w:r>
      <w:proofErr w:type="spellEnd"/>
      <w:r w:rsidRPr="00DE0057">
        <w:rPr>
          <w:rFonts w:eastAsia="Arial"/>
        </w:rPr>
        <w:t xml:space="preserve"> (+ET) grupėje ir 2800 pacientų – ET grupėje. </w:t>
      </w:r>
    </w:p>
    <w:p w14:paraId="68E10C28" w14:textId="5CF78C0B" w:rsidR="00DE0057" w:rsidRPr="00DE0057" w:rsidRDefault="00DE0057" w:rsidP="00DE0057">
      <w:pPr>
        <w:tabs>
          <w:tab w:val="left" w:pos="426"/>
        </w:tabs>
        <w:spacing w:line="276" w:lineRule="auto"/>
        <w:jc w:val="both"/>
        <w:rPr>
          <w:rFonts w:eastAsia="Arial"/>
          <w:color w:val="000000"/>
        </w:rPr>
      </w:pPr>
      <w:r w:rsidRPr="00DE0057">
        <w:rPr>
          <w:rFonts w:eastAsia="Arial"/>
        </w:rPr>
        <w:lastRenderedPageBreak/>
        <w:tab/>
      </w:r>
      <w:r w:rsidR="00736EF7">
        <w:rPr>
          <w:rFonts w:eastAsia="Arial"/>
        </w:rPr>
        <w:tab/>
      </w:r>
      <w:r w:rsidRPr="00DE0057">
        <w:rPr>
          <w:rFonts w:eastAsia="Arial"/>
          <w:i/>
        </w:rPr>
        <w:t>Pirminė baigtis</w:t>
      </w:r>
      <w:r w:rsidRPr="00DE0057">
        <w:rPr>
          <w:rFonts w:eastAsia="Arial"/>
        </w:rPr>
        <w:t xml:space="preserve"> – išgyvenamumas be invazinės ligos (IBIL). </w:t>
      </w:r>
      <w:r w:rsidRPr="00DE0057">
        <w:rPr>
          <w:rFonts w:eastAsia="Arial"/>
          <w:color w:val="000000"/>
        </w:rPr>
        <w:t xml:space="preserve">Gydymas </w:t>
      </w:r>
      <w:proofErr w:type="spellStart"/>
      <w:r w:rsidRPr="00DE0057">
        <w:rPr>
          <w:rFonts w:eastAsia="Arial"/>
          <w:color w:val="000000"/>
        </w:rPr>
        <w:t>abemaciklibu</w:t>
      </w:r>
      <w:proofErr w:type="spellEnd"/>
      <w:r w:rsidRPr="00DE0057">
        <w:rPr>
          <w:rFonts w:eastAsia="Arial"/>
          <w:color w:val="000000"/>
        </w:rPr>
        <w:t xml:space="preserve"> (+ET) reikšmingai pagerino IBIL palyginus su tik ET (p&lt;0,01; RS</w:t>
      </w:r>
      <w:r w:rsidRPr="00DE0057">
        <w:rPr>
          <w:rFonts w:eastAsia="Arial"/>
          <w:color w:val="000000"/>
          <w:lang w:val="en-GB"/>
        </w:rPr>
        <w:t xml:space="preserve">=0,75; 95 proc. PI: 0,60-0,93). </w:t>
      </w:r>
      <w:r w:rsidRPr="00DE0057">
        <w:rPr>
          <w:rFonts w:eastAsia="Arial"/>
          <w:color w:val="000000"/>
        </w:rPr>
        <w:t xml:space="preserve">Atliekant analizę, 92,2 proc. pacientų </w:t>
      </w:r>
      <w:proofErr w:type="spellStart"/>
      <w:r w:rsidRPr="00DE0057">
        <w:rPr>
          <w:rFonts w:eastAsia="Arial"/>
          <w:color w:val="000000"/>
        </w:rPr>
        <w:t>abemaciklibo</w:t>
      </w:r>
      <w:proofErr w:type="spellEnd"/>
      <w:r w:rsidRPr="00DE0057">
        <w:rPr>
          <w:rFonts w:eastAsia="Arial"/>
          <w:color w:val="000000"/>
        </w:rPr>
        <w:t xml:space="preserve"> grupėje buvo be invazinės ligos progresijos ir gyvi bei  atitinkamai 88,7 proc. pacientų ET grupėje. </w:t>
      </w:r>
    </w:p>
    <w:p w14:paraId="30B16541" w14:textId="49D95A3B" w:rsidR="00DE0057" w:rsidRPr="00736EF7" w:rsidRDefault="00DE0057" w:rsidP="00736EF7">
      <w:pPr>
        <w:tabs>
          <w:tab w:val="left" w:pos="426"/>
        </w:tabs>
        <w:spacing w:line="276" w:lineRule="auto"/>
        <w:jc w:val="both"/>
        <w:rPr>
          <w:rFonts w:eastAsia="Arial"/>
        </w:rPr>
      </w:pPr>
      <w:r w:rsidRPr="00DE0057">
        <w:rPr>
          <w:rFonts w:eastAsia="Arial"/>
          <w:color w:val="000000"/>
        </w:rPr>
        <w:tab/>
      </w:r>
      <w:r w:rsidR="00736EF7">
        <w:rPr>
          <w:rFonts w:eastAsia="Arial"/>
          <w:color w:val="000000"/>
        </w:rPr>
        <w:tab/>
      </w:r>
      <w:r w:rsidRPr="00DE0057">
        <w:rPr>
          <w:rFonts w:eastAsia="Arial"/>
          <w:i/>
          <w:color w:val="000000"/>
        </w:rPr>
        <w:t xml:space="preserve">Antrinės baigtys – </w:t>
      </w:r>
      <w:r w:rsidRPr="00DE0057">
        <w:rPr>
          <w:rFonts w:eastAsia="Arial"/>
          <w:color w:val="000000"/>
        </w:rPr>
        <w:t>išgyvenamumas be tolimų metastazių (IBTM) ir bendras išgyvenamumas (BI).</w:t>
      </w:r>
      <w:r w:rsidR="00736EF7">
        <w:rPr>
          <w:rFonts w:eastAsia="Arial"/>
        </w:rPr>
        <w:t xml:space="preserve"> </w:t>
      </w:r>
      <w:r w:rsidRPr="00DE0057">
        <w:rPr>
          <w:rFonts w:eastAsia="Arial"/>
          <w:color w:val="000000"/>
        </w:rPr>
        <w:t xml:space="preserve">Gydymas </w:t>
      </w:r>
      <w:proofErr w:type="spellStart"/>
      <w:r w:rsidRPr="00DE0057">
        <w:rPr>
          <w:rFonts w:eastAsia="Arial"/>
          <w:color w:val="000000"/>
        </w:rPr>
        <w:t>abemaciklibu</w:t>
      </w:r>
      <w:proofErr w:type="spellEnd"/>
      <w:r w:rsidRPr="00DE0057">
        <w:rPr>
          <w:rFonts w:eastAsia="Arial"/>
          <w:color w:val="000000"/>
        </w:rPr>
        <w:t xml:space="preserve"> (+ET) pagerina  išgyvenamumą be tolimų metastazių (IBTM) pacientams, sergantiems ankstyvu KV ir kuriems nustatytos tolimos metastazės (nominalinė p reikšmė </w:t>
      </w:r>
      <w:r w:rsidRPr="00DE0057">
        <w:rPr>
          <w:rFonts w:eastAsia="Arial"/>
          <w:color w:val="000000"/>
          <w:lang w:val="en-US"/>
        </w:rPr>
        <w:t>= 0,01; RS=0,72</w:t>
      </w:r>
      <w:r w:rsidRPr="00DE0057">
        <w:rPr>
          <w:rFonts w:eastAsia="Arial"/>
          <w:color w:val="000000"/>
        </w:rPr>
        <w:t xml:space="preserve">; 95 proc. PI: 0,56-0,92). Atliekant analizę, po 2 metų gydymo 93,6 proc. pacientų neturėjo tolimų metastazių gydant </w:t>
      </w:r>
      <w:proofErr w:type="spellStart"/>
      <w:r w:rsidRPr="00DE0057">
        <w:rPr>
          <w:rFonts w:eastAsia="Arial"/>
          <w:color w:val="000000"/>
        </w:rPr>
        <w:t>abemaciklibu</w:t>
      </w:r>
      <w:proofErr w:type="spellEnd"/>
      <w:r w:rsidRPr="00DE0057">
        <w:rPr>
          <w:rFonts w:eastAsia="Arial"/>
          <w:color w:val="000000"/>
        </w:rPr>
        <w:t xml:space="preserve"> (+ET) ir 90,3 proc. pacientų, gydant tik ET. Bendro išgyvenamumo duomenys buvo nebrandūs. Iš viso buvo užfiksuoti 39 mirties atvejai (1,4 proc.) </w:t>
      </w:r>
      <w:proofErr w:type="spellStart"/>
      <w:r w:rsidRPr="00DE0057">
        <w:rPr>
          <w:rFonts w:eastAsia="Arial"/>
          <w:color w:val="000000"/>
        </w:rPr>
        <w:t>abemaciklbo</w:t>
      </w:r>
      <w:proofErr w:type="spellEnd"/>
      <w:r w:rsidRPr="00DE0057">
        <w:rPr>
          <w:rFonts w:eastAsia="Arial"/>
          <w:color w:val="000000"/>
        </w:rPr>
        <w:t xml:space="preserve"> (+ET) grupėje ir 37 mirties atvejai (1,3 proc.) ET grupėje. </w:t>
      </w:r>
    </w:p>
    <w:p w14:paraId="20862B88" w14:textId="32676020" w:rsidR="00DE0057" w:rsidRPr="00DE0057" w:rsidRDefault="00DE0057" w:rsidP="00DE0057">
      <w:pPr>
        <w:tabs>
          <w:tab w:val="left" w:pos="492"/>
        </w:tabs>
        <w:spacing w:line="276" w:lineRule="auto"/>
        <w:jc w:val="both"/>
        <w:outlineLvl w:val="1"/>
        <w:rPr>
          <w:rFonts w:eastAsia="Arial"/>
          <w:color w:val="000000"/>
        </w:rPr>
      </w:pPr>
      <w:r w:rsidRPr="00DE0057">
        <w:rPr>
          <w:rFonts w:eastAsia="Arial"/>
          <w:color w:val="000000"/>
        </w:rPr>
        <w:tab/>
      </w:r>
      <w:r w:rsidR="00736EF7">
        <w:rPr>
          <w:rFonts w:eastAsia="Arial"/>
          <w:color w:val="000000"/>
        </w:rPr>
        <w:tab/>
      </w:r>
      <w:r w:rsidRPr="00DE0057">
        <w:rPr>
          <w:rFonts w:eastAsia="Arial"/>
          <w:color w:val="000000"/>
        </w:rPr>
        <w:t xml:space="preserve">Pogrupių analizė parodė, kad taikant </w:t>
      </w:r>
      <w:proofErr w:type="spellStart"/>
      <w:r w:rsidRPr="00DE0057">
        <w:rPr>
          <w:rFonts w:eastAsia="Arial"/>
          <w:color w:val="000000"/>
        </w:rPr>
        <w:t>adjuvantinę</w:t>
      </w:r>
      <w:proofErr w:type="spellEnd"/>
      <w:r w:rsidRPr="00DE0057">
        <w:rPr>
          <w:rFonts w:eastAsia="Arial"/>
          <w:color w:val="000000"/>
        </w:rPr>
        <w:t xml:space="preserve"> terapiją </w:t>
      </w:r>
      <w:proofErr w:type="spellStart"/>
      <w:r w:rsidRPr="00DE0057">
        <w:rPr>
          <w:rFonts w:eastAsia="Arial"/>
          <w:color w:val="000000"/>
        </w:rPr>
        <w:t>abemaciklibu</w:t>
      </w:r>
      <w:proofErr w:type="spellEnd"/>
      <w:r w:rsidRPr="00DE0057">
        <w:rPr>
          <w:rFonts w:eastAsia="Arial"/>
          <w:color w:val="000000"/>
        </w:rPr>
        <w:t xml:space="preserve"> (+ET) IBIL reikšmingai ilgesnis, jei pacientai yra jaunesni (&lt; 65 metų amžiaus), KV diagnozė buvo nustatyta jau po menopauzės, prieš tai buvo taikoma </w:t>
      </w:r>
      <w:proofErr w:type="spellStart"/>
      <w:r w:rsidRPr="00DE0057">
        <w:rPr>
          <w:rFonts w:eastAsia="Arial"/>
          <w:color w:val="000000"/>
        </w:rPr>
        <w:t>neoadjuvantinė</w:t>
      </w:r>
      <w:proofErr w:type="spellEnd"/>
      <w:r w:rsidRPr="00DE0057">
        <w:rPr>
          <w:rFonts w:eastAsia="Arial"/>
          <w:color w:val="000000"/>
        </w:rPr>
        <w:t xml:space="preserve"> terapija bei pagal ECOG skalę jų fizinis statutas buvo &lt; 0. Galimai </w:t>
      </w:r>
      <w:proofErr w:type="spellStart"/>
      <w:r w:rsidRPr="00DE0057">
        <w:rPr>
          <w:rFonts w:eastAsia="Arial"/>
          <w:color w:val="000000"/>
        </w:rPr>
        <w:t>adjuvantinis</w:t>
      </w:r>
      <w:proofErr w:type="spellEnd"/>
      <w:r w:rsidRPr="00DE0057">
        <w:rPr>
          <w:rFonts w:eastAsia="Arial"/>
          <w:color w:val="000000"/>
        </w:rPr>
        <w:t xml:space="preserve"> gydymas </w:t>
      </w:r>
      <w:proofErr w:type="spellStart"/>
      <w:r w:rsidRPr="00DE0057">
        <w:rPr>
          <w:rFonts w:eastAsia="Arial"/>
          <w:color w:val="000000"/>
        </w:rPr>
        <w:t>abemaciklibu</w:t>
      </w:r>
      <w:proofErr w:type="spellEnd"/>
      <w:r w:rsidRPr="00DE0057">
        <w:rPr>
          <w:rFonts w:eastAsia="Arial"/>
          <w:color w:val="000000"/>
        </w:rPr>
        <w:t xml:space="preserve"> (+ET) prailgina IBIL, jei pirminis auglys buvo &lt;2 cm ir atitiko IIIC naviko stadijai diagnozės metu. Iš anksto numatytuose pogrupiuose pirminė tarpinė analizė taip pat patvirtino gydymo </w:t>
      </w:r>
      <w:proofErr w:type="spellStart"/>
      <w:r w:rsidRPr="00DE0057">
        <w:rPr>
          <w:rFonts w:eastAsia="Arial"/>
          <w:color w:val="000000"/>
        </w:rPr>
        <w:t>abemaciklibu</w:t>
      </w:r>
      <w:proofErr w:type="spellEnd"/>
      <w:r w:rsidRPr="00DE0057">
        <w:rPr>
          <w:rFonts w:eastAsia="Arial"/>
          <w:color w:val="000000"/>
        </w:rPr>
        <w:t xml:space="preserve"> (+ET) pranašumą įvertinus išgyvenamumą be tolimų metastazių (IBTM). Reikšmingai geresnis jis buvo jaunesniems pacientams, kai KV diagnozė buvo nustatyta jau po menopauzės bei jie buvo &lt; 65 metų amžiaus, pri</w:t>
      </w:r>
      <w:r w:rsidR="0091382C">
        <w:rPr>
          <w:rFonts w:eastAsia="Arial"/>
          <w:color w:val="000000"/>
        </w:rPr>
        <w:t xml:space="preserve">eš tai buvo taikoma </w:t>
      </w:r>
      <w:proofErr w:type="spellStart"/>
      <w:r w:rsidR="0091382C">
        <w:rPr>
          <w:rFonts w:eastAsia="Arial"/>
          <w:color w:val="000000"/>
        </w:rPr>
        <w:t>neoadjuvanti</w:t>
      </w:r>
      <w:r w:rsidRPr="00DE0057">
        <w:rPr>
          <w:rFonts w:eastAsia="Arial"/>
          <w:color w:val="000000"/>
        </w:rPr>
        <w:t>nė</w:t>
      </w:r>
      <w:proofErr w:type="spellEnd"/>
      <w:r w:rsidRPr="00DE0057">
        <w:rPr>
          <w:rFonts w:eastAsia="Arial"/>
          <w:color w:val="000000"/>
        </w:rPr>
        <w:t xml:space="preserve"> terapija bei pagal ECOG skalę jų fizinis statutas buvo įvertintas &lt; 1, progesterono receptorių testas teigimas. Taip pat pacientams </w:t>
      </w:r>
      <w:proofErr w:type="spellStart"/>
      <w:r w:rsidRPr="00DE0057">
        <w:rPr>
          <w:rFonts w:eastAsia="Arial"/>
          <w:color w:val="000000"/>
        </w:rPr>
        <w:t>adjuvantinis</w:t>
      </w:r>
      <w:proofErr w:type="spellEnd"/>
      <w:r w:rsidRPr="00DE0057">
        <w:rPr>
          <w:rFonts w:eastAsia="Arial"/>
          <w:color w:val="000000"/>
        </w:rPr>
        <w:t xml:space="preserve"> gydymas </w:t>
      </w:r>
      <w:proofErr w:type="spellStart"/>
      <w:r w:rsidRPr="00DE0057">
        <w:rPr>
          <w:rFonts w:eastAsia="Arial"/>
          <w:color w:val="000000"/>
        </w:rPr>
        <w:t>abemaciklibu</w:t>
      </w:r>
      <w:proofErr w:type="spellEnd"/>
      <w:r w:rsidRPr="00DE0057">
        <w:rPr>
          <w:rFonts w:eastAsia="Arial"/>
          <w:color w:val="000000"/>
        </w:rPr>
        <w:t xml:space="preserve"> (+ET) reikšmingai prailgina IBTM, palyginus tik ET, jei pirminis auglys buvo &lt;2 cm bei atitiko IIIC naviko stadijai diagnozės metu, o auglio laipsnis įvertintas kaip G2 (2 navikinių ląstelių diferenciacijos laipsnis).</w:t>
      </w:r>
    </w:p>
    <w:p w14:paraId="5640CDBB" w14:textId="7F36961A" w:rsidR="00DE0057" w:rsidRPr="00DE0057" w:rsidRDefault="00DE0057" w:rsidP="00DE0057">
      <w:pPr>
        <w:tabs>
          <w:tab w:val="left" w:pos="426"/>
        </w:tabs>
        <w:spacing w:line="276" w:lineRule="auto"/>
        <w:jc w:val="both"/>
        <w:rPr>
          <w:rFonts w:eastAsia="Arial"/>
          <w:color w:val="000000"/>
        </w:rPr>
      </w:pPr>
      <w:r w:rsidRPr="00DE0057">
        <w:rPr>
          <w:lang w:eastAsia="lt-LT"/>
        </w:rPr>
        <w:tab/>
      </w:r>
      <w:r w:rsidR="00736EF7">
        <w:rPr>
          <w:lang w:eastAsia="lt-LT"/>
        </w:rPr>
        <w:tab/>
      </w:r>
      <w:r w:rsidRPr="00DE0057">
        <w:rPr>
          <w:lang w:eastAsia="lt-LT"/>
        </w:rPr>
        <w:t xml:space="preserve">Pareiškėjas taip pat pateikė 3 metų stebėjimo duomenų analizę. </w:t>
      </w:r>
      <w:r w:rsidRPr="00DE0057">
        <w:rPr>
          <w:rFonts w:eastAsia="Arial"/>
          <w:color w:val="000000"/>
        </w:rPr>
        <w:t>Stebėjimo mediana ITT populiacijoje buvo 27,1 mėnesiai. IBIL RS= 0,</w:t>
      </w:r>
      <w:r w:rsidRPr="00DE0057">
        <w:rPr>
          <w:rFonts w:eastAsia="Arial"/>
          <w:color w:val="000000"/>
          <w:lang w:val="en-US"/>
        </w:rPr>
        <w:t xml:space="preserve">69 (95 proc. PI: 0,588-0,823; p&lt;0,001) </w:t>
      </w:r>
      <w:r w:rsidRPr="00DE0057">
        <w:rPr>
          <w:rFonts w:eastAsia="Arial"/>
          <w:color w:val="000000"/>
        </w:rPr>
        <w:t xml:space="preserve">dar sumažėjo </w:t>
      </w:r>
      <w:proofErr w:type="spellStart"/>
      <w:r w:rsidRPr="00DE0057">
        <w:rPr>
          <w:rFonts w:eastAsia="Arial"/>
          <w:color w:val="000000"/>
        </w:rPr>
        <w:t>abemaciklibo</w:t>
      </w:r>
      <w:proofErr w:type="spellEnd"/>
      <w:r w:rsidRPr="00DE0057">
        <w:rPr>
          <w:rFonts w:eastAsia="Arial"/>
          <w:color w:val="000000"/>
        </w:rPr>
        <w:t xml:space="preserve"> (+ET) naudai, palyginus su tik ET, t.</w:t>
      </w:r>
      <w:r w:rsidR="00736EF7">
        <w:rPr>
          <w:rFonts w:eastAsia="Arial"/>
          <w:color w:val="000000"/>
        </w:rPr>
        <w:t xml:space="preserve"> </w:t>
      </w:r>
      <w:r w:rsidRPr="00DE0057">
        <w:rPr>
          <w:rFonts w:eastAsia="Arial"/>
          <w:color w:val="000000"/>
        </w:rPr>
        <w:t xml:space="preserve">y. vietinių metastazių išsivystymo tikimybė gydant </w:t>
      </w:r>
      <w:proofErr w:type="spellStart"/>
      <w:r w:rsidRPr="00DE0057">
        <w:rPr>
          <w:rFonts w:eastAsia="Arial"/>
          <w:color w:val="000000"/>
        </w:rPr>
        <w:t>abemaciklibu</w:t>
      </w:r>
      <w:proofErr w:type="spellEnd"/>
      <w:r w:rsidRPr="00DE0057">
        <w:rPr>
          <w:rFonts w:eastAsia="Arial"/>
          <w:color w:val="000000"/>
        </w:rPr>
        <w:t xml:space="preserve"> (+ET) sumažėjo iki 30 proc. Tolimų metastazių išsivystymo tikimybė taip pat sumažėjo ir buvo 31 proc. mažesnė, palyginus su gydymu tik ET (RS</w:t>
      </w:r>
      <w:r w:rsidRPr="00DE0057">
        <w:rPr>
          <w:rFonts w:eastAsia="Arial"/>
          <w:color w:val="000000"/>
          <w:lang w:val="en-GB"/>
        </w:rPr>
        <w:t>=0,687; 95 proc. PI: 0,571-0,826; P&lt;0,0001)</w:t>
      </w:r>
      <w:r w:rsidRPr="00DE0057">
        <w:rPr>
          <w:rFonts w:eastAsia="Arial"/>
          <w:color w:val="000000"/>
        </w:rPr>
        <w:t xml:space="preserve">. </w:t>
      </w:r>
      <w:proofErr w:type="spellStart"/>
      <w:r w:rsidRPr="00DE0057">
        <w:rPr>
          <w:rFonts w:eastAsia="Arial"/>
          <w:color w:val="000000"/>
        </w:rPr>
        <w:t>Abemaciklibo</w:t>
      </w:r>
      <w:proofErr w:type="spellEnd"/>
      <w:r w:rsidRPr="00DE0057">
        <w:rPr>
          <w:rFonts w:eastAsia="Arial"/>
          <w:color w:val="000000"/>
        </w:rPr>
        <w:t xml:space="preserve"> (+ET) grupėje 88,8 proc. pacientų  išgyveno apie 3 metus be vietinių metastazių išsivystymo, palyginus su 83,4 proc. pacientų ET grupėje. Lyginant pacientų be tolimų metastazių dalis, </w:t>
      </w:r>
      <w:proofErr w:type="spellStart"/>
      <w:r w:rsidRPr="00DE0057">
        <w:rPr>
          <w:rFonts w:eastAsia="Arial"/>
          <w:color w:val="000000"/>
        </w:rPr>
        <w:t>abemaciklibo</w:t>
      </w:r>
      <w:proofErr w:type="spellEnd"/>
      <w:r w:rsidRPr="00DE0057">
        <w:rPr>
          <w:rFonts w:eastAsia="Arial"/>
          <w:color w:val="000000"/>
        </w:rPr>
        <w:t xml:space="preserve"> (+ET) grupėje buvo 91,6 proc. ir ET grupėje – 86,1 proc.</w:t>
      </w:r>
    </w:p>
    <w:p w14:paraId="0F216A29" w14:textId="3DDF3953" w:rsidR="00DE0057" w:rsidRPr="00DE0057" w:rsidRDefault="00DE0057" w:rsidP="00DE0057">
      <w:pPr>
        <w:tabs>
          <w:tab w:val="left" w:pos="426"/>
        </w:tabs>
        <w:spacing w:line="276" w:lineRule="auto"/>
        <w:jc w:val="both"/>
        <w:rPr>
          <w:szCs w:val="20"/>
        </w:rPr>
      </w:pPr>
      <w:r w:rsidRPr="00DE0057">
        <w:rPr>
          <w:lang w:eastAsia="lt-LT"/>
        </w:rPr>
        <w:tab/>
      </w:r>
      <w:r w:rsidR="00736EF7">
        <w:rPr>
          <w:lang w:eastAsia="lt-LT"/>
        </w:rPr>
        <w:tab/>
      </w:r>
      <w:r w:rsidRPr="00DE0057">
        <w:rPr>
          <w:szCs w:val="20"/>
        </w:rPr>
        <w:t xml:space="preserve">Saugumo analizės rezultatai parodė, kad taikant </w:t>
      </w:r>
      <w:proofErr w:type="spellStart"/>
      <w:r w:rsidRPr="00DE0057">
        <w:rPr>
          <w:szCs w:val="20"/>
        </w:rPr>
        <w:t>abemaciklibą</w:t>
      </w:r>
      <w:proofErr w:type="spellEnd"/>
      <w:r w:rsidRPr="00DE0057">
        <w:rPr>
          <w:szCs w:val="20"/>
        </w:rPr>
        <w:t xml:space="preserve"> (+ET) kaip </w:t>
      </w:r>
      <w:proofErr w:type="spellStart"/>
      <w:r w:rsidRPr="00DE0057">
        <w:rPr>
          <w:szCs w:val="20"/>
        </w:rPr>
        <w:t>adjuvantin</w:t>
      </w:r>
      <w:r w:rsidR="00736EF7">
        <w:rPr>
          <w:szCs w:val="20"/>
        </w:rPr>
        <w:t>ę</w:t>
      </w:r>
      <w:proofErr w:type="spellEnd"/>
      <w:r w:rsidRPr="00DE0057">
        <w:rPr>
          <w:szCs w:val="20"/>
        </w:rPr>
        <w:t xml:space="preserve"> terapiją, NR dažnis buvo panašus į NR dažnius užfiksuotus gydant pacientus, sergančius pažengusiu KV. Naujų netikėtų NR nebuvo užregistruota </w:t>
      </w:r>
      <w:r w:rsidR="0089310F">
        <w:rPr>
          <w:szCs w:val="20"/>
        </w:rPr>
        <w:t>„</w:t>
      </w:r>
      <w:proofErr w:type="spellStart"/>
      <w:r w:rsidRPr="00DE0057">
        <w:rPr>
          <w:i/>
          <w:szCs w:val="20"/>
        </w:rPr>
        <w:t>monarchE</w:t>
      </w:r>
      <w:proofErr w:type="spellEnd"/>
      <w:r w:rsidR="0089310F">
        <w:rPr>
          <w:i/>
          <w:szCs w:val="20"/>
        </w:rPr>
        <w:t>“</w:t>
      </w:r>
      <w:r w:rsidRPr="00DE0057">
        <w:rPr>
          <w:szCs w:val="20"/>
        </w:rPr>
        <w:t xml:space="preserve"> tyrimo metu ir stebėjimo laikotarpyje. </w:t>
      </w:r>
    </w:p>
    <w:p w14:paraId="0FF2579A" w14:textId="77777777" w:rsidR="00DE0057" w:rsidRPr="00DE0057" w:rsidRDefault="00DE0057" w:rsidP="00DE0057">
      <w:pPr>
        <w:tabs>
          <w:tab w:val="left" w:pos="426"/>
        </w:tabs>
        <w:spacing w:line="276" w:lineRule="auto"/>
        <w:jc w:val="both"/>
        <w:rPr>
          <w:rFonts w:eastAsia="Arial"/>
          <w:color w:val="000000"/>
        </w:rPr>
      </w:pPr>
      <w:r w:rsidRPr="00DE0057">
        <w:rPr>
          <w:rFonts w:eastAsia="Arial"/>
          <w:color w:val="000000"/>
        </w:rPr>
        <w:t xml:space="preserve">Papildomai pateikti klinikiniai duomenys detalaus vertinimo metu: </w:t>
      </w:r>
    </w:p>
    <w:p w14:paraId="5F1764F8" w14:textId="07AA8E0B" w:rsidR="00DE0057" w:rsidRPr="00DE0057" w:rsidRDefault="00736EF7" w:rsidP="00DE0057">
      <w:pPr>
        <w:tabs>
          <w:tab w:val="left" w:pos="426"/>
        </w:tabs>
        <w:spacing w:line="276" w:lineRule="auto"/>
        <w:jc w:val="both"/>
        <w:rPr>
          <w:rFonts w:cs="ScalaLancetPro"/>
          <w:color w:val="000000"/>
          <w:szCs w:val="18"/>
        </w:rPr>
      </w:pPr>
      <w:r>
        <w:rPr>
          <w:rFonts w:eastAsia="Arial"/>
          <w:i/>
          <w:color w:val="000000"/>
        </w:rPr>
        <w:tab/>
      </w:r>
      <w:r>
        <w:rPr>
          <w:rFonts w:eastAsia="Arial"/>
          <w:i/>
          <w:color w:val="000000"/>
        </w:rPr>
        <w:tab/>
      </w:r>
      <w:r w:rsidR="00DE0057" w:rsidRPr="00DE0057">
        <w:rPr>
          <w:rFonts w:eastAsia="Arial"/>
          <w:i/>
          <w:color w:val="000000"/>
        </w:rPr>
        <w:t xml:space="preserve">4 metų stebėjimo duomenų analizė buvo papildomai pateikta vertinimo metu. </w:t>
      </w:r>
      <w:r w:rsidR="00DE0057" w:rsidRPr="00DE0057">
        <w:rPr>
          <w:rFonts w:eastAsia="Arial"/>
          <w:color w:val="000000"/>
        </w:rPr>
        <w:t>I</w:t>
      </w:r>
      <w:r w:rsidR="00DE0057" w:rsidRPr="00DE0057">
        <w:rPr>
          <w:rFonts w:cs="ScalaLancetPro"/>
          <w:color w:val="000000"/>
          <w:szCs w:val="18"/>
        </w:rPr>
        <w:t xml:space="preserve">š anksto numatyta BI tarpinė analizė buvo atlikta, kai vidutinė stebėjimo mediana pasiekė  42 mėnesių. IBIL ir IBTM kreivės palyginamosiose grupėse dar labiau išsiskyrė, patvirtinant reikšmingą gydymų efektyvumo skirtumą tarp palyginamųjų tyrimo gydymų: 2 metų  IBIL absoliutus skirtumas buvo 2,8 proc., 3 metų – 4,8 proc. ir 4 metų – 6,4 proc. ir atitinkamai RS reikšmės patvirtino statistiškai reikšmingą pranašumą </w:t>
      </w:r>
      <w:proofErr w:type="spellStart"/>
      <w:r w:rsidR="00DE0057" w:rsidRPr="00DE0057">
        <w:rPr>
          <w:rFonts w:cs="ScalaLancetPro"/>
          <w:color w:val="000000"/>
          <w:szCs w:val="18"/>
        </w:rPr>
        <w:t>abemaciklibo</w:t>
      </w:r>
      <w:proofErr w:type="spellEnd"/>
      <w:r w:rsidR="00DE0057" w:rsidRPr="00DE0057">
        <w:rPr>
          <w:rFonts w:cs="ScalaLancetPro"/>
          <w:color w:val="000000"/>
          <w:szCs w:val="18"/>
        </w:rPr>
        <w:t xml:space="preserve"> (+ET) gydymą prieš tik ET. </w:t>
      </w:r>
    </w:p>
    <w:p w14:paraId="1F895683" w14:textId="5E03D71B" w:rsidR="00DE0057" w:rsidRPr="00DE0057" w:rsidRDefault="00736EF7" w:rsidP="00DE0057">
      <w:pPr>
        <w:tabs>
          <w:tab w:val="left" w:pos="426"/>
        </w:tabs>
        <w:spacing w:line="276" w:lineRule="auto"/>
        <w:jc w:val="both"/>
        <w:rPr>
          <w:szCs w:val="20"/>
        </w:rPr>
      </w:pPr>
      <w:r>
        <w:rPr>
          <w:rFonts w:cs="ScalaLancetPro"/>
          <w:i/>
          <w:color w:val="000000"/>
          <w:szCs w:val="18"/>
        </w:rPr>
        <w:tab/>
      </w:r>
      <w:r>
        <w:rPr>
          <w:rFonts w:cs="ScalaLancetPro"/>
          <w:i/>
          <w:color w:val="000000"/>
          <w:szCs w:val="18"/>
        </w:rPr>
        <w:tab/>
      </w:r>
      <w:r w:rsidR="00DE0057" w:rsidRPr="00DE0057">
        <w:rPr>
          <w:rFonts w:cs="ScalaLancetPro"/>
          <w:i/>
          <w:color w:val="000000"/>
          <w:szCs w:val="18"/>
        </w:rPr>
        <w:t>5 metų</w:t>
      </w:r>
      <w:r w:rsidR="00DE0057" w:rsidRPr="00DE0057">
        <w:rPr>
          <w:rFonts w:cs="ScalaLancetPro"/>
          <w:color w:val="000000"/>
          <w:szCs w:val="18"/>
        </w:rPr>
        <w:t xml:space="preserve"> </w:t>
      </w:r>
      <w:r w:rsidR="00DE0057" w:rsidRPr="00DE0057">
        <w:rPr>
          <w:rFonts w:eastAsia="Arial"/>
          <w:i/>
          <w:color w:val="000000"/>
        </w:rPr>
        <w:t xml:space="preserve">stebėjimo duomenų analizė buvo papildomai pateikta vertinimo metu. </w:t>
      </w:r>
      <w:r w:rsidR="00DE0057" w:rsidRPr="00DE0057">
        <w:rPr>
          <w:szCs w:val="20"/>
        </w:rPr>
        <w:t xml:space="preserve">Atlikta analizė bendroje pacientų populiacijoje rodo, kad po 5 stebėjimo metų IBIL yra reikšmingai ilgesnis, kai pacientai buvo gydomi </w:t>
      </w:r>
      <w:proofErr w:type="spellStart"/>
      <w:r w:rsidR="00DE0057" w:rsidRPr="00DE0057">
        <w:rPr>
          <w:szCs w:val="20"/>
        </w:rPr>
        <w:t>abemaciklibu</w:t>
      </w:r>
      <w:proofErr w:type="spellEnd"/>
      <w:r w:rsidR="00DE0057" w:rsidRPr="00DE0057">
        <w:rPr>
          <w:szCs w:val="20"/>
        </w:rPr>
        <w:t xml:space="preserve"> kartu su ET, palyginus su tik gydymu ET: invazinės ligos atsiradimo rizika 32 proc. buvo mažesnė  (RS=0,68; 95 proc. PI: 0,599-0,772). Išgyvenamumas be </w:t>
      </w:r>
      <w:r w:rsidR="00DE0057" w:rsidRPr="00DE0057">
        <w:rPr>
          <w:szCs w:val="20"/>
        </w:rPr>
        <w:lastRenderedPageBreak/>
        <w:t xml:space="preserve">tolimų metastazių taip pat buvo ilgesnis </w:t>
      </w:r>
      <w:proofErr w:type="spellStart"/>
      <w:r w:rsidR="00DE0057" w:rsidRPr="00DE0057">
        <w:rPr>
          <w:szCs w:val="20"/>
        </w:rPr>
        <w:t>abemaciklibo+ET</w:t>
      </w:r>
      <w:proofErr w:type="spellEnd"/>
      <w:r w:rsidR="00DE0057" w:rsidRPr="00DE0057">
        <w:rPr>
          <w:szCs w:val="20"/>
        </w:rPr>
        <w:t xml:space="preserve"> pacientų grupėje, nei ET grupėje: tolimų metastazių atsiradimo rizika taip pat buvo 32 proc. mažesnė (RS=0,675; 95 proc. PI: 0,588-0,774). Naujų nepageidaujamų reiškinių, susiję su </w:t>
      </w:r>
      <w:proofErr w:type="spellStart"/>
      <w:r w:rsidR="00DE0057" w:rsidRPr="00DE0057">
        <w:rPr>
          <w:szCs w:val="20"/>
        </w:rPr>
        <w:t>abemaciklibo</w:t>
      </w:r>
      <w:proofErr w:type="spellEnd"/>
      <w:r w:rsidR="00DE0057" w:rsidRPr="00DE0057">
        <w:rPr>
          <w:szCs w:val="20"/>
        </w:rPr>
        <w:t xml:space="preserve"> vartojimu stebėjimo laikotarpyje nebuvo užfiksuota. Vertinant BI duomenys, jie buvo vis dar nebrandūs. RS buvo 0,903 (p</w:t>
      </w:r>
      <w:r w:rsidR="00DE0057" w:rsidRPr="00DE0057">
        <w:rPr>
          <w:szCs w:val="20"/>
          <w:lang w:val="en-GB"/>
        </w:rPr>
        <w:t>=</w:t>
      </w:r>
      <w:r w:rsidR="00DE0057" w:rsidRPr="00DE0057">
        <w:rPr>
          <w:szCs w:val="20"/>
        </w:rPr>
        <w:t xml:space="preserve">0,284) remiantis mirties atvejų skaičiumi: </w:t>
      </w:r>
      <w:proofErr w:type="spellStart"/>
      <w:r w:rsidR="00DE0057" w:rsidRPr="00DE0057">
        <w:rPr>
          <w:szCs w:val="20"/>
        </w:rPr>
        <w:t>abemaciklibo+ET</w:t>
      </w:r>
      <w:proofErr w:type="spellEnd"/>
      <w:r w:rsidR="00DE0057" w:rsidRPr="00DE0057">
        <w:rPr>
          <w:szCs w:val="20"/>
        </w:rPr>
        <w:t xml:space="preserve"> grupėje – 208 bei ET grupėje – 234.</w:t>
      </w:r>
    </w:p>
    <w:p w14:paraId="72C89FF3" w14:textId="583240F2" w:rsidR="00DE0057" w:rsidRPr="00DE0057" w:rsidRDefault="00736EF7" w:rsidP="00DE0057">
      <w:pPr>
        <w:tabs>
          <w:tab w:val="left" w:pos="426"/>
        </w:tabs>
        <w:spacing w:line="276" w:lineRule="auto"/>
        <w:jc w:val="both"/>
        <w:rPr>
          <w:rFonts w:cs="ScalaLancetPro"/>
          <w:color w:val="000000"/>
          <w:szCs w:val="18"/>
        </w:rPr>
      </w:pPr>
      <w:r>
        <w:rPr>
          <w:i/>
          <w:szCs w:val="20"/>
        </w:rPr>
        <w:tab/>
      </w:r>
      <w:r>
        <w:rPr>
          <w:i/>
          <w:szCs w:val="20"/>
        </w:rPr>
        <w:tab/>
      </w:r>
      <w:r w:rsidR="00DE0057" w:rsidRPr="00DE0057">
        <w:rPr>
          <w:i/>
          <w:szCs w:val="20"/>
        </w:rPr>
        <w:t>Pacientų praneštos baigtys.</w:t>
      </w:r>
      <w:r w:rsidR="00DE0057" w:rsidRPr="00DE0057">
        <w:rPr>
          <w:szCs w:val="20"/>
        </w:rPr>
        <w:t xml:space="preserve"> Papildomai pateikta pacientų praneštų baigčių analizė parodė, kad fizinė, socialinė, emocinė ir funkcinė savijauta skiriant </w:t>
      </w:r>
      <w:proofErr w:type="spellStart"/>
      <w:r w:rsidR="00DE0057" w:rsidRPr="00DE0057">
        <w:rPr>
          <w:szCs w:val="20"/>
        </w:rPr>
        <w:t>abemaciklibą</w:t>
      </w:r>
      <w:proofErr w:type="spellEnd"/>
      <w:r w:rsidR="00DE0057" w:rsidRPr="00DE0057">
        <w:rPr>
          <w:szCs w:val="20"/>
        </w:rPr>
        <w:t xml:space="preserve"> kartu su ET </w:t>
      </w:r>
      <w:proofErr w:type="spellStart"/>
      <w:r w:rsidR="00DE0057" w:rsidRPr="00DE0057">
        <w:rPr>
          <w:szCs w:val="20"/>
        </w:rPr>
        <w:t>adjuvantiniam</w:t>
      </w:r>
      <w:proofErr w:type="spellEnd"/>
      <w:r w:rsidR="00DE0057" w:rsidRPr="00DE0057">
        <w:rPr>
          <w:szCs w:val="20"/>
        </w:rPr>
        <w:t xml:space="preserve"> gydymui nepagerino sveikatos būklės palyginus su ET, tačiau taip pat nepablogino. Pažymėtina, kad pacientai, vartodami </w:t>
      </w:r>
      <w:proofErr w:type="spellStart"/>
      <w:r w:rsidR="00DE0057" w:rsidRPr="00DE0057">
        <w:rPr>
          <w:szCs w:val="20"/>
        </w:rPr>
        <w:t>abemaciklibą</w:t>
      </w:r>
      <w:proofErr w:type="spellEnd"/>
      <w:r w:rsidR="00DE0057" w:rsidRPr="00DE0057">
        <w:rPr>
          <w:szCs w:val="20"/>
        </w:rPr>
        <w:t xml:space="preserve">, gydymo metu dažniau patyrė </w:t>
      </w:r>
      <w:proofErr w:type="spellStart"/>
      <w:r w:rsidR="00DE0057" w:rsidRPr="00DE0057">
        <w:rPr>
          <w:szCs w:val="20"/>
        </w:rPr>
        <w:t>diarėją</w:t>
      </w:r>
      <w:proofErr w:type="spellEnd"/>
      <w:r w:rsidR="00DE0057" w:rsidRPr="00DE0057">
        <w:rPr>
          <w:szCs w:val="20"/>
        </w:rPr>
        <w:t xml:space="preserve">, kurio dažnis mažėjo </w:t>
      </w:r>
      <w:r w:rsidR="00654FCA" w:rsidRPr="00DE0057">
        <w:rPr>
          <w:szCs w:val="20"/>
        </w:rPr>
        <w:t xml:space="preserve">arba </w:t>
      </w:r>
      <w:proofErr w:type="spellStart"/>
      <w:r w:rsidR="00654FCA" w:rsidRPr="00DE0057">
        <w:rPr>
          <w:szCs w:val="20"/>
        </w:rPr>
        <w:t>diar</w:t>
      </w:r>
      <w:r>
        <w:rPr>
          <w:szCs w:val="20"/>
        </w:rPr>
        <w:t>ė</w:t>
      </w:r>
      <w:r w:rsidR="00654FCA" w:rsidRPr="00DE0057">
        <w:rPr>
          <w:szCs w:val="20"/>
        </w:rPr>
        <w:t>ja</w:t>
      </w:r>
      <w:proofErr w:type="spellEnd"/>
      <w:r w:rsidR="00654FCA" w:rsidRPr="00DE0057">
        <w:rPr>
          <w:szCs w:val="20"/>
        </w:rPr>
        <w:t xml:space="preserve"> visiškai išnyko </w:t>
      </w:r>
      <w:r w:rsidR="00AF02ED" w:rsidRPr="00DE0057">
        <w:rPr>
          <w:szCs w:val="20"/>
        </w:rPr>
        <w:t xml:space="preserve">nutraukus gydymą </w:t>
      </w:r>
      <w:proofErr w:type="spellStart"/>
      <w:r w:rsidR="00AF02ED" w:rsidRPr="00DE0057">
        <w:rPr>
          <w:szCs w:val="20"/>
        </w:rPr>
        <w:t>abemceklibu</w:t>
      </w:r>
      <w:proofErr w:type="spellEnd"/>
      <w:r w:rsidR="00DE0057" w:rsidRPr="00DE0057">
        <w:rPr>
          <w:szCs w:val="20"/>
        </w:rPr>
        <w:t>.</w:t>
      </w:r>
    </w:p>
    <w:p w14:paraId="15AD2E9B" w14:textId="342223F9" w:rsidR="00DE0057" w:rsidRPr="00DE0057" w:rsidRDefault="00DE0057" w:rsidP="00DE0057">
      <w:pPr>
        <w:tabs>
          <w:tab w:val="left" w:pos="426"/>
        </w:tabs>
        <w:spacing w:line="276" w:lineRule="auto"/>
        <w:jc w:val="both"/>
        <w:rPr>
          <w:szCs w:val="20"/>
        </w:rPr>
      </w:pPr>
      <w:r w:rsidRPr="00DE0057">
        <w:rPr>
          <w:lang w:eastAsia="lt-LT"/>
        </w:rPr>
        <w:tab/>
      </w:r>
      <w:r w:rsidR="00736EF7">
        <w:rPr>
          <w:lang w:eastAsia="lt-LT"/>
        </w:rPr>
        <w:tab/>
      </w:r>
      <w:r w:rsidRPr="00DE0057">
        <w:rPr>
          <w:szCs w:val="20"/>
        </w:rPr>
        <w:t xml:space="preserve">Saugumo analizės rezultatai parodė, kad taikant </w:t>
      </w:r>
      <w:proofErr w:type="spellStart"/>
      <w:r w:rsidRPr="00DE0057">
        <w:rPr>
          <w:szCs w:val="20"/>
        </w:rPr>
        <w:t>abemaciklibą</w:t>
      </w:r>
      <w:proofErr w:type="spellEnd"/>
      <w:r w:rsidRPr="00DE0057">
        <w:rPr>
          <w:szCs w:val="20"/>
        </w:rPr>
        <w:t xml:space="preserve"> (+ET) kaip </w:t>
      </w:r>
      <w:proofErr w:type="spellStart"/>
      <w:r w:rsidRPr="00DE0057">
        <w:rPr>
          <w:szCs w:val="20"/>
        </w:rPr>
        <w:t>adjuvantin</w:t>
      </w:r>
      <w:r w:rsidR="00736EF7">
        <w:rPr>
          <w:szCs w:val="20"/>
        </w:rPr>
        <w:t>ę</w:t>
      </w:r>
      <w:proofErr w:type="spellEnd"/>
      <w:r w:rsidRPr="00DE0057">
        <w:rPr>
          <w:szCs w:val="20"/>
        </w:rPr>
        <w:t xml:space="preserve"> terapiją, NR dažnis buvo panašus į NR dažnius užfiksuotus gydant pacientus, sergančius pažengusiu KV. Naujų netikėtų NR nebuvo užregistruota </w:t>
      </w:r>
      <w:r w:rsidR="0089310F">
        <w:rPr>
          <w:szCs w:val="20"/>
        </w:rPr>
        <w:t>„</w:t>
      </w:r>
      <w:proofErr w:type="spellStart"/>
      <w:r w:rsidRPr="00DE0057">
        <w:rPr>
          <w:i/>
          <w:szCs w:val="20"/>
        </w:rPr>
        <w:t>monarchE</w:t>
      </w:r>
      <w:proofErr w:type="spellEnd"/>
      <w:r w:rsidR="0089310F">
        <w:rPr>
          <w:i/>
          <w:szCs w:val="20"/>
        </w:rPr>
        <w:t>“</w:t>
      </w:r>
      <w:r w:rsidRPr="00DE0057">
        <w:rPr>
          <w:szCs w:val="20"/>
        </w:rPr>
        <w:t xml:space="preserve"> tyrimo metu ir stebėjimo laikotarpyje. </w:t>
      </w:r>
    </w:p>
    <w:p w14:paraId="2FE1B791" w14:textId="34AA2ECF" w:rsidR="00DE0057" w:rsidRPr="00DE0057" w:rsidRDefault="00DE0057" w:rsidP="00DE0057">
      <w:pPr>
        <w:tabs>
          <w:tab w:val="left" w:pos="426"/>
        </w:tabs>
        <w:spacing w:line="276" w:lineRule="auto"/>
        <w:jc w:val="both"/>
        <w:rPr>
          <w:lang w:eastAsia="lt-LT"/>
        </w:rPr>
      </w:pPr>
      <w:r w:rsidRPr="00DE0057">
        <w:rPr>
          <w:szCs w:val="20"/>
        </w:rPr>
        <w:tab/>
      </w:r>
      <w:r w:rsidR="00736EF7">
        <w:rPr>
          <w:szCs w:val="20"/>
        </w:rPr>
        <w:tab/>
      </w:r>
      <w:r w:rsidRPr="00DE0057">
        <w:rPr>
          <w:lang w:eastAsia="lt-LT"/>
        </w:rPr>
        <w:t xml:space="preserve">Klinikinio </w:t>
      </w:r>
      <w:r w:rsidR="0089310F">
        <w:rPr>
          <w:lang w:eastAsia="lt-LT"/>
        </w:rPr>
        <w:t>„</w:t>
      </w:r>
      <w:proofErr w:type="spellStart"/>
      <w:r w:rsidRPr="00DE0057">
        <w:rPr>
          <w:i/>
          <w:lang w:eastAsia="lt-LT"/>
        </w:rPr>
        <w:t>monarch</w:t>
      </w:r>
      <w:r w:rsidR="0089310F">
        <w:rPr>
          <w:i/>
          <w:lang w:eastAsia="lt-LT"/>
        </w:rPr>
        <w:t>“</w:t>
      </w:r>
      <w:r w:rsidRPr="00DE0057">
        <w:rPr>
          <w:i/>
          <w:lang w:eastAsia="lt-LT"/>
        </w:rPr>
        <w:t>E</w:t>
      </w:r>
      <w:proofErr w:type="spellEnd"/>
      <w:r w:rsidRPr="00DE0057">
        <w:rPr>
          <w:lang w:eastAsia="lt-LT"/>
        </w:rPr>
        <w:t xml:space="preserve"> tyrimo rezultatai parodė, kad </w:t>
      </w:r>
      <w:proofErr w:type="spellStart"/>
      <w:r w:rsidRPr="00DE0057">
        <w:rPr>
          <w:lang w:eastAsia="lt-LT"/>
        </w:rPr>
        <w:t>adjuvantinis</w:t>
      </w:r>
      <w:proofErr w:type="spellEnd"/>
      <w:r w:rsidRPr="00DE0057">
        <w:rPr>
          <w:lang w:eastAsia="lt-LT"/>
        </w:rPr>
        <w:t xml:space="preserve"> gydymas </w:t>
      </w:r>
      <w:proofErr w:type="spellStart"/>
      <w:r w:rsidRPr="00DE0057">
        <w:rPr>
          <w:lang w:eastAsia="lt-LT"/>
        </w:rPr>
        <w:t>abemaciklibu</w:t>
      </w:r>
      <w:proofErr w:type="spellEnd"/>
      <w:r w:rsidRPr="00DE0057">
        <w:rPr>
          <w:lang w:eastAsia="lt-LT"/>
        </w:rPr>
        <w:t xml:space="preserve"> (+ endokrininė terapija, ET) reikšmingai pagerina išgyvenamumą be invazinės ligos bei suteikė kliniškai reikšmingą pranašumą atitolinant tolimų metastazių vystymąsi  pacientams, kuriems yra diagnozuotas ankstyvos stadijos krūties vėžys, kai nustatomi hormonų receptoriai (HR) ir nenustatomi 2 tipo žmogaus epidermio augimo faktoriaus receptoriai (</w:t>
      </w:r>
      <w:r w:rsidRPr="00DE0057">
        <w:rPr>
          <w:i/>
          <w:lang w:eastAsia="lt-LT"/>
        </w:rPr>
        <w:t xml:space="preserve">angl. </w:t>
      </w:r>
      <w:proofErr w:type="spellStart"/>
      <w:r w:rsidRPr="00DE0057">
        <w:rPr>
          <w:i/>
          <w:lang w:eastAsia="lt-LT"/>
        </w:rPr>
        <w:t>human</w:t>
      </w:r>
      <w:proofErr w:type="spellEnd"/>
      <w:r w:rsidRPr="00DE0057">
        <w:rPr>
          <w:i/>
          <w:lang w:eastAsia="lt-LT"/>
        </w:rPr>
        <w:t xml:space="preserve"> </w:t>
      </w:r>
      <w:proofErr w:type="spellStart"/>
      <w:r w:rsidRPr="00DE0057">
        <w:rPr>
          <w:i/>
          <w:lang w:eastAsia="lt-LT"/>
        </w:rPr>
        <w:t>epidermal</w:t>
      </w:r>
      <w:proofErr w:type="spellEnd"/>
      <w:r w:rsidRPr="00DE0057">
        <w:rPr>
          <w:i/>
          <w:lang w:eastAsia="lt-LT"/>
        </w:rPr>
        <w:t xml:space="preserve"> </w:t>
      </w:r>
      <w:proofErr w:type="spellStart"/>
      <w:r w:rsidRPr="00DE0057">
        <w:rPr>
          <w:i/>
          <w:lang w:eastAsia="lt-LT"/>
        </w:rPr>
        <w:t>growth</w:t>
      </w:r>
      <w:proofErr w:type="spellEnd"/>
      <w:r w:rsidRPr="00DE0057">
        <w:rPr>
          <w:i/>
          <w:lang w:eastAsia="lt-LT"/>
        </w:rPr>
        <w:t xml:space="preserve"> </w:t>
      </w:r>
      <w:proofErr w:type="spellStart"/>
      <w:r w:rsidRPr="00DE0057">
        <w:rPr>
          <w:i/>
          <w:lang w:eastAsia="lt-LT"/>
        </w:rPr>
        <w:t>factor</w:t>
      </w:r>
      <w:proofErr w:type="spellEnd"/>
      <w:r w:rsidRPr="00DE0057">
        <w:rPr>
          <w:i/>
          <w:lang w:eastAsia="lt-LT"/>
        </w:rPr>
        <w:t xml:space="preserve"> </w:t>
      </w:r>
      <w:proofErr w:type="spellStart"/>
      <w:r w:rsidRPr="00DE0057">
        <w:rPr>
          <w:i/>
          <w:lang w:eastAsia="lt-LT"/>
        </w:rPr>
        <w:t>receptor</w:t>
      </w:r>
      <w:proofErr w:type="spellEnd"/>
      <w:r w:rsidRPr="00DE0057">
        <w:rPr>
          <w:i/>
          <w:lang w:eastAsia="lt-LT"/>
        </w:rPr>
        <w:t xml:space="preserve"> 2, HER2</w:t>
      </w:r>
      <w:r w:rsidRPr="00DE0057">
        <w:rPr>
          <w:lang w:eastAsia="lt-LT"/>
        </w:rPr>
        <w:t xml:space="preserve">), su metastazėmis limfmazgiuose ir didele ligos atsinaujinimo rizika. Šio gydymo pranašumas atsiranda didėjant stebėjimo laikotarpiu ir tęsiant gydymą ET. </w:t>
      </w:r>
    </w:p>
    <w:p w14:paraId="014C058E" w14:textId="475100DE" w:rsidR="00DE0057" w:rsidRPr="00DE0057" w:rsidRDefault="00DE0057" w:rsidP="00DE0057">
      <w:pPr>
        <w:tabs>
          <w:tab w:val="left" w:pos="426"/>
        </w:tabs>
        <w:spacing w:line="276" w:lineRule="auto"/>
        <w:jc w:val="both"/>
        <w:rPr>
          <w:lang w:eastAsia="lt-LT"/>
        </w:rPr>
      </w:pPr>
      <w:r w:rsidRPr="00DE0057">
        <w:rPr>
          <w:lang w:eastAsia="lt-LT"/>
        </w:rPr>
        <w:tab/>
      </w:r>
      <w:r w:rsidR="00736EF7">
        <w:rPr>
          <w:lang w:eastAsia="lt-LT"/>
        </w:rPr>
        <w:tab/>
      </w:r>
      <w:r w:rsidRPr="00DE0057">
        <w:rPr>
          <w:lang w:eastAsia="lt-LT"/>
        </w:rPr>
        <w:t xml:space="preserve">Apibendrinant, </w:t>
      </w:r>
      <w:proofErr w:type="spellStart"/>
      <w:r w:rsidRPr="00DE0057">
        <w:rPr>
          <w:lang w:eastAsia="lt-LT"/>
        </w:rPr>
        <w:t>abemaciklibo</w:t>
      </w:r>
      <w:proofErr w:type="spellEnd"/>
      <w:r w:rsidRPr="00DE0057">
        <w:rPr>
          <w:lang w:eastAsia="lt-LT"/>
        </w:rPr>
        <w:t xml:space="preserve"> derinys su ET tikėtina mažina ligos atsinaujinimo (t.</w:t>
      </w:r>
      <w:r w:rsidR="00736EF7">
        <w:rPr>
          <w:lang w:eastAsia="lt-LT"/>
        </w:rPr>
        <w:t xml:space="preserve"> </w:t>
      </w:r>
      <w:r w:rsidRPr="00DE0057">
        <w:rPr>
          <w:lang w:eastAsia="lt-LT"/>
        </w:rPr>
        <w:t xml:space="preserve">y. vietinių ir tolimų metastazių) riziką sergant ankstyvu KV, kai taikomas kaip </w:t>
      </w:r>
      <w:proofErr w:type="spellStart"/>
      <w:r w:rsidRPr="00DE0057">
        <w:rPr>
          <w:lang w:eastAsia="lt-LT"/>
        </w:rPr>
        <w:t>adjuvantinis</w:t>
      </w:r>
      <w:proofErr w:type="spellEnd"/>
      <w:r w:rsidRPr="00DE0057">
        <w:rPr>
          <w:lang w:eastAsia="lt-LT"/>
        </w:rPr>
        <w:t xml:space="preserve"> gydymas, tačiau neaišku, ar ilgėja bendras išgyvenamumas atitolinant ligos progresiją. Bendro išgyvenamumo duomen</w:t>
      </w:r>
      <w:r w:rsidR="00EC6879">
        <w:rPr>
          <w:lang w:eastAsia="lt-LT"/>
        </w:rPr>
        <w:t>ys</w:t>
      </w:r>
      <w:r w:rsidRPr="00DE0057">
        <w:rPr>
          <w:lang w:eastAsia="lt-LT"/>
        </w:rPr>
        <w:t xml:space="preserve"> šiuo metu neįvertinti dėl trumpo </w:t>
      </w:r>
      <w:r w:rsidR="00E312D5">
        <w:rPr>
          <w:lang w:eastAsia="lt-LT"/>
        </w:rPr>
        <w:t>(</w:t>
      </w:r>
      <w:r w:rsidR="00E312D5" w:rsidRPr="00DE0057">
        <w:rPr>
          <w:lang w:eastAsia="lt-LT"/>
        </w:rPr>
        <w:t>5 met</w:t>
      </w:r>
      <w:r w:rsidR="00E312D5">
        <w:rPr>
          <w:lang w:eastAsia="lt-LT"/>
        </w:rPr>
        <w:t>ų)</w:t>
      </w:r>
      <w:r w:rsidR="00E312D5" w:rsidRPr="00DE0057">
        <w:rPr>
          <w:lang w:eastAsia="lt-LT"/>
        </w:rPr>
        <w:t xml:space="preserve"> </w:t>
      </w:r>
      <w:r w:rsidRPr="00DE0057">
        <w:rPr>
          <w:lang w:eastAsia="lt-LT"/>
        </w:rPr>
        <w:t>stebėjimo laikotarpio.</w:t>
      </w:r>
    </w:p>
    <w:p w14:paraId="11B3D30D" w14:textId="77777777" w:rsidR="00FF61E2" w:rsidRPr="00E33EFF" w:rsidRDefault="00FF61E2"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Pr="00E312D5" w:rsidRDefault="00C62B36" w:rsidP="00A93AA6">
      <w:pPr>
        <w:tabs>
          <w:tab w:val="left" w:pos="426"/>
        </w:tabs>
        <w:rPr>
          <w:i/>
          <w:sz w:val="22"/>
          <w:szCs w:val="22"/>
        </w:rPr>
      </w:pPr>
    </w:p>
    <w:p w14:paraId="12AE2733" w14:textId="5AEB8FF0" w:rsidR="0048716D" w:rsidRDefault="0048716D" w:rsidP="00736EF7">
      <w:pPr>
        <w:tabs>
          <w:tab w:val="left" w:pos="426"/>
        </w:tabs>
        <w:spacing w:line="276" w:lineRule="auto"/>
        <w:rPr>
          <w:iCs/>
        </w:rPr>
      </w:pPr>
      <w:r>
        <w:rPr>
          <w:iCs/>
        </w:rPr>
        <w:tab/>
      </w:r>
      <w:r w:rsidR="00736EF7">
        <w:rPr>
          <w:iCs/>
        </w:rPr>
        <w:tab/>
      </w:r>
      <w:r>
        <w:rPr>
          <w:iCs/>
        </w:rPr>
        <w:t xml:space="preserve">Pareiškėjas pateikė kaštų naudingumo analizę, kurioje </w:t>
      </w:r>
      <w:proofErr w:type="spellStart"/>
      <w:r>
        <w:rPr>
          <w:iCs/>
        </w:rPr>
        <w:t>abemaciklibo</w:t>
      </w:r>
      <w:proofErr w:type="spellEnd"/>
      <w:r>
        <w:rPr>
          <w:iCs/>
        </w:rPr>
        <w:t xml:space="preserve"> derinio su ET kaštų naudingumas buvo lyginamas su ET kaštų naudingumu. </w:t>
      </w:r>
    </w:p>
    <w:p w14:paraId="4D088F09" w14:textId="19FDD1F7" w:rsidR="0048716D" w:rsidRDefault="0048716D" w:rsidP="00736EF7">
      <w:pPr>
        <w:tabs>
          <w:tab w:val="left" w:pos="426"/>
        </w:tabs>
        <w:spacing w:line="276" w:lineRule="auto"/>
      </w:pPr>
      <w:r>
        <w:rPr>
          <w:iCs/>
          <w:lang w:eastAsia="lt-LT"/>
        </w:rPr>
        <w:tab/>
      </w:r>
      <w:r w:rsidR="00736EF7">
        <w:rPr>
          <w:iCs/>
          <w:lang w:eastAsia="lt-LT"/>
        </w:rPr>
        <w:tab/>
      </w:r>
      <w:r w:rsidRPr="00FD417C">
        <w:rPr>
          <w:iCs/>
          <w:lang w:eastAsia="lt-LT"/>
        </w:rPr>
        <w:t xml:space="preserve">Pacientų populiacija ekonominėje analizėje apima </w:t>
      </w:r>
      <w:r w:rsidRPr="00FD417C">
        <w:t>suaugusi</w:t>
      </w:r>
      <w:r>
        <w:t>us</w:t>
      </w:r>
      <w:r w:rsidRPr="00FD417C">
        <w:t xml:space="preserve"> pacient</w:t>
      </w:r>
      <w:r>
        <w:t>us</w:t>
      </w:r>
      <w:r w:rsidRPr="00FD417C">
        <w:t xml:space="preserve">, kuriems yra diagnozuotas ankstyvos stadijos krūties vėžys, kai nustatomi hormonų receptoriai (HR) ir nenustatomi 2 tipo žmogaus epidermio augimo faktoriaus receptoriai (angl. </w:t>
      </w:r>
      <w:proofErr w:type="spellStart"/>
      <w:r w:rsidRPr="00FD417C">
        <w:rPr>
          <w:i/>
          <w:iCs/>
        </w:rPr>
        <w:t>human</w:t>
      </w:r>
      <w:proofErr w:type="spellEnd"/>
      <w:r w:rsidRPr="00FD417C">
        <w:rPr>
          <w:i/>
          <w:iCs/>
        </w:rPr>
        <w:t xml:space="preserve"> </w:t>
      </w:r>
      <w:proofErr w:type="spellStart"/>
      <w:r w:rsidRPr="00FD417C">
        <w:rPr>
          <w:i/>
          <w:iCs/>
        </w:rPr>
        <w:t>epidermal</w:t>
      </w:r>
      <w:proofErr w:type="spellEnd"/>
      <w:r w:rsidRPr="00FD417C">
        <w:rPr>
          <w:i/>
          <w:iCs/>
        </w:rPr>
        <w:t xml:space="preserve"> </w:t>
      </w:r>
      <w:proofErr w:type="spellStart"/>
      <w:r w:rsidRPr="00FD417C">
        <w:rPr>
          <w:i/>
          <w:iCs/>
        </w:rPr>
        <w:t>growth</w:t>
      </w:r>
      <w:proofErr w:type="spellEnd"/>
      <w:r w:rsidRPr="00FD417C">
        <w:rPr>
          <w:i/>
          <w:iCs/>
        </w:rPr>
        <w:t xml:space="preserve"> </w:t>
      </w:r>
      <w:proofErr w:type="spellStart"/>
      <w:r w:rsidRPr="00FD417C">
        <w:rPr>
          <w:i/>
          <w:iCs/>
        </w:rPr>
        <w:t>factor</w:t>
      </w:r>
      <w:proofErr w:type="spellEnd"/>
      <w:r w:rsidRPr="00FD417C">
        <w:rPr>
          <w:i/>
          <w:iCs/>
        </w:rPr>
        <w:t xml:space="preserve"> </w:t>
      </w:r>
      <w:proofErr w:type="spellStart"/>
      <w:r w:rsidRPr="00FD417C">
        <w:rPr>
          <w:i/>
          <w:iCs/>
        </w:rPr>
        <w:t>receptor</w:t>
      </w:r>
      <w:proofErr w:type="spellEnd"/>
      <w:r w:rsidRPr="00FD417C">
        <w:rPr>
          <w:i/>
          <w:iCs/>
        </w:rPr>
        <w:t xml:space="preserve"> 2</w:t>
      </w:r>
      <w:r w:rsidRPr="00FD417C">
        <w:t xml:space="preserve">, HER2), su metastazėmis limfmazgiuose ir didele ligos atsinaujinimo rizika </w:t>
      </w:r>
      <w:proofErr w:type="spellStart"/>
      <w:r w:rsidRPr="00FD417C">
        <w:t>adjuvantiniam</w:t>
      </w:r>
      <w:proofErr w:type="spellEnd"/>
      <w:r w:rsidRPr="00FD417C">
        <w:t xml:space="preserve"> gydymui derinant su endokrinine terapija.</w:t>
      </w:r>
      <w:r>
        <w:t xml:space="preserve"> </w:t>
      </w:r>
      <w:r w:rsidRPr="0048716D">
        <w:t>Į ekonominę analizę įtraukti pacientai atitinka kompensacijai teikiamas terapines indikacijas.</w:t>
      </w:r>
    </w:p>
    <w:p w14:paraId="0CE678C0" w14:textId="637460E6" w:rsidR="0048716D" w:rsidRDefault="0048716D" w:rsidP="00BB37F9">
      <w:pPr>
        <w:spacing w:line="276" w:lineRule="auto"/>
        <w:ind w:firstLine="720"/>
        <w:jc w:val="both"/>
        <w:rPr>
          <w:rFonts w:eastAsia="Arial"/>
          <w:bCs/>
          <w:szCs w:val="22"/>
        </w:rPr>
      </w:pPr>
      <w:r w:rsidRPr="00D05364">
        <w:rPr>
          <w:rFonts w:eastAsia="Arial"/>
          <w:bCs/>
          <w:szCs w:val="22"/>
        </w:rPr>
        <w:t>Ekonominėje analizėje pateiktas palyginamasis gydymas atitinka klinikinio paraiškos vertinimo dalyje pateiktą palyginamąjį gydymą (žr. šio vertinimo protokolo 2.3 punktą).</w:t>
      </w:r>
      <w:r w:rsidR="00BB37F9">
        <w:rPr>
          <w:rFonts w:eastAsia="Arial"/>
          <w:bCs/>
          <w:szCs w:val="22"/>
        </w:rPr>
        <w:t xml:space="preserve"> </w:t>
      </w:r>
      <w:r w:rsidRPr="00D05364">
        <w:rPr>
          <w:rFonts w:eastAsia="Arial"/>
          <w:bCs/>
          <w:szCs w:val="22"/>
        </w:rPr>
        <w:t>Ekonominėje analizėje pateiktas palyginamasis gydymas atitinka įprastą Lietuvos Respublikos klinikinę praktiką</w:t>
      </w:r>
      <w:r>
        <w:rPr>
          <w:rFonts w:eastAsia="Arial"/>
          <w:bCs/>
          <w:szCs w:val="22"/>
        </w:rPr>
        <w:t xml:space="preserve">. Įprastinė klinikinė praktika šiai pacientų populiacijai yra </w:t>
      </w:r>
      <w:proofErr w:type="spellStart"/>
      <w:r>
        <w:rPr>
          <w:rFonts w:eastAsia="Arial"/>
          <w:bCs/>
          <w:szCs w:val="22"/>
        </w:rPr>
        <w:t>hormonoterapija</w:t>
      </w:r>
      <w:proofErr w:type="spellEnd"/>
      <w:r>
        <w:rPr>
          <w:rFonts w:eastAsia="Arial"/>
          <w:bCs/>
          <w:szCs w:val="22"/>
        </w:rPr>
        <w:t xml:space="preserve"> (gydymas </w:t>
      </w:r>
      <w:proofErr w:type="spellStart"/>
      <w:r>
        <w:rPr>
          <w:rFonts w:eastAsia="Arial"/>
          <w:bCs/>
          <w:szCs w:val="22"/>
        </w:rPr>
        <w:t>letrozoliu</w:t>
      </w:r>
      <w:proofErr w:type="spellEnd"/>
      <w:r>
        <w:rPr>
          <w:rFonts w:eastAsia="Arial"/>
          <w:bCs/>
          <w:szCs w:val="22"/>
        </w:rPr>
        <w:t xml:space="preserve">, </w:t>
      </w:r>
      <w:proofErr w:type="spellStart"/>
      <w:r>
        <w:rPr>
          <w:rFonts w:eastAsia="Arial"/>
          <w:bCs/>
          <w:szCs w:val="22"/>
        </w:rPr>
        <w:t>anastrozolu</w:t>
      </w:r>
      <w:proofErr w:type="spellEnd"/>
      <w:r>
        <w:rPr>
          <w:rFonts w:eastAsia="Arial"/>
          <w:bCs/>
          <w:szCs w:val="22"/>
        </w:rPr>
        <w:t xml:space="preserve">, </w:t>
      </w:r>
      <w:proofErr w:type="spellStart"/>
      <w:r>
        <w:rPr>
          <w:rFonts w:eastAsia="Arial"/>
          <w:bCs/>
          <w:szCs w:val="22"/>
        </w:rPr>
        <w:t>tamoksifenu</w:t>
      </w:r>
      <w:proofErr w:type="spellEnd"/>
      <w:r>
        <w:rPr>
          <w:rFonts w:eastAsia="Arial"/>
          <w:bCs/>
          <w:szCs w:val="22"/>
        </w:rPr>
        <w:t xml:space="preserve">, </w:t>
      </w:r>
      <w:proofErr w:type="spellStart"/>
      <w:r>
        <w:rPr>
          <w:rFonts w:eastAsia="Arial"/>
          <w:bCs/>
          <w:szCs w:val="22"/>
        </w:rPr>
        <w:t>eksemestanu</w:t>
      </w:r>
      <w:proofErr w:type="spellEnd"/>
      <w:r w:rsidR="00BB37F9">
        <w:rPr>
          <w:rFonts w:eastAsia="Arial"/>
          <w:bCs/>
          <w:szCs w:val="22"/>
        </w:rPr>
        <w:t>).</w:t>
      </w:r>
      <w:r>
        <w:rPr>
          <w:rFonts w:eastAsia="Arial"/>
          <w:bCs/>
          <w:szCs w:val="22"/>
        </w:rPr>
        <w:t xml:space="preserve"> </w:t>
      </w:r>
    </w:p>
    <w:p w14:paraId="48D2F3AC" w14:textId="6FAC8B1A" w:rsidR="0048716D" w:rsidRDefault="0048716D" w:rsidP="00736EF7">
      <w:pPr>
        <w:spacing w:line="276" w:lineRule="auto"/>
        <w:ind w:firstLine="720"/>
        <w:jc w:val="both"/>
        <w:rPr>
          <w:rFonts w:eastAsia="Arial"/>
          <w:bCs/>
          <w:szCs w:val="22"/>
        </w:rPr>
      </w:pPr>
      <w:r>
        <w:rPr>
          <w:rFonts w:eastAsia="Arial"/>
          <w:bCs/>
          <w:szCs w:val="22"/>
        </w:rPr>
        <w:t xml:space="preserve">Pateiktoje ekonominėje analizėje taikomi modeliavimo metodai. </w:t>
      </w:r>
      <w:r w:rsidRPr="0048716D">
        <w:rPr>
          <w:rFonts w:eastAsia="Arial"/>
          <w:bCs/>
          <w:szCs w:val="22"/>
        </w:rPr>
        <w:t xml:space="preserve">Analizės struktūra yra tinkama </w:t>
      </w:r>
      <w:proofErr w:type="spellStart"/>
      <w:r w:rsidRPr="0048716D">
        <w:rPr>
          <w:rFonts w:eastAsia="Arial"/>
          <w:bCs/>
          <w:szCs w:val="22"/>
        </w:rPr>
        <w:t>abemaciklibo</w:t>
      </w:r>
      <w:proofErr w:type="spellEnd"/>
      <w:r w:rsidRPr="0048716D">
        <w:rPr>
          <w:rFonts w:eastAsia="Arial"/>
          <w:bCs/>
          <w:szCs w:val="22"/>
        </w:rPr>
        <w:t xml:space="preserve"> kaštų naudingumo analizei atlikti. Šališkumas modelyje nėra jaučiamas.</w:t>
      </w:r>
    </w:p>
    <w:p w14:paraId="34A4B0FD" w14:textId="3F649280" w:rsidR="0048716D" w:rsidRDefault="0048716D" w:rsidP="00736EF7">
      <w:pPr>
        <w:spacing w:line="276" w:lineRule="auto"/>
        <w:ind w:firstLine="720"/>
        <w:jc w:val="both"/>
        <w:rPr>
          <w:rFonts w:eastAsia="Arial"/>
          <w:bCs/>
          <w:szCs w:val="22"/>
        </w:rPr>
      </w:pPr>
      <w:r w:rsidRPr="0048716D">
        <w:rPr>
          <w:rFonts w:eastAsia="Arial"/>
          <w:bCs/>
          <w:szCs w:val="22"/>
        </w:rPr>
        <w:t>Pagrindinis klinikinių įrodymų šaltinis yra klinikinis tyrimas</w:t>
      </w:r>
      <w:r w:rsidR="0089310F">
        <w:rPr>
          <w:rFonts w:eastAsia="Arial"/>
          <w:bCs/>
          <w:szCs w:val="22"/>
        </w:rPr>
        <w:t xml:space="preserve"> </w:t>
      </w:r>
      <w:r w:rsidR="0089310F" w:rsidRPr="0089310F">
        <w:rPr>
          <w:rFonts w:eastAsia="Arial"/>
          <w:bCs/>
          <w:i/>
          <w:szCs w:val="22"/>
        </w:rPr>
        <w:t>„</w:t>
      </w:r>
      <w:proofErr w:type="spellStart"/>
      <w:r w:rsidRPr="0089310F">
        <w:rPr>
          <w:rFonts w:eastAsia="Arial"/>
          <w:bCs/>
          <w:i/>
          <w:szCs w:val="22"/>
        </w:rPr>
        <w:t>monarchE</w:t>
      </w:r>
      <w:proofErr w:type="spellEnd"/>
      <w:r w:rsidR="0089310F" w:rsidRPr="0089310F">
        <w:rPr>
          <w:rFonts w:eastAsia="Arial"/>
          <w:bCs/>
          <w:i/>
          <w:szCs w:val="22"/>
        </w:rPr>
        <w:t>“</w:t>
      </w:r>
      <w:r w:rsidRPr="0048716D">
        <w:rPr>
          <w:rFonts w:eastAsia="Arial"/>
          <w:bCs/>
          <w:szCs w:val="22"/>
        </w:rPr>
        <w:t xml:space="preserve"> – atviras, atsitiktinių imčių III fazės tyrimas, kuriame buvo tiriamas </w:t>
      </w:r>
      <w:proofErr w:type="spellStart"/>
      <w:r w:rsidRPr="0048716D">
        <w:rPr>
          <w:rFonts w:eastAsia="Arial"/>
          <w:bCs/>
          <w:szCs w:val="22"/>
        </w:rPr>
        <w:t>abemaciklibo</w:t>
      </w:r>
      <w:proofErr w:type="spellEnd"/>
      <w:r w:rsidRPr="0048716D">
        <w:rPr>
          <w:rFonts w:eastAsia="Arial"/>
          <w:bCs/>
          <w:szCs w:val="22"/>
        </w:rPr>
        <w:t xml:space="preserve"> derinant su </w:t>
      </w:r>
      <w:proofErr w:type="spellStart"/>
      <w:r w:rsidRPr="0048716D">
        <w:rPr>
          <w:rFonts w:eastAsia="Arial"/>
          <w:bCs/>
          <w:szCs w:val="22"/>
        </w:rPr>
        <w:t>adjuvantine</w:t>
      </w:r>
      <w:proofErr w:type="spellEnd"/>
      <w:r w:rsidRPr="0048716D">
        <w:rPr>
          <w:rFonts w:eastAsia="Arial"/>
          <w:bCs/>
          <w:szCs w:val="22"/>
        </w:rPr>
        <w:t xml:space="preserve"> endokrinine terapija veiksmingumas ir saugumas.</w:t>
      </w:r>
    </w:p>
    <w:p w14:paraId="0A36B30C" w14:textId="229E8955" w:rsidR="0048716D" w:rsidRPr="0048716D" w:rsidRDefault="0048716D" w:rsidP="005F5AD9">
      <w:pPr>
        <w:spacing w:line="276" w:lineRule="auto"/>
        <w:ind w:firstLine="720"/>
        <w:jc w:val="both"/>
        <w:rPr>
          <w:color w:val="000000"/>
          <w:lang w:eastAsia="lt-LT"/>
        </w:rPr>
      </w:pPr>
      <w:r>
        <w:rPr>
          <w:rFonts w:eastAsia="Arial"/>
          <w:bCs/>
        </w:rPr>
        <w:lastRenderedPageBreak/>
        <w:t>M</w:t>
      </w:r>
      <w:r w:rsidRPr="00A425C0">
        <w:rPr>
          <w:rFonts w:eastAsia="Arial"/>
          <w:bCs/>
        </w:rPr>
        <w:t>odelyje taikoma ilgesnė laiko perspektyva, besitęsianti po klinikinio tyrimo stebėsenos pabaigos</w:t>
      </w:r>
      <w:r>
        <w:rPr>
          <w:rFonts w:eastAsia="Arial"/>
          <w:bCs/>
        </w:rPr>
        <w:t xml:space="preserve">, todėl taikomi duomenų ekstrapoliacijos metodai. </w:t>
      </w:r>
      <w:r>
        <w:rPr>
          <w:color w:val="000000"/>
          <w:lang w:eastAsia="lt-LT"/>
        </w:rPr>
        <w:t>Tarnybos nuomone, p</w:t>
      </w:r>
      <w:r w:rsidRPr="00D05364">
        <w:rPr>
          <w:color w:val="000000"/>
          <w:lang w:eastAsia="lt-LT"/>
        </w:rPr>
        <w:t xml:space="preserve">areiškėjo taikomos prielaidos, vertinant efektyvumo skirtumus tarp siūlomo ir palyginamojo gydymo ilgajame laikotarpyje yra </w:t>
      </w:r>
      <w:r w:rsidRPr="00D05364">
        <w:rPr>
          <w:iCs/>
          <w:color w:val="000000" w:themeColor="text1"/>
          <w:lang w:eastAsia="lt-LT"/>
        </w:rPr>
        <w:t>nepakankamai</w:t>
      </w:r>
      <w:r w:rsidRPr="00D05364">
        <w:rPr>
          <w:color w:val="000000" w:themeColor="text1"/>
          <w:lang w:eastAsia="lt-LT"/>
        </w:rPr>
        <w:t xml:space="preserve"> </w:t>
      </w:r>
      <w:r w:rsidRPr="00D05364">
        <w:rPr>
          <w:color w:val="000000"/>
          <w:lang w:eastAsia="lt-LT"/>
        </w:rPr>
        <w:t>pagrįstos.</w:t>
      </w:r>
      <w:r>
        <w:rPr>
          <w:color w:val="000000"/>
          <w:lang w:eastAsia="lt-LT"/>
        </w:rPr>
        <w:t xml:space="preserve"> </w:t>
      </w:r>
      <w:r w:rsidRPr="0048716D">
        <w:rPr>
          <w:color w:val="000000"/>
          <w:lang w:eastAsia="lt-LT"/>
        </w:rPr>
        <w:t>Pagrindinis kokybiškų gyvenimo metų (</w:t>
      </w:r>
      <w:proofErr w:type="spellStart"/>
      <w:r w:rsidRPr="0048716D">
        <w:rPr>
          <w:color w:val="000000"/>
          <w:lang w:eastAsia="lt-LT"/>
        </w:rPr>
        <w:t>QALYs</w:t>
      </w:r>
      <w:proofErr w:type="spellEnd"/>
      <w:r w:rsidRPr="0048716D">
        <w:rPr>
          <w:color w:val="000000"/>
          <w:lang w:eastAsia="lt-LT"/>
        </w:rPr>
        <w:t xml:space="preserve">) skirtumas pateiktoje ekonominėje analizėje susidaro už klinikinio tyrimo </w:t>
      </w:r>
      <w:r w:rsidR="0089310F" w:rsidRPr="0089310F">
        <w:rPr>
          <w:i/>
          <w:color w:val="000000"/>
          <w:lang w:eastAsia="lt-LT"/>
        </w:rPr>
        <w:t>„</w:t>
      </w:r>
      <w:proofErr w:type="spellStart"/>
      <w:r w:rsidR="0089310F" w:rsidRPr="0089310F">
        <w:rPr>
          <w:i/>
          <w:color w:val="000000"/>
          <w:lang w:eastAsia="lt-LT"/>
        </w:rPr>
        <w:t>m</w:t>
      </w:r>
      <w:r w:rsidRPr="0089310F">
        <w:rPr>
          <w:i/>
          <w:color w:val="000000"/>
          <w:lang w:eastAsia="lt-LT"/>
        </w:rPr>
        <w:t>onarchE</w:t>
      </w:r>
      <w:proofErr w:type="spellEnd"/>
      <w:r w:rsidR="0089310F">
        <w:rPr>
          <w:color w:val="000000"/>
          <w:lang w:eastAsia="lt-LT"/>
        </w:rPr>
        <w:t>“</w:t>
      </w:r>
      <w:r w:rsidRPr="0048716D">
        <w:rPr>
          <w:color w:val="000000"/>
          <w:lang w:eastAsia="lt-LT"/>
        </w:rPr>
        <w:t xml:space="preserve"> stebėjimo laikotarpio, t. y. laikotarpyje, kuriame naudojami </w:t>
      </w:r>
      <w:proofErr w:type="spellStart"/>
      <w:r w:rsidRPr="0048716D">
        <w:rPr>
          <w:color w:val="000000"/>
          <w:lang w:eastAsia="lt-LT"/>
        </w:rPr>
        <w:t>ekstrapoliuoti</w:t>
      </w:r>
      <w:proofErr w:type="spellEnd"/>
      <w:r w:rsidRPr="0048716D">
        <w:rPr>
          <w:color w:val="000000"/>
          <w:lang w:eastAsia="lt-LT"/>
        </w:rPr>
        <w:t xml:space="preserve"> klinikinių baigčių duomenys. Todėl ilgalaikių ekonominės analizės rezultatų vertinimas pasižymi reikšmingu neapibrėžtumu.</w:t>
      </w:r>
      <w:r w:rsidR="00BB37F9">
        <w:rPr>
          <w:color w:val="000000"/>
          <w:lang w:eastAsia="lt-LT"/>
        </w:rPr>
        <w:t xml:space="preserve"> </w:t>
      </w:r>
      <w:r w:rsidR="0089310F" w:rsidRPr="0089310F">
        <w:rPr>
          <w:i/>
          <w:color w:val="000000"/>
          <w:lang w:eastAsia="lt-LT"/>
        </w:rPr>
        <w:t>„</w:t>
      </w:r>
      <w:proofErr w:type="spellStart"/>
      <w:r w:rsidR="0089310F" w:rsidRPr="0089310F">
        <w:rPr>
          <w:i/>
          <w:color w:val="000000"/>
          <w:lang w:eastAsia="lt-LT"/>
        </w:rPr>
        <w:t>m</w:t>
      </w:r>
      <w:r w:rsidR="005F5AD9" w:rsidRPr="0089310F">
        <w:rPr>
          <w:i/>
          <w:color w:val="000000"/>
          <w:lang w:eastAsia="lt-LT"/>
        </w:rPr>
        <w:t>onarchE</w:t>
      </w:r>
      <w:proofErr w:type="spellEnd"/>
      <w:r w:rsidR="0089310F" w:rsidRPr="0089310F">
        <w:rPr>
          <w:i/>
          <w:color w:val="000000"/>
          <w:lang w:eastAsia="lt-LT"/>
        </w:rPr>
        <w:t>“</w:t>
      </w:r>
      <w:r w:rsidR="005F5AD9" w:rsidRPr="0048716D">
        <w:rPr>
          <w:color w:val="000000"/>
          <w:lang w:eastAsia="lt-LT"/>
        </w:rPr>
        <w:t xml:space="preserve"> klinikinio tyrimo bendrojo išgyvenamumo (BI) duomenys yra nebrandūs, todėl nėra tvirtų įrodymais grįstų duomenų apie BI pranašumą. Ekonominėje analizėje apskaičiuojant papildomus gyvenimo metus gaunamas rezultatas rodo, kad </w:t>
      </w:r>
      <w:proofErr w:type="spellStart"/>
      <w:r w:rsidR="005F5AD9" w:rsidRPr="0048716D">
        <w:rPr>
          <w:color w:val="000000"/>
          <w:lang w:eastAsia="lt-LT"/>
        </w:rPr>
        <w:t>abemaciklibas</w:t>
      </w:r>
      <w:proofErr w:type="spellEnd"/>
      <w:r w:rsidR="005F5AD9" w:rsidRPr="0048716D">
        <w:rPr>
          <w:color w:val="000000"/>
          <w:lang w:eastAsia="lt-LT"/>
        </w:rPr>
        <w:t xml:space="preserve"> sukuria papildomus 2,47 nediskontuotus gyvenimo metus. Kadangi apskaičiuojant šį papildomų gyvenimo metų rezultatą yra naudojamos surogatinės vertinamosios baigtys, Tarnyba modeliuojamą BI pranašumą vertina kaip neapibrėžtą ekonominės analizės rezultatą</w:t>
      </w:r>
      <w:r w:rsidR="005F5AD9">
        <w:rPr>
          <w:color w:val="000000"/>
          <w:lang w:eastAsia="lt-LT"/>
        </w:rPr>
        <w:t xml:space="preserve">. </w:t>
      </w:r>
      <w:r w:rsidR="00BB37F9">
        <w:rPr>
          <w:color w:val="000000"/>
          <w:lang w:eastAsia="lt-LT"/>
        </w:rPr>
        <w:t>Taip pat, Tarnybos nuomone, pareiškėjo taikomos prielaidos dėl gydomojo poveikio mažėjimo tolimoje laiko perspektyvoje neturi pagrindimo ir gali būti per ne lyg optimistinės. Šis neapibrėžtumas daro reikšmingą įtaką analizės rezultatui</w:t>
      </w:r>
      <w:r w:rsidR="005F5AD9">
        <w:rPr>
          <w:color w:val="000000"/>
          <w:lang w:eastAsia="lt-LT"/>
        </w:rPr>
        <w:t>. A</w:t>
      </w:r>
      <w:r w:rsidR="005F5AD9" w:rsidRPr="005F5AD9">
        <w:rPr>
          <w:color w:val="000000"/>
          <w:lang w:eastAsia="lt-LT"/>
        </w:rPr>
        <w:t xml:space="preserve">tnaujintoje ekonominėje analizėje taikomos tos pačios gydomojo poveikio mažėjimo prielaidos, jų taikymas papildomai pagrįstas nebuvo.  </w:t>
      </w:r>
    </w:p>
    <w:p w14:paraId="7EC29C49" w14:textId="4F00D646" w:rsidR="0048716D" w:rsidRDefault="0048716D" w:rsidP="00736EF7">
      <w:pPr>
        <w:spacing w:line="276" w:lineRule="auto"/>
        <w:ind w:firstLine="720"/>
        <w:jc w:val="both"/>
        <w:rPr>
          <w:lang w:eastAsia="lt-LT"/>
        </w:rPr>
      </w:pPr>
      <w:r>
        <w:rPr>
          <w:lang w:eastAsia="lt-LT"/>
        </w:rPr>
        <w:t xml:space="preserve">Sveikatai sukuriama nauda vertinama apskaičiuojant kokybiškus gyvenimo metus. Apskaičiuojant kokybiškus gyvenimo metus naudojami gyvenimo kokybės įverčiai, gauti remiantis </w:t>
      </w:r>
      <w:r w:rsidR="0089310F" w:rsidRPr="0089310F">
        <w:rPr>
          <w:i/>
          <w:lang w:eastAsia="lt-LT"/>
        </w:rPr>
        <w:t>„</w:t>
      </w:r>
      <w:proofErr w:type="spellStart"/>
      <w:r w:rsidR="0089310F" w:rsidRPr="0089310F">
        <w:rPr>
          <w:i/>
          <w:lang w:eastAsia="lt-LT"/>
        </w:rPr>
        <w:t>m</w:t>
      </w:r>
      <w:r w:rsidRPr="0089310F">
        <w:rPr>
          <w:i/>
          <w:lang w:eastAsia="lt-LT"/>
        </w:rPr>
        <w:t>onarchE</w:t>
      </w:r>
      <w:proofErr w:type="spellEnd"/>
      <w:r w:rsidR="0089310F" w:rsidRPr="0089310F">
        <w:rPr>
          <w:i/>
          <w:lang w:eastAsia="lt-LT"/>
        </w:rPr>
        <w:t>“</w:t>
      </w:r>
      <w:r>
        <w:rPr>
          <w:lang w:eastAsia="lt-LT"/>
        </w:rPr>
        <w:t xml:space="preserve"> klinikinio tyrimo atliktu gyvenimo kokybės vertinimu. Atsižvelgiant į tai, kad gyvenimo kokybė tarp lyginamų gydymo šakų reikšmingai nesiskyrė, taikomi gyvenimo kokybės įverčiai priklauso nuo sveikatos būklės, o ne nuo taikomo gydymo.</w:t>
      </w:r>
    </w:p>
    <w:p w14:paraId="2DE27671" w14:textId="080D40AA" w:rsidR="0048716D" w:rsidRDefault="0048716D" w:rsidP="00736EF7">
      <w:pPr>
        <w:tabs>
          <w:tab w:val="left" w:pos="567"/>
        </w:tabs>
        <w:spacing w:line="276" w:lineRule="auto"/>
        <w:jc w:val="both"/>
        <w:rPr>
          <w:lang w:eastAsia="lt-LT"/>
        </w:rPr>
      </w:pPr>
      <w:r>
        <w:rPr>
          <w:lang w:eastAsia="lt-LT"/>
        </w:rPr>
        <w:tab/>
      </w:r>
      <w:r w:rsidRPr="00D87BD8">
        <w:rPr>
          <w:lang w:eastAsia="lt-LT"/>
        </w:rPr>
        <w:t>Į analizę įtraukiami</w:t>
      </w:r>
      <w:r>
        <w:rPr>
          <w:lang w:eastAsia="lt-LT"/>
        </w:rPr>
        <w:t xml:space="preserve"> v</w:t>
      </w:r>
      <w:r w:rsidRPr="00D87BD8">
        <w:rPr>
          <w:lang w:eastAsia="lt-LT"/>
        </w:rPr>
        <w:t>aistinių preparatų įsigijimo</w:t>
      </w:r>
      <w:r>
        <w:rPr>
          <w:lang w:eastAsia="lt-LT"/>
        </w:rPr>
        <w:t>, s</w:t>
      </w:r>
      <w:r w:rsidRPr="00D87BD8">
        <w:rPr>
          <w:lang w:eastAsia="lt-LT"/>
        </w:rPr>
        <w:t>veikatos priežiūros paslaugų</w:t>
      </w:r>
      <w:r>
        <w:rPr>
          <w:lang w:eastAsia="lt-LT"/>
        </w:rPr>
        <w:t>, n</w:t>
      </w:r>
      <w:r w:rsidRPr="00D87BD8">
        <w:rPr>
          <w:lang w:eastAsia="lt-LT"/>
        </w:rPr>
        <w:t xml:space="preserve">epageidaujamų įvykių valdymo kaštai. </w:t>
      </w:r>
    </w:p>
    <w:p w14:paraId="450174A7" w14:textId="1620EC13" w:rsidR="0048716D" w:rsidRDefault="0048716D" w:rsidP="00736EF7">
      <w:pPr>
        <w:tabs>
          <w:tab w:val="left" w:pos="567"/>
        </w:tabs>
        <w:spacing w:line="276" w:lineRule="auto"/>
        <w:jc w:val="both"/>
        <w:rPr>
          <w:lang w:eastAsia="lt-LT"/>
        </w:rPr>
      </w:pPr>
      <w:r>
        <w:rPr>
          <w:lang w:eastAsia="lt-LT"/>
        </w:rPr>
        <w:tab/>
        <w:t>Analizė atlikta iš PSDF biudžeto perspektyvos, įtraukti tiesiogiai su sveikatos sistema susiję kaštai. Tai atitinka teisės aktuose nustatytus paraiškos rengimo taisyklių reikalavimus. Analizėje taikoma 49 metų (viso gyvenimo) laiko perspektyva. Pasirinkta laiko perspektyva yra tinkama.</w:t>
      </w:r>
    </w:p>
    <w:p w14:paraId="3CC3BA72" w14:textId="17C90712" w:rsidR="0048716D" w:rsidRDefault="0048716D" w:rsidP="00736EF7">
      <w:pPr>
        <w:tabs>
          <w:tab w:val="left" w:pos="567"/>
        </w:tabs>
        <w:spacing w:line="276" w:lineRule="auto"/>
        <w:jc w:val="both"/>
        <w:rPr>
          <w:color w:val="000000"/>
          <w:lang w:eastAsia="lt-LT"/>
        </w:rPr>
      </w:pPr>
      <w:r>
        <w:rPr>
          <w:color w:val="000000"/>
          <w:lang w:eastAsia="lt-LT"/>
        </w:rPr>
        <w:tab/>
      </w:r>
      <w:r w:rsidRPr="002A05B3">
        <w:rPr>
          <w:color w:val="000000"/>
          <w:lang w:eastAsia="lt-LT"/>
        </w:rPr>
        <w:t xml:space="preserve">Tarnyba perskaičiavo ekonominės analizės rezultatą. </w:t>
      </w:r>
      <w:r>
        <w:rPr>
          <w:color w:val="000000"/>
          <w:lang w:eastAsia="lt-LT"/>
        </w:rPr>
        <w:t>Prieš rezultatų perskaičiavimą</w:t>
      </w:r>
      <w:r w:rsidRPr="002A05B3">
        <w:rPr>
          <w:color w:val="000000"/>
          <w:lang w:eastAsia="lt-LT"/>
        </w:rPr>
        <w:t xml:space="preserve"> buvo atlikti šie pakeitimai</w:t>
      </w:r>
      <w:r>
        <w:rPr>
          <w:color w:val="000000"/>
          <w:lang w:eastAsia="lt-LT"/>
        </w:rPr>
        <w:t xml:space="preserve"> analizėje</w:t>
      </w:r>
      <w:r w:rsidRPr="002A05B3">
        <w:rPr>
          <w:color w:val="000000"/>
          <w:lang w:eastAsia="lt-LT"/>
        </w:rPr>
        <w:t>:</w:t>
      </w:r>
    </w:p>
    <w:p w14:paraId="3BD46F92" w14:textId="77777777" w:rsidR="0048716D" w:rsidRDefault="0048716D" w:rsidP="005F5AD9">
      <w:pPr>
        <w:pStyle w:val="Sraopastraipa"/>
        <w:numPr>
          <w:ilvl w:val="0"/>
          <w:numId w:val="15"/>
        </w:numPr>
        <w:tabs>
          <w:tab w:val="left" w:pos="567"/>
        </w:tabs>
        <w:spacing w:line="276" w:lineRule="auto"/>
        <w:ind w:left="0" w:firstLine="518"/>
        <w:jc w:val="both"/>
        <w:rPr>
          <w:color w:val="000000"/>
          <w:lang w:eastAsia="lt-LT"/>
        </w:rPr>
      </w:pPr>
      <w:r w:rsidRPr="002A05B3">
        <w:rPr>
          <w:color w:val="000000"/>
          <w:lang w:eastAsia="lt-LT"/>
        </w:rPr>
        <w:t xml:space="preserve">Perskaičiuotas ligos naštos dydis naudojant </w:t>
      </w:r>
      <w:r w:rsidRPr="00D23643">
        <w:rPr>
          <w:b/>
          <w:bCs/>
          <w:color w:val="000000"/>
          <w:lang w:eastAsia="lt-LT"/>
        </w:rPr>
        <w:t>nediskontuotą</w:t>
      </w:r>
      <w:r w:rsidRPr="002A05B3">
        <w:rPr>
          <w:color w:val="000000"/>
          <w:lang w:eastAsia="lt-LT"/>
        </w:rPr>
        <w:t xml:space="preserve"> palyginamojo gydymo sukuriamų kokybiškų gyvenimo metų </w:t>
      </w:r>
      <w:r>
        <w:rPr>
          <w:color w:val="000000"/>
          <w:lang w:eastAsia="lt-LT"/>
        </w:rPr>
        <w:t>reikšmę</w:t>
      </w:r>
      <w:r w:rsidRPr="002A05B3">
        <w:rPr>
          <w:color w:val="000000"/>
          <w:lang w:eastAsia="lt-LT"/>
        </w:rPr>
        <w:t xml:space="preserve">; </w:t>
      </w:r>
    </w:p>
    <w:p w14:paraId="5FC90ACE" w14:textId="79577408" w:rsidR="0048716D" w:rsidRDefault="0048716D" w:rsidP="005F5AD9">
      <w:pPr>
        <w:pStyle w:val="Sraopastraipa"/>
        <w:numPr>
          <w:ilvl w:val="0"/>
          <w:numId w:val="15"/>
        </w:numPr>
        <w:tabs>
          <w:tab w:val="left" w:pos="567"/>
        </w:tabs>
        <w:spacing w:line="276" w:lineRule="auto"/>
        <w:ind w:left="0" w:firstLine="518"/>
        <w:jc w:val="both"/>
        <w:rPr>
          <w:color w:val="000000"/>
          <w:lang w:eastAsia="lt-LT"/>
        </w:rPr>
      </w:pPr>
      <w:r w:rsidRPr="00D23643">
        <w:rPr>
          <w:color w:val="000000"/>
          <w:lang w:eastAsia="lt-LT"/>
        </w:rPr>
        <w:t xml:space="preserve">Atnaujinti sveikatos priežiūros paslaugų, vaistinių preparatų įsigijimo, nepageidaujamų </w:t>
      </w:r>
      <w:r>
        <w:rPr>
          <w:color w:val="000000"/>
          <w:lang w:eastAsia="lt-LT"/>
        </w:rPr>
        <w:t>įvykių</w:t>
      </w:r>
      <w:r w:rsidRPr="00D23643">
        <w:rPr>
          <w:color w:val="000000"/>
          <w:lang w:eastAsia="lt-LT"/>
        </w:rPr>
        <w:t xml:space="preserve"> valdymo įkainiai</w:t>
      </w:r>
      <w:r w:rsidR="005F5AD9">
        <w:rPr>
          <w:color w:val="000000"/>
          <w:lang w:eastAsia="lt-LT"/>
        </w:rPr>
        <w:t>;</w:t>
      </w:r>
    </w:p>
    <w:p w14:paraId="3EB067B6" w14:textId="77777777" w:rsidR="0048716D" w:rsidRPr="00D23643" w:rsidRDefault="0048716D" w:rsidP="005F5AD9">
      <w:pPr>
        <w:pStyle w:val="Sraopastraipa"/>
        <w:numPr>
          <w:ilvl w:val="0"/>
          <w:numId w:val="15"/>
        </w:numPr>
        <w:tabs>
          <w:tab w:val="left" w:pos="567"/>
        </w:tabs>
        <w:spacing w:line="276" w:lineRule="auto"/>
        <w:ind w:left="0" w:firstLine="518"/>
        <w:jc w:val="both"/>
        <w:rPr>
          <w:color w:val="000000"/>
          <w:lang w:eastAsia="lt-LT"/>
        </w:rPr>
      </w:pPr>
      <w:r w:rsidRPr="00D23643">
        <w:rPr>
          <w:color w:val="000000"/>
          <w:lang w:eastAsia="lt-LT"/>
        </w:rPr>
        <w:t>P</w:t>
      </w:r>
      <w:r>
        <w:rPr>
          <w:color w:val="000000"/>
          <w:lang w:eastAsia="lt-LT"/>
        </w:rPr>
        <w:t>akeista</w:t>
      </w:r>
      <w:r w:rsidRPr="00D23643">
        <w:rPr>
          <w:color w:val="000000"/>
          <w:lang w:eastAsia="lt-LT"/>
        </w:rPr>
        <w:t xml:space="preserve"> </w:t>
      </w:r>
      <w:r>
        <w:rPr>
          <w:color w:val="000000"/>
          <w:lang w:eastAsia="lt-LT"/>
        </w:rPr>
        <w:t xml:space="preserve">gydomojo poveikio mažėjimo (angl. </w:t>
      </w:r>
      <w:proofErr w:type="spellStart"/>
      <w:r w:rsidRPr="00D23643">
        <w:rPr>
          <w:i/>
          <w:iCs/>
          <w:color w:val="000000"/>
          <w:lang w:eastAsia="lt-LT"/>
        </w:rPr>
        <w:t>treatment</w:t>
      </w:r>
      <w:proofErr w:type="spellEnd"/>
      <w:r w:rsidRPr="00D23643">
        <w:rPr>
          <w:i/>
          <w:iCs/>
          <w:color w:val="000000"/>
          <w:lang w:eastAsia="lt-LT"/>
        </w:rPr>
        <w:t xml:space="preserve"> </w:t>
      </w:r>
      <w:proofErr w:type="spellStart"/>
      <w:r w:rsidRPr="00D23643">
        <w:rPr>
          <w:i/>
          <w:iCs/>
          <w:color w:val="000000"/>
          <w:lang w:eastAsia="lt-LT"/>
        </w:rPr>
        <w:t>waning</w:t>
      </w:r>
      <w:proofErr w:type="spellEnd"/>
      <w:r>
        <w:rPr>
          <w:color w:val="000000"/>
          <w:lang w:eastAsia="lt-LT"/>
        </w:rPr>
        <w:t xml:space="preserve">) ilgalaikėje perspektyvoje prielaida – gydomasis poveikis mažėja nuo 6 modeliavimo metų, išnyksta 10 metais. </w:t>
      </w:r>
    </w:p>
    <w:p w14:paraId="5CE6AC86" w14:textId="77777777" w:rsidR="003429B2" w:rsidRPr="00E33EFF" w:rsidRDefault="003429B2" w:rsidP="00736EF7">
      <w:pPr>
        <w:tabs>
          <w:tab w:val="left" w:pos="426"/>
        </w:tabs>
        <w:spacing w:line="276" w:lineRule="auto"/>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BE7489">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8" w:type="dxa"/>
            <w:tcBorders>
              <w:right w:val="single" w:sz="4" w:space="0" w:color="auto"/>
            </w:tcBorders>
          </w:tcPr>
          <w:p w14:paraId="1CACF0B4" w14:textId="1BD84B09" w:rsidR="00BA5DBC" w:rsidRPr="00E64942" w:rsidRDefault="00E64942" w:rsidP="0048716D">
            <w:pPr>
              <w:tabs>
                <w:tab w:val="left" w:pos="567"/>
              </w:tabs>
              <w:jc w:val="center"/>
              <w:rPr>
                <w:lang w:eastAsia="lt-LT"/>
              </w:rPr>
            </w:pPr>
            <w:r w:rsidRPr="00E64942">
              <w:rPr>
                <w:lang w:eastAsia="lt-LT"/>
              </w:rPr>
              <w:t>***</w:t>
            </w:r>
          </w:p>
        </w:tc>
      </w:tr>
      <w:tr w:rsidR="00BA5DBC" w:rsidRPr="00E33EFF" w14:paraId="49F818A3" w14:textId="77777777" w:rsidTr="00BE7489">
        <w:trPr>
          <w:trHeight w:val="267"/>
          <w:jc w:val="center"/>
        </w:trPr>
        <w:tc>
          <w:tcPr>
            <w:tcW w:w="6200" w:type="dxa"/>
            <w:tcBorders>
              <w:left w:val="single" w:sz="4" w:space="0" w:color="auto"/>
            </w:tcBorders>
          </w:tcPr>
          <w:p w14:paraId="021DB925" w14:textId="389F1BF5" w:rsidR="00BA5DBC" w:rsidRPr="00E33EFF" w:rsidRDefault="00BA5DBC" w:rsidP="00BA5DBC">
            <w:pPr>
              <w:tabs>
                <w:tab w:val="left" w:pos="567"/>
              </w:tabs>
              <w:jc w:val="right"/>
              <w:rPr>
                <w:iCs/>
                <w:lang w:eastAsia="lt-LT"/>
              </w:rPr>
            </w:pPr>
            <w:r w:rsidRPr="00E33EFF">
              <w:rPr>
                <w:iCs/>
                <w:lang w:eastAsia="lt-LT"/>
              </w:rPr>
              <w:t>Papildomi gyvenimo metai (LY)</w:t>
            </w:r>
          </w:p>
        </w:tc>
        <w:tc>
          <w:tcPr>
            <w:tcW w:w="3238" w:type="dxa"/>
            <w:tcBorders>
              <w:right w:val="single" w:sz="4" w:space="0" w:color="auto"/>
            </w:tcBorders>
          </w:tcPr>
          <w:p w14:paraId="4954817B" w14:textId="544DBED3" w:rsidR="00BA5DBC" w:rsidRPr="00E64942" w:rsidRDefault="00E64942" w:rsidP="003429B2">
            <w:pPr>
              <w:tabs>
                <w:tab w:val="left" w:pos="567"/>
              </w:tabs>
              <w:jc w:val="center"/>
              <w:rPr>
                <w:lang w:eastAsia="lt-LT"/>
              </w:rPr>
            </w:pPr>
            <w:r w:rsidRPr="00E64942">
              <w:rPr>
                <w:lang w:eastAsia="lt-LT"/>
              </w:rPr>
              <w:t>***</w:t>
            </w:r>
          </w:p>
        </w:tc>
      </w:tr>
      <w:tr w:rsidR="00BA5DBC" w:rsidRPr="00E33EFF" w14:paraId="20ADA742" w14:textId="77777777" w:rsidTr="00BE7489">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8" w:type="dxa"/>
            <w:tcBorders>
              <w:right w:val="single" w:sz="4" w:space="0" w:color="auto"/>
            </w:tcBorders>
          </w:tcPr>
          <w:p w14:paraId="02E4DAE1" w14:textId="502ED910" w:rsidR="00BA5DBC" w:rsidRPr="00E64942" w:rsidRDefault="00E64942" w:rsidP="003429B2">
            <w:pPr>
              <w:tabs>
                <w:tab w:val="left" w:pos="567"/>
              </w:tabs>
              <w:jc w:val="center"/>
              <w:rPr>
                <w:lang w:eastAsia="lt-LT"/>
              </w:rPr>
            </w:pPr>
            <w:r w:rsidRPr="00E64942">
              <w:rPr>
                <w:lang w:eastAsia="lt-LT"/>
              </w:rPr>
              <w:t>***</w:t>
            </w:r>
          </w:p>
        </w:tc>
      </w:tr>
      <w:tr w:rsidR="00BA5DBC" w:rsidRPr="00E33EFF" w14:paraId="1FADA2B3" w14:textId="77777777" w:rsidTr="00BE7489">
        <w:trPr>
          <w:trHeight w:val="267"/>
          <w:jc w:val="center"/>
        </w:trPr>
        <w:tc>
          <w:tcPr>
            <w:tcW w:w="6200" w:type="dxa"/>
            <w:tcBorders>
              <w:left w:val="single" w:sz="4" w:space="0" w:color="auto"/>
            </w:tcBorders>
          </w:tcPr>
          <w:p w14:paraId="13E089E8" w14:textId="0BCEB339" w:rsidR="00BA5DBC" w:rsidRPr="00E33EFF" w:rsidRDefault="00BA5DBC" w:rsidP="009E44AE">
            <w:pPr>
              <w:tabs>
                <w:tab w:val="left" w:pos="567"/>
              </w:tabs>
              <w:jc w:val="right"/>
              <w:rPr>
                <w:iCs/>
                <w:lang w:eastAsia="lt-LT"/>
              </w:rPr>
            </w:pPr>
            <w:r w:rsidRPr="00E33EFF">
              <w:rPr>
                <w:iCs/>
                <w:lang w:eastAsia="lt-LT"/>
              </w:rPr>
              <w:t>ICER už LY</w:t>
            </w:r>
          </w:p>
        </w:tc>
        <w:tc>
          <w:tcPr>
            <w:tcW w:w="3238" w:type="dxa"/>
            <w:tcBorders>
              <w:right w:val="single" w:sz="4" w:space="0" w:color="auto"/>
            </w:tcBorders>
          </w:tcPr>
          <w:p w14:paraId="2817448D" w14:textId="57C7780A" w:rsidR="00BA5DBC" w:rsidRPr="00E64942" w:rsidRDefault="00E64942" w:rsidP="003429B2">
            <w:pPr>
              <w:tabs>
                <w:tab w:val="left" w:pos="567"/>
              </w:tabs>
              <w:jc w:val="center"/>
              <w:rPr>
                <w:lang w:eastAsia="lt-LT"/>
              </w:rPr>
            </w:pPr>
            <w:r w:rsidRPr="00E64942">
              <w:rPr>
                <w:lang w:eastAsia="lt-LT"/>
              </w:rPr>
              <w:t>***</w:t>
            </w:r>
          </w:p>
        </w:tc>
      </w:tr>
      <w:tr w:rsidR="009E44AE" w:rsidRPr="00E33EFF" w14:paraId="250DE960" w14:textId="77777777" w:rsidTr="00BE7489">
        <w:trPr>
          <w:trHeight w:val="267"/>
          <w:jc w:val="center"/>
        </w:trPr>
        <w:tc>
          <w:tcPr>
            <w:tcW w:w="6200" w:type="dxa"/>
            <w:tcBorders>
              <w:left w:val="single" w:sz="4" w:space="0" w:color="auto"/>
            </w:tcBorders>
          </w:tcPr>
          <w:p w14:paraId="207EFB23" w14:textId="77777777" w:rsidR="009E44AE" w:rsidRPr="00E33EFF" w:rsidRDefault="009E44AE" w:rsidP="009E44AE">
            <w:pPr>
              <w:tabs>
                <w:tab w:val="left" w:pos="567"/>
              </w:tabs>
              <w:jc w:val="right"/>
              <w:rPr>
                <w:iCs/>
                <w:lang w:eastAsia="lt-LT"/>
              </w:rPr>
            </w:pPr>
            <w:r w:rsidRPr="00E33EFF">
              <w:rPr>
                <w:iCs/>
                <w:lang w:eastAsia="lt-LT"/>
              </w:rPr>
              <w:t>ICER už QALY</w:t>
            </w:r>
          </w:p>
        </w:tc>
        <w:tc>
          <w:tcPr>
            <w:tcW w:w="3238" w:type="dxa"/>
            <w:tcBorders>
              <w:right w:val="single" w:sz="4" w:space="0" w:color="auto"/>
            </w:tcBorders>
          </w:tcPr>
          <w:p w14:paraId="4275320D" w14:textId="68C97D1E" w:rsidR="009E44AE" w:rsidRPr="00E64942" w:rsidRDefault="00E64942" w:rsidP="003429B2">
            <w:pPr>
              <w:tabs>
                <w:tab w:val="left" w:pos="567"/>
              </w:tabs>
              <w:jc w:val="center"/>
              <w:rPr>
                <w:lang w:eastAsia="lt-LT"/>
              </w:rPr>
            </w:pPr>
            <w:r w:rsidRPr="00E64942">
              <w:rPr>
                <w:lang w:eastAsia="lt-LT"/>
              </w:rPr>
              <w:t>***</w:t>
            </w:r>
          </w:p>
        </w:tc>
      </w:tr>
      <w:tr w:rsidR="009E44AE" w:rsidRPr="00E33EFF"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E33EFF" w:rsidRDefault="009E44AE" w:rsidP="009E44AE">
            <w:pPr>
              <w:tabs>
                <w:tab w:val="left" w:pos="567"/>
              </w:tabs>
              <w:jc w:val="right"/>
              <w:rPr>
                <w:iCs/>
                <w:lang w:eastAsia="lt-LT"/>
              </w:rPr>
            </w:pPr>
            <w:r w:rsidRPr="00E33EFF">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28B272E0" w:rsidR="009E44AE" w:rsidRPr="00E64942" w:rsidRDefault="00E64942" w:rsidP="003429B2">
            <w:pPr>
              <w:tabs>
                <w:tab w:val="left" w:pos="567"/>
              </w:tabs>
              <w:jc w:val="center"/>
              <w:rPr>
                <w:lang w:eastAsia="lt-LT"/>
              </w:rPr>
            </w:pPr>
            <w:r w:rsidRPr="00E64942">
              <w:rPr>
                <w:lang w:eastAsia="lt-LT"/>
              </w:rPr>
              <w:t>***</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 xml:space="preserve">angl. </w:t>
      </w:r>
      <w:proofErr w:type="spellStart"/>
      <w:r w:rsidR="00453862" w:rsidRPr="00E33EFF">
        <w:rPr>
          <w:i/>
          <w:sz w:val="20"/>
          <w:lang w:eastAsia="lt-LT"/>
        </w:rPr>
        <w:t>incremental</w:t>
      </w:r>
      <w:proofErr w:type="spellEnd"/>
      <w:r w:rsidR="00453862" w:rsidRPr="00E33EFF">
        <w:rPr>
          <w:i/>
          <w:sz w:val="20"/>
          <w:lang w:eastAsia="lt-LT"/>
        </w:rPr>
        <w:t xml:space="preserve"> </w:t>
      </w:r>
      <w:proofErr w:type="spellStart"/>
      <w:r w:rsidR="00453862" w:rsidRPr="00E33EFF">
        <w:rPr>
          <w:i/>
          <w:sz w:val="20"/>
          <w:lang w:eastAsia="lt-LT"/>
        </w:rPr>
        <w:t>cost-effectiveness</w:t>
      </w:r>
      <w:proofErr w:type="spellEnd"/>
      <w:r w:rsidR="00453862" w:rsidRPr="00E33EFF">
        <w:rPr>
          <w:i/>
          <w:sz w:val="20"/>
          <w:lang w:eastAsia="lt-LT"/>
        </w:rPr>
        <w:t xml:space="preserve"> </w:t>
      </w:r>
      <w:proofErr w:type="spellStart"/>
      <w:r w:rsidR="00453862" w:rsidRPr="00E33EFF">
        <w:rPr>
          <w:i/>
          <w:sz w:val="20"/>
          <w:lang w:eastAsia="lt-LT"/>
        </w:rPr>
        <w:t>ratio</w:t>
      </w:r>
      <w:proofErr w:type="spellEnd"/>
      <w:r w:rsidR="00453862" w:rsidRPr="00E33EFF">
        <w:rPr>
          <w:iCs/>
          <w:sz w:val="20"/>
          <w:lang w:eastAsia="lt-LT"/>
        </w:rPr>
        <w:t xml:space="preserve">) </w:t>
      </w:r>
      <w:proofErr w:type="spellStart"/>
      <w:r w:rsidR="00453862" w:rsidRPr="00E33EFF">
        <w:rPr>
          <w:iCs/>
          <w:sz w:val="20"/>
          <w:lang w:eastAsia="lt-LT"/>
        </w:rPr>
        <w:t>inkrementinis</w:t>
      </w:r>
      <w:proofErr w:type="spellEnd"/>
      <w:r w:rsidR="00453862" w:rsidRPr="00E33EFF">
        <w:rPr>
          <w:iCs/>
          <w:sz w:val="20"/>
          <w:lang w:eastAsia="lt-LT"/>
        </w:rPr>
        <w:t xml:space="preserve">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 xml:space="preserve">angl. </w:t>
      </w:r>
      <w:proofErr w:type="spellStart"/>
      <w:r w:rsidR="00453862" w:rsidRPr="00E33EFF">
        <w:rPr>
          <w:i/>
          <w:sz w:val="20"/>
          <w:lang w:eastAsia="lt-LT"/>
        </w:rPr>
        <w:t>life</w:t>
      </w:r>
      <w:proofErr w:type="spellEnd"/>
      <w:r w:rsidR="00453862" w:rsidRPr="00E33EFF">
        <w:rPr>
          <w:i/>
          <w:sz w:val="20"/>
          <w:lang w:eastAsia="lt-LT"/>
        </w:rPr>
        <w:t xml:space="preserve"> </w:t>
      </w:r>
      <w:proofErr w:type="spellStart"/>
      <w:r w:rsidR="00453862" w:rsidRPr="00E33EFF">
        <w:rPr>
          <w:i/>
          <w:sz w:val="20"/>
          <w:lang w:eastAsia="lt-LT"/>
        </w:rPr>
        <w:t>years</w:t>
      </w:r>
      <w:proofErr w:type="spellEnd"/>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w:t>
      </w:r>
      <w:proofErr w:type="spellStart"/>
      <w:r w:rsidR="00453862" w:rsidRPr="00E33EFF">
        <w:rPr>
          <w:i/>
          <w:sz w:val="20"/>
          <w:lang w:eastAsia="lt-LT"/>
        </w:rPr>
        <w:t>quality</w:t>
      </w:r>
      <w:proofErr w:type="spellEnd"/>
      <w:r w:rsidR="00453862" w:rsidRPr="00E33EFF">
        <w:rPr>
          <w:i/>
          <w:sz w:val="20"/>
          <w:lang w:eastAsia="lt-LT"/>
        </w:rPr>
        <w:t xml:space="preserve"> </w:t>
      </w:r>
      <w:proofErr w:type="spellStart"/>
      <w:r w:rsidR="00453862" w:rsidRPr="00E33EFF">
        <w:rPr>
          <w:i/>
          <w:sz w:val="20"/>
          <w:lang w:eastAsia="lt-LT"/>
        </w:rPr>
        <w:t>adjusted</w:t>
      </w:r>
      <w:proofErr w:type="spellEnd"/>
      <w:r w:rsidR="00453862" w:rsidRPr="00E33EFF">
        <w:rPr>
          <w:i/>
          <w:sz w:val="20"/>
          <w:lang w:eastAsia="lt-LT"/>
        </w:rPr>
        <w:t xml:space="preserve"> </w:t>
      </w:r>
      <w:proofErr w:type="spellStart"/>
      <w:r w:rsidR="00453862" w:rsidRPr="00E33EFF">
        <w:rPr>
          <w:i/>
          <w:sz w:val="20"/>
          <w:lang w:eastAsia="lt-LT"/>
        </w:rPr>
        <w:t>life</w:t>
      </w:r>
      <w:proofErr w:type="spellEnd"/>
      <w:r w:rsidR="00453862" w:rsidRPr="00E33EFF">
        <w:rPr>
          <w:i/>
          <w:sz w:val="20"/>
          <w:lang w:eastAsia="lt-LT"/>
        </w:rPr>
        <w:t xml:space="preserve"> </w:t>
      </w:r>
      <w:proofErr w:type="spellStart"/>
      <w:r w:rsidR="00453862" w:rsidRPr="00E33EFF">
        <w:rPr>
          <w:i/>
          <w:sz w:val="20"/>
          <w:lang w:eastAsia="lt-LT"/>
        </w:rPr>
        <w:t>years</w:t>
      </w:r>
      <w:proofErr w:type="spellEnd"/>
      <w:r w:rsidR="00453862" w:rsidRPr="00E33EFF">
        <w:rPr>
          <w:i/>
          <w:sz w:val="20"/>
          <w:lang w:eastAsia="lt-LT"/>
        </w:rPr>
        <w:t xml:space="preserve">) </w:t>
      </w:r>
      <w:r w:rsidR="00453862" w:rsidRPr="00E33EFF">
        <w:rPr>
          <w:iCs/>
          <w:sz w:val="20"/>
          <w:lang w:eastAsia="lt-LT"/>
        </w:rPr>
        <w:t>kokybiški gyvenimo metai.</w:t>
      </w:r>
    </w:p>
    <w:p w14:paraId="33875138" w14:textId="77777777" w:rsidR="0035172D" w:rsidRDefault="0035172D" w:rsidP="00A93AA6">
      <w:pPr>
        <w:tabs>
          <w:tab w:val="left" w:pos="426"/>
        </w:tabs>
        <w:rPr>
          <w:b/>
          <w:bCs/>
          <w:caps/>
        </w:rPr>
      </w:pPr>
    </w:p>
    <w:p w14:paraId="6A567EBB" w14:textId="77777777" w:rsidR="005F5AD9" w:rsidRPr="00E33EFF" w:rsidRDefault="005F5AD9"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147953AB"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FF61E2">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383B5412" w14:textId="77777777" w:rsidR="003429B2" w:rsidRPr="00E33EFF" w:rsidRDefault="003429B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F407664"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FF61E2">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4916FD47" w:rsidR="0061611B" w:rsidRPr="00E312D5" w:rsidRDefault="0061611B" w:rsidP="0061611B">
      <w:pPr>
        <w:rPr>
          <w:i/>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68869861"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FF61E2">
                  <w:rPr>
                    <w:rStyle w:val="Style2"/>
                    <w:rFonts w:ascii="MS Gothic" w:eastAsia="MS Gothic" w:hAnsi="MS Gothic" w:hint="eastAsia"/>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1F66D9BC" w:rsidR="00B13D65" w:rsidRPr="00E33EFF" w:rsidRDefault="00000000" w:rsidP="00FF6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p>
        </w:tc>
        <w:tc>
          <w:tcPr>
            <w:tcW w:w="4814" w:type="dxa"/>
          </w:tcPr>
          <w:p w14:paraId="507828D9" w14:textId="6636A3C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22CF9728"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8C88D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DB8149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FF61E2">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25E85220"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CA35E4E"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w:t>
            </w:r>
            <w:r w:rsidR="00B00959" w:rsidRPr="00E33EFF">
              <w:t>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426132D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3429B2">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5444A27E"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w:t>
            </w:r>
            <w:r w:rsidR="00B00959" w:rsidRPr="00E33EFF">
              <w:t xml:space="preserve">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70A48A4" w14:textId="39C0278C" w:rsidR="00B13D65" w:rsidRPr="00E33EFF" w:rsidRDefault="00000000" w:rsidP="00893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tc>
      </w:tr>
    </w:tbl>
    <w:p w14:paraId="29A90384" w14:textId="4772D5ED" w:rsidR="004A3A61"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1B699B90" w14:textId="77777777" w:rsidR="003429B2" w:rsidRPr="00E33EFF" w:rsidRDefault="003429B2" w:rsidP="003429B2">
      <w:pPr>
        <w:spacing w:line="276" w:lineRule="auto"/>
        <w:ind w:firstLine="720"/>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w:t>
      </w:r>
    </w:p>
    <w:p w14:paraId="3D81A733" w14:textId="549D2232" w:rsidR="003429B2" w:rsidRDefault="003429B2" w:rsidP="003429B2">
      <w:pPr>
        <w:spacing w:line="276" w:lineRule="auto"/>
        <w:jc w:val="both"/>
      </w:pPr>
      <w:r w:rsidRPr="00E33EFF">
        <w:t xml:space="preserve">34.4. rekomenduojama </w:t>
      </w:r>
      <w:r w:rsidRPr="00E33EFF">
        <w:rPr>
          <w:i/>
        </w:rPr>
        <w:t xml:space="preserve">nekompensuoti </w:t>
      </w:r>
      <w:r w:rsidRPr="00E33EFF">
        <w:t>vaistinio preparato pagal paraiškoje nurodytą indikaciją</w:t>
      </w:r>
      <w:r>
        <w:t xml:space="preserve"> </w:t>
      </w:r>
      <w:r w:rsidRPr="00E33EFF">
        <w:t>be skyrimo sąlygų, netaikant PGS dėl vertinimo išvadų</w:t>
      </w:r>
      <w:r>
        <w:t xml:space="preserve">, nurodytų 33.3 papunktyje (žr. </w:t>
      </w:r>
      <w:r w:rsidR="005F5AD9">
        <w:t>6</w:t>
      </w:r>
      <w:r>
        <w:t xml:space="preserve"> skyri</w:t>
      </w:r>
      <w:r w:rsidR="005F5AD9">
        <w:t>ų</w:t>
      </w:r>
      <w:r>
        <w:t xml:space="preserve">), </w:t>
      </w:r>
      <w:r w:rsidRPr="00E33EFF">
        <w:t xml:space="preserve"> neatitikties </w:t>
      </w:r>
      <w:r w:rsidRPr="003D6208">
        <w:t>34.1 papunktyje išdėstytoms sąlygoms</w:t>
      </w:r>
      <w:r>
        <w:t xml:space="preserve">. </w:t>
      </w:r>
    </w:p>
    <w:p w14:paraId="2B35AA70" w14:textId="648FC186" w:rsidR="00375529" w:rsidRDefault="00375529" w:rsidP="003429B2">
      <w:pPr>
        <w:spacing w:line="276" w:lineRule="auto"/>
        <w:jc w:val="both"/>
      </w:pPr>
    </w:p>
    <w:p w14:paraId="7A000BE4" w14:textId="7D331314" w:rsidR="00E312D5" w:rsidRPr="00E312D5" w:rsidRDefault="00E312D5" w:rsidP="003429B2">
      <w:pPr>
        <w:spacing w:line="276" w:lineRule="auto"/>
        <w:jc w:val="both"/>
        <w:rPr>
          <w:i/>
        </w:rPr>
      </w:pPr>
      <w:r w:rsidRPr="00E312D5">
        <w:rPr>
          <w:i/>
        </w:rPr>
        <w:t>Papildomos pastabos</w:t>
      </w:r>
    </w:p>
    <w:p w14:paraId="4A9DED49" w14:textId="76496D8E" w:rsidR="00375529" w:rsidRDefault="00375529" w:rsidP="00787502">
      <w:pPr>
        <w:spacing w:after="120" w:line="276" w:lineRule="auto"/>
        <w:ind w:firstLine="567"/>
        <w:jc w:val="both"/>
        <w:rPr>
          <w:sz w:val="22"/>
          <w:szCs w:val="22"/>
        </w:rPr>
      </w:pPr>
      <w:r>
        <w:t>Atsižvelgiant į sukuriamus papildomus kokybiškus gyvenimo metus (QALY</w:t>
      </w:r>
      <w:r>
        <w:rPr>
          <w:lang w:val="en-GB"/>
        </w:rPr>
        <w:t>=</w:t>
      </w:r>
      <w:r w:rsidR="00E64942">
        <w:rPr>
          <w:lang w:val="en-GB"/>
        </w:rPr>
        <w:t>***</w:t>
      </w:r>
      <w:r>
        <w:rPr>
          <w:lang w:val="en-US"/>
        </w:rPr>
        <w:t>)</w:t>
      </w:r>
      <w:r>
        <w:t xml:space="preserve"> </w:t>
      </w:r>
      <w:r w:rsidRPr="00B72421">
        <w:t xml:space="preserve">pacientams, kuriems yra diagnozuotas ankstyvos stadijos krūties vėžys, kai nustatomi hormonų receptoriai (HR) ir nenustatomi 2 tipo žmogaus epidermio augimo faktoriaus receptoriai (angl. </w:t>
      </w:r>
      <w:proofErr w:type="spellStart"/>
      <w:r w:rsidRPr="000F0A5B">
        <w:rPr>
          <w:i/>
          <w:iCs/>
        </w:rPr>
        <w:t>human</w:t>
      </w:r>
      <w:proofErr w:type="spellEnd"/>
      <w:r w:rsidRPr="000F0A5B">
        <w:rPr>
          <w:i/>
          <w:iCs/>
        </w:rPr>
        <w:t xml:space="preserve"> </w:t>
      </w:r>
      <w:proofErr w:type="spellStart"/>
      <w:r w:rsidRPr="000F0A5B">
        <w:rPr>
          <w:i/>
          <w:iCs/>
        </w:rPr>
        <w:t>epidermal</w:t>
      </w:r>
      <w:proofErr w:type="spellEnd"/>
      <w:r w:rsidRPr="000F0A5B">
        <w:rPr>
          <w:i/>
          <w:iCs/>
        </w:rPr>
        <w:t xml:space="preserve"> </w:t>
      </w:r>
      <w:proofErr w:type="spellStart"/>
      <w:r w:rsidRPr="000F0A5B">
        <w:rPr>
          <w:i/>
          <w:iCs/>
        </w:rPr>
        <w:t>growth</w:t>
      </w:r>
      <w:proofErr w:type="spellEnd"/>
      <w:r w:rsidRPr="000F0A5B">
        <w:rPr>
          <w:i/>
          <w:iCs/>
        </w:rPr>
        <w:t xml:space="preserve"> </w:t>
      </w:r>
      <w:proofErr w:type="spellStart"/>
      <w:r w:rsidRPr="000F0A5B">
        <w:rPr>
          <w:i/>
          <w:iCs/>
        </w:rPr>
        <w:t>factor</w:t>
      </w:r>
      <w:proofErr w:type="spellEnd"/>
      <w:r w:rsidRPr="000F0A5B">
        <w:rPr>
          <w:i/>
          <w:iCs/>
        </w:rPr>
        <w:t xml:space="preserve"> </w:t>
      </w:r>
      <w:proofErr w:type="spellStart"/>
      <w:r w:rsidRPr="000F0A5B">
        <w:rPr>
          <w:i/>
          <w:iCs/>
        </w:rPr>
        <w:t>receptor</w:t>
      </w:r>
      <w:proofErr w:type="spellEnd"/>
      <w:r w:rsidRPr="000F0A5B">
        <w:rPr>
          <w:i/>
          <w:iCs/>
        </w:rPr>
        <w:t xml:space="preserve"> 2, HER2</w:t>
      </w:r>
      <w:r w:rsidRPr="00B72421">
        <w:t xml:space="preserve">), su metastazėmis limfmazgiuose ir </w:t>
      </w:r>
      <w:r w:rsidR="00E575EF">
        <w:t xml:space="preserve">esant </w:t>
      </w:r>
      <w:r w:rsidRPr="00B72421">
        <w:t>didele</w:t>
      </w:r>
      <w:r w:rsidR="00E312D5">
        <w:t>i</w:t>
      </w:r>
      <w:r w:rsidRPr="00B72421">
        <w:t xml:space="preserve"> ligos atsinaujinimo rizika</w:t>
      </w:r>
      <w:r w:rsidR="00E575EF">
        <w:t>i</w:t>
      </w:r>
      <w:r w:rsidR="00787502">
        <w:t xml:space="preserve">, </w:t>
      </w:r>
      <w:r>
        <w:t xml:space="preserve">Tarnyba, remiantis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Pr>
          <w:i/>
          <w:iCs/>
        </w:rPr>
        <w:t>kompensuoti</w:t>
      </w:r>
      <w:r>
        <w:t xml:space="preserve"> vaistinį preparatą </w:t>
      </w:r>
      <w:proofErr w:type="spellStart"/>
      <w:r w:rsidRPr="00DE0057">
        <w:rPr>
          <w:lang w:eastAsia="lt-LT"/>
        </w:rPr>
        <w:t>abemaciklib</w:t>
      </w:r>
      <w:r>
        <w:rPr>
          <w:lang w:eastAsia="lt-LT"/>
        </w:rPr>
        <w:t>ą</w:t>
      </w:r>
      <w:proofErr w:type="spellEnd"/>
      <w:r>
        <w:rPr>
          <w:lang w:eastAsia="lt-LT"/>
        </w:rPr>
        <w:t xml:space="preserve"> derinyje su endokrinine terapija</w:t>
      </w:r>
      <w:r w:rsidR="00787502">
        <w:rPr>
          <w:lang w:eastAsia="lt-LT"/>
        </w:rPr>
        <w:t xml:space="preserve"> </w:t>
      </w:r>
      <w:proofErr w:type="spellStart"/>
      <w:r w:rsidR="00787502">
        <w:rPr>
          <w:lang w:eastAsia="lt-LT"/>
        </w:rPr>
        <w:t>adjuvantiniam</w:t>
      </w:r>
      <w:proofErr w:type="spellEnd"/>
      <w:r w:rsidR="00787502">
        <w:rPr>
          <w:lang w:eastAsia="lt-LT"/>
        </w:rPr>
        <w:t xml:space="preserve"> gydymui</w:t>
      </w:r>
      <w:r>
        <w:t xml:space="preserve"> 8 skyriuje nurodytoms indikacijoms, su sąlyga</w:t>
      </w:r>
      <w:r w:rsidR="00E64942">
        <w:t xml:space="preserve"> ***.</w:t>
      </w:r>
      <w:r>
        <w:t xml:space="preserve"> </w:t>
      </w:r>
    </w:p>
    <w:p w14:paraId="1D344285" w14:textId="63157E5F" w:rsidR="005F5AD9" w:rsidRPr="00B02755" w:rsidRDefault="00B02755" w:rsidP="005F5AD9">
      <w:pPr>
        <w:spacing w:line="276" w:lineRule="auto"/>
        <w:ind w:firstLine="720"/>
        <w:jc w:val="both"/>
        <w:rPr>
          <w:lang w:val="en-US"/>
        </w:rPr>
      </w:pPr>
      <w:r>
        <w:t xml:space="preserve"> </w:t>
      </w:r>
    </w:p>
    <w:p w14:paraId="06BC01EE" w14:textId="44333E0B" w:rsidR="000723FF" w:rsidRPr="00E33EFF" w:rsidRDefault="000723FF" w:rsidP="00381024"/>
    <w:p w14:paraId="18B4292E" w14:textId="3190DB4E"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0BAAC694" w:rsidR="000723FF" w:rsidRPr="00E33E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3429B2">
            <w:rPr>
              <w:rStyle w:val="Style2"/>
              <w:rFonts w:ascii="MS Gothic" w:eastAsia="MS Gothic" w:hAnsi="MS Gothic" w:hint="eastAsia"/>
            </w:rPr>
            <w:t>☒</w:t>
          </w:r>
        </w:sdtContent>
      </w:sdt>
      <w:r w:rsidR="000723FF" w:rsidRPr="00E33EFF">
        <w:t xml:space="preserve"> Siūloma kompensuoti Pareiškėjo teikiamą indikaciją be pakeitimų.</w:t>
      </w:r>
    </w:p>
    <w:p w14:paraId="5A4147BA" w14:textId="77777777" w:rsidR="00B02755" w:rsidRDefault="003429B2" w:rsidP="00B02755">
      <w:pPr>
        <w:ind w:firstLine="720"/>
        <w:jc w:val="both"/>
      </w:pPr>
      <w:proofErr w:type="spellStart"/>
      <w:r w:rsidRPr="00B72421">
        <w:t>Verzenios</w:t>
      </w:r>
      <w:proofErr w:type="spellEnd"/>
      <w:r w:rsidRPr="00B72421">
        <w:t xml:space="preserve"> skirtas suaugusiems pacientams, kuriems yra diagnozuotas ankstyvos stadijos krūties vėžys, kai nustatomi hormonų receptoriai (HR) ir nenustatomi 2 tipo žmogaus epidermio augimo faktoriaus receptoriai (angl. </w:t>
      </w:r>
      <w:proofErr w:type="spellStart"/>
      <w:r w:rsidRPr="00B72421">
        <w:t>human</w:t>
      </w:r>
      <w:proofErr w:type="spellEnd"/>
      <w:r w:rsidRPr="00B72421">
        <w:t xml:space="preserve"> </w:t>
      </w:r>
      <w:proofErr w:type="spellStart"/>
      <w:r w:rsidRPr="00B72421">
        <w:t>epidermal</w:t>
      </w:r>
      <w:proofErr w:type="spellEnd"/>
      <w:r w:rsidRPr="00B72421">
        <w:t xml:space="preserve"> </w:t>
      </w:r>
      <w:proofErr w:type="spellStart"/>
      <w:r w:rsidRPr="00B72421">
        <w:t>growth</w:t>
      </w:r>
      <w:proofErr w:type="spellEnd"/>
      <w:r w:rsidRPr="00B72421">
        <w:t xml:space="preserve"> </w:t>
      </w:r>
      <w:proofErr w:type="spellStart"/>
      <w:r w:rsidRPr="00B72421">
        <w:t>factor</w:t>
      </w:r>
      <w:proofErr w:type="spellEnd"/>
      <w:r w:rsidRPr="00B72421">
        <w:t xml:space="preserve"> </w:t>
      </w:r>
      <w:proofErr w:type="spellStart"/>
      <w:r w:rsidRPr="00B72421">
        <w:t>receptor</w:t>
      </w:r>
      <w:proofErr w:type="spellEnd"/>
      <w:r w:rsidRPr="00B72421">
        <w:t xml:space="preserve"> 2, HER2), su metastazėmis limfmazgiuose ir didele ligos atsinaujinimo rizika </w:t>
      </w:r>
      <w:proofErr w:type="spellStart"/>
      <w:r w:rsidRPr="00B72421">
        <w:t>adjuvantiniam</w:t>
      </w:r>
      <w:proofErr w:type="spellEnd"/>
      <w:r w:rsidRPr="00B72421">
        <w:t xml:space="preserve"> gydymui derinant su endokrinine terapija.</w:t>
      </w:r>
    </w:p>
    <w:p w14:paraId="0B82E78E" w14:textId="18F7FAA4" w:rsidR="003429B2" w:rsidRDefault="003429B2" w:rsidP="00B02755">
      <w:pPr>
        <w:ind w:firstLine="720"/>
        <w:jc w:val="both"/>
      </w:pPr>
      <w:r w:rsidRPr="00B72421">
        <w:t xml:space="preserve">Moterims prieš menopauzę arba </w:t>
      </w:r>
      <w:proofErr w:type="spellStart"/>
      <w:r w:rsidRPr="00B72421">
        <w:t>perimenopauzės</w:t>
      </w:r>
      <w:proofErr w:type="spellEnd"/>
      <w:r w:rsidRPr="00B72421">
        <w:t xml:space="preserve"> laikotarpiu endokrininę terapiją </w:t>
      </w:r>
      <w:proofErr w:type="spellStart"/>
      <w:r w:rsidRPr="00B72421">
        <w:t>aromatazės</w:t>
      </w:r>
      <w:proofErr w:type="spellEnd"/>
      <w:r w:rsidRPr="00B72421">
        <w:t xml:space="preserve"> inhibitoriais reikia derinti su </w:t>
      </w:r>
      <w:proofErr w:type="spellStart"/>
      <w:r w:rsidRPr="00B72421">
        <w:t>liuteinizuojantį</w:t>
      </w:r>
      <w:proofErr w:type="spellEnd"/>
      <w:r w:rsidRPr="00B72421">
        <w:t xml:space="preserve"> hormoną atpalaiduojančio hormono (angl. </w:t>
      </w:r>
      <w:proofErr w:type="spellStart"/>
      <w:r w:rsidRPr="00B72421">
        <w:t>the</w:t>
      </w:r>
      <w:proofErr w:type="spellEnd"/>
      <w:r w:rsidRPr="00B72421">
        <w:t xml:space="preserve"> </w:t>
      </w:r>
      <w:proofErr w:type="spellStart"/>
      <w:r w:rsidRPr="00B72421">
        <w:t>luteinising</w:t>
      </w:r>
      <w:proofErr w:type="spellEnd"/>
      <w:r w:rsidRPr="00B72421">
        <w:t xml:space="preserve"> hormone-</w:t>
      </w:r>
      <w:proofErr w:type="spellStart"/>
      <w:r w:rsidRPr="00B72421">
        <w:t>releasing</w:t>
      </w:r>
      <w:proofErr w:type="spellEnd"/>
      <w:r w:rsidRPr="00B72421">
        <w:t xml:space="preserve"> hormone, LHRH) </w:t>
      </w:r>
      <w:proofErr w:type="spellStart"/>
      <w:r w:rsidRPr="00B72421">
        <w:t>agonistu</w:t>
      </w:r>
      <w:proofErr w:type="spellEnd"/>
      <w:r w:rsidRPr="00B72421">
        <w:t>.</w:t>
      </w:r>
    </w:p>
    <w:p w14:paraId="7C571681" w14:textId="77777777" w:rsidR="00787502" w:rsidRDefault="00787502" w:rsidP="00B02755">
      <w:pPr>
        <w:ind w:firstLine="720"/>
        <w:jc w:val="both"/>
      </w:pPr>
    </w:p>
    <w:p w14:paraId="597367EF" w14:textId="77777777" w:rsidR="000723FF" w:rsidRPr="00E33EFF"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Siūloma kompensuoti Pareiškėjo teikiamą indikaciją su pakeitimais.</w:t>
      </w:r>
    </w:p>
    <w:p w14:paraId="7DD65F7E" w14:textId="77777777" w:rsidR="000723FF" w:rsidRPr="00E33EFF" w:rsidRDefault="000723FF" w:rsidP="00824B92"/>
    <w:p w14:paraId="78920B60" w14:textId="77777777" w:rsidR="00787502" w:rsidRPr="00787502" w:rsidRDefault="00787502" w:rsidP="00787502">
      <w:pPr>
        <w:rPr>
          <w:b/>
        </w:rPr>
      </w:pPr>
      <w:r w:rsidRPr="00787502">
        <w:rPr>
          <w:b/>
        </w:rPr>
        <w:t>Skyrimo sąlygos</w:t>
      </w:r>
    </w:p>
    <w:p w14:paraId="15CB532B" w14:textId="71561DEE" w:rsidR="00787502" w:rsidRDefault="00000000" w:rsidP="00787502">
      <w:sdt>
        <w:sdtPr>
          <w:rPr>
            <w:rStyle w:val="Style2"/>
            <w:rFonts w:ascii="MS Gothic" w:eastAsia="MS Gothic" w:hAnsi="MS Gothic"/>
          </w:rPr>
          <w:id w:val="169305347"/>
          <w15:color w:val="FFCC00"/>
          <w14:checkbox>
            <w14:checked w14:val="0"/>
            <w14:checkedState w14:val="2612" w14:font="MS Gothic"/>
            <w14:uncheckedState w14:val="2610" w14:font="MS Gothic"/>
          </w14:checkbox>
        </w:sdtPr>
        <w:sdtContent>
          <w:r w:rsidR="00787502">
            <w:rPr>
              <w:rStyle w:val="Style2"/>
              <w:rFonts w:ascii="MS Gothic" w:eastAsia="MS Gothic" w:hAnsi="MS Gothic" w:hint="eastAsia"/>
            </w:rPr>
            <w:t>☐</w:t>
          </w:r>
        </w:sdtContent>
      </w:sdt>
      <w:r w:rsidR="00787502" w:rsidRPr="00E33EFF">
        <w:t xml:space="preserve"> Pareiškėjo siūlomos skyrimo sąlygos priimtinos. </w:t>
      </w:r>
    </w:p>
    <w:p w14:paraId="0FC725CE" w14:textId="77777777" w:rsidR="00787502" w:rsidRPr="00E33EFF" w:rsidRDefault="00787502" w:rsidP="00787502"/>
    <w:p w14:paraId="721D0255" w14:textId="493E79AB" w:rsidR="00787502" w:rsidRPr="00E33EFF" w:rsidRDefault="00000000" w:rsidP="00787502">
      <w:sdt>
        <w:sdtPr>
          <w:rPr>
            <w:rStyle w:val="Style2"/>
            <w:rFonts w:ascii="MS Gothic" w:eastAsia="MS Gothic" w:hAnsi="MS Gothic"/>
          </w:rPr>
          <w:id w:val="1823936883"/>
          <w15:color w:val="FFCC00"/>
          <w14:checkbox>
            <w14:checked w14:val="1"/>
            <w14:checkedState w14:val="2612" w14:font="MS Gothic"/>
            <w14:uncheckedState w14:val="2610" w14:font="MS Gothic"/>
          </w14:checkbox>
        </w:sdtPr>
        <w:sdtContent>
          <w:r w:rsidR="00636687">
            <w:rPr>
              <w:rStyle w:val="Style2"/>
              <w:rFonts w:ascii="MS Gothic" w:eastAsia="MS Gothic" w:hAnsi="MS Gothic" w:hint="eastAsia"/>
            </w:rPr>
            <w:t>☒</w:t>
          </w:r>
        </w:sdtContent>
      </w:sdt>
      <w:r w:rsidR="00787502" w:rsidRPr="00E33EFF">
        <w:t xml:space="preserve"> Pareiškėjo siūlomos skyrimo sąlygos nepriimtinos. </w:t>
      </w:r>
    </w:p>
    <w:p w14:paraId="5DEF6DA4" w14:textId="1ADB5494" w:rsidR="00787502" w:rsidRDefault="004E7463" w:rsidP="00787502">
      <w:r>
        <w:t>Tarnybos s</w:t>
      </w:r>
      <w:r w:rsidR="00787502" w:rsidRPr="00E33EFF">
        <w:t>i</w:t>
      </w:r>
      <w:r w:rsidR="00787502">
        <w:t>ūlom</w:t>
      </w:r>
      <w:r>
        <w:t>os</w:t>
      </w:r>
      <w:r w:rsidR="00787502">
        <w:t xml:space="preserve"> skyrimo sąlyg</w:t>
      </w:r>
      <w:r>
        <w:t>os</w:t>
      </w:r>
    </w:p>
    <w:p w14:paraId="51778A12" w14:textId="3AC7711D" w:rsidR="007858ED" w:rsidRPr="0089310F" w:rsidRDefault="007858ED" w:rsidP="007858ED">
      <w:pPr>
        <w:pStyle w:val="Betarp"/>
        <w:numPr>
          <w:ilvl w:val="0"/>
          <w:numId w:val="14"/>
        </w:numPr>
        <w:spacing w:line="276" w:lineRule="auto"/>
        <w:rPr>
          <w:rFonts w:ascii="Times New Roman" w:hAnsi="Times New Roman"/>
          <w:sz w:val="24"/>
          <w:szCs w:val="24"/>
        </w:rPr>
      </w:pPr>
      <w:r w:rsidRPr="0089310F">
        <w:rPr>
          <w:rFonts w:ascii="Times New Roman" w:hAnsi="Times New Roman"/>
          <w:sz w:val="24"/>
          <w:szCs w:val="24"/>
        </w:rPr>
        <w:t xml:space="preserve">Patvirtintas </w:t>
      </w:r>
      <w:r w:rsidR="005576B2" w:rsidRPr="0089310F">
        <w:rPr>
          <w:rFonts w:ascii="Times New Roman" w:hAnsi="Times New Roman"/>
          <w:sz w:val="24"/>
          <w:szCs w:val="24"/>
        </w:rPr>
        <w:t xml:space="preserve">krūties vėžys </w:t>
      </w:r>
      <w:r w:rsidR="005576B2">
        <w:rPr>
          <w:rFonts w:ascii="Times New Roman" w:hAnsi="Times New Roman"/>
          <w:sz w:val="24"/>
          <w:szCs w:val="24"/>
        </w:rPr>
        <w:t xml:space="preserve">su nustatytais </w:t>
      </w:r>
      <w:r w:rsidRPr="0089310F">
        <w:rPr>
          <w:rFonts w:ascii="Times New Roman" w:hAnsi="Times New Roman"/>
          <w:sz w:val="24"/>
          <w:szCs w:val="24"/>
        </w:rPr>
        <w:t>hormonų receptori</w:t>
      </w:r>
      <w:r w:rsidR="005576B2">
        <w:rPr>
          <w:rFonts w:ascii="Times New Roman" w:hAnsi="Times New Roman"/>
          <w:sz w:val="24"/>
          <w:szCs w:val="24"/>
        </w:rPr>
        <w:t>ais</w:t>
      </w:r>
      <w:r w:rsidRPr="0089310F">
        <w:rPr>
          <w:rFonts w:ascii="Times New Roman" w:hAnsi="Times New Roman"/>
          <w:sz w:val="24"/>
          <w:szCs w:val="24"/>
        </w:rPr>
        <w:t xml:space="preserve"> (HR) ir </w:t>
      </w:r>
      <w:r w:rsidR="005576B2">
        <w:rPr>
          <w:rFonts w:ascii="Times New Roman" w:hAnsi="Times New Roman"/>
          <w:sz w:val="24"/>
          <w:szCs w:val="24"/>
        </w:rPr>
        <w:t xml:space="preserve">nenustatytais </w:t>
      </w:r>
      <w:r w:rsidRPr="0089310F">
        <w:rPr>
          <w:rFonts w:ascii="Times New Roman" w:hAnsi="Times New Roman"/>
          <w:sz w:val="24"/>
          <w:szCs w:val="24"/>
        </w:rPr>
        <w:t xml:space="preserve">HER2 </w:t>
      </w:r>
      <w:r w:rsidR="005576B2">
        <w:rPr>
          <w:rFonts w:ascii="Times New Roman" w:hAnsi="Times New Roman"/>
          <w:sz w:val="24"/>
          <w:szCs w:val="24"/>
        </w:rPr>
        <w:t>rece</w:t>
      </w:r>
      <w:r w:rsidR="004E7463">
        <w:rPr>
          <w:rFonts w:ascii="Times New Roman" w:hAnsi="Times New Roman"/>
          <w:sz w:val="24"/>
          <w:szCs w:val="24"/>
        </w:rPr>
        <w:t>p</w:t>
      </w:r>
      <w:r w:rsidR="005576B2">
        <w:rPr>
          <w:rFonts w:ascii="Times New Roman" w:hAnsi="Times New Roman"/>
          <w:sz w:val="24"/>
          <w:szCs w:val="24"/>
        </w:rPr>
        <w:t>toriais.</w:t>
      </w:r>
    </w:p>
    <w:p w14:paraId="71F8BC16" w14:textId="3C433664" w:rsidR="007858ED" w:rsidRPr="0089310F" w:rsidRDefault="004E7463" w:rsidP="007858ED">
      <w:pPr>
        <w:pStyle w:val="Betarp"/>
        <w:numPr>
          <w:ilvl w:val="0"/>
          <w:numId w:val="14"/>
        </w:numPr>
        <w:spacing w:line="276" w:lineRule="auto"/>
        <w:rPr>
          <w:rFonts w:ascii="Times New Roman" w:hAnsi="Times New Roman"/>
          <w:sz w:val="24"/>
          <w:szCs w:val="24"/>
        </w:rPr>
      </w:pPr>
      <w:r>
        <w:rPr>
          <w:rFonts w:ascii="Times New Roman" w:hAnsi="Times New Roman"/>
          <w:sz w:val="24"/>
          <w:szCs w:val="24"/>
        </w:rPr>
        <w:lastRenderedPageBreak/>
        <w:t>P</w:t>
      </w:r>
      <w:r w:rsidR="007858ED" w:rsidRPr="0089310F">
        <w:rPr>
          <w:rFonts w:ascii="Times New Roman" w:hAnsi="Times New Roman"/>
          <w:sz w:val="24"/>
          <w:szCs w:val="24"/>
        </w:rPr>
        <w:t>irmini</w:t>
      </w:r>
      <w:r w:rsidR="002509AF">
        <w:rPr>
          <w:rFonts w:ascii="Times New Roman" w:hAnsi="Times New Roman"/>
          <w:sz w:val="24"/>
          <w:szCs w:val="24"/>
        </w:rPr>
        <w:t>s</w:t>
      </w:r>
      <w:r w:rsidR="007858ED" w:rsidRPr="0089310F">
        <w:rPr>
          <w:rFonts w:ascii="Times New Roman" w:hAnsi="Times New Roman"/>
          <w:sz w:val="24"/>
          <w:szCs w:val="24"/>
        </w:rPr>
        <w:t xml:space="preserve"> navik</w:t>
      </w:r>
      <w:r>
        <w:rPr>
          <w:rFonts w:ascii="Times New Roman" w:hAnsi="Times New Roman"/>
          <w:sz w:val="24"/>
          <w:szCs w:val="24"/>
        </w:rPr>
        <w:t xml:space="preserve">as </w:t>
      </w:r>
      <w:proofErr w:type="spellStart"/>
      <w:r>
        <w:rPr>
          <w:rFonts w:ascii="Times New Roman" w:hAnsi="Times New Roman"/>
          <w:sz w:val="24"/>
          <w:szCs w:val="24"/>
        </w:rPr>
        <w:t>chirurgiškai</w:t>
      </w:r>
      <w:proofErr w:type="spellEnd"/>
      <w:r w:rsidR="007858ED" w:rsidRPr="0089310F">
        <w:rPr>
          <w:rFonts w:ascii="Times New Roman" w:hAnsi="Times New Roman"/>
          <w:sz w:val="24"/>
          <w:szCs w:val="24"/>
        </w:rPr>
        <w:t xml:space="preserve"> pašalin</w:t>
      </w:r>
      <w:r>
        <w:rPr>
          <w:rFonts w:ascii="Times New Roman" w:hAnsi="Times New Roman"/>
          <w:sz w:val="24"/>
          <w:szCs w:val="24"/>
        </w:rPr>
        <w:t>tas</w:t>
      </w:r>
      <w:r w:rsidR="007858ED" w:rsidRPr="0089310F">
        <w:rPr>
          <w:rFonts w:ascii="Times New Roman" w:hAnsi="Times New Roman"/>
          <w:sz w:val="24"/>
          <w:szCs w:val="24"/>
        </w:rPr>
        <w:t xml:space="preserve"> ne anksčiau kaip prieš 16 mėnesių</w:t>
      </w:r>
      <w:r w:rsidR="005576B2">
        <w:rPr>
          <w:rFonts w:ascii="Times New Roman" w:hAnsi="Times New Roman"/>
          <w:sz w:val="24"/>
          <w:szCs w:val="24"/>
        </w:rPr>
        <w:t>.</w:t>
      </w:r>
    </w:p>
    <w:p w14:paraId="7CDFF220" w14:textId="04F15104" w:rsidR="000723FF" w:rsidRPr="0089310F" w:rsidRDefault="007858ED" w:rsidP="007858ED">
      <w:pPr>
        <w:pStyle w:val="Betarp"/>
        <w:numPr>
          <w:ilvl w:val="0"/>
          <w:numId w:val="14"/>
        </w:numPr>
        <w:spacing w:line="276" w:lineRule="auto"/>
        <w:jc w:val="both"/>
        <w:rPr>
          <w:rFonts w:ascii="Times New Roman" w:hAnsi="Times New Roman"/>
          <w:sz w:val="24"/>
          <w:szCs w:val="24"/>
        </w:rPr>
      </w:pPr>
      <w:proofErr w:type="spellStart"/>
      <w:r w:rsidRPr="0089310F">
        <w:rPr>
          <w:rFonts w:ascii="Times New Roman" w:hAnsi="Times New Roman"/>
          <w:sz w:val="24"/>
          <w:szCs w:val="24"/>
        </w:rPr>
        <w:t>Abemaciklibas</w:t>
      </w:r>
      <w:proofErr w:type="spellEnd"/>
      <w:r w:rsidRPr="0089310F">
        <w:rPr>
          <w:rFonts w:ascii="Times New Roman" w:hAnsi="Times New Roman"/>
          <w:sz w:val="24"/>
          <w:szCs w:val="24"/>
        </w:rPr>
        <w:t xml:space="preserve"> kartu su endokrinine terapija</w:t>
      </w:r>
      <w:r w:rsidR="004E7463">
        <w:rPr>
          <w:rFonts w:ascii="Times New Roman" w:hAnsi="Times New Roman"/>
          <w:sz w:val="24"/>
          <w:szCs w:val="24"/>
        </w:rPr>
        <w:t xml:space="preserve"> skiriamas</w:t>
      </w:r>
      <w:r w:rsidRPr="0089310F">
        <w:rPr>
          <w:rFonts w:ascii="Times New Roman" w:hAnsi="Times New Roman"/>
          <w:sz w:val="24"/>
          <w:szCs w:val="24"/>
        </w:rPr>
        <w:t xml:space="preserve"> nei ilgiau </w:t>
      </w:r>
      <w:r w:rsidR="0089310F" w:rsidRPr="0089310F">
        <w:rPr>
          <w:rFonts w:ascii="Times New Roman" w:hAnsi="Times New Roman"/>
          <w:sz w:val="24"/>
          <w:szCs w:val="24"/>
        </w:rPr>
        <w:t xml:space="preserve">kaip </w:t>
      </w:r>
      <w:r w:rsidRPr="0089310F">
        <w:rPr>
          <w:rFonts w:ascii="Times New Roman" w:hAnsi="Times New Roman"/>
          <w:sz w:val="24"/>
          <w:szCs w:val="24"/>
        </w:rPr>
        <w:t xml:space="preserve">2 metus, vėliau gydymas tęsiamas tik </w:t>
      </w:r>
      <w:r w:rsidR="004E7463">
        <w:rPr>
          <w:rFonts w:ascii="Times New Roman" w:hAnsi="Times New Roman"/>
          <w:sz w:val="24"/>
          <w:szCs w:val="24"/>
        </w:rPr>
        <w:t xml:space="preserve">taikant </w:t>
      </w:r>
      <w:r w:rsidRPr="0089310F">
        <w:rPr>
          <w:rFonts w:ascii="Times New Roman" w:hAnsi="Times New Roman"/>
          <w:sz w:val="24"/>
          <w:szCs w:val="24"/>
        </w:rPr>
        <w:t>endokrinin</w:t>
      </w:r>
      <w:r w:rsidR="004E7463">
        <w:rPr>
          <w:rFonts w:ascii="Times New Roman" w:hAnsi="Times New Roman"/>
          <w:sz w:val="24"/>
          <w:szCs w:val="24"/>
        </w:rPr>
        <w:t>ę</w:t>
      </w:r>
      <w:r w:rsidRPr="0089310F">
        <w:rPr>
          <w:rFonts w:ascii="Times New Roman" w:hAnsi="Times New Roman"/>
          <w:sz w:val="24"/>
          <w:szCs w:val="24"/>
        </w:rPr>
        <w:t xml:space="preserve"> terapij</w:t>
      </w:r>
      <w:r w:rsidR="004E7463">
        <w:rPr>
          <w:rFonts w:ascii="Times New Roman" w:hAnsi="Times New Roman"/>
          <w:sz w:val="24"/>
          <w:szCs w:val="24"/>
        </w:rPr>
        <w:t>ą</w:t>
      </w:r>
      <w:r w:rsidRPr="0089310F">
        <w:rPr>
          <w:rFonts w:ascii="Times New Roman" w:hAnsi="Times New Roman"/>
          <w:sz w:val="24"/>
          <w:szCs w:val="24"/>
        </w:rPr>
        <w:t xml:space="preserve"> iki ligos progres</w:t>
      </w:r>
      <w:r w:rsidR="00E312D5" w:rsidRPr="0089310F">
        <w:rPr>
          <w:rFonts w:ascii="Times New Roman" w:hAnsi="Times New Roman"/>
          <w:sz w:val="24"/>
          <w:szCs w:val="24"/>
        </w:rPr>
        <w:t>avimo</w:t>
      </w:r>
      <w:r w:rsidRPr="0089310F">
        <w:rPr>
          <w:rFonts w:ascii="Times New Roman" w:hAnsi="Times New Roman"/>
          <w:sz w:val="24"/>
          <w:szCs w:val="24"/>
        </w:rPr>
        <w:t xml:space="preserve"> arba </w:t>
      </w:r>
      <w:r w:rsidR="00E312D5" w:rsidRPr="0089310F">
        <w:rPr>
          <w:rFonts w:ascii="Times New Roman" w:hAnsi="Times New Roman"/>
          <w:sz w:val="24"/>
          <w:szCs w:val="24"/>
        </w:rPr>
        <w:t>nepriimtino toksinio poveikio atsiradimo</w:t>
      </w:r>
      <w:r w:rsidRPr="0089310F">
        <w:rPr>
          <w:rFonts w:ascii="Times New Roman" w:hAnsi="Times New Roman"/>
          <w:sz w:val="24"/>
          <w:szCs w:val="24"/>
        </w:rPr>
        <w:t>.</w:t>
      </w:r>
    </w:p>
    <w:sectPr w:rsidR="000723FF" w:rsidRPr="0089310F" w:rsidSect="00C5646E">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4B6C" w14:textId="77777777" w:rsidR="00C5646E" w:rsidRDefault="00C5646E">
      <w:r>
        <w:separator/>
      </w:r>
    </w:p>
  </w:endnote>
  <w:endnote w:type="continuationSeparator" w:id="0">
    <w:p w14:paraId="622A7D9F" w14:textId="77777777" w:rsidR="00C5646E" w:rsidRDefault="00C5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calaLancetPro">
    <w:altName w:val="Yu Gothic"/>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B6C7" w14:textId="77777777" w:rsidR="00C5646E" w:rsidRDefault="00C5646E">
      <w:r>
        <w:separator/>
      </w:r>
    </w:p>
  </w:footnote>
  <w:footnote w:type="continuationSeparator" w:id="0">
    <w:p w14:paraId="2361CF89" w14:textId="77777777" w:rsidR="00C5646E" w:rsidRDefault="00C56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7FD2C098"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09AF">
      <w:rPr>
        <w:rStyle w:val="Puslapionumeris"/>
        <w:noProof/>
      </w:rPr>
      <w:t>9</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E808AB"/>
    <w:multiLevelType w:val="hybridMultilevel"/>
    <w:tmpl w:val="ECAE6E8A"/>
    <w:lvl w:ilvl="0" w:tplc="A3BC1578">
      <w:start w:val="4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A5169C3"/>
    <w:multiLevelType w:val="hybridMultilevel"/>
    <w:tmpl w:val="DD5A6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E11E2A"/>
    <w:multiLevelType w:val="hybridMultilevel"/>
    <w:tmpl w:val="561AB120"/>
    <w:lvl w:ilvl="0" w:tplc="3A1219C0">
      <w:start w:val="3"/>
      <w:numFmt w:val="bullet"/>
      <w:lvlText w:val="-"/>
      <w:lvlJc w:val="left"/>
      <w:pPr>
        <w:ind w:left="720" w:hanging="360"/>
      </w:pPr>
      <w:rPr>
        <w:rFonts w:ascii="Times New Roman" w:eastAsia="Arial"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5800635">
    <w:abstractNumId w:val="8"/>
  </w:num>
  <w:num w:numId="2" w16cid:durableId="67046387">
    <w:abstractNumId w:val="1"/>
  </w:num>
  <w:num w:numId="3" w16cid:durableId="371809479">
    <w:abstractNumId w:val="11"/>
  </w:num>
  <w:num w:numId="4" w16cid:durableId="1447891349">
    <w:abstractNumId w:val="9"/>
  </w:num>
  <w:num w:numId="5" w16cid:durableId="501899760">
    <w:abstractNumId w:val="7"/>
  </w:num>
  <w:num w:numId="6" w16cid:durableId="2034839715">
    <w:abstractNumId w:val="5"/>
  </w:num>
  <w:num w:numId="7" w16cid:durableId="826827540">
    <w:abstractNumId w:val="4"/>
  </w:num>
  <w:num w:numId="8" w16cid:durableId="1666590675">
    <w:abstractNumId w:val="14"/>
  </w:num>
  <w:num w:numId="9" w16cid:durableId="962541776">
    <w:abstractNumId w:val="0"/>
  </w:num>
  <w:num w:numId="10" w16cid:durableId="1047949890">
    <w:abstractNumId w:val="12"/>
  </w:num>
  <w:num w:numId="11" w16cid:durableId="1503933598">
    <w:abstractNumId w:val="13"/>
  </w:num>
  <w:num w:numId="12" w16cid:durableId="2024818793">
    <w:abstractNumId w:val="2"/>
  </w:num>
  <w:num w:numId="13" w16cid:durableId="337390485">
    <w:abstractNumId w:val="3"/>
  </w:num>
  <w:num w:numId="14" w16cid:durableId="587619280">
    <w:abstractNumId w:val="10"/>
  </w:num>
  <w:num w:numId="15" w16cid:durableId="658778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518"/>
    <w:rsid w:val="000136F7"/>
    <w:rsid w:val="00022A2C"/>
    <w:rsid w:val="0002686C"/>
    <w:rsid w:val="00031D0E"/>
    <w:rsid w:val="000337E6"/>
    <w:rsid w:val="0003402E"/>
    <w:rsid w:val="00034EAE"/>
    <w:rsid w:val="00042924"/>
    <w:rsid w:val="0004503A"/>
    <w:rsid w:val="00053975"/>
    <w:rsid w:val="00057A2B"/>
    <w:rsid w:val="000606BE"/>
    <w:rsid w:val="000665A6"/>
    <w:rsid w:val="000723FF"/>
    <w:rsid w:val="000736B8"/>
    <w:rsid w:val="0008190F"/>
    <w:rsid w:val="00081D9C"/>
    <w:rsid w:val="00082907"/>
    <w:rsid w:val="0008378D"/>
    <w:rsid w:val="000908A5"/>
    <w:rsid w:val="00092805"/>
    <w:rsid w:val="000C3CCD"/>
    <w:rsid w:val="000C3F9C"/>
    <w:rsid w:val="000C454C"/>
    <w:rsid w:val="000D5038"/>
    <w:rsid w:val="000E29D4"/>
    <w:rsid w:val="000F0A5B"/>
    <w:rsid w:val="000F3540"/>
    <w:rsid w:val="00100491"/>
    <w:rsid w:val="00104E2E"/>
    <w:rsid w:val="00107287"/>
    <w:rsid w:val="00117406"/>
    <w:rsid w:val="00121EF0"/>
    <w:rsid w:val="00124A9E"/>
    <w:rsid w:val="00130703"/>
    <w:rsid w:val="0013153F"/>
    <w:rsid w:val="001408B8"/>
    <w:rsid w:val="001517E2"/>
    <w:rsid w:val="001521D9"/>
    <w:rsid w:val="001554E2"/>
    <w:rsid w:val="00160105"/>
    <w:rsid w:val="00164146"/>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09AF"/>
    <w:rsid w:val="002519CB"/>
    <w:rsid w:val="0025697F"/>
    <w:rsid w:val="00260258"/>
    <w:rsid w:val="00261965"/>
    <w:rsid w:val="0026588E"/>
    <w:rsid w:val="00265945"/>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008A"/>
    <w:rsid w:val="00317B0E"/>
    <w:rsid w:val="003429B2"/>
    <w:rsid w:val="00347FAA"/>
    <w:rsid w:val="0035172D"/>
    <w:rsid w:val="0036187D"/>
    <w:rsid w:val="00367EDB"/>
    <w:rsid w:val="00375529"/>
    <w:rsid w:val="00381024"/>
    <w:rsid w:val="00386307"/>
    <w:rsid w:val="003874DE"/>
    <w:rsid w:val="00393E9F"/>
    <w:rsid w:val="0039696E"/>
    <w:rsid w:val="003B211A"/>
    <w:rsid w:val="003C141F"/>
    <w:rsid w:val="003C6B0E"/>
    <w:rsid w:val="003C7068"/>
    <w:rsid w:val="003C7257"/>
    <w:rsid w:val="003C7E35"/>
    <w:rsid w:val="003D1877"/>
    <w:rsid w:val="003D1E99"/>
    <w:rsid w:val="003D6208"/>
    <w:rsid w:val="00404E8A"/>
    <w:rsid w:val="0040622F"/>
    <w:rsid w:val="00413F24"/>
    <w:rsid w:val="00422853"/>
    <w:rsid w:val="00423160"/>
    <w:rsid w:val="00453862"/>
    <w:rsid w:val="0045469B"/>
    <w:rsid w:val="00461338"/>
    <w:rsid w:val="00465497"/>
    <w:rsid w:val="004659AE"/>
    <w:rsid w:val="004677DB"/>
    <w:rsid w:val="0047414A"/>
    <w:rsid w:val="00476256"/>
    <w:rsid w:val="0048630F"/>
    <w:rsid w:val="0048716D"/>
    <w:rsid w:val="004947A1"/>
    <w:rsid w:val="0049482A"/>
    <w:rsid w:val="004979D3"/>
    <w:rsid w:val="004A00E7"/>
    <w:rsid w:val="004A3A61"/>
    <w:rsid w:val="004B205D"/>
    <w:rsid w:val="004B59BA"/>
    <w:rsid w:val="004B5A03"/>
    <w:rsid w:val="004C263A"/>
    <w:rsid w:val="004D48A6"/>
    <w:rsid w:val="004D7B8F"/>
    <w:rsid w:val="004E6458"/>
    <w:rsid w:val="004E6E7D"/>
    <w:rsid w:val="004E7463"/>
    <w:rsid w:val="004F1AAC"/>
    <w:rsid w:val="004F1AE2"/>
    <w:rsid w:val="004F34F0"/>
    <w:rsid w:val="004F3B2B"/>
    <w:rsid w:val="004F6050"/>
    <w:rsid w:val="005005EF"/>
    <w:rsid w:val="005123C2"/>
    <w:rsid w:val="00520499"/>
    <w:rsid w:val="0052144B"/>
    <w:rsid w:val="00524066"/>
    <w:rsid w:val="00534E11"/>
    <w:rsid w:val="005378D8"/>
    <w:rsid w:val="005400D9"/>
    <w:rsid w:val="00545B47"/>
    <w:rsid w:val="005476A4"/>
    <w:rsid w:val="0055019B"/>
    <w:rsid w:val="00556E63"/>
    <w:rsid w:val="005576B2"/>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5AD9"/>
    <w:rsid w:val="005F71D9"/>
    <w:rsid w:val="005F7602"/>
    <w:rsid w:val="006031C8"/>
    <w:rsid w:val="006062BE"/>
    <w:rsid w:val="00613143"/>
    <w:rsid w:val="00613501"/>
    <w:rsid w:val="0061611B"/>
    <w:rsid w:val="006166A8"/>
    <w:rsid w:val="006174A1"/>
    <w:rsid w:val="00621D6C"/>
    <w:rsid w:val="00633B49"/>
    <w:rsid w:val="00636687"/>
    <w:rsid w:val="0064297F"/>
    <w:rsid w:val="00645102"/>
    <w:rsid w:val="00646CF3"/>
    <w:rsid w:val="00653D11"/>
    <w:rsid w:val="00654FCA"/>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6F284B"/>
    <w:rsid w:val="00702C18"/>
    <w:rsid w:val="00703166"/>
    <w:rsid w:val="007127F3"/>
    <w:rsid w:val="007301CF"/>
    <w:rsid w:val="007316FB"/>
    <w:rsid w:val="00736EF7"/>
    <w:rsid w:val="007374D0"/>
    <w:rsid w:val="00737E2D"/>
    <w:rsid w:val="00740B13"/>
    <w:rsid w:val="00740F3A"/>
    <w:rsid w:val="007424D5"/>
    <w:rsid w:val="00743535"/>
    <w:rsid w:val="00750A88"/>
    <w:rsid w:val="007523DD"/>
    <w:rsid w:val="00757B7E"/>
    <w:rsid w:val="007656B2"/>
    <w:rsid w:val="0077016F"/>
    <w:rsid w:val="007713AD"/>
    <w:rsid w:val="007858ED"/>
    <w:rsid w:val="00787502"/>
    <w:rsid w:val="00795DC5"/>
    <w:rsid w:val="00797153"/>
    <w:rsid w:val="007A21F7"/>
    <w:rsid w:val="007A2B68"/>
    <w:rsid w:val="007B0DDA"/>
    <w:rsid w:val="007C7519"/>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9310F"/>
    <w:rsid w:val="008A0303"/>
    <w:rsid w:val="008A5FDD"/>
    <w:rsid w:val="008B0E0C"/>
    <w:rsid w:val="008C3947"/>
    <w:rsid w:val="008D2AB2"/>
    <w:rsid w:val="008E473B"/>
    <w:rsid w:val="008E51A6"/>
    <w:rsid w:val="008E7329"/>
    <w:rsid w:val="008F2ED5"/>
    <w:rsid w:val="0091382C"/>
    <w:rsid w:val="0092297E"/>
    <w:rsid w:val="00923651"/>
    <w:rsid w:val="00927B56"/>
    <w:rsid w:val="009341BF"/>
    <w:rsid w:val="00937907"/>
    <w:rsid w:val="00941739"/>
    <w:rsid w:val="00943E06"/>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45788"/>
    <w:rsid w:val="00A54D87"/>
    <w:rsid w:val="00A5553C"/>
    <w:rsid w:val="00A701C9"/>
    <w:rsid w:val="00A81785"/>
    <w:rsid w:val="00A84803"/>
    <w:rsid w:val="00A84C51"/>
    <w:rsid w:val="00A86F2B"/>
    <w:rsid w:val="00A91366"/>
    <w:rsid w:val="00A925A2"/>
    <w:rsid w:val="00A93AA6"/>
    <w:rsid w:val="00AA4E48"/>
    <w:rsid w:val="00AA6202"/>
    <w:rsid w:val="00AA7B57"/>
    <w:rsid w:val="00AC26FC"/>
    <w:rsid w:val="00AC4A99"/>
    <w:rsid w:val="00AC64D2"/>
    <w:rsid w:val="00AD02E7"/>
    <w:rsid w:val="00AE0FE8"/>
    <w:rsid w:val="00AE1322"/>
    <w:rsid w:val="00AF02ED"/>
    <w:rsid w:val="00AF41E2"/>
    <w:rsid w:val="00AF60D5"/>
    <w:rsid w:val="00B00959"/>
    <w:rsid w:val="00B02755"/>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37F9"/>
    <w:rsid w:val="00BB6312"/>
    <w:rsid w:val="00BC4D06"/>
    <w:rsid w:val="00BD585E"/>
    <w:rsid w:val="00BD6919"/>
    <w:rsid w:val="00BE1EA7"/>
    <w:rsid w:val="00BE4514"/>
    <w:rsid w:val="00BE7489"/>
    <w:rsid w:val="00BF2E0D"/>
    <w:rsid w:val="00BF3927"/>
    <w:rsid w:val="00BF3F8B"/>
    <w:rsid w:val="00BF76DA"/>
    <w:rsid w:val="00C07C7B"/>
    <w:rsid w:val="00C16245"/>
    <w:rsid w:val="00C22DC5"/>
    <w:rsid w:val="00C24479"/>
    <w:rsid w:val="00C273F2"/>
    <w:rsid w:val="00C37B53"/>
    <w:rsid w:val="00C43468"/>
    <w:rsid w:val="00C44876"/>
    <w:rsid w:val="00C517D2"/>
    <w:rsid w:val="00C5646E"/>
    <w:rsid w:val="00C5772E"/>
    <w:rsid w:val="00C60C77"/>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70E4"/>
    <w:rsid w:val="00DB1F64"/>
    <w:rsid w:val="00DC2F53"/>
    <w:rsid w:val="00DC5BAC"/>
    <w:rsid w:val="00DC6816"/>
    <w:rsid w:val="00DC76C2"/>
    <w:rsid w:val="00DD1CF2"/>
    <w:rsid w:val="00DE0057"/>
    <w:rsid w:val="00DE4484"/>
    <w:rsid w:val="00DF41B7"/>
    <w:rsid w:val="00DF4A4A"/>
    <w:rsid w:val="00DF583C"/>
    <w:rsid w:val="00E03C3F"/>
    <w:rsid w:val="00E06FD7"/>
    <w:rsid w:val="00E07417"/>
    <w:rsid w:val="00E233AF"/>
    <w:rsid w:val="00E24D45"/>
    <w:rsid w:val="00E312D5"/>
    <w:rsid w:val="00E33DB8"/>
    <w:rsid w:val="00E33EFF"/>
    <w:rsid w:val="00E34387"/>
    <w:rsid w:val="00E348BA"/>
    <w:rsid w:val="00E369FE"/>
    <w:rsid w:val="00E37C6F"/>
    <w:rsid w:val="00E475F8"/>
    <w:rsid w:val="00E5102E"/>
    <w:rsid w:val="00E51B83"/>
    <w:rsid w:val="00E5721C"/>
    <w:rsid w:val="00E575EF"/>
    <w:rsid w:val="00E619C6"/>
    <w:rsid w:val="00E64942"/>
    <w:rsid w:val="00E745A1"/>
    <w:rsid w:val="00E81529"/>
    <w:rsid w:val="00E83A13"/>
    <w:rsid w:val="00EB6FC5"/>
    <w:rsid w:val="00EC2356"/>
    <w:rsid w:val="00EC2582"/>
    <w:rsid w:val="00EC337C"/>
    <w:rsid w:val="00EC6879"/>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1E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840320">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3699B4F947455FBE2931AB583B6F52"/>
        <w:category>
          <w:name w:val="General"/>
          <w:gallery w:val="placeholder"/>
        </w:category>
        <w:types>
          <w:type w:val="bbPlcHdr"/>
        </w:types>
        <w:behaviors>
          <w:behavior w:val="content"/>
        </w:behaviors>
        <w:guid w:val="{6D8E9581-E572-4E89-8EFB-D1EFCC701F70}"/>
      </w:docPartPr>
      <w:docPartBody>
        <w:p w:rsidR="00AC7E6B" w:rsidRDefault="002636FB" w:rsidP="002636FB">
          <w:pPr>
            <w:pStyle w:val="CC3699B4F947455FBE2931AB583B6F52"/>
          </w:pPr>
          <w:r>
            <w:rPr>
              <w:rStyle w:val="Vietosrezervavimoenklotekstas"/>
            </w:rPr>
            <w:t>Click here to enter a date.</w:t>
          </w:r>
        </w:p>
      </w:docPartBody>
    </w:docPart>
    <w:docPart>
      <w:docPartPr>
        <w:name w:val="888C4BCC6ECA46B7BAB3BD31A099D56D"/>
        <w:category>
          <w:name w:val="General"/>
          <w:gallery w:val="placeholder"/>
        </w:category>
        <w:types>
          <w:type w:val="bbPlcHdr"/>
        </w:types>
        <w:behaviors>
          <w:behavior w:val="content"/>
        </w:behaviors>
        <w:guid w:val="{4C933117-2F62-4651-818E-11DBA56AFF69}"/>
      </w:docPartPr>
      <w:docPartBody>
        <w:p w:rsidR="00AC7E6B" w:rsidRDefault="002636FB" w:rsidP="002636FB">
          <w:pPr>
            <w:pStyle w:val="888C4BCC6ECA46B7BAB3BD31A099D56D"/>
          </w:pPr>
          <w:r>
            <w:rPr>
              <w:rStyle w:val="Vietosrezervavimoenklotekstas"/>
            </w:rPr>
            <w:t>Click here to enter a date.</w:t>
          </w:r>
        </w:p>
      </w:docPartBody>
    </w:docPart>
    <w:docPart>
      <w:docPartPr>
        <w:name w:val="2FD8A36481B34BD7A48EA5F21EBB39A3"/>
        <w:category>
          <w:name w:val="General"/>
          <w:gallery w:val="placeholder"/>
        </w:category>
        <w:types>
          <w:type w:val="bbPlcHdr"/>
        </w:types>
        <w:behaviors>
          <w:behavior w:val="content"/>
        </w:behaviors>
        <w:guid w:val="{FF357DEB-6200-4A86-8815-5D8716325858}"/>
      </w:docPartPr>
      <w:docPartBody>
        <w:p w:rsidR="00AC7E6B" w:rsidRDefault="002636FB" w:rsidP="002636FB">
          <w:pPr>
            <w:pStyle w:val="2FD8A36481B34BD7A48EA5F21EBB39A3"/>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calaLancetPro">
    <w:altName w:val="Yu Gothic"/>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645BB"/>
    <w:rsid w:val="00164A8C"/>
    <w:rsid w:val="001C35A9"/>
    <w:rsid w:val="001F47C5"/>
    <w:rsid w:val="00237556"/>
    <w:rsid w:val="002636FB"/>
    <w:rsid w:val="00265B57"/>
    <w:rsid w:val="00271FB1"/>
    <w:rsid w:val="0039303B"/>
    <w:rsid w:val="004144A3"/>
    <w:rsid w:val="004160E7"/>
    <w:rsid w:val="004416C6"/>
    <w:rsid w:val="004F5AB2"/>
    <w:rsid w:val="005074B9"/>
    <w:rsid w:val="005E40DD"/>
    <w:rsid w:val="007219C1"/>
    <w:rsid w:val="00753462"/>
    <w:rsid w:val="00772140"/>
    <w:rsid w:val="00772325"/>
    <w:rsid w:val="007A2FE0"/>
    <w:rsid w:val="007C6D1D"/>
    <w:rsid w:val="00824576"/>
    <w:rsid w:val="0090074D"/>
    <w:rsid w:val="009B3BF0"/>
    <w:rsid w:val="009D5E5E"/>
    <w:rsid w:val="009F1BB4"/>
    <w:rsid w:val="00A87CF8"/>
    <w:rsid w:val="00AB6ED4"/>
    <w:rsid w:val="00AC7E6B"/>
    <w:rsid w:val="00B14210"/>
    <w:rsid w:val="00B23DC0"/>
    <w:rsid w:val="00B96656"/>
    <w:rsid w:val="00BE29C1"/>
    <w:rsid w:val="00C2401D"/>
    <w:rsid w:val="00C53A68"/>
    <w:rsid w:val="00CA5BB4"/>
    <w:rsid w:val="00CB4BD1"/>
    <w:rsid w:val="00CE2DA9"/>
    <w:rsid w:val="00CE44BE"/>
    <w:rsid w:val="00D107CD"/>
    <w:rsid w:val="00D4356B"/>
    <w:rsid w:val="00D7162F"/>
    <w:rsid w:val="00E44A86"/>
    <w:rsid w:val="00E522EB"/>
    <w:rsid w:val="00E60827"/>
    <w:rsid w:val="00E73FF6"/>
    <w:rsid w:val="00EF6E0C"/>
    <w:rsid w:val="00F13545"/>
    <w:rsid w:val="00F55028"/>
    <w:rsid w:val="00F7430C"/>
    <w:rsid w:val="00F77BEF"/>
    <w:rsid w:val="00FC755C"/>
    <w:rsid w:val="00FE0D46"/>
    <w:rsid w:val="00FE3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2636FB"/>
    <w:rPr>
      <w:color w:val="808080"/>
    </w:rPr>
  </w:style>
  <w:style w:type="paragraph" w:customStyle="1" w:styleId="CC3699B4F947455FBE2931AB583B6F52">
    <w:name w:val="CC3699B4F947455FBE2931AB583B6F52"/>
    <w:rsid w:val="002636FB"/>
  </w:style>
  <w:style w:type="paragraph" w:customStyle="1" w:styleId="888C4BCC6ECA46B7BAB3BD31A099D56D">
    <w:name w:val="888C4BCC6ECA46B7BAB3BD31A099D56D"/>
    <w:rsid w:val="002636FB"/>
  </w:style>
  <w:style w:type="paragraph" w:customStyle="1" w:styleId="2FD8A36481B34BD7A48EA5F21EBB39A3">
    <w:name w:val="2FD8A36481B34BD7A48EA5F21EBB39A3"/>
    <w:rsid w:val="00263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C7D8-1CAE-44DD-80E1-A057134A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15452</Words>
  <Characters>8809</Characters>
  <Application>Microsoft Office Word</Application>
  <DocSecurity>0</DocSecurity>
  <Lines>73</Lines>
  <Paragraphs>48</Paragraphs>
  <ScaleCrop>false</ScaleCrop>
  <Company/>
  <LinksUpToDate>false</LinksUpToDate>
  <CharactersWithSpaces>24213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2024-02-07T15:00:00Z</dcterms:created>
  <dcterms:modified xsi:type="dcterms:W3CDTF">2024-02-07T15:01:00Z</dcterms:modified>
</cp:coreProperties>
</file>