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Pr="00F329EA" w:rsidRDefault="004C263A" w:rsidP="001B3C5B">
      <w:pPr>
        <w:ind w:left="6096"/>
      </w:pPr>
      <w:r>
        <w:t xml:space="preserve">(Valstybinės vaistų kontrolės tarnybos prie Lietuvos Respublikos sveikatos apsaugos ministerijos viršininko 2022 m.                         d. </w:t>
      </w:r>
      <w:r w:rsidRPr="00F329EA">
        <w:t>įsakymo Nr.                    redakcija)</w:t>
      </w:r>
    </w:p>
    <w:p w14:paraId="3336BD74" w14:textId="77777777" w:rsidR="001B3C5B" w:rsidRPr="00F329EA" w:rsidRDefault="001B3C5B" w:rsidP="00FA4169"/>
    <w:p w14:paraId="77AFB67E" w14:textId="16397257" w:rsidR="00613501" w:rsidRPr="00F329EA" w:rsidRDefault="002F0E4F" w:rsidP="003B211A">
      <w:pPr>
        <w:jc w:val="center"/>
        <w:rPr>
          <w:b/>
          <w:bCs/>
          <w:caps/>
        </w:rPr>
      </w:pPr>
      <w:r w:rsidRPr="00F329EA">
        <w:rPr>
          <w:b/>
        </w:rPr>
        <w:t xml:space="preserve">REKOMENDACIJA DĖL VAISTINIO PREPARATO </w:t>
      </w:r>
      <w:r w:rsidRPr="00F329EA">
        <w:rPr>
          <w:b/>
          <w:bCs/>
          <w:caps/>
        </w:rPr>
        <w:t>Lietuvos Respublikos Sveikatos apsaugos ministerijos vaistinių preparatų ir medicinos pagalbos priemonių kompensavimo komisijai</w:t>
      </w:r>
    </w:p>
    <w:p w14:paraId="34E4395D" w14:textId="623D0445" w:rsidR="00B13D65" w:rsidRPr="00F329EA" w:rsidRDefault="00B13D65" w:rsidP="003B211A">
      <w:pPr>
        <w:jc w:val="center"/>
        <w:rPr>
          <w:b/>
        </w:rPr>
      </w:pPr>
    </w:p>
    <w:p w14:paraId="4379A38F" w14:textId="42BEE814" w:rsidR="001A0642" w:rsidRPr="00F329EA" w:rsidRDefault="001A0642" w:rsidP="001A0642">
      <w:pPr>
        <w:jc w:val="center"/>
        <w:rPr>
          <w:color w:val="333333"/>
          <w:shd w:val="clear" w:color="auto" w:fill="FFFFFF"/>
          <w:lang w:eastAsia="en-GB"/>
        </w:rPr>
      </w:pPr>
      <w:r w:rsidRPr="00F329EA">
        <w:t xml:space="preserve">Skyrizi, 75 mg </w:t>
      </w:r>
      <w:r w:rsidRPr="00F329EA">
        <w:rPr>
          <w:color w:val="333333"/>
          <w:shd w:val="clear" w:color="auto" w:fill="FFFFFF"/>
          <w:lang w:eastAsia="en-GB"/>
        </w:rPr>
        <w:t>injekcinis tirpalas užpildytame švirkšte</w:t>
      </w:r>
    </w:p>
    <w:p w14:paraId="0E1FC63C" w14:textId="0A3448CF" w:rsidR="008F0FAE" w:rsidRPr="00F329EA" w:rsidRDefault="008F0FAE" w:rsidP="008F0FAE">
      <w:pPr>
        <w:jc w:val="center"/>
        <w:rPr>
          <w:lang w:eastAsia="en-GB"/>
        </w:rPr>
      </w:pPr>
      <w:r w:rsidRPr="00F329EA">
        <w:t xml:space="preserve">Skyrizi 150 mg </w:t>
      </w:r>
      <w:r w:rsidRPr="00F329EA">
        <w:rPr>
          <w:color w:val="333333"/>
          <w:shd w:val="clear" w:color="auto" w:fill="FFFFFF"/>
          <w:lang w:eastAsia="en-GB"/>
        </w:rPr>
        <w:t>injekcinis tirpalas užpildytame švirkšte</w:t>
      </w:r>
    </w:p>
    <w:p w14:paraId="2C848D67" w14:textId="77777777" w:rsidR="001A0642" w:rsidRPr="00F329EA" w:rsidRDefault="001A0642" w:rsidP="001A0642">
      <w:pPr>
        <w:rPr>
          <w:b/>
        </w:rPr>
      </w:pPr>
    </w:p>
    <w:p w14:paraId="743163D5" w14:textId="77777777" w:rsidR="001A0642" w:rsidRPr="00F329EA" w:rsidRDefault="001A0642" w:rsidP="001A0642">
      <w:pPr>
        <w:jc w:val="center"/>
        <w:rPr>
          <w:b/>
          <w:bCs/>
        </w:rPr>
      </w:pPr>
      <w:r w:rsidRPr="00F329EA">
        <w:rPr>
          <w:b/>
          <w:bCs/>
        </w:rPr>
        <w:t>(Risankizumabas)</w:t>
      </w:r>
    </w:p>
    <w:p w14:paraId="25CFE428" w14:textId="77777777" w:rsidR="001A0642" w:rsidRPr="00F329EA" w:rsidRDefault="001A0642" w:rsidP="001A0642">
      <w:pPr>
        <w:jc w:val="center"/>
      </w:pPr>
    </w:p>
    <w:p w14:paraId="33709D16" w14:textId="176A5457" w:rsidR="001A0642" w:rsidRPr="00F329EA" w:rsidRDefault="001A0642" w:rsidP="001A0642">
      <w:pPr>
        <w:jc w:val="center"/>
        <w:rPr>
          <w:b/>
          <w:lang w:val="en-US"/>
        </w:rPr>
      </w:pPr>
      <w:r w:rsidRPr="00F329EA">
        <w:rPr>
          <w:b/>
        </w:rPr>
        <w:t>STV-11</w:t>
      </w:r>
      <w:r w:rsidRPr="00F329EA">
        <w:rPr>
          <w:b/>
          <w:lang w:val="en-US"/>
        </w:rPr>
        <w:t>6</w:t>
      </w:r>
    </w:p>
    <w:p w14:paraId="71C9E00F" w14:textId="68A59888" w:rsidR="001A0642" w:rsidRPr="00F329EA" w:rsidRDefault="001A0642" w:rsidP="006F3037">
      <w:pPr>
        <w:rPr>
          <w:b/>
        </w:rPr>
      </w:pPr>
    </w:p>
    <w:p w14:paraId="33D987A0" w14:textId="77777777" w:rsidR="001A0642" w:rsidRPr="00F329EA" w:rsidRDefault="001A0642" w:rsidP="003B211A">
      <w:pPr>
        <w:jc w:val="center"/>
        <w:rPr>
          <w:b/>
        </w:rPr>
      </w:pPr>
    </w:p>
    <w:p w14:paraId="78C89D1C" w14:textId="0DA88316" w:rsidR="00D4485B" w:rsidRPr="00F329EA" w:rsidRDefault="00B13D65" w:rsidP="00937907">
      <w:pPr>
        <w:pStyle w:val="Sraopastraipa"/>
        <w:numPr>
          <w:ilvl w:val="0"/>
          <w:numId w:val="12"/>
        </w:numPr>
        <w:tabs>
          <w:tab w:val="left" w:pos="284"/>
        </w:tabs>
        <w:rPr>
          <w:b/>
          <w:bCs/>
          <w:caps/>
        </w:rPr>
      </w:pPr>
      <w:r w:rsidRPr="00F329EA">
        <w:rPr>
          <w:b/>
          <w:bCs/>
          <w:caps/>
        </w:rPr>
        <w:t>Bendroji dalis</w:t>
      </w:r>
    </w:p>
    <w:p w14:paraId="04A7C7A7" w14:textId="77777777" w:rsidR="00B13D65" w:rsidRPr="00F329EA" w:rsidRDefault="00B13D65" w:rsidP="00E03C3F">
      <w:pPr>
        <w:pStyle w:val="Sraopastraipa"/>
        <w:tabs>
          <w:tab w:val="left" w:pos="284"/>
        </w:tabs>
        <w:ind w:left="0"/>
        <w:rPr>
          <w:b/>
          <w:bCs/>
          <w:caps/>
        </w:rPr>
      </w:pPr>
    </w:p>
    <w:tbl>
      <w:tblPr>
        <w:tblStyle w:val="Lentelstinklelis"/>
        <w:tblW w:w="9918" w:type="dxa"/>
        <w:jc w:val="center"/>
        <w:tblLook w:val="04A0" w:firstRow="1" w:lastRow="0" w:firstColumn="1" w:lastColumn="0" w:noHBand="0" w:noVBand="1"/>
      </w:tblPr>
      <w:tblGrid>
        <w:gridCol w:w="705"/>
        <w:gridCol w:w="4117"/>
        <w:gridCol w:w="5096"/>
      </w:tblGrid>
      <w:tr w:rsidR="001A0642" w:rsidRPr="00F329EA" w14:paraId="1581DA67" w14:textId="77777777" w:rsidTr="00A445D1">
        <w:trPr>
          <w:trHeight w:val="342"/>
          <w:jc w:val="center"/>
        </w:trPr>
        <w:tc>
          <w:tcPr>
            <w:tcW w:w="705" w:type="dxa"/>
          </w:tcPr>
          <w:p w14:paraId="247D2EB7" w14:textId="77777777" w:rsidR="001A0642" w:rsidRPr="00F329EA" w:rsidRDefault="001A0642" w:rsidP="00261D2E">
            <w:pPr>
              <w:tabs>
                <w:tab w:val="left" w:pos="284"/>
              </w:tabs>
              <w:spacing w:line="280" w:lineRule="atLeast"/>
              <w:rPr>
                <w:rFonts w:eastAsia="Arial"/>
                <w:b/>
              </w:rPr>
            </w:pPr>
            <w:r w:rsidRPr="00F329EA">
              <w:rPr>
                <w:rFonts w:eastAsia="Arial"/>
                <w:b/>
              </w:rPr>
              <w:t>1.1</w:t>
            </w:r>
          </w:p>
        </w:tc>
        <w:tc>
          <w:tcPr>
            <w:tcW w:w="4117" w:type="dxa"/>
          </w:tcPr>
          <w:p w14:paraId="7175ED38" w14:textId="77777777" w:rsidR="001A0642" w:rsidRPr="00F329EA" w:rsidRDefault="001A0642" w:rsidP="00261D2E">
            <w:pPr>
              <w:tabs>
                <w:tab w:val="left" w:pos="284"/>
              </w:tabs>
              <w:spacing w:line="280" w:lineRule="atLeast"/>
              <w:rPr>
                <w:b/>
                <w:bCs/>
                <w:color w:val="000000"/>
                <w:lang w:eastAsia="lt-LT"/>
              </w:rPr>
            </w:pPr>
            <w:r w:rsidRPr="00F329EA">
              <w:rPr>
                <w:b/>
                <w:bCs/>
                <w:color w:val="000000"/>
                <w:lang w:eastAsia="lt-LT"/>
              </w:rPr>
              <w:t>Pareiškėjas</w:t>
            </w:r>
          </w:p>
        </w:tc>
        <w:tc>
          <w:tcPr>
            <w:tcW w:w="5096" w:type="dxa"/>
          </w:tcPr>
          <w:p w14:paraId="541A7185" w14:textId="77777777" w:rsidR="001A0642" w:rsidRPr="00F329EA" w:rsidRDefault="001A0642" w:rsidP="00261D2E">
            <w:pPr>
              <w:pStyle w:val="Sraopastraipa"/>
              <w:spacing w:after="120"/>
              <w:ind w:left="0"/>
              <w:contextualSpacing w:val="0"/>
              <w:jc w:val="both"/>
            </w:pPr>
            <w:r w:rsidRPr="00F329EA">
              <w:t>UAB „AbbVie“</w:t>
            </w:r>
          </w:p>
        </w:tc>
      </w:tr>
      <w:tr w:rsidR="001A0642" w:rsidRPr="00F329EA" w14:paraId="743DF67C" w14:textId="77777777" w:rsidTr="00A445D1">
        <w:trPr>
          <w:trHeight w:val="479"/>
          <w:jc w:val="center"/>
        </w:trPr>
        <w:tc>
          <w:tcPr>
            <w:tcW w:w="705" w:type="dxa"/>
          </w:tcPr>
          <w:p w14:paraId="31A46827" w14:textId="77777777" w:rsidR="001A0642" w:rsidRPr="00F329EA" w:rsidRDefault="001A0642" w:rsidP="00261D2E">
            <w:pPr>
              <w:tabs>
                <w:tab w:val="left" w:pos="284"/>
              </w:tabs>
              <w:spacing w:line="280" w:lineRule="atLeast"/>
              <w:rPr>
                <w:rFonts w:eastAsia="Arial"/>
                <w:b/>
              </w:rPr>
            </w:pPr>
            <w:r w:rsidRPr="00F329EA">
              <w:rPr>
                <w:rFonts w:eastAsia="Arial"/>
                <w:b/>
              </w:rPr>
              <w:t>1.2</w:t>
            </w:r>
          </w:p>
        </w:tc>
        <w:tc>
          <w:tcPr>
            <w:tcW w:w="4117" w:type="dxa"/>
          </w:tcPr>
          <w:p w14:paraId="0B3C65A1" w14:textId="77777777" w:rsidR="001A0642" w:rsidRPr="00F329EA" w:rsidRDefault="001A0642" w:rsidP="00261D2E">
            <w:pPr>
              <w:tabs>
                <w:tab w:val="left" w:pos="284"/>
              </w:tabs>
              <w:spacing w:line="280" w:lineRule="atLeast"/>
              <w:rPr>
                <w:b/>
                <w:bCs/>
                <w:color w:val="000000"/>
                <w:lang w:eastAsia="lt-LT"/>
              </w:rPr>
            </w:pPr>
            <w:r w:rsidRPr="00F329EA">
              <w:rPr>
                <w:b/>
                <w:bCs/>
                <w:color w:val="000000"/>
                <w:lang w:eastAsia="lt-LT"/>
              </w:rPr>
              <w:t>Registracijos data (EVA)</w:t>
            </w:r>
          </w:p>
          <w:p w14:paraId="27139394" w14:textId="77777777" w:rsidR="001A0642" w:rsidRPr="00F329EA" w:rsidRDefault="001A0642" w:rsidP="00261D2E">
            <w:pPr>
              <w:tabs>
                <w:tab w:val="left" w:pos="284"/>
              </w:tabs>
              <w:spacing w:line="280" w:lineRule="atLeast"/>
              <w:rPr>
                <w:bCs/>
                <w:color w:val="000000"/>
                <w:lang w:eastAsia="lt-LT"/>
              </w:rPr>
            </w:pPr>
          </w:p>
        </w:tc>
        <w:tc>
          <w:tcPr>
            <w:tcW w:w="5096" w:type="dxa"/>
          </w:tcPr>
          <w:p w14:paraId="3511502F" w14:textId="77777777" w:rsidR="001A0642" w:rsidRPr="00F329EA" w:rsidRDefault="00000000" w:rsidP="00261D2E">
            <w:pPr>
              <w:pStyle w:val="Sraopastraipa"/>
              <w:spacing w:after="120"/>
              <w:ind w:left="0"/>
              <w:contextualSpacing w:val="0"/>
              <w:jc w:val="both"/>
              <w:rPr>
                <w:rStyle w:val="Style2"/>
              </w:rPr>
            </w:pPr>
            <w:sdt>
              <w:sdtPr>
                <w:rPr>
                  <w:color w:val="000000" w:themeColor="text1"/>
                  <w:sz w:val="32"/>
                  <w:shd w:val="clear" w:color="auto" w:fill="FFFFFF"/>
                  <w:lang w:eastAsia="en-GB"/>
                </w:rPr>
                <w:alias w:val="Nurodykite konkrečią dieną"/>
                <w:tag w:val="Nurodykite pradžios datą"/>
                <w:id w:val="423238108"/>
                <w:placeholder>
                  <w:docPart w:val="1E61463EC4028D41A19333908A55DAFF"/>
                </w:placeholder>
                <w15:color w:val="FFCC99"/>
                <w:date>
                  <w:dateFormat w:val="yyyy 'm.' MMMM d 'd.'"/>
                  <w:lid w:val="lt-LT"/>
                  <w:storeMappedDataAs w:val="dateTime"/>
                  <w:calendar w:val="gregorian"/>
                </w:date>
              </w:sdtPr>
              <w:sdtContent>
                <w:r w:rsidR="001A0642" w:rsidRPr="00F329EA">
                  <w:rPr>
                    <w:color w:val="000000" w:themeColor="text1"/>
                    <w:shd w:val="clear" w:color="auto" w:fill="FFFFFF"/>
                    <w:lang w:eastAsia="en-GB"/>
                  </w:rPr>
                  <w:t xml:space="preserve">2019 m. balandžio </w:t>
                </w:r>
                <w:r w:rsidR="001A0642" w:rsidRPr="00F329EA">
                  <w:rPr>
                    <w:color w:val="000000" w:themeColor="text1"/>
                    <w:shd w:val="clear" w:color="auto" w:fill="FFFFFF"/>
                    <w:lang w:val="en-US" w:eastAsia="en-GB"/>
                  </w:rPr>
                  <w:t>26</w:t>
                </w:r>
                <w:r w:rsidR="001A0642" w:rsidRPr="00F329EA">
                  <w:rPr>
                    <w:color w:val="000000" w:themeColor="text1"/>
                    <w:shd w:val="clear" w:color="auto" w:fill="FFFFFF"/>
                    <w:lang w:eastAsia="en-GB"/>
                  </w:rPr>
                  <w:t xml:space="preserve"> d.</w:t>
                </w:r>
              </w:sdtContent>
            </w:sdt>
          </w:p>
        </w:tc>
      </w:tr>
      <w:tr w:rsidR="001A0642" w:rsidRPr="00F329EA" w14:paraId="456F4DD7" w14:textId="77777777" w:rsidTr="00A445D1">
        <w:trPr>
          <w:trHeight w:val="1328"/>
          <w:jc w:val="center"/>
        </w:trPr>
        <w:tc>
          <w:tcPr>
            <w:tcW w:w="705" w:type="dxa"/>
          </w:tcPr>
          <w:p w14:paraId="0825E3F8" w14:textId="77777777" w:rsidR="001A0642" w:rsidRPr="00F329EA" w:rsidRDefault="001A0642" w:rsidP="00261D2E">
            <w:pPr>
              <w:tabs>
                <w:tab w:val="left" w:pos="284"/>
              </w:tabs>
              <w:spacing w:line="280" w:lineRule="atLeast"/>
              <w:rPr>
                <w:rFonts w:eastAsia="Arial"/>
                <w:b/>
              </w:rPr>
            </w:pPr>
            <w:r w:rsidRPr="00F329EA">
              <w:rPr>
                <w:rFonts w:eastAsia="Arial"/>
                <w:b/>
              </w:rPr>
              <w:t>1.3</w:t>
            </w:r>
          </w:p>
        </w:tc>
        <w:tc>
          <w:tcPr>
            <w:tcW w:w="4117" w:type="dxa"/>
          </w:tcPr>
          <w:p w14:paraId="30A74A61" w14:textId="77777777" w:rsidR="001A0642" w:rsidRPr="00F329EA" w:rsidRDefault="001A0642" w:rsidP="00261D2E">
            <w:pPr>
              <w:pStyle w:val="Betarp"/>
              <w:rPr>
                <w:rFonts w:ascii="Times New Roman" w:hAnsi="Times New Roman"/>
                <w:b/>
                <w:sz w:val="24"/>
                <w:szCs w:val="24"/>
              </w:rPr>
            </w:pPr>
            <w:r w:rsidRPr="00F329EA">
              <w:rPr>
                <w:rFonts w:ascii="Times New Roman" w:hAnsi="Times New Roman"/>
                <w:b/>
                <w:sz w:val="24"/>
                <w:szCs w:val="24"/>
              </w:rPr>
              <w:t xml:space="preserve">Paraiškos tipas </w:t>
            </w:r>
          </w:p>
          <w:p w14:paraId="1CDD484D" w14:textId="77777777" w:rsidR="001A0642" w:rsidRPr="00F329EA" w:rsidRDefault="001A0642" w:rsidP="00261D2E">
            <w:pPr>
              <w:rPr>
                <w:b/>
              </w:rPr>
            </w:pPr>
            <w:r w:rsidRPr="00F329EA">
              <w:rPr>
                <w:b/>
              </w:rPr>
              <w:t xml:space="preserve">(pagal </w:t>
            </w:r>
            <w:r w:rsidRPr="00F329EA">
              <w:rPr>
                <w:b/>
                <w:shd w:val="clear" w:color="auto" w:fill="FFFFFF"/>
              </w:rPr>
              <w:t>vaistinio preparato registracijos tipą, įtvirtintą</w:t>
            </w:r>
            <w:r w:rsidRPr="00F329EA">
              <w:rPr>
                <w:b/>
              </w:rPr>
              <w:t xml:space="preserve"> Direktyvos 2001/83/EB straipsniuose)</w:t>
            </w:r>
          </w:p>
          <w:p w14:paraId="702B7C60" w14:textId="77777777" w:rsidR="001A0642" w:rsidRPr="00F329EA" w:rsidRDefault="001A0642" w:rsidP="00261D2E">
            <w:pPr>
              <w:tabs>
                <w:tab w:val="left" w:pos="284"/>
              </w:tabs>
              <w:spacing w:line="280" w:lineRule="atLeast"/>
              <w:rPr>
                <w:b/>
                <w:bCs/>
                <w:color w:val="000000"/>
                <w:lang w:eastAsia="lt-LT"/>
              </w:rPr>
            </w:pPr>
          </w:p>
        </w:tc>
        <w:tc>
          <w:tcPr>
            <w:tcW w:w="5096" w:type="dxa"/>
          </w:tcPr>
          <w:p w14:paraId="4F4F56E0" w14:textId="77777777" w:rsidR="001A0642" w:rsidRPr="00F329EA" w:rsidRDefault="00000000" w:rsidP="00261D2E">
            <w:sdt>
              <w:sdtPr>
                <w:rPr>
                  <w:rStyle w:val="Style2"/>
                </w:rPr>
                <w:id w:val="-366596377"/>
                <w15:color w:val="FFCC00"/>
                <w14:checkbox>
                  <w14:checked w14:val="1"/>
                  <w14:checkedState w14:val="2612" w14:font="MS Gothic"/>
                  <w14:uncheckedState w14:val="2610" w14:font="MS Gothic"/>
                </w14:checkbox>
              </w:sdtPr>
              <w:sdtContent>
                <w:r w:rsidR="001A0642" w:rsidRPr="00F329EA">
                  <w:rPr>
                    <w:rStyle w:val="Style2"/>
                    <w:rFonts w:ascii="MS Gothic" w:eastAsia="MS Gothic" w:hAnsi="MS Gothic" w:hint="eastAsia"/>
                  </w:rPr>
                  <w:t>☒</w:t>
                </w:r>
              </w:sdtContent>
            </w:sdt>
            <w:r w:rsidR="001A0642" w:rsidRPr="00F329EA">
              <w:t xml:space="preserve"> 8.3 str. (pilna byla, pagrįsta savais tyrimais) </w:t>
            </w:r>
          </w:p>
          <w:p w14:paraId="31C4ADB6" w14:textId="77777777" w:rsidR="001A0642" w:rsidRPr="00F329EA" w:rsidRDefault="00000000" w:rsidP="00261D2E">
            <w:sdt>
              <w:sdtPr>
                <w:rPr>
                  <w:rStyle w:val="Style2"/>
                </w:rPr>
                <w:id w:val="675462298"/>
                <w15:color w:val="FFCC00"/>
                <w14:checkbox>
                  <w14:checked w14:val="0"/>
                  <w14:checkedState w14:val="2612" w14:font="MS Gothic"/>
                  <w14:uncheckedState w14:val="2610" w14:font="MS Gothic"/>
                </w14:checkbox>
              </w:sdtPr>
              <w:sdtContent>
                <w:r w:rsidR="001A0642" w:rsidRPr="00F329EA">
                  <w:rPr>
                    <w:rStyle w:val="Style2"/>
                    <w:rFonts w:ascii="Segoe UI Symbol" w:eastAsia="MS Gothic" w:hAnsi="Segoe UI Symbol" w:cs="Segoe UI Symbol"/>
                  </w:rPr>
                  <w:t>☐</w:t>
                </w:r>
              </w:sdtContent>
            </w:sdt>
            <w:r w:rsidR="001A0642" w:rsidRPr="00F329EA">
              <w:t xml:space="preserve"> 10 a str. (pripažintas medicininis vartojimas) </w:t>
            </w:r>
          </w:p>
          <w:p w14:paraId="6148ECE4" w14:textId="77777777" w:rsidR="001A0642" w:rsidRPr="00F329EA" w:rsidRDefault="00000000" w:rsidP="00261D2E">
            <w:sdt>
              <w:sdtPr>
                <w:rPr>
                  <w:rStyle w:val="Style2"/>
                </w:rPr>
                <w:id w:val="-1290435890"/>
                <w15:color w:val="FFCC00"/>
                <w14:checkbox>
                  <w14:checked w14:val="0"/>
                  <w14:checkedState w14:val="2612" w14:font="MS Gothic"/>
                  <w14:uncheckedState w14:val="2610" w14:font="MS Gothic"/>
                </w14:checkbox>
              </w:sdtPr>
              <w:sdtContent>
                <w:r w:rsidR="001A0642" w:rsidRPr="00F329EA">
                  <w:rPr>
                    <w:rStyle w:val="Style2"/>
                    <w:rFonts w:ascii="MS Gothic" w:eastAsia="MS Gothic" w:hAnsi="MS Gothic" w:hint="eastAsia"/>
                  </w:rPr>
                  <w:t>☐</w:t>
                </w:r>
              </w:sdtContent>
            </w:sdt>
            <w:r w:rsidR="001A0642" w:rsidRPr="00F329EA">
              <w:t xml:space="preserve"> 10.1 str. (generinis)</w:t>
            </w:r>
          </w:p>
          <w:p w14:paraId="45B4D57F" w14:textId="77777777" w:rsidR="001A0642" w:rsidRPr="00F329EA" w:rsidRDefault="00000000" w:rsidP="00261D2E">
            <w:pPr>
              <w:rPr>
                <w:rStyle w:val="Style2"/>
              </w:rPr>
            </w:pPr>
            <w:sdt>
              <w:sdtPr>
                <w:rPr>
                  <w:rStyle w:val="Style2"/>
                </w:rPr>
                <w:id w:val="-124545030"/>
                <w15:color w:val="FFCC00"/>
                <w14:checkbox>
                  <w14:checked w14:val="0"/>
                  <w14:checkedState w14:val="2612" w14:font="MS Gothic"/>
                  <w14:uncheckedState w14:val="2610" w14:font="MS Gothic"/>
                </w14:checkbox>
              </w:sdtPr>
              <w:sdtContent>
                <w:r w:rsidR="001A0642" w:rsidRPr="00F329EA">
                  <w:rPr>
                    <w:rStyle w:val="Style2"/>
                    <w:rFonts w:ascii="Segoe UI Symbol" w:eastAsia="MS Gothic" w:hAnsi="Segoe UI Symbol" w:cs="Segoe UI Symbol"/>
                  </w:rPr>
                  <w:t>☐</w:t>
                </w:r>
              </w:sdtContent>
            </w:sdt>
            <w:r w:rsidR="001A0642" w:rsidRPr="00F329EA">
              <w:t xml:space="preserve"> 10.3 str. (hibridinis)</w:t>
            </w:r>
          </w:p>
        </w:tc>
      </w:tr>
      <w:tr w:rsidR="001A0642" w:rsidRPr="00F329EA" w14:paraId="550EFC56" w14:textId="77777777" w:rsidTr="00A445D1">
        <w:trPr>
          <w:trHeight w:val="1109"/>
          <w:jc w:val="center"/>
        </w:trPr>
        <w:tc>
          <w:tcPr>
            <w:tcW w:w="705" w:type="dxa"/>
          </w:tcPr>
          <w:p w14:paraId="5A0A0FBD" w14:textId="77777777" w:rsidR="001A0642" w:rsidRPr="00F329EA" w:rsidRDefault="001A0642" w:rsidP="00261D2E">
            <w:pPr>
              <w:tabs>
                <w:tab w:val="left" w:pos="284"/>
              </w:tabs>
              <w:spacing w:line="280" w:lineRule="atLeast"/>
              <w:rPr>
                <w:rFonts w:eastAsia="Arial"/>
                <w:b/>
              </w:rPr>
            </w:pPr>
            <w:r w:rsidRPr="00F329EA">
              <w:rPr>
                <w:rFonts w:eastAsia="Arial"/>
                <w:b/>
              </w:rPr>
              <w:t>1.4</w:t>
            </w:r>
          </w:p>
        </w:tc>
        <w:tc>
          <w:tcPr>
            <w:tcW w:w="4117" w:type="dxa"/>
          </w:tcPr>
          <w:p w14:paraId="4F0AAF4F" w14:textId="77777777" w:rsidR="001A0642" w:rsidRPr="00F329EA" w:rsidRDefault="001A0642" w:rsidP="00261D2E">
            <w:pPr>
              <w:tabs>
                <w:tab w:val="left" w:pos="284"/>
              </w:tabs>
              <w:spacing w:line="280" w:lineRule="atLeast"/>
              <w:rPr>
                <w:b/>
                <w:bCs/>
                <w:color w:val="000000"/>
                <w:lang w:eastAsia="lt-LT"/>
              </w:rPr>
            </w:pPr>
            <w:r w:rsidRPr="00F329EA">
              <w:rPr>
                <w:b/>
                <w:bCs/>
                <w:color w:val="000000"/>
                <w:lang w:eastAsia="lt-LT"/>
              </w:rPr>
              <w:t>Ar vaistinis preparatas įrašytas į Bendrijos retųjų vaistinių preparatų registrą?</w:t>
            </w:r>
          </w:p>
          <w:p w14:paraId="67F447E2" w14:textId="77777777" w:rsidR="001A0642" w:rsidRPr="00F329EA" w:rsidRDefault="001A0642" w:rsidP="00261D2E">
            <w:pPr>
              <w:tabs>
                <w:tab w:val="left" w:pos="284"/>
              </w:tabs>
              <w:spacing w:line="280" w:lineRule="atLeast"/>
              <w:rPr>
                <w:bCs/>
                <w:i/>
                <w:color w:val="000000"/>
                <w:lang w:eastAsia="lt-LT"/>
              </w:rPr>
            </w:pPr>
          </w:p>
          <w:p w14:paraId="21768F4E" w14:textId="77777777" w:rsidR="001A0642" w:rsidRPr="00F329EA" w:rsidRDefault="001A0642" w:rsidP="00261D2E">
            <w:pPr>
              <w:tabs>
                <w:tab w:val="left" w:pos="284"/>
              </w:tabs>
              <w:spacing w:line="280" w:lineRule="atLeast"/>
              <w:jc w:val="both"/>
              <w:rPr>
                <w:b/>
                <w:bCs/>
                <w:color w:val="000000"/>
                <w:sz w:val="22"/>
                <w:szCs w:val="22"/>
                <w:lang w:eastAsia="lt-LT"/>
              </w:rPr>
            </w:pPr>
          </w:p>
        </w:tc>
        <w:tc>
          <w:tcPr>
            <w:tcW w:w="5096" w:type="dxa"/>
          </w:tcPr>
          <w:p w14:paraId="5C6473E2" w14:textId="77777777" w:rsidR="001A0642" w:rsidRPr="00F329EA" w:rsidRDefault="00000000" w:rsidP="00261D2E">
            <w:sdt>
              <w:sdtPr>
                <w:rPr>
                  <w:rStyle w:val="Style2"/>
                </w:rPr>
                <w:id w:val="2024432173"/>
                <w15:color w:val="FFCC00"/>
                <w14:checkbox>
                  <w14:checked w14:val="0"/>
                  <w14:checkedState w14:val="2612" w14:font="MS Gothic"/>
                  <w14:uncheckedState w14:val="2610" w14:font="MS Gothic"/>
                </w14:checkbox>
              </w:sdtPr>
              <w:sdtContent>
                <w:r w:rsidR="001A0642" w:rsidRPr="00F329EA">
                  <w:rPr>
                    <w:rStyle w:val="Style2"/>
                    <w:rFonts w:ascii="Segoe UI Symbol" w:eastAsia="MS Gothic" w:hAnsi="Segoe UI Symbol" w:cs="Segoe UI Symbol"/>
                  </w:rPr>
                  <w:t>☐</w:t>
                </w:r>
              </w:sdtContent>
            </w:sdt>
            <w:r w:rsidR="001A0642" w:rsidRPr="00F329EA">
              <w:t xml:space="preserve"> Taip</w:t>
            </w:r>
          </w:p>
          <w:p w14:paraId="14BE890F" w14:textId="77777777" w:rsidR="001A0642" w:rsidRPr="00F329EA" w:rsidRDefault="00000000" w:rsidP="00261D2E">
            <w:sdt>
              <w:sdtPr>
                <w:rPr>
                  <w:rStyle w:val="Style2"/>
                </w:rPr>
                <w:id w:val="-970507926"/>
                <w15:color w:val="FFCC00"/>
                <w14:checkbox>
                  <w14:checked w14:val="1"/>
                  <w14:checkedState w14:val="2612" w14:font="MS Gothic"/>
                  <w14:uncheckedState w14:val="2610" w14:font="MS Gothic"/>
                </w14:checkbox>
              </w:sdtPr>
              <w:sdtContent>
                <w:r w:rsidR="001A0642" w:rsidRPr="00F329EA">
                  <w:rPr>
                    <w:rStyle w:val="Style2"/>
                    <w:rFonts w:ascii="MS Gothic" w:eastAsia="MS Gothic" w:hAnsi="MS Gothic" w:hint="eastAsia"/>
                  </w:rPr>
                  <w:t>☒</w:t>
                </w:r>
              </w:sdtContent>
            </w:sdt>
            <w:r w:rsidR="001A0642" w:rsidRPr="00F329EA">
              <w:t xml:space="preserve"> Ne</w:t>
            </w:r>
          </w:p>
          <w:p w14:paraId="6C9CC3C3" w14:textId="77777777" w:rsidR="001A0642" w:rsidRPr="00F329EA" w:rsidRDefault="00000000" w:rsidP="00261D2E">
            <w:pPr>
              <w:rPr>
                <w:rFonts w:eastAsia="Arial"/>
                <w:b/>
              </w:rPr>
            </w:pPr>
            <w:sdt>
              <w:sdtPr>
                <w:alias w:val="Nurodykite konkrečią dieną"/>
                <w:tag w:val="Nurodykite pradžios datą"/>
                <w:id w:val="693498901"/>
                <w:placeholder>
                  <w:docPart w:val="BAEB045BC3FF144D9D6BD3ED15F8ABB3"/>
                </w:placeholder>
                <w:showingPlcHdr/>
                <w15:color w:val="FFCC99"/>
                <w:date w:fullDate="2022-05-18T00:00:00Z">
                  <w:dateFormat w:val="yyyy 'm.' MMMM d 'd.'"/>
                  <w:lid w:val="lt-LT"/>
                  <w:storeMappedDataAs w:val="dateTime"/>
                  <w:calendar w:val="gregorian"/>
                </w:date>
              </w:sdtPr>
              <w:sdtContent>
                <w:r w:rsidR="001A0642" w:rsidRPr="00F329EA">
                  <w:rPr>
                    <w:rStyle w:val="Vietosrezervavimoenklotekstas"/>
                  </w:rPr>
                  <w:t>Click here to enter a date.</w:t>
                </w:r>
              </w:sdtContent>
            </w:sdt>
          </w:p>
        </w:tc>
      </w:tr>
      <w:tr w:rsidR="001A0642" w:rsidRPr="00F329EA" w14:paraId="0375CE42" w14:textId="77777777" w:rsidTr="00A445D1">
        <w:trPr>
          <w:trHeight w:val="958"/>
          <w:jc w:val="center"/>
        </w:trPr>
        <w:tc>
          <w:tcPr>
            <w:tcW w:w="705" w:type="dxa"/>
            <w:tcBorders>
              <w:bottom w:val="single" w:sz="4" w:space="0" w:color="auto"/>
            </w:tcBorders>
          </w:tcPr>
          <w:p w14:paraId="3AF349AE" w14:textId="77777777" w:rsidR="001A0642" w:rsidRPr="00F329EA" w:rsidRDefault="001A0642" w:rsidP="00261D2E">
            <w:pPr>
              <w:tabs>
                <w:tab w:val="left" w:pos="284"/>
              </w:tabs>
              <w:spacing w:line="280" w:lineRule="atLeast"/>
              <w:rPr>
                <w:rFonts w:eastAsia="Arial"/>
                <w:b/>
              </w:rPr>
            </w:pPr>
            <w:r w:rsidRPr="00F329EA">
              <w:rPr>
                <w:rFonts w:eastAsia="Arial"/>
                <w:b/>
              </w:rPr>
              <w:t>1.5</w:t>
            </w:r>
          </w:p>
        </w:tc>
        <w:tc>
          <w:tcPr>
            <w:tcW w:w="4117" w:type="dxa"/>
            <w:tcBorders>
              <w:bottom w:val="single" w:sz="4" w:space="0" w:color="auto"/>
            </w:tcBorders>
          </w:tcPr>
          <w:p w14:paraId="225E7B45" w14:textId="77777777" w:rsidR="001A0642" w:rsidRPr="00F329EA" w:rsidRDefault="001A0642" w:rsidP="00261D2E">
            <w:pPr>
              <w:tabs>
                <w:tab w:val="left" w:pos="284"/>
              </w:tabs>
              <w:spacing w:line="280" w:lineRule="atLeast"/>
              <w:rPr>
                <w:b/>
                <w:bCs/>
                <w:color w:val="000000"/>
                <w:lang w:eastAsia="lt-LT"/>
              </w:rPr>
            </w:pPr>
            <w:r w:rsidRPr="00F329EA">
              <w:rPr>
                <w:b/>
                <w:bCs/>
                <w:color w:val="000000"/>
                <w:lang w:eastAsia="lt-LT"/>
              </w:rPr>
              <w:t>Pareiškėjo teikiama (-os) kompensuoti preparato indikacija (-os)</w:t>
            </w:r>
          </w:p>
          <w:p w14:paraId="1DABBE7D" w14:textId="77777777" w:rsidR="001A0642" w:rsidRPr="00F329EA" w:rsidRDefault="001A0642" w:rsidP="00261D2E">
            <w:pPr>
              <w:tabs>
                <w:tab w:val="left" w:pos="284"/>
              </w:tabs>
              <w:spacing w:line="280" w:lineRule="atLeast"/>
              <w:rPr>
                <w:b/>
                <w:bCs/>
                <w:color w:val="000000"/>
                <w:lang w:eastAsia="lt-LT"/>
              </w:rPr>
            </w:pPr>
            <w:r w:rsidRPr="00F329EA">
              <w:rPr>
                <w:b/>
                <w:bCs/>
                <w:color w:val="000000"/>
                <w:lang w:eastAsia="lt-LT"/>
              </w:rPr>
              <w:t xml:space="preserve">Kodas pagal TLK-10 AM  </w:t>
            </w:r>
          </w:p>
        </w:tc>
        <w:tc>
          <w:tcPr>
            <w:tcW w:w="5096" w:type="dxa"/>
            <w:tcBorders>
              <w:bottom w:val="single" w:sz="4" w:space="0" w:color="auto"/>
            </w:tcBorders>
          </w:tcPr>
          <w:p w14:paraId="60B792A1" w14:textId="77777777" w:rsidR="001A0642" w:rsidRPr="00F329EA" w:rsidRDefault="001A0642" w:rsidP="00261D2E">
            <w:pPr>
              <w:spacing w:line="276" w:lineRule="auto"/>
              <w:jc w:val="both"/>
            </w:pPr>
            <w:r w:rsidRPr="00F329EA">
              <w:t>Skyrizi, vienas ar derinyje su metotreksatu (MTX), yra skirtas aktyvaus psoriazinio artrito gydymui suaugusiesiems, kuriems pasireiškė nepakankamas atsakas arba kurie netoleravo gydymo vienu ar keliais ligą modifikuojančiais vaistiniais preparatais nuo reumato (LMVR).</w:t>
            </w:r>
          </w:p>
          <w:p w14:paraId="7D8126CA" w14:textId="77777777" w:rsidR="001A0642" w:rsidRPr="00F329EA" w:rsidRDefault="001A0642" w:rsidP="00261D2E">
            <w:pPr>
              <w:spacing w:line="276" w:lineRule="auto"/>
              <w:jc w:val="both"/>
            </w:pPr>
            <w:r w:rsidRPr="00F329EA">
              <w:t>TLK-10 AM M07.</w:t>
            </w:r>
          </w:p>
          <w:p w14:paraId="5EBA20B2" w14:textId="77777777" w:rsidR="001A0642" w:rsidRPr="00F329EA" w:rsidRDefault="001A0642" w:rsidP="00261D2E">
            <w:pPr>
              <w:jc w:val="both"/>
            </w:pPr>
          </w:p>
          <w:p w14:paraId="25853CAF" w14:textId="77777777" w:rsidR="001A0642" w:rsidRPr="00F329EA" w:rsidRDefault="001A0642" w:rsidP="00261D2E">
            <w:pPr>
              <w:pStyle w:val="Sraopastraipa"/>
              <w:spacing w:after="120"/>
              <w:ind w:left="0"/>
              <w:contextualSpacing w:val="0"/>
              <w:jc w:val="both"/>
            </w:pPr>
          </w:p>
        </w:tc>
      </w:tr>
      <w:tr w:rsidR="001A0642" w:rsidRPr="00F329EA" w14:paraId="04D2B2BE" w14:textId="77777777" w:rsidTr="00A445D1">
        <w:trPr>
          <w:trHeight w:val="479"/>
          <w:jc w:val="center"/>
        </w:trPr>
        <w:tc>
          <w:tcPr>
            <w:tcW w:w="705" w:type="dxa"/>
            <w:tcBorders>
              <w:top w:val="single" w:sz="4" w:space="0" w:color="auto"/>
              <w:left w:val="single" w:sz="4" w:space="0" w:color="auto"/>
              <w:bottom w:val="single" w:sz="4" w:space="0" w:color="auto"/>
              <w:right w:val="single" w:sz="4" w:space="0" w:color="auto"/>
            </w:tcBorders>
          </w:tcPr>
          <w:p w14:paraId="597674CB" w14:textId="77777777" w:rsidR="001A0642" w:rsidRPr="00F329EA" w:rsidRDefault="001A0642" w:rsidP="00261D2E">
            <w:pPr>
              <w:tabs>
                <w:tab w:val="left" w:pos="284"/>
              </w:tabs>
              <w:spacing w:line="280" w:lineRule="atLeast"/>
              <w:rPr>
                <w:rFonts w:eastAsia="Arial"/>
                <w:b/>
              </w:rPr>
            </w:pPr>
            <w:r w:rsidRPr="00F329EA">
              <w:rPr>
                <w:rFonts w:eastAsia="Arial"/>
                <w:b/>
              </w:rPr>
              <w:lastRenderedPageBreak/>
              <w:t>1.6</w:t>
            </w:r>
          </w:p>
        </w:tc>
        <w:tc>
          <w:tcPr>
            <w:tcW w:w="4117" w:type="dxa"/>
            <w:tcBorders>
              <w:top w:val="single" w:sz="4" w:space="0" w:color="auto"/>
              <w:left w:val="single" w:sz="4" w:space="0" w:color="auto"/>
              <w:bottom w:val="single" w:sz="4" w:space="0" w:color="auto"/>
              <w:right w:val="single" w:sz="4" w:space="0" w:color="auto"/>
            </w:tcBorders>
          </w:tcPr>
          <w:p w14:paraId="306B8024" w14:textId="009EA7F3" w:rsidR="001A0642" w:rsidRPr="00F329EA" w:rsidRDefault="0026788C" w:rsidP="00261D2E">
            <w:pPr>
              <w:tabs>
                <w:tab w:val="left" w:pos="284"/>
              </w:tabs>
              <w:spacing w:line="280" w:lineRule="atLeast"/>
              <w:rPr>
                <w:bCs/>
                <w:color w:val="000000"/>
                <w:u w:val="single"/>
                <w:lang w:eastAsia="lt-LT"/>
              </w:rPr>
            </w:pPr>
            <w:r w:rsidRPr="00F329EA">
              <w:rPr>
                <w:b/>
                <w:bCs/>
                <w:color w:val="000000"/>
                <w:lang w:eastAsia="lt-LT"/>
              </w:rPr>
              <w:t xml:space="preserve">Teikiamos </w:t>
            </w:r>
            <w:r w:rsidR="001A0642" w:rsidRPr="00F329EA">
              <w:rPr>
                <w:b/>
                <w:bCs/>
                <w:color w:val="000000"/>
                <w:lang w:eastAsia="lt-LT"/>
              </w:rPr>
              <w:t xml:space="preserve">skyrimo sąlygos </w:t>
            </w:r>
          </w:p>
        </w:tc>
        <w:tc>
          <w:tcPr>
            <w:tcW w:w="5096" w:type="dxa"/>
            <w:tcBorders>
              <w:top w:val="single" w:sz="4" w:space="0" w:color="auto"/>
              <w:left w:val="single" w:sz="4" w:space="0" w:color="auto"/>
              <w:bottom w:val="single" w:sz="4" w:space="0" w:color="auto"/>
              <w:right w:val="single" w:sz="4" w:space="0" w:color="auto"/>
            </w:tcBorders>
          </w:tcPr>
          <w:p w14:paraId="271FAA3D" w14:textId="77777777" w:rsidR="001A0642" w:rsidRPr="00F329EA" w:rsidRDefault="001A0642" w:rsidP="00261D2E">
            <w:pPr>
              <w:spacing w:line="276" w:lineRule="auto"/>
              <w:jc w:val="both"/>
            </w:pPr>
            <w:r w:rsidRPr="00F329EA">
              <w:t>Skyrizi skiriamas suaugusiems pacientams aktyviam psoriaziniam artritui gydyti jei gydant vienu ar daugiau biologinių ligą modifikuojančių vaistinių preparatų (bLMV) gydymo tikslas nepasiekiamas per 6 mėnesius ar 3 mėnesius nuo gydymo pradžios nėra gydymo efekto, ar pastebimas ligos pablogėjimas.</w:t>
            </w:r>
          </w:p>
        </w:tc>
      </w:tr>
      <w:tr w:rsidR="001A0642" w:rsidRPr="00516FF8" w14:paraId="0AC37291" w14:textId="77777777" w:rsidTr="00A445D1">
        <w:trPr>
          <w:trHeight w:val="479"/>
          <w:jc w:val="center"/>
        </w:trPr>
        <w:tc>
          <w:tcPr>
            <w:tcW w:w="705" w:type="dxa"/>
            <w:tcBorders>
              <w:top w:val="single" w:sz="4" w:space="0" w:color="auto"/>
              <w:left w:val="single" w:sz="4" w:space="0" w:color="auto"/>
              <w:bottom w:val="single" w:sz="4" w:space="0" w:color="auto"/>
              <w:right w:val="single" w:sz="4" w:space="0" w:color="auto"/>
            </w:tcBorders>
          </w:tcPr>
          <w:p w14:paraId="221FC891" w14:textId="77777777" w:rsidR="001A0642" w:rsidRPr="00F329EA" w:rsidRDefault="001A0642" w:rsidP="00261D2E">
            <w:pPr>
              <w:tabs>
                <w:tab w:val="left" w:pos="284"/>
              </w:tabs>
              <w:spacing w:line="280" w:lineRule="atLeast"/>
              <w:rPr>
                <w:rFonts w:eastAsia="Arial"/>
                <w:b/>
              </w:rPr>
            </w:pPr>
            <w:r w:rsidRPr="00F329EA">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385E163A" w14:textId="317340DA" w:rsidR="001A0642" w:rsidRPr="00F329EA" w:rsidRDefault="0026788C" w:rsidP="00261D2E">
            <w:pPr>
              <w:tabs>
                <w:tab w:val="left" w:pos="284"/>
              </w:tabs>
              <w:spacing w:line="280" w:lineRule="atLeast"/>
              <w:rPr>
                <w:b/>
                <w:bCs/>
                <w:color w:val="000000"/>
                <w:lang w:eastAsia="lt-LT"/>
              </w:rPr>
            </w:pPr>
            <w:r w:rsidRPr="00F329EA">
              <w:rPr>
                <w:b/>
              </w:rPr>
              <w:t>Palyginamasis gydymas</w:t>
            </w:r>
          </w:p>
        </w:tc>
        <w:tc>
          <w:tcPr>
            <w:tcW w:w="5096" w:type="dxa"/>
            <w:tcBorders>
              <w:top w:val="single" w:sz="4" w:space="0" w:color="auto"/>
              <w:left w:val="single" w:sz="4" w:space="0" w:color="auto"/>
              <w:bottom w:val="single" w:sz="4" w:space="0" w:color="auto"/>
              <w:right w:val="single" w:sz="4" w:space="0" w:color="auto"/>
            </w:tcBorders>
          </w:tcPr>
          <w:p w14:paraId="466E2663" w14:textId="2CC9D34D" w:rsidR="001A0642" w:rsidRPr="00F329EA" w:rsidRDefault="0026788C" w:rsidP="00261D2E">
            <w:pPr>
              <w:rPr>
                <w:rStyle w:val="Style2"/>
                <w:sz w:val="24"/>
              </w:rPr>
            </w:pPr>
            <w:r w:rsidRPr="00F329EA">
              <w:rPr>
                <w:rStyle w:val="Style2"/>
                <w:sz w:val="24"/>
              </w:rPr>
              <w:t>Sekukinumabas</w:t>
            </w:r>
          </w:p>
        </w:tc>
      </w:tr>
    </w:tbl>
    <w:p w14:paraId="108176F7" w14:textId="640C6F75" w:rsidR="00F70C9E" w:rsidRDefault="00F70C9E" w:rsidP="00E03C3F">
      <w:pPr>
        <w:pStyle w:val="Sraopastraipa"/>
        <w:tabs>
          <w:tab w:val="left" w:pos="426"/>
        </w:tabs>
        <w:ind w:left="0"/>
        <w:rPr>
          <w:b/>
          <w:bCs/>
          <w:caps/>
        </w:rPr>
      </w:pPr>
    </w:p>
    <w:p w14:paraId="2871CA7F" w14:textId="2370BDDB" w:rsidR="00F70C9E" w:rsidRPr="00177C8C" w:rsidRDefault="00F70C9E" w:rsidP="00880A44">
      <w:pPr>
        <w:spacing w:line="276" w:lineRule="auto"/>
        <w:jc w:val="both"/>
        <w:rPr>
          <w:rFonts w:eastAsia="Arial"/>
          <w:b/>
        </w:rPr>
      </w:pPr>
      <w:r w:rsidRPr="00FD118D">
        <w:rPr>
          <w:rFonts w:eastAsia="Arial"/>
          <w:b/>
        </w:rPr>
        <w:t>1.8</w:t>
      </w:r>
      <w:r w:rsidRPr="00177C8C">
        <w:rPr>
          <w:rFonts w:eastAsia="Arial"/>
          <w:b/>
        </w:rPr>
        <w:t xml:space="preserve"> Kitų </w:t>
      </w:r>
      <w:r w:rsidR="00DF583C">
        <w:rPr>
          <w:rFonts w:eastAsia="Arial"/>
          <w:b/>
        </w:rPr>
        <w:t xml:space="preserve">valstybių </w:t>
      </w:r>
      <w:r>
        <w:rPr>
          <w:rFonts w:eastAsia="Arial"/>
          <w:b/>
        </w:rPr>
        <w:t xml:space="preserve">atsakingų institucijų atlikto </w:t>
      </w:r>
      <w:r w:rsidR="00DF583C">
        <w:rPr>
          <w:rFonts w:eastAsia="Arial"/>
          <w:b/>
        </w:rPr>
        <w:t>Sveikatos technologijų vertinimo (toliau – STV)</w:t>
      </w:r>
      <w:r w:rsidRPr="00177C8C">
        <w:rPr>
          <w:rFonts w:eastAsia="Arial"/>
          <w:b/>
        </w:rPr>
        <w:t xml:space="preserve"> išvados</w:t>
      </w:r>
    </w:p>
    <w:p w14:paraId="30721FDD" w14:textId="77777777" w:rsidR="00F70C9E" w:rsidRDefault="00F70C9E" w:rsidP="00F70C9E">
      <w:pPr>
        <w:spacing w:line="276" w:lineRule="auto"/>
        <w:rPr>
          <w:rFonts w:eastAsia="Arial"/>
        </w:rPr>
      </w:pPr>
    </w:p>
    <w:tbl>
      <w:tblPr>
        <w:tblStyle w:val="Lentelstinklelis"/>
        <w:tblW w:w="10154" w:type="dxa"/>
        <w:jc w:val="center"/>
        <w:tblLook w:val="04A0" w:firstRow="1" w:lastRow="0" w:firstColumn="1" w:lastColumn="0" w:noHBand="0" w:noVBand="1"/>
      </w:tblPr>
      <w:tblGrid>
        <w:gridCol w:w="2927"/>
        <w:gridCol w:w="1915"/>
        <w:gridCol w:w="2587"/>
        <w:gridCol w:w="2725"/>
      </w:tblGrid>
      <w:tr w:rsidR="006F3037" w:rsidRPr="00D05364" w14:paraId="1178F1A6" w14:textId="77777777" w:rsidTr="00061311">
        <w:trPr>
          <w:trHeight w:val="924"/>
          <w:jc w:val="center"/>
        </w:trPr>
        <w:tc>
          <w:tcPr>
            <w:tcW w:w="2927" w:type="dxa"/>
          </w:tcPr>
          <w:p w14:paraId="06B4BE6D" w14:textId="77777777" w:rsidR="006F3037" w:rsidRPr="00D05364" w:rsidRDefault="006F3037" w:rsidP="00261D2E">
            <w:pPr>
              <w:spacing w:line="276" w:lineRule="auto"/>
              <w:rPr>
                <w:rFonts w:eastAsia="Arial"/>
              </w:rPr>
            </w:pPr>
            <w:r w:rsidRPr="00D05364">
              <w:rPr>
                <w:rFonts w:eastAsia="Arial"/>
              </w:rPr>
              <w:t>STV agentūros pavadinimas, šalis</w:t>
            </w:r>
          </w:p>
        </w:tc>
        <w:tc>
          <w:tcPr>
            <w:tcW w:w="1915" w:type="dxa"/>
          </w:tcPr>
          <w:p w14:paraId="5EFA1BE2" w14:textId="77777777" w:rsidR="006F3037" w:rsidRPr="00D05364" w:rsidRDefault="006F3037" w:rsidP="00261D2E">
            <w:pPr>
              <w:spacing w:line="276" w:lineRule="auto"/>
              <w:rPr>
                <w:rFonts w:eastAsia="Arial"/>
              </w:rPr>
            </w:pPr>
            <w:r w:rsidRPr="00D05364">
              <w:rPr>
                <w:rFonts w:eastAsia="Arial"/>
              </w:rPr>
              <w:t>STV vertinimas atliktas</w:t>
            </w:r>
          </w:p>
        </w:tc>
        <w:tc>
          <w:tcPr>
            <w:tcW w:w="2587" w:type="dxa"/>
          </w:tcPr>
          <w:p w14:paraId="3C0CA776" w14:textId="77777777" w:rsidR="006F3037" w:rsidRPr="00D05364" w:rsidRDefault="006F3037" w:rsidP="00261D2E">
            <w:pPr>
              <w:spacing w:line="276" w:lineRule="auto"/>
              <w:rPr>
                <w:rFonts w:eastAsia="Arial"/>
              </w:rPr>
            </w:pPr>
            <w:r w:rsidRPr="00D05364">
              <w:rPr>
                <w:rFonts w:eastAsia="Arial"/>
              </w:rPr>
              <w:t>Klinikinio vertinimo išvada</w:t>
            </w:r>
          </w:p>
        </w:tc>
        <w:tc>
          <w:tcPr>
            <w:tcW w:w="2725" w:type="dxa"/>
          </w:tcPr>
          <w:p w14:paraId="4C812518" w14:textId="77777777" w:rsidR="006F3037" w:rsidRPr="00D05364" w:rsidRDefault="006F3037" w:rsidP="00261D2E">
            <w:pPr>
              <w:spacing w:line="276" w:lineRule="auto"/>
              <w:rPr>
                <w:rFonts w:eastAsia="Arial"/>
              </w:rPr>
            </w:pPr>
            <w:r w:rsidRPr="004C2C4B">
              <w:rPr>
                <w:rFonts w:eastAsia="Arial"/>
              </w:rPr>
              <w:t>Farmakoekonominio vertinimo išvada</w:t>
            </w:r>
          </w:p>
        </w:tc>
      </w:tr>
      <w:tr w:rsidR="006F3037" w:rsidRPr="00D05364" w14:paraId="3D052B39" w14:textId="77777777" w:rsidTr="00061311">
        <w:trPr>
          <w:trHeight w:val="1765"/>
          <w:jc w:val="center"/>
        </w:trPr>
        <w:tc>
          <w:tcPr>
            <w:tcW w:w="2927" w:type="dxa"/>
          </w:tcPr>
          <w:p w14:paraId="67DB1E4E" w14:textId="77777777" w:rsidR="006F3037" w:rsidRPr="00D05364" w:rsidRDefault="006F3037" w:rsidP="00261D2E">
            <w:pPr>
              <w:autoSpaceDE w:val="0"/>
              <w:autoSpaceDN w:val="0"/>
              <w:adjustRightInd w:val="0"/>
              <w:rPr>
                <w:bCs/>
              </w:rPr>
            </w:pPr>
            <w:r w:rsidRPr="00D05364">
              <w:rPr>
                <w:bCs/>
              </w:rPr>
              <w:t>Nacionalinis sveikatos ir klinikinės kompetencijos institutas, Didžioji Britanija</w:t>
            </w:r>
          </w:p>
          <w:p w14:paraId="5C268E98" w14:textId="77777777" w:rsidR="006F3037" w:rsidRPr="00D05364" w:rsidRDefault="006F3037" w:rsidP="00261D2E">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915" w:type="dxa"/>
          </w:tcPr>
          <w:p w14:paraId="4E394B83" w14:textId="77777777" w:rsidR="006F3037" w:rsidRPr="00D05364" w:rsidRDefault="00000000" w:rsidP="00261D2E">
            <w:sdt>
              <w:sdtPr>
                <w:rPr>
                  <w:rStyle w:val="Style2"/>
                </w:rPr>
                <w:id w:val="1558205022"/>
                <w15:color w:val="FFCC00"/>
                <w14:checkbox>
                  <w14:checked w14:val="1"/>
                  <w14:checkedState w14:val="2612" w14:font="MS Gothic"/>
                  <w14:uncheckedState w14:val="2610" w14:font="MS Gothic"/>
                </w14:checkbox>
              </w:sdtPr>
              <w:sdtContent>
                <w:r w:rsidR="006F3037">
                  <w:rPr>
                    <w:rStyle w:val="Style2"/>
                    <w:rFonts w:ascii="MS Gothic" w:eastAsia="MS Gothic" w:hAnsi="MS Gothic" w:hint="eastAsia"/>
                  </w:rPr>
                  <w:t>☒</w:t>
                </w:r>
              </w:sdtContent>
            </w:sdt>
            <w:r w:rsidR="006F3037" w:rsidRPr="00D05364">
              <w:t xml:space="preserve"> Taip</w:t>
            </w:r>
          </w:p>
          <w:p w14:paraId="0712C8D2" w14:textId="77777777" w:rsidR="006F3037" w:rsidRPr="00D05364" w:rsidRDefault="00000000" w:rsidP="00261D2E">
            <w:sdt>
              <w:sdtPr>
                <w:rPr>
                  <w:rStyle w:val="Style2"/>
                </w:rPr>
                <w:id w:val="866029625"/>
                <w15:color w:val="FFCC00"/>
                <w14:checkbox>
                  <w14:checked w14:val="0"/>
                  <w14:checkedState w14:val="2612" w14:font="MS Gothic"/>
                  <w14:uncheckedState w14:val="2610" w14:font="MS Gothic"/>
                </w14:checkbox>
              </w:sdtPr>
              <w:sdtContent>
                <w:r w:rsidR="006F3037">
                  <w:rPr>
                    <w:rStyle w:val="Style2"/>
                    <w:rFonts w:ascii="MS Gothic" w:eastAsia="MS Gothic" w:hAnsi="MS Gothic" w:hint="eastAsia"/>
                  </w:rPr>
                  <w:t>☐</w:t>
                </w:r>
              </w:sdtContent>
            </w:sdt>
            <w:r w:rsidR="006F3037" w:rsidRPr="00D05364">
              <w:t xml:space="preserve"> Ne</w:t>
            </w:r>
          </w:p>
          <w:p w14:paraId="76AEC6CD" w14:textId="77777777" w:rsidR="006F3037" w:rsidRPr="00D05364" w:rsidRDefault="00000000" w:rsidP="00261D2E">
            <w:pPr>
              <w:rPr>
                <w:rFonts w:eastAsia="Arial"/>
              </w:rPr>
            </w:pPr>
            <w:sdt>
              <w:sdtPr>
                <w:alias w:val="Nurodykite konkrečią dieną"/>
                <w:tag w:val="Nurodykite pradžios datą"/>
                <w:id w:val="922837954"/>
                <w:placeholder>
                  <w:docPart w:val="CCBA52376941BB4E9D6A0A2A4B4B7862"/>
                </w:placeholder>
                <w15:color w:val="FFCC99"/>
                <w:date>
                  <w:dateFormat w:val="yyyy 'm.' MMMM d 'd.'"/>
                  <w:lid w:val="lt-LT"/>
                  <w:storeMappedDataAs w:val="dateTime"/>
                  <w:calendar w:val="gregorian"/>
                </w:date>
              </w:sdtPr>
              <w:sdtContent>
                <w:r w:rsidR="006F3037">
                  <w:t>2022 m. liepos 13 d.</w:t>
                </w:r>
              </w:sdtContent>
            </w:sdt>
          </w:p>
        </w:tc>
        <w:tc>
          <w:tcPr>
            <w:tcW w:w="2587" w:type="dxa"/>
          </w:tcPr>
          <w:p w14:paraId="2A0D8E40" w14:textId="590DDB32" w:rsidR="006F3037" w:rsidRPr="00D05364" w:rsidRDefault="00FD118D" w:rsidP="00261D2E">
            <w:pPr>
              <w:spacing w:line="276" w:lineRule="auto"/>
              <w:rPr>
                <w:rFonts w:eastAsia="Arial"/>
              </w:rPr>
            </w:pPr>
            <w:r>
              <w:rPr>
                <w:rFonts w:eastAsia="Arial"/>
              </w:rPr>
              <w:t>Rekomenduojama kompensuoti, jeigu kompanija tieks vaistą pagal komercinį susitarimą.</w:t>
            </w:r>
          </w:p>
        </w:tc>
        <w:tc>
          <w:tcPr>
            <w:tcW w:w="2725" w:type="dxa"/>
          </w:tcPr>
          <w:p w14:paraId="6516F6C1" w14:textId="023CDFE8" w:rsidR="006F3037" w:rsidRPr="00D05364" w:rsidRDefault="00FD118D" w:rsidP="00261D2E">
            <w:pPr>
              <w:spacing w:line="276" w:lineRule="auto"/>
              <w:rPr>
                <w:rFonts w:eastAsia="Arial"/>
              </w:rPr>
            </w:pPr>
            <w:r>
              <w:rPr>
                <w:rFonts w:eastAsia="Arial"/>
              </w:rPr>
              <w:t>P</w:t>
            </w:r>
            <w:r w:rsidR="00F329EA">
              <w:rPr>
                <w:rFonts w:eastAsia="Arial"/>
              </w:rPr>
              <w:t>agal komercinį susitarimą.</w:t>
            </w:r>
          </w:p>
        </w:tc>
      </w:tr>
      <w:tr w:rsidR="006F3037" w:rsidRPr="00D05364" w14:paraId="6BA91301" w14:textId="77777777" w:rsidTr="00061311">
        <w:trPr>
          <w:trHeight w:val="1547"/>
          <w:jc w:val="center"/>
        </w:trPr>
        <w:tc>
          <w:tcPr>
            <w:tcW w:w="2927" w:type="dxa"/>
          </w:tcPr>
          <w:p w14:paraId="0A57ECC5" w14:textId="77777777" w:rsidR="006F3037" w:rsidRPr="00D05364" w:rsidRDefault="006F3037" w:rsidP="00261D2E">
            <w:pPr>
              <w:spacing w:line="276" w:lineRule="auto"/>
              <w:rPr>
                <w:rFonts w:eastAsia="Arial"/>
              </w:rPr>
            </w:pPr>
            <w:r w:rsidRPr="00D05364">
              <w:rPr>
                <w:rFonts w:eastAsia="Arial"/>
              </w:rPr>
              <w:t>Kanados sveikatos technologijų agentūra</w:t>
            </w:r>
          </w:p>
          <w:p w14:paraId="6A230AD8" w14:textId="77777777" w:rsidR="006F3037" w:rsidRPr="00D05364" w:rsidRDefault="006F3037" w:rsidP="00261D2E">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915" w:type="dxa"/>
          </w:tcPr>
          <w:p w14:paraId="5D63F308" w14:textId="77777777" w:rsidR="006F3037" w:rsidRPr="00D05364" w:rsidRDefault="00000000" w:rsidP="00261D2E">
            <w:sdt>
              <w:sdtPr>
                <w:rPr>
                  <w:rStyle w:val="Style2"/>
                </w:rPr>
                <w:id w:val="-372539057"/>
                <w15:color w:val="FFCC00"/>
                <w14:checkbox>
                  <w14:checked w14:val="0"/>
                  <w14:checkedState w14:val="2612" w14:font="MS Gothic"/>
                  <w14:uncheckedState w14:val="2610" w14:font="MS Gothic"/>
                </w14:checkbox>
              </w:sdtPr>
              <w:sdtContent>
                <w:r w:rsidR="006F3037" w:rsidRPr="00D05364">
                  <w:rPr>
                    <w:rStyle w:val="Style2"/>
                    <w:rFonts w:ascii="Segoe UI Symbol" w:eastAsia="MS Gothic" w:hAnsi="Segoe UI Symbol" w:cs="Segoe UI Symbol"/>
                  </w:rPr>
                  <w:t>☐</w:t>
                </w:r>
              </w:sdtContent>
            </w:sdt>
            <w:r w:rsidR="006F3037" w:rsidRPr="00D05364">
              <w:t xml:space="preserve"> Taip</w:t>
            </w:r>
          </w:p>
          <w:p w14:paraId="5E6F6FB1" w14:textId="77777777" w:rsidR="006F3037" w:rsidRPr="00D05364" w:rsidRDefault="00000000" w:rsidP="00261D2E">
            <w:sdt>
              <w:sdtPr>
                <w:rPr>
                  <w:rStyle w:val="Style2"/>
                </w:rPr>
                <w:id w:val="594442222"/>
                <w15:color w:val="FFCC00"/>
                <w14:checkbox>
                  <w14:checked w14:val="1"/>
                  <w14:checkedState w14:val="2612" w14:font="MS Gothic"/>
                  <w14:uncheckedState w14:val="2610" w14:font="MS Gothic"/>
                </w14:checkbox>
              </w:sdtPr>
              <w:sdtContent>
                <w:r w:rsidR="006F3037">
                  <w:rPr>
                    <w:rStyle w:val="Style2"/>
                    <w:rFonts w:ascii="MS Gothic" w:eastAsia="MS Gothic" w:hAnsi="MS Gothic" w:hint="eastAsia"/>
                  </w:rPr>
                  <w:t>☒</w:t>
                </w:r>
              </w:sdtContent>
            </w:sdt>
            <w:r w:rsidR="006F3037" w:rsidRPr="00D05364">
              <w:t xml:space="preserve"> Ne</w:t>
            </w:r>
          </w:p>
          <w:p w14:paraId="741CC7D1" w14:textId="77777777" w:rsidR="006F3037" w:rsidRPr="00D05364" w:rsidRDefault="00000000" w:rsidP="00261D2E">
            <w:pPr>
              <w:spacing w:line="276" w:lineRule="auto"/>
              <w:rPr>
                <w:rFonts w:eastAsia="Arial"/>
              </w:rPr>
            </w:pPr>
            <w:sdt>
              <w:sdtPr>
                <w:alias w:val="Nurodykite konkrečią dieną"/>
                <w:tag w:val="Nurodykite pradžios datą"/>
                <w:id w:val="1072468416"/>
                <w:placeholder>
                  <w:docPart w:val="5DF8D7C2405DEC4EACF4AC61F1B3C4D4"/>
                </w:placeholder>
                <w:showingPlcHdr/>
                <w15:color w:val="FFCC99"/>
                <w:date w:fullDate="2022-05-18T00:00:00Z">
                  <w:dateFormat w:val="yyyy 'm.' MMMM d 'd.'"/>
                  <w:lid w:val="lt-LT"/>
                  <w:storeMappedDataAs w:val="dateTime"/>
                  <w:calendar w:val="gregorian"/>
                </w:date>
              </w:sdtPr>
              <w:sdtContent>
                <w:r w:rsidR="006F3037" w:rsidRPr="00D05364">
                  <w:rPr>
                    <w:rStyle w:val="Vietosrezervavimoenklotekstas"/>
                  </w:rPr>
                  <w:t>Click here to enter a date.</w:t>
                </w:r>
              </w:sdtContent>
            </w:sdt>
          </w:p>
        </w:tc>
        <w:tc>
          <w:tcPr>
            <w:tcW w:w="2587" w:type="dxa"/>
          </w:tcPr>
          <w:p w14:paraId="0F2A9A0F" w14:textId="22F9E1BC" w:rsidR="006F3037" w:rsidRPr="00D05364" w:rsidRDefault="00DB13E0" w:rsidP="00261D2E">
            <w:pPr>
              <w:spacing w:line="276" w:lineRule="auto"/>
              <w:rPr>
                <w:rFonts w:eastAsia="Arial"/>
              </w:rPr>
            </w:pPr>
            <w:r>
              <w:rPr>
                <w:rFonts w:eastAsia="Arial"/>
              </w:rPr>
              <w:t>-</w:t>
            </w:r>
          </w:p>
        </w:tc>
        <w:tc>
          <w:tcPr>
            <w:tcW w:w="2725" w:type="dxa"/>
          </w:tcPr>
          <w:p w14:paraId="7064F21C" w14:textId="547F6CF2" w:rsidR="006F3037" w:rsidRPr="00D05364" w:rsidRDefault="00F329EA" w:rsidP="00261D2E">
            <w:pPr>
              <w:spacing w:line="276" w:lineRule="auto"/>
              <w:rPr>
                <w:rFonts w:eastAsia="Arial"/>
              </w:rPr>
            </w:pPr>
            <w:r>
              <w:rPr>
                <w:rFonts w:eastAsia="Arial"/>
              </w:rPr>
              <w:t>-</w:t>
            </w:r>
          </w:p>
        </w:tc>
      </w:tr>
      <w:tr w:rsidR="006F3037" w:rsidRPr="00D05364" w14:paraId="09D030D0" w14:textId="77777777" w:rsidTr="00061311">
        <w:trPr>
          <w:trHeight w:val="1927"/>
          <w:jc w:val="center"/>
        </w:trPr>
        <w:tc>
          <w:tcPr>
            <w:tcW w:w="2927" w:type="dxa"/>
          </w:tcPr>
          <w:p w14:paraId="504B10DD" w14:textId="77777777" w:rsidR="006F3037" w:rsidRPr="00D05364" w:rsidRDefault="006F3037" w:rsidP="00261D2E">
            <w:pPr>
              <w:spacing w:line="276" w:lineRule="auto"/>
              <w:rPr>
                <w:rFonts w:eastAsia="Arial"/>
              </w:rPr>
            </w:pPr>
            <w:r w:rsidRPr="00D05364">
              <w:rPr>
                <w:rFonts w:eastAsia="Arial"/>
              </w:rPr>
              <w:t>Nacionalinis farmakoekonomikos centras, Airija</w:t>
            </w:r>
          </w:p>
          <w:p w14:paraId="6AD2BFBB" w14:textId="77777777" w:rsidR="006F3037" w:rsidRPr="00D05364" w:rsidRDefault="006F3037" w:rsidP="00261D2E">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915" w:type="dxa"/>
          </w:tcPr>
          <w:p w14:paraId="321253C8" w14:textId="77777777" w:rsidR="006F3037" w:rsidRPr="00D05364" w:rsidRDefault="00000000" w:rsidP="00261D2E">
            <w:sdt>
              <w:sdtPr>
                <w:rPr>
                  <w:rStyle w:val="Style2"/>
                </w:rPr>
                <w:id w:val="-1888403732"/>
                <w15:color w:val="FFCC00"/>
                <w14:checkbox>
                  <w14:checked w14:val="1"/>
                  <w14:checkedState w14:val="2612" w14:font="MS Gothic"/>
                  <w14:uncheckedState w14:val="2610" w14:font="MS Gothic"/>
                </w14:checkbox>
              </w:sdtPr>
              <w:sdtContent>
                <w:r w:rsidR="006F3037">
                  <w:rPr>
                    <w:rStyle w:val="Style2"/>
                    <w:rFonts w:ascii="MS Gothic" w:eastAsia="MS Gothic" w:hAnsi="MS Gothic" w:hint="eastAsia"/>
                  </w:rPr>
                  <w:t>☒</w:t>
                </w:r>
              </w:sdtContent>
            </w:sdt>
            <w:r w:rsidR="006F3037" w:rsidRPr="00D05364">
              <w:t xml:space="preserve"> Taip</w:t>
            </w:r>
          </w:p>
          <w:p w14:paraId="0424FA66" w14:textId="77777777" w:rsidR="006F3037" w:rsidRPr="00D05364" w:rsidRDefault="00000000" w:rsidP="00261D2E">
            <w:sdt>
              <w:sdtPr>
                <w:rPr>
                  <w:rStyle w:val="Style2"/>
                </w:rPr>
                <w:id w:val="1092201793"/>
                <w15:color w:val="FFCC00"/>
                <w14:checkbox>
                  <w14:checked w14:val="0"/>
                  <w14:checkedState w14:val="2612" w14:font="MS Gothic"/>
                  <w14:uncheckedState w14:val="2610" w14:font="MS Gothic"/>
                </w14:checkbox>
              </w:sdtPr>
              <w:sdtContent>
                <w:r w:rsidR="006F3037">
                  <w:rPr>
                    <w:rStyle w:val="Style2"/>
                    <w:rFonts w:ascii="MS Gothic" w:eastAsia="MS Gothic" w:hAnsi="MS Gothic" w:hint="eastAsia"/>
                  </w:rPr>
                  <w:t>☐</w:t>
                </w:r>
              </w:sdtContent>
            </w:sdt>
            <w:r w:rsidR="006F3037" w:rsidRPr="00D05364">
              <w:t xml:space="preserve"> Ne</w:t>
            </w:r>
          </w:p>
          <w:p w14:paraId="19A6CD42" w14:textId="77777777" w:rsidR="006F3037" w:rsidRPr="00D05364" w:rsidRDefault="00000000" w:rsidP="00261D2E">
            <w:pPr>
              <w:spacing w:line="276" w:lineRule="auto"/>
              <w:rPr>
                <w:rFonts w:eastAsia="Arial"/>
              </w:rPr>
            </w:pPr>
            <w:sdt>
              <w:sdtPr>
                <w:alias w:val="Nurodykite konkrečią dieną"/>
                <w:tag w:val="Nurodykite pradžios datą"/>
                <w:id w:val="-198323198"/>
                <w:placeholder>
                  <w:docPart w:val="E02A3D8DCBA26F4CB5EB83455A378123"/>
                </w:placeholder>
                <w15:color w:val="FFCC99"/>
                <w:date>
                  <w:dateFormat w:val="yyyy 'm.' MMMM d 'd.'"/>
                  <w:lid w:val="lt-LT"/>
                  <w:storeMappedDataAs w:val="dateTime"/>
                  <w:calendar w:val="gregorian"/>
                </w:date>
              </w:sdtPr>
              <w:sdtContent>
                <w:r w:rsidR="006F3037">
                  <w:t>202</w:t>
                </w:r>
                <w:r w:rsidR="006F3037">
                  <w:rPr>
                    <w:lang w:val="en-US"/>
                  </w:rPr>
                  <w:t>2</w:t>
                </w:r>
                <w:r w:rsidR="006F3037">
                  <w:t xml:space="preserve"> m. birželio </w:t>
                </w:r>
                <w:r w:rsidR="006F3037">
                  <w:rPr>
                    <w:lang w:val="en-US"/>
                  </w:rPr>
                  <w:t>30</w:t>
                </w:r>
                <w:r w:rsidR="006F3037">
                  <w:t xml:space="preserve"> d.</w:t>
                </w:r>
              </w:sdtContent>
            </w:sdt>
          </w:p>
        </w:tc>
        <w:tc>
          <w:tcPr>
            <w:tcW w:w="2587" w:type="dxa"/>
          </w:tcPr>
          <w:p w14:paraId="2F1D2B47" w14:textId="72B179F6" w:rsidR="006F3037" w:rsidRPr="00197F74" w:rsidRDefault="00DB13E0" w:rsidP="00261D2E">
            <w:pPr>
              <w:spacing w:line="276" w:lineRule="auto"/>
              <w:rPr>
                <w:rFonts w:eastAsia="Arial"/>
                <w:lang w:val="en-US"/>
              </w:rPr>
            </w:pPr>
            <w:r>
              <w:rPr>
                <w:rFonts w:eastAsia="Arial"/>
              </w:rPr>
              <w:t>Pilnas STV vertinimas nerekomenduojamas.</w:t>
            </w:r>
          </w:p>
        </w:tc>
        <w:tc>
          <w:tcPr>
            <w:tcW w:w="2725" w:type="dxa"/>
          </w:tcPr>
          <w:p w14:paraId="0D121584" w14:textId="2761EC42" w:rsidR="006F3037" w:rsidRPr="00D05364" w:rsidRDefault="00F329EA" w:rsidP="00261D2E">
            <w:pPr>
              <w:spacing w:line="276" w:lineRule="auto"/>
              <w:rPr>
                <w:rFonts w:eastAsia="Arial"/>
              </w:rPr>
            </w:pPr>
            <w:r>
              <w:rPr>
                <w:rFonts w:eastAsia="Arial"/>
              </w:rPr>
              <w:t>Pagal pasiūlytą kainą vaisto siūloma nekompensuoti.</w:t>
            </w:r>
          </w:p>
        </w:tc>
      </w:tr>
    </w:tbl>
    <w:p w14:paraId="2EB7FD31" w14:textId="69A0F277" w:rsidR="00F70C9E" w:rsidRDefault="00F70C9E" w:rsidP="00E03C3F">
      <w:pPr>
        <w:pStyle w:val="Sraopastraipa"/>
        <w:tabs>
          <w:tab w:val="left" w:pos="426"/>
        </w:tabs>
        <w:ind w:left="0"/>
        <w:rPr>
          <w:b/>
          <w:bCs/>
          <w:caps/>
        </w:rPr>
      </w:pPr>
    </w:p>
    <w:p w14:paraId="5E82BD7C" w14:textId="77777777" w:rsidR="008651E2" w:rsidRDefault="008651E2" w:rsidP="00E03C3F">
      <w:pPr>
        <w:pStyle w:val="Sraopastraipa"/>
        <w:tabs>
          <w:tab w:val="left" w:pos="426"/>
        </w:tabs>
        <w:ind w:left="0"/>
        <w:rPr>
          <w:b/>
          <w:bCs/>
          <w:caps/>
        </w:rPr>
      </w:pPr>
    </w:p>
    <w:p w14:paraId="5055E8A8" w14:textId="471A9757" w:rsidR="002E6F80" w:rsidRPr="00937907" w:rsidRDefault="00CC7832" w:rsidP="00937907">
      <w:pPr>
        <w:pStyle w:val="Sraopastraipa"/>
        <w:numPr>
          <w:ilvl w:val="0"/>
          <w:numId w:val="12"/>
        </w:numPr>
        <w:tabs>
          <w:tab w:val="left" w:pos="284"/>
        </w:tabs>
        <w:rPr>
          <w:b/>
          <w:bCs/>
          <w:caps/>
        </w:rPr>
      </w:pPr>
      <w:r w:rsidRPr="00937907">
        <w:rPr>
          <w:b/>
          <w:bCs/>
          <w:caps/>
        </w:rPr>
        <w:t>Klinikinio vertinimo a</w:t>
      </w:r>
      <w:r w:rsidR="00D4485B" w:rsidRPr="00937907">
        <w:rPr>
          <w:b/>
          <w:bCs/>
          <w:caps/>
        </w:rPr>
        <w:t>pibendrinimas</w:t>
      </w:r>
    </w:p>
    <w:p w14:paraId="639F36CB" w14:textId="77777777" w:rsidR="006F3037" w:rsidRPr="00FD53A8" w:rsidRDefault="006F3037" w:rsidP="00061311">
      <w:pPr>
        <w:spacing w:after="80" w:line="276" w:lineRule="auto"/>
        <w:ind w:firstLine="360"/>
        <w:jc w:val="both"/>
      </w:pPr>
      <w:bookmarkStart w:id="0" w:name="_Hlk495387007"/>
      <w:r w:rsidRPr="00FD53A8">
        <w:rPr>
          <w:b/>
        </w:rPr>
        <w:t xml:space="preserve">Psoriazinis artritas arba psoriatinė liga (PsA) – </w:t>
      </w:r>
      <w:r w:rsidRPr="00FD53A8">
        <w:t>yra autoimuninės kilmės lėtinis artritas nustatomas psoriaze sergantiems ligoniams. Jis priskiriamas spondiloartropatijų grupės ligoms. Ligos sunkumas skiriasi įvairiems asmenims ir gali būti nuo lengvo sąnarių patinimo bei uždegimo iki sąnarių pažeidimo, sukeliančio neįgalumą. PsA gali pabloginti gyvenimo kokybę, taip pat sumažinti gyvenimo trukmę.</w:t>
      </w:r>
    </w:p>
    <w:p w14:paraId="6E05EFDF" w14:textId="77777777" w:rsidR="006F3037" w:rsidRPr="00FD53A8" w:rsidRDefault="006F3037" w:rsidP="006F3037">
      <w:pPr>
        <w:spacing w:after="240" w:line="276" w:lineRule="auto"/>
        <w:jc w:val="both"/>
      </w:pPr>
      <w:r w:rsidRPr="00FD53A8">
        <w:t xml:space="preserve">Kaip ir kitoms spondiloartropatijų grupės ligoms, PsA būdingas periferinis artritas, entezitai, daktilitas ir ašinio skeleto uždegimas (sakroiliitas ir (arba) spondilitas). PsA metu nerandama reumatoidiniam artritui būdingų žymenų. </w:t>
      </w:r>
      <w:r w:rsidRPr="00FD53A8">
        <w:rPr>
          <w:bCs/>
        </w:rPr>
        <w:t xml:space="preserve">60 – 70 </w:t>
      </w:r>
      <w:r w:rsidRPr="00FD53A8">
        <w:t xml:space="preserve">proc. pacientų PsO diagnozuojama anksčiau nei PsA, </w:t>
      </w:r>
      <w:r w:rsidRPr="00FD53A8">
        <w:rPr>
          <w:bCs/>
        </w:rPr>
        <w:t xml:space="preserve">15 – 20 </w:t>
      </w:r>
      <w:r w:rsidRPr="00FD53A8">
        <w:t xml:space="preserve">proc.  atvejų artritas yra pirmasis PsO pasireiškimas. </w:t>
      </w:r>
    </w:p>
    <w:p w14:paraId="74D02DF4" w14:textId="77777777" w:rsidR="006F3037" w:rsidRPr="00FD53A8" w:rsidRDefault="006F3037" w:rsidP="006F3037">
      <w:pPr>
        <w:spacing w:after="80" w:line="276" w:lineRule="auto"/>
        <w:jc w:val="both"/>
        <w:rPr>
          <w:b/>
          <w:vertAlign w:val="superscript"/>
        </w:rPr>
      </w:pPr>
      <w:r w:rsidRPr="00FD53A8">
        <w:rPr>
          <w:b/>
        </w:rPr>
        <w:t>Sergamumas</w:t>
      </w:r>
    </w:p>
    <w:p w14:paraId="717FD1DD" w14:textId="77777777" w:rsidR="006F3037" w:rsidRPr="00516FF8" w:rsidRDefault="006F3037" w:rsidP="006F3037">
      <w:pPr>
        <w:pStyle w:val="Sraopastraipa"/>
        <w:numPr>
          <w:ilvl w:val="0"/>
          <w:numId w:val="13"/>
        </w:numPr>
        <w:spacing w:after="80" w:line="276" w:lineRule="auto"/>
        <w:jc w:val="both"/>
      </w:pPr>
      <w:r w:rsidRPr="00516FF8">
        <w:rPr>
          <w:bCs/>
        </w:rPr>
        <w:lastRenderedPageBreak/>
        <w:t>0,1 – 23,1</w:t>
      </w:r>
      <w:r w:rsidRPr="00516FF8">
        <w:t xml:space="preserve"> atvejo </w:t>
      </w:r>
      <w:r w:rsidRPr="00516FF8">
        <w:rPr>
          <w:bCs/>
        </w:rPr>
        <w:t xml:space="preserve">100,000 </w:t>
      </w:r>
      <w:r w:rsidRPr="00516FF8">
        <w:t xml:space="preserve">gyventojų (vidutiniškai 6,4/100,000) </w:t>
      </w:r>
    </w:p>
    <w:p w14:paraId="4FA2FE99" w14:textId="77777777" w:rsidR="006F3037" w:rsidRPr="00516FF8" w:rsidRDefault="006F3037" w:rsidP="006F3037">
      <w:pPr>
        <w:pStyle w:val="Sraopastraipa"/>
        <w:numPr>
          <w:ilvl w:val="0"/>
          <w:numId w:val="13"/>
        </w:numPr>
        <w:spacing w:after="80" w:line="276" w:lineRule="auto"/>
        <w:jc w:val="both"/>
      </w:pPr>
      <w:r w:rsidRPr="00516FF8">
        <w:t>Dideli skirtumai tarp šalių</w:t>
      </w:r>
    </w:p>
    <w:p w14:paraId="3B0E2267" w14:textId="77777777" w:rsidR="006F3037" w:rsidRPr="00516FF8" w:rsidRDefault="006F3037" w:rsidP="006F3037">
      <w:pPr>
        <w:pStyle w:val="Sraopastraipa"/>
        <w:numPr>
          <w:ilvl w:val="0"/>
          <w:numId w:val="13"/>
        </w:numPr>
        <w:spacing w:after="80" w:line="276" w:lineRule="auto"/>
        <w:jc w:val="both"/>
      </w:pPr>
      <w:r w:rsidRPr="00516FF8">
        <w:t xml:space="preserve">Vidutinis diagnozės nustatymo laikas </w:t>
      </w:r>
      <w:r w:rsidRPr="00516FF8">
        <w:rPr>
          <w:bCs/>
        </w:rPr>
        <w:t xml:space="preserve">40,7 – 52,0 </w:t>
      </w:r>
      <w:r w:rsidRPr="00516FF8">
        <w:t>metai (vidutiniškai 47,7 metai)</w:t>
      </w:r>
    </w:p>
    <w:p w14:paraId="608AF53A" w14:textId="3A061D9E" w:rsidR="006F3037" w:rsidRPr="00516FF8" w:rsidRDefault="006F3037" w:rsidP="006F3037">
      <w:pPr>
        <w:pStyle w:val="Sraopastraipa"/>
        <w:numPr>
          <w:ilvl w:val="0"/>
          <w:numId w:val="13"/>
        </w:numPr>
        <w:spacing w:after="80" w:line="276" w:lineRule="auto"/>
        <w:jc w:val="both"/>
      </w:pPr>
      <w:r w:rsidRPr="00516FF8">
        <w:t xml:space="preserve">PsA diagnozuojamas </w:t>
      </w:r>
      <w:r w:rsidRPr="00516FF8">
        <w:rPr>
          <w:bCs/>
        </w:rPr>
        <w:t>4 – 30 proc</w:t>
      </w:r>
      <w:r w:rsidRPr="00516FF8">
        <w:t>. PsO pacientų, iki 20 proc. sergančių vidutine/sunkia PsO forma</w:t>
      </w:r>
      <w:bookmarkEnd w:id="0"/>
      <w:r w:rsidRPr="00516FF8">
        <w:t>.</w:t>
      </w:r>
    </w:p>
    <w:p w14:paraId="4DEEA1CA" w14:textId="77777777" w:rsidR="006F3037" w:rsidRPr="006E244B" w:rsidRDefault="006F3037" w:rsidP="006F3037">
      <w:pPr>
        <w:spacing w:line="276" w:lineRule="auto"/>
        <w:jc w:val="both"/>
        <w:rPr>
          <w:b/>
        </w:rPr>
      </w:pPr>
      <w:r w:rsidRPr="006E244B">
        <w:rPr>
          <w:b/>
        </w:rPr>
        <w:t>Gydymas</w:t>
      </w:r>
    </w:p>
    <w:p w14:paraId="56C1958D" w14:textId="77777777" w:rsidR="006F3037" w:rsidRPr="00FD53A8" w:rsidRDefault="006F3037" w:rsidP="006F3037">
      <w:pPr>
        <w:pStyle w:val="prastasiniatinklio"/>
        <w:numPr>
          <w:ilvl w:val="0"/>
          <w:numId w:val="16"/>
        </w:numPr>
        <w:spacing w:before="0" w:beforeAutospacing="0" w:after="135" w:afterAutospacing="0" w:line="276" w:lineRule="auto"/>
        <w:jc w:val="both"/>
        <w:rPr>
          <w:color w:val="000000"/>
          <w:shd w:val="clear" w:color="auto" w:fill="FFFFFF"/>
          <w:lang w:val="lt-LT"/>
        </w:rPr>
      </w:pPr>
      <w:r w:rsidRPr="00FD53A8">
        <w:rPr>
          <w:color w:val="000000"/>
          <w:shd w:val="clear" w:color="auto" w:fill="FFFFFF"/>
          <w:lang w:val="lt-LT"/>
        </w:rPr>
        <w:t>PsA b</w:t>
      </w:r>
      <w:r w:rsidRPr="00297B0C">
        <w:rPr>
          <w:color w:val="000000"/>
          <w:shd w:val="clear" w:color="auto" w:fill="FFFFFF"/>
          <w:lang w:val="lt-LT"/>
        </w:rPr>
        <w:t>ūdinga banguojanti eiga, pasireiškianti</w:t>
      </w:r>
      <w:r w:rsidRPr="00FD53A8">
        <w:rPr>
          <w:color w:val="000000"/>
          <w:shd w:val="clear" w:color="auto" w:fill="FFFFFF"/>
          <w:lang w:val="lt-LT"/>
        </w:rPr>
        <w:t xml:space="preserve"> paūmėjimais ir remisijomis. Jaunesnis paciento amžius, moteriška lytis, ūmi artrito pradžia, pažeistų sąnarių skaičius, aukšti ENG rodikliai, teigiamas ŽLA-B27 antigenas nurodo blogesnę ligos prognozę, todėl svarbu reguliariai sekti PsA pacientus dėl aktyvaus uždegimo ir tinkamai gydyti tam, kad būtų išvengta tolimesnio sąnarių pažeidimo.</w:t>
      </w:r>
    </w:p>
    <w:p w14:paraId="5B9333E3" w14:textId="77777777" w:rsidR="006F3037" w:rsidRPr="00F4752A" w:rsidRDefault="006F3037" w:rsidP="006F3037">
      <w:pPr>
        <w:pStyle w:val="HTMLiankstoformatuotas"/>
        <w:numPr>
          <w:ilvl w:val="0"/>
          <w:numId w:val="15"/>
        </w:numPr>
        <w:spacing w:line="276" w:lineRule="auto"/>
        <w:jc w:val="both"/>
        <w:rPr>
          <w:rFonts w:ascii="Times New Roman" w:hAnsi="Times New Roman" w:cs="Times New Roman"/>
          <w:color w:val="000000"/>
          <w:sz w:val="24"/>
          <w:szCs w:val="24"/>
          <w:shd w:val="clear" w:color="auto" w:fill="FFFFFF"/>
        </w:rPr>
      </w:pPr>
      <w:r w:rsidRPr="00FD53A8">
        <w:rPr>
          <w:rFonts w:ascii="Times New Roman" w:hAnsi="Times New Roman" w:cs="Times New Roman"/>
          <w:color w:val="000000"/>
          <w:sz w:val="24"/>
          <w:szCs w:val="24"/>
          <w:shd w:val="clear" w:color="auto" w:fill="FFFFFF"/>
        </w:rPr>
        <w:t>PsA gydymas apima medikamentin</w:t>
      </w:r>
      <w:r w:rsidRPr="00297B0C">
        <w:rPr>
          <w:rFonts w:ascii="Times New Roman" w:hAnsi="Times New Roman" w:cs="Times New Roman"/>
          <w:color w:val="000000"/>
          <w:sz w:val="24"/>
          <w:szCs w:val="24"/>
          <w:shd w:val="clear" w:color="auto" w:fill="FFFFFF"/>
        </w:rPr>
        <w:t>į gydymą</w:t>
      </w:r>
      <w:r w:rsidRPr="00FD53A8">
        <w:rPr>
          <w:rFonts w:ascii="Times New Roman" w:hAnsi="Times New Roman" w:cs="Times New Roman"/>
          <w:color w:val="000000"/>
          <w:sz w:val="24"/>
          <w:szCs w:val="24"/>
          <w:shd w:val="clear" w:color="auto" w:fill="FFFFFF"/>
        </w:rPr>
        <w:t>, reabilitaciją ir kartais chirurginę rekonstrukciją kartu su psoriazinių odos pažeidimų valdymu. Lengvas odos ir sąnarių pasireiškimas PsA gali būti veiksmingai gydomas vietiniais vaistais, NVNU ir ultravioletinių spindulių terapija. Pacientams, turintiems didesnį ligos aktyvumą ir sunkesnius simptomus, csLMVR skiriami kaip pradinis gydymas. bLMVR, įskaitant TNF ir IL inhibitorius, rekomenduojami vartoti pacientams, netoleruojantiems ar nereaguojantiems į csLMVR / NVNU arba turintiems ašinę ligą. Įrodyta, kad TNF inhibitoriai veiksmingi mažinant uždegimą, skausmą pacientams, sergantiems PsA.</w:t>
      </w:r>
    </w:p>
    <w:p w14:paraId="393A7A5C" w14:textId="77777777" w:rsidR="006F3037" w:rsidRPr="00695887" w:rsidRDefault="006F3037" w:rsidP="006F3037">
      <w:pPr>
        <w:pStyle w:val="prastasiniatinklio"/>
        <w:numPr>
          <w:ilvl w:val="0"/>
          <w:numId w:val="15"/>
        </w:numPr>
        <w:spacing w:before="0" w:beforeAutospacing="0" w:after="135" w:afterAutospacing="0" w:line="276" w:lineRule="auto"/>
        <w:jc w:val="both"/>
        <w:rPr>
          <w:color w:val="000000"/>
          <w:shd w:val="clear" w:color="auto" w:fill="FFFFFF"/>
          <w:lang w:val="lt-LT"/>
        </w:rPr>
      </w:pPr>
      <w:r w:rsidRPr="00FD53A8">
        <w:rPr>
          <w:color w:val="000000"/>
          <w:shd w:val="clear" w:color="auto" w:fill="FFFFFF"/>
          <w:lang w:val="lt-LT"/>
        </w:rPr>
        <w:t>Medikamentinis gydymas priklauso nuo PsA pažeidimo tipo. Sergantiems oligoartritine ar distalinių interfalanginių sąnarių PsA forma gydymas dažnai apsiriboja nesteroidiniais priešuždegiminiais vaistais (NVNU), o sunkiam mutiliuojančiam artritui ar spondiloartropatijai gydyti taikoma LMVR ir biologinė terapija. Peroralinių steroidų vartojimas neretai sukelia psoriazės paūmėjimą, todėl šie preparatai vengtini, tačiau rekomenduojamos lokalios jų injekcijos į pažeistus sąnarius.</w:t>
      </w:r>
    </w:p>
    <w:p w14:paraId="1374EEAC" w14:textId="77777777" w:rsidR="006F3037" w:rsidRDefault="006F3037" w:rsidP="006F3037">
      <w:pPr>
        <w:pStyle w:val="prastasiniatinklio"/>
        <w:numPr>
          <w:ilvl w:val="0"/>
          <w:numId w:val="15"/>
        </w:numPr>
        <w:spacing w:before="0" w:beforeAutospacing="0" w:after="135" w:afterAutospacing="0" w:line="276" w:lineRule="auto"/>
        <w:jc w:val="both"/>
        <w:rPr>
          <w:color w:val="000000"/>
          <w:shd w:val="clear" w:color="auto" w:fill="FFFFFF"/>
          <w:lang w:val="lt-LT"/>
        </w:rPr>
      </w:pPr>
      <w:r w:rsidRPr="00FD53A8">
        <w:rPr>
          <w:color w:val="000000"/>
          <w:shd w:val="clear" w:color="auto" w:fill="FFFFFF"/>
          <w:lang w:val="lt-LT"/>
        </w:rPr>
        <w:t>Psoriazinis artritas gydomas tradiciniais sisteminiais medikamentais (metotreksatu, ciklosporinu), kurie derinami su biologine terapija TNF</w:t>
      </w:r>
      <w:r w:rsidRPr="00FD53A8">
        <w:rPr>
          <w:i/>
          <w:color w:val="000000"/>
          <w:shd w:val="clear" w:color="auto" w:fill="FFFFFF"/>
          <w:lang w:val="lt-LT"/>
        </w:rPr>
        <w:t xml:space="preserve"> alfa</w:t>
      </w:r>
      <w:r w:rsidRPr="00FD53A8">
        <w:rPr>
          <w:color w:val="000000"/>
          <w:shd w:val="clear" w:color="auto" w:fill="FFFFFF"/>
          <w:lang w:val="lt-LT"/>
        </w:rPr>
        <w:t xml:space="preserve"> inhibitoriais – etanerceptu, adalimumabu, infliksimabu, IL-12 ir IL-23</w:t>
      </w:r>
      <w:r w:rsidRPr="00FD53A8">
        <w:rPr>
          <w:color w:val="000000"/>
          <w:lang w:val="lt-LT"/>
        </w:rPr>
        <w:t xml:space="preserve"> </w:t>
      </w:r>
      <w:r w:rsidRPr="00FD53A8">
        <w:rPr>
          <w:color w:val="000000"/>
          <w:shd w:val="clear" w:color="auto" w:fill="FFFFFF"/>
          <w:lang w:val="lt-LT"/>
        </w:rPr>
        <w:t>blokatoriais (ustekinumabu) ar IL-17A inhibitoriumi sekukinumabu. Nepaisant taikomo gydymo, kuris veikia patogenezines psoriazinio artrito grandis, ne visi pacientai gydymą toleruoja ir ne visiems stebimas norimas teigiamas atsakas.</w:t>
      </w:r>
    </w:p>
    <w:p w14:paraId="07F4E865" w14:textId="77777777" w:rsidR="006F3037" w:rsidRPr="00695887" w:rsidRDefault="006F3037" w:rsidP="006F3037">
      <w:pPr>
        <w:pStyle w:val="prastasiniatinklio"/>
        <w:numPr>
          <w:ilvl w:val="0"/>
          <w:numId w:val="15"/>
        </w:numPr>
        <w:spacing w:before="0" w:beforeAutospacing="0" w:after="135" w:afterAutospacing="0" w:line="276" w:lineRule="auto"/>
        <w:jc w:val="both"/>
        <w:rPr>
          <w:color w:val="000000"/>
          <w:shd w:val="clear" w:color="auto" w:fill="FFFFFF"/>
          <w:lang w:val="lt-LT"/>
        </w:rPr>
      </w:pPr>
      <w:r w:rsidRPr="00695887">
        <w:rPr>
          <w:color w:val="000000"/>
          <w:shd w:val="clear" w:color="auto" w:fill="FFFFFF"/>
          <w:lang w:val="lt-LT"/>
        </w:rPr>
        <w:t xml:space="preserve">Psoriaziniam artritui gydyti bLMVR vaistai skiriami pagal VLK nustatytą gydymo eilę, skelbiamą kiekvieną ketvirtį. </w:t>
      </w:r>
      <w:r>
        <w:rPr>
          <w:color w:val="000000"/>
          <w:shd w:val="clear" w:color="auto" w:fill="FFFFFF"/>
        </w:rPr>
        <w:t>G</w:t>
      </w:r>
      <w:r w:rsidRPr="00695887">
        <w:rPr>
          <w:color w:val="000000"/>
          <w:shd w:val="clear" w:color="auto" w:fill="FFFFFF"/>
        </w:rPr>
        <w:t xml:space="preserve">ydymo eiliškumas: </w:t>
      </w:r>
    </w:p>
    <w:p w14:paraId="36C9B9B4" w14:textId="77777777" w:rsidR="006F3037" w:rsidRPr="006F3037" w:rsidRDefault="006F3037" w:rsidP="006F3037">
      <w:pPr>
        <w:pStyle w:val="prastasiniatinklio"/>
        <w:numPr>
          <w:ilvl w:val="1"/>
          <w:numId w:val="15"/>
        </w:numPr>
        <w:spacing w:before="0" w:beforeAutospacing="0" w:after="135" w:afterAutospacing="0" w:line="276" w:lineRule="auto"/>
        <w:jc w:val="both"/>
        <w:rPr>
          <w:color w:val="000000"/>
          <w:shd w:val="clear" w:color="auto" w:fill="FFFFFF"/>
          <w:lang w:val="lt-LT"/>
        </w:rPr>
      </w:pPr>
      <w:r w:rsidRPr="00FD53A8">
        <w:t xml:space="preserve">Pirmos eilės gydymui: </w:t>
      </w:r>
      <w:r w:rsidRPr="00695887">
        <w:rPr>
          <w:color w:val="000000"/>
          <w:shd w:val="clear" w:color="auto" w:fill="FFFFFF"/>
        </w:rPr>
        <w:t>TNFa inhibitoriai (</w:t>
      </w:r>
      <w:r>
        <w:rPr>
          <w:color w:val="000000"/>
          <w:shd w:val="clear" w:color="auto" w:fill="FFFFFF"/>
        </w:rPr>
        <w:t>a</w:t>
      </w:r>
      <w:r w:rsidRPr="00695887">
        <w:rPr>
          <w:color w:val="000000"/>
          <w:shd w:val="clear" w:color="auto" w:fill="FFFFFF"/>
        </w:rPr>
        <w:t xml:space="preserve">dalimumabas, </w:t>
      </w:r>
      <w:r>
        <w:rPr>
          <w:color w:val="000000"/>
          <w:shd w:val="clear" w:color="auto" w:fill="FFFFFF"/>
        </w:rPr>
        <w:t>e</w:t>
      </w:r>
      <w:r w:rsidRPr="00695887">
        <w:rPr>
          <w:color w:val="000000"/>
          <w:shd w:val="clear" w:color="auto" w:fill="FFFFFF"/>
        </w:rPr>
        <w:t xml:space="preserve">tanerceptas, </w:t>
      </w:r>
      <w:r>
        <w:rPr>
          <w:color w:val="000000"/>
          <w:shd w:val="clear" w:color="auto" w:fill="FFFFFF"/>
        </w:rPr>
        <w:t>i</w:t>
      </w:r>
      <w:r w:rsidRPr="00695887">
        <w:rPr>
          <w:color w:val="000000"/>
          <w:shd w:val="clear" w:color="auto" w:fill="FFFFFF"/>
        </w:rPr>
        <w:t>nfiksimabas)</w:t>
      </w:r>
    </w:p>
    <w:p w14:paraId="25F89291" w14:textId="6D4B5956" w:rsidR="00D4485B" w:rsidRPr="006F3037" w:rsidRDefault="006F3037" w:rsidP="006F3037">
      <w:pPr>
        <w:pStyle w:val="prastasiniatinklio"/>
        <w:numPr>
          <w:ilvl w:val="1"/>
          <w:numId w:val="15"/>
        </w:numPr>
        <w:spacing w:before="0" w:beforeAutospacing="0" w:after="135" w:afterAutospacing="0" w:line="276" w:lineRule="auto"/>
        <w:jc w:val="both"/>
        <w:rPr>
          <w:color w:val="000000"/>
          <w:shd w:val="clear" w:color="auto" w:fill="FFFFFF"/>
          <w:lang w:val="lt-LT"/>
        </w:rPr>
      </w:pPr>
      <w:r w:rsidRPr="00695887">
        <w:t xml:space="preserve">Antros eilės gydymui: </w:t>
      </w:r>
      <w:r w:rsidRPr="006F3037">
        <w:rPr>
          <w:color w:val="000000"/>
          <w:shd w:val="clear" w:color="auto" w:fill="FFFFFF"/>
        </w:rPr>
        <w:t>interleukinų inhibitoriai (sekukinumabas, ustekinumabas</w:t>
      </w:r>
      <w:r>
        <w:rPr>
          <w:color w:val="000000"/>
          <w:shd w:val="clear" w:color="auto" w:fill="FFFFFF"/>
        </w:rPr>
        <w:t>).</w:t>
      </w:r>
    </w:p>
    <w:p w14:paraId="62D93C5A" w14:textId="60C9051E" w:rsidR="006705B8" w:rsidRPr="00A445D1" w:rsidRDefault="006F3037" w:rsidP="00A445D1">
      <w:pPr>
        <w:pStyle w:val="prastasiniatinklio"/>
        <w:spacing w:before="0" w:beforeAutospacing="0" w:after="135" w:afterAutospacing="0" w:line="276" w:lineRule="auto"/>
        <w:jc w:val="both"/>
        <w:rPr>
          <w:color w:val="000000"/>
          <w:u w:val="single"/>
          <w:shd w:val="clear" w:color="auto" w:fill="FFFFFF"/>
          <w:lang w:val="lt-LT"/>
        </w:rPr>
      </w:pPr>
      <w:r w:rsidRPr="00A445D1">
        <w:rPr>
          <w:u w:val="single"/>
        </w:rPr>
        <w:t>Risankizumabo parai</w:t>
      </w:r>
      <w:r w:rsidRPr="00A445D1">
        <w:rPr>
          <w:u w:val="single"/>
          <w:lang w:val="lt-LT"/>
        </w:rPr>
        <w:t>ška pateikta antros eilės gydymui biologine terapija.</w:t>
      </w:r>
    </w:p>
    <w:p w14:paraId="5715147B" w14:textId="563253C6" w:rsidR="008075B7" w:rsidRPr="008075B7" w:rsidRDefault="008075B7" w:rsidP="00A93AA6">
      <w:pPr>
        <w:pStyle w:val="Sraopastraipa"/>
        <w:tabs>
          <w:tab w:val="left" w:pos="426"/>
        </w:tabs>
        <w:ind w:left="0"/>
        <w:rPr>
          <w:i/>
          <w:iCs/>
          <w:u w:val="single"/>
        </w:rPr>
      </w:pPr>
      <w:r w:rsidRPr="008075B7">
        <w:rPr>
          <w:i/>
          <w:iCs/>
          <w:u w:val="single"/>
        </w:rPr>
        <w:t>Tiesioginis palyginimas:</w:t>
      </w:r>
    </w:p>
    <w:p w14:paraId="5E89001E" w14:textId="17AB14F6" w:rsidR="00D317D4" w:rsidRDefault="00061311" w:rsidP="00D31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r>
        <w:tab/>
      </w:r>
      <w:r w:rsidR="006705B8">
        <w:t xml:space="preserve">Palyginamajam efektyvumui ir klinikiniam veiksmingumui </w:t>
      </w:r>
      <w:r w:rsidR="008075B7">
        <w:t xml:space="preserve">pareiškėjas pateikė </w:t>
      </w:r>
      <w:r w:rsidR="00D317D4" w:rsidRPr="00FA2946">
        <w:rPr>
          <w:rFonts w:eastAsia="Arial"/>
          <w:bCs/>
        </w:rPr>
        <w:t>du tiesioginius klinikinius tyrimus</w:t>
      </w:r>
      <w:r w:rsidR="00D317D4">
        <w:rPr>
          <w:rFonts w:eastAsia="Arial"/>
          <w:bCs/>
        </w:rPr>
        <w:t xml:space="preserve"> </w:t>
      </w:r>
      <w:r w:rsidR="00D317D4" w:rsidRPr="00FA2946">
        <w:t>KEEPsAKE-1 ir KEEPsAKE-2</w:t>
      </w:r>
      <w:r w:rsidR="00D317D4">
        <w:t xml:space="preserve"> - tai </w:t>
      </w:r>
      <w:r w:rsidR="00D317D4" w:rsidRPr="00FA2946">
        <w:t>tarptautini</w:t>
      </w:r>
      <w:r w:rsidR="00D317D4">
        <w:t>ai</w:t>
      </w:r>
      <w:r w:rsidR="00D317D4" w:rsidRPr="00FA2946">
        <w:t xml:space="preserve"> III fazės, daugiacentri</w:t>
      </w:r>
      <w:r w:rsidR="00D317D4">
        <w:t>ai</w:t>
      </w:r>
      <w:r w:rsidR="00D317D4" w:rsidRPr="00FA2946">
        <w:t>, atsitiktinių imčių, dvigubai koduot</w:t>
      </w:r>
      <w:r w:rsidR="00D317D4">
        <w:t>i</w:t>
      </w:r>
      <w:r w:rsidR="00D317D4" w:rsidRPr="00FA2946">
        <w:t>, placebu kontroliuojam</w:t>
      </w:r>
      <w:r w:rsidR="00D317D4">
        <w:t>i</w:t>
      </w:r>
      <w:r w:rsidR="00D317D4" w:rsidRPr="00FA2946">
        <w:t xml:space="preserve"> tyrim</w:t>
      </w:r>
      <w:r w:rsidR="00D317D4">
        <w:t>ai.</w:t>
      </w:r>
      <w:r w:rsidR="00D317D4" w:rsidRPr="00FA2946">
        <w:t xml:space="preserve"> </w:t>
      </w:r>
      <w:r w:rsidR="00D317D4">
        <w:t xml:space="preserve">Į tyrimus buvo </w:t>
      </w:r>
      <w:r w:rsidR="00D317D4" w:rsidRPr="00FA2946">
        <w:t>įtraukti 18 metų ar vyresni pacientai,</w:t>
      </w:r>
      <w:r w:rsidR="00D317D4">
        <w:t xml:space="preserve"> sergantys sunkiu ar vidutinio sunkumo psoriaziniu artritu,</w:t>
      </w:r>
      <w:r w:rsidR="00D317D4" w:rsidRPr="00FA2946">
        <w:t xml:space="preserve"> kuriems</w:t>
      </w:r>
      <w:r w:rsidR="00D317D4">
        <w:t xml:space="preserve"> nustatytas </w:t>
      </w:r>
      <w:r w:rsidR="00D317D4" w:rsidRPr="00FA2946">
        <w:t xml:space="preserve">nepakankamas atsakas </w:t>
      </w:r>
      <w:r w:rsidR="00D317D4">
        <w:t xml:space="preserve">į gydymą biologine terapija </w:t>
      </w:r>
      <w:r w:rsidR="00D317D4" w:rsidRPr="00FA2946">
        <w:t>arba biologini</w:t>
      </w:r>
      <w:r w:rsidR="00D317D4">
        <w:t>ų</w:t>
      </w:r>
      <w:r w:rsidR="00D317D4" w:rsidRPr="00FA2946">
        <w:t xml:space="preserve"> </w:t>
      </w:r>
      <w:r w:rsidR="00D317D4">
        <w:t xml:space="preserve">vaistų </w:t>
      </w:r>
      <w:r w:rsidR="00D317D4" w:rsidRPr="00FA2946">
        <w:lastRenderedPageBreak/>
        <w:t>netoleravimas (bLMVR) ir (arba) ≥1</w:t>
      </w:r>
      <w:r w:rsidR="00D317D4" w:rsidRPr="00FA2946">
        <w:rPr>
          <w:rFonts w:ascii="FrutigerLTPro" w:hAnsi="FrutigerLTPro"/>
          <w:sz w:val="20"/>
          <w:szCs w:val="20"/>
        </w:rPr>
        <w:t xml:space="preserve"> </w:t>
      </w:r>
      <w:r w:rsidR="00D317D4" w:rsidRPr="00FA2946">
        <w:t>nepakankamas atsakas arba įprast</w:t>
      </w:r>
      <w:r w:rsidR="00D317D4">
        <w:t>ų</w:t>
      </w:r>
      <w:r w:rsidR="00D317D4" w:rsidRPr="00FA2946">
        <w:t xml:space="preserve"> sintetini</w:t>
      </w:r>
      <w:r w:rsidR="00D317D4">
        <w:t>ų</w:t>
      </w:r>
      <w:r w:rsidR="00D317D4" w:rsidRPr="00FA2946">
        <w:t xml:space="preserve"> ligą modifikuojan</w:t>
      </w:r>
      <w:r w:rsidR="00D317D4">
        <w:t>čių</w:t>
      </w:r>
      <w:r w:rsidR="00D317D4" w:rsidRPr="00FA2946">
        <w:t xml:space="preserve"> antireumatini</w:t>
      </w:r>
      <w:r w:rsidR="00D317D4">
        <w:t>ų</w:t>
      </w:r>
      <w:r w:rsidR="00D317D4" w:rsidRPr="00FA2946">
        <w:t xml:space="preserve"> vaist</w:t>
      </w:r>
      <w:r w:rsidR="00D317D4">
        <w:t>ų</w:t>
      </w:r>
      <w:r w:rsidR="00D317D4" w:rsidRPr="00FA2946">
        <w:t xml:space="preserve"> netoleravimas (LMVR).</w:t>
      </w:r>
      <w:r w:rsidR="00D317D4">
        <w:t xml:space="preserve"> </w:t>
      </w:r>
      <w:r w:rsidR="00D317D4" w:rsidRPr="001A55A0">
        <w:rPr>
          <w:color w:val="202124"/>
        </w:rPr>
        <w:t>Pacientai atsitiktinai suskirstyti</w:t>
      </w:r>
      <w:r w:rsidR="00D317D4">
        <w:rPr>
          <w:color w:val="202124"/>
        </w:rPr>
        <w:t xml:space="preserve"> į</w:t>
      </w:r>
      <w:r w:rsidR="00D317D4" w:rsidRPr="001A55A0">
        <w:rPr>
          <w:color w:val="202124"/>
        </w:rPr>
        <w:t xml:space="preserve"> </w:t>
      </w:r>
      <w:r w:rsidR="00D317D4" w:rsidRPr="00FA2946">
        <w:rPr>
          <w:color w:val="202124"/>
        </w:rPr>
        <w:t>2 grupes</w:t>
      </w:r>
      <w:r w:rsidR="00D317D4">
        <w:rPr>
          <w:color w:val="202124"/>
        </w:rPr>
        <w:t xml:space="preserve">: </w:t>
      </w:r>
      <w:r w:rsidR="00D317D4" w:rsidRPr="001A55A0">
        <w:rPr>
          <w:color w:val="202124"/>
        </w:rPr>
        <w:t>150</w:t>
      </w:r>
      <w:r w:rsidR="00D317D4">
        <w:rPr>
          <w:color w:val="202124"/>
        </w:rPr>
        <w:t xml:space="preserve"> mg risankizumabo arba placebo, gydymo trukmė 24 savaitė</w:t>
      </w:r>
      <w:r w:rsidR="00D317D4" w:rsidRPr="001A55A0">
        <w:rPr>
          <w:color w:val="202124"/>
        </w:rPr>
        <w:t>s</w:t>
      </w:r>
      <w:r w:rsidR="00D317D4">
        <w:rPr>
          <w:color w:val="202124"/>
        </w:rPr>
        <w:t xml:space="preserve">. </w:t>
      </w:r>
      <w:r w:rsidR="00D317D4" w:rsidRPr="001A55A0">
        <w:rPr>
          <w:color w:val="202124"/>
        </w:rPr>
        <w:t>24 savaitę placebą vartojusiems pacientams skirta 150 mg risankizumabo. Nereagavusiems</w:t>
      </w:r>
      <w:r w:rsidR="00D317D4">
        <w:rPr>
          <w:color w:val="202124"/>
        </w:rPr>
        <w:t xml:space="preserve"> atsako</w:t>
      </w:r>
      <w:r w:rsidR="00D317D4" w:rsidRPr="001A55A0">
        <w:rPr>
          <w:color w:val="202124"/>
        </w:rPr>
        <w:t xml:space="preserve"> 12 ir 16 savaitę leista koreguoti </w:t>
      </w:r>
      <w:r w:rsidR="00D317D4">
        <w:rPr>
          <w:color w:val="202124"/>
        </w:rPr>
        <w:t xml:space="preserve">gydymo režimą, </w:t>
      </w:r>
      <w:r w:rsidR="00D317D4" w:rsidRPr="001A55A0">
        <w:rPr>
          <w:color w:val="202124"/>
        </w:rPr>
        <w:t xml:space="preserve">kartu </w:t>
      </w:r>
      <w:r w:rsidR="00D317D4">
        <w:rPr>
          <w:color w:val="202124"/>
        </w:rPr>
        <w:t xml:space="preserve">naudoti </w:t>
      </w:r>
      <w:r w:rsidR="00D317D4" w:rsidRPr="001A55A0">
        <w:rPr>
          <w:color w:val="202124"/>
        </w:rPr>
        <w:t xml:space="preserve">gelbėjimo </w:t>
      </w:r>
      <w:r w:rsidR="00D317D4">
        <w:rPr>
          <w:color w:val="202124"/>
        </w:rPr>
        <w:t>terapiją</w:t>
      </w:r>
      <w:r w:rsidR="00D317D4" w:rsidRPr="001A55A0">
        <w:rPr>
          <w:color w:val="202124"/>
        </w:rPr>
        <w:t>. Neatsakę</w:t>
      </w:r>
      <w:r w:rsidR="00D317D4">
        <w:rPr>
          <w:color w:val="202124"/>
        </w:rPr>
        <w:t xml:space="preserve"> į gydymą pacientai</w:t>
      </w:r>
      <w:r w:rsidR="00D317D4" w:rsidRPr="001A55A0">
        <w:rPr>
          <w:color w:val="202124"/>
        </w:rPr>
        <w:t xml:space="preserve"> 36 savaitę </w:t>
      </w:r>
      <w:r w:rsidR="00D317D4">
        <w:rPr>
          <w:color w:val="202124"/>
        </w:rPr>
        <w:t>tyrimą nutraukė</w:t>
      </w:r>
      <w:r w:rsidR="00D317D4" w:rsidRPr="001A55A0">
        <w:rPr>
          <w:color w:val="202124"/>
        </w:rPr>
        <w:t>.</w:t>
      </w:r>
    </w:p>
    <w:p w14:paraId="38C04D4E" w14:textId="0F625EFD" w:rsidR="00CB1C5E" w:rsidRPr="00742033" w:rsidRDefault="00D317D4" w:rsidP="00742033">
      <w:pPr>
        <w:pStyle w:val="Tekstas"/>
        <w:spacing w:line="276" w:lineRule="auto"/>
        <w:ind w:firstLine="720"/>
        <w:rPr>
          <w:rFonts w:eastAsia="Arial"/>
        </w:rPr>
      </w:pPr>
      <w:r>
        <w:t xml:space="preserve">Tiek tyrimas </w:t>
      </w:r>
      <w:r w:rsidRPr="00FA2946">
        <w:t>KEEPsAKE-1</w:t>
      </w:r>
      <w:r>
        <w:t xml:space="preserve"> tiek tyrimas  </w:t>
      </w:r>
      <w:r w:rsidRPr="00FA2946">
        <w:t>KEEPsAKE-</w:t>
      </w:r>
      <w:r w:rsidRPr="00F22183">
        <w:t>2</w:t>
      </w:r>
      <w:r>
        <w:t xml:space="preserve"> vertinti kaip neatspindintys Lietuvos situacijos, kadangi žinoma, jog Lietuvoje pas gydyti antrai biologinės tarepijos eilei yra kompensuojamas aktyvus gydymas. </w:t>
      </w:r>
      <w:r w:rsidRPr="0083549F">
        <w:rPr>
          <w:rFonts w:eastAsia="Arial"/>
        </w:rPr>
        <w:t>Remiantis PsA gydymo vaistais, kurių įsigijimo išlaidos apmokamos privalomojo sveikatos draudimo fondo biudžeto lėšomis, tvarkos aprašu ir kompensuojamųjų vaistų sąrašais</w:t>
      </w:r>
      <w:r>
        <w:rPr>
          <w:rFonts w:eastAsia="Arial"/>
        </w:rPr>
        <w:t xml:space="preserve">, </w:t>
      </w:r>
      <w:r w:rsidRPr="0083549F">
        <w:rPr>
          <w:rFonts w:eastAsia="Arial"/>
        </w:rPr>
        <w:t>šiuo metu PsA II-os eilės gydymui Lietuvoje kompensuojam</w:t>
      </w:r>
      <w:r>
        <w:rPr>
          <w:rFonts w:eastAsia="Arial"/>
        </w:rPr>
        <w:t>i</w:t>
      </w:r>
      <w:r w:rsidRPr="0083549F">
        <w:rPr>
          <w:rFonts w:eastAsia="Arial"/>
        </w:rPr>
        <w:t xml:space="preserve"> IL inhibitoriai sekukinumab</w:t>
      </w:r>
      <w:r>
        <w:rPr>
          <w:rFonts w:eastAsia="Arial"/>
        </w:rPr>
        <w:t>as</w:t>
      </w:r>
      <w:r w:rsidRPr="0083549F">
        <w:rPr>
          <w:rFonts w:eastAsia="Arial"/>
        </w:rPr>
        <w:t xml:space="preserve"> ir ustekinumab</w:t>
      </w:r>
      <w:r>
        <w:rPr>
          <w:rFonts w:eastAsia="Arial"/>
        </w:rPr>
        <w:t>as (Tvarkos apraše nurodomi kaip IL inhibitoriai).</w:t>
      </w:r>
    </w:p>
    <w:p w14:paraId="133DBC4A" w14:textId="7E4695C2" w:rsidR="00CB1C5E" w:rsidRDefault="00CB1C5E" w:rsidP="00CB1C5E">
      <w:pPr>
        <w:tabs>
          <w:tab w:val="left" w:pos="426"/>
        </w:tabs>
        <w:spacing w:line="276" w:lineRule="auto"/>
        <w:jc w:val="both"/>
        <w:rPr>
          <w:i/>
          <w:iCs/>
          <w:u w:val="single"/>
        </w:rPr>
      </w:pPr>
      <w:r w:rsidRPr="00CB1C5E">
        <w:rPr>
          <w:i/>
          <w:iCs/>
          <w:u w:val="single"/>
        </w:rPr>
        <w:t xml:space="preserve">Netiesioginis palyginimas </w:t>
      </w:r>
    </w:p>
    <w:p w14:paraId="13E2C8FD" w14:textId="754BF1FF" w:rsidR="007D6482" w:rsidRPr="00D2102A" w:rsidRDefault="00802956" w:rsidP="00061311">
      <w:pPr>
        <w:spacing w:line="276" w:lineRule="auto"/>
        <w:ind w:firstLine="360"/>
        <w:jc w:val="both"/>
      </w:pPr>
      <w:r>
        <w:t xml:space="preserve">Buvo atlikta </w:t>
      </w:r>
      <w:r w:rsidR="007D6482" w:rsidRPr="00B80668">
        <w:t>tinklin</w:t>
      </w:r>
      <w:r>
        <w:t>ė</w:t>
      </w:r>
      <w:r w:rsidR="007D6482" w:rsidRPr="00B80668">
        <w:t xml:space="preserve"> metaanaliz</w:t>
      </w:r>
      <w:r>
        <w:t>ė</w:t>
      </w:r>
      <w:r w:rsidR="007D6482" w:rsidRPr="00B80668">
        <w:t xml:space="preserve"> (NMA)</w:t>
      </w:r>
      <w:r>
        <w:t xml:space="preserve">, kur </w:t>
      </w:r>
      <w:r w:rsidR="00742033">
        <w:t xml:space="preserve">risankizumabas </w:t>
      </w:r>
      <w:r>
        <w:t xml:space="preserve">buvo </w:t>
      </w:r>
      <w:r w:rsidR="007D6482" w:rsidRPr="00B80668">
        <w:t xml:space="preserve">netiesiogiai </w:t>
      </w:r>
      <w:r>
        <w:t xml:space="preserve">palyginta </w:t>
      </w:r>
      <w:r w:rsidRPr="00B80668">
        <w:t>su esamais gydymo būdais</w:t>
      </w:r>
      <w:r>
        <w:t>, įskaitant ir sekukinumabą</w:t>
      </w:r>
      <w:r w:rsidR="00D2102A">
        <w:t>, Lietuvai aktual</w:t>
      </w:r>
      <w:r w:rsidR="00742033">
        <w:t>ų</w:t>
      </w:r>
      <w:r w:rsidR="00D2102A">
        <w:t xml:space="preserve"> palyginam</w:t>
      </w:r>
      <w:r w:rsidR="00742033">
        <w:t>ąjį</w:t>
      </w:r>
      <w:r w:rsidR="00D2102A">
        <w:t xml:space="preserve"> </w:t>
      </w:r>
      <w:r w:rsidR="00742033">
        <w:t>gydymą</w:t>
      </w:r>
      <w:r w:rsidR="00D2102A">
        <w:t xml:space="preserve">. </w:t>
      </w:r>
      <w:r>
        <w:t>Į netiesioginį palyginimą įtraukti pacientai, sergantys vidutinio sunkumo ar sunkiu psor</w:t>
      </w:r>
      <w:r w:rsidR="00742033">
        <w:t>iaziniu</w:t>
      </w:r>
      <w:r>
        <w:t xml:space="preserve"> artritu, kurie anksčiau jau buvo gydyti biologine terapija. </w:t>
      </w:r>
      <w:r w:rsidR="00742033">
        <w:t>Risankizumabo</w:t>
      </w:r>
      <w:r w:rsidR="007D6482" w:rsidRPr="00B80668">
        <w:t xml:space="preserve"> veiksmingumas </w:t>
      </w:r>
      <w:r>
        <w:t xml:space="preserve">buvo vertintas </w:t>
      </w:r>
      <w:r w:rsidR="007D6482" w:rsidRPr="00B80668">
        <w:t>12 ir 24 savaitę su esamais gydymo būdais, atsižvelgiant į psoriazinio artrito atsako kriterijus (PsARC), 50 proc., 75 proc. ir 90 proc. Psoriazės sunkumo indekso sumažėjimas, palyginti su pradiniu (PASI 50/75/90), sveikatos vertinimo klausimyno negalios indekso (HAQ-DI) pokytis, lyginant su PsARC atsako būsena, ir Amerikos reumatologijos koledžo 20 proc., 50 proc. ir 70 proc. pagerėjimo kriterijus (ACR 20/50/70) biologiniais vaistais gydytų pacientų populiacijoje.</w:t>
      </w:r>
      <w:r w:rsidR="00742033">
        <w:t xml:space="preserve"> </w:t>
      </w:r>
      <w:r w:rsidR="00D2102A">
        <w:t xml:space="preserve">Pagal pateiktą netiesioginį palyginimą, galima teigti, jog </w:t>
      </w:r>
      <w:r w:rsidR="00742033">
        <w:t>risankizumabo</w:t>
      </w:r>
      <w:r w:rsidR="00D2102A">
        <w:t xml:space="preserve"> veiksmingumas iš p</w:t>
      </w:r>
      <w:r w:rsidR="005270F1">
        <w:t>r</w:t>
      </w:r>
      <w:r w:rsidR="00D2102A">
        <w:t>incipo yra nesiskiriantis lyginant su sekukinumabu.</w:t>
      </w:r>
    </w:p>
    <w:p w14:paraId="05435903" w14:textId="77777777" w:rsidR="008651E2" w:rsidRPr="006D4C85" w:rsidRDefault="008651E2" w:rsidP="00A93AA6">
      <w:pPr>
        <w:pStyle w:val="Sraopastraipa"/>
        <w:tabs>
          <w:tab w:val="left" w:pos="426"/>
        </w:tabs>
        <w:ind w:left="0"/>
        <w:rPr>
          <w:b/>
          <w:bCs/>
          <w:caps/>
        </w:rPr>
      </w:pPr>
    </w:p>
    <w:p w14:paraId="7DE09EB5" w14:textId="77BEAAE0" w:rsidR="00E03C3F" w:rsidRDefault="00CC7832" w:rsidP="00937907">
      <w:pPr>
        <w:pStyle w:val="Sraopastraipa"/>
        <w:numPr>
          <w:ilvl w:val="0"/>
          <w:numId w:val="12"/>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68AE5752" w14:textId="371EFC12" w:rsidR="00061311" w:rsidRDefault="00061311" w:rsidP="00061311">
      <w:pPr>
        <w:tabs>
          <w:tab w:val="left" w:pos="426"/>
        </w:tabs>
        <w:rPr>
          <w:b/>
          <w:bCs/>
          <w:caps/>
        </w:rPr>
      </w:pPr>
    </w:p>
    <w:p w14:paraId="687363B8" w14:textId="3C563D23" w:rsidR="00061311" w:rsidRDefault="00061311" w:rsidP="00516FF8">
      <w:pPr>
        <w:tabs>
          <w:tab w:val="left" w:pos="426"/>
        </w:tabs>
        <w:spacing w:line="276" w:lineRule="auto"/>
        <w:jc w:val="both"/>
        <w:rPr>
          <w:b/>
          <w:bCs/>
          <w:caps/>
        </w:rPr>
      </w:pPr>
      <w:r>
        <w:tab/>
      </w:r>
      <w:r w:rsidRPr="00705F83">
        <w:t>Risankizumabum</w:t>
      </w:r>
      <w:r>
        <w:t>o klinikinio veiksmingumo populiacijos, atitinkančios indikacijos skyrimo sąlygą: s</w:t>
      </w:r>
      <w:r w:rsidRPr="00FD53A8">
        <w:t xml:space="preserve">uaugę pacientai, sergantys aktyviu psoriaziniu artritu, kurie </w:t>
      </w:r>
      <w:r>
        <w:t xml:space="preserve">nepasiekė atsako į bent vieną taikytą  biologinį gydymą, duomenys ekonominėje analizėje įtraukti iš III fazės klinikinio tyrimo </w:t>
      </w:r>
      <w:r w:rsidRPr="006D62DB">
        <w:t>KEEPsAKE-2</w:t>
      </w:r>
      <w:r>
        <w:t xml:space="preserve">. Risankizumabo ir sekukinumabo klinikinio efektyvumo duomenys palyginti netiesiogiai, duomenys įtraukti iš netiesioginio palyginimo tinklinės meta analizės. </w:t>
      </w:r>
    </w:p>
    <w:p w14:paraId="2DC58840" w14:textId="77777777" w:rsidR="00061311" w:rsidRDefault="00061311" w:rsidP="00516FF8">
      <w:pPr>
        <w:tabs>
          <w:tab w:val="left" w:pos="426"/>
        </w:tabs>
        <w:spacing w:line="276" w:lineRule="auto"/>
        <w:jc w:val="both"/>
        <w:rPr>
          <w:b/>
          <w:bCs/>
          <w:caps/>
        </w:rPr>
      </w:pPr>
      <w:r>
        <w:rPr>
          <w:rFonts w:eastAsia="Arial"/>
        </w:rPr>
        <w:tab/>
      </w:r>
      <w:r w:rsidRPr="00783917">
        <w:rPr>
          <w:rFonts w:eastAsia="Arial"/>
        </w:rPr>
        <w:t xml:space="preserve">Įprastinėje atvejo analizėje </w:t>
      </w:r>
      <w:r w:rsidRPr="0044020E">
        <w:t>risankizumabumas</w:t>
      </w:r>
      <w:r w:rsidRPr="00783917">
        <w:rPr>
          <w:rFonts w:eastAsia="Arial"/>
        </w:rPr>
        <w:t xml:space="preserve"> yra lyginamas su sekukinamabu. Tarnyba vertina, kad palyginamasis yra tinkamas, kadangi vadovaujantis psoriazinio artrito gydymo vaistais, kurių įsigijimo išlaidos apmokamos PSDF biudžeto lėšomis tvarkos aprašu, abu vaistiniai preparatai (</w:t>
      </w:r>
      <w:r w:rsidRPr="0044020E">
        <w:t>risankizumabumas</w:t>
      </w:r>
      <w:r w:rsidRPr="00783917">
        <w:rPr>
          <w:rFonts w:eastAsia="Arial"/>
        </w:rPr>
        <w:t xml:space="preserve"> ir sekukinumabas) gali būti skiriami toje pačioje gydymo eilėje, sutampa vaistinių  preparatų indikacijos, sekukinumabas Lietuvoje yra kompensuojamas psoriazinio artito gydymui ir yra dažniausiai skiriamas antroje gydymo eilėje po negauto atsako į  biologinį gydymą pagal biologinių ligą modifikuojančių vaistinių preparatų 2023 m. skyrimo eilę.</w:t>
      </w:r>
    </w:p>
    <w:p w14:paraId="0E08C323" w14:textId="77777777" w:rsidR="00061311" w:rsidRDefault="00061311" w:rsidP="00516FF8">
      <w:pPr>
        <w:tabs>
          <w:tab w:val="left" w:pos="426"/>
        </w:tabs>
        <w:spacing w:line="276" w:lineRule="auto"/>
        <w:jc w:val="both"/>
        <w:rPr>
          <w:b/>
          <w:bCs/>
          <w:caps/>
        </w:rPr>
      </w:pPr>
      <w:r>
        <w:tab/>
        <w:t>Vertinant Pareiškėjo pateiktą pirminę analizę, m</w:t>
      </w:r>
      <w:r w:rsidRPr="0013780D">
        <w:t>odelyje taikoma ilgesnė laiko perspektyva, besitęsianti po klinikinio tyrimo stebėsenos pabaigos</w:t>
      </w:r>
      <w:r>
        <w:t xml:space="preserve">. Pareiškėjo pateiktas pirminis modelis parengtas kaštų naudingumo analizei, todėl modelyje taikomos prielaidos orientuotos į gydymo pranašumo įrodymą ir papildomų QALYS sukūrimo apskaičiavimą. </w:t>
      </w:r>
      <w:r w:rsidRPr="006A42B7">
        <w:t>Pareiškėjas taiko Markovo grandinių modelį, sveikatos būkles apibrėžiant pagal gydymo būseną (t.y. bandomąjį laikotarpį ir nepertraukiamo gydymo laikotarpį, slaugą) ir mirtį. Sveikatai sukuriama nauda nepertraukiamo gydymo laikotarpiu skaičiuota remiantis HAQ-DI ir PASI balais, kurie priklauso nuo PsARC atsako.</w:t>
      </w:r>
    </w:p>
    <w:p w14:paraId="0132DEED" w14:textId="77777777" w:rsidR="00061311" w:rsidRDefault="00061311" w:rsidP="00516FF8">
      <w:pPr>
        <w:tabs>
          <w:tab w:val="left" w:pos="426"/>
        </w:tabs>
        <w:spacing w:line="276" w:lineRule="auto"/>
        <w:jc w:val="both"/>
        <w:rPr>
          <w:b/>
          <w:bCs/>
          <w:caps/>
        </w:rPr>
      </w:pPr>
      <w:r>
        <w:lastRenderedPageBreak/>
        <w:tab/>
        <w:t>Tarnyba atkreipia dėmesį, kad Pareiškėjas kompensavimui teikia kaštų mažinimo analizę (KMA), kurią vertinant yra laikoma, kad palyginamųjų vaistinių preparatų sukuriama terapinė nauda yra panaši ir analizuojami tik kaštų skirtumai. Kadangi iš</w:t>
      </w:r>
      <w:r w:rsidRPr="005C49D2">
        <w:t xml:space="preserve"> </w:t>
      </w:r>
      <w:r>
        <w:t xml:space="preserve">modeliuojamų </w:t>
      </w:r>
      <w:r w:rsidRPr="005C49D2">
        <w:t>ka</w:t>
      </w:r>
      <w:r>
        <w:t>štų mažinimo analizės rezultatų</w:t>
      </w:r>
      <w:r w:rsidRPr="005C49D2">
        <w:t xml:space="preserve"> matyti, kad esminius palyginamųjų kaštų skirtumus lemia - vaistinių preparatų įsigijimo</w:t>
      </w:r>
      <w:r>
        <w:t xml:space="preserve"> kaštai (gydymo kaštai laikomi panašiais</w:t>
      </w:r>
      <w:r w:rsidRPr="005C49D2">
        <w:t xml:space="preserve">, </w:t>
      </w:r>
      <w:r>
        <w:t xml:space="preserve">apskaičiuoti </w:t>
      </w:r>
      <w:r w:rsidRPr="005C49D2">
        <w:t>vaistinių preparatų skyrimo ir stebėsenos kaštai vienodi, skiriasi</w:t>
      </w:r>
      <w:r>
        <w:t xml:space="preserve"> NR kaštai, tačiau minimaliai), galutinėje analizėje </w:t>
      </w:r>
      <w:r w:rsidRPr="005C49D2">
        <w:t xml:space="preserve">Tarnyba </w:t>
      </w:r>
      <w:r>
        <w:t xml:space="preserve">vertino tik vaistinių preparatų įsigijimo kaštus </w:t>
      </w:r>
      <w:r w:rsidRPr="00783917">
        <w:rPr>
          <w:color w:val="000000"/>
        </w:rPr>
        <w:t>penkerių metų laikotarpiu (skiriasi dozavimo rėžimai pirmaisiais ir sekančiais metais).</w:t>
      </w:r>
    </w:p>
    <w:p w14:paraId="179EC8F9" w14:textId="77AA43E1" w:rsidR="00061311" w:rsidRPr="00220D5B" w:rsidRDefault="00061311" w:rsidP="00516FF8">
      <w:pPr>
        <w:tabs>
          <w:tab w:val="left" w:pos="426"/>
        </w:tabs>
        <w:spacing w:line="276" w:lineRule="auto"/>
        <w:jc w:val="both"/>
        <w:rPr>
          <w:b/>
          <w:bCs/>
          <w:caps/>
        </w:rPr>
      </w:pPr>
      <w:r>
        <w:rPr>
          <w:rFonts w:eastAsia="Arial"/>
        </w:rPr>
        <w:tab/>
      </w:r>
      <w:r w:rsidRPr="00783917">
        <w:rPr>
          <w:rFonts w:eastAsia="Arial"/>
        </w:rPr>
        <w:t xml:space="preserve">Pareiškėjas teikia prieinamumo gerinimo schemą su skyrimo sąlygomis, taikydamas Lietuvai </w:t>
      </w:r>
      <w:r w:rsidRPr="00675098">
        <w:t>r</w:t>
      </w:r>
      <w:r w:rsidRPr="00783917">
        <w:rPr>
          <w:color w:val="000000"/>
        </w:rPr>
        <w:t>isankizumabo</w:t>
      </w:r>
      <w:r w:rsidRPr="00783917">
        <w:rPr>
          <w:rFonts w:eastAsia="Arial"/>
        </w:rPr>
        <w:t xml:space="preserve"> kainos nuolaidą (</w:t>
      </w:r>
      <w:r>
        <w:t>bazinė pakuotės kaina – 1523,26 Eur.)</w:t>
      </w:r>
      <w:r w:rsidRPr="00783917">
        <w:rPr>
          <w:rFonts w:eastAsia="Arial"/>
        </w:rPr>
        <w:t>. Tarnybai yra žinoma, kad dėl sekukinumabo Lietuvai taikomos kainos nuolaidos taip pat yra sudaryta prieinamumo gerinimo sutartis (sekukinumabo 300 mg kaina -</w:t>
      </w:r>
      <w:r w:rsidR="00FD118D">
        <w:rPr>
          <w:rFonts w:eastAsia="Arial"/>
        </w:rPr>
        <w:t xml:space="preserve"> </w:t>
      </w:r>
      <w:r w:rsidR="00FD118D" w:rsidRPr="00FD118D">
        <w:rPr>
          <w:rFonts w:eastAsia="Arial"/>
          <w:highlight w:val="darkGray"/>
          <w:lang w:val="en-US"/>
        </w:rPr>
        <w:t>***</w:t>
      </w:r>
      <w:r w:rsidR="00FD118D">
        <w:rPr>
          <w:rFonts w:eastAsia="Arial"/>
          <w:lang w:val="en-US"/>
        </w:rPr>
        <w:t xml:space="preserve"> Eur.</w:t>
      </w:r>
      <w:r w:rsidRPr="00783917">
        <w:rPr>
          <w:bCs/>
          <w:color w:val="000000"/>
        </w:rPr>
        <w:t>, 150 mg –</w:t>
      </w:r>
      <w:r w:rsidR="00FD118D">
        <w:rPr>
          <w:bCs/>
          <w:color w:val="000000"/>
        </w:rPr>
        <w:t xml:space="preserve"> </w:t>
      </w:r>
      <w:r w:rsidR="00FD118D" w:rsidRPr="00FD118D">
        <w:rPr>
          <w:bCs/>
          <w:color w:val="000000"/>
          <w:highlight w:val="darkGray"/>
        </w:rPr>
        <w:t>***</w:t>
      </w:r>
      <w:r w:rsidR="00FD118D" w:rsidRPr="00FD118D">
        <w:rPr>
          <w:bCs/>
          <w:color w:val="000000"/>
        </w:rPr>
        <w:t xml:space="preserve"> </w:t>
      </w:r>
      <w:r w:rsidRPr="00FD118D">
        <w:rPr>
          <w:bCs/>
          <w:color w:val="000000"/>
        </w:rPr>
        <w:t>Eur.)</w:t>
      </w:r>
      <w:r w:rsidRPr="00FD118D">
        <w:rPr>
          <w:rFonts w:eastAsia="Arial"/>
        </w:rPr>
        <w:t>.</w:t>
      </w:r>
      <w:r w:rsidRPr="00783917">
        <w:rPr>
          <w:rFonts w:eastAsia="Arial"/>
        </w:rPr>
        <w:t xml:space="preserve"> </w:t>
      </w:r>
      <w:r w:rsidRPr="00783917">
        <w:rPr>
          <w:bCs/>
          <w:color w:val="000000"/>
          <w:lang w:eastAsia="lt-LT"/>
        </w:rPr>
        <w:t xml:space="preserve">Lentelėje 15.1.2. pateikiami galutiniai įprastinės atvejo analizės rezultatai vertinant </w:t>
      </w:r>
      <w:r w:rsidRPr="005C49D2">
        <w:t>r</w:t>
      </w:r>
      <w:r w:rsidRPr="00783917">
        <w:rPr>
          <w:color w:val="000000"/>
        </w:rPr>
        <w:t xml:space="preserve">isankizumabo ir sekukinumabo įsigijimo kaštus penkerių metų laikotarpiu </w:t>
      </w:r>
      <w:r w:rsidRPr="00783917">
        <w:rPr>
          <w:b/>
          <w:color w:val="000000"/>
        </w:rPr>
        <w:t xml:space="preserve">pritaikius kainų nuolaidas (su PGS). </w:t>
      </w:r>
      <w:r w:rsidRPr="00783917">
        <w:rPr>
          <w:color w:val="000000"/>
        </w:rPr>
        <w:t xml:space="preserve"> </w:t>
      </w:r>
    </w:p>
    <w:p w14:paraId="4190A5A4" w14:textId="77777777" w:rsidR="00061311" w:rsidRPr="00783917" w:rsidRDefault="00061311" w:rsidP="00516FF8">
      <w:pPr>
        <w:pStyle w:val="Sraopastraipa"/>
        <w:spacing w:line="276" w:lineRule="auto"/>
        <w:jc w:val="both"/>
        <w:rPr>
          <w:rFonts w:eastAsia="Arial"/>
          <w:b/>
        </w:rPr>
      </w:pPr>
    </w:p>
    <w:p w14:paraId="652F57DC" w14:textId="77777777" w:rsidR="00061311" w:rsidRDefault="00061311" w:rsidP="00061311">
      <w:pPr>
        <w:tabs>
          <w:tab w:val="left" w:pos="567"/>
        </w:tabs>
        <w:jc w:val="both"/>
        <w:rPr>
          <w:b/>
          <w:i/>
          <w:iCs/>
          <w:color w:val="00B050"/>
          <w:lang w:eastAsia="lt-LT"/>
        </w:rPr>
      </w:pPr>
      <w:r w:rsidRPr="00783917">
        <w:rPr>
          <w:b/>
          <w:lang w:eastAsia="lt-LT"/>
        </w:rPr>
        <w:t>Pagrindinis ekonominės analizės rezultatas</w:t>
      </w:r>
    </w:p>
    <w:p w14:paraId="644A7BD2" w14:textId="77777777" w:rsidR="00061311" w:rsidRPr="00783917" w:rsidRDefault="00061311" w:rsidP="00061311">
      <w:pPr>
        <w:tabs>
          <w:tab w:val="left" w:pos="567"/>
        </w:tabs>
        <w:jc w:val="both"/>
        <w:rPr>
          <w:b/>
          <w:i/>
          <w:iCs/>
          <w:color w:val="00B050"/>
          <w:lang w:eastAsia="lt-LT"/>
        </w:rPr>
      </w:pPr>
      <w:r>
        <w:tab/>
      </w:r>
    </w:p>
    <w:tbl>
      <w:tblPr>
        <w:tblStyle w:val="Lentelstinklelis"/>
        <w:tblW w:w="9618" w:type="dxa"/>
        <w:tblLook w:val="04A0" w:firstRow="1" w:lastRow="0" w:firstColumn="1" w:lastColumn="0" w:noHBand="0" w:noVBand="1"/>
      </w:tblPr>
      <w:tblGrid>
        <w:gridCol w:w="2416"/>
        <w:gridCol w:w="1003"/>
        <w:gridCol w:w="1132"/>
        <w:gridCol w:w="996"/>
        <w:gridCol w:w="1424"/>
        <w:gridCol w:w="1423"/>
        <w:gridCol w:w="1224"/>
      </w:tblGrid>
      <w:tr w:rsidR="00061311" w:rsidRPr="00F67094" w14:paraId="5A592080" w14:textId="77777777" w:rsidTr="00F414C7">
        <w:trPr>
          <w:trHeight w:val="354"/>
        </w:trPr>
        <w:tc>
          <w:tcPr>
            <w:tcW w:w="2416" w:type="dxa"/>
            <w:noWrap/>
            <w:hideMark/>
          </w:tcPr>
          <w:p w14:paraId="187D0C85" w14:textId="77777777" w:rsidR="00061311" w:rsidRPr="00F67094" w:rsidRDefault="00061311" w:rsidP="00F414C7">
            <w:pPr>
              <w:jc w:val="center"/>
              <w:rPr>
                <w:sz w:val="20"/>
                <w:lang w:eastAsia="lt-LT"/>
              </w:rPr>
            </w:pPr>
            <w:r w:rsidRPr="00F67094">
              <w:rPr>
                <w:sz w:val="20"/>
                <w:lang w:eastAsia="lt-LT"/>
              </w:rPr>
              <w:t>Dozavimas</w:t>
            </w:r>
          </w:p>
        </w:tc>
        <w:tc>
          <w:tcPr>
            <w:tcW w:w="1003" w:type="dxa"/>
            <w:noWrap/>
            <w:hideMark/>
          </w:tcPr>
          <w:p w14:paraId="10560D01" w14:textId="77777777" w:rsidR="00061311" w:rsidRPr="00F67094" w:rsidRDefault="00061311" w:rsidP="00F414C7">
            <w:pPr>
              <w:jc w:val="center"/>
              <w:rPr>
                <w:sz w:val="20"/>
                <w:lang w:eastAsia="lt-LT"/>
              </w:rPr>
            </w:pPr>
            <w:r w:rsidRPr="00F67094">
              <w:rPr>
                <w:sz w:val="20"/>
                <w:lang w:eastAsia="lt-LT"/>
              </w:rPr>
              <w:t>Admin 1 metai</w:t>
            </w:r>
          </w:p>
        </w:tc>
        <w:tc>
          <w:tcPr>
            <w:tcW w:w="1132" w:type="dxa"/>
            <w:noWrap/>
            <w:hideMark/>
          </w:tcPr>
          <w:p w14:paraId="503DAC2A" w14:textId="77777777" w:rsidR="00061311" w:rsidRPr="00F67094" w:rsidRDefault="00061311" w:rsidP="00F414C7">
            <w:pPr>
              <w:jc w:val="center"/>
              <w:rPr>
                <w:sz w:val="20"/>
                <w:lang w:eastAsia="lt-LT"/>
              </w:rPr>
            </w:pPr>
            <w:r w:rsidRPr="00F67094">
              <w:rPr>
                <w:sz w:val="20"/>
                <w:lang w:eastAsia="lt-LT"/>
              </w:rPr>
              <w:t>Admin 2+ metai</w:t>
            </w:r>
          </w:p>
        </w:tc>
        <w:tc>
          <w:tcPr>
            <w:tcW w:w="996" w:type="dxa"/>
            <w:noWrap/>
            <w:hideMark/>
          </w:tcPr>
          <w:p w14:paraId="6902A810" w14:textId="77777777" w:rsidR="00061311" w:rsidRPr="00F67094" w:rsidRDefault="00061311" w:rsidP="00F414C7">
            <w:pPr>
              <w:jc w:val="center"/>
              <w:rPr>
                <w:sz w:val="20"/>
                <w:lang w:eastAsia="lt-LT"/>
              </w:rPr>
            </w:pPr>
            <w:r>
              <w:rPr>
                <w:sz w:val="20"/>
                <w:lang w:eastAsia="lt-LT"/>
              </w:rPr>
              <w:t>Pakuotės k</w:t>
            </w:r>
            <w:r w:rsidRPr="00F67094">
              <w:rPr>
                <w:sz w:val="20"/>
                <w:lang w:eastAsia="lt-LT"/>
              </w:rPr>
              <w:t>aina</w:t>
            </w:r>
            <w:r>
              <w:rPr>
                <w:sz w:val="20"/>
                <w:lang w:eastAsia="lt-LT"/>
              </w:rPr>
              <w:t>, Eur.</w:t>
            </w:r>
          </w:p>
        </w:tc>
        <w:tc>
          <w:tcPr>
            <w:tcW w:w="1424" w:type="dxa"/>
            <w:noWrap/>
            <w:hideMark/>
          </w:tcPr>
          <w:p w14:paraId="25F661BA" w14:textId="77777777" w:rsidR="00061311" w:rsidRPr="00F67094" w:rsidRDefault="00061311" w:rsidP="00F414C7">
            <w:pPr>
              <w:jc w:val="center"/>
              <w:rPr>
                <w:sz w:val="20"/>
                <w:lang w:eastAsia="lt-LT"/>
              </w:rPr>
            </w:pPr>
            <w:r w:rsidRPr="00F67094">
              <w:rPr>
                <w:sz w:val="20"/>
                <w:lang w:eastAsia="lt-LT"/>
              </w:rPr>
              <w:t>Gydymo kaina 1 metai</w:t>
            </w:r>
            <w:r>
              <w:rPr>
                <w:sz w:val="20"/>
                <w:lang w:eastAsia="lt-LT"/>
              </w:rPr>
              <w:t>, Eur.</w:t>
            </w:r>
          </w:p>
        </w:tc>
        <w:tc>
          <w:tcPr>
            <w:tcW w:w="1423" w:type="dxa"/>
            <w:noWrap/>
            <w:hideMark/>
          </w:tcPr>
          <w:p w14:paraId="780FF655" w14:textId="77777777" w:rsidR="00061311" w:rsidRPr="00F67094" w:rsidRDefault="00061311" w:rsidP="00F414C7">
            <w:pPr>
              <w:jc w:val="center"/>
              <w:rPr>
                <w:sz w:val="20"/>
                <w:lang w:eastAsia="lt-LT"/>
              </w:rPr>
            </w:pPr>
            <w:r w:rsidRPr="00F67094">
              <w:rPr>
                <w:sz w:val="20"/>
                <w:lang w:eastAsia="lt-LT"/>
              </w:rPr>
              <w:t>Gydymo kaina 2+ metai</w:t>
            </w:r>
            <w:r>
              <w:rPr>
                <w:sz w:val="20"/>
                <w:lang w:eastAsia="lt-LT"/>
              </w:rPr>
              <w:t>, Eur.</w:t>
            </w:r>
          </w:p>
        </w:tc>
        <w:tc>
          <w:tcPr>
            <w:tcW w:w="1224" w:type="dxa"/>
            <w:noWrap/>
            <w:hideMark/>
          </w:tcPr>
          <w:p w14:paraId="176A0BF3" w14:textId="77777777" w:rsidR="00061311" w:rsidRPr="00F67094" w:rsidRDefault="00061311" w:rsidP="00F414C7">
            <w:pPr>
              <w:jc w:val="center"/>
              <w:rPr>
                <w:sz w:val="20"/>
                <w:lang w:eastAsia="lt-LT"/>
              </w:rPr>
            </w:pPr>
            <w:r>
              <w:rPr>
                <w:sz w:val="20"/>
                <w:lang w:eastAsia="lt-LT"/>
              </w:rPr>
              <w:t>1-5 m. kaštai, Eur.</w:t>
            </w:r>
          </w:p>
        </w:tc>
      </w:tr>
      <w:tr w:rsidR="00061311" w:rsidRPr="00F67094" w14:paraId="109693B3" w14:textId="77777777" w:rsidTr="00F414C7">
        <w:trPr>
          <w:trHeight w:val="1022"/>
        </w:trPr>
        <w:tc>
          <w:tcPr>
            <w:tcW w:w="2416" w:type="dxa"/>
            <w:hideMark/>
          </w:tcPr>
          <w:p w14:paraId="2840A352" w14:textId="77777777" w:rsidR="00061311" w:rsidRPr="00F67094" w:rsidRDefault="00061311" w:rsidP="00F414C7">
            <w:pPr>
              <w:rPr>
                <w:sz w:val="20"/>
                <w:lang w:eastAsia="lt-LT"/>
              </w:rPr>
            </w:pPr>
            <w:r w:rsidRPr="002B49E4">
              <w:rPr>
                <w:b/>
                <w:color w:val="000000"/>
                <w:sz w:val="20"/>
              </w:rPr>
              <w:t>Risankizumabas</w:t>
            </w:r>
            <w:r w:rsidRPr="002B49E4">
              <w:rPr>
                <w:b/>
                <w:sz w:val="20"/>
                <w:lang w:eastAsia="lt-LT"/>
              </w:rPr>
              <w:t xml:space="preserve"> </w:t>
            </w:r>
            <w:r w:rsidRPr="00F67094">
              <w:rPr>
                <w:sz w:val="20"/>
                <w:lang w:eastAsia="lt-LT"/>
              </w:rPr>
              <w:t>Rekomenduojama dozė yra 150 mg, suleidžiant po oda 0-inę, 4-ąją savaitę ir toliau kas 12 savaičių.</w:t>
            </w:r>
          </w:p>
        </w:tc>
        <w:tc>
          <w:tcPr>
            <w:tcW w:w="1003" w:type="dxa"/>
            <w:noWrap/>
            <w:hideMark/>
          </w:tcPr>
          <w:p w14:paraId="52C64BF1" w14:textId="1AF65397" w:rsidR="00061311" w:rsidRPr="00F67094" w:rsidRDefault="006964FC" w:rsidP="00F414C7">
            <w:pPr>
              <w:jc w:val="center"/>
              <w:rPr>
                <w:sz w:val="20"/>
                <w:lang w:eastAsia="lt-LT"/>
              </w:rPr>
            </w:pPr>
            <w:r>
              <w:rPr>
                <w:sz w:val="20"/>
                <w:lang w:eastAsia="lt-LT"/>
              </w:rPr>
              <w:t>***</w:t>
            </w:r>
          </w:p>
        </w:tc>
        <w:tc>
          <w:tcPr>
            <w:tcW w:w="1132" w:type="dxa"/>
            <w:noWrap/>
            <w:hideMark/>
          </w:tcPr>
          <w:p w14:paraId="1C5C3D83" w14:textId="31FC8060" w:rsidR="00061311" w:rsidRPr="00F67094" w:rsidRDefault="006964FC" w:rsidP="00F414C7">
            <w:pPr>
              <w:jc w:val="center"/>
              <w:rPr>
                <w:sz w:val="20"/>
                <w:lang w:eastAsia="lt-LT"/>
              </w:rPr>
            </w:pPr>
            <w:r>
              <w:rPr>
                <w:sz w:val="20"/>
                <w:lang w:eastAsia="lt-LT"/>
              </w:rPr>
              <w:t>***</w:t>
            </w:r>
          </w:p>
        </w:tc>
        <w:tc>
          <w:tcPr>
            <w:tcW w:w="996" w:type="dxa"/>
            <w:noWrap/>
            <w:hideMark/>
          </w:tcPr>
          <w:p w14:paraId="19B07FB7" w14:textId="7F7F26D8" w:rsidR="00061311" w:rsidRPr="00F67094" w:rsidRDefault="006964FC" w:rsidP="00F414C7">
            <w:pPr>
              <w:jc w:val="center"/>
              <w:rPr>
                <w:sz w:val="20"/>
                <w:lang w:eastAsia="lt-LT"/>
              </w:rPr>
            </w:pPr>
            <w:r>
              <w:rPr>
                <w:sz w:val="20"/>
                <w:lang w:eastAsia="lt-LT"/>
              </w:rPr>
              <w:t>***</w:t>
            </w:r>
          </w:p>
        </w:tc>
        <w:tc>
          <w:tcPr>
            <w:tcW w:w="1424" w:type="dxa"/>
            <w:noWrap/>
            <w:hideMark/>
          </w:tcPr>
          <w:p w14:paraId="23206101" w14:textId="2D69E9C1" w:rsidR="00061311" w:rsidRPr="00F67094" w:rsidRDefault="006964FC" w:rsidP="00F414C7">
            <w:pPr>
              <w:jc w:val="center"/>
              <w:rPr>
                <w:sz w:val="20"/>
                <w:lang w:eastAsia="lt-LT"/>
              </w:rPr>
            </w:pPr>
            <w:r>
              <w:rPr>
                <w:sz w:val="20"/>
                <w:lang w:eastAsia="lt-LT"/>
              </w:rPr>
              <w:t>***</w:t>
            </w:r>
          </w:p>
        </w:tc>
        <w:tc>
          <w:tcPr>
            <w:tcW w:w="1423" w:type="dxa"/>
            <w:noWrap/>
            <w:hideMark/>
          </w:tcPr>
          <w:p w14:paraId="2C362ED1" w14:textId="3BD62C67" w:rsidR="00061311" w:rsidRPr="00F67094" w:rsidRDefault="006964FC" w:rsidP="00F414C7">
            <w:pPr>
              <w:jc w:val="center"/>
              <w:rPr>
                <w:sz w:val="20"/>
                <w:lang w:eastAsia="lt-LT"/>
              </w:rPr>
            </w:pPr>
            <w:r>
              <w:rPr>
                <w:sz w:val="20"/>
                <w:lang w:eastAsia="lt-LT"/>
              </w:rPr>
              <w:t>***</w:t>
            </w:r>
          </w:p>
        </w:tc>
        <w:tc>
          <w:tcPr>
            <w:tcW w:w="1224" w:type="dxa"/>
            <w:noWrap/>
            <w:hideMark/>
          </w:tcPr>
          <w:p w14:paraId="35AEDE65" w14:textId="18C5EFA5" w:rsidR="00061311" w:rsidRPr="00F67094" w:rsidRDefault="006964FC" w:rsidP="00F414C7">
            <w:pPr>
              <w:jc w:val="center"/>
              <w:rPr>
                <w:b/>
                <w:bCs/>
                <w:sz w:val="20"/>
                <w:lang w:eastAsia="lt-LT"/>
              </w:rPr>
            </w:pPr>
            <w:r>
              <w:rPr>
                <w:b/>
                <w:bCs/>
                <w:sz w:val="20"/>
                <w:lang w:eastAsia="lt-LT"/>
              </w:rPr>
              <w:t>***</w:t>
            </w:r>
          </w:p>
        </w:tc>
      </w:tr>
      <w:tr w:rsidR="00061311" w:rsidRPr="00F67094" w14:paraId="24655B4F" w14:textId="77777777" w:rsidTr="00F414C7">
        <w:trPr>
          <w:trHeight w:val="1300"/>
        </w:trPr>
        <w:tc>
          <w:tcPr>
            <w:tcW w:w="2416" w:type="dxa"/>
            <w:hideMark/>
          </w:tcPr>
          <w:p w14:paraId="7BACE6AE" w14:textId="77777777" w:rsidR="00061311" w:rsidRPr="002B49E4" w:rsidRDefault="00061311" w:rsidP="00F414C7">
            <w:pPr>
              <w:rPr>
                <w:b/>
                <w:sz w:val="20"/>
                <w:lang w:eastAsia="lt-LT"/>
              </w:rPr>
            </w:pPr>
            <w:r w:rsidRPr="002B49E4">
              <w:rPr>
                <w:b/>
                <w:sz w:val="20"/>
                <w:lang w:eastAsia="lt-LT"/>
              </w:rPr>
              <w:t>Sekukinumabas</w:t>
            </w:r>
            <w:r>
              <w:rPr>
                <w:b/>
                <w:sz w:val="20"/>
                <w:lang w:eastAsia="lt-LT"/>
              </w:rPr>
              <w:t>*</w:t>
            </w:r>
          </w:p>
          <w:p w14:paraId="331AAB4E" w14:textId="77777777" w:rsidR="00061311" w:rsidRPr="00F67094" w:rsidRDefault="00061311" w:rsidP="00F414C7">
            <w:pPr>
              <w:rPr>
                <w:sz w:val="20"/>
                <w:lang w:eastAsia="lt-LT"/>
              </w:rPr>
            </w:pPr>
            <w:r w:rsidRPr="00F67094">
              <w:rPr>
                <w:sz w:val="20"/>
                <w:lang w:eastAsia="lt-LT"/>
              </w:rPr>
              <w:t>Rekomenduojama dozė  leidžiama po oda, skiriant 0, 1, 2, 3 ir 4-ąją savaitėmis, o vėliau tęsiant kasmėnesines palaikomąsias dozes</w:t>
            </w:r>
          </w:p>
        </w:tc>
        <w:tc>
          <w:tcPr>
            <w:tcW w:w="1003" w:type="dxa"/>
            <w:noWrap/>
            <w:hideMark/>
          </w:tcPr>
          <w:p w14:paraId="212AA030" w14:textId="1CF21AE3" w:rsidR="00061311" w:rsidRPr="00F67094" w:rsidRDefault="006964FC" w:rsidP="00F414C7">
            <w:pPr>
              <w:jc w:val="center"/>
              <w:rPr>
                <w:sz w:val="20"/>
                <w:lang w:eastAsia="lt-LT"/>
              </w:rPr>
            </w:pPr>
            <w:r>
              <w:rPr>
                <w:sz w:val="20"/>
                <w:lang w:eastAsia="lt-LT"/>
              </w:rPr>
              <w:t>***</w:t>
            </w:r>
          </w:p>
        </w:tc>
        <w:tc>
          <w:tcPr>
            <w:tcW w:w="1132" w:type="dxa"/>
            <w:noWrap/>
            <w:hideMark/>
          </w:tcPr>
          <w:p w14:paraId="7B500489" w14:textId="4A5F5413" w:rsidR="00061311" w:rsidRPr="00F67094" w:rsidRDefault="006964FC" w:rsidP="00F414C7">
            <w:pPr>
              <w:jc w:val="center"/>
              <w:rPr>
                <w:sz w:val="20"/>
                <w:lang w:eastAsia="lt-LT"/>
              </w:rPr>
            </w:pPr>
            <w:r>
              <w:rPr>
                <w:sz w:val="20"/>
                <w:lang w:eastAsia="lt-LT"/>
              </w:rPr>
              <w:t>***</w:t>
            </w:r>
          </w:p>
        </w:tc>
        <w:tc>
          <w:tcPr>
            <w:tcW w:w="996" w:type="dxa"/>
            <w:noWrap/>
            <w:hideMark/>
          </w:tcPr>
          <w:p w14:paraId="47CAF753" w14:textId="769859B4" w:rsidR="00061311" w:rsidRPr="00FD118D" w:rsidRDefault="00FD118D" w:rsidP="00F414C7">
            <w:pPr>
              <w:jc w:val="center"/>
              <w:rPr>
                <w:sz w:val="20"/>
                <w:highlight w:val="darkGray"/>
                <w:lang w:eastAsia="lt-LT"/>
              </w:rPr>
            </w:pPr>
            <w:r w:rsidRPr="00FD118D">
              <w:rPr>
                <w:sz w:val="20"/>
                <w:highlight w:val="darkGray"/>
                <w:lang w:eastAsia="lt-LT"/>
              </w:rPr>
              <w:t>****</w:t>
            </w:r>
          </w:p>
        </w:tc>
        <w:tc>
          <w:tcPr>
            <w:tcW w:w="1424" w:type="dxa"/>
            <w:noWrap/>
            <w:hideMark/>
          </w:tcPr>
          <w:p w14:paraId="507F1939" w14:textId="2ED0C7D8" w:rsidR="00061311" w:rsidRPr="00FD118D" w:rsidRDefault="00FD118D" w:rsidP="00F414C7">
            <w:pPr>
              <w:jc w:val="center"/>
              <w:rPr>
                <w:sz w:val="20"/>
                <w:highlight w:val="darkGray"/>
                <w:lang w:eastAsia="lt-LT"/>
              </w:rPr>
            </w:pPr>
            <w:r w:rsidRPr="00FD118D">
              <w:rPr>
                <w:sz w:val="20"/>
                <w:highlight w:val="darkGray"/>
                <w:lang w:eastAsia="lt-LT"/>
              </w:rPr>
              <w:t>****</w:t>
            </w:r>
          </w:p>
        </w:tc>
        <w:tc>
          <w:tcPr>
            <w:tcW w:w="1423" w:type="dxa"/>
            <w:noWrap/>
            <w:hideMark/>
          </w:tcPr>
          <w:p w14:paraId="36F77307" w14:textId="07E67771" w:rsidR="00061311" w:rsidRPr="00FD118D" w:rsidRDefault="00FD118D" w:rsidP="00F414C7">
            <w:pPr>
              <w:jc w:val="center"/>
              <w:rPr>
                <w:sz w:val="20"/>
                <w:highlight w:val="darkGray"/>
                <w:lang w:eastAsia="lt-LT"/>
              </w:rPr>
            </w:pPr>
            <w:r w:rsidRPr="00FD118D">
              <w:rPr>
                <w:sz w:val="20"/>
                <w:highlight w:val="darkGray"/>
                <w:lang w:eastAsia="lt-LT"/>
              </w:rPr>
              <w:t>****</w:t>
            </w:r>
          </w:p>
        </w:tc>
        <w:tc>
          <w:tcPr>
            <w:tcW w:w="1224" w:type="dxa"/>
            <w:noWrap/>
            <w:hideMark/>
          </w:tcPr>
          <w:p w14:paraId="4E04ACC8" w14:textId="3FC4BCB4" w:rsidR="00061311" w:rsidRPr="00FD118D" w:rsidRDefault="00FD118D" w:rsidP="00F414C7">
            <w:pPr>
              <w:jc w:val="center"/>
              <w:rPr>
                <w:b/>
                <w:bCs/>
                <w:sz w:val="20"/>
                <w:highlight w:val="darkGray"/>
                <w:lang w:eastAsia="lt-LT"/>
              </w:rPr>
            </w:pPr>
            <w:r w:rsidRPr="00FD118D">
              <w:rPr>
                <w:b/>
                <w:bCs/>
                <w:sz w:val="20"/>
                <w:highlight w:val="darkGray"/>
                <w:lang w:eastAsia="lt-LT"/>
              </w:rPr>
              <w:t>****</w:t>
            </w:r>
          </w:p>
        </w:tc>
      </w:tr>
    </w:tbl>
    <w:p w14:paraId="5F6CB9B1" w14:textId="77777777" w:rsidR="00061311" w:rsidRPr="00727529" w:rsidRDefault="00061311" w:rsidP="00061311">
      <w:pPr>
        <w:spacing w:line="280" w:lineRule="atLeast"/>
        <w:rPr>
          <w:rFonts w:eastAsia="Arial"/>
          <w:sz w:val="20"/>
        </w:rPr>
      </w:pPr>
      <w:r w:rsidRPr="00061311">
        <w:rPr>
          <w:rFonts w:eastAsia="Arial"/>
          <w:sz w:val="20"/>
        </w:rPr>
        <w:t>*Apskai</w:t>
      </w:r>
      <w:r w:rsidRPr="00727529">
        <w:rPr>
          <w:rFonts w:eastAsia="Arial"/>
          <w:sz w:val="20"/>
        </w:rPr>
        <w:t>čiuojant sekukinumabo kainą, taikyta prielaida, kad 95 proc. bus skiriama 300 mg, 5 proc. pacientų bus skiriama 150 mg sekukinumabas.</w:t>
      </w:r>
    </w:p>
    <w:p w14:paraId="691CACE4" w14:textId="77777777" w:rsidR="00061311" w:rsidRPr="00727529" w:rsidRDefault="00061311" w:rsidP="00061311">
      <w:pPr>
        <w:spacing w:line="280" w:lineRule="atLeast"/>
        <w:rPr>
          <w:rFonts w:eastAsia="Arial"/>
          <w:b/>
        </w:rPr>
      </w:pPr>
    </w:p>
    <w:p w14:paraId="3AB90EA3" w14:textId="42585814" w:rsidR="00061311" w:rsidRPr="00061311" w:rsidRDefault="00061311" w:rsidP="00516FF8">
      <w:pPr>
        <w:tabs>
          <w:tab w:val="left" w:pos="426"/>
        </w:tabs>
        <w:spacing w:line="276" w:lineRule="auto"/>
        <w:rPr>
          <w:b/>
          <w:bCs/>
          <w:caps/>
        </w:rPr>
      </w:pPr>
      <w:r>
        <w:t xml:space="preserve">Tarnybos vertinimu, kaštų mažinimas gydant </w:t>
      </w:r>
      <w:r w:rsidRPr="005C49D2">
        <w:t>r</w:t>
      </w:r>
      <w:r>
        <w:rPr>
          <w:color w:val="000000"/>
        </w:rPr>
        <w:t>isankizumabu</w:t>
      </w:r>
      <w:r>
        <w:t xml:space="preserve"> lyginant su sekukinumabu pasiekiamas, kai </w:t>
      </w:r>
      <w:r w:rsidRPr="005C49D2">
        <w:t>r</w:t>
      </w:r>
      <w:r>
        <w:rPr>
          <w:color w:val="000000"/>
        </w:rPr>
        <w:t>isankizumui taikoma kainos nuolaida (</w:t>
      </w:r>
      <w:r>
        <w:t xml:space="preserve">bazinė pakuotės kaina – </w:t>
      </w:r>
      <w:r w:rsidR="006964FC">
        <w:t>***</w:t>
      </w:r>
      <w:r>
        <w:t xml:space="preserve"> Eur.). Kai KMA taikoma </w:t>
      </w:r>
      <w:r w:rsidRPr="005C49D2">
        <w:t>r</w:t>
      </w:r>
      <w:r>
        <w:rPr>
          <w:color w:val="000000"/>
        </w:rPr>
        <w:t>isankizumo</w:t>
      </w:r>
      <w:r>
        <w:t xml:space="preserve"> Lietuvai taikoma kaina be nuolaidos (kaina – </w:t>
      </w:r>
      <w:r w:rsidR="006964FC">
        <w:t>***</w:t>
      </w:r>
      <w:r w:rsidRPr="007E491A">
        <w:t xml:space="preserve"> Eur.</w:t>
      </w:r>
      <w:r>
        <w:t>)</w:t>
      </w:r>
      <w:r w:rsidRPr="007E491A">
        <w:t xml:space="preserve">, kaštų mažinimas nėra pasiekiamas ir gydymas </w:t>
      </w:r>
      <w:r w:rsidRPr="005C49D2">
        <w:t>r</w:t>
      </w:r>
      <w:r>
        <w:rPr>
          <w:color w:val="000000"/>
        </w:rPr>
        <w:t>isankizumabu</w:t>
      </w:r>
      <w:r w:rsidRPr="007E491A">
        <w:t xml:space="preserve"> vertinant </w:t>
      </w:r>
      <w:r>
        <w:t>penkerių metų</w:t>
      </w:r>
      <w:r w:rsidRPr="007E491A">
        <w:t xml:space="preserve"> laikotarpiu yra brangesnis nei sekukinumabu</w:t>
      </w:r>
    </w:p>
    <w:p w14:paraId="1A900598" w14:textId="65638B29" w:rsidR="00C62B36" w:rsidRDefault="00C62B36" w:rsidP="00A93AA6">
      <w:pPr>
        <w:tabs>
          <w:tab w:val="left" w:pos="426"/>
        </w:tabs>
        <w:rPr>
          <w:i/>
          <w:color w:val="00B050"/>
          <w:sz w:val="22"/>
          <w:szCs w:val="22"/>
        </w:rPr>
      </w:pPr>
    </w:p>
    <w:p w14:paraId="36DEA333" w14:textId="77777777" w:rsidR="00E84FAD" w:rsidRDefault="00E84FAD" w:rsidP="00A93AA6">
      <w:pPr>
        <w:tabs>
          <w:tab w:val="left" w:pos="426"/>
        </w:tabs>
        <w:rPr>
          <w:b/>
          <w:bCs/>
          <w:caps/>
        </w:rPr>
      </w:pPr>
    </w:p>
    <w:p w14:paraId="4FC424F9" w14:textId="4E767245" w:rsidR="00C62B36" w:rsidRPr="00797153" w:rsidRDefault="00C62B36" w:rsidP="00937907">
      <w:pPr>
        <w:pStyle w:val="Sraopastraipa"/>
        <w:numPr>
          <w:ilvl w:val="0"/>
          <w:numId w:val="12"/>
        </w:numPr>
        <w:tabs>
          <w:tab w:val="left" w:pos="284"/>
        </w:tabs>
        <w:rPr>
          <w:b/>
          <w:bCs/>
          <w:caps/>
        </w:rPr>
      </w:pPr>
      <w:r w:rsidRPr="00797153">
        <w:rPr>
          <w:b/>
          <w:bCs/>
          <w:caps/>
        </w:rPr>
        <w:t xml:space="preserve">Pacientų organizacijų pateikti duomenys </w:t>
      </w:r>
    </w:p>
    <w:p w14:paraId="79BCFF40" w14:textId="1992DF4A" w:rsidR="00937907" w:rsidRPr="00797153"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937907" w:rsidRPr="00797153">
            <w:rPr>
              <w:rStyle w:val="Style2"/>
              <w:rFonts w:ascii="MS Gothic" w:eastAsia="MS Gothic" w:hAnsi="MS Gothic" w:hint="eastAsia"/>
            </w:rPr>
            <w:t>☐</w:t>
          </w:r>
        </w:sdtContent>
      </w:sdt>
      <w:r w:rsidR="00937907" w:rsidRPr="00797153">
        <w:t xml:space="preserve"> Pacientų organizacijos pozicija pateikta. Žr. priedą.</w:t>
      </w:r>
    </w:p>
    <w:p w14:paraId="62992180" w14:textId="2F285823" w:rsidR="00937907" w:rsidRPr="00797153"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B35176">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D3277FA" w14:textId="3CEEB2D2" w:rsidR="00C62B36" w:rsidRPr="00797153" w:rsidRDefault="00C62B36" w:rsidP="00937907">
      <w:pPr>
        <w:pStyle w:val="Sraopastraipa"/>
        <w:numPr>
          <w:ilvl w:val="0"/>
          <w:numId w:val="12"/>
        </w:numPr>
        <w:tabs>
          <w:tab w:val="left" w:pos="426"/>
        </w:tabs>
        <w:rPr>
          <w:b/>
          <w:bCs/>
          <w:caps/>
        </w:rPr>
      </w:pPr>
      <w:r w:rsidRPr="00797153">
        <w:rPr>
          <w:b/>
          <w:bCs/>
          <w:caps/>
        </w:rPr>
        <w:t>Gydytojų organizacijų pateikti duomenys</w:t>
      </w:r>
    </w:p>
    <w:p w14:paraId="389A346C" w14:textId="73B325B7" w:rsidR="00937907" w:rsidRPr="00797153" w:rsidRDefault="00000000"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B35176">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pateikta. </w:t>
      </w:r>
      <w:r w:rsidR="00662983" w:rsidRPr="00797153">
        <w:t>Žr. priedą</w:t>
      </w:r>
      <w:r w:rsidR="00937907" w:rsidRPr="00797153">
        <w:t>.</w:t>
      </w:r>
    </w:p>
    <w:p w14:paraId="5D8CC48C" w14:textId="26425340" w:rsidR="00662983" w:rsidRPr="006E501F" w:rsidRDefault="00000000"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B35176">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w:t>
      </w:r>
      <w:r w:rsidR="00880A44">
        <w:t>ne</w:t>
      </w:r>
      <w:r w:rsidR="00937907" w:rsidRPr="00797153">
        <w:t>pateikta.</w:t>
      </w:r>
    </w:p>
    <w:p w14:paraId="78F23ECB" w14:textId="23A3A002" w:rsidR="002F0E4F" w:rsidRDefault="002F0E4F" w:rsidP="00937907">
      <w:pPr>
        <w:pStyle w:val="Sraopastraipa"/>
        <w:numPr>
          <w:ilvl w:val="0"/>
          <w:numId w:val="12"/>
        </w:numPr>
        <w:tabs>
          <w:tab w:val="left" w:pos="426"/>
        </w:tabs>
        <w:rPr>
          <w:b/>
          <w:bCs/>
          <w:caps/>
        </w:rPr>
      </w:pPr>
      <w:r w:rsidRPr="00B4017A">
        <w:rPr>
          <w:b/>
          <w:bCs/>
          <w:caps/>
        </w:rPr>
        <w:lastRenderedPageBreak/>
        <w:t xml:space="preserve">Išvada </w:t>
      </w:r>
    </w:p>
    <w:p w14:paraId="573E407F" w14:textId="77777777" w:rsidR="00797153" w:rsidRPr="00797153"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B13D65" w14:paraId="25A2473E" w14:textId="77777777" w:rsidTr="00BD1E5A">
        <w:tc>
          <w:tcPr>
            <w:tcW w:w="4981" w:type="dxa"/>
          </w:tcPr>
          <w:p w14:paraId="7EFE6941" w14:textId="23B8BB6D"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981" w:type="dxa"/>
          </w:tcPr>
          <w:p w14:paraId="330A1A5E" w14:textId="19247DC1"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BD1E5A">
        <w:tc>
          <w:tcPr>
            <w:tcW w:w="9962" w:type="dxa"/>
            <w:gridSpan w:val="2"/>
          </w:tcPr>
          <w:p w14:paraId="5D93D24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0AF5D6B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BD1E5A">
        <w:tc>
          <w:tcPr>
            <w:tcW w:w="4981" w:type="dxa"/>
          </w:tcPr>
          <w:p w14:paraId="216769B5" w14:textId="1B919F91"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32.1. yra didesnis</w:t>
            </w:r>
          </w:p>
          <w:p w14:paraId="3B48F372"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885712E" w:rsidR="00B13D65" w:rsidRPr="00B13D65"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D2102A">
                  <w:rPr>
                    <w:rStyle w:val="Style2"/>
                    <w:rFonts w:ascii="MS Gothic" w:eastAsia="MS Gothic" w:hAnsi="MS Gothic" w:hint="eastAsia"/>
                    <w:sz w:val="24"/>
                  </w:rPr>
                  <w:t>☒</w:t>
                </w:r>
              </w:sdtContent>
            </w:sdt>
            <w:r w:rsidR="00B13D65" w:rsidRPr="00B13D65">
              <w:t xml:space="preserve"> 32.1. iš esmės nesiskiria</w:t>
            </w:r>
          </w:p>
        </w:tc>
        <w:tc>
          <w:tcPr>
            <w:tcW w:w="4981" w:type="dxa"/>
          </w:tcPr>
          <w:p w14:paraId="507828D9" w14:textId="09AE523F"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7F95DEEC"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35205E85" w14:textId="77777777" w:rsidR="0066298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512E653B"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5DDAA96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61CC3FE" w14:textId="77777777" w:rsidTr="00BD1E5A">
        <w:tc>
          <w:tcPr>
            <w:tcW w:w="9962" w:type="dxa"/>
            <w:gridSpan w:val="2"/>
          </w:tcPr>
          <w:p w14:paraId="3B2878F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Klinikinis veiksmingumas</w:t>
            </w:r>
          </w:p>
          <w:p w14:paraId="1AB4689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BD1E5A">
        <w:tc>
          <w:tcPr>
            <w:tcW w:w="4981" w:type="dxa"/>
          </w:tcPr>
          <w:p w14:paraId="6897B306" w14:textId="70C15EA4"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32.2. yra įvertintas kaip pagrindžiantis papildomos naudos pacientų sveikatai sukūrimą, lyginant su įprasta klinikine praktika</w:t>
            </w:r>
          </w:p>
          <w:p w14:paraId="71D57105"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BBA234"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D2102A">
                  <w:rPr>
                    <w:rStyle w:val="Style2"/>
                    <w:rFonts w:ascii="MS Gothic" w:eastAsia="MS Gothic" w:hAnsi="MS Gothic" w:hint="eastAsia"/>
                    <w:sz w:val="24"/>
                  </w:rPr>
                  <w:t>☒</w:t>
                </w:r>
              </w:sdtContent>
            </w:sdt>
            <w:r w:rsidR="00B13D65" w:rsidRPr="00B13D65">
              <w:t xml:space="preserve"> 32.2. įvertintas kaip pagrindžiantis nesiskiriančios naudos pacientų sveikatai sukūrimą, lyginant su įprasta klinikine praktika</w:t>
            </w:r>
          </w:p>
          <w:p w14:paraId="287AD233"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B13D65"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6C70BCFC" w14:textId="77777777" w:rsidR="00662983" w:rsidRDefault="00662983" w:rsidP="00BD1E5A">
            <w:pPr>
              <w:jc w:val="both"/>
            </w:pPr>
          </w:p>
          <w:p w14:paraId="0ADEC30D" w14:textId="25150412" w:rsidR="00B13D65" w:rsidRPr="00B13D65"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1EED790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C75AE76" w14:textId="77777777" w:rsidTr="00BD1E5A">
        <w:tc>
          <w:tcPr>
            <w:tcW w:w="9962" w:type="dxa"/>
            <w:gridSpan w:val="2"/>
          </w:tcPr>
          <w:p w14:paraId="56F7FA3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Kaštų naudingumas</w:t>
            </w:r>
          </w:p>
          <w:p w14:paraId="0247EDAD"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7091A05B" w14:textId="77777777" w:rsidTr="00BD1E5A">
        <w:tc>
          <w:tcPr>
            <w:tcW w:w="4981" w:type="dxa"/>
          </w:tcPr>
          <w:p w14:paraId="69B2A994" w14:textId="2C664869"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Pr>
                    <w:rStyle w:val="Style2"/>
                    <w:rFonts w:ascii="MS Gothic" w:eastAsia="MS Gothic" w:hAnsi="MS Gothic" w:hint="eastAsia"/>
                    <w:sz w:val="24"/>
                  </w:rPr>
                  <w:t>☐</w:t>
                </w:r>
              </w:sdtContent>
            </w:sdt>
            <w:r w:rsidR="00B13D65" w:rsidRPr="00B13D65">
              <w:t xml:space="preserve"> 32.3. atitink</w:t>
            </w:r>
            <w:r w:rsidR="00F329EA">
              <w:t>a referencinę naudingumo vertę;</w:t>
            </w:r>
          </w:p>
          <w:p w14:paraId="3F76F153"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5AD06C20" w:rsidR="00B13D65" w:rsidRPr="00B13D65" w:rsidRDefault="00000000"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1"/>
                  <w14:checkedState w14:val="2612" w14:font="MS Gothic"/>
                  <w14:uncheckedState w14:val="2610" w14:font="MS Gothic"/>
                </w14:checkbox>
              </w:sdtPr>
              <w:sdtContent>
                <w:r w:rsidR="00B35176">
                  <w:rPr>
                    <w:rStyle w:val="Style2"/>
                    <w:rFonts w:ascii="MS Gothic" w:eastAsia="MS Gothic" w:hAnsi="MS Gothic" w:hint="eastAsia"/>
                    <w:sz w:val="24"/>
                  </w:rPr>
                  <w:t>☒</w:t>
                </w:r>
              </w:sdtContent>
            </w:sdt>
            <w:r w:rsidR="00B13D65" w:rsidRPr="00B13D65">
              <w:t xml:space="preserve"> 32.3. </w:t>
            </w:r>
            <w:r w:rsidR="00061311" w:rsidRPr="00B13D65">
              <w:t xml:space="preserve">gydymo juo kaštai yra mažesni ar tokie patys esant iš esmės nesiskiriančiam palyginamajam efektyvumui, taikant </w:t>
            </w:r>
            <w:r w:rsidR="00061311">
              <w:t>PGS.</w:t>
            </w:r>
          </w:p>
        </w:tc>
        <w:tc>
          <w:tcPr>
            <w:tcW w:w="4981" w:type="dxa"/>
          </w:tcPr>
          <w:p w14:paraId="53380063" w14:textId="07F023EC"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neatitinka referencinės naudingumo vertės Lietuvos Respublikoje;</w:t>
            </w:r>
          </w:p>
          <w:p w14:paraId="229ED51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B8917C6"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gydymo juo kaštai yra didesni esant iš esmės nesiskirian</w:t>
            </w:r>
            <w:r w:rsidR="00F329EA">
              <w:t>čiam palyginamajam efektyvumui;</w:t>
            </w:r>
          </w:p>
          <w:p w14:paraId="4A9C7D2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pateikti duomenys apie kaštų na</w:t>
            </w:r>
            <w:r w:rsidR="00662983">
              <w:t>udingumą yra netinkami vertinti</w:t>
            </w:r>
          </w:p>
          <w:p w14:paraId="470A48A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55060B" w:rsidRDefault="0055060B" w:rsidP="0055060B">
      <w:pPr>
        <w:rPr>
          <w:b/>
        </w:rPr>
      </w:pPr>
    </w:p>
    <w:p w14:paraId="4761590D" w14:textId="77777777" w:rsidR="0055060B" w:rsidRPr="0055060B" w:rsidRDefault="0055060B" w:rsidP="0055060B">
      <w:pPr>
        <w:pStyle w:val="Sraopastraipa"/>
        <w:numPr>
          <w:ilvl w:val="0"/>
          <w:numId w:val="12"/>
        </w:numPr>
        <w:ind w:left="567" w:hanging="567"/>
        <w:rPr>
          <w:b/>
        </w:rPr>
      </w:pPr>
      <w:r w:rsidRPr="0055060B">
        <w:rPr>
          <w:b/>
        </w:rPr>
        <w:t>REKOMENDACIJA</w:t>
      </w:r>
    </w:p>
    <w:p w14:paraId="7CA221DC" w14:textId="1C624B11" w:rsidR="0055060B" w:rsidRDefault="0055060B" w:rsidP="0055060B">
      <w:pPr>
        <w:rPr>
          <w:iCs/>
          <w:color w:val="00B050"/>
        </w:rPr>
      </w:pPr>
    </w:p>
    <w:p w14:paraId="02C5651A" w14:textId="79F6119D" w:rsidR="00061311" w:rsidRPr="00413423" w:rsidRDefault="00061311" w:rsidP="00061311">
      <w:pPr>
        <w:spacing w:line="276" w:lineRule="auto"/>
        <w:ind w:firstLine="567"/>
        <w:jc w:val="both"/>
        <w:rPr>
          <w:color w:val="000000" w:themeColor="text1"/>
        </w:rPr>
      </w:pPr>
      <w:r w:rsidRPr="003F514B">
        <w:t>Vadovaujantis</w:t>
      </w:r>
      <w:r w:rsidRPr="00B351ED">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69C43CA8" w14:textId="77777777" w:rsidR="00061311" w:rsidRDefault="00061311" w:rsidP="00061311">
      <w:pPr>
        <w:spacing w:line="276" w:lineRule="auto"/>
        <w:jc w:val="both"/>
      </w:pPr>
      <w:r w:rsidRPr="00513C05">
        <w:t xml:space="preserve">34.3. rekomenduojama kompensuoti vaistinį preparatą pagal paraiškoje nurodytą </w:t>
      </w:r>
      <w:r w:rsidRPr="008B649B">
        <w:t>indikaciją su skyrimo sąlygomis, taikant PGS, dėl iš esmės nesiskiriančio gydymo efektyvumo ir sukuriamos naudos pacientų sveikatai, lyginant su įprasta klinikine praktika, ir dėl mažesnių gydymo kaštų dydžio (kaštų minimizavimas).</w:t>
      </w:r>
    </w:p>
    <w:p w14:paraId="4675BD1C" w14:textId="77777777" w:rsidR="0055060B" w:rsidRPr="008B63AB" w:rsidRDefault="0055060B" w:rsidP="0055060B"/>
    <w:p w14:paraId="2DE4B8C2" w14:textId="77777777" w:rsidR="0055060B" w:rsidRPr="008B63AB" w:rsidRDefault="0055060B" w:rsidP="0055060B">
      <w:pPr>
        <w:tabs>
          <w:tab w:val="left" w:pos="567"/>
        </w:tabs>
        <w:ind w:left="567" w:hanging="567"/>
        <w:jc w:val="both"/>
        <w:rPr>
          <w:b/>
          <w:color w:val="000000"/>
          <w:lang w:eastAsia="lt-LT"/>
        </w:rPr>
      </w:pPr>
      <w:r w:rsidRPr="008B63AB">
        <w:rPr>
          <w:b/>
          <w:color w:val="000000"/>
          <w:lang w:eastAsia="lt-LT"/>
        </w:rPr>
        <w:lastRenderedPageBreak/>
        <w:t>8.</w:t>
      </w:r>
      <w:r w:rsidRPr="008B63AB">
        <w:rPr>
          <w:b/>
          <w:color w:val="000000"/>
          <w:lang w:eastAsia="lt-LT"/>
        </w:rPr>
        <w:tab/>
        <w:t xml:space="preserve">SIŪLOMOS KOMPENSUOTI TERAPINĖS INDIKACIJOS IR SKYRIMO SĄLYGOS </w:t>
      </w:r>
    </w:p>
    <w:p w14:paraId="3A90BF4C" w14:textId="77777777" w:rsidR="0055060B" w:rsidRPr="008B63AB" w:rsidRDefault="0055060B" w:rsidP="0055060B">
      <w:pPr>
        <w:tabs>
          <w:tab w:val="left" w:pos="426"/>
        </w:tabs>
        <w:jc w:val="both"/>
        <w:rPr>
          <w:b/>
          <w:color w:val="000000"/>
          <w:lang w:eastAsia="lt-LT"/>
        </w:rPr>
      </w:pPr>
    </w:p>
    <w:p w14:paraId="5E0791C3" w14:textId="77777777" w:rsidR="0055060B" w:rsidRPr="008B63AB" w:rsidRDefault="0055060B" w:rsidP="0055060B">
      <w:pPr>
        <w:outlineLvl w:val="0"/>
        <w:rPr>
          <w:b/>
          <w:lang w:eastAsia="lt-LT"/>
        </w:rPr>
      </w:pPr>
      <w:r w:rsidRPr="008B63AB">
        <w:rPr>
          <w:b/>
          <w:lang w:eastAsia="lt-LT"/>
        </w:rPr>
        <w:t>Terapinės indikacijos</w:t>
      </w:r>
    </w:p>
    <w:p w14:paraId="636FC6CC" w14:textId="4001F812" w:rsidR="0055060B" w:rsidRDefault="00000000" w:rsidP="0055060B">
      <w:sdt>
        <w:sdtPr>
          <w:rPr>
            <w:rStyle w:val="Style2"/>
          </w:rPr>
          <w:id w:val="1146316688"/>
          <w15:color w:val="FFCC00"/>
          <w14:checkbox>
            <w14:checked w14:val="1"/>
            <w14:checkedState w14:val="2612" w14:font="MS Gothic"/>
            <w14:uncheckedState w14:val="2610" w14:font="MS Gothic"/>
          </w14:checkbox>
        </w:sdtPr>
        <w:sdtContent>
          <w:r w:rsidR="0055060B" w:rsidRPr="008B63AB">
            <w:rPr>
              <w:rStyle w:val="Style2"/>
              <w:rFonts w:ascii="MS Gothic" w:eastAsia="MS Gothic" w:hAnsi="MS Gothic"/>
            </w:rPr>
            <w:t>☒</w:t>
          </w:r>
        </w:sdtContent>
      </w:sdt>
      <w:r w:rsidR="0055060B" w:rsidRPr="008B63AB">
        <w:t xml:space="preserve"> Siūloma kompensuoti Pareiškėjo teikiamą indikaciją be pakeitimų.</w:t>
      </w:r>
    </w:p>
    <w:p w14:paraId="26969997" w14:textId="472417BF" w:rsidR="00F174C8" w:rsidRPr="00516FF8" w:rsidRDefault="00742033" w:rsidP="00742033">
      <w:pPr>
        <w:spacing w:line="276" w:lineRule="auto"/>
        <w:jc w:val="both"/>
        <w:rPr>
          <w:iCs/>
        </w:rPr>
      </w:pPr>
      <w:r w:rsidRPr="00516FF8">
        <w:rPr>
          <w:iCs/>
        </w:rPr>
        <w:t>Skyrizi, vienas ar derinyje su metotreksatu (MTX), yra skirtas aktyvaus psoriazinio artrito gydymui suaugusiesiems, kuriems pasireiškė nepakankamas atsakas arba kurie netoleravo gydymo vienu ar keliais ligą modifikuojančiais vaistiniais preparatais nuo reumato (LMVR</w:t>
      </w:r>
      <w:r w:rsidR="00516FF8">
        <w:rPr>
          <w:iCs/>
        </w:rPr>
        <w:t>).</w:t>
      </w:r>
    </w:p>
    <w:p w14:paraId="17992EA8" w14:textId="77777777" w:rsidR="0055060B" w:rsidRPr="008B63AB" w:rsidRDefault="0055060B" w:rsidP="0055060B">
      <w:pPr>
        <w:rPr>
          <w:b/>
        </w:rPr>
      </w:pPr>
    </w:p>
    <w:p w14:paraId="6A9F9827" w14:textId="77777777" w:rsidR="0055060B" w:rsidRPr="008B63AB" w:rsidRDefault="0055060B" w:rsidP="0055060B">
      <w:pPr>
        <w:outlineLvl w:val="0"/>
        <w:rPr>
          <w:b/>
        </w:rPr>
      </w:pPr>
      <w:r w:rsidRPr="008B63AB">
        <w:rPr>
          <w:b/>
        </w:rPr>
        <w:t>Skyrimo sąlygos</w:t>
      </w:r>
    </w:p>
    <w:p w14:paraId="223B363D" w14:textId="254A997C" w:rsidR="00F174C8" w:rsidRDefault="00000000" w:rsidP="0055060B">
      <w:sdt>
        <w:sdtPr>
          <w:rPr>
            <w:rStyle w:val="Style2"/>
          </w:rPr>
          <w:id w:val="169305347"/>
          <w15:color w:val="FFCC00"/>
          <w14:checkbox>
            <w14:checked w14:val="1"/>
            <w14:checkedState w14:val="2612" w14:font="MS Gothic"/>
            <w14:uncheckedState w14:val="2610" w14:font="MS Gothic"/>
          </w14:checkbox>
        </w:sdtPr>
        <w:sdtContent>
          <w:r w:rsidR="0055060B" w:rsidRPr="008B63AB">
            <w:rPr>
              <w:rStyle w:val="Style2"/>
              <w:rFonts w:ascii="MS Gothic" w:eastAsia="MS Gothic" w:hAnsi="MS Gothic"/>
            </w:rPr>
            <w:t>☒</w:t>
          </w:r>
        </w:sdtContent>
      </w:sdt>
      <w:r w:rsidR="0055060B" w:rsidRPr="008B63AB">
        <w:t xml:space="preserve"> Pareiškėjo siūlomos skyrimo sąlygos priimtinos. </w:t>
      </w:r>
    </w:p>
    <w:p w14:paraId="04411EAD" w14:textId="219A5447" w:rsidR="004A3A61" w:rsidRPr="00516FF8" w:rsidRDefault="00516FF8" w:rsidP="00272461">
      <w:pPr>
        <w:spacing w:line="276" w:lineRule="auto"/>
        <w:jc w:val="both"/>
        <w:rPr>
          <w:iCs/>
        </w:rPr>
      </w:pPr>
      <w:r>
        <w:rPr>
          <w:iCs/>
        </w:rPr>
        <w:t>S</w:t>
      </w:r>
      <w:r w:rsidR="00272461" w:rsidRPr="00516FF8">
        <w:rPr>
          <w:iCs/>
        </w:rPr>
        <w:t>kiriamas suaugusiems pacientams aktyviam psoriaziniam artritui gydyti</w:t>
      </w:r>
      <w:r>
        <w:rPr>
          <w:iCs/>
        </w:rPr>
        <w:t>,</w:t>
      </w:r>
      <w:r w:rsidR="00272461" w:rsidRPr="00516FF8">
        <w:rPr>
          <w:iCs/>
        </w:rPr>
        <w:t xml:space="preserve"> jei gydant vienu ar daugiau biologinių ligą modifikuojančių vaistinių preparatų (bLMV) gydymo tikslas nepasiekiamas per 6 mėnesius ar 3 mėnesius nuo gydymo pradžios nėra gydymo efekto, ar pastebimas ligos pablogėjimas.</w:t>
      </w:r>
    </w:p>
    <w:sectPr w:rsidR="004A3A61" w:rsidRPr="00516FF8" w:rsidSect="004B5EC8">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FC4BF" w14:textId="77777777" w:rsidR="004B5EC8" w:rsidRDefault="004B5EC8">
      <w:r>
        <w:separator/>
      </w:r>
    </w:p>
  </w:endnote>
  <w:endnote w:type="continuationSeparator" w:id="0">
    <w:p w14:paraId="582E4C1C" w14:textId="77777777" w:rsidR="004B5EC8" w:rsidRDefault="004B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LTPro">
    <w:altName w:val="Cambria"/>
    <w:charset w:val="00"/>
    <w:family w:val="roman"/>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0C7F" w14:textId="77777777" w:rsidR="00AA0EE9" w:rsidRDefault="00AA0E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AA90" w14:textId="77777777" w:rsidR="00AA0EE9" w:rsidRDefault="00AA0EE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AAD3" w14:textId="77777777" w:rsidR="004B5EC8" w:rsidRDefault="004B5EC8">
      <w:r>
        <w:separator/>
      </w:r>
    </w:p>
  </w:footnote>
  <w:footnote w:type="continuationSeparator" w:id="0">
    <w:p w14:paraId="0E2AF842" w14:textId="77777777" w:rsidR="004B5EC8" w:rsidRDefault="004B5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78D077A4"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0EE9">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804936">
    <w:abstractNumId w:val="7"/>
  </w:num>
  <w:num w:numId="2" w16cid:durableId="1753815391">
    <w:abstractNumId w:val="2"/>
  </w:num>
  <w:num w:numId="3" w16cid:durableId="1184709009">
    <w:abstractNumId w:val="9"/>
  </w:num>
  <w:num w:numId="4" w16cid:durableId="77873345">
    <w:abstractNumId w:val="8"/>
  </w:num>
  <w:num w:numId="5" w16cid:durableId="29452729">
    <w:abstractNumId w:val="6"/>
  </w:num>
  <w:num w:numId="6" w16cid:durableId="2105178499">
    <w:abstractNumId w:val="5"/>
  </w:num>
  <w:num w:numId="7" w16cid:durableId="1233663492">
    <w:abstractNumId w:val="4"/>
  </w:num>
  <w:num w:numId="8" w16cid:durableId="681012207">
    <w:abstractNumId w:val="14"/>
  </w:num>
  <w:num w:numId="9" w16cid:durableId="1592011247">
    <w:abstractNumId w:val="0"/>
  </w:num>
  <w:num w:numId="10" w16cid:durableId="259723824">
    <w:abstractNumId w:val="10"/>
  </w:num>
  <w:num w:numId="11" w16cid:durableId="223570096">
    <w:abstractNumId w:val="12"/>
  </w:num>
  <w:num w:numId="12" w16cid:durableId="1194491486">
    <w:abstractNumId w:val="3"/>
  </w:num>
  <w:num w:numId="13" w16cid:durableId="1387484088">
    <w:abstractNumId w:val="1"/>
  </w:num>
  <w:num w:numId="14" w16cid:durableId="1649745356">
    <w:abstractNumId w:val="11"/>
  </w:num>
  <w:num w:numId="15" w16cid:durableId="691537874">
    <w:abstractNumId w:val="15"/>
  </w:num>
  <w:num w:numId="16" w16cid:durableId="3507619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14DD"/>
    <w:rsid w:val="000136F7"/>
    <w:rsid w:val="0002686C"/>
    <w:rsid w:val="00031D0E"/>
    <w:rsid w:val="000337E6"/>
    <w:rsid w:val="0003402E"/>
    <w:rsid w:val="00034EAE"/>
    <w:rsid w:val="000606BE"/>
    <w:rsid w:val="00061311"/>
    <w:rsid w:val="000736B8"/>
    <w:rsid w:val="0008190F"/>
    <w:rsid w:val="00081D9C"/>
    <w:rsid w:val="00082907"/>
    <w:rsid w:val="0008378D"/>
    <w:rsid w:val="00086E10"/>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21D9"/>
    <w:rsid w:val="001554E2"/>
    <w:rsid w:val="00164146"/>
    <w:rsid w:val="0017369C"/>
    <w:rsid w:val="00180C39"/>
    <w:rsid w:val="00180D96"/>
    <w:rsid w:val="001921F3"/>
    <w:rsid w:val="001A0642"/>
    <w:rsid w:val="001B3C5B"/>
    <w:rsid w:val="001E4BBB"/>
    <w:rsid w:val="001E6304"/>
    <w:rsid w:val="0020381E"/>
    <w:rsid w:val="00213471"/>
    <w:rsid w:val="00214F6C"/>
    <w:rsid w:val="00215906"/>
    <w:rsid w:val="0025697F"/>
    <w:rsid w:val="00260258"/>
    <w:rsid w:val="0026788C"/>
    <w:rsid w:val="00272428"/>
    <w:rsid w:val="00272461"/>
    <w:rsid w:val="00272948"/>
    <w:rsid w:val="002946C7"/>
    <w:rsid w:val="002A6B73"/>
    <w:rsid w:val="002B3CC1"/>
    <w:rsid w:val="002C09E0"/>
    <w:rsid w:val="002C3A10"/>
    <w:rsid w:val="002C4A90"/>
    <w:rsid w:val="002D02EF"/>
    <w:rsid w:val="002E0702"/>
    <w:rsid w:val="002E6F80"/>
    <w:rsid w:val="002F0E4F"/>
    <w:rsid w:val="002F1053"/>
    <w:rsid w:val="00306D00"/>
    <w:rsid w:val="00317B0E"/>
    <w:rsid w:val="00347FAA"/>
    <w:rsid w:val="0035172D"/>
    <w:rsid w:val="0036187D"/>
    <w:rsid w:val="00381024"/>
    <w:rsid w:val="00386307"/>
    <w:rsid w:val="003874DE"/>
    <w:rsid w:val="00390F3E"/>
    <w:rsid w:val="00393E9F"/>
    <w:rsid w:val="0039696E"/>
    <w:rsid w:val="003B211A"/>
    <w:rsid w:val="003C12B3"/>
    <w:rsid w:val="003C141F"/>
    <w:rsid w:val="003C6B0E"/>
    <w:rsid w:val="003C7257"/>
    <w:rsid w:val="003C7E35"/>
    <w:rsid w:val="003D3B33"/>
    <w:rsid w:val="003E5FCD"/>
    <w:rsid w:val="00404E8A"/>
    <w:rsid w:val="0040622F"/>
    <w:rsid w:val="00423160"/>
    <w:rsid w:val="00453862"/>
    <w:rsid w:val="00461338"/>
    <w:rsid w:val="00464E8A"/>
    <w:rsid w:val="004677DB"/>
    <w:rsid w:val="0048630F"/>
    <w:rsid w:val="004947A1"/>
    <w:rsid w:val="0049482A"/>
    <w:rsid w:val="004979D3"/>
    <w:rsid w:val="004A00E7"/>
    <w:rsid w:val="004A3A61"/>
    <w:rsid w:val="004B59BA"/>
    <w:rsid w:val="004B5EC8"/>
    <w:rsid w:val="004C263A"/>
    <w:rsid w:val="004D7B8F"/>
    <w:rsid w:val="004E6458"/>
    <w:rsid w:val="004E6E7D"/>
    <w:rsid w:val="004F1AAC"/>
    <w:rsid w:val="004F1AE2"/>
    <w:rsid w:val="004F34F0"/>
    <w:rsid w:val="005005EF"/>
    <w:rsid w:val="00516FF8"/>
    <w:rsid w:val="005270F1"/>
    <w:rsid w:val="00534E11"/>
    <w:rsid w:val="005400D9"/>
    <w:rsid w:val="005476A4"/>
    <w:rsid w:val="0055019B"/>
    <w:rsid w:val="0055060B"/>
    <w:rsid w:val="00556E63"/>
    <w:rsid w:val="005601A4"/>
    <w:rsid w:val="00566DBB"/>
    <w:rsid w:val="005976CE"/>
    <w:rsid w:val="005A23D4"/>
    <w:rsid w:val="005A2D1E"/>
    <w:rsid w:val="005C493F"/>
    <w:rsid w:val="005C6BF7"/>
    <w:rsid w:val="005C71BF"/>
    <w:rsid w:val="005D002C"/>
    <w:rsid w:val="005D30E1"/>
    <w:rsid w:val="005D6555"/>
    <w:rsid w:val="005D7BDF"/>
    <w:rsid w:val="005F71D9"/>
    <w:rsid w:val="005F7602"/>
    <w:rsid w:val="006108BA"/>
    <w:rsid w:val="00613501"/>
    <w:rsid w:val="006166A8"/>
    <w:rsid w:val="006174A1"/>
    <w:rsid w:val="00633B49"/>
    <w:rsid w:val="0064297F"/>
    <w:rsid w:val="00646CF3"/>
    <w:rsid w:val="00662983"/>
    <w:rsid w:val="006661F8"/>
    <w:rsid w:val="006705B8"/>
    <w:rsid w:val="006834D3"/>
    <w:rsid w:val="00692625"/>
    <w:rsid w:val="00695CD3"/>
    <w:rsid w:val="006964FC"/>
    <w:rsid w:val="006A38B6"/>
    <w:rsid w:val="006B1987"/>
    <w:rsid w:val="006B5B71"/>
    <w:rsid w:val="006B6CB0"/>
    <w:rsid w:val="006C2B64"/>
    <w:rsid w:val="006D4C85"/>
    <w:rsid w:val="006E33F6"/>
    <w:rsid w:val="006F1251"/>
    <w:rsid w:val="006F1C23"/>
    <w:rsid w:val="006F3037"/>
    <w:rsid w:val="00703166"/>
    <w:rsid w:val="007127F3"/>
    <w:rsid w:val="007301CF"/>
    <w:rsid w:val="007316FB"/>
    <w:rsid w:val="00737E2D"/>
    <w:rsid w:val="00742033"/>
    <w:rsid w:val="007424D5"/>
    <w:rsid w:val="007523DD"/>
    <w:rsid w:val="00757B7E"/>
    <w:rsid w:val="00795DC5"/>
    <w:rsid w:val="00797153"/>
    <w:rsid w:val="007B0DDA"/>
    <w:rsid w:val="007D6482"/>
    <w:rsid w:val="007E5466"/>
    <w:rsid w:val="007F1949"/>
    <w:rsid w:val="00802956"/>
    <w:rsid w:val="008075B7"/>
    <w:rsid w:val="00817A84"/>
    <w:rsid w:val="008225A4"/>
    <w:rsid w:val="00826D5E"/>
    <w:rsid w:val="00832013"/>
    <w:rsid w:val="00834732"/>
    <w:rsid w:val="00843554"/>
    <w:rsid w:val="0085200C"/>
    <w:rsid w:val="00857C52"/>
    <w:rsid w:val="008651E2"/>
    <w:rsid w:val="0087685C"/>
    <w:rsid w:val="00880A44"/>
    <w:rsid w:val="0088345E"/>
    <w:rsid w:val="0088656F"/>
    <w:rsid w:val="008A0303"/>
    <w:rsid w:val="008A5FDD"/>
    <w:rsid w:val="008C3947"/>
    <w:rsid w:val="008E7329"/>
    <w:rsid w:val="008F0FAE"/>
    <w:rsid w:val="008F2ED5"/>
    <w:rsid w:val="009145D2"/>
    <w:rsid w:val="00916202"/>
    <w:rsid w:val="0092297E"/>
    <w:rsid w:val="0093069F"/>
    <w:rsid w:val="009341BF"/>
    <w:rsid w:val="00937907"/>
    <w:rsid w:val="00941739"/>
    <w:rsid w:val="00951573"/>
    <w:rsid w:val="00963003"/>
    <w:rsid w:val="00983471"/>
    <w:rsid w:val="009909AB"/>
    <w:rsid w:val="009B37DB"/>
    <w:rsid w:val="009C7A8C"/>
    <w:rsid w:val="009D23F9"/>
    <w:rsid w:val="009D4FA8"/>
    <w:rsid w:val="009E6CD6"/>
    <w:rsid w:val="00A00C3C"/>
    <w:rsid w:val="00A01091"/>
    <w:rsid w:val="00A06DBB"/>
    <w:rsid w:val="00A31E86"/>
    <w:rsid w:val="00A445D1"/>
    <w:rsid w:val="00A54D87"/>
    <w:rsid w:val="00A5544B"/>
    <w:rsid w:val="00A5553C"/>
    <w:rsid w:val="00A71554"/>
    <w:rsid w:val="00A81785"/>
    <w:rsid w:val="00A84803"/>
    <w:rsid w:val="00A84C51"/>
    <w:rsid w:val="00A86F2B"/>
    <w:rsid w:val="00A91366"/>
    <w:rsid w:val="00A93AA6"/>
    <w:rsid w:val="00AA0EE9"/>
    <w:rsid w:val="00AA4E48"/>
    <w:rsid w:val="00AA6202"/>
    <w:rsid w:val="00AC4A99"/>
    <w:rsid w:val="00AC64D2"/>
    <w:rsid w:val="00AE0FE8"/>
    <w:rsid w:val="00AF60D5"/>
    <w:rsid w:val="00B04415"/>
    <w:rsid w:val="00B11D60"/>
    <w:rsid w:val="00B11E4B"/>
    <w:rsid w:val="00B13D65"/>
    <w:rsid w:val="00B22497"/>
    <w:rsid w:val="00B35176"/>
    <w:rsid w:val="00B351ED"/>
    <w:rsid w:val="00B37245"/>
    <w:rsid w:val="00B4017A"/>
    <w:rsid w:val="00B4468D"/>
    <w:rsid w:val="00B71C72"/>
    <w:rsid w:val="00B81E92"/>
    <w:rsid w:val="00B93B30"/>
    <w:rsid w:val="00B94CB5"/>
    <w:rsid w:val="00BA0DD9"/>
    <w:rsid w:val="00BB6312"/>
    <w:rsid w:val="00BC4D06"/>
    <w:rsid w:val="00BD585E"/>
    <w:rsid w:val="00BF2E0D"/>
    <w:rsid w:val="00BF3F8B"/>
    <w:rsid w:val="00BF76DA"/>
    <w:rsid w:val="00C07C7B"/>
    <w:rsid w:val="00C24479"/>
    <w:rsid w:val="00C37B53"/>
    <w:rsid w:val="00C517D2"/>
    <w:rsid w:val="00C62B36"/>
    <w:rsid w:val="00C638D6"/>
    <w:rsid w:val="00C7012C"/>
    <w:rsid w:val="00C96915"/>
    <w:rsid w:val="00CB1C5E"/>
    <w:rsid w:val="00CC668D"/>
    <w:rsid w:val="00CC7832"/>
    <w:rsid w:val="00CF0C1C"/>
    <w:rsid w:val="00CF1FFA"/>
    <w:rsid w:val="00D2102A"/>
    <w:rsid w:val="00D23808"/>
    <w:rsid w:val="00D2781D"/>
    <w:rsid w:val="00D3016A"/>
    <w:rsid w:val="00D317D4"/>
    <w:rsid w:val="00D42960"/>
    <w:rsid w:val="00D43BD7"/>
    <w:rsid w:val="00D4485B"/>
    <w:rsid w:val="00D4708D"/>
    <w:rsid w:val="00D4744C"/>
    <w:rsid w:val="00D63068"/>
    <w:rsid w:val="00D6498C"/>
    <w:rsid w:val="00D8521E"/>
    <w:rsid w:val="00D9291C"/>
    <w:rsid w:val="00D93A97"/>
    <w:rsid w:val="00DB13E0"/>
    <w:rsid w:val="00DB1F64"/>
    <w:rsid w:val="00DC2F53"/>
    <w:rsid w:val="00DC6816"/>
    <w:rsid w:val="00DC76C2"/>
    <w:rsid w:val="00DD1CF2"/>
    <w:rsid w:val="00DF41B7"/>
    <w:rsid w:val="00DF4A4A"/>
    <w:rsid w:val="00DF583C"/>
    <w:rsid w:val="00E03C3F"/>
    <w:rsid w:val="00E24D45"/>
    <w:rsid w:val="00E33DB8"/>
    <w:rsid w:val="00E34387"/>
    <w:rsid w:val="00E369FE"/>
    <w:rsid w:val="00E37C6F"/>
    <w:rsid w:val="00E475F8"/>
    <w:rsid w:val="00E5102E"/>
    <w:rsid w:val="00E5721C"/>
    <w:rsid w:val="00E619C6"/>
    <w:rsid w:val="00E745A1"/>
    <w:rsid w:val="00E81529"/>
    <w:rsid w:val="00E83A13"/>
    <w:rsid w:val="00E84FAD"/>
    <w:rsid w:val="00EC2356"/>
    <w:rsid w:val="00EC2582"/>
    <w:rsid w:val="00EC337C"/>
    <w:rsid w:val="00ED0CFF"/>
    <w:rsid w:val="00ED31D2"/>
    <w:rsid w:val="00EE0ACF"/>
    <w:rsid w:val="00EE0EAC"/>
    <w:rsid w:val="00EE33CB"/>
    <w:rsid w:val="00F0061A"/>
    <w:rsid w:val="00F02834"/>
    <w:rsid w:val="00F07CD7"/>
    <w:rsid w:val="00F127E9"/>
    <w:rsid w:val="00F174C8"/>
    <w:rsid w:val="00F329EA"/>
    <w:rsid w:val="00F36972"/>
    <w:rsid w:val="00F42426"/>
    <w:rsid w:val="00F456BC"/>
    <w:rsid w:val="00F50666"/>
    <w:rsid w:val="00F60C95"/>
    <w:rsid w:val="00F70C9E"/>
    <w:rsid w:val="00F74A74"/>
    <w:rsid w:val="00F8382C"/>
    <w:rsid w:val="00F855D7"/>
    <w:rsid w:val="00F92035"/>
    <w:rsid w:val="00F92748"/>
    <w:rsid w:val="00F953C7"/>
    <w:rsid w:val="00FA4169"/>
    <w:rsid w:val="00FB0D41"/>
    <w:rsid w:val="00FB2030"/>
    <w:rsid w:val="00FD118D"/>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Use Case List Paragraph,List Paragraph1,Body Bullet,Table Number Paragraph,Ref,B1,bu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locked/>
    <w:rsid w:val="0055060B"/>
    <w:rPr>
      <w:sz w:val="24"/>
      <w:szCs w:val="24"/>
      <w:lang w:eastAsia="en-US"/>
    </w:rPr>
  </w:style>
  <w:style w:type="paragraph" w:styleId="Dokumentoinaostekstas">
    <w:name w:val="endnote text"/>
    <w:basedOn w:val="prastasis"/>
    <w:link w:val="DokumentoinaostekstasDiagrama"/>
    <w:semiHidden/>
    <w:unhideWhenUsed/>
    <w:rsid w:val="0055060B"/>
    <w:rPr>
      <w:sz w:val="20"/>
      <w:szCs w:val="20"/>
    </w:rPr>
  </w:style>
  <w:style w:type="character" w:customStyle="1" w:styleId="DokumentoinaostekstasDiagrama">
    <w:name w:val="Dokumento išnašos tekstas Diagrama"/>
    <w:basedOn w:val="Numatytasispastraiposriftas"/>
    <w:link w:val="Dokumentoinaostekstas"/>
    <w:semiHidden/>
    <w:rsid w:val="0055060B"/>
    <w:rPr>
      <w:lang w:eastAsia="en-US"/>
    </w:rPr>
  </w:style>
  <w:style w:type="character" w:styleId="Dokumentoinaosnumeris">
    <w:name w:val="endnote reference"/>
    <w:basedOn w:val="Numatytasispastraiposriftas"/>
    <w:semiHidden/>
    <w:unhideWhenUsed/>
    <w:rsid w:val="0055060B"/>
    <w:rPr>
      <w:vertAlign w:val="superscript"/>
    </w:rPr>
  </w:style>
  <w:style w:type="paragraph" w:styleId="HTMLiankstoformatuotas">
    <w:name w:val="HTML Preformatted"/>
    <w:basedOn w:val="prastasis"/>
    <w:link w:val="HTMLiankstoformatuotasDiagrama"/>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iankstoformatuotasDiagrama">
    <w:name w:val="HTML iš anksto formatuotas Diagrama"/>
    <w:basedOn w:val="Numatytasispastraiposriftas"/>
    <w:link w:val="HTMLiankstoformatuotas"/>
    <w:uiPriority w:val="99"/>
    <w:rsid w:val="008651E2"/>
    <w:rPr>
      <w:rFonts w:ascii="Courier New" w:hAnsi="Courier New" w:cs="Courier New"/>
      <w:lang w:eastAsia="en-GB"/>
    </w:rPr>
  </w:style>
  <w:style w:type="character" w:customStyle="1" w:styleId="y2iqfc">
    <w:name w:val="y2iqfc"/>
    <w:basedOn w:val="Numatytasispastraiposriftas"/>
    <w:rsid w:val="008651E2"/>
  </w:style>
  <w:style w:type="paragraph" w:styleId="prastasiniatinklio">
    <w:name w:val="Normal (Web)"/>
    <w:basedOn w:val="prastasis"/>
    <w:uiPriority w:val="99"/>
    <w:unhideWhenUsed/>
    <w:rsid w:val="003C12B3"/>
    <w:pPr>
      <w:spacing w:before="100" w:beforeAutospacing="1" w:after="100" w:afterAutospacing="1"/>
    </w:pPr>
    <w:rPr>
      <w:lang w:val="en-US"/>
    </w:rPr>
  </w:style>
  <w:style w:type="paragraph" w:customStyle="1" w:styleId="Tekstas">
    <w:name w:val="Tekstas"/>
    <w:basedOn w:val="prastasis"/>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1463EC4028D41A19333908A55DAFF"/>
        <w:category>
          <w:name w:val="General"/>
          <w:gallery w:val="placeholder"/>
        </w:category>
        <w:types>
          <w:type w:val="bbPlcHdr"/>
        </w:types>
        <w:behaviors>
          <w:behavior w:val="content"/>
        </w:behaviors>
        <w:guid w:val="{D739BEED-E64E-6745-8427-629CED01300A}"/>
      </w:docPartPr>
      <w:docPartBody>
        <w:p w:rsidR="004045EC" w:rsidRDefault="007D17CA" w:rsidP="007D17CA">
          <w:pPr>
            <w:pStyle w:val="1E61463EC4028D41A19333908A55DAFF"/>
          </w:pPr>
          <w:r>
            <w:rPr>
              <w:rStyle w:val="Vietosrezervavimoenklotekstas"/>
            </w:rPr>
            <w:t>Click here to enter a date.</w:t>
          </w:r>
        </w:p>
      </w:docPartBody>
    </w:docPart>
    <w:docPart>
      <w:docPartPr>
        <w:name w:val="BAEB045BC3FF144D9D6BD3ED15F8ABB3"/>
        <w:category>
          <w:name w:val="General"/>
          <w:gallery w:val="placeholder"/>
        </w:category>
        <w:types>
          <w:type w:val="bbPlcHdr"/>
        </w:types>
        <w:behaviors>
          <w:behavior w:val="content"/>
        </w:behaviors>
        <w:guid w:val="{CD0131CE-E5FC-EA4D-83C0-91A0B9A13136}"/>
      </w:docPartPr>
      <w:docPartBody>
        <w:p w:rsidR="004045EC" w:rsidRDefault="007D17CA" w:rsidP="007D17CA">
          <w:pPr>
            <w:pStyle w:val="BAEB045BC3FF144D9D6BD3ED15F8ABB3"/>
          </w:pPr>
          <w:r>
            <w:rPr>
              <w:rStyle w:val="Vietosrezervavimoenklotekstas"/>
            </w:rPr>
            <w:t>Click here to enter a date.</w:t>
          </w:r>
        </w:p>
      </w:docPartBody>
    </w:docPart>
    <w:docPart>
      <w:docPartPr>
        <w:name w:val="CCBA52376941BB4E9D6A0A2A4B4B7862"/>
        <w:category>
          <w:name w:val="General"/>
          <w:gallery w:val="placeholder"/>
        </w:category>
        <w:types>
          <w:type w:val="bbPlcHdr"/>
        </w:types>
        <w:behaviors>
          <w:behavior w:val="content"/>
        </w:behaviors>
        <w:guid w:val="{E42C5443-C3CE-D04B-9827-3BE2215EAD23}"/>
      </w:docPartPr>
      <w:docPartBody>
        <w:p w:rsidR="004045EC" w:rsidRDefault="007D17CA" w:rsidP="007D17CA">
          <w:pPr>
            <w:pStyle w:val="CCBA52376941BB4E9D6A0A2A4B4B7862"/>
          </w:pPr>
          <w:r>
            <w:rPr>
              <w:rStyle w:val="Vietosrezervavimoenklotekstas"/>
            </w:rPr>
            <w:t>Click here to enter a date.</w:t>
          </w:r>
        </w:p>
      </w:docPartBody>
    </w:docPart>
    <w:docPart>
      <w:docPartPr>
        <w:name w:val="5DF8D7C2405DEC4EACF4AC61F1B3C4D4"/>
        <w:category>
          <w:name w:val="General"/>
          <w:gallery w:val="placeholder"/>
        </w:category>
        <w:types>
          <w:type w:val="bbPlcHdr"/>
        </w:types>
        <w:behaviors>
          <w:behavior w:val="content"/>
        </w:behaviors>
        <w:guid w:val="{8950DD4E-24D5-1249-94F7-530A366AD889}"/>
      </w:docPartPr>
      <w:docPartBody>
        <w:p w:rsidR="004045EC" w:rsidRDefault="007D17CA" w:rsidP="007D17CA">
          <w:pPr>
            <w:pStyle w:val="5DF8D7C2405DEC4EACF4AC61F1B3C4D4"/>
          </w:pPr>
          <w:r>
            <w:rPr>
              <w:rStyle w:val="Vietosrezervavimoenklotekstas"/>
            </w:rPr>
            <w:t>Click here to enter a date.</w:t>
          </w:r>
        </w:p>
      </w:docPartBody>
    </w:docPart>
    <w:docPart>
      <w:docPartPr>
        <w:name w:val="E02A3D8DCBA26F4CB5EB83455A378123"/>
        <w:category>
          <w:name w:val="General"/>
          <w:gallery w:val="placeholder"/>
        </w:category>
        <w:types>
          <w:type w:val="bbPlcHdr"/>
        </w:types>
        <w:behaviors>
          <w:behavior w:val="content"/>
        </w:behaviors>
        <w:guid w:val="{CA87D207-5E1F-B341-B184-FEF7F06C770A}"/>
      </w:docPartPr>
      <w:docPartBody>
        <w:p w:rsidR="004045EC" w:rsidRDefault="007D17CA" w:rsidP="007D17CA">
          <w:pPr>
            <w:pStyle w:val="E02A3D8DCBA26F4CB5EB83455A378123"/>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LTPro">
    <w:altName w:val="Cambria"/>
    <w:charset w:val="00"/>
    <w:family w:val="roman"/>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106A56"/>
    <w:rsid w:val="001227E4"/>
    <w:rsid w:val="003A2F2A"/>
    <w:rsid w:val="003A3F90"/>
    <w:rsid w:val="003C1AE1"/>
    <w:rsid w:val="004045EC"/>
    <w:rsid w:val="004144A3"/>
    <w:rsid w:val="004160E7"/>
    <w:rsid w:val="005074B9"/>
    <w:rsid w:val="005E40DD"/>
    <w:rsid w:val="006D68B3"/>
    <w:rsid w:val="006D7073"/>
    <w:rsid w:val="007C6D1D"/>
    <w:rsid w:val="007D17CA"/>
    <w:rsid w:val="00843AE5"/>
    <w:rsid w:val="008C49D4"/>
    <w:rsid w:val="00936288"/>
    <w:rsid w:val="009B3BF0"/>
    <w:rsid w:val="009D5E5E"/>
    <w:rsid w:val="00B23DC0"/>
    <w:rsid w:val="00CB4BD1"/>
    <w:rsid w:val="00CE2DA9"/>
    <w:rsid w:val="00CE44BE"/>
    <w:rsid w:val="00CE49F2"/>
    <w:rsid w:val="00E44A86"/>
    <w:rsid w:val="00EF6E0C"/>
    <w:rsid w:val="00F019D0"/>
    <w:rsid w:val="00FA3F58"/>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7D17CA"/>
    <w:rPr>
      <w:color w:val="808080"/>
    </w:rPr>
  </w:style>
  <w:style w:type="paragraph" w:customStyle="1" w:styleId="1E61463EC4028D41A19333908A55DAFF">
    <w:name w:val="1E61463EC4028D41A19333908A55DAFF"/>
    <w:rsid w:val="007D17CA"/>
    <w:pPr>
      <w:spacing w:after="0" w:line="240" w:lineRule="auto"/>
    </w:pPr>
    <w:rPr>
      <w:sz w:val="24"/>
      <w:szCs w:val="24"/>
      <w:lang w:eastAsia="en-GB"/>
    </w:rPr>
  </w:style>
  <w:style w:type="paragraph" w:customStyle="1" w:styleId="BAEB045BC3FF144D9D6BD3ED15F8ABB3">
    <w:name w:val="BAEB045BC3FF144D9D6BD3ED15F8ABB3"/>
    <w:rsid w:val="007D17CA"/>
    <w:pPr>
      <w:spacing w:after="0" w:line="240" w:lineRule="auto"/>
    </w:pPr>
    <w:rPr>
      <w:sz w:val="24"/>
      <w:szCs w:val="24"/>
      <w:lang w:eastAsia="en-GB"/>
    </w:rPr>
  </w:style>
  <w:style w:type="paragraph" w:customStyle="1" w:styleId="CCBA52376941BB4E9D6A0A2A4B4B7862">
    <w:name w:val="CCBA52376941BB4E9D6A0A2A4B4B7862"/>
    <w:rsid w:val="007D17CA"/>
    <w:pPr>
      <w:spacing w:after="0" w:line="240" w:lineRule="auto"/>
    </w:pPr>
    <w:rPr>
      <w:sz w:val="24"/>
      <w:szCs w:val="24"/>
      <w:lang w:eastAsia="en-GB"/>
    </w:rPr>
  </w:style>
  <w:style w:type="paragraph" w:customStyle="1" w:styleId="5DF8D7C2405DEC4EACF4AC61F1B3C4D4">
    <w:name w:val="5DF8D7C2405DEC4EACF4AC61F1B3C4D4"/>
    <w:rsid w:val="007D17CA"/>
    <w:pPr>
      <w:spacing w:after="0" w:line="240" w:lineRule="auto"/>
    </w:pPr>
    <w:rPr>
      <w:sz w:val="24"/>
      <w:szCs w:val="24"/>
      <w:lang w:eastAsia="en-GB"/>
    </w:rPr>
  </w:style>
  <w:style w:type="paragraph" w:customStyle="1" w:styleId="E02A3D8DCBA26F4CB5EB83455A378123">
    <w:name w:val="E02A3D8DCBA26F4CB5EB83455A378123"/>
    <w:rsid w:val="007D17CA"/>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00A9-B561-484B-B233-894B4998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10164</Words>
  <Characters>5794</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15927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2023-05-04T07:36:00Z</dcterms:created>
  <dcterms:modified xsi:type="dcterms:W3CDTF">2024-02-07T16:13:00Z</dcterms:modified>
</cp:coreProperties>
</file>