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168350E3" w14:textId="105827E7" w:rsidR="00937907" w:rsidRPr="00E33EFF" w:rsidRDefault="002577BC" w:rsidP="00937907">
      <w:pPr>
        <w:jc w:val="center"/>
        <w:rPr>
          <w:b/>
        </w:rPr>
      </w:pPr>
      <w:r w:rsidRPr="002577BC">
        <w:rPr>
          <w:b/>
        </w:rPr>
        <w:t>MENOPUR</w:t>
      </w:r>
      <w:r>
        <w:rPr>
          <w:b/>
        </w:rPr>
        <w:t xml:space="preserve"> </w:t>
      </w:r>
      <w:r w:rsidRPr="002577BC">
        <w:rPr>
          <w:b/>
        </w:rPr>
        <w:t>75 TV</w:t>
      </w:r>
      <w:r>
        <w:rPr>
          <w:b/>
        </w:rPr>
        <w:t xml:space="preserve"> </w:t>
      </w:r>
      <w:r w:rsidR="00137B25" w:rsidRPr="00137B25">
        <w:rPr>
          <w:b/>
        </w:rPr>
        <w:t>milteliai ir tirpiklis injekciniam tirpalui</w:t>
      </w:r>
    </w:p>
    <w:p w14:paraId="46C2D966" w14:textId="77777777" w:rsidR="00937907" w:rsidRPr="00E33EFF" w:rsidRDefault="00937907" w:rsidP="00937907">
      <w:pPr>
        <w:jc w:val="center"/>
      </w:pPr>
    </w:p>
    <w:p w14:paraId="3C1AFC17" w14:textId="17C73E5E" w:rsidR="00937907" w:rsidRPr="00E33EFF" w:rsidRDefault="00944C52" w:rsidP="00937907">
      <w:pPr>
        <w:jc w:val="center"/>
      </w:pPr>
      <w:r w:rsidRPr="002147DF">
        <w:rPr>
          <w:b/>
        </w:rPr>
        <w:t>Menotropinas</w:t>
      </w:r>
    </w:p>
    <w:p w14:paraId="7245D69E" w14:textId="77777777" w:rsidR="00937907" w:rsidRPr="00E33EFF" w:rsidRDefault="00937907" w:rsidP="00937907">
      <w:pPr>
        <w:jc w:val="center"/>
      </w:pPr>
    </w:p>
    <w:p w14:paraId="5BC2EA5D" w14:textId="72A1C30A" w:rsidR="00937907" w:rsidRPr="00E33EFF" w:rsidRDefault="00937907" w:rsidP="003B211A">
      <w:pPr>
        <w:jc w:val="center"/>
        <w:rPr>
          <w:b/>
        </w:rPr>
      </w:pPr>
      <w:r w:rsidRPr="00E33EFF">
        <w:rPr>
          <w:b/>
        </w:rPr>
        <w:t>Paraiškos numeris</w:t>
      </w:r>
      <w:r w:rsidR="00944C52">
        <w:rPr>
          <w:b/>
        </w:rPr>
        <w:t xml:space="preserve"> STV 121</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824B92">
            <w:pPr>
              <w:rPr>
                <w:rFonts w:eastAsia="Arial"/>
              </w:rPr>
            </w:pPr>
            <w:r w:rsidRPr="00E33EFF">
              <w:rPr>
                <w:rFonts w:eastAsia="Arial"/>
              </w:rPr>
              <w:t>1.1</w:t>
            </w:r>
          </w:p>
        </w:tc>
        <w:tc>
          <w:tcPr>
            <w:tcW w:w="3694" w:type="dxa"/>
          </w:tcPr>
          <w:p w14:paraId="6C3AE864" w14:textId="77777777" w:rsidR="00B13D65" w:rsidRPr="00976D2E" w:rsidRDefault="00B13D65" w:rsidP="00824B92">
            <w:pPr>
              <w:rPr>
                <w:rFonts w:eastAsia="Arial"/>
              </w:rPr>
            </w:pPr>
            <w:r w:rsidRPr="00976D2E">
              <w:rPr>
                <w:rFonts w:eastAsia="Arial"/>
              </w:rPr>
              <w:t>Pareiškėjas</w:t>
            </w:r>
          </w:p>
          <w:p w14:paraId="2AF240DC" w14:textId="77777777" w:rsidR="00B13D65" w:rsidRPr="00976D2E" w:rsidRDefault="00B13D65" w:rsidP="00824B92">
            <w:pPr>
              <w:rPr>
                <w:rFonts w:eastAsia="Arial"/>
              </w:rPr>
            </w:pPr>
          </w:p>
        </w:tc>
        <w:tc>
          <w:tcPr>
            <w:tcW w:w="5167" w:type="dxa"/>
          </w:tcPr>
          <w:p w14:paraId="1ABCE5DE" w14:textId="2DF55CA1" w:rsidR="00937907" w:rsidRPr="00976D2E" w:rsidRDefault="00CA23C1" w:rsidP="00824B92">
            <w:r w:rsidRPr="00976D2E">
              <w:t>UAB “Centralpharma Communications”</w:t>
            </w:r>
          </w:p>
          <w:p w14:paraId="2AAF0D91" w14:textId="77777777" w:rsidR="00B13D65" w:rsidRPr="00976D2E" w:rsidRDefault="00B13D65" w:rsidP="00824B92">
            <w:pPr>
              <w:rPr>
                <w:rFonts w:eastAsia="Arial"/>
              </w:rPr>
            </w:pPr>
          </w:p>
        </w:tc>
      </w:tr>
      <w:tr w:rsidR="00B13D65" w:rsidRPr="00E33EFF" w14:paraId="31998B0D" w14:textId="77777777" w:rsidTr="00BE7489">
        <w:trPr>
          <w:trHeight w:val="538"/>
        </w:trPr>
        <w:tc>
          <w:tcPr>
            <w:tcW w:w="632" w:type="dxa"/>
          </w:tcPr>
          <w:p w14:paraId="2005EC67" w14:textId="662300D0" w:rsidR="00B13D65" w:rsidRPr="00E33EFF" w:rsidRDefault="002E0702" w:rsidP="00824B92">
            <w:pPr>
              <w:rPr>
                <w:rFonts w:eastAsia="Arial"/>
              </w:rPr>
            </w:pPr>
            <w:r w:rsidRPr="00E33EFF">
              <w:rPr>
                <w:rFonts w:eastAsia="Arial"/>
              </w:rPr>
              <w:t>1.2</w:t>
            </w:r>
          </w:p>
        </w:tc>
        <w:tc>
          <w:tcPr>
            <w:tcW w:w="3694" w:type="dxa"/>
          </w:tcPr>
          <w:p w14:paraId="1E4AE3B1" w14:textId="77777777" w:rsidR="00B13D65" w:rsidRPr="00976D2E" w:rsidRDefault="00B13D65" w:rsidP="00824B92">
            <w:pPr>
              <w:rPr>
                <w:bCs/>
                <w:color w:val="000000"/>
                <w:lang w:eastAsia="lt-LT"/>
              </w:rPr>
            </w:pPr>
            <w:r w:rsidRPr="00976D2E">
              <w:rPr>
                <w:bCs/>
                <w:color w:val="000000"/>
                <w:lang w:eastAsia="lt-LT"/>
              </w:rPr>
              <w:t xml:space="preserve">Registracijos data </w:t>
            </w:r>
          </w:p>
          <w:p w14:paraId="3A0DC096" w14:textId="77777777" w:rsidR="00B13D65" w:rsidRPr="00976D2E" w:rsidRDefault="00B13D65" w:rsidP="00824B92">
            <w:pPr>
              <w:rPr>
                <w:bCs/>
                <w:color w:val="000000"/>
                <w:lang w:eastAsia="lt-LT"/>
              </w:rPr>
            </w:pPr>
          </w:p>
        </w:tc>
        <w:tc>
          <w:tcPr>
            <w:tcW w:w="5167" w:type="dxa"/>
          </w:tcPr>
          <w:p w14:paraId="3CA218AD" w14:textId="0D292378" w:rsidR="00B13D65" w:rsidRPr="00976D2E" w:rsidRDefault="00000000" w:rsidP="00824B92">
            <w:pPr>
              <w:rPr>
                <w:rStyle w:val="Style2"/>
                <w:sz w:val="24"/>
              </w:rPr>
            </w:pPr>
            <w:sdt>
              <w:sdtPr>
                <w:rPr>
                  <w:sz w:val="32"/>
                </w:rPr>
                <w:alias w:val="Nurodykite konkrečią dieną"/>
                <w:tag w:val="Nurodykite pradžios datą"/>
                <w:id w:val="423238108"/>
                <w:placeholder>
                  <w:docPart w:val="0A1DCC42A2974C359888226B925C8FF8"/>
                </w:placeholder>
                <w15:color w:val="FFCC99"/>
                <w:date w:fullDate="2015-11-19T00:00:00Z">
                  <w:dateFormat w:val="yyyy 'm.' MMMM d 'd.'"/>
                  <w:lid w:val="lt-LT"/>
                  <w:storeMappedDataAs w:val="dateTime"/>
                  <w:calendar w:val="gregorian"/>
                </w:date>
              </w:sdtPr>
              <w:sdtEndPr>
                <w:rPr>
                  <w:sz w:val="24"/>
                </w:rPr>
              </w:sdtEndPr>
              <w:sdtContent>
                <w:r w:rsidR="00A16C3B" w:rsidRPr="00976D2E">
                  <w:t>2015 m. lapkričio 19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824B92">
            <w:pPr>
              <w:rPr>
                <w:rFonts w:eastAsia="Arial"/>
              </w:rPr>
            </w:pPr>
            <w:r w:rsidRPr="00E33EFF">
              <w:rPr>
                <w:rFonts w:eastAsia="Arial"/>
              </w:rPr>
              <w:t>1.3</w:t>
            </w:r>
          </w:p>
        </w:tc>
        <w:tc>
          <w:tcPr>
            <w:tcW w:w="3694" w:type="dxa"/>
          </w:tcPr>
          <w:p w14:paraId="22933506" w14:textId="77777777" w:rsidR="00B13D65" w:rsidRPr="00976D2E" w:rsidRDefault="00B13D65" w:rsidP="00824B92">
            <w:r w:rsidRPr="00976D2E">
              <w:t xml:space="preserve">Paraiškos tipas </w:t>
            </w:r>
          </w:p>
          <w:p w14:paraId="0465E680" w14:textId="7F0A0714" w:rsidR="00B13D65" w:rsidRPr="00976D2E" w:rsidRDefault="00B13D65" w:rsidP="00824B92">
            <w:r w:rsidRPr="00976D2E">
              <w:t>(</w:t>
            </w:r>
            <w:r w:rsidR="00695CD3" w:rsidRPr="00976D2E">
              <w:t xml:space="preserve">pagal </w:t>
            </w:r>
            <w:r w:rsidR="0039696E" w:rsidRPr="00976D2E">
              <w:rPr>
                <w:color w:val="333333"/>
                <w:shd w:val="clear" w:color="auto" w:fill="FFFFFF"/>
              </w:rPr>
              <w:t>vaistinio preparato registracijos tipą, įtvirtintą</w:t>
            </w:r>
            <w:r w:rsidR="0039696E" w:rsidRPr="00976D2E">
              <w:t xml:space="preserve"> </w:t>
            </w:r>
            <w:r w:rsidRPr="00976D2E">
              <w:t>Direktyv</w:t>
            </w:r>
            <w:r w:rsidR="00695CD3" w:rsidRPr="00976D2E">
              <w:t>os</w:t>
            </w:r>
            <w:r w:rsidRPr="00976D2E">
              <w:t xml:space="preserve"> 2001/83/EB</w:t>
            </w:r>
            <w:r w:rsidR="00695CD3" w:rsidRPr="00976D2E">
              <w:t xml:space="preserve"> straips</w:t>
            </w:r>
            <w:r w:rsidR="0039696E" w:rsidRPr="00976D2E">
              <w:t>iuose</w:t>
            </w:r>
            <w:r w:rsidRPr="00976D2E">
              <w:t>)</w:t>
            </w:r>
          </w:p>
          <w:p w14:paraId="77089D80" w14:textId="6681D72A" w:rsidR="00B13D65" w:rsidRPr="00976D2E" w:rsidRDefault="00B13D65" w:rsidP="00824B92">
            <w:pPr>
              <w:rPr>
                <w:bCs/>
                <w:color w:val="000000"/>
                <w:lang w:eastAsia="lt-LT"/>
              </w:rPr>
            </w:pPr>
          </w:p>
        </w:tc>
        <w:tc>
          <w:tcPr>
            <w:tcW w:w="5167" w:type="dxa"/>
          </w:tcPr>
          <w:p w14:paraId="208F40EC" w14:textId="171E7210" w:rsidR="00B13D65" w:rsidRPr="00976D2E"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A16C3B" w:rsidRPr="00976D2E">
                  <w:rPr>
                    <w:rStyle w:val="Style2"/>
                    <w:rFonts w:ascii="MS Gothic" w:eastAsia="MS Gothic" w:hAnsi="MS Gothic" w:hint="eastAsia"/>
                    <w:sz w:val="24"/>
                  </w:rPr>
                  <w:t>☒</w:t>
                </w:r>
              </w:sdtContent>
            </w:sdt>
            <w:r w:rsidR="00B13D65" w:rsidRPr="00976D2E">
              <w:t xml:space="preserve">8.3 str. (pilna byla, pagrįsta savais tyrimais) </w:t>
            </w:r>
          </w:p>
          <w:p w14:paraId="32BA564E" w14:textId="3FDA3E01" w:rsidR="00B13D65" w:rsidRPr="00976D2E"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976D2E">
                  <w:rPr>
                    <w:rStyle w:val="Style2"/>
                    <w:rFonts w:ascii="Segoe UI Symbol" w:eastAsia="MS Gothic" w:hAnsi="Segoe UI Symbol" w:cs="Segoe UI Symbol"/>
                    <w:sz w:val="24"/>
                  </w:rPr>
                  <w:t>☐</w:t>
                </w:r>
              </w:sdtContent>
            </w:sdt>
            <w:r w:rsidR="00B13D65" w:rsidRPr="00976D2E">
              <w:t xml:space="preserve">10 a str. (pripažintas medicininis vartojimas) </w:t>
            </w:r>
          </w:p>
          <w:p w14:paraId="318DCD7F" w14:textId="32333E53" w:rsidR="00B13D65" w:rsidRPr="00976D2E"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976D2E">
                  <w:rPr>
                    <w:rStyle w:val="Style2"/>
                    <w:rFonts w:ascii="Segoe UI Symbol" w:eastAsia="MS Gothic" w:hAnsi="Segoe UI Symbol" w:cs="Segoe UI Symbol"/>
                    <w:sz w:val="24"/>
                  </w:rPr>
                  <w:t>☐</w:t>
                </w:r>
              </w:sdtContent>
            </w:sdt>
            <w:r w:rsidR="00B13D65" w:rsidRPr="00976D2E">
              <w:t>10.1 str. (generinis)</w:t>
            </w:r>
          </w:p>
          <w:p w14:paraId="3B0A4F72" w14:textId="3F5FB073" w:rsidR="00B13D65" w:rsidRPr="00976D2E"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976D2E">
                  <w:rPr>
                    <w:rStyle w:val="Style2"/>
                    <w:rFonts w:ascii="Segoe UI Symbol" w:eastAsia="MS Gothic" w:hAnsi="Segoe UI Symbol" w:cs="Segoe UI Symbol"/>
                    <w:sz w:val="24"/>
                  </w:rPr>
                  <w:t>☐</w:t>
                </w:r>
              </w:sdtContent>
            </w:sdt>
            <w:r w:rsidR="00B13D65" w:rsidRPr="00976D2E">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976D2E" w:rsidRDefault="00B13D65" w:rsidP="00824B92">
            <w:pPr>
              <w:rPr>
                <w:bCs/>
                <w:color w:val="000000"/>
                <w:lang w:eastAsia="lt-LT"/>
              </w:rPr>
            </w:pPr>
            <w:r w:rsidRPr="00976D2E">
              <w:rPr>
                <w:bCs/>
                <w:color w:val="000000"/>
                <w:lang w:eastAsia="lt-LT"/>
              </w:rPr>
              <w:t xml:space="preserve">Ar vaistinis preparatas įrašytas į Bendrijos retųjų vaistinių preparatų registrą? </w:t>
            </w:r>
          </w:p>
          <w:p w14:paraId="483071A3" w14:textId="10336F43" w:rsidR="00B13D65" w:rsidRPr="00976D2E" w:rsidRDefault="00B13D65" w:rsidP="00824B92">
            <w:pPr>
              <w:rPr>
                <w:bCs/>
                <w:color w:val="000000"/>
                <w:lang w:eastAsia="lt-LT"/>
              </w:rPr>
            </w:pPr>
          </w:p>
        </w:tc>
        <w:tc>
          <w:tcPr>
            <w:tcW w:w="5167" w:type="dxa"/>
          </w:tcPr>
          <w:p w14:paraId="05845C60" w14:textId="10CF4033" w:rsidR="00B13D65" w:rsidRPr="00976D2E"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976D2E">
                  <w:rPr>
                    <w:rStyle w:val="Style2"/>
                    <w:rFonts w:ascii="MS Gothic" w:eastAsia="MS Gothic" w:hAnsi="MS Gothic" w:hint="eastAsia"/>
                    <w:sz w:val="24"/>
                  </w:rPr>
                  <w:t>☐</w:t>
                </w:r>
              </w:sdtContent>
            </w:sdt>
            <w:r w:rsidR="00B13D65" w:rsidRPr="00976D2E">
              <w:t xml:space="preserve"> Taip</w:t>
            </w:r>
          </w:p>
          <w:p w14:paraId="41D88067" w14:textId="1C282D69" w:rsidR="00B13D65" w:rsidRPr="00976D2E"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A16C3B" w:rsidRPr="00976D2E">
                  <w:rPr>
                    <w:rStyle w:val="Style2"/>
                    <w:rFonts w:ascii="MS Gothic" w:eastAsia="MS Gothic" w:hAnsi="MS Gothic" w:hint="eastAsia"/>
                    <w:sz w:val="24"/>
                  </w:rPr>
                  <w:t>☒</w:t>
                </w:r>
              </w:sdtContent>
            </w:sdt>
            <w:r w:rsidR="00B13D65" w:rsidRPr="00976D2E">
              <w:t xml:space="preserve"> Ne</w:t>
            </w:r>
          </w:p>
          <w:p w14:paraId="29C2CBBB" w14:textId="77777777" w:rsidR="00B13D65" w:rsidRPr="00976D2E"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976D2E">
                  <w:rPr>
                    <w:rStyle w:val="Vietosrezervavimoenklotekstas"/>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976D2E" w:rsidRDefault="00D417D2" w:rsidP="00824B92">
            <w:pPr>
              <w:rPr>
                <w:bCs/>
                <w:color w:val="000000"/>
                <w:lang w:eastAsia="lt-LT"/>
              </w:rPr>
            </w:pPr>
            <w:r w:rsidRPr="00976D2E">
              <w:t>STV paraiškos pobūdis</w:t>
            </w:r>
          </w:p>
        </w:tc>
        <w:tc>
          <w:tcPr>
            <w:tcW w:w="5167" w:type="dxa"/>
          </w:tcPr>
          <w:p w14:paraId="403461B9" w14:textId="3C7674FC" w:rsidR="00D417D2" w:rsidRPr="00976D2E"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A16C3B" w:rsidRPr="00976D2E">
                  <w:rPr>
                    <w:rStyle w:val="Style2"/>
                    <w:rFonts w:ascii="MS Gothic" w:eastAsia="MS Gothic" w:hAnsi="MS Gothic" w:hint="eastAsia"/>
                    <w:sz w:val="24"/>
                  </w:rPr>
                  <w:t>☒</w:t>
                </w:r>
              </w:sdtContent>
            </w:sdt>
            <w:r w:rsidR="00D417D2" w:rsidRPr="00976D2E">
              <w:t xml:space="preserve"> Pilna paraiška</w:t>
            </w:r>
          </w:p>
          <w:p w14:paraId="6B8213E3" w14:textId="3495CDF4" w:rsidR="00D417D2" w:rsidRPr="00976D2E"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976D2E">
                  <w:rPr>
                    <w:rStyle w:val="Style2"/>
                    <w:rFonts w:ascii="MS Gothic" w:eastAsia="MS Gothic" w:hAnsi="MS Gothic" w:hint="eastAsia"/>
                    <w:sz w:val="24"/>
                  </w:rPr>
                  <w:t>☐</w:t>
                </w:r>
              </w:sdtContent>
            </w:sdt>
            <w:r w:rsidR="00D417D2" w:rsidRPr="00976D2E">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4D49DBF5" w14:textId="77777777" w:rsidR="007656B2" w:rsidRPr="00976D2E" w:rsidRDefault="00DE4484" w:rsidP="00824B92">
            <w:pPr>
              <w:rPr>
                <w:bCs/>
                <w:color w:val="000000"/>
                <w:lang w:eastAsia="lt-LT"/>
              </w:rPr>
            </w:pPr>
            <w:r w:rsidRPr="00976D2E">
              <w:rPr>
                <w:bCs/>
                <w:color w:val="000000"/>
                <w:lang w:eastAsia="lt-LT"/>
              </w:rPr>
              <w:t>Par</w:t>
            </w:r>
            <w:r w:rsidR="007656B2" w:rsidRPr="00976D2E">
              <w:rPr>
                <w:bCs/>
                <w:color w:val="000000"/>
                <w:lang w:eastAsia="lt-LT"/>
              </w:rPr>
              <w:t>eiškėjo t</w:t>
            </w:r>
            <w:r w:rsidR="00B13D65" w:rsidRPr="00976D2E">
              <w:rPr>
                <w:bCs/>
                <w:color w:val="000000"/>
                <w:lang w:eastAsia="lt-LT"/>
              </w:rPr>
              <w:t>eikiama (-os) kompensuoti vaistinio preparato indikacija (-os)</w:t>
            </w:r>
          </w:p>
          <w:p w14:paraId="3FB07EE5" w14:textId="77777777" w:rsidR="00AE1322" w:rsidRPr="00976D2E" w:rsidRDefault="00AE1322" w:rsidP="00824B92">
            <w:pPr>
              <w:rPr>
                <w:bCs/>
                <w:color w:val="000000"/>
                <w:lang w:eastAsia="lt-LT"/>
              </w:rPr>
            </w:pPr>
          </w:p>
          <w:p w14:paraId="3A6B054C" w14:textId="77777777" w:rsidR="00AE1322" w:rsidRPr="00976D2E" w:rsidRDefault="00AE1322" w:rsidP="00824B92">
            <w:pPr>
              <w:rPr>
                <w:bCs/>
                <w:color w:val="000000"/>
                <w:lang w:eastAsia="lt-LT"/>
              </w:rPr>
            </w:pPr>
          </w:p>
          <w:p w14:paraId="6B4FEEC1" w14:textId="378668B0" w:rsidR="00B13D65" w:rsidRPr="00976D2E" w:rsidRDefault="007656B2" w:rsidP="00824B92">
            <w:pPr>
              <w:rPr>
                <w:bCs/>
                <w:color w:val="000000"/>
                <w:lang w:eastAsia="lt-LT"/>
              </w:rPr>
            </w:pPr>
            <w:r w:rsidRPr="00976D2E">
              <w:rPr>
                <w:bCs/>
                <w:color w:val="000000"/>
                <w:lang w:eastAsia="lt-LT"/>
              </w:rPr>
              <w:t>K</w:t>
            </w:r>
            <w:r w:rsidR="00B13D65" w:rsidRPr="00976D2E">
              <w:rPr>
                <w:bCs/>
                <w:color w:val="000000"/>
                <w:lang w:eastAsia="lt-LT"/>
              </w:rPr>
              <w:t>odas</w:t>
            </w:r>
            <w:r w:rsidRPr="00976D2E">
              <w:rPr>
                <w:bCs/>
                <w:color w:val="000000"/>
                <w:lang w:eastAsia="lt-LT"/>
              </w:rPr>
              <w:t xml:space="preserve"> pagal TLK-10 AM</w:t>
            </w:r>
          </w:p>
        </w:tc>
        <w:tc>
          <w:tcPr>
            <w:tcW w:w="5167" w:type="dxa"/>
          </w:tcPr>
          <w:p w14:paraId="60101809" w14:textId="77777777" w:rsidR="00C650ED" w:rsidRPr="00976D2E" w:rsidRDefault="00C650ED" w:rsidP="00C650ED">
            <w:pPr>
              <w:jc w:val="both"/>
            </w:pPr>
            <w:r w:rsidRPr="00976D2E">
              <w:t>Kontroliuojama kiaušidžių hiperstimuliacija daugybinių folikulų vystymosi indukcijai, taikant pagalbines apvaisinimo technologijas (angl. Assisted Reproductive Technologies, ART) (pvz., in vitro fertilizacija / embriono transplantacija IVF/ET), gametų intrafalopinis patalpinimas (angl. gamete intrafallopian transfer, GIFT) ir intracitoplazminė spermatozoido injekcija (ICSI)).</w:t>
            </w:r>
          </w:p>
          <w:p w14:paraId="64770362" w14:textId="77777777" w:rsidR="00C650ED" w:rsidRPr="00976D2E" w:rsidRDefault="00C650ED" w:rsidP="00C650ED">
            <w:pPr>
              <w:jc w:val="both"/>
            </w:pPr>
          </w:p>
          <w:p w14:paraId="13F7DFB0" w14:textId="44C9B8F1" w:rsidR="00B13D65" w:rsidRPr="00976D2E" w:rsidRDefault="00C650ED" w:rsidP="00C650ED">
            <w:pPr>
              <w:jc w:val="both"/>
            </w:pPr>
            <w:r w:rsidRPr="00976D2E">
              <w:t>TLK-10: N97, Q95–Q99, Z80–Z84</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6FCA2914" w:rsidR="00B13D65" w:rsidRPr="00E33EFF" w:rsidRDefault="004C07E4" w:rsidP="00824B92">
            <w:r w:rsidRPr="002147DF">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77777777" w:rsidR="00B13D65"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61EC5BBD" w14:textId="0D2021A5" w:rsidR="009F4D66" w:rsidRDefault="009F4D66" w:rsidP="00824B92">
            <w:pPr>
              <w:rPr>
                <w:bCs/>
                <w:color w:val="000000"/>
                <w:lang w:eastAsia="lt-LT"/>
              </w:rPr>
            </w:pPr>
          </w:p>
          <w:p w14:paraId="24B77210" w14:textId="7A8152C9" w:rsidR="00E67E8E" w:rsidRDefault="00E67E8E" w:rsidP="00824B92">
            <w:pPr>
              <w:rPr>
                <w:bCs/>
                <w:color w:val="000000"/>
                <w:lang w:eastAsia="lt-LT"/>
              </w:rPr>
            </w:pPr>
            <w:r>
              <w:rPr>
                <w:bCs/>
                <w:color w:val="000000"/>
                <w:lang w:eastAsia="lt-LT"/>
              </w:rPr>
              <w:t>Tiesioginis palyginimas</w:t>
            </w:r>
            <w:r w:rsidR="00094C58">
              <w:rPr>
                <w:bCs/>
                <w:color w:val="000000"/>
                <w:lang w:eastAsia="lt-LT"/>
              </w:rPr>
              <w:t xml:space="preserve"> -</w:t>
            </w:r>
          </w:p>
          <w:p w14:paraId="64673742" w14:textId="1C44AB03" w:rsidR="005E0861" w:rsidRPr="00094C58" w:rsidRDefault="005E0861" w:rsidP="00824B92">
            <w:pPr>
              <w:rPr>
                <w:bCs/>
                <w:i/>
                <w:color w:val="000000"/>
                <w:lang w:eastAsia="lt-LT"/>
              </w:rPr>
            </w:pPr>
            <w:r w:rsidRPr="00094C58">
              <w:rPr>
                <w:rFonts w:eastAsia="Arial"/>
                <w:i/>
              </w:rPr>
              <w:t>folitropinas alfa</w:t>
            </w: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20A0A9A9" w14:textId="4DFB02B0" w:rsidR="00B13D65" w:rsidRDefault="00B13D65" w:rsidP="00824B92">
            <w:pPr>
              <w:rPr>
                <w:rStyle w:val="Style2"/>
                <w:rFonts w:ascii="MS Gothic" w:eastAsia="MS Gothic" w:hAnsi="MS Gothic"/>
              </w:rPr>
            </w:pPr>
          </w:p>
          <w:p w14:paraId="31A30277" w14:textId="48AA57F3" w:rsidR="00E67E8E" w:rsidRDefault="00E67E8E" w:rsidP="00824B92">
            <w:pPr>
              <w:rPr>
                <w:rStyle w:val="Style2"/>
                <w:rFonts w:ascii="MS Gothic" w:eastAsia="MS Gothic" w:hAnsi="MS Gothic"/>
              </w:rPr>
            </w:pPr>
          </w:p>
          <w:p w14:paraId="0B4C004D" w14:textId="77777777" w:rsidR="00E67E8E" w:rsidRPr="00E33EFF" w:rsidRDefault="00000000" w:rsidP="00E67E8E">
            <w:sdt>
              <w:sdtPr>
                <w:rPr>
                  <w:rStyle w:val="Style2"/>
                  <w:sz w:val="24"/>
                </w:rPr>
                <w:id w:val="-931196558"/>
                <w15:color w:val="FFCC00"/>
                <w14:checkbox>
                  <w14:checked w14:val="1"/>
                  <w14:checkedState w14:val="2612" w14:font="MS Gothic"/>
                  <w14:uncheckedState w14:val="2610" w14:font="MS Gothic"/>
                </w14:checkbox>
              </w:sdtPr>
              <w:sdtContent>
                <w:r w:rsidR="00E67E8E">
                  <w:rPr>
                    <w:rStyle w:val="Style2"/>
                    <w:rFonts w:ascii="MS Gothic" w:eastAsia="MS Gothic" w:hAnsi="MS Gothic" w:hint="eastAsia"/>
                    <w:sz w:val="24"/>
                  </w:rPr>
                  <w:t>☒</w:t>
                </w:r>
              </w:sdtContent>
            </w:sdt>
            <w:r w:rsidR="00E67E8E" w:rsidRPr="00E33EFF">
              <w:t xml:space="preserve"> Tinkamas</w:t>
            </w:r>
          </w:p>
          <w:p w14:paraId="41B44044" w14:textId="02F542DC" w:rsidR="00E67E8E" w:rsidRPr="00E33EFF" w:rsidRDefault="00000000" w:rsidP="00824B92">
            <w:sdt>
              <w:sdtPr>
                <w:rPr>
                  <w:rStyle w:val="Style2"/>
                  <w:sz w:val="24"/>
                </w:rPr>
                <w:id w:val="-2054380370"/>
                <w15:color w:val="FFCC00"/>
                <w14:checkbox>
                  <w14:checked w14:val="0"/>
                  <w14:checkedState w14:val="2612" w14:font="MS Gothic"/>
                  <w14:uncheckedState w14:val="2610" w14:font="MS Gothic"/>
                </w14:checkbox>
              </w:sdtPr>
              <w:sdtContent>
                <w:r w:rsidR="00E67E8E" w:rsidRPr="00E33EFF">
                  <w:rPr>
                    <w:rStyle w:val="Style2"/>
                    <w:rFonts w:ascii="MS Gothic" w:eastAsia="MS Gothic" w:hAnsi="MS Gothic" w:hint="eastAsia"/>
                    <w:sz w:val="24"/>
                  </w:rPr>
                  <w:t>☐</w:t>
                </w:r>
              </w:sdtContent>
            </w:sdt>
            <w:r w:rsidR="00E67E8E" w:rsidRPr="00E33EFF">
              <w:t xml:space="preserve"> Netinkama</w:t>
            </w:r>
            <w:r w:rsidR="00E10669">
              <w:t>s</w:t>
            </w:r>
          </w:p>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F70C9E" w:rsidRPr="00E33EFF" w14:paraId="129FA8F6" w14:textId="77777777" w:rsidTr="00BE7489">
        <w:trPr>
          <w:trHeight w:val="2267"/>
        </w:trPr>
        <w:tc>
          <w:tcPr>
            <w:tcW w:w="2855" w:type="dxa"/>
          </w:tcPr>
          <w:p w14:paraId="0A070137" w14:textId="77777777" w:rsidR="00F70C9E" w:rsidRPr="00E33EFF" w:rsidRDefault="00F70C9E" w:rsidP="00824B92">
            <w:pPr>
              <w:rPr>
                <w:bCs/>
              </w:rPr>
            </w:pPr>
            <w:r w:rsidRPr="00E33EFF">
              <w:rPr>
                <w:bCs/>
              </w:rPr>
              <w:t>Nacionalinis sveikatos ir klinikinės kompetencijos institutas, Didžioji Britanija</w:t>
            </w:r>
          </w:p>
          <w:p w14:paraId="49C6520D" w14:textId="77777777" w:rsidR="00F70C9E" w:rsidRPr="00E33EFF" w:rsidRDefault="00F70C9E" w:rsidP="00824B92">
            <w:pPr>
              <w:rPr>
                <w:rFonts w:eastAsia="Arial"/>
                <w:lang w:val="en-GB"/>
              </w:rPr>
            </w:pPr>
            <w:r w:rsidRPr="00E33EFF">
              <w:rPr>
                <w:rFonts w:eastAsia="Arial"/>
                <w:lang w:val="en-GB"/>
              </w:rPr>
              <w:t xml:space="preserve">(angl.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77777777" w:rsidR="00F70C9E" w:rsidRPr="00E33EFF" w:rsidRDefault="00000000" w:rsidP="00824B92">
            <w:sdt>
              <w:sdtPr>
                <w:rPr>
                  <w:rStyle w:val="Style2"/>
                  <w:sz w:val="24"/>
                </w:rPr>
                <w:id w:val="1558205022"/>
                <w15:color w:val="FFCC00"/>
                <w14:checkbox>
                  <w14:checked w14:val="0"/>
                  <w14:checkedState w14:val="2612" w14:font="MS Gothic"/>
                  <w14:uncheckedState w14:val="2610" w14:font="MS Gothic"/>
                </w14:checkbox>
              </w:sdt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29F3627E" w14:textId="2AC596A6" w:rsidR="00F70C9E" w:rsidRPr="00E33EFF" w:rsidRDefault="00000000" w:rsidP="00824B92">
            <w:sdt>
              <w:sdtPr>
                <w:rPr>
                  <w:rStyle w:val="Style2"/>
                  <w:sz w:val="24"/>
                </w:rPr>
                <w:id w:val="866029625"/>
                <w15:color w:val="FFCC00"/>
                <w14:checkbox>
                  <w14:checked w14:val="1"/>
                  <w14:checkedState w14:val="2612" w14:font="MS Gothic"/>
                  <w14:uncheckedState w14:val="2610" w14:font="MS Gothic"/>
                </w14:checkbox>
              </w:sdtPr>
              <w:sdtContent>
                <w:r w:rsidR="00FC617B">
                  <w:rPr>
                    <w:rStyle w:val="Style2"/>
                    <w:rFonts w:ascii="MS Gothic" w:eastAsia="MS Gothic" w:hAnsi="MS Gothic" w:hint="eastAsia"/>
                    <w:sz w:val="24"/>
                  </w:rPr>
                  <w:t>☒</w:t>
                </w:r>
              </w:sdtContent>
            </w:sdt>
            <w:r w:rsidR="00F70C9E" w:rsidRPr="00E33EFF">
              <w:t xml:space="preserve"> Ne</w:t>
            </w:r>
          </w:p>
          <w:p w14:paraId="7916359D" w14:textId="77777777" w:rsidR="00F70C9E" w:rsidRPr="00E33EFF" w:rsidRDefault="00000000" w:rsidP="00824B92">
            <w:pPr>
              <w:rPr>
                <w:rFonts w:eastAsia="Arial"/>
              </w:rPr>
            </w:pPr>
            <w:sdt>
              <w:sdtPr>
                <w:alias w:val="Nurodykite konkrečią dieną"/>
                <w:tag w:val="Nurodykite pradžios datą"/>
                <w:id w:val="922837954"/>
                <w:placeholder>
                  <w:docPart w:val="1E86322BB2A046D9AA8EEC8813E5F165"/>
                </w:placeholder>
                <w:showingPlcHdr/>
                <w15:color w:val="FFCC99"/>
                <w:date w:fullDate="2022-05-18T00:00:00Z">
                  <w:dateFormat w:val="yyyy 'm.' MMMM d 'd.'"/>
                  <w:lid w:val="lt-LT"/>
                  <w:storeMappedDataAs w:val="dateTime"/>
                  <w:calendar w:val="gregorian"/>
                </w:date>
              </w:sdtPr>
              <w:sdtContent>
                <w:r w:rsidR="00F70C9E" w:rsidRPr="00E33EFF">
                  <w:rPr>
                    <w:rStyle w:val="Vietosrezervavimoenklotekstas"/>
                  </w:rPr>
                  <w:t>Click here to enter a date.</w:t>
                </w:r>
              </w:sdtContent>
            </w:sdt>
          </w:p>
        </w:tc>
        <w:tc>
          <w:tcPr>
            <w:tcW w:w="2244" w:type="dxa"/>
          </w:tcPr>
          <w:p w14:paraId="6413D0ED" w14:textId="77777777" w:rsidR="00F70C9E" w:rsidRPr="00E33EFF" w:rsidRDefault="00F70C9E" w:rsidP="00824B92">
            <w:pPr>
              <w:rPr>
                <w:rFonts w:eastAsia="Arial"/>
              </w:rPr>
            </w:pPr>
          </w:p>
        </w:tc>
        <w:tc>
          <w:tcPr>
            <w:tcW w:w="2543" w:type="dxa"/>
          </w:tcPr>
          <w:p w14:paraId="67430EE7" w14:textId="77777777" w:rsidR="00F70C9E" w:rsidRPr="00E33EFF" w:rsidRDefault="00F70C9E" w:rsidP="00824B92">
            <w:pPr>
              <w:rPr>
                <w:rFonts w:eastAsia="Arial"/>
              </w:rPr>
            </w:pPr>
          </w:p>
        </w:tc>
      </w:tr>
      <w:tr w:rsidR="00F70C9E" w:rsidRPr="00E33EFF" w14:paraId="1CC31474" w14:textId="77777777" w:rsidTr="00BE7489">
        <w:trPr>
          <w:trHeight w:val="1547"/>
        </w:trPr>
        <w:tc>
          <w:tcPr>
            <w:tcW w:w="2855" w:type="dxa"/>
          </w:tcPr>
          <w:p w14:paraId="12218E35" w14:textId="77777777" w:rsidR="00F70C9E" w:rsidRPr="00E33EFF" w:rsidRDefault="00F70C9E" w:rsidP="00824B92">
            <w:pPr>
              <w:rPr>
                <w:rFonts w:eastAsia="Arial"/>
                <w:lang w:val="en-GB"/>
              </w:rPr>
            </w:pPr>
            <w:r w:rsidRPr="00E33EFF">
              <w:rPr>
                <w:rFonts w:eastAsia="Arial"/>
                <w:lang w:val="en-GB"/>
              </w:rPr>
              <w:t>Kanados sveikatos technologijų agentūra</w:t>
            </w:r>
          </w:p>
          <w:p w14:paraId="2C593A82" w14:textId="77777777" w:rsidR="00F70C9E" w:rsidRPr="00E33EFF" w:rsidRDefault="00F70C9E" w:rsidP="00824B92">
            <w:pPr>
              <w:rPr>
                <w:rFonts w:eastAsia="Arial"/>
                <w:lang w:val="en-GB"/>
              </w:rPr>
            </w:pPr>
            <w:r w:rsidRPr="00E33EFF">
              <w:rPr>
                <w:rFonts w:eastAsia="Arial"/>
                <w:lang w:val="en-GB"/>
              </w:rPr>
              <w:t xml:space="preserve">(angl.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77777777" w:rsidR="00F70C9E" w:rsidRPr="00E33EFF" w:rsidRDefault="00000000" w:rsidP="00824B92">
            <w:sdt>
              <w:sdtPr>
                <w:rPr>
                  <w:rStyle w:val="Style2"/>
                  <w:sz w:val="24"/>
                </w:rPr>
                <w:id w:val="-372539057"/>
                <w15:color w:val="FFCC00"/>
                <w14:checkbox>
                  <w14:checked w14:val="0"/>
                  <w14:checkedState w14:val="2612" w14:font="MS Gothic"/>
                  <w14:uncheckedState w14:val="2610" w14:font="MS Gothic"/>
                </w14:checkbox>
              </w:sdt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35F17B07" w14:textId="09FA7304" w:rsidR="00F70C9E" w:rsidRPr="00E33EFF" w:rsidRDefault="00000000" w:rsidP="00824B92">
            <w:sdt>
              <w:sdtPr>
                <w:rPr>
                  <w:rStyle w:val="Style2"/>
                  <w:sz w:val="24"/>
                </w:rPr>
                <w:id w:val="594442222"/>
                <w15:color w:val="FFCC00"/>
                <w14:checkbox>
                  <w14:checked w14:val="1"/>
                  <w14:checkedState w14:val="2612" w14:font="MS Gothic"/>
                  <w14:uncheckedState w14:val="2610" w14:font="MS Gothic"/>
                </w14:checkbox>
              </w:sdtPr>
              <w:sdtContent>
                <w:r w:rsidR="00FC617B">
                  <w:rPr>
                    <w:rStyle w:val="Style2"/>
                    <w:rFonts w:ascii="MS Gothic" w:eastAsia="MS Gothic" w:hAnsi="MS Gothic" w:hint="eastAsia"/>
                    <w:sz w:val="24"/>
                  </w:rPr>
                  <w:t>☒</w:t>
                </w:r>
              </w:sdtContent>
            </w:sdt>
            <w:r w:rsidR="00F70C9E" w:rsidRPr="00E33EFF">
              <w:t xml:space="preserve"> Ne</w:t>
            </w:r>
          </w:p>
          <w:p w14:paraId="0C0988CC" w14:textId="77777777" w:rsidR="00F70C9E" w:rsidRPr="00E33EFF" w:rsidRDefault="00000000" w:rsidP="00824B92">
            <w:pPr>
              <w:rPr>
                <w:rFonts w:eastAsia="Arial"/>
              </w:rPr>
            </w:pPr>
            <w:sdt>
              <w:sdtPr>
                <w:alias w:val="Nurodykite konkrečią dieną"/>
                <w:tag w:val="Nurodykite pradžios datą"/>
                <w:id w:val="1072468416"/>
                <w:placeholder>
                  <w:docPart w:val="57B9655BB938420B82BDAD6B82A66F50"/>
                </w:placeholder>
                <w:showingPlcHdr/>
                <w15:color w:val="FFCC99"/>
                <w:date w:fullDate="2022-05-18T00:00:00Z">
                  <w:dateFormat w:val="yyyy 'm.' MMMM d 'd.'"/>
                  <w:lid w:val="lt-LT"/>
                  <w:storeMappedDataAs w:val="dateTime"/>
                  <w:calendar w:val="gregorian"/>
                </w:date>
              </w:sdtPr>
              <w:sdtContent>
                <w:r w:rsidR="00F70C9E" w:rsidRPr="00E33EFF">
                  <w:rPr>
                    <w:rStyle w:val="Vietosrezervavimoenklotekstas"/>
                  </w:rPr>
                  <w:t>Click here to enter a date.</w:t>
                </w:r>
              </w:sdtContent>
            </w:sdt>
          </w:p>
        </w:tc>
        <w:tc>
          <w:tcPr>
            <w:tcW w:w="2244" w:type="dxa"/>
          </w:tcPr>
          <w:p w14:paraId="64D1B800" w14:textId="77777777" w:rsidR="00F70C9E" w:rsidRPr="00E33EFF" w:rsidRDefault="00F70C9E" w:rsidP="00824B92">
            <w:pPr>
              <w:rPr>
                <w:rFonts w:eastAsia="Arial"/>
              </w:rPr>
            </w:pPr>
          </w:p>
        </w:tc>
        <w:tc>
          <w:tcPr>
            <w:tcW w:w="2543" w:type="dxa"/>
          </w:tcPr>
          <w:p w14:paraId="5C8CB330" w14:textId="77777777" w:rsidR="00F70C9E" w:rsidRPr="00E33EFF" w:rsidRDefault="00F70C9E" w:rsidP="00824B92">
            <w:pPr>
              <w:rPr>
                <w:rFonts w:eastAsia="Arial"/>
              </w:rPr>
            </w:pPr>
          </w:p>
        </w:tc>
      </w:tr>
      <w:tr w:rsidR="00F70C9E" w:rsidRPr="00E33EFF" w14:paraId="21C94D47" w14:textId="77777777" w:rsidTr="00BE7489">
        <w:trPr>
          <w:trHeight w:val="2160"/>
        </w:trPr>
        <w:tc>
          <w:tcPr>
            <w:tcW w:w="2855" w:type="dxa"/>
          </w:tcPr>
          <w:p w14:paraId="02F45BB8" w14:textId="77777777" w:rsidR="00F70C9E" w:rsidRPr="00E33EFF" w:rsidRDefault="00F70C9E" w:rsidP="00824B92">
            <w:pPr>
              <w:rPr>
                <w:rFonts w:eastAsia="Arial"/>
              </w:rPr>
            </w:pPr>
            <w:r w:rsidRPr="00E33EFF">
              <w:rPr>
                <w:rFonts w:eastAsia="Arial"/>
              </w:rPr>
              <w:t>Nacionalinis farmakoekonomikos centras, Airija</w:t>
            </w:r>
          </w:p>
          <w:p w14:paraId="736F5072" w14:textId="77777777" w:rsidR="00F70C9E" w:rsidRPr="00E33EFF" w:rsidRDefault="00F70C9E" w:rsidP="00824B92">
            <w:pPr>
              <w:rPr>
                <w:rFonts w:eastAsia="Arial"/>
              </w:rPr>
            </w:pPr>
            <w:r w:rsidRPr="00E33EFF">
              <w:rPr>
                <w:rFonts w:eastAsia="Arial"/>
              </w:rPr>
              <w:t>(angl.</w:t>
            </w:r>
            <w:r w:rsidRPr="00E33EFF">
              <w:rPr>
                <w:rFonts w:eastAsia="Arial"/>
                <w:i/>
              </w:rPr>
              <w:t xml:space="preserve"> National Centre for Pharmacoeconomics, NCPE</w:t>
            </w:r>
            <w:r w:rsidRPr="00E33EFF">
              <w:rPr>
                <w:rFonts w:eastAsia="Arial"/>
              </w:rPr>
              <w:t>)</w:t>
            </w:r>
          </w:p>
        </w:tc>
        <w:tc>
          <w:tcPr>
            <w:tcW w:w="1851" w:type="dxa"/>
          </w:tcPr>
          <w:p w14:paraId="106E24DF" w14:textId="77777777" w:rsidR="00F70C9E" w:rsidRPr="00E33EFF" w:rsidRDefault="00000000" w:rsidP="00824B92">
            <w:sdt>
              <w:sdtPr>
                <w:rPr>
                  <w:rStyle w:val="Style2"/>
                  <w:sz w:val="24"/>
                </w:rPr>
                <w:id w:val="-1888403732"/>
                <w15:color w:val="FFCC00"/>
                <w14:checkbox>
                  <w14:checked w14:val="0"/>
                  <w14:checkedState w14:val="2612" w14:font="MS Gothic"/>
                  <w14:uncheckedState w14:val="2610" w14:font="MS Gothic"/>
                </w14:checkbox>
              </w:sdt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6C89485D" w14:textId="49FE0398" w:rsidR="00F70C9E" w:rsidRPr="00E33EFF" w:rsidRDefault="00000000" w:rsidP="00824B92">
            <w:sdt>
              <w:sdtPr>
                <w:rPr>
                  <w:rStyle w:val="Style2"/>
                  <w:sz w:val="24"/>
                </w:rPr>
                <w:id w:val="1092201793"/>
                <w15:color w:val="FFCC00"/>
                <w14:checkbox>
                  <w14:checked w14:val="1"/>
                  <w14:checkedState w14:val="2612" w14:font="MS Gothic"/>
                  <w14:uncheckedState w14:val="2610" w14:font="MS Gothic"/>
                </w14:checkbox>
              </w:sdtPr>
              <w:sdtContent>
                <w:r w:rsidR="00FC617B">
                  <w:rPr>
                    <w:rStyle w:val="Style2"/>
                    <w:rFonts w:ascii="MS Gothic" w:eastAsia="MS Gothic" w:hAnsi="MS Gothic" w:hint="eastAsia"/>
                    <w:sz w:val="24"/>
                  </w:rPr>
                  <w:t>☒</w:t>
                </w:r>
              </w:sdtContent>
            </w:sdt>
            <w:r w:rsidR="00F70C9E" w:rsidRPr="00E33EFF">
              <w:t xml:space="preserve"> Ne</w:t>
            </w:r>
          </w:p>
          <w:p w14:paraId="69AA1151" w14:textId="77777777" w:rsidR="00F70C9E" w:rsidRPr="00E33EFF" w:rsidRDefault="00000000" w:rsidP="00824B92">
            <w:pPr>
              <w:rPr>
                <w:rFonts w:eastAsia="Arial"/>
              </w:rPr>
            </w:pPr>
            <w:sdt>
              <w:sdtPr>
                <w:alias w:val="Nurodykite konkrečią dieną"/>
                <w:tag w:val="Nurodykite pradžios datą"/>
                <w:id w:val="-198323198"/>
                <w:placeholder>
                  <w:docPart w:val="5830794711CC4E92887B7A7DBFC23A3F"/>
                </w:placeholder>
                <w:showingPlcHdr/>
                <w15:color w:val="FFCC99"/>
                <w:date w:fullDate="2022-05-18T00:00:00Z">
                  <w:dateFormat w:val="yyyy 'm.' MMMM d 'd.'"/>
                  <w:lid w:val="lt-LT"/>
                  <w:storeMappedDataAs w:val="dateTime"/>
                  <w:calendar w:val="gregorian"/>
                </w:date>
              </w:sdtPr>
              <w:sdtContent>
                <w:r w:rsidR="00F70C9E" w:rsidRPr="00E33EFF">
                  <w:rPr>
                    <w:rStyle w:val="Vietosrezervavimoenklotekstas"/>
                  </w:rPr>
                  <w:t>Click here to enter a date.</w:t>
                </w:r>
              </w:sdtContent>
            </w:sdt>
          </w:p>
        </w:tc>
        <w:tc>
          <w:tcPr>
            <w:tcW w:w="2244" w:type="dxa"/>
          </w:tcPr>
          <w:p w14:paraId="3C67423E" w14:textId="77777777" w:rsidR="00F70C9E" w:rsidRPr="00E33EFF" w:rsidRDefault="00F70C9E" w:rsidP="00824B92">
            <w:pPr>
              <w:rPr>
                <w:rFonts w:eastAsia="Arial"/>
              </w:rPr>
            </w:pPr>
          </w:p>
        </w:tc>
        <w:tc>
          <w:tcPr>
            <w:tcW w:w="2543" w:type="dxa"/>
          </w:tcPr>
          <w:p w14:paraId="60651AFD" w14:textId="77777777" w:rsidR="00F70C9E" w:rsidRPr="00E33EFF" w:rsidRDefault="00F70C9E" w:rsidP="00824B92">
            <w:pPr>
              <w:rPr>
                <w:rFonts w:eastAsia="Arial"/>
              </w:rPr>
            </w:pPr>
          </w:p>
        </w:tc>
      </w:tr>
    </w:tbl>
    <w:p w14:paraId="2EB7FD31" w14:textId="4D2A8479" w:rsidR="007A2B68" w:rsidRDefault="007A2B68" w:rsidP="00E03C3F">
      <w:pPr>
        <w:pStyle w:val="Sraopastraipa"/>
        <w:tabs>
          <w:tab w:val="left" w:pos="426"/>
        </w:tabs>
        <w:ind w:left="0"/>
        <w:rPr>
          <w:b/>
          <w:bCs/>
          <w:caps/>
        </w:rPr>
      </w:pPr>
    </w:p>
    <w:p w14:paraId="5055E8A8" w14:textId="7FA0091B" w:rsidR="002E6F80" w:rsidRPr="00E33EFF" w:rsidRDefault="007A2B68" w:rsidP="00817177">
      <w:pPr>
        <w:rPr>
          <w:b/>
          <w:bCs/>
          <w:caps/>
        </w:rPr>
      </w:pPr>
      <w:r>
        <w:rPr>
          <w:b/>
          <w:bCs/>
          <w:caps/>
        </w:rPr>
        <w:br w:type="page"/>
      </w:r>
      <w:r w:rsidR="00CC7832" w:rsidRPr="00E33EFF">
        <w:rPr>
          <w:b/>
          <w:bCs/>
          <w:caps/>
        </w:rPr>
        <w:lastRenderedPageBreak/>
        <w:t>Klinikinio vertinimo a</w:t>
      </w:r>
      <w:r w:rsidR="00D4485B" w:rsidRPr="00E33EFF">
        <w:rPr>
          <w:b/>
          <w:bCs/>
          <w:caps/>
        </w:rPr>
        <w:t>pibendrinimas</w:t>
      </w:r>
    </w:p>
    <w:p w14:paraId="1A00BC8E" w14:textId="0E2CDB0D" w:rsidR="00A93AA6" w:rsidRPr="00A5101A" w:rsidRDefault="00A93AA6" w:rsidP="00A93AA6">
      <w:pPr>
        <w:tabs>
          <w:tab w:val="left" w:pos="284"/>
        </w:tabs>
        <w:rPr>
          <w:bCs/>
          <w:i/>
          <w:caps/>
          <w:sz w:val="22"/>
        </w:rPr>
      </w:pPr>
    </w:p>
    <w:p w14:paraId="2683A35B" w14:textId="2AF32B51" w:rsidR="002B71EA" w:rsidRDefault="002B71EA" w:rsidP="00211DA9">
      <w:pPr>
        <w:tabs>
          <w:tab w:val="left" w:pos="426"/>
        </w:tabs>
        <w:spacing w:line="276" w:lineRule="auto"/>
        <w:ind w:firstLine="567"/>
        <w:jc w:val="both"/>
        <w:rPr>
          <w:rFonts w:eastAsia="Arial"/>
        </w:rPr>
      </w:pPr>
      <w:r w:rsidRPr="00817177">
        <w:rPr>
          <w:rFonts w:eastAsia="Arial"/>
        </w:rPr>
        <w:t>Lietuvoje nevaisingumas pa</w:t>
      </w:r>
      <w:r>
        <w:rPr>
          <w:rFonts w:eastAsia="Arial"/>
        </w:rPr>
        <w:t>sitaiko</w:t>
      </w:r>
      <w:r w:rsidRPr="00817177">
        <w:rPr>
          <w:rFonts w:eastAsia="Arial"/>
        </w:rPr>
        <w:t xml:space="preserve"> </w:t>
      </w:r>
      <w:r>
        <w:rPr>
          <w:rFonts w:eastAsia="Arial"/>
        </w:rPr>
        <w:t xml:space="preserve">maždaug </w:t>
      </w:r>
      <w:r w:rsidRPr="00817177">
        <w:rPr>
          <w:rFonts w:eastAsia="Arial"/>
        </w:rPr>
        <w:t>10–15 proc. porų arba maždaug kas šešt</w:t>
      </w:r>
      <w:r>
        <w:rPr>
          <w:rFonts w:eastAsia="Arial"/>
        </w:rPr>
        <w:t>ai</w:t>
      </w:r>
      <w:r w:rsidRPr="00817177">
        <w:rPr>
          <w:rFonts w:eastAsia="Arial"/>
        </w:rPr>
        <w:t xml:space="preserve"> por</w:t>
      </w:r>
      <w:r>
        <w:rPr>
          <w:rFonts w:eastAsia="Arial"/>
        </w:rPr>
        <w:t>ai</w:t>
      </w:r>
      <w:r w:rsidRPr="00817177">
        <w:rPr>
          <w:rFonts w:eastAsia="Arial"/>
        </w:rPr>
        <w:t xml:space="preserve">. Kadangi </w:t>
      </w:r>
      <w:r w:rsidRPr="00344299">
        <w:rPr>
          <w:rFonts w:eastAsia="Arial"/>
        </w:rPr>
        <w:t>Lietuvoje priskaičiuojama apie 1 mln. šeimų, manoma, kad iš jų vaisingumo sutrikimų turi apie 150 000 šeimų</w:t>
      </w:r>
      <w:r w:rsidRPr="00817177">
        <w:rPr>
          <w:rFonts w:eastAsia="Arial"/>
        </w:rPr>
        <w:t>. Lietuvo</w:t>
      </w:r>
      <w:r>
        <w:rPr>
          <w:rFonts w:eastAsia="Arial"/>
        </w:rPr>
        <w:t>je</w:t>
      </w:r>
      <w:r w:rsidRPr="00817177">
        <w:rPr>
          <w:rFonts w:eastAsia="Arial"/>
        </w:rPr>
        <w:t xml:space="preserve"> per vienerius metus natūraliai pastoja ir </w:t>
      </w:r>
      <w:r>
        <w:rPr>
          <w:rFonts w:eastAsia="Arial"/>
        </w:rPr>
        <w:t>pa</w:t>
      </w:r>
      <w:r w:rsidRPr="00817177">
        <w:rPr>
          <w:rFonts w:eastAsia="Arial"/>
        </w:rPr>
        <w:t>gimdo 75 proc. moterų iki 30 metų ir 65 proc. moterų iki 35 metų</w:t>
      </w:r>
      <w:r w:rsidRPr="0046017B">
        <w:rPr>
          <w:rFonts w:eastAsia="Arial"/>
        </w:rPr>
        <w:t xml:space="preserve"> </w:t>
      </w:r>
      <w:r>
        <w:rPr>
          <w:rFonts w:eastAsia="Arial"/>
        </w:rPr>
        <w:t>(</w:t>
      </w:r>
      <w:r w:rsidRPr="004829CC">
        <w:rPr>
          <w:rFonts w:eastAsia="Arial"/>
          <w:i/>
        </w:rPr>
        <w:t>Nevaisingumo diagnostikos ir gydymo metodika SAM, 2019</w:t>
      </w:r>
      <w:r>
        <w:rPr>
          <w:rFonts w:eastAsia="Arial"/>
        </w:rPr>
        <w:t>)</w:t>
      </w:r>
      <w:r w:rsidRPr="00817177">
        <w:rPr>
          <w:rFonts w:eastAsia="Arial"/>
        </w:rPr>
        <w:t>. Nuo 35 metų tikimybė pastoti po truputį mažėja, o nuo 40 metų –</w:t>
      </w:r>
      <w:r>
        <w:rPr>
          <w:rFonts w:eastAsia="Arial"/>
        </w:rPr>
        <w:t>mažėja</w:t>
      </w:r>
      <w:r w:rsidRPr="00817177">
        <w:rPr>
          <w:rFonts w:eastAsia="Arial"/>
        </w:rPr>
        <w:t xml:space="preserve"> žymiai</w:t>
      </w:r>
      <w:r>
        <w:rPr>
          <w:rFonts w:eastAsia="Arial"/>
        </w:rPr>
        <w:t>. T</w:t>
      </w:r>
      <w:r w:rsidRPr="00817177">
        <w:rPr>
          <w:rFonts w:eastAsia="Arial"/>
        </w:rPr>
        <w:t>aip pat su amžiumi daugėja savaiminių persileidimų. Moters vaisingumas tiesiogiai priklauso nuo amžiaus, ypač tarp negimdžiusių moterų</w:t>
      </w:r>
      <w:r>
        <w:rPr>
          <w:rFonts w:eastAsia="Arial"/>
        </w:rPr>
        <w:t>.</w:t>
      </w:r>
      <w:r w:rsidRPr="00817177">
        <w:rPr>
          <w:rFonts w:eastAsia="Arial"/>
        </w:rPr>
        <w:t xml:space="preserve"> </w:t>
      </w:r>
      <w:r>
        <w:rPr>
          <w:rFonts w:eastAsia="Arial"/>
        </w:rPr>
        <w:t>N</w:t>
      </w:r>
      <w:r w:rsidRPr="00817177">
        <w:rPr>
          <w:rFonts w:eastAsia="Arial"/>
        </w:rPr>
        <w:t xml:space="preserve">ustatyta beveik tiesinė amžiaus ir vaisingumo priklausomybė – didėjant amžiui, vaisingumas mažėja, tik 28–33 metų moterų vaisingumas išlieka nekintamas. Pagalbinės </w:t>
      </w:r>
      <w:r>
        <w:rPr>
          <w:rFonts w:eastAsia="Arial"/>
        </w:rPr>
        <w:t>apvaisinimo</w:t>
      </w:r>
      <w:r w:rsidRPr="00817177">
        <w:rPr>
          <w:rFonts w:eastAsia="Arial"/>
        </w:rPr>
        <w:t xml:space="preserve"> technologijų (PRT) programų prieinamumas gali padėti sustabdyti vaisingumo rodiklio ir darbingo amžiaus asmenų populiacijos mažėjimą. Priklausomai nuo ovuliacijos sutrikimo tipo yra trys gydymo kryptys. Tačiau stimuliacija rFSH naudojama prieš </w:t>
      </w:r>
      <w:r>
        <w:rPr>
          <w:rFonts w:eastAsia="Arial"/>
        </w:rPr>
        <w:t xml:space="preserve">visas </w:t>
      </w:r>
      <w:r w:rsidRPr="00817177">
        <w:rPr>
          <w:rFonts w:eastAsia="Arial"/>
        </w:rPr>
        <w:t xml:space="preserve">PRT. PRT apima visas vaisingumo procedūras, įskaitant kiaušinėlių ir spermos tvarkymą </w:t>
      </w:r>
      <w:r w:rsidRPr="004829CC">
        <w:rPr>
          <w:rFonts w:eastAsia="Arial"/>
          <w:i/>
        </w:rPr>
        <w:t>in vitro</w:t>
      </w:r>
      <w:r w:rsidRPr="00817177">
        <w:rPr>
          <w:rFonts w:eastAsia="Arial"/>
        </w:rPr>
        <w:t xml:space="preserve"> ir dažniausiai taikomus PRT tipus – intracitoplazminę spermatozoidų injekciją (ICSI) ir </w:t>
      </w:r>
      <w:r>
        <w:rPr>
          <w:rFonts w:eastAsia="Arial"/>
        </w:rPr>
        <w:t xml:space="preserve">dirbtinį </w:t>
      </w:r>
      <w:r w:rsidRPr="00817177">
        <w:rPr>
          <w:rFonts w:eastAsia="Arial"/>
        </w:rPr>
        <w:t xml:space="preserve">apvaisinimą mėgintuvėlyje (apvaisinimas </w:t>
      </w:r>
      <w:r w:rsidRPr="004829CC">
        <w:rPr>
          <w:rFonts w:eastAsia="Arial"/>
          <w:i/>
        </w:rPr>
        <w:t>in vitro</w:t>
      </w:r>
      <w:r w:rsidRPr="00817177">
        <w:rPr>
          <w:rFonts w:eastAsia="Arial"/>
        </w:rPr>
        <w:t xml:space="preserve"> – angl. IVF). Nors po PRT taikymo per metus gimsta apie 500 000 kūdikių, maždaug 80 % atliktų ICSI ar IVF ciklų gyvo naujagimio gimimu nesibaigia. Be to, PRT procedūros yra susijusios su tam tikra rizika, įskaitant daugiavaisį nėštumą ir jatrogenines komplikacijas, pavyzdžiui, kiaušidžių hiperstimuliacijos sindromą (KHSS). Kontroliuojama kiaušidžių stimuliacija (KKS) per PRT ciklus taikoma siekiant skatinti kelių kiaušidžių folikulų augimą ir vystymąsi bei surinkti daug o</w:t>
      </w:r>
      <w:r>
        <w:rPr>
          <w:rFonts w:eastAsia="Arial"/>
        </w:rPr>
        <w:t>v</w:t>
      </w:r>
      <w:r w:rsidRPr="00817177">
        <w:rPr>
          <w:rFonts w:eastAsia="Arial"/>
        </w:rPr>
        <w:t xml:space="preserve">ocitų, kad kiek įmanoma padidėtų pastojimo tikimybė. Šiuo metu folitropinas alfa kompensuojamas Lietuvoje: Bemfola, Gonal f, Ovaleap. Jo veiksmingumas atliekant KKS yra įrodytas ir viena iš jo indikacijų - moterims, patiriančioms superovuliaciją, siekiant sukelti keleto folikulų vystymąsi prieš dirbtinį apvaisinimą, pavyzdžiui, </w:t>
      </w:r>
      <w:r>
        <w:rPr>
          <w:rFonts w:eastAsia="Arial"/>
        </w:rPr>
        <w:t>IVF</w:t>
      </w:r>
      <w:r w:rsidRPr="00817177">
        <w:rPr>
          <w:rFonts w:eastAsia="Arial"/>
        </w:rPr>
        <w:t xml:space="preserve">, gametų ir zigotų persodinimą į </w:t>
      </w:r>
      <w:r>
        <w:rPr>
          <w:rFonts w:eastAsia="Arial"/>
        </w:rPr>
        <w:t>kiaušintakį</w:t>
      </w:r>
      <w:r w:rsidRPr="00817177">
        <w:rPr>
          <w:rFonts w:eastAsia="Arial"/>
        </w:rPr>
        <w:t>.</w:t>
      </w:r>
    </w:p>
    <w:p w14:paraId="231E9687" w14:textId="77777777" w:rsidR="002B71EA" w:rsidRDefault="002B71EA" w:rsidP="002B71EA">
      <w:pPr>
        <w:tabs>
          <w:tab w:val="left" w:pos="426"/>
        </w:tabs>
        <w:spacing w:line="276" w:lineRule="auto"/>
        <w:jc w:val="both"/>
        <w:rPr>
          <w:rFonts w:eastAsia="Arial"/>
          <w:i/>
        </w:rPr>
      </w:pPr>
      <w:r>
        <w:rPr>
          <w:bCs/>
          <w:szCs w:val="20"/>
        </w:rPr>
        <w:tab/>
      </w:r>
      <w:r w:rsidRPr="00817177">
        <w:rPr>
          <w:bCs/>
          <w:szCs w:val="20"/>
        </w:rPr>
        <w:t>M</w:t>
      </w:r>
      <w:r w:rsidRPr="00817177">
        <w:rPr>
          <w:rFonts w:eastAsia="Arial"/>
        </w:rPr>
        <w:t>enotropinas pri</w:t>
      </w:r>
      <w:r>
        <w:rPr>
          <w:rFonts w:eastAsia="Arial"/>
        </w:rPr>
        <w:t>skiriamas</w:t>
      </w:r>
      <w:r w:rsidRPr="00817177">
        <w:rPr>
          <w:rFonts w:eastAsia="Arial"/>
        </w:rPr>
        <w:t xml:space="preserve"> farmakoterapinei grupei – gonadotropinai (ATC kodas – G03GA02). Jis gaminamas iš moterų po menopauzės šlapimo. Šio vaistinio preparato sudėtyje esantis žmogaus chorioninis gonadotropinas (žCG), yra natūraliai šlapime po menopauzės aptinkamas hormonas, kuris prisideda prie bendro LH aktyvumo. Tiek FSH, tiek LH poveikiu pasižymintis menotropinas, moterų, kurioms nėra pirminio kiaušidžių nepakankamumo, kiaušidėse skatina folikulų augimą ir vystymąsi bei lytinių hormonų gamybą.</w:t>
      </w:r>
    </w:p>
    <w:p w14:paraId="0C347F6B" w14:textId="77777777" w:rsidR="00A5101A" w:rsidRDefault="00A5101A" w:rsidP="002B71EA">
      <w:pPr>
        <w:tabs>
          <w:tab w:val="left" w:pos="426"/>
        </w:tabs>
        <w:spacing w:line="276" w:lineRule="auto"/>
        <w:jc w:val="both"/>
        <w:rPr>
          <w:rFonts w:eastAsia="Arial"/>
          <w:i/>
        </w:rPr>
      </w:pPr>
    </w:p>
    <w:p w14:paraId="678182EC" w14:textId="12456B5D" w:rsidR="002B71EA" w:rsidRPr="004829CC" w:rsidRDefault="002B71EA" w:rsidP="002B71EA">
      <w:pPr>
        <w:tabs>
          <w:tab w:val="left" w:pos="426"/>
        </w:tabs>
        <w:spacing w:line="276" w:lineRule="auto"/>
        <w:jc w:val="both"/>
        <w:rPr>
          <w:rFonts w:eastAsia="Arial"/>
          <w:i/>
        </w:rPr>
      </w:pPr>
      <w:r w:rsidRPr="004829CC">
        <w:rPr>
          <w:rFonts w:eastAsia="Arial"/>
          <w:i/>
        </w:rPr>
        <w:t>Tiesioginis palyginimas</w:t>
      </w:r>
    </w:p>
    <w:p w14:paraId="6E887551" w14:textId="3A176C0D" w:rsidR="002B71EA" w:rsidRPr="00770074" w:rsidRDefault="002B71EA" w:rsidP="002B71EA">
      <w:pPr>
        <w:tabs>
          <w:tab w:val="left" w:pos="426"/>
        </w:tabs>
        <w:spacing w:line="276" w:lineRule="auto"/>
        <w:jc w:val="both"/>
        <w:rPr>
          <w:bCs/>
          <w:lang w:eastAsia="lt-LT"/>
        </w:rPr>
      </w:pPr>
      <w:r w:rsidRPr="00817177">
        <w:rPr>
          <w:rFonts w:eastAsia="Arial"/>
        </w:rPr>
        <w:tab/>
        <w:t>Pareiškėjas pateikė 4 klinikinius tyrimus</w:t>
      </w:r>
      <w:r>
        <w:rPr>
          <w:rFonts w:eastAsia="Arial"/>
        </w:rPr>
        <w:t>:</w:t>
      </w:r>
      <w:r w:rsidRPr="00817177">
        <w:rPr>
          <w:rFonts w:eastAsia="Arial"/>
        </w:rPr>
        <w:t xml:space="preserve"> EISG, MERIT, MEGASET ir MEGASET-HR, kuriuose menotropino (HP-hMG) </w:t>
      </w:r>
      <w:r>
        <w:rPr>
          <w:rFonts w:eastAsia="Arial"/>
        </w:rPr>
        <w:t>veiksmingumas</w:t>
      </w:r>
      <w:r w:rsidRPr="00817177">
        <w:rPr>
          <w:rFonts w:eastAsia="Arial"/>
        </w:rPr>
        <w:t xml:space="preserve"> ir saugumas buvo </w:t>
      </w:r>
      <w:r>
        <w:rPr>
          <w:rFonts w:eastAsia="Arial"/>
        </w:rPr>
        <w:t>pa</w:t>
      </w:r>
      <w:r w:rsidRPr="00817177">
        <w:rPr>
          <w:rFonts w:eastAsia="Arial"/>
        </w:rPr>
        <w:t>lygin</w:t>
      </w:r>
      <w:r>
        <w:rPr>
          <w:rFonts w:eastAsia="Arial"/>
        </w:rPr>
        <w:t>tas</w:t>
      </w:r>
      <w:r w:rsidRPr="00817177">
        <w:rPr>
          <w:rFonts w:eastAsia="Arial"/>
        </w:rPr>
        <w:t xml:space="preserve"> su folitropinu. Abu vaistiniai preparatai </w:t>
      </w:r>
      <w:r>
        <w:rPr>
          <w:rFonts w:eastAsia="Arial"/>
        </w:rPr>
        <w:t xml:space="preserve">buvo </w:t>
      </w:r>
      <w:r w:rsidRPr="00817177">
        <w:rPr>
          <w:rFonts w:eastAsia="Arial"/>
        </w:rPr>
        <w:t>varto</w:t>
      </w:r>
      <w:r>
        <w:rPr>
          <w:rFonts w:eastAsia="Arial"/>
        </w:rPr>
        <w:t>ti</w:t>
      </w:r>
      <w:r w:rsidRPr="00817177">
        <w:rPr>
          <w:rFonts w:eastAsia="Arial"/>
        </w:rPr>
        <w:t xml:space="preserve"> siekiant kontroliuojamos kiaušidžių stimuliacijos. EISG</w:t>
      </w:r>
      <w:r w:rsidRPr="00817177">
        <w:rPr>
          <w:rFonts w:eastAsia="Arial"/>
          <w:b/>
        </w:rPr>
        <w:t xml:space="preserve"> </w:t>
      </w:r>
      <w:r w:rsidRPr="00817177">
        <w:rPr>
          <w:rFonts w:eastAsia="Arial"/>
        </w:rPr>
        <w:t>klinikinis tyrimas - atsitiktinių imčių, daugiacentris, atviras</w:t>
      </w:r>
      <w:r>
        <w:rPr>
          <w:rFonts w:eastAsia="Arial"/>
        </w:rPr>
        <w:t>is</w:t>
      </w:r>
      <w:r w:rsidRPr="00817177">
        <w:rPr>
          <w:rFonts w:eastAsia="Arial"/>
        </w:rPr>
        <w:t>, lygiagrečių grupių, palyginamasis tyrimas. MERIT, MEGASET ir MEGASET-HR klinikiniai tyrimai - atsitiktinių imčių, atviras</w:t>
      </w:r>
      <w:r>
        <w:rPr>
          <w:rFonts w:eastAsia="Arial"/>
        </w:rPr>
        <w:t>is</w:t>
      </w:r>
      <w:r w:rsidRPr="00817177">
        <w:rPr>
          <w:rFonts w:eastAsia="Arial"/>
        </w:rPr>
        <w:t>, lygiagrečių grupių, vertintoj</w:t>
      </w:r>
      <w:r>
        <w:rPr>
          <w:rFonts w:eastAsia="Arial"/>
        </w:rPr>
        <w:t>ui</w:t>
      </w:r>
      <w:r w:rsidRPr="00817177">
        <w:rPr>
          <w:rFonts w:eastAsia="Arial"/>
        </w:rPr>
        <w:t xml:space="preserve"> maskuotas, palyginamasis  tyrimas.</w:t>
      </w:r>
      <w:r w:rsidRPr="00817177">
        <w:rPr>
          <w:bCs/>
          <w:lang w:eastAsia="lt-LT"/>
        </w:rPr>
        <w:t xml:space="preserve"> Vadovaujantis </w:t>
      </w:r>
      <w:r w:rsidR="00770074">
        <w:rPr>
          <w:bCs/>
          <w:lang w:eastAsia="lt-LT"/>
        </w:rPr>
        <w:t>P</w:t>
      </w:r>
      <w:r w:rsidR="00770074" w:rsidRPr="00770074">
        <w:rPr>
          <w:bCs/>
          <w:lang w:eastAsia="lt-LT"/>
        </w:rPr>
        <w:t>araiškos įrašyti vaistinį preparatą į kompensavimo sąrašus rengimo taisykl</w:t>
      </w:r>
      <w:r w:rsidR="00770074">
        <w:rPr>
          <w:bCs/>
          <w:lang w:eastAsia="lt-LT"/>
        </w:rPr>
        <w:t xml:space="preserve">ių, patvirtintų </w:t>
      </w:r>
      <w:r w:rsidRPr="00817177">
        <w:rPr>
          <w:bCs/>
          <w:lang w:eastAsia="lt-LT"/>
        </w:rPr>
        <w:t xml:space="preserve">Lietuvos Respublikos sveikatos apsaugos ministro 2002 </w:t>
      </w:r>
      <w:r w:rsidR="00E10669">
        <w:rPr>
          <w:bCs/>
          <w:lang w:eastAsia="lt-LT"/>
        </w:rPr>
        <w:t xml:space="preserve">m. balandžio 5 d. įsakymu Nr. </w:t>
      </w:r>
      <w:r w:rsidRPr="00817177">
        <w:rPr>
          <w:bCs/>
          <w:lang w:eastAsia="lt-LT"/>
        </w:rPr>
        <w:t>159 „Dė</w:t>
      </w:r>
      <w:r w:rsidRPr="00817177">
        <w:rPr>
          <w:bCs/>
          <w:szCs w:val="20"/>
        </w:rPr>
        <w:t>l vaistinių preparatų ir medicinos pagalbos priemonių įrašymo į kompensavimo sąrašus ir jų keitimo tvarkos aprašo patvirtinimo“</w:t>
      </w:r>
      <w:r w:rsidR="00770074">
        <w:rPr>
          <w:bCs/>
          <w:szCs w:val="20"/>
        </w:rPr>
        <w:t>,</w:t>
      </w:r>
      <w:r w:rsidRPr="00817177">
        <w:rPr>
          <w:bCs/>
          <w:szCs w:val="20"/>
        </w:rPr>
        <w:t xml:space="preserve"> 116-119 p</w:t>
      </w:r>
      <w:r>
        <w:rPr>
          <w:bCs/>
          <w:szCs w:val="20"/>
        </w:rPr>
        <w:t>unktais</w:t>
      </w:r>
      <w:r w:rsidRPr="00817177">
        <w:rPr>
          <w:bCs/>
          <w:szCs w:val="20"/>
        </w:rPr>
        <w:t xml:space="preserve"> klinikinio vertinimo metu nustatyta, kad folitropinas yra tinkamas palyginamasis gydymas.</w:t>
      </w:r>
    </w:p>
    <w:p w14:paraId="04099F9D" w14:textId="0131CF24" w:rsidR="002B71EA" w:rsidRPr="00817177" w:rsidRDefault="002B71EA" w:rsidP="002B71EA">
      <w:pPr>
        <w:tabs>
          <w:tab w:val="left" w:pos="426"/>
        </w:tabs>
        <w:spacing w:line="276" w:lineRule="auto"/>
        <w:jc w:val="both"/>
        <w:rPr>
          <w:rFonts w:eastAsia="Arial"/>
        </w:rPr>
      </w:pPr>
      <w:r w:rsidRPr="00817177">
        <w:rPr>
          <w:bCs/>
          <w:szCs w:val="20"/>
        </w:rPr>
        <w:tab/>
      </w:r>
      <w:r w:rsidRPr="00817177">
        <w:rPr>
          <w:rFonts w:eastAsia="Arial"/>
        </w:rPr>
        <w:t>Visi 4 tyrimai buvo neprastesnio efektyvumo tyrimai, pirminės ir antrinių baigčių vertinimas buvo</w:t>
      </w:r>
      <w:r>
        <w:rPr>
          <w:rFonts w:eastAsia="Arial"/>
        </w:rPr>
        <w:t xml:space="preserve"> tyrėjui</w:t>
      </w:r>
      <w:r w:rsidRPr="00817177">
        <w:rPr>
          <w:rFonts w:eastAsia="Arial"/>
        </w:rPr>
        <w:t xml:space="preserve"> maskuotas. Pirminė baigtis visuose tyrimuose buvo </w:t>
      </w:r>
      <w:r w:rsidRPr="00817177">
        <w:rPr>
          <w:noProof/>
          <w:szCs w:val="20"/>
          <w:lang w:eastAsia="lt-LT"/>
        </w:rPr>
        <w:t xml:space="preserve">patvirtinto besitęsiančio nėštumo </w:t>
      </w:r>
      <w:r w:rsidRPr="00817177">
        <w:rPr>
          <w:noProof/>
          <w:szCs w:val="20"/>
          <w:lang w:eastAsia="lt-LT"/>
        </w:rPr>
        <w:lastRenderedPageBreak/>
        <w:t>dažnis tarp pacie</w:t>
      </w:r>
      <w:r>
        <w:rPr>
          <w:noProof/>
          <w:szCs w:val="20"/>
          <w:lang w:eastAsia="lt-LT"/>
        </w:rPr>
        <w:t>nčių</w:t>
      </w:r>
      <w:r w:rsidRPr="00817177">
        <w:rPr>
          <w:noProof/>
          <w:szCs w:val="20"/>
          <w:lang w:eastAsia="lt-LT"/>
        </w:rPr>
        <w:t>, kuri</w:t>
      </w:r>
      <w:r>
        <w:rPr>
          <w:noProof/>
          <w:szCs w:val="20"/>
          <w:lang w:eastAsia="lt-LT"/>
        </w:rPr>
        <w:t>oms</w:t>
      </w:r>
      <w:r w:rsidRPr="00817177">
        <w:rPr>
          <w:noProof/>
          <w:szCs w:val="20"/>
          <w:lang w:eastAsia="lt-LT"/>
        </w:rPr>
        <w:t xml:space="preserve"> taikoma </w:t>
      </w:r>
      <w:r w:rsidRPr="00817177">
        <w:rPr>
          <w:rFonts w:eastAsia="Arial"/>
        </w:rPr>
        <w:t>kontroliuojama kiaušidžių stimuliacija. EISG ir MERIT tyrimuose buvo taikomas ilgasis GnRH agonistų protokolas, MEGASET-HR ir MEGASET tyrimuose – trumpasis GnRH antagonistų protokolas. MERIT tyrime dalyvavo pacient</w:t>
      </w:r>
      <w:r>
        <w:rPr>
          <w:rFonts w:eastAsia="Arial"/>
        </w:rPr>
        <w:t>ės</w:t>
      </w:r>
      <w:r w:rsidRPr="00817177">
        <w:rPr>
          <w:rFonts w:eastAsia="Arial"/>
        </w:rPr>
        <w:t>, kuri</w:t>
      </w:r>
      <w:r>
        <w:rPr>
          <w:rFonts w:eastAsia="Arial"/>
        </w:rPr>
        <w:t>o</w:t>
      </w:r>
      <w:r w:rsidRPr="00817177">
        <w:rPr>
          <w:rFonts w:eastAsia="Arial"/>
        </w:rPr>
        <w:t xml:space="preserve">ms buvo taikoma tik IVF procedūra, o MEGASET-HR – tik ICSI procedūra, EISG ir MERIT tyrimuose dalyvavo pacientai, kuriems buvo taikomos arba IVF, arba ICSI procedūros. </w:t>
      </w:r>
    </w:p>
    <w:p w14:paraId="003CEED4" w14:textId="77777777" w:rsidR="002B71EA" w:rsidRPr="00A5101A" w:rsidRDefault="002B71EA" w:rsidP="002B71EA">
      <w:pPr>
        <w:tabs>
          <w:tab w:val="left" w:pos="492"/>
        </w:tabs>
        <w:spacing w:line="276" w:lineRule="auto"/>
        <w:jc w:val="both"/>
        <w:outlineLvl w:val="1"/>
        <w:rPr>
          <w:rFonts w:eastAsia="Arial"/>
        </w:rPr>
      </w:pPr>
      <w:r w:rsidRPr="00A5101A">
        <w:rPr>
          <w:rFonts w:eastAsia="Arial"/>
        </w:rPr>
        <w:tab/>
        <w:t>Besitęsiančio nėštumo dažnis EISG tyrime atlikus IVS/ICSI procedūras, HP-hMG grupėje buvo 25 proc. ir rFSH grupėje – 22 proc. (p</w:t>
      </w:r>
      <w:r w:rsidRPr="00A5101A">
        <w:rPr>
          <w:rFonts w:eastAsia="Arial"/>
          <w:lang w:val="en-US"/>
        </w:rPr>
        <w:t>=</w:t>
      </w:r>
      <w:r w:rsidRPr="00A5101A">
        <w:rPr>
          <w:rFonts w:eastAsia="Arial"/>
        </w:rPr>
        <w:t>0,17), neprastesnis efektyvumas buvo įrodytas. MERIT tyrime  Vertinant palyginamųjų gydymų efektyvumą tarp pacientų, kuriems buvo atliktas embriono perkėlimas, taikant HP-hMG buvo 30 proc. ir rFSH – 27 proc. (p</w:t>
      </w:r>
      <w:r w:rsidRPr="00A5101A">
        <w:rPr>
          <w:rFonts w:eastAsia="Arial"/>
          <w:lang w:val="en-GB"/>
        </w:rPr>
        <w:t xml:space="preserve">=0,204). </w:t>
      </w:r>
      <w:r w:rsidRPr="00A5101A">
        <w:rPr>
          <w:rFonts w:eastAsia="Arial"/>
        </w:rPr>
        <w:t>ŠS buvo 1,26 (95 proc. PI buvo 0,89-1,80), gydymo HP-hMG efektyvumas įvertintas kaip neprastesnis gydymo rFSH. MEGASET tyrime besitęsiančio nėštumo dažnis HP-hMG grupėje buvo 30 proc. ir rFSH grupėje 29 proc. ir 27 proc. ITT (bendrojoje populiacijoje). Skirtumas 2 proc. (95 proc. PI: -4,2 proc. - +8,6 proc.). Apatinė PI riba pirminei baigčiai buvo iš anksto numatyta -10 proc. abejose populiacijose. Gydymo HP-hMG efektyvumas įvertintas kaip neprastesnis gydymo rFSH. MEGASET-HR tyrime besitęsiančio nėštumo dažnis HP-hMG grupėje buvo 35,5 proc. ir rFSH grupėje - 30,7 proc., skirtumas tarp pirminių baigčių rezultatų – +4,7 proc. (95 proc. PI: -2,7% ir 12 %). Neprastesnis HP-hMG efektyvumas įrodytas.</w:t>
      </w:r>
    </w:p>
    <w:p w14:paraId="3CA2F59C" w14:textId="77777777" w:rsidR="002B71EA" w:rsidRPr="00817177" w:rsidRDefault="002B71EA" w:rsidP="002B71EA">
      <w:pPr>
        <w:tabs>
          <w:tab w:val="left" w:pos="426"/>
        </w:tabs>
        <w:spacing w:line="276" w:lineRule="auto"/>
        <w:jc w:val="both"/>
        <w:rPr>
          <w:noProof/>
          <w:szCs w:val="20"/>
          <w:lang w:eastAsia="lt-LT"/>
        </w:rPr>
      </w:pPr>
      <w:r w:rsidRPr="00817177">
        <w:rPr>
          <w:rFonts w:eastAsia="Arial"/>
        </w:rPr>
        <w:tab/>
        <w:t>Antrinės baigtys buvo taip pat atitinkamai apibrėžtos ir bendrai panašios: b</w:t>
      </w:r>
      <w:r w:rsidRPr="00817177">
        <w:rPr>
          <w:noProof/>
          <w:szCs w:val="20"/>
          <w:lang w:eastAsia="lt-LT"/>
        </w:rPr>
        <w:t>iocheminio nėštumo dažnis (β-žCG teigiamas testas), klinkinio nėštumo dažnis (transvaginalinis ultragarso tyrimas), vidutinis gonadotropinu stimuliacijos dienų skaičius, endometriumo statusas, folikulų vystymasis, perkėltų o</w:t>
      </w:r>
      <w:r>
        <w:rPr>
          <w:noProof/>
          <w:szCs w:val="20"/>
          <w:lang w:eastAsia="lt-LT"/>
        </w:rPr>
        <w:t>v</w:t>
      </w:r>
      <w:r w:rsidRPr="00817177">
        <w:rPr>
          <w:noProof/>
          <w:szCs w:val="20"/>
          <w:lang w:eastAsia="lt-LT"/>
        </w:rPr>
        <w:t>ocitų skaičius, apvais</w:t>
      </w:r>
      <w:r>
        <w:rPr>
          <w:noProof/>
          <w:szCs w:val="20"/>
          <w:lang w:eastAsia="lt-LT"/>
        </w:rPr>
        <w:t>i</w:t>
      </w:r>
      <w:r w:rsidRPr="00817177">
        <w:rPr>
          <w:noProof/>
          <w:szCs w:val="20"/>
          <w:lang w:eastAsia="lt-LT"/>
        </w:rPr>
        <w:t>nimo dažnis, embri</w:t>
      </w:r>
      <w:r>
        <w:rPr>
          <w:noProof/>
          <w:szCs w:val="20"/>
          <w:lang w:eastAsia="lt-LT"/>
        </w:rPr>
        <w:t>o</w:t>
      </w:r>
      <w:r w:rsidRPr="00817177">
        <w:rPr>
          <w:noProof/>
          <w:szCs w:val="20"/>
          <w:lang w:eastAsia="lt-LT"/>
        </w:rPr>
        <w:t xml:space="preserve">no kokybė ir </w:t>
      </w:r>
      <w:r>
        <w:rPr>
          <w:noProof/>
          <w:szCs w:val="20"/>
          <w:lang w:eastAsia="lt-LT"/>
        </w:rPr>
        <w:t>lytinių hormonų koncentracijos kraujyje</w:t>
      </w:r>
      <w:r w:rsidRPr="00817177">
        <w:rPr>
          <w:noProof/>
          <w:szCs w:val="20"/>
          <w:lang w:eastAsia="lt-LT"/>
        </w:rPr>
        <w:t>.</w:t>
      </w:r>
    </w:p>
    <w:p w14:paraId="52B53D29" w14:textId="77777777" w:rsidR="002B71EA" w:rsidRPr="00817177" w:rsidRDefault="002B71EA" w:rsidP="002B71EA">
      <w:pPr>
        <w:tabs>
          <w:tab w:val="left" w:pos="426"/>
        </w:tabs>
        <w:spacing w:line="276" w:lineRule="auto"/>
        <w:jc w:val="both"/>
        <w:rPr>
          <w:rFonts w:eastAsia="Arial"/>
        </w:rPr>
      </w:pPr>
      <w:r w:rsidRPr="00817177">
        <w:rPr>
          <w:noProof/>
          <w:szCs w:val="20"/>
          <w:lang w:eastAsia="lt-LT"/>
        </w:rPr>
        <w:tab/>
        <w:t>Įvertinus 4 pate</w:t>
      </w:r>
      <w:r>
        <w:rPr>
          <w:noProof/>
          <w:szCs w:val="20"/>
          <w:lang w:eastAsia="lt-LT"/>
        </w:rPr>
        <w:t>i</w:t>
      </w:r>
      <w:r w:rsidRPr="00817177">
        <w:rPr>
          <w:noProof/>
          <w:szCs w:val="20"/>
          <w:lang w:eastAsia="lt-LT"/>
        </w:rPr>
        <w:t xml:space="preserve">ktų klinkinių tyrimų duomenis, pirminių ir antrinių baigčių rezultatai rodo, kad </w:t>
      </w:r>
      <w:r w:rsidRPr="00817177">
        <w:rPr>
          <w:rFonts w:eastAsia="Arial"/>
        </w:rPr>
        <w:t xml:space="preserve">gydymas HP-hMG, palyginus su rFSH, yra neprastesnis pagal savo </w:t>
      </w:r>
      <w:r>
        <w:rPr>
          <w:rFonts w:eastAsia="Arial"/>
        </w:rPr>
        <w:t>veiksmingumą</w:t>
      </w:r>
      <w:r w:rsidRPr="00817177">
        <w:rPr>
          <w:rFonts w:eastAsia="Arial"/>
        </w:rPr>
        <w:t xml:space="preserve">:  gydant pacientus HP-hMG gyvo vaisiaus gimdymo dažnis buvo panašus į tą, kuris stebimas gydant pacientus rFSH. Saugumo duomenų vertinimas taip pat parodė, </w:t>
      </w:r>
      <w:r>
        <w:rPr>
          <w:rFonts w:eastAsia="Arial"/>
        </w:rPr>
        <w:t xml:space="preserve">kad </w:t>
      </w:r>
      <w:r w:rsidRPr="00817177">
        <w:rPr>
          <w:rFonts w:eastAsia="Arial"/>
        </w:rPr>
        <w:t>kliniškai reikšmingų skirtumų tarp palyginėjamųjų gydymų nustatyta nebuvo. KHSS buvo panašus gydant pacientus HP-hMG arba rFSH.</w:t>
      </w:r>
    </w:p>
    <w:p w14:paraId="0DF82DCE" w14:textId="23162D14" w:rsidR="002B71EA" w:rsidRPr="00817177" w:rsidRDefault="002B71EA" w:rsidP="002B71EA">
      <w:pPr>
        <w:tabs>
          <w:tab w:val="left" w:pos="426"/>
        </w:tabs>
        <w:spacing w:line="276" w:lineRule="auto"/>
        <w:jc w:val="both"/>
        <w:rPr>
          <w:b/>
          <w:color w:val="000000"/>
          <w:lang w:eastAsia="lt-LT"/>
        </w:rPr>
      </w:pPr>
      <w:r w:rsidRPr="00817177">
        <w:rPr>
          <w:rFonts w:eastAsia="Arial"/>
        </w:rPr>
        <w:tab/>
      </w:r>
      <w:r>
        <w:rPr>
          <w:rFonts w:eastAsia="Arial"/>
        </w:rPr>
        <w:t xml:space="preserve">Jei būtų įrašytas į </w:t>
      </w:r>
      <w:r w:rsidRPr="00817177">
        <w:rPr>
          <w:rFonts w:eastAsia="Arial"/>
        </w:rPr>
        <w:t>kompensuojamųjų vaistinių preparatų sąraš</w:t>
      </w:r>
      <w:r>
        <w:rPr>
          <w:rFonts w:eastAsia="Arial"/>
        </w:rPr>
        <w:t>ą</w:t>
      </w:r>
      <w:r w:rsidRPr="00817177">
        <w:rPr>
          <w:rFonts w:eastAsia="Arial"/>
        </w:rPr>
        <w:t xml:space="preserve">, menotropinas </w:t>
      </w:r>
      <w:r w:rsidRPr="00817177">
        <w:rPr>
          <w:color w:val="000000"/>
          <w:szCs w:val="20"/>
          <w:lang w:eastAsia="lt-LT"/>
        </w:rPr>
        <w:t>p</w:t>
      </w:r>
      <w:r w:rsidRPr="00817177">
        <w:rPr>
          <w:rFonts w:eastAsia="Arial"/>
          <w:szCs w:val="20"/>
        </w:rPr>
        <w:t>adidintų pasirinkimo galimybes, gydant moteris, kurioms nustatytas nevaisingumas ir rekomenduojama kiaušidžių kontroliuojama stimuliacija, taikant pagalbines apvaisinimo technologijas.</w:t>
      </w:r>
    </w:p>
    <w:p w14:paraId="246197B4" w14:textId="36CD56E1" w:rsidR="00817177" w:rsidRPr="00817177" w:rsidRDefault="00A36FA0" w:rsidP="002B71EA">
      <w:pPr>
        <w:tabs>
          <w:tab w:val="left" w:pos="426"/>
        </w:tabs>
        <w:spacing w:line="276" w:lineRule="auto"/>
        <w:jc w:val="both"/>
        <w:rPr>
          <w:b/>
          <w:color w:val="000000"/>
          <w:lang w:eastAsia="lt-LT"/>
        </w:rPr>
      </w:pPr>
      <w:r>
        <w:rPr>
          <w:rFonts w:eastAsia="Arial"/>
        </w:rPr>
        <w:tab/>
      </w:r>
    </w:p>
    <w:p w14:paraId="25F89291" w14:textId="5C45C8FC" w:rsidR="00D4485B" w:rsidRPr="00E33EFF" w:rsidRDefault="00D4485B"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228ED4F4" w14:textId="77777777" w:rsidR="00A36FA0" w:rsidRPr="00404700" w:rsidRDefault="00A36FA0" w:rsidP="00A36FA0">
      <w:pPr>
        <w:tabs>
          <w:tab w:val="left" w:pos="567"/>
        </w:tabs>
        <w:jc w:val="both"/>
        <w:rPr>
          <w:i/>
          <w:iCs/>
          <w:lang w:eastAsia="lt-LT"/>
        </w:rPr>
      </w:pPr>
    </w:p>
    <w:p w14:paraId="5C8C6663" w14:textId="5911C514" w:rsidR="00A36FA0" w:rsidRDefault="00A36FA0" w:rsidP="00FB0C4D">
      <w:pPr>
        <w:pStyle w:val="VVKT"/>
        <w:jc w:val="both"/>
      </w:pPr>
      <w:bookmarkStart w:id="0" w:name="_Hlk131404710"/>
      <w:r w:rsidRPr="00DB210B">
        <w:t>Pareiškėjas pat</w:t>
      </w:r>
      <w:r w:rsidR="00211DA9">
        <w:t>ei</w:t>
      </w:r>
      <w:r w:rsidRPr="00DB210B">
        <w:t>k</w:t>
      </w:r>
      <w:r w:rsidR="008202BA">
        <w:t>ė</w:t>
      </w:r>
      <w:r w:rsidRPr="00DB210B">
        <w:t xml:space="preserve"> supaprastintą kaštų mažinimo analizę. Palyginamasis gydymas ekonominėje analizėje yra gydymas folitropinu alfa. Ekonominėje analizėje pateiktas palyginamasis gydymas atitinka įprastą Lietuvos Respublikos klinikinę praktiką. </w:t>
      </w:r>
    </w:p>
    <w:p w14:paraId="54F33755" w14:textId="58DC25F4" w:rsidR="00A36FA0" w:rsidRDefault="00A36FA0" w:rsidP="00FB0C4D">
      <w:pPr>
        <w:pStyle w:val="VVKT"/>
        <w:jc w:val="both"/>
      </w:pPr>
      <w:r w:rsidRPr="00DB210B">
        <w:t xml:space="preserve">Klinikiniai </w:t>
      </w:r>
      <w:r w:rsidR="008202BA">
        <w:t>veiksmingumo</w:t>
      </w:r>
      <w:r w:rsidR="008202BA" w:rsidRPr="00DB210B">
        <w:t xml:space="preserve"> </w:t>
      </w:r>
      <w:r w:rsidRPr="00DB210B">
        <w:t>įrodymai atliekant kaštų mažinimo analizės vertin</w:t>
      </w:r>
      <w:r w:rsidR="008202BA">
        <w:t>i</w:t>
      </w:r>
      <w:r w:rsidRPr="00DB210B">
        <w:t>mą, ekonominėje dalyje yra nevertinami. Atliekant ekonominę analizę yra lyginamos tik vaistinių preparatų įsigijimo išlaidos. Skaičiuojant vaistinių preparatų įsigijimo išlaidas taikoma prielaida, kad toms pačios klinikinėms išeitims pasiekti yra reikalingas vienodas menotropino ir folitropino alfa kiekis gydymo ciklo metu.</w:t>
      </w:r>
      <w:r w:rsidRPr="0078364F">
        <w:t xml:space="preserve"> Tarnybos atlikta jautrumo analizė vertinant konservatyvesnį scenarijų dėl pacientėms skiriamų lyginamųjų vaistų dozių rodo, kad yra išlaikomas kaštų mažinimas.</w:t>
      </w:r>
      <w:r>
        <w:t xml:space="preserve"> </w:t>
      </w:r>
    </w:p>
    <w:p w14:paraId="1140C453" w14:textId="373A5C49" w:rsidR="00A36FA0" w:rsidRPr="00DB210B" w:rsidRDefault="00A36FA0" w:rsidP="00FB0C4D">
      <w:pPr>
        <w:pStyle w:val="VVKT"/>
        <w:jc w:val="both"/>
      </w:pPr>
      <w:r w:rsidRPr="00DB210B">
        <w:t xml:space="preserve">Atlikta kaštų mažinimo analizė įrodo, kad gydymo kaštai menotropinu yra mažesni už gydymo kaštus folitropinu alfa. </w:t>
      </w:r>
    </w:p>
    <w:bookmarkEnd w:id="0"/>
    <w:p w14:paraId="57913FA8" w14:textId="19C27559" w:rsidR="00A36FA0" w:rsidRDefault="00A36FA0" w:rsidP="00A93AA6">
      <w:pPr>
        <w:tabs>
          <w:tab w:val="left" w:pos="426"/>
        </w:tabs>
        <w:rPr>
          <w:b/>
          <w:bCs/>
          <w:caps/>
        </w:rPr>
      </w:pPr>
    </w:p>
    <w:p w14:paraId="541C8C15" w14:textId="77777777" w:rsidR="00211DA9" w:rsidRPr="00E33EFF" w:rsidRDefault="00211DA9" w:rsidP="00A93AA6">
      <w:pPr>
        <w:tabs>
          <w:tab w:val="left" w:pos="426"/>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6392"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99"/>
        <w:gridCol w:w="2193"/>
      </w:tblGrid>
      <w:tr w:rsidR="009E44AE" w:rsidRPr="00E33EFF" w14:paraId="42D6C843" w14:textId="77777777" w:rsidTr="00A36FA0">
        <w:trPr>
          <w:trHeight w:val="340"/>
          <w:jc w:val="center"/>
        </w:trPr>
        <w:tc>
          <w:tcPr>
            <w:tcW w:w="6392"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A36FA0" w:rsidRPr="00E33EFF" w14:paraId="3E5A6879" w14:textId="77777777" w:rsidTr="00A36FA0">
        <w:trPr>
          <w:trHeight w:val="264"/>
          <w:jc w:val="center"/>
        </w:trPr>
        <w:tc>
          <w:tcPr>
            <w:tcW w:w="4199" w:type="dxa"/>
            <w:tcBorders>
              <w:left w:val="single" w:sz="4" w:space="0" w:color="auto"/>
            </w:tcBorders>
          </w:tcPr>
          <w:p w14:paraId="1CBFC2CA" w14:textId="31E926DD" w:rsidR="00A36FA0" w:rsidRPr="00E33EFF" w:rsidRDefault="00A36FA0" w:rsidP="00A36FA0">
            <w:pPr>
              <w:tabs>
                <w:tab w:val="left" w:pos="567"/>
              </w:tabs>
              <w:jc w:val="center"/>
              <w:rPr>
                <w:iCs/>
                <w:lang w:eastAsia="lt-LT"/>
              </w:rPr>
            </w:pPr>
            <w:r>
              <w:rPr>
                <w:iCs/>
                <w:lang w:eastAsia="lt-LT"/>
              </w:rPr>
              <w:t>Menotropinas</w:t>
            </w:r>
          </w:p>
        </w:tc>
        <w:tc>
          <w:tcPr>
            <w:tcW w:w="2193" w:type="dxa"/>
            <w:tcBorders>
              <w:right w:val="single" w:sz="4" w:space="0" w:color="auto"/>
            </w:tcBorders>
          </w:tcPr>
          <w:p w14:paraId="03A0794E" w14:textId="0C554C92" w:rsidR="00A36FA0" w:rsidRPr="000041BC" w:rsidRDefault="000041BC" w:rsidP="00A36FA0">
            <w:pPr>
              <w:tabs>
                <w:tab w:val="left" w:pos="567"/>
              </w:tabs>
              <w:jc w:val="center"/>
              <w:rPr>
                <w:i/>
                <w:iCs/>
                <w:lang w:val="en-US" w:eastAsia="lt-LT"/>
              </w:rPr>
            </w:pPr>
            <w:r>
              <w:rPr>
                <w:i/>
                <w:iCs/>
                <w:lang w:val="en-US" w:eastAsia="lt-LT"/>
              </w:rPr>
              <w:t>***</w:t>
            </w:r>
          </w:p>
        </w:tc>
      </w:tr>
      <w:tr w:rsidR="00A36FA0" w:rsidRPr="00E33EFF" w14:paraId="32A46EF5" w14:textId="77777777" w:rsidTr="00A36FA0">
        <w:trPr>
          <w:trHeight w:val="264"/>
          <w:jc w:val="center"/>
        </w:trPr>
        <w:tc>
          <w:tcPr>
            <w:tcW w:w="4199" w:type="dxa"/>
            <w:tcBorders>
              <w:left w:val="single" w:sz="4" w:space="0" w:color="auto"/>
            </w:tcBorders>
          </w:tcPr>
          <w:p w14:paraId="635DBFE4" w14:textId="72D65C53" w:rsidR="00A36FA0" w:rsidRPr="00E33EFF" w:rsidRDefault="00A36FA0" w:rsidP="00A36FA0">
            <w:pPr>
              <w:tabs>
                <w:tab w:val="left" w:pos="567"/>
              </w:tabs>
              <w:jc w:val="center"/>
              <w:rPr>
                <w:iCs/>
                <w:lang w:eastAsia="lt-LT"/>
              </w:rPr>
            </w:pPr>
            <w:r>
              <w:rPr>
                <w:iCs/>
                <w:lang w:eastAsia="lt-LT"/>
              </w:rPr>
              <w:t>Folitropinas alfa</w:t>
            </w:r>
          </w:p>
        </w:tc>
        <w:tc>
          <w:tcPr>
            <w:tcW w:w="2193" w:type="dxa"/>
            <w:tcBorders>
              <w:right w:val="single" w:sz="4" w:space="0" w:color="auto"/>
            </w:tcBorders>
          </w:tcPr>
          <w:p w14:paraId="1E976FB0" w14:textId="64C3EDCF" w:rsidR="00A36FA0" w:rsidRPr="00E33EFF" w:rsidRDefault="000041BC" w:rsidP="00A36FA0">
            <w:pPr>
              <w:tabs>
                <w:tab w:val="left" w:pos="567"/>
              </w:tabs>
              <w:jc w:val="center"/>
              <w:rPr>
                <w:i/>
                <w:iCs/>
                <w:lang w:eastAsia="lt-LT"/>
              </w:rPr>
            </w:pPr>
            <w:r>
              <w:rPr>
                <w:i/>
                <w:iCs/>
                <w:lang w:eastAsia="lt-LT"/>
              </w:rPr>
              <w:t>***</w:t>
            </w:r>
          </w:p>
        </w:tc>
      </w:tr>
      <w:tr w:rsidR="00BA5DBC" w:rsidRPr="00E33EFF" w14:paraId="319AF392" w14:textId="77777777" w:rsidTr="00A36FA0">
        <w:trPr>
          <w:trHeight w:val="264"/>
          <w:jc w:val="center"/>
        </w:trPr>
        <w:tc>
          <w:tcPr>
            <w:tcW w:w="4199" w:type="dxa"/>
            <w:tcBorders>
              <w:left w:val="single" w:sz="4" w:space="0" w:color="auto"/>
            </w:tcBorders>
          </w:tcPr>
          <w:p w14:paraId="44CD8D27" w14:textId="27245A0B" w:rsidR="00BA5DBC" w:rsidRPr="00A36FA0" w:rsidRDefault="00BA5DBC" w:rsidP="00A36FA0">
            <w:pPr>
              <w:tabs>
                <w:tab w:val="left" w:pos="567"/>
              </w:tabs>
              <w:jc w:val="center"/>
              <w:rPr>
                <w:b/>
                <w:bCs/>
                <w:iCs/>
                <w:lang w:eastAsia="lt-LT"/>
              </w:rPr>
            </w:pPr>
            <w:r w:rsidRPr="00A36FA0">
              <w:rPr>
                <w:b/>
                <w:bCs/>
                <w:iCs/>
                <w:lang w:eastAsia="lt-LT"/>
              </w:rPr>
              <w:t>Kaštų skirtumas</w:t>
            </w:r>
          </w:p>
        </w:tc>
        <w:tc>
          <w:tcPr>
            <w:tcW w:w="2193" w:type="dxa"/>
            <w:tcBorders>
              <w:right w:val="single" w:sz="4" w:space="0" w:color="auto"/>
            </w:tcBorders>
          </w:tcPr>
          <w:p w14:paraId="1CACF0B4" w14:textId="5E47DB28" w:rsidR="00BA5DBC" w:rsidRPr="00A36FA0" w:rsidRDefault="000041BC" w:rsidP="00A36FA0">
            <w:pPr>
              <w:tabs>
                <w:tab w:val="left" w:pos="567"/>
              </w:tabs>
              <w:jc w:val="center"/>
              <w:rPr>
                <w:b/>
                <w:bCs/>
                <w:i/>
                <w:iCs/>
                <w:lang w:eastAsia="lt-LT"/>
              </w:rPr>
            </w:pPr>
            <w:r>
              <w:rPr>
                <w:b/>
                <w:bCs/>
                <w:i/>
                <w:iCs/>
                <w:lang w:eastAsia="lt-LT"/>
              </w:rPr>
              <w:t>***</w:t>
            </w:r>
          </w:p>
        </w:tc>
      </w:tr>
    </w:tbl>
    <w:p w14:paraId="33875138" w14:textId="72B74ED4" w:rsidR="0035172D" w:rsidRDefault="0035172D" w:rsidP="00A93AA6">
      <w:pPr>
        <w:tabs>
          <w:tab w:val="left" w:pos="426"/>
        </w:tabs>
        <w:rPr>
          <w:b/>
          <w:bCs/>
          <w:caps/>
        </w:rPr>
      </w:pPr>
    </w:p>
    <w:p w14:paraId="7D580689" w14:textId="77777777" w:rsidR="00404700" w:rsidRPr="00E33EFF" w:rsidRDefault="00404700"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628BEE93"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5A4998">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4CF37C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Content>
          <w:r w:rsidR="00217B1B">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AA56ADF"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6DAAAB70" w:rsidR="0061611B" w:rsidRPr="00CE708D" w:rsidRDefault="0061611B" w:rsidP="0061611B">
      <w:pPr>
        <w:rPr>
          <w:i/>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1E7F706F"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yra didesnis</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4FA55C21" w:rsidR="00B13D65" w:rsidRPr="00E33EFF" w:rsidRDefault="00000000" w:rsidP="00EC4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1"/>
                  <w14:checkedState w14:val="2612" w14:font="MS Gothic"/>
                  <w14:uncheckedState w14:val="2610" w14:font="MS Gothic"/>
                </w14:checkbox>
              </w:sdtPr>
              <w:sdtContent>
                <w:r w:rsidR="00EC49B5">
                  <w:rPr>
                    <w:rStyle w:val="Style2"/>
                    <w:rFonts w:ascii="MS Gothic" w:eastAsia="MS Gothic" w:hAnsi="MS Gothic" w:hint="eastAsia"/>
                    <w:sz w:val="24"/>
                  </w:rPr>
                  <w:t>☒</w:t>
                </w:r>
              </w:sdtContent>
            </w:sdt>
            <w:r w:rsidR="00B13D65" w:rsidRPr="00E33EFF">
              <w:t xml:space="preserve"> 32.1. iš esmės nesiskiria</w:t>
            </w:r>
          </w:p>
        </w:tc>
        <w:tc>
          <w:tcPr>
            <w:tcW w:w="4814" w:type="dxa"/>
          </w:tcPr>
          <w:p w14:paraId="507828D9" w14:textId="39335103"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75F0B778"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029C4C66"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0C15EA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1383FAE5"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1"/>
                  <w14:checkedState w14:val="2612" w14:font="MS Gothic"/>
                  <w14:uncheckedState w14:val="2610" w14:font="MS Gothic"/>
                </w14:checkbox>
              </w:sdtPr>
              <w:sdtContent>
                <w:r w:rsidR="004A42CC">
                  <w:rPr>
                    <w:rStyle w:val="Style2"/>
                    <w:rFonts w:ascii="MS Gothic" w:eastAsia="MS Gothic" w:hAnsi="MS Gothic" w:hint="eastAsia"/>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35C8B6E4"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9C83AF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1"/>
                  <w14:checkedState w14:val="2612" w14:font="MS Gothic"/>
                  <w14:uncheckedState w14:val="2610" w14:font="MS Gothic"/>
                </w14:checkbox>
              </w:sdtPr>
              <w:sdtContent>
                <w:r w:rsidR="00A36FA0">
                  <w:rPr>
                    <w:rStyle w:val="Style2"/>
                    <w:rFonts w:ascii="MS Gothic" w:eastAsia="MS Gothic" w:hAnsi="MS Gothic" w:hint="eastAsia"/>
                    <w:sz w:val="24"/>
                  </w:rPr>
                  <w:t>☒</w:t>
                </w:r>
              </w:sdtContent>
            </w:sdt>
            <w:r w:rsidR="00B13D65" w:rsidRPr="00E33EFF">
              <w:t xml:space="preserve"> 32.3. gydymo juo kaštai yra mažesni ar tokie patys esant iš esmės nesiskiriančiam palyginamajam efektyvumui, netaikant PGS</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673C3A9" w14:textId="51EEEF49"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B00959" w:rsidRPr="00E33EFF">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18B193E6" w14:textId="600592BD" w:rsidR="004A42CC" w:rsidRDefault="004A42CC" w:rsidP="004A42CC">
      <w:pPr>
        <w:pStyle w:val="Sraopastraipa"/>
        <w:ind w:left="567"/>
      </w:pPr>
    </w:p>
    <w:p w14:paraId="50DB3E4B" w14:textId="77777777" w:rsidR="00404700" w:rsidRPr="004A42CC" w:rsidRDefault="00404700" w:rsidP="004A42CC">
      <w:pPr>
        <w:pStyle w:val="Sraopastraipa"/>
        <w:ind w:left="567"/>
      </w:pPr>
    </w:p>
    <w:p w14:paraId="3B2D1F25" w14:textId="49889B10"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453D3C61" w14:textId="72677525" w:rsidR="004F3B2B" w:rsidRPr="00E33EFF" w:rsidRDefault="004F3B2B" w:rsidP="00404700">
      <w:pPr>
        <w:spacing w:line="276" w:lineRule="auto"/>
        <w:ind w:firstLine="567"/>
        <w:jc w:val="both"/>
      </w:pPr>
      <w:r w:rsidRPr="00E33EFF">
        <w:t xml:space="preserve">Vadovaujantis </w:t>
      </w:r>
      <w:r w:rsidR="00F259FC">
        <w:t>V</w:t>
      </w:r>
      <w:r w:rsidR="00F259FC" w:rsidRPr="00E33EFF">
        <w:t>aistinių preparatų ir medicinos pagalbos priemonių įrašymo į kompensavimo sąrašus ir jų keitimo tvarkos aprašo</w:t>
      </w:r>
      <w:r w:rsidR="00F259FC">
        <w:t>, patvirtinto</w:t>
      </w:r>
      <w:r w:rsidR="00F259FC" w:rsidRPr="00E33EFF">
        <w:t xml:space="preserve"> </w:t>
      </w:r>
      <w:r w:rsidRPr="00E33EFF">
        <w:t>Lietuvos Respublikos sveikatos apsaugos ministro 2002 m. balandžio 5 d. įsakymu Nr. V-159 „Dėl vaistinių preparatų ir medicinos pagalbos priemonių įrašymo į kompensavimo sąrašus ir jų keitimo tvarkos aprašo patvirtinimo“</w:t>
      </w:r>
      <w:r w:rsidR="00F259FC">
        <w:t>,</w:t>
      </w:r>
      <w:r w:rsidRPr="00E33EFF">
        <w:t xml:space="preserve"> punktu</w:t>
      </w:r>
      <w:r w:rsidR="00A36FA0">
        <w:t xml:space="preserve"> </w:t>
      </w:r>
      <w:r w:rsidRPr="00E33EFF">
        <w:t xml:space="preserve">34.3. </w:t>
      </w:r>
      <w:r w:rsidRPr="00404700">
        <w:rPr>
          <w:i/>
        </w:rPr>
        <w:t>kompensuoti</w:t>
      </w:r>
      <w:r w:rsidRPr="00E33EFF">
        <w:t xml:space="preserve"> vaistinį preparatą pagal paraiškoje nurodytą indikaciją</w:t>
      </w:r>
      <w:r w:rsidR="00DF2AE6">
        <w:t xml:space="preserve"> </w:t>
      </w:r>
      <w:r w:rsidRPr="00E33EFF">
        <w:t>be skyrimo sąlygų, netaikant PGS, dėl iš esmės nesiskiriančio gydymo efektyvumo ir sukuriamos naudos pacientų sveikatai, lyginant su įprasta klinikine praktika, ir dėl mažesnių gydymo kaštų dydžio (kaštų minimizavimas).</w:t>
      </w:r>
    </w:p>
    <w:p w14:paraId="06BC01EE" w14:textId="2303622A" w:rsidR="000723FF" w:rsidRDefault="000723FF" w:rsidP="00404700">
      <w:pPr>
        <w:spacing w:line="276" w:lineRule="auto"/>
      </w:pPr>
    </w:p>
    <w:p w14:paraId="53D9BB20" w14:textId="77777777" w:rsidR="00DF2AE6" w:rsidRPr="00E33EFF" w:rsidRDefault="00DF2AE6" w:rsidP="00404700">
      <w:pPr>
        <w:spacing w:line="276" w:lineRule="auto"/>
      </w:pPr>
    </w:p>
    <w:p w14:paraId="18B4292E" w14:textId="5DBFD2B5" w:rsidR="000723FF" w:rsidRPr="00E33EFF" w:rsidRDefault="00DF2AE6" w:rsidP="00CC09D4">
      <w:pPr>
        <w:tabs>
          <w:tab w:val="left" w:pos="567"/>
        </w:tabs>
        <w:ind w:left="567" w:hanging="567"/>
        <w:jc w:val="both"/>
        <w:rPr>
          <w:b/>
          <w:color w:val="000000"/>
          <w:lang w:eastAsia="lt-LT"/>
        </w:rPr>
      </w:pPr>
      <w:r>
        <w:rPr>
          <w:b/>
          <w:color w:val="000000"/>
          <w:lang w:eastAsia="lt-LT"/>
        </w:rPr>
        <w:t>7</w:t>
      </w:r>
      <w:r w:rsidR="00CC09D4">
        <w:rPr>
          <w:b/>
          <w:color w:val="000000"/>
          <w:lang w:eastAsia="lt-LT"/>
        </w:rPr>
        <w:t>.</w:t>
      </w:r>
      <w:r w:rsidR="00CC09D4">
        <w:rPr>
          <w:b/>
          <w:color w:val="000000"/>
          <w:lang w:eastAsia="lt-LT"/>
        </w:rPr>
        <w:tab/>
      </w:r>
      <w:r w:rsidR="000723FF" w:rsidRPr="00E33EFF">
        <w:rPr>
          <w:b/>
          <w:color w:val="000000"/>
          <w:lang w:eastAsia="lt-LT"/>
        </w:rPr>
        <w:t>SIŪLOMOS KOMPENSUOTI TERAPINĖS INDIKACIJOS IR SKYRIMO SĄLYGOS</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5F00849E" w:rsidR="000723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9E5A9B">
            <w:rPr>
              <w:rStyle w:val="Style2"/>
              <w:rFonts w:ascii="MS Gothic" w:eastAsia="MS Gothic" w:hAnsi="MS Gothic" w:hint="eastAsia"/>
            </w:rPr>
            <w:t>☒</w:t>
          </w:r>
        </w:sdtContent>
      </w:sdt>
      <w:r w:rsidR="000723FF" w:rsidRPr="00E33EFF">
        <w:t xml:space="preserve"> Siūloma kompensuoti Pareiškėjo teikiamą indikaciją be pakeitimų.</w:t>
      </w:r>
    </w:p>
    <w:p w14:paraId="31EC9D68" w14:textId="77777777" w:rsidR="009E5A9B" w:rsidRPr="00E33EFF" w:rsidRDefault="009E5A9B" w:rsidP="00824B92"/>
    <w:p w14:paraId="597367EF" w14:textId="77777777"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7DD65F7E" w14:textId="77777777" w:rsidR="000723FF" w:rsidRPr="00E33EFF" w:rsidRDefault="000723FF" w:rsidP="00824B92"/>
    <w:p w14:paraId="241A6E6B" w14:textId="77777777" w:rsidR="000723FF" w:rsidRPr="00E33EFF" w:rsidRDefault="000723FF" w:rsidP="00824B92">
      <w:pPr>
        <w:rPr>
          <w:b/>
        </w:rPr>
      </w:pPr>
      <w:r w:rsidRPr="00E33EFF">
        <w:rPr>
          <w:b/>
        </w:rPr>
        <w:t>Skyrimo sąlygos</w:t>
      </w:r>
    </w:p>
    <w:p w14:paraId="5E9DDBA0" w14:textId="77777777" w:rsidR="00A5101A" w:rsidRDefault="00A5101A" w:rsidP="00824B92"/>
    <w:p w14:paraId="6FE7CF09" w14:textId="0C7AD083" w:rsidR="00A5101A" w:rsidRPr="00A5101A" w:rsidRDefault="00A5101A" w:rsidP="00824B92">
      <w:r w:rsidRPr="00A5101A">
        <w:t>Neteikiam</w:t>
      </w:r>
      <w:r>
        <w:t>a.</w:t>
      </w:r>
      <w:r w:rsidRPr="00A5101A">
        <w:t xml:space="preserve"> </w:t>
      </w:r>
    </w:p>
    <w:sectPr w:rsidR="00A5101A" w:rsidRPr="00A5101A" w:rsidSect="00E5333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31CE" w14:textId="77777777" w:rsidR="00E53338" w:rsidRDefault="00E53338">
      <w:r>
        <w:separator/>
      </w:r>
    </w:p>
  </w:endnote>
  <w:endnote w:type="continuationSeparator" w:id="0">
    <w:p w14:paraId="51221291" w14:textId="77777777" w:rsidR="00E53338" w:rsidRDefault="00E5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C8BA" w14:textId="77777777" w:rsidR="00405929" w:rsidRDefault="004059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97F4" w14:textId="77777777" w:rsidR="00405929" w:rsidRDefault="0040592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53A5" w14:textId="77777777" w:rsidR="00E53338" w:rsidRDefault="00E53338">
      <w:r>
        <w:separator/>
      </w:r>
    </w:p>
  </w:footnote>
  <w:footnote w:type="continuationSeparator" w:id="0">
    <w:p w14:paraId="7F4351FA" w14:textId="77777777" w:rsidR="00E53338" w:rsidRDefault="00E5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B95422A"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5929">
      <w:rPr>
        <w:rStyle w:val="Puslapionumeris"/>
        <w:noProof/>
      </w:rPr>
      <w:t>6</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6928525">
    <w:abstractNumId w:val="6"/>
  </w:num>
  <w:num w:numId="2" w16cid:durableId="737367127">
    <w:abstractNumId w:val="1"/>
  </w:num>
  <w:num w:numId="3" w16cid:durableId="279149908">
    <w:abstractNumId w:val="8"/>
  </w:num>
  <w:num w:numId="4" w16cid:durableId="5256809">
    <w:abstractNumId w:val="7"/>
  </w:num>
  <w:num w:numId="5" w16cid:durableId="623535092">
    <w:abstractNumId w:val="5"/>
  </w:num>
  <w:num w:numId="6" w16cid:durableId="1829978808">
    <w:abstractNumId w:val="4"/>
  </w:num>
  <w:num w:numId="7" w16cid:durableId="600258134">
    <w:abstractNumId w:val="3"/>
  </w:num>
  <w:num w:numId="8" w16cid:durableId="1662195388">
    <w:abstractNumId w:val="11"/>
  </w:num>
  <w:num w:numId="9" w16cid:durableId="68384546">
    <w:abstractNumId w:val="0"/>
  </w:num>
  <w:num w:numId="10" w16cid:durableId="66155560">
    <w:abstractNumId w:val="9"/>
  </w:num>
  <w:num w:numId="11" w16cid:durableId="1821341106">
    <w:abstractNumId w:val="10"/>
  </w:num>
  <w:num w:numId="12" w16cid:durableId="2050032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041BC"/>
    <w:rsid w:val="000114DD"/>
    <w:rsid w:val="000136F7"/>
    <w:rsid w:val="0002686C"/>
    <w:rsid w:val="00030D7C"/>
    <w:rsid w:val="00031D0E"/>
    <w:rsid w:val="000337E6"/>
    <w:rsid w:val="0003402E"/>
    <w:rsid w:val="00034EAE"/>
    <w:rsid w:val="00042924"/>
    <w:rsid w:val="000466B1"/>
    <w:rsid w:val="00053975"/>
    <w:rsid w:val="00057A2B"/>
    <w:rsid w:val="000606BE"/>
    <w:rsid w:val="000723FF"/>
    <w:rsid w:val="000736B8"/>
    <w:rsid w:val="0008190F"/>
    <w:rsid w:val="00081D9C"/>
    <w:rsid w:val="00082907"/>
    <w:rsid w:val="0008378D"/>
    <w:rsid w:val="000908A5"/>
    <w:rsid w:val="00092805"/>
    <w:rsid w:val="00094C58"/>
    <w:rsid w:val="000C18BB"/>
    <w:rsid w:val="000C454C"/>
    <w:rsid w:val="000D5038"/>
    <w:rsid w:val="000E29D4"/>
    <w:rsid w:val="000F3540"/>
    <w:rsid w:val="00100491"/>
    <w:rsid w:val="00104E2E"/>
    <w:rsid w:val="00107287"/>
    <w:rsid w:val="00117406"/>
    <w:rsid w:val="00121EF0"/>
    <w:rsid w:val="00124A9E"/>
    <w:rsid w:val="00130703"/>
    <w:rsid w:val="0013153F"/>
    <w:rsid w:val="00137B25"/>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20381E"/>
    <w:rsid w:val="00211DA9"/>
    <w:rsid w:val="00213471"/>
    <w:rsid w:val="00215906"/>
    <w:rsid w:val="00217B1B"/>
    <w:rsid w:val="00241CD8"/>
    <w:rsid w:val="00244B09"/>
    <w:rsid w:val="002519CB"/>
    <w:rsid w:val="0025697F"/>
    <w:rsid w:val="002577BC"/>
    <w:rsid w:val="00260258"/>
    <w:rsid w:val="0026588E"/>
    <w:rsid w:val="00272428"/>
    <w:rsid w:val="00272948"/>
    <w:rsid w:val="00272B7E"/>
    <w:rsid w:val="002739C4"/>
    <w:rsid w:val="00292392"/>
    <w:rsid w:val="002946C7"/>
    <w:rsid w:val="002A0CFA"/>
    <w:rsid w:val="002B3CC1"/>
    <w:rsid w:val="002B71EA"/>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559F7"/>
    <w:rsid w:val="0036187D"/>
    <w:rsid w:val="00367EDB"/>
    <w:rsid w:val="00381024"/>
    <w:rsid w:val="00386307"/>
    <w:rsid w:val="003874DE"/>
    <w:rsid w:val="00392925"/>
    <w:rsid w:val="00393E9F"/>
    <w:rsid w:val="0039696E"/>
    <w:rsid w:val="003B211A"/>
    <w:rsid w:val="003C141F"/>
    <w:rsid w:val="003C6B0E"/>
    <w:rsid w:val="003C7257"/>
    <w:rsid w:val="003C7E35"/>
    <w:rsid w:val="003D1E99"/>
    <w:rsid w:val="003D6208"/>
    <w:rsid w:val="00404700"/>
    <w:rsid w:val="00404E8A"/>
    <w:rsid w:val="00405929"/>
    <w:rsid w:val="0040622F"/>
    <w:rsid w:val="00411915"/>
    <w:rsid w:val="00413F24"/>
    <w:rsid w:val="004144A3"/>
    <w:rsid w:val="004200CE"/>
    <w:rsid w:val="00422853"/>
    <w:rsid w:val="00423160"/>
    <w:rsid w:val="00453862"/>
    <w:rsid w:val="0045469B"/>
    <w:rsid w:val="0046017B"/>
    <w:rsid w:val="00461338"/>
    <w:rsid w:val="004677DB"/>
    <w:rsid w:val="00476256"/>
    <w:rsid w:val="0048630F"/>
    <w:rsid w:val="004947A1"/>
    <w:rsid w:val="0049482A"/>
    <w:rsid w:val="004979D3"/>
    <w:rsid w:val="004A00E7"/>
    <w:rsid w:val="004A3A61"/>
    <w:rsid w:val="004A42CC"/>
    <w:rsid w:val="004A7E3B"/>
    <w:rsid w:val="004B59BA"/>
    <w:rsid w:val="004B5A03"/>
    <w:rsid w:val="004C07E4"/>
    <w:rsid w:val="004C263A"/>
    <w:rsid w:val="004D48A6"/>
    <w:rsid w:val="004D7B8F"/>
    <w:rsid w:val="004E6458"/>
    <w:rsid w:val="004E6E7D"/>
    <w:rsid w:val="004F1AAC"/>
    <w:rsid w:val="004F1AE2"/>
    <w:rsid w:val="004F34F0"/>
    <w:rsid w:val="004F3B2B"/>
    <w:rsid w:val="004F6050"/>
    <w:rsid w:val="005005EF"/>
    <w:rsid w:val="005123C2"/>
    <w:rsid w:val="0052144B"/>
    <w:rsid w:val="00524066"/>
    <w:rsid w:val="00532FC7"/>
    <w:rsid w:val="00534E11"/>
    <w:rsid w:val="005378D8"/>
    <w:rsid w:val="005400D9"/>
    <w:rsid w:val="005476A4"/>
    <w:rsid w:val="0055019B"/>
    <w:rsid w:val="0055229C"/>
    <w:rsid w:val="00556E63"/>
    <w:rsid w:val="005601A4"/>
    <w:rsid w:val="00566DBB"/>
    <w:rsid w:val="005767DB"/>
    <w:rsid w:val="005815E6"/>
    <w:rsid w:val="0058712F"/>
    <w:rsid w:val="005976CE"/>
    <w:rsid w:val="005A23D4"/>
    <w:rsid w:val="005A2D1E"/>
    <w:rsid w:val="005A4998"/>
    <w:rsid w:val="005B3756"/>
    <w:rsid w:val="005C493F"/>
    <w:rsid w:val="005C6BF7"/>
    <w:rsid w:val="005C71BF"/>
    <w:rsid w:val="005D002C"/>
    <w:rsid w:val="005D30E1"/>
    <w:rsid w:val="005D6555"/>
    <w:rsid w:val="005D7BDF"/>
    <w:rsid w:val="005E0861"/>
    <w:rsid w:val="005E3163"/>
    <w:rsid w:val="005E40DD"/>
    <w:rsid w:val="005E4870"/>
    <w:rsid w:val="005F71D9"/>
    <w:rsid w:val="005F7602"/>
    <w:rsid w:val="0060366D"/>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7B7E"/>
    <w:rsid w:val="007656B2"/>
    <w:rsid w:val="00770074"/>
    <w:rsid w:val="0077016F"/>
    <w:rsid w:val="007713AD"/>
    <w:rsid w:val="00795DC5"/>
    <w:rsid w:val="00797153"/>
    <w:rsid w:val="007A21F7"/>
    <w:rsid w:val="007A2B68"/>
    <w:rsid w:val="007A6B5D"/>
    <w:rsid w:val="007B0DDA"/>
    <w:rsid w:val="007B5299"/>
    <w:rsid w:val="007D3347"/>
    <w:rsid w:val="007E5466"/>
    <w:rsid w:val="007F1949"/>
    <w:rsid w:val="007F2592"/>
    <w:rsid w:val="00800A08"/>
    <w:rsid w:val="0081355F"/>
    <w:rsid w:val="00817177"/>
    <w:rsid w:val="00817A84"/>
    <w:rsid w:val="008202BA"/>
    <w:rsid w:val="008225A4"/>
    <w:rsid w:val="00824B92"/>
    <w:rsid w:val="00826D5E"/>
    <w:rsid w:val="00832013"/>
    <w:rsid w:val="0083278F"/>
    <w:rsid w:val="00832DB7"/>
    <w:rsid w:val="00834732"/>
    <w:rsid w:val="0085200C"/>
    <w:rsid w:val="00857C52"/>
    <w:rsid w:val="00860D5F"/>
    <w:rsid w:val="008617F4"/>
    <w:rsid w:val="00880A44"/>
    <w:rsid w:val="008821C3"/>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44C52"/>
    <w:rsid w:val="00951573"/>
    <w:rsid w:val="00963003"/>
    <w:rsid w:val="00966EEF"/>
    <w:rsid w:val="00971B28"/>
    <w:rsid w:val="009744A8"/>
    <w:rsid w:val="00976D2E"/>
    <w:rsid w:val="00983471"/>
    <w:rsid w:val="009909AB"/>
    <w:rsid w:val="009930CF"/>
    <w:rsid w:val="009B37DB"/>
    <w:rsid w:val="009C7A8C"/>
    <w:rsid w:val="009D23F9"/>
    <w:rsid w:val="009D4FA8"/>
    <w:rsid w:val="009E44AE"/>
    <w:rsid w:val="009E5A9B"/>
    <w:rsid w:val="009E6CD6"/>
    <w:rsid w:val="009F4D66"/>
    <w:rsid w:val="00A00C3C"/>
    <w:rsid w:val="00A01091"/>
    <w:rsid w:val="00A042B9"/>
    <w:rsid w:val="00A06DBB"/>
    <w:rsid w:val="00A16C3B"/>
    <w:rsid w:val="00A22ADF"/>
    <w:rsid w:val="00A31E86"/>
    <w:rsid w:val="00A36FA0"/>
    <w:rsid w:val="00A5101A"/>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650ED"/>
    <w:rsid w:val="00C7012C"/>
    <w:rsid w:val="00C712EA"/>
    <w:rsid w:val="00CA217D"/>
    <w:rsid w:val="00CA23C1"/>
    <w:rsid w:val="00CC09D4"/>
    <w:rsid w:val="00CC668D"/>
    <w:rsid w:val="00CC7832"/>
    <w:rsid w:val="00CD03D2"/>
    <w:rsid w:val="00CE708D"/>
    <w:rsid w:val="00CF0C1C"/>
    <w:rsid w:val="00CF27FD"/>
    <w:rsid w:val="00CF5F12"/>
    <w:rsid w:val="00D00D8F"/>
    <w:rsid w:val="00D21F3A"/>
    <w:rsid w:val="00D23808"/>
    <w:rsid w:val="00D3016A"/>
    <w:rsid w:val="00D33A95"/>
    <w:rsid w:val="00D361D4"/>
    <w:rsid w:val="00D417D2"/>
    <w:rsid w:val="00D42960"/>
    <w:rsid w:val="00D43BD7"/>
    <w:rsid w:val="00D4485B"/>
    <w:rsid w:val="00D4708D"/>
    <w:rsid w:val="00D4744C"/>
    <w:rsid w:val="00D521DE"/>
    <w:rsid w:val="00D5470B"/>
    <w:rsid w:val="00D63068"/>
    <w:rsid w:val="00D6498C"/>
    <w:rsid w:val="00D7399A"/>
    <w:rsid w:val="00D76A70"/>
    <w:rsid w:val="00D83182"/>
    <w:rsid w:val="00D8521E"/>
    <w:rsid w:val="00D9291C"/>
    <w:rsid w:val="00D93A97"/>
    <w:rsid w:val="00D97BBD"/>
    <w:rsid w:val="00DB1F64"/>
    <w:rsid w:val="00DC2F53"/>
    <w:rsid w:val="00DC5BAC"/>
    <w:rsid w:val="00DC6816"/>
    <w:rsid w:val="00DC76C2"/>
    <w:rsid w:val="00DD1CF2"/>
    <w:rsid w:val="00DE4484"/>
    <w:rsid w:val="00DF2AE6"/>
    <w:rsid w:val="00DF41B7"/>
    <w:rsid w:val="00DF4A4A"/>
    <w:rsid w:val="00DF583C"/>
    <w:rsid w:val="00E03C3F"/>
    <w:rsid w:val="00E06FD7"/>
    <w:rsid w:val="00E07417"/>
    <w:rsid w:val="00E10669"/>
    <w:rsid w:val="00E24D45"/>
    <w:rsid w:val="00E25E41"/>
    <w:rsid w:val="00E33DB8"/>
    <w:rsid w:val="00E33EFF"/>
    <w:rsid w:val="00E34387"/>
    <w:rsid w:val="00E348BA"/>
    <w:rsid w:val="00E369FE"/>
    <w:rsid w:val="00E37C6F"/>
    <w:rsid w:val="00E475F8"/>
    <w:rsid w:val="00E5102E"/>
    <w:rsid w:val="00E53338"/>
    <w:rsid w:val="00E5721C"/>
    <w:rsid w:val="00E60827"/>
    <w:rsid w:val="00E619C6"/>
    <w:rsid w:val="00E67E8E"/>
    <w:rsid w:val="00E745A1"/>
    <w:rsid w:val="00E77B27"/>
    <w:rsid w:val="00E81529"/>
    <w:rsid w:val="00E83A13"/>
    <w:rsid w:val="00E96010"/>
    <w:rsid w:val="00EA495F"/>
    <w:rsid w:val="00EB6FC5"/>
    <w:rsid w:val="00EC2356"/>
    <w:rsid w:val="00EC2582"/>
    <w:rsid w:val="00EC337C"/>
    <w:rsid w:val="00EC49B5"/>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70C9E"/>
    <w:rsid w:val="00F74A74"/>
    <w:rsid w:val="00F7572C"/>
    <w:rsid w:val="00F8382C"/>
    <w:rsid w:val="00F855D7"/>
    <w:rsid w:val="00F92035"/>
    <w:rsid w:val="00F92748"/>
    <w:rsid w:val="00FA4169"/>
    <w:rsid w:val="00FB0C4D"/>
    <w:rsid w:val="00FB0D41"/>
    <w:rsid w:val="00FB2030"/>
    <w:rsid w:val="00FC617B"/>
    <w:rsid w:val="00FD0E46"/>
    <w:rsid w:val="00FD1CF2"/>
    <w:rsid w:val="00FD3EDF"/>
    <w:rsid w:val="00FD793C"/>
    <w:rsid w:val="00FE0FD5"/>
    <w:rsid w:val="00FE20E6"/>
    <w:rsid w:val="00FE3E3B"/>
    <w:rsid w:val="00FF4032"/>
    <w:rsid w:val="00FF6469"/>
    <w:rsid w:val="00FF7E4A"/>
    <w:rsid w:val="2042B8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customStyle="1" w:styleId="VVKT">
    <w:name w:val="VVKT"/>
    <w:basedOn w:val="prastasis"/>
    <w:link w:val="VVKTChar"/>
    <w:qFormat/>
    <w:rsid w:val="00A36FA0"/>
    <w:pPr>
      <w:spacing w:line="276" w:lineRule="auto"/>
      <w:ind w:firstLine="567"/>
    </w:pPr>
    <w:rPr>
      <w:szCs w:val="20"/>
      <w:lang w:eastAsia="lt-LT"/>
    </w:rPr>
  </w:style>
  <w:style w:type="character" w:customStyle="1" w:styleId="VVKTChar">
    <w:name w:val="VVKT Char"/>
    <w:basedOn w:val="Numatytasispastraiposriftas"/>
    <w:link w:val="VVKT"/>
    <w:rsid w:val="00A36F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1E86322BB2A046D9AA8EEC8813E5F165"/>
        <w:category>
          <w:name w:val="Bendrosios nuostatos"/>
          <w:gallery w:val="placeholder"/>
        </w:category>
        <w:types>
          <w:type w:val="bbPlcHdr"/>
        </w:types>
        <w:behaviors>
          <w:behavior w:val="content"/>
        </w:behaviors>
        <w:guid w:val="{65FDD86D-4B7F-4634-A9B6-04FEB2A59D92}"/>
      </w:docPartPr>
      <w:docPartBody>
        <w:p w:rsidR="004160E7" w:rsidRDefault="004144A3" w:rsidP="004144A3">
          <w:pPr>
            <w:pStyle w:val="1E86322BB2A046D9AA8EEC8813E5F165"/>
          </w:pPr>
          <w:r>
            <w:rPr>
              <w:rStyle w:val="Vietosrezervavimoenklotekstas"/>
            </w:rPr>
            <w:t>Click here to enter a date.</w:t>
          </w:r>
        </w:p>
      </w:docPartBody>
    </w:docPart>
    <w:docPart>
      <w:docPartPr>
        <w:name w:val="57B9655BB938420B82BDAD6B82A66F50"/>
        <w:category>
          <w:name w:val="Bendrosios nuostatos"/>
          <w:gallery w:val="placeholder"/>
        </w:category>
        <w:types>
          <w:type w:val="bbPlcHdr"/>
        </w:types>
        <w:behaviors>
          <w:behavior w:val="content"/>
        </w:behaviors>
        <w:guid w:val="{B50508B3-61AE-42C0-9ED2-473525764A20}"/>
      </w:docPartPr>
      <w:docPartBody>
        <w:p w:rsidR="004160E7" w:rsidRDefault="004144A3" w:rsidP="004144A3">
          <w:pPr>
            <w:pStyle w:val="57B9655BB938420B82BDAD6B82A66F50"/>
          </w:pPr>
          <w:r>
            <w:rPr>
              <w:rStyle w:val="Vietosrezervavimoenklotekstas"/>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65133"/>
    <w:rsid w:val="000937FE"/>
    <w:rsid w:val="000A559A"/>
    <w:rsid w:val="000D24D4"/>
    <w:rsid w:val="001C35A9"/>
    <w:rsid w:val="002057CE"/>
    <w:rsid w:val="00237556"/>
    <w:rsid w:val="00294786"/>
    <w:rsid w:val="003736D7"/>
    <w:rsid w:val="0039303B"/>
    <w:rsid w:val="003B0982"/>
    <w:rsid w:val="004144A3"/>
    <w:rsid w:val="004160E7"/>
    <w:rsid w:val="00440FDD"/>
    <w:rsid w:val="004416C6"/>
    <w:rsid w:val="00442962"/>
    <w:rsid w:val="004563A8"/>
    <w:rsid w:val="004F5AB2"/>
    <w:rsid w:val="005074B9"/>
    <w:rsid w:val="005E40DD"/>
    <w:rsid w:val="00706F86"/>
    <w:rsid w:val="007219C1"/>
    <w:rsid w:val="00753462"/>
    <w:rsid w:val="00760C7A"/>
    <w:rsid w:val="00772325"/>
    <w:rsid w:val="007A2FE0"/>
    <w:rsid w:val="007C52BF"/>
    <w:rsid w:val="007C6D1D"/>
    <w:rsid w:val="007F2698"/>
    <w:rsid w:val="0090074D"/>
    <w:rsid w:val="009B3BF0"/>
    <w:rsid w:val="009D5E5E"/>
    <w:rsid w:val="009F1BB4"/>
    <w:rsid w:val="00A52BC6"/>
    <w:rsid w:val="00AB6ED4"/>
    <w:rsid w:val="00B14210"/>
    <w:rsid w:val="00B23DC0"/>
    <w:rsid w:val="00B32115"/>
    <w:rsid w:val="00B96656"/>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11312"/>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E60827"/>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1E86322BB2A046D9AA8EEC8813E5F165">
    <w:name w:val="1E86322BB2A046D9AA8EEC8813E5F165"/>
    <w:rsid w:val="004144A3"/>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DDA8E-6A4F-4D41-A6B2-616B6EB5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8188</Words>
  <Characters>4668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2023-04-06T06:30:00Z</dcterms:created>
  <dcterms:modified xsi:type="dcterms:W3CDTF">2024-02-07T20:38:00Z</dcterms:modified>
</cp:coreProperties>
</file>