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1C0197">
      <w:pPr>
        <w:spacing w:line="276" w:lineRule="auto"/>
        <w:ind w:left="5529"/>
      </w:pPr>
    </w:p>
    <w:p w14:paraId="12FA4B9E" w14:textId="77777777" w:rsidR="001B3C5B" w:rsidRPr="00E33EFF" w:rsidRDefault="001B3C5B" w:rsidP="001C0197">
      <w:pPr>
        <w:spacing w:line="276" w:lineRule="auto"/>
        <w:ind w:left="6096"/>
      </w:pPr>
      <w:r w:rsidRPr="00E33EFF">
        <w:t>Forma patvirtinta</w:t>
      </w:r>
    </w:p>
    <w:p w14:paraId="7206970B" w14:textId="70E9BD2E" w:rsidR="004C263A" w:rsidRPr="00E33EFF" w:rsidRDefault="001B3C5B" w:rsidP="001C0197">
      <w:pPr>
        <w:spacing w:line="276" w:lineRule="auto"/>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C0197">
      <w:pPr>
        <w:spacing w:line="276" w:lineRule="auto"/>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1C0197">
      <w:pPr>
        <w:spacing w:line="276" w:lineRule="auto"/>
      </w:pPr>
    </w:p>
    <w:p w14:paraId="77AFB67E" w14:textId="16397257" w:rsidR="00613501" w:rsidRPr="00E33EFF" w:rsidRDefault="002F0E4F" w:rsidP="001C0197">
      <w:pPr>
        <w:spacing w:line="276" w:lineRule="auto"/>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1C0197">
      <w:pPr>
        <w:spacing w:line="276" w:lineRule="auto"/>
        <w:jc w:val="center"/>
        <w:rPr>
          <w:b/>
        </w:rPr>
      </w:pPr>
    </w:p>
    <w:p w14:paraId="79588DEC" w14:textId="77777777" w:rsidR="00BB72F9" w:rsidRPr="00467ED9" w:rsidRDefault="00BB72F9" w:rsidP="001C0197">
      <w:pPr>
        <w:spacing w:line="276" w:lineRule="auto"/>
        <w:jc w:val="center"/>
        <w:rPr>
          <w:rFonts w:eastAsia="Arial"/>
          <w:color w:val="000000"/>
          <w:highlight w:val="yellow"/>
        </w:rPr>
      </w:pPr>
    </w:p>
    <w:p w14:paraId="7085D401" w14:textId="77777777" w:rsidR="00BE6C61" w:rsidRPr="00465D65" w:rsidRDefault="00BE6C61" w:rsidP="001C0197">
      <w:pPr>
        <w:spacing w:line="276" w:lineRule="auto"/>
        <w:jc w:val="center"/>
        <w:rPr>
          <w:b/>
        </w:rPr>
      </w:pPr>
      <w:r w:rsidRPr="00465D65">
        <w:rPr>
          <w:b/>
        </w:rPr>
        <w:t>Scemblix 20, 40 mg plėvele dengtos tabletės</w:t>
      </w:r>
    </w:p>
    <w:p w14:paraId="592327A4" w14:textId="77777777" w:rsidR="00BE6C61" w:rsidRPr="00465D65" w:rsidRDefault="00BE6C61" w:rsidP="001C0197">
      <w:pPr>
        <w:spacing w:line="276" w:lineRule="auto"/>
        <w:jc w:val="center"/>
      </w:pPr>
    </w:p>
    <w:p w14:paraId="34B4B364" w14:textId="77777777" w:rsidR="00BE6C61" w:rsidRPr="00465D65" w:rsidRDefault="00BE6C61" w:rsidP="001C0197">
      <w:pPr>
        <w:spacing w:line="276" w:lineRule="auto"/>
        <w:jc w:val="center"/>
      </w:pPr>
      <w:r w:rsidRPr="00465D65">
        <w:t>Asciminibas</w:t>
      </w:r>
    </w:p>
    <w:p w14:paraId="1352E3FD" w14:textId="77777777" w:rsidR="00BE6C61" w:rsidRPr="00465D65" w:rsidRDefault="00BE6C61" w:rsidP="001C0197">
      <w:pPr>
        <w:spacing w:line="276" w:lineRule="auto"/>
        <w:jc w:val="center"/>
      </w:pPr>
    </w:p>
    <w:p w14:paraId="6E012086" w14:textId="77777777" w:rsidR="00BE6C61" w:rsidRPr="00465D65" w:rsidRDefault="00BE6C61" w:rsidP="001C0197">
      <w:pPr>
        <w:spacing w:line="276" w:lineRule="auto"/>
        <w:jc w:val="center"/>
        <w:rPr>
          <w:b/>
        </w:rPr>
      </w:pPr>
      <w:r w:rsidRPr="00465D65">
        <w:rPr>
          <w:b/>
        </w:rPr>
        <w:t>STV-127</w:t>
      </w:r>
    </w:p>
    <w:p w14:paraId="304DAC66" w14:textId="77777777" w:rsidR="00BB72F9" w:rsidRPr="00467ED9" w:rsidRDefault="00BB72F9" w:rsidP="001C0197">
      <w:pPr>
        <w:spacing w:line="276" w:lineRule="auto"/>
        <w:rPr>
          <w:rFonts w:eastAsia="Arial"/>
          <w:highlight w:val="yellow"/>
        </w:rPr>
      </w:pPr>
    </w:p>
    <w:p w14:paraId="2EDB8246" w14:textId="77777777" w:rsidR="00BB72F9" w:rsidRPr="00467ED9" w:rsidRDefault="00BB72F9" w:rsidP="001C0197">
      <w:pPr>
        <w:tabs>
          <w:tab w:val="left" w:pos="284"/>
        </w:tabs>
        <w:spacing w:line="276" w:lineRule="auto"/>
        <w:jc w:val="center"/>
        <w:outlineLvl w:val="0"/>
        <w:rPr>
          <w:rFonts w:eastAsia="Arial"/>
          <w:b/>
        </w:rPr>
      </w:pPr>
      <w:r w:rsidRPr="00467ED9">
        <w:rPr>
          <w:rFonts w:eastAsia="Arial"/>
          <w:b/>
        </w:rPr>
        <w:t>I. BENDROJI DALIS</w:t>
      </w:r>
    </w:p>
    <w:p w14:paraId="7DBCFE00" w14:textId="77777777" w:rsidR="00ED1AE2" w:rsidRDefault="00ED1AE2" w:rsidP="00ED1AE2">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ED1AE2" w14:paraId="5D245D78" w14:textId="77777777" w:rsidTr="00ED1AE2">
        <w:trPr>
          <w:trHeight w:val="538"/>
        </w:trPr>
        <w:tc>
          <w:tcPr>
            <w:tcW w:w="632" w:type="dxa"/>
            <w:tcBorders>
              <w:top w:val="single" w:sz="4" w:space="0" w:color="auto"/>
              <w:left w:val="single" w:sz="4" w:space="0" w:color="auto"/>
              <w:bottom w:val="single" w:sz="4" w:space="0" w:color="auto"/>
              <w:right w:val="single" w:sz="4" w:space="0" w:color="auto"/>
            </w:tcBorders>
            <w:hideMark/>
          </w:tcPr>
          <w:p w14:paraId="566947DA" w14:textId="77777777" w:rsidR="00ED1AE2" w:rsidRDefault="00ED1AE2">
            <w:pPr>
              <w:rPr>
                <w:rFonts w:eastAsia="Arial"/>
              </w:rPr>
            </w:pPr>
            <w:r>
              <w:rPr>
                <w:rFonts w:eastAsia="Arial"/>
              </w:rPr>
              <w:t>1.1</w:t>
            </w:r>
          </w:p>
        </w:tc>
        <w:tc>
          <w:tcPr>
            <w:tcW w:w="3694" w:type="dxa"/>
            <w:tcBorders>
              <w:top w:val="single" w:sz="4" w:space="0" w:color="auto"/>
              <w:left w:val="single" w:sz="4" w:space="0" w:color="auto"/>
              <w:bottom w:val="single" w:sz="4" w:space="0" w:color="auto"/>
              <w:right w:val="single" w:sz="4" w:space="0" w:color="auto"/>
            </w:tcBorders>
          </w:tcPr>
          <w:p w14:paraId="1FF647CB" w14:textId="77777777" w:rsidR="00ED1AE2" w:rsidRDefault="00ED1AE2">
            <w:pPr>
              <w:rPr>
                <w:rFonts w:eastAsia="Arial"/>
              </w:rPr>
            </w:pPr>
            <w:r>
              <w:rPr>
                <w:rFonts w:eastAsia="Arial"/>
              </w:rPr>
              <w:t>Pareiškėjas</w:t>
            </w:r>
          </w:p>
          <w:p w14:paraId="462D092B" w14:textId="77777777" w:rsidR="00ED1AE2" w:rsidRDefault="00ED1AE2">
            <w:pPr>
              <w:rPr>
                <w:rFonts w:eastAsia="Arial"/>
              </w:rPr>
            </w:pPr>
          </w:p>
        </w:tc>
        <w:tc>
          <w:tcPr>
            <w:tcW w:w="5167" w:type="dxa"/>
            <w:tcBorders>
              <w:top w:val="single" w:sz="4" w:space="0" w:color="auto"/>
              <w:left w:val="single" w:sz="4" w:space="0" w:color="auto"/>
              <w:bottom w:val="single" w:sz="4" w:space="0" w:color="auto"/>
              <w:right w:val="single" w:sz="4" w:space="0" w:color="auto"/>
            </w:tcBorders>
            <w:hideMark/>
          </w:tcPr>
          <w:p w14:paraId="48C588F8" w14:textId="77777777" w:rsidR="00ED1AE2" w:rsidRDefault="00ED1AE2">
            <w:pPr>
              <w:tabs>
                <w:tab w:val="left" w:pos="3659"/>
              </w:tabs>
              <w:rPr>
                <w:rFonts w:eastAsia="Arial"/>
              </w:rPr>
            </w:pPr>
            <w:r>
              <w:t>Novartis Europharm Ltd.</w:t>
            </w:r>
          </w:p>
        </w:tc>
      </w:tr>
      <w:tr w:rsidR="00ED1AE2" w14:paraId="4DB0F453" w14:textId="77777777" w:rsidTr="00ED1AE2">
        <w:trPr>
          <w:trHeight w:val="538"/>
        </w:trPr>
        <w:tc>
          <w:tcPr>
            <w:tcW w:w="632" w:type="dxa"/>
            <w:tcBorders>
              <w:top w:val="single" w:sz="4" w:space="0" w:color="auto"/>
              <w:left w:val="single" w:sz="4" w:space="0" w:color="auto"/>
              <w:bottom w:val="single" w:sz="4" w:space="0" w:color="auto"/>
              <w:right w:val="single" w:sz="4" w:space="0" w:color="auto"/>
            </w:tcBorders>
            <w:hideMark/>
          </w:tcPr>
          <w:p w14:paraId="5722BA74" w14:textId="77777777" w:rsidR="00ED1AE2" w:rsidRDefault="00ED1AE2">
            <w:pPr>
              <w:rPr>
                <w:rFonts w:eastAsia="Arial"/>
              </w:rPr>
            </w:pPr>
            <w:r>
              <w:rPr>
                <w:rFonts w:eastAsia="Arial"/>
              </w:rPr>
              <w:t>1.2</w:t>
            </w:r>
          </w:p>
        </w:tc>
        <w:tc>
          <w:tcPr>
            <w:tcW w:w="3694" w:type="dxa"/>
            <w:tcBorders>
              <w:top w:val="single" w:sz="4" w:space="0" w:color="auto"/>
              <w:left w:val="single" w:sz="4" w:space="0" w:color="auto"/>
              <w:bottom w:val="single" w:sz="4" w:space="0" w:color="auto"/>
              <w:right w:val="single" w:sz="4" w:space="0" w:color="auto"/>
            </w:tcBorders>
          </w:tcPr>
          <w:p w14:paraId="6A57E9A0" w14:textId="77777777" w:rsidR="00ED1AE2" w:rsidRDefault="00ED1AE2">
            <w:pPr>
              <w:rPr>
                <w:bCs/>
                <w:color w:val="000000"/>
                <w:lang w:eastAsia="lt-LT"/>
              </w:rPr>
            </w:pPr>
            <w:r>
              <w:rPr>
                <w:bCs/>
                <w:color w:val="000000"/>
                <w:lang w:eastAsia="lt-LT"/>
              </w:rPr>
              <w:t xml:space="preserve">Registracijos data </w:t>
            </w:r>
          </w:p>
          <w:p w14:paraId="49AA9822" w14:textId="77777777" w:rsidR="00ED1AE2" w:rsidRDefault="00ED1AE2">
            <w:pPr>
              <w:rPr>
                <w:bCs/>
                <w:color w:val="000000"/>
                <w:lang w:eastAsia="lt-LT"/>
              </w:rPr>
            </w:pPr>
          </w:p>
        </w:tc>
        <w:tc>
          <w:tcPr>
            <w:tcW w:w="5167" w:type="dxa"/>
            <w:tcBorders>
              <w:top w:val="single" w:sz="4" w:space="0" w:color="auto"/>
              <w:left w:val="single" w:sz="4" w:space="0" w:color="auto"/>
              <w:bottom w:val="single" w:sz="4" w:space="0" w:color="auto"/>
              <w:right w:val="single" w:sz="4" w:space="0" w:color="auto"/>
            </w:tcBorders>
            <w:hideMark/>
          </w:tcPr>
          <w:p w14:paraId="309B379B" w14:textId="77777777" w:rsidR="00ED1AE2" w:rsidRDefault="00000000">
            <w:pPr>
              <w:rPr>
                <w:rStyle w:val="Style2"/>
              </w:rPr>
            </w:pPr>
            <w:sdt>
              <w:sdtPr>
                <w:rPr>
                  <w:sz w:val="32"/>
                  <w:lang w:val="en-US"/>
                </w:rPr>
                <w:alias w:val="Nurodykite konkrečią dieną"/>
                <w:tag w:val="Nurodykite pradžios datą"/>
                <w:id w:val="-1202087992"/>
                <w:placeholder>
                  <w:docPart w:val="4135C5230BB94C14AF81223F72B6916A"/>
                </w:placeholder>
                <w:date w:fullDate="2022-08-25T00:00:00Z">
                  <w:dateFormat w:val="yyyy 'm.' MMMM d 'd.'"/>
                  <w:lid w:val="lt-LT"/>
                  <w:storeMappedDataAs w:val="dateTime"/>
                  <w:calendar w:val="gregorian"/>
                </w:date>
              </w:sdtPr>
              <w:sdtContent>
                <w:r w:rsidR="00ED1AE2">
                  <w:t>2022 m. rugpjūčio 25 d.</w:t>
                </w:r>
              </w:sdtContent>
            </w:sdt>
          </w:p>
        </w:tc>
      </w:tr>
      <w:tr w:rsidR="00ED1AE2" w14:paraId="12535809" w14:textId="77777777" w:rsidTr="00ED1AE2">
        <w:trPr>
          <w:trHeight w:val="1500"/>
        </w:trPr>
        <w:tc>
          <w:tcPr>
            <w:tcW w:w="632" w:type="dxa"/>
            <w:tcBorders>
              <w:top w:val="single" w:sz="4" w:space="0" w:color="auto"/>
              <w:left w:val="single" w:sz="4" w:space="0" w:color="auto"/>
              <w:bottom w:val="single" w:sz="4" w:space="0" w:color="auto"/>
              <w:right w:val="single" w:sz="4" w:space="0" w:color="auto"/>
            </w:tcBorders>
            <w:hideMark/>
          </w:tcPr>
          <w:p w14:paraId="1899E4C7" w14:textId="77777777" w:rsidR="00ED1AE2" w:rsidRDefault="00ED1AE2">
            <w:pPr>
              <w:rPr>
                <w:rFonts w:eastAsia="Arial"/>
              </w:rPr>
            </w:pPr>
            <w:r>
              <w:rPr>
                <w:rFonts w:eastAsia="Arial"/>
              </w:rPr>
              <w:t>1.3</w:t>
            </w:r>
          </w:p>
        </w:tc>
        <w:tc>
          <w:tcPr>
            <w:tcW w:w="3694" w:type="dxa"/>
            <w:tcBorders>
              <w:top w:val="single" w:sz="4" w:space="0" w:color="auto"/>
              <w:left w:val="single" w:sz="4" w:space="0" w:color="auto"/>
              <w:bottom w:val="single" w:sz="4" w:space="0" w:color="auto"/>
              <w:right w:val="single" w:sz="4" w:space="0" w:color="auto"/>
            </w:tcBorders>
          </w:tcPr>
          <w:p w14:paraId="62EA6ADA" w14:textId="77777777" w:rsidR="00ED1AE2" w:rsidRDefault="00ED1AE2">
            <w:r>
              <w:t xml:space="preserve">Paraiškos tipas </w:t>
            </w:r>
          </w:p>
          <w:p w14:paraId="56120EC0" w14:textId="77777777" w:rsidR="00ED1AE2" w:rsidRDefault="00ED1AE2">
            <w:r>
              <w:t xml:space="preserve">(pagal </w:t>
            </w:r>
            <w:r>
              <w:rPr>
                <w:color w:val="333333"/>
                <w:shd w:val="clear" w:color="auto" w:fill="FFFFFF"/>
              </w:rPr>
              <w:t>vaistinio preparato registracijos tipą, įtvirtintą</w:t>
            </w:r>
            <w:r>
              <w:t xml:space="preserve"> Direktyvos 2001/83/EB straipsiuose)</w:t>
            </w:r>
          </w:p>
          <w:p w14:paraId="0DCCC8A0" w14:textId="77777777" w:rsidR="00ED1AE2" w:rsidRDefault="00ED1AE2">
            <w:pPr>
              <w:rPr>
                <w:bCs/>
                <w:color w:val="000000"/>
                <w:lang w:eastAsia="lt-LT"/>
              </w:rPr>
            </w:pPr>
          </w:p>
        </w:tc>
        <w:tc>
          <w:tcPr>
            <w:tcW w:w="5167" w:type="dxa"/>
            <w:tcBorders>
              <w:top w:val="single" w:sz="4" w:space="0" w:color="auto"/>
              <w:left w:val="single" w:sz="4" w:space="0" w:color="auto"/>
              <w:bottom w:val="single" w:sz="4" w:space="0" w:color="auto"/>
              <w:right w:val="single" w:sz="4" w:space="0" w:color="auto"/>
            </w:tcBorders>
            <w:hideMark/>
          </w:tcPr>
          <w:p w14:paraId="043952AF" w14:textId="77777777" w:rsidR="00ED1AE2" w:rsidRDefault="00000000">
            <w:pPr>
              <w:rPr>
                <w:sz w:val="22"/>
                <w:szCs w:val="22"/>
              </w:rPr>
            </w:pPr>
            <w:sdt>
              <w:sdtPr>
                <w:rPr>
                  <w:rStyle w:val="Style2"/>
                  <w:sz w:val="22"/>
                  <w:szCs w:val="22"/>
                </w:rPr>
                <w:id w:val="526292078"/>
                <w14:checkbox>
                  <w14:checked w14:val="1"/>
                  <w14:checkedState w14:val="2612" w14:font="MS Gothic"/>
                  <w14:uncheckedState w14:val="2610" w14:font="MS Gothic"/>
                </w14:checkbox>
              </w:sdtPr>
              <w:sdtContent>
                <w:r w:rsidR="00ED1AE2">
                  <w:rPr>
                    <w:rStyle w:val="Style2"/>
                    <w:rFonts w:ascii="MS Gothic" w:eastAsia="MS Gothic" w:hAnsi="MS Gothic" w:hint="eastAsia"/>
                    <w:sz w:val="22"/>
                    <w:szCs w:val="22"/>
                    <w:lang w:val="en-US"/>
                  </w:rPr>
                  <w:t>☒</w:t>
                </w:r>
              </w:sdtContent>
            </w:sdt>
            <w:r w:rsidR="00ED1AE2">
              <w:rPr>
                <w:sz w:val="22"/>
                <w:szCs w:val="22"/>
              </w:rPr>
              <w:t xml:space="preserve">8.3 str. (pilna byla, pagrįsta savais tyrimais) </w:t>
            </w:r>
          </w:p>
          <w:p w14:paraId="2625ABAA" w14:textId="77777777" w:rsidR="00ED1AE2" w:rsidRDefault="00000000">
            <w:pPr>
              <w:rPr>
                <w:sz w:val="22"/>
                <w:szCs w:val="22"/>
              </w:rPr>
            </w:pPr>
            <w:sdt>
              <w:sdtPr>
                <w:rPr>
                  <w:rStyle w:val="Style2"/>
                  <w:sz w:val="22"/>
                  <w:szCs w:val="22"/>
                </w:rPr>
                <w:id w:val="-1497953736"/>
                <w14:checkbox>
                  <w14:checked w14:val="0"/>
                  <w14:checkedState w14:val="2612" w14:font="MS Gothic"/>
                  <w14:uncheckedState w14:val="2610" w14:font="MS Gothic"/>
                </w14:checkbox>
              </w:sdtPr>
              <w:sdtContent>
                <w:r w:rsidR="00ED1AE2">
                  <w:rPr>
                    <w:rStyle w:val="Style2"/>
                    <w:rFonts w:ascii="Segoe UI Symbol" w:eastAsia="MS Gothic" w:hAnsi="Segoe UI Symbol" w:cs="Segoe UI Symbol"/>
                    <w:sz w:val="22"/>
                    <w:szCs w:val="22"/>
                  </w:rPr>
                  <w:t>☐</w:t>
                </w:r>
              </w:sdtContent>
            </w:sdt>
            <w:r w:rsidR="00ED1AE2">
              <w:rPr>
                <w:sz w:val="22"/>
                <w:szCs w:val="22"/>
              </w:rPr>
              <w:t xml:space="preserve">10 a str. (pripažintas medicininis vartojimas) </w:t>
            </w:r>
          </w:p>
          <w:p w14:paraId="0E37530E" w14:textId="77777777" w:rsidR="00ED1AE2" w:rsidRDefault="00000000">
            <w:pPr>
              <w:rPr>
                <w:sz w:val="22"/>
                <w:szCs w:val="22"/>
              </w:rPr>
            </w:pPr>
            <w:sdt>
              <w:sdtPr>
                <w:rPr>
                  <w:rStyle w:val="Style2"/>
                  <w:sz w:val="22"/>
                  <w:szCs w:val="22"/>
                </w:rPr>
                <w:id w:val="204142496"/>
                <w14:checkbox>
                  <w14:checked w14:val="0"/>
                  <w14:checkedState w14:val="2612" w14:font="MS Gothic"/>
                  <w14:uncheckedState w14:val="2610" w14:font="MS Gothic"/>
                </w14:checkbox>
              </w:sdtPr>
              <w:sdtContent>
                <w:r w:rsidR="00ED1AE2">
                  <w:rPr>
                    <w:rStyle w:val="Style2"/>
                    <w:rFonts w:ascii="Segoe UI Symbol" w:eastAsia="MS Gothic" w:hAnsi="Segoe UI Symbol" w:cs="Segoe UI Symbol"/>
                    <w:sz w:val="22"/>
                    <w:szCs w:val="22"/>
                  </w:rPr>
                  <w:t>☐</w:t>
                </w:r>
              </w:sdtContent>
            </w:sdt>
            <w:r w:rsidR="00ED1AE2">
              <w:rPr>
                <w:sz w:val="22"/>
                <w:szCs w:val="22"/>
              </w:rPr>
              <w:t>10.1 str. (generinis)</w:t>
            </w:r>
          </w:p>
          <w:p w14:paraId="7B79FFB2" w14:textId="77777777" w:rsidR="00ED1AE2" w:rsidRDefault="00000000">
            <w:pPr>
              <w:rPr>
                <w:rStyle w:val="Style2"/>
              </w:rPr>
            </w:pPr>
            <w:sdt>
              <w:sdtPr>
                <w:rPr>
                  <w:rStyle w:val="Style2"/>
                  <w:sz w:val="22"/>
                  <w:szCs w:val="22"/>
                </w:rPr>
                <w:id w:val="820305101"/>
                <w14:checkbox>
                  <w14:checked w14:val="0"/>
                  <w14:checkedState w14:val="2612" w14:font="MS Gothic"/>
                  <w14:uncheckedState w14:val="2610" w14:font="MS Gothic"/>
                </w14:checkbox>
              </w:sdtPr>
              <w:sdtContent>
                <w:r w:rsidR="00ED1AE2">
                  <w:rPr>
                    <w:rStyle w:val="Style2"/>
                    <w:rFonts w:ascii="Segoe UI Symbol" w:eastAsia="MS Gothic" w:hAnsi="Segoe UI Symbol" w:cs="Segoe UI Symbol"/>
                    <w:sz w:val="22"/>
                    <w:szCs w:val="22"/>
                  </w:rPr>
                  <w:t>☐</w:t>
                </w:r>
              </w:sdtContent>
            </w:sdt>
            <w:r w:rsidR="00ED1AE2">
              <w:rPr>
                <w:sz w:val="22"/>
                <w:szCs w:val="22"/>
              </w:rPr>
              <w:t>10.3 str. (hibridinis)</w:t>
            </w:r>
          </w:p>
        </w:tc>
      </w:tr>
      <w:tr w:rsidR="00ED1AE2" w14:paraId="0317DD64" w14:textId="77777777" w:rsidTr="00ED1AE2">
        <w:trPr>
          <w:trHeight w:val="1442"/>
        </w:trPr>
        <w:tc>
          <w:tcPr>
            <w:tcW w:w="632" w:type="dxa"/>
            <w:tcBorders>
              <w:top w:val="single" w:sz="4" w:space="0" w:color="auto"/>
              <w:left w:val="single" w:sz="4" w:space="0" w:color="auto"/>
              <w:bottom w:val="single" w:sz="4" w:space="0" w:color="auto"/>
              <w:right w:val="single" w:sz="4" w:space="0" w:color="auto"/>
            </w:tcBorders>
            <w:hideMark/>
          </w:tcPr>
          <w:p w14:paraId="22651B3A" w14:textId="77777777" w:rsidR="00ED1AE2" w:rsidRDefault="00ED1AE2">
            <w:pPr>
              <w:rPr>
                <w:rFonts w:eastAsia="Arial"/>
              </w:rPr>
            </w:pPr>
            <w:r>
              <w:rPr>
                <w:rFonts w:eastAsia="Arial"/>
              </w:rPr>
              <w:t>1.4</w:t>
            </w:r>
          </w:p>
        </w:tc>
        <w:tc>
          <w:tcPr>
            <w:tcW w:w="3694" w:type="dxa"/>
            <w:tcBorders>
              <w:top w:val="single" w:sz="4" w:space="0" w:color="auto"/>
              <w:left w:val="single" w:sz="4" w:space="0" w:color="auto"/>
              <w:bottom w:val="single" w:sz="4" w:space="0" w:color="auto"/>
              <w:right w:val="single" w:sz="4" w:space="0" w:color="auto"/>
            </w:tcBorders>
          </w:tcPr>
          <w:p w14:paraId="1BD23E43" w14:textId="77777777" w:rsidR="00ED1AE2" w:rsidRDefault="00ED1AE2">
            <w:pPr>
              <w:rPr>
                <w:bCs/>
                <w:color w:val="000000"/>
                <w:lang w:eastAsia="lt-LT"/>
              </w:rPr>
            </w:pPr>
            <w:r>
              <w:rPr>
                <w:bCs/>
                <w:color w:val="000000"/>
                <w:lang w:eastAsia="lt-LT"/>
              </w:rPr>
              <w:t xml:space="preserve">Ar vaistinis preparatas įrašytas į Bendrijos retųjų vaistinių preparatų registrą? </w:t>
            </w:r>
          </w:p>
          <w:p w14:paraId="6BAB6109" w14:textId="77777777" w:rsidR="00ED1AE2" w:rsidRDefault="00ED1AE2">
            <w:pPr>
              <w:rPr>
                <w:bCs/>
                <w:color w:val="000000"/>
                <w:lang w:eastAsia="lt-LT"/>
              </w:rPr>
            </w:pPr>
          </w:p>
        </w:tc>
        <w:tc>
          <w:tcPr>
            <w:tcW w:w="5167" w:type="dxa"/>
            <w:tcBorders>
              <w:top w:val="single" w:sz="4" w:space="0" w:color="auto"/>
              <w:left w:val="single" w:sz="4" w:space="0" w:color="auto"/>
              <w:bottom w:val="single" w:sz="4" w:space="0" w:color="auto"/>
              <w:right w:val="single" w:sz="4" w:space="0" w:color="auto"/>
            </w:tcBorders>
            <w:hideMark/>
          </w:tcPr>
          <w:p w14:paraId="28B6882A" w14:textId="77777777" w:rsidR="00ED1AE2" w:rsidRDefault="00ED1AE2">
            <w:pPr>
              <w:spacing w:line="276" w:lineRule="auto"/>
            </w:pPr>
            <w:r>
              <w:rPr>
                <w:rStyle w:val="Style2"/>
                <w:rFonts w:ascii="Segoe UI Symbol" w:eastAsia="MS Gothic" w:hAnsi="Segoe UI Symbol" w:cs="Segoe UI Symbol"/>
              </w:rPr>
              <w:t>☒</w:t>
            </w:r>
            <w:r>
              <w:t xml:space="preserve"> Taip</w:t>
            </w:r>
          </w:p>
          <w:p w14:paraId="7D926A54" w14:textId="77777777" w:rsidR="00ED1AE2" w:rsidRDefault="00ED1AE2">
            <w:pPr>
              <w:spacing w:line="276" w:lineRule="auto"/>
            </w:pPr>
            <w:r>
              <w:rPr>
                <w:rStyle w:val="Style2"/>
                <w:rFonts w:ascii="Segoe UI Symbol" w:eastAsia="MS Gothic" w:hAnsi="Segoe UI Symbol" w:cs="Segoe UI Symbol"/>
              </w:rPr>
              <w:t>☐</w:t>
            </w:r>
            <w:r>
              <w:t xml:space="preserve"> Ne</w:t>
            </w:r>
          </w:p>
          <w:p w14:paraId="750605C2" w14:textId="77777777" w:rsidR="00ED1AE2" w:rsidRDefault="00000000">
            <w:pPr>
              <w:rPr>
                <w:rFonts w:eastAsia="Arial"/>
              </w:rPr>
            </w:pPr>
            <w:sdt>
              <w:sdtPr>
                <w:rPr>
                  <w:color w:val="000000"/>
                  <w:lang w:eastAsia="lt-LT"/>
                </w:rPr>
                <w:alias w:val="Nurodykite konkrečią dieną"/>
                <w:tag w:val="Nurodykite pradžios datą"/>
                <w:id w:val="1876885430"/>
                <w:placeholder>
                  <w:docPart w:val="30F0F19DC9604C97AF5F245EEFB25C0C"/>
                </w:placeholder>
                <w:date w:fullDate="2020-03-24T00:00:00Z">
                  <w:dateFormat w:val="yyyy 'm.' MMMM d 'd.'"/>
                  <w:lid w:val="lt-LT"/>
                  <w:storeMappedDataAs w:val="dateTime"/>
                  <w:calendar w:val="gregorian"/>
                </w:date>
              </w:sdtPr>
              <w:sdtContent>
                <w:r w:rsidR="00ED1AE2">
                  <w:rPr>
                    <w:color w:val="000000"/>
                    <w:lang w:eastAsia="lt-LT"/>
                  </w:rPr>
                  <w:t>2020 m. kovo 24 d.</w:t>
                </w:r>
              </w:sdtContent>
            </w:sdt>
          </w:p>
        </w:tc>
      </w:tr>
      <w:tr w:rsidR="00ED1AE2" w14:paraId="377564C1" w14:textId="77777777" w:rsidTr="00ED1AE2">
        <w:trPr>
          <w:trHeight w:val="476"/>
        </w:trPr>
        <w:tc>
          <w:tcPr>
            <w:tcW w:w="632" w:type="dxa"/>
            <w:tcBorders>
              <w:top w:val="single" w:sz="4" w:space="0" w:color="auto"/>
              <w:left w:val="single" w:sz="4" w:space="0" w:color="auto"/>
              <w:bottom w:val="single" w:sz="4" w:space="0" w:color="auto"/>
              <w:right w:val="single" w:sz="4" w:space="0" w:color="auto"/>
            </w:tcBorders>
            <w:hideMark/>
          </w:tcPr>
          <w:p w14:paraId="4594E6D2" w14:textId="77777777" w:rsidR="00ED1AE2" w:rsidRDefault="00ED1AE2">
            <w:pPr>
              <w:rPr>
                <w:rFonts w:eastAsia="Arial"/>
              </w:rPr>
            </w:pPr>
            <w:r>
              <w:rPr>
                <w:rFonts w:eastAsia="Arial"/>
              </w:rPr>
              <w:t>1.5</w:t>
            </w:r>
          </w:p>
        </w:tc>
        <w:tc>
          <w:tcPr>
            <w:tcW w:w="3694" w:type="dxa"/>
            <w:tcBorders>
              <w:top w:val="single" w:sz="4" w:space="0" w:color="auto"/>
              <w:left w:val="single" w:sz="4" w:space="0" w:color="auto"/>
              <w:bottom w:val="single" w:sz="4" w:space="0" w:color="auto"/>
              <w:right w:val="single" w:sz="4" w:space="0" w:color="auto"/>
            </w:tcBorders>
            <w:hideMark/>
          </w:tcPr>
          <w:p w14:paraId="7C67E78C" w14:textId="77777777" w:rsidR="00ED1AE2" w:rsidRDefault="00ED1AE2">
            <w:pPr>
              <w:rPr>
                <w:bCs/>
                <w:color w:val="000000"/>
                <w:lang w:eastAsia="lt-LT"/>
              </w:rPr>
            </w:pPr>
            <w:r>
              <w:t>STV paraiškos pobūdis</w:t>
            </w:r>
          </w:p>
        </w:tc>
        <w:tc>
          <w:tcPr>
            <w:tcW w:w="5167" w:type="dxa"/>
            <w:tcBorders>
              <w:top w:val="single" w:sz="4" w:space="0" w:color="auto"/>
              <w:left w:val="single" w:sz="4" w:space="0" w:color="auto"/>
              <w:bottom w:val="single" w:sz="4" w:space="0" w:color="auto"/>
              <w:right w:val="single" w:sz="4" w:space="0" w:color="auto"/>
            </w:tcBorders>
            <w:hideMark/>
          </w:tcPr>
          <w:p w14:paraId="392ACDDC" w14:textId="77777777" w:rsidR="00ED1AE2" w:rsidRDefault="00000000">
            <w:sdt>
              <w:sdtPr>
                <w:rPr>
                  <w:rStyle w:val="Style2"/>
                </w:rPr>
                <w:id w:val="-468433535"/>
                <w14:checkbox>
                  <w14:checked w14:val="1"/>
                  <w14:checkedState w14:val="2612" w14:font="MS Gothic"/>
                  <w14:uncheckedState w14:val="2610" w14:font="MS Gothic"/>
                </w14:checkbox>
              </w:sdtPr>
              <w:sdtContent>
                <w:r w:rsidR="00ED1AE2">
                  <w:rPr>
                    <w:rStyle w:val="Style2"/>
                    <w:rFonts w:ascii="MS Gothic" w:eastAsia="MS Gothic" w:hAnsi="MS Gothic" w:hint="eastAsia"/>
                    <w:lang w:val="en-US"/>
                  </w:rPr>
                  <w:t>☒</w:t>
                </w:r>
              </w:sdtContent>
            </w:sdt>
            <w:r w:rsidR="00ED1AE2">
              <w:t xml:space="preserve"> Pilna paraiška</w:t>
            </w:r>
          </w:p>
          <w:p w14:paraId="3A284F42" w14:textId="77777777" w:rsidR="00ED1AE2" w:rsidRDefault="00000000">
            <w:sdt>
              <w:sdtPr>
                <w:rPr>
                  <w:rStyle w:val="Style2"/>
                </w:rPr>
                <w:id w:val="-1489014904"/>
                <w14:checkbox>
                  <w14:checked w14:val="0"/>
                  <w14:checkedState w14:val="2612" w14:font="MS Gothic"/>
                  <w14:uncheckedState w14:val="2610" w14:font="MS Gothic"/>
                </w14:checkbox>
              </w:sdtPr>
              <w:sdtContent>
                <w:r w:rsidR="00ED1AE2">
                  <w:rPr>
                    <w:rStyle w:val="Style2"/>
                    <w:rFonts w:ascii="MS Gothic" w:eastAsia="MS Gothic" w:hAnsi="MS Gothic" w:hint="eastAsia"/>
                    <w:lang w:val="en-US"/>
                  </w:rPr>
                  <w:t>☐</w:t>
                </w:r>
              </w:sdtContent>
            </w:sdt>
            <w:r w:rsidR="00ED1AE2">
              <w:t xml:space="preserve"> Supaprastinta paraiška</w:t>
            </w:r>
          </w:p>
        </w:tc>
      </w:tr>
      <w:tr w:rsidR="00ED1AE2" w14:paraId="4CC6B9B9" w14:textId="77777777" w:rsidTr="00ED1AE2">
        <w:trPr>
          <w:trHeight w:val="1922"/>
        </w:trPr>
        <w:tc>
          <w:tcPr>
            <w:tcW w:w="632" w:type="dxa"/>
            <w:tcBorders>
              <w:top w:val="single" w:sz="4" w:space="0" w:color="auto"/>
              <w:left w:val="single" w:sz="4" w:space="0" w:color="auto"/>
              <w:bottom w:val="single" w:sz="4" w:space="0" w:color="auto"/>
              <w:right w:val="single" w:sz="4" w:space="0" w:color="auto"/>
            </w:tcBorders>
            <w:hideMark/>
          </w:tcPr>
          <w:p w14:paraId="2DA7086C" w14:textId="77777777" w:rsidR="00ED1AE2" w:rsidRDefault="00ED1AE2">
            <w:pPr>
              <w:rPr>
                <w:rFonts w:eastAsia="Arial"/>
              </w:rPr>
            </w:pPr>
            <w:r>
              <w:rPr>
                <w:rFonts w:eastAsia="Arial"/>
              </w:rPr>
              <w:lastRenderedPageBreak/>
              <w:t>1.6</w:t>
            </w:r>
          </w:p>
        </w:tc>
        <w:tc>
          <w:tcPr>
            <w:tcW w:w="3694" w:type="dxa"/>
            <w:tcBorders>
              <w:top w:val="single" w:sz="4" w:space="0" w:color="auto"/>
              <w:left w:val="single" w:sz="4" w:space="0" w:color="auto"/>
              <w:bottom w:val="single" w:sz="4" w:space="0" w:color="auto"/>
              <w:right w:val="single" w:sz="4" w:space="0" w:color="auto"/>
            </w:tcBorders>
          </w:tcPr>
          <w:p w14:paraId="7BFAD592" w14:textId="77777777" w:rsidR="00ED1AE2" w:rsidRDefault="00ED1AE2">
            <w:pPr>
              <w:rPr>
                <w:bCs/>
                <w:color w:val="000000"/>
                <w:lang w:eastAsia="lt-LT"/>
              </w:rPr>
            </w:pPr>
            <w:r>
              <w:rPr>
                <w:bCs/>
                <w:color w:val="000000"/>
                <w:lang w:eastAsia="lt-LT"/>
              </w:rPr>
              <w:t>Pareiškėjo teikiama (-os) kompensuoti vaistinio preparato indikacija (-os)</w:t>
            </w:r>
          </w:p>
          <w:p w14:paraId="60E04709" w14:textId="77777777" w:rsidR="00ED1AE2" w:rsidRDefault="00ED1AE2">
            <w:pPr>
              <w:rPr>
                <w:bCs/>
                <w:color w:val="000000"/>
                <w:lang w:eastAsia="lt-LT"/>
              </w:rPr>
            </w:pPr>
          </w:p>
          <w:p w14:paraId="17120DFF" w14:textId="77777777" w:rsidR="00ED1AE2" w:rsidRDefault="00ED1AE2">
            <w:pPr>
              <w:rPr>
                <w:bCs/>
                <w:color w:val="000000"/>
                <w:lang w:eastAsia="lt-LT"/>
              </w:rPr>
            </w:pPr>
          </w:p>
          <w:p w14:paraId="2AAFAE6E" w14:textId="77777777" w:rsidR="00ED1AE2" w:rsidRDefault="00ED1AE2">
            <w:pPr>
              <w:rPr>
                <w:bCs/>
                <w:color w:val="000000"/>
                <w:lang w:eastAsia="lt-LT"/>
              </w:rPr>
            </w:pPr>
          </w:p>
          <w:p w14:paraId="30C36DAE" w14:textId="77777777" w:rsidR="00ED1AE2" w:rsidRDefault="00ED1AE2">
            <w:pPr>
              <w:rPr>
                <w:bCs/>
                <w:color w:val="000000"/>
                <w:lang w:eastAsia="lt-LT"/>
              </w:rPr>
            </w:pPr>
          </w:p>
          <w:p w14:paraId="54537D22" w14:textId="77777777" w:rsidR="00ED1AE2" w:rsidRDefault="00ED1AE2">
            <w:pPr>
              <w:rPr>
                <w:bCs/>
                <w:color w:val="000000"/>
                <w:lang w:eastAsia="lt-LT"/>
              </w:rPr>
            </w:pPr>
            <w:r>
              <w:rPr>
                <w:bCs/>
                <w:color w:val="000000"/>
                <w:lang w:eastAsia="lt-LT"/>
              </w:rPr>
              <w:t>Kodas pagal TLK-10 AM</w:t>
            </w:r>
          </w:p>
        </w:tc>
        <w:tc>
          <w:tcPr>
            <w:tcW w:w="5167" w:type="dxa"/>
            <w:tcBorders>
              <w:top w:val="single" w:sz="4" w:space="0" w:color="auto"/>
              <w:left w:val="single" w:sz="4" w:space="0" w:color="auto"/>
              <w:bottom w:val="single" w:sz="4" w:space="0" w:color="auto"/>
              <w:right w:val="single" w:sz="4" w:space="0" w:color="auto"/>
            </w:tcBorders>
            <w:hideMark/>
          </w:tcPr>
          <w:p w14:paraId="21F461C9" w14:textId="77777777" w:rsidR="00ED1AE2" w:rsidRDefault="00ED1AE2">
            <w:pPr>
              <w:pStyle w:val="Sraopastraipa"/>
              <w:spacing w:line="276" w:lineRule="auto"/>
              <w:ind w:left="0"/>
              <w:jc w:val="both"/>
            </w:pPr>
            <w:r>
              <w:t>Scemblix skirtas gydyti suaugusiems pacientams, kuriems diagnozuota lėtinės fazės Philadelphia chromosomai teigiama lėtinė mieloidinė leukemija (Ph+ LML-LF) bei kuriems anksčiau buvo skirtas gydymas dviem ar daugiau tirozinkinazės inhibitorių.</w:t>
            </w:r>
          </w:p>
          <w:p w14:paraId="37582D18" w14:textId="77777777" w:rsidR="00ED1AE2" w:rsidRDefault="00ED1AE2">
            <w:pPr>
              <w:pStyle w:val="Sraopastraipa"/>
              <w:spacing w:after="120" w:line="276" w:lineRule="auto"/>
              <w:ind w:left="0"/>
              <w:jc w:val="both"/>
            </w:pPr>
            <w:r>
              <w:t>TLK-10-AM kodas: C92.1.</w:t>
            </w:r>
          </w:p>
        </w:tc>
      </w:tr>
      <w:tr w:rsidR="00ED1AE2" w14:paraId="4261AD7E" w14:textId="77777777" w:rsidTr="00ED1AE2">
        <w:trPr>
          <w:trHeight w:val="378"/>
        </w:trPr>
        <w:tc>
          <w:tcPr>
            <w:tcW w:w="632" w:type="dxa"/>
            <w:tcBorders>
              <w:top w:val="single" w:sz="4" w:space="0" w:color="auto"/>
              <w:left w:val="single" w:sz="4" w:space="0" w:color="auto"/>
              <w:bottom w:val="single" w:sz="4" w:space="0" w:color="auto"/>
              <w:right w:val="single" w:sz="4" w:space="0" w:color="auto"/>
            </w:tcBorders>
            <w:hideMark/>
          </w:tcPr>
          <w:p w14:paraId="7ECFDD66" w14:textId="77777777" w:rsidR="00ED1AE2" w:rsidRDefault="00ED1AE2">
            <w:pPr>
              <w:rPr>
                <w:rFonts w:eastAsia="Arial"/>
              </w:rPr>
            </w:pPr>
            <w:r>
              <w:rPr>
                <w:rFonts w:eastAsia="Arial"/>
              </w:rPr>
              <w:t>1.6</w:t>
            </w:r>
          </w:p>
        </w:tc>
        <w:tc>
          <w:tcPr>
            <w:tcW w:w="3694" w:type="dxa"/>
            <w:tcBorders>
              <w:top w:val="single" w:sz="4" w:space="0" w:color="auto"/>
              <w:left w:val="single" w:sz="4" w:space="0" w:color="auto"/>
              <w:bottom w:val="single" w:sz="4" w:space="0" w:color="auto"/>
              <w:right w:val="single" w:sz="4" w:space="0" w:color="auto"/>
            </w:tcBorders>
            <w:hideMark/>
          </w:tcPr>
          <w:p w14:paraId="076D812D" w14:textId="77777777" w:rsidR="00ED1AE2" w:rsidRDefault="00ED1AE2">
            <w:pPr>
              <w:rPr>
                <w:bCs/>
                <w:color w:val="000000"/>
                <w:u w:val="single"/>
                <w:lang w:eastAsia="lt-LT"/>
              </w:rPr>
            </w:pPr>
            <w:r>
              <w:rPr>
                <w:bCs/>
                <w:color w:val="000000"/>
                <w:lang w:eastAsia="lt-LT"/>
              </w:rPr>
              <w:t xml:space="preserve">Pareiškėjo teikiamos skyrimo sąlygos </w:t>
            </w:r>
          </w:p>
        </w:tc>
        <w:tc>
          <w:tcPr>
            <w:tcW w:w="5167" w:type="dxa"/>
            <w:tcBorders>
              <w:top w:val="single" w:sz="4" w:space="0" w:color="auto"/>
              <w:left w:val="single" w:sz="4" w:space="0" w:color="auto"/>
              <w:bottom w:val="single" w:sz="4" w:space="0" w:color="auto"/>
              <w:right w:val="single" w:sz="4" w:space="0" w:color="auto"/>
            </w:tcBorders>
            <w:hideMark/>
          </w:tcPr>
          <w:p w14:paraId="0F015D37" w14:textId="77777777" w:rsidR="00ED1AE2" w:rsidRDefault="00ED1AE2">
            <w:r>
              <w:rPr>
                <w:rFonts w:eastAsia="TimesNewRoman"/>
              </w:rPr>
              <w:t>Skyrimo sąlygų nesiūloma. Kompensuoti pagal registruotą indikaciją.</w:t>
            </w:r>
          </w:p>
        </w:tc>
      </w:tr>
      <w:tr w:rsidR="00ED1AE2" w14:paraId="237C19FD" w14:textId="77777777" w:rsidTr="00ED1AE2">
        <w:trPr>
          <w:trHeight w:val="378"/>
        </w:trPr>
        <w:tc>
          <w:tcPr>
            <w:tcW w:w="632" w:type="dxa"/>
            <w:tcBorders>
              <w:top w:val="single" w:sz="4" w:space="0" w:color="auto"/>
              <w:left w:val="single" w:sz="4" w:space="0" w:color="auto"/>
              <w:bottom w:val="single" w:sz="4" w:space="0" w:color="auto"/>
              <w:right w:val="single" w:sz="4" w:space="0" w:color="auto"/>
            </w:tcBorders>
            <w:hideMark/>
          </w:tcPr>
          <w:p w14:paraId="3849A28D" w14:textId="77777777" w:rsidR="00ED1AE2" w:rsidRDefault="00ED1AE2">
            <w:pPr>
              <w:rPr>
                <w:rFonts w:eastAsia="Arial"/>
              </w:rPr>
            </w:pPr>
            <w:r>
              <w:rPr>
                <w:rFonts w:eastAsia="Arial"/>
              </w:rPr>
              <w:t>1.7</w:t>
            </w:r>
          </w:p>
        </w:tc>
        <w:tc>
          <w:tcPr>
            <w:tcW w:w="3694" w:type="dxa"/>
            <w:tcBorders>
              <w:top w:val="single" w:sz="4" w:space="0" w:color="auto"/>
              <w:left w:val="single" w:sz="4" w:space="0" w:color="auto"/>
              <w:bottom w:val="single" w:sz="4" w:space="0" w:color="auto"/>
              <w:right w:val="single" w:sz="4" w:space="0" w:color="auto"/>
            </w:tcBorders>
          </w:tcPr>
          <w:p w14:paraId="7BEDC4A6" w14:textId="77777777" w:rsidR="00ED1AE2" w:rsidRDefault="00ED1AE2">
            <w:pPr>
              <w:rPr>
                <w:bCs/>
                <w:color w:val="000000"/>
                <w:lang w:eastAsia="lt-LT"/>
              </w:rPr>
            </w:pPr>
            <w:r>
              <w:rPr>
                <w:bCs/>
                <w:color w:val="000000"/>
                <w:lang w:eastAsia="lt-LT"/>
              </w:rPr>
              <w:t xml:space="preserve">Pareiškėjo teikiamas palyginamasis gydymas: </w:t>
            </w:r>
          </w:p>
          <w:p w14:paraId="6B9E14CE" w14:textId="77777777" w:rsidR="00ED1AE2" w:rsidRDefault="00ED1AE2">
            <w:pPr>
              <w:rPr>
                <w:bCs/>
                <w:i/>
                <w:color w:val="000000"/>
                <w:lang w:eastAsia="lt-LT"/>
              </w:rPr>
            </w:pPr>
            <w:r>
              <w:rPr>
                <w:bCs/>
                <w:i/>
                <w:color w:val="000000"/>
                <w:lang w:eastAsia="lt-LT"/>
              </w:rPr>
              <w:t>Tiesioginis (</w:t>
            </w:r>
            <w:r>
              <w:t>bozutinibas)</w:t>
            </w:r>
          </w:p>
          <w:p w14:paraId="2A911075" w14:textId="77777777" w:rsidR="00ED1AE2" w:rsidRDefault="00ED1AE2">
            <w:pPr>
              <w:rPr>
                <w:bCs/>
                <w:i/>
                <w:color w:val="000000"/>
                <w:lang w:eastAsia="lt-LT"/>
              </w:rPr>
            </w:pPr>
          </w:p>
          <w:p w14:paraId="1A312874" w14:textId="77777777" w:rsidR="00ED1AE2" w:rsidRDefault="00ED1AE2">
            <w:pPr>
              <w:rPr>
                <w:bCs/>
                <w:i/>
                <w:color w:val="000000"/>
                <w:lang w:eastAsia="lt-LT"/>
              </w:rPr>
            </w:pPr>
          </w:p>
          <w:p w14:paraId="6AE9BCB6" w14:textId="77777777" w:rsidR="00ED1AE2" w:rsidRDefault="00ED1AE2">
            <w:pPr>
              <w:rPr>
                <w:bCs/>
                <w:i/>
                <w:color w:val="000000"/>
                <w:lang w:eastAsia="lt-LT"/>
              </w:rPr>
            </w:pPr>
            <w:r>
              <w:rPr>
                <w:bCs/>
                <w:i/>
                <w:color w:val="000000"/>
                <w:lang w:eastAsia="lt-LT"/>
              </w:rPr>
              <w:t>Netiesioginis (</w:t>
            </w:r>
            <w:r>
              <w:rPr>
                <w:rFonts w:eastAsia="Arial"/>
                <w:bCs/>
              </w:rPr>
              <w:t>dazatinibas – pagrindinis)</w:t>
            </w:r>
          </w:p>
          <w:p w14:paraId="23F97267" w14:textId="77777777" w:rsidR="00ED1AE2" w:rsidRDefault="00ED1AE2">
            <w:pPr>
              <w:rPr>
                <w:bCs/>
                <w:color w:val="000000"/>
                <w:lang w:eastAsia="lt-LT"/>
              </w:rPr>
            </w:pPr>
          </w:p>
          <w:p w14:paraId="33A69CA1" w14:textId="77777777" w:rsidR="00ED1AE2" w:rsidRDefault="00ED1AE2">
            <w:pPr>
              <w:rPr>
                <w:bCs/>
                <w:color w:val="000000"/>
                <w:lang w:eastAsia="lt-LT"/>
              </w:rPr>
            </w:pPr>
          </w:p>
        </w:tc>
        <w:tc>
          <w:tcPr>
            <w:tcW w:w="5167" w:type="dxa"/>
            <w:tcBorders>
              <w:top w:val="single" w:sz="4" w:space="0" w:color="auto"/>
              <w:left w:val="single" w:sz="4" w:space="0" w:color="auto"/>
              <w:bottom w:val="single" w:sz="4" w:space="0" w:color="auto"/>
              <w:right w:val="single" w:sz="4" w:space="0" w:color="auto"/>
            </w:tcBorders>
          </w:tcPr>
          <w:p w14:paraId="19D3A3B5" w14:textId="77777777" w:rsidR="00ED1AE2" w:rsidRDefault="00ED1AE2">
            <w:pPr>
              <w:rPr>
                <w:rStyle w:val="Style2"/>
              </w:rPr>
            </w:pPr>
          </w:p>
          <w:p w14:paraId="673C1AB6" w14:textId="77777777" w:rsidR="00ED1AE2" w:rsidRDefault="00000000">
            <w:sdt>
              <w:sdtPr>
                <w:rPr>
                  <w:rStyle w:val="Style2"/>
                </w:rPr>
                <w:id w:val="1190800823"/>
                <w14:checkbox>
                  <w14:checked w14:val="1"/>
                  <w14:checkedState w14:val="2612" w14:font="MS Gothic"/>
                  <w14:uncheckedState w14:val="2610" w14:font="MS Gothic"/>
                </w14:checkbox>
              </w:sdtPr>
              <w:sdtContent>
                <w:r w:rsidR="00ED1AE2">
                  <w:rPr>
                    <w:rStyle w:val="Style2"/>
                    <w:rFonts w:ascii="MS Gothic" w:eastAsia="MS Gothic" w:hAnsi="MS Gothic" w:hint="eastAsia"/>
                    <w:lang w:val="en-US"/>
                  </w:rPr>
                  <w:t>☒</w:t>
                </w:r>
              </w:sdtContent>
            </w:sdt>
            <w:r w:rsidR="00ED1AE2">
              <w:t xml:space="preserve"> Tinkamas</w:t>
            </w:r>
          </w:p>
          <w:p w14:paraId="07D9AEA8" w14:textId="77777777" w:rsidR="00ED1AE2" w:rsidRDefault="00000000">
            <w:pPr>
              <w:rPr>
                <w:rStyle w:val="Style2"/>
              </w:rPr>
            </w:pPr>
            <w:sdt>
              <w:sdtPr>
                <w:rPr>
                  <w:rStyle w:val="Style2"/>
                </w:rPr>
                <w:id w:val="588045667"/>
                <w14:checkbox>
                  <w14:checked w14:val="0"/>
                  <w14:checkedState w14:val="2612" w14:font="MS Gothic"/>
                  <w14:uncheckedState w14:val="2610" w14:font="MS Gothic"/>
                </w14:checkbox>
              </w:sdtPr>
              <w:sdtContent>
                <w:r w:rsidR="00ED1AE2">
                  <w:rPr>
                    <w:rStyle w:val="Style2"/>
                    <w:rFonts w:ascii="MS Gothic" w:eastAsia="MS Gothic" w:hAnsi="MS Gothic" w:hint="eastAsia"/>
                    <w:lang w:val="en-US"/>
                  </w:rPr>
                  <w:t>☐</w:t>
                </w:r>
              </w:sdtContent>
            </w:sdt>
            <w:r w:rsidR="00ED1AE2">
              <w:t xml:space="preserve"> Netinkamas</w:t>
            </w:r>
          </w:p>
          <w:p w14:paraId="450E2425" w14:textId="77777777" w:rsidR="00ED1AE2" w:rsidRDefault="00ED1AE2">
            <w:pPr>
              <w:rPr>
                <w:rStyle w:val="Style2"/>
              </w:rPr>
            </w:pPr>
          </w:p>
          <w:p w14:paraId="4A8D735C" w14:textId="77777777" w:rsidR="00ED1AE2" w:rsidRDefault="00ED1AE2">
            <w:pPr>
              <w:rPr>
                <w:rStyle w:val="Style2"/>
              </w:rPr>
            </w:pPr>
          </w:p>
          <w:p w14:paraId="2F8F7B0C" w14:textId="77777777" w:rsidR="00ED1AE2" w:rsidRDefault="00000000">
            <w:sdt>
              <w:sdtPr>
                <w:rPr>
                  <w:rStyle w:val="Style2"/>
                </w:rPr>
                <w:id w:val="-834302966"/>
                <w14:checkbox>
                  <w14:checked w14:val="1"/>
                  <w14:checkedState w14:val="2612" w14:font="MS Gothic"/>
                  <w14:uncheckedState w14:val="2610" w14:font="MS Gothic"/>
                </w14:checkbox>
              </w:sdtPr>
              <w:sdtContent>
                <w:r w:rsidR="00ED1AE2">
                  <w:rPr>
                    <w:rStyle w:val="Style2"/>
                    <w:rFonts w:ascii="MS Gothic" w:eastAsia="MS Gothic" w:hAnsi="MS Gothic" w:hint="eastAsia"/>
                    <w:lang w:val="en-US"/>
                  </w:rPr>
                  <w:t>☒</w:t>
                </w:r>
              </w:sdtContent>
            </w:sdt>
            <w:r w:rsidR="00ED1AE2">
              <w:t xml:space="preserve"> Tinkamas</w:t>
            </w:r>
          </w:p>
          <w:p w14:paraId="2E70410B" w14:textId="77777777" w:rsidR="00ED1AE2" w:rsidRDefault="00000000">
            <w:sdt>
              <w:sdtPr>
                <w:rPr>
                  <w:rStyle w:val="Style2"/>
                </w:rPr>
                <w:id w:val="-352420698"/>
                <w14:checkbox>
                  <w14:checked w14:val="0"/>
                  <w14:checkedState w14:val="2612" w14:font="MS Gothic"/>
                  <w14:uncheckedState w14:val="2610" w14:font="MS Gothic"/>
                </w14:checkbox>
              </w:sdtPr>
              <w:sdtContent>
                <w:r w:rsidR="00ED1AE2">
                  <w:rPr>
                    <w:rStyle w:val="Style2"/>
                    <w:rFonts w:ascii="MS Gothic" w:eastAsia="MS Gothic" w:hAnsi="MS Gothic" w:hint="eastAsia"/>
                    <w:lang w:val="en-US"/>
                  </w:rPr>
                  <w:t>☐</w:t>
                </w:r>
              </w:sdtContent>
            </w:sdt>
            <w:r w:rsidR="00ED1AE2">
              <w:t xml:space="preserve"> Netinkamas</w:t>
            </w:r>
          </w:p>
        </w:tc>
      </w:tr>
    </w:tbl>
    <w:p w14:paraId="6AFDD453" w14:textId="77777777" w:rsidR="00ED1AE2" w:rsidRDefault="00ED1AE2" w:rsidP="00ED1AE2">
      <w:pPr>
        <w:spacing w:line="276" w:lineRule="auto"/>
        <w:rPr>
          <w:rFonts w:eastAsia="Arial"/>
          <w:highlight w:val="yellow"/>
        </w:rPr>
      </w:pPr>
    </w:p>
    <w:p w14:paraId="27D3E529" w14:textId="77777777" w:rsidR="00BB72F9" w:rsidRPr="00467ED9" w:rsidRDefault="00BB72F9" w:rsidP="001C0197">
      <w:pPr>
        <w:spacing w:line="276" w:lineRule="auto"/>
        <w:rPr>
          <w:rFonts w:eastAsia="Arial"/>
          <w:highlight w:val="yellow"/>
        </w:rPr>
      </w:pPr>
    </w:p>
    <w:p w14:paraId="070B1656" w14:textId="77777777" w:rsidR="00BB72F9" w:rsidRPr="00E7241C" w:rsidRDefault="00BB72F9" w:rsidP="001C0197">
      <w:pPr>
        <w:spacing w:line="276" w:lineRule="auto"/>
        <w:rPr>
          <w:rFonts w:eastAsia="Arial"/>
          <w:b/>
        </w:rPr>
      </w:pPr>
      <w:r w:rsidRPr="00E7241C">
        <w:rPr>
          <w:rFonts w:eastAsia="Arial"/>
          <w:b/>
        </w:rPr>
        <w:t>1.10 Kitų valstybių atsakingų institucijų atlikto Sveikatos technologijų vertinimo (toliau – STV)</w:t>
      </w:r>
      <w:r>
        <w:rPr>
          <w:rFonts w:eastAsia="Arial"/>
          <w:b/>
        </w:rPr>
        <w:t xml:space="preserve"> </w:t>
      </w:r>
      <w:r w:rsidRPr="00E7241C">
        <w:rPr>
          <w:rFonts w:eastAsia="Arial"/>
          <w:b/>
        </w:rPr>
        <w:t>vertinimo išvados</w:t>
      </w:r>
    </w:p>
    <w:p w14:paraId="4F64A850" w14:textId="77777777" w:rsidR="00BB72F9" w:rsidRPr="00467ED9" w:rsidRDefault="00BB72F9" w:rsidP="001C0197">
      <w:pPr>
        <w:spacing w:line="276" w:lineRule="auto"/>
        <w:rPr>
          <w:rFonts w:eastAsia="Arial"/>
          <w:highlight w:val="yellow"/>
        </w:rPr>
      </w:pPr>
    </w:p>
    <w:tbl>
      <w:tblPr>
        <w:tblStyle w:val="Lentelstinklelis"/>
        <w:tblW w:w="9918" w:type="dxa"/>
        <w:tblLook w:val="04A0" w:firstRow="1" w:lastRow="0" w:firstColumn="1" w:lastColumn="0" w:noHBand="0" w:noVBand="1"/>
      </w:tblPr>
      <w:tblGrid>
        <w:gridCol w:w="2927"/>
        <w:gridCol w:w="1915"/>
        <w:gridCol w:w="2351"/>
        <w:gridCol w:w="2725"/>
      </w:tblGrid>
      <w:tr w:rsidR="00BE6C61" w:rsidRPr="00465D65" w14:paraId="3B41A9D3" w14:textId="77777777" w:rsidTr="00337BBD">
        <w:trPr>
          <w:trHeight w:val="924"/>
        </w:trPr>
        <w:tc>
          <w:tcPr>
            <w:tcW w:w="2927" w:type="dxa"/>
          </w:tcPr>
          <w:p w14:paraId="78416F6D" w14:textId="77777777" w:rsidR="00BE6C61" w:rsidRPr="00465D65" w:rsidRDefault="00BE6C61" w:rsidP="001C0197">
            <w:pPr>
              <w:spacing w:line="276" w:lineRule="auto"/>
              <w:rPr>
                <w:rFonts w:eastAsia="Arial"/>
              </w:rPr>
            </w:pPr>
            <w:r w:rsidRPr="00465D65">
              <w:rPr>
                <w:rFonts w:eastAsia="Arial"/>
              </w:rPr>
              <w:t>STV agentūros pavadinimas, šalis</w:t>
            </w:r>
          </w:p>
        </w:tc>
        <w:tc>
          <w:tcPr>
            <w:tcW w:w="1915" w:type="dxa"/>
          </w:tcPr>
          <w:p w14:paraId="015CAA9A" w14:textId="77777777" w:rsidR="00BE6C61" w:rsidRPr="00465D65" w:rsidRDefault="00BE6C61" w:rsidP="001C0197">
            <w:pPr>
              <w:spacing w:line="276" w:lineRule="auto"/>
              <w:rPr>
                <w:rFonts w:eastAsia="Arial"/>
              </w:rPr>
            </w:pPr>
            <w:r w:rsidRPr="00465D65">
              <w:rPr>
                <w:rFonts w:eastAsia="Arial"/>
              </w:rPr>
              <w:t>STV vertinimas atliktas</w:t>
            </w:r>
          </w:p>
        </w:tc>
        <w:tc>
          <w:tcPr>
            <w:tcW w:w="2351" w:type="dxa"/>
          </w:tcPr>
          <w:p w14:paraId="5B098F1D" w14:textId="77777777" w:rsidR="00BE6C61" w:rsidRPr="00465D65" w:rsidRDefault="00BE6C61" w:rsidP="001C0197">
            <w:pPr>
              <w:spacing w:line="276" w:lineRule="auto"/>
              <w:rPr>
                <w:rFonts w:eastAsia="Arial"/>
              </w:rPr>
            </w:pPr>
            <w:r w:rsidRPr="00465D65">
              <w:rPr>
                <w:rFonts w:eastAsia="Arial"/>
              </w:rPr>
              <w:t>Klinikinio vertinimo išvada</w:t>
            </w:r>
          </w:p>
        </w:tc>
        <w:tc>
          <w:tcPr>
            <w:tcW w:w="2725" w:type="dxa"/>
          </w:tcPr>
          <w:p w14:paraId="18C43C15" w14:textId="77777777" w:rsidR="00BE6C61" w:rsidRPr="00465D65" w:rsidRDefault="00BE6C61" w:rsidP="001C0197">
            <w:pPr>
              <w:spacing w:line="276" w:lineRule="auto"/>
              <w:rPr>
                <w:rFonts w:eastAsia="Arial"/>
              </w:rPr>
            </w:pPr>
            <w:r w:rsidRPr="00465D65">
              <w:rPr>
                <w:rFonts w:eastAsia="Arial"/>
              </w:rPr>
              <w:t>Farmakoekonominio vertinimo išvada</w:t>
            </w:r>
          </w:p>
        </w:tc>
      </w:tr>
      <w:tr w:rsidR="00BE6C61" w:rsidRPr="00465D65" w14:paraId="2E2E6F8F" w14:textId="77777777" w:rsidTr="00337BBD">
        <w:trPr>
          <w:trHeight w:val="1765"/>
        </w:trPr>
        <w:tc>
          <w:tcPr>
            <w:tcW w:w="2927" w:type="dxa"/>
          </w:tcPr>
          <w:p w14:paraId="611CE655" w14:textId="77777777" w:rsidR="00BE6C61" w:rsidRPr="00465D65" w:rsidRDefault="00BE6C61" w:rsidP="001C0197">
            <w:pPr>
              <w:autoSpaceDE w:val="0"/>
              <w:autoSpaceDN w:val="0"/>
              <w:adjustRightInd w:val="0"/>
              <w:spacing w:line="276" w:lineRule="auto"/>
              <w:rPr>
                <w:bCs/>
              </w:rPr>
            </w:pPr>
            <w:r w:rsidRPr="00465D65">
              <w:rPr>
                <w:bCs/>
              </w:rPr>
              <w:t>Nacionalinis sveikatos ir klinikinės kompetencijos institutas, Didžioji Britanija</w:t>
            </w:r>
          </w:p>
          <w:p w14:paraId="2CBD2D30" w14:textId="77777777" w:rsidR="00BE6C61" w:rsidRPr="00465D65" w:rsidRDefault="00BE6C61" w:rsidP="001C0197">
            <w:pPr>
              <w:spacing w:line="276" w:lineRule="auto"/>
              <w:rPr>
                <w:rFonts w:eastAsia="Arial"/>
              </w:rPr>
            </w:pPr>
            <w:r w:rsidRPr="00465D65">
              <w:rPr>
                <w:rFonts w:eastAsia="Arial"/>
              </w:rPr>
              <w:t xml:space="preserve">(angl. </w:t>
            </w:r>
            <w:r w:rsidRPr="00465D65">
              <w:rPr>
                <w:rFonts w:eastAsia="Arial"/>
                <w:i/>
              </w:rPr>
              <w:t>National Institute for Health and Care Excellence, NICE</w:t>
            </w:r>
            <w:r w:rsidRPr="00465D65">
              <w:rPr>
                <w:rFonts w:eastAsia="Arial"/>
              </w:rPr>
              <w:t>)</w:t>
            </w:r>
          </w:p>
        </w:tc>
        <w:tc>
          <w:tcPr>
            <w:tcW w:w="1915" w:type="dxa"/>
          </w:tcPr>
          <w:p w14:paraId="707B49E6" w14:textId="77777777" w:rsidR="00BE6C61" w:rsidRPr="00465D65" w:rsidRDefault="00BE6C61" w:rsidP="001C0197">
            <w:pPr>
              <w:spacing w:line="276" w:lineRule="auto"/>
            </w:pPr>
            <w:r w:rsidRPr="00465D65">
              <w:rPr>
                <w:rStyle w:val="Style2"/>
                <w:rFonts w:ascii="Segoe UI Symbol" w:eastAsia="MS Gothic" w:hAnsi="Segoe UI Symbol" w:cs="Segoe UI Symbol"/>
              </w:rPr>
              <w:t>☒</w:t>
            </w:r>
            <w:r w:rsidRPr="00465D65">
              <w:t xml:space="preserve"> Taip</w:t>
            </w:r>
          </w:p>
          <w:p w14:paraId="44CEF6FD" w14:textId="77777777" w:rsidR="00BE6C61" w:rsidRPr="00465D65" w:rsidRDefault="00BE6C61" w:rsidP="001C0197">
            <w:pPr>
              <w:spacing w:line="276" w:lineRule="auto"/>
            </w:pPr>
            <w:r w:rsidRPr="00465D65">
              <w:rPr>
                <w:rStyle w:val="Style2"/>
                <w:rFonts w:ascii="Segoe UI Symbol" w:eastAsia="MS Gothic" w:hAnsi="Segoe UI Symbol" w:cs="Segoe UI Symbol"/>
              </w:rPr>
              <w:t>☐</w:t>
            </w:r>
            <w:r w:rsidRPr="00465D65">
              <w:t xml:space="preserve"> Ne</w:t>
            </w:r>
          </w:p>
          <w:p w14:paraId="52E61A41" w14:textId="77777777" w:rsidR="00BE6C61" w:rsidRPr="00465D65" w:rsidRDefault="00000000" w:rsidP="001C0197">
            <w:pPr>
              <w:spacing w:line="276" w:lineRule="auto"/>
              <w:rPr>
                <w:rFonts w:eastAsia="Arial"/>
              </w:rPr>
            </w:pPr>
            <w:sdt>
              <w:sdtPr>
                <w:alias w:val="Nurodykite konkrečią dieną"/>
                <w:tag w:val="Nurodykite pradžios datą"/>
                <w:id w:val="922837954"/>
                <w:placeholder>
                  <w:docPart w:val="642C737A5803469D9880D6E45B933996"/>
                </w:placeholder>
                <w15:color w:val="FFCC99"/>
                <w:date w:fullDate="2022-08-03T00:00:00Z">
                  <w:dateFormat w:val="yyyy 'm.' MMMM d 'd.'"/>
                  <w:lid w:val="lt-LT"/>
                  <w:storeMappedDataAs w:val="dateTime"/>
                  <w:calendar w:val="gregorian"/>
                </w:date>
              </w:sdtPr>
              <w:sdtContent>
                <w:r w:rsidR="00BE6C61" w:rsidRPr="00465D65">
                  <w:t>2022 m. rugpjūčio 3 d.</w:t>
                </w:r>
              </w:sdtContent>
            </w:sdt>
          </w:p>
        </w:tc>
        <w:tc>
          <w:tcPr>
            <w:tcW w:w="5076" w:type="dxa"/>
            <w:gridSpan w:val="2"/>
          </w:tcPr>
          <w:p w14:paraId="608A215A" w14:textId="77777777" w:rsidR="00BE6C61" w:rsidRPr="00465D65" w:rsidRDefault="00BE6C61" w:rsidP="001C0197">
            <w:pPr>
              <w:spacing w:line="276" w:lineRule="auto"/>
              <w:jc w:val="both"/>
              <w:rPr>
                <w:rFonts w:eastAsia="Arial"/>
              </w:rPr>
            </w:pPr>
            <w:r w:rsidRPr="00465D65">
              <w:rPr>
                <w:color w:val="000000"/>
                <w:lang w:eastAsia="lt-LT"/>
              </w:rPr>
              <w:t>NICE rekomenduoja</w:t>
            </w:r>
            <w:r w:rsidRPr="00465D65">
              <w:rPr>
                <w:rFonts w:eastAsia="Arial"/>
              </w:rPr>
              <w:t xml:space="preserve"> asciminibą vartoti kaip alternatyvą lėtinės fazės Filadelfijos chromosomai teigiamai lėtinei mieloidinei leukemijai be T315I mutacijos gydyti po 2 ar daugiau tirozino kinazės inhibitorių. Rekomenduojama tik tuo atveju, jei įmonė tiekia asciminibą pagal komercinį susitarimą.</w:t>
            </w:r>
          </w:p>
        </w:tc>
      </w:tr>
      <w:tr w:rsidR="00BE6C61" w:rsidRPr="00465D65" w14:paraId="49047DD8" w14:textId="77777777" w:rsidTr="00337BBD">
        <w:trPr>
          <w:trHeight w:val="1547"/>
        </w:trPr>
        <w:tc>
          <w:tcPr>
            <w:tcW w:w="2927" w:type="dxa"/>
          </w:tcPr>
          <w:p w14:paraId="467A9013" w14:textId="77777777" w:rsidR="00BE6C61" w:rsidRPr="00465D65" w:rsidRDefault="00BE6C61" w:rsidP="001C0197">
            <w:pPr>
              <w:spacing w:line="276" w:lineRule="auto"/>
              <w:rPr>
                <w:rFonts w:eastAsia="Arial"/>
              </w:rPr>
            </w:pPr>
            <w:r w:rsidRPr="00465D65">
              <w:rPr>
                <w:rFonts w:eastAsia="Arial"/>
              </w:rPr>
              <w:t>Kanados sveikatos technologijų agentūra</w:t>
            </w:r>
          </w:p>
          <w:p w14:paraId="66F5FB8C" w14:textId="77777777" w:rsidR="00BE6C61" w:rsidRPr="00465D65" w:rsidRDefault="00BE6C61" w:rsidP="001C0197">
            <w:pPr>
              <w:spacing w:line="276" w:lineRule="auto"/>
              <w:rPr>
                <w:rFonts w:eastAsia="Arial"/>
              </w:rPr>
            </w:pPr>
            <w:r w:rsidRPr="00465D65">
              <w:rPr>
                <w:rFonts w:eastAsia="Arial"/>
              </w:rPr>
              <w:t xml:space="preserve">(angl. </w:t>
            </w:r>
            <w:r w:rsidRPr="00465D65">
              <w:rPr>
                <w:rFonts w:eastAsia="Arial"/>
                <w:i/>
              </w:rPr>
              <w:t>Canadian health Technology Assessment agency, CADTH</w:t>
            </w:r>
            <w:r w:rsidRPr="00465D65">
              <w:rPr>
                <w:rFonts w:eastAsia="Arial"/>
              </w:rPr>
              <w:t>)</w:t>
            </w:r>
          </w:p>
        </w:tc>
        <w:tc>
          <w:tcPr>
            <w:tcW w:w="1915" w:type="dxa"/>
          </w:tcPr>
          <w:p w14:paraId="05C0111D" w14:textId="77777777" w:rsidR="00BE6C61" w:rsidRPr="00465D65" w:rsidRDefault="00BE6C61" w:rsidP="001C0197">
            <w:pPr>
              <w:spacing w:line="276" w:lineRule="auto"/>
            </w:pPr>
            <w:r w:rsidRPr="00465D65">
              <w:rPr>
                <w:rStyle w:val="Style2"/>
                <w:rFonts w:ascii="Segoe UI Symbol" w:eastAsia="MS Gothic" w:hAnsi="Segoe UI Symbol" w:cs="Segoe UI Symbol"/>
              </w:rPr>
              <w:t>☒</w:t>
            </w:r>
            <w:r w:rsidRPr="00465D65">
              <w:t xml:space="preserve"> Taip</w:t>
            </w:r>
          </w:p>
          <w:p w14:paraId="345D448D" w14:textId="77777777" w:rsidR="00BE6C61" w:rsidRPr="00465D65" w:rsidRDefault="00BE6C61" w:rsidP="001C0197">
            <w:pPr>
              <w:spacing w:line="276" w:lineRule="auto"/>
            </w:pPr>
            <w:r w:rsidRPr="00465D65">
              <w:rPr>
                <w:rStyle w:val="Style2"/>
                <w:rFonts w:ascii="Segoe UI Symbol" w:eastAsia="MS Gothic" w:hAnsi="Segoe UI Symbol" w:cs="Segoe UI Symbol"/>
              </w:rPr>
              <w:t>☐</w:t>
            </w:r>
            <w:r w:rsidRPr="00465D65">
              <w:t xml:space="preserve"> Ne</w:t>
            </w:r>
          </w:p>
          <w:p w14:paraId="791BA5D8" w14:textId="77777777" w:rsidR="00BE6C61" w:rsidRPr="00465D65" w:rsidRDefault="00000000" w:rsidP="001C0197">
            <w:pPr>
              <w:spacing w:line="276" w:lineRule="auto"/>
              <w:rPr>
                <w:rFonts w:eastAsia="Arial"/>
              </w:rPr>
            </w:pPr>
            <w:sdt>
              <w:sdtPr>
                <w:alias w:val="Nurodykite konkrečią dieną"/>
                <w:tag w:val="Nurodykite pradžios datą"/>
                <w:id w:val="1072468416"/>
                <w:placeholder>
                  <w:docPart w:val="4A81882903324F5F99B65B49D9212EC2"/>
                </w:placeholder>
                <w15:color w:val="FFCC99"/>
                <w:date w:fullDate="2022-08-23T00:00:00Z">
                  <w:dateFormat w:val="yyyy 'm.' MMMM d 'd.'"/>
                  <w:lid w:val="lt-LT"/>
                  <w:storeMappedDataAs w:val="dateTime"/>
                  <w:calendar w:val="gregorian"/>
                </w:date>
              </w:sdtPr>
              <w:sdtContent>
                <w:r w:rsidR="00BE6C61" w:rsidRPr="00465D65">
                  <w:t>2022 m. rugpjūčio 23 d.</w:t>
                </w:r>
              </w:sdtContent>
            </w:sdt>
          </w:p>
        </w:tc>
        <w:tc>
          <w:tcPr>
            <w:tcW w:w="5076" w:type="dxa"/>
            <w:gridSpan w:val="2"/>
          </w:tcPr>
          <w:p w14:paraId="34B63A64" w14:textId="77777777" w:rsidR="00BE6C61" w:rsidRPr="00465D65" w:rsidRDefault="00BE6C61" w:rsidP="001C0197">
            <w:pPr>
              <w:spacing w:line="276" w:lineRule="auto"/>
              <w:jc w:val="both"/>
              <w:rPr>
                <w:color w:val="000000"/>
                <w:lang w:eastAsia="lt-LT"/>
              </w:rPr>
            </w:pPr>
            <w:r w:rsidRPr="00465D65">
              <w:rPr>
                <w:color w:val="000000"/>
                <w:lang w:eastAsia="lt-LT"/>
              </w:rPr>
              <w:t xml:space="preserve">CADTH rekomenduoja, kad Scemblix būtų kompensuojamas pagal viešuosius vaistų planus </w:t>
            </w:r>
            <w:r w:rsidRPr="00465D65">
              <w:t>Philadelphia</w:t>
            </w:r>
            <w:r w:rsidRPr="00465D65">
              <w:rPr>
                <w:color w:val="000000"/>
                <w:lang w:eastAsia="lt-LT"/>
              </w:rPr>
              <w:t xml:space="preserve"> chromosomų teigiamos lėtinės mieloidinės leukemijos (Ph+ LML) gydymui, jei tenkinamos tam tikros sąlygos:</w:t>
            </w:r>
          </w:p>
          <w:p w14:paraId="4DEAEFF6" w14:textId="77777777" w:rsidR="00BE6C61" w:rsidRPr="00465D65" w:rsidRDefault="00BE6C61" w:rsidP="001C0197">
            <w:pPr>
              <w:pStyle w:val="Sraopastraipa"/>
              <w:numPr>
                <w:ilvl w:val="0"/>
                <w:numId w:val="15"/>
              </w:numPr>
              <w:spacing w:line="276" w:lineRule="auto"/>
              <w:jc w:val="both"/>
              <w:rPr>
                <w:rFonts w:eastAsia="Arial"/>
              </w:rPr>
            </w:pPr>
            <w:r w:rsidRPr="00465D65">
              <w:rPr>
                <w:color w:val="000000"/>
                <w:lang w:eastAsia="lt-LT"/>
              </w:rPr>
              <w:t>Scemblix turėtų būti kompensuojamas sumažinus Scemblix kainą.</w:t>
            </w:r>
          </w:p>
        </w:tc>
      </w:tr>
      <w:tr w:rsidR="00BE6C61" w:rsidRPr="00465D65" w14:paraId="745B6A70" w14:textId="77777777" w:rsidTr="00337BBD">
        <w:trPr>
          <w:trHeight w:val="1927"/>
        </w:trPr>
        <w:tc>
          <w:tcPr>
            <w:tcW w:w="2927" w:type="dxa"/>
          </w:tcPr>
          <w:p w14:paraId="4C5C9A44" w14:textId="77777777" w:rsidR="00BE6C61" w:rsidRPr="00465D65" w:rsidRDefault="00BE6C61" w:rsidP="001C0197">
            <w:pPr>
              <w:spacing w:line="276" w:lineRule="auto"/>
              <w:rPr>
                <w:rFonts w:eastAsia="Arial"/>
              </w:rPr>
            </w:pPr>
            <w:r w:rsidRPr="00465D65">
              <w:rPr>
                <w:rFonts w:eastAsia="Arial"/>
              </w:rPr>
              <w:lastRenderedPageBreak/>
              <w:t>Nacionalinis farmakoekonomikos centras, Airija</w:t>
            </w:r>
          </w:p>
          <w:p w14:paraId="1796F188" w14:textId="77777777" w:rsidR="00BE6C61" w:rsidRPr="00465D65" w:rsidRDefault="00BE6C61" w:rsidP="001C0197">
            <w:pPr>
              <w:spacing w:line="276" w:lineRule="auto"/>
              <w:rPr>
                <w:rFonts w:eastAsia="Arial"/>
              </w:rPr>
            </w:pPr>
            <w:r w:rsidRPr="00465D65">
              <w:rPr>
                <w:rFonts w:eastAsia="Arial"/>
              </w:rPr>
              <w:t>(angl.</w:t>
            </w:r>
            <w:r w:rsidRPr="00465D65">
              <w:rPr>
                <w:rFonts w:eastAsia="Arial"/>
                <w:i/>
              </w:rPr>
              <w:t xml:space="preserve"> National Centre for Pharmacoeconomics, NCPE</w:t>
            </w:r>
            <w:r w:rsidRPr="00465D65">
              <w:rPr>
                <w:rFonts w:eastAsia="Arial"/>
              </w:rPr>
              <w:t>)</w:t>
            </w:r>
          </w:p>
        </w:tc>
        <w:tc>
          <w:tcPr>
            <w:tcW w:w="1915" w:type="dxa"/>
          </w:tcPr>
          <w:p w14:paraId="14BCA52F" w14:textId="77777777" w:rsidR="00BE6C61" w:rsidRPr="00465D65" w:rsidRDefault="00BE6C61" w:rsidP="001C0197">
            <w:pPr>
              <w:spacing w:line="276" w:lineRule="auto"/>
            </w:pPr>
            <w:r w:rsidRPr="00465D65">
              <w:rPr>
                <w:rStyle w:val="Style2"/>
                <w:rFonts w:ascii="Segoe UI Symbol" w:eastAsia="MS Gothic" w:hAnsi="Segoe UI Symbol" w:cs="Segoe UI Symbol"/>
              </w:rPr>
              <w:t>☒</w:t>
            </w:r>
            <w:r w:rsidRPr="00465D65">
              <w:t xml:space="preserve"> Taip</w:t>
            </w:r>
          </w:p>
          <w:p w14:paraId="2419A716" w14:textId="77777777" w:rsidR="00BE6C61" w:rsidRPr="00465D65" w:rsidRDefault="00BE6C61" w:rsidP="001C0197">
            <w:pPr>
              <w:spacing w:line="276" w:lineRule="auto"/>
            </w:pPr>
            <w:r w:rsidRPr="00465D65">
              <w:rPr>
                <w:rStyle w:val="Style2"/>
                <w:rFonts w:ascii="Segoe UI Symbol" w:eastAsia="MS Gothic" w:hAnsi="Segoe UI Symbol" w:cs="Segoe UI Symbol"/>
              </w:rPr>
              <w:t>☐</w:t>
            </w:r>
            <w:r w:rsidRPr="00465D65">
              <w:t xml:space="preserve"> Ne</w:t>
            </w:r>
          </w:p>
          <w:p w14:paraId="072BB483" w14:textId="77777777" w:rsidR="00BE6C61" w:rsidRPr="00465D65" w:rsidRDefault="00000000" w:rsidP="001C0197">
            <w:pPr>
              <w:spacing w:line="276" w:lineRule="auto"/>
              <w:rPr>
                <w:rFonts w:eastAsia="Arial"/>
              </w:rPr>
            </w:pPr>
            <w:sdt>
              <w:sdtPr>
                <w:alias w:val="Nurodykite konkrečią dieną"/>
                <w:tag w:val="Nurodykite pradžios datą"/>
                <w:id w:val="-198323198"/>
                <w:placeholder>
                  <w:docPart w:val="4C67A6A735994CFE811A4ED7B93E8780"/>
                </w:placeholder>
                <w15:color w:val="FFCC99"/>
                <w:date>
                  <w:dateFormat w:val="yyyy 'm.' MMMM d 'd.'"/>
                  <w:lid w:val="lt-LT"/>
                  <w:storeMappedDataAs w:val="dateTime"/>
                  <w:calendar w:val="gregorian"/>
                </w:date>
              </w:sdtPr>
              <w:sdtContent>
                <w:r w:rsidR="00BE6C61" w:rsidRPr="00465D65">
                  <w:t>2023 m. lapkričio mėn.</w:t>
                </w:r>
              </w:sdtContent>
            </w:sdt>
          </w:p>
        </w:tc>
        <w:tc>
          <w:tcPr>
            <w:tcW w:w="5076" w:type="dxa"/>
            <w:gridSpan w:val="2"/>
          </w:tcPr>
          <w:p w14:paraId="32B8BDF0" w14:textId="77777777" w:rsidR="00BE6C61" w:rsidRPr="00465D65" w:rsidRDefault="00BE6C61" w:rsidP="001C0197">
            <w:pPr>
              <w:spacing w:line="276" w:lineRule="auto"/>
              <w:jc w:val="both"/>
              <w:rPr>
                <w:rFonts w:eastAsia="Arial"/>
              </w:rPr>
            </w:pPr>
            <w:r w:rsidRPr="00465D65">
              <w:rPr>
                <w:rFonts w:eastAsia="Arial"/>
              </w:rPr>
              <w:t xml:space="preserve">NCPE patvirtino Scemblix </w:t>
            </w:r>
            <w:r w:rsidRPr="00465D65">
              <w:rPr>
                <w:color w:val="000000"/>
                <w:lang w:eastAsia="lt-LT"/>
              </w:rPr>
              <w:t xml:space="preserve">kompensavimą </w:t>
            </w:r>
            <w:r w:rsidRPr="00465D65">
              <w:t>Philadelphia</w:t>
            </w:r>
            <w:r w:rsidRPr="00465D65">
              <w:rPr>
                <w:color w:val="000000"/>
                <w:lang w:eastAsia="lt-LT"/>
              </w:rPr>
              <w:t xml:space="preserve"> chromosomų teigiamos lėtinės mieloidinės leukemijos (Ph+ LML) gydymui lėtinėje fazėje, kai prieš tai buvvo skirti du ir daugiau tirozino kinazės inhibitorių.</w:t>
            </w:r>
          </w:p>
        </w:tc>
      </w:tr>
    </w:tbl>
    <w:p w14:paraId="0F48419E" w14:textId="77777777" w:rsidR="00BB72F9" w:rsidRPr="00467ED9" w:rsidRDefault="00BB72F9" w:rsidP="001C0197">
      <w:pPr>
        <w:spacing w:line="276" w:lineRule="auto"/>
        <w:rPr>
          <w:rFonts w:eastAsia="Arial"/>
          <w:highlight w:val="yellow"/>
        </w:rPr>
      </w:pPr>
    </w:p>
    <w:p w14:paraId="73290081" w14:textId="25123B4C" w:rsidR="007A2B68" w:rsidRDefault="007A2B68" w:rsidP="001C0197">
      <w:pPr>
        <w:spacing w:line="276" w:lineRule="auto"/>
        <w:rPr>
          <w:b/>
          <w:bCs/>
          <w:caps/>
        </w:rPr>
      </w:pPr>
    </w:p>
    <w:p w14:paraId="5055E8A8" w14:textId="471A9757" w:rsidR="002E6F80" w:rsidRPr="00E33EFF" w:rsidRDefault="00CC7832" w:rsidP="001C0197">
      <w:pPr>
        <w:pStyle w:val="Sraopastraipa"/>
        <w:numPr>
          <w:ilvl w:val="0"/>
          <w:numId w:val="12"/>
        </w:numPr>
        <w:tabs>
          <w:tab w:val="left" w:pos="567"/>
        </w:tabs>
        <w:spacing w:line="276" w:lineRule="auto"/>
        <w:ind w:hanging="720"/>
        <w:rPr>
          <w:b/>
          <w:bCs/>
          <w:caps/>
        </w:rPr>
      </w:pPr>
      <w:r w:rsidRPr="00E33EFF">
        <w:rPr>
          <w:b/>
          <w:bCs/>
          <w:caps/>
        </w:rPr>
        <w:t>Klinikinio vertinimo a</w:t>
      </w:r>
      <w:r w:rsidR="00D4485B" w:rsidRPr="00E33EFF">
        <w:rPr>
          <w:b/>
          <w:bCs/>
          <w:caps/>
        </w:rPr>
        <w:t>pibendrinimas</w:t>
      </w:r>
    </w:p>
    <w:p w14:paraId="2A77BF59" w14:textId="77777777" w:rsidR="00BB72F9" w:rsidRDefault="00BB72F9" w:rsidP="001C0197">
      <w:pPr>
        <w:spacing w:line="276" w:lineRule="auto"/>
        <w:ind w:firstLine="720"/>
        <w:jc w:val="both"/>
        <w:rPr>
          <w:rFonts w:eastAsia="Arial"/>
        </w:rPr>
      </w:pPr>
    </w:p>
    <w:p w14:paraId="55DE41BF" w14:textId="77777777" w:rsidR="00BE6C61" w:rsidRPr="00465D65" w:rsidRDefault="00BE6C61" w:rsidP="001C0197">
      <w:pPr>
        <w:pStyle w:val="0TEXT"/>
        <w:spacing w:line="276" w:lineRule="auto"/>
        <w:rPr>
          <w:lang w:val="lt-LT"/>
        </w:rPr>
      </w:pPr>
      <w:r w:rsidRPr="00465D65">
        <w:rPr>
          <w:lang w:val="lt-LT"/>
        </w:rPr>
        <w:t xml:space="preserve">Lėtinė mieloleukemija (LML) yra lėtai progresuojanti kraujo ir kaulų čiulpų liga, kuri paprastai pasireiškia vyresniame amžiuje ir labai retai pasireiškia vaikams. LML prasideda nuo kamieninių ląstelių pokyčių. LML sergantiems pacientams nustatoma vadinamoji Filadelfijos chromosoma, kuri susidaro tuomet, kai susikeičia 9–osios ir 22–osios chromosomų dalys. Filadelfijos chromosomoje esantis </w:t>
      </w:r>
      <w:r w:rsidRPr="00465D65">
        <w:rPr>
          <w:i/>
          <w:iCs/>
          <w:lang w:val="lt-LT"/>
        </w:rPr>
        <w:t>BCR::ABL</w:t>
      </w:r>
      <w:r w:rsidRPr="00465D65">
        <w:rPr>
          <w:lang w:val="lt-LT"/>
        </w:rPr>
        <w:t xml:space="preserve"> genas koduoja baltymą tirozinkinazę, kuris kontroliuoja kamieninių ląstelių virtimą baltaisiais kraujo kūneliais (granuliocitais ar blastais). Sveiko žmogaus organizme kraujo ląstelių dalijimasis yra kontroliuojamas. Sergant LML ši funkcija sutrinka. </w:t>
      </w:r>
    </w:p>
    <w:p w14:paraId="4A8D304D" w14:textId="77777777" w:rsidR="00BE6C61" w:rsidRPr="00465D65" w:rsidRDefault="00BE6C61" w:rsidP="001C0197">
      <w:pPr>
        <w:pStyle w:val="0TEXT"/>
        <w:spacing w:line="276" w:lineRule="auto"/>
        <w:rPr>
          <w:highlight w:val="yellow"/>
          <w:lang w:val="lt-LT"/>
        </w:rPr>
      </w:pPr>
      <w:r w:rsidRPr="00465D65">
        <w:rPr>
          <w:lang w:val="lt-LT"/>
        </w:rPr>
        <w:t>Filadelfijos chromosoma yra aptinkama 90</w:t>
      </w:r>
      <w:r>
        <w:rPr>
          <w:lang w:val="lt-LT"/>
        </w:rPr>
        <w:t xml:space="preserve"> proc.</w:t>
      </w:r>
      <w:r w:rsidRPr="00465D65">
        <w:rPr>
          <w:lang w:val="lt-LT"/>
        </w:rPr>
        <w:t xml:space="preserve"> </w:t>
      </w:r>
      <w:r>
        <w:rPr>
          <w:lang w:val="lt-LT"/>
        </w:rPr>
        <w:t>L</w:t>
      </w:r>
      <w:r w:rsidRPr="00465D65">
        <w:rPr>
          <w:lang w:val="lt-LT"/>
        </w:rPr>
        <w:t>ML pacientų. LML sudaro apie 15</w:t>
      </w:r>
      <w:r>
        <w:rPr>
          <w:lang w:val="lt-LT"/>
        </w:rPr>
        <w:t xml:space="preserve"> proc.</w:t>
      </w:r>
      <w:r w:rsidRPr="00465D65">
        <w:rPr>
          <w:lang w:val="lt-LT"/>
        </w:rPr>
        <w:t xml:space="preserve"> visų leukemijų. Lietuvoje 2000 ir 2013 metų laikotarpyje buvo 601 naujai diagnozuotas ligos atvejis, kurie buvo užregistruoti HESS registre, tai sudarė 1,28 atvejo 100 000 gyventojų, vidutinis pacientų amžius diagnozuojant ligą buvo 62 metai. Lyginant 2000-2004 metų ir 2010-2013 metų laikotarpius Lietuvoje mirtingumas nuo LML sumažėjo vidutiniškai nuo 0,82 mirčių 100 000 gyventojų iki 0,69 mirčių 100 000 gyventojų. 2000-2004 metų laikotarpiu gydymą tirozino kinazės inhibitoriais (TKI) gavo 1,5</w:t>
      </w:r>
      <w:r>
        <w:rPr>
          <w:lang w:val="lt-LT"/>
        </w:rPr>
        <w:t xml:space="preserve"> proc.</w:t>
      </w:r>
      <w:r w:rsidRPr="00465D65">
        <w:rPr>
          <w:lang w:val="lt-LT"/>
        </w:rPr>
        <w:t xml:space="preserve"> pacientų, o 2010-2013 metų laikotarpiu – jau 69,1</w:t>
      </w:r>
      <w:r>
        <w:rPr>
          <w:lang w:val="lt-LT"/>
        </w:rPr>
        <w:t xml:space="preserve"> proc.</w:t>
      </w:r>
      <w:r w:rsidRPr="00465D65">
        <w:rPr>
          <w:lang w:val="lt-LT"/>
        </w:rPr>
        <w:t xml:space="preserve"> pacientų. Galima teigti, kad didėjant TKI prieinamumui – sumažėjo LML pacientų mirštamumas</w:t>
      </w:r>
      <w:r w:rsidRPr="00465D65">
        <w:rPr>
          <w:lang w:val="lt-LT"/>
        </w:rPr>
        <w:fldChar w:fldCharType="begin"/>
      </w:r>
      <w:r w:rsidRPr="00465D65">
        <w:rPr>
          <w:lang w:val="lt-LT"/>
        </w:rPr>
        <w:instrText xml:space="preserve"> ADDIN ZOTERO_ITEM CSL_CITATION {"citationID":"QoR1OBC3","properties":{"formattedCitation":"(3)","plainCitation":"(3)","noteIndex":0},"citationItems":[{"id":9305,"uris":["http://zotero.org/groups/4702197/items/4W6PYJY5"],"itemData":{"id":9305,"type":"article-journal","abstract":"Chronic myeloid leukemia (CML) is a stem cell disorder characterized by unrestricted proliferation of the myeloid series that occurs due to the BCR-ABL fusion oncogene as a result of reciprocal translocation t(9;22) (q34;q11). This discovery has made this particular domain a target for future efforts to cure CML. Imatinib revolutionized the treatment options for CML and gave encouraging results both in case of safety as well as tolerability profile as compared to agents such as hydroxyurea or busulfan given before Imatinib. However, about 2-4% of patients show resistance and mutations have been found to be one of the reasons for its development. European Leukemianet gives recommendations for BCR-ABL mutational analysis along with other tyrosine kinase inhibitors (TKIs) that should be administered according to the mutations harbored in a patient. The following overview gives recommendations for monitoring patients on the basis of their mutational status.","container-title":"Asian Pacific journal of cancer prevention: APJCP","DOI":"10.7314/apjcp.2015.16.17.7415","ISSN":"2476-762X","issue":"17","journalAbbreviation":"Asian Pac J Cancer Prev","language":"eng","note":"PMID: 26625737","page":"7415-7423","source":"PubMed","title":"Chronic Myeloid Leukemia--Prognostic Value of Mutations","volume":"16","author":[{"family":"Kaleem","given":"Bushra"},{"family":"Shahab","given":"Sadaf"},{"family":"Ahmed","given":"Nuzhat"},{"family":"Shamsi","given":"Tahir Sultan"}],"issued":{"date-parts":[["2015"]]}}}],"schema":"https://github.com/citation-style-language/schema/raw/master/csl-citation.json"} </w:instrText>
      </w:r>
      <w:r w:rsidRPr="00465D65">
        <w:rPr>
          <w:lang w:val="lt-LT"/>
        </w:rPr>
        <w:fldChar w:fldCharType="end"/>
      </w:r>
      <w:r w:rsidRPr="00465D65">
        <w:rPr>
          <w:lang w:val="lt-LT"/>
        </w:rPr>
        <w:t>. 2015 metais apibendrinus 20 Europos šalių duomenis b</w:t>
      </w:r>
      <w:r>
        <w:rPr>
          <w:lang w:val="lt-LT"/>
        </w:rPr>
        <w:t>u</w:t>
      </w:r>
      <w:r w:rsidRPr="00465D65">
        <w:rPr>
          <w:lang w:val="lt-LT"/>
        </w:rPr>
        <w:t>vo nustatytas 0,99 atvejų 100 000 gyventojų ligos dažnis, vidutinis pacientų amžius diagnozuojant ligą buvo 55 metai. Diagnozuojant ligą 94,3</w:t>
      </w:r>
      <w:r>
        <w:rPr>
          <w:lang w:val="lt-LT"/>
        </w:rPr>
        <w:t xml:space="preserve"> proc.</w:t>
      </w:r>
      <w:r w:rsidRPr="00465D65">
        <w:rPr>
          <w:lang w:val="lt-LT"/>
        </w:rPr>
        <w:t xml:space="preserve"> pacientų buvo nustatyta lėtinė ligos stadija, 3,5</w:t>
      </w:r>
      <w:r>
        <w:rPr>
          <w:lang w:val="lt-LT"/>
        </w:rPr>
        <w:t xml:space="preserve"> proc.</w:t>
      </w:r>
      <w:r w:rsidRPr="00465D65">
        <w:rPr>
          <w:lang w:val="lt-LT"/>
        </w:rPr>
        <w:t xml:space="preserve"> pacientų – akceleracijos stadija, 2,2</w:t>
      </w:r>
      <w:r>
        <w:rPr>
          <w:lang w:val="lt-LT"/>
        </w:rPr>
        <w:t xml:space="preserve"> proc.</w:t>
      </w:r>
      <w:r w:rsidRPr="00465D65">
        <w:rPr>
          <w:lang w:val="lt-LT"/>
        </w:rPr>
        <w:t xml:space="preserve"> blastinės krizės stadija.</w:t>
      </w:r>
    </w:p>
    <w:p w14:paraId="2582D3BD" w14:textId="1B7E91C3" w:rsidR="00BE6C61" w:rsidRDefault="00BE6C61" w:rsidP="001C0197">
      <w:pPr>
        <w:pStyle w:val="0TEXT"/>
        <w:spacing w:line="276" w:lineRule="auto"/>
      </w:pPr>
      <w:r w:rsidRPr="00465D65">
        <w:rPr>
          <w:lang w:val="lt-LT"/>
        </w:rPr>
        <w:t>Norint diagnozuoti LML, atliekami trys svarbiausi sudėtingi veninio kraujo ir kaulų čiulpų tyrimai, naudojami ne tik ligos diagnozei, bet gydymo efektyvumui įvertinti bei padedantys pasiekti gydymo tikslus. Trys pagrindiniai tyrimai, kuriuos gydytojas hematologas turi atlikti:</w:t>
      </w:r>
      <w:r>
        <w:rPr>
          <w:lang w:val="lt-LT"/>
        </w:rPr>
        <w:t xml:space="preserve"> </w:t>
      </w:r>
      <w:r w:rsidR="001C0197">
        <w:rPr>
          <w:lang w:val="lt-LT"/>
        </w:rPr>
        <w:t>b</w:t>
      </w:r>
      <w:r w:rsidRPr="00465D65">
        <w:t>endras kraujo tyrimas</w:t>
      </w:r>
      <w:r>
        <w:t xml:space="preserve">, </w:t>
      </w:r>
      <w:r w:rsidR="001C0197">
        <w:t>c</w:t>
      </w:r>
      <w:r w:rsidRPr="00465D65">
        <w:t>itogenetinis tyrimas, atliekamas FISH testas, kuriuo Filadelfijos chromosoma nustatoma periferiniame kraujyje arba kaulų čiulpuose</w:t>
      </w:r>
      <w:r>
        <w:t xml:space="preserve"> ir </w:t>
      </w:r>
      <w:r w:rsidRPr="00465D65">
        <w:t xml:space="preserve">RQ–PCR tyrimas </w:t>
      </w:r>
      <w:r>
        <w:t>(n</w:t>
      </w:r>
      <w:r w:rsidRPr="00465D65">
        <w:t xml:space="preserve">ustatomi visi vėžį sukeliančio pakitusio </w:t>
      </w:r>
      <w:r w:rsidRPr="00465D65">
        <w:rPr>
          <w:i/>
          <w:iCs/>
        </w:rPr>
        <w:t>BCR:</w:t>
      </w:r>
      <w:r w:rsidR="001C0197">
        <w:rPr>
          <w:i/>
          <w:iCs/>
        </w:rPr>
        <w:t>:</w:t>
      </w:r>
      <w:r w:rsidRPr="00465D65">
        <w:rPr>
          <w:i/>
          <w:iCs/>
        </w:rPr>
        <w:t>ABL</w:t>
      </w:r>
      <w:r w:rsidRPr="00465D65">
        <w:t xml:space="preserve"> geno variantai</w:t>
      </w:r>
      <w:r>
        <w:t>)</w:t>
      </w:r>
      <w:r w:rsidRPr="00465D65">
        <w:t xml:space="preserve">. </w:t>
      </w:r>
    </w:p>
    <w:p w14:paraId="2701C45E" w14:textId="1FE93EEB" w:rsidR="00BE6C61" w:rsidRPr="000A0133" w:rsidRDefault="00BE6C61" w:rsidP="001C0197">
      <w:pPr>
        <w:pStyle w:val="0TEXT"/>
        <w:spacing w:line="276" w:lineRule="auto"/>
        <w:ind w:firstLine="720"/>
      </w:pPr>
      <w:r w:rsidRPr="00465D65">
        <w:rPr>
          <w:lang w:val="lt-LT"/>
        </w:rPr>
        <w:t xml:space="preserve">2017 m. Europos medicinos onkologų draugija (angl. </w:t>
      </w:r>
      <w:r w:rsidRPr="001C0197">
        <w:rPr>
          <w:i/>
          <w:lang w:val="lt-LT"/>
        </w:rPr>
        <w:t>Europea</w:t>
      </w:r>
      <w:r w:rsidR="001C0197" w:rsidRPr="001C0197">
        <w:rPr>
          <w:i/>
          <w:lang w:val="lt-LT"/>
        </w:rPr>
        <w:t>n</w:t>
      </w:r>
      <w:r w:rsidRPr="001C0197">
        <w:rPr>
          <w:i/>
          <w:lang w:val="lt-LT"/>
        </w:rPr>
        <w:t xml:space="preserve"> Society of Medical Oncology</w:t>
      </w:r>
      <w:r w:rsidRPr="00465D65">
        <w:rPr>
          <w:lang w:val="lt-LT"/>
        </w:rPr>
        <w:t xml:space="preserve">; ESMO) išleido LML diagnostikos ir gydymo rekomendacijas. Jose nurodytas </w:t>
      </w:r>
      <w:r>
        <w:rPr>
          <w:lang w:val="lt-LT"/>
        </w:rPr>
        <w:t>TKI</w:t>
      </w:r>
      <w:r w:rsidRPr="00465D65">
        <w:rPr>
          <w:lang w:val="lt-LT"/>
        </w:rPr>
        <w:t xml:space="preserve"> eiliškumas. </w:t>
      </w:r>
      <w:r w:rsidR="001C0197">
        <w:rPr>
          <w:lang w:val="lt-LT"/>
        </w:rPr>
        <w:t>P</w:t>
      </w:r>
      <w:r w:rsidRPr="00465D65">
        <w:rPr>
          <w:lang w:val="lt-LT"/>
        </w:rPr>
        <w:t>aminėti</w:t>
      </w:r>
      <w:r w:rsidR="001C0197">
        <w:rPr>
          <w:lang w:val="lt-LT"/>
        </w:rPr>
        <w:t>na</w:t>
      </w:r>
      <w:r w:rsidRPr="00465D65">
        <w:rPr>
          <w:lang w:val="lt-LT"/>
        </w:rPr>
        <w:t>, kad rekomendacijos yra senesnės nei asciminibo tyrimai</w:t>
      </w:r>
      <w:r>
        <w:rPr>
          <w:lang w:val="lt-LT"/>
        </w:rPr>
        <w:t>, todėl rekomendacijose jis nėra nurod</w:t>
      </w:r>
      <w:r w:rsidR="001C0197">
        <w:rPr>
          <w:lang w:val="lt-LT"/>
        </w:rPr>
        <w:t>ytas</w:t>
      </w:r>
      <w:r>
        <w:rPr>
          <w:lang w:val="lt-LT"/>
        </w:rPr>
        <w:t>.</w:t>
      </w:r>
      <w:r w:rsidRPr="00465D65">
        <w:rPr>
          <w:lang w:val="lt-LT"/>
        </w:rPr>
        <w:t xml:space="preserve"> </w:t>
      </w:r>
    </w:p>
    <w:p w14:paraId="09D7014D" w14:textId="77777777" w:rsidR="00BE6C61" w:rsidRPr="00465D65" w:rsidRDefault="00BE6C61" w:rsidP="001C0197">
      <w:pPr>
        <w:pStyle w:val="0TEXT"/>
        <w:spacing w:line="276" w:lineRule="auto"/>
        <w:rPr>
          <w:lang w:val="lt-LT"/>
        </w:rPr>
      </w:pPr>
      <w:r w:rsidRPr="00465D65">
        <w:rPr>
          <w:lang w:val="lt-LT"/>
        </w:rPr>
        <w:t xml:space="preserve">Pacientai Lietuvoje yra gydomi šiais TKI grupės vaistais: imanitibu, nilotinibu, dazatinibu, bozutinibu. Visi šie vaistai slopina ligos sukėlėją – </w:t>
      </w:r>
      <w:r w:rsidRPr="00465D65">
        <w:t>BCR</w:t>
      </w:r>
      <w:r w:rsidRPr="00465D65">
        <w:rPr>
          <w:lang w:val="lt-LT"/>
        </w:rPr>
        <w:t xml:space="preserve">::ABL sulietinį baltymą, atsiradusį dėl Filadelfijos chromosomos mutacijos. </w:t>
      </w:r>
    </w:p>
    <w:p w14:paraId="18598E76" w14:textId="26EBCD8F" w:rsidR="00BE6C61" w:rsidRPr="00465D65" w:rsidRDefault="00BE6C61" w:rsidP="001C0197">
      <w:pPr>
        <w:tabs>
          <w:tab w:val="left" w:pos="426"/>
        </w:tabs>
        <w:spacing w:line="276" w:lineRule="auto"/>
        <w:jc w:val="both"/>
        <w:rPr>
          <w:rFonts w:eastAsia="Arial"/>
          <w:color w:val="000000" w:themeColor="text1"/>
        </w:rPr>
      </w:pPr>
      <w:r w:rsidRPr="00465D65">
        <w:rPr>
          <w:rFonts w:eastAsia="Arial"/>
          <w:color w:val="000000" w:themeColor="text1"/>
        </w:rPr>
        <w:tab/>
      </w:r>
      <w:r w:rsidRPr="00465D65">
        <w:rPr>
          <w:rFonts w:eastAsia="Arial"/>
          <w:color w:val="000000" w:themeColor="text1"/>
        </w:rPr>
        <w:tab/>
        <w:t xml:space="preserve">Palyginamasis gydymas atitinka Lietuvos Respublikos sveikatos apsaugos ministro 2002 m. balandžio 5 d. įsakymu Nr. V-159 „Dėl vaistinių preparatų ir medicinos pagalbos priemonių įrašymo į kompensavimo sąrašus ir jų keitimo tvarkos aprašo patvirtinimo“ 116.1 punktą, nes </w:t>
      </w:r>
      <w:r w:rsidRPr="00465D65">
        <w:t xml:space="preserve">dozutinibas ir/ar </w:t>
      </w:r>
      <w:r w:rsidRPr="00465D65">
        <w:lastRenderedPageBreak/>
        <w:t>dazatinibas</w:t>
      </w:r>
      <w:r w:rsidRPr="00465D65">
        <w:rPr>
          <w:rFonts w:eastAsia="Arial"/>
        </w:rPr>
        <w:t xml:space="preserve"> </w:t>
      </w:r>
      <w:r w:rsidRPr="00465D65">
        <w:rPr>
          <w:rFonts w:eastAsia="Arial"/>
          <w:color w:val="000000" w:themeColor="text1"/>
        </w:rPr>
        <w:t>„</w:t>
      </w:r>
      <w:r w:rsidRPr="00465D65">
        <w:rPr>
          <w:rFonts w:eastAsia="Arial"/>
          <w:i/>
          <w:color w:val="000000" w:themeColor="text1"/>
        </w:rPr>
        <w:t xml:space="preserve">paraiškos vertinimo metu atitinkantis įprastą klinikinę praktiką ir pagrįstai laikomas atitinkančiu pripažintas konkrečios ligos gydymo gaires“. </w:t>
      </w:r>
      <w:r w:rsidRPr="00465D65">
        <w:rPr>
          <w:rFonts w:eastAsia="Arial"/>
          <w:color w:val="000000" w:themeColor="text1"/>
        </w:rPr>
        <w:t xml:space="preserve">Vertinant, kad </w:t>
      </w:r>
      <w:r>
        <w:rPr>
          <w:rFonts w:eastAsia="Arial"/>
          <w:color w:val="000000" w:themeColor="text1"/>
        </w:rPr>
        <w:t>daz</w:t>
      </w:r>
      <w:r w:rsidRPr="00465D65">
        <w:rPr>
          <w:rFonts w:eastAsia="Arial"/>
          <w:color w:val="000000" w:themeColor="text1"/>
        </w:rPr>
        <w:t xml:space="preserve">atinibas yra šiuo metu skiriamas kaip trečios eilės gydymas </w:t>
      </w:r>
      <w:r w:rsidRPr="00465D65">
        <w:t>pacientams, kuriems liga yra atspari pirmaeiliam ir antraeiliam gydymui tirozinkinazės inhibitoriais (</w:t>
      </w:r>
      <w:r w:rsidR="00B45A3F">
        <w:t>i</w:t>
      </w:r>
      <w:r w:rsidRPr="00465D65">
        <w:t>matinib</w:t>
      </w:r>
      <w:r w:rsidR="00B45A3F">
        <w:t>as</w:t>
      </w:r>
      <w:r w:rsidRPr="00465D65">
        <w:t xml:space="preserve">, </w:t>
      </w:r>
      <w:r w:rsidR="00B45A3F">
        <w:t>n</w:t>
      </w:r>
      <w:r w:rsidRPr="00465D65">
        <w:t>ilotinibum)</w:t>
      </w:r>
      <w:r w:rsidRPr="00465D65">
        <w:rPr>
          <w:rFonts w:eastAsia="Arial"/>
          <w:color w:val="000000" w:themeColor="text1"/>
        </w:rPr>
        <w:t>, laiko</w:t>
      </w:r>
      <w:r w:rsidR="001C0197">
        <w:rPr>
          <w:rFonts w:eastAsia="Arial"/>
          <w:color w:val="000000" w:themeColor="text1"/>
        </w:rPr>
        <w:t>ma</w:t>
      </w:r>
      <w:r w:rsidRPr="00465D65">
        <w:rPr>
          <w:rFonts w:eastAsia="Arial"/>
          <w:color w:val="000000" w:themeColor="text1"/>
        </w:rPr>
        <w:t xml:space="preserve">, kad tinkamas palyginamasis gydymas yra </w:t>
      </w:r>
      <w:r>
        <w:rPr>
          <w:rFonts w:eastAsia="Arial"/>
          <w:b/>
          <w:bCs/>
          <w:color w:val="000000" w:themeColor="text1"/>
        </w:rPr>
        <w:t>daz</w:t>
      </w:r>
      <w:r w:rsidRPr="00465D65">
        <w:rPr>
          <w:rFonts w:eastAsia="Arial"/>
          <w:b/>
          <w:bCs/>
          <w:color w:val="000000" w:themeColor="text1"/>
        </w:rPr>
        <w:t>atinibas</w:t>
      </w:r>
      <w:r w:rsidRPr="00465D65">
        <w:rPr>
          <w:rFonts w:eastAsia="Arial"/>
          <w:color w:val="000000" w:themeColor="text1"/>
        </w:rPr>
        <w:t xml:space="preserve">, tačiau </w:t>
      </w:r>
      <w:r w:rsidRPr="00465D65">
        <w:rPr>
          <w:rFonts w:eastAsia="Arial"/>
          <w:b/>
          <w:bCs/>
          <w:color w:val="000000" w:themeColor="text1"/>
        </w:rPr>
        <w:t>bozutinibas</w:t>
      </w:r>
      <w:r w:rsidRPr="00465D65">
        <w:rPr>
          <w:rFonts w:eastAsia="Arial"/>
          <w:color w:val="000000" w:themeColor="text1"/>
        </w:rPr>
        <w:t xml:space="preserve"> taip pat gali būti skiriamas kaip trečios eilės gydymas, </w:t>
      </w:r>
      <w:r w:rsidRPr="00465D65">
        <w:t>pacientams, kuriems liga yra atspari pirmaeiliam ir antraeiliam gydymui tirozinkinazės inhibitoriais (</w:t>
      </w:r>
      <w:r w:rsidR="001C0197">
        <w:t>i</w:t>
      </w:r>
      <w:r w:rsidRPr="00465D65">
        <w:t xml:space="preserve">matinibu, </w:t>
      </w:r>
      <w:r w:rsidR="001C0197">
        <w:t>n</w:t>
      </w:r>
      <w:r w:rsidRPr="00465D65">
        <w:t xml:space="preserve">ilotinibu) gydyti ir kai pacientams dėl </w:t>
      </w:r>
      <w:r w:rsidR="001C0197">
        <w:t xml:space="preserve">nepageidaujamo poveikio </w:t>
      </w:r>
      <w:r w:rsidRPr="00465D65">
        <w:t xml:space="preserve">ar gretutinių ligų </w:t>
      </w:r>
      <w:r>
        <w:t>daz</w:t>
      </w:r>
      <w:r w:rsidRPr="00465D65">
        <w:t>atinib</w:t>
      </w:r>
      <w:r w:rsidR="001C0197">
        <w:t>o</w:t>
      </w:r>
      <w:r w:rsidRPr="00465D65">
        <w:t xml:space="preserve"> skyrimas negalimas.</w:t>
      </w:r>
    </w:p>
    <w:p w14:paraId="3EBB1424" w14:textId="77777777" w:rsidR="00BE6C61" w:rsidRPr="00465D65" w:rsidRDefault="00BE6C61" w:rsidP="001C0197">
      <w:pPr>
        <w:tabs>
          <w:tab w:val="left" w:pos="426"/>
        </w:tabs>
        <w:spacing w:line="276" w:lineRule="auto"/>
        <w:jc w:val="both"/>
        <w:rPr>
          <w:rFonts w:eastAsia="Arial"/>
          <w:b/>
          <w:i/>
        </w:rPr>
      </w:pPr>
    </w:p>
    <w:p w14:paraId="2A0089AA" w14:textId="77777777" w:rsidR="00BE6C61" w:rsidRPr="000A0133" w:rsidRDefault="00BE6C61" w:rsidP="001C0197">
      <w:pPr>
        <w:tabs>
          <w:tab w:val="left" w:pos="492"/>
        </w:tabs>
        <w:spacing w:line="276" w:lineRule="auto"/>
        <w:outlineLvl w:val="1"/>
        <w:rPr>
          <w:rFonts w:eastAsia="Arial"/>
          <w:bCs/>
          <w:i/>
          <w:iCs/>
        </w:rPr>
      </w:pPr>
      <w:r w:rsidRPr="000A0133">
        <w:rPr>
          <w:rFonts w:eastAsia="Arial"/>
          <w:bCs/>
          <w:i/>
          <w:iCs/>
        </w:rPr>
        <w:t>Tiesioginis palyginimas</w:t>
      </w:r>
    </w:p>
    <w:p w14:paraId="71ADF767" w14:textId="77777777" w:rsidR="00BE6C61" w:rsidRPr="00900F1B" w:rsidRDefault="00BE6C61" w:rsidP="001C0197">
      <w:pPr>
        <w:widowControl w:val="0"/>
        <w:pBdr>
          <w:top w:val="nil"/>
          <w:left w:val="nil"/>
          <w:bottom w:val="nil"/>
          <w:right w:val="nil"/>
          <w:between w:val="nil"/>
        </w:pBdr>
        <w:spacing w:line="276" w:lineRule="auto"/>
        <w:ind w:firstLine="720"/>
        <w:jc w:val="both"/>
        <w:rPr>
          <w:rFonts w:eastAsia="Arial"/>
        </w:rPr>
      </w:pPr>
      <w:r w:rsidRPr="00465D65">
        <w:rPr>
          <w:rFonts w:eastAsia="Arial"/>
        </w:rPr>
        <w:t xml:space="preserve">ASCEMBL – atsitiktinių imčių, daugiacentris, veikliuoju vaistiniu preparatu kontroliuojamas III fazės klinikinis tyrimas, kuriame dalyvavo </w:t>
      </w:r>
      <w:r w:rsidRPr="00465D65">
        <w:t xml:space="preserve">lėtinės fazės </w:t>
      </w:r>
      <w:r w:rsidRPr="001C0197">
        <w:rPr>
          <w:i/>
        </w:rPr>
        <w:t>Philadelphia</w:t>
      </w:r>
      <w:r w:rsidRPr="00465D65">
        <w:t xml:space="preserve"> chromosomai teigiama mieloidine leukemija (Ph+ LML-LF) sergantys pacientai, kuriems anksčiau skirtas gydymas dviem ar daugiau TKI buvo neveiksmingas arba kurie netoleravo šio gydymo.</w:t>
      </w:r>
      <w:r>
        <w:rPr>
          <w:rFonts w:eastAsia="Arial"/>
        </w:rPr>
        <w:t xml:space="preserve"> </w:t>
      </w:r>
      <w:r w:rsidRPr="00900F1B">
        <w:rPr>
          <w:rFonts w:eastAsia="Arial"/>
          <w:iCs/>
          <w:color w:val="000000" w:themeColor="text1"/>
        </w:rPr>
        <w:t xml:space="preserve">Pacientų, dalyvavusių tyrime, populiacija (angl. </w:t>
      </w:r>
      <w:r w:rsidRPr="001C0197">
        <w:rPr>
          <w:rFonts w:eastAsia="Arial"/>
          <w:i/>
          <w:iCs/>
          <w:color w:val="000000" w:themeColor="text1"/>
          <w:lang w:val="en-AU"/>
        </w:rPr>
        <w:t>intention to treat</w:t>
      </w:r>
      <w:r w:rsidRPr="001C0197">
        <w:rPr>
          <w:rFonts w:eastAsia="Arial"/>
          <w:i/>
          <w:iCs/>
          <w:color w:val="000000" w:themeColor="text1"/>
        </w:rPr>
        <w:t>, ITT</w:t>
      </w:r>
      <w:r w:rsidRPr="00900F1B">
        <w:rPr>
          <w:rFonts w:eastAsia="Arial"/>
          <w:iCs/>
          <w:color w:val="000000" w:themeColor="text1"/>
        </w:rPr>
        <w:t>) atitinka Pareiškėjo siūlomą kompensuoti indikaciją ir skyrimo sąlygas Lietuvoje.</w:t>
      </w:r>
    </w:p>
    <w:p w14:paraId="39F9108C" w14:textId="77777777" w:rsidR="00BE6C61" w:rsidRPr="00465D65" w:rsidRDefault="00BE6C61" w:rsidP="001C0197">
      <w:pPr>
        <w:tabs>
          <w:tab w:val="left" w:pos="426"/>
        </w:tabs>
        <w:spacing w:line="276" w:lineRule="auto"/>
        <w:jc w:val="both"/>
      </w:pPr>
      <w:r w:rsidRPr="00465D65">
        <w:tab/>
      </w:r>
      <w:r w:rsidRPr="00465D65">
        <w:tab/>
        <w:t xml:space="preserve">Pagrindinė šio tyrimo vertinamoji baigtis buvo MMR (angl. </w:t>
      </w:r>
      <w:r w:rsidRPr="001C0197">
        <w:rPr>
          <w:i/>
        </w:rPr>
        <w:t>major molecular response; MMR</w:t>
      </w:r>
      <w:r w:rsidRPr="00465D65">
        <w:t xml:space="preserve">) rodmens dažnis po 24 savaičių ir antrinė esminė vertinamoji baigtis buvo MMR rodmens dažnis po 96 savaičių. MMR apibrėžiamas kaip BCR::ABL1 TS (pagal Tarptautinę skalę, TS) santykis ≤ 0,1 proc. </w:t>
      </w:r>
    </w:p>
    <w:p w14:paraId="22FC9484" w14:textId="4A062BFF" w:rsidR="00BE6C61" w:rsidRPr="00465D65" w:rsidRDefault="00BE6C61" w:rsidP="001C0197">
      <w:pPr>
        <w:tabs>
          <w:tab w:val="left" w:pos="426"/>
        </w:tabs>
        <w:spacing w:line="276" w:lineRule="auto"/>
        <w:jc w:val="both"/>
        <w:rPr>
          <w:rFonts w:eastAsia="Arial"/>
          <w:iCs/>
        </w:rPr>
      </w:pPr>
      <w:r w:rsidRPr="00465D65">
        <w:rPr>
          <w:rFonts w:eastAsia="Arial"/>
          <w:iCs/>
        </w:rPr>
        <w:tab/>
      </w:r>
      <w:r w:rsidRPr="00465D65">
        <w:rPr>
          <w:rFonts w:eastAsia="Arial"/>
          <w:iCs/>
        </w:rPr>
        <w:tab/>
        <w:t xml:space="preserve">Tyrimo </w:t>
      </w:r>
      <w:r w:rsidRPr="00465D65">
        <w:rPr>
          <w:rFonts w:eastAsia="Arial"/>
          <w:b/>
          <w:bCs/>
          <w:iCs/>
        </w:rPr>
        <w:t>pirminės baigties</w:t>
      </w:r>
      <w:r w:rsidRPr="00465D65">
        <w:rPr>
          <w:rFonts w:eastAsia="Arial"/>
          <w:iCs/>
        </w:rPr>
        <w:t xml:space="preserve"> rezultatai rodo statistiškai reikšmingą pirminės vertinamosios baigties – MMR</w:t>
      </w:r>
      <w:r>
        <w:rPr>
          <w:rFonts w:eastAsia="Arial"/>
          <w:iCs/>
        </w:rPr>
        <w:t xml:space="preserve"> </w:t>
      </w:r>
      <w:r w:rsidRPr="00465D65">
        <w:rPr>
          <w:rFonts w:eastAsia="Arial"/>
          <w:iCs/>
        </w:rPr>
        <w:t>dažnio – pagerėjimą 24 savaitę vartojant asciminibą, palyginti su bosutinibu pacientams, sergantiems LML. MMR dažnis 24 savaitę buvo 25,5</w:t>
      </w:r>
      <w:r>
        <w:rPr>
          <w:rFonts w:eastAsia="Arial"/>
          <w:iCs/>
        </w:rPr>
        <w:t>proc.</w:t>
      </w:r>
      <w:r w:rsidRPr="00465D65">
        <w:rPr>
          <w:rFonts w:eastAsia="Arial"/>
          <w:iCs/>
        </w:rPr>
        <w:t xml:space="preserve"> vartojant asciminibą, o vartojant bosutinibą – 13,2</w:t>
      </w:r>
      <w:r>
        <w:rPr>
          <w:rFonts w:eastAsia="Arial"/>
          <w:iCs/>
        </w:rPr>
        <w:t>proc.</w:t>
      </w:r>
      <w:r w:rsidRPr="00465D65">
        <w:rPr>
          <w:rFonts w:eastAsia="Arial"/>
          <w:iCs/>
        </w:rPr>
        <w:t xml:space="preserve">, o tai atitiko pagrindinį tyrimo tikslą. Pakoregavus pagal pagrindinio citogenetinio atsako (angl. </w:t>
      </w:r>
      <w:r w:rsidRPr="001C0197">
        <w:rPr>
          <w:i/>
        </w:rPr>
        <w:t>major cytogenetic response; MCyR</w:t>
      </w:r>
      <w:r w:rsidRPr="00465D65">
        <w:rPr>
          <w:rFonts w:eastAsia="Arial"/>
          <w:iCs/>
        </w:rPr>
        <w:t>) būklę, 24 savaitę asciminibo ir bosutinibo MMR dažnių skirtumas buvo 12,2 proc. (95 proc. pasikliautiniai intervalai [PI] 2,19–22,30; p= 0,029).</w:t>
      </w:r>
    </w:p>
    <w:p w14:paraId="4EDA54A2" w14:textId="64192C1A" w:rsidR="00BE6C61" w:rsidRDefault="00BE6C61" w:rsidP="001C0197">
      <w:pPr>
        <w:tabs>
          <w:tab w:val="left" w:pos="426"/>
        </w:tabs>
        <w:spacing w:line="276" w:lineRule="auto"/>
        <w:jc w:val="both"/>
        <w:rPr>
          <w:rFonts w:eastAsia="Arial"/>
          <w:iCs/>
        </w:rPr>
      </w:pPr>
      <w:r w:rsidRPr="00465D65">
        <w:rPr>
          <w:rFonts w:eastAsia="Arial"/>
          <w:iCs/>
        </w:rPr>
        <w:tab/>
      </w:r>
      <w:r w:rsidRPr="00465D65">
        <w:rPr>
          <w:rFonts w:eastAsia="Arial"/>
          <w:iCs/>
        </w:rPr>
        <w:tab/>
        <w:t>Pogrupių analizės metu geresnis atsako į asciminibą dažnis buvo vieno</w:t>
      </w:r>
      <w:r>
        <w:rPr>
          <w:rFonts w:eastAsia="Arial"/>
          <w:iCs/>
        </w:rPr>
        <w:t>da</w:t>
      </w:r>
      <w:r w:rsidR="00EE4526">
        <w:rPr>
          <w:rFonts w:eastAsia="Arial"/>
          <w:iCs/>
        </w:rPr>
        <w:t>s</w:t>
      </w:r>
      <w:r w:rsidRPr="00465D65">
        <w:rPr>
          <w:rFonts w:eastAsia="Arial"/>
          <w:iCs/>
        </w:rPr>
        <w:t xml:space="preserve"> pagrindiniuose demografiniuose ir prognostiniuose pogrupiuose, įskaitant pacientus, kuriems taikomas skirtingas gydymas, ir tuos, kurie nutraukė paskutinį TKI dėl nepakankamo veiksmingumo</w:t>
      </w:r>
      <w:r>
        <w:rPr>
          <w:rFonts w:eastAsia="Arial"/>
          <w:iCs/>
        </w:rPr>
        <w:t xml:space="preserve">. </w:t>
      </w:r>
    </w:p>
    <w:p w14:paraId="28EDAC09" w14:textId="28B0D038" w:rsidR="00BE6C61" w:rsidRPr="00465D65" w:rsidRDefault="00BE6C61" w:rsidP="001C0197">
      <w:pPr>
        <w:tabs>
          <w:tab w:val="left" w:pos="426"/>
        </w:tabs>
        <w:spacing w:line="276" w:lineRule="auto"/>
        <w:jc w:val="both"/>
        <w:rPr>
          <w:rFonts w:eastAsia="Arial"/>
        </w:rPr>
      </w:pPr>
      <w:r>
        <w:rPr>
          <w:rFonts w:eastAsia="Arial"/>
          <w:b/>
          <w:bCs/>
        </w:rPr>
        <w:tab/>
      </w:r>
      <w:r w:rsidRPr="00465D65">
        <w:rPr>
          <w:rFonts w:eastAsia="Arial"/>
          <w:b/>
          <w:bCs/>
        </w:rPr>
        <w:tab/>
      </w:r>
      <w:r w:rsidRPr="00465D65">
        <w:rPr>
          <w:rFonts w:eastAsia="Arial"/>
        </w:rPr>
        <w:t>Pagrindinės antrinės vertinamosios baigties analizė buvo atlikta naudojant 96 savaičių duomenis, t. y. kai visi atsitiktinės atrankos pacientai buvo gydomi 96 savaites arba buvo nutraukti anksčiau. Tyrimas pasiekė pagrindinį antrinį tikslą. Praėjus 96 savaitėms, asciminibas ir toliau buvo veiksmingesnis, palyginti su bosutinibu, kuris padidėjo, palyginti su 24 savaičių analize. MMR dažnis, pastebėtas vartojant asciminibą, du kartus viršijo bosutinibo dažnį; 37,6</w:t>
      </w:r>
      <w:r>
        <w:rPr>
          <w:rFonts w:eastAsia="Arial"/>
        </w:rPr>
        <w:t>proc.</w:t>
      </w:r>
      <w:r w:rsidRPr="00465D65">
        <w:rPr>
          <w:rFonts w:eastAsia="Arial"/>
        </w:rPr>
        <w:t xml:space="preserve"> asciminibo grupėje, palyginti su 15,8</w:t>
      </w:r>
      <w:r w:rsidR="00EE4526">
        <w:rPr>
          <w:rFonts w:eastAsia="Arial"/>
        </w:rPr>
        <w:t xml:space="preserve"> </w:t>
      </w:r>
      <w:r>
        <w:rPr>
          <w:rFonts w:eastAsia="Arial"/>
        </w:rPr>
        <w:t>proc.</w:t>
      </w:r>
      <w:r w:rsidRPr="00465D65">
        <w:rPr>
          <w:rFonts w:eastAsia="Arial"/>
        </w:rPr>
        <w:t xml:space="preserve"> bosutinibo grupėje, statistiškai reikšmingas skirtumas tarp dviejų gydymo būdų yra 21,7</w:t>
      </w:r>
      <w:r w:rsidR="00EE4526">
        <w:rPr>
          <w:rFonts w:eastAsia="Arial"/>
        </w:rPr>
        <w:t xml:space="preserve"> </w:t>
      </w:r>
      <w:r>
        <w:rPr>
          <w:rFonts w:eastAsia="Arial"/>
        </w:rPr>
        <w:t>proc.</w:t>
      </w:r>
      <w:r w:rsidRPr="00465D65">
        <w:rPr>
          <w:rFonts w:eastAsia="Arial"/>
        </w:rPr>
        <w:t xml:space="preserve"> (95</w:t>
      </w:r>
      <w:r>
        <w:rPr>
          <w:rFonts w:eastAsia="Arial"/>
        </w:rPr>
        <w:t>proc.</w:t>
      </w:r>
      <w:r w:rsidRPr="00465D65">
        <w:rPr>
          <w:rFonts w:eastAsia="Arial"/>
        </w:rPr>
        <w:t xml:space="preserve"> PI: 10,53, 32,95). </w:t>
      </w:r>
    </w:p>
    <w:p w14:paraId="40ED9F4D" w14:textId="77777777" w:rsidR="00BE6C61" w:rsidRPr="00465D65" w:rsidRDefault="00BE6C61" w:rsidP="001C0197">
      <w:pPr>
        <w:pStyle w:val="0TEXT"/>
        <w:spacing w:line="276" w:lineRule="auto"/>
      </w:pPr>
    </w:p>
    <w:p w14:paraId="77051221" w14:textId="77777777" w:rsidR="00BE6C61" w:rsidRPr="007332C8" w:rsidRDefault="00BE6C61" w:rsidP="001C0197">
      <w:pPr>
        <w:spacing w:line="276" w:lineRule="auto"/>
        <w:rPr>
          <w:rFonts w:eastAsia="Arial"/>
          <w:i/>
          <w:iCs/>
        </w:rPr>
      </w:pPr>
      <w:r w:rsidRPr="007332C8">
        <w:rPr>
          <w:rFonts w:eastAsia="Arial"/>
          <w:i/>
          <w:iCs/>
        </w:rPr>
        <w:t>Netiesioginis palyginimas</w:t>
      </w:r>
    </w:p>
    <w:p w14:paraId="18956EEE" w14:textId="52AC3C8B" w:rsidR="00BE6C61" w:rsidRPr="00465D65" w:rsidRDefault="00BE6C61" w:rsidP="001C0197">
      <w:pPr>
        <w:spacing w:line="276" w:lineRule="auto"/>
        <w:ind w:firstLine="720"/>
        <w:jc w:val="both"/>
        <w:rPr>
          <w:rFonts w:eastAsia="Arial"/>
          <w:bCs/>
        </w:rPr>
      </w:pPr>
      <w:r w:rsidRPr="008E4F16">
        <w:rPr>
          <w:sz w:val="23"/>
          <w:szCs w:val="23"/>
        </w:rPr>
        <w:t>Netiesioginio gydymų palyginimo pagrin</w:t>
      </w:r>
      <w:r w:rsidR="003A235D">
        <w:rPr>
          <w:sz w:val="23"/>
          <w:szCs w:val="23"/>
        </w:rPr>
        <w:t>das</w:t>
      </w:r>
      <w:r w:rsidRPr="008E4F16">
        <w:rPr>
          <w:sz w:val="23"/>
          <w:szCs w:val="23"/>
        </w:rPr>
        <w:t xml:space="preserve"> – </w:t>
      </w:r>
      <w:r>
        <w:rPr>
          <w:sz w:val="23"/>
          <w:szCs w:val="23"/>
        </w:rPr>
        <w:t>s</w:t>
      </w:r>
      <w:r w:rsidRPr="00465D65">
        <w:rPr>
          <w:rFonts w:eastAsia="Arial"/>
          <w:bCs/>
        </w:rPr>
        <w:t>isteminė literatūros apžvalg</w:t>
      </w:r>
      <w:r>
        <w:rPr>
          <w:rFonts w:eastAsia="Arial"/>
          <w:bCs/>
        </w:rPr>
        <w:t>a</w:t>
      </w:r>
      <w:r w:rsidRPr="00465D65">
        <w:rPr>
          <w:rFonts w:eastAsia="Arial"/>
          <w:bCs/>
        </w:rPr>
        <w:t xml:space="preserve">. Daugiausia dėmesio buvo skiriama veiksmingumo rezultatams, įskaitant molekulinius ir citogenetinius atsakus, taip pat išgyvenamumą. </w:t>
      </w:r>
    </w:p>
    <w:p w14:paraId="5EC8C570" w14:textId="77777777" w:rsidR="00BE6C61" w:rsidRPr="007332C8" w:rsidRDefault="00BE6C61" w:rsidP="001C0197">
      <w:pPr>
        <w:tabs>
          <w:tab w:val="left" w:pos="426"/>
        </w:tabs>
        <w:spacing w:line="276" w:lineRule="auto"/>
        <w:jc w:val="both"/>
        <w:rPr>
          <w:bCs/>
          <w:lang w:eastAsia="lt-LT"/>
        </w:rPr>
      </w:pPr>
      <w:r w:rsidRPr="007332C8">
        <w:rPr>
          <w:bCs/>
          <w:lang w:eastAsia="lt-LT"/>
        </w:rPr>
        <w:tab/>
      </w:r>
      <w:r w:rsidRPr="007332C8">
        <w:rPr>
          <w:bCs/>
          <w:lang w:eastAsia="lt-LT"/>
        </w:rPr>
        <w:tab/>
        <w:t xml:space="preserve">Netiesioginio palyginimo analizėje palyginamasis </w:t>
      </w:r>
      <w:r w:rsidRPr="00465D65">
        <w:rPr>
          <w:bCs/>
          <w:lang w:eastAsia="lt-LT"/>
        </w:rPr>
        <w:t>d</w:t>
      </w:r>
      <w:r>
        <w:rPr>
          <w:bCs/>
          <w:lang w:eastAsia="lt-LT"/>
        </w:rPr>
        <w:t>aza</w:t>
      </w:r>
      <w:r w:rsidRPr="00465D65">
        <w:rPr>
          <w:bCs/>
          <w:lang w:eastAsia="lt-LT"/>
        </w:rPr>
        <w:t>t</w:t>
      </w:r>
      <w:r>
        <w:rPr>
          <w:bCs/>
          <w:lang w:eastAsia="lt-LT"/>
        </w:rPr>
        <w:t>ini</w:t>
      </w:r>
      <w:r w:rsidRPr="00465D65">
        <w:rPr>
          <w:bCs/>
          <w:lang w:eastAsia="lt-LT"/>
        </w:rPr>
        <w:t xml:space="preserve">bas </w:t>
      </w:r>
      <w:r w:rsidRPr="007332C8">
        <w:rPr>
          <w:bCs/>
          <w:lang w:eastAsia="lt-LT"/>
        </w:rPr>
        <w:t xml:space="preserve">atitinka įprastinę klinikinę praktiką Lietuvoje. </w:t>
      </w:r>
      <w:r w:rsidRPr="007332C8">
        <w:rPr>
          <w:rFonts w:eastAsia="Arial"/>
          <w:bCs/>
        </w:rPr>
        <w:t xml:space="preserve">Palyginimui su </w:t>
      </w:r>
      <w:r>
        <w:rPr>
          <w:rFonts w:eastAsia="Arial"/>
          <w:bCs/>
        </w:rPr>
        <w:t>daz</w:t>
      </w:r>
      <w:r w:rsidRPr="007332C8">
        <w:rPr>
          <w:rFonts w:eastAsia="Arial"/>
          <w:bCs/>
        </w:rPr>
        <w:t xml:space="preserve">atinibu buvo naudojami Rossi 2013 ir Tan 2019 tyrimų duomenys, kuriuose buvo pateikti duomenys apie vidutinį TTD ir atsaką (MMR pagal 6 mėnesius). </w:t>
      </w:r>
      <w:r w:rsidRPr="007332C8">
        <w:rPr>
          <w:rFonts w:eastAsia="Arial"/>
          <w:bCs/>
        </w:rPr>
        <w:lastRenderedPageBreak/>
        <w:t xml:space="preserve">Modelis negalėjo atitikti visų pradinių charakteristikų, pateiktų Rossi 2013 tyrime. Todėl mažiausiai svarbios charakteristikos buvo pašalintos, kol modelis suartėjo. </w:t>
      </w:r>
    </w:p>
    <w:p w14:paraId="574B5073" w14:textId="6178C322" w:rsidR="00BE6C61" w:rsidRDefault="00BE6C61" w:rsidP="001C0197">
      <w:pPr>
        <w:tabs>
          <w:tab w:val="left" w:pos="492"/>
        </w:tabs>
        <w:spacing w:line="276" w:lineRule="auto"/>
        <w:jc w:val="both"/>
        <w:outlineLvl w:val="1"/>
        <w:rPr>
          <w:rFonts w:eastAsia="Arial"/>
          <w:bCs/>
        </w:rPr>
      </w:pPr>
      <w:r w:rsidRPr="007332C8">
        <w:rPr>
          <w:rFonts w:eastAsia="Arial"/>
          <w:bCs/>
        </w:rPr>
        <w:tab/>
        <w:t xml:space="preserve">Vidutinė </w:t>
      </w:r>
      <w:r>
        <w:rPr>
          <w:rFonts w:eastAsia="Arial"/>
          <w:bCs/>
        </w:rPr>
        <w:t>daz</w:t>
      </w:r>
      <w:r w:rsidRPr="007332C8">
        <w:rPr>
          <w:rFonts w:eastAsia="Arial"/>
          <w:bCs/>
        </w:rPr>
        <w:t xml:space="preserve">atinibo TTD buvo 14 mėnesių, o asciminibo TTD mediana po MAIC nepasiekta (14 – NA). </w:t>
      </w:r>
      <w:r>
        <w:rPr>
          <w:rFonts w:eastAsia="Arial"/>
          <w:bCs/>
        </w:rPr>
        <w:t>Vertinant MMR dažnį pasiekusių pacientų skaičių, OR pasiekti MMMR per 6 mėn. buvo 1,4 (95 proc. PI 0,49-3,98).</w:t>
      </w:r>
      <w:r w:rsidRPr="00465D65">
        <w:rPr>
          <w:rFonts w:eastAsia="Arial"/>
          <w:bCs/>
        </w:rPr>
        <w:t xml:space="preserve"> Asciminibas buvo geresnis už </w:t>
      </w:r>
      <w:r>
        <w:rPr>
          <w:rFonts w:eastAsia="Arial"/>
          <w:bCs/>
        </w:rPr>
        <w:t>daz</w:t>
      </w:r>
      <w:r w:rsidRPr="00465D65">
        <w:rPr>
          <w:rFonts w:eastAsia="Arial"/>
          <w:bCs/>
        </w:rPr>
        <w:t xml:space="preserve">atinibą, vertinant per 6 mėn. pasiektą MMR, </w:t>
      </w:r>
      <w:r w:rsidRPr="00EE4526">
        <w:rPr>
          <w:rFonts w:eastAsia="Arial"/>
          <w:bCs/>
        </w:rPr>
        <w:t>tačiau rezultatai nebuvo statistiškai reikšmingi.</w:t>
      </w:r>
    </w:p>
    <w:p w14:paraId="144ABF47" w14:textId="3AB30FCC" w:rsidR="00E963C3" w:rsidRPr="00E33EFF" w:rsidRDefault="00B45A3F" w:rsidP="00B45A3F">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eastAsia="Arial"/>
          <w:bCs/>
        </w:rPr>
        <w:tab/>
      </w:r>
      <w:r w:rsidR="00597C38" w:rsidRPr="00B45A3F">
        <w:rPr>
          <w:rFonts w:eastAsia="Arial"/>
          <w:bCs/>
        </w:rPr>
        <w:t xml:space="preserve">Apibendrinant, pateikti tiesioginio ir netiesioginio palyginimo rezultatai </w:t>
      </w:r>
      <w:r w:rsidR="00E963C3" w:rsidRPr="00B45A3F">
        <w:rPr>
          <w:rFonts w:eastAsia="Arial"/>
          <w:bCs/>
        </w:rPr>
        <w:t xml:space="preserve">rodo </w:t>
      </w:r>
      <w:r w:rsidR="00597C38" w:rsidRPr="00B45A3F">
        <w:rPr>
          <w:rFonts w:eastAsia="Arial"/>
          <w:bCs/>
        </w:rPr>
        <w:t>nesiskiriantį asciminibo palyginamąjį efektyvumą bei</w:t>
      </w:r>
      <w:r w:rsidR="00E963C3" w:rsidRPr="00B45A3F">
        <w:rPr>
          <w:rFonts w:eastAsia="Arial"/>
          <w:bCs/>
        </w:rPr>
        <w:t xml:space="preserve"> </w:t>
      </w:r>
      <w:r w:rsidR="00E963C3" w:rsidRPr="00B45A3F">
        <w:t>nesiskiriančios naudos pacientų sveikatai sukūrim</w:t>
      </w:r>
      <w:r w:rsidRPr="00B45A3F">
        <w:t>ą</w:t>
      </w:r>
      <w:r w:rsidR="00E963C3" w:rsidRPr="00B45A3F">
        <w:t>, lyginant su įprasta klinikine praktika.</w:t>
      </w:r>
    </w:p>
    <w:p w14:paraId="1142A9B1" w14:textId="77777777" w:rsidR="00EE4526" w:rsidRPr="00EE4526" w:rsidRDefault="00EE4526" w:rsidP="001C0197">
      <w:pPr>
        <w:spacing w:line="276" w:lineRule="auto"/>
        <w:rPr>
          <w:rFonts w:eastAsia="Arial"/>
          <w:iCs/>
        </w:rPr>
      </w:pPr>
    </w:p>
    <w:p w14:paraId="7DE09EB5" w14:textId="69E9DD74" w:rsidR="00E03C3F" w:rsidRPr="00EE4526" w:rsidRDefault="00CC7832" w:rsidP="001C0197">
      <w:pPr>
        <w:pStyle w:val="Sraopastraipa"/>
        <w:numPr>
          <w:ilvl w:val="0"/>
          <w:numId w:val="12"/>
        </w:numPr>
        <w:tabs>
          <w:tab w:val="left" w:pos="567"/>
        </w:tabs>
        <w:spacing w:line="276" w:lineRule="auto"/>
        <w:ind w:hanging="720"/>
        <w:jc w:val="both"/>
        <w:rPr>
          <w:b/>
          <w:bCs/>
          <w:caps/>
        </w:rPr>
      </w:pPr>
      <w:r w:rsidRPr="00EE4526">
        <w:rPr>
          <w:b/>
          <w:bCs/>
          <w:caps/>
        </w:rPr>
        <w:t xml:space="preserve">ekonominio vertinimo </w:t>
      </w:r>
      <w:r w:rsidR="002F0E4F" w:rsidRPr="00EE4526">
        <w:rPr>
          <w:b/>
          <w:bCs/>
          <w:caps/>
        </w:rPr>
        <w:t>apibendrinimas</w:t>
      </w:r>
    </w:p>
    <w:p w14:paraId="1A900598" w14:textId="25F85729" w:rsidR="00C62B36" w:rsidRPr="00EE4526" w:rsidRDefault="00C62B36" w:rsidP="001C0197">
      <w:pPr>
        <w:tabs>
          <w:tab w:val="left" w:pos="284"/>
        </w:tabs>
        <w:spacing w:line="276" w:lineRule="auto"/>
        <w:jc w:val="both"/>
        <w:rPr>
          <w:i/>
          <w:sz w:val="22"/>
          <w:szCs w:val="22"/>
        </w:rPr>
      </w:pPr>
    </w:p>
    <w:p w14:paraId="4D0D1F6C" w14:textId="089F7F73" w:rsidR="00A70799" w:rsidRDefault="00A70799" w:rsidP="001C0197">
      <w:pPr>
        <w:pStyle w:val="0TEXT"/>
        <w:spacing w:line="276" w:lineRule="auto"/>
        <w:ind w:firstLine="0"/>
        <w:rPr>
          <w:lang w:val="lt-LT"/>
        </w:rPr>
      </w:pPr>
      <w:r w:rsidRPr="001B735E">
        <w:rPr>
          <w:lang w:val="lt-LT"/>
        </w:rPr>
        <w:t>Vertinimui pateikta kaštų mažinimo analizė, lyginant gydymo asciminibu ir dazatinibu kaštus. Pateikus analizės rezultato perskaičiavimą su pagal naujausią informaciją atnaujintais kaštais, gydymas asciminibu yra brangesnė gydymo alternatyva, nei gydymas dazatinibu.</w:t>
      </w:r>
    </w:p>
    <w:p w14:paraId="69E91399" w14:textId="0D4A09F4" w:rsidR="00A70799" w:rsidRDefault="00A70799" w:rsidP="001C0197">
      <w:pPr>
        <w:pStyle w:val="0TEXT"/>
        <w:spacing w:line="276" w:lineRule="auto"/>
        <w:ind w:firstLine="0"/>
        <w:rPr>
          <w:lang w:val="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613"/>
        <w:gridCol w:w="2019"/>
        <w:gridCol w:w="3579"/>
      </w:tblGrid>
      <w:tr w:rsidR="00A70799" w:rsidRPr="001B735E" w14:paraId="579DA503" w14:textId="77777777" w:rsidTr="00C834E4">
        <w:trPr>
          <w:trHeight w:val="364"/>
          <w:jc w:val="center"/>
        </w:trPr>
        <w:tc>
          <w:tcPr>
            <w:tcW w:w="9908" w:type="dxa"/>
            <w:gridSpan w:val="4"/>
            <w:tcBorders>
              <w:top w:val="single" w:sz="12" w:space="0" w:color="auto"/>
              <w:bottom w:val="single" w:sz="4" w:space="0" w:color="auto"/>
            </w:tcBorders>
            <w:vAlign w:val="center"/>
          </w:tcPr>
          <w:p w14:paraId="30B2D4E2" w14:textId="77777777" w:rsidR="00A70799" w:rsidRPr="001B735E" w:rsidRDefault="00A70799" w:rsidP="001C0197">
            <w:pPr>
              <w:tabs>
                <w:tab w:val="left" w:pos="567"/>
              </w:tabs>
              <w:spacing w:line="276" w:lineRule="auto"/>
              <w:jc w:val="center"/>
              <w:rPr>
                <w:b/>
                <w:i/>
                <w:iCs/>
                <w:color w:val="00B050"/>
                <w:sz w:val="22"/>
                <w:szCs w:val="22"/>
                <w:lang w:eastAsia="lt-LT"/>
              </w:rPr>
            </w:pPr>
            <w:r w:rsidRPr="001B735E">
              <w:rPr>
                <w:b/>
                <w:lang w:eastAsia="lt-LT"/>
              </w:rPr>
              <w:t>Kaštai</w:t>
            </w:r>
          </w:p>
        </w:tc>
      </w:tr>
      <w:tr w:rsidR="00A70799" w:rsidRPr="001B735E" w14:paraId="34F9F5C0" w14:textId="77777777" w:rsidTr="00C834E4">
        <w:trPr>
          <w:jc w:val="center"/>
        </w:trPr>
        <w:tc>
          <w:tcPr>
            <w:tcW w:w="2697" w:type="dxa"/>
            <w:tcBorders>
              <w:top w:val="single" w:sz="4" w:space="0" w:color="auto"/>
              <w:bottom w:val="single" w:sz="4" w:space="0" w:color="auto"/>
            </w:tcBorders>
          </w:tcPr>
          <w:p w14:paraId="55D045CC" w14:textId="77777777" w:rsidR="00A70799" w:rsidRPr="001B735E" w:rsidRDefault="00A70799" w:rsidP="001C0197">
            <w:pPr>
              <w:tabs>
                <w:tab w:val="left" w:pos="567"/>
              </w:tabs>
              <w:spacing w:line="276" w:lineRule="auto"/>
              <w:jc w:val="both"/>
              <w:rPr>
                <w:color w:val="00B050"/>
                <w:lang w:eastAsia="lt-LT"/>
              </w:rPr>
            </w:pPr>
          </w:p>
        </w:tc>
        <w:tc>
          <w:tcPr>
            <w:tcW w:w="1613" w:type="dxa"/>
            <w:tcBorders>
              <w:top w:val="single" w:sz="4" w:space="0" w:color="auto"/>
              <w:bottom w:val="single" w:sz="4" w:space="0" w:color="auto"/>
            </w:tcBorders>
          </w:tcPr>
          <w:p w14:paraId="3212778E" w14:textId="77777777" w:rsidR="00A70799" w:rsidRPr="001B735E" w:rsidRDefault="00A70799" w:rsidP="001C0197">
            <w:pPr>
              <w:tabs>
                <w:tab w:val="left" w:pos="567"/>
              </w:tabs>
              <w:spacing w:line="276" w:lineRule="auto"/>
              <w:jc w:val="both"/>
              <w:rPr>
                <w:i/>
                <w:iCs/>
                <w:lang w:eastAsia="lt-LT"/>
              </w:rPr>
            </w:pPr>
            <w:r w:rsidRPr="001B735E">
              <w:rPr>
                <w:i/>
                <w:iCs/>
                <w:lang w:eastAsia="lt-LT"/>
              </w:rPr>
              <w:t>Asciminibas</w:t>
            </w:r>
          </w:p>
        </w:tc>
        <w:tc>
          <w:tcPr>
            <w:tcW w:w="2019" w:type="dxa"/>
            <w:tcBorders>
              <w:top w:val="single" w:sz="4" w:space="0" w:color="auto"/>
              <w:bottom w:val="single" w:sz="4" w:space="0" w:color="auto"/>
            </w:tcBorders>
          </w:tcPr>
          <w:p w14:paraId="09815144" w14:textId="77777777" w:rsidR="00A70799" w:rsidRPr="001B735E" w:rsidRDefault="00A70799" w:rsidP="001C0197">
            <w:pPr>
              <w:tabs>
                <w:tab w:val="left" w:pos="567"/>
              </w:tabs>
              <w:spacing w:line="276" w:lineRule="auto"/>
              <w:jc w:val="both"/>
              <w:rPr>
                <w:i/>
                <w:iCs/>
                <w:lang w:eastAsia="lt-LT"/>
              </w:rPr>
            </w:pPr>
            <w:r w:rsidRPr="001B735E">
              <w:rPr>
                <w:i/>
                <w:iCs/>
                <w:lang w:eastAsia="lt-LT"/>
              </w:rPr>
              <w:t>Dazatinibas</w:t>
            </w:r>
          </w:p>
        </w:tc>
        <w:tc>
          <w:tcPr>
            <w:tcW w:w="3579" w:type="dxa"/>
            <w:tcBorders>
              <w:top w:val="single" w:sz="4" w:space="0" w:color="auto"/>
              <w:bottom w:val="single" w:sz="4" w:space="0" w:color="auto"/>
            </w:tcBorders>
          </w:tcPr>
          <w:p w14:paraId="4117468A" w14:textId="77777777" w:rsidR="00A70799" w:rsidRPr="001B735E" w:rsidRDefault="00A70799" w:rsidP="001C0197">
            <w:pPr>
              <w:tabs>
                <w:tab w:val="left" w:pos="567"/>
              </w:tabs>
              <w:spacing w:line="276" w:lineRule="auto"/>
              <w:jc w:val="both"/>
              <w:rPr>
                <w:i/>
                <w:lang w:eastAsia="lt-LT"/>
              </w:rPr>
            </w:pPr>
            <w:r w:rsidRPr="001B735E">
              <w:rPr>
                <w:i/>
                <w:lang w:eastAsia="lt-LT"/>
              </w:rPr>
              <w:t>Skirtumas</w:t>
            </w:r>
          </w:p>
        </w:tc>
      </w:tr>
      <w:tr w:rsidR="00A70799" w:rsidRPr="001B735E" w14:paraId="64FF9396" w14:textId="77777777" w:rsidTr="00C834E4">
        <w:trPr>
          <w:jc w:val="center"/>
        </w:trPr>
        <w:tc>
          <w:tcPr>
            <w:tcW w:w="2697" w:type="dxa"/>
            <w:tcBorders>
              <w:top w:val="single" w:sz="4" w:space="0" w:color="auto"/>
              <w:bottom w:val="single" w:sz="4" w:space="0" w:color="auto"/>
            </w:tcBorders>
          </w:tcPr>
          <w:p w14:paraId="74558384" w14:textId="77777777" w:rsidR="00A70799" w:rsidRPr="001B735E" w:rsidRDefault="00A70799" w:rsidP="001C0197">
            <w:pPr>
              <w:tabs>
                <w:tab w:val="left" w:pos="567"/>
              </w:tabs>
              <w:spacing w:line="276" w:lineRule="auto"/>
              <w:rPr>
                <w:iCs/>
                <w:color w:val="000000"/>
                <w:lang w:eastAsia="lt-LT"/>
              </w:rPr>
            </w:pPr>
            <w:r w:rsidRPr="001B735E">
              <w:rPr>
                <w:iCs/>
                <w:color w:val="000000"/>
                <w:lang w:eastAsia="lt-LT"/>
              </w:rPr>
              <w:t>Vaistinių preparatų įsigijimo kaštai</w:t>
            </w:r>
          </w:p>
        </w:tc>
        <w:tc>
          <w:tcPr>
            <w:tcW w:w="1613" w:type="dxa"/>
            <w:tcBorders>
              <w:top w:val="single" w:sz="4" w:space="0" w:color="auto"/>
              <w:bottom w:val="single" w:sz="4" w:space="0" w:color="auto"/>
            </w:tcBorders>
          </w:tcPr>
          <w:p w14:paraId="0FA344B6" w14:textId="401FB997" w:rsidR="00A70799" w:rsidRPr="001B735E" w:rsidRDefault="00E85576" w:rsidP="001C0197">
            <w:pPr>
              <w:tabs>
                <w:tab w:val="left" w:pos="567"/>
              </w:tabs>
              <w:spacing w:line="276" w:lineRule="auto"/>
              <w:jc w:val="both"/>
              <w:rPr>
                <w:i/>
                <w:iCs/>
                <w:lang w:eastAsia="lt-LT"/>
              </w:rPr>
            </w:pPr>
            <w:r>
              <w:rPr>
                <w:i/>
                <w:iCs/>
                <w:lang w:eastAsia="lt-LT"/>
              </w:rPr>
              <w:t>***</w:t>
            </w:r>
          </w:p>
        </w:tc>
        <w:tc>
          <w:tcPr>
            <w:tcW w:w="2019" w:type="dxa"/>
            <w:tcBorders>
              <w:top w:val="single" w:sz="4" w:space="0" w:color="auto"/>
              <w:bottom w:val="single" w:sz="4" w:space="0" w:color="auto"/>
            </w:tcBorders>
          </w:tcPr>
          <w:p w14:paraId="058FA102" w14:textId="0E172C8A" w:rsidR="00A70799" w:rsidRPr="001B735E" w:rsidRDefault="00E85576" w:rsidP="001C0197">
            <w:pPr>
              <w:tabs>
                <w:tab w:val="left" w:pos="567"/>
              </w:tabs>
              <w:spacing w:line="276" w:lineRule="auto"/>
              <w:jc w:val="both"/>
              <w:rPr>
                <w:i/>
                <w:iCs/>
                <w:lang w:eastAsia="lt-LT"/>
              </w:rPr>
            </w:pPr>
            <w:r>
              <w:rPr>
                <w:i/>
                <w:iCs/>
                <w:lang w:eastAsia="lt-LT"/>
              </w:rPr>
              <w:t>***</w:t>
            </w:r>
          </w:p>
        </w:tc>
        <w:tc>
          <w:tcPr>
            <w:tcW w:w="3579" w:type="dxa"/>
            <w:tcBorders>
              <w:top w:val="single" w:sz="4" w:space="0" w:color="auto"/>
              <w:bottom w:val="single" w:sz="4" w:space="0" w:color="auto"/>
            </w:tcBorders>
          </w:tcPr>
          <w:p w14:paraId="7220879D" w14:textId="1371E46F" w:rsidR="00A70799" w:rsidRPr="001B735E" w:rsidRDefault="00E85576" w:rsidP="001C0197">
            <w:pPr>
              <w:tabs>
                <w:tab w:val="left" w:pos="567"/>
              </w:tabs>
              <w:spacing w:line="276" w:lineRule="auto"/>
              <w:jc w:val="both"/>
              <w:rPr>
                <w:lang w:eastAsia="lt-LT"/>
              </w:rPr>
            </w:pPr>
            <w:r>
              <w:rPr>
                <w:lang w:eastAsia="lt-LT"/>
              </w:rPr>
              <w:t>***</w:t>
            </w:r>
          </w:p>
        </w:tc>
      </w:tr>
      <w:tr w:rsidR="00A70799" w:rsidRPr="001B735E" w14:paraId="0DA2AF2A" w14:textId="77777777" w:rsidTr="00C834E4">
        <w:trPr>
          <w:jc w:val="center"/>
        </w:trPr>
        <w:tc>
          <w:tcPr>
            <w:tcW w:w="2697" w:type="dxa"/>
            <w:tcBorders>
              <w:top w:val="single" w:sz="4" w:space="0" w:color="auto"/>
              <w:bottom w:val="single" w:sz="4" w:space="0" w:color="auto"/>
            </w:tcBorders>
          </w:tcPr>
          <w:p w14:paraId="3BCDBD94" w14:textId="77777777" w:rsidR="00A70799" w:rsidRPr="001B735E" w:rsidRDefault="00A70799" w:rsidP="001C0197">
            <w:pPr>
              <w:tabs>
                <w:tab w:val="left" w:pos="567"/>
              </w:tabs>
              <w:spacing w:line="276" w:lineRule="auto"/>
              <w:jc w:val="both"/>
              <w:rPr>
                <w:iCs/>
                <w:color w:val="00B050"/>
                <w:lang w:eastAsia="lt-LT"/>
              </w:rPr>
            </w:pPr>
            <w:r w:rsidRPr="001B735E">
              <w:rPr>
                <w:iCs/>
                <w:color w:val="000000"/>
                <w:lang w:eastAsia="lt-LT"/>
              </w:rPr>
              <w:t>Nepageidaujamų reiškinių valdymo kaštai</w:t>
            </w:r>
          </w:p>
        </w:tc>
        <w:tc>
          <w:tcPr>
            <w:tcW w:w="1613" w:type="dxa"/>
            <w:tcBorders>
              <w:top w:val="single" w:sz="4" w:space="0" w:color="auto"/>
              <w:bottom w:val="single" w:sz="4" w:space="0" w:color="auto"/>
            </w:tcBorders>
          </w:tcPr>
          <w:p w14:paraId="5EEEB9AB" w14:textId="457D0662" w:rsidR="00A70799" w:rsidRPr="001B735E" w:rsidRDefault="00E85576" w:rsidP="001C0197">
            <w:pPr>
              <w:tabs>
                <w:tab w:val="left" w:pos="567"/>
              </w:tabs>
              <w:spacing w:line="276" w:lineRule="auto"/>
              <w:jc w:val="both"/>
              <w:rPr>
                <w:i/>
                <w:iCs/>
                <w:lang w:eastAsia="lt-LT"/>
              </w:rPr>
            </w:pPr>
            <w:r>
              <w:rPr>
                <w:i/>
                <w:iCs/>
                <w:lang w:eastAsia="lt-LT"/>
              </w:rPr>
              <w:t>***</w:t>
            </w:r>
          </w:p>
        </w:tc>
        <w:tc>
          <w:tcPr>
            <w:tcW w:w="2019" w:type="dxa"/>
            <w:tcBorders>
              <w:top w:val="single" w:sz="4" w:space="0" w:color="auto"/>
              <w:bottom w:val="single" w:sz="4" w:space="0" w:color="auto"/>
            </w:tcBorders>
          </w:tcPr>
          <w:p w14:paraId="0755CC56" w14:textId="57286132" w:rsidR="00A70799" w:rsidRPr="001B735E" w:rsidRDefault="00E85576" w:rsidP="001C0197">
            <w:pPr>
              <w:tabs>
                <w:tab w:val="left" w:pos="567"/>
              </w:tabs>
              <w:spacing w:line="276" w:lineRule="auto"/>
              <w:jc w:val="both"/>
              <w:rPr>
                <w:i/>
                <w:iCs/>
                <w:lang w:eastAsia="lt-LT"/>
              </w:rPr>
            </w:pPr>
            <w:r>
              <w:rPr>
                <w:i/>
                <w:iCs/>
                <w:lang w:eastAsia="lt-LT"/>
              </w:rPr>
              <w:t>***</w:t>
            </w:r>
          </w:p>
        </w:tc>
        <w:tc>
          <w:tcPr>
            <w:tcW w:w="3579" w:type="dxa"/>
            <w:tcBorders>
              <w:top w:val="single" w:sz="4" w:space="0" w:color="auto"/>
              <w:bottom w:val="single" w:sz="4" w:space="0" w:color="auto"/>
            </w:tcBorders>
          </w:tcPr>
          <w:p w14:paraId="018CB259" w14:textId="36149BE8" w:rsidR="00A70799" w:rsidRPr="001B735E" w:rsidRDefault="00E85576" w:rsidP="001C0197">
            <w:pPr>
              <w:tabs>
                <w:tab w:val="left" w:pos="567"/>
              </w:tabs>
              <w:spacing w:line="276" w:lineRule="auto"/>
              <w:jc w:val="both"/>
              <w:rPr>
                <w:i/>
                <w:iCs/>
                <w:lang w:eastAsia="lt-LT"/>
              </w:rPr>
            </w:pPr>
            <w:r>
              <w:rPr>
                <w:i/>
                <w:iCs/>
                <w:lang w:eastAsia="lt-LT"/>
              </w:rPr>
              <w:t>***</w:t>
            </w:r>
          </w:p>
        </w:tc>
      </w:tr>
      <w:tr w:rsidR="00A70799" w:rsidRPr="001B735E" w14:paraId="7038529A" w14:textId="77777777" w:rsidTr="00C834E4">
        <w:trPr>
          <w:jc w:val="center"/>
        </w:trPr>
        <w:tc>
          <w:tcPr>
            <w:tcW w:w="2697" w:type="dxa"/>
            <w:tcBorders>
              <w:top w:val="single" w:sz="4" w:space="0" w:color="auto"/>
              <w:bottom w:val="single" w:sz="4" w:space="0" w:color="auto"/>
            </w:tcBorders>
          </w:tcPr>
          <w:p w14:paraId="3526A5E4" w14:textId="77777777" w:rsidR="00A70799" w:rsidRPr="001B735E" w:rsidRDefault="00A70799" w:rsidP="001C0197">
            <w:pPr>
              <w:tabs>
                <w:tab w:val="left" w:pos="567"/>
              </w:tabs>
              <w:spacing w:line="276" w:lineRule="auto"/>
              <w:rPr>
                <w:iCs/>
                <w:color w:val="000000"/>
                <w:lang w:eastAsia="lt-LT"/>
              </w:rPr>
            </w:pPr>
            <w:r w:rsidRPr="001B735E">
              <w:rPr>
                <w:iCs/>
                <w:color w:val="000000"/>
                <w:lang w:eastAsia="lt-LT"/>
              </w:rPr>
              <w:t>Stebėsenos kaštai</w:t>
            </w:r>
          </w:p>
        </w:tc>
        <w:tc>
          <w:tcPr>
            <w:tcW w:w="1613" w:type="dxa"/>
            <w:tcBorders>
              <w:top w:val="single" w:sz="4" w:space="0" w:color="auto"/>
              <w:bottom w:val="single" w:sz="4" w:space="0" w:color="auto"/>
            </w:tcBorders>
          </w:tcPr>
          <w:p w14:paraId="26B6F3AF" w14:textId="346841FB" w:rsidR="00A70799" w:rsidRPr="001B735E" w:rsidRDefault="00E85576" w:rsidP="001C0197">
            <w:pPr>
              <w:tabs>
                <w:tab w:val="left" w:pos="567"/>
              </w:tabs>
              <w:spacing w:line="276" w:lineRule="auto"/>
              <w:jc w:val="both"/>
              <w:rPr>
                <w:i/>
                <w:iCs/>
                <w:lang w:eastAsia="lt-LT"/>
              </w:rPr>
            </w:pPr>
            <w:r>
              <w:rPr>
                <w:i/>
                <w:iCs/>
                <w:lang w:eastAsia="lt-LT"/>
              </w:rPr>
              <w:t>***</w:t>
            </w:r>
          </w:p>
        </w:tc>
        <w:tc>
          <w:tcPr>
            <w:tcW w:w="2019" w:type="dxa"/>
            <w:tcBorders>
              <w:top w:val="single" w:sz="4" w:space="0" w:color="auto"/>
              <w:bottom w:val="single" w:sz="4" w:space="0" w:color="auto"/>
            </w:tcBorders>
          </w:tcPr>
          <w:p w14:paraId="53AF4638" w14:textId="56792ABD" w:rsidR="00A70799" w:rsidRPr="001B735E" w:rsidRDefault="00E85576" w:rsidP="001C0197">
            <w:pPr>
              <w:tabs>
                <w:tab w:val="left" w:pos="567"/>
              </w:tabs>
              <w:spacing w:line="276" w:lineRule="auto"/>
              <w:jc w:val="both"/>
              <w:rPr>
                <w:i/>
                <w:iCs/>
                <w:lang w:eastAsia="lt-LT"/>
              </w:rPr>
            </w:pPr>
            <w:r>
              <w:rPr>
                <w:i/>
                <w:iCs/>
                <w:lang w:eastAsia="lt-LT"/>
              </w:rPr>
              <w:t>***</w:t>
            </w:r>
          </w:p>
        </w:tc>
        <w:tc>
          <w:tcPr>
            <w:tcW w:w="3579" w:type="dxa"/>
            <w:tcBorders>
              <w:top w:val="single" w:sz="4" w:space="0" w:color="auto"/>
              <w:bottom w:val="single" w:sz="4" w:space="0" w:color="auto"/>
            </w:tcBorders>
          </w:tcPr>
          <w:p w14:paraId="0625B909" w14:textId="72819A8B" w:rsidR="00A70799" w:rsidRPr="001B735E" w:rsidRDefault="00E85576" w:rsidP="001C0197">
            <w:pPr>
              <w:tabs>
                <w:tab w:val="left" w:pos="567"/>
              </w:tabs>
              <w:spacing w:line="276" w:lineRule="auto"/>
              <w:jc w:val="both"/>
              <w:rPr>
                <w:i/>
                <w:iCs/>
                <w:lang w:eastAsia="lt-LT"/>
              </w:rPr>
            </w:pPr>
            <w:r>
              <w:rPr>
                <w:i/>
                <w:iCs/>
                <w:lang w:eastAsia="lt-LT"/>
              </w:rPr>
              <w:t>***</w:t>
            </w:r>
          </w:p>
        </w:tc>
      </w:tr>
      <w:tr w:rsidR="00A70799" w:rsidRPr="001B735E" w14:paraId="65B834FB" w14:textId="77777777" w:rsidTr="00C834E4">
        <w:trPr>
          <w:jc w:val="center"/>
        </w:trPr>
        <w:tc>
          <w:tcPr>
            <w:tcW w:w="2697" w:type="dxa"/>
            <w:tcBorders>
              <w:top w:val="single" w:sz="4" w:space="0" w:color="auto"/>
              <w:bottom w:val="single" w:sz="12" w:space="0" w:color="auto"/>
            </w:tcBorders>
          </w:tcPr>
          <w:p w14:paraId="3BC5D0F6" w14:textId="77777777" w:rsidR="00A70799" w:rsidRPr="001B735E" w:rsidRDefault="00A70799" w:rsidP="001C0197">
            <w:pPr>
              <w:tabs>
                <w:tab w:val="left" w:pos="567"/>
              </w:tabs>
              <w:spacing w:line="276" w:lineRule="auto"/>
              <w:jc w:val="both"/>
              <w:rPr>
                <w:iCs/>
                <w:lang w:eastAsia="lt-LT"/>
              </w:rPr>
            </w:pPr>
            <w:r w:rsidRPr="001B735E">
              <w:rPr>
                <w:iCs/>
                <w:lang w:eastAsia="lt-LT"/>
              </w:rPr>
              <w:t>Viso</w:t>
            </w:r>
          </w:p>
        </w:tc>
        <w:tc>
          <w:tcPr>
            <w:tcW w:w="1613" w:type="dxa"/>
            <w:tcBorders>
              <w:top w:val="single" w:sz="4" w:space="0" w:color="auto"/>
              <w:bottom w:val="single" w:sz="12" w:space="0" w:color="auto"/>
            </w:tcBorders>
          </w:tcPr>
          <w:p w14:paraId="2EEE4050" w14:textId="5021545A" w:rsidR="00A70799" w:rsidRPr="001B735E" w:rsidRDefault="00E85576" w:rsidP="001C0197">
            <w:pPr>
              <w:tabs>
                <w:tab w:val="left" w:pos="567"/>
              </w:tabs>
              <w:spacing w:line="276" w:lineRule="auto"/>
              <w:jc w:val="both"/>
              <w:rPr>
                <w:i/>
                <w:iCs/>
                <w:lang w:eastAsia="lt-LT"/>
              </w:rPr>
            </w:pPr>
            <w:r>
              <w:rPr>
                <w:i/>
                <w:iCs/>
                <w:lang w:eastAsia="lt-LT"/>
              </w:rPr>
              <w:t>***</w:t>
            </w:r>
          </w:p>
        </w:tc>
        <w:tc>
          <w:tcPr>
            <w:tcW w:w="2019" w:type="dxa"/>
            <w:tcBorders>
              <w:top w:val="single" w:sz="4" w:space="0" w:color="auto"/>
              <w:bottom w:val="single" w:sz="12" w:space="0" w:color="auto"/>
            </w:tcBorders>
          </w:tcPr>
          <w:p w14:paraId="052619D4" w14:textId="37F46DD0" w:rsidR="00A70799" w:rsidRPr="001B735E" w:rsidRDefault="00E85576" w:rsidP="001C0197">
            <w:pPr>
              <w:tabs>
                <w:tab w:val="left" w:pos="567"/>
              </w:tabs>
              <w:spacing w:line="276" w:lineRule="auto"/>
              <w:jc w:val="both"/>
              <w:rPr>
                <w:i/>
                <w:iCs/>
                <w:lang w:eastAsia="lt-LT"/>
              </w:rPr>
            </w:pPr>
            <w:r>
              <w:rPr>
                <w:i/>
                <w:iCs/>
                <w:lang w:eastAsia="lt-LT"/>
              </w:rPr>
              <w:t>***</w:t>
            </w:r>
          </w:p>
        </w:tc>
        <w:tc>
          <w:tcPr>
            <w:tcW w:w="3579" w:type="dxa"/>
            <w:tcBorders>
              <w:top w:val="single" w:sz="4" w:space="0" w:color="auto"/>
              <w:bottom w:val="single" w:sz="12" w:space="0" w:color="auto"/>
            </w:tcBorders>
          </w:tcPr>
          <w:p w14:paraId="21B9888C" w14:textId="53AAC3FF" w:rsidR="00A70799" w:rsidRPr="001B735E" w:rsidRDefault="00E85576" w:rsidP="001C0197">
            <w:pPr>
              <w:tabs>
                <w:tab w:val="left" w:pos="567"/>
              </w:tabs>
              <w:spacing w:line="276" w:lineRule="auto"/>
              <w:jc w:val="both"/>
              <w:rPr>
                <w:b/>
                <w:i/>
                <w:iCs/>
                <w:lang w:eastAsia="lt-LT"/>
              </w:rPr>
            </w:pPr>
            <w:r>
              <w:rPr>
                <w:b/>
                <w:i/>
                <w:iCs/>
                <w:lang w:eastAsia="lt-LT"/>
              </w:rPr>
              <w:t>***</w:t>
            </w:r>
          </w:p>
        </w:tc>
      </w:tr>
    </w:tbl>
    <w:p w14:paraId="6633931E" w14:textId="77777777" w:rsidR="00A70799" w:rsidRPr="001B735E" w:rsidRDefault="00A70799" w:rsidP="001C0197">
      <w:pPr>
        <w:pStyle w:val="0TEXT"/>
        <w:spacing w:line="276" w:lineRule="auto"/>
        <w:ind w:firstLine="0"/>
        <w:rPr>
          <w:lang w:val="lt-LT"/>
        </w:rPr>
      </w:pPr>
    </w:p>
    <w:p w14:paraId="33875138" w14:textId="77777777" w:rsidR="0035172D" w:rsidRPr="00BE6C61" w:rsidRDefault="0035172D" w:rsidP="001C0197">
      <w:pPr>
        <w:tabs>
          <w:tab w:val="left" w:pos="426"/>
        </w:tabs>
        <w:spacing w:line="276" w:lineRule="auto"/>
        <w:rPr>
          <w:b/>
          <w:bCs/>
          <w:caps/>
        </w:rPr>
      </w:pPr>
    </w:p>
    <w:p w14:paraId="4FC424F9" w14:textId="4E767245" w:rsidR="00C62B36" w:rsidRPr="00BE6C61" w:rsidRDefault="00C62B36" w:rsidP="001C0197">
      <w:pPr>
        <w:pStyle w:val="Sraopastraipa"/>
        <w:numPr>
          <w:ilvl w:val="0"/>
          <w:numId w:val="12"/>
        </w:numPr>
        <w:tabs>
          <w:tab w:val="left" w:pos="567"/>
        </w:tabs>
        <w:spacing w:line="276" w:lineRule="auto"/>
        <w:ind w:hanging="720"/>
        <w:rPr>
          <w:b/>
          <w:bCs/>
          <w:caps/>
        </w:rPr>
      </w:pPr>
      <w:r w:rsidRPr="00BE6C61">
        <w:rPr>
          <w:b/>
          <w:bCs/>
          <w:caps/>
        </w:rPr>
        <w:t xml:space="preserve">Pacientų organizacijų pateikti duomenys </w:t>
      </w:r>
    </w:p>
    <w:p w14:paraId="79BCFF40" w14:textId="16AFC314" w:rsidR="00937907" w:rsidRPr="00BE6C61" w:rsidRDefault="00000000" w:rsidP="001C0197">
      <w:pPr>
        <w:spacing w:line="276" w:lineRule="auto"/>
        <w:jc w:val="both"/>
      </w:pPr>
      <w:sdt>
        <w:sdtPr>
          <w:rPr>
            <w:rStyle w:val="Style2"/>
            <w:rFonts w:eastAsia="MS Gothic"/>
            <w:sz w:val="24"/>
          </w:rPr>
          <w:id w:val="1150014178"/>
          <w15:color w:val="FFCC00"/>
          <w14:checkbox>
            <w14:checked w14:val="0"/>
            <w14:checkedState w14:val="2612" w14:font="MS Gothic"/>
            <w14:uncheckedState w14:val="2610" w14:font="MS Gothic"/>
          </w14:checkbox>
        </w:sdtPr>
        <w:sdtContent>
          <w:r w:rsidR="00BE6C61" w:rsidRPr="00BE6C61">
            <w:rPr>
              <w:rStyle w:val="Style2"/>
              <w:rFonts w:ascii="Segoe UI Symbol" w:eastAsia="MS Gothic" w:hAnsi="Segoe UI Symbol" w:cs="Segoe UI Symbol"/>
              <w:sz w:val="24"/>
            </w:rPr>
            <w:t>☐</w:t>
          </w:r>
        </w:sdtContent>
      </w:sdt>
      <w:r w:rsidR="00937907" w:rsidRPr="00BE6C61">
        <w:t xml:space="preserve"> Pacientų organizacijos pozicija pateikta. Žr. priedą.</w:t>
      </w:r>
    </w:p>
    <w:p w14:paraId="62992180" w14:textId="0DBD6D17" w:rsidR="00937907" w:rsidRPr="00BE6C61" w:rsidRDefault="00000000" w:rsidP="001C0197">
      <w:pPr>
        <w:spacing w:line="276" w:lineRule="auto"/>
        <w:jc w:val="both"/>
      </w:pPr>
      <w:sdt>
        <w:sdtPr>
          <w:rPr>
            <w:rStyle w:val="Style2"/>
            <w:rFonts w:eastAsia="MS Gothic"/>
            <w:sz w:val="24"/>
          </w:rPr>
          <w:id w:val="-1545513810"/>
          <w15:color w:val="FFCC00"/>
          <w14:checkbox>
            <w14:checked w14:val="1"/>
            <w14:checkedState w14:val="2612" w14:font="MS Gothic"/>
            <w14:uncheckedState w14:val="2610" w14:font="MS Gothic"/>
          </w14:checkbox>
        </w:sdtPr>
        <w:sdtContent>
          <w:r w:rsidR="00BE6C61" w:rsidRPr="00BE6C61">
            <w:rPr>
              <w:rStyle w:val="Style2"/>
              <w:rFonts w:ascii="Segoe UI Symbol" w:eastAsia="MS Gothic" w:hAnsi="Segoe UI Symbol" w:cs="Segoe UI Symbol"/>
              <w:sz w:val="24"/>
            </w:rPr>
            <w:t>☒</w:t>
          </w:r>
        </w:sdtContent>
      </w:sdt>
      <w:r w:rsidR="00937907" w:rsidRPr="00BE6C61">
        <w:t xml:space="preserve"> Pacientų organizacijos pozicija </w:t>
      </w:r>
      <w:r w:rsidR="00880A44" w:rsidRPr="00BE6C61">
        <w:t>ne</w:t>
      </w:r>
      <w:r w:rsidR="00937907" w:rsidRPr="00BE6C61">
        <w:t>pateikta.</w:t>
      </w:r>
    </w:p>
    <w:p w14:paraId="03E73D82" w14:textId="77777777" w:rsidR="00D417D2" w:rsidRPr="00BE6C61" w:rsidRDefault="00D417D2" w:rsidP="001C0197">
      <w:pPr>
        <w:spacing w:line="276" w:lineRule="auto"/>
        <w:jc w:val="both"/>
      </w:pPr>
    </w:p>
    <w:p w14:paraId="3D3277FA" w14:textId="3CEEB2D2" w:rsidR="00C62B36" w:rsidRPr="00BE6C61" w:rsidRDefault="00C62B36" w:rsidP="001C0197">
      <w:pPr>
        <w:pStyle w:val="Sraopastraipa"/>
        <w:numPr>
          <w:ilvl w:val="0"/>
          <w:numId w:val="12"/>
        </w:numPr>
        <w:tabs>
          <w:tab w:val="left" w:pos="567"/>
        </w:tabs>
        <w:spacing w:line="276" w:lineRule="auto"/>
        <w:ind w:hanging="720"/>
        <w:rPr>
          <w:b/>
          <w:bCs/>
          <w:caps/>
        </w:rPr>
      </w:pPr>
      <w:r w:rsidRPr="00BE6C61">
        <w:rPr>
          <w:b/>
          <w:bCs/>
          <w:caps/>
        </w:rPr>
        <w:t>Gydytojų organizacijų pateikti duomenys</w:t>
      </w:r>
    </w:p>
    <w:p w14:paraId="389A346C" w14:textId="7858B6E5" w:rsidR="00937907" w:rsidRPr="00BE6C61" w:rsidRDefault="00000000" w:rsidP="001C0197">
      <w:pPr>
        <w:spacing w:line="276" w:lineRule="auto"/>
        <w:jc w:val="both"/>
      </w:pPr>
      <w:sdt>
        <w:sdtPr>
          <w:rPr>
            <w:rStyle w:val="Style2"/>
            <w:rFonts w:eastAsia="MS Gothic"/>
            <w:sz w:val="24"/>
          </w:rPr>
          <w:id w:val="1613862788"/>
          <w15:color w:val="FFCC00"/>
          <w14:checkbox>
            <w14:checked w14:val="1"/>
            <w14:checkedState w14:val="2612" w14:font="MS Gothic"/>
            <w14:uncheckedState w14:val="2610" w14:font="MS Gothic"/>
          </w14:checkbox>
        </w:sdtPr>
        <w:sdtContent>
          <w:r w:rsidR="00BE6C61" w:rsidRPr="00BE6C61">
            <w:rPr>
              <w:rStyle w:val="Style2"/>
              <w:rFonts w:ascii="Segoe UI Symbol" w:eastAsia="MS Gothic" w:hAnsi="Segoe UI Symbol" w:cs="Segoe UI Symbol"/>
              <w:sz w:val="24"/>
            </w:rPr>
            <w:t>☒</w:t>
          </w:r>
        </w:sdtContent>
      </w:sdt>
      <w:r w:rsidR="00662983" w:rsidRPr="00BE6C61">
        <w:t xml:space="preserve"> </w:t>
      </w:r>
      <w:r w:rsidR="00937907" w:rsidRPr="00BE6C61">
        <w:t xml:space="preserve">Gydytojų specialistų organizacijos pozicija pateikta. </w:t>
      </w:r>
      <w:r w:rsidR="00662983" w:rsidRPr="00BE6C61">
        <w:t>Žr. priedą</w:t>
      </w:r>
      <w:r w:rsidR="00937907" w:rsidRPr="00BE6C61">
        <w:t>.</w:t>
      </w:r>
    </w:p>
    <w:p w14:paraId="5D8CC48C" w14:textId="3A26D0FB" w:rsidR="00662983" w:rsidRPr="00BE6C61" w:rsidRDefault="00000000" w:rsidP="001C0197">
      <w:pPr>
        <w:spacing w:line="276" w:lineRule="auto"/>
        <w:jc w:val="both"/>
      </w:pPr>
      <w:sdt>
        <w:sdtPr>
          <w:rPr>
            <w:rStyle w:val="Style2"/>
            <w:rFonts w:eastAsia="MS Gothic"/>
            <w:sz w:val="24"/>
          </w:rPr>
          <w:id w:val="-41988141"/>
          <w15:color w:val="FFCC00"/>
          <w14:checkbox>
            <w14:checked w14:val="0"/>
            <w14:checkedState w14:val="2612" w14:font="MS Gothic"/>
            <w14:uncheckedState w14:val="2610" w14:font="MS Gothic"/>
          </w14:checkbox>
        </w:sdtPr>
        <w:sdtContent>
          <w:r w:rsidR="00BE6C61" w:rsidRPr="00BE6C61">
            <w:rPr>
              <w:rStyle w:val="Style2"/>
              <w:rFonts w:ascii="Segoe UI Symbol" w:eastAsia="MS Gothic" w:hAnsi="Segoe UI Symbol" w:cs="Segoe UI Symbol"/>
              <w:sz w:val="24"/>
            </w:rPr>
            <w:t>☐</w:t>
          </w:r>
        </w:sdtContent>
      </w:sdt>
      <w:r w:rsidR="00662983" w:rsidRPr="00BE6C61">
        <w:t xml:space="preserve"> </w:t>
      </w:r>
      <w:r w:rsidR="00937907" w:rsidRPr="00BE6C61">
        <w:t xml:space="preserve">Gydytojų specialistų organizacijos pozicija </w:t>
      </w:r>
      <w:r w:rsidR="00880A44" w:rsidRPr="00BE6C61">
        <w:t>ne</w:t>
      </w:r>
      <w:r w:rsidR="00937907" w:rsidRPr="00BE6C61">
        <w:t>pateikta.</w:t>
      </w:r>
    </w:p>
    <w:p w14:paraId="3701D46A" w14:textId="77777777" w:rsidR="00A042B9" w:rsidRPr="00EE4526" w:rsidRDefault="00A042B9" w:rsidP="001C0197">
      <w:pPr>
        <w:spacing w:line="276" w:lineRule="auto"/>
        <w:jc w:val="both"/>
      </w:pPr>
    </w:p>
    <w:p w14:paraId="78F23ECB" w14:textId="23A3A002" w:rsidR="002F0E4F" w:rsidRPr="00EE4526" w:rsidRDefault="002F0E4F" w:rsidP="001C0197">
      <w:pPr>
        <w:pStyle w:val="Sraopastraipa"/>
        <w:numPr>
          <w:ilvl w:val="0"/>
          <w:numId w:val="12"/>
        </w:numPr>
        <w:tabs>
          <w:tab w:val="left" w:pos="567"/>
        </w:tabs>
        <w:spacing w:line="276" w:lineRule="auto"/>
        <w:ind w:hanging="720"/>
        <w:rPr>
          <w:b/>
          <w:bCs/>
          <w:caps/>
        </w:rPr>
      </w:pPr>
      <w:r w:rsidRPr="00EE4526">
        <w:rPr>
          <w:b/>
          <w:bCs/>
          <w:caps/>
        </w:rPr>
        <w:t xml:space="preserve">Išvada </w:t>
      </w:r>
    </w:p>
    <w:p w14:paraId="08D5B3B6" w14:textId="0901279C" w:rsidR="0061611B" w:rsidRPr="00EE4526" w:rsidRDefault="0061611B" w:rsidP="001C0197">
      <w:pPr>
        <w:spacing w:line="276" w:lineRule="auto"/>
        <w:rPr>
          <w:i/>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6C1A1474"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97324644"/>
                <w15:color w:val="FFCC00"/>
                <w14:checkbox>
                  <w14:checked w14:val="0"/>
                  <w14:checkedState w14:val="2612" w14:font="MS Gothic"/>
                  <w14:uncheckedState w14:val="2610" w14:font="MS Gothic"/>
                </w14:checkbox>
              </w:sdtPr>
              <w:sdtContent>
                <w:r w:rsidR="00BE6C61">
                  <w:rPr>
                    <w:rStyle w:val="Style2"/>
                    <w:rFonts w:ascii="MS Gothic" w:eastAsia="MS Gothic" w:hAnsi="MS Gothic" w:hint="eastAsia"/>
                    <w:sz w:val="24"/>
                  </w:rPr>
                  <w:t>☐</w:t>
                </w:r>
              </w:sdtContent>
            </w:sdt>
            <w:r w:rsidR="003A235D">
              <w:t xml:space="preserve"> 32.1. yra didesnis</w:t>
            </w:r>
          </w:p>
          <w:p w14:paraId="3B48F372" w14:textId="77777777" w:rsidR="00662983" w:rsidRPr="00E33EFF" w:rsidRDefault="00662983"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F18D4" w14:textId="6EB1855D"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BE6C61">
                  <w:rPr>
                    <w:rStyle w:val="Style2"/>
                    <w:rFonts w:ascii="MS Gothic" w:eastAsia="MS Gothic" w:hAnsi="MS Gothic" w:hint="eastAsia"/>
                    <w:sz w:val="24"/>
                  </w:rPr>
                  <w:t>☒</w:t>
                </w:r>
              </w:sdtContent>
            </w:sdt>
            <w:r w:rsidR="00B13D65" w:rsidRPr="00E33EFF">
              <w:t xml:space="preserve"> 32.1. iš esmės nesiskiria</w:t>
            </w:r>
          </w:p>
        </w:tc>
        <w:tc>
          <w:tcPr>
            <w:tcW w:w="4814" w:type="dxa"/>
          </w:tcPr>
          <w:p w14:paraId="507828D9" w14:textId="40D13914"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80682B8" w14:textId="22ED8CA3" w:rsidR="00662983"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C3F0A3" w14:textId="6F007A13"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3F374F4" w14:textId="77777777"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E33EFF">
              <w:rPr>
                <w:rStyle w:val="Style2"/>
                <w:rFonts w:eastAsia="MS Gothic"/>
                <w:b/>
                <w:bCs/>
                <w:sz w:val="24"/>
              </w:rPr>
              <w:lastRenderedPageBreak/>
              <w:t>Klinikinis veiksmingumas</w:t>
            </w:r>
          </w:p>
        </w:tc>
      </w:tr>
      <w:tr w:rsidR="00B13D65" w:rsidRPr="00E33EFF" w14:paraId="3C60570A" w14:textId="77777777" w:rsidTr="0061611B">
        <w:tc>
          <w:tcPr>
            <w:tcW w:w="4815" w:type="dxa"/>
          </w:tcPr>
          <w:p w14:paraId="6897B306" w14:textId="2E0134E7"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481080007"/>
                <w15:color w:val="FFCC00"/>
                <w14:checkbox>
                  <w14:checked w14:val="0"/>
                  <w14:checkedState w14:val="2612" w14:font="MS Gothic"/>
                  <w14:uncheckedState w14:val="2610" w14:font="MS Gothic"/>
                </w14:checkbox>
              </w:sdtPr>
              <w:sdtContent>
                <w:r w:rsidR="00BE6C61">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BBDF86" w14:textId="228D524C"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862061586"/>
                <w15:color w:val="FFCC00"/>
                <w14:checkbox>
                  <w14:checked w14:val="1"/>
                  <w14:checkedState w14:val="2612" w14:font="MS Gothic"/>
                  <w14:uncheckedState w14:val="2610" w14:font="MS Gothic"/>
                </w14:checkbox>
              </w:sdtPr>
              <w:sdtContent>
                <w:r w:rsidR="00BE6C61">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814" w:type="dxa"/>
          </w:tcPr>
          <w:p w14:paraId="74A2DECF" w14:textId="682BFC3B" w:rsidR="00662983" w:rsidRPr="00E33EFF" w:rsidRDefault="00000000" w:rsidP="001C0197">
            <w:pPr>
              <w:spacing w:line="276" w:lineRule="auto"/>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1C0197">
            <w:pPr>
              <w:spacing w:line="276" w:lineRule="auto"/>
              <w:jc w:val="both"/>
            </w:pPr>
          </w:p>
          <w:p w14:paraId="0ADEC30D" w14:textId="1353964F" w:rsidR="00B13D65" w:rsidRPr="00E33EFF" w:rsidRDefault="00000000" w:rsidP="001C0197">
            <w:pPr>
              <w:spacing w:line="276" w:lineRule="auto"/>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7E672" w14:textId="77777777" w:rsidR="00B13D65" w:rsidRPr="00E33EFF" w:rsidRDefault="00B13D65"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35D4D367"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975984416"/>
                <w15:color w:val="FFCC00"/>
                <w14:checkbox>
                  <w14:checked w14:val="0"/>
                  <w14:checkedState w14:val="2612" w14:font="MS Gothic"/>
                  <w14:uncheckedState w14:val="2610" w14:font="MS Gothic"/>
                </w14:checkbox>
              </w:sdtPr>
              <w:sdtContent>
                <w:r w:rsidR="00BE6C61">
                  <w:rPr>
                    <w:rStyle w:val="Style2"/>
                    <w:rFonts w:ascii="MS Gothic" w:eastAsia="MS Gothic" w:hAnsi="MS Gothic" w:hint="eastAsia"/>
                    <w:sz w:val="24"/>
                  </w:rPr>
                  <w:t>☐</w:t>
                </w:r>
              </w:sdtContent>
            </w:sdt>
            <w:r w:rsidR="00B13D65" w:rsidRPr="00E33EFF">
              <w:t xml:space="preserve"> 32.3. atitinka referencinę naudingumo vertę, </w:t>
            </w:r>
          </w:p>
          <w:p w14:paraId="3F76F153" w14:textId="77777777" w:rsidR="00662983" w:rsidRPr="00E33EFF" w:rsidRDefault="00662983"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072E7" w14:textId="67DB0EB1"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B00959" w:rsidRPr="00E33EFF">
              <w:t>lyginant su įprasta klinikine praktika</w:t>
            </w:r>
          </w:p>
          <w:p w14:paraId="25E4BD1E" w14:textId="77777777" w:rsidR="00B13D65" w:rsidRPr="00E33EFF" w:rsidRDefault="00B13D65"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814" w:type="dxa"/>
          </w:tcPr>
          <w:p w14:paraId="53380063" w14:textId="5EB8488A"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673C3A9" w14:textId="611585BF"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Content>
                <w:r w:rsidR="00BE6C61">
                  <w:rPr>
                    <w:rStyle w:val="Style2"/>
                    <w:rFonts w:ascii="MS Gothic" w:eastAsia="MS Gothic" w:hAnsi="MS Gothic" w:hint="eastAsia"/>
                    <w:sz w:val="24"/>
                  </w:rPr>
                  <w:t>☒</w:t>
                </w:r>
              </w:sdtContent>
            </w:sdt>
            <w:r w:rsidR="00B13D65" w:rsidRPr="00E33EFF">
              <w:t xml:space="preserve"> 33.3. gydymo juo kaštai yra didesni esant iš esmės nesiskiriančiam palyginamajam efektyvumui, </w:t>
            </w:r>
            <w:r w:rsidR="00B00959" w:rsidRPr="00E33EFF">
              <w:t>lyginant su įprasta klinikine praktika</w:t>
            </w:r>
          </w:p>
          <w:p w14:paraId="4A9C7D2A" w14:textId="77777777" w:rsidR="00662983" w:rsidRPr="00E33EFF" w:rsidRDefault="00662983"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226013D" w14:textId="4020B1AC" w:rsidR="00B13D65" w:rsidRPr="00E33EFF" w:rsidRDefault="00000000"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1C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bl>
    <w:p w14:paraId="65ACA3C5" w14:textId="76C604A1" w:rsidR="004A3A61" w:rsidRPr="00E33EFF" w:rsidRDefault="004A3A61" w:rsidP="001C0197">
      <w:pPr>
        <w:spacing w:line="276" w:lineRule="auto"/>
      </w:pPr>
    </w:p>
    <w:p w14:paraId="3B2D1F25" w14:textId="3A80E19F" w:rsidR="000001B0" w:rsidRPr="00E33EFF" w:rsidRDefault="000001B0" w:rsidP="001C0197">
      <w:pPr>
        <w:pStyle w:val="Sraopastraipa"/>
        <w:numPr>
          <w:ilvl w:val="0"/>
          <w:numId w:val="12"/>
        </w:numPr>
        <w:spacing w:line="276" w:lineRule="auto"/>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1C0197">
      <w:pPr>
        <w:pStyle w:val="Sraopastraipa"/>
        <w:spacing w:line="276" w:lineRule="auto"/>
        <w:ind w:left="426"/>
      </w:pPr>
    </w:p>
    <w:p w14:paraId="75A446FA" w14:textId="77777777" w:rsidR="00BE6C61" w:rsidRPr="00465D65" w:rsidRDefault="00BE6C61" w:rsidP="001C0197">
      <w:pPr>
        <w:spacing w:line="276" w:lineRule="auto"/>
        <w:jc w:val="both"/>
      </w:pPr>
      <w:r w:rsidRPr="00465D65">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3A43CDA5" w14:textId="77777777" w:rsidR="00BE6C61" w:rsidRPr="00465D65" w:rsidRDefault="00BE6C61" w:rsidP="001C0197">
      <w:pPr>
        <w:spacing w:line="276" w:lineRule="auto"/>
        <w:jc w:val="both"/>
        <w:rPr>
          <w:i/>
        </w:rPr>
      </w:pPr>
      <w:r w:rsidRPr="00465D65">
        <w:t xml:space="preserve">34.4. rekomenduojama </w:t>
      </w:r>
      <w:r w:rsidRPr="00465D65">
        <w:rPr>
          <w:i/>
        </w:rPr>
        <w:t xml:space="preserve">nekompensuoti </w:t>
      </w:r>
      <w:r w:rsidRPr="00465D65">
        <w:t>vaistinio preparato pagal paraiškoje nurodytą indikaciją</w:t>
      </w:r>
      <w:r>
        <w:t xml:space="preserve"> </w:t>
      </w:r>
      <w:r w:rsidRPr="00465D65">
        <w:t>su skyrimo sąlygomis, taikant PGS dėl vertinimo išvadų, nurodytų 33.3 papunktyje (žr. 8 ir 17 skyrius),</w:t>
      </w:r>
      <w:r>
        <w:t xml:space="preserve"> </w:t>
      </w:r>
      <w:r w:rsidRPr="00465D65">
        <w:t xml:space="preserve">neatitikties 34.3 papunktyje išdėstytoms sąlygoms. </w:t>
      </w:r>
    </w:p>
    <w:p w14:paraId="7CDFF220" w14:textId="5C8C0950" w:rsidR="000723FF" w:rsidRPr="000723FF" w:rsidRDefault="004277F5" w:rsidP="001C0197">
      <w:pPr>
        <w:spacing w:line="276" w:lineRule="auto"/>
        <w:rPr>
          <w:b/>
        </w:rPr>
      </w:pPr>
      <w:r>
        <w:rPr>
          <w:rFonts w:eastAsia="Arial"/>
        </w:rPr>
        <w:t xml:space="preserve"> </w:t>
      </w:r>
    </w:p>
    <w:sectPr w:rsidR="000723FF" w:rsidRPr="000723FF" w:rsidSect="005E2F95">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B135" w14:textId="77777777" w:rsidR="005E2F95" w:rsidRDefault="005E2F95">
      <w:r>
        <w:separator/>
      </w:r>
    </w:p>
  </w:endnote>
  <w:endnote w:type="continuationSeparator" w:id="0">
    <w:p w14:paraId="7E5623A1" w14:textId="77777777" w:rsidR="005E2F95" w:rsidRDefault="005E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panose1 w:val="00000000000000000000"/>
    <w:charset w:val="00"/>
    <w:family w:val="auto"/>
    <w:notTrueType/>
    <w:pitch w:val="default"/>
    <w:sig w:usb0="00000003" w:usb1="09060000" w:usb2="00000010" w:usb3="00000000" w:csb0="0008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BC1F" w14:textId="77777777" w:rsidR="005E2F95" w:rsidRDefault="005E2F95">
      <w:r>
        <w:separator/>
      </w:r>
    </w:p>
  </w:footnote>
  <w:footnote w:type="continuationSeparator" w:id="0">
    <w:p w14:paraId="7EB44025" w14:textId="77777777" w:rsidR="005E2F95" w:rsidRDefault="005E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6D875198"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14A0">
      <w:rPr>
        <w:rStyle w:val="Puslapionumeris"/>
        <w:noProof/>
      </w:rPr>
      <w:t>4</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EA6323"/>
    <w:multiLevelType w:val="hybridMultilevel"/>
    <w:tmpl w:val="1226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15085"/>
    <w:multiLevelType w:val="hybridMultilevel"/>
    <w:tmpl w:val="A636D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308A4E1B"/>
    <w:multiLevelType w:val="hybridMultilevel"/>
    <w:tmpl w:val="65280FA4"/>
    <w:lvl w:ilvl="0" w:tplc="0D9A428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3286504">
    <w:abstractNumId w:val="9"/>
  </w:num>
  <w:num w:numId="2" w16cid:durableId="1286817385">
    <w:abstractNumId w:val="2"/>
  </w:num>
  <w:num w:numId="3" w16cid:durableId="1767843971">
    <w:abstractNumId w:val="11"/>
  </w:num>
  <w:num w:numId="4" w16cid:durableId="866062217">
    <w:abstractNumId w:val="10"/>
  </w:num>
  <w:num w:numId="5" w16cid:durableId="2091845632">
    <w:abstractNumId w:val="8"/>
  </w:num>
  <w:num w:numId="6" w16cid:durableId="2003120781">
    <w:abstractNumId w:val="7"/>
  </w:num>
  <w:num w:numId="7" w16cid:durableId="1768496467">
    <w:abstractNumId w:val="5"/>
  </w:num>
  <w:num w:numId="8" w16cid:durableId="1782608111">
    <w:abstractNumId w:val="14"/>
  </w:num>
  <w:num w:numId="9" w16cid:durableId="1802069426">
    <w:abstractNumId w:val="0"/>
  </w:num>
  <w:num w:numId="10" w16cid:durableId="1762336801">
    <w:abstractNumId w:val="12"/>
  </w:num>
  <w:num w:numId="11" w16cid:durableId="1620717467">
    <w:abstractNumId w:val="13"/>
  </w:num>
  <w:num w:numId="12" w16cid:durableId="1629897615">
    <w:abstractNumId w:val="3"/>
  </w:num>
  <w:num w:numId="13" w16cid:durableId="1268154035">
    <w:abstractNumId w:val="6"/>
  </w:num>
  <w:num w:numId="14" w16cid:durableId="1706515161">
    <w:abstractNumId w:val="4"/>
  </w:num>
  <w:num w:numId="15" w16cid:durableId="176595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1277"/>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1B59"/>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C0197"/>
    <w:rsid w:val="001C3293"/>
    <w:rsid w:val="001D746F"/>
    <w:rsid w:val="001E4BBB"/>
    <w:rsid w:val="001E6304"/>
    <w:rsid w:val="0020381E"/>
    <w:rsid w:val="00213471"/>
    <w:rsid w:val="00215906"/>
    <w:rsid w:val="00241CD8"/>
    <w:rsid w:val="00244B09"/>
    <w:rsid w:val="002518F5"/>
    <w:rsid w:val="002519CB"/>
    <w:rsid w:val="0025697F"/>
    <w:rsid w:val="00260258"/>
    <w:rsid w:val="0026588E"/>
    <w:rsid w:val="00272428"/>
    <w:rsid w:val="00272948"/>
    <w:rsid w:val="0027750A"/>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A235D"/>
    <w:rsid w:val="003B211A"/>
    <w:rsid w:val="003C141F"/>
    <w:rsid w:val="003C6B0E"/>
    <w:rsid w:val="003C7257"/>
    <w:rsid w:val="003C7E35"/>
    <w:rsid w:val="003D1E99"/>
    <w:rsid w:val="003D6208"/>
    <w:rsid w:val="004014A0"/>
    <w:rsid w:val="00404E8A"/>
    <w:rsid w:val="0040622F"/>
    <w:rsid w:val="00413F24"/>
    <w:rsid w:val="00422853"/>
    <w:rsid w:val="00423160"/>
    <w:rsid w:val="004277F5"/>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59CA"/>
    <w:rsid w:val="005476A4"/>
    <w:rsid w:val="0055019B"/>
    <w:rsid w:val="00556E63"/>
    <w:rsid w:val="005601A4"/>
    <w:rsid w:val="00566DBB"/>
    <w:rsid w:val="005767DB"/>
    <w:rsid w:val="005815E6"/>
    <w:rsid w:val="00582347"/>
    <w:rsid w:val="0058712F"/>
    <w:rsid w:val="005976CE"/>
    <w:rsid w:val="00597C38"/>
    <w:rsid w:val="005A23D4"/>
    <w:rsid w:val="005A2D1E"/>
    <w:rsid w:val="005B3756"/>
    <w:rsid w:val="005C125F"/>
    <w:rsid w:val="005C493F"/>
    <w:rsid w:val="005C6BF7"/>
    <w:rsid w:val="005C71BF"/>
    <w:rsid w:val="005D002C"/>
    <w:rsid w:val="005D30E1"/>
    <w:rsid w:val="005D6555"/>
    <w:rsid w:val="005D6EC5"/>
    <w:rsid w:val="005D7BDF"/>
    <w:rsid w:val="005E2F95"/>
    <w:rsid w:val="005E4870"/>
    <w:rsid w:val="005F71D9"/>
    <w:rsid w:val="005F7602"/>
    <w:rsid w:val="006062BE"/>
    <w:rsid w:val="00613143"/>
    <w:rsid w:val="00613501"/>
    <w:rsid w:val="0061611B"/>
    <w:rsid w:val="006166A8"/>
    <w:rsid w:val="006174A1"/>
    <w:rsid w:val="00621D6C"/>
    <w:rsid w:val="00630FD2"/>
    <w:rsid w:val="00633B49"/>
    <w:rsid w:val="0064297F"/>
    <w:rsid w:val="00645102"/>
    <w:rsid w:val="00646CF3"/>
    <w:rsid w:val="00653D11"/>
    <w:rsid w:val="00662983"/>
    <w:rsid w:val="006834D3"/>
    <w:rsid w:val="00692625"/>
    <w:rsid w:val="00695CD3"/>
    <w:rsid w:val="006A38B6"/>
    <w:rsid w:val="006A4F99"/>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40871"/>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A62B3"/>
    <w:rsid w:val="009A77E7"/>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7079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3717"/>
    <w:rsid w:val="00B4468D"/>
    <w:rsid w:val="00B45A3F"/>
    <w:rsid w:val="00B71C72"/>
    <w:rsid w:val="00B81E92"/>
    <w:rsid w:val="00B908D7"/>
    <w:rsid w:val="00B915AB"/>
    <w:rsid w:val="00B935E8"/>
    <w:rsid w:val="00B93B30"/>
    <w:rsid w:val="00B94CB5"/>
    <w:rsid w:val="00BA0DD9"/>
    <w:rsid w:val="00BA5DBC"/>
    <w:rsid w:val="00BB6312"/>
    <w:rsid w:val="00BB72F9"/>
    <w:rsid w:val="00BC4D06"/>
    <w:rsid w:val="00BD585E"/>
    <w:rsid w:val="00BD6919"/>
    <w:rsid w:val="00BE1EA7"/>
    <w:rsid w:val="00BE6C61"/>
    <w:rsid w:val="00BE7489"/>
    <w:rsid w:val="00BF2E0D"/>
    <w:rsid w:val="00BF3927"/>
    <w:rsid w:val="00BF3F8B"/>
    <w:rsid w:val="00BF76DA"/>
    <w:rsid w:val="00C07C7B"/>
    <w:rsid w:val="00C16245"/>
    <w:rsid w:val="00C22DC5"/>
    <w:rsid w:val="00C24479"/>
    <w:rsid w:val="00C273F2"/>
    <w:rsid w:val="00C37B53"/>
    <w:rsid w:val="00C517D2"/>
    <w:rsid w:val="00C5772E"/>
    <w:rsid w:val="00C57E9C"/>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2608"/>
    <w:rsid w:val="00D5470B"/>
    <w:rsid w:val="00D57FAF"/>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85576"/>
    <w:rsid w:val="00E9608F"/>
    <w:rsid w:val="00E963C3"/>
    <w:rsid w:val="00EB6FC5"/>
    <w:rsid w:val="00EC2356"/>
    <w:rsid w:val="00EC2582"/>
    <w:rsid w:val="00EC337C"/>
    <w:rsid w:val="00ED0CFF"/>
    <w:rsid w:val="00ED1AE2"/>
    <w:rsid w:val="00ED31D2"/>
    <w:rsid w:val="00EE0EAC"/>
    <w:rsid w:val="00EE3322"/>
    <w:rsid w:val="00EE33CB"/>
    <w:rsid w:val="00EE4526"/>
    <w:rsid w:val="00F0061A"/>
    <w:rsid w:val="00F02834"/>
    <w:rsid w:val="00F04EEB"/>
    <w:rsid w:val="00F05467"/>
    <w:rsid w:val="00F055D2"/>
    <w:rsid w:val="00F07CD7"/>
    <w:rsid w:val="00F127E9"/>
    <w:rsid w:val="00F14B5D"/>
    <w:rsid w:val="00F259FC"/>
    <w:rsid w:val="00F36972"/>
    <w:rsid w:val="00F42426"/>
    <w:rsid w:val="00F456BC"/>
    <w:rsid w:val="00F50666"/>
    <w:rsid w:val="00F650F0"/>
    <w:rsid w:val="00F70C9E"/>
    <w:rsid w:val="00F74A74"/>
    <w:rsid w:val="00F7572C"/>
    <w:rsid w:val="00F8382C"/>
    <w:rsid w:val="00F855D7"/>
    <w:rsid w:val="00F90EBE"/>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Use Case List Paragraph Diagrama"/>
    <w:link w:val="Sraopastraipa"/>
    <w:uiPriority w:val="34"/>
    <w:rsid w:val="004277F5"/>
    <w:rPr>
      <w:sz w:val="24"/>
      <w:szCs w:val="24"/>
      <w:lang w:eastAsia="en-US"/>
    </w:rPr>
  </w:style>
  <w:style w:type="paragraph" w:customStyle="1" w:styleId="Default">
    <w:name w:val="Default"/>
    <w:rsid w:val="00BB72F9"/>
    <w:pPr>
      <w:autoSpaceDE w:val="0"/>
      <w:autoSpaceDN w:val="0"/>
      <w:adjustRightInd w:val="0"/>
    </w:pPr>
    <w:rPr>
      <w:rFonts w:ascii="Calibri" w:hAnsi="Calibri" w:cs="Calibri"/>
      <w:color w:val="000000"/>
      <w:sz w:val="24"/>
      <w:szCs w:val="24"/>
      <w:lang w:eastAsia="en-US"/>
    </w:rPr>
  </w:style>
  <w:style w:type="paragraph" w:customStyle="1" w:styleId="0TEXT">
    <w:name w:val="0: TEXT"/>
    <w:basedOn w:val="prastasis"/>
    <w:link w:val="0TEXTChar"/>
    <w:qFormat/>
    <w:rsid w:val="00BE6C61"/>
    <w:pPr>
      <w:ind w:firstLine="567"/>
      <w:jc w:val="both"/>
    </w:pPr>
    <w:rPr>
      <w:rFonts w:eastAsiaTheme="minorHAnsi"/>
      <w:bCs/>
      <w:color w:val="000000"/>
      <w:lang w:val="en-GB"/>
    </w:rPr>
  </w:style>
  <w:style w:type="character" w:customStyle="1" w:styleId="0TEXTChar">
    <w:name w:val="0: TEXT Char"/>
    <w:basedOn w:val="Numatytasispastraiposriftas"/>
    <w:link w:val="0TEXT"/>
    <w:rsid w:val="00BE6C61"/>
    <w:rPr>
      <w:rFonts w:eastAsiaTheme="minorHAnsi"/>
      <w:bC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0255">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C737A5803469D9880D6E45B933996"/>
        <w:category>
          <w:name w:val="General"/>
          <w:gallery w:val="placeholder"/>
        </w:category>
        <w:types>
          <w:type w:val="bbPlcHdr"/>
        </w:types>
        <w:behaviors>
          <w:behavior w:val="content"/>
        </w:behaviors>
        <w:guid w:val="{061D152D-1FE8-4C3D-BEC4-BE8230BF4533}"/>
      </w:docPartPr>
      <w:docPartBody>
        <w:p w:rsidR="009F0740" w:rsidRDefault="001B0972" w:rsidP="001B0972">
          <w:pPr>
            <w:pStyle w:val="642C737A5803469D9880D6E45B933996"/>
          </w:pPr>
          <w:r>
            <w:rPr>
              <w:rStyle w:val="Vietosrezervavimoenklotekstas"/>
            </w:rPr>
            <w:t>Click here to enter a date.</w:t>
          </w:r>
        </w:p>
      </w:docPartBody>
    </w:docPart>
    <w:docPart>
      <w:docPartPr>
        <w:name w:val="4A81882903324F5F99B65B49D9212EC2"/>
        <w:category>
          <w:name w:val="General"/>
          <w:gallery w:val="placeholder"/>
        </w:category>
        <w:types>
          <w:type w:val="bbPlcHdr"/>
        </w:types>
        <w:behaviors>
          <w:behavior w:val="content"/>
        </w:behaviors>
        <w:guid w:val="{F8B8EC21-A8CC-406E-AC0D-FFFCFA457E2F}"/>
      </w:docPartPr>
      <w:docPartBody>
        <w:p w:rsidR="009F0740" w:rsidRDefault="001B0972" w:rsidP="001B0972">
          <w:pPr>
            <w:pStyle w:val="4A81882903324F5F99B65B49D9212EC2"/>
          </w:pPr>
          <w:r>
            <w:rPr>
              <w:rStyle w:val="Vietosrezervavimoenklotekstas"/>
            </w:rPr>
            <w:t>Click here to enter a date.</w:t>
          </w:r>
        </w:p>
      </w:docPartBody>
    </w:docPart>
    <w:docPart>
      <w:docPartPr>
        <w:name w:val="4C67A6A735994CFE811A4ED7B93E8780"/>
        <w:category>
          <w:name w:val="General"/>
          <w:gallery w:val="placeholder"/>
        </w:category>
        <w:types>
          <w:type w:val="bbPlcHdr"/>
        </w:types>
        <w:behaviors>
          <w:behavior w:val="content"/>
        </w:behaviors>
        <w:guid w:val="{15D1B563-5745-4C7C-A277-836BC6EB19AF}"/>
      </w:docPartPr>
      <w:docPartBody>
        <w:p w:rsidR="009F0740" w:rsidRDefault="001B0972" w:rsidP="001B0972">
          <w:pPr>
            <w:pStyle w:val="4C67A6A735994CFE811A4ED7B93E8780"/>
          </w:pPr>
          <w:r>
            <w:rPr>
              <w:rStyle w:val="Vietosrezervavimoenklotekstas"/>
            </w:rPr>
            <w:t>Click here to enter a date.</w:t>
          </w:r>
        </w:p>
      </w:docPartBody>
    </w:docPart>
    <w:docPart>
      <w:docPartPr>
        <w:name w:val="4135C5230BB94C14AF81223F72B6916A"/>
        <w:category>
          <w:name w:val="General"/>
          <w:gallery w:val="placeholder"/>
        </w:category>
        <w:types>
          <w:type w:val="bbPlcHdr"/>
        </w:types>
        <w:behaviors>
          <w:behavior w:val="content"/>
        </w:behaviors>
        <w:guid w:val="{05EE18A2-311F-4328-8775-F9CD7DA2BF30}"/>
      </w:docPartPr>
      <w:docPartBody>
        <w:p w:rsidR="007F1118" w:rsidRDefault="0051126F" w:rsidP="0051126F">
          <w:pPr>
            <w:pStyle w:val="4135C5230BB94C14AF81223F72B6916A"/>
          </w:pPr>
          <w:r>
            <w:rPr>
              <w:rStyle w:val="Vietosrezervavimoenklotekstas"/>
            </w:rPr>
            <w:t>Click here to enter a date.</w:t>
          </w:r>
        </w:p>
      </w:docPartBody>
    </w:docPart>
    <w:docPart>
      <w:docPartPr>
        <w:name w:val="30F0F19DC9604C97AF5F245EEFB25C0C"/>
        <w:category>
          <w:name w:val="General"/>
          <w:gallery w:val="placeholder"/>
        </w:category>
        <w:types>
          <w:type w:val="bbPlcHdr"/>
        </w:types>
        <w:behaviors>
          <w:behavior w:val="content"/>
        </w:behaviors>
        <w:guid w:val="{A914CC7C-13C8-4511-A684-4CE3C5599720}"/>
      </w:docPartPr>
      <w:docPartBody>
        <w:p w:rsidR="007F1118" w:rsidRDefault="0051126F" w:rsidP="0051126F">
          <w:pPr>
            <w:pStyle w:val="30F0F19DC9604C97AF5F245EEFB25C0C"/>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panose1 w:val="00000000000000000000"/>
    <w:charset w:val="00"/>
    <w:family w:val="auto"/>
    <w:notTrueType/>
    <w:pitch w:val="default"/>
    <w:sig w:usb0="00000003" w:usb1="09060000" w:usb2="00000010" w:usb3="00000000" w:csb0="0008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170D6"/>
    <w:rsid w:val="00061157"/>
    <w:rsid w:val="000937FE"/>
    <w:rsid w:val="000A559A"/>
    <w:rsid w:val="000B2CB1"/>
    <w:rsid w:val="000D24D4"/>
    <w:rsid w:val="001B0972"/>
    <w:rsid w:val="001C35A9"/>
    <w:rsid w:val="00237556"/>
    <w:rsid w:val="002B195A"/>
    <w:rsid w:val="002D13D9"/>
    <w:rsid w:val="00343F94"/>
    <w:rsid w:val="0039303B"/>
    <w:rsid w:val="004144A3"/>
    <w:rsid w:val="004160E7"/>
    <w:rsid w:val="004416C6"/>
    <w:rsid w:val="004F5AB2"/>
    <w:rsid w:val="005074B9"/>
    <w:rsid w:val="0051126F"/>
    <w:rsid w:val="005E40DD"/>
    <w:rsid w:val="00650D92"/>
    <w:rsid w:val="007219C1"/>
    <w:rsid w:val="00753462"/>
    <w:rsid w:val="00772325"/>
    <w:rsid w:val="007A2FE0"/>
    <w:rsid w:val="007B74EA"/>
    <w:rsid w:val="007C6D1D"/>
    <w:rsid w:val="007F1118"/>
    <w:rsid w:val="00800F16"/>
    <w:rsid w:val="00812C21"/>
    <w:rsid w:val="0090074D"/>
    <w:rsid w:val="009134F6"/>
    <w:rsid w:val="009B3BF0"/>
    <w:rsid w:val="009D5E5E"/>
    <w:rsid w:val="009F0740"/>
    <w:rsid w:val="009F1BB4"/>
    <w:rsid w:val="00AB6ED4"/>
    <w:rsid w:val="00B14210"/>
    <w:rsid w:val="00B23DC0"/>
    <w:rsid w:val="00B94827"/>
    <w:rsid w:val="00B96656"/>
    <w:rsid w:val="00BA330D"/>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A7135"/>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1126F"/>
  </w:style>
  <w:style w:type="paragraph" w:customStyle="1" w:styleId="642C737A5803469D9880D6E45B933996">
    <w:name w:val="642C737A5803469D9880D6E45B933996"/>
    <w:rsid w:val="001B0972"/>
    <w:rPr>
      <w:kern w:val="2"/>
      <w:lang w:val="en-US" w:eastAsia="en-US"/>
      <w14:ligatures w14:val="standardContextual"/>
    </w:rPr>
  </w:style>
  <w:style w:type="paragraph" w:customStyle="1" w:styleId="4A81882903324F5F99B65B49D9212EC2">
    <w:name w:val="4A81882903324F5F99B65B49D9212EC2"/>
    <w:rsid w:val="001B0972"/>
    <w:rPr>
      <w:kern w:val="2"/>
      <w:lang w:val="en-US" w:eastAsia="en-US"/>
      <w14:ligatures w14:val="standardContextual"/>
    </w:rPr>
  </w:style>
  <w:style w:type="paragraph" w:customStyle="1" w:styleId="4C67A6A735994CFE811A4ED7B93E8780">
    <w:name w:val="4C67A6A735994CFE811A4ED7B93E8780"/>
    <w:rsid w:val="001B0972"/>
    <w:rPr>
      <w:kern w:val="2"/>
      <w:lang w:val="en-US" w:eastAsia="en-US"/>
      <w14:ligatures w14:val="standardContextual"/>
    </w:rPr>
  </w:style>
  <w:style w:type="paragraph" w:customStyle="1" w:styleId="4135C5230BB94C14AF81223F72B6916A">
    <w:name w:val="4135C5230BB94C14AF81223F72B6916A"/>
    <w:rsid w:val="0051126F"/>
  </w:style>
  <w:style w:type="paragraph" w:customStyle="1" w:styleId="30F0F19DC9604C97AF5F245EEFB25C0C">
    <w:name w:val="30F0F19DC9604C97AF5F245EEFB25C0C"/>
    <w:rsid w:val="00511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A2C3-D336-4863-ADB6-7C6B0FA0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9828</Words>
  <Characters>5603</Characters>
  <Application>Microsoft Office Word</Application>
  <DocSecurity>0</DocSecurity>
  <Lines>46</Lines>
  <Paragraphs>30</Paragraphs>
  <ScaleCrop>false</ScaleCrop>
  <Company/>
  <LinksUpToDate>false</LinksUpToDate>
  <CharactersWithSpaces>15401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2023-12-22T12:13:00Z</dcterms:created>
  <dcterms:modified xsi:type="dcterms:W3CDTF">2024-02-07T15:24:00Z</dcterms:modified>
</cp:coreProperties>
</file>