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AEB501E" w14:textId="2E6A2714" w:rsidR="0020094F" w:rsidRPr="00542551" w:rsidRDefault="00462E21" w:rsidP="0020094F">
      <w:pPr>
        <w:jc w:val="center"/>
        <w:rPr>
          <w:b/>
        </w:rPr>
      </w:pPr>
      <w:proofErr w:type="spellStart"/>
      <w:r>
        <w:rPr>
          <w:b/>
        </w:rPr>
        <w:t>Rekovelle</w:t>
      </w:r>
      <w:proofErr w:type="spellEnd"/>
      <w:r w:rsidR="0020094F" w:rsidRPr="00542551">
        <w:rPr>
          <w:b/>
        </w:rPr>
        <w:t xml:space="preserve"> </w:t>
      </w:r>
      <w:r w:rsidR="00365E58" w:rsidRPr="00542551">
        <w:rPr>
          <w:b/>
        </w:rPr>
        <w:t xml:space="preserve">12/36/72 µg </w:t>
      </w:r>
      <w:r w:rsidR="0020094F" w:rsidRPr="00542551">
        <w:rPr>
          <w:b/>
        </w:rPr>
        <w:t xml:space="preserve">injekcinis tirpalas užpildytame </w:t>
      </w:r>
      <w:proofErr w:type="spellStart"/>
      <w:r w:rsidR="0020094F" w:rsidRPr="00542551">
        <w:rPr>
          <w:b/>
        </w:rPr>
        <w:t>švirkštiklyje</w:t>
      </w:r>
      <w:proofErr w:type="spellEnd"/>
      <w:r w:rsidR="0020094F" w:rsidRPr="00542551">
        <w:rPr>
          <w:b/>
        </w:rPr>
        <w:t xml:space="preserve"> </w:t>
      </w:r>
    </w:p>
    <w:p w14:paraId="306D9373" w14:textId="77777777" w:rsidR="0020094F" w:rsidRPr="00542551" w:rsidRDefault="0020094F" w:rsidP="0020094F">
      <w:pPr>
        <w:jc w:val="center"/>
      </w:pPr>
    </w:p>
    <w:p w14:paraId="76BE62B0" w14:textId="620B10B9" w:rsidR="0020094F" w:rsidRPr="00542551" w:rsidRDefault="00462E21" w:rsidP="0020094F">
      <w:pPr>
        <w:jc w:val="center"/>
      </w:pPr>
      <w:r>
        <w:rPr>
          <w:b/>
        </w:rPr>
        <w:t>(</w:t>
      </w:r>
      <w:proofErr w:type="spellStart"/>
      <w:r w:rsidR="0020094F" w:rsidRPr="00542551">
        <w:rPr>
          <w:b/>
        </w:rPr>
        <w:t>Folitropinas</w:t>
      </w:r>
      <w:proofErr w:type="spellEnd"/>
      <w:r w:rsidR="0020094F" w:rsidRPr="00542551">
        <w:rPr>
          <w:b/>
        </w:rPr>
        <w:t xml:space="preserve"> delta</w:t>
      </w:r>
      <w:r>
        <w:rPr>
          <w:b/>
        </w:rPr>
        <w:t>)</w:t>
      </w:r>
    </w:p>
    <w:p w14:paraId="00DCF7D2" w14:textId="77777777" w:rsidR="0020094F" w:rsidRPr="001F216C" w:rsidRDefault="0020094F" w:rsidP="0020094F">
      <w:pPr>
        <w:rPr>
          <w:sz w:val="26"/>
          <w:szCs w:val="26"/>
        </w:rPr>
      </w:pPr>
    </w:p>
    <w:p w14:paraId="381BECC3" w14:textId="77777777" w:rsidR="0020094F" w:rsidRPr="001F216C" w:rsidRDefault="0020094F" w:rsidP="0020094F">
      <w:pPr>
        <w:jc w:val="center"/>
        <w:rPr>
          <w:b/>
        </w:rPr>
      </w:pPr>
      <w:r>
        <w:rPr>
          <w:b/>
        </w:rPr>
        <w:t>STV-75</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462E21" w:rsidRDefault="00B13D65" w:rsidP="00824B92">
            <w:pPr>
              <w:rPr>
                <w:rFonts w:eastAsia="Arial"/>
                <w:b/>
              </w:rPr>
            </w:pPr>
            <w:r w:rsidRPr="00462E21">
              <w:rPr>
                <w:rFonts w:eastAsia="Arial"/>
                <w:b/>
              </w:rPr>
              <w:t>1.1</w:t>
            </w:r>
          </w:p>
        </w:tc>
        <w:tc>
          <w:tcPr>
            <w:tcW w:w="3694" w:type="dxa"/>
          </w:tcPr>
          <w:p w14:paraId="6C3AE864" w14:textId="77777777" w:rsidR="00B13D65" w:rsidRPr="00462E21" w:rsidRDefault="00B13D65" w:rsidP="00824B92">
            <w:pPr>
              <w:rPr>
                <w:rFonts w:eastAsia="Arial"/>
                <w:b/>
              </w:rPr>
            </w:pPr>
            <w:r w:rsidRPr="00462E21">
              <w:rPr>
                <w:rFonts w:eastAsia="Arial"/>
                <w:b/>
              </w:rPr>
              <w:t>Pareiškėjas</w:t>
            </w:r>
          </w:p>
          <w:p w14:paraId="2AF240DC" w14:textId="77777777" w:rsidR="00B13D65" w:rsidRPr="00462E21" w:rsidRDefault="00B13D65" w:rsidP="00824B92">
            <w:pPr>
              <w:rPr>
                <w:rFonts w:eastAsia="Arial"/>
                <w:b/>
              </w:rPr>
            </w:pPr>
          </w:p>
        </w:tc>
        <w:tc>
          <w:tcPr>
            <w:tcW w:w="5167" w:type="dxa"/>
          </w:tcPr>
          <w:p w14:paraId="1ABCE5DE" w14:textId="55E3D1C6" w:rsidR="00937907" w:rsidRPr="00E33EFF" w:rsidRDefault="0020094F" w:rsidP="00824B92">
            <w:r>
              <w:t>UAB „</w:t>
            </w:r>
            <w:proofErr w:type="spellStart"/>
            <w:r>
              <w:t>Centralpharma</w:t>
            </w:r>
            <w:proofErr w:type="spellEnd"/>
            <w:r>
              <w:t xml:space="preserve"> </w:t>
            </w:r>
            <w:proofErr w:type="spellStart"/>
            <w:r>
              <w:t>Communications</w:t>
            </w:r>
            <w:proofErr w:type="spellEnd"/>
            <w:r>
              <w:t>“</w:t>
            </w:r>
          </w:p>
          <w:p w14:paraId="2AAF0D91" w14:textId="77777777" w:rsidR="00B13D65" w:rsidRPr="00E33EFF"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462E21" w:rsidRDefault="002E0702" w:rsidP="00824B92">
            <w:pPr>
              <w:rPr>
                <w:rFonts w:eastAsia="Arial"/>
                <w:b/>
              </w:rPr>
            </w:pPr>
            <w:r w:rsidRPr="00462E21">
              <w:rPr>
                <w:rFonts w:eastAsia="Arial"/>
                <w:b/>
              </w:rPr>
              <w:t>1.2</w:t>
            </w:r>
          </w:p>
        </w:tc>
        <w:tc>
          <w:tcPr>
            <w:tcW w:w="3694" w:type="dxa"/>
          </w:tcPr>
          <w:p w14:paraId="1E4AE3B1" w14:textId="77777777" w:rsidR="00B13D65" w:rsidRPr="00462E21" w:rsidRDefault="00B13D65" w:rsidP="00824B92">
            <w:pPr>
              <w:rPr>
                <w:b/>
                <w:bCs/>
                <w:color w:val="000000"/>
                <w:lang w:eastAsia="lt-LT"/>
              </w:rPr>
            </w:pPr>
            <w:r w:rsidRPr="00462E21">
              <w:rPr>
                <w:b/>
                <w:bCs/>
                <w:color w:val="000000"/>
                <w:lang w:eastAsia="lt-LT"/>
              </w:rPr>
              <w:t xml:space="preserve">Registracijos data </w:t>
            </w:r>
          </w:p>
          <w:p w14:paraId="3A0DC096" w14:textId="77777777" w:rsidR="00B13D65" w:rsidRPr="00462E21" w:rsidRDefault="00B13D65" w:rsidP="00824B92">
            <w:pPr>
              <w:rPr>
                <w:b/>
                <w:bCs/>
                <w:color w:val="000000"/>
                <w:lang w:eastAsia="lt-LT"/>
              </w:rPr>
            </w:pPr>
          </w:p>
        </w:tc>
        <w:tc>
          <w:tcPr>
            <w:tcW w:w="5167" w:type="dxa"/>
          </w:tcPr>
          <w:p w14:paraId="3CA218AD" w14:textId="5D1F0D70" w:rsidR="00B13D65" w:rsidRPr="00E33EFF" w:rsidRDefault="00000000" w:rsidP="00824B92">
            <w:pPr>
              <w:rPr>
                <w:rStyle w:val="Style2"/>
              </w:rPr>
            </w:pPr>
            <w:sdt>
              <w:sdtPr>
                <w:rPr>
                  <w:sz w:val="32"/>
                  <w:szCs w:val="20"/>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Content>
                <w:r w:rsidR="0020094F" w:rsidRPr="0020094F">
                  <w:rPr>
                    <w:szCs w:val="20"/>
                  </w:rPr>
                  <w:t>2016 m. gruodžio 22 d.</w:t>
                </w:r>
              </w:sdtContent>
            </w:sdt>
          </w:p>
        </w:tc>
      </w:tr>
      <w:tr w:rsidR="00B13D65" w:rsidRPr="00E33EFF" w14:paraId="15968AE1" w14:textId="77777777" w:rsidTr="00BE7489">
        <w:trPr>
          <w:trHeight w:val="1500"/>
        </w:trPr>
        <w:tc>
          <w:tcPr>
            <w:tcW w:w="632" w:type="dxa"/>
          </w:tcPr>
          <w:p w14:paraId="6A784245" w14:textId="1E461489" w:rsidR="00B13D65" w:rsidRPr="00462E21" w:rsidRDefault="002E0702" w:rsidP="00824B92">
            <w:pPr>
              <w:rPr>
                <w:rFonts w:eastAsia="Arial"/>
                <w:b/>
              </w:rPr>
            </w:pPr>
            <w:r w:rsidRPr="00462E21">
              <w:rPr>
                <w:rFonts w:eastAsia="Arial"/>
                <w:b/>
              </w:rPr>
              <w:t>1.3</w:t>
            </w:r>
          </w:p>
        </w:tc>
        <w:tc>
          <w:tcPr>
            <w:tcW w:w="3694" w:type="dxa"/>
          </w:tcPr>
          <w:p w14:paraId="22933506" w14:textId="77777777" w:rsidR="00B13D65" w:rsidRPr="00462E21" w:rsidRDefault="00B13D65" w:rsidP="00824B92">
            <w:pPr>
              <w:rPr>
                <w:b/>
              </w:rPr>
            </w:pPr>
            <w:r w:rsidRPr="00462E21">
              <w:rPr>
                <w:b/>
              </w:rPr>
              <w:t xml:space="preserve">Paraiškos tipas </w:t>
            </w:r>
          </w:p>
          <w:p w14:paraId="0465E680" w14:textId="7F0A0714" w:rsidR="00B13D65" w:rsidRPr="00462E21" w:rsidRDefault="00B13D65" w:rsidP="00824B92">
            <w:pPr>
              <w:rPr>
                <w:b/>
              </w:rPr>
            </w:pPr>
            <w:r w:rsidRPr="00462E21">
              <w:rPr>
                <w:b/>
              </w:rPr>
              <w:t>(</w:t>
            </w:r>
            <w:r w:rsidR="00695CD3" w:rsidRPr="00462E21">
              <w:rPr>
                <w:b/>
              </w:rPr>
              <w:t xml:space="preserve">pagal </w:t>
            </w:r>
            <w:r w:rsidR="0039696E" w:rsidRPr="00462E21">
              <w:rPr>
                <w:b/>
                <w:color w:val="333333"/>
                <w:shd w:val="clear" w:color="auto" w:fill="FFFFFF"/>
              </w:rPr>
              <w:t>vaistinio preparato registracijos tipą, įtvirtintą</w:t>
            </w:r>
            <w:r w:rsidR="0039696E" w:rsidRPr="00462E21">
              <w:rPr>
                <w:b/>
              </w:rPr>
              <w:t xml:space="preserve"> </w:t>
            </w:r>
            <w:r w:rsidRPr="00462E21">
              <w:rPr>
                <w:b/>
              </w:rPr>
              <w:t>Direktyv</w:t>
            </w:r>
            <w:r w:rsidR="00695CD3" w:rsidRPr="00462E21">
              <w:rPr>
                <w:b/>
              </w:rPr>
              <w:t>os</w:t>
            </w:r>
            <w:r w:rsidRPr="00462E21">
              <w:rPr>
                <w:b/>
              </w:rPr>
              <w:t xml:space="preserve"> 2001/83/EB</w:t>
            </w:r>
            <w:r w:rsidR="00695CD3" w:rsidRPr="00462E21">
              <w:rPr>
                <w:b/>
              </w:rPr>
              <w:t xml:space="preserve"> </w:t>
            </w:r>
            <w:proofErr w:type="spellStart"/>
            <w:r w:rsidR="00695CD3" w:rsidRPr="00462E21">
              <w:rPr>
                <w:b/>
              </w:rPr>
              <w:t>straips</w:t>
            </w:r>
            <w:r w:rsidR="0039696E" w:rsidRPr="00462E21">
              <w:rPr>
                <w:b/>
              </w:rPr>
              <w:t>iuose</w:t>
            </w:r>
            <w:proofErr w:type="spellEnd"/>
            <w:r w:rsidRPr="00462E21">
              <w:rPr>
                <w:b/>
              </w:rPr>
              <w:t>)</w:t>
            </w:r>
          </w:p>
          <w:p w14:paraId="77089D80" w14:textId="6681D72A" w:rsidR="00B13D65" w:rsidRPr="00462E21" w:rsidRDefault="00B13D65" w:rsidP="00824B92">
            <w:pPr>
              <w:rPr>
                <w:b/>
                <w:bCs/>
                <w:color w:val="000000"/>
                <w:lang w:eastAsia="lt-LT"/>
              </w:rPr>
            </w:pPr>
          </w:p>
        </w:tc>
        <w:tc>
          <w:tcPr>
            <w:tcW w:w="5167" w:type="dxa"/>
          </w:tcPr>
          <w:p w14:paraId="208F40EC" w14:textId="28A798AD"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1640B3">
        <w:trPr>
          <w:trHeight w:val="637"/>
        </w:trPr>
        <w:tc>
          <w:tcPr>
            <w:tcW w:w="632" w:type="dxa"/>
          </w:tcPr>
          <w:p w14:paraId="4B5A91A2" w14:textId="561B5E5F" w:rsidR="00B13D65" w:rsidRPr="00462E21" w:rsidRDefault="00B13D65" w:rsidP="00824B92">
            <w:pPr>
              <w:rPr>
                <w:rFonts w:eastAsia="Arial"/>
                <w:b/>
              </w:rPr>
            </w:pPr>
            <w:r w:rsidRPr="00462E21">
              <w:rPr>
                <w:rFonts w:eastAsia="Arial"/>
                <w:b/>
              </w:rPr>
              <w:t>1.</w:t>
            </w:r>
            <w:r w:rsidR="002E0702" w:rsidRPr="00462E21">
              <w:rPr>
                <w:rFonts w:eastAsia="Arial"/>
                <w:b/>
              </w:rPr>
              <w:t>4</w:t>
            </w:r>
          </w:p>
        </w:tc>
        <w:tc>
          <w:tcPr>
            <w:tcW w:w="3694" w:type="dxa"/>
          </w:tcPr>
          <w:p w14:paraId="483071A3" w14:textId="2F1AC986" w:rsidR="00B13D65" w:rsidRPr="00462E21" w:rsidRDefault="00B13D65" w:rsidP="00824B92">
            <w:pPr>
              <w:rPr>
                <w:b/>
                <w:bCs/>
                <w:color w:val="000000"/>
                <w:lang w:eastAsia="lt-LT"/>
              </w:rPr>
            </w:pPr>
            <w:r w:rsidRPr="00462E21">
              <w:rPr>
                <w:b/>
                <w:bCs/>
                <w:color w:val="000000"/>
                <w:lang w:eastAsia="lt-LT"/>
              </w:rPr>
              <w:t xml:space="preserve">Ar vaistinis preparatas įrašytas į Bendrijos retųjų vaistinių preparatų registrą? </w:t>
            </w: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148EA0CD"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B13D65" w:rsidRPr="00E33EFF">
              <w:t xml:space="preserve"> Ne</w:t>
            </w:r>
          </w:p>
          <w:p w14:paraId="29C2CBBB" w14:textId="14FB4EF1" w:rsidR="00B13D65" w:rsidRPr="00E33EFF" w:rsidRDefault="00B13D65" w:rsidP="001640B3">
            <w:pPr>
              <w:rPr>
                <w:rFonts w:eastAsia="Arial"/>
              </w:rPr>
            </w:pPr>
          </w:p>
        </w:tc>
      </w:tr>
      <w:tr w:rsidR="00D417D2" w:rsidRPr="00E33EFF" w14:paraId="7841E5F8" w14:textId="77777777" w:rsidTr="00BE7489">
        <w:trPr>
          <w:trHeight w:val="476"/>
        </w:trPr>
        <w:tc>
          <w:tcPr>
            <w:tcW w:w="632" w:type="dxa"/>
          </w:tcPr>
          <w:p w14:paraId="109D2861" w14:textId="73BF27DF" w:rsidR="00D417D2" w:rsidRPr="00462E21" w:rsidRDefault="00D417D2" w:rsidP="00824B92">
            <w:pPr>
              <w:rPr>
                <w:rFonts w:eastAsia="Arial"/>
                <w:b/>
              </w:rPr>
            </w:pPr>
            <w:r w:rsidRPr="00462E21">
              <w:rPr>
                <w:rFonts w:eastAsia="Arial"/>
                <w:b/>
              </w:rPr>
              <w:t>1.5</w:t>
            </w:r>
          </w:p>
        </w:tc>
        <w:tc>
          <w:tcPr>
            <w:tcW w:w="3694" w:type="dxa"/>
          </w:tcPr>
          <w:p w14:paraId="7822D63E" w14:textId="68C38334" w:rsidR="00D417D2" w:rsidRPr="00462E21" w:rsidRDefault="00D417D2" w:rsidP="00824B92">
            <w:pPr>
              <w:rPr>
                <w:b/>
                <w:bCs/>
                <w:color w:val="000000"/>
                <w:lang w:eastAsia="lt-LT"/>
              </w:rPr>
            </w:pPr>
            <w:r w:rsidRPr="00462E21">
              <w:rPr>
                <w:b/>
              </w:rPr>
              <w:t>STV paraiškos pobūdis</w:t>
            </w:r>
          </w:p>
        </w:tc>
        <w:tc>
          <w:tcPr>
            <w:tcW w:w="5167" w:type="dxa"/>
          </w:tcPr>
          <w:p w14:paraId="403461B9" w14:textId="3F58D3E5"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20094F" w:rsidRPr="00E33EFF" w14:paraId="274D1DAF" w14:textId="77777777" w:rsidTr="00BE7489">
        <w:trPr>
          <w:trHeight w:val="1922"/>
        </w:trPr>
        <w:tc>
          <w:tcPr>
            <w:tcW w:w="632" w:type="dxa"/>
          </w:tcPr>
          <w:p w14:paraId="17ABF217" w14:textId="14AC00D7" w:rsidR="0020094F" w:rsidRPr="00462E21" w:rsidRDefault="0020094F" w:rsidP="0020094F">
            <w:pPr>
              <w:rPr>
                <w:rFonts w:eastAsia="Arial"/>
                <w:b/>
              </w:rPr>
            </w:pPr>
            <w:r w:rsidRPr="00462E21">
              <w:rPr>
                <w:rFonts w:eastAsia="Arial"/>
                <w:b/>
              </w:rPr>
              <w:t>1.6</w:t>
            </w:r>
          </w:p>
        </w:tc>
        <w:tc>
          <w:tcPr>
            <w:tcW w:w="3694" w:type="dxa"/>
          </w:tcPr>
          <w:p w14:paraId="4D49DBF5" w14:textId="77777777" w:rsidR="0020094F" w:rsidRPr="00462E21" w:rsidRDefault="0020094F" w:rsidP="0020094F">
            <w:pPr>
              <w:rPr>
                <w:b/>
                <w:bCs/>
                <w:color w:val="000000"/>
                <w:lang w:eastAsia="lt-LT"/>
              </w:rPr>
            </w:pPr>
            <w:r w:rsidRPr="00462E21">
              <w:rPr>
                <w:b/>
                <w:bCs/>
                <w:color w:val="000000"/>
                <w:lang w:eastAsia="lt-LT"/>
              </w:rPr>
              <w:t>Pareiškėjo teikiama (-</w:t>
            </w:r>
            <w:proofErr w:type="spellStart"/>
            <w:r w:rsidRPr="00462E21">
              <w:rPr>
                <w:b/>
                <w:bCs/>
                <w:color w:val="000000"/>
                <w:lang w:eastAsia="lt-LT"/>
              </w:rPr>
              <w:t>os</w:t>
            </w:r>
            <w:proofErr w:type="spellEnd"/>
            <w:r w:rsidRPr="00462E21">
              <w:rPr>
                <w:b/>
                <w:bCs/>
                <w:color w:val="000000"/>
                <w:lang w:eastAsia="lt-LT"/>
              </w:rPr>
              <w:t>) kompensuoti vaistinio preparato indikacija (-</w:t>
            </w:r>
            <w:proofErr w:type="spellStart"/>
            <w:r w:rsidRPr="00462E21">
              <w:rPr>
                <w:b/>
                <w:bCs/>
                <w:color w:val="000000"/>
                <w:lang w:eastAsia="lt-LT"/>
              </w:rPr>
              <w:t>os</w:t>
            </w:r>
            <w:proofErr w:type="spellEnd"/>
            <w:r w:rsidRPr="00462E21">
              <w:rPr>
                <w:b/>
                <w:bCs/>
                <w:color w:val="000000"/>
                <w:lang w:eastAsia="lt-LT"/>
              </w:rPr>
              <w:t>)</w:t>
            </w:r>
          </w:p>
          <w:p w14:paraId="3FB07EE5" w14:textId="77777777" w:rsidR="0020094F" w:rsidRPr="00462E21" w:rsidRDefault="0020094F" w:rsidP="0020094F">
            <w:pPr>
              <w:rPr>
                <w:b/>
                <w:bCs/>
                <w:color w:val="000000"/>
                <w:lang w:eastAsia="lt-LT"/>
              </w:rPr>
            </w:pPr>
          </w:p>
          <w:p w14:paraId="3A6B054C" w14:textId="77777777" w:rsidR="0020094F" w:rsidRPr="00462E21" w:rsidRDefault="0020094F" w:rsidP="0020094F">
            <w:pPr>
              <w:rPr>
                <w:b/>
                <w:bCs/>
                <w:color w:val="000000"/>
                <w:lang w:eastAsia="lt-LT"/>
              </w:rPr>
            </w:pPr>
          </w:p>
          <w:p w14:paraId="6B4FEEC1" w14:textId="378668B0" w:rsidR="0020094F" w:rsidRPr="00462E21" w:rsidRDefault="0020094F" w:rsidP="0020094F">
            <w:pPr>
              <w:rPr>
                <w:b/>
                <w:bCs/>
                <w:color w:val="000000"/>
                <w:lang w:eastAsia="lt-LT"/>
              </w:rPr>
            </w:pPr>
            <w:r w:rsidRPr="00462E21">
              <w:rPr>
                <w:b/>
                <w:bCs/>
                <w:color w:val="000000"/>
                <w:lang w:eastAsia="lt-LT"/>
              </w:rPr>
              <w:t>Kodas pagal TLK-10 AM</w:t>
            </w:r>
          </w:p>
        </w:tc>
        <w:tc>
          <w:tcPr>
            <w:tcW w:w="5167" w:type="dxa"/>
          </w:tcPr>
          <w:p w14:paraId="0D0E9757" w14:textId="77777777" w:rsidR="0020094F" w:rsidRPr="007634C1" w:rsidRDefault="0020094F" w:rsidP="0020094F">
            <w:pPr>
              <w:pStyle w:val="Sraopastraipa"/>
              <w:spacing w:after="120"/>
              <w:ind w:left="0"/>
              <w:contextualSpacing w:val="0"/>
              <w:jc w:val="both"/>
            </w:pPr>
            <w:r>
              <w:t xml:space="preserve">Kontroliuojama kiaušidžių stimuliacija, siekiant paskatinti kelių folikulų vystymąsi moterims, kurioms taikomos pagalbinės reprodukcijos technologijos, pvz., apvaisinimas </w:t>
            </w:r>
            <w:proofErr w:type="spellStart"/>
            <w:r>
              <w:rPr>
                <w:i/>
                <w:iCs/>
              </w:rPr>
              <w:t>in</w:t>
            </w:r>
            <w:proofErr w:type="spellEnd"/>
            <w:r>
              <w:rPr>
                <w:i/>
                <w:iCs/>
              </w:rPr>
              <w:t xml:space="preserve"> </w:t>
            </w:r>
            <w:proofErr w:type="spellStart"/>
            <w:r>
              <w:rPr>
                <w:i/>
                <w:iCs/>
              </w:rPr>
              <w:t>vitro</w:t>
            </w:r>
            <w:proofErr w:type="spellEnd"/>
            <w:r>
              <w:rPr>
                <w:i/>
                <w:iCs/>
              </w:rPr>
              <w:t xml:space="preserve"> </w:t>
            </w:r>
            <w:r>
              <w:t xml:space="preserve">ar </w:t>
            </w:r>
            <w:proofErr w:type="spellStart"/>
            <w:r>
              <w:t>intracitoplazminės</w:t>
            </w:r>
            <w:proofErr w:type="spellEnd"/>
            <w:r>
              <w:t xml:space="preserve"> spermatozoidų injekcijos ciklas.</w:t>
            </w:r>
          </w:p>
          <w:p w14:paraId="13F7DFB0" w14:textId="03D0AAE4" w:rsidR="0020094F" w:rsidRPr="00E33EFF" w:rsidRDefault="0020094F" w:rsidP="0020094F">
            <w:r>
              <w:t>TLK-10 AM: N97, Q95-Q99, Z80-Z84.</w:t>
            </w:r>
          </w:p>
        </w:tc>
      </w:tr>
      <w:tr w:rsidR="0020094F" w:rsidRPr="00E33EFF" w14:paraId="2F79DC08" w14:textId="77777777" w:rsidTr="00BE7489">
        <w:trPr>
          <w:trHeight w:val="378"/>
        </w:trPr>
        <w:tc>
          <w:tcPr>
            <w:tcW w:w="632" w:type="dxa"/>
          </w:tcPr>
          <w:p w14:paraId="547885A2" w14:textId="08AA8055" w:rsidR="0020094F" w:rsidRPr="00462E21" w:rsidRDefault="0020094F" w:rsidP="0020094F">
            <w:pPr>
              <w:rPr>
                <w:rFonts w:eastAsia="Arial"/>
                <w:b/>
              </w:rPr>
            </w:pPr>
            <w:r w:rsidRPr="00462E21">
              <w:rPr>
                <w:rFonts w:eastAsia="Arial"/>
                <w:b/>
              </w:rPr>
              <w:t>1.6</w:t>
            </w:r>
          </w:p>
        </w:tc>
        <w:tc>
          <w:tcPr>
            <w:tcW w:w="3694" w:type="dxa"/>
          </w:tcPr>
          <w:p w14:paraId="2EAB877F" w14:textId="39A36941" w:rsidR="0020094F" w:rsidRPr="00462E21" w:rsidRDefault="0020094F" w:rsidP="0020094F">
            <w:pPr>
              <w:rPr>
                <w:b/>
                <w:bCs/>
                <w:color w:val="000000"/>
                <w:u w:val="single"/>
                <w:lang w:eastAsia="lt-LT"/>
              </w:rPr>
            </w:pPr>
            <w:r w:rsidRPr="00462E21">
              <w:rPr>
                <w:b/>
                <w:bCs/>
                <w:color w:val="000000"/>
                <w:lang w:eastAsia="lt-LT"/>
              </w:rPr>
              <w:t xml:space="preserve">Pareiškėjo teikiamos skyrimo sąlygos </w:t>
            </w:r>
          </w:p>
        </w:tc>
        <w:tc>
          <w:tcPr>
            <w:tcW w:w="5167" w:type="dxa"/>
          </w:tcPr>
          <w:p w14:paraId="0579DF58" w14:textId="7C965D01" w:rsidR="0020094F" w:rsidRPr="00E33EFF" w:rsidRDefault="0020094F" w:rsidP="0020094F">
            <w:r>
              <w:t>Nesiūlomos</w:t>
            </w:r>
          </w:p>
        </w:tc>
      </w:tr>
      <w:tr w:rsidR="0020094F" w:rsidRPr="00E33EFF" w14:paraId="3B125269" w14:textId="77777777" w:rsidTr="00BE7489">
        <w:trPr>
          <w:trHeight w:val="378"/>
        </w:trPr>
        <w:tc>
          <w:tcPr>
            <w:tcW w:w="632" w:type="dxa"/>
          </w:tcPr>
          <w:p w14:paraId="0058E11F" w14:textId="77777777" w:rsidR="0020094F" w:rsidRPr="00462E21" w:rsidRDefault="0020094F" w:rsidP="0020094F">
            <w:pPr>
              <w:rPr>
                <w:rFonts w:eastAsia="Arial"/>
                <w:b/>
              </w:rPr>
            </w:pPr>
            <w:r w:rsidRPr="00462E21">
              <w:rPr>
                <w:rFonts w:eastAsia="Arial"/>
                <w:b/>
              </w:rPr>
              <w:t>1.7</w:t>
            </w:r>
          </w:p>
        </w:tc>
        <w:tc>
          <w:tcPr>
            <w:tcW w:w="3694" w:type="dxa"/>
          </w:tcPr>
          <w:p w14:paraId="6CC1022E" w14:textId="1101509B" w:rsidR="0020094F" w:rsidRPr="00462E21" w:rsidRDefault="0020094F" w:rsidP="001640B3">
            <w:pPr>
              <w:rPr>
                <w:b/>
                <w:bCs/>
                <w:color w:val="000000"/>
                <w:lang w:eastAsia="lt-LT"/>
              </w:rPr>
            </w:pPr>
            <w:r w:rsidRPr="00462E21">
              <w:rPr>
                <w:b/>
                <w:bCs/>
                <w:color w:val="000000"/>
                <w:lang w:eastAsia="lt-LT"/>
              </w:rPr>
              <w:t>Pareiškėjo teikiamas palyginamasis gydymas</w:t>
            </w:r>
          </w:p>
        </w:tc>
        <w:tc>
          <w:tcPr>
            <w:tcW w:w="5167" w:type="dxa"/>
          </w:tcPr>
          <w:p w14:paraId="1F113AC0" w14:textId="00EE2FFA" w:rsidR="0020094F" w:rsidRPr="00E33EFF" w:rsidRDefault="00000000" w:rsidP="0020094F">
            <w:sdt>
              <w:sdtPr>
                <w:rPr>
                  <w:rStyle w:val="Style2"/>
                  <w:sz w:val="24"/>
                </w:rPr>
                <w:id w:val="1480955706"/>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20094F" w:rsidRPr="00E33EFF">
              <w:t xml:space="preserve"> Tinkamas</w:t>
            </w:r>
          </w:p>
          <w:p w14:paraId="41B44044" w14:textId="199BD9DF" w:rsidR="0020094F" w:rsidRPr="00E33EFF" w:rsidRDefault="00000000" w:rsidP="0020094F">
            <w:sdt>
              <w:sdtPr>
                <w:rPr>
                  <w:rStyle w:val="Style2"/>
                  <w:sz w:val="24"/>
                </w:rPr>
                <w:id w:val="-352420698"/>
                <w15:color w:val="FFCC00"/>
                <w14:checkbox>
                  <w14:checked w14:val="0"/>
                  <w14:checkedState w14:val="2612" w14:font="MS Gothic"/>
                  <w14:uncheckedState w14:val="2610" w14:font="MS Gothic"/>
                </w14:checkbox>
              </w:sdtPr>
              <w:sdtContent>
                <w:r w:rsidR="0020094F" w:rsidRPr="00E33EFF">
                  <w:rPr>
                    <w:rStyle w:val="Style2"/>
                    <w:rFonts w:ascii="MS Gothic" w:eastAsia="MS Gothic" w:hAnsi="MS Gothic" w:hint="eastAsia"/>
                    <w:sz w:val="24"/>
                  </w:rPr>
                  <w:t>☐</w:t>
                </w:r>
              </w:sdtContent>
            </w:sdt>
            <w:r w:rsidR="0020094F" w:rsidRPr="00E33EFF">
              <w:t xml:space="preserve"> Netinkama</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1640B3" w:rsidRPr="00E33EFF" w14:paraId="7E72828B" w14:textId="77777777" w:rsidTr="00BE7489">
        <w:trPr>
          <w:trHeight w:val="924"/>
        </w:trPr>
        <w:tc>
          <w:tcPr>
            <w:tcW w:w="2855" w:type="dxa"/>
          </w:tcPr>
          <w:p w14:paraId="253D1DD4" w14:textId="1C214D36" w:rsidR="001640B3" w:rsidRPr="00E33EFF" w:rsidRDefault="001640B3" w:rsidP="001640B3">
            <w:pPr>
              <w:rPr>
                <w:rFonts w:eastAsia="Arial"/>
              </w:rPr>
            </w:pPr>
            <w:r w:rsidRPr="00D05364">
              <w:rPr>
                <w:rFonts w:eastAsia="Arial"/>
              </w:rPr>
              <w:t>STV agentūros pavadinimas, šalis</w:t>
            </w:r>
          </w:p>
        </w:tc>
        <w:tc>
          <w:tcPr>
            <w:tcW w:w="1851" w:type="dxa"/>
          </w:tcPr>
          <w:p w14:paraId="34AE1EDD" w14:textId="268AE0B8" w:rsidR="001640B3" w:rsidRPr="00E33EFF" w:rsidRDefault="001640B3" w:rsidP="001640B3">
            <w:pPr>
              <w:rPr>
                <w:rFonts w:eastAsia="Arial"/>
              </w:rPr>
            </w:pPr>
            <w:r w:rsidRPr="00D05364">
              <w:rPr>
                <w:rFonts w:eastAsia="Arial"/>
              </w:rPr>
              <w:t>STV vertinimas atliktas</w:t>
            </w:r>
          </w:p>
        </w:tc>
        <w:tc>
          <w:tcPr>
            <w:tcW w:w="2244" w:type="dxa"/>
          </w:tcPr>
          <w:p w14:paraId="16E2DDC1" w14:textId="62D52C6B" w:rsidR="001640B3" w:rsidRPr="00E33EFF" w:rsidRDefault="001640B3" w:rsidP="001640B3">
            <w:pPr>
              <w:rPr>
                <w:rFonts w:eastAsia="Arial"/>
              </w:rPr>
            </w:pPr>
            <w:r w:rsidRPr="00D05364">
              <w:rPr>
                <w:rFonts w:eastAsia="Arial"/>
              </w:rPr>
              <w:t>Klinikinio vertinimo išvada</w:t>
            </w:r>
          </w:p>
        </w:tc>
        <w:tc>
          <w:tcPr>
            <w:tcW w:w="2543" w:type="dxa"/>
          </w:tcPr>
          <w:p w14:paraId="1861E3F2" w14:textId="0EB16AE9" w:rsidR="001640B3" w:rsidRPr="00E33EFF" w:rsidRDefault="001640B3" w:rsidP="001640B3">
            <w:pPr>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1640B3" w:rsidRPr="00E33EFF" w14:paraId="129FA8F6" w14:textId="77777777" w:rsidTr="00BE7489">
        <w:trPr>
          <w:trHeight w:val="2267"/>
        </w:trPr>
        <w:tc>
          <w:tcPr>
            <w:tcW w:w="2855" w:type="dxa"/>
          </w:tcPr>
          <w:p w14:paraId="292082C3" w14:textId="77777777" w:rsidR="001640B3" w:rsidRPr="001F216C" w:rsidRDefault="001640B3" w:rsidP="001640B3">
            <w:pPr>
              <w:autoSpaceDE w:val="0"/>
              <w:autoSpaceDN w:val="0"/>
              <w:adjustRightInd w:val="0"/>
              <w:spacing w:line="360" w:lineRule="auto"/>
              <w:rPr>
                <w:bCs/>
              </w:rPr>
            </w:pPr>
            <w:r w:rsidRPr="001F216C">
              <w:rPr>
                <w:bCs/>
              </w:rPr>
              <w:t>Nacionalinis sveikatos ir klinikinės kompetencijos institutas, Didžioji Britanija</w:t>
            </w:r>
          </w:p>
          <w:p w14:paraId="49C6520D" w14:textId="5F452F28" w:rsidR="001640B3" w:rsidRPr="00E33EFF" w:rsidRDefault="001640B3" w:rsidP="001640B3">
            <w:pPr>
              <w:rPr>
                <w:rFonts w:eastAsia="Arial"/>
                <w:lang w:val="en-GB"/>
              </w:rPr>
            </w:pPr>
            <w:r w:rsidRPr="001F216C">
              <w:rPr>
                <w:rFonts w:eastAsia="Arial"/>
              </w:rPr>
              <w:t xml:space="preserve">(angl. </w:t>
            </w:r>
            <w:proofErr w:type="spellStart"/>
            <w:r w:rsidRPr="001F216C">
              <w:rPr>
                <w:rFonts w:eastAsia="Arial"/>
                <w:i/>
              </w:rPr>
              <w:t>National</w:t>
            </w:r>
            <w:proofErr w:type="spellEnd"/>
            <w:r w:rsidRPr="001F216C">
              <w:rPr>
                <w:rFonts w:eastAsia="Arial"/>
                <w:i/>
              </w:rPr>
              <w:t xml:space="preserve"> Institute </w:t>
            </w:r>
            <w:proofErr w:type="spellStart"/>
            <w:r w:rsidRPr="001F216C">
              <w:rPr>
                <w:rFonts w:eastAsia="Arial"/>
                <w:i/>
              </w:rPr>
              <w:t>for</w:t>
            </w:r>
            <w:proofErr w:type="spellEnd"/>
            <w:r w:rsidRPr="001F216C">
              <w:rPr>
                <w:rFonts w:eastAsia="Arial"/>
                <w:i/>
              </w:rPr>
              <w:t xml:space="preserve"> </w:t>
            </w:r>
            <w:proofErr w:type="spellStart"/>
            <w:r w:rsidRPr="001F216C">
              <w:rPr>
                <w:rFonts w:eastAsia="Arial"/>
                <w:i/>
              </w:rPr>
              <w:t>Health</w:t>
            </w:r>
            <w:proofErr w:type="spellEnd"/>
            <w:r w:rsidRPr="001F216C">
              <w:rPr>
                <w:rFonts w:eastAsia="Arial"/>
                <w:i/>
              </w:rPr>
              <w:t xml:space="preserve"> </w:t>
            </w:r>
            <w:proofErr w:type="spellStart"/>
            <w:r w:rsidRPr="001F216C">
              <w:rPr>
                <w:rFonts w:eastAsia="Arial"/>
                <w:i/>
              </w:rPr>
              <w:t>and</w:t>
            </w:r>
            <w:proofErr w:type="spellEnd"/>
            <w:r w:rsidRPr="001F216C">
              <w:rPr>
                <w:rFonts w:eastAsia="Arial"/>
                <w:i/>
              </w:rPr>
              <w:t xml:space="preserve"> Care </w:t>
            </w:r>
            <w:proofErr w:type="spellStart"/>
            <w:r w:rsidRPr="001F216C">
              <w:rPr>
                <w:rFonts w:eastAsia="Arial"/>
                <w:i/>
              </w:rPr>
              <w:t>Excellence</w:t>
            </w:r>
            <w:proofErr w:type="spellEnd"/>
            <w:r w:rsidRPr="001F216C">
              <w:rPr>
                <w:rFonts w:eastAsia="Arial"/>
                <w:i/>
              </w:rPr>
              <w:t>, NICE</w:t>
            </w:r>
            <w:r w:rsidRPr="001F216C">
              <w:rPr>
                <w:rFonts w:eastAsia="Arial"/>
              </w:rPr>
              <w:t>)</w:t>
            </w:r>
          </w:p>
        </w:tc>
        <w:tc>
          <w:tcPr>
            <w:tcW w:w="1851" w:type="dxa"/>
          </w:tcPr>
          <w:p w14:paraId="304D3E92" w14:textId="77777777" w:rsidR="001640B3" w:rsidRPr="001F216C" w:rsidRDefault="00000000" w:rsidP="001640B3">
            <w:pPr>
              <w:pStyle w:val="Sraopastraipa"/>
              <w:spacing w:after="120" w:line="360" w:lineRule="auto"/>
              <w:ind w:left="0"/>
              <w:contextualSpacing w:val="0"/>
              <w:jc w:val="both"/>
            </w:pPr>
            <w:sdt>
              <w:sdtPr>
                <w:rPr>
                  <w:rStyle w:val="Style2"/>
                </w:rPr>
                <w:id w:val="1558205022"/>
                <w15:color w:val="FFCC00"/>
                <w14:checkbox>
                  <w14:checked w14:val="0"/>
                  <w14:checkedState w14:val="2612" w14:font="MS Gothic"/>
                  <w14:uncheckedState w14:val="2610" w14:font="MS Gothic"/>
                </w14:checkbox>
              </w:sdtPr>
              <w:sdtContent>
                <w:r w:rsidR="001640B3">
                  <w:rPr>
                    <w:rStyle w:val="Style2"/>
                    <w:rFonts w:ascii="MS Gothic" w:eastAsia="MS Gothic" w:hAnsi="MS Gothic" w:hint="eastAsia"/>
                  </w:rPr>
                  <w:t>☐</w:t>
                </w:r>
              </w:sdtContent>
            </w:sdt>
            <w:r w:rsidR="001640B3" w:rsidRPr="001F216C">
              <w:t xml:space="preserve"> Taip</w:t>
            </w:r>
          </w:p>
          <w:p w14:paraId="1E663B30" w14:textId="77777777" w:rsidR="001640B3" w:rsidRPr="001F216C" w:rsidRDefault="00000000" w:rsidP="001640B3">
            <w:pPr>
              <w:pStyle w:val="Sraopastraipa"/>
              <w:spacing w:after="120" w:line="360" w:lineRule="auto"/>
              <w:ind w:left="0"/>
              <w:contextualSpacing w:val="0"/>
              <w:jc w:val="both"/>
            </w:pPr>
            <w:sdt>
              <w:sdtPr>
                <w:rPr>
                  <w:rStyle w:val="Style2"/>
                </w:rPr>
                <w:id w:val="866029625"/>
                <w15:color w:val="FFCC00"/>
                <w14:checkbox>
                  <w14:checked w14:val="1"/>
                  <w14:checkedState w14:val="2612" w14:font="MS Gothic"/>
                  <w14:uncheckedState w14:val="2610" w14:font="MS Gothic"/>
                </w14:checkbox>
              </w:sdtPr>
              <w:sdtContent>
                <w:r w:rsidR="001640B3">
                  <w:rPr>
                    <w:rStyle w:val="Style2"/>
                    <w:rFonts w:ascii="MS Gothic" w:eastAsia="MS Gothic" w:hAnsi="MS Gothic" w:hint="eastAsia"/>
                  </w:rPr>
                  <w:t>☒</w:t>
                </w:r>
              </w:sdtContent>
            </w:sdt>
            <w:r w:rsidR="001640B3" w:rsidRPr="001F216C">
              <w:t xml:space="preserve"> Ne</w:t>
            </w:r>
          </w:p>
          <w:p w14:paraId="7916359D" w14:textId="52F9533D" w:rsidR="001640B3" w:rsidRPr="00E33EFF" w:rsidRDefault="00000000" w:rsidP="001640B3">
            <w:pPr>
              <w:rPr>
                <w:rFonts w:eastAsia="Arial"/>
              </w:rPr>
            </w:pPr>
            <w:sdt>
              <w:sdtPr>
                <w:alias w:val="Nurodykite konkrečią dieną"/>
                <w:tag w:val="Nurodykite pradžios datą"/>
                <w:id w:val="922837954"/>
                <w:placeholder>
                  <w:docPart w:val="4061CE4EA94F40B0B2EED9CABE15DA59"/>
                </w:placeholder>
                <w:showingPlcHdr/>
                <w15:color w:val="FFCC99"/>
                <w:date>
                  <w:dateFormat w:val="yyyy 'm.' MMMM d 'd.'"/>
                  <w:lid w:val="lt-LT"/>
                  <w:storeMappedDataAs w:val="dateTime"/>
                  <w:calendar w:val="gregorian"/>
                </w:date>
              </w:sdtPr>
              <w:sdtContent>
                <w:r w:rsidR="001640B3">
                  <w:rPr>
                    <w:rStyle w:val="Vietosrezervavimoenklotekstas"/>
                  </w:rPr>
                  <w:t>Click here to enter a date.</w:t>
                </w:r>
              </w:sdtContent>
            </w:sdt>
          </w:p>
        </w:tc>
        <w:tc>
          <w:tcPr>
            <w:tcW w:w="2244" w:type="dxa"/>
          </w:tcPr>
          <w:p w14:paraId="6413D0ED" w14:textId="77777777" w:rsidR="001640B3" w:rsidRPr="00E33EFF" w:rsidRDefault="001640B3" w:rsidP="001640B3">
            <w:pPr>
              <w:rPr>
                <w:rFonts w:eastAsia="Arial"/>
              </w:rPr>
            </w:pPr>
          </w:p>
        </w:tc>
        <w:tc>
          <w:tcPr>
            <w:tcW w:w="2543" w:type="dxa"/>
          </w:tcPr>
          <w:p w14:paraId="67430EE7" w14:textId="77777777" w:rsidR="001640B3" w:rsidRPr="00E33EFF" w:rsidRDefault="001640B3" w:rsidP="001640B3">
            <w:pPr>
              <w:rPr>
                <w:rFonts w:eastAsia="Arial"/>
              </w:rPr>
            </w:pPr>
          </w:p>
        </w:tc>
      </w:tr>
      <w:tr w:rsidR="001640B3" w:rsidRPr="00E33EFF" w14:paraId="1CC31474" w14:textId="77777777" w:rsidTr="00BE7489">
        <w:trPr>
          <w:trHeight w:val="1547"/>
        </w:trPr>
        <w:tc>
          <w:tcPr>
            <w:tcW w:w="2855" w:type="dxa"/>
          </w:tcPr>
          <w:p w14:paraId="64BC314B" w14:textId="77777777" w:rsidR="001640B3" w:rsidRPr="001F216C" w:rsidRDefault="001640B3" w:rsidP="001640B3">
            <w:pPr>
              <w:spacing w:line="360" w:lineRule="auto"/>
              <w:rPr>
                <w:rFonts w:eastAsia="Arial"/>
              </w:rPr>
            </w:pPr>
            <w:r w:rsidRPr="001F216C">
              <w:rPr>
                <w:rFonts w:eastAsia="Arial"/>
              </w:rPr>
              <w:t>Kanados sveikatos technologijų agentūra</w:t>
            </w:r>
          </w:p>
          <w:p w14:paraId="2C593A82" w14:textId="22BBE669" w:rsidR="001640B3" w:rsidRPr="00E33EFF" w:rsidRDefault="001640B3" w:rsidP="001640B3">
            <w:pPr>
              <w:rPr>
                <w:rFonts w:eastAsia="Arial"/>
                <w:lang w:val="en-GB"/>
              </w:rPr>
            </w:pPr>
            <w:r w:rsidRPr="001F216C">
              <w:rPr>
                <w:rFonts w:eastAsia="Arial"/>
              </w:rPr>
              <w:t xml:space="preserve">(angl. </w:t>
            </w:r>
            <w:proofErr w:type="spellStart"/>
            <w:r w:rsidRPr="001F216C">
              <w:rPr>
                <w:rFonts w:eastAsia="Arial"/>
                <w:i/>
              </w:rPr>
              <w:t>Canadian</w:t>
            </w:r>
            <w:proofErr w:type="spellEnd"/>
            <w:r w:rsidRPr="001F216C">
              <w:rPr>
                <w:rFonts w:eastAsia="Arial"/>
                <w:i/>
              </w:rPr>
              <w:t xml:space="preserve"> </w:t>
            </w:r>
            <w:proofErr w:type="spellStart"/>
            <w:r w:rsidRPr="001F216C">
              <w:rPr>
                <w:rFonts w:eastAsia="Arial"/>
                <w:i/>
              </w:rPr>
              <w:t>health</w:t>
            </w:r>
            <w:proofErr w:type="spellEnd"/>
            <w:r w:rsidRPr="001F216C">
              <w:rPr>
                <w:rFonts w:eastAsia="Arial"/>
                <w:i/>
              </w:rPr>
              <w:t xml:space="preserve"> </w:t>
            </w:r>
            <w:proofErr w:type="spellStart"/>
            <w:r w:rsidRPr="001F216C">
              <w:rPr>
                <w:rFonts w:eastAsia="Arial"/>
                <w:i/>
              </w:rPr>
              <w:t>Technology</w:t>
            </w:r>
            <w:proofErr w:type="spellEnd"/>
            <w:r w:rsidRPr="001F216C">
              <w:rPr>
                <w:rFonts w:eastAsia="Arial"/>
                <w:i/>
              </w:rPr>
              <w:t xml:space="preserve"> </w:t>
            </w:r>
            <w:proofErr w:type="spellStart"/>
            <w:r w:rsidRPr="001F216C">
              <w:rPr>
                <w:rFonts w:eastAsia="Arial"/>
                <w:i/>
              </w:rPr>
              <w:t>Assessment</w:t>
            </w:r>
            <w:proofErr w:type="spellEnd"/>
            <w:r w:rsidRPr="001F216C">
              <w:rPr>
                <w:rFonts w:eastAsia="Arial"/>
                <w:i/>
              </w:rPr>
              <w:t xml:space="preserve"> </w:t>
            </w:r>
            <w:proofErr w:type="spellStart"/>
            <w:r w:rsidRPr="001F216C">
              <w:rPr>
                <w:rFonts w:eastAsia="Arial"/>
                <w:i/>
              </w:rPr>
              <w:t>agency</w:t>
            </w:r>
            <w:proofErr w:type="spellEnd"/>
            <w:r w:rsidRPr="001F216C">
              <w:rPr>
                <w:rFonts w:eastAsia="Arial"/>
                <w:i/>
              </w:rPr>
              <w:t>, CADTH</w:t>
            </w:r>
            <w:r w:rsidRPr="001F216C">
              <w:rPr>
                <w:rFonts w:eastAsia="Arial"/>
              </w:rPr>
              <w:t>)</w:t>
            </w:r>
          </w:p>
        </w:tc>
        <w:tc>
          <w:tcPr>
            <w:tcW w:w="1851" w:type="dxa"/>
          </w:tcPr>
          <w:p w14:paraId="47AFB2C2" w14:textId="77777777" w:rsidR="001640B3" w:rsidRPr="001F216C" w:rsidRDefault="00000000" w:rsidP="001640B3">
            <w:pPr>
              <w:pStyle w:val="Sraopastraipa"/>
              <w:spacing w:after="120" w:line="360" w:lineRule="auto"/>
              <w:ind w:left="0"/>
              <w:contextualSpacing w:val="0"/>
              <w:jc w:val="both"/>
            </w:pPr>
            <w:sdt>
              <w:sdtPr>
                <w:rPr>
                  <w:rStyle w:val="Style2"/>
                </w:rPr>
                <w:id w:val="-372539057"/>
                <w15:color w:val="FFCC00"/>
                <w14:checkbox>
                  <w14:checked w14:val="0"/>
                  <w14:checkedState w14:val="2612" w14:font="MS Gothic"/>
                  <w14:uncheckedState w14:val="2610" w14:font="MS Gothic"/>
                </w14:checkbox>
              </w:sdtPr>
              <w:sdtContent>
                <w:r w:rsidR="001640B3">
                  <w:rPr>
                    <w:rStyle w:val="Style2"/>
                    <w:rFonts w:ascii="MS Gothic" w:eastAsia="MS Gothic" w:hAnsi="MS Gothic" w:hint="eastAsia"/>
                  </w:rPr>
                  <w:t>☐</w:t>
                </w:r>
              </w:sdtContent>
            </w:sdt>
            <w:r w:rsidR="001640B3" w:rsidRPr="001F216C">
              <w:t xml:space="preserve"> Taip</w:t>
            </w:r>
          </w:p>
          <w:p w14:paraId="3A699651" w14:textId="77777777" w:rsidR="001640B3" w:rsidRPr="001F216C" w:rsidRDefault="00000000" w:rsidP="001640B3">
            <w:pPr>
              <w:pStyle w:val="Sraopastraipa"/>
              <w:spacing w:after="120" w:line="360" w:lineRule="auto"/>
              <w:ind w:left="0"/>
              <w:contextualSpacing w:val="0"/>
              <w:jc w:val="both"/>
            </w:pPr>
            <w:sdt>
              <w:sdtPr>
                <w:rPr>
                  <w:rStyle w:val="Style2"/>
                </w:rPr>
                <w:id w:val="594442222"/>
                <w15:color w:val="FFCC00"/>
                <w14:checkbox>
                  <w14:checked w14:val="1"/>
                  <w14:checkedState w14:val="2612" w14:font="MS Gothic"/>
                  <w14:uncheckedState w14:val="2610" w14:font="MS Gothic"/>
                </w14:checkbox>
              </w:sdtPr>
              <w:sdtContent>
                <w:r w:rsidR="001640B3">
                  <w:rPr>
                    <w:rStyle w:val="Style2"/>
                    <w:rFonts w:ascii="MS Gothic" w:eastAsia="MS Gothic" w:hAnsi="MS Gothic" w:hint="eastAsia"/>
                  </w:rPr>
                  <w:t>☒</w:t>
                </w:r>
              </w:sdtContent>
            </w:sdt>
            <w:r w:rsidR="001640B3" w:rsidRPr="001F216C">
              <w:t xml:space="preserve"> Ne</w:t>
            </w:r>
          </w:p>
          <w:p w14:paraId="0C0988CC" w14:textId="7FB87318" w:rsidR="001640B3" w:rsidRPr="00E33EFF" w:rsidRDefault="00000000" w:rsidP="001640B3">
            <w:pPr>
              <w:rPr>
                <w:rFonts w:eastAsia="Arial"/>
              </w:rPr>
            </w:pPr>
            <w:sdt>
              <w:sdtPr>
                <w:alias w:val="Nurodykite konkrečią dieną"/>
                <w:tag w:val="Nurodykite pradžios datą"/>
                <w:id w:val="1072468416"/>
                <w:placeholder>
                  <w:docPart w:val="973FD1D4E6EC4AC8B36B0D1FB4BAB877"/>
                </w:placeholder>
                <w:showingPlcHdr/>
                <w15:color w:val="FFCC99"/>
                <w:date>
                  <w:dateFormat w:val="yyyy 'm.' MMMM d 'd.'"/>
                  <w:lid w:val="lt-LT"/>
                  <w:storeMappedDataAs w:val="dateTime"/>
                  <w:calendar w:val="gregorian"/>
                </w:date>
              </w:sdtPr>
              <w:sdtContent>
                <w:r w:rsidR="001640B3">
                  <w:rPr>
                    <w:rStyle w:val="Vietosrezervavimoenklotekstas"/>
                  </w:rPr>
                  <w:t>Click here to enter a date.</w:t>
                </w:r>
              </w:sdtContent>
            </w:sdt>
          </w:p>
        </w:tc>
        <w:tc>
          <w:tcPr>
            <w:tcW w:w="2244" w:type="dxa"/>
          </w:tcPr>
          <w:p w14:paraId="64D1B800" w14:textId="77777777" w:rsidR="001640B3" w:rsidRPr="00E33EFF" w:rsidRDefault="001640B3" w:rsidP="001640B3">
            <w:pPr>
              <w:rPr>
                <w:rFonts w:eastAsia="Arial"/>
              </w:rPr>
            </w:pPr>
          </w:p>
        </w:tc>
        <w:tc>
          <w:tcPr>
            <w:tcW w:w="2543" w:type="dxa"/>
          </w:tcPr>
          <w:p w14:paraId="5C8CB330" w14:textId="77777777" w:rsidR="001640B3" w:rsidRPr="00E33EFF" w:rsidRDefault="001640B3" w:rsidP="001640B3">
            <w:pPr>
              <w:rPr>
                <w:rFonts w:eastAsia="Arial"/>
              </w:rPr>
            </w:pPr>
          </w:p>
        </w:tc>
      </w:tr>
      <w:tr w:rsidR="001640B3" w:rsidRPr="00E33EFF" w14:paraId="21C94D47" w14:textId="77777777" w:rsidTr="009C1379">
        <w:trPr>
          <w:trHeight w:val="2160"/>
        </w:trPr>
        <w:tc>
          <w:tcPr>
            <w:tcW w:w="2855" w:type="dxa"/>
          </w:tcPr>
          <w:p w14:paraId="1AD5E846" w14:textId="77777777" w:rsidR="001640B3" w:rsidRPr="00560B89" w:rsidRDefault="001640B3" w:rsidP="001640B3">
            <w:pPr>
              <w:spacing w:line="360" w:lineRule="auto"/>
              <w:rPr>
                <w:rFonts w:eastAsia="Arial"/>
              </w:rPr>
            </w:pPr>
            <w:r w:rsidRPr="00560B89">
              <w:rPr>
                <w:rFonts w:eastAsia="Arial"/>
              </w:rPr>
              <w:t xml:space="preserve">Nacionalinis </w:t>
            </w:r>
            <w:proofErr w:type="spellStart"/>
            <w:r w:rsidRPr="00560B89">
              <w:rPr>
                <w:rFonts w:eastAsia="Arial"/>
              </w:rPr>
              <w:t>farmakoekonomikos</w:t>
            </w:r>
            <w:proofErr w:type="spellEnd"/>
            <w:r w:rsidRPr="00560B89">
              <w:rPr>
                <w:rFonts w:eastAsia="Arial"/>
              </w:rPr>
              <w:t xml:space="preserve"> centras, Airija</w:t>
            </w:r>
          </w:p>
          <w:p w14:paraId="736F5072" w14:textId="1B3C9262" w:rsidR="001640B3" w:rsidRPr="00E33EFF" w:rsidRDefault="001640B3" w:rsidP="001640B3">
            <w:pPr>
              <w:rPr>
                <w:rFonts w:eastAsia="Arial"/>
              </w:rPr>
            </w:pPr>
            <w:r w:rsidRPr="00560B89">
              <w:rPr>
                <w:rFonts w:eastAsia="Arial"/>
              </w:rPr>
              <w:t>(angl.</w:t>
            </w:r>
            <w:r w:rsidRPr="00560B89">
              <w:rPr>
                <w:rFonts w:eastAsia="Arial"/>
                <w:i/>
              </w:rPr>
              <w:t xml:space="preserve"> </w:t>
            </w:r>
            <w:proofErr w:type="spellStart"/>
            <w:r w:rsidRPr="00560B89">
              <w:rPr>
                <w:rFonts w:eastAsia="Arial"/>
                <w:i/>
              </w:rPr>
              <w:t>National</w:t>
            </w:r>
            <w:proofErr w:type="spellEnd"/>
            <w:r w:rsidRPr="00560B89">
              <w:rPr>
                <w:rFonts w:eastAsia="Arial"/>
                <w:i/>
              </w:rPr>
              <w:t xml:space="preserve"> Centre </w:t>
            </w:r>
            <w:proofErr w:type="spellStart"/>
            <w:r w:rsidRPr="00560B89">
              <w:rPr>
                <w:rFonts w:eastAsia="Arial"/>
                <w:i/>
              </w:rPr>
              <w:t>for</w:t>
            </w:r>
            <w:proofErr w:type="spellEnd"/>
            <w:r w:rsidRPr="00560B89">
              <w:rPr>
                <w:rFonts w:eastAsia="Arial"/>
                <w:i/>
              </w:rPr>
              <w:t xml:space="preserve"> </w:t>
            </w:r>
            <w:proofErr w:type="spellStart"/>
            <w:r w:rsidRPr="00560B89">
              <w:rPr>
                <w:rFonts w:eastAsia="Arial"/>
                <w:i/>
              </w:rPr>
              <w:t>Pharmacoeconomics</w:t>
            </w:r>
            <w:proofErr w:type="spellEnd"/>
            <w:r w:rsidRPr="00560B89">
              <w:rPr>
                <w:rFonts w:eastAsia="Arial"/>
                <w:i/>
              </w:rPr>
              <w:t>, NCPE</w:t>
            </w:r>
            <w:r w:rsidRPr="00560B89">
              <w:rPr>
                <w:rFonts w:eastAsia="Arial"/>
              </w:rPr>
              <w:t>)</w:t>
            </w:r>
          </w:p>
        </w:tc>
        <w:tc>
          <w:tcPr>
            <w:tcW w:w="1851" w:type="dxa"/>
          </w:tcPr>
          <w:p w14:paraId="102F65DC" w14:textId="77777777" w:rsidR="001640B3" w:rsidRPr="00560B89" w:rsidRDefault="00000000" w:rsidP="001640B3">
            <w:pPr>
              <w:pStyle w:val="Sraopastraipa"/>
              <w:spacing w:after="120" w:line="360" w:lineRule="auto"/>
              <w:ind w:left="0"/>
              <w:contextualSpacing w:val="0"/>
              <w:jc w:val="both"/>
            </w:pPr>
            <w:sdt>
              <w:sdtPr>
                <w:rPr>
                  <w:rStyle w:val="Style2"/>
                </w:rPr>
                <w:id w:val="-1888403732"/>
                <w15:color w:val="FFCC00"/>
                <w14:checkbox>
                  <w14:checked w14:val="1"/>
                  <w14:checkedState w14:val="2612" w14:font="MS Gothic"/>
                  <w14:uncheckedState w14:val="2610" w14:font="MS Gothic"/>
                </w14:checkbox>
              </w:sdtPr>
              <w:sdtContent>
                <w:r w:rsidR="001640B3" w:rsidRPr="00560B89">
                  <w:rPr>
                    <w:rStyle w:val="Style2"/>
                    <w:rFonts w:ascii="MS Gothic" w:eastAsia="MS Gothic" w:hAnsi="MS Gothic" w:hint="eastAsia"/>
                  </w:rPr>
                  <w:t>☒</w:t>
                </w:r>
              </w:sdtContent>
            </w:sdt>
            <w:r w:rsidR="001640B3" w:rsidRPr="00560B89">
              <w:t xml:space="preserve"> Taip</w:t>
            </w:r>
          </w:p>
          <w:p w14:paraId="05635D27" w14:textId="77777777" w:rsidR="001640B3" w:rsidRPr="00560B89" w:rsidRDefault="00000000" w:rsidP="001640B3">
            <w:pPr>
              <w:pStyle w:val="Sraopastraipa"/>
              <w:spacing w:after="120" w:line="360" w:lineRule="auto"/>
              <w:ind w:left="0"/>
              <w:contextualSpacing w:val="0"/>
              <w:jc w:val="both"/>
            </w:pPr>
            <w:sdt>
              <w:sdtPr>
                <w:rPr>
                  <w:rStyle w:val="Style2"/>
                </w:rPr>
                <w:id w:val="1092201793"/>
                <w15:color w:val="FFCC00"/>
                <w14:checkbox>
                  <w14:checked w14:val="0"/>
                  <w14:checkedState w14:val="2612" w14:font="MS Gothic"/>
                  <w14:uncheckedState w14:val="2610" w14:font="MS Gothic"/>
                </w14:checkbox>
              </w:sdtPr>
              <w:sdtContent>
                <w:r w:rsidR="001640B3" w:rsidRPr="00560B89">
                  <w:rPr>
                    <w:rStyle w:val="Style2"/>
                    <w:rFonts w:ascii="MS Gothic" w:eastAsia="MS Gothic" w:hAnsi="MS Gothic" w:hint="eastAsia"/>
                  </w:rPr>
                  <w:t>☐</w:t>
                </w:r>
              </w:sdtContent>
            </w:sdt>
            <w:r w:rsidR="001640B3" w:rsidRPr="00560B89">
              <w:t xml:space="preserve"> Ne</w:t>
            </w:r>
          </w:p>
          <w:p w14:paraId="69AA1151" w14:textId="4FF9456F" w:rsidR="001640B3" w:rsidRPr="00E33EFF" w:rsidRDefault="001640B3" w:rsidP="001640B3">
            <w:pPr>
              <w:rPr>
                <w:rFonts w:eastAsia="Arial"/>
              </w:rPr>
            </w:pPr>
            <w:r w:rsidRPr="00560B89">
              <w:t xml:space="preserve">2017 m. </w:t>
            </w:r>
            <w:proofErr w:type="spellStart"/>
            <w:r w:rsidRPr="00560B89">
              <w:t>rugpūčio</w:t>
            </w:r>
            <w:proofErr w:type="spellEnd"/>
            <w:r w:rsidRPr="00560B89">
              <w:t xml:space="preserve"> 15 d.</w:t>
            </w:r>
          </w:p>
        </w:tc>
        <w:tc>
          <w:tcPr>
            <w:tcW w:w="4787" w:type="dxa"/>
            <w:gridSpan w:val="2"/>
          </w:tcPr>
          <w:p w14:paraId="60651AFD" w14:textId="5D1E2240" w:rsidR="001640B3" w:rsidRPr="00E33EFF" w:rsidRDefault="001640B3" w:rsidP="001640B3">
            <w:pPr>
              <w:jc w:val="both"/>
              <w:rPr>
                <w:rFonts w:eastAsia="Arial"/>
              </w:rPr>
            </w:pPr>
            <w:r>
              <w:rPr>
                <w:rFonts w:eastAsia="Arial"/>
              </w:rPr>
              <w:t>Vaistą rekomenduojama kompensuoti pagal indikaciją „</w:t>
            </w:r>
            <w:r>
              <w:t xml:space="preserve">Kontroliuojama kiaušidžių stimuliacija, siekiant paskatinti kelių folikulų vystymąsi moterims, kurioms taikomos pagalbinės reprodukcijos technologijos, pvz., apvaisinimas </w:t>
            </w:r>
            <w:proofErr w:type="spellStart"/>
            <w:r>
              <w:rPr>
                <w:i/>
                <w:iCs/>
              </w:rPr>
              <w:t>in</w:t>
            </w:r>
            <w:proofErr w:type="spellEnd"/>
            <w:r>
              <w:rPr>
                <w:i/>
                <w:iCs/>
              </w:rPr>
              <w:t xml:space="preserve"> </w:t>
            </w:r>
            <w:proofErr w:type="spellStart"/>
            <w:r>
              <w:rPr>
                <w:i/>
                <w:iCs/>
              </w:rPr>
              <w:t>vitro</w:t>
            </w:r>
            <w:proofErr w:type="spellEnd"/>
            <w:r>
              <w:rPr>
                <w:i/>
                <w:iCs/>
              </w:rPr>
              <w:t xml:space="preserve"> </w:t>
            </w:r>
            <w:r>
              <w:t xml:space="preserve">ar </w:t>
            </w:r>
            <w:proofErr w:type="spellStart"/>
            <w:r>
              <w:t>intracitoplazminės</w:t>
            </w:r>
            <w:proofErr w:type="spellEnd"/>
            <w:r>
              <w:t xml:space="preserve"> spermatozoidų injekcijos ciklas.</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2A5A5246" w:rsidR="00D4485B" w:rsidRDefault="00D4485B" w:rsidP="00A93AA6">
      <w:pPr>
        <w:pStyle w:val="Sraopastraipa"/>
        <w:tabs>
          <w:tab w:val="left" w:pos="426"/>
        </w:tabs>
        <w:ind w:left="0"/>
        <w:rPr>
          <w:b/>
          <w:bCs/>
          <w:caps/>
        </w:rPr>
      </w:pPr>
    </w:p>
    <w:p w14:paraId="1CDA7B7B" w14:textId="77777777" w:rsidR="001640B3" w:rsidRPr="006479F1" w:rsidRDefault="001640B3" w:rsidP="001640B3">
      <w:pPr>
        <w:spacing w:line="360" w:lineRule="auto"/>
        <w:jc w:val="both"/>
        <w:rPr>
          <w:rFonts w:eastAsia="Arial"/>
          <w:iCs/>
        </w:rPr>
      </w:pPr>
      <w:r>
        <w:rPr>
          <w:rFonts w:eastAsia="Arial"/>
          <w:iCs/>
          <w:color w:val="00B050"/>
        </w:rPr>
        <w:tab/>
      </w:r>
      <w:r w:rsidRPr="006479F1">
        <w:rPr>
          <w:rFonts w:eastAsia="Arial"/>
          <w:iCs/>
        </w:rPr>
        <w:t xml:space="preserve">Nevaisingumas – biologinė būklė, kai reguliarų lytinį gyvenimą gyvenanti ir kontraceptinių priemonių nenaudojanti pora nesulaukia nėštumo per 12 mėnesių. Jei moteris niekada nebuvo pastojusi, nevaisingumas yra pirminis, jei anamnezėje nurodomas buvęs nėštumas, neatsižvelgiant į jo baigtį, – antrinis. Tarptautinių epidemiologinių studijų duomenimis, nevaisingumas nustatomas 10 – 15 proc. arba kas šeštai – septintai porai. Daugumos besikreipiančių šeimų vaisingumas sutrikęs iš dalies tik 1 – 2 proc. porų nevaisingumas yra absoliutus (angl. </w:t>
      </w:r>
      <w:proofErr w:type="spellStart"/>
      <w:r w:rsidRPr="008D2F7F">
        <w:rPr>
          <w:rFonts w:eastAsia="Arial"/>
          <w:i/>
          <w:iCs/>
        </w:rPr>
        <w:t>sterility</w:t>
      </w:r>
      <w:proofErr w:type="spellEnd"/>
      <w:r w:rsidRPr="006479F1">
        <w:rPr>
          <w:rFonts w:eastAsia="Arial"/>
          <w:iCs/>
        </w:rPr>
        <w:t>). Lietuvoje nevaisingumo registro nėra, tačiau manoma, jog vaisingumo sutrikimų gali turėti apie 150 tūkst. šeimų.</w:t>
      </w:r>
    </w:p>
    <w:p w14:paraId="04BFEB8A" w14:textId="77777777" w:rsidR="001640B3" w:rsidRDefault="001640B3" w:rsidP="001640B3">
      <w:pPr>
        <w:spacing w:line="360" w:lineRule="auto"/>
        <w:jc w:val="both"/>
        <w:rPr>
          <w:rFonts w:eastAsia="Arial"/>
          <w:iCs/>
        </w:rPr>
      </w:pPr>
      <w:r w:rsidRPr="006479F1">
        <w:rPr>
          <w:rFonts w:eastAsia="Arial"/>
          <w:iCs/>
        </w:rPr>
        <w:tab/>
        <w:t>Nevaisingumą lemia vieno ar abiejų partnerių vaisingumo sutrikimas. Vyrų sveikatos problemos lemia 20 – 30 proc., moterų – 20– 35 proc., abiejų partnerių – 25 – 40 proc. visų vaisingumo sutrikimų atvejų. 10–20 proc. atvejų nevaisingumo priežastis lieka neaiški. Moterų nevaisingumo priežastys</w:t>
      </w:r>
      <w:r>
        <w:rPr>
          <w:rFonts w:eastAsia="Arial"/>
          <w:iCs/>
        </w:rPr>
        <w:t xml:space="preserve"> grupuojamos į ovuliacijos sutrikimus </w:t>
      </w:r>
      <w:r w:rsidRPr="006C063D">
        <w:rPr>
          <w:rFonts w:eastAsia="Arial"/>
          <w:iCs/>
        </w:rPr>
        <w:t>(~25% visų nevaisingumo atvejų)</w:t>
      </w:r>
      <w:r>
        <w:rPr>
          <w:rFonts w:eastAsia="Arial"/>
          <w:iCs/>
        </w:rPr>
        <w:t xml:space="preserve">, kiaušintakių ir pilvaplėvės patologijas </w:t>
      </w:r>
      <w:r w:rsidRPr="006C063D">
        <w:rPr>
          <w:rFonts w:eastAsia="Arial"/>
          <w:iCs/>
        </w:rPr>
        <w:t>(~2</w:t>
      </w:r>
      <w:r>
        <w:rPr>
          <w:rFonts w:eastAsia="Arial"/>
          <w:iCs/>
        </w:rPr>
        <w:t>0</w:t>
      </w:r>
      <w:r w:rsidRPr="006C063D">
        <w:rPr>
          <w:rFonts w:eastAsia="Arial"/>
          <w:iCs/>
        </w:rPr>
        <w:t>%</w:t>
      </w:r>
      <w:r>
        <w:rPr>
          <w:rFonts w:eastAsia="Arial"/>
          <w:iCs/>
        </w:rPr>
        <w:t xml:space="preserve"> </w:t>
      </w:r>
      <w:r w:rsidRPr="006C063D">
        <w:rPr>
          <w:rFonts w:eastAsia="Arial"/>
          <w:iCs/>
        </w:rPr>
        <w:t>atvejų)</w:t>
      </w:r>
      <w:r>
        <w:rPr>
          <w:rFonts w:eastAsia="Arial"/>
          <w:iCs/>
        </w:rPr>
        <w:t xml:space="preserve">, gimdos ir gimdos kaklelio patologijas </w:t>
      </w:r>
      <w:r w:rsidRPr="006C063D">
        <w:rPr>
          <w:rFonts w:eastAsia="Arial"/>
          <w:iCs/>
        </w:rPr>
        <w:t>(~25% atvejų)</w:t>
      </w:r>
      <w:r>
        <w:rPr>
          <w:rFonts w:eastAsia="Arial"/>
          <w:iCs/>
        </w:rPr>
        <w:t xml:space="preserve"> ir endometriozę </w:t>
      </w:r>
      <w:r w:rsidRPr="006C063D">
        <w:rPr>
          <w:rFonts w:eastAsia="Arial"/>
          <w:iCs/>
        </w:rPr>
        <w:t>(~2</w:t>
      </w:r>
      <w:r>
        <w:rPr>
          <w:rFonts w:eastAsia="Arial"/>
          <w:iCs/>
        </w:rPr>
        <w:t>-10</w:t>
      </w:r>
      <w:r w:rsidRPr="006C063D">
        <w:rPr>
          <w:rFonts w:eastAsia="Arial"/>
          <w:iCs/>
        </w:rPr>
        <w:t>% atvejų)</w:t>
      </w:r>
      <w:r>
        <w:rPr>
          <w:rFonts w:eastAsia="Arial"/>
          <w:iCs/>
        </w:rPr>
        <w:t>.</w:t>
      </w:r>
    </w:p>
    <w:p w14:paraId="51BBB60B" w14:textId="77777777" w:rsidR="001640B3" w:rsidRDefault="001640B3" w:rsidP="001640B3">
      <w:pPr>
        <w:spacing w:line="360" w:lineRule="auto"/>
        <w:jc w:val="both"/>
        <w:rPr>
          <w:rFonts w:eastAsia="Arial"/>
          <w:iCs/>
        </w:rPr>
      </w:pPr>
      <w:r>
        <w:rPr>
          <w:rFonts w:eastAsia="Arial"/>
          <w:iCs/>
        </w:rPr>
        <w:tab/>
        <w:t>Nevaisingumo gydymo metodas priklauso nuo nevaisingumo priežasties, moters amžiaus ir nevaisingumo trukmės. Jei konservatyvus, medikamentinis ir/ar chirurginis gydymo metodai buvo neveiksmingi ar tikslingas pagalbinis apvaisinimas, pagal LR SAM „</w:t>
      </w:r>
      <w:r w:rsidRPr="00327726">
        <w:rPr>
          <w:rFonts w:eastAsia="Arial"/>
          <w:iCs/>
        </w:rPr>
        <w:t>Pagalbinio apvaisinimo paslaugų teikimo ir jų apmokėjimo privalomojo sveikatos draudimo fondo biudžeto lėšomis tvarkos apraš</w:t>
      </w:r>
      <w:r>
        <w:rPr>
          <w:rFonts w:eastAsia="Arial"/>
          <w:iCs/>
        </w:rPr>
        <w:t xml:space="preserve">ą“ sprendžiama, ar yra </w:t>
      </w:r>
      <w:r w:rsidRPr="0092436A">
        <w:t>pagalbin</w:t>
      </w:r>
      <w:r>
        <w:t>io</w:t>
      </w:r>
      <w:r w:rsidRPr="0092436A">
        <w:t xml:space="preserve"> </w:t>
      </w:r>
      <w:r>
        <w:t xml:space="preserve">apvaisinimo būdų (apvaisinimas </w:t>
      </w:r>
      <w:proofErr w:type="spellStart"/>
      <w:r w:rsidRPr="0092436A">
        <w:rPr>
          <w:i/>
          <w:iCs/>
        </w:rPr>
        <w:t>in</w:t>
      </w:r>
      <w:proofErr w:type="spellEnd"/>
      <w:r w:rsidRPr="0092436A">
        <w:rPr>
          <w:i/>
          <w:iCs/>
        </w:rPr>
        <w:t xml:space="preserve"> </w:t>
      </w:r>
      <w:proofErr w:type="spellStart"/>
      <w:r w:rsidRPr="0092436A">
        <w:rPr>
          <w:i/>
          <w:iCs/>
        </w:rPr>
        <w:t>vitro</w:t>
      </w:r>
      <w:proofErr w:type="spellEnd"/>
      <w:r>
        <w:t>, toliau AIV,</w:t>
      </w:r>
      <w:r w:rsidRPr="0092436A">
        <w:rPr>
          <w:i/>
          <w:iCs/>
        </w:rPr>
        <w:t xml:space="preserve"> </w:t>
      </w:r>
      <w:r w:rsidRPr="0092436A">
        <w:t xml:space="preserve">ar </w:t>
      </w:r>
      <w:proofErr w:type="spellStart"/>
      <w:r w:rsidRPr="0092436A">
        <w:t>intracitoplazminės</w:t>
      </w:r>
      <w:proofErr w:type="spellEnd"/>
      <w:r w:rsidRPr="0092436A">
        <w:t xml:space="preserve"> spermatozoidų injekcijos</w:t>
      </w:r>
      <w:r>
        <w:t>, toliau ICSI)</w:t>
      </w:r>
      <w:r w:rsidRPr="0092436A">
        <w:t xml:space="preserve"> </w:t>
      </w:r>
      <w:r>
        <w:t xml:space="preserve">taikymo indikacijų ir nėra kontraindikacijų. Priėmus sprendimą taikyti pagalbinio apvaisinimo būdus, </w:t>
      </w:r>
      <w:r w:rsidRPr="00714B9C">
        <w:rPr>
          <w:rFonts w:eastAsia="Arial"/>
          <w:iCs/>
        </w:rPr>
        <w:t xml:space="preserve">siekiant padidinti nėštumo tikimybę, per pagalbinio apvaisinimo ciklus taikoma </w:t>
      </w:r>
      <w:r>
        <w:rPr>
          <w:rFonts w:eastAsia="Arial"/>
          <w:iCs/>
        </w:rPr>
        <w:t xml:space="preserve">5 etapų </w:t>
      </w:r>
      <w:r w:rsidRPr="00714B9C">
        <w:rPr>
          <w:rFonts w:eastAsia="Arial"/>
          <w:iCs/>
        </w:rPr>
        <w:t>kontroliuojama kiaušidžių stimuliacija</w:t>
      </w:r>
      <w:r>
        <w:rPr>
          <w:rFonts w:eastAsia="Arial"/>
          <w:iCs/>
        </w:rPr>
        <w:t xml:space="preserve"> (1. folikulų vystymosi stimuliacija; 2. pirmalaikės </w:t>
      </w:r>
      <w:proofErr w:type="spellStart"/>
      <w:r>
        <w:rPr>
          <w:rFonts w:eastAsia="Arial"/>
          <w:iCs/>
        </w:rPr>
        <w:t>liutenizacijos</w:t>
      </w:r>
      <w:proofErr w:type="spellEnd"/>
      <w:r>
        <w:rPr>
          <w:rFonts w:eastAsia="Arial"/>
          <w:iCs/>
        </w:rPr>
        <w:t xml:space="preserve"> slopinimas; 3. folikulų vystymosi stebėsena; 4. galutinio folikulų brendimo aktyvinimas; 5. </w:t>
      </w:r>
      <w:proofErr w:type="spellStart"/>
      <w:r>
        <w:rPr>
          <w:rFonts w:eastAsia="Arial"/>
          <w:iCs/>
        </w:rPr>
        <w:t>ovocitų</w:t>
      </w:r>
      <w:proofErr w:type="spellEnd"/>
      <w:r>
        <w:rPr>
          <w:rFonts w:eastAsia="Arial"/>
          <w:iCs/>
        </w:rPr>
        <w:t xml:space="preserve"> paėmimas)</w:t>
      </w:r>
      <w:r w:rsidRPr="00714B9C">
        <w:rPr>
          <w:rFonts w:eastAsia="Arial"/>
          <w:iCs/>
        </w:rPr>
        <w:t xml:space="preserve">, kurios metu </w:t>
      </w:r>
      <w:proofErr w:type="spellStart"/>
      <w:r>
        <w:rPr>
          <w:rFonts w:eastAsia="Arial"/>
          <w:iCs/>
        </w:rPr>
        <w:t>gonadotroponinais</w:t>
      </w:r>
      <w:proofErr w:type="spellEnd"/>
      <w:r>
        <w:rPr>
          <w:rFonts w:eastAsia="Arial"/>
          <w:iCs/>
        </w:rPr>
        <w:t xml:space="preserve"> skatinamas</w:t>
      </w:r>
      <w:r w:rsidRPr="00714B9C">
        <w:rPr>
          <w:rFonts w:eastAsia="Arial"/>
          <w:iCs/>
        </w:rPr>
        <w:t xml:space="preserve"> kelių kiaušidžių folikulų </w:t>
      </w:r>
      <w:proofErr w:type="spellStart"/>
      <w:r w:rsidRPr="00714B9C">
        <w:rPr>
          <w:rFonts w:eastAsia="Arial"/>
          <w:iCs/>
        </w:rPr>
        <w:t>vystimasis</w:t>
      </w:r>
      <w:proofErr w:type="spellEnd"/>
      <w:r w:rsidRPr="00714B9C">
        <w:rPr>
          <w:rFonts w:eastAsia="Arial"/>
          <w:iCs/>
        </w:rPr>
        <w:t>, kurie po to yra surenkami</w:t>
      </w:r>
      <w:r>
        <w:rPr>
          <w:rFonts w:eastAsia="Arial"/>
          <w:iCs/>
        </w:rPr>
        <w:t>.</w:t>
      </w:r>
    </w:p>
    <w:p w14:paraId="2943A495" w14:textId="2260F3DB" w:rsidR="001640B3" w:rsidRDefault="001640B3" w:rsidP="001640B3">
      <w:pPr>
        <w:spacing w:line="360" w:lineRule="auto"/>
        <w:jc w:val="both"/>
        <w:rPr>
          <w:rFonts w:eastAsia="Arial"/>
          <w:iCs/>
        </w:rPr>
      </w:pPr>
      <w:r>
        <w:rPr>
          <w:rFonts w:eastAsia="Arial"/>
          <w:iCs/>
        </w:rPr>
        <w:tab/>
        <w:t>Lietuvoje pagalbinio apvaisinimo metu taikomą gydymą šiuo metu reglamentuoja „</w:t>
      </w:r>
      <w:r w:rsidRPr="00327726">
        <w:rPr>
          <w:rFonts w:eastAsia="Arial"/>
          <w:iCs/>
        </w:rPr>
        <w:t>Pagalbinio apvaisinimo paslaugų teikimo ir jų apmokėjimo privalomojo sveikatos draudimo fondo biudžeto lėšomis tvarkos apraš</w:t>
      </w:r>
      <w:r>
        <w:rPr>
          <w:rFonts w:eastAsia="Arial"/>
          <w:iCs/>
        </w:rPr>
        <w:t xml:space="preserve">as“. </w:t>
      </w:r>
      <w:proofErr w:type="spellStart"/>
      <w:r>
        <w:rPr>
          <w:rFonts w:eastAsia="Arial"/>
          <w:iCs/>
        </w:rPr>
        <w:t>Folitropinas</w:t>
      </w:r>
      <w:proofErr w:type="spellEnd"/>
      <w:r>
        <w:rPr>
          <w:rFonts w:eastAsia="Arial"/>
          <w:iCs/>
        </w:rPr>
        <w:t xml:space="preserve"> alfa (</w:t>
      </w:r>
      <w:proofErr w:type="spellStart"/>
      <w:r>
        <w:rPr>
          <w:rFonts w:eastAsia="Arial"/>
          <w:iCs/>
        </w:rPr>
        <w:t>gonadotropinas</w:t>
      </w:r>
      <w:proofErr w:type="spellEnd"/>
      <w:r>
        <w:rPr>
          <w:rFonts w:eastAsia="Arial"/>
          <w:iCs/>
        </w:rPr>
        <w:t xml:space="preserve">), skiriamas folikulų vystymosi stimuliacijai (1 etapas), </w:t>
      </w:r>
      <w:proofErr w:type="spellStart"/>
      <w:r>
        <w:rPr>
          <w:rFonts w:eastAsia="Arial"/>
          <w:iCs/>
        </w:rPr>
        <w:t>triptorelinas</w:t>
      </w:r>
      <w:proofErr w:type="spellEnd"/>
      <w:r>
        <w:rPr>
          <w:rFonts w:eastAsia="Arial"/>
          <w:iCs/>
        </w:rPr>
        <w:t xml:space="preserve"> (</w:t>
      </w:r>
      <w:proofErr w:type="spellStart"/>
      <w:r>
        <w:rPr>
          <w:rFonts w:eastAsia="Arial"/>
          <w:iCs/>
        </w:rPr>
        <w:t>GnRH</w:t>
      </w:r>
      <w:proofErr w:type="spellEnd"/>
      <w:r>
        <w:rPr>
          <w:rFonts w:eastAsia="Arial"/>
          <w:iCs/>
        </w:rPr>
        <w:t xml:space="preserve"> </w:t>
      </w:r>
      <w:proofErr w:type="spellStart"/>
      <w:r>
        <w:rPr>
          <w:rFonts w:eastAsia="Arial"/>
          <w:iCs/>
        </w:rPr>
        <w:t>agonistas</w:t>
      </w:r>
      <w:proofErr w:type="spellEnd"/>
      <w:r>
        <w:rPr>
          <w:rFonts w:eastAsia="Arial"/>
          <w:iCs/>
        </w:rPr>
        <w:t xml:space="preserve">) ir </w:t>
      </w:r>
      <w:proofErr w:type="spellStart"/>
      <w:r>
        <w:rPr>
          <w:rFonts w:eastAsia="Arial"/>
          <w:iCs/>
        </w:rPr>
        <w:t>cetroreliksas</w:t>
      </w:r>
      <w:proofErr w:type="spellEnd"/>
      <w:r>
        <w:rPr>
          <w:rFonts w:eastAsia="Arial"/>
          <w:iCs/>
        </w:rPr>
        <w:t xml:space="preserve"> (</w:t>
      </w:r>
      <w:proofErr w:type="spellStart"/>
      <w:r>
        <w:rPr>
          <w:rFonts w:eastAsia="Arial"/>
          <w:iCs/>
        </w:rPr>
        <w:t>GnRH</w:t>
      </w:r>
      <w:proofErr w:type="spellEnd"/>
      <w:r>
        <w:rPr>
          <w:rFonts w:eastAsia="Arial"/>
          <w:iCs/>
        </w:rPr>
        <w:t xml:space="preserve"> antagonistas), skiriami pirmalaikei ovuliacijai (</w:t>
      </w:r>
      <w:proofErr w:type="spellStart"/>
      <w:r>
        <w:rPr>
          <w:rFonts w:eastAsia="Arial"/>
          <w:iCs/>
        </w:rPr>
        <w:t>liutenizacijai</w:t>
      </w:r>
      <w:proofErr w:type="spellEnd"/>
      <w:r>
        <w:rPr>
          <w:rFonts w:eastAsia="Arial"/>
          <w:iCs/>
        </w:rPr>
        <w:t xml:space="preserve">) slopinti (2 etapas), </w:t>
      </w:r>
      <w:proofErr w:type="spellStart"/>
      <w:r>
        <w:rPr>
          <w:rFonts w:eastAsia="Arial"/>
          <w:iCs/>
        </w:rPr>
        <w:t>chorioninis</w:t>
      </w:r>
      <w:proofErr w:type="spellEnd"/>
      <w:r>
        <w:rPr>
          <w:rFonts w:eastAsia="Arial"/>
          <w:iCs/>
        </w:rPr>
        <w:t xml:space="preserve"> alfa </w:t>
      </w:r>
      <w:proofErr w:type="spellStart"/>
      <w:r>
        <w:rPr>
          <w:rFonts w:eastAsia="Arial"/>
          <w:iCs/>
        </w:rPr>
        <w:t>gonadotropinas</w:t>
      </w:r>
      <w:proofErr w:type="spellEnd"/>
      <w:r>
        <w:rPr>
          <w:rFonts w:eastAsia="Arial"/>
          <w:iCs/>
        </w:rPr>
        <w:t xml:space="preserve"> (4 etapas), skiriamas galutinio folikulų brendimo aktyvinimui yra įtraukti į kompensuojamųjų vaistų sąrašą. Kadangi paraiškoje pateikiamas </w:t>
      </w:r>
      <w:proofErr w:type="spellStart"/>
      <w:r>
        <w:rPr>
          <w:rFonts w:eastAsia="Arial"/>
          <w:iCs/>
        </w:rPr>
        <w:t>folitropinas</w:t>
      </w:r>
      <w:proofErr w:type="spellEnd"/>
      <w:r>
        <w:rPr>
          <w:rFonts w:eastAsia="Arial"/>
          <w:iCs/>
        </w:rPr>
        <w:t xml:space="preserve"> delta skiriamas folikulų vystymosi stimuliacijai (1 etapas), laikytina, jog </w:t>
      </w:r>
      <w:proofErr w:type="spellStart"/>
      <w:r>
        <w:rPr>
          <w:rFonts w:eastAsia="Arial"/>
          <w:iCs/>
        </w:rPr>
        <w:t>folitropinas</w:t>
      </w:r>
      <w:proofErr w:type="spellEnd"/>
      <w:r>
        <w:rPr>
          <w:rFonts w:eastAsia="Arial"/>
          <w:iCs/>
        </w:rPr>
        <w:t xml:space="preserve"> alfa yra Lietuvos klinikinėje praktikoje taikomas gydymo metodas.</w:t>
      </w:r>
    </w:p>
    <w:p w14:paraId="7C77E7E7" w14:textId="77777777" w:rsidR="001640B3" w:rsidRPr="00C26C9F" w:rsidRDefault="001640B3" w:rsidP="001640B3">
      <w:pPr>
        <w:spacing w:line="360" w:lineRule="auto"/>
        <w:jc w:val="both"/>
        <w:rPr>
          <w:rFonts w:eastAsia="Arial"/>
          <w:iCs/>
        </w:rPr>
      </w:pPr>
    </w:p>
    <w:p w14:paraId="230DA0C7" w14:textId="77777777" w:rsidR="001640B3" w:rsidRDefault="001640B3" w:rsidP="001640B3">
      <w:pPr>
        <w:widowControl w:val="0"/>
        <w:spacing w:line="276" w:lineRule="auto"/>
        <w:jc w:val="both"/>
        <w:rPr>
          <w:bCs/>
          <w:i/>
          <w:iCs/>
          <w:lang w:eastAsia="lt-LT"/>
        </w:rPr>
      </w:pPr>
    </w:p>
    <w:p w14:paraId="5CDDB20E" w14:textId="77777777" w:rsidR="001640B3" w:rsidRDefault="001640B3" w:rsidP="00462E21">
      <w:pPr>
        <w:widowControl w:val="0"/>
        <w:spacing w:line="360" w:lineRule="auto"/>
        <w:jc w:val="both"/>
        <w:rPr>
          <w:bCs/>
          <w:lang w:eastAsia="lt-LT"/>
        </w:rPr>
      </w:pPr>
      <w:r>
        <w:rPr>
          <w:bCs/>
          <w:i/>
          <w:iCs/>
          <w:lang w:eastAsia="lt-LT"/>
        </w:rPr>
        <w:lastRenderedPageBreak/>
        <w:t>Tiesioginis palyginimas</w:t>
      </w:r>
    </w:p>
    <w:p w14:paraId="4004B307" w14:textId="77777777" w:rsidR="001640B3" w:rsidRDefault="001640B3" w:rsidP="001640B3">
      <w:pPr>
        <w:widowControl w:val="0"/>
        <w:spacing w:line="360" w:lineRule="auto"/>
        <w:jc w:val="both"/>
        <w:rPr>
          <w:bCs/>
          <w:lang w:eastAsia="lt-LT"/>
        </w:rPr>
      </w:pPr>
      <w:r>
        <w:rPr>
          <w:bCs/>
          <w:lang w:eastAsia="lt-LT"/>
        </w:rPr>
        <w:tab/>
        <w:t xml:space="preserve">Klinikinis vertinimas buvo atliktas pagal paraiškoje pateiktus klinikinius tyrimus ESTHER-1 ir ESTHER-2. ESTHER-1 ir ESTHER-2 tyrimuose įrodyta (pirminės vertinamosios baigtys), jog pacientėms, </w:t>
      </w:r>
      <w:r>
        <w:rPr>
          <w:rFonts w:eastAsia="Arial"/>
          <w:bCs/>
        </w:rPr>
        <w:t xml:space="preserve">kurioms buvo numatytas pirmas (ESTHER-1), antras ir trečias (ESTHER-2) apvaisinimo </w:t>
      </w:r>
      <w:proofErr w:type="spellStart"/>
      <w:r>
        <w:rPr>
          <w:rFonts w:eastAsia="Arial"/>
          <w:bCs/>
          <w:i/>
          <w:iCs/>
        </w:rPr>
        <w:t>in</w:t>
      </w:r>
      <w:proofErr w:type="spellEnd"/>
      <w:r>
        <w:rPr>
          <w:rFonts w:eastAsia="Arial"/>
          <w:bCs/>
          <w:i/>
          <w:iCs/>
        </w:rPr>
        <w:t xml:space="preserve"> </w:t>
      </w:r>
      <w:proofErr w:type="spellStart"/>
      <w:r>
        <w:rPr>
          <w:rFonts w:eastAsia="Arial"/>
          <w:bCs/>
          <w:i/>
          <w:iCs/>
        </w:rPr>
        <w:t>vitro</w:t>
      </w:r>
      <w:proofErr w:type="spellEnd"/>
      <w:r>
        <w:rPr>
          <w:rFonts w:eastAsia="Arial"/>
          <w:bCs/>
        </w:rPr>
        <w:t xml:space="preserve"> arba </w:t>
      </w:r>
      <w:proofErr w:type="spellStart"/>
      <w:r w:rsidRPr="0092436A">
        <w:t>intracitoplazminės</w:t>
      </w:r>
      <w:proofErr w:type="spellEnd"/>
      <w:r w:rsidRPr="0092436A">
        <w:t xml:space="preserve"> spermatozoidų injekcijos</w:t>
      </w:r>
      <w:r>
        <w:rPr>
          <w:rFonts w:eastAsia="Arial"/>
          <w:bCs/>
        </w:rPr>
        <w:t xml:space="preserve"> ciklai nustačius kiaušintakinį, I–II laipsnio endometriozės sukeltą, neaiškios kilmės ar partnerio nevaisingumą, skiriant </w:t>
      </w:r>
      <w:proofErr w:type="spellStart"/>
      <w:r>
        <w:rPr>
          <w:rFonts w:eastAsia="Arial"/>
          <w:bCs/>
        </w:rPr>
        <w:t>folitropiną</w:t>
      </w:r>
      <w:proofErr w:type="spellEnd"/>
      <w:r>
        <w:rPr>
          <w:rFonts w:eastAsia="Arial"/>
          <w:bCs/>
        </w:rPr>
        <w:t xml:space="preserve"> deltą ir </w:t>
      </w:r>
      <w:proofErr w:type="spellStart"/>
      <w:r>
        <w:rPr>
          <w:rFonts w:eastAsia="Arial"/>
          <w:bCs/>
        </w:rPr>
        <w:t>folitropiną</w:t>
      </w:r>
      <w:proofErr w:type="spellEnd"/>
      <w:r>
        <w:rPr>
          <w:rFonts w:eastAsia="Arial"/>
          <w:bCs/>
        </w:rPr>
        <w:t xml:space="preserve"> alfa besitęsiančio nėštumo ir implantacijos dažnis (ESTHER-1) bei antikūnų prieš FSH susiformavimo atvejų dažnis (ESTHER-2) nesiskyrė. </w:t>
      </w:r>
      <w:r>
        <w:rPr>
          <w:iCs/>
        </w:rPr>
        <w:t xml:space="preserve">besitęsiančio nėštumo ir implantacijos atvejų dažnis buvo atitinkamai 0,9% (95% PI -5,9 – 4,1%) ir 0,6% (95% PI -6,1 – 4,8) mažesnis </w:t>
      </w:r>
      <w:proofErr w:type="spellStart"/>
      <w:r>
        <w:rPr>
          <w:iCs/>
        </w:rPr>
        <w:t>folitropino</w:t>
      </w:r>
      <w:proofErr w:type="spellEnd"/>
      <w:r>
        <w:rPr>
          <w:iCs/>
        </w:rPr>
        <w:t xml:space="preserve"> delta grupėje, lyginant su </w:t>
      </w:r>
      <w:proofErr w:type="spellStart"/>
      <w:r>
        <w:rPr>
          <w:iCs/>
        </w:rPr>
        <w:t>folitropina</w:t>
      </w:r>
      <w:proofErr w:type="spellEnd"/>
      <w:r>
        <w:rPr>
          <w:iCs/>
        </w:rPr>
        <w:t xml:space="preserve"> alfa grupe. Naujai dėl gydymo susiformavusių </w:t>
      </w:r>
      <w:r>
        <w:rPr>
          <w:rFonts w:eastAsia="Arial"/>
          <w:bCs/>
        </w:rPr>
        <w:t>antikūnų prieš FSH</w:t>
      </w:r>
      <w:r>
        <w:rPr>
          <w:iCs/>
        </w:rPr>
        <w:t xml:space="preserve"> atvejų po antrojo ir trečiojo ciklo buvo po vieną </w:t>
      </w:r>
      <w:proofErr w:type="spellStart"/>
      <w:r>
        <w:rPr>
          <w:iCs/>
        </w:rPr>
        <w:t>folitropino</w:t>
      </w:r>
      <w:proofErr w:type="spellEnd"/>
      <w:r>
        <w:rPr>
          <w:iCs/>
        </w:rPr>
        <w:t xml:space="preserve"> delta (0,40%) ir alfa (0,38%) grupėse.</w:t>
      </w:r>
    </w:p>
    <w:p w14:paraId="0F54FB9F" w14:textId="77777777" w:rsidR="001640B3" w:rsidRDefault="001640B3" w:rsidP="001640B3">
      <w:pPr>
        <w:spacing w:line="360" w:lineRule="auto"/>
        <w:ind w:firstLine="720"/>
        <w:jc w:val="both"/>
        <w:rPr>
          <w:iCs/>
        </w:rPr>
      </w:pPr>
      <w:r>
        <w:t>Vertinant svarbiausias ESTHER-1 tyrimo antrines vertinamąsias baigtis,</w:t>
      </w:r>
      <w:r w:rsidRPr="00B42042">
        <w:t xml:space="preserve"> </w:t>
      </w:r>
      <w:r>
        <w:t>t</w:t>
      </w:r>
      <w:r>
        <w:rPr>
          <w:iCs/>
        </w:rPr>
        <w:t xml:space="preserve">ikslinis kiaušidžių atsakas dažniau buvo pasiektas vartojant </w:t>
      </w:r>
      <w:proofErr w:type="spellStart"/>
      <w:r>
        <w:rPr>
          <w:iCs/>
        </w:rPr>
        <w:t>folitropiną</w:t>
      </w:r>
      <w:proofErr w:type="spellEnd"/>
      <w:r>
        <w:rPr>
          <w:iCs/>
        </w:rPr>
        <w:t xml:space="preserve"> delta (P=0,019), o netinkamas kiaušidžių atsakas (tiek </w:t>
      </w:r>
      <w:proofErr w:type="spellStart"/>
      <w:r>
        <w:rPr>
          <w:iCs/>
        </w:rPr>
        <w:t>hipoatsakas</w:t>
      </w:r>
      <w:proofErr w:type="spellEnd"/>
      <w:r>
        <w:rPr>
          <w:iCs/>
        </w:rPr>
        <w:t xml:space="preserve">, tiek </w:t>
      </w:r>
      <w:proofErr w:type="spellStart"/>
      <w:r>
        <w:rPr>
          <w:iCs/>
        </w:rPr>
        <w:t>hiperatsakas</w:t>
      </w:r>
      <w:proofErr w:type="spellEnd"/>
      <w:r>
        <w:rPr>
          <w:iCs/>
        </w:rPr>
        <w:t xml:space="preserve">) dažniau buvo pasiektas vartojant </w:t>
      </w:r>
      <w:proofErr w:type="spellStart"/>
      <w:r>
        <w:rPr>
          <w:iCs/>
        </w:rPr>
        <w:t>folitropiną</w:t>
      </w:r>
      <w:proofErr w:type="spellEnd"/>
      <w:r>
        <w:rPr>
          <w:iCs/>
        </w:rPr>
        <w:t xml:space="preserve"> alfa (P</w:t>
      </w:r>
      <w:r>
        <w:rPr>
          <w:iCs/>
          <w:vertAlign w:val="subscript"/>
        </w:rPr>
        <w:t>1</w:t>
      </w:r>
      <w:r>
        <w:rPr>
          <w:iCs/>
        </w:rPr>
        <w:t>=0,039; P</w:t>
      </w:r>
      <w:r>
        <w:rPr>
          <w:iCs/>
          <w:vertAlign w:val="subscript"/>
        </w:rPr>
        <w:t>2</w:t>
      </w:r>
      <w:r>
        <w:rPr>
          <w:iCs/>
        </w:rPr>
        <w:t>=0,038).</w:t>
      </w:r>
      <w:r>
        <w:t xml:space="preserve"> </w:t>
      </w:r>
      <w:r>
        <w:rPr>
          <w:iCs/>
        </w:rPr>
        <w:t xml:space="preserve">Vertinant ESTHER-2 tyrimo duomenis (surinktų </w:t>
      </w:r>
      <w:proofErr w:type="spellStart"/>
      <w:r>
        <w:rPr>
          <w:iCs/>
        </w:rPr>
        <w:t>ovocitų</w:t>
      </w:r>
      <w:proofErr w:type="spellEnd"/>
      <w:r>
        <w:rPr>
          <w:iCs/>
        </w:rPr>
        <w:t xml:space="preserve"> vidurkį, besitęsiančių ir sėkmingų nėštumų, dažnį po antrojo ir trečiojo stimuliacijos ciklų), statistiškai reikšmingų skirtumų nenustatyta.</w:t>
      </w:r>
    </w:p>
    <w:p w14:paraId="4A45C1B4" w14:textId="77777777" w:rsidR="001640B3" w:rsidRPr="00934FC0" w:rsidRDefault="001640B3" w:rsidP="001640B3">
      <w:pPr>
        <w:spacing w:line="360" w:lineRule="auto"/>
        <w:ind w:firstLine="720"/>
        <w:jc w:val="both"/>
        <w:rPr>
          <w:iCs/>
        </w:rPr>
      </w:pPr>
      <w:r>
        <w:rPr>
          <w:iCs/>
        </w:rPr>
        <w:t xml:space="preserve">Vertinant saugumo charakteristikas ESTHER-1 tyrime, </w:t>
      </w:r>
      <w:r w:rsidRPr="00934FC0">
        <w:rPr>
          <w:rFonts w:eastAsia="Arial"/>
          <w:iCs/>
        </w:rPr>
        <w:t xml:space="preserve">kiaušidžių </w:t>
      </w:r>
      <w:proofErr w:type="spellStart"/>
      <w:r w:rsidRPr="00934FC0">
        <w:rPr>
          <w:rFonts w:eastAsia="Arial"/>
          <w:iCs/>
        </w:rPr>
        <w:t>hiperstimuliacijos</w:t>
      </w:r>
      <w:proofErr w:type="spellEnd"/>
      <w:r w:rsidRPr="00934FC0">
        <w:rPr>
          <w:rFonts w:eastAsia="Arial"/>
          <w:iCs/>
        </w:rPr>
        <w:t xml:space="preserve"> sindromo</w:t>
      </w:r>
      <w:r>
        <w:rPr>
          <w:iCs/>
        </w:rPr>
        <w:t xml:space="preserve"> prevencinės priemonės taikytos dažniau vartojant </w:t>
      </w:r>
      <w:proofErr w:type="spellStart"/>
      <w:r>
        <w:rPr>
          <w:iCs/>
        </w:rPr>
        <w:t>folitropiną</w:t>
      </w:r>
      <w:proofErr w:type="spellEnd"/>
      <w:r>
        <w:rPr>
          <w:iCs/>
        </w:rPr>
        <w:t xml:space="preserve"> alfa (P=0,005), ankstyvojo ir bet kokio </w:t>
      </w:r>
      <w:proofErr w:type="spellStart"/>
      <w:r>
        <w:rPr>
          <w:iCs/>
        </w:rPr>
        <w:t>laipsio</w:t>
      </w:r>
      <w:proofErr w:type="spellEnd"/>
      <w:r>
        <w:rPr>
          <w:iCs/>
        </w:rPr>
        <w:t xml:space="preserve"> </w:t>
      </w:r>
      <w:r w:rsidRPr="00934FC0">
        <w:rPr>
          <w:rFonts w:eastAsia="Arial"/>
          <w:iCs/>
        </w:rPr>
        <w:t xml:space="preserve">kiaušidžių </w:t>
      </w:r>
      <w:proofErr w:type="spellStart"/>
      <w:r w:rsidRPr="00934FC0">
        <w:rPr>
          <w:rFonts w:eastAsia="Arial"/>
          <w:iCs/>
        </w:rPr>
        <w:t>hiperstimuliacijos</w:t>
      </w:r>
      <w:proofErr w:type="spellEnd"/>
      <w:r w:rsidRPr="00934FC0">
        <w:rPr>
          <w:rFonts w:eastAsia="Arial"/>
          <w:iCs/>
        </w:rPr>
        <w:t xml:space="preserve"> sindromo</w:t>
      </w:r>
      <w:r>
        <w:rPr>
          <w:iCs/>
        </w:rPr>
        <w:t xml:space="preserve"> išsivystymo dažnis tarp grupių nesiskyrė (P</w:t>
      </w:r>
      <w:r>
        <w:rPr>
          <w:iCs/>
          <w:vertAlign w:val="subscript"/>
        </w:rPr>
        <w:t>1</w:t>
      </w:r>
      <w:r>
        <w:rPr>
          <w:iCs/>
        </w:rPr>
        <w:t>=0,291; P</w:t>
      </w:r>
      <w:r>
        <w:rPr>
          <w:iCs/>
          <w:vertAlign w:val="subscript"/>
        </w:rPr>
        <w:t>2</w:t>
      </w:r>
      <w:r>
        <w:rPr>
          <w:iCs/>
        </w:rPr>
        <w:t xml:space="preserve">=0,238). Vertinant ESTHER-2 tyrimo duomenis, nepageidaujamų reiškinių dažnis po antrojo ir trečiojo stimuliacijos ciklų statistiškai reikšmingai nesiskyrė, tačiau vartojant </w:t>
      </w:r>
      <w:proofErr w:type="spellStart"/>
      <w:r>
        <w:rPr>
          <w:iCs/>
        </w:rPr>
        <w:t>folitropiną</w:t>
      </w:r>
      <w:proofErr w:type="spellEnd"/>
      <w:r>
        <w:rPr>
          <w:iCs/>
        </w:rPr>
        <w:t xml:space="preserve"> delta taikytų prevencinių priemonių ir/arba vidutinio sunkumo laipsnio / sunkaus </w:t>
      </w:r>
      <w:r w:rsidRPr="00934FC0">
        <w:rPr>
          <w:rFonts w:eastAsia="Arial"/>
          <w:iCs/>
        </w:rPr>
        <w:t xml:space="preserve">kiaušidžių </w:t>
      </w:r>
      <w:proofErr w:type="spellStart"/>
      <w:r w:rsidRPr="00934FC0">
        <w:rPr>
          <w:rFonts w:eastAsia="Arial"/>
          <w:iCs/>
        </w:rPr>
        <w:t>hiperstimuliacijos</w:t>
      </w:r>
      <w:proofErr w:type="spellEnd"/>
      <w:r w:rsidRPr="00934FC0">
        <w:rPr>
          <w:rFonts w:eastAsia="Arial"/>
          <w:iCs/>
        </w:rPr>
        <w:t xml:space="preserve"> sindromo</w:t>
      </w:r>
      <w:r>
        <w:rPr>
          <w:iCs/>
        </w:rPr>
        <w:t xml:space="preserve"> dažnis buvo retesnis nei vartojant </w:t>
      </w:r>
      <w:proofErr w:type="spellStart"/>
      <w:r>
        <w:rPr>
          <w:iCs/>
        </w:rPr>
        <w:t>folitropiną</w:t>
      </w:r>
      <w:proofErr w:type="spellEnd"/>
      <w:r>
        <w:rPr>
          <w:iCs/>
        </w:rPr>
        <w:t xml:space="preserve"> alfa. </w:t>
      </w:r>
      <w:r>
        <w:t>Tyrimo metu reikšmingų saugumo problemų ar įvykių nenustatyta.</w:t>
      </w:r>
    </w:p>
    <w:p w14:paraId="7124E00B" w14:textId="77777777" w:rsidR="001640B3" w:rsidRPr="003470C8" w:rsidRDefault="001640B3" w:rsidP="001640B3">
      <w:pPr>
        <w:spacing w:line="360" w:lineRule="auto"/>
        <w:jc w:val="both"/>
      </w:pPr>
    </w:p>
    <w:p w14:paraId="2EB3F50B" w14:textId="77777777" w:rsidR="001640B3" w:rsidRPr="003470C8" w:rsidRDefault="001640B3" w:rsidP="001640B3">
      <w:pPr>
        <w:tabs>
          <w:tab w:val="left" w:pos="426"/>
        </w:tabs>
        <w:spacing w:line="360" w:lineRule="auto"/>
        <w:jc w:val="both"/>
        <w:rPr>
          <w:bCs/>
          <w:i/>
          <w:color w:val="000000"/>
          <w:lang w:eastAsia="lt-LT"/>
        </w:rPr>
      </w:pPr>
      <w:r w:rsidRPr="003470C8">
        <w:rPr>
          <w:bCs/>
          <w:i/>
          <w:color w:val="000000"/>
          <w:lang w:eastAsia="lt-LT"/>
        </w:rPr>
        <w:t>Privalumai ir trūkumai</w:t>
      </w:r>
    </w:p>
    <w:p w14:paraId="48CC61F7" w14:textId="77777777" w:rsidR="001640B3" w:rsidRPr="003470C8" w:rsidRDefault="001640B3" w:rsidP="001640B3">
      <w:pPr>
        <w:tabs>
          <w:tab w:val="left" w:pos="426"/>
        </w:tabs>
        <w:spacing w:line="360" w:lineRule="auto"/>
        <w:jc w:val="both"/>
        <w:rPr>
          <w:iCs/>
        </w:rPr>
      </w:pPr>
      <w:r w:rsidRPr="003470C8">
        <w:rPr>
          <w:bCs/>
          <w:color w:val="000000"/>
          <w:lang w:eastAsia="lt-LT"/>
        </w:rPr>
        <w:tab/>
      </w:r>
      <w:r w:rsidRPr="003470C8">
        <w:rPr>
          <w:bCs/>
          <w:color w:val="000000"/>
          <w:lang w:eastAsia="lt-LT"/>
        </w:rPr>
        <w:tab/>
        <w:t>Jei vaistinis preparatas būtų įrašytas į kompensavimo sąrašus, gydymo šiuo vaistiniu preparatu taikymas klinikinėje praktikoje galėtų turėti privalumų ir trūkumų medicininėms paslaugoms ar pacientams.</w:t>
      </w:r>
    </w:p>
    <w:p w14:paraId="63D718B2" w14:textId="77777777" w:rsidR="001640B3" w:rsidRDefault="001640B3" w:rsidP="001640B3">
      <w:pPr>
        <w:tabs>
          <w:tab w:val="left" w:pos="426"/>
        </w:tabs>
        <w:spacing w:line="360" w:lineRule="auto"/>
        <w:jc w:val="both"/>
        <w:rPr>
          <w:bCs/>
          <w:lang w:eastAsia="lt-LT"/>
        </w:rPr>
      </w:pPr>
      <w:r w:rsidRPr="003470C8">
        <w:rPr>
          <w:bCs/>
          <w:color w:val="000000"/>
          <w:lang w:eastAsia="lt-LT"/>
        </w:rPr>
        <w:tab/>
      </w:r>
      <w:r>
        <w:rPr>
          <w:bCs/>
          <w:color w:val="000000"/>
          <w:lang w:eastAsia="lt-LT"/>
        </w:rPr>
        <w:tab/>
      </w:r>
      <w:r w:rsidRPr="00462E21">
        <w:rPr>
          <w:bCs/>
          <w:i/>
          <w:lang w:eastAsia="lt-LT"/>
        </w:rPr>
        <w:t>Privalumai.</w:t>
      </w:r>
      <w:r>
        <w:rPr>
          <w:bCs/>
          <w:lang w:eastAsia="lt-LT"/>
        </w:rPr>
        <w:t xml:space="preserve"> Ge</w:t>
      </w:r>
      <w:r w:rsidRPr="003470C8">
        <w:rPr>
          <w:bCs/>
          <w:lang w:eastAsia="lt-LT"/>
        </w:rPr>
        <w:t>resnis kontroliuojamos kiau</w:t>
      </w:r>
      <w:r>
        <w:rPr>
          <w:bCs/>
          <w:lang w:eastAsia="lt-LT"/>
        </w:rPr>
        <w:t xml:space="preserve">šidžių stimuliacijos nuspėjamumas, leidžiantis išvengti perteklinio (didinančio kiaušidžių </w:t>
      </w:r>
      <w:proofErr w:type="spellStart"/>
      <w:r>
        <w:rPr>
          <w:bCs/>
          <w:lang w:eastAsia="lt-LT"/>
        </w:rPr>
        <w:t>hiperstimuliacijos</w:t>
      </w:r>
      <w:proofErr w:type="spellEnd"/>
      <w:r>
        <w:rPr>
          <w:bCs/>
          <w:lang w:eastAsia="lt-LT"/>
        </w:rPr>
        <w:t xml:space="preserve"> sindromo, dėl ko gali kilti komplikacijos, prevencinių priemonių taikymo ir/ar gydymo ligoninėje poreikis, riziką) ar nepakankamo (gaunama per mažai </w:t>
      </w:r>
      <w:proofErr w:type="spellStart"/>
      <w:r>
        <w:rPr>
          <w:bCs/>
          <w:lang w:eastAsia="lt-LT"/>
        </w:rPr>
        <w:t>ovocitų</w:t>
      </w:r>
      <w:proofErr w:type="spellEnd"/>
      <w:r>
        <w:rPr>
          <w:bCs/>
          <w:lang w:eastAsia="lt-LT"/>
        </w:rPr>
        <w:t>, kuriuos galima perkelti, dėl ko pagalbinio apvaisinimo ciklą tenka nutraukti) atsako.</w:t>
      </w:r>
    </w:p>
    <w:p w14:paraId="4DDB47F2" w14:textId="77777777" w:rsidR="001640B3" w:rsidRDefault="001640B3" w:rsidP="001640B3">
      <w:pPr>
        <w:tabs>
          <w:tab w:val="left" w:pos="426"/>
        </w:tabs>
        <w:spacing w:line="360" w:lineRule="auto"/>
        <w:jc w:val="both"/>
        <w:rPr>
          <w:bCs/>
          <w:lang w:eastAsia="lt-LT"/>
        </w:rPr>
      </w:pPr>
      <w:r>
        <w:rPr>
          <w:bCs/>
          <w:lang w:eastAsia="lt-LT"/>
        </w:rPr>
        <w:lastRenderedPageBreak/>
        <w:tab/>
      </w:r>
      <w:r>
        <w:rPr>
          <w:bCs/>
          <w:lang w:eastAsia="lt-LT"/>
        </w:rPr>
        <w:tab/>
      </w:r>
      <w:r w:rsidRPr="00462E21">
        <w:rPr>
          <w:bCs/>
          <w:i/>
          <w:lang w:eastAsia="lt-LT"/>
        </w:rPr>
        <w:t>Trūkumai.</w:t>
      </w:r>
      <w:r>
        <w:rPr>
          <w:bCs/>
          <w:lang w:eastAsia="lt-LT"/>
        </w:rPr>
        <w:t xml:space="preserve"> Medicinos paslaugoms – </w:t>
      </w:r>
      <w:proofErr w:type="spellStart"/>
      <w:r>
        <w:rPr>
          <w:bCs/>
          <w:lang w:eastAsia="lt-LT"/>
        </w:rPr>
        <w:t>antimiulerinio</w:t>
      </w:r>
      <w:proofErr w:type="spellEnd"/>
      <w:r>
        <w:rPr>
          <w:bCs/>
          <w:lang w:eastAsia="lt-LT"/>
        </w:rPr>
        <w:t xml:space="preserve"> hormono </w:t>
      </w:r>
      <w:r w:rsidRPr="00827F44">
        <w:t>koncentracijos moters serume tyrimas</w:t>
      </w:r>
      <w:r>
        <w:t xml:space="preserve">, kuris reikalingas individualiai </w:t>
      </w:r>
      <w:proofErr w:type="spellStart"/>
      <w:r>
        <w:t>folitropino</w:t>
      </w:r>
      <w:proofErr w:type="spellEnd"/>
      <w:r>
        <w:t xml:space="preserve"> delta </w:t>
      </w:r>
      <w:proofErr w:type="spellStart"/>
      <w:r>
        <w:t>dozuotei</w:t>
      </w:r>
      <w:proofErr w:type="spellEnd"/>
      <w:r>
        <w:t>, lems</w:t>
      </w:r>
      <w:r>
        <w:rPr>
          <w:bCs/>
          <w:lang w:eastAsia="lt-LT"/>
        </w:rPr>
        <w:t xml:space="preserve"> </w:t>
      </w:r>
      <w:r w:rsidRPr="00434170">
        <w:rPr>
          <w:bCs/>
          <w:lang w:eastAsia="lt-LT"/>
        </w:rPr>
        <w:t>papildom</w:t>
      </w:r>
      <w:r>
        <w:rPr>
          <w:bCs/>
          <w:lang w:eastAsia="lt-LT"/>
        </w:rPr>
        <w:t xml:space="preserve">as </w:t>
      </w:r>
      <w:r w:rsidRPr="00434170">
        <w:rPr>
          <w:bCs/>
          <w:lang w:eastAsia="lt-LT"/>
        </w:rPr>
        <w:t>Privalomojo sveikatos draudimo fondo biudžeto išlaid</w:t>
      </w:r>
      <w:r>
        <w:rPr>
          <w:bCs/>
          <w:lang w:eastAsia="lt-LT"/>
        </w:rPr>
        <w:t>as.</w:t>
      </w:r>
    </w:p>
    <w:p w14:paraId="6612FFA0" w14:textId="77777777" w:rsidR="001640B3" w:rsidRPr="00E33EFF" w:rsidRDefault="001640B3"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Default="00C62B36" w:rsidP="00A93AA6">
      <w:pPr>
        <w:tabs>
          <w:tab w:val="left" w:pos="426"/>
        </w:tabs>
        <w:rPr>
          <w:i/>
          <w:color w:val="00B050"/>
          <w:sz w:val="22"/>
          <w:szCs w:val="22"/>
        </w:rPr>
      </w:pPr>
    </w:p>
    <w:p w14:paraId="0F2BB857" w14:textId="77777777" w:rsidR="0020094F" w:rsidRDefault="0020094F" w:rsidP="00462E21">
      <w:pPr>
        <w:pStyle w:val="VVKT"/>
        <w:spacing w:line="360" w:lineRule="auto"/>
        <w:rPr>
          <w:lang w:eastAsia="lt-LT"/>
        </w:rPr>
      </w:pPr>
      <w:r w:rsidRPr="00D05364">
        <w:rPr>
          <w:lang w:eastAsia="lt-LT"/>
        </w:rPr>
        <w:t>Į ekonominę analizę įtraukti pacientai atitinka kompensacijai teikiamas terapines indikacijas.</w:t>
      </w:r>
      <w:r>
        <w:rPr>
          <w:lang w:eastAsia="lt-LT"/>
        </w:rPr>
        <w:t xml:space="preserve"> Atliekama supaprastinta ekonominė analizė – kaštų  mažinimo analizė. </w:t>
      </w:r>
      <w:r>
        <w:rPr>
          <w:rFonts w:eastAsia="Arial"/>
          <w:szCs w:val="22"/>
        </w:rPr>
        <w:t xml:space="preserve">Palyginamasis gydymas ekonominėje analizėje yra gydymas </w:t>
      </w:r>
      <w:proofErr w:type="spellStart"/>
      <w:r w:rsidRPr="00C955C8">
        <w:rPr>
          <w:rFonts w:eastAsia="Arial"/>
          <w:szCs w:val="22"/>
        </w:rPr>
        <w:t>folitropin</w:t>
      </w:r>
      <w:r>
        <w:rPr>
          <w:rFonts w:eastAsia="Arial"/>
          <w:szCs w:val="22"/>
        </w:rPr>
        <w:t>u</w:t>
      </w:r>
      <w:proofErr w:type="spellEnd"/>
      <w:r w:rsidRPr="00C955C8">
        <w:rPr>
          <w:rFonts w:eastAsia="Arial"/>
          <w:szCs w:val="22"/>
        </w:rPr>
        <w:t xml:space="preserve"> alfa</w:t>
      </w:r>
      <w:r>
        <w:rPr>
          <w:rFonts w:eastAsia="Arial"/>
          <w:szCs w:val="22"/>
        </w:rPr>
        <w:t xml:space="preserve">. </w:t>
      </w:r>
      <w:r w:rsidRPr="00D05364">
        <w:rPr>
          <w:rFonts w:eastAsia="Arial"/>
          <w:szCs w:val="22"/>
        </w:rPr>
        <w:t>Ekonominėje analizėje pateiktas palyginamasis gydymas atitinka įprastą Lietuvos Respublikos klinikinę praktiką</w:t>
      </w:r>
      <w:r>
        <w:rPr>
          <w:rFonts w:eastAsia="Arial"/>
          <w:szCs w:val="22"/>
        </w:rPr>
        <w:t xml:space="preserve">. </w:t>
      </w:r>
      <w:r w:rsidRPr="00F97685">
        <w:rPr>
          <w:lang w:eastAsia="lt-LT"/>
        </w:rPr>
        <w:t>Analizės struktūra yra tinkama kaštų palyginimo analizei atlikti.</w:t>
      </w:r>
    </w:p>
    <w:p w14:paraId="1B4B935C" w14:textId="77777777" w:rsidR="0020094F" w:rsidRPr="00B757A4" w:rsidRDefault="0020094F" w:rsidP="00462E21">
      <w:pPr>
        <w:pStyle w:val="VVKT"/>
        <w:spacing w:line="360" w:lineRule="auto"/>
        <w:rPr>
          <w:lang w:eastAsia="lt-LT"/>
        </w:rPr>
      </w:pPr>
      <w:r w:rsidRPr="00F97685">
        <w:rPr>
          <w:lang w:eastAsia="lt-LT"/>
        </w:rPr>
        <w:t>Analizė atlikta iš PSDF biudžeto perspektyvos, įtraukti tiesiogiai su sveikatos sistema susiję kaštai. Tai atitinka teisės aktuose nustatytus paraiškos rengimo taisyklių reikalavimus.</w:t>
      </w:r>
      <w:r>
        <w:rPr>
          <w:lang w:eastAsia="lt-LT"/>
        </w:rPr>
        <w:t xml:space="preserve"> </w:t>
      </w:r>
      <w:r w:rsidRPr="00D05364">
        <w:rPr>
          <w:color w:val="000000"/>
          <w:lang w:eastAsia="lt-LT"/>
        </w:rPr>
        <w:t xml:space="preserve">Analizėje taikoma </w:t>
      </w:r>
      <w:r>
        <w:rPr>
          <w:color w:val="000000"/>
          <w:lang w:eastAsia="lt-LT"/>
        </w:rPr>
        <w:t>laiko perspektyva suderinta su vaisto vartojimo trukme. Iš viso analizėje vaistai vartojami iki dviejų gydymo ciklų.</w:t>
      </w:r>
      <w:r w:rsidRPr="00D05364">
        <w:rPr>
          <w:color w:val="000000"/>
          <w:lang w:eastAsia="lt-LT"/>
        </w:rPr>
        <w:t xml:space="preserve"> Pasirinkta laiko perspektyva yra </w:t>
      </w:r>
      <w:r>
        <w:rPr>
          <w:lang w:eastAsia="lt-LT"/>
        </w:rPr>
        <w:t>tinkama.</w:t>
      </w:r>
    </w:p>
    <w:p w14:paraId="3D60FB47" w14:textId="77777777" w:rsidR="0020094F" w:rsidRDefault="0020094F" w:rsidP="00462E21">
      <w:pPr>
        <w:pStyle w:val="VVKT"/>
        <w:spacing w:line="360" w:lineRule="auto"/>
      </w:pPr>
      <w:r>
        <w:rPr>
          <w:lang w:eastAsia="lt-LT"/>
        </w:rPr>
        <w:t xml:space="preserve">Sveikatai sukuriama nauda ekonominėje analizėje nevertinama, kadangi atliekama kaštų mažinimo analizė vertinant lyginamųjų gydymų kaštus. Taikoma prielaida dėl iš esmės vienodo palyginamųjų gydymų efektyvumo ir saugumo. </w:t>
      </w:r>
      <w:proofErr w:type="spellStart"/>
      <w:r>
        <w:rPr>
          <w:color w:val="000000"/>
          <w:lang w:eastAsia="lt-LT"/>
        </w:rPr>
        <w:t>Pagrindiniaiekonominės</w:t>
      </w:r>
      <w:proofErr w:type="spellEnd"/>
      <w:r>
        <w:rPr>
          <w:color w:val="000000"/>
          <w:lang w:eastAsia="lt-LT"/>
        </w:rPr>
        <w:t xml:space="preserve"> analizės parametrai yra paremti klinikinių tyrimų </w:t>
      </w:r>
      <w:r w:rsidRPr="00C06F43">
        <w:rPr>
          <w:color w:val="000000"/>
          <w:lang w:eastAsia="lt-LT"/>
        </w:rPr>
        <w:t xml:space="preserve">ESTHER-1 </w:t>
      </w:r>
      <w:r>
        <w:rPr>
          <w:color w:val="000000"/>
          <w:lang w:eastAsia="lt-LT"/>
        </w:rPr>
        <w:t xml:space="preserve">ir </w:t>
      </w:r>
      <w:r w:rsidRPr="00C06F43">
        <w:rPr>
          <w:color w:val="000000"/>
          <w:lang w:eastAsia="lt-LT"/>
        </w:rPr>
        <w:t>ESTHER-2</w:t>
      </w:r>
      <w:r>
        <w:rPr>
          <w:color w:val="000000"/>
          <w:lang w:eastAsia="lt-LT"/>
        </w:rPr>
        <w:t xml:space="preserve"> rezultatais. </w:t>
      </w:r>
    </w:p>
    <w:p w14:paraId="4C9497E0" w14:textId="77777777" w:rsidR="0020094F" w:rsidRDefault="0020094F" w:rsidP="00462E21">
      <w:pPr>
        <w:pStyle w:val="VVKT"/>
        <w:spacing w:line="360" w:lineRule="auto"/>
      </w:pPr>
      <w:r>
        <w:t xml:space="preserve">Ekonominėje analizėje yra vertinami siūlomo kompensuoti vaisto </w:t>
      </w:r>
      <w:proofErr w:type="spellStart"/>
      <w:r w:rsidRPr="009D5CA1">
        <w:t>Rekovelle</w:t>
      </w:r>
      <w:proofErr w:type="spellEnd"/>
      <w:r>
        <w:t xml:space="preserve"> ir palyginamojo gydymo </w:t>
      </w:r>
      <w:proofErr w:type="spellStart"/>
      <w:r w:rsidRPr="009D5CA1">
        <w:t>folitropin</w:t>
      </w:r>
      <w:r>
        <w:t>o</w:t>
      </w:r>
      <w:proofErr w:type="spellEnd"/>
      <w:r w:rsidRPr="009D5CA1">
        <w:t xml:space="preserve"> alfa</w:t>
      </w:r>
      <w:r>
        <w:t xml:space="preserve"> kaštai, atsižvelgiama į vaistų dozavimą ir gydymo kursų skaičių.  Nepageidaujamų reiškinių valdymo kaštai nėra vertinami. </w:t>
      </w:r>
    </w:p>
    <w:p w14:paraId="7B935858" w14:textId="77777777" w:rsidR="0020094F" w:rsidRDefault="0020094F" w:rsidP="00462E21">
      <w:pPr>
        <w:pStyle w:val="VVKT"/>
        <w:spacing w:line="360" w:lineRule="auto"/>
      </w:pPr>
      <w:r w:rsidRPr="00D05364">
        <w:t>Dozavimas ir gydymo trukmė ekonominėje analizėje atitinka klinikiniuose įrodymuose pateiktą informaciją</w:t>
      </w:r>
      <w:r>
        <w:t>. Ekonominėje analizėje diskontavimas nebuvo taikytas. Tai atlikta dėl to, kad laiko perspektyva yra per trumpa. Tarnyba sutinka, kad diskontavimas gali būti netaikomas.</w:t>
      </w:r>
    </w:p>
    <w:p w14:paraId="5EB11E5B" w14:textId="77777777" w:rsidR="0020094F" w:rsidRDefault="0020094F" w:rsidP="00462E21">
      <w:pPr>
        <w:pStyle w:val="VVKT"/>
        <w:spacing w:line="360" w:lineRule="auto"/>
        <w:rPr>
          <w:lang w:eastAsia="lt-LT"/>
        </w:rPr>
      </w:pPr>
      <w:r>
        <w:rPr>
          <w:lang w:eastAsia="lt-LT"/>
        </w:rPr>
        <w:t xml:space="preserve">Atliekant perskaičiavimą, buvo atnaujintos sveikatos priežiūros paslaugų kainos, atnaujinta </w:t>
      </w:r>
      <w:proofErr w:type="spellStart"/>
      <w:r>
        <w:rPr>
          <w:lang w:eastAsia="lt-LT"/>
        </w:rPr>
        <w:t>folitropino</w:t>
      </w:r>
      <w:proofErr w:type="spellEnd"/>
      <w:r>
        <w:rPr>
          <w:lang w:eastAsia="lt-LT"/>
        </w:rPr>
        <w:t xml:space="preserve"> alfa vaistinių preparatų esama rinkos dalis pagal 2022 metų I-III </w:t>
      </w:r>
      <w:proofErr w:type="spellStart"/>
      <w:r>
        <w:rPr>
          <w:lang w:eastAsia="lt-LT"/>
        </w:rPr>
        <w:t>ketv</w:t>
      </w:r>
      <w:proofErr w:type="spellEnd"/>
      <w:r>
        <w:rPr>
          <w:lang w:eastAsia="lt-LT"/>
        </w:rPr>
        <w:t xml:space="preserve">. VLK kompensuojamųjų vaistų statistikos duomenimis. </w:t>
      </w:r>
    </w:p>
    <w:p w14:paraId="4BE66299" w14:textId="535CF82A" w:rsidR="0020094F" w:rsidRPr="00F97685" w:rsidRDefault="0020094F" w:rsidP="00462E21">
      <w:pPr>
        <w:pStyle w:val="VVKT"/>
        <w:spacing w:line="360" w:lineRule="auto"/>
        <w:rPr>
          <w:szCs w:val="24"/>
          <w:lang w:eastAsia="lt-LT"/>
        </w:rPr>
      </w:pPr>
      <w:r>
        <w:rPr>
          <w:lang w:eastAsia="lt-LT"/>
        </w:rPr>
        <w:t xml:space="preserve">Atliktos ekonominės analizės rezultatas rodo, kad gydymas </w:t>
      </w:r>
      <w:proofErr w:type="spellStart"/>
      <w:r>
        <w:rPr>
          <w:lang w:eastAsia="lt-LT"/>
        </w:rPr>
        <w:t>Rekovelle</w:t>
      </w:r>
      <w:proofErr w:type="spellEnd"/>
      <w:r>
        <w:rPr>
          <w:lang w:eastAsia="lt-LT"/>
        </w:rPr>
        <w:t xml:space="preserve"> vaistiniu preparatu yra pigesnis už gydymą </w:t>
      </w:r>
      <w:proofErr w:type="spellStart"/>
      <w:r>
        <w:rPr>
          <w:lang w:eastAsia="lt-LT"/>
        </w:rPr>
        <w:t>folitropino</w:t>
      </w:r>
      <w:proofErr w:type="spellEnd"/>
      <w:r>
        <w:rPr>
          <w:lang w:eastAsia="lt-LT"/>
        </w:rPr>
        <w:t xml:space="preserve"> alfa vaistiniais preparatais, su sąlyga, kad </w:t>
      </w:r>
      <w:proofErr w:type="spellStart"/>
      <w:r>
        <w:rPr>
          <w:lang w:eastAsia="lt-LT"/>
        </w:rPr>
        <w:t>antimiulerinio</w:t>
      </w:r>
      <w:proofErr w:type="spellEnd"/>
      <w:r>
        <w:rPr>
          <w:lang w:eastAsia="lt-LT"/>
        </w:rPr>
        <w:t xml:space="preserve"> hormono (AMH) tyrimas apmokamas ne iš PSDF lėšų, o išlaidas kompensuotų pareiškėjas/ </w:t>
      </w:r>
      <w:r w:rsidR="00462E21">
        <w:rPr>
          <w:lang w:eastAsia="lt-LT"/>
        </w:rPr>
        <w:t>registruotojas</w:t>
      </w:r>
      <w:r>
        <w:rPr>
          <w:lang w:eastAsia="lt-LT"/>
        </w:rPr>
        <w:t xml:space="preserve">. Jei AMH tyrimo išlaidoms kompensuoti būtų leidžiamos PSDF lėšos, gydymas </w:t>
      </w:r>
      <w:proofErr w:type="spellStart"/>
      <w:r>
        <w:rPr>
          <w:lang w:eastAsia="lt-LT"/>
        </w:rPr>
        <w:t>Rekovelle</w:t>
      </w:r>
      <w:proofErr w:type="spellEnd"/>
      <w:r>
        <w:rPr>
          <w:lang w:eastAsia="lt-LT"/>
        </w:rPr>
        <w:t xml:space="preserve"> būtų brangesnė gydymo alternatyva.</w:t>
      </w:r>
    </w:p>
    <w:p w14:paraId="525482D3" w14:textId="77777777" w:rsidR="0020094F" w:rsidRPr="0020094F" w:rsidRDefault="0020094F" w:rsidP="00A93AA6">
      <w:pPr>
        <w:tabs>
          <w:tab w:val="left" w:pos="426"/>
        </w:tabs>
        <w:rPr>
          <w:b/>
          <w:bCs/>
          <w:i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966"/>
        <w:gridCol w:w="1985"/>
        <w:gridCol w:w="3260"/>
      </w:tblGrid>
      <w:tr w:rsidR="0020094F" w:rsidRPr="00D05364" w14:paraId="25AA51AE" w14:textId="77777777" w:rsidTr="00110F10">
        <w:trPr>
          <w:trHeight w:val="364"/>
          <w:jc w:val="center"/>
        </w:trPr>
        <w:tc>
          <w:tcPr>
            <w:tcW w:w="9908" w:type="dxa"/>
            <w:gridSpan w:val="4"/>
            <w:tcBorders>
              <w:top w:val="single" w:sz="12" w:space="0" w:color="auto"/>
              <w:bottom w:val="single" w:sz="4" w:space="0" w:color="auto"/>
            </w:tcBorders>
            <w:vAlign w:val="center"/>
          </w:tcPr>
          <w:p w14:paraId="595B7BD4" w14:textId="77777777" w:rsidR="0020094F" w:rsidRPr="00D05364" w:rsidRDefault="0020094F" w:rsidP="00110F10">
            <w:pPr>
              <w:tabs>
                <w:tab w:val="left" w:pos="567"/>
              </w:tabs>
              <w:jc w:val="center"/>
              <w:rPr>
                <w:b/>
                <w:i/>
                <w:iCs/>
                <w:color w:val="00B050"/>
                <w:sz w:val="22"/>
                <w:szCs w:val="22"/>
                <w:lang w:eastAsia="lt-LT"/>
              </w:rPr>
            </w:pPr>
            <w:r w:rsidRPr="00D05364">
              <w:rPr>
                <w:b/>
                <w:lang w:eastAsia="lt-LT"/>
              </w:rPr>
              <w:t>Kaštai</w:t>
            </w:r>
            <w:r>
              <w:rPr>
                <w:b/>
                <w:lang w:eastAsia="lt-LT"/>
              </w:rPr>
              <w:t>, Eur</w:t>
            </w:r>
          </w:p>
        </w:tc>
      </w:tr>
      <w:tr w:rsidR="0020094F" w:rsidRPr="00D05364" w14:paraId="3F6F10DA" w14:textId="77777777" w:rsidTr="00110F10">
        <w:trPr>
          <w:jc w:val="center"/>
        </w:trPr>
        <w:tc>
          <w:tcPr>
            <w:tcW w:w="2697" w:type="dxa"/>
            <w:tcBorders>
              <w:top w:val="single" w:sz="4" w:space="0" w:color="auto"/>
              <w:bottom w:val="single" w:sz="4" w:space="0" w:color="auto"/>
            </w:tcBorders>
          </w:tcPr>
          <w:p w14:paraId="120C35A3" w14:textId="77777777" w:rsidR="0020094F" w:rsidRPr="00D05364" w:rsidRDefault="0020094F" w:rsidP="00110F10">
            <w:pPr>
              <w:tabs>
                <w:tab w:val="left" w:pos="567"/>
              </w:tabs>
              <w:jc w:val="both"/>
              <w:rPr>
                <w:color w:val="00B050"/>
                <w:lang w:eastAsia="lt-LT"/>
              </w:rPr>
            </w:pPr>
          </w:p>
        </w:tc>
        <w:tc>
          <w:tcPr>
            <w:tcW w:w="1966" w:type="dxa"/>
            <w:tcBorders>
              <w:top w:val="single" w:sz="4" w:space="0" w:color="auto"/>
              <w:bottom w:val="single" w:sz="4" w:space="0" w:color="auto"/>
            </w:tcBorders>
            <w:vAlign w:val="center"/>
          </w:tcPr>
          <w:p w14:paraId="7972753E" w14:textId="77777777" w:rsidR="0020094F" w:rsidRPr="00D05364" w:rsidRDefault="0020094F" w:rsidP="00110F10">
            <w:pPr>
              <w:tabs>
                <w:tab w:val="left" w:pos="567"/>
              </w:tabs>
              <w:jc w:val="center"/>
              <w:rPr>
                <w:i/>
                <w:iCs/>
                <w:lang w:eastAsia="lt-LT"/>
              </w:rPr>
            </w:pPr>
            <w:r w:rsidRPr="001E11C5">
              <w:rPr>
                <w:i/>
                <w:iCs/>
                <w:lang w:eastAsia="lt-LT"/>
              </w:rPr>
              <w:t>REKOVELLE</w:t>
            </w:r>
          </w:p>
        </w:tc>
        <w:tc>
          <w:tcPr>
            <w:tcW w:w="1985" w:type="dxa"/>
            <w:tcBorders>
              <w:top w:val="single" w:sz="4" w:space="0" w:color="auto"/>
              <w:bottom w:val="single" w:sz="4" w:space="0" w:color="auto"/>
            </w:tcBorders>
            <w:vAlign w:val="center"/>
          </w:tcPr>
          <w:p w14:paraId="3708D338" w14:textId="77777777" w:rsidR="0020094F" w:rsidRPr="00D05364" w:rsidRDefault="0020094F" w:rsidP="00110F10">
            <w:pPr>
              <w:tabs>
                <w:tab w:val="left" w:pos="567"/>
              </w:tabs>
              <w:jc w:val="center"/>
              <w:rPr>
                <w:i/>
                <w:iCs/>
                <w:lang w:eastAsia="lt-LT"/>
              </w:rPr>
            </w:pPr>
            <w:proofErr w:type="spellStart"/>
            <w:r>
              <w:rPr>
                <w:i/>
                <w:iCs/>
                <w:lang w:eastAsia="lt-LT"/>
              </w:rPr>
              <w:t>Folitropinas</w:t>
            </w:r>
            <w:proofErr w:type="spellEnd"/>
            <w:r>
              <w:rPr>
                <w:i/>
                <w:iCs/>
                <w:lang w:eastAsia="lt-LT"/>
              </w:rPr>
              <w:t xml:space="preserve"> alfa</w:t>
            </w:r>
          </w:p>
        </w:tc>
        <w:tc>
          <w:tcPr>
            <w:tcW w:w="3260" w:type="dxa"/>
            <w:tcBorders>
              <w:top w:val="single" w:sz="4" w:space="0" w:color="auto"/>
              <w:bottom w:val="single" w:sz="4" w:space="0" w:color="auto"/>
            </w:tcBorders>
            <w:vAlign w:val="center"/>
          </w:tcPr>
          <w:p w14:paraId="689BE362" w14:textId="77777777" w:rsidR="0020094F" w:rsidRPr="00D05364" w:rsidRDefault="0020094F" w:rsidP="00110F10">
            <w:pPr>
              <w:tabs>
                <w:tab w:val="left" w:pos="567"/>
              </w:tabs>
              <w:jc w:val="center"/>
              <w:rPr>
                <w:i/>
                <w:lang w:eastAsia="lt-LT"/>
              </w:rPr>
            </w:pPr>
            <w:r w:rsidRPr="00D05364">
              <w:rPr>
                <w:i/>
                <w:lang w:eastAsia="lt-LT"/>
              </w:rPr>
              <w:t>Skirtumas</w:t>
            </w:r>
          </w:p>
        </w:tc>
      </w:tr>
      <w:tr w:rsidR="0020094F" w:rsidRPr="00D05364" w14:paraId="08BE7601" w14:textId="77777777" w:rsidTr="00110F10">
        <w:trPr>
          <w:jc w:val="center"/>
        </w:trPr>
        <w:tc>
          <w:tcPr>
            <w:tcW w:w="2697" w:type="dxa"/>
            <w:tcBorders>
              <w:top w:val="single" w:sz="4" w:space="0" w:color="auto"/>
              <w:bottom w:val="single" w:sz="4" w:space="0" w:color="auto"/>
            </w:tcBorders>
          </w:tcPr>
          <w:p w14:paraId="22E64467" w14:textId="77777777" w:rsidR="0020094F" w:rsidRPr="00D05364" w:rsidRDefault="0020094F" w:rsidP="00110F10">
            <w:pPr>
              <w:tabs>
                <w:tab w:val="left" w:pos="567"/>
              </w:tabs>
              <w:jc w:val="both"/>
              <w:rPr>
                <w:iCs/>
                <w:color w:val="00B050"/>
                <w:lang w:eastAsia="lt-LT"/>
              </w:rPr>
            </w:pPr>
            <w:r w:rsidRPr="00D05364">
              <w:rPr>
                <w:iCs/>
                <w:color w:val="000000"/>
                <w:lang w:eastAsia="lt-LT"/>
              </w:rPr>
              <w:t>Vaistinių preparatų įsigijimo kaštai</w:t>
            </w:r>
          </w:p>
        </w:tc>
        <w:tc>
          <w:tcPr>
            <w:tcW w:w="1966" w:type="dxa"/>
            <w:tcBorders>
              <w:top w:val="single" w:sz="4" w:space="0" w:color="auto"/>
              <w:bottom w:val="single" w:sz="4" w:space="0" w:color="auto"/>
            </w:tcBorders>
          </w:tcPr>
          <w:p w14:paraId="76DAE8A6" w14:textId="4474F34C" w:rsidR="0020094F" w:rsidRPr="004774A1" w:rsidRDefault="004774A1" w:rsidP="00110F10">
            <w:pPr>
              <w:tabs>
                <w:tab w:val="left" w:pos="567"/>
              </w:tabs>
              <w:jc w:val="center"/>
              <w:rPr>
                <w:i/>
                <w:iCs/>
                <w:lang w:val="en-US" w:eastAsia="lt-LT"/>
              </w:rPr>
            </w:pPr>
            <w:r>
              <w:rPr>
                <w:lang w:val="en-US"/>
              </w:rPr>
              <w:t>***</w:t>
            </w:r>
          </w:p>
        </w:tc>
        <w:tc>
          <w:tcPr>
            <w:tcW w:w="1985" w:type="dxa"/>
            <w:tcBorders>
              <w:top w:val="single" w:sz="4" w:space="0" w:color="auto"/>
              <w:bottom w:val="single" w:sz="4" w:space="0" w:color="auto"/>
            </w:tcBorders>
          </w:tcPr>
          <w:p w14:paraId="471C2237" w14:textId="10753D2A" w:rsidR="0020094F" w:rsidRPr="001E11C5" w:rsidRDefault="004774A1" w:rsidP="00110F10">
            <w:pPr>
              <w:tabs>
                <w:tab w:val="left" w:pos="567"/>
              </w:tabs>
              <w:jc w:val="center"/>
              <w:rPr>
                <w:i/>
                <w:iCs/>
                <w:lang w:eastAsia="lt-LT"/>
              </w:rPr>
            </w:pPr>
            <w:r>
              <w:t>***</w:t>
            </w:r>
          </w:p>
        </w:tc>
        <w:tc>
          <w:tcPr>
            <w:tcW w:w="3260" w:type="dxa"/>
            <w:tcBorders>
              <w:top w:val="single" w:sz="4" w:space="0" w:color="auto"/>
              <w:bottom w:val="single" w:sz="4" w:space="0" w:color="auto"/>
            </w:tcBorders>
          </w:tcPr>
          <w:p w14:paraId="1D595FD7" w14:textId="68684E9A" w:rsidR="0020094F" w:rsidRPr="001E11C5" w:rsidRDefault="004774A1" w:rsidP="00110F10">
            <w:pPr>
              <w:tabs>
                <w:tab w:val="left" w:pos="567"/>
              </w:tabs>
              <w:jc w:val="center"/>
              <w:rPr>
                <w:lang w:val="en-US" w:eastAsia="lt-LT"/>
              </w:rPr>
            </w:pPr>
            <w:r>
              <w:rPr>
                <w:lang w:val="en-US"/>
              </w:rPr>
              <w:t>***</w:t>
            </w:r>
          </w:p>
        </w:tc>
      </w:tr>
      <w:tr w:rsidR="0020094F" w:rsidRPr="00D05364" w14:paraId="4CAFA0AF" w14:textId="77777777" w:rsidTr="00110F10">
        <w:trPr>
          <w:jc w:val="center"/>
        </w:trPr>
        <w:tc>
          <w:tcPr>
            <w:tcW w:w="2697" w:type="dxa"/>
            <w:tcBorders>
              <w:top w:val="single" w:sz="4" w:space="0" w:color="auto"/>
              <w:bottom w:val="single" w:sz="4" w:space="0" w:color="auto"/>
            </w:tcBorders>
          </w:tcPr>
          <w:p w14:paraId="0DC1AF00" w14:textId="77777777" w:rsidR="0020094F" w:rsidRPr="00886D2B" w:rsidRDefault="0020094F" w:rsidP="00110F10">
            <w:pPr>
              <w:spacing w:line="280" w:lineRule="atLeast"/>
              <w:rPr>
                <w:rFonts w:eastAsia="Arial"/>
                <w:b/>
              </w:rPr>
            </w:pPr>
            <w:r>
              <w:rPr>
                <w:iCs/>
                <w:color w:val="000000"/>
                <w:lang w:eastAsia="lt-LT"/>
              </w:rPr>
              <w:t>Sveikatos priežiūros paslaugų kaštai</w:t>
            </w:r>
          </w:p>
        </w:tc>
        <w:tc>
          <w:tcPr>
            <w:tcW w:w="1966" w:type="dxa"/>
            <w:tcBorders>
              <w:top w:val="single" w:sz="4" w:space="0" w:color="auto"/>
              <w:bottom w:val="single" w:sz="4" w:space="0" w:color="auto"/>
            </w:tcBorders>
          </w:tcPr>
          <w:p w14:paraId="5A635409" w14:textId="2EBB8AE8" w:rsidR="0020094F" w:rsidRPr="001E11C5" w:rsidRDefault="004774A1" w:rsidP="00110F10">
            <w:pPr>
              <w:tabs>
                <w:tab w:val="left" w:pos="567"/>
              </w:tabs>
              <w:jc w:val="center"/>
              <w:rPr>
                <w:i/>
                <w:iCs/>
                <w:lang w:eastAsia="lt-LT"/>
              </w:rPr>
            </w:pPr>
            <w:r>
              <w:rPr>
                <w:i/>
                <w:iCs/>
              </w:rPr>
              <w:t>***</w:t>
            </w:r>
          </w:p>
        </w:tc>
        <w:tc>
          <w:tcPr>
            <w:tcW w:w="1985" w:type="dxa"/>
            <w:tcBorders>
              <w:top w:val="single" w:sz="4" w:space="0" w:color="auto"/>
              <w:bottom w:val="single" w:sz="4" w:space="0" w:color="auto"/>
            </w:tcBorders>
          </w:tcPr>
          <w:p w14:paraId="2F9BD096" w14:textId="12602C05" w:rsidR="0020094F" w:rsidRPr="001E11C5" w:rsidRDefault="004774A1" w:rsidP="00110F10">
            <w:pPr>
              <w:tabs>
                <w:tab w:val="left" w:pos="567"/>
              </w:tabs>
              <w:jc w:val="center"/>
              <w:rPr>
                <w:i/>
                <w:iCs/>
                <w:lang w:eastAsia="lt-LT"/>
              </w:rPr>
            </w:pPr>
            <w:r>
              <w:rPr>
                <w:i/>
                <w:iCs/>
              </w:rPr>
              <w:t>***</w:t>
            </w:r>
          </w:p>
        </w:tc>
        <w:tc>
          <w:tcPr>
            <w:tcW w:w="3260" w:type="dxa"/>
            <w:tcBorders>
              <w:top w:val="single" w:sz="4" w:space="0" w:color="auto"/>
              <w:bottom w:val="single" w:sz="4" w:space="0" w:color="auto"/>
            </w:tcBorders>
          </w:tcPr>
          <w:p w14:paraId="079DD2E0" w14:textId="6E216A04" w:rsidR="0020094F" w:rsidRPr="00D05364" w:rsidRDefault="004774A1" w:rsidP="00110F10">
            <w:pPr>
              <w:tabs>
                <w:tab w:val="left" w:pos="567"/>
              </w:tabs>
              <w:jc w:val="center"/>
              <w:rPr>
                <w:lang w:eastAsia="lt-LT"/>
              </w:rPr>
            </w:pPr>
            <w:r>
              <w:t>***</w:t>
            </w:r>
          </w:p>
        </w:tc>
      </w:tr>
      <w:tr w:rsidR="0020094F" w:rsidRPr="00D05364" w14:paraId="0A098090" w14:textId="77777777" w:rsidTr="00110F10">
        <w:trPr>
          <w:jc w:val="center"/>
        </w:trPr>
        <w:tc>
          <w:tcPr>
            <w:tcW w:w="2697" w:type="dxa"/>
            <w:tcBorders>
              <w:top w:val="single" w:sz="4" w:space="0" w:color="auto"/>
              <w:bottom w:val="single" w:sz="12" w:space="0" w:color="auto"/>
            </w:tcBorders>
          </w:tcPr>
          <w:p w14:paraId="08B43417" w14:textId="77777777" w:rsidR="0020094F" w:rsidRPr="0051677D" w:rsidRDefault="0020094F" w:rsidP="00110F10">
            <w:pPr>
              <w:tabs>
                <w:tab w:val="left" w:pos="567"/>
              </w:tabs>
              <w:jc w:val="both"/>
              <w:rPr>
                <w:b/>
                <w:bCs/>
                <w:iCs/>
                <w:lang w:eastAsia="lt-LT"/>
              </w:rPr>
            </w:pPr>
            <w:r w:rsidRPr="0051677D">
              <w:rPr>
                <w:b/>
                <w:bCs/>
                <w:iCs/>
                <w:lang w:eastAsia="lt-LT"/>
              </w:rPr>
              <w:t xml:space="preserve">                              Viso</w:t>
            </w:r>
          </w:p>
        </w:tc>
        <w:tc>
          <w:tcPr>
            <w:tcW w:w="1966" w:type="dxa"/>
            <w:tcBorders>
              <w:top w:val="single" w:sz="4" w:space="0" w:color="auto"/>
              <w:bottom w:val="single" w:sz="12" w:space="0" w:color="auto"/>
            </w:tcBorders>
          </w:tcPr>
          <w:p w14:paraId="043F1A05" w14:textId="4A976C4E" w:rsidR="0020094F" w:rsidRPr="0051677D" w:rsidRDefault="004774A1" w:rsidP="00110F10">
            <w:pPr>
              <w:tabs>
                <w:tab w:val="left" w:pos="567"/>
              </w:tabs>
              <w:jc w:val="center"/>
              <w:rPr>
                <w:b/>
                <w:bCs/>
                <w:i/>
                <w:iCs/>
                <w:lang w:eastAsia="lt-LT"/>
              </w:rPr>
            </w:pPr>
            <w:r>
              <w:rPr>
                <w:b/>
                <w:bCs/>
                <w:i/>
                <w:iCs/>
              </w:rPr>
              <w:t>***</w:t>
            </w:r>
          </w:p>
        </w:tc>
        <w:tc>
          <w:tcPr>
            <w:tcW w:w="1985" w:type="dxa"/>
            <w:tcBorders>
              <w:top w:val="single" w:sz="4" w:space="0" w:color="auto"/>
              <w:bottom w:val="single" w:sz="12" w:space="0" w:color="auto"/>
            </w:tcBorders>
          </w:tcPr>
          <w:p w14:paraId="03D5E61F" w14:textId="6E7D65E2" w:rsidR="0020094F" w:rsidRPr="0051677D" w:rsidRDefault="004774A1" w:rsidP="00110F10">
            <w:pPr>
              <w:tabs>
                <w:tab w:val="left" w:pos="567"/>
              </w:tabs>
              <w:jc w:val="center"/>
              <w:rPr>
                <w:b/>
                <w:bCs/>
                <w:i/>
                <w:iCs/>
                <w:lang w:eastAsia="lt-LT"/>
              </w:rPr>
            </w:pPr>
            <w:r>
              <w:rPr>
                <w:b/>
                <w:bCs/>
                <w:i/>
                <w:iCs/>
              </w:rPr>
              <w:t>***</w:t>
            </w:r>
          </w:p>
        </w:tc>
        <w:tc>
          <w:tcPr>
            <w:tcW w:w="3260" w:type="dxa"/>
            <w:tcBorders>
              <w:top w:val="single" w:sz="4" w:space="0" w:color="auto"/>
              <w:bottom w:val="single" w:sz="12" w:space="0" w:color="auto"/>
            </w:tcBorders>
          </w:tcPr>
          <w:p w14:paraId="3FE9DE7F" w14:textId="574059EB" w:rsidR="0020094F" w:rsidRPr="0051677D" w:rsidRDefault="004774A1" w:rsidP="00110F10">
            <w:pPr>
              <w:tabs>
                <w:tab w:val="left" w:pos="567"/>
              </w:tabs>
              <w:jc w:val="center"/>
              <w:rPr>
                <w:b/>
                <w:bCs/>
                <w:i/>
                <w:iCs/>
                <w:lang w:eastAsia="lt-LT"/>
              </w:rPr>
            </w:pPr>
            <w:r>
              <w:rPr>
                <w:b/>
                <w:bCs/>
                <w:i/>
                <w:iCs/>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6BEE1B3"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0BF08D26"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73E5654B"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6528FC8"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435E86D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1C685E3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1AAFE35"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sz w:val="24"/>
                  </w:rPr>
                  <w:t>☒</w:t>
                </w:r>
              </w:sdtContent>
            </w:sdt>
            <w:r w:rsidR="00B13D65" w:rsidRPr="00E33EFF">
              <w:t xml:space="preserve"> 32.3. gydymo juo kaštai yra mažesni ar tokie patys esant iš esmės nesiskiriančiam palyginamajam efektyvumui, taikant </w:t>
            </w:r>
            <w:r w:rsidR="00662983" w:rsidRPr="00E33EFF">
              <w:t>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8FB212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662983" w:rsidRPr="00E33EFF">
              <w:t>&lt;</w:t>
            </w:r>
            <w:r w:rsidR="00B13D65" w:rsidRPr="00E33EFF">
              <w:t>taikant</w:t>
            </w:r>
            <w:r w:rsidR="00662983" w:rsidRPr="00E33EFF">
              <w:t xml:space="preserve"> PGS&gt;</w:t>
            </w:r>
            <w:r w:rsidR="00B13D65" w:rsidRPr="00E33EFF">
              <w:t xml:space="preserve"> </w:t>
            </w:r>
            <w:r w:rsidR="00662983" w:rsidRPr="00E33EFF">
              <w:t>&lt;</w:t>
            </w:r>
            <w:r w:rsidR="00B13D65" w:rsidRPr="00E33EFF">
              <w:t>netaikant PGS</w:t>
            </w:r>
            <w:r w:rsidR="00662983" w:rsidRPr="00E33EFF">
              <w:t>&gt;</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Default="00D5470B" w:rsidP="00C712EA">
      <w:pPr>
        <w:pStyle w:val="Sraopastraipa"/>
        <w:ind w:left="426"/>
      </w:pPr>
    </w:p>
    <w:p w14:paraId="79DB3FF2" w14:textId="77777777" w:rsidR="00462E21" w:rsidRDefault="0020094F" w:rsidP="0020094F">
      <w:pPr>
        <w:pStyle w:val="VVKT"/>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p>
    <w:p w14:paraId="3AC0C133" w14:textId="58989EA4" w:rsidR="0020094F" w:rsidRDefault="00365E58" w:rsidP="0020094F">
      <w:pPr>
        <w:pStyle w:val="VVKT"/>
      </w:pPr>
      <w:r>
        <w:t>3</w:t>
      </w:r>
      <w:r w:rsidR="0020094F" w:rsidRPr="00E33EFF">
        <w:t xml:space="preserve">4.3. </w:t>
      </w:r>
      <w:r w:rsidR="00462E21" w:rsidRPr="00513C05">
        <w:t>rekomenduojama</w:t>
      </w:r>
      <w:r w:rsidR="00462E21" w:rsidRPr="00462E21">
        <w:rPr>
          <w:i/>
        </w:rPr>
        <w:t xml:space="preserve"> </w:t>
      </w:r>
      <w:r w:rsidR="0020094F" w:rsidRPr="00462E21">
        <w:rPr>
          <w:i/>
        </w:rPr>
        <w:t>kompensuoti</w:t>
      </w:r>
      <w:r w:rsidR="0020094F" w:rsidRPr="00E33EFF">
        <w:t xml:space="preserve"> vaistinį preparatą pagal paraiškoje nurodytą indikaciją su skyrimo sąlygomis, taikant PGS, dėl iš esmės nesiskiriančio gydymo efektyvumo ir sukuriamos naudos pacientų sveikatai, lyginant su įprasta klinikine praktika, ir dėl mažesnių gydymo kaštų dydžio (kaštų minimizavimas).</w:t>
      </w:r>
    </w:p>
    <w:p w14:paraId="349C1A6E" w14:textId="77777777" w:rsidR="00DD002E" w:rsidRDefault="00DD002E" w:rsidP="0020094F">
      <w:pPr>
        <w:pStyle w:val="VVKT"/>
      </w:pPr>
    </w:p>
    <w:p w14:paraId="7FE6EEE9" w14:textId="5248ECFD" w:rsidR="00DD002E" w:rsidRPr="00DD002E" w:rsidRDefault="00DD002E" w:rsidP="0020094F">
      <w:pPr>
        <w:pStyle w:val="VVKT"/>
        <w:rPr>
          <w:b/>
          <w:bCs w:val="0"/>
        </w:rPr>
      </w:pPr>
      <w:r w:rsidRPr="00DD002E">
        <w:rPr>
          <w:b/>
          <w:bCs w:val="0"/>
        </w:rPr>
        <w:t>Papildoma informacija</w:t>
      </w:r>
    </w:p>
    <w:p w14:paraId="0ABC1DEB" w14:textId="5067442F" w:rsidR="00DD002E" w:rsidRDefault="00365E58" w:rsidP="0020094F">
      <w:pPr>
        <w:pStyle w:val="VVKT"/>
      </w:pPr>
      <w:r>
        <w:t>I</w:t>
      </w:r>
      <w:r w:rsidR="00DD002E">
        <w:t>nformuoja</w:t>
      </w:r>
      <w:r>
        <w:t>me</w:t>
      </w:r>
      <w:r w:rsidR="00DD002E">
        <w:t xml:space="preserve">, kad </w:t>
      </w:r>
      <w:r>
        <w:t>aukščiau nurodyta</w:t>
      </w:r>
      <w:r w:rsidR="00DD002E">
        <w:t xml:space="preserve"> rekomendacija </w:t>
      </w:r>
      <w:r>
        <w:t>taikytina tuo atveju, jei</w:t>
      </w:r>
      <w:r w:rsidR="00DD002E">
        <w:t xml:space="preserve"> </w:t>
      </w:r>
      <w:r w:rsidR="00DD002E" w:rsidRPr="00DD002E">
        <w:t xml:space="preserve">vaisto </w:t>
      </w:r>
      <w:r>
        <w:t>pareiškėjas/registruotojas</w:t>
      </w:r>
      <w:r w:rsidR="00DD002E" w:rsidRPr="00DD002E">
        <w:t xml:space="preserve"> </w:t>
      </w:r>
      <w:r w:rsidR="00DD002E">
        <w:t xml:space="preserve">sutinka </w:t>
      </w:r>
      <w:r w:rsidR="00DD002E" w:rsidRPr="00DD002E">
        <w:t xml:space="preserve">kompensuoti </w:t>
      </w:r>
      <w:proofErr w:type="spellStart"/>
      <w:r w:rsidR="00DD002E" w:rsidRPr="00DD002E">
        <w:t>antimiulerinio</w:t>
      </w:r>
      <w:proofErr w:type="spellEnd"/>
      <w:r w:rsidR="00DD002E" w:rsidRPr="00DD002E">
        <w:t xml:space="preserve"> hormono (AMH) tyrimo išlaidas arba, jei šios išlaidos būtų kompensuojamos PSDF biudžeto lėšomis,</w:t>
      </w:r>
      <w:r w:rsidR="00DD002E">
        <w:t xml:space="preserve"> gamintojas sutinka</w:t>
      </w:r>
      <w:r w:rsidR="00DD002E" w:rsidRPr="00DD002E">
        <w:t xml:space="preserve"> atitinkamai sumažinti vaistinio preparato </w:t>
      </w:r>
      <w:proofErr w:type="spellStart"/>
      <w:r w:rsidR="00DD002E" w:rsidRPr="00DD002E">
        <w:t>Rekovelle</w:t>
      </w:r>
      <w:proofErr w:type="spellEnd"/>
      <w:r w:rsidR="00DD002E" w:rsidRPr="00DD002E">
        <w:t xml:space="preserve"> kainą, kad būtų pasiektas kaštų mažinimas</w:t>
      </w:r>
      <w:r w:rsidR="00DD002E">
        <w:t xml:space="preserve">. Pastaruoju atveju </w:t>
      </w:r>
      <w:proofErr w:type="spellStart"/>
      <w:r w:rsidR="00DD002E">
        <w:t>Rekovelle</w:t>
      </w:r>
      <w:proofErr w:type="spellEnd"/>
      <w:r w:rsidR="00DD002E">
        <w:t xml:space="preserve"> kainos mažinimas turėtų siekti bent</w:t>
      </w:r>
      <w:r w:rsidR="004774A1">
        <w:t xml:space="preserve"> ***</w:t>
      </w:r>
      <w:r w:rsidR="00DD002E">
        <w:t xml:space="preserve"> nuo pareiškėjo jau pateiktos PGS kainos. </w:t>
      </w:r>
    </w:p>
    <w:p w14:paraId="425F1EB7" w14:textId="77777777" w:rsidR="00DD002E" w:rsidRDefault="00DD002E" w:rsidP="0020094F">
      <w:pPr>
        <w:pStyle w:val="VVKT"/>
      </w:pPr>
    </w:p>
    <w:p w14:paraId="08D260D7" w14:textId="77777777" w:rsidR="0020094F" w:rsidRDefault="0020094F" w:rsidP="0020094F"/>
    <w:p w14:paraId="18B4292E" w14:textId="3EA042A3"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58D373A3"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1640B3">
            <w:rPr>
              <w:rStyle w:val="Style2"/>
              <w:rFonts w:ascii="MS Gothic" w:eastAsia="MS Gothic" w:hAnsi="MS Gothic" w:hint="eastAsia"/>
            </w:rPr>
            <w:t>☒</w:t>
          </w:r>
        </w:sdtContent>
      </w:sdt>
      <w:r w:rsidR="000723FF" w:rsidRPr="00E33EFF">
        <w:t xml:space="preserve"> Siūloma kompensuoti Pareiškėjo teikiamą indikaciją be pakeitimų.</w:t>
      </w:r>
    </w:p>
    <w:p w14:paraId="1FC68ECE" w14:textId="4B40277F" w:rsidR="001640B3" w:rsidRDefault="001640B3" w:rsidP="001640B3">
      <w:pPr>
        <w:ind w:firstLine="720"/>
        <w:jc w:val="both"/>
      </w:pPr>
      <w:r w:rsidRPr="00DB7D2A">
        <w:t xml:space="preserve">Kontroliuojama kiaušidžių stimuliacija, siekiant paskatinti kelių folikulų vystymąsi moterims, kurioms taikomos pagalbinės reprodukcijos technologijos, pvz., apvaisinimas </w:t>
      </w:r>
      <w:proofErr w:type="spellStart"/>
      <w:r w:rsidRPr="00DB7D2A">
        <w:rPr>
          <w:i/>
          <w:iCs/>
        </w:rPr>
        <w:t>in</w:t>
      </w:r>
      <w:proofErr w:type="spellEnd"/>
      <w:r w:rsidRPr="00DB7D2A">
        <w:rPr>
          <w:i/>
          <w:iCs/>
        </w:rPr>
        <w:t xml:space="preserve"> </w:t>
      </w:r>
      <w:proofErr w:type="spellStart"/>
      <w:r w:rsidRPr="00DB7D2A">
        <w:rPr>
          <w:i/>
          <w:iCs/>
        </w:rPr>
        <w:t>vitro</w:t>
      </w:r>
      <w:proofErr w:type="spellEnd"/>
      <w:r w:rsidRPr="00DB7D2A">
        <w:t xml:space="preserve"> ar </w:t>
      </w:r>
      <w:proofErr w:type="spellStart"/>
      <w:r w:rsidRPr="00DB7D2A">
        <w:t>intracitoplazminės</w:t>
      </w:r>
      <w:proofErr w:type="spellEnd"/>
      <w:r w:rsidRPr="00DB7D2A">
        <w:t xml:space="preserve"> spermatozoidų injekcijos ciklas.</w:t>
      </w:r>
      <w:r>
        <w:t xml:space="preserve"> </w:t>
      </w:r>
    </w:p>
    <w:p w14:paraId="597367EF" w14:textId="3017E55B"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250ACC46" w14:textId="29F6AA46" w:rsidR="000723FF" w:rsidRPr="00E33EFF" w:rsidRDefault="00000000" w:rsidP="00824B92">
      <w:sdt>
        <w:sdtPr>
          <w:rPr>
            <w:rStyle w:val="Style2"/>
          </w:rPr>
          <w:id w:val="169305347"/>
          <w15:color w:val="FFCC00"/>
          <w14:checkbox>
            <w14:checked w14:val="0"/>
            <w14:checkedState w14:val="2612" w14:font="MS Gothic"/>
            <w14:uncheckedState w14:val="2610" w14:font="MS Gothic"/>
          </w14:checkbox>
        </w:sdtPr>
        <w:sdtContent>
          <w:r w:rsidR="007A2B68">
            <w:rPr>
              <w:rStyle w:val="Style2"/>
              <w:rFonts w:ascii="MS Gothic" w:eastAsia="MS Gothic" w:hAnsi="MS Gothic" w:hint="eastAsia"/>
            </w:rPr>
            <w:t>☐</w:t>
          </w:r>
        </w:sdtContent>
      </w:sdt>
      <w:r w:rsidR="000723FF" w:rsidRPr="00E33EFF">
        <w:t xml:space="preserve"> Pareiškėjo siūlomos skyrimo sąlygos priimtinos. </w:t>
      </w:r>
    </w:p>
    <w:p w14:paraId="297867ED" w14:textId="06F1E8E0" w:rsidR="000723FF" w:rsidRPr="00E33EFF"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20094F">
            <w:rPr>
              <w:rStyle w:val="Style2"/>
              <w:rFonts w:ascii="MS Gothic" w:eastAsia="MS Gothic" w:hAnsi="MS Gothic" w:hint="eastAsia"/>
            </w:rPr>
            <w:t>☒</w:t>
          </w:r>
        </w:sdtContent>
      </w:sdt>
      <w:r w:rsidR="000723FF" w:rsidRPr="00E33EFF">
        <w:t xml:space="preserve"> Pareiškėjo siūlomos skyrimo sąlygos nepriimtinos. </w:t>
      </w:r>
    </w:p>
    <w:p w14:paraId="7CDFF220" w14:textId="58191D98" w:rsidR="000723FF" w:rsidRDefault="000723FF" w:rsidP="00824B92"/>
    <w:p w14:paraId="45A11A9F" w14:textId="77777777" w:rsidR="00320573" w:rsidRDefault="0020094F" w:rsidP="00320573">
      <w:pPr>
        <w:pStyle w:val="VVKT"/>
        <w:ind w:firstLine="0"/>
        <w:rPr>
          <w:b/>
        </w:rPr>
      </w:pPr>
      <w:r w:rsidRPr="00320573">
        <w:rPr>
          <w:b/>
        </w:rPr>
        <w:t>Siūlom</w:t>
      </w:r>
      <w:r w:rsidR="00320573" w:rsidRPr="00320573">
        <w:rPr>
          <w:b/>
        </w:rPr>
        <w:t>os skyrimo sąlygos</w:t>
      </w:r>
    </w:p>
    <w:p w14:paraId="7EBB484F" w14:textId="2171023F" w:rsidR="0020094F" w:rsidRPr="000723FF" w:rsidRDefault="001640B3" w:rsidP="001640B3">
      <w:pPr>
        <w:ind w:firstLine="720"/>
        <w:jc w:val="both"/>
        <w:rPr>
          <w:b/>
        </w:rPr>
      </w:pPr>
      <w:r w:rsidRPr="001640B3">
        <w:rPr>
          <w:color w:val="000000"/>
        </w:rPr>
        <w:t xml:space="preserve">Skiriamas, jei yra taikomos konsultacijos dėl vaisingumo (TLK-10-AM kodas Z31) vadovaujantis Pagalbinio apvaisinimo paslaugų teikimo ir jų apmokėjimo Privalomojo sveikatos draudimo fondo biudžeto lėšomis tvarkos aprašu, patvirtintu Lietuvos Respublikos sveikatos apsaugos ministro 2016 m. gruodžio 20 d. įsakymu Nr. V-1452 „Dėl Pagalbinio apvaisinimo paslaugų </w:t>
      </w:r>
      <w:r w:rsidRPr="001640B3">
        <w:rPr>
          <w:color w:val="000000"/>
        </w:rPr>
        <w:lastRenderedPageBreak/>
        <w:t>teikimo ir jų apmokėjimo Privalomojo sveikatos draudimo fondo biudžeto lėšomis tvarkos aprašo patvirtinimo“.</w:t>
      </w:r>
    </w:p>
    <w:sectPr w:rsidR="0020094F" w:rsidRPr="000723FF" w:rsidSect="002675FB">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BF2F" w14:textId="77777777" w:rsidR="002675FB" w:rsidRDefault="002675FB">
      <w:r>
        <w:separator/>
      </w:r>
    </w:p>
  </w:endnote>
  <w:endnote w:type="continuationSeparator" w:id="0">
    <w:p w14:paraId="332E20C0" w14:textId="77777777" w:rsidR="002675FB" w:rsidRDefault="0026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1C6D" w14:textId="77777777" w:rsidR="002675FB" w:rsidRDefault="002675FB">
      <w:r>
        <w:separator/>
      </w:r>
    </w:p>
  </w:footnote>
  <w:footnote w:type="continuationSeparator" w:id="0">
    <w:p w14:paraId="5968841D" w14:textId="77777777" w:rsidR="002675FB" w:rsidRDefault="0026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9AADF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4D17">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23497616">
    <w:abstractNumId w:val="6"/>
  </w:num>
  <w:num w:numId="2" w16cid:durableId="108089747">
    <w:abstractNumId w:val="1"/>
  </w:num>
  <w:num w:numId="3" w16cid:durableId="1561476258">
    <w:abstractNumId w:val="8"/>
  </w:num>
  <w:num w:numId="4" w16cid:durableId="2043507005">
    <w:abstractNumId w:val="7"/>
  </w:num>
  <w:num w:numId="5" w16cid:durableId="1238441183">
    <w:abstractNumId w:val="5"/>
  </w:num>
  <w:num w:numId="6" w16cid:durableId="1226795439">
    <w:abstractNumId w:val="4"/>
  </w:num>
  <w:num w:numId="7" w16cid:durableId="1102728594">
    <w:abstractNumId w:val="3"/>
  </w:num>
  <w:num w:numId="8" w16cid:durableId="1058628610">
    <w:abstractNumId w:val="11"/>
  </w:num>
  <w:num w:numId="9" w16cid:durableId="971060932">
    <w:abstractNumId w:val="0"/>
  </w:num>
  <w:num w:numId="10" w16cid:durableId="908001994">
    <w:abstractNumId w:val="9"/>
  </w:num>
  <w:num w:numId="11" w16cid:durableId="1000307656">
    <w:abstractNumId w:val="10"/>
  </w:num>
  <w:num w:numId="12" w16cid:durableId="197810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0B3"/>
    <w:rsid w:val="00164146"/>
    <w:rsid w:val="0017369C"/>
    <w:rsid w:val="00175D57"/>
    <w:rsid w:val="00180C39"/>
    <w:rsid w:val="00180D96"/>
    <w:rsid w:val="00182A80"/>
    <w:rsid w:val="00184BD3"/>
    <w:rsid w:val="001921F3"/>
    <w:rsid w:val="001B3C5B"/>
    <w:rsid w:val="001D746F"/>
    <w:rsid w:val="001E4BBB"/>
    <w:rsid w:val="001E6304"/>
    <w:rsid w:val="0020094F"/>
    <w:rsid w:val="0020381E"/>
    <w:rsid w:val="00213471"/>
    <w:rsid w:val="00215906"/>
    <w:rsid w:val="00241CD8"/>
    <w:rsid w:val="00244B09"/>
    <w:rsid w:val="002519CB"/>
    <w:rsid w:val="0025697F"/>
    <w:rsid w:val="00260258"/>
    <w:rsid w:val="0026588E"/>
    <w:rsid w:val="002675FB"/>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20573"/>
    <w:rsid w:val="00347FAA"/>
    <w:rsid w:val="0035172D"/>
    <w:rsid w:val="0036187D"/>
    <w:rsid w:val="00365E58"/>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5EEC"/>
    <w:rsid w:val="0040622F"/>
    <w:rsid w:val="00413F24"/>
    <w:rsid w:val="004144A3"/>
    <w:rsid w:val="00422853"/>
    <w:rsid w:val="00423160"/>
    <w:rsid w:val="00453862"/>
    <w:rsid w:val="0045469B"/>
    <w:rsid w:val="00461338"/>
    <w:rsid w:val="00462E21"/>
    <w:rsid w:val="004677DB"/>
    <w:rsid w:val="00476256"/>
    <w:rsid w:val="004774A1"/>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0DD"/>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664CE"/>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CB4"/>
    <w:rsid w:val="00832DB7"/>
    <w:rsid w:val="00834732"/>
    <w:rsid w:val="0085200C"/>
    <w:rsid w:val="00857C52"/>
    <w:rsid w:val="00860D5F"/>
    <w:rsid w:val="00880A44"/>
    <w:rsid w:val="0088345E"/>
    <w:rsid w:val="0088656F"/>
    <w:rsid w:val="00891EF6"/>
    <w:rsid w:val="008A0303"/>
    <w:rsid w:val="008A5FDD"/>
    <w:rsid w:val="008C3947"/>
    <w:rsid w:val="008D2F7F"/>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2FA3"/>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002E"/>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0827"/>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4D17"/>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 w:val="2042B8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VVKT">
    <w:name w:val="VVKT"/>
    <w:basedOn w:val="prastasis"/>
    <w:link w:val="VVKTChar"/>
    <w:qFormat/>
    <w:rsid w:val="0020094F"/>
    <w:pPr>
      <w:spacing w:line="276" w:lineRule="auto"/>
      <w:ind w:firstLine="720"/>
      <w:jc w:val="both"/>
      <w:outlineLvl w:val="0"/>
    </w:pPr>
    <w:rPr>
      <w:bCs/>
      <w:szCs w:val="20"/>
    </w:rPr>
  </w:style>
  <w:style w:type="character" w:customStyle="1" w:styleId="VVKTChar">
    <w:name w:val="VVKT Char"/>
    <w:basedOn w:val="Numatytasispastraiposriftas"/>
    <w:link w:val="VVKT"/>
    <w:rsid w:val="0020094F"/>
    <w:rPr>
      <w:bCs/>
      <w:sz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20094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4061CE4EA94F40B0B2EED9CABE15DA59"/>
        <w:category>
          <w:name w:val="General"/>
          <w:gallery w:val="placeholder"/>
        </w:category>
        <w:types>
          <w:type w:val="bbPlcHdr"/>
        </w:types>
        <w:behaviors>
          <w:behavior w:val="content"/>
        </w:behaviors>
        <w:guid w:val="{A8A17DB5-9603-47B4-80AD-A0F8709AB5B5}"/>
      </w:docPartPr>
      <w:docPartBody>
        <w:p w:rsidR="001D418B" w:rsidRDefault="00AC62C5" w:rsidP="00AC62C5">
          <w:pPr>
            <w:pStyle w:val="4061CE4EA94F40B0B2EED9CABE15DA59"/>
          </w:pPr>
          <w:r>
            <w:rPr>
              <w:rStyle w:val="Vietosrezervavimoenklotekstas"/>
            </w:rPr>
            <w:t>Click here to enter a date.</w:t>
          </w:r>
        </w:p>
      </w:docPartBody>
    </w:docPart>
    <w:docPart>
      <w:docPartPr>
        <w:name w:val="973FD1D4E6EC4AC8B36B0D1FB4BAB877"/>
        <w:category>
          <w:name w:val="General"/>
          <w:gallery w:val="placeholder"/>
        </w:category>
        <w:types>
          <w:type w:val="bbPlcHdr"/>
        </w:types>
        <w:behaviors>
          <w:behavior w:val="content"/>
        </w:behaviors>
        <w:guid w:val="{1B0D209D-ED26-4FCD-822F-185161C3D16F}"/>
      </w:docPartPr>
      <w:docPartBody>
        <w:p w:rsidR="001D418B" w:rsidRDefault="00AC62C5" w:rsidP="00AC62C5">
          <w:pPr>
            <w:pStyle w:val="973FD1D4E6EC4AC8B36B0D1FB4BAB877"/>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1D418B"/>
    <w:rsid w:val="00237556"/>
    <w:rsid w:val="0039303B"/>
    <w:rsid w:val="004144A3"/>
    <w:rsid w:val="004160E7"/>
    <w:rsid w:val="004416C6"/>
    <w:rsid w:val="004F5AB2"/>
    <w:rsid w:val="005074B9"/>
    <w:rsid w:val="00567AC4"/>
    <w:rsid w:val="00580033"/>
    <w:rsid w:val="005D0BB9"/>
    <w:rsid w:val="005E40DD"/>
    <w:rsid w:val="00710E3C"/>
    <w:rsid w:val="007219C1"/>
    <w:rsid w:val="00753462"/>
    <w:rsid w:val="00772325"/>
    <w:rsid w:val="007A2FE0"/>
    <w:rsid w:val="007C6D1D"/>
    <w:rsid w:val="0090074D"/>
    <w:rsid w:val="009B3BF0"/>
    <w:rsid w:val="009D5E5E"/>
    <w:rsid w:val="009F1BB4"/>
    <w:rsid w:val="00AB6ED4"/>
    <w:rsid w:val="00AC62C5"/>
    <w:rsid w:val="00B14210"/>
    <w:rsid w:val="00B23DC0"/>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AC62C5"/>
    <w:rPr>
      <w:color w:val="808080"/>
    </w:rPr>
  </w:style>
  <w:style w:type="paragraph" w:customStyle="1" w:styleId="0A1DCC42A2974C359888226B925C8FF8">
    <w:name w:val="0A1DCC42A2974C359888226B925C8FF8"/>
    <w:rsid w:val="005E40DD"/>
  </w:style>
  <w:style w:type="paragraph" w:customStyle="1" w:styleId="4061CE4EA94F40B0B2EED9CABE15DA59">
    <w:name w:val="4061CE4EA94F40B0B2EED9CABE15DA59"/>
    <w:rsid w:val="00AC62C5"/>
  </w:style>
  <w:style w:type="paragraph" w:customStyle="1" w:styleId="973FD1D4E6EC4AC8B36B0D1FB4BAB877">
    <w:name w:val="973FD1D4E6EC4AC8B36B0D1FB4BAB877"/>
    <w:rsid w:val="00AC6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A97B0-C3AB-40CA-9373-AE26BD56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9905</Words>
  <Characters>5646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2023-05-04T07:33:00Z</dcterms:created>
  <dcterms:modified xsi:type="dcterms:W3CDTF">2024-02-07T16:02:00Z</dcterms:modified>
</cp:coreProperties>
</file>