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9BB5E4E" w14:textId="77777777" w:rsidR="004B205D" w:rsidRDefault="004B205D" w:rsidP="004B205D">
      <w:pPr>
        <w:spacing w:line="276" w:lineRule="auto"/>
        <w:jc w:val="center"/>
        <w:rPr>
          <w:b/>
        </w:rPr>
      </w:pPr>
      <w:r w:rsidRPr="004E28B7">
        <w:rPr>
          <w:b/>
        </w:rPr>
        <w:t>ORKAMBI, 100mg/125 mg ir 200 mg/125 mg</w:t>
      </w:r>
      <w:r>
        <w:rPr>
          <w:b/>
        </w:rPr>
        <w:t>, tabletės</w:t>
      </w:r>
    </w:p>
    <w:p w14:paraId="441D834B" w14:textId="3509D6DB" w:rsidR="004B205D" w:rsidRDefault="004B205D" w:rsidP="004B205D">
      <w:pPr>
        <w:spacing w:line="276" w:lineRule="auto"/>
        <w:jc w:val="center"/>
        <w:rPr>
          <w:b/>
        </w:rPr>
      </w:pPr>
      <w:r w:rsidRPr="004E28B7">
        <w:rPr>
          <w:b/>
        </w:rPr>
        <w:t xml:space="preserve">ORKAMBI, 100mg/125 mg ir </w:t>
      </w:r>
      <w:r>
        <w:rPr>
          <w:b/>
        </w:rPr>
        <w:t>150</w:t>
      </w:r>
      <w:r w:rsidRPr="004E28B7">
        <w:rPr>
          <w:b/>
        </w:rPr>
        <w:t xml:space="preserve"> mg/</w:t>
      </w:r>
      <w:r>
        <w:rPr>
          <w:b/>
        </w:rPr>
        <w:t>188</w:t>
      </w:r>
      <w:r w:rsidRPr="004E28B7">
        <w:rPr>
          <w:b/>
        </w:rPr>
        <w:t xml:space="preserve"> mg</w:t>
      </w:r>
      <w:r>
        <w:rPr>
          <w:b/>
        </w:rPr>
        <w:t>, granulės</w:t>
      </w:r>
      <w:r w:rsidR="00060DA3">
        <w:rPr>
          <w:b/>
        </w:rPr>
        <w:t xml:space="preserve"> paketėlyje</w:t>
      </w:r>
    </w:p>
    <w:p w14:paraId="3B42AD7C" w14:textId="77777777" w:rsidR="004B205D" w:rsidRPr="004E28B7" w:rsidRDefault="004B205D" w:rsidP="004B205D">
      <w:pPr>
        <w:spacing w:line="276" w:lineRule="auto"/>
        <w:jc w:val="center"/>
        <w:rPr>
          <w:b/>
        </w:rPr>
      </w:pPr>
    </w:p>
    <w:p w14:paraId="080654B4" w14:textId="1BCDF0A7" w:rsidR="004B205D" w:rsidRPr="004E28B7" w:rsidRDefault="004B205D" w:rsidP="004B205D">
      <w:pPr>
        <w:spacing w:line="276" w:lineRule="auto"/>
        <w:jc w:val="center"/>
        <w:rPr>
          <w:b/>
        </w:rPr>
      </w:pPr>
      <w:r w:rsidRPr="004E28B7">
        <w:rPr>
          <w:b/>
        </w:rPr>
        <w:t>(</w:t>
      </w:r>
      <w:proofErr w:type="spellStart"/>
      <w:r w:rsidRPr="004E28B7">
        <w:rPr>
          <w:rFonts w:eastAsia="Arial"/>
          <w:b/>
          <w:color w:val="000000"/>
        </w:rPr>
        <w:t>Luma</w:t>
      </w:r>
      <w:r w:rsidR="00060DA3">
        <w:rPr>
          <w:rFonts w:eastAsia="Arial"/>
          <w:b/>
          <w:color w:val="000000"/>
        </w:rPr>
        <w:t>k</w:t>
      </w:r>
      <w:r w:rsidRPr="004E28B7">
        <w:rPr>
          <w:rFonts w:eastAsia="Arial"/>
          <w:b/>
          <w:color w:val="000000"/>
        </w:rPr>
        <w:t>aftoras</w:t>
      </w:r>
      <w:proofErr w:type="spellEnd"/>
      <w:r w:rsidRPr="004E28B7">
        <w:rPr>
          <w:rFonts w:eastAsia="Arial"/>
          <w:b/>
          <w:color w:val="000000"/>
        </w:rPr>
        <w:t>/</w:t>
      </w:r>
      <w:proofErr w:type="spellStart"/>
      <w:r w:rsidRPr="004E28B7">
        <w:rPr>
          <w:rFonts w:eastAsia="Arial"/>
          <w:b/>
          <w:color w:val="000000"/>
        </w:rPr>
        <w:t>iva</w:t>
      </w:r>
      <w:r w:rsidR="00060DA3">
        <w:rPr>
          <w:rFonts w:eastAsia="Arial"/>
          <w:b/>
          <w:color w:val="000000"/>
        </w:rPr>
        <w:t>k</w:t>
      </w:r>
      <w:r w:rsidRPr="004E28B7">
        <w:rPr>
          <w:rFonts w:eastAsia="Arial"/>
          <w:b/>
          <w:color w:val="000000"/>
        </w:rPr>
        <w:t>aftoras</w:t>
      </w:r>
      <w:proofErr w:type="spellEnd"/>
      <w:r w:rsidRPr="004E28B7">
        <w:rPr>
          <w:b/>
        </w:rPr>
        <w:t>)</w:t>
      </w:r>
    </w:p>
    <w:p w14:paraId="7245D69E" w14:textId="77777777" w:rsidR="00937907" w:rsidRPr="00E33EFF" w:rsidRDefault="00937907" w:rsidP="00937907">
      <w:pPr>
        <w:jc w:val="center"/>
      </w:pPr>
    </w:p>
    <w:p w14:paraId="1D98E530" w14:textId="0D9D24AD" w:rsidR="00943E06" w:rsidRPr="00D05364" w:rsidRDefault="00937907" w:rsidP="00943E06">
      <w:pPr>
        <w:spacing w:line="276" w:lineRule="auto"/>
        <w:jc w:val="center"/>
        <w:rPr>
          <w:b/>
        </w:rPr>
      </w:pPr>
      <w:r w:rsidRPr="00E33EFF">
        <w:rPr>
          <w:b/>
        </w:rPr>
        <w:t>Paraiškos numeris</w:t>
      </w:r>
      <w:r w:rsidR="00943E06" w:rsidRPr="00943E06">
        <w:rPr>
          <w:b/>
        </w:rPr>
        <w:t xml:space="preserve"> </w:t>
      </w:r>
      <w:r w:rsidR="00943E06">
        <w:rPr>
          <w:b/>
        </w:rPr>
        <w:t>STV85</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6B7CF552" w:rsidR="00B13D65" w:rsidRPr="00E33EFF" w:rsidRDefault="003D1877" w:rsidP="00824B92">
            <w:pPr>
              <w:rPr>
                <w:rFonts w:eastAsia="Arial"/>
              </w:rPr>
            </w:pPr>
            <w:proofErr w:type="spellStart"/>
            <w:r w:rsidRPr="001E2231">
              <w:t>Medison</w:t>
            </w:r>
            <w:proofErr w:type="spellEnd"/>
            <w:r w:rsidRPr="001E2231">
              <w:t xml:space="preserve"> Pharma Lithuania, UAB</w:t>
            </w:r>
            <w:r w:rsidRPr="00E33EFF">
              <w:rPr>
                <w:rFonts w:eastAsia="Arial"/>
              </w:rPr>
              <w:t xml:space="preserve"> </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1083AE29" w:rsidR="00B13D65" w:rsidRPr="00E33EFF" w:rsidRDefault="00000000" w:rsidP="004259C9">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Content>
                <w:r w:rsidR="004259C9">
                  <w:rPr>
                    <w:sz w:val="32"/>
                  </w:rPr>
                  <w:t>2015 m. lapkričio 19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6E7E2AF5" w:rsidR="00B13D65" w:rsidRPr="00E33EFF" w:rsidRDefault="00B13D65" w:rsidP="00824B92">
            <w:pPr>
              <w:rPr>
                <w:bCs/>
                <w:color w:val="000000"/>
                <w:lang w:eastAsia="lt-LT"/>
              </w:rPr>
            </w:pP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CCAA9A" w:rsidR="00B13D65" w:rsidRPr="00E33EFF" w:rsidRDefault="00000000" w:rsidP="00C9765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C97652">
                  <w:rPr>
                    <w:rStyle w:val="Vietosrezervavimoenklotekstas"/>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F962946" w14:textId="77777777" w:rsidR="003D1877" w:rsidRPr="001E2231" w:rsidRDefault="003D1877" w:rsidP="003D1877">
            <w:pPr>
              <w:spacing w:after="120" w:line="276" w:lineRule="auto"/>
              <w:jc w:val="both"/>
            </w:pPr>
            <w:r w:rsidRPr="001E2231">
              <w:t xml:space="preserve">Cistinei fibrozei gydyti 2 metų ir vyresniems pacientams, kurie yra </w:t>
            </w:r>
            <w:proofErr w:type="spellStart"/>
            <w:r w:rsidRPr="001E2231">
              <w:t>homozigotiniai</w:t>
            </w:r>
            <w:proofErr w:type="spellEnd"/>
            <w:r w:rsidRPr="001E2231">
              <w:t xml:space="preserve"> CFTR geno F508del mutacijos atžvilgiu.</w:t>
            </w:r>
          </w:p>
          <w:p w14:paraId="69325A34" w14:textId="77777777" w:rsidR="003D1877" w:rsidRDefault="003D1877" w:rsidP="003D1877">
            <w:pPr>
              <w:pStyle w:val="Sraopastraipa"/>
              <w:spacing w:after="120" w:line="276" w:lineRule="auto"/>
              <w:ind w:left="0"/>
              <w:contextualSpacing w:val="0"/>
              <w:jc w:val="both"/>
            </w:pPr>
          </w:p>
          <w:p w14:paraId="13F7DFB0" w14:textId="6C5595F4" w:rsidR="00B13D65" w:rsidRPr="00E33EFF" w:rsidRDefault="003D1877" w:rsidP="0047414A">
            <w:pPr>
              <w:pStyle w:val="Sraopastraipa"/>
              <w:spacing w:after="120" w:line="276" w:lineRule="auto"/>
              <w:ind w:left="0"/>
              <w:contextualSpacing w:val="0"/>
              <w:jc w:val="both"/>
            </w:pPr>
            <w:r w:rsidRPr="001E2231">
              <w:t>E84 - Cistinė fibrozė</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7B3C7A7D" w:rsidR="007C7519" w:rsidRPr="007C7519" w:rsidRDefault="007C7519" w:rsidP="00824B92">
            <w:pPr>
              <w:rPr>
                <w:bCs/>
                <w:i/>
                <w:color w:val="000000"/>
                <w:lang w:eastAsia="lt-LT"/>
              </w:rPr>
            </w:pPr>
          </w:p>
          <w:p w14:paraId="311BDCB0" w14:textId="25FB0D33" w:rsidR="0047414A" w:rsidRDefault="0047414A" w:rsidP="00824B92">
            <w:pPr>
              <w:rPr>
                <w:bCs/>
                <w:color w:val="000000"/>
                <w:lang w:eastAsia="lt-LT"/>
              </w:rPr>
            </w:pPr>
            <w:r>
              <w:rPr>
                <w:bCs/>
                <w:color w:val="000000"/>
                <w:lang w:eastAsia="lt-LT"/>
              </w:rPr>
              <w:t xml:space="preserve">pacientai nuo 12 metų </w:t>
            </w:r>
            <w:r w:rsidR="00AF68B4">
              <w:rPr>
                <w:bCs/>
                <w:color w:val="000000"/>
                <w:lang w:eastAsia="lt-LT"/>
              </w:rPr>
              <w:t>- placebas</w:t>
            </w:r>
          </w:p>
          <w:p w14:paraId="2AAC9A9D" w14:textId="2CFAD62E" w:rsidR="0047414A" w:rsidRDefault="0047414A" w:rsidP="00824B92">
            <w:pPr>
              <w:rPr>
                <w:bCs/>
                <w:color w:val="000000"/>
                <w:lang w:eastAsia="lt-LT"/>
              </w:rPr>
            </w:pPr>
            <w:r>
              <w:rPr>
                <w:bCs/>
                <w:color w:val="000000"/>
                <w:lang w:eastAsia="lt-LT"/>
              </w:rPr>
              <w:t>pacientai nuo 6 iki 11 metų</w:t>
            </w:r>
            <w:r w:rsidR="00AF68B4">
              <w:rPr>
                <w:bCs/>
                <w:color w:val="000000"/>
                <w:lang w:eastAsia="lt-LT"/>
              </w:rPr>
              <w:t xml:space="preserve"> - placebas</w:t>
            </w:r>
          </w:p>
          <w:p w14:paraId="7F4B8CC1" w14:textId="627667F4" w:rsidR="0047414A" w:rsidRPr="00E33EFF" w:rsidRDefault="0047414A" w:rsidP="00824B92">
            <w:pPr>
              <w:rPr>
                <w:bCs/>
                <w:color w:val="000000"/>
                <w:lang w:eastAsia="lt-LT"/>
              </w:rPr>
            </w:pPr>
            <w:r>
              <w:rPr>
                <w:bCs/>
                <w:color w:val="000000"/>
                <w:lang w:eastAsia="lt-LT"/>
              </w:rPr>
              <w:t>pacientai nuo 2 iki 5 metų</w:t>
            </w:r>
            <w:r w:rsidR="00AF68B4">
              <w:rPr>
                <w:bCs/>
                <w:color w:val="000000"/>
                <w:lang w:eastAsia="lt-LT"/>
              </w:rPr>
              <w:t xml:space="preserve"> – palyginamojo gydymo nėra</w:t>
            </w:r>
          </w:p>
          <w:p w14:paraId="61EC5BBD" w14:textId="7A8BD8B4" w:rsidR="009F4D66" w:rsidRPr="00E33EFF" w:rsidRDefault="009F4D66" w:rsidP="00824B92">
            <w:pPr>
              <w:rPr>
                <w:bCs/>
                <w:color w:val="000000"/>
                <w:lang w:eastAsia="lt-LT"/>
              </w:rPr>
            </w:pP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5474EFC4" w14:textId="79628B2B" w:rsidR="0047414A" w:rsidRDefault="0047414A" w:rsidP="00824B92">
            <w:pPr>
              <w:rPr>
                <w:rStyle w:val="Style2"/>
                <w:sz w:val="24"/>
              </w:rPr>
            </w:pPr>
          </w:p>
          <w:p w14:paraId="5481FC83" w14:textId="77777777" w:rsidR="007C7519" w:rsidRDefault="007C7519" w:rsidP="00824B92">
            <w:pPr>
              <w:rPr>
                <w:rStyle w:val="Style2"/>
                <w:sz w:val="24"/>
              </w:rPr>
            </w:pPr>
          </w:p>
          <w:p w14:paraId="66741CBF" w14:textId="03099B04" w:rsidR="0047414A" w:rsidRPr="00E33EFF" w:rsidRDefault="00000000" w:rsidP="0047414A">
            <w:sdt>
              <w:sdtPr>
                <w:rPr>
                  <w:rStyle w:val="Style2"/>
                  <w:sz w:val="24"/>
                </w:rPr>
                <w:id w:val="-834302966"/>
                <w15:color w:val="FFCC00"/>
                <w14:checkbox>
                  <w14:checked w14:val="1"/>
                  <w14:checkedState w14:val="2612" w14:font="MS Gothic"/>
                  <w14:uncheckedState w14:val="2610" w14:font="MS Gothic"/>
                </w14:checkbox>
              </w:sdtPr>
              <w:sdtContent>
                <w:r w:rsidR="0047414A">
                  <w:rPr>
                    <w:rStyle w:val="Style2"/>
                    <w:rFonts w:ascii="MS Gothic" w:eastAsia="MS Gothic" w:hAnsi="MS Gothic" w:hint="eastAsia"/>
                    <w:sz w:val="24"/>
                  </w:rPr>
                  <w:t>☒</w:t>
                </w:r>
              </w:sdtContent>
            </w:sdt>
            <w:r w:rsidR="0047414A" w:rsidRPr="00E33EFF">
              <w:t xml:space="preserve"> Tinkamas</w:t>
            </w:r>
          </w:p>
          <w:p w14:paraId="1F113AC0" w14:textId="21A635C5" w:rsidR="009F4D66"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47414A">
                  <w:rPr>
                    <w:rStyle w:val="Style2"/>
                    <w:rFonts w:ascii="MS Gothic" w:eastAsia="MS Gothic" w:hAnsi="MS Gothic" w:hint="eastAsia"/>
                    <w:sz w:val="24"/>
                  </w:rPr>
                  <w:t>☒</w:t>
                </w:r>
              </w:sdtContent>
            </w:sdt>
            <w:r w:rsidR="009F4D66" w:rsidRPr="00E33EFF">
              <w:t xml:space="preserve"> Tinkamas</w:t>
            </w:r>
          </w:p>
          <w:p w14:paraId="00698C7B" w14:textId="77777777" w:rsidR="00AF68B4" w:rsidRPr="00E33EFF" w:rsidRDefault="00AF68B4" w:rsidP="00824B92"/>
          <w:p w14:paraId="41B44044" w14:textId="52A2C3C6" w:rsidR="00B13D65" w:rsidRPr="00E33EFF" w:rsidRDefault="00000000" w:rsidP="00824B92">
            <w:sdt>
              <w:sdtPr>
                <w:rPr>
                  <w:rStyle w:val="Style2"/>
                  <w:sz w:val="24"/>
                </w:rPr>
                <w:id w:val="-352420698"/>
                <w15:color w:val="FFCC00"/>
                <w14:checkbox>
                  <w14:checked w14:val="1"/>
                  <w14:checkedState w14:val="2612" w14:font="MS Gothic"/>
                  <w14:uncheckedState w14:val="2610" w14:font="MS Gothic"/>
                </w14:checkbox>
              </w:sdtPr>
              <w:sdtContent>
                <w:r w:rsidR="0047414A">
                  <w:rPr>
                    <w:rStyle w:val="Style2"/>
                    <w:rFonts w:ascii="MS Gothic" w:eastAsia="MS Gothic" w:hAnsi="MS Gothic" w:hint="eastAsia"/>
                    <w:sz w:val="24"/>
                  </w:rPr>
                  <w:t>☒</w:t>
                </w:r>
              </w:sdtContent>
            </w:sdt>
            <w:r w:rsidR="009F4D66" w:rsidRPr="00E33EFF">
              <w:t xml:space="preserve"> Netinkama</w:t>
            </w:r>
            <w:r w:rsidR="0047414A">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57C349A6" w14:textId="77777777" w:rsidR="00292008" w:rsidRPr="00292008" w:rsidRDefault="00292008" w:rsidP="00292008">
      <w:pPr>
        <w:spacing w:line="276" w:lineRule="auto"/>
        <w:rPr>
          <w:rFonts w:eastAsia="Arial"/>
        </w:rPr>
      </w:pPr>
    </w:p>
    <w:tbl>
      <w:tblPr>
        <w:tblStyle w:val="TableGrid1"/>
        <w:tblW w:w="9918" w:type="dxa"/>
        <w:tblLook w:val="04A0" w:firstRow="1" w:lastRow="0" w:firstColumn="1" w:lastColumn="0" w:noHBand="0" w:noVBand="1"/>
      </w:tblPr>
      <w:tblGrid>
        <w:gridCol w:w="2927"/>
        <w:gridCol w:w="1915"/>
        <w:gridCol w:w="2351"/>
        <w:gridCol w:w="2725"/>
      </w:tblGrid>
      <w:tr w:rsidR="00292008" w:rsidRPr="00292008" w14:paraId="01F8BC9A" w14:textId="77777777" w:rsidTr="000920CE">
        <w:trPr>
          <w:trHeight w:val="924"/>
        </w:trPr>
        <w:tc>
          <w:tcPr>
            <w:tcW w:w="2927" w:type="dxa"/>
          </w:tcPr>
          <w:p w14:paraId="79ED5C23" w14:textId="77777777" w:rsidR="00292008" w:rsidRPr="00292008" w:rsidRDefault="00292008" w:rsidP="00292008">
            <w:pPr>
              <w:spacing w:line="276" w:lineRule="auto"/>
              <w:rPr>
                <w:rFonts w:eastAsia="Arial"/>
              </w:rPr>
            </w:pPr>
            <w:r w:rsidRPr="00292008">
              <w:rPr>
                <w:rFonts w:eastAsia="Arial"/>
              </w:rPr>
              <w:t>STV agentūros pavadinimas, šalis</w:t>
            </w:r>
          </w:p>
        </w:tc>
        <w:tc>
          <w:tcPr>
            <w:tcW w:w="1915" w:type="dxa"/>
          </w:tcPr>
          <w:p w14:paraId="21F4AE11" w14:textId="77777777" w:rsidR="00292008" w:rsidRPr="00292008" w:rsidRDefault="00292008" w:rsidP="00292008">
            <w:pPr>
              <w:spacing w:line="276" w:lineRule="auto"/>
              <w:rPr>
                <w:rFonts w:eastAsia="Arial"/>
              </w:rPr>
            </w:pPr>
            <w:r w:rsidRPr="00292008">
              <w:rPr>
                <w:rFonts w:eastAsia="Arial"/>
              </w:rPr>
              <w:t>STV vertinimas atliktas</w:t>
            </w:r>
          </w:p>
        </w:tc>
        <w:tc>
          <w:tcPr>
            <w:tcW w:w="2351" w:type="dxa"/>
          </w:tcPr>
          <w:p w14:paraId="42C685B0" w14:textId="77777777" w:rsidR="00292008" w:rsidRPr="00292008" w:rsidRDefault="00292008" w:rsidP="00292008">
            <w:pPr>
              <w:spacing w:line="276" w:lineRule="auto"/>
              <w:rPr>
                <w:rFonts w:eastAsia="Arial"/>
              </w:rPr>
            </w:pPr>
            <w:r w:rsidRPr="00292008">
              <w:rPr>
                <w:rFonts w:eastAsia="Arial"/>
              </w:rPr>
              <w:t>Klinikinio vertinimo išvada</w:t>
            </w:r>
          </w:p>
        </w:tc>
        <w:tc>
          <w:tcPr>
            <w:tcW w:w="2725" w:type="dxa"/>
          </w:tcPr>
          <w:p w14:paraId="55037DAA" w14:textId="77777777" w:rsidR="00292008" w:rsidRPr="00292008" w:rsidRDefault="00292008" w:rsidP="00292008">
            <w:pPr>
              <w:spacing w:line="276" w:lineRule="auto"/>
              <w:rPr>
                <w:rFonts w:eastAsia="Arial"/>
              </w:rPr>
            </w:pPr>
            <w:proofErr w:type="spellStart"/>
            <w:r w:rsidRPr="00292008">
              <w:rPr>
                <w:rFonts w:eastAsia="Arial"/>
              </w:rPr>
              <w:t>Farmakoekonominio</w:t>
            </w:r>
            <w:proofErr w:type="spellEnd"/>
            <w:r w:rsidRPr="00292008">
              <w:rPr>
                <w:rFonts w:eastAsia="Arial"/>
              </w:rPr>
              <w:t xml:space="preserve"> vertinimo išvada</w:t>
            </w:r>
          </w:p>
        </w:tc>
      </w:tr>
      <w:tr w:rsidR="00292008" w:rsidRPr="00292008" w14:paraId="66EA7036" w14:textId="77777777" w:rsidTr="000920CE">
        <w:trPr>
          <w:trHeight w:val="699"/>
        </w:trPr>
        <w:tc>
          <w:tcPr>
            <w:tcW w:w="2927" w:type="dxa"/>
          </w:tcPr>
          <w:p w14:paraId="3E680B41" w14:textId="77777777" w:rsidR="00292008" w:rsidRPr="00292008" w:rsidRDefault="00292008" w:rsidP="00292008">
            <w:pPr>
              <w:autoSpaceDE w:val="0"/>
              <w:autoSpaceDN w:val="0"/>
              <w:adjustRightInd w:val="0"/>
              <w:spacing w:line="276" w:lineRule="auto"/>
              <w:rPr>
                <w:bCs/>
              </w:rPr>
            </w:pPr>
            <w:r w:rsidRPr="00292008">
              <w:rPr>
                <w:bCs/>
              </w:rPr>
              <w:t>Nacionalinis sveikatos ir klinikinės kompetencijos institutas, Didžioji Britanija</w:t>
            </w:r>
          </w:p>
          <w:p w14:paraId="38849601" w14:textId="77777777" w:rsidR="00292008" w:rsidRPr="00292008" w:rsidRDefault="00292008" w:rsidP="00292008">
            <w:pPr>
              <w:spacing w:line="276" w:lineRule="auto"/>
              <w:rPr>
                <w:rFonts w:eastAsia="Arial"/>
              </w:rPr>
            </w:pPr>
            <w:r w:rsidRPr="00292008">
              <w:rPr>
                <w:rFonts w:eastAsia="Arial"/>
              </w:rPr>
              <w:t xml:space="preserve">(angl. </w:t>
            </w:r>
            <w:proofErr w:type="spellStart"/>
            <w:r w:rsidRPr="00292008">
              <w:rPr>
                <w:rFonts w:eastAsia="Arial"/>
                <w:i/>
              </w:rPr>
              <w:t>National</w:t>
            </w:r>
            <w:proofErr w:type="spellEnd"/>
            <w:r w:rsidRPr="00292008">
              <w:rPr>
                <w:rFonts w:eastAsia="Arial"/>
                <w:i/>
              </w:rPr>
              <w:t xml:space="preserve"> Institute </w:t>
            </w:r>
            <w:proofErr w:type="spellStart"/>
            <w:r w:rsidRPr="00292008">
              <w:rPr>
                <w:rFonts w:eastAsia="Arial"/>
                <w:i/>
              </w:rPr>
              <w:t>for</w:t>
            </w:r>
            <w:proofErr w:type="spellEnd"/>
            <w:r w:rsidRPr="00292008">
              <w:rPr>
                <w:rFonts w:eastAsia="Arial"/>
                <w:i/>
              </w:rPr>
              <w:t xml:space="preserve"> </w:t>
            </w:r>
            <w:proofErr w:type="spellStart"/>
            <w:r w:rsidRPr="00292008">
              <w:rPr>
                <w:rFonts w:eastAsia="Arial"/>
                <w:i/>
              </w:rPr>
              <w:t>Health</w:t>
            </w:r>
            <w:proofErr w:type="spellEnd"/>
            <w:r w:rsidRPr="00292008">
              <w:rPr>
                <w:rFonts w:eastAsia="Arial"/>
                <w:i/>
              </w:rPr>
              <w:t xml:space="preserve"> </w:t>
            </w:r>
            <w:proofErr w:type="spellStart"/>
            <w:r w:rsidRPr="00292008">
              <w:rPr>
                <w:rFonts w:eastAsia="Arial"/>
                <w:i/>
              </w:rPr>
              <w:t>and</w:t>
            </w:r>
            <w:proofErr w:type="spellEnd"/>
            <w:r w:rsidRPr="00292008">
              <w:rPr>
                <w:rFonts w:eastAsia="Arial"/>
                <w:i/>
              </w:rPr>
              <w:t xml:space="preserve"> Care </w:t>
            </w:r>
            <w:proofErr w:type="spellStart"/>
            <w:r w:rsidRPr="00292008">
              <w:rPr>
                <w:rFonts w:eastAsia="Arial"/>
                <w:i/>
              </w:rPr>
              <w:t>Excellence</w:t>
            </w:r>
            <w:proofErr w:type="spellEnd"/>
            <w:r w:rsidRPr="00292008">
              <w:rPr>
                <w:rFonts w:eastAsia="Arial"/>
                <w:i/>
              </w:rPr>
              <w:t>, NICE</w:t>
            </w:r>
            <w:r w:rsidRPr="00292008">
              <w:rPr>
                <w:rFonts w:eastAsia="Arial"/>
              </w:rPr>
              <w:t>)</w:t>
            </w:r>
          </w:p>
        </w:tc>
        <w:tc>
          <w:tcPr>
            <w:tcW w:w="1915" w:type="dxa"/>
          </w:tcPr>
          <w:p w14:paraId="517B8997" w14:textId="77777777" w:rsidR="00292008" w:rsidRPr="00292008" w:rsidRDefault="00000000" w:rsidP="00292008">
            <w:pPr>
              <w:spacing w:line="276" w:lineRule="auto"/>
              <w:rPr>
                <w:szCs w:val="20"/>
              </w:rPr>
            </w:pPr>
            <w:sdt>
              <w:sdtPr>
                <w:id w:val="1558205022"/>
                <w15:color w:val="FFCC00"/>
                <w14:checkbox>
                  <w14:checked w14:val="0"/>
                  <w14:checkedState w14:val="2612" w14:font="MS Gothic"/>
                  <w14:uncheckedState w14:val="2610" w14:font="MS Gothic"/>
                </w14:checkbox>
              </w:sdtPr>
              <w:sdtContent>
                <w:r w:rsidR="00292008" w:rsidRPr="00292008">
                  <w:rPr>
                    <w:rFonts w:eastAsia="MS Gothic" w:hint="eastAsia"/>
                  </w:rPr>
                  <w:t>☐</w:t>
                </w:r>
              </w:sdtContent>
            </w:sdt>
            <w:r w:rsidR="00292008" w:rsidRPr="00292008">
              <w:rPr>
                <w:szCs w:val="20"/>
              </w:rPr>
              <w:t xml:space="preserve"> Taip</w:t>
            </w:r>
          </w:p>
          <w:p w14:paraId="0B5A4EE9" w14:textId="77777777" w:rsidR="00292008" w:rsidRPr="00292008" w:rsidRDefault="00000000" w:rsidP="00292008">
            <w:pPr>
              <w:spacing w:line="276" w:lineRule="auto"/>
              <w:rPr>
                <w:szCs w:val="20"/>
              </w:rPr>
            </w:pPr>
            <w:sdt>
              <w:sdtPr>
                <w:id w:val="866029625"/>
                <w15:color w:val="FFCC00"/>
                <w14:checkbox>
                  <w14:checked w14:val="1"/>
                  <w14:checkedState w14:val="2612" w14:font="MS Gothic"/>
                  <w14:uncheckedState w14:val="2610" w14:font="MS Gothic"/>
                </w14:checkbox>
              </w:sdtPr>
              <w:sdtContent>
                <w:r w:rsidR="00292008" w:rsidRPr="00292008">
                  <w:rPr>
                    <w:rFonts w:eastAsia="MS Gothic" w:hint="eastAsia"/>
                  </w:rPr>
                  <w:t>☒</w:t>
                </w:r>
              </w:sdtContent>
            </w:sdt>
            <w:r w:rsidR="00292008" w:rsidRPr="00292008">
              <w:rPr>
                <w:szCs w:val="20"/>
              </w:rPr>
              <w:t xml:space="preserve"> Ne</w:t>
            </w:r>
          </w:p>
          <w:p w14:paraId="2291E716" w14:textId="77777777" w:rsidR="00292008" w:rsidRPr="00292008" w:rsidRDefault="00000000" w:rsidP="00292008">
            <w:pPr>
              <w:spacing w:line="276" w:lineRule="auto"/>
              <w:rPr>
                <w:rFonts w:eastAsia="Arial"/>
                <w:szCs w:val="20"/>
              </w:rPr>
            </w:pPr>
            <w:sdt>
              <w:sdtPr>
                <w:rPr>
                  <w:szCs w:val="20"/>
                </w:rPr>
                <w:alias w:val="Nurodykite konkrečią dieną"/>
                <w:tag w:val="Nurodykite pradžios datą"/>
                <w:id w:val="922837954"/>
                <w:placeholder>
                  <w:docPart w:val="39FA38F7DD254A3EA8E1BA83473B1D06"/>
                </w:placeholder>
                <w15:color w:val="FFCC99"/>
                <w:date w:fullDate="2019-11-05T00:00:00Z">
                  <w:dateFormat w:val="yyyy 'm.' MMMM d 'd.'"/>
                  <w:lid w:val="lt-LT"/>
                  <w:storeMappedDataAs w:val="dateTime"/>
                  <w:calendar w:val="gregorian"/>
                </w:date>
              </w:sdtPr>
              <w:sdtContent>
                <w:r w:rsidR="00292008" w:rsidRPr="00292008">
                  <w:rPr>
                    <w:szCs w:val="20"/>
                  </w:rPr>
                  <w:t>2019 m. lapkričio 5 d.</w:t>
                </w:r>
              </w:sdtContent>
            </w:sdt>
          </w:p>
        </w:tc>
        <w:tc>
          <w:tcPr>
            <w:tcW w:w="5076" w:type="dxa"/>
            <w:gridSpan w:val="2"/>
          </w:tcPr>
          <w:p w14:paraId="525AF16F" w14:textId="77777777" w:rsidR="00292008" w:rsidRPr="00292008" w:rsidRDefault="00292008" w:rsidP="00292008">
            <w:pPr>
              <w:spacing w:line="276" w:lineRule="auto"/>
              <w:rPr>
                <w:rFonts w:eastAsia="Arial"/>
              </w:rPr>
            </w:pPr>
            <w:r w:rsidRPr="00292008">
              <w:rPr>
                <w:rFonts w:eastAsia="Arial"/>
              </w:rPr>
              <w:t xml:space="preserve">NICE nerekomenduoja kompensuoti </w:t>
            </w:r>
            <w:proofErr w:type="spellStart"/>
            <w:r w:rsidRPr="00292008">
              <w:rPr>
                <w:rFonts w:eastAsia="Arial"/>
              </w:rPr>
              <w:t>lumakaftoro</w:t>
            </w:r>
            <w:proofErr w:type="spellEnd"/>
            <w:r w:rsidRPr="00292008">
              <w:rPr>
                <w:rFonts w:eastAsia="Arial"/>
              </w:rPr>
              <w:t xml:space="preserve"> ir </w:t>
            </w:r>
            <w:proofErr w:type="spellStart"/>
            <w:r w:rsidRPr="00292008">
              <w:rPr>
                <w:rFonts w:eastAsia="Arial"/>
              </w:rPr>
              <w:t>ivakaftoro</w:t>
            </w:r>
            <w:proofErr w:type="spellEnd"/>
            <w:r w:rsidRPr="00292008">
              <w:rPr>
                <w:rFonts w:eastAsia="Arial"/>
              </w:rPr>
              <w:t xml:space="preserve"> derinį dėl nepakankamų medicinos pagrįstų įrodymų apie:</w:t>
            </w:r>
          </w:p>
          <w:p w14:paraId="05ED233E" w14:textId="77777777" w:rsidR="00292008" w:rsidRPr="00292008" w:rsidRDefault="00292008" w:rsidP="00292008">
            <w:pPr>
              <w:numPr>
                <w:ilvl w:val="0"/>
                <w:numId w:val="13"/>
              </w:numPr>
              <w:spacing w:line="276" w:lineRule="auto"/>
              <w:contextualSpacing/>
              <w:rPr>
                <w:rFonts w:eastAsia="Arial"/>
              </w:rPr>
            </w:pPr>
            <w:r w:rsidRPr="00292008">
              <w:rPr>
                <w:rFonts w:eastAsia="Arial"/>
              </w:rPr>
              <w:t>Ilgalaikio (&gt; 1metus) gydymo efektyvumą vertinant pagal ppFEV</w:t>
            </w:r>
            <w:r w:rsidRPr="00292008">
              <w:rPr>
                <w:rFonts w:eastAsia="Arial"/>
                <w:vertAlign w:val="subscript"/>
              </w:rPr>
              <w:t>1</w:t>
            </w:r>
          </w:p>
          <w:p w14:paraId="756DB4EC" w14:textId="77777777" w:rsidR="00292008" w:rsidRPr="00292008" w:rsidRDefault="00292008" w:rsidP="00292008">
            <w:pPr>
              <w:numPr>
                <w:ilvl w:val="0"/>
                <w:numId w:val="13"/>
              </w:numPr>
              <w:spacing w:line="276" w:lineRule="auto"/>
              <w:contextualSpacing/>
              <w:rPr>
                <w:rFonts w:eastAsia="Arial"/>
              </w:rPr>
            </w:pPr>
            <w:r w:rsidRPr="00292008">
              <w:rPr>
                <w:rFonts w:eastAsia="Arial"/>
              </w:rPr>
              <w:t>Gydymo poveikio į plaučių funkcijos pablogėjimą;</w:t>
            </w:r>
          </w:p>
          <w:p w14:paraId="0CC2B2CE" w14:textId="77777777" w:rsidR="00292008" w:rsidRPr="00292008" w:rsidRDefault="00292008" w:rsidP="00292008">
            <w:pPr>
              <w:numPr>
                <w:ilvl w:val="0"/>
                <w:numId w:val="13"/>
              </w:numPr>
              <w:spacing w:line="276" w:lineRule="auto"/>
              <w:contextualSpacing/>
              <w:rPr>
                <w:rFonts w:eastAsia="Arial"/>
              </w:rPr>
            </w:pPr>
            <w:r w:rsidRPr="00292008">
              <w:rPr>
                <w:rFonts w:eastAsia="Arial"/>
              </w:rPr>
              <w:t>Gydymo nutraukimo Rinkodaros teisės turėtojo (RTT) vaistinių preparatų terapijos dažnį bei gydymo nutraukymo priežastis;</w:t>
            </w:r>
          </w:p>
          <w:p w14:paraId="2452400F" w14:textId="77777777" w:rsidR="00292008" w:rsidRPr="00292008" w:rsidRDefault="00292008" w:rsidP="00292008">
            <w:pPr>
              <w:numPr>
                <w:ilvl w:val="0"/>
                <w:numId w:val="13"/>
              </w:numPr>
              <w:spacing w:line="276" w:lineRule="auto"/>
              <w:contextualSpacing/>
              <w:rPr>
                <w:rFonts w:eastAsia="Arial"/>
              </w:rPr>
            </w:pPr>
            <w:r w:rsidRPr="00292008">
              <w:rPr>
                <w:rFonts w:eastAsia="Arial"/>
              </w:rPr>
              <w:t>Pacientų paskirto RTT vaistinių preparatų gydymo laikomojo dažnį;</w:t>
            </w:r>
          </w:p>
          <w:p w14:paraId="02705446" w14:textId="77777777" w:rsidR="00292008" w:rsidRPr="00292008" w:rsidRDefault="00292008" w:rsidP="00292008">
            <w:pPr>
              <w:numPr>
                <w:ilvl w:val="0"/>
                <w:numId w:val="13"/>
              </w:numPr>
              <w:spacing w:line="276" w:lineRule="auto"/>
              <w:contextualSpacing/>
              <w:rPr>
                <w:rFonts w:eastAsia="Arial"/>
              </w:rPr>
            </w:pPr>
            <w:r w:rsidRPr="00292008">
              <w:rPr>
                <w:rFonts w:eastAsia="Arial"/>
              </w:rPr>
              <w:t>Palyginamuosius gydymo rezultatus skirtingose pagal ligos sunkumo grupėse;</w:t>
            </w:r>
          </w:p>
          <w:p w14:paraId="2A5DA639" w14:textId="77777777" w:rsidR="00292008" w:rsidRPr="00292008" w:rsidRDefault="00292008" w:rsidP="00292008">
            <w:pPr>
              <w:numPr>
                <w:ilvl w:val="0"/>
                <w:numId w:val="13"/>
              </w:numPr>
              <w:spacing w:line="276" w:lineRule="auto"/>
              <w:contextualSpacing/>
              <w:rPr>
                <w:rFonts w:eastAsia="Arial"/>
              </w:rPr>
            </w:pPr>
            <w:r w:rsidRPr="00292008">
              <w:rPr>
                <w:rFonts w:eastAsia="Arial"/>
              </w:rPr>
              <w:t>Palyginamojo gydymo kaštų būdus;</w:t>
            </w:r>
          </w:p>
          <w:p w14:paraId="65BE934D" w14:textId="77777777" w:rsidR="00292008" w:rsidRPr="00292008" w:rsidRDefault="00292008" w:rsidP="00292008">
            <w:pPr>
              <w:numPr>
                <w:ilvl w:val="0"/>
                <w:numId w:val="13"/>
              </w:numPr>
              <w:spacing w:line="276" w:lineRule="auto"/>
              <w:contextualSpacing/>
              <w:rPr>
                <w:rFonts w:eastAsia="Arial"/>
              </w:rPr>
            </w:pPr>
            <w:r w:rsidRPr="00292008">
              <w:rPr>
                <w:rFonts w:eastAsia="Arial"/>
              </w:rPr>
              <w:t>Poveikius į pacientų gyvenimo kokybę;</w:t>
            </w:r>
          </w:p>
          <w:p w14:paraId="5B25E376" w14:textId="77777777" w:rsidR="00292008" w:rsidRPr="00292008" w:rsidRDefault="00292008" w:rsidP="00292008">
            <w:pPr>
              <w:numPr>
                <w:ilvl w:val="0"/>
                <w:numId w:val="13"/>
              </w:numPr>
              <w:spacing w:line="276" w:lineRule="auto"/>
              <w:contextualSpacing/>
              <w:rPr>
                <w:rFonts w:eastAsia="Arial"/>
              </w:rPr>
            </w:pPr>
            <w:r w:rsidRPr="00292008">
              <w:rPr>
                <w:rFonts w:eastAsia="Arial"/>
              </w:rPr>
              <w:t>Plaučių funkcijos paūmėjimo dažnius.</w:t>
            </w:r>
          </w:p>
          <w:p w14:paraId="579414AF" w14:textId="77777777" w:rsidR="00292008" w:rsidRPr="00292008" w:rsidRDefault="00292008" w:rsidP="00292008">
            <w:pPr>
              <w:spacing w:line="276" w:lineRule="auto"/>
              <w:rPr>
                <w:rFonts w:eastAsia="Arial"/>
              </w:rPr>
            </w:pPr>
            <w:r w:rsidRPr="00292008">
              <w:rPr>
                <w:rFonts w:eastAsia="Arial"/>
              </w:rPr>
              <w:t>NICE ir RTT sudarė sutartį dėl klinikinių duomenų rinkimo iki vasario 2022, vėliau prasidės naujas duomenų vertinimas. Šiuo metu pacientai gali būti gydomi individualiai – remiami iš Nacionaline sveikatos sistemos.</w:t>
            </w:r>
          </w:p>
        </w:tc>
      </w:tr>
      <w:tr w:rsidR="00292008" w:rsidRPr="00292008" w14:paraId="1B244D2C" w14:textId="77777777" w:rsidTr="000920CE">
        <w:trPr>
          <w:trHeight w:val="1547"/>
        </w:trPr>
        <w:tc>
          <w:tcPr>
            <w:tcW w:w="2927" w:type="dxa"/>
          </w:tcPr>
          <w:p w14:paraId="4ADFC45F" w14:textId="77777777" w:rsidR="00292008" w:rsidRPr="00292008" w:rsidRDefault="00292008" w:rsidP="00292008">
            <w:pPr>
              <w:spacing w:line="276" w:lineRule="auto"/>
              <w:rPr>
                <w:rFonts w:eastAsia="Arial"/>
              </w:rPr>
            </w:pPr>
            <w:r w:rsidRPr="00292008">
              <w:rPr>
                <w:rFonts w:eastAsia="Arial"/>
              </w:rPr>
              <w:lastRenderedPageBreak/>
              <w:t>Kanados sveikatos technologijų agentūra</w:t>
            </w:r>
          </w:p>
          <w:p w14:paraId="057D5AEA" w14:textId="77777777" w:rsidR="00292008" w:rsidRPr="00292008" w:rsidRDefault="00292008" w:rsidP="00292008">
            <w:pPr>
              <w:spacing w:line="276" w:lineRule="auto"/>
              <w:rPr>
                <w:rFonts w:eastAsia="Arial"/>
              </w:rPr>
            </w:pPr>
            <w:r w:rsidRPr="00292008">
              <w:rPr>
                <w:rFonts w:eastAsia="Arial"/>
              </w:rPr>
              <w:t xml:space="preserve">(angl. </w:t>
            </w:r>
            <w:proofErr w:type="spellStart"/>
            <w:r w:rsidRPr="00292008">
              <w:rPr>
                <w:rFonts w:eastAsia="Arial"/>
                <w:i/>
              </w:rPr>
              <w:t>Canadian</w:t>
            </w:r>
            <w:proofErr w:type="spellEnd"/>
            <w:r w:rsidRPr="00292008">
              <w:rPr>
                <w:rFonts w:eastAsia="Arial"/>
                <w:i/>
              </w:rPr>
              <w:t xml:space="preserve"> </w:t>
            </w:r>
            <w:proofErr w:type="spellStart"/>
            <w:r w:rsidRPr="00292008">
              <w:rPr>
                <w:rFonts w:eastAsia="Arial"/>
                <w:i/>
              </w:rPr>
              <w:t>health</w:t>
            </w:r>
            <w:proofErr w:type="spellEnd"/>
            <w:r w:rsidRPr="00292008">
              <w:rPr>
                <w:rFonts w:eastAsia="Arial"/>
                <w:i/>
              </w:rPr>
              <w:t xml:space="preserve"> </w:t>
            </w:r>
            <w:proofErr w:type="spellStart"/>
            <w:r w:rsidRPr="00292008">
              <w:rPr>
                <w:rFonts w:eastAsia="Arial"/>
                <w:i/>
              </w:rPr>
              <w:t>Technology</w:t>
            </w:r>
            <w:proofErr w:type="spellEnd"/>
            <w:r w:rsidRPr="00292008">
              <w:rPr>
                <w:rFonts w:eastAsia="Arial"/>
                <w:i/>
              </w:rPr>
              <w:t xml:space="preserve"> </w:t>
            </w:r>
            <w:proofErr w:type="spellStart"/>
            <w:r w:rsidRPr="00292008">
              <w:rPr>
                <w:rFonts w:eastAsia="Arial"/>
                <w:i/>
              </w:rPr>
              <w:t>Assessment</w:t>
            </w:r>
            <w:proofErr w:type="spellEnd"/>
            <w:r w:rsidRPr="00292008">
              <w:rPr>
                <w:rFonts w:eastAsia="Arial"/>
                <w:i/>
              </w:rPr>
              <w:t xml:space="preserve"> </w:t>
            </w:r>
            <w:proofErr w:type="spellStart"/>
            <w:r w:rsidRPr="00292008">
              <w:rPr>
                <w:rFonts w:eastAsia="Arial"/>
                <w:i/>
              </w:rPr>
              <w:t>agency</w:t>
            </w:r>
            <w:proofErr w:type="spellEnd"/>
            <w:r w:rsidRPr="00292008">
              <w:rPr>
                <w:rFonts w:eastAsia="Arial"/>
                <w:i/>
              </w:rPr>
              <w:t>, CADTH</w:t>
            </w:r>
            <w:r w:rsidRPr="00292008">
              <w:rPr>
                <w:rFonts w:eastAsia="Arial"/>
              </w:rPr>
              <w:t>)</w:t>
            </w:r>
          </w:p>
        </w:tc>
        <w:tc>
          <w:tcPr>
            <w:tcW w:w="1915" w:type="dxa"/>
          </w:tcPr>
          <w:p w14:paraId="351573CA" w14:textId="77777777" w:rsidR="00292008" w:rsidRPr="00292008" w:rsidRDefault="00000000" w:rsidP="00292008">
            <w:pPr>
              <w:spacing w:line="276" w:lineRule="auto"/>
              <w:rPr>
                <w:szCs w:val="20"/>
              </w:rPr>
            </w:pPr>
            <w:sdt>
              <w:sdtPr>
                <w:id w:val="-372539057"/>
                <w15:color w:val="FFCC00"/>
                <w14:checkbox>
                  <w14:checked w14:val="0"/>
                  <w14:checkedState w14:val="2612" w14:font="MS Gothic"/>
                  <w14:uncheckedState w14:val="2610" w14:font="MS Gothic"/>
                </w14:checkbox>
              </w:sdtPr>
              <w:sdtContent>
                <w:r w:rsidR="00292008" w:rsidRPr="00292008">
                  <w:rPr>
                    <w:rFonts w:ascii="Segoe UI Symbol" w:eastAsia="MS Gothic" w:hAnsi="Segoe UI Symbol" w:cs="Segoe UI Symbol"/>
                  </w:rPr>
                  <w:t>☐</w:t>
                </w:r>
              </w:sdtContent>
            </w:sdt>
            <w:r w:rsidR="00292008" w:rsidRPr="00292008">
              <w:rPr>
                <w:szCs w:val="20"/>
              </w:rPr>
              <w:t xml:space="preserve"> Taip</w:t>
            </w:r>
          </w:p>
          <w:p w14:paraId="1307C961" w14:textId="77777777" w:rsidR="00292008" w:rsidRPr="00292008" w:rsidRDefault="00000000" w:rsidP="00292008">
            <w:pPr>
              <w:spacing w:line="276" w:lineRule="auto"/>
              <w:rPr>
                <w:szCs w:val="20"/>
              </w:rPr>
            </w:pPr>
            <w:sdt>
              <w:sdtPr>
                <w:id w:val="594442222"/>
                <w15:color w:val="FFCC00"/>
                <w14:checkbox>
                  <w14:checked w14:val="1"/>
                  <w14:checkedState w14:val="2612" w14:font="MS Gothic"/>
                  <w14:uncheckedState w14:val="2610" w14:font="MS Gothic"/>
                </w14:checkbox>
              </w:sdtPr>
              <w:sdtContent>
                <w:r w:rsidR="00292008" w:rsidRPr="00292008">
                  <w:rPr>
                    <w:rFonts w:eastAsia="MS Gothic" w:hint="eastAsia"/>
                  </w:rPr>
                  <w:t>☒</w:t>
                </w:r>
              </w:sdtContent>
            </w:sdt>
            <w:r w:rsidR="00292008" w:rsidRPr="00292008">
              <w:rPr>
                <w:szCs w:val="20"/>
              </w:rPr>
              <w:t xml:space="preserve"> Ne</w:t>
            </w:r>
          </w:p>
          <w:p w14:paraId="2CC53C2C" w14:textId="77777777" w:rsidR="00292008" w:rsidRPr="00292008" w:rsidRDefault="00000000" w:rsidP="00292008">
            <w:pPr>
              <w:spacing w:line="276" w:lineRule="auto"/>
              <w:rPr>
                <w:rFonts w:eastAsia="Arial"/>
              </w:rPr>
            </w:pPr>
            <w:sdt>
              <w:sdtPr>
                <w:alias w:val="Nurodykite konkrečią dieną"/>
                <w:tag w:val="Nurodykite pradžios datą"/>
                <w:id w:val="1072468416"/>
                <w:placeholder>
                  <w:docPart w:val="C5F63AFD10AC4FED9D510CF746720279"/>
                </w:placeholder>
                <w15:color w:val="FFCC99"/>
                <w:date w:fullDate="2018-10-12T00:00:00Z">
                  <w:dateFormat w:val="yyyy 'm.' MMMM d 'd.'"/>
                  <w:lid w:val="lt-LT"/>
                  <w:storeMappedDataAs w:val="dateTime"/>
                  <w:calendar w:val="gregorian"/>
                </w:date>
              </w:sdtPr>
              <w:sdtContent>
                <w:r w:rsidR="00292008" w:rsidRPr="00292008">
                  <w:t>2018 m. spalio 12 d.</w:t>
                </w:r>
              </w:sdtContent>
            </w:sdt>
          </w:p>
        </w:tc>
        <w:tc>
          <w:tcPr>
            <w:tcW w:w="5076" w:type="dxa"/>
            <w:gridSpan w:val="2"/>
          </w:tcPr>
          <w:p w14:paraId="25A224B9" w14:textId="77777777" w:rsidR="00292008" w:rsidRPr="00292008" w:rsidRDefault="00292008" w:rsidP="00292008">
            <w:pPr>
              <w:spacing w:line="276" w:lineRule="auto"/>
              <w:rPr>
                <w:rFonts w:eastAsia="Arial"/>
              </w:rPr>
            </w:pPr>
            <w:r w:rsidRPr="00292008">
              <w:rPr>
                <w:rFonts w:eastAsia="Arial"/>
              </w:rPr>
              <w:t xml:space="preserve">CADTH nerekomenduoja kompensuoti </w:t>
            </w:r>
            <w:proofErr w:type="spellStart"/>
            <w:r w:rsidRPr="00292008">
              <w:rPr>
                <w:rFonts w:eastAsia="Arial"/>
              </w:rPr>
              <w:t>lumakaftoro</w:t>
            </w:r>
            <w:proofErr w:type="spellEnd"/>
            <w:r w:rsidRPr="00292008">
              <w:rPr>
                <w:rFonts w:eastAsia="Arial"/>
              </w:rPr>
              <w:t xml:space="preserve"> ir </w:t>
            </w:r>
            <w:proofErr w:type="spellStart"/>
            <w:r w:rsidRPr="00292008">
              <w:rPr>
                <w:rFonts w:eastAsia="Arial"/>
              </w:rPr>
              <w:t>ivakaftoro</w:t>
            </w:r>
            <w:proofErr w:type="spellEnd"/>
            <w:r w:rsidRPr="00292008">
              <w:rPr>
                <w:rFonts w:eastAsia="Arial"/>
              </w:rPr>
              <w:t xml:space="preserve"> derinį gydymui vaikams nuo 6 metų ir vyresniems, kurie yra </w:t>
            </w:r>
            <w:proofErr w:type="spellStart"/>
            <w:r w:rsidRPr="00292008">
              <w:rPr>
                <w:rFonts w:eastAsia="Arial"/>
              </w:rPr>
              <w:t>homozigotos</w:t>
            </w:r>
            <w:proofErr w:type="spellEnd"/>
            <w:r w:rsidRPr="00292008">
              <w:rPr>
                <w:rFonts w:eastAsia="Arial"/>
              </w:rPr>
              <w:t xml:space="preserve"> </w:t>
            </w:r>
          </w:p>
          <w:p w14:paraId="5867A4A6" w14:textId="77777777" w:rsidR="00292008" w:rsidRPr="00292008" w:rsidRDefault="00292008" w:rsidP="00292008">
            <w:pPr>
              <w:spacing w:line="276" w:lineRule="auto"/>
              <w:rPr>
                <w:rFonts w:eastAsia="Arial"/>
              </w:rPr>
            </w:pPr>
            <w:r w:rsidRPr="00292008">
              <w:rPr>
                <w:rFonts w:eastAsia="Arial"/>
              </w:rPr>
              <w:t>pagal F508del mutaciją CFTR gene (serga cistine fibroze).</w:t>
            </w:r>
          </w:p>
        </w:tc>
      </w:tr>
      <w:tr w:rsidR="00292008" w:rsidRPr="00292008" w14:paraId="77BC3970" w14:textId="77777777" w:rsidTr="000920CE">
        <w:trPr>
          <w:trHeight w:val="690"/>
        </w:trPr>
        <w:tc>
          <w:tcPr>
            <w:tcW w:w="2927" w:type="dxa"/>
          </w:tcPr>
          <w:p w14:paraId="5AB154CB" w14:textId="77777777" w:rsidR="00292008" w:rsidRPr="00292008" w:rsidRDefault="00292008" w:rsidP="00292008">
            <w:pPr>
              <w:spacing w:line="276" w:lineRule="auto"/>
              <w:rPr>
                <w:rFonts w:eastAsia="Arial"/>
              </w:rPr>
            </w:pPr>
            <w:r w:rsidRPr="00292008">
              <w:rPr>
                <w:rFonts w:eastAsia="Arial"/>
              </w:rPr>
              <w:t xml:space="preserve">Nacionalinis </w:t>
            </w:r>
            <w:proofErr w:type="spellStart"/>
            <w:r w:rsidRPr="00292008">
              <w:rPr>
                <w:rFonts w:eastAsia="Arial"/>
              </w:rPr>
              <w:t>farmakoekonomikos</w:t>
            </w:r>
            <w:proofErr w:type="spellEnd"/>
            <w:r w:rsidRPr="00292008">
              <w:rPr>
                <w:rFonts w:eastAsia="Arial"/>
              </w:rPr>
              <w:t xml:space="preserve"> centras, Airija</w:t>
            </w:r>
          </w:p>
          <w:p w14:paraId="600ED858" w14:textId="77777777" w:rsidR="00292008" w:rsidRPr="00292008" w:rsidRDefault="00292008" w:rsidP="00292008">
            <w:pPr>
              <w:spacing w:line="276" w:lineRule="auto"/>
              <w:rPr>
                <w:rFonts w:eastAsia="Arial"/>
              </w:rPr>
            </w:pPr>
            <w:r w:rsidRPr="00292008">
              <w:rPr>
                <w:rFonts w:eastAsia="Arial"/>
              </w:rPr>
              <w:t>(angl.</w:t>
            </w:r>
            <w:r w:rsidRPr="00292008">
              <w:rPr>
                <w:rFonts w:eastAsia="Arial"/>
                <w:i/>
              </w:rPr>
              <w:t xml:space="preserve"> </w:t>
            </w:r>
            <w:proofErr w:type="spellStart"/>
            <w:r w:rsidRPr="00292008">
              <w:rPr>
                <w:rFonts w:eastAsia="Arial"/>
                <w:i/>
              </w:rPr>
              <w:t>National</w:t>
            </w:r>
            <w:proofErr w:type="spellEnd"/>
            <w:r w:rsidRPr="00292008">
              <w:rPr>
                <w:rFonts w:eastAsia="Arial"/>
                <w:i/>
              </w:rPr>
              <w:t xml:space="preserve"> Centre </w:t>
            </w:r>
            <w:proofErr w:type="spellStart"/>
            <w:r w:rsidRPr="00292008">
              <w:rPr>
                <w:rFonts w:eastAsia="Arial"/>
                <w:i/>
              </w:rPr>
              <w:t>for</w:t>
            </w:r>
            <w:proofErr w:type="spellEnd"/>
            <w:r w:rsidRPr="00292008">
              <w:rPr>
                <w:rFonts w:eastAsia="Arial"/>
                <w:i/>
              </w:rPr>
              <w:t xml:space="preserve"> </w:t>
            </w:r>
            <w:proofErr w:type="spellStart"/>
            <w:r w:rsidRPr="00292008">
              <w:rPr>
                <w:rFonts w:eastAsia="Arial"/>
                <w:i/>
              </w:rPr>
              <w:t>Pharmacoeconomics</w:t>
            </w:r>
            <w:proofErr w:type="spellEnd"/>
            <w:r w:rsidRPr="00292008">
              <w:rPr>
                <w:rFonts w:eastAsia="Arial"/>
                <w:i/>
              </w:rPr>
              <w:t>, NCPE</w:t>
            </w:r>
            <w:r w:rsidRPr="00292008">
              <w:rPr>
                <w:rFonts w:eastAsia="Arial"/>
              </w:rPr>
              <w:t>)</w:t>
            </w:r>
          </w:p>
        </w:tc>
        <w:tc>
          <w:tcPr>
            <w:tcW w:w="1915" w:type="dxa"/>
          </w:tcPr>
          <w:p w14:paraId="348E97B0" w14:textId="77777777" w:rsidR="00292008" w:rsidRPr="00292008" w:rsidRDefault="00000000" w:rsidP="00292008">
            <w:pPr>
              <w:spacing w:line="276" w:lineRule="auto"/>
              <w:rPr>
                <w:szCs w:val="20"/>
              </w:rPr>
            </w:pPr>
            <w:sdt>
              <w:sdtPr>
                <w:id w:val="1634437882"/>
                <w15:color w:val="FFCC00"/>
                <w14:checkbox>
                  <w14:checked w14:val="0"/>
                  <w14:checkedState w14:val="2612" w14:font="MS Gothic"/>
                  <w14:uncheckedState w14:val="2610" w14:font="MS Gothic"/>
                </w14:checkbox>
              </w:sdtPr>
              <w:sdtContent>
                <w:r w:rsidR="00292008" w:rsidRPr="00292008">
                  <w:rPr>
                    <w:rFonts w:ascii="Segoe UI Symbol" w:eastAsia="MS Gothic" w:hAnsi="Segoe UI Symbol" w:cs="Segoe UI Symbol"/>
                  </w:rPr>
                  <w:t>☐</w:t>
                </w:r>
              </w:sdtContent>
            </w:sdt>
            <w:r w:rsidR="00292008" w:rsidRPr="00292008">
              <w:rPr>
                <w:szCs w:val="20"/>
              </w:rPr>
              <w:t xml:space="preserve"> Taip</w:t>
            </w:r>
          </w:p>
          <w:p w14:paraId="5D5E0E1B" w14:textId="77777777" w:rsidR="00292008" w:rsidRPr="00292008" w:rsidRDefault="00000000" w:rsidP="00292008">
            <w:pPr>
              <w:spacing w:line="276" w:lineRule="auto"/>
              <w:rPr>
                <w:szCs w:val="20"/>
              </w:rPr>
            </w:pPr>
            <w:sdt>
              <w:sdtPr>
                <w:id w:val="85655384"/>
                <w15:color w:val="FFCC00"/>
                <w14:checkbox>
                  <w14:checked w14:val="1"/>
                  <w14:checkedState w14:val="2612" w14:font="MS Gothic"/>
                  <w14:uncheckedState w14:val="2610" w14:font="MS Gothic"/>
                </w14:checkbox>
              </w:sdtPr>
              <w:sdtContent>
                <w:r w:rsidR="00292008" w:rsidRPr="00292008">
                  <w:rPr>
                    <w:rFonts w:eastAsia="MS Gothic" w:hint="eastAsia"/>
                  </w:rPr>
                  <w:t>☒</w:t>
                </w:r>
              </w:sdtContent>
            </w:sdt>
            <w:r w:rsidR="00292008" w:rsidRPr="00292008">
              <w:rPr>
                <w:szCs w:val="20"/>
              </w:rPr>
              <w:t xml:space="preserve"> Ne</w:t>
            </w:r>
          </w:p>
          <w:p w14:paraId="7C501379" w14:textId="77777777" w:rsidR="00292008" w:rsidRPr="00292008" w:rsidRDefault="00000000" w:rsidP="00292008">
            <w:pPr>
              <w:spacing w:after="120" w:line="276" w:lineRule="auto"/>
              <w:jc w:val="both"/>
            </w:pPr>
            <w:sdt>
              <w:sdtPr>
                <w:alias w:val="Nurodykite konkrečią dieną"/>
                <w:tag w:val="Nurodykite pradžios datą"/>
                <w:id w:val="1004862963"/>
                <w:placeholder>
                  <w:docPart w:val="6544C1AA4F834A1BB171BC4C2954B4BE"/>
                </w:placeholder>
                <w15:color w:val="FFCC99"/>
                <w:date w:fullDate="2016-06-01T00:00:00Z">
                  <w:dateFormat w:val="yyyy 'm.' MMMM d 'd.'"/>
                  <w:lid w:val="lt-LT"/>
                  <w:storeMappedDataAs w:val="dateTime"/>
                  <w:calendar w:val="gregorian"/>
                </w:date>
              </w:sdtPr>
              <w:sdtContent>
                <w:r w:rsidR="00292008" w:rsidRPr="0043511D">
                  <w:t>2016 m. birželio 1 d.</w:t>
                </w:r>
              </w:sdtContent>
            </w:sdt>
          </w:p>
        </w:tc>
        <w:tc>
          <w:tcPr>
            <w:tcW w:w="5076" w:type="dxa"/>
            <w:gridSpan w:val="2"/>
          </w:tcPr>
          <w:p w14:paraId="2707F7DA" w14:textId="77777777" w:rsidR="00292008" w:rsidRPr="00292008" w:rsidRDefault="00292008" w:rsidP="00292008">
            <w:pPr>
              <w:spacing w:line="276" w:lineRule="auto"/>
              <w:rPr>
                <w:rFonts w:eastAsia="Arial"/>
              </w:rPr>
            </w:pPr>
            <w:r w:rsidRPr="00292008">
              <w:rPr>
                <w:rFonts w:eastAsia="Arial"/>
              </w:rPr>
              <w:t>Nerekomenduoja kompensuoti pagal pateikta kainą.</w:t>
            </w:r>
          </w:p>
        </w:tc>
      </w:tr>
    </w:tbl>
    <w:p w14:paraId="0AF47653" w14:textId="77777777" w:rsidR="00292008" w:rsidRPr="00292008" w:rsidRDefault="00292008" w:rsidP="00292008">
      <w:pPr>
        <w:spacing w:line="276" w:lineRule="auto"/>
        <w:rPr>
          <w:rFonts w:eastAsia="Arial"/>
        </w:rPr>
      </w:pPr>
    </w:p>
    <w:p w14:paraId="73290081" w14:textId="1DADAACE" w:rsidR="007A2B68" w:rsidRDefault="007A2B68">
      <w:pPr>
        <w:rPr>
          <w:b/>
          <w:bCs/>
          <w:caps/>
        </w:rPr>
      </w:pP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4A53126F" w:rsidR="00D4485B" w:rsidRPr="008E2C97" w:rsidRDefault="00D4485B" w:rsidP="00A93AA6">
      <w:pPr>
        <w:pStyle w:val="Sraopastraipa"/>
        <w:tabs>
          <w:tab w:val="left" w:pos="426"/>
        </w:tabs>
        <w:ind w:left="0"/>
        <w:rPr>
          <w:bCs/>
          <w:caps/>
        </w:rPr>
      </w:pPr>
    </w:p>
    <w:p w14:paraId="1FF16927" w14:textId="77777777" w:rsidR="0043511D" w:rsidRPr="00130574" w:rsidRDefault="0043511D" w:rsidP="0043511D">
      <w:pPr>
        <w:tabs>
          <w:tab w:val="left" w:pos="426"/>
        </w:tabs>
        <w:spacing w:line="276" w:lineRule="auto"/>
        <w:jc w:val="both"/>
        <w:rPr>
          <w:rFonts w:eastAsia="Arial"/>
        </w:rPr>
      </w:pPr>
      <w:r w:rsidRPr="00130574">
        <w:rPr>
          <w:rFonts w:eastAsia="Arial"/>
        </w:rPr>
        <w:t xml:space="preserve">Cistinė fibrozė (CF) yra reta genetinė liga, kuri pasireiškia, kai asmuo paveldi cistinės fibrozės </w:t>
      </w:r>
      <w:proofErr w:type="spellStart"/>
      <w:r w:rsidRPr="00130574">
        <w:rPr>
          <w:rFonts w:eastAsia="Arial"/>
        </w:rPr>
        <w:t>transmembraninio</w:t>
      </w:r>
      <w:proofErr w:type="spellEnd"/>
      <w:r w:rsidRPr="00130574">
        <w:rPr>
          <w:rFonts w:eastAsia="Arial"/>
        </w:rPr>
        <w:t xml:space="preserve"> laidumo reguliatoriaus (</w:t>
      </w:r>
      <w:r w:rsidRPr="00130574">
        <w:rPr>
          <w:rFonts w:eastAsia="Arial"/>
          <w:i/>
        </w:rPr>
        <w:t xml:space="preserve">angl. </w:t>
      </w:r>
      <w:proofErr w:type="spellStart"/>
      <w:r w:rsidRPr="00130574">
        <w:rPr>
          <w:rFonts w:eastAsia="Arial"/>
          <w:i/>
        </w:rPr>
        <w:t>cystic</w:t>
      </w:r>
      <w:proofErr w:type="spellEnd"/>
      <w:r w:rsidRPr="00130574">
        <w:rPr>
          <w:rFonts w:eastAsia="Arial"/>
          <w:i/>
        </w:rPr>
        <w:t xml:space="preserve"> </w:t>
      </w:r>
      <w:proofErr w:type="spellStart"/>
      <w:r w:rsidRPr="00130574">
        <w:rPr>
          <w:rFonts w:eastAsia="Arial"/>
          <w:i/>
        </w:rPr>
        <w:t>fibrosis</w:t>
      </w:r>
      <w:proofErr w:type="spellEnd"/>
      <w:r w:rsidRPr="00130574">
        <w:rPr>
          <w:rFonts w:eastAsia="Arial"/>
          <w:i/>
        </w:rPr>
        <w:t xml:space="preserve"> </w:t>
      </w:r>
      <w:proofErr w:type="spellStart"/>
      <w:r w:rsidRPr="00130574">
        <w:rPr>
          <w:rFonts w:eastAsia="Arial"/>
          <w:i/>
        </w:rPr>
        <w:t>transmembrane</w:t>
      </w:r>
      <w:proofErr w:type="spellEnd"/>
      <w:r w:rsidRPr="00130574">
        <w:rPr>
          <w:rFonts w:eastAsia="Arial"/>
          <w:i/>
        </w:rPr>
        <w:t xml:space="preserve"> </w:t>
      </w:r>
      <w:proofErr w:type="spellStart"/>
      <w:r w:rsidRPr="00130574">
        <w:rPr>
          <w:rFonts w:eastAsia="Arial"/>
          <w:i/>
        </w:rPr>
        <w:t>conductance</w:t>
      </w:r>
      <w:proofErr w:type="spellEnd"/>
      <w:r w:rsidRPr="00130574">
        <w:rPr>
          <w:rFonts w:eastAsia="Arial"/>
          <w:i/>
        </w:rPr>
        <w:t xml:space="preserve"> </w:t>
      </w:r>
      <w:proofErr w:type="spellStart"/>
      <w:r w:rsidRPr="00130574">
        <w:rPr>
          <w:rFonts w:eastAsia="Arial"/>
          <w:i/>
        </w:rPr>
        <w:t>regulator</w:t>
      </w:r>
      <w:proofErr w:type="spellEnd"/>
      <w:r w:rsidRPr="00130574">
        <w:rPr>
          <w:rFonts w:eastAsia="Arial"/>
          <w:i/>
        </w:rPr>
        <w:t>, CFTR</w:t>
      </w:r>
      <w:r w:rsidRPr="00130574">
        <w:rPr>
          <w:rFonts w:eastAsia="Arial"/>
        </w:rPr>
        <w:t xml:space="preserve">) geno su defektu dvi kopijas. CFTR geno mutacijos gali sutrikdyti normalią CFTR baltymo, kuris yra atsakingas už druskos ir skysčių srauto į ląsteles ir iš jų reguliavimą įvairiose kūno dalyse, gamybą ir (arba) funkciją. Dėl sutrikusios CFTR baltymų funkcijos plaučiuose pradeda kauptis tirštos gleivės ir sutrinka kepenų, kasos ir kitų organų funkcija. </w:t>
      </w:r>
    </w:p>
    <w:p w14:paraId="0B5BB0A6" w14:textId="77777777" w:rsidR="0043511D" w:rsidRPr="00130574" w:rsidRDefault="0043511D" w:rsidP="0043511D">
      <w:pPr>
        <w:tabs>
          <w:tab w:val="left" w:pos="426"/>
        </w:tabs>
        <w:spacing w:line="276" w:lineRule="auto"/>
        <w:jc w:val="both"/>
        <w:rPr>
          <w:rFonts w:eastAsia="Arial"/>
        </w:rPr>
      </w:pPr>
      <w:r>
        <w:rPr>
          <w:rFonts w:eastAsia="Arial"/>
        </w:rPr>
        <w:tab/>
      </w:r>
      <w:r w:rsidRPr="00130574">
        <w:rPr>
          <w:rFonts w:eastAsia="Arial"/>
        </w:rPr>
        <w:t xml:space="preserve">CF sukelta žala prasideda gimdoje ir progresuoja ankstyvoje vaikystėje. Simptomai gali labai skirtis tarp skirtingų žmonių, ir paveikti plaučius, kasą ir virškinimo sistemą. Tačiau progresuojanti plaučių liga yra pagrindinė sergančiųjų CF sergamumo ir mirtingumo priežastis. Plaučių struktūriniai pakitimai yra </w:t>
      </w:r>
      <w:r>
        <w:rPr>
          <w:rFonts w:eastAsia="Arial"/>
        </w:rPr>
        <w:t xml:space="preserve">akivaizdūs nuo ankstyvo amžiaus, </w:t>
      </w:r>
      <w:r w:rsidRPr="00130574">
        <w:rPr>
          <w:rFonts w:eastAsia="Arial"/>
        </w:rPr>
        <w:t>o galimai negrįžtamo plaučių pažeidimo požymiai stebimi jau nuo 2 metų. CF sergantiems asmenims ankstyvoje vaikystėje palaipsniui prastėja plaučių funkcija, o prastėjimo tempas smarkiai pagreitėja paauglystėje ir ankstyvoje pilnametystėje.</w:t>
      </w:r>
    </w:p>
    <w:p w14:paraId="57947B9D" w14:textId="77777777" w:rsidR="0043511D" w:rsidRPr="00130574" w:rsidRDefault="0043511D" w:rsidP="0043511D">
      <w:pPr>
        <w:tabs>
          <w:tab w:val="left" w:pos="426"/>
        </w:tabs>
        <w:spacing w:line="276" w:lineRule="auto"/>
        <w:jc w:val="both"/>
        <w:rPr>
          <w:rFonts w:eastAsia="Arial"/>
        </w:rPr>
      </w:pPr>
      <w:r>
        <w:rPr>
          <w:rFonts w:eastAsia="Arial"/>
        </w:rPr>
        <w:tab/>
      </w:r>
      <w:r w:rsidRPr="00130574">
        <w:rPr>
          <w:rFonts w:eastAsia="Arial"/>
        </w:rPr>
        <w:t>Kitos dažnos su CF susijusios lydinčios ligos ir komplikacijos yra maistinių medžiagų trūkumas ir prastas augimas (pvz., mažas kūno svoris), kepenų liga, su CF susijęs diabetas (CFRD), lėtinė kaulų liga (</w:t>
      </w:r>
      <w:proofErr w:type="spellStart"/>
      <w:r w:rsidRPr="00130574">
        <w:rPr>
          <w:rFonts w:eastAsia="Arial"/>
        </w:rPr>
        <w:t>t.y</w:t>
      </w:r>
      <w:proofErr w:type="spellEnd"/>
      <w:r w:rsidRPr="00130574">
        <w:rPr>
          <w:rFonts w:eastAsia="Arial"/>
        </w:rPr>
        <w:t xml:space="preserve">. </w:t>
      </w:r>
      <w:proofErr w:type="spellStart"/>
      <w:r w:rsidRPr="00130574">
        <w:rPr>
          <w:rFonts w:eastAsia="Arial"/>
        </w:rPr>
        <w:t>osteopenija</w:t>
      </w:r>
      <w:proofErr w:type="spellEnd"/>
      <w:r w:rsidRPr="00130574">
        <w:rPr>
          <w:rFonts w:eastAsia="Arial"/>
        </w:rPr>
        <w:t xml:space="preserve"> ir osteoporozė), su CF susijusi </w:t>
      </w:r>
      <w:proofErr w:type="spellStart"/>
      <w:r w:rsidRPr="00130574">
        <w:rPr>
          <w:rFonts w:eastAsia="Arial"/>
        </w:rPr>
        <w:t>artropatija</w:t>
      </w:r>
      <w:proofErr w:type="spellEnd"/>
      <w:r w:rsidRPr="00130574">
        <w:rPr>
          <w:rFonts w:eastAsia="Arial"/>
        </w:rPr>
        <w:t xml:space="preserve"> ir pablogėjęs vaisingumas. Nepaisant naujausių palaikomojo gydymo pasiekimų, pusė žmonių, sergančių CF, miršta nesulaukę trisdešimties metų vidurio.</w:t>
      </w:r>
    </w:p>
    <w:p w14:paraId="76570F6C" w14:textId="77777777" w:rsidR="0043511D" w:rsidRDefault="0043511D" w:rsidP="0043511D">
      <w:pPr>
        <w:tabs>
          <w:tab w:val="left" w:pos="284"/>
        </w:tabs>
        <w:spacing w:line="276" w:lineRule="auto"/>
        <w:jc w:val="both"/>
        <w:rPr>
          <w:rFonts w:eastAsia="Arial"/>
        </w:rPr>
      </w:pPr>
      <w:r>
        <w:rPr>
          <w:rFonts w:eastAsia="Arial"/>
        </w:rPr>
        <w:tab/>
      </w:r>
      <w:r w:rsidRPr="00130574">
        <w:rPr>
          <w:rFonts w:eastAsia="Arial"/>
        </w:rPr>
        <w:t>Apskaičiuota, kad sergamumas CF yra 1 iš 2 500–3 500 Europoje gimusių gyvų kūdikių.</w:t>
      </w:r>
      <w:r>
        <w:rPr>
          <w:rFonts w:eastAsia="Arial"/>
        </w:rPr>
        <w:t xml:space="preserve"> </w:t>
      </w:r>
      <w:r w:rsidRPr="0044698E">
        <w:rPr>
          <w:rFonts w:eastAsia="Arial"/>
        </w:rPr>
        <w:t>Šiuo metu CF nėra išgydoma</w:t>
      </w:r>
      <w:r>
        <w:rPr>
          <w:rFonts w:eastAsia="Arial"/>
        </w:rPr>
        <w:t>,</w:t>
      </w:r>
      <w:r w:rsidRPr="0044698E">
        <w:rPr>
          <w:rFonts w:eastAsia="Arial"/>
        </w:rPr>
        <w:t xml:space="preserve"> tačiau ankstyva intervencija yra labai svarbi, siekiant sulėtinti ligos progresavimą ir užkirsti kelią tolesniam pažeidimui</w:t>
      </w:r>
      <w:r>
        <w:rPr>
          <w:rFonts w:eastAsia="Arial"/>
        </w:rPr>
        <w:t>.</w:t>
      </w:r>
      <w:r w:rsidRPr="0044698E">
        <w:rPr>
          <w:rFonts w:eastAsia="Arial"/>
        </w:rPr>
        <w:t xml:space="preserve"> Esami gydymo būdai yra plačiai suskirstyti į dvi grupes, atsižvelgiant į tikėtiną jų klinikinę naudą, įskaitant </w:t>
      </w:r>
      <w:r w:rsidRPr="00024C9C">
        <w:rPr>
          <w:rFonts w:eastAsia="Arial"/>
          <w:i/>
        </w:rPr>
        <w:t>1)</w:t>
      </w:r>
      <w:r w:rsidRPr="0044698E">
        <w:rPr>
          <w:rFonts w:eastAsia="Arial"/>
        </w:rPr>
        <w:t xml:space="preserve"> simptominį gydymą (pvz., antibiotikai, </w:t>
      </w:r>
      <w:proofErr w:type="spellStart"/>
      <w:r w:rsidRPr="0044698E">
        <w:rPr>
          <w:rFonts w:eastAsia="Arial"/>
        </w:rPr>
        <w:t>mukolitikai</w:t>
      </w:r>
      <w:proofErr w:type="spellEnd"/>
      <w:r w:rsidRPr="0044698E">
        <w:rPr>
          <w:rFonts w:eastAsia="Arial"/>
        </w:rPr>
        <w:t>, pa</w:t>
      </w:r>
      <w:r>
        <w:rPr>
          <w:rFonts w:eastAsia="Arial"/>
        </w:rPr>
        <w:t>kaitinė kasos fermentų terapija</w:t>
      </w:r>
      <w:r w:rsidRPr="0044698E">
        <w:rPr>
          <w:rFonts w:eastAsia="Arial"/>
        </w:rPr>
        <w:t xml:space="preserve">) ir </w:t>
      </w:r>
      <w:r w:rsidRPr="00024C9C">
        <w:rPr>
          <w:rFonts w:eastAsia="Arial"/>
          <w:i/>
        </w:rPr>
        <w:t>2)</w:t>
      </w:r>
      <w:r w:rsidRPr="0044698E">
        <w:rPr>
          <w:rFonts w:eastAsia="Arial"/>
        </w:rPr>
        <w:t xml:space="preserve"> CFTR moduliatorius, kurie nukreipti į pagrindinę ligos priežastį.</w:t>
      </w:r>
    </w:p>
    <w:p w14:paraId="04F796D4" w14:textId="77777777" w:rsidR="0043511D" w:rsidRDefault="0043511D" w:rsidP="0043511D">
      <w:pPr>
        <w:tabs>
          <w:tab w:val="left" w:pos="426"/>
        </w:tabs>
        <w:spacing w:line="276" w:lineRule="auto"/>
        <w:jc w:val="both"/>
        <w:rPr>
          <w:rFonts w:eastAsia="Arial"/>
        </w:rPr>
      </w:pPr>
      <w:r>
        <w:rPr>
          <w:rFonts w:eastAsia="Arial"/>
        </w:rPr>
        <w:tab/>
        <w:t xml:space="preserve">Remiantis Europos cistinės fibrozės draugijos (angl. ECFS, 2018) geriausios klinikinės praktikos gairėmis, pacientų gydymas turi būti pradėtas nedelsiant, nustačius </w:t>
      </w:r>
      <w:r w:rsidRPr="00130574">
        <w:rPr>
          <w:rFonts w:eastAsia="Arial"/>
        </w:rPr>
        <w:t xml:space="preserve">cistinės fibrozės </w:t>
      </w:r>
      <w:proofErr w:type="spellStart"/>
      <w:r w:rsidRPr="00130574">
        <w:rPr>
          <w:rFonts w:eastAsia="Arial"/>
        </w:rPr>
        <w:t>transmembraninio</w:t>
      </w:r>
      <w:proofErr w:type="spellEnd"/>
      <w:r w:rsidRPr="00130574">
        <w:rPr>
          <w:rFonts w:eastAsia="Arial"/>
        </w:rPr>
        <w:t xml:space="preserve"> laidumo reguliatoriaus (</w:t>
      </w:r>
      <w:r w:rsidRPr="00130574">
        <w:rPr>
          <w:rFonts w:eastAsia="Arial"/>
          <w:i/>
        </w:rPr>
        <w:t xml:space="preserve">angl. </w:t>
      </w:r>
      <w:proofErr w:type="spellStart"/>
      <w:r w:rsidRPr="00130574">
        <w:rPr>
          <w:rFonts w:eastAsia="Arial"/>
          <w:i/>
        </w:rPr>
        <w:t>cystic</w:t>
      </w:r>
      <w:proofErr w:type="spellEnd"/>
      <w:r w:rsidRPr="00130574">
        <w:rPr>
          <w:rFonts w:eastAsia="Arial"/>
          <w:i/>
        </w:rPr>
        <w:t xml:space="preserve"> </w:t>
      </w:r>
      <w:proofErr w:type="spellStart"/>
      <w:r w:rsidRPr="00130574">
        <w:rPr>
          <w:rFonts w:eastAsia="Arial"/>
          <w:i/>
        </w:rPr>
        <w:t>fibrosis</w:t>
      </w:r>
      <w:proofErr w:type="spellEnd"/>
      <w:r w:rsidRPr="00130574">
        <w:rPr>
          <w:rFonts w:eastAsia="Arial"/>
          <w:i/>
        </w:rPr>
        <w:t xml:space="preserve"> </w:t>
      </w:r>
      <w:proofErr w:type="spellStart"/>
      <w:r w:rsidRPr="00130574">
        <w:rPr>
          <w:rFonts w:eastAsia="Arial"/>
          <w:i/>
        </w:rPr>
        <w:t>transmembrane</w:t>
      </w:r>
      <w:proofErr w:type="spellEnd"/>
      <w:r w:rsidRPr="00130574">
        <w:rPr>
          <w:rFonts w:eastAsia="Arial"/>
          <w:i/>
        </w:rPr>
        <w:t xml:space="preserve"> </w:t>
      </w:r>
      <w:proofErr w:type="spellStart"/>
      <w:r w:rsidRPr="00130574">
        <w:rPr>
          <w:rFonts w:eastAsia="Arial"/>
          <w:i/>
        </w:rPr>
        <w:t>conductance</w:t>
      </w:r>
      <w:proofErr w:type="spellEnd"/>
      <w:r w:rsidRPr="00130574">
        <w:rPr>
          <w:rFonts w:eastAsia="Arial"/>
          <w:i/>
        </w:rPr>
        <w:t xml:space="preserve"> </w:t>
      </w:r>
      <w:proofErr w:type="spellStart"/>
      <w:r w:rsidRPr="00130574">
        <w:rPr>
          <w:rFonts w:eastAsia="Arial"/>
          <w:i/>
        </w:rPr>
        <w:t>regulator</w:t>
      </w:r>
      <w:proofErr w:type="spellEnd"/>
      <w:r w:rsidRPr="00130574">
        <w:rPr>
          <w:rFonts w:eastAsia="Arial"/>
          <w:i/>
        </w:rPr>
        <w:t>, CFTR</w:t>
      </w:r>
      <w:r w:rsidRPr="00130574">
        <w:rPr>
          <w:rFonts w:eastAsia="Arial"/>
        </w:rPr>
        <w:t>) geno su defektu dvi kopijas</w:t>
      </w:r>
      <w:r>
        <w:rPr>
          <w:rFonts w:eastAsia="Arial"/>
        </w:rPr>
        <w:t xml:space="preserve"> (F508del). Galiosi šio geno mutacijos 4 versijos: F/F, F/MF, F/RF ir F/G (1 lentelė). Esant F/F ir F/MF mutacijoms cistinės fibrozės eiga sunkesnė. Gydymas nukreiptas į plaučių ligą, taip pat lygiagrečiai valdomos virškinimo sistemos ir antibakterinio gydymo komplikacijos. Esant suprastėjusiai plaučių funkcijai (FEV</w:t>
      </w:r>
      <w:r w:rsidRPr="007A28D4">
        <w:rPr>
          <w:rFonts w:eastAsia="Arial"/>
          <w:vertAlign w:val="subscript"/>
        </w:rPr>
        <w:t>1</w:t>
      </w:r>
      <w:r>
        <w:rPr>
          <w:rFonts w:eastAsia="Arial"/>
        </w:rPr>
        <w:t xml:space="preserve"> &lt;30 proc.) </w:t>
      </w:r>
      <w:r>
        <w:rPr>
          <w:rFonts w:eastAsia="Arial"/>
        </w:rPr>
        <w:lastRenderedPageBreak/>
        <w:t>rekomenduojama plaučių transplantacija ir paskutinių gyvenimo metų gydymas (</w:t>
      </w:r>
      <w:r w:rsidRPr="007A28D4">
        <w:rPr>
          <w:rFonts w:eastAsia="Arial"/>
          <w:i/>
        </w:rPr>
        <w:t xml:space="preserve">angl. </w:t>
      </w:r>
      <w:proofErr w:type="spellStart"/>
      <w:r w:rsidRPr="007A28D4">
        <w:rPr>
          <w:rFonts w:eastAsia="Arial"/>
          <w:i/>
        </w:rPr>
        <w:t>end</w:t>
      </w:r>
      <w:proofErr w:type="spellEnd"/>
      <w:r w:rsidRPr="007A28D4">
        <w:rPr>
          <w:rFonts w:eastAsia="Arial"/>
          <w:i/>
        </w:rPr>
        <w:t xml:space="preserve"> </w:t>
      </w:r>
      <w:proofErr w:type="spellStart"/>
      <w:r w:rsidRPr="007A28D4">
        <w:rPr>
          <w:rFonts w:eastAsia="Arial"/>
          <w:i/>
        </w:rPr>
        <w:t>of</w:t>
      </w:r>
      <w:proofErr w:type="spellEnd"/>
      <w:r w:rsidRPr="007A28D4">
        <w:rPr>
          <w:rFonts w:eastAsia="Arial"/>
          <w:i/>
        </w:rPr>
        <w:t xml:space="preserve"> </w:t>
      </w:r>
      <w:proofErr w:type="spellStart"/>
      <w:r w:rsidRPr="007A28D4">
        <w:rPr>
          <w:rFonts w:eastAsia="Arial"/>
          <w:i/>
        </w:rPr>
        <w:t>life</w:t>
      </w:r>
      <w:proofErr w:type="spellEnd"/>
      <w:r w:rsidRPr="007A28D4">
        <w:rPr>
          <w:rFonts w:eastAsia="Arial"/>
          <w:i/>
        </w:rPr>
        <w:t xml:space="preserve"> </w:t>
      </w:r>
      <w:proofErr w:type="spellStart"/>
      <w:r w:rsidRPr="007A28D4">
        <w:rPr>
          <w:rFonts w:eastAsia="Arial"/>
          <w:i/>
        </w:rPr>
        <w:t>treatment</w:t>
      </w:r>
      <w:proofErr w:type="spellEnd"/>
      <w:r>
        <w:rPr>
          <w:rFonts w:eastAsia="Arial"/>
        </w:rPr>
        <w:t>).</w:t>
      </w:r>
    </w:p>
    <w:p w14:paraId="2961E868" w14:textId="77777777" w:rsidR="0043511D" w:rsidRPr="006B0E03" w:rsidRDefault="0043511D" w:rsidP="0043511D">
      <w:pPr>
        <w:spacing w:line="276" w:lineRule="auto"/>
        <w:ind w:firstLine="720"/>
        <w:contextualSpacing/>
        <w:jc w:val="both"/>
      </w:pPr>
      <w:r>
        <w:rPr>
          <w:rFonts w:eastAsia="Arial"/>
        </w:rPr>
        <w:tab/>
        <w:t xml:space="preserve">Sveikatos technologijos vertinimui pateiktas vaistinis preparatas </w:t>
      </w:r>
      <w:proofErr w:type="spellStart"/>
      <w:r>
        <w:rPr>
          <w:rFonts w:eastAsia="Arial"/>
        </w:rPr>
        <w:t>Orkambi</w:t>
      </w:r>
      <w:proofErr w:type="spellEnd"/>
      <w:r>
        <w:rPr>
          <w:rFonts w:eastAsia="Arial"/>
        </w:rPr>
        <w:t xml:space="preserve"> (</w:t>
      </w:r>
      <w:proofErr w:type="spellStart"/>
      <w:r>
        <w:rPr>
          <w:rFonts w:eastAsia="Arial"/>
        </w:rPr>
        <w:t>lumakaftoras</w:t>
      </w:r>
      <w:proofErr w:type="spellEnd"/>
      <w:r>
        <w:rPr>
          <w:rFonts w:eastAsia="Arial"/>
        </w:rPr>
        <w:t>/</w:t>
      </w:r>
      <w:r w:rsidRPr="009B26BF">
        <w:rPr>
          <w:rFonts w:eastAsia="Arial"/>
        </w:rPr>
        <w:t xml:space="preserve"> </w:t>
      </w:r>
      <w:proofErr w:type="spellStart"/>
      <w:r w:rsidRPr="009B26BF">
        <w:rPr>
          <w:rFonts w:eastAsia="Arial"/>
        </w:rPr>
        <w:t>ivakaftoras</w:t>
      </w:r>
      <w:proofErr w:type="spellEnd"/>
      <w:r>
        <w:rPr>
          <w:rFonts w:eastAsia="Arial"/>
        </w:rPr>
        <w:t>)</w:t>
      </w:r>
      <w:r w:rsidRPr="009B26BF">
        <w:rPr>
          <w:rFonts w:eastAsia="Arial"/>
        </w:rPr>
        <w:t xml:space="preserve"> </w:t>
      </w:r>
      <w:r>
        <w:rPr>
          <w:rFonts w:eastAsia="Arial"/>
        </w:rPr>
        <w:t xml:space="preserve">yra </w:t>
      </w:r>
      <w:r w:rsidRPr="00130574">
        <w:rPr>
          <w:rFonts w:eastAsia="Arial"/>
        </w:rPr>
        <w:t xml:space="preserve">cistinės fibrozės </w:t>
      </w:r>
      <w:proofErr w:type="spellStart"/>
      <w:r w:rsidRPr="00130574">
        <w:rPr>
          <w:rFonts w:eastAsia="Arial"/>
        </w:rPr>
        <w:t>transmembraninio</w:t>
      </w:r>
      <w:proofErr w:type="spellEnd"/>
      <w:r w:rsidRPr="00130574">
        <w:rPr>
          <w:rFonts w:eastAsia="Arial"/>
        </w:rPr>
        <w:t xml:space="preserve"> laidumo reguliatoriaus</w:t>
      </w:r>
      <w:r>
        <w:rPr>
          <w:rFonts w:eastAsia="Arial"/>
        </w:rPr>
        <w:t xml:space="preserve"> (CFTR) moduliatorius, kurio poveikis susideda iš </w:t>
      </w:r>
      <w:proofErr w:type="spellStart"/>
      <w:r>
        <w:rPr>
          <w:rFonts w:eastAsia="Arial"/>
        </w:rPr>
        <w:t>lumakaftoro</w:t>
      </w:r>
      <w:proofErr w:type="spellEnd"/>
      <w:r w:rsidRPr="009B26BF">
        <w:rPr>
          <w:rFonts w:eastAsia="Arial"/>
        </w:rPr>
        <w:t xml:space="preserve"> </w:t>
      </w:r>
      <w:r>
        <w:rPr>
          <w:rFonts w:eastAsia="Arial"/>
        </w:rPr>
        <w:t>-</w:t>
      </w:r>
      <w:r w:rsidRPr="009B26BF">
        <w:rPr>
          <w:rFonts w:eastAsia="Arial"/>
        </w:rPr>
        <w:t xml:space="preserve"> CFTR korektori</w:t>
      </w:r>
      <w:r>
        <w:rPr>
          <w:rFonts w:eastAsia="Arial"/>
        </w:rPr>
        <w:t>a</w:t>
      </w:r>
      <w:r w:rsidRPr="009B26BF">
        <w:rPr>
          <w:rFonts w:eastAsia="Arial"/>
        </w:rPr>
        <w:t>us</w:t>
      </w:r>
      <w:r>
        <w:rPr>
          <w:rFonts w:eastAsia="Arial"/>
        </w:rPr>
        <w:t xml:space="preserve"> bei </w:t>
      </w:r>
      <w:proofErr w:type="spellStart"/>
      <w:r>
        <w:rPr>
          <w:rFonts w:eastAsia="Arial"/>
        </w:rPr>
        <w:t>i</w:t>
      </w:r>
      <w:r w:rsidRPr="009B26BF">
        <w:rPr>
          <w:rFonts w:eastAsia="Arial"/>
        </w:rPr>
        <w:t>vakaftor</w:t>
      </w:r>
      <w:r>
        <w:rPr>
          <w:rFonts w:eastAsia="Arial"/>
        </w:rPr>
        <w:t>o</w:t>
      </w:r>
      <w:proofErr w:type="spellEnd"/>
      <w:r>
        <w:rPr>
          <w:rFonts w:eastAsia="Arial"/>
        </w:rPr>
        <w:t xml:space="preserve"> - CFTR </w:t>
      </w:r>
      <w:proofErr w:type="spellStart"/>
      <w:r>
        <w:rPr>
          <w:rFonts w:eastAsia="Arial"/>
        </w:rPr>
        <w:t>stipriklio</w:t>
      </w:r>
      <w:proofErr w:type="spellEnd"/>
      <w:r>
        <w:rPr>
          <w:rFonts w:eastAsia="Arial"/>
        </w:rPr>
        <w:t xml:space="preserve">. Šio vaistinio preparato paskirtis – padidinti CFTR kiekį ląstelių paviršiuje ir </w:t>
      </w:r>
      <w:r w:rsidRPr="009B26BF">
        <w:rPr>
          <w:rFonts w:eastAsia="Arial"/>
        </w:rPr>
        <w:t>chlorido jonų pernašą</w:t>
      </w:r>
      <w:r>
        <w:rPr>
          <w:rFonts w:eastAsia="Arial"/>
        </w:rPr>
        <w:t xml:space="preserve">. </w:t>
      </w:r>
      <w:r>
        <w:t>Šiuo metu cistinė fibrozė</w:t>
      </w:r>
      <w:r w:rsidRPr="006B0E03">
        <w:t xml:space="preserve"> nėra išgydoma, tačiau ankstyva intervencija yra labai svarbi, siekiant sulėtinti ligos progresavimą ir užkirsti kelią tolesniam pažeidimui.</w:t>
      </w:r>
      <w:r>
        <w:t xml:space="preserve"> </w:t>
      </w:r>
      <w:r w:rsidRPr="006B0E03">
        <w:t xml:space="preserve">Esami gydymo būdai yra </w:t>
      </w:r>
      <w:r>
        <w:t xml:space="preserve">simptominis gydymas ir gydymas CFTR moduliatoriais. </w:t>
      </w:r>
      <w:r w:rsidRPr="006B0E03">
        <w:t>Lietuvoje nėra kompensuojamų CF</w:t>
      </w:r>
      <w:r>
        <w:t xml:space="preserve">TR moduliatorių, todėl pacientams taikomas simptominis gydymas: </w:t>
      </w:r>
      <w:r w:rsidRPr="00D712A6">
        <w:t xml:space="preserve">antibiotikai, </w:t>
      </w:r>
      <w:proofErr w:type="spellStart"/>
      <w:r>
        <w:t>m</w:t>
      </w:r>
      <w:r w:rsidRPr="00D712A6">
        <w:t>ukolitikai</w:t>
      </w:r>
      <w:proofErr w:type="spellEnd"/>
      <w:r>
        <w:rPr>
          <w:rFonts w:eastAsia="Arial"/>
          <w:b/>
          <w:bCs/>
          <w:sz w:val="22"/>
          <w:szCs w:val="22"/>
        </w:rPr>
        <w:t xml:space="preserve">, </w:t>
      </w:r>
      <w:r>
        <w:t>pa</w:t>
      </w:r>
      <w:r w:rsidRPr="00D712A6">
        <w:t>kaitinė kasos fermentų terapija</w:t>
      </w:r>
      <w:r>
        <w:t xml:space="preserve"> ir bronchus plečiantys vaistai.</w:t>
      </w:r>
    </w:p>
    <w:p w14:paraId="2C1DA9C3" w14:textId="77777777" w:rsidR="0043511D" w:rsidRDefault="0043511D" w:rsidP="0043511D">
      <w:pPr>
        <w:tabs>
          <w:tab w:val="left" w:pos="284"/>
        </w:tabs>
        <w:spacing w:line="276" w:lineRule="auto"/>
        <w:jc w:val="both"/>
        <w:rPr>
          <w:rFonts w:eastAsia="Arial"/>
        </w:rPr>
      </w:pPr>
    </w:p>
    <w:p w14:paraId="0906585D" w14:textId="77777777" w:rsidR="0043511D" w:rsidRDefault="0043511D" w:rsidP="0043511D">
      <w:pPr>
        <w:tabs>
          <w:tab w:val="left" w:pos="284"/>
        </w:tabs>
        <w:spacing w:line="276" w:lineRule="auto"/>
        <w:jc w:val="both"/>
        <w:rPr>
          <w:rFonts w:eastAsia="Arial"/>
        </w:rPr>
      </w:pPr>
      <w:r>
        <w:rPr>
          <w:rFonts w:eastAsia="Arial"/>
        </w:rPr>
        <w:tab/>
      </w:r>
      <w:r w:rsidRPr="00B50E5A">
        <w:rPr>
          <w:rFonts w:eastAsia="Arial"/>
        </w:rPr>
        <w:t>Pareiškėjas pateikia</w:t>
      </w:r>
      <w:r>
        <w:rPr>
          <w:rFonts w:eastAsia="Arial"/>
        </w:rPr>
        <w:t xml:space="preserve"> 4 pagrindinius klinikinius tyrimus, kuriuose dalyvavo skirtingų amžiaus vaikai, paaugliai ir suaugusieji. Taip pat patekti šių klinikinių tyrimų tęstiniai stebėjimai ilgalaikiam saugumui ir efektyvumui nustatyti.</w:t>
      </w:r>
    </w:p>
    <w:p w14:paraId="537895F1" w14:textId="77777777" w:rsidR="0043511D" w:rsidRPr="007F238A" w:rsidRDefault="0043511D" w:rsidP="0043511D">
      <w:pPr>
        <w:tabs>
          <w:tab w:val="left" w:pos="284"/>
        </w:tabs>
        <w:spacing w:line="276" w:lineRule="auto"/>
        <w:jc w:val="both"/>
        <w:rPr>
          <w:rFonts w:eastAsia="Arial"/>
          <w:b/>
          <w:i/>
        </w:rPr>
      </w:pPr>
      <w:r w:rsidRPr="007F238A">
        <w:rPr>
          <w:b/>
          <w:bCs/>
          <w:i/>
          <w:color w:val="000000"/>
          <w:lang w:eastAsia="lt-LT"/>
        </w:rPr>
        <w:t>Pacientai nuo 12 metų</w:t>
      </w:r>
    </w:p>
    <w:p w14:paraId="541D1431" w14:textId="77777777" w:rsidR="0043511D" w:rsidRPr="00D712A6" w:rsidRDefault="0043511D" w:rsidP="0043511D">
      <w:pPr>
        <w:tabs>
          <w:tab w:val="left" w:pos="426"/>
        </w:tabs>
        <w:spacing w:line="276" w:lineRule="auto"/>
        <w:jc w:val="both"/>
        <w:rPr>
          <w:rFonts w:eastAsia="Arial"/>
        </w:rPr>
      </w:pPr>
      <w:r>
        <w:rPr>
          <w:rFonts w:eastAsia="Arial"/>
        </w:rPr>
        <w:tab/>
        <w:t xml:space="preserve">Klinikiniuose tyrimuose TRAFFIC, TRANSPORT (pacientų amžius nuo 12 metų) bei </w:t>
      </w:r>
      <w:r w:rsidRPr="001D0AF4">
        <w:rPr>
          <w:rFonts w:eastAsia="Arial"/>
          <w:i/>
        </w:rPr>
        <w:t>VX14-809-109</w:t>
      </w:r>
      <w:r>
        <w:rPr>
          <w:rFonts w:eastAsia="Arial"/>
          <w:i/>
        </w:rPr>
        <w:t xml:space="preserve"> </w:t>
      </w:r>
      <w:r w:rsidRPr="000E2A37">
        <w:rPr>
          <w:rFonts w:eastAsia="Arial"/>
        </w:rPr>
        <w:t>(</w:t>
      </w:r>
      <w:r>
        <w:rPr>
          <w:rFonts w:eastAsia="Arial"/>
        </w:rPr>
        <w:t>pacientų amžius nuo 6 iki 11 metų)</w:t>
      </w:r>
      <w:r w:rsidRPr="001D0AF4">
        <w:rPr>
          <w:rFonts w:eastAsia="Arial"/>
          <w:i/>
        </w:rPr>
        <w:t xml:space="preserve"> </w:t>
      </w:r>
      <w:r w:rsidRPr="00462663">
        <w:rPr>
          <w:rFonts w:eastAsia="Arial"/>
        </w:rPr>
        <w:t xml:space="preserve">palyginamasis gydymas – geriausias palaikomasis gydymas </w:t>
      </w:r>
      <w:r>
        <w:rPr>
          <w:rFonts w:eastAsia="Arial"/>
        </w:rPr>
        <w:t xml:space="preserve">- </w:t>
      </w:r>
      <w:r w:rsidRPr="00462663">
        <w:rPr>
          <w:rFonts w:eastAsia="Arial"/>
        </w:rPr>
        <w:t>atitinka paraiškos įrašyti</w:t>
      </w:r>
      <w:r>
        <w:rPr>
          <w:rFonts w:eastAsia="Arial"/>
          <w:lang w:val="en-US"/>
        </w:rPr>
        <w:t xml:space="preserve"> </w:t>
      </w:r>
      <w:r w:rsidRPr="00D712A6">
        <w:rPr>
          <w:rFonts w:eastAsia="Arial"/>
        </w:rPr>
        <w:t xml:space="preserve">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 116.2 ir 119 punktus.</w:t>
      </w:r>
      <w:r>
        <w:rPr>
          <w:rFonts w:eastAsia="Arial"/>
        </w:rPr>
        <w:t xml:space="preserve"> Tačiau klinikinis tyrimas VX15–809–115 (pacientų amžius nuo 2 iki 5 metų) yra be palyginamojo gydymo, tai vienos šakos tyrimas, kuriame buvo pagrindinis pirminis tikslas įvertinti vaistinio preparato saugumą, todėl palyginamąjį efektyvumą bei veiksmingumą, lyginant su įprastine klinikine praktika, neįmanoma įvertinti sveikatos technologijos vertinimo kontekste.</w:t>
      </w:r>
    </w:p>
    <w:p w14:paraId="7A9C8D3D" w14:textId="77777777" w:rsidR="0043511D" w:rsidRDefault="0043511D" w:rsidP="0043511D">
      <w:pPr>
        <w:tabs>
          <w:tab w:val="left" w:pos="492"/>
        </w:tabs>
        <w:spacing w:line="276" w:lineRule="auto"/>
        <w:jc w:val="both"/>
        <w:outlineLvl w:val="1"/>
        <w:rPr>
          <w:rFonts w:eastAsia="Arial"/>
        </w:rPr>
      </w:pPr>
      <w:r>
        <w:rPr>
          <w:rFonts w:eastAsia="Arial"/>
        </w:rPr>
        <w:tab/>
        <w:t xml:space="preserve">Klinikinio tyrimo TRAFFIC ir TRANSPORT tyrimo populiaciją sudarė pacientai nuo 12 metų ir vyresni, kuriems buvo nustatyta cistinė fibrozė. Visi pacientai buvo </w:t>
      </w:r>
      <w:proofErr w:type="spellStart"/>
      <w:r>
        <w:rPr>
          <w:rFonts w:eastAsia="Arial"/>
        </w:rPr>
        <w:t>homozigotos</w:t>
      </w:r>
      <w:proofErr w:type="spellEnd"/>
      <w:r>
        <w:rPr>
          <w:rFonts w:eastAsia="Arial"/>
        </w:rPr>
        <w:t xml:space="preserve"> pagal</w:t>
      </w:r>
      <w:r w:rsidRPr="000B1778">
        <w:rPr>
          <w:rFonts w:eastAsia="Arial"/>
        </w:rPr>
        <w:t xml:space="preserve"> membranų laidumą reguliuojanč</w:t>
      </w:r>
      <w:r>
        <w:rPr>
          <w:rFonts w:eastAsia="Arial"/>
        </w:rPr>
        <w:t xml:space="preserve">io </w:t>
      </w:r>
      <w:r w:rsidRPr="000B1778">
        <w:rPr>
          <w:rFonts w:eastAsia="Arial"/>
        </w:rPr>
        <w:t>baltym</w:t>
      </w:r>
      <w:r>
        <w:rPr>
          <w:rFonts w:eastAsia="Arial"/>
        </w:rPr>
        <w:t>o</w:t>
      </w:r>
      <w:r w:rsidRPr="000B1778">
        <w:rPr>
          <w:rFonts w:eastAsia="Arial"/>
        </w:rPr>
        <w:t xml:space="preserve"> </w:t>
      </w:r>
      <w:r>
        <w:rPr>
          <w:rFonts w:eastAsia="Arial"/>
        </w:rPr>
        <w:t>mutaciją (</w:t>
      </w:r>
      <w:r w:rsidRPr="000B1778">
        <w:rPr>
          <w:rFonts w:eastAsia="Arial"/>
        </w:rPr>
        <w:t>F508del</w:t>
      </w:r>
      <w:r>
        <w:rPr>
          <w:rFonts w:eastAsia="Arial"/>
        </w:rPr>
        <w:t>). Įtraukimo kriterijai atitiko vertinimo indikaciją. Atrankos metu pacientų plaučių funkcijos vertinimas (</w:t>
      </w:r>
      <w:r>
        <w:rPr>
          <w:rFonts w:eastAsia="Arial"/>
          <w:lang w:val="en-US"/>
        </w:rPr>
        <w:t>FEV</w:t>
      </w:r>
      <w:r>
        <w:rPr>
          <w:rFonts w:eastAsia="Arial"/>
          <w:vertAlign w:val="subscript"/>
          <w:lang w:val="en-US"/>
        </w:rPr>
        <w:t>1</w:t>
      </w:r>
      <w:r w:rsidRPr="00686012">
        <w:rPr>
          <w:rFonts w:eastAsia="Arial"/>
          <w:lang w:val="en-US"/>
        </w:rPr>
        <w:t xml:space="preserve">) </w:t>
      </w:r>
      <w:r>
        <w:rPr>
          <w:rFonts w:eastAsia="Arial"/>
          <w:lang w:val="en-US"/>
        </w:rPr>
        <w:t>tur</w:t>
      </w:r>
      <w:r>
        <w:rPr>
          <w:rFonts w:eastAsia="Arial"/>
        </w:rPr>
        <w:t>ėjo būti nuo 40 proc. iki 90 proc. (</w:t>
      </w:r>
      <w:r>
        <w:t>lengvas plaučių funkcijos sumažėjimas - ppFEV1 ≥70 to ≤90 ir vidutinio sunkumo funkcijos - ppFEV1 ≥40 to &lt; 69 sumažėjimas)</w:t>
      </w:r>
      <w:r>
        <w:rPr>
          <w:rFonts w:eastAsia="Arial"/>
        </w:rPr>
        <w:t>. Pacientai (n</w:t>
      </w:r>
      <w:r>
        <w:rPr>
          <w:rFonts w:eastAsia="Arial"/>
          <w:lang w:val="en-GB"/>
        </w:rPr>
        <w:t>=81)</w:t>
      </w:r>
      <w:r>
        <w:rPr>
          <w:rFonts w:eastAsia="Arial"/>
        </w:rPr>
        <w:t>, kuriems per atrankos laikotarpį FEV</w:t>
      </w:r>
      <w:r w:rsidRPr="00F459FB">
        <w:rPr>
          <w:rFonts w:eastAsia="Arial"/>
          <w:vertAlign w:val="subscript"/>
        </w:rPr>
        <w:t>1</w:t>
      </w:r>
      <w:r>
        <w:rPr>
          <w:rFonts w:eastAsia="Arial"/>
          <w:vertAlign w:val="subscript"/>
        </w:rPr>
        <w:t xml:space="preserve"> </w:t>
      </w:r>
      <w:r>
        <w:rPr>
          <w:rFonts w:eastAsia="Arial"/>
        </w:rPr>
        <w:t>sumažėjo žymiau 40 proc., pateko į iš anksto numatytą pogrupį įvertinti vaistinio preparato efektyvumą ir saugumą, esant sunkaus laipsnio plaučių funkcijos sumažėjimui. Bendrai įvertinus, pacientų populiacija pasirinkta tinkamai.</w:t>
      </w:r>
    </w:p>
    <w:p w14:paraId="62E35D83" w14:textId="77777777" w:rsidR="0043511D" w:rsidRPr="00555714" w:rsidRDefault="0043511D" w:rsidP="0043511D">
      <w:pPr>
        <w:tabs>
          <w:tab w:val="left" w:pos="492"/>
        </w:tabs>
        <w:spacing w:line="276" w:lineRule="auto"/>
        <w:jc w:val="both"/>
        <w:outlineLvl w:val="1"/>
        <w:rPr>
          <w:rFonts w:eastAsia="Arial"/>
          <w:i/>
        </w:rPr>
      </w:pPr>
      <w:r>
        <w:rPr>
          <w:rFonts w:eastAsia="Arial"/>
          <w:i/>
        </w:rPr>
        <w:tab/>
      </w:r>
      <w:r w:rsidRPr="007F238A">
        <w:rPr>
          <w:rFonts w:eastAsia="Arial"/>
          <w:i/>
        </w:rPr>
        <w:t>Pirminė vertinamoji baigtis</w:t>
      </w:r>
      <w:r>
        <w:rPr>
          <w:rFonts w:eastAsia="Arial"/>
          <w:i/>
        </w:rPr>
        <w:t xml:space="preserve"> </w:t>
      </w:r>
      <w:r w:rsidRPr="00555714">
        <w:rPr>
          <w:rFonts w:eastAsia="Arial"/>
          <w:i/>
        </w:rPr>
        <w:t>(</w:t>
      </w:r>
      <w:r w:rsidRPr="00A21E85">
        <w:rPr>
          <w:rFonts w:eastAsia="Arial"/>
          <w:i/>
        </w:rPr>
        <w:t>TRAFFIC ir TRANSPORT)</w:t>
      </w:r>
      <w:r>
        <w:rPr>
          <w:rFonts w:eastAsia="Arial"/>
          <w:i/>
        </w:rPr>
        <w:t xml:space="preserve"> </w:t>
      </w:r>
    </w:p>
    <w:p w14:paraId="47874A46" w14:textId="77777777" w:rsidR="0043511D" w:rsidRDefault="0043511D" w:rsidP="0043511D">
      <w:pPr>
        <w:tabs>
          <w:tab w:val="left" w:pos="492"/>
        </w:tabs>
        <w:spacing w:line="276" w:lineRule="auto"/>
        <w:jc w:val="both"/>
        <w:outlineLvl w:val="1"/>
        <w:rPr>
          <w:rFonts w:eastAsia="Arial"/>
        </w:rPr>
      </w:pPr>
      <w:r>
        <w:rPr>
          <w:rFonts w:eastAsia="Arial"/>
        </w:rPr>
        <w:tab/>
        <w:t>Vertinant absoliutų ppFEV</w:t>
      </w:r>
      <w:r w:rsidRPr="007C01F0">
        <w:rPr>
          <w:rFonts w:eastAsia="Arial"/>
          <w:vertAlign w:val="subscript"/>
        </w:rPr>
        <w:t>1</w:t>
      </w:r>
      <w:r>
        <w:rPr>
          <w:rFonts w:eastAsia="Arial"/>
        </w:rPr>
        <w:t xml:space="preserve"> pokytį nuo gydymo pradžios iki 24 tyrimo savaitės buvo pasiektas reikšmingas pagerėjimas nepriklausomai nuo </w:t>
      </w:r>
      <w:proofErr w:type="spellStart"/>
      <w:r>
        <w:rPr>
          <w:rFonts w:eastAsia="Arial"/>
        </w:rPr>
        <w:t>lumakaftoro</w:t>
      </w:r>
      <w:proofErr w:type="spellEnd"/>
      <w:r>
        <w:rPr>
          <w:rFonts w:eastAsia="Arial"/>
        </w:rPr>
        <w:t xml:space="preserve"> dozės derinyje su </w:t>
      </w:r>
      <w:proofErr w:type="spellStart"/>
      <w:r w:rsidRPr="007C01F0">
        <w:rPr>
          <w:rFonts w:eastAsia="Arial"/>
        </w:rPr>
        <w:t>iva</w:t>
      </w:r>
      <w:r>
        <w:rPr>
          <w:rFonts w:eastAsia="Arial"/>
        </w:rPr>
        <w:t>k</w:t>
      </w:r>
      <w:r w:rsidRPr="007C01F0">
        <w:rPr>
          <w:rFonts w:eastAsia="Arial"/>
        </w:rPr>
        <w:t>aftor</w:t>
      </w:r>
      <w:r>
        <w:rPr>
          <w:rFonts w:eastAsia="Arial"/>
        </w:rPr>
        <w:t>u</w:t>
      </w:r>
      <w:proofErr w:type="spellEnd"/>
      <w:r>
        <w:rPr>
          <w:rFonts w:eastAsia="Arial"/>
        </w:rPr>
        <w:t xml:space="preserve"> (LUM/IVA), palyginus su placebo grupe, skirtinguose pogrupiuose. Nepriklausomai nuo pradinės ppFEV</w:t>
      </w:r>
      <w:r w:rsidRPr="007C01F0">
        <w:rPr>
          <w:rFonts w:eastAsia="Arial"/>
          <w:vertAlign w:val="subscript"/>
        </w:rPr>
        <w:t>1</w:t>
      </w:r>
      <w:r>
        <w:rPr>
          <w:rFonts w:eastAsia="Arial"/>
          <w:vertAlign w:val="subscript"/>
        </w:rPr>
        <w:t xml:space="preserve"> </w:t>
      </w:r>
      <w:r w:rsidRPr="00CC387C">
        <w:rPr>
          <w:rFonts w:eastAsia="Arial"/>
        </w:rPr>
        <w:t>reikšmės</w:t>
      </w:r>
      <w:r>
        <w:rPr>
          <w:rFonts w:eastAsia="Arial"/>
          <w:u w:val="single"/>
        </w:rPr>
        <w:t xml:space="preserve"> </w:t>
      </w:r>
      <w:r w:rsidRPr="00CC387C">
        <w:rPr>
          <w:rFonts w:eastAsia="Arial"/>
        </w:rPr>
        <w:t xml:space="preserve">ir LUM/IVA vartojamos dozės  absoliutus pokytis </w:t>
      </w:r>
      <w:r>
        <w:rPr>
          <w:rFonts w:eastAsia="Arial"/>
        </w:rPr>
        <w:t>buvo 2,7 proc. taškų  – 3,7 proc.</w:t>
      </w:r>
      <w:r w:rsidRPr="00CC387C">
        <w:rPr>
          <w:rFonts w:eastAsia="Arial"/>
        </w:rPr>
        <w:t xml:space="preserve"> </w:t>
      </w:r>
      <w:r>
        <w:rPr>
          <w:rFonts w:eastAsia="Arial"/>
        </w:rPr>
        <w:t xml:space="preserve">taškų ir statistiškai reikšmingas, palyginus su placebo grupe. </w:t>
      </w:r>
      <w:r>
        <w:t>Tačiau šio sumažėjimo klinikinis reikšmingumas  lieka neaiškus, nes nėra nustatyta minimaliai kliniškai svarbus skirtumas pagal proc. taškus, gydant sergančius CF pacientus, tolimesnei ligos prognozei.</w:t>
      </w:r>
    </w:p>
    <w:p w14:paraId="2C39378C" w14:textId="77777777" w:rsidR="0043511D" w:rsidRPr="00A662DC" w:rsidRDefault="0043511D" w:rsidP="0043511D">
      <w:pPr>
        <w:tabs>
          <w:tab w:val="left" w:pos="492"/>
        </w:tabs>
        <w:spacing w:line="276" w:lineRule="auto"/>
        <w:jc w:val="both"/>
        <w:outlineLvl w:val="1"/>
        <w:rPr>
          <w:rFonts w:eastAsia="Arial"/>
          <w:i/>
        </w:rPr>
      </w:pPr>
      <w:r>
        <w:rPr>
          <w:rFonts w:eastAsia="Arial"/>
          <w:i/>
        </w:rPr>
        <w:tab/>
      </w:r>
      <w:r w:rsidRPr="00A662DC">
        <w:rPr>
          <w:rFonts w:eastAsia="Arial"/>
          <w:i/>
        </w:rPr>
        <w:t xml:space="preserve">Antrinės </w:t>
      </w:r>
      <w:r>
        <w:rPr>
          <w:rFonts w:eastAsia="Arial"/>
          <w:i/>
        </w:rPr>
        <w:t xml:space="preserve">vertinamosios </w:t>
      </w:r>
      <w:r w:rsidRPr="00A662DC">
        <w:rPr>
          <w:rFonts w:eastAsia="Arial"/>
          <w:i/>
        </w:rPr>
        <w:t>baigtys</w:t>
      </w:r>
      <w:r>
        <w:rPr>
          <w:rFonts w:eastAsia="Arial"/>
          <w:i/>
        </w:rPr>
        <w:t xml:space="preserve"> </w:t>
      </w:r>
      <w:r w:rsidRPr="00555714">
        <w:rPr>
          <w:rFonts w:eastAsia="Arial"/>
          <w:i/>
        </w:rPr>
        <w:t>(</w:t>
      </w:r>
      <w:r w:rsidRPr="00A21E85">
        <w:rPr>
          <w:rFonts w:eastAsia="Arial"/>
          <w:i/>
        </w:rPr>
        <w:t>TRAFFIC ir TRANSPORT)</w:t>
      </w:r>
    </w:p>
    <w:p w14:paraId="2A14C0B7" w14:textId="77777777" w:rsidR="0043511D" w:rsidRDefault="0043511D" w:rsidP="0043511D">
      <w:pPr>
        <w:tabs>
          <w:tab w:val="left" w:pos="492"/>
        </w:tabs>
        <w:spacing w:line="276" w:lineRule="auto"/>
        <w:jc w:val="both"/>
        <w:outlineLvl w:val="1"/>
        <w:rPr>
          <w:noProof/>
          <w:lang w:eastAsia="lt-LT"/>
        </w:rPr>
      </w:pPr>
      <w:r w:rsidRPr="004A56A4">
        <w:rPr>
          <w:rFonts w:eastAsia="Arial"/>
        </w:rPr>
        <w:tab/>
      </w:r>
      <w:r w:rsidRPr="00B50C56">
        <w:rPr>
          <w:rFonts w:eastAsia="Arial"/>
          <w:u w:val="single"/>
        </w:rPr>
        <w:t>Santykinio FEV</w:t>
      </w:r>
      <w:r w:rsidRPr="00B50C56">
        <w:rPr>
          <w:rFonts w:eastAsia="Arial"/>
          <w:u w:val="single"/>
          <w:vertAlign w:val="subscript"/>
        </w:rPr>
        <w:t>1</w:t>
      </w:r>
      <w:r w:rsidRPr="00B50C56">
        <w:rPr>
          <w:rFonts w:eastAsia="Arial"/>
          <w:u w:val="single"/>
        </w:rPr>
        <w:t xml:space="preserve"> pokyčio</w:t>
      </w:r>
      <w:r w:rsidRPr="00B50C56">
        <w:rPr>
          <w:rFonts w:eastAsia="Arial"/>
        </w:rPr>
        <w:t xml:space="preserve"> padidėjimas 5 proc. ir 10 proc. pavyko pasiekti dvigubai daugiau pacientų LUM/IVA vartojusiems pacientams nepriklausomai nuo derinio dozės ir palyginus su </w:t>
      </w:r>
      <w:r w:rsidRPr="00B50C56">
        <w:rPr>
          <w:rFonts w:eastAsia="Arial"/>
        </w:rPr>
        <w:lastRenderedPageBreak/>
        <w:t>placebo vartojusiais pacientais</w:t>
      </w:r>
      <w:r>
        <w:rPr>
          <w:rFonts w:eastAsia="Arial"/>
        </w:rPr>
        <w:t xml:space="preserve">: 39- 46 proc.  </w:t>
      </w:r>
      <w:r w:rsidRPr="00984AC0">
        <w:rPr>
          <w:rFonts w:eastAsia="Arial"/>
          <w:i/>
        </w:rPr>
        <w:t>vs.</w:t>
      </w:r>
      <w:r w:rsidRPr="00B50C56">
        <w:rPr>
          <w:rFonts w:eastAsia="Arial"/>
        </w:rPr>
        <w:t xml:space="preserve"> </w:t>
      </w:r>
      <w:r>
        <w:rPr>
          <w:rFonts w:eastAsia="Arial"/>
        </w:rPr>
        <w:t xml:space="preserve">22 proc. bei 24 -27 proc. </w:t>
      </w:r>
      <w:r w:rsidRPr="00984AC0">
        <w:rPr>
          <w:rFonts w:eastAsia="Arial"/>
          <w:i/>
        </w:rPr>
        <w:t>vs</w:t>
      </w:r>
      <w:r>
        <w:rPr>
          <w:rFonts w:eastAsia="Arial"/>
        </w:rPr>
        <w:t xml:space="preserve">. 13 proc., atitinkamai. </w:t>
      </w:r>
      <w:r w:rsidRPr="00B50C56">
        <w:rPr>
          <w:rFonts w:eastAsia="Arial"/>
          <w:u w:val="single"/>
        </w:rPr>
        <w:t xml:space="preserve">KMI </w:t>
      </w:r>
      <w:r w:rsidRPr="00B50C56">
        <w:rPr>
          <w:rFonts w:eastAsia="Arial"/>
        </w:rPr>
        <w:t xml:space="preserve">padidėjo visuose pacientų grupėse, vartojant 600  ir 400 mg </w:t>
      </w:r>
      <w:proofErr w:type="spellStart"/>
      <w:r w:rsidRPr="00B50C56">
        <w:rPr>
          <w:rFonts w:eastAsia="Arial"/>
        </w:rPr>
        <w:t>lumakaftoro</w:t>
      </w:r>
      <w:proofErr w:type="spellEnd"/>
      <w:r w:rsidRPr="00B50C56">
        <w:rPr>
          <w:rFonts w:eastAsia="Arial"/>
        </w:rPr>
        <w:t xml:space="preserve"> derinyje su </w:t>
      </w:r>
      <w:proofErr w:type="spellStart"/>
      <w:r w:rsidRPr="00B50C56">
        <w:rPr>
          <w:rFonts w:eastAsia="Arial"/>
        </w:rPr>
        <w:t>ivakaftoru</w:t>
      </w:r>
      <w:proofErr w:type="spellEnd"/>
      <w:r w:rsidRPr="00B50C56">
        <w:rPr>
          <w:rFonts w:eastAsia="Arial"/>
        </w:rPr>
        <w:t>, nepriklausomai nuo pradinės plaučių funkcijos sunkumo (pagal FEV</w:t>
      </w:r>
      <w:r w:rsidRPr="00B50C56">
        <w:rPr>
          <w:rFonts w:eastAsia="Arial"/>
          <w:vertAlign w:val="subscript"/>
        </w:rPr>
        <w:t>1</w:t>
      </w:r>
      <w:r w:rsidRPr="00B50C56">
        <w:rPr>
          <w:rFonts w:eastAsia="Arial"/>
        </w:rPr>
        <w:t>)</w:t>
      </w:r>
      <w:r>
        <w:rPr>
          <w:rFonts w:eastAsia="Arial"/>
        </w:rPr>
        <w:t xml:space="preserve">.  </w:t>
      </w:r>
      <w:r w:rsidRPr="007A2E26">
        <w:rPr>
          <w:rFonts w:eastAsia="Arial"/>
        </w:rPr>
        <w:t xml:space="preserve">Vertinant </w:t>
      </w:r>
      <w:r w:rsidRPr="00170CC8">
        <w:rPr>
          <w:noProof/>
          <w:u w:val="single"/>
          <w:lang w:eastAsia="lt-LT"/>
        </w:rPr>
        <w:t>pacientų praneštas baigtis</w:t>
      </w:r>
      <w:r>
        <w:rPr>
          <w:noProof/>
          <w:lang w:eastAsia="lt-LT"/>
        </w:rPr>
        <w:t xml:space="preserve"> po 24 gydymo savaičių statistiškai reikšmingi pakeitimai pagal gyvenimo kokybės įverčius buvo nustatyti tik didesnės LUM/IVA dozės grupėje (600 mg) palyginus su placebo grupe.</w:t>
      </w:r>
    </w:p>
    <w:p w14:paraId="7931F190" w14:textId="77777777" w:rsidR="0043511D" w:rsidRDefault="0043511D" w:rsidP="0043511D">
      <w:pPr>
        <w:tabs>
          <w:tab w:val="left" w:pos="492"/>
        </w:tabs>
        <w:spacing w:line="276" w:lineRule="auto"/>
        <w:jc w:val="both"/>
        <w:outlineLvl w:val="1"/>
        <w:rPr>
          <w:bCs/>
          <w:i/>
          <w:color w:val="000000"/>
          <w:lang w:eastAsia="lt-LT"/>
        </w:rPr>
      </w:pPr>
    </w:p>
    <w:p w14:paraId="0C0D0D4A" w14:textId="77777777" w:rsidR="0043511D" w:rsidRPr="007F238A" w:rsidRDefault="0043511D" w:rsidP="0043511D">
      <w:pPr>
        <w:tabs>
          <w:tab w:val="left" w:pos="492"/>
        </w:tabs>
        <w:spacing w:line="276" w:lineRule="auto"/>
        <w:jc w:val="both"/>
        <w:outlineLvl w:val="1"/>
        <w:rPr>
          <w:rFonts w:eastAsia="Arial"/>
          <w:b/>
          <w:i/>
        </w:rPr>
      </w:pPr>
      <w:r w:rsidRPr="007F238A">
        <w:rPr>
          <w:b/>
          <w:bCs/>
          <w:i/>
          <w:color w:val="000000"/>
          <w:lang w:eastAsia="lt-LT"/>
        </w:rPr>
        <w:t>Pacientai nuo 6 iki 11 metų</w:t>
      </w:r>
      <w:r w:rsidRPr="007F238A">
        <w:rPr>
          <w:rFonts w:eastAsia="Arial"/>
          <w:b/>
          <w:i/>
        </w:rPr>
        <w:tab/>
      </w:r>
    </w:p>
    <w:p w14:paraId="6BC3799E" w14:textId="77777777" w:rsidR="0043511D" w:rsidRDefault="0043511D" w:rsidP="0043511D">
      <w:pPr>
        <w:tabs>
          <w:tab w:val="left" w:pos="492"/>
        </w:tabs>
        <w:spacing w:line="276" w:lineRule="auto"/>
        <w:jc w:val="both"/>
        <w:outlineLvl w:val="1"/>
        <w:rPr>
          <w:rFonts w:eastAsia="Arial"/>
        </w:rPr>
      </w:pPr>
      <w:r>
        <w:rPr>
          <w:rFonts w:eastAsia="Arial"/>
        </w:rPr>
        <w:t xml:space="preserve">Klinikinis tyrimas </w:t>
      </w:r>
      <w:r w:rsidRPr="0069731B">
        <w:rPr>
          <w:rFonts w:eastAsia="Arial"/>
        </w:rPr>
        <w:t>VX14-809-109</w:t>
      </w:r>
      <w:r>
        <w:rPr>
          <w:rFonts w:eastAsia="Arial"/>
        </w:rPr>
        <w:t xml:space="preserve"> buvo atsitiktinių imčių, placebo kontroliuojamas </w:t>
      </w:r>
      <w:proofErr w:type="spellStart"/>
      <w:r>
        <w:rPr>
          <w:rFonts w:eastAsia="Arial"/>
        </w:rPr>
        <w:t>daugiacentris</w:t>
      </w:r>
      <w:proofErr w:type="spellEnd"/>
      <w:r>
        <w:rPr>
          <w:rFonts w:eastAsia="Arial"/>
        </w:rPr>
        <w:t xml:space="preserve"> tyrimas. Šio tyrimo populiacija sudarė 6-11 metų vaikai, kurie serga cistine fibroze ir kurie yra </w:t>
      </w:r>
      <w:proofErr w:type="spellStart"/>
      <w:r>
        <w:rPr>
          <w:rFonts w:eastAsia="Arial"/>
        </w:rPr>
        <w:t>homozigotos</w:t>
      </w:r>
      <w:proofErr w:type="spellEnd"/>
      <w:r>
        <w:rPr>
          <w:rFonts w:eastAsia="Arial"/>
        </w:rPr>
        <w:t xml:space="preserve"> pagal F508del- CFTR mutaciją.</w:t>
      </w:r>
    </w:p>
    <w:p w14:paraId="451D82E8" w14:textId="77777777" w:rsidR="0043511D" w:rsidRPr="00555714" w:rsidRDefault="0043511D" w:rsidP="0043511D">
      <w:pPr>
        <w:tabs>
          <w:tab w:val="left" w:pos="492"/>
        </w:tabs>
        <w:spacing w:line="276" w:lineRule="auto"/>
        <w:jc w:val="both"/>
        <w:outlineLvl w:val="1"/>
        <w:rPr>
          <w:rFonts w:eastAsia="Arial"/>
          <w:i/>
        </w:rPr>
      </w:pPr>
      <w:r>
        <w:rPr>
          <w:rFonts w:eastAsia="Arial"/>
          <w:i/>
        </w:rPr>
        <w:tab/>
      </w:r>
      <w:r w:rsidRPr="00572F00">
        <w:rPr>
          <w:rFonts w:eastAsia="Arial"/>
          <w:i/>
        </w:rPr>
        <w:t>Pirminė baigtis</w:t>
      </w:r>
      <w:r>
        <w:rPr>
          <w:rFonts w:eastAsia="Arial"/>
          <w:i/>
        </w:rPr>
        <w:t xml:space="preserve"> </w:t>
      </w:r>
      <w:r w:rsidRPr="00555714">
        <w:rPr>
          <w:rFonts w:eastAsia="Arial"/>
          <w:i/>
        </w:rPr>
        <w:t>(</w:t>
      </w:r>
      <w:r w:rsidRPr="007F238A">
        <w:rPr>
          <w:rFonts w:eastAsia="Arial"/>
          <w:i/>
        </w:rPr>
        <w:t>VX14-809-109)</w:t>
      </w:r>
    </w:p>
    <w:p w14:paraId="1833D653" w14:textId="77777777" w:rsidR="0043511D" w:rsidRDefault="0043511D" w:rsidP="0043511D">
      <w:pPr>
        <w:tabs>
          <w:tab w:val="left" w:pos="492"/>
        </w:tabs>
        <w:spacing w:line="276" w:lineRule="auto"/>
        <w:jc w:val="both"/>
        <w:outlineLvl w:val="1"/>
        <w:rPr>
          <w:rFonts w:eastAsia="Arial"/>
        </w:rPr>
      </w:pPr>
      <w:r>
        <w:rPr>
          <w:rFonts w:eastAsia="Arial"/>
        </w:rPr>
        <w:tab/>
        <w:t>Absoliutus LCI</w:t>
      </w:r>
      <w:r w:rsidRPr="00304B2B">
        <w:rPr>
          <w:rFonts w:eastAsia="Arial"/>
          <w:vertAlign w:val="subscript"/>
        </w:rPr>
        <w:t>2,5</w:t>
      </w:r>
      <w:r>
        <w:rPr>
          <w:rFonts w:eastAsia="Arial"/>
        </w:rPr>
        <w:t xml:space="preserve"> pokytis nuo gydymo pradžios iki 24 tyrimo savaitės pabaigos statistiškai reikšmingai pagerėjo: -1,01 (p&lt; 0,0001). Placebo grupėje LCI</w:t>
      </w:r>
      <w:r w:rsidRPr="008746F7">
        <w:rPr>
          <w:rFonts w:eastAsia="Arial"/>
          <w:vertAlign w:val="subscript"/>
        </w:rPr>
        <w:t>2,5</w:t>
      </w:r>
      <w:r>
        <w:rPr>
          <w:rFonts w:eastAsia="Arial"/>
        </w:rPr>
        <w:t xml:space="preserve"> rodiklis nereikšmingai pasikeitė nuo gydymo pradžios iki 24 tyrimo savaitės pabaigos: + 0,08 (p&lt;0,539). Absoliutaus  LCI</w:t>
      </w:r>
      <w:r w:rsidRPr="00304B2B">
        <w:rPr>
          <w:rFonts w:eastAsia="Arial"/>
          <w:vertAlign w:val="subscript"/>
        </w:rPr>
        <w:t>2,5</w:t>
      </w:r>
      <w:r>
        <w:rPr>
          <w:rFonts w:eastAsia="Arial"/>
          <w:vertAlign w:val="subscript"/>
        </w:rPr>
        <w:t xml:space="preserve"> </w:t>
      </w:r>
      <w:r>
        <w:rPr>
          <w:rFonts w:eastAsia="Arial"/>
        </w:rPr>
        <w:t>pokyčio skirtumas tarp LUM/IVA grupės ir placebo grupės tyrimo pabaigoje buvo 2,4 (p&lt;0,0182). Absoliutus LCI</w:t>
      </w:r>
      <w:r w:rsidRPr="00304B2B">
        <w:rPr>
          <w:rFonts w:eastAsia="Arial"/>
          <w:vertAlign w:val="subscript"/>
        </w:rPr>
        <w:t>2,5</w:t>
      </w:r>
      <w:r>
        <w:rPr>
          <w:rFonts w:eastAsia="Arial"/>
        </w:rPr>
        <w:t xml:space="preserve"> teigiamas pokytis LUM/IVA grupėje buvo pastebėtas jau pradedant nuo 15 tyrimo dienos ir išsilaikė iki tyrimo pabaigos, 24 savaitės. </w:t>
      </w:r>
      <w:r>
        <w:t>Tačiau šio sumažėjimo klinikinis reikšmingumas  lieka neaiškus, nes nėra nustatyta minimalus kliniškai svarbus skirtumas gydant sergančius CF pacientus tolimesnei ligos prognozei.</w:t>
      </w:r>
    </w:p>
    <w:p w14:paraId="17B1F20A" w14:textId="77777777" w:rsidR="0043511D" w:rsidRPr="00754E90" w:rsidRDefault="0043511D" w:rsidP="0043511D">
      <w:pPr>
        <w:tabs>
          <w:tab w:val="left" w:pos="492"/>
        </w:tabs>
        <w:spacing w:line="276" w:lineRule="auto"/>
        <w:jc w:val="both"/>
        <w:outlineLvl w:val="1"/>
        <w:rPr>
          <w:rFonts w:eastAsia="Arial"/>
          <w:i/>
        </w:rPr>
      </w:pPr>
      <w:r>
        <w:rPr>
          <w:rFonts w:eastAsia="Arial"/>
          <w:i/>
        </w:rPr>
        <w:tab/>
      </w:r>
      <w:r w:rsidRPr="00754E90">
        <w:rPr>
          <w:rFonts w:eastAsia="Arial"/>
          <w:i/>
        </w:rPr>
        <w:t xml:space="preserve">Antrinės </w:t>
      </w:r>
      <w:r>
        <w:rPr>
          <w:rFonts w:eastAsia="Arial"/>
          <w:i/>
        </w:rPr>
        <w:t xml:space="preserve">vertinamosios baigtys </w:t>
      </w:r>
      <w:r w:rsidRPr="007F238A">
        <w:rPr>
          <w:rFonts w:eastAsia="Arial"/>
        </w:rPr>
        <w:t>(</w:t>
      </w:r>
      <w:r w:rsidRPr="00555714">
        <w:rPr>
          <w:rFonts w:eastAsia="Arial"/>
        </w:rPr>
        <w:t>VX14-809-109)</w:t>
      </w:r>
    </w:p>
    <w:p w14:paraId="209F32D7" w14:textId="77777777" w:rsidR="0043511D" w:rsidRDefault="0043511D" w:rsidP="0043511D">
      <w:pPr>
        <w:tabs>
          <w:tab w:val="left" w:pos="492"/>
        </w:tabs>
        <w:spacing w:line="276" w:lineRule="auto"/>
        <w:jc w:val="both"/>
        <w:outlineLvl w:val="1"/>
        <w:rPr>
          <w:rFonts w:eastAsia="Arial"/>
        </w:rPr>
      </w:pPr>
      <w:r w:rsidRPr="004A56A4">
        <w:rPr>
          <w:rFonts w:eastAsia="Arial"/>
        </w:rPr>
        <w:tab/>
      </w:r>
      <w:r w:rsidRPr="00AE08D9">
        <w:rPr>
          <w:rFonts w:eastAsia="Arial"/>
          <w:u w:val="single"/>
        </w:rPr>
        <w:t>Vidutinis absoliutus chlorido jonų koncentracijos pokytis</w:t>
      </w:r>
      <w:r w:rsidRPr="00AE08D9">
        <w:rPr>
          <w:rFonts w:eastAsia="Arial"/>
        </w:rPr>
        <w:t xml:space="preserve"> </w:t>
      </w:r>
      <w:r>
        <w:rPr>
          <w:rFonts w:eastAsia="Arial"/>
        </w:rPr>
        <w:t xml:space="preserve">buvo pastebėtas jau </w:t>
      </w:r>
      <w:r w:rsidRPr="00AE08D9">
        <w:rPr>
          <w:rFonts w:eastAsia="Arial"/>
        </w:rPr>
        <w:t xml:space="preserve">15 tyrimo dieną Vertinant šio rodiklio pokytį </w:t>
      </w:r>
      <w:r>
        <w:rPr>
          <w:rFonts w:eastAsia="Arial"/>
        </w:rPr>
        <w:t xml:space="preserve">nuo gydymo pradžios </w:t>
      </w:r>
      <w:r w:rsidRPr="00AE08D9">
        <w:rPr>
          <w:rFonts w:eastAsia="Arial"/>
        </w:rPr>
        <w:t xml:space="preserve">kiekvienoje grupėje, reikšmingai geresni rezultatai buvo </w:t>
      </w:r>
      <w:r>
        <w:rPr>
          <w:rFonts w:eastAsia="Arial"/>
        </w:rPr>
        <w:t xml:space="preserve">LUM/IVA grupėje, palyginus su placebo grupe: -20,0 (p&lt;0,0001) ir +0,8 (p&lt;0,04208), statistiškai reikšmingas pokytis buvo taip pat pastebėtas lyginant šį rodiklį tarp tiriamųjų grupių (p&lt;0,0001). </w:t>
      </w:r>
      <w:r w:rsidRPr="006D7B72">
        <w:rPr>
          <w:rFonts w:eastAsia="Arial"/>
          <w:u w:val="single"/>
        </w:rPr>
        <w:t xml:space="preserve">Absoliutus KMI pokytis </w:t>
      </w:r>
      <w:r>
        <w:rPr>
          <w:rFonts w:eastAsia="Arial"/>
          <w:u w:val="single"/>
        </w:rPr>
        <w:t xml:space="preserve">bei pacientų gyvenimo kokybės vertinimai </w:t>
      </w:r>
      <w:r w:rsidRPr="006D5182">
        <w:rPr>
          <w:rFonts w:eastAsia="Arial"/>
        </w:rPr>
        <w:t xml:space="preserve">pagal CFQ-R klausimyną tyrimo pabaigoje (24 savaitę) </w:t>
      </w:r>
      <w:r>
        <w:rPr>
          <w:rFonts w:eastAsia="Arial"/>
        </w:rPr>
        <w:t xml:space="preserve">statistiškai reikšmingai nesiskyrė. </w:t>
      </w:r>
    </w:p>
    <w:p w14:paraId="166E2758" w14:textId="77777777" w:rsidR="0043511D" w:rsidRDefault="0043511D" w:rsidP="0043511D">
      <w:pPr>
        <w:tabs>
          <w:tab w:val="left" w:pos="492"/>
        </w:tabs>
        <w:spacing w:line="276" w:lineRule="auto"/>
        <w:jc w:val="both"/>
        <w:outlineLvl w:val="1"/>
        <w:rPr>
          <w:rFonts w:eastAsia="Arial"/>
        </w:rPr>
      </w:pPr>
    </w:p>
    <w:p w14:paraId="1AE80827" w14:textId="77777777" w:rsidR="0043511D" w:rsidRPr="007F238A" w:rsidRDefault="0043511D" w:rsidP="0043511D">
      <w:pPr>
        <w:tabs>
          <w:tab w:val="left" w:pos="492"/>
        </w:tabs>
        <w:spacing w:line="276" w:lineRule="auto"/>
        <w:jc w:val="both"/>
        <w:outlineLvl w:val="1"/>
        <w:rPr>
          <w:rFonts w:eastAsia="Arial"/>
          <w:b/>
          <w:i/>
        </w:rPr>
      </w:pPr>
      <w:r w:rsidRPr="007F238A">
        <w:rPr>
          <w:rFonts w:eastAsia="Arial"/>
          <w:b/>
          <w:i/>
        </w:rPr>
        <w:t>Pacientai nuo 2 metų iki 5 metų</w:t>
      </w:r>
    </w:p>
    <w:p w14:paraId="528D87F3" w14:textId="77777777" w:rsidR="0043511D" w:rsidRDefault="0043511D" w:rsidP="0043511D">
      <w:pPr>
        <w:tabs>
          <w:tab w:val="left" w:pos="492"/>
        </w:tabs>
        <w:spacing w:line="276" w:lineRule="auto"/>
        <w:jc w:val="both"/>
        <w:outlineLvl w:val="1"/>
        <w:rPr>
          <w:rFonts w:eastAsia="Arial"/>
        </w:rPr>
      </w:pPr>
      <w:r>
        <w:rPr>
          <w:rFonts w:eastAsia="Arial"/>
        </w:rPr>
        <w:tab/>
        <w:t xml:space="preserve">Klinikinis tyrimas VX15–809–115 buvo </w:t>
      </w:r>
      <w:proofErr w:type="spellStart"/>
      <w:r>
        <w:rPr>
          <w:rFonts w:eastAsia="Arial"/>
        </w:rPr>
        <w:t>daugiacentris</w:t>
      </w:r>
      <w:proofErr w:type="spellEnd"/>
      <w:r>
        <w:rPr>
          <w:rFonts w:eastAsia="Arial"/>
        </w:rPr>
        <w:t xml:space="preserve">, 3 fazės, atviro dizaino tyrimas. Šio tyrimo populiacija sudarė 2-5 metų vaikai, sergantieji cistine fibroze ir kuriems buvo nustatyta F508del-CFTR mutacija abejose aleliuose. Tyrimas buvo padalintas į dvi dalis. A dalies tikslas buvo ištirti LUM/IVA farmakokinetiką ir farmakodinamiką 2-5 metų amžiaus populiacijoje, B dalies tikslas   nustatyti šio derinio saugumą ir efektyvumą šioje vaikų populiacijoje. Priklausomai nuo paciento kūno pasės LUM/IVA buvo LUM/IVA 100 mg/125 mg esant &lt;14 kg bei 150 mg/188 mg esant ≥14 kg. Pažymėtina, kad B tyrimo dalyje pacientų skaičius nebuvo iš anksto statiškai apskaičiuotas ir pagristas, efektyvumo baigčių (antrinės vertinamosios baigtys) rezultatai vertinami kaip žvalgomieji. Stebėjimo duomenys buvo apibendrinti, naudojant aprašomąją statistiką. Pirminė baigtis buvo įvertinti šio derinio saugumą 2-5 metų vaikų grupėje. </w:t>
      </w:r>
    </w:p>
    <w:p w14:paraId="1AA54F92" w14:textId="77777777" w:rsidR="0043511D" w:rsidRPr="007F238A" w:rsidRDefault="0043511D" w:rsidP="0043511D">
      <w:pPr>
        <w:tabs>
          <w:tab w:val="left" w:pos="492"/>
        </w:tabs>
        <w:spacing w:line="276" w:lineRule="auto"/>
        <w:jc w:val="both"/>
        <w:outlineLvl w:val="1"/>
        <w:rPr>
          <w:rFonts w:eastAsia="Arial"/>
          <w:i/>
        </w:rPr>
      </w:pPr>
      <w:r>
        <w:rPr>
          <w:rFonts w:eastAsia="Arial"/>
        </w:rPr>
        <w:tab/>
      </w:r>
    </w:p>
    <w:p w14:paraId="52EA42CB" w14:textId="77777777" w:rsidR="0043511D" w:rsidRPr="00555714" w:rsidRDefault="0043511D" w:rsidP="0043511D">
      <w:pPr>
        <w:tabs>
          <w:tab w:val="left" w:pos="492"/>
        </w:tabs>
        <w:spacing w:line="276" w:lineRule="auto"/>
        <w:jc w:val="both"/>
        <w:outlineLvl w:val="1"/>
        <w:rPr>
          <w:rFonts w:eastAsia="Arial"/>
          <w:i/>
        </w:rPr>
      </w:pPr>
      <w:r w:rsidRPr="00555714">
        <w:rPr>
          <w:rFonts w:eastAsia="Arial"/>
          <w:i/>
        </w:rPr>
        <w:t xml:space="preserve">Pirminė </w:t>
      </w:r>
      <w:r>
        <w:rPr>
          <w:rFonts w:eastAsia="Arial"/>
          <w:i/>
        </w:rPr>
        <w:t xml:space="preserve">vertinamoji </w:t>
      </w:r>
      <w:r w:rsidRPr="00555714">
        <w:rPr>
          <w:rFonts w:eastAsia="Arial"/>
          <w:i/>
        </w:rPr>
        <w:t>baigtis (</w:t>
      </w:r>
      <w:r w:rsidRPr="007F238A">
        <w:rPr>
          <w:rFonts w:eastAsia="Arial"/>
          <w:i/>
        </w:rPr>
        <w:t>VX15–809–115)</w:t>
      </w:r>
    </w:p>
    <w:p w14:paraId="00114CC7" w14:textId="77777777" w:rsidR="0043511D" w:rsidRDefault="0043511D" w:rsidP="0043511D">
      <w:pPr>
        <w:tabs>
          <w:tab w:val="left" w:pos="492"/>
        </w:tabs>
        <w:spacing w:line="276" w:lineRule="auto"/>
        <w:jc w:val="both"/>
        <w:outlineLvl w:val="1"/>
        <w:rPr>
          <w:rFonts w:eastAsia="Arial"/>
        </w:rPr>
      </w:pPr>
      <w:r>
        <w:rPr>
          <w:rFonts w:eastAsia="Arial"/>
        </w:rPr>
        <w:tab/>
      </w:r>
      <w:r w:rsidRPr="00F505B4">
        <w:rPr>
          <w:rFonts w:eastAsia="Arial"/>
        </w:rPr>
        <w:t>Iš 60 pacientų B dalyje, 59 pacientams buvo dokumentuotas NR. Dažniausias NR buvo kosulys (63 proc. (n</w:t>
      </w:r>
      <w:r w:rsidRPr="00F505B4">
        <w:rPr>
          <w:rFonts w:eastAsia="Arial"/>
          <w:lang w:val="en-GB"/>
        </w:rPr>
        <w:t>=</w:t>
      </w:r>
      <w:r w:rsidRPr="00F505B4">
        <w:rPr>
          <w:rFonts w:eastAsia="Arial"/>
        </w:rPr>
        <w:t>38). Dauguma NR buvo priskirti lengvo arba vidutinio sunkumo laipsnio NR, 7 proc. pacientų buvo nustatyti sunkūs NR: plaučių funkcijos paūmėjimas dėl infe</w:t>
      </w:r>
      <w:r>
        <w:rPr>
          <w:rFonts w:eastAsia="Arial"/>
        </w:rPr>
        <w:t xml:space="preserve">kcijos, virusinis </w:t>
      </w:r>
      <w:proofErr w:type="spellStart"/>
      <w:r>
        <w:rPr>
          <w:rFonts w:eastAsia="Arial"/>
        </w:rPr>
        <w:t>gastroenterita</w:t>
      </w:r>
      <w:r w:rsidRPr="00F505B4">
        <w:rPr>
          <w:rFonts w:eastAsia="Arial"/>
        </w:rPr>
        <w:t>s</w:t>
      </w:r>
      <w:proofErr w:type="spellEnd"/>
      <w:r w:rsidRPr="00F505B4">
        <w:rPr>
          <w:rFonts w:eastAsia="Arial"/>
        </w:rPr>
        <w:t xml:space="preserve"> ir vidurių užki</w:t>
      </w:r>
      <w:r>
        <w:rPr>
          <w:rFonts w:eastAsia="Arial"/>
        </w:rPr>
        <w:t>e</w:t>
      </w:r>
      <w:r w:rsidRPr="00F505B4">
        <w:rPr>
          <w:rFonts w:eastAsia="Arial"/>
        </w:rPr>
        <w:t>tėjimas. Vidurių užki</w:t>
      </w:r>
      <w:r>
        <w:rPr>
          <w:rFonts w:eastAsia="Arial"/>
        </w:rPr>
        <w:t>e</w:t>
      </w:r>
      <w:r w:rsidRPr="00F505B4">
        <w:rPr>
          <w:rFonts w:eastAsia="Arial"/>
        </w:rPr>
        <w:t>tėjimas galimai buvo susijęs su vaistinių preparatų derinio vartojimu.</w:t>
      </w:r>
      <w:r>
        <w:rPr>
          <w:rFonts w:eastAsia="Arial"/>
        </w:rPr>
        <w:t xml:space="preserve"> Respiratoriniai NR – dusulys, švokštimas ir sutrikęs kvėpavimas buvo diagnozuoti 10 proc. pacientų. Laiko iki NR pasireiškimo mediana buvo 9 dienos ir NR trukmės </w:t>
      </w:r>
      <w:r>
        <w:rPr>
          <w:rFonts w:eastAsia="Arial"/>
        </w:rPr>
        <w:lastRenderedPageBreak/>
        <w:t>mediana buvo 4,5 dienos. Tačiau visi NR, susiję su plaučių funkcijos sutrikimu, buvo lengvo arba vidutinio sunkumo ir dėl jų tyrimo gydymas nebuvo nutrauktas.</w:t>
      </w:r>
    </w:p>
    <w:p w14:paraId="32BB1867" w14:textId="77777777" w:rsidR="0043511D" w:rsidRPr="007F238A" w:rsidRDefault="0043511D" w:rsidP="0043511D">
      <w:pPr>
        <w:tabs>
          <w:tab w:val="left" w:pos="492"/>
        </w:tabs>
        <w:spacing w:line="276" w:lineRule="auto"/>
        <w:jc w:val="both"/>
        <w:outlineLvl w:val="1"/>
        <w:rPr>
          <w:rFonts w:eastAsia="Arial"/>
          <w:i/>
        </w:rPr>
      </w:pPr>
      <w:r>
        <w:rPr>
          <w:rFonts w:eastAsia="Arial"/>
        </w:rPr>
        <w:tab/>
      </w:r>
      <w:r w:rsidRPr="00555714">
        <w:rPr>
          <w:rFonts w:eastAsia="Arial"/>
          <w:i/>
        </w:rPr>
        <w:t xml:space="preserve">Antrinės vertinamosios </w:t>
      </w:r>
      <w:r w:rsidRPr="007F238A">
        <w:rPr>
          <w:rFonts w:eastAsia="Arial"/>
          <w:i/>
        </w:rPr>
        <w:t>baigtys</w:t>
      </w:r>
    </w:p>
    <w:p w14:paraId="4EA40468" w14:textId="77777777" w:rsidR="0043511D" w:rsidRDefault="0043511D" w:rsidP="0043511D">
      <w:pPr>
        <w:tabs>
          <w:tab w:val="left" w:pos="492"/>
        </w:tabs>
        <w:spacing w:line="276" w:lineRule="auto"/>
        <w:jc w:val="both"/>
        <w:outlineLvl w:val="1"/>
        <w:rPr>
          <w:rFonts w:eastAsia="Arial"/>
        </w:rPr>
      </w:pPr>
      <w:r>
        <w:rPr>
          <w:rFonts w:eastAsia="Arial"/>
        </w:rPr>
        <w:t>LCI</w:t>
      </w:r>
      <w:r w:rsidRPr="006F3676">
        <w:rPr>
          <w:rFonts w:eastAsia="Arial"/>
          <w:vertAlign w:val="subscript"/>
        </w:rPr>
        <w:t>2,5</w:t>
      </w:r>
      <w:r>
        <w:rPr>
          <w:rFonts w:eastAsia="Arial"/>
        </w:rPr>
        <w:t xml:space="preserve">  pokytis buvo statistiškai nereikšmingas nuo gydymo pradžios iki gydymo pabaigos (24 savaitę), taip pat neaišku kaip vertinti šio rodiklio absoliutaus arba santykinio pokyčio reikšmę klinikinio  veiksmingumo atžvilgiu. </w:t>
      </w:r>
      <w:r w:rsidRPr="00D85C78">
        <w:rPr>
          <w:rFonts w:eastAsia="Arial"/>
        </w:rPr>
        <w:t xml:space="preserve">Absoliutus chlorido jonų koncentracijos pokytis nuo gydymo pradžios iki 24 tyrimo </w:t>
      </w:r>
      <w:r>
        <w:rPr>
          <w:rFonts w:eastAsia="Arial"/>
        </w:rPr>
        <w:t xml:space="preserve">savaitės sumažėjo apie 30 </w:t>
      </w:r>
      <w:proofErr w:type="spellStart"/>
      <w:r>
        <w:rPr>
          <w:rFonts w:eastAsia="Arial"/>
        </w:rPr>
        <w:t>mmol</w:t>
      </w:r>
      <w:proofErr w:type="spellEnd"/>
      <w:r>
        <w:rPr>
          <w:rFonts w:eastAsia="Arial"/>
        </w:rPr>
        <w:t xml:space="preserve">/l. Vertinant pacientų praneštų baigčių rezultatus, nebuvo pastebėta statistiškai reikšmingų skirtumų, lyginant gydymo pradžios ir gydymo pabaigos rezultatus. </w:t>
      </w:r>
      <w:r w:rsidRPr="00387EC3">
        <w:rPr>
          <w:rFonts w:eastAsia="Arial"/>
        </w:rPr>
        <w:t>KMI abso</w:t>
      </w:r>
      <w:r>
        <w:rPr>
          <w:rFonts w:eastAsia="Arial"/>
        </w:rPr>
        <w:t>liutus pokytis buvo 0,29 kg/m</w:t>
      </w:r>
      <w:r w:rsidRPr="00387EC3">
        <w:rPr>
          <w:rFonts w:eastAsia="Arial"/>
          <w:vertAlign w:val="superscript"/>
        </w:rPr>
        <w:t>2</w:t>
      </w:r>
      <w:r>
        <w:rPr>
          <w:rFonts w:eastAsia="Arial"/>
        </w:rPr>
        <w:t xml:space="preserve">. </w:t>
      </w:r>
      <w:r w:rsidRPr="00387EC3">
        <w:rPr>
          <w:rFonts w:eastAsia="Arial"/>
        </w:rPr>
        <w:t xml:space="preserve">Kūno masė vidutiniškai padidėjo apie 1,4 kg nuo gydymo pradžios, o </w:t>
      </w:r>
      <w:r>
        <w:rPr>
          <w:rFonts w:eastAsia="Arial"/>
        </w:rPr>
        <w:t xml:space="preserve">absoliutus </w:t>
      </w:r>
      <w:r w:rsidRPr="00387EC3">
        <w:rPr>
          <w:rFonts w:eastAsia="Arial"/>
        </w:rPr>
        <w:t>kūno masės pokytis pagal amžių kreivę buvo 0,26</w:t>
      </w:r>
      <w:r>
        <w:rPr>
          <w:rFonts w:eastAsia="Arial"/>
        </w:rPr>
        <w:t xml:space="preserve"> (p&lt;0,0001)</w:t>
      </w:r>
      <w:r w:rsidRPr="00387EC3">
        <w:rPr>
          <w:rFonts w:eastAsia="Arial"/>
        </w:rPr>
        <w:t>. Ūgis pailgėjo vidutiniškai 3,6 cm, o absoliutus ūgio pokytis buvo 0,09</w:t>
      </w:r>
      <w:r>
        <w:rPr>
          <w:rFonts w:eastAsia="Arial"/>
        </w:rPr>
        <w:t xml:space="preserve"> (p&lt;0,0104)</w:t>
      </w:r>
      <w:r w:rsidRPr="00387EC3">
        <w:rPr>
          <w:rFonts w:eastAsia="Arial"/>
        </w:rPr>
        <w:t>.</w:t>
      </w:r>
      <w:r>
        <w:rPr>
          <w:rFonts w:eastAsia="Arial"/>
        </w:rPr>
        <w:t xml:space="preserve"> </w:t>
      </w:r>
      <w:r w:rsidRPr="00387EC3">
        <w:rPr>
          <w:rFonts w:eastAsia="Arial"/>
        </w:rPr>
        <w:t xml:space="preserve">Rodikliai kasos funkcijai įvertinti: išmatų elastazės-1 ir </w:t>
      </w:r>
      <w:proofErr w:type="spellStart"/>
      <w:r w:rsidRPr="00387EC3">
        <w:rPr>
          <w:rFonts w:eastAsia="Arial"/>
        </w:rPr>
        <w:t>imunoreaktyvus</w:t>
      </w:r>
      <w:proofErr w:type="spellEnd"/>
      <w:r w:rsidRPr="00387EC3">
        <w:rPr>
          <w:rFonts w:eastAsia="Arial"/>
        </w:rPr>
        <w:t xml:space="preserve"> </w:t>
      </w:r>
      <w:proofErr w:type="spellStart"/>
      <w:r w:rsidRPr="00387EC3">
        <w:rPr>
          <w:rFonts w:eastAsia="Arial"/>
        </w:rPr>
        <w:t>tripsinogenas</w:t>
      </w:r>
      <w:proofErr w:type="spellEnd"/>
      <w:r w:rsidRPr="00387EC3">
        <w:rPr>
          <w:rFonts w:eastAsia="Arial"/>
        </w:rPr>
        <w:t xml:space="preserve"> (</w:t>
      </w:r>
      <w:proofErr w:type="spellStart"/>
      <w:r w:rsidRPr="00387EC3">
        <w:rPr>
          <w:rFonts w:eastAsia="Arial"/>
        </w:rPr>
        <w:t>sIRT</w:t>
      </w:r>
      <w:proofErr w:type="spellEnd"/>
      <w:r w:rsidRPr="00387EC3">
        <w:rPr>
          <w:rFonts w:eastAsia="Arial"/>
        </w:rPr>
        <w:t>) serume</w:t>
      </w:r>
      <w:r>
        <w:rPr>
          <w:rFonts w:eastAsia="Arial"/>
        </w:rPr>
        <w:t xml:space="preserve"> pokyčiai vertinant 24 savaitę buvo statistiškai reikšmingi, rodant teigiamą gydymo LUM/IVA poveikį</w:t>
      </w:r>
      <w:r w:rsidRPr="00387EC3">
        <w:rPr>
          <w:rFonts w:eastAsia="Arial"/>
        </w:rPr>
        <w:t xml:space="preserve">. </w:t>
      </w:r>
      <w:r>
        <w:rPr>
          <w:rFonts w:eastAsia="Arial"/>
        </w:rPr>
        <w:t>Tačiau be palyginamosios grupės ir dėl nenustatytų</w:t>
      </w:r>
      <w:r w:rsidRPr="00387EC3">
        <w:rPr>
          <w:rFonts w:eastAsia="Arial"/>
        </w:rPr>
        <w:t xml:space="preserve"> viršutinės ir apatinės </w:t>
      </w:r>
      <w:r>
        <w:rPr>
          <w:rFonts w:eastAsia="Arial"/>
        </w:rPr>
        <w:t>šių rodiklių normų šios amžiaus grupėje gautus rezultatus sunku interpretuoti</w:t>
      </w:r>
      <w:r w:rsidRPr="00387EC3">
        <w:rPr>
          <w:rFonts w:eastAsia="Arial"/>
        </w:rPr>
        <w:t>.</w:t>
      </w:r>
    </w:p>
    <w:p w14:paraId="0549DADC" w14:textId="77777777" w:rsidR="0043511D" w:rsidRDefault="0043511D" w:rsidP="0043511D">
      <w:pPr>
        <w:tabs>
          <w:tab w:val="left" w:pos="492"/>
        </w:tabs>
        <w:spacing w:line="276" w:lineRule="auto"/>
        <w:jc w:val="both"/>
        <w:outlineLvl w:val="1"/>
        <w:rPr>
          <w:rFonts w:eastAsia="Arial"/>
          <w:i/>
        </w:rPr>
      </w:pPr>
    </w:p>
    <w:p w14:paraId="7D5DCB90" w14:textId="77777777" w:rsidR="0043511D" w:rsidRPr="007F238A" w:rsidRDefault="0043511D" w:rsidP="0043511D">
      <w:pPr>
        <w:tabs>
          <w:tab w:val="left" w:pos="492"/>
        </w:tabs>
        <w:spacing w:line="276" w:lineRule="auto"/>
        <w:jc w:val="both"/>
        <w:outlineLvl w:val="1"/>
        <w:rPr>
          <w:rFonts w:eastAsia="Arial"/>
          <w:b/>
          <w:i/>
        </w:rPr>
      </w:pPr>
      <w:r w:rsidRPr="007F238A">
        <w:rPr>
          <w:rFonts w:eastAsia="Arial"/>
          <w:b/>
          <w:i/>
        </w:rPr>
        <w:t>Tęstinių tyrimų rezultatai</w:t>
      </w:r>
    </w:p>
    <w:p w14:paraId="12574282" w14:textId="77777777" w:rsidR="0043511D" w:rsidRDefault="0043511D" w:rsidP="0043511D">
      <w:pPr>
        <w:tabs>
          <w:tab w:val="left" w:pos="492"/>
        </w:tabs>
        <w:spacing w:line="276" w:lineRule="auto"/>
        <w:jc w:val="both"/>
        <w:outlineLvl w:val="1"/>
        <w:rPr>
          <w:rFonts w:eastAsia="Arial"/>
        </w:rPr>
      </w:pPr>
      <w:r>
        <w:rPr>
          <w:rFonts w:eastAsia="Arial"/>
        </w:rPr>
        <w:tab/>
        <w:t>Pažymėtina, kad visų tęstinių tyrimų (nepriklausomai nuo pacientų amžiaus) pirminė baigtis buvo vaistinio preparato saugumas ir toleravimas.</w:t>
      </w:r>
    </w:p>
    <w:p w14:paraId="389F3DFC" w14:textId="77777777" w:rsidR="0043511D" w:rsidRDefault="0043511D" w:rsidP="0043511D">
      <w:pPr>
        <w:tabs>
          <w:tab w:val="left" w:pos="492"/>
        </w:tabs>
        <w:spacing w:line="276" w:lineRule="auto"/>
        <w:jc w:val="both"/>
        <w:outlineLvl w:val="1"/>
        <w:rPr>
          <w:rFonts w:eastAsia="Arial"/>
        </w:rPr>
      </w:pPr>
    </w:p>
    <w:p w14:paraId="5019AE55" w14:textId="77777777" w:rsidR="0043511D" w:rsidRPr="007F238A" w:rsidRDefault="0043511D" w:rsidP="0043511D">
      <w:pPr>
        <w:tabs>
          <w:tab w:val="left" w:pos="492"/>
        </w:tabs>
        <w:spacing w:line="276" w:lineRule="auto"/>
        <w:jc w:val="both"/>
        <w:outlineLvl w:val="1"/>
        <w:rPr>
          <w:rFonts w:eastAsia="Arial"/>
          <w:i/>
        </w:rPr>
      </w:pPr>
      <w:r w:rsidRPr="007F238A">
        <w:rPr>
          <w:rFonts w:eastAsia="Arial"/>
          <w:i/>
        </w:rPr>
        <w:t xml:space="preserve">Tęstinis, 3 fazės, ilgalaikio stebėjimo tyrimas </w:t>
      </w:r>
      <w:r>
        <w:rPr>
          <w:rFonts w:eastAsia="Arial"/>
          <w:i/>
        </w:rPr>
        <w:t xml:space="preserve">PROGRESS </w:t>
      </w:r>
      <w:r w:rsidRPr="007F238A">
        <w:rPr>
          <w:rFonts w:eastAsia="Arial"/>
          <w:i/>
        </w:rPr>
        <w:t>(</w:t>
      </w:r>
      <w:r w:rsidRPr="00E83141">
        <w:rPr>
          <w:rFonts w:eastAsia="Arial"/>
          <w:b/>
          <w:i/>
        </w:rPr>
        <w:t>vaikai nuo 12 metų</w:t>
      </w:r>
      <w:r w:rsidRPr="007F238A">
        <w:rPr>
          <w:rFonts w:eastAsia="Arial"/>
          <w:i/>
        </w:rPr>
        <w:t>)</w:t>
      </w:r>
    </w:p>
    <w:p w14:paraId="0441DF27" w14:textId="77777777" w:rsidR="0043511D" w:rsidRDefault="0043511D" w:rsidP="0043511D">
      <w:pPr>
        <w:tabs>
          <w:tab w:val="left" w:pos="492"/>
        </w:tabs>
        <w:spacing w:line="276" w:lineRule="auto"/>
        <w:jc w:val="both"/>
        <w:outlineLvl w:val="1"/>
        <w:rPr>
          <w:rFonts w:eastAsia="Arial"/>
          <w:i/>
        </w:rPr>
      </w:pPr>
      <w:r>
        <w:rPr>
          <w:rFonts w:eastAsia="Arial"/>
        </w:rPr>
        <w:tab/>
        <w:t xml:space="preserve">Bendrai 1030 pacientų, dalyvavusių TRAFFIC ir TRANSPORT tyrimuose, pagal įtraukimo kriterijus pateko į PROGRESS tyrimą. </w:t>
      </w:r>
    </w:p>
    <w:p w14:paraId="6E1AA0B3" w14:textId="77777777" w:rsidR="0043511D" w:rsidRPr="006159F0" w:rsidRDefault="0043511D" w:rsidP="0043511D">
      <w:pPr>
        <w:tabs>
          <w:tab w:val="left" w:pos="492"/>
        </w:tabs>
        <w:spacing w:line="276" w:lineRule="auto"/>
        <w:jc w:val="both"/>
        <w:outlineLvl w:val="1"/>
        <w:rPr>
          <w:rFonts w:eastAsia="Arial"/>
          <w:i/>
        </w:rPr>
      </w:pPr>
      <w:r w:rsidRPr="006159F0">
        <w:rPr>
          <w:rFonts w:eastAsia="Arial"/>
          <w:i/>
        </w:rPr>
        <w:t>Pirminė baigtis</w:t>
      </w:r>
    </w:p>
    <w:p w14:paraId="0E93E273" w14:textId="77777777" w:rsidR="0043511D" w:rsidRDefault="0043511D" w:rsidP="0043511D">
      <w:pPr>
        <w:tabs>
          <w:tab w:val="left" w:pos="492"/>
        </w:tabs>
        <w:spacing w:line="276" w:lineRule="auto"/>
        <w:jc w:val="both"/>
        <w:outlineLvl w:val="1"/>
        <w:rPr>
          <w:rFonts w:eastAsia="Arial"/>
        </w:rPr>
      </w:pPr>
      <w:r>
        <w:rPr>
          <w:rFonts w:eastAsia="Arial"/>
        </w:rPr>
        <w:tab/>
        <w:t xml:space="preserve">Dažniausiai nustatyti NR buvo plaučių funkcijos paūmėjimai susiję su infekcija, kosulys, padidėjęs gleivių formavimas ir </w:t>
      </w:r>
      <w:proofErr w:type="spellStart"/>
      <w:r>
        <w:rPr>
          <w:rFonts w:eastAsia="Arial"/>
        </w:rPr>
        <w:t>hemoptizė</w:t>
      </w:r>
      <w:proofErr w:type="spellEnd"/>
      <w:r>
        <w:rPr>
          <w:rFonts w:eastAsia="Arial"/>
        </w:rPr>
        <w:t>. Nedidelis kraujospūdžio padidėjimas, pastebėtas pacientams pagrindiniuose tyrimuose, taip pat buvo dokumentuotas PROGRESS tyrimo pacientams.</w:t>
      </w:r>
    </w:p>
    <w:p w14:paraId="5A630D26" w14:textId="77777777" w:rsidR="0043511D" w:rsidRDefault="0043511D" w:rsidP="0043511D">
      <w:pPr>
        <w:tabs>
          <w:tab w:val="left" w:pos="492"/>
        </w:tabs>
        <w:spacing w:line="276" w:lineRule="auto"/>
        <w:jc w:val="both"/>
        <w:outlineLvl w:val="1"/>
        <w:rPr>
          <w:rFonts w:eastAsia="Arial"/>
          <w:i/>
        </w:rPr>
      </w:pPr>
    </w:p>
    <w:p w14:paraId="24FC4D90" w14:textId="77777777" w:rsidR="0043511D" w:rsidRPr="006159F0" w:rsidRDefault="0043511D" w:rsidP="0043511D">
      <w:pPr>
        <w:tabs>
          <w:tab w:val="left" w:pos="492"/>
        </w:tabs>
        <w:spacing w:line="276" w:lineRule="auto"/>
        <w:jc w:val="both"/>
        <w:outlineLvl w:val="1"/>
        <w:rPr>
          <w:rFonts w:eastAsia="Arial"/>
          <w:i/>
        </w:rPr>
      </w:pPr>
      <w:r w:rsidRPr="006159F0">
        <w:rPr>
          <w:rFonts w:eastAsia="Arial"/>
          <w:i/>
        </w:rPr>
        <w:t>Antrinės baigtys</w:t>
      </w:r>
    </w:p>
    <w:p w14:paraId="7E385038" w14:textId="77777777" w:rsidR="0043511D" w:rsidRDefault="0043511D" w:rsidP="0043511D">
      <w:pPr>
        <w:tabs>
          <w:tab w:val="left" w:pos="492"/>
        </w:tabs>
        <w:spacing w:line="276" w:lineRule="auto"/>
        <w:jc w:val="both"/>
        <w:outlineLvl w:val="1"/>
      </w:pPr>
      <w:r>
        <w:tab/>
        <w:t xml:space="preserve">Remiantis PROGRESS tyrimo duomenimis absoliutus teigiamas plaučių funkcijos pokytis buvo nustatytas 72 savaitę nuo gydymo pradžios pacientams, kurie perėjo iš placebo grupių ir vartojo </w:t>
      </w:r>
      <w:proofErr w:type="spellStart"/>
      <w:r>
        <w:t>lumakaftoro</w:t>
      </w:r>
      <w:proofErr w:type="spellEnd"/>
      <w:r>
        <w:t xml:space="preserve"> 400 mg/</w:t>
      </w:r>
      <w:proofErr w:type="spellStart"/>
      <w:r>
        <w:t>ivakaftoro</w:t>
      </w:r>
      <w:proofErr w:type="spellEnd"/>
      <w:r>
        <w:t xml:space="preserve"> 250 mg 2 kartus per parą, tačiau 96 tyrimo savaitę šis pokytis nebuvo statistiškai reikšmingai didesnis, palyginus su pradiniu FEV</w:t>
      </w:r>
      <w:r w:rsidRPr="004E12C1">
        <w:rPr>
          <w:vertAlign w:val="subscript"/>
        </w:rPr>
        <w:t>1</w:t>
      </w:r>
      <w:r>
        <w:t>. Pacientams, kurie tęsė derinio vartojimą, plaučių funkcijos pokytis vertinant pagal FEV</w:t>
      </w:r>
      <w:r w:rsidRPr="00B9441A">
        <w:rPr>
          <w:vertAlign w:val="subscript"/>
        </w:rPr>
        <w:t>1</w:t>
      </w:r>
      <w:r>
        <w:t xml:space="preserve"> buvo nedidelis ir statistiškai nereikšmingas palyginus pradiniu FEV</w:t>
      </w:r>
      <w:r w:rsidRPr="00B9441A">
        <w:rPr>
          <w:vertAlign w:val="subscript"/>
        </w:rPr>
        <w:t>1</w:t>
      </w:r>
      <w:r>
        <w:t xml:space="preserve"> (7 lentelė) 72 savaitę ir 96 savaitę. Metinis plaučių funkcijos paūmėjimų dažnis nuosekliai buvo mažesnis vartojusiems tiriamąjį derinį pacientams pasiekus 96 tyrimo savaitę, lyginant su placebo grupės rezultatais iš TRAFFIC ir TRANSPORT tyrimų. Taip pat buvo nustatyta, kad metinis plaučių funkcijos prastėjimo greitis buvo lėtesnis, vartojant tiriamąjį derinį, palyginus su registro kohortos pacientų duomenimis, tačiau pacientams, kurių amžius buvo nuo 12 iki 17 metų, jis statistiškai reikšmingai nesiskyrė nuo placebo grupės pacientų.</w:t>
      </w:r>
    </w:p>
    <w:p w14:paraId="516A7C6A" w14:textId="77777777" w:rsidR="0043511D" w:rsidRDefault="0043511D" w:rsidP="0043511D">
      <w:pPr>
        <w:tabs>
          <w:tab w:val="left" w:pos="492"/>
        </w:tabs>
        <w:spacing w:line="276" w:lineRule="auto"/>
        <w:jc w:val="both"/>
        <w:outlineLvl w:val="1"/>
      </w:pPr>
    </w:p>
    <w:p w14:paraId="7D33C2F3" w14:textId="77777777" w:rsidR="0043511D" w:rsidRPr="007F238A" w:rsidRDefault="0043511D" w:rsidP="0043511D">
      <w:pPr>
        <w:tabs>
          <w:tab w:val="left" w:pos="492"/>
        </w:tabs>
        <w:spacing w:line="276" w:lineRule="auto"/>
        <w:jc w:val="both"/>
        <w:outlineLvl w:val="1"/>
        <w:rPr>
          <w:rFonts w:eastAsia="Arial"/>
          <w:i/>
        </w:rPr>
      </w:pPr>
      <w:r w:rsidRPr="007F238A">
        <w:rPr>
          <w:rFonts w:eastAsia="Arial"/>
          <w:i/>
        </w:rPr>
        <w:t>Tęstinis, 3 fazės, ilgalaikio stebėjimo tyrimas (</w:t>
      </w:r>
      <w:r w:rsidRPr="00E83141">
        <w:rPr>
          <w:rFonts w:eastAsia="Arial"/>
          <w:b/>
          <w:i/>
        </w:rPr>
        <w:t>vaikai nuo 6 iki 11 metų</w:t>
      </w:r>
      <w:r w:rsidRPr="007F238A">
        <w:rPr>
          <w:rFonts w:eastAsia="Arial"/>
          <w:i/>
        </w:rPr>
        <w:t>).</w:t>
      </w:r>
    </w:p>
    <w:p w14:paraId="45CAD951" w14:textId="77777777" w:rsidR="0043511D" w:rsidRPr="000F7785" w:rsidRDefault="0043511D" w:rsidP="0043511D">
      <w:pPr>
        <w:tabs>
          <w:tab w:val="left" w:pos="492"/>
        </w:tabs>
        <w:spacing w:line="276" w:lineRule="auto"/>
        <w:jc w:val="both"/>
        <w:outlineLvl w:val="1"/>
        <w:rPr>
          <w:rFonts w:eastAsia="Arial"/>
          <w:i/>
        </w:rPr>
      </w:pPr>
      <w:r w:rsidRPr="000F7785">
        <w:rPr>
          <w:rFonts w:eastAsia="Arial"/>
          <w:i/>
        </w:rPr>
        <w:t>Pirminė baigtis</w:t>
      </w:r>
    </w:p>
    <w:p w14:paraId="11FFC7C7" w14:textId="77777777" w:rsidR="0043511D" w:rsidRPr="00E729BE" w:rsidRDefault="0043511D" w:rsidP="0043511D">
      <w:pPr>
        <w:tabs>
          <w:tab w:val="left" w:pos="492"/>
        </w:tabs>
        <w:spacing w:line="276" w:lineRule="auto"/>
        <w:jc w:val="both"/>
        <w:outlineLvl w:val="1"/>
        <w:rPr>
          <w:rFonts w:eastAsia="Arial"/>
        </w:rPr>
      </w:pPr>
      <w:r>
        <w:rPr>
          <w:rFonts w:eastAsia="Arial"/>
        </w:rPr>
        <w:t xml:space="preserve">Beveik visi tyrime dalyvavę pacientai patyrė NR – 99 proc. (236 iš 239 vaikų). Didžioji NR dalis pateko į lengvo arba vidutinio sunkumo NR kategorijas, 21 proc. ir 62 proc., atitinkamai. Nors vieną sunkų NR patyrė 30 proc. (70 iš 239) vaikų. Stebėjimo metu mirties atvejų nebuvo. Dauguma sunkių </w:t>
      </w:r>
      <w:r>
        <w:rPr>
          <w:rFonts w:eastAsia="Arial"/>
        </w:rPr>
        <w:lastRenderedPageBreak/>
        <w:t xml:space="preserve">NR buvo susiję su cistinės fibrozės komplikacijomis: kosulys ir plaučių funkcijos pablogėjimas </w:t>
      </w:r>
      <w:r w:rsidRPr="000F7085">
        <w:rPr>
          <w:rFonts w:eastAsia="Arial"/>
        </w:rPr>
        <w:t>(paūmėjimai) dėl infekcinių ligų.</w:t>
      </w:r>
      <w:r>
        <w:rPr>
          <w:rFonts w:eastAsia="Arial"/>
        </w:rPr>
        <w:t xml:space="preserve"> Pacientai, kurie nutraukė savo dalyvavimą</w:t>
      </w:r>
      <w:r w:rsidRPr="000F7085">
        <w:rPr>
          <w:rFonts w:eastAsia="Arial"/>
        </w:rPr>
        <w:t xml:space="preserve"> ilgalaikiame stebėjime dėl NR, turėjo padidėjusią ALT/AST koncentraciją, kepenų ligą dėl cistinė</w:t>
      </w:r>
      <w:r>
        <w:rPr>
          <w:rFonts w:eastAsia="Arial"/>
        </w:rPr>
        <w:t>s fibrozės progresavimo, išsivysčiusį autoimuninį</w:t>
      </w:r>
      <w:r w:rsidRPr="000F7085">
        <w:rPr>
          <w:rFonts w:eastAsia="Arial"/>
        </w:rPr>
        <w:t xml:space="preserve"> hepatitą, virškinimo trakto sutrikimus, karščiavimą ir </w:t>
      </w:r>
      <w:proofErr w:type="spellStart"/>
      <w:r w:rsidRPr="000F7085">
        <w:rPr>
          <w:rFonts w:eastAsia="Arial"/>
        </w:rPr>
        <w:t>urtikariją</w:t>
      </w:r>
      <w:proofErr w:type="spellEnd"/>
      <w:r w:rsidRPr="000F7085">
        <w:rPr>
          <w:rFonts w:eastAsia="Arial"/>
        </w:rPr>
        <w:t xml:space="preserve"> bei pablogėjusią plaučių funkciją.</w:t>
      </w:r>
      <w:r>
        <w:rPr>
          <w:rFonts w:eastAsia="Arial"/>
        </w:rPr>
        <w:t xml:space="preserve"> </w:t>
      </w:r>
      <w:r w:rsidRPr="000F7085">
        <w:rPr>
          <w:rFonts w:eastAsia="Arial"/>
        </w:rPr>
        <w:t xml:space="preserve">Kvėpavimo funkcijos </w:t>
      </w:r>
      <w:r>
        <w:rPr>
          <w:rFonts w:eastAsia="Arial"/>
        </w:rPr>
        <w:t>pablogėjimo NR pasireiškė 44 iš 239 pacientų, visi buvo lengvi arba vidutinio sunkumo. Vidutiniškai NR pasireiškė per 11,5 dienų (mediana) ir vidutiniškai truko 4 dienas.</w:t>
      </w:r>
    </w:p>
    <w:p w14:paraId="1C9FDE7C" w14:textId="77777777" w:rsidR="0043511D" w:rsidRDefault="0043511D" w:rsidP="0043511D">
      <w:pPr>
        <w:tabs>
          <w:tab w:val="left" w:pos="492"/>
        </w:tabs>
        <w:spacing w:line="276" w:lineRule="auto"/>
        <w:jc w:val="both"/>
        <w:outlineLvl w:val="1"/>
        <w:rPr>
          <w:rFonts w:eastAsia="Arial"/>
          <w:i/>
        </w:rPr>
      </w:pPr>
      <w:r w:rsidRPr="00E729BE">
        <w:rPr>
          <w:rFonts w:eastAsia="Arial"/>
          <w:b/>
        </w:rPr>
        <w:tab/>
      </w:r>
      <w:r w:rsidRPr="000F7785">
        <w:rPr>
          <w:rFonts w:eastAsia="Arial"/>
          <w:i/>
        </w:rPr>
        <w:t>Antrinės baigtys</w:t>
      </w:r>
      <w:r>
        <w:rPr>
          <w:rFonts w:eastAsia="Arial"/>
          <w:i/>
        </w:rPr>
        <w:t>:</w:t>
      </w:r>
    </w:p>
    <w:p w14:paraId="3C26EF92" w14:textId="77777777" w:rsidR="0043511D" w:rsidRDefault="0043511D" w:rsidP="0043511D">
      <w:pPr>
        <w:tabs>
          <w:tab w:val="left" w:pos="492"/>
        </w:tabs>
        <w:spacing w:line="276" w:lineRule="auto"/>
        <w:jc w:val="both"/>
        <w:outlineLvl w:val="1"/>
        <w:rPr>
          <w:rFonts w:eastAsia="Arial"/>
        </w:rPr>
      </w:pPr>
      <w:r>
        <w:rPr>
          <w:rFonts w:eastAsia="Arial"/>
        </w:rPr>
        <w:t>Bendras p</w:t>
      </w:r>
      <w:r w:rsidRPr="00E729BE">
        <w:rPr>
          <w:rFonts w:eastAsia="Arial"/>
        </w:rPr>
        <w:t>radinis ppFEV</w:t>
      </w:r>
      <w:r w:rsidRPr="00E729BE">
        <w:rPr>
          <w:rFonts w:eastAsia="Arial"/>
          <w:vertAlign w:val="subscript"/>
        </w:rPr>
        <w:t xml:space="preserve">1 </w:t>
      </w:r>
      <w:r w:rsidRPr="00E729BE">
        <w:rPr>
          <w:rFonts w:eastAsia="Arial"/>
        </w:rPr>
        <w:t>rodmuo buvo 89,9 (SN=12,5). Bendrai, LCI</w:t>
      </w:r>
      <w:r w:rsidRPr="00E729BE">
        <w:rPr>
          <w:rFonts w:eastAsia="Arial"/>
          <w:vertAlign w:val="subscript"/>
        </w:rPr>
        <w:t>2,5</w:t>
      </w:r>
      <w:r>
        <w:rPr>
          <w:rFonts w:eastAsia="Arial"/>
        </w:rPr>
        <w:t xml:space="preserve"> buvo nenormalus – 10,2 (2,3) palyginus su sveikų vaikų viršutinės normos riba – 7,91 (žr. paraišką ir protokolą), kas rodo plaučių hiperventiliacijos  požymius. Stebėjimo tyrimo rezultatai rodo, kad, gydant LUM/IVA deriniu, LCI</w:t>
      </w:r>
      <w:r w:rsidRPr="00626E97">
        <w:rPr>
          <w:rFonts w:eastAsia="Arial"/>
          <w:vertAlign w:val="subscript"/>
        </w:rPr>
        <w:t>2,5</w:t>
      </w:r>
      <w:r>
        <w:rPr>
          <w:rFonts w:eastAsia="Arial"/>
          <w:vertAlign w:val="subscript"/>
        </w:rPr>
        <w:t xml:space="preserve"> </w:t>
      </w:r>
      <w:r>
        <w:rPr>
          <w:rFonts w:eastAsia="Arial"/>
        </w:rPr>
        <w:t>sumažėjo pacientams kurie pagrindiniame tyrime vartojo placebą. LCI</w:t>
      </w:r>
      <w:r w:rsidRPr="00B55028">
        <w:rPr>
          <w:rFonts w:eastAsia="Arial"/>
          <w:vertAlign w:val="subscript"/>
        </w:rPr>
        <w:t>2,5</w:t>
      </w:r>
      <w:r>
        <w:rPr>
          <w:rFonts w:eastAsia="Arial"/>
        </w:rPr>
        <w:t xml:space="preserve"> sumažėjimo dydis buvo panašus į tą, kuris buvo pastabėtas pagrindiniame tyrime tiriamojo vaisto grupėje. Pacientų, kurie tęsė LUM/IVA vartojimą, LCI</w:t>
      </w:r>
      <w:r w:rsidRPr="00B55028">
        <w:rPr>
          <w:rFonts w:eastAsia="Arial"/>
          <w:vertAlign w:val="subscript"/>
        </w:rPr>
        <w:t>2,5</w:t>
      </w:r>
      <w:r>
        <w:rPr>
          <w:rFonts w:eastAsia="Arial"/>
          <w:vertAlign w:val="subscript"/>
        </w:rPr>
        <w:t xml:space="preserve"> </w:t>
      </w:r>
      <w:r>
        <w:rPr>
          <w:rFonts w:eastAsia="Arial"/>
        </w:rPr>
        <w:t xml:space="preserve">išliko tame pačiame lygmenyje, </w:t>
      </w:r>
      <w:proofErr w:type="spellStart"/>
      <w:r>
        <w:rPr>
          <w:rFonts w:eastAsia="Arial"/>
        </w:rPr>
        <w:t>t.y</w:t>
      </w:r>
      <w:proofErr w:type="spellEnd"/>
      <w:r>
        <w:rPr>
          <w:rFonts w:eastAsia="Arial"/>
        </w:rPr>
        <w:t>. jis nepadidėjo palyginus su pagrindiniame tyrime pasiektu sumažėjimu nuo gydymo pradžios (24 savaitę). Chlorido jonų koncentracija sumažėjo taikant gydymą LUM/IVA, ir sumažėjimas buvo išlaikomas visą stebėjimo laikotarpį. Gyvenimo kokybės įvertinimas (pagal CFQ-R klausimyną) parodė, kad pacientų gyvenimo kokybė pagerėjo &gt;4,0, kas atitinka minimalų kliniškai reikšmingą skirtumą (</w:t>
      </w:r>
      <w:r w:rsidRPr="007E3BA5">
        <w:rPr>
          <w:rFonts w:eastAsia="Arial"/>
          <w:i/>
        </w:rPr>
        <w:t xml:space="preserve">angl. </w:t>
      </w:r>
      <w:proofErr w:type="spellStart"/>
      <w:r w:rsidRPr="007E3BA5">
        <w:rPr>
          <w:rFonts w:eastAsia="Arial"/>
          <w:i/>
        </w:rPr>
        <w:t>minimum</w:t>
      </w:r>
      <w:proofErr w:type="spellEnd"/>
      <w:r w:rsidRPr="007E3BA5">
        <w:rPr>
          <w:rFonts w:eastAsia="Arial"/>
          <w:i/>
        </w:rPr>
        <w:t xml:space="preserve"> </w:t>
      </w:r>
      <w:proofErr w:type="spellStart"/>
      <w:r w:rsidRPr="007E3BA5">
        <w:rPr>
          <w:rFonts w:eastAsia="Arial"/>
          <w:i/>
        </w:rPr>
        <w:t>clinically</w:t>
      </w:r>
      <w:proofErr w:type="spellEnd"/>
      <w:r w:rsidRPr="007E3BA5">
        <w:rPr>
          <w:rFonts w:eastAsia="Arial"/>
          <w:i/>
        </w:rPr>
        <w:t xml:space="preserve"> </w:t>
      </w:r>
      <w:proofErr w:type="spellStart"/>
      <w:r w:rsidRPr="007E3BA5">
        <w:rPr>
          <w:rFonts w:eastAsia="Arial"/>
          <w:i/>
        </w:rPr>
        <w:t>important</w:t>
      </w:r>
      <w:proofErr w:type="spellEnd"/>
      <w:r w:rsidRPr="007E3BA5">
        <w:rPr>
          <w:rFonts w:eastAsia="Arial"/>
          <w:i/>
        </w:rPr>
        <w:t xml:space="preserve"> </w:t>
      </w:r>
      <w:proofErr w:type="spellStart"/>
      <w:r w:rsidRPr="007E3BA5">
        <w:rPr>
          <w:rFonts w:eastAsia="Arial"/>
          <w:i/>
        </w:rPr>
        <w:t>difference</w:t>
      </w:r>
      <w:proofErr w:type="spellEnd"/>
      <w:r w:rsidRPr="007E3BA5">
        <w:rPr>
          <w:rFonts w:eastAsia="Arial"/>
          <w:i/>
        </w:rPr>
        <w:t>, MCID</w:t>
      </w:r>
      <w:r>
        <w:rPr>
          <w:rFonts w:eastAsia="Arial"/>
        </w:rPr>
        <w:t xml:space="preserve">). KMI vidutiniškai padidėjo kiekvienoje grupėje įvertinus 96 savaitę, pažymėtina, KMI padidėjimas buvo išlaikytas visą stebėjimo laikotarpį. </w:t>
      </w:r>
    </w:p>
    <w:p w14:paraId="3CC19A8B" w14:textId="77777777" w:rsidR="0043511D" w:rsidRPr="00B55028" w:rsidRDefault="0043511D" w:rsidP="0043511D">
      <w:pPr>
        <w:tabs>
          <w:tab w:val="left" w:pos="492"/>
        </w:tabs>
        <w:spacing w:line="276" w:lineRule="auto"/>
        <w:jc w:val="both"/>
        <w:outlineLvl w:val="1"/>
        <w:rPr>
          <w:rFonts w:eastAsia="Arial"/>
        </w:rPr>
      </w:pPr>
    </w:p>
    <w:p w14:paraId="6A528C8D" w14:textId="77777777" w:rsidR="0043511D" w:rsidRPr="007F238A" w:rsidRDefault="0043511D" w:rsidP="0043511D">
      <w:pPr>
        <w:tabs>
          <w:tab w:val="left" w:pos="492"/>
        </w:tabs>
        <w:spacing w:line="276" w:lineRule="auto"/>
        <w:jc w:val="both"/>
        <w:outlineLvl w:val="1"/>
        <w:rPr>
          <w:rFonts w:eastAsia="Arial"/>
          <w:i/>
        </w:rPr>
      </w:pPr>
      <w:r w:rsidRPr="007F238A">
        <w:rPr>
          <w:rFonts w:eastAsia="Arial"/>
          <w:i/>
        </w:rPr>
        <w:t xml:space="preserve">Tęstinis, 3 fazės, ilgalaikio stebėjimo, atviras,  </w:t>
      </w:r>
      <w:proofErr w:type="spellStart"/>
      <w:r w:rsidRPr="007F238A">
        <w:rPr>
          <w:rFonts w:eastAsia="Arial"/>
          <w:i/>
        </w:rPr>
        <w:t>daugiacentris</w:t>
      </w:r>
      <w:proofErr w:type="spellEnd"/>
      <w:r w:rsidRPr="007F238A">
        <w:rPr>
          <w:rFonts w:eastAsia="Arial"/>
          <w:i/>
        </w:rPr>
        <w:t xml:space="preserve"> tyrimas (</w:t>
      </w:r>
      <w:r w:rsidRPr="00E83141">
        <w:rPr>
          <w:rFonts w:eastAsia="Arial"/>
          <w:b/>
          <w:i/>
        </w:rPr>
        <w:t>vaikai nuo 2 iki 5 metų</w:t>
      </w:r>
      <w:r w:rsidRPr="007F238A">
        <w:rPr>
          <w:rFonts w:eastAsia="Arial"/>
          <w:i/>
        </w:rPr>
        <w:t>).</w:t>
      </w:r>
    </w:p>
    <w:p w14:paraId="7BE6F70D" w14:textId="77777777" w:rsidR="0043511D" w:rsidRDefault="0043511D" w:rsidP="0043511D">
      <w:pPr>
        <w:tabs>
          <w:tab w:val="left" w:pos="426"/>
        </w:tabs>
        <w:spacing w:line="276" w:lineRule="auto"/>
        <w:jc w:val="both"/>
        <w:rPr>
          <w:rFonts w:eastAsia="Arial"/>
        </w:rPr>
      </w:pPr>
      <w:r>
        <w:rPr>
          <w:rFonts w:eastAsia="Arial"/>
        </w:rPr>
        <w:tab/>
      </w:r>
      <w:r w:rsidRPr="007D7C7C">
        <w:rPr>
          <w:rFonts w:eastAsia="Arial"/>
          <w:i/>
        </w:rPr>
        <w:t>Pirminė baigtis:</w:t>
      </w:r>
      <w:r w:rsidRPr="00470D1B">
        <w:rPr>
          <w:rFonts w:eastAsia="Arial"/>
        </w:rPr>
        <w:t xml:space="preserve"> </w:t>
      </w:r>
      <w:r>
        <w:rPr>
          <w:rFonts w:eastAsia="Arial"/>
        </w:rPr>
        <w:t xml:space="preserve">Iš 57 pacientų 47 pacientai (82 proc.) dalyvavo iki tyrimo pabaigos ir pabaigė stebėjimą 96 tyrimo savaitę. </w:t>
      </w:r>
      <w:r>
        <w:rPr>
          <w:rFonts w:eastAsia="Arial"/>
        </w:rPr>
        <w:tab/>
      </w:r>
      <w:r>
        <w:rPr>
          <w:rFonts w:eastAsia="Arial"/>
          <w:u w:val="single"/>
        </w:rPr>
        <w:t>Sunkūs</w:t>
      </w:r>
      <w:r w:rsidRPr="00280E92">
        <w:rPr>
          <w:rFonts w:eastAsia="Arial"/>
          <w:u w:val="single"/>
        </w:rPr>
        <w:t xml:space="preserve"> NR</w:t>
      </w:r>
      <w:r>
        <w:rPr>
          <w:rFonts w:eastAsia="Arial"/>
        </w:rPr>
        <w:t xml:space="preserve"> – infekcinis plaučių funkcijos paūmėjimas ir plaučių uždegimas – buvo nustatyti 8 pacientams (11 proc. ir 4 proc., atitinkamai). Penki pacientai turėjo nutraukti tyrimo gydymą dėl NR. Vienas pacientas nutraukė gydymą dėl </w:t>
      </w:r>
      <w:proofErr w:type="spellStart"/>
      <w:r>
        <w:rPr>
          <w:rFonts w:eastAsia="Arial"/>
        </w:rPr>
        <w:t>metabolinės</w:t>
      </w:r>
      <w:proofErr w:type="spellEnd"/>
      <w:r>
        <w:rPr>
          <w:rFonts w:eastAsia="Arial"/>
        </w:rPr>
        <w:t xml:space="preserve"> </w:t>
      </w:r>
      <w:proofErr w:type="spellStart"/>
      <w:r>
        <w:rPr>
          <w:rFonts w:eastAsia="Arial"/>
        </w:rPr>
        <w:t>acidozės</w:t>
      </w:r>
      <w:proofErr w:type="spellEnd"/>
      <w:r>
        <w:rPr>
          <w:rFonts w:eastAsia="Arial"/>
        </w:rPr>
        <w:t xml:space="preserve"> bei virusinio gastrito, vienas pacientas nutraukė tyrimo gydymą dėl pankreatito, kuris pasižymėjo kepenų fermentų koncentracijos padidėjimu (tikėtinas ryšis su tyrimo gydymu). Dar vienas pacientas nutraukė tyrimo gydymą dėl padidėjusios AST koncentracijos, taip pat tikėtinas ryšys su tiriamuoju deriniu (10 lentelė).</w:t>
      </w:r>
    </w:p>
    <w:p w14:paraId="66A0BB43" w14:textId="77777777" w:rsidR="0043511D" w:rsidRDefault="0043511D" w:rsidP="0043511D">
      <w:pPr>
        <w:tabs>
          <w:tab w:val="left" w:pos="426"/>
        </w:tabs>
        <w:spacing w:line="276" w:lineRule="auto"/>
        <w:jc w:val="both"/>
        <w:rPr>
          <w:rFonts w:eastAsia="Arial"/>
        </w:rPr>
      </w:pPr>
      <w:r>
        <w:rPr>
          <w:rFonts w:eastAsia="Arial"/>
        </w:rPr>
        <w:tab/>
        <w:t xml:space="preserve">Šio ilgalaikio stebėjimo ypatingas tikslas buvo įvertinti plaučių funkcijos sutrikimų ir plaučių infekcijos dažnius. Plaučių funkcijos sutrikimai buvo nustatyti 9 proc. pacientams (9 iš 57): </w:t>
      </w:r>
      <w:proofErr w:type="spellStart"/>
      <w:r>
        <w:rPr>
          <w:rFonts w:eastAsia="Arial"/>
        </w:rPr>
        <w:t>dispnėja</w:t>
      </w:r>
      <w:proofErr w:type="spellEnd"/>
      <w:r>
        <w:rPr>
          <w:rFonts w:eastAsia="Arial"/>
        </w:rPr>
        <w:t xml:space="preserve"> (5 proc.), švokštimas (5 proc.), diskomforto jausmas krūtinėje (2 proc.) ir patologinis kvėpavimas (2 proc.). Visi NR, susiję su kvėpavimo funkcija, buvo priskirti vidutinio sunkumo ir sunkiai kategorijai. Kepenų funkcijos analizė bei biocheminių rodiklių saugumo vertinimas parodė, kad 19 proc. pacientų turėjo padidėjusias ALT arba AST koncentracijas, 3 kartus viršijančias viršutinę ribos normą.</w:t>
      </w:r>
      <w:r w:rsidRPr="00BE7EAE">
        <w:rPr>
          <w:rFonts w:eastAsia="Arial"/>
        </w:rPr>
        <w:t xml:space="preserve"> </w:t>
      </w:r>
      <w:r>
        <w:rPr>
          <w:rFonts w:eastAsia="Arial"/>
        </w:rPr>
        <w:t>Pacientų akių apžiūra stebėjimo metu neparodė kataraktos arba lęšiuko pakitimų  požymių, taip pat nebuvo pastebėta kliniškai reikšmingų nukrypimų. Plaučių funkcija po 96 savaičių stebėjimo praktiškai nesiskiria nuo pagrindinio tyrimo pradinio lygio, nepaisant ilgalaikio gydymo LUM/IVA deriniu. Pažymėtina, kad LCI</w:t>
      </w:r>
      <w:r>
        <w:rPr>
          <w:rFonts w:eastAsia="Arial"/>
          <w:vertAlign w:val="subscript"/>
        </w:rPr>
        <w:t xml:space="preserve">2,5 </w:t>
      </w:r>
      <w:r>
        <w:rPr>
          <w:rFonts w:eastAsia="Arial"/>
        </w:rPr>
        <w:t xml:space="preserve">reikšmė sumažėjo po pirmų 24 gydymo savaičių, tačiau per likusias 72 savaitės šis rodiklis lėtai grižo į pradinį lygį iki gydymo. LCI </w:t>
      </w:r>
      <w:r w:rsidRPr="00A12C0E">
        <w:rPr>
          <w:rFonts w:eastAsia="Arial"/>
          <w:vertAlign w:val="subscript"/>
        </w:rPr>
        <w:t>2,5</w:t>
      </w:r>
      <w:r>
        <w:rPr>
          <w:rFonts w:eastAsia="Arial"/>
        </w:rPr>
        <w:t xml:space="preserve"> minimalus klinikinis svarbumo skirtumas nėra nustatytas vaikams nuo 2 iki 5 metų, todėl neįmanoma įvertinti klinikinės šio vaistinio preparato reikšmės LCI</w:t>
      </w:r>
      <w:r w:rsidRPr="00A12C0E">
        <w:rPr>
          <w:rFonts w:eastAsia="Arial"/>
          <w:vertAlign w:val="subscript"/>
        </w:rPr>
        <w:t>2,5</w:t>
      </w:r>
      <w:r>
        <w:rPr>
          <w:rFonts w:eastAsia="Arial"/>
        </w:rPr>
        <w:t xml:space="preserve"> rodikliui. Metinis plaučių funkcijos paūmėjimų ir hospitalizavimų dėl cistinės fibrozės dažniai buvo nedideli. Remiantis </w:t>
      </w:r>
      <w:proofErr w:type="spellStart"/>
      <w:r w:rsidRPr="003F2681">
        <w:rPr>
          <w:rFonts w:eastAsia="Arial"/>
          <w:i/>
        </w:rPr>
        <w:t>Kaplan-Meier</w:t>
      </w:r>
      <w:proofErr w:type="spellEnd"/>
      <w:r>
        <w:rPr>
          <w:rFonts w:eastAsia="Arial"/>
        </w:rPr>
        <w:t xml:space="preserve"> analize, laikas iki pirmos plaučių funkcijos paūmėjimo buvo 600 dienų kartu paėmus </w:t>
      </w:r>
      <w:r>
        <w:rPr>
          <w:rFonts w:eastAsia="Arial"/>
          <w:i/>
        </w:rPr>
        <w:t xml:space="preserve">pagrindinio ir tęstinio tyrimų </w:t>
      </w:r>
      <w:r>
        <w:rPr>
          <w:rFonts w:eastAsia="Arial"/>
        </w:rPr>
        <w:t>rezultatus. Tikimybė išgyventi be plaučių funkcijos paūmėjimo 120 savaitę buvo 0,33 (95 proc. PI: 0,21-0,46).</w:t>
      </w:r>
    </w:p>
    <w:p w14:paraId="3F3CD7D3" w14:textId="77777777" w:rsidR="0043511D" w:rsidRDefault="0043511D" w:rsidP="0043511D">
      <w:pPr>
        <w:tabs>
          <w:tab w:val="left" w:pos="426"/>
        </w:tabs>
        <w:spacing w:line="276" w:lineRule="auto"/>
        <w:jc w:val="both"/>
        <w:rPr>
          <w:rFonts w:eastAsia="Arial"/>
        </w:rPr>
      </w:pPr>
      <w:r>
        <w:rPr>
          <w:rFonts w:eastAsia="Arial"/>
        </w:rPr>
        <w:lastRenderedPageBreak/>
        <w:tab/>
        <w:t xml:space="preserve">Kadangi pagrindinis ir tęstinis tyrimai buvo be palyginamosios šakos, sunku vertinti, ar gydytų pacientų grupės metinis paūmėjimų dažnis skyrėsi nuo placebo pacientų grupės. KMI pokytis buvo nedidelis ir jo klinikinį reikšmingumą neįmanoma įvertinti nesant pacientų grupes su palaikomuoju simptominiu gydymu. </w:t>
      </w:r>
    </w:p>
    <w:p w14:paraId="1C30955E" w14:textId="77777777" w:rsidR="0043511D" w:rsidRDefault="0043511D" w:rsidP="0043511D">
      <w:pPr>
        <w:tabs>
          <w:tab w:val="left" w:pos="426"/>
        </w:tabs>
        <w:spacing w:line="276" w:lineRule="auto"/>
        <w:jc w:val="both"/>
        <w:rPr>
          <w:rFonts w:eastAsia="Arial"/>
        </w:rPr>
      </w:pPr>
      <w:r>
        <w:rPr>
          <w:rFonts w:eastAsia="Arial"/>
        </w:rPr>
        <w:tab/>
      </w:r>
      <w:r w:rsidRPr="00AC23B8">
        <w:rPr>
          <w:rFonts w:eastAsia="Arial"/>
        </w:rPr>
        <w:t xml:space="preserve">Apibendrinant, Tarnyba mano, kad pateikti klinikiniai įrodymai dėl LUM/IVA derinio efektyvumo turi neapibrėžtumą vertinant gydymo poveikį plaučių funkcijos pagerinimui ir/arba palaikymui ilgalaikėje perspektyvoje (metai ir ilgiau). Tačiau atsižvelgiant į įprastinę klinikinę praktiką Lietuvoje, kai pacientams taikomas simptominis gydymas, o </w:t>
      </w:r>
      <w:proofErr w:type="spellStart"/>
      <w:r>
        <w:rPr>
          <w:rFonts w:eastAsia="Arial"/>
        </w:rPr>
        <w:t>etio</w:t>
      </w:r>
      <w:r w:rsidRPr="00AC23B8">
        <w:rPr>
          <w:rFonts w:eastAsia="Arial"/>
        </w:rPr>
        <w:t>patogenezinio</w:t>
      </w:r>
      <w:proofErr w:type="spellEnd"/>
      <w:r w:rsidRPr="00AC23B8">
        <w:rPr>
          <w:rFonts w:eastAsia="Arial"/>
        </w:rPr>
        <w:t xml:space="preserve"> gydymo nėra, šis vaistinis preparatas tikėtina būtų gydymo pasirinkimas vaikams nuo 2 metų, kurie </w:t>
      </w:r>
      <w:r w:rsidRPr="00AC23B8">
        <w:t xml:space="preserve">turi </w:t>
      </w:r>
      <w:proofErr w:type="spellStart"/>
      <w:r w:rsidRPr="00AC23B8">
        <w:t>homozigotinę</w:t>
      </w:r>
      <w:proofErr w:type="spellEnd"/>
      <w:r w:rsidRPr="00AC23B8">
        <w:t xml:space="preserve"> CFTR geno F508del mutaciją (F/F cistinės fibrozės tipas). Todėl Tarnyba mano, kad šis vaistinis preparatas gali suteikti papildomą klinikinę naudą, nepaisant šiuo metu esamo klinikinių įrodymų neapibrėžtumo ilgalaikėje ligos perspektyvoje.</w:t>
      </w:r>
    </w:p>
    <w:p w14:paraId="6FF6F873" w14:textId="7BD4AE94" w:rsidR="00292008" w:rsidRPr="008E2C97" w:rsidRDefault="00292008" w:rsidP="003322A0">
      <w:pPr>
        <w:tabs>
          <w:tab w:val="left" w:pos="426"/>
        </w:tabs>
        <w:spacing w:line="276" w:lineRule="auto"/>
        <w:jc w:val="both"/>
        <w:rPr>
          <w:bCs/>
          <w:caps/>
        </w:rPr>
      </w:pPr>
    </w:p>
    <w:p w14:paraId="1A900598" w14:textId="3EE802F4" w:rsidR="00C62B36" w:rsidRDefault="00CC7832" w:rsidP="00C97652">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60367A3F" w14:textId="5974B178" w:rsidR="00C97652" w:rsidRDefault="00C97652" w:rsidP="00C97652">
      <w:pPr>
        <w:tabs>
          <w:tab w:val="left" w:pos="567"/>
        </w:tabs>
        <w:rPr>
          <w:b/>
          <w:bCs/>
          <w:caps/>
        </w:rPr>
      </w:pPr>
    </w:p>
    <w:p w14:paraId="6578CA04" w14:textId="77777777" w:rsidR="00913849" w:rsidRDefault="00913849" w:rsidP="00913849">
      <w:pPr>
        <w:tabs>
          <w:tab w:val="left" w:pos="567"/>
        </w:tabs>
        <w:spacing w:line="276" w:lineRule="auto"/>
        <w:jc w:val="both"/>
        <w:rPr>
          <w:bCs/>
          <w:color w:val="000000"/>
          <w:lang w:val="en-GB" w:eastAsia="lt-LT"/>
        </w:rPr>
      </w:pPr>
      <w:r>
        <w:t xml:space="preserve">Vertinimui pateikta kaštų naudingumo analizė, nagrinėjanti </w:t>
      </w:r>
      <w:proofErr w:type="spellStart"/>
      <w:r>
        <w:t>Orkambi</w:t>
      </w:r>
      <w:proofErr w:type="spellEnd"/>
      <w:r>
        <w:t xml:space="preserve"> (</w:t>
      </w:r>
      <w:proofErr w:type="spellStart"/>
      <w:r>
        <w:t>lumakaftoras</w:t>
      </w:r>
      <w:proofErr w:type="spellEnd"/>
      <w:r>
        <w:t xml:space="preserve"> ir </w:t>
      </w:r>
      <w:proofErr w:type="spellStart"/>
      <w:r>
        <w:t>ivakaftoras</w:t>
      </w:r>
      <w:proofErr w:type="spellEnd"/>
      <w:r>
        <w:t xml:space="preserve">) vaistinio preparato kaštų naudingumą, 2 metų ir vyresniems pacientams, turintiems cistinės fibrozės (CF) diagnozę bei F7508del mutacijos </w:t>
      </w:r>
      <w:proofErr w:type="spellStart"/>
      <w:r>
        <w:t>homozigotinę</w:t>
      </w:r>
      <w:proofErr w:type="spellEnd"/>
      <w:r>
        <w:t xml:space="preserve"> atmainą CFTR gene. </w:t>
      </w:r>
      <w:proofErr w:type="spellStart"/>
      <w:r>
        <w:rPr>
          <w:bCs/>
          <w:color w:val="000000"/>
          <w:lang w:val="en-GB" w:eastAsia="lt-LT"/>
        </w:rPr>
        <w:t>Tarnyba</w:t>
      </w:r>
      <w:proofErr w:type="spellEnd"/>
      <w:r>
        <w:rPr>
          <w:bCs/>
          <w:color w:val="000000"/>
          <w:lang w:val="en-GB" w:eastAsia="lt-LT"/>
        </w:rPr>
        <w:t xml:space="preserve"> </w:t>
      </w:r>
      <w:proofErr w:type="spellStart"/>
      <w:r>
        <w:rPr>
          <w:bCs/>
          <w:color w:val="000000"/>
          <w:lang w:val="en-GB" w:eastAsia="lt-LT"/>
        </w:rPr>
        <w:t>atliko</w:t>
      </w:r>
      <w:proofErr w:type="spellEnd"/>
      <w:r>
        <w:rPr>
          <w:bCs/>
          <w:color w:val="000000"/>
          <w:lang w:val="en-GB" w:eastAsia="lt-LT"/>
        </w:rPr>
        <w:t xml:space="preserve"> </w:t>
      </w:r>
      <w:proofErr w:type="spellStart"/>
      <w:r>
        <w:rPr>
          <w:bCs/>
          <w:color w:val="000000"/>
          <w:lang w:val="en-GB" w:eastAsia="lt-LT"/>
        </w:rPr>
        <w:t>analizės</w:t>
      </w:r>
      <w:proofErr w:type="spellEnd"/>
      <w:r>
        <w:rPr>
          <w:bCs/>
          <w:color w:val="000000"/>
          <w:lang w:val="en-GB" w:eastAsia="lt-LT"/>
        </w:rPr>
        <w:t xml:space="preserve"> </w:t>
      </w:r>
      <w:proofErr w:type="spellStart"/>
      <w:r>
        <w:rPr>
          <w:bCs/>
          <w:color w:val="000000"/>
          <w:lang w:val="en-GB" w:eastAsia="lt-LT"/>
        </w:rPr>
        <w:t>rezultato</w:t>
      </w:r>
      <w:proofErr w:type="spellEnd"/>
      <w:r>
        <w:rPr>
          <w:bCs/>
          <w:color w:val="000000"/>
          <w:lang w:val="en-GB" w:eastAsia="lt-LT"/>
        </w:rPr>
        <w:t xml:space="preserve"> </w:t>
      </w:r>
      <w:proofErr w:type="spellStart"/>
      <w:r>
        <w:rPr>
          <w:bCs/>
          <w:color w:val="000000"/>
          <w:lang w:val="en-GB" w:eastAsia="lt-LT"/>
        </w:rPr>
        <w:t>perskaičiavimą</w:t>
      </w:r>
      <w:proofErr w:type="spellEnd"/>
      <w:r>
        <w:rPr>
          <w:bCs/>
          <w:color w:val="000000"/>
          <w:lang w:val="en-GB" w:eastAsia="lt-LT"/>
        </w:rPr>
        <w:t xml:space="preserve">, </w:t>
      </w:r>
      <w:proofErr w:type="spellStart"/>
      <w:r>
        <w:rPr>
          <w:bCs/>
          <w:color w:val="000000"/>
          <w:lang w:val="en-GB" w:eastAsia="lt-LT"/>
        </w:rPr>
        <w:t>pakoregavus</w:t>
      </w:r>
      <w:proofErr w:type="spellEnd"/>
      <w:r>
        <w:rPr>
          <w:bCs/>
          <w:color w:val="000000"/>
          <w:lang w:val="en-GB" w:eastAsia="lt-LT"/>
        </w:rPr>
        <w:t xml:space="preserve"> </w:t>
      </w:r>
      <w:proofErr w:type="spellStart"/>
      <w:r>
        <w:rPr>
          <w:bCs/>
          <w:color w:val="000000"/>
          <w:lang w:val="en-GB" w:eastAsia="lt-LT"/>
        </w:rPr>
        <w:t>šias</w:t>
      </w:r>
      <w:proofErr w:type="spellEnd"/>
      <w:r>
        <w:rPr>
          <w:bCs/>
          <w:color w:val="000000"/>
          <w:lang w:val="en-GB" w:eastAsia="lt-LT"/>
        </w:rPr>
        <w:t xml:space="preserve"> </w:t>
      </w:r>
      <w:proofErr w:type="spellStart"/>
      <w:r>
        <w:rPr>
          <w:bCs/>
          <w:color w:val="000000"/>
          <w:lang w:val="en-GB" w:eastAsia="lt-LT"/>
        </w:rPr>
        <w:t>prielaidas</w:t>
      </w:r>
      <w:proofErr w:type="spellEnd"/>
      <w:r>
        <w:rPr>
          <w:bCs/>
          <w:color w:val="000000"/>
          <w:lang w:val="en-GB" w:eastAsia="lt-LT"/>
        </w:rPr>
        <w:t>:</w:t>
      </w:r>
    </w:p>
    <w:p w14:paraId="65EAEC85" w14:textId="77777777" w:rsidR="00913849" w:rsidRDefault="00913849" w:rsidP="00913849">
      <w:pPr>
        <w:tabs>
          <w:tab w:val="left" w:pos="567"/>
        </w:tabs>
        <w:spacing w:line="276" w:lineRule="auto"/>
        <w:jc w:val="both"/>
        <w:rPr>
          <w:bCs/>
          <w:color w:val="000000"/>
          <w:lang w:val="en-GB" w:eastAsia="lt-LT"/>
        </w:rPr>
      </w:pPr>
    </w:p>
    <w:p w14:paraId="5A9105FF" w14:textId="77777777" w:rsidR="00E27C97" w:rsidRPr="0033595B" w:rsidRDefault="00913849" w:rsidP="00E27C97">
      <w:pPr>
        <w:spacing w:line="276" w:lineRule="auto"/>
        <w:jc w:val="both"/>
        <w:rPr>
          <w:rFonts w:eastAsia="Arial"/>
        </w:rPr>
      </w:pPr>
      <w:r>
        <w:rPr>
          <w:bCs/>
          <w:color w:val="000000"/>
          <w:lang w:val="en-GB" w:eastAsia="lt-LT"/>
        </w:rPr>
        <w:t xml:space="preserve">1. </w:t>
      </w:r>
      <w:proofErr w:type="spellStart"/>
      <w:r>
        <w:rPr>
          <w:bCs/>
          <w:color w:val="000000"/>
          <w:lang w:val="en-GB" w:eastAsia="lt-LT"/>
        </w:rPr>
        <w:t>Taikant</w:t>
      </w:r>
      <w:proofErr w:type="spellEnd"/>
      <w:r>
        <w:rPr>
          <w:bCs/>
          <w:color w:val="000000"/>
          <w:lang w:val="en-GB" w:eastAsia="lt-LT"/>
        </w:rPr>
        <w:t xml:space="preserve"> </w:t>
      </w:r>
      <w:proofErr w:type="spellStart"/>
      <w:r>
        <w:rPr>
          <w:bCs/>
          <w:color w:val="000000"/>
          <w:lang w:val="en-GB" w:eastAsia="lt-LT"/>
        </w:rPr>
        <w:t>Paraiškos</w:t>
      </w:r>
      <w:proofErr w:type="spellEnd"/>
      <w:r>
        <w:rPr>
          <w:bCs/>
          <w:color w:val="000000"/>
          <w:lang w:val="en-GB" w:eastAsia="lt-LT"/>
        </w:rPr>
        <w:t xml:space="preserve"> </w:t>
      </w:r>
      <w:proofErr w:type="spellStart"/>
      <w:r>
        <w:rPr>
          <w:bCs/>
          <w:color w:val="000000"/>
          <w:lang w:val="en-GB" w:eastAsia="lt-LT"/>
        </w:rPr>
        <w:t>taisyklių</w:t>
      </w:r>
      <w:proofErr w:type="spellEnd"/>
      <w:r>
        <w:rPr>
          <w:bCs/>
          <w:color w:val="000000"/>
          <w:lang w:val="en-GB" w:eastAsia="lt-LT"/>
        </w:rPr>
        <w:t xml:space="preserve"> </w:t>
      </w:r>
      <w:proofErr w:type="spellStart"/>
      <w:r>
        <w:rPr>
          <w:bCs/>
          <w:color w:val="000000"/>
          <w:lang w:val="en-GB" w:eastAsia="lt-LT"/>
        </w:rPr>
        <w:t>reikalavimus</w:t>
      </w:r>
      <w:proofErr w:type="spellEnd"/>
      <w:r>
        <w:rPr>
          <w:bCs/>
          <w:color w:val="000000"/>
          <w:lang w:val="en-GB" w:eastAsia="lt-LT"/>
        </w:rPr>
        <w:t xml:space="preserve"> </w:t>
      </w:r>
      <w:proofErr w:type="spellStart"/>
      <w:r>
        <w:rPr>
          <w:bCs/>
          <w:color w:val="000000"/>
          <w:lang w:val="en-GB" w:eastAsia="lt-LT"/>
        </w:rPr>
        <w:t>diskontavimui</w:t>
      </w:r>
      <w:proofErr w:type="spellEnd"/>
      <w:r>
        <w:rPr>
          <w:bCs/>
          <w:color w:val="000000"/>
          <w:lang w:val="en-GB" w:eastAsia="lt-LT"/>
        </w:rPr>
        <w:t xml:space="preserve"> – </w:t>
      </w:r>
      <w:proofErr w:type="spellStart"/>
      <w:r>
        <w:rPr>
          <w:bCs/>
          <w:color w:val="000000"/>
          <w:lang w:val="en-GB" w:eastAsia="lt-LT"/>
        </w:rPr>
        <w:t>vienodas</w:t>
      </w:r>
      <w:proofErr w:type="spellEnd"/>
      <w:r>
        <w:rPr>
          <w:bCs/>
          <w:color w:val="000000"/>
          <w:lang w:val="en-GB" w:eastAsia="lt-LT"/>
        </w:rPr>
        <w:t xml:space="preserve"> </w:t>
      </w:r>
      <w:proofErr w:type="spellStart"/>
      <w:r>
        <w:rPr>
          <w:bCs/>
          <w:color w:val="000000"/>
          <w:lang w:val="en-GB" w:eastAsia="lt-LT"/>
        </w:rPr>
        <w:t>diskontavimas</w:t>
      </w:r>
      <w:proofErr w:type="spellEnd"/>
      <w:r>
        <w:rPr>
          <w:bCs/>
          <w:color w:val="000000"/>
          <w:lang w:val="en-GB" w:eastAsia="lt-LT"/>
        </w:rPr>
        <w:t xml:space="preserve"> </w:t>
      </w:r>
      <w:proofErr w:type="spellStart"/>
      <w:r>
        <w:rPr>
          <w:bCs/>
          <w:color w:val="000000"/>
          <w:lang w:val="en-GB" w:eastAsia="lt-LT"/>
        </w:rPr>
        <w:t>taikomas</w:t>
      </w:r>
      <w:proofErr w:type="spellEnd"/>
      <w:r>
        <w:rPr>
          <w:bCs/>
          <w:color w:val="000000"/>
          <w:lang w:val="en-GB" w:eastAsia="lt-LT"/>
        </w:rPr>
        <w:t xml:space="preserve"> </w:t>
      </w:r>
      <w:proofErr w:type="spellStart"/>
      <w:r>
        <w:rPr>
          <w:bCs/>
          <w:color w:val="000000"/>
          <w:lang w:val="en-GB" w:eastAsia="lt-LT"/>
        </w:rPr>
        <w:t>ir</w:t>
      </w:r>
      <w:proofErr w:type="spellEnd"/>
      <w:r>
        <w:rPr>
          <w:bCs/>
          <w:color w:val="000000"/>
          <w:lang w:val="en-GB" w:eastAsia="lt-LT"/>
        </w:rPr>
        <w:t xml:space="preserve"> </w:t>
      </w:r>
      <w:proofErr w:type="spellStart"/>
      <w:r>
        <w:rPr>
          <w:bCs/>
          <w:color w:val="000000"/>
          <w:lang w:val="en-GB" w:eastAsia="lt-LT"/>
        </w:rPr>
        <w:t>kaštams</w:t>
      </w:r>
      <w:proofErr w:type="spellEnd"/>
      <w:r>
        <w:rPr>
          <w:bCs/>
          <w:color w:val="000000"/>
          <w:lang w:val="en-GB" w:eastAsia="lt-LT"/>
        </w:rPr>
        <w:t xml:space="preserve">, </w:t>
      </w:r>
      <w:proofErr w:type="spellStart"/>
      <w:r>
        <w:rPr>
          <w:bCs/>
          <w:color w:val="000000"/>
          <w:lang w:val="en-GB" w:eastAsia="lt-LT"/>
        </w:rPr>
        <w:t>ir</w:t>
      </w:r>
      <w:proofErr w:type="spellEnd"/>
      <w:r>
        <w:rPr>
          <w:bCs/>
          <w:color w:val="000000"/>
          <w:lang w:val="en-GB" w:eastAsia="lt-LT"/>
        </w:rPr>
        <w:t xml:space="preserve"> </w:t>
      </w:r>
      <w:proofErr w:type="spellStart"/>
      <w:r>
        <w:rPr>
          <w:bCs/>
          <w:color w:val="000000"/>
          <w:lang w:val="en-GB" w:eastAsia="lt-LT"/>
        </w:rPr>
        <w:t>naudai</w:t>
      </w:r>
      <w:proofErr w:type="spellEnd"/>
      <w:r>
        <w:rPr>
          <w:bCs/>
          <w:color w:val="000000"/>
          <w:lang w:val="en-GB" w:eastAsia="lt-LT"/>
        </w:rPr>
        <w:t xml:space="preserve"> (3,5 proc.)</w:t>
      </w:r>
      <w:r w:rsidR="00E27C97">
        <w:rPr>
          <w:bCs/>
          <w:color w:val="000000"/>
          <w:lang w:val="en-GB" w:eastAsia="lt-LT"/>
        </w:rPr>
        <w:t xml:space="preserve">, </w:t>
      </w:r>
      <w:proofErr w:type="spellStart"/>
      <w:r w:rsidR="00E27C97">
        <w:rPr>
          <w:bCs/>
          <w:color w:val="000000"/>
          <w:lang w:val="en-GB" w:eastAsia="lt-LT"/>
        </w:rPr>
        <w:t>kaip</w:t>
      </w:r>
      <w:proofErr w:type="spellEnd"/>
      <w:r w:rsidR="00E27C97">
        <w:rPr>
          <w:bCs/>
          <w:color w:val="000000"/>
          <w:lang w:val="en-GB" w:eastAsia="lt-LT"/>
        </w:rPr>
        <w:t xml:space="preserve"> </w:t>
      </w:r>
      <w:proofErr w:type="spellStart"/>
      <w:r w:rsidR="00E27C97">
        <w:rPr>
          <w:bCs/>
          <w:color w:val="000000"/>
          <w:lang w:val="en-GB" w:eastAsia="lt-LT"/>
        </w:rPr>
        <w:t>ir</w:t>
      </w:r>
      <w:proofErr w:type="spellEnd"/>
      <w:r w:rsidR="00E27C97">
        <w:rPr>
          <w:bCs/>
          <w:color w:val="000000"/>
          <w:lang w:val="en-GB" w:eastAsia="lt-LT"/>
        </w:rPr>
        <w:t xml:space="preserve"> </w:t>
      </w:r>
      <w:proofErr w:type="spellStart"/>
      <w:r w:rsidR="00E27C97">
        <w:rPr>
          <w:bCs/>
          <w:color w:val="000000"/>
          <w:lang w:val="en-GB" w:eastAsia="lt-LT"/>
        </w:rPr>
        <w:t>numatyta</w:t>
      </w:r>
      <w:proofErr w:type="spellEnd"/>
      <w:r w:rsidR="00E27C97">
        <w:rPr>
          <w:bCs/>
          <w:color w:val="000000"/>
          <w:lang w:val="en-GB" w:eastAsia="lt-LT"/>
        </w:rPr>
        <w:t xml:space="preserve"> </w:t>
      </w:r>
      <w:proofErr w:type="spellStart"/>
      <w:r w:rsidR="00E27C97">
        <w:rPr>
          <w:bCs/>
          <w:color w:val="000000"/>
          <w:lang w:val="en-GB" w:eastAsia="lt-LT"/>
        </w:rPr>
        <w:t>paraiškos</w:t>
      </w:r>
      <w:proofErr w:type="spellEnd"/>
      <w:r w:rsidR="00E27C97">
        <w:rPr>
          <w:bCs/>
          <w:color w:val="000000"/>
          <w:lang w:val="en-GB" w:eastAsia="lt-LT"/>
        </w:rPr>
        <w:t xml:space="preserve"> </w:t>
      </w:r>
      <w:proofErr w:type="spellStart"/>
      <w:r w:rsidR="00E27C97">
        <w:rPr>
          <w:bCs/>
          <w:color w:val="000000"/>
          <w:lang w:val="en-GB" w:eastAsia="lt-LT"/>
        </w:rPr>
        <w:t>rengimo</w:t>
      </w:r>
      <w:proofErr w:type="spellEnd"/>
      <w:r w:rsidR="00E27C97">
        <w:rPr>
          <w:bCs/>
          <w:color w:val="000000"/>
          <w:lang w:val="en-GB" w:eastAsia="lt-LT"/>
        </w:rPr>
        <w:t xml:space="preserve"> </w:t>
      </w:r>
      <w:proofErr w:type="spellStart"/>
      <w:r w:rsidR="00E27C97">
        <w:rPr>
          <w:bCs/>
          <w:color w:val="000000"/>
          <w:lang w:val="en-GB" w:eastAsia="lt-LT"/>
        </w:rPr>
        <w:t>taisyklių</w:t>
      </w:r>
      <w:proofErr w:type="spellEnd"/>
      <w:r w:rsidR="00E27C97">
        <w:rPr>
          <w:bCs/>
          <w:color w:val="000000"/>
          <w:lang w:val="en-GB" w:eastAsia="lt-LT"/>
        </w:rPr>
        <w:t xml:space="preserve"> </w:t>
      </w:r>
      <w:proofErr w:type="spellStart"/>
      <w:r w:rsidR="00E27C97">
        <w:rPr>
          <w:bCs/>
          <w:color w:val="000000"/>
          <w:lang w:val="en-GB" w:eastAsia="lt-LT"/>
        </w:rPr>
        <w:t>reikalavimuose</w:t>
      </w:r>
      <w:proofErr w:type="spellEnd"/>
      <w:r w:rsidR="00E27C97">
        <w:rPr>
          <w:bCs/>
          <w:color w:val="000000"/>
          <w:lang w:val="en-GB" w:eastAsia="lt-LT"/>
        </w:rPr>
        <w:t xml:space="preserve"> </w:t>
      </w:r>
      <w:r w:rsidR="00E27C97" w:rsidRPr="0033595B">
        <w:rPr>
          <w:rFonts w:eastAsia="Arial"/>
        </w:rPr>
        <w:t>(kuriuose dabartiniu metu nenustatytos išskirtys). Pareiškėjas analizėje taikė skirtingo diskontavimo metodą kaštams ir naudai (5 proc. diskontavimas taikomas kaštams ir 3,5 proc. diskontavimas taikomas naudai). Tarnyba kreipėsi į Pareiškėją, nurodydama, jog analizė turi būti atliekama taikant vienodą diskontavimo procentą kaštams ir naudai, tačiau Pareiškėjas su vienodu diskontavimu nesutiko, prieštaraudamas, jog šiuo atveju turėtų būti taikomas diferencinio diskontavimo metodas, nes nauda sveikatai pasireiškia daug vėliau (kaštams ir naudai, atsiradusiems ankstesnėje stadijoje yra suteikiama daugiau reikšmės, nei toms, kurios atsiranda vėliau). Tarnyba pabrėžia, jog diskontavimas ir naudojamas tam, kad ateities kaštus ir naudą galėtume įvertinti dabartiniais kaštais ir nauda, laikant, kad dabar patiriami kaštai ar gaunama nauda yra reikšmingesnė nei galimai ateityje generuojami kaštai ir nauda. Taip pat, Paraiškos rengimo taisyklių reikalavimuose yra nurodyta, jog analizėje turi būti taikomas vienodas diskontavimas tiek kaštams, tiek naudai ir taisyklėse nenumatytos išskirtys, todėl analizės rezultatas pateikiamas taikant vienodą diskontavimą</w:t>
      </w:r>
      <w:r w:rsidR="00E27C97">
        <w:rPr>
          <w:rFonts w:eastAsia="Arial"/>
        </w:rPr>
        <w:t>.</w:t>
      </w:r>
    </w:p>
    <w:p w14:paraId="008087D5" w14:textId="7CC58F6F" w:rsidR="00913849" w:rsidRDefault="00913849" w:rsidP="00913849">
      <w:pPr>
        <w:tabs>
          <w:tab w:val="left" w:pos="567"/>
        </w:tabs>
        <w:spacing w:line="276" w:lineRule="auto"/>
        <w:jc w:val="both"/>
        <w:rPr>
          <w:bCs/>
          <w:color w:val="000000"/>
          <w:lang w:val="en-GB" w:eastAsia="lt-LT"/>
        </w:rPr>
      </w:pPr>
    </w:p>
    <w:p w14:paraId="1E0CA179" w14:textId="77777777" w:rsidR="00E27C97" w:rsidRPr="0033595B" w:rsidRDefault="00913849" w:rsidP="00E27C97">
      <w:pPr>
        <w:spacing w:line="276" w:lineRule="auto"/>
        <w:jc w:val="both"/>
        <w:rPr>
          <w:bCs/>
          <w:color w:val="000000"/>
          <w:lang w:eastAsia="lt-LT"/>
        </w:rPr>
      </w:pPr>
      <w:r>
        <w:rPr>
          <w:bCs/>
          <w:color w:val="000000"/>
          <w:lang w:val="en-GB" w:eastAsia="lt-LT"/>
        </w:rPr>
        <w:t xml:space="preserve">2. </w:t>
      </w:r>
      <w:proofErr w:type="spellStart"/>
      <w:r>
        <w:rPr>
          <w:bCs/>
          <w:color w:val="000000"/>
          <w:lang w:val="en-GB" w:eastAsia="lt-LT"/>
        </w:rPr>
        <w:t>Pareiškėjo</w:t>
      </w:r>
      <w:proofErr w:type="spellEnd"/>
      <w:r>
        <w:rPr>
          <w:bCs/>
          <w:color w:val="000000"/>
          <w:lang w:val="en-GB" w:eastAsia="lt-LT"/>
        </w:rPr>
        <w:t xml:space="preserve"> </w:t>
      </w:r>
      <w:proofErr w:type="spellStart"/>
      <w:r>
        <w:rPr>
          <w:bCs/>
          <w:color w:val="000000"/>
          <w:lang w:val="en-GB" w:eastAsia="lt-LT"/>
        </w:rPr>
        <w:t>Paraiškos</w:t>
      </w:r>
      <w:proofErr w:type="spellEnd"/>
      <w:r>
        <w:rPr>
          <w:bCs/>
          <w:color w:val="000000"/>
          <w:lang w:val="en-GB" w:eastAsia="lt-LT"/>
        </w:rPr>
        <w:t xml:space="preserve"> </w:t>
      </w:r>
      <w:proofErr w:type="spellStart"/>
      <w:r>
        <w:rPr>
          <w:bCs/>
          <w:color w:val="000000"/>
          <w:lang w:val="en-GB" w:eastAsia="lt-LT"/>
        </w:rPr>
        <w:t>teikimo</w:t>
      </w:r>
      <w:proofErr w:type="spellEnd"/>
      <w:r>
        <w:rPr>
          <w:bCs/>
          <w:color w:val="000000"/>
          <w:lang w:val="en-GB" w:eastAsia="lt-LT"/>
        </w:rPr>
        <w:t xml:space="preserve"> </w:t>
      </w:r>
      <w:proofErr w:type="spellStart"/>
      <w:r>
        <w:rPr>
          <w:bCs/>
          <w:color w:val="000000"/>
          <w:lang w:val="en-GB" w:eastAsia="lt-LT"/>
        </w:rPr>
        <w:t>metu</w:t>
      </w:r>
      <w:proofErr w:type="spellEnd"/>
      <w:r>
        <w:rPr>
          <w:bCs/>
          <w:color w:val="000000"/>
          <w:lang w:val="en-GB" w:eastAsia="lt-LT"/>
        </w:rPr>
        <w:t xml:space="preserve"> </w:t>
      </w:r>
      <w:proofErr w:type="spellStart"/>
      <w:r>
        <w:rPr>
          <w:bCs/>
          <w:color w:val="000000"/>
          <w:lang w:val="en-GB" w:eastAsia="lt-LT"/>
        </w:rPr>
        <w:t>siūloma</w:t>
      </w:r>
      <w:proofErr w:type="spellEnd"/>
      <w:r>
        <w:rPr>
          <w:bCs/>
          <w:color w:val="000000"/>
          <w:lang w:val="en-GB" w:eastAsia="lt-LT"/>
        </w:rPr>
        <w:t xml:space="preserve"> </w:t>
      </w:r>
      <w:proofErr w:type="spellStart"/>
      <w:r>
        <w:rPr>
          <w:bCs/>
          <w:color w:val="000000"/>
          <w:lang w:val="en-GB" w:eastAsia="lt-LT"/>
        </w:rPr>
        <w:t>kaina</w:t>
      </w:r>
      <w:proofErr w:type="spellEnd"/>
      <w:r>
        <w:rPr>
          <w:bCs/>
          <w:color w:val="000000"/>
          <w:lang w:val="en-GB" w:eastAsia="lt-LT"/>
        </w:rPr>
        <w:t xml:space="preserve"> </w:t>
      </w:r>
      <w:proofErr w:type="spellStart"/>
      <w:r>
        <w:rPr>
          <w:bCs/>
          <w:color w:val="000000"/>
          <w:lang w:val="en-GB" w:eastAsia="lt-LT"/>
        </w:rPr>
        <w:t>taikoma</w:t>
      </w:r>
      <w:proofErr w:type="spellEnd"/>
      <w:r>
        <w:rPr>
          <w:bCs/>
          <w:color w:val="000000"/>
          <w:lang w:val="en-GB" w:eastAsia="lt-LT"/>
        </w:rPr>
        <w:t xml:space="preserve"> </w:t>
      </w:r>
      <w:proofErr w:type="spellStart"/>
      <w:r>
        <w:rPr>
          <w:bCs/>
          <w:color w:val="000000"/>
          <w:lang w:val="en-GB" w:eastAsia="lt-LT"/>
        </w:rPr>
        <w:t>visoje</w:t>
      </w:r>
      <w:proofErr w:type="spellEnd"/>
      <w:r>
        <w:rPr>
          <w:bCs/>
          <w:color w:val="000000"/>
          <w:lang w:val="en-GB" w:eastAsia="lt-LT"/>
        </w:rPr>
        <w:t xml:space="preserve"> </w:t>
      </w:r>
      <w:proofErr w:type="spellStart"/>
      <w:r>
        <w:rPr>
          <w:bCs/>
          <w:color w:val="000000"/>
          <w:lang w:val="en-GB" w:eastAsia="lt-LT"/>
        </w:rPr>
        <w:t>laiko</w:t>
      </w:r>
      <w:proofErr w:type="spellEnd"/>
      <w:r>
        <w:rPr>
          <w:bCs/>
          <w:color w:val="000000"/>
          <w:lang w:val="en-GB" w:eastAsia="lt-LT"/>
        </w:rPr>
        <w:t xml:space="preserve"> </w:t>
      </w:r>
      <w:proofErr w:type="spellStart"/>
      <w:r>
        <w:rPr>
          <w:bCs/>
          <w:color w:val="000000"/>
          <w:lang w:val="en-GB" w:eastAsia="lt-LT"/>
        </w:rPr>
        <w:t>perspektyvoje</w:t>
      </w:r>
      <w:proofErr w:type="spellEnd"/>
      <w:r>
        <w:rPr>
          <w:bCs/>
          <w:color w:val="000000"/>
          <w:lang w:val="en-GB" w:eastAsia="lt-LT"/>
        </w:rPr>
        <w:t xml:space="preserve">, </w:t>
      </w:r>
      <w:proofErr w:type="spellStart"/>
      <w:r>
        <w:rPr>
          <w:bCs/>
          <w:color w:val="000000"/>
          <w:lang w:val="en-GB" w:eastAsia="lt-LT"/>
        </w:rPr>
        <w:t>nes</w:t>
      </w:r>
      <w:proofErr w:type="spellEnd"/>
      <w:r>
        <w:rPr>
          <w:bCs/>
          <w:color w:val="000000"/>
          <w:lang w:val="en-GB" w:eastAsia="lt-LT"/>
        </w:rPr>
        <w:t xml:space="preserve"> </w:t>
      </w:r>
      <w:proofErr w:type="spellStart"/>
      <w:r>
        <w:rPr>
          <w:bCs/>
          <w:color w:val="000000"/>
          <w:lang w:val="en-GB" w:eastAsia="lt-LT"/>
        </w:rPr>
        <w:t>nėra</w:t>
      </w:r>
      <w:proofErr w:type="spellEnd"/>
      <w:r>
        <w:rPr>
          <w:bCs/>
          <w:color w:val="000000"/>
          <w:lang w:val="en-GB" w:eastAsia="lt-LT"/>
        </w:rPr>
        <w:t xml:space="preserve"> </w:t>
      </w:r>
      <w:proofErr w:type="spellStart"/>
      <w:r>
        <w:rPr>
          <w:bCs/>
          <w:color w:val="000000"/>
          <w:lang w:val="en-GB" w:eastAsia="lt-LT"/>
        </w:rPr>
        <w:t>aišku</w:t>
      </w:r>
      <w:proofErr w:type="spellEnd"/>
      <w:r>
        <w:rPr>
          <w:bCs/>
          <w:color w:val="000000"/>
          <w:lang w:val="en-GB" w:eastAsia="lt-LT"/>
        </w:rPr>
        <w:t xml:space="preserve">, </w:t>
      </w:r>
      <w:proofErr w:type="spellStart"/>
      <w:r>
        <w:rPr>
          <w:bCs/>
          <w:color w:val="000000"/>
          <w:lang w:val="en-GB" w:eastAsia="lt-LT"/>
        </w:rPr>
        <w:t>kiek</w:t>
      </w:r>
      <w:proofErr w:type="spellEnd"/>
      <w:r>
        <w:rPr>
          <w:bCs/>
          <w:color w:val="000000"/>
          <w:lang w:val="en-GB" w:eastAsia="lt-LT"/>
        </w:rPr>
        <w:t xml:space="preserve"> </w:t>
      </w:r>
      <w:proofErr w:type="spellStart"/>
      <w:r>
        <w:rPr>
          <w:bCs/>
          <w:color w:val="000000"/>
          <w:lang w:val="en-GB" w:eastAsia="lt-LT"/>
        </w:rPr>
        <w:t>ir</w:t>
      </w:r>
      <w:proofErr w:type="spellEnd"/>
      <w:r>
        <w:rPr>
          <w:bCs/>
          <w:color w:val="000000"/>
          <w:lang w:val="en-GB" w:eastAsia="lt-LT"/>
        </w:rPr>
        <w:t xml:space="preserve"> </w:t>
      </w:r>
      <w:proofErr w:type="spellStart"/>
      <w:r>
        <w:rPr>
          <w:bCs/>
          <w:color w:val="000000"/>
          <w:lang w:val="en-GB" w:eastAsia="lt-LT"/>
        </w:rPr>
        <w:t>kada</w:t>
      </w:r>
      <w:proofErr w:type="spellEnd"/>
      <w:r>
        <w:rPr>
          <w:bCs/>
          <w:color w:val="000000"/>
          <w:lang w:val="en-GB" w:eastAsia="lt-LT"/>
        </w:rPr>
        <w:t xml:space="preserve"> </w:t>
      </w:r>
      <w:proofErr w:type="spellStart"/>
      <w:r>
        <w:rPr>
          <w:bCs/>
          <w:color w:val="000000"/>
          <w:lang w:val="en-GB" w:eastAsia="lt-LT"/>
        </w:rPr>
        <w:t>sumažės</w:t>
      </w:r>
      <w:proofErr w:type="spellEnd"/>
      <w:r>
        <w:rPr>
          <w:bCs/>
          <w:color w:val="000000"/>
          <w:lang w:val="en-GB" w:eastAsia="lt-LT"/>
        </w:rPr>
        <w:t xml:space="preserve"> </w:t>
      </w:r>
      <w:proofErr w:type="spellStart"/>
      <w:r>
        <w:rPr>
          <w:bCs/>
          <w:color w:val="000000"/>
          <w:lang w:val="en-GB" w:eastAsia="lt-LT"/>
        </w:rPr>
        <w:t>vaistinio</w:t>
      </w:r>
      <w:proofErr w:type="spellEnd"/>
      <w:r>
        <w:rPr>
          <w:bCs/>
          <w:color w:val="000000"/>
          <w:lang w:val="en-GB" w:eastAsia="lt-LT"/>
        </w:rPr>
        <w:t xml:space="preserve"> </w:t>
      </w:r>
      <w:proofErr w:type="spellStart"/>
      <w:r>
        <w:rPr>
          <w:bCs/>
          <w:color w:val="000000"/>
          <w:lang w:val="en-GB" w:eastAsia="lt-LT"/>
        </w:rPr>
        <w:t>preparato</w:t>
      </w:r>
      <w:proofErr w:type="spellEnd"/>
      <w:r>
        <w:rPr>
          <w:bCs/>
          <w:color w:val="000000"/>
          <w:lang w:val="en-GB" w:eastAsia="lt-LT"/>
        </w:rPr>
        <w:t xml:space="preserve"> </w:t>
      </w:r>
      <w:proofErr w:type="spellStart"/>
      <w:r>
        <w:rPr>
          <w:bCs/>
          <w:color w:val="000000"/>
          <w:lang w:val="en-GB" w:eastAsia="lt-LT"/>
        </w:rPr>
        <w:t>orkambi</w:t>
      </w:r>
      <w:proofErr w:type="spellEnd"/>
      <w:r>
        <w:rPr>
          <w:bCs/>
          <w:color w:val="000000"/>
          <w:lang w:val="en-GB" w:eastAsia="lt-LT"/>
        </w:rPr>
        <w:t xml:space="preserve"> </w:t>
      </w:r>
      <w:proofErr w:type="spellStart"/>
      <w:r>
        <w:rPr>
          <w:bCs/>
          <w:color w:val="000000"/>
          <w:lang w:val="en-GB" w:eastAsia="lt-LT"/>
        </w:rPr>
        <w:t>kaina</w:t>
      </w:r>
      <w:proofErr w:type="spellEnd"/>
      <w:r>
        <w:rPr>
          <w:bCs/>
          <w:color w:val="000000"/>
          <w:lang w:val="en-GB" w:eastAsia="lt-LT"/>
        </w:rPr>
        <w:t xml:space="preserve">, </w:t>
      </w:r>
      <w:proofErr w:type="spellStart"/>
      <w:r>
        <w:rPr>
          <w:bCs/>
          <w:color w:val="000000"/>
          <w:lang w:val="en-GB" w:eastAsia="lt-LT"/>
        </w:rPr>
        <w:t>pasibaigus</w:t>
      </w:r>
      <w:proofErr w:type="spellEnd"/>
      <w:r>
        <w:rPr>
          <w:bCs/>
          <w:color w:val="000000"/>
          <w:lang w:val="en-GB" w:eastAsia="lt-LT"/>
        </w:rPr>
        <w:t xml:space="preserve"> </w:t>
      </w:r>
      <w:proofErr w:type="spellStart"/>
      <w:r>
        <w:rPr>
          <w:bCs/>
          <w:color w:val="000000"/>
          <w:lang w:val="en-GB" w:eastAsia="lt-LT"/>
        </w:rPr>
        <w:t>patentiniam</w:t>
      </w:r>
      <w:proofErr w:type="spellEnd"/>
      <w:r>
        <w:rPr>
          <w:bCs/>
          <w:color w:val="000000"/>
          <w:lang w:val="en-GB" w:eastAsia="lt-LT"/>
        </w:rPr>
        <w:t xml:space="preserve"> </w:t>
      </w:r>
      <w:proofErr w:type="spellStart"/>
      <w:r>
        <w:rPr>
          <w:bCs/>
          <w:color w:val="000000"/>
          <w:lang w:val="en-GB" w:eastAsia="lt-LT"/>
        </w:rPr>
        <w:t>orkambi</w:t>
      </w:r>
      <w:proofErr w:type="spellEnd"/>
      <w:r>
        <w:rPr>
          <w:bCs/>
          <w:color w:val="000000"/>
          <w:lang w:val="en-GB" w:eastAsia="lt-LT"/>
        </w:rPr>
        <w:t xml:space="preserve"> </w:t>
      </w:r>
      <w:proofErr w:type="spellStart"/>
      <w:r>
        <w:rPr>
          <w:bCs/>
          <w:color w:val="000000"/>
          <w:lang w:val="en-GB" w:eastAsia="lt-LT"/>
        </w:rPr>
        <w:t>vaistinio</w:t>
      </w:r>
      <w:proofErr w:type="spellEnd"/>
      <w:r>
        <w:rPr>
          <w:bCs/>
          <w:color w:val="000000"/>
          <w:lang w:val="en-GB" w:eastAsia="lt-LT"/>
        </w:rPr>
        <w:t xml:space="preserve"> </w:t>
      </w:r>
      <w:proofErr w:type="spellStart"/>
      <w:r>
        <w:rPr>
          <w:bCs/>
          <w:color w:val="000000"/>
          <w:lang w:val="en-GB" w:eastAsia="lt-LT"/>
        </w:rPr>
        <w:t>preparato</w:t>
      </w:r>
      <w:proofErr w:type="spellEnd"/>
      <w:r>
        <w:rPr>
          <w:bCs/>
          <w:color w:val="000000"/>
          <w:lang w:val="en-GB" w:eastAsia="lt-LT"/>
        </w:rPr>
        <w:t xml:space="preserve"> </w:t>
      </w:r>
      <w:proofErr w:type="spellStart"/>
      <w:r>
        <w:rPr>
          <w:bCs/>
          <w:color w:val="000000"/>
          <w:lang w:val="en-GB" w:eastAsia="lt-LT"/>
        </w:rPr>
        <w:t>laikotarpiui</w:t>
      </w:r>
      <w:proofErr w:type="spellEnd"/>
      <w:r>
        <w:rPr>
          <w:bCs/>
          <w:color w:val="000000"/>
          <w:lang w:val="en-GB" w:eastAsia="lt-LT"/>
        </w:rPr>
        <w:t>.</w:t>
      </w:r>
      <w:r w:rsidR="00E27C97">
        <w:rPr>
          <w:bCs/>
          <w:color w:val="000000"/>
          <w:lang w:val="en-GB" w:eastAsia="lt-LT"/>
        </w:rPr>
        <w:t xml:space="preserve"> </w:t>
      </w:r>
      <w:r w:rsidR="00E27C97" w:rsidRPr="0033595B">
        <w:rPr>
          <w:bCs/>
          <w:color w:val="000000"/>
          <w:lang w:eastAsia="lt-LT"/>
        </w:rPr>
        <w:t xml:space="preserve">Pareiškėjas analizėje taiko prielaidą, jog CFTR moduliatorių kaina mažėja tuo metu, kai pasibaigia patentinės apsaugos laikotarpis. Tarnyba kreipėsi į Pareiškėją nurodydama, jog ši prielaida yra nepriimtina, nes Pareiškėjo analizėje taikomi kainos pokyčiai yra hipotetiniai ir nėra aišku kada tiksliai Lietuvos rinką pasieks </w:t>
      </w:r>
      <w:proofErr w:type="spellStart"/>
      <w:r w:rsidR="00E27C97" w:rsidRPr="0033595B">
        <w:rPr>
          <w:bCs/>
          <w:color w:val="000000"/>
          <w:lang w:eastAsia="lt-LT"/>
        </w:rPr>
        <w:t>generiniai</w:t>
      </w:r>
      <w:proofErr w:type="spellEnd"/>
      <w:r w:rsidR="00E27C97" w:rsidRPr="0033595B">
        <w:rPr>
          <w:bCs/>
          <w:color w:val="000000"/>
          <w:lang w:eastAsia="lt-LT"/>
        </w:rPr>
        <w:t xml:space="preserve"> vaistiniai preparatai ir kokios bus jų kainos, todėl Paraiškos teikimo metu siūloma vaistinių preparatų kaina taikoma vis</w:t>
      </w:r>
      <w:r w:rsidR="00E27C97">
        <w:rPr>
          <w:bCs/>
          <w:color w:val="000000"/>
          <w:lang w:eastAsia="lt-LT"/>
        </w:rPr>
        <w:t>ame analizuojamame laikotarpyje.</w:t>
      </w:r>
    </w:p>
    <w:p w14:paraId="5DE79DDD" w14:textId="539FBF0D" w:rsidR="00913849" w:rsidRDefault="00913849" w:rsidP="00913849">
      <w:pPr>
        <w:tabs>
          <w:tab w:val="left" w:pos="567"/>
        </w:tabs>
        <w:spacing w:line="276" w:lineRule="auto"/>
        <w:jc w:val="both"/>
        <w:rPr>
          <w:bCs/>
          <w:color w:val="000000"/>
          <w:lang w:val="en-GB" w:eastAsia="lt-LT"/>
        </w:rPr>
      </w:pPr>
    </w:p>
    <w:p w14:paraId="1D1585DB" w14:textId="30DA1743" w:rsidR="00E27C97" w:rsidRPr="0033595B" w:rsidRDefault="00913849" w:rsidP="00E27C97">
      <w:pPr>
        <w:spacing w:line="276" w:lineRule="auto"/>
        <w:jc w:val="both"/>
        <w:rPr>
          <w:bCs/>
          <w:color w:val="000000"/>
          <w:lang w:eastAsia="lt-LT"/>
        </w:rPr>
      </w:pPr>
      <w:r>
        <w:rPr>
          <w:bCs/>
          <w:color w:val="000000"/>
          <w:lang w:val="en-GB" w:eastAsia="lt-LT"/>
        </w:rPr>
        <w:t xml:space="preserve">3. </w:t>
      </w:r>
      <w:r w:rsidR="00E27C97" w:rsidRPr="0033595B">
        <w:rPr>
          <w:bCs/>
          <w:color w:val="000000"/>
          <w:lang w:eastAsia="lt-LT"/>
        </w:rPr>
        <w:t xml:space="preserve">Taikomas 100 proc. nurodymų laikymasis. Tarnyba kreipėsi į Pareiškėją, nurodydama, jog nėra aišku, koks būtų Lietuvos pacientų gydytojo nurodymų laikymasis, todėl taikoma PSDF biudžetui </w:t>
      </w:r>
      <w:r w:rsidR="00E27C97" w:rsidRPr="0033595B">
        <w:rPr>
          <w:bCs/>
          <w:color w:val="000000"/>
          <w:lang w:eastAsia="lt-LT"/>
        </w:rPr>
        <w:lastRenderedPageBreak/>
        <w:t xml:space="preserve">konservatyvi prielaida dėl 100 proc. nurodymų laikymosi. Pareiškėjas su šia prielaida nesutiko nurodydamas, jog per ilgesnį laiką sumažės pacientų, kurie laikosi gydymo nurodymų. Tarnyba sutinka, jog egzistuoja galimybė, kad vaistus vartojant ilgą laiką gali pablogėti pacientų gydymo nurodymų laikymasis, tačiau gydymo nurodymų laikymasis gali ir nepablogėti, </w:t>
      </w:r>
      <w:proofErr w:type="spellStart"/>
      <w:r w:rsidR="00E27C97" w:rsidRPr="0033595B">
        <w:rPr>
          <w:bCs/>
          <w:color w:val="000000"/>
          <w:lang w:eastAsia="lt-LT"/>
        </w:rPr>
        <w:t>susifromuojant</w:t>
      </w:r>
      <w:proofErr w:type="spellEnd"/>
      <w:r w:rsidR="00E27C97" w:rsidRPr="0033595B">
        <w:rPr>
          <w:bCs/>
          <w:color w:val="000000"/>
          <w:lang w:eastAsia="lt-LT"/>
        </w:rPr>
        <w:t xml:space="preserve"> įpročiui bei turint didelę motyvaciją brangiam gydymui gauti. Dėl nurodytų priežasčių ir Lietuvos populiacijos gydymo nurodymų laikymosi informacijos trūkumo, taikoma PSDF biudžetui konserv</w:t>
      </w:r>
      <w:r w:rsidR="00E27C97">
        <w:rPr>
          <w:bCs/>
          <w:color w:val="000000"/>
          <w:lang w:eastAsia="lt-LT"/>
        </w:rPr>
        <w:t>atyvi prielaida – 100 proc. nur</w:t>
      </w:r>
      <w:r w:rsidR="00E27C97" w:rsidRPr="0033595B">
        <w:rPr>
          <w:bCs/>
          <w:color w:val="000000"/>
          <w:lang w:eastAsia="lt-LT"/>
        </w:rPr>
        <w:t>o</w:t>
      </w:r>
      <w:r w:rsidR="00E27C97">
        <w:rPr>
          <w:bCs/>
          <w:color w:val="000000"/>
          <w:lang w:eastAsia="lt-LT"/>
        </w:rPr>
        <w:t>d</w:t>
      </w:r>
      <w:r w:rsidR="00E27C97" w:rsidRPr="0033595B">
        <w:rPr>
          <w:bCs/>
          <w:color w:val="000000"/>
          <w:lang w:eastAsia="lt-LT"/>
        </w:rPr>
        <w:t>ymų laikymasis.</w:t>
      </w:r>
    </w:p>
    <w:p w14:paraId="5DBCD2A9" w14:textId="77777777" w:rsidR="00E27C97" w:rsidRPr="0033595B" w:rsidRDefault="00E27C97" w:rsidP="00E27C97">
      <w:pPr>
        <w:spacing w:line="276" w:lineRule="auto"/>
        <w:jc w:val="both"/>
        <w:rPr>
          <w:bCs/>
          <w:color w:val="000000"/>
          <w:lang w:eastAsia="lt-LT"/>
        </w:rPr>
      </w:pPr>
    </w:p>
    <w:p w14:paraId="19A01CED" w14:textId="0794D113" w:rsidR="00913849" w:rsidRDefault="00913849" w:rsidP="00913849">
      <w:pPr>
        <w:tabs>
          <w:tab w:val="left" w:pos="567"/>
        </w:tabs>
        <w:spacing w:line="276" w:lineRule="auto"/>
        <w:jc w:val="both"/>
        <w:rPr>
          <w:bCs/>
          <w:color w:val="000000"/>
          <w:lang w:val="en-GB" w:eastAsia="lt-LT"/>
        </w:rPr>
      </w:pPr>
    </w:p>
    <w:p w14:paraId="6D879BE6" w14:textId="77777777" w:rsidR="00E27C97" w:rsidRDefault="00E27C97" w:rsidP="00913849">
      <w:pPr>
        <w:tabs>
          <w:tab w:val="left" w:pos="567"/>
        </w:tabs>
        <w:spacing w:line="276" w:lineRule="auto"/>
        <w:jc w:val="both"/>
        <w:rPr>
          <w:bCs/>
          <w:color w:val="000000"/>
          <w:lang w:val="en-GB" w:eastAsia="lt-LT"/>
        </w:rPr>
      </w:pPr>
    </w:p>
    <w:p w14:paraId="2E8275C8" w14:textId="77777777" w:rsidR="00913849" w:rsidRDefault="00913849" w:rsidP="00913849">
      <w:pPr>
        <w:tabs>
          <w:tab w:val="left" w:pos="567"/>
        </w:tabs>
        <w:spacing w:line="276" w:lineRule="auto"/>
        <w:jc w:val="both"/>
        <w:rPr>
          <w:bCs/>
          <w:color w:val="000000"/>
          <w:lang w:val="en-GB" w:eastAsia="lt-LT"/>
        </w:rPr>
      </w:pPr>
      <w:r>
        <w:rPr>
          <w:bCs/>
          <w:color w:val="000000"/>
          <w:lang w:val="en-GB" w:eastAsia="lt-LT"/>
        </w:rPr>
        <w:t xml:space="preserve">4. </w:t>
      </w:r>
      <w:proofErr w:type="spellStart"/>
      <w:r>
        <w:rPr>
          <w:bCs/>
          <w:color w:val="000000"/>
          <w:lang w:val="en-GB" w:eastAsia="lt-LT"/>
        </w:rPr>
        <w:t>Skaičiavimas</w:t>
      </w:r>
      <w:proofErr w:type="spellEnd"/>
      <w:r>
        <w:rPr>
          <w:bCs/>
          <w:color w:val="000000"/>
          <w:lang w:val="en-GB" w:eastAsia="lt-LT"/>
        </w:rPr>
        <w:t xml:space="preserve"> </w:t>
      </w:r>
      <w:proofErr w:type="spellStart"/>
      <w:r>
        <w:rPr>
          <w:bCs/>
          <w:color w:val="000000"/>
          <w:lang w:val="en-GB" w:eastAsia="lt-LT"/>
        </w:rPr>
        <w:t>atliktas</w:t>
      </w:r>
      <w:proofErr w:type="spellEnd"/>
      <w:r>
        <w:rPr>
          <w:bCs/>
          <w:color w:val="000000"/>
          <w:lang w:val="en-GB" w:eastAsia="lt-LT"/>
        </w:rPr>
        <w:t xml:space="preserve"> </w:t>
      </w:r>
      <w:proofErr w:type="spellStart"/>
      <w:r>
        <w:rPr>
          <w:bCs/>
          <w:color w:val="000000"/>
          <w:lang w:val="en-GB" w:eastAsia="lt-LT"/>
        </w:rPr>
        <w:t>taikant</w:t>
      </w:r>
      <w:proofErr w:type="spellEnd"/>
      <w:r>
        <w:rPr>
          <w:bCs/>
          <w:color w:val="000000"/>
          <w:lang w:val="en-GB" w:eastAsia="lt-LT"/>
        </w:rPr>
        <w:t xml:space="preserve"> </w:t>
      </w:r>
      <w:proofErr w:type="spellStart"/>
      <w:r>
        <w:rPr>
          <w:bCs/>
          <w:color w:val="000000"/>
          <w:lang w:val="en-GB" w:eastAsia="lt-LT"/>
        </w:rPr>
        <w:t>bazinę</w:t>
      </w:r>
      <w:proofErr w:type="spellEnd"/>
      <w:r>
        <w:rPr>
          <w:bCs/>
          <w:color w:val="000000"/>
          <w:lang w:val="en-GB" w:eastAsia="lt-LT"/>
        </w:rPr>
        <w:t xml:space="preserve"> </w:t>
      </w:r>
      <w:proofErr w:type="spellStart"/>
      <w:r>
        <w:rPr>
          <w:bCs/>
          <w:color w:val="000000"/>
          <w:lang w:val="en-GB" w:eastAsia="lt-LT"/>
        </w:rPr>
        <w:t>Orkambi</w:t>
      </w:r>
      <w:proofErr w:type="spellEnd"/>
      <w:r>
        <w:rPr>
          <w:bCs/>
          <w:color w:val="000000"/>
          <w:lang w:val="en-GB" w:eastAsia="lt-LT"/>
        </w:rPr>
        <w:t xml:space="preserve"> </w:t>
      </w:r>
      <w:proofErr w:type="spellStart"/>
      <w:r>
        <w:rPr>
          <w:bCs/>
          <w:color w:val="000000"/>
          <w:lang w:val="en-GB" w:eastAsia="lt-LT"/>
        </w:rPr>
        <w:t>kainą</w:t>
      </w:r>
      <w:proofErr w:type="spellEnd"/>
      <w:r>
        <w:rPr>
          <w:bCs/>
          <w:color w:val="000000"/>
          <w:lang w:val="en-GB" w:eastAsia="lt-LT"/>
        </w:rPr>
        <w:t>.</w:t>
      </w:r>
    </w:p>
    <w:p w14:paraId="5DED50A6" w14:textId="77777777" w:rsidR="00913849" w:rsidRDefault="00913849" w:rsidP="00913849">
      <w:pPr>
        <w:tabs>
          <w:tab w:val="left" w:pos="567"/>
        </w:tabs>
        <w:spacing w:line="276" w:lineRule="auto"/>
        <w:jc w:val="both"/>
      </w:pPr>
    </w:p>
    <w:p w14:paraId="743BC5B8" w14:textId="77777777" w:rsidR="00913849" w:rsidRDefault="00913849" w:rsidP="00913849">
      <w:pPr>
        <w:tabs>
          <w:tab w:val="left" w:pos="567"/>
        </w:tabs>
        <w:spacing w:line="276" w:lineRule="auto"/>
        <w:jc w:val="both"/>
      </w:pPr>
      <w:r>
        <w:t xml:space="preserve">Įvertinus analizės rezultatą nustatyta, jog </w:t>
      </w:r>
      <w:proofErr w:type="spellStart"/>
      <w:r>
        <w:t>Orkambi</w:t>
      </w:r>
      <w:proofErr w:type="spellEnd"/>
      <w:r>
        <w:t xml:space="preserve"> nėra kaštais efektyvus, palyginus su geriausiu palaikomuoju gydymu.</w:t>
      </w:r>
    </w:p>
    <w:p w14:paraId="6CC925BA" w14:textId="77777777" w:rsidR="00C97652" w:rsidRDefault="00C97652" w:rsidP="00C97652">
      <w:pPr>
        <w:tabs>
          <w:tab w:val="left" w:pos="567"/>
        </w:tabs>
        <w:rPr>
          <w:b/>
          <w:bCs/>
          <w:caps/>
        </w:rPr>
      </w:pPr>
    </w:p>
    <w:p w14:paraId="7944E868" w14:textId="77777777" w:rsidR="00C97652" w:rsidRPr="00C97652" w:rsidRDefault="00C97652" w:rsidP="00C97652">
      <w:pPr>
        <w:tabs>
          <w:tab w:val="left" w:pos="567"/>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1CACF0B4" w14:textId="16652BC8" w:rsidR="00BA5DBC" w:rsidRPr="003B4D42" w:rsidRDefault="003B4D42" w:rsidP="00BA5DBC">
            <w:pPr>
              <w:tabs>
                <w:tab w:val="left" w:pos="567"/>
              </w:tabs>
              <w:jc w:val="both"/>
              <w:rPr>
                <w:i/>
                <w:iCs/>
                <w:lang w:val="en-US" w:eastAsia="lt-LT"/>
              </w:rPr>
            </w:pPr>
            <w:r>
              <w:rPr>
                <w:i/>
                <w:iCs/>
                <w:lang w:val="en-US" w:eastAsia="lt-LT"/>
              </w:rPr>
              <w:t>***</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2D12F200" w:rsidR="00BA5DBC" w:rsidRPr="00E33EFF" w:rsidRDefault="003B4D42" w:rsidP="00BA5DBC">
            <w:pPr>
              <w:tabs>
                <w:tab w:val="left" w:pos="567"/>
              </w:tabs>
              <w:jc w:val="both"/>
              <w:rPr>
                <w:i/>
                <w:iCs/>
                <w:lang w:eastAsia="lt-LT"/>
              </w:rPr>
            </w:pPr>
            <w:r>
              <w:rPr>
                <w:i/>
                <w:iCs/>
                <w:lang w:eastAsia="lt-LT"/>
              </w:rPr>
              <w:t>***</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38EC2D15" w:rsidR="00BA5DBC" w:rsidRPr="00E33EFF" w:rsidRDefault="003B4D42" w:rsidP="00BA5DBC">
            <w:pPr>
              <w:tabs>
                <w:tab w:val="left" w:pos="567"/>
              </w:tabs>
              <w:jc w:val="both"/>
              <w:rPr>
                <w:i/>
                <w:iCs/>
                <w:lang w:eastAsia="lt-LT"/>
              </w:rPr>
            </w:pPr>
            <w:r>
              <w:rPr>
                <w:i/>
                <w:iCs/>
                <w:lang w:eastAsia="lt-LT"/>
              </w:rPr>
              <w:t>***</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9E44AE">
            <w:pPr>
              <w:tabs>
                <w:tab w:val="left" w:pos="567"/>
              </w:tabs>
              <w:jc w:val="right"/>
              <w:rPr>
                <w:iCs/>
                <w:lang w:eastAsia="lt-LT"/>
              </w:rPr>
            </w:pPr>
            <w:r w:rsidRPr="00E33EFF">
              <w:rPr>
                <w:iCs/>
                <w:lang w:eastAsia="lt-LT"/>
              </w:rPr>
              <w:t>ICER už LY</w:t>
            </w:r>
          </w:p>
        </w:tc>
        <w:tc>
          <w:tcPr>
            <w:tcW w:w="3238" w:type="dxa"/>
            <w:tcBorders>
              <w:right w:val="single" w:sz="4" w:space="0" w:color="auto"/>
            </w:tcBorders>
          </w:tcPr>
          <w:p w14:paraId="2817448D" w14:textId="558EBC3D" w:rsidR="00BA5DBC" w:rsidRPr="00E33EFF" w:rsidRDefault="003B4D42" w:rsidP="009E44AE">
            <w:pPr>
              <w:tabs>
                <w:tab w:val="left" w:pos="567"/>
              </w:tabs>
              <w:jc w:val="both"/>
              <w:rPr>
                <w:i/>
                <w:iCs/>
                <w:lang w:eastAsia="lt-LT"/>
              </w:rPr>
            </w:pPr>
            <w:r>
              <w:rPr>
                <w:i/>
                <w:iCs/>
                <w:lang w:eastAsia="lt-LT"/>
              </w:rPr>
              <w:t>***</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8" w:type="dxa"/>
            <w:tcBorders>
              <w:right w:val="single" w:sz="4" w:space="0" w:color="auto"/>
            </w:tcBorders>
          </w:tcPr>
          <w:p w14:paraId="4275320D" w14:textId="57DB9EEA" w:rsidR="009E44AE" w:rsidRPr="00E33EFF" w:rsidRDefault="003B4D42" w:rsidP="009E44AE">
            <w:pPr>
              <w:tabs>
                <w:tab w:val="left" w:pos="567"/>
              </w:tabs>
              <w:jc w:val="both"/>
              <w:rPr>
                <w:i/>
                <w:iCs/>
                <w:lang w:eastAsia="lt-LT"/>
              </w:rPr>
            </w:pPr>
            <w:r>
              <w:rPr>
                <w:i/>
                <w:iCs/>
                <w:lang w:eastAsia="lt-LT"/>
              </w:rPr>
              <w:t>***</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5B609B66" w:rsidR="009E44AE" w:rsidRPr="00E33EFF" w:rsidRDefault="003B4D42" w:rsidP="009E44AE">
            <w:pPr>
              <w:tabs>
                <w:tab w:val="left" w:pos="567"/>
              </w:tabs>
              <w:jc w:val="both"/>
              <w:rPr>
                <w:i/>
                <w:iCs/>
                <w:lang w:eastAsia="lt-LT"/>
              </w:rPr>
            </w:pPr>
            <w:r>
              <w:rPr>
                <w:i/>
                <w:iCs/>
                <w:lang w:eastAsia="lt-LT"/>
              </w:rPr>
              <w:t>***</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 xml:space="preserve">angl. </w:t>
      </w:r>
      <w:proofErr w:type="spellStart"/>
      <w:r w:rsidR="00453862" w:rsidRPr="00E33EFF">
        <w:rPr>
          <w:i/>
          <w:sz w:val="20"/>
          <w:lang w:eastAsia="lt-LT"/>
        </w:rPr>
        <w:t>incremental</w:t>
      </w:r>
      <w:proofErr w:type="spellEnd"/>
      <w:r w:rsidR="00453862" w:rsidRPr="00E33EFF">
        <w:rPr>
          <w:i/>
          <w:sz w:val="20"/>
          <w:lang w:eastAsia="lt-LT"/>
        </w:rPr>
        <w:t xml:space="preserve"> </w:t>
      </w:r>
      <w:proofErr w:type="spellStart"/>
      <w:r w:rsidR="00453862" w:rsidRPr="00E33EFF">
        <w:rPr>
          <w:i/>
          <w:sz w:val="20"/>
          <w:lang w:eastAsia="lt-LT"/>
        </w:rPr>
        <w:t>cost-effectiveness</w:t>
      </w:r>
      <w:proofErr w:type="spellEnd"/>
      <w:r w:rsidR="00453862" w:rsidRPr="00E33EFF">
        <w:rPr>
          <w:i/>
          <w:sz w:val="20"/>
          <w:lang w:eastAsia="lt-LT"/>
        </w:rPr>
        <w:t xml:space="preserve"> </w:t>
      </w:r>
      <w:proofErr w:type="spellStart"/>
      <w:r w:rsidR="00453862" w:rsidRPr="00E33EFF">
        <w:rPr>
          <w:i/>
          <w:sz w:val="20"/>
          <w:lang w:eastAsia="lt-LT"/>
        </w:rPr>
        <w:t>ratio</w:t>
      </w:r>
      <w:proofErr w:type="spellEnd"/>
      <w:r w:rsidR="00453862" w:rsidRPr="00E33EFF">
        <w:rPr>
          <w:iCs/>
          <w:sz w:val="20"/>
          <w:lang w:eastAsia="lt-LT"/>
        </w:rPr>
        <w:t xml:space="preserve">) </w:t>
      </w:r>
      <w:proofErr w:type="spellStart"/>
      <w:r w:rsidR="00453862" w:rsidRPr="00E33EFF">
        <w:rPr>
          <w:iCs/>
          <w:sz w:val="20"/>
          <w:lang w:eastAsia="lt-LT"/>
        </w:rPr>
        <w:t>inkrementinis</w:t>
      </w:r>
      <w:proofErr w:type="spellEnd"/>
      <w:r w:rsidR="00453862" w:rsidRPr="00E33EFF">
        <w:rPr>
          <w:iCs/>
          <w:sz w:val="20"/>
          <w:lang w:eastAsia="lt-LT"/>
        </w:rPr>
        <w:t xml:space="preserve">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 xml:space="preserve">angl.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w:t>
      </w:r>
      <w:proofErr w:type="spellStart"/>
      <w:r w:rsidR="00453862" w:rsidRPr="00E33EFF">
        <w:rPr>
          <w:i/>
          <w:sz w:val="20"/>
          <w:lang w:eastAsia="lt-LT"/>
        </w:rPr>
        <w:t>quality</w:t>
      </w:r>
      <w:proofErr w:type="spellEnd"/>
      <w:r w:rsidR="00453862" w:rsidRPr="00E33EFF">
        <w:rPr>
          <w:i/>
          <w:sz w:val="20"/>
          <w:lang w:eastAsia="lt-LT"/>
        </w:rPr>
        <w:t xml:space="preserve"> </w:t>
      </w:r>
      <w:proofErr w:type="spellStart"/>
      <w:r w:rsidR="00453862" w:rsidRPr="00E33EFF">
        <w:rPr>
          <w:i/>
          <w:sz w:val="20"/>
          <w:lang w:eastAsia="lt-LT"/>
        </w:rPr>
        <w:t>adjusted</w:t>
      </w:r>
      <w:proofErr w:type="spellEnd"/>
      <w:r w:rsidR="00453862" w:rsidRPr="00E33EFF">
        <w:rPr>
          <w:i/>
          <w:sz w:val="20"/>
          <w:lang w:eastAsia="lt-LT"/>
        </w:rPr>
        <w:t xml:space="preserve">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
          <w:sz w:val="20"/>
          <w:lang w:eastAsia="lt-LT"/>
        </w:rPr>
        <w:t xml:space="preserve">)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3B55154"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AE3162">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2A397951"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AE3162">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2E362395"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4C4370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913849">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830A64B" w:rsidR="00B13D65" w:rsidRPr="00E33EFF" w:rsidRDefault="00000000" w:rsidP="00913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1914148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48AB0E19"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147FEA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0FF929B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913849">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6B19704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913849">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727BBD2C"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913849">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48CA85E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taikant</w:t>
            </w:r>
            <w:r w:rsidR="00C97652">
              <w:t xml:space="preserve">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426AE8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taikant </w:t>
            </w:r>
            <w:r w:rsidR="00C97652">
              <w:t>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2E07756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913849">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DCE61C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taikant</w:t>
            </w:r>
            <w:r w:rsidR="00C97652">
              <w:t xml:space="preserve">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59272A9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913849">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59422C01" w14:textId="77777777"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CEFF711" w14:textId="77777777" w:rsidR="00C97652" w:rsidRPr="00E33EFF" w:rsidRDefault="00C97652" w:rsidP="00C97652">
      <w:pPr>
        <w:spacing w:line="276"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w:t>
      </w:r>
    </w:p>
    <w:p w14:paraId="3CE60597" w14:textId="6B61149E" w:rsidR="00C97652" w:rsidRPr="000C7ADD" w:rsidRDefault="00C97652" w:rsidP="00C97652">
      <w:pPr>
        <w:spacing w:line="276" w:lineRule="auto"/>
        <w:jc w:val="both"/>
      </w:pPr>
      <w:r w:rsidRPr="00E33EFF">
        <w:t xml:space="preserve">34.4. rekomenduojama </w:t>
      </w:r>
      <w:r w:rsidRPr="00E33EFF">
        <w:rPr>
          <w:i/>
        </w:rPr>
        <w:t xml:space="preserve">nekompensuoti </w:t>
      </w:r>
      <w:r w:rsidRPr="00E33EFF">
        <w:t>vaistinio preparato pa</w:t>
      </w:r>
      <w:r>
        <w:t>gal paraiškoje nurodytą indikaciją</w:t>
      </w:r>
      <w:r w:rsidRPr="00E33EFF">
        <w:t xml:space="preserve"> </w:t>
      </w:r>
      <w:r>
        <w:t>be skyrimo sąlygų, taikant PGS</w:t>
      </w:r>
      <w:r w:rsidRPr="00E33EFF">
        <w:t xml:space="preserve"> dėl vertinimo išvadų</w:t>
      </w:r>
      <w:r w:rsidR="00913849">
        <w:t>, nurodytų 33.3</w:t>
      </w:r>
      <w:r>
        <w:t xml:space="preserve"> papunktyje (žr. 6 skyrių),  neatitikties </w:t>
      </w:r>
      <w:r w:rsidRPr="003D6208">
        <w:t>34.1 papunktyje išdėstytoms sąlygoms</w:t>
      </w:r>
      <w:r>
        <w:t>.</w:t>
      </w:r>
    </w:p>
    <w:p w14:paraId="7CDFF220" w14:textId="41BA51A3" w:rsidR="000723FF" w:rsidRDefault="000723FF" w:rsidP="00824B92">
      <w:pPr>
        <w:rPr>
          <w:b/>
        </w:rPr>
      </w:pPr>
    </w:p>
    <w:p w14:paraId="7927BE62" w14:textId="77777777" w:rsidR="00913849" w:rsidRPr="00FE303B" w:rsidRDefault="00913849" w:rsidP="00913849">
      <w:pPr>
        <w:shd w:val="clear" w:color="auto" w:fill="FFFFFF"/>
        <w:spacing w:line="276" w:lineRule="auto"/>
        <w:jc w:val="both"/>
        <w:rPr>
          <w:bCs/>
          <w:i/>
        </w:rPr>
      </w:pPr>
      <w:r w:rsidRPr="00FE303B">
        <w:rPr>
          <w:bCs/>
          <w:i/>
        </w:rPr>
        <w:t>Papildom</w:t>
      </w:r>
      <w:r>
        <w:rPr>
          <w:bCs/>
          <w:i/>
        </w:rPr>
        <w:t>os</w:t>
      </w:r>
      <w:r w:rsidRPr="00FE303B">
        <w:rPr>
          <w:bCs/>
          <w:i/>
        </w:rPr>
        <w:t xml:space="preserve"> pastabos ir pasiūlymai</w:t>
      </w:r>
    </w:p>
    <w:p w14:paraId="23DAB46E" w14:textId="476D92E2" w:rsidR="00913849" w:rsidRDefault="00913849" w:rsidP="006774EC">
      <w:pPr>
        <w:shd w:val="clear" w:color="auto" w:fill="FFFFFF"/>
        <w:spacing w:line="276" w:lineRule="auto"/>
        <w:ind w:firstLine="720"/>
        <w:jc w:val="both"/>
        <w:rPr>
          <w:bCs/>
        </w:rPr>
      </w:pPr>
      <w:r>
        <w:rPr>
          <w:bCs/>
        </w:rPr>
        <w:t>A</w:t>
      </w:r>
      <w:r w:rsidRPr="004817CE">
        <w:rPr>
          <w:bCs/>
        </w:rPr>
        <w:t xml:space="preserve">tsižvelgiant į </w:t>
      </w:r>
      <w:r w:rsidR="00AC23B8">
        <w:rPr>
          <w:bCs/>
        </w:rPr>
        <w:t xml:space="preserve">nepatenkintą </w:t>
      </w:r>
      <w:r>
        <w:rPr>
          <w:bCs/>
        </w:rPr>
        <w:t xml:space="preserve">CF </w:t>
      </w:r>
      <w:proofErr w:type="spellStart"/>
      <w:r w:rsidR="00AC23B8">
        <w:rPr>
          <w:bCs/>
        </w:rPr>
        <w:t>etiopatogenezinio</w:t>
      </w:r>
      <w:proofErr w:type="spellEnd"/>
      <w:r w:rsidR="00AC23B8">
        <w:rPr>
          <w:bCs/>
        </w:rPr>
        <w:t xml:space="preserve"> </w:t>
      </w:r>
      <w:r>
        <w:rPr>
          <w:bCs/>
        </w:rPr>
        <w:t>gydymo poreikį</w:t>
      </w:r>
      <w:r w:rsidR="00AC23B8">
        <w:rPr>
          <w:bCs/>
        </w:rPr>
        <w:t xml:space="preserve"> (šiuo metu taikom</w:t>
      </w:r>
      <w:r w:rsidR="007901C2">
        <w:rPr>
          <w:bCs/>
        </w:rPr>
        <w:t>a</w:t>
      </w:r>
      <w:r w:rsidR="00AC23B8">
        <w:rPr>
          <w:bCs/>
        </w:rPr>
        <w:t>s tik simptominis gydymas)</w:t>
      </w:r>
      <w:r>
        <w:rPr>
          <w:bCs/>
        </w:rPr>
        <w:t>, Tarnyba</w:t>
      </w:r>
      <w:r w:rsidRPr="004817CE" w:rsidDel="008074EB">
        <w:rPr>
          <w:bCs/>
        </w:rPr>
        <w:t xml:space="preserve"> </w:t>
      </w:r>
      <w:r>
        <w:rPr>
          <w:bCs/>
        </w:rPr>
        <w:t>vadovaud</w:t>
      </w:r>
      <w:r w:rsidRPr="004817CE">
        <w:rPr>
          <w:bCs/>
        </w:rPr>
        <w:t>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sidRPr="004817CE">
        <w:rPr>
          <w:bCs/>
        </w:rPr>
        <w:t xml:space="preserve"> vaistinį preparatą</w:t>
      </w:r>
      <w:r>
        <w:rPr>
          <w:bCs/>
        </w:rPr>
        <w:t xml:space="preserve"> </w:t>
      </w:r>
      <w:proofErr w:type="spellStart"/>
      <w:r>
        <w:rPr>
          <w:bCs/>
        </w:rPr>
        <w:t>Orkambi</w:t>
      </w:r>
      <w:proofErr w:type="spellEnd"/>
      <w:r>
        <w:rPr>
          <w:bCs/>
        </w:rPr>
        <w:t xml:space="preserve"> (</w:t>
      </w:r>
      <w:proofErr w:type="spellStart"/>
      <w:r>
        <w:rPr>
          <w:bCs/>
        </w:rPr>
        <w:t>l</w:t>
      </w:r>
      <w:r w:rsidR="000A3D1A">
        <w:rPr>
          <w:bCs/>
        </w:rPr>
        <w:t>u</w:t>
      </w:r>
      <w:r>
        <w:rPr>
          <w:bCs/>
        </w:rPr>
        <w:t>makaftoras</w:t>
      </w:r>
      <w:proofErr w:type="spellEnd"/>
      <w:r>
        <w:rPr>
          <w:bCs/>
        </w:rPr>
        <w:t xml:space="preserve"> ir </w:t>
      </w:r>
      <w:proofErr w:type="spellStart"/>
      <w:r>
        <w:rPr>
          <w:bCs/>
        </w:rPr>
        <w:lastRenderedPageBreak/>
        <w:t>ivakaftoras</w:t>
      </w:r>
      <w:proofErr w:type="spellEnd"/>
      <w:r>
        <w:rPr>
          <w:bCs/>
        </w:rPr>
        <w:t>) 8 skyriuje nurodytoms indikacijoms, su sąlyga, jog vaistinio preparato kaštų naudingumas bus pagerintas (suteikiama maždaug</w:t>
      </w:r>
      <w:r w:rsidR="003B4D42">
        <w:rPr>
          <w:bCs/>
        </w:rPr>
        <w:t xml:space="preserve"> *** </w:t>
      </w:r>
      <w:r>
        <w:rPr>
          <w:bCs/>
        </w:rPr>
        <w:t>nuolaida nuo bazinės vaistinio preparato kainos).</w:t>
      </w:r>
    </w:p>
    <w:p w14:paraId="063C92A6" w14:textId="06A5F8F8" w:rsidR="00E27C97" w:rsidRDefault="00691407" w:rsidP="00691407">
      <w:pPr>
        <w:spacing w:line="276" w:lineRule="auto"/>
        <w:ind w:firstLine="720"/>
        <w:jc w:val="both"/>
        <w:rPr>
          <w:b/>
        </w:rPr>
      </w:pPr>
      <w:r w:rsidRPr="005838C0">
        <w:t xml:space="preserve">Tarnyba rekomenduoja sukurti </w:t>
      </w:r>
      <w:r>
        <w:t>CF</w:t>
      </w:r>
      <w:r w:rsidRPr="005838C0">
        <w:t xml:space="preserve"> gydymo tvarkos aprašą, kuriame būtų apibrėžta pacientų populiacija, kuriai tinka </w:t>
      </w:r>
      <w:proofErr w:type="spellStart"/>
      <w:r>
        <w:t>farmakoterapinis</w:t>
      </w:r>
      <w:proofErr w:type="spellEnd"/>
      <w:r>
        <w:t xml:space="preserve"> </w:t>
      </w:r>
      <w:r w:rsidRPr="005838C0">
        <w:t xml:space="preserve">gydymas </w:t>
      </w:r>
      <w:r>
        <w:t>bei</w:t>
      </w:r>
      <w:r w:rsidRPr="005838C0">
        <w:t xml:space="preserve"> skyrimo sąlygos pradedant gydymą; gydymo veiksmingumo vertinimo kriterijai</w:t>
      </w:r>
      <w:r>
        <w:t xml:space="preserve"> bei </w:t>
      </w:r>
      <w:r w:rsidRPr="005838C0">
        <w:t>gydymo nutraukimo kriterijai</w:t>
      </w:r>
      <w:r>
        <w:t>.</w:t>
      </w:r>
    </w:p>
    <w:p w14:paraId="11C3CA0C" w14:textId="3C0E7464" w:rsidR="00E27C97" w:rsidRDefault="00E27C97" w:rsidP="00824B92">
      <w:pPr>
        <w:rPr>
          <w:b/>
        </w:rPr>
      </w:pPr>
    </w:p>
    <w:p w14:paraId="119400C4" w14:textId="2E4107DB" w:rsidR="00E27C97" w:rsidRPr="004C3C2D" w:rsidRDefault="00E27C97" w:rsidP="004C3C2D">
      <w:pPr>
        <w:pStyle w:val="Sraopastraipa"/>
        <w:numPr>
          <w:ilvl w:val="0"/>
          <w:numId w:val="12"/>
        </w:numPr>
        <w:rPr>
          <w:b/>
        </w:rPr>
      </w:pPr>
      <w:r w:rsidRPr="004C3C2D">
        <w:rPr>
          <w:b/>
        </w:rPr>
        <w:t xml:space="preserve">Indikacijos ir skyrimo </w:t>
      </w:r>
      <w:r w:rsidR="004C3C2D" w:rsidRPr="004C3C2D">
        <w:rPr>
          <w:b/>
        </w:rPr>
        <w:t>sąlygos.</w:t>
      </w:r>
    </w:p>
    <w:p w14:paraId="472F841C" w14:textId="41640B99" w:rsidR="004C3C2D" w:rsidRDefault="004C3C2D" w:rsidP="004C3C2D">
      <w:pPr>
        <w:rPr>
          <w:b/>
        </w:rPr>
      </w:pPr>
    </w:p>
    <w:p w14:paraId="3541FB93" w14:textId="77777777" w:rsidR="004C3C2D" w:rsidRPr="004C3C2D" w:rsidRDefault="004C3C2D" w:rsidP="004C3C2D">
      <w:pPr>
        <w:spacing w:line="276" w:lineRule="auto"/>
        <w:rPr>
          <w:rFonts w:eastAsia="Calibri"/>
          <w:b/>
          <w:lang w:eastAsia="lt-LT"/>
        </w:rPr>
      </w:pPr>
      <w:r w:rsidRPr="004C3C2D">
        <w:rPr>
          <w:rFonts w:eastAsia="Calibri"/>
          <w:b/>
          <w:lang w:eastAsia="lt-LT"/>
        </w:rPr>
        <w:t>Terapinės indikacijos</w:t>
      </w:r>
    </w:p>
    <w:p w14:paraId="3F5D0FF1" w14:textId="12BF391B" w:rsidR="004C3C2D" w:rsidRPr="00617105" w:rsidRDefault="00000000" w:rsidP="004C3C2D">
      <w:pPr>
        <w:spacing w:line="276" w:lineRule="auto"/>
        <w:rPr>
          <w:rFonts w:eastAsia="Calibri"/>
        </w:rPr>
      </w:pPr>
      <w:sdt>
        <w:sdtPr>
          <w:rPr>
            <w:rFonts w:eastAsia="Calibri"/>
          </w:rPr>
          <w:id w:val="1146316688"/>
          <w15:color w:val="FFCC00"/>
          <w14:checkbox>
            <w14:checked w14:val="1"/>
            <w14:checkedState w14:val="2612" w14:font="MS Gothic"/>
            <w14:uncheckedState w14:val="2610" w14:font="MS Gothic"/>
          </w14:checkbox>
        </w:sdtPr>
        <w:sdtContent>
          <w:r w:rsidR="00617105">
            <w:rPr>
              <w:rFonts w:ascii="MS Gothic" w:eastAsia="MS Gothic" w:hAnsi="MS Gothic" w:hint="eastAsia"/>
            </w:rPr>
            <w:t>☒</w:t>
          </w:r>
        </w:sdtContent>
      </w:sdt>
      <w:r w:rsidR="004C3C2D" w:rsidRPr="00617105">
        <w:rPr>
          <w:rFonts w:eastAsia="Calibri"/>
        </w:rPr>
        <w:t xml:space="preserve"> Siūloma kompensuoti Pareiškėjo teikiamą indikaciją be pakeitimų.</w:t>
      </w:r>
    </w:p>
    <w:p w14:paraId="70396CB6" w14:textId="77777777" w:rsidR="004C3C2D" w:rsidRPr="00617105" w:rsidRDefault="004C3C2D" w:rsidP="004C3C2D">
      <w:pPr>
        <w:spacing w:line="276" w:lineRule="auto"/>
        <w:rPr>
          <w:rFonts w:eastAsia="Calibri"/>
        </w:rPr>
      </w:pPr>
      <w:r w:rsidRPr="00617105">
        <w:rPr>
          <w:rFonts w:eastAsia="Calibri"/>
          <w:i/>
        </w:rPr>
        <w:t xml:space="preserve"> Cistinei fibrozei gydyti 2 metų ir vyresniems pacientams, kurie yra </w:t>
      </w:r>
      <w:proofErr w:type="spellStart"/>
      <w:r w:rsidRPr="00617105">
        <w:rPr>
          <w:rFonts w:eastAsia="Calibri"/>
          <w:i/>
        </w:rPr>
        <w:t>homozigotiniai</w:t>
      </w:r>
      <w:proofErr w:type="spellEnd"/>
      <w:r w:rsidRPr="00617105">
        <w:rPr>
          <w:rFonts w:eastAsia="Calibri"/>
          <w:i/>
        </w:rPr>
        <w:t xml:space="preserve"> CFTR geno F508del mutacijos atžvilgiu</w:t>
      </w:r>
      <w:r w:rsidRPr="00617105">
        <w:rPr>
          <w:rFonts w:eastAsia="Calibri"/>
        </w:rPr>
        <w:t xml:space="preserve">. </w:t>
      </w:r>
    </w:p>
    <w:p w14:paraId="660C6BFD" w14:textId="77777777" w:rsidR="004C3C2D" w:rsidRPr="00617105" w:rsidRDefault="00000000" w:rsidP="004C3C2D">
      <w:pPr>
        <w:spacing w:line="276" w:lineRule="auto"/>
        <w:rPr>
          <w:rFonts w:eastAsia="Calibri"/>
        </w:rPr>
      </w:pPr>
      <w:sdt>
        <w:sdtPr>
          <w:rPr>
            <w:rFonts w:eastAsia="Calibri"/>
          </w:rPr>
          <w:id w:val="1467245146"/>
          <w15:color w:val="FFCC00"/>
          <w14:checkbox>
            <w14:checked w14:val="0"/>
            <w14:checkedState w14:val="2612" w14:font="MS Gothic"/>
            <w14:uncheckedState w14:val="2610" w14:font="MS Gothic"/>
          </w14:checkbox>
        </w:sdtPr>
        <w:sdtContent>
          <w:r w:rsidR="004C3C2D" w:rsidRPr="00617105">
            <w:rPr>
              <w:rFonts w:ascii="Segoe UI Symbol" w:eastAsia="Calibri" w:hAnsi="Segoe UI Symbol" w:cs="Segoe UI Symbol"/>
            </w:rPr>
            <w:t>☐</w:t>
          </w:r>
        </w:sdtContent>
      </w:sdt>
      <w:r w:rsidR="004C3C2D" w:rsidRPr="00617105">
        <w:rPr>
          <w:rFonts w:eastAsia="Calibri"/>
        </w:rPr>
        <w:t xml:space="preserve"> Siūloma kompensuoti Pareiškėjo teikiamą indikaciją su pakeitimais.</w:t>
      </w:r>
    </w:p>
    <w:p w14:paraId="0597BC14" w14:textId="77777777" w:rsidR="004C3C2D" w:rsidRPr="00617105" w:rsidRDefault="004C3C2D" w:rsidP="004C3C2D">
      <w:pPr>
        <w:spacing w:line="276" w:lineRule="auto"/>
        <w:rPr>
          <w:rFonts w:eastAsia="Calibri"/>
        </w:rPr>
      </w:pPr>
    </w:p>
    <w:p w14:paraId="4973062E" w14:textId="5C3F922A" w:rsidR="00617105" w:rsidRDefault="00000000" w:rsidP="00617105">
      <w:pPr>
        <w:pStyle w:val="Sraopastraipa"/>
        <w:spacing w:after="120" w:line="276" w:lineRule="auto"/>
        <w:ind w:left="0"/>
        <w:jc w:val="both"/>
        <w:rPr>
          <w:szCs w:val="20"/>
        </w:rPr>
      </w:pPr>
      <w:sdt>
        <w:sdtPr>
          <w:rPr>
            <w:rStyle w:val="Style2"/>
            <w:sz w:val="24"/>
          </w:rPr>
          <w:id w:val="-947620586"/>
          <w14:checkbox>
            <w14:checked w14:val="1"/>
            <w14:checkedState w14:val="2612" w14:font="MS Gothic"/>
            <w14:uncheckedState w14:val="2610" w14:font="MS Gothic"/>
          </w14:checkbox>
        </w:sdtPr>
        <w:sdtContent>
          <w:r w:rsidR="00617105" w:rsidRPr="00617105">
            <w:rPr>
              <w:rStyle w:val="Style2"/>
              <w:rFonts w:ascii="Segoe UI Symbol" w:eastAsia="MS Gothic" w:hAnsi="Segoe UI Symbol" w:cs="Segoe UI Symbol"/>
              <w:sz w:val="24"/>
            </w:rPr>
            <w:t>☒</w:t>
          </w:r>
        </w:sdtContent>
      </w:sdt>
      <w:r w:rsidR="00617105">
        <w:t xml:space="preserve"> Pareiškėjo siūlomos skyrimo sąlygos nepriimtinos.</w:t>
      </w:r>
    </w:p>
    <w:p w14:paraId="5CC0F278" w14:textId="77777777" w:rsidR="00617105" w:rsidRDefault="00617105" w:rsidP="00617105">
      <w:pPr>
        <w:pStyle w:val="Sraopastraipa"/>
        <w:spacing w:after="120" w:line="276" w:lineRule="auto"/>
        <w:ind w:left="0"/>
        <w:jc w:val="both"/>
      </w:pPr>
      <w:bookmarkStart w:id="0" w:name="_Hlk129291274"/>
      <w:r>
        <w:t>Siūlomos skyrimo sąlygos:</w:t>
      </w:r>
    </w:p>
    <w:bookmarkEnd w:id="0"/>
    <w:p w14:paraId="7122C4AD" w14:textId="77777777" w:rsidR="00617105" w:rsidRDefault="00617105" w:rsidP="00617105">
      <w:pPr>
        <w:pStyle w:val="Betarp"/>
        <w:numPr>
          <w:ilvl w:val="0"/>
          <w:numId w:val="14"/>
        </w:numPr>
        <w:spacing w:line="276" w:lineRule="auto"/>
        <w:jc w:val="both"/>
        <w:rPr>
          <w:rFonts w:ascii="Times New Roman" w:hAnsi="Times New Roman"/>
          <w:sz w:val="24"/>
          <w:szCs w:val="24"/>
        </w:rPr>
      </w:pPr>
      <w:r>
        <w:rPr>
          <w:rFonts w:ascii="Times New Roman" w:hAnsi="Times New Roman"/>
          <w:sz w:val="24"/>
          <w:szCs w:val="24"/>
        </w:rPr>
        <w:t xml:space="preserve">Liga yra stabili, </w:t>
      </w:r>
      <w:proofErr w:type="spellStart"/>
      <w:r>
        <w:rPr>
          <w:rFonts w:ascii="Times New Roman" w:hAnsi="Times New Roman"/>
          <w:sz w:val="24"/>
          <w:szCs w:val="24"/>
        </w:rPr>
        <w:t>t.y</w:t>
      </w:r>
      <w:proofErr w:type="spellEnd"/>
      <w:r>
        <w:rPr>
          <w:rFonts w:ascii="Times New Roman" w:hAnsi="Times New Roman"/>
          <w:sz w:val="24"/>
          <w:szCs w:val="24"/>
        </w:rPr>
        <w:t>. nėra nustatytos aktyvios ūminės viršutinių ir apatinių kvėpavimo takų infekcijos bei nėra simptominio gydymo korekcijos poreikio;</w:t>
      </w:r>
    </w:p>
    <w:p w14:paraId="5DE00DF1" w14:textId="6B4C39D8" w:rsidR="00617105" w:rsidRDefault="00617105" w:rsidP="00617105">
      <w:pPr>
        <w:pStyle w:val="Betarp"/>
        <w:numPr>
          <w:ilvl w:val="0"/>
          <w:numId w:val="14"/>
        </w:numPr>
        <w:spacing w:line="276" w:lineRule="auto"/>
        <w:jc w:val="both"/>
        <w:rPr>
          <w:rFonts w:ascii="Times New Roman" w:hAnsi="Times New Roman"/>
          <w:sz w:val="24"/>
          <w:szCs w:val="24"/>
        </w:rPr>
      </w:pPr>
      <w:r>
        <w:rPr>
          <w:rFonts w:ascii="Times New Roman" w:hAnsi="Times New Roman"/>
          <w:sz w:val="24"/>
          <w:szCs w:val="24"/>
        </w:rPr>
        <w:t xml:space="preserve">Nustatyta </w:t>
      </w:r>
      <w:proofErr w:type="spellStart"/>
      <w:r>
        <w:rPr>
          <w:rFonts w:ascii="Times New Roman" w:hAnsi="Times New Roman"/>
          <w:sz w:val="24"/>
          <w:szCs w:val="24"/>
        </w:rPr>
        <w:t>homozigotinė</w:t>
      </w:r>
      <w:proofErr w:type="spellEnd"/>
      <w:r>
        <w:rPr>
          <w:rFonts w:ascii="Times New Roman" w:hAnsi="Times New Roman"/>
          <w:sz w:val="24"/>
          <w:szCs w:val="24"/>
        </w:rPr>
        <w:t xml:space="preserve"> F508del-CFTR (F508del/F508del – F/F genotipas) mutacija</w:t>
      </w:r>
      <w:r w:rsidR="004E432B">
        <w:rPr>
          <w:rFonts w:ascii="Times New Roman" w:hAnsi="Times New Roman"/>
          <w:sz w:val="24"/>
          <w:szCs w:val="24"/>
        </w:rPr>
        <w:t>;</w:t>
      </w:r>
    </w:p>
    <w:p w14:paraId="7783C25F" w14:textId="77777777" w:rsidR="00617105" w:rsidRDefault="00617105" w:rsidP="00617105">
      <w:pPr>
        <w:pStyle w:val="Betarp"/>
        <w:numPr>
          <w:ilvl w:val="0"/>
          <w:numId w:val="14"/>
        </w:numPr>
        <w:spacing w:line="276" w:lineRule="auto"/>
        <w:jc w:val="both"/>
        <w:rPr>
          <w:rFonts w:ascii="Times New Roman" w:hAnsi="Times New Roman"/>
          <w:sz w:val="24"/>
          <w:szCs w:val="24"/>
        </w:rPr>
      </w:pPr>
      <w:r>
        <w:rPr>
          <w:rFonts w:ascii="Times New Roman" w:hAnsi="Times New Roman"/>
          <w:sz w:val="24"/>
          <w:szCs w:val="24"/>
        </w:rPr>
        <w:t xml:space="preserve">Esant stabiliai ligai, </w:t>
      </w:r>
      <w:proofErr w:type="spellStart"/>
      <w:r>
        <w:rPr>
          <w:rFonts w:ascii="Times New Roman" w:hAnsi="Times New Roman"/>
          <w:sz w:val="24"/>
          <w:szCs w:val="24"/>
        </w:rPr>
        <w:t>spirometrijos</w:t>
      </w:r>
      <w:proofErr w:type="spellEnd"/>
      <w:r>
        <w:rPr>
          <w:rFonts w:ascii="Times New Roman" w:hAnsi="Times New Roman"/>
          <w:sz w:val="24"/>
          <w:szCs w:val="24"/>
        </w:rPr>
        <w:t xml:space="preserve"> metu nustatytas forsuotas iškvėpimo tūris per 1 sekundę (FEV</w:t>
      </w:r>
      <w:r>
        <w:rPr>
          <w:rFonts w:ascii="Times New Roman" w:hAnsi="Times New Roman"/>
          <w:sz w:val="24"/>
          <w:szCs w:val="24"/>
          <w:vertAlign w:val="subscript"/>
        </w:rPr>
        <w:t>1</w:t>
      </w:r>
      <w:r>
        <w:rPr>
          <w:rFonts w:ascii="Times New Roman" w:hAnsi="Times New Roman"/>
          <w:sz w:val="24"/>
          <w:szCs w:val="24"/>
        </w:rPr>
        <w:t>) &lt; 70% norminio dydžio;</w:t>
      </w:r>
    </w:p>
    <w:p w14:paraId="14C49EF7" w14:textId="77777777" w:rsidR="00617105" w:rsidRDefault="00617105" w:rsidP="00617105">
      <w:pPr>
        <w:pStyle w:val="Betarp"/>
        <w:numPr>
          <w:ilvl w:val="0"/>
          <w:numId w:val="14"/>
        </w:numPr>
        <w:spacing w:line="276" w:lineRule="auto"/>
        <w:jc w:val="both"/>
        <w:rPr>
          <w:rFonts w:ascii="Times New Roman" w:hAnsi="Times New Roman"/>
          <w:sz w:val="24"/>
          <w:szCs w:val="24"/>
        </w:rPr>
      </w:pPr>
      <w:r>
        <w:rPr>
          <w:rFonts w:ascii="Times New Roman" w:hAnsi="Times New Roman"/>
          <w:sz w:val="24"/>
          <w:szCs w:val="24"/>
        </w:rPr>
        <w:t xml:space="preserve">6 – 11 metų pacientams </w:t>
      </w:r>
      <w:proofErr w:type="spellStart"/>
      <w:r>
        <w:rPr>
          <w:rFonts w:ascii="Times New Roman" w:hAnsi="Times New Roman"/>
          <w:sz w:val="24"/>
          <w:szCs w:val="24"/>
        </w:rPr>
        <w:t>spirometrijos</w:t>
      </w:r>
      <w:proofErr w:type="spellEnd"/>
      <w:r>
        <w:rPr>
          <w:rFonts w:ascii="Times New Roman" w:hAnsi="Times New Roman"/>
          <w:sz w:val="24"/>
          <w:szCs w:val="24"/>
        </w:rPr>
        <w:t xml:space="preserve"> metu nustačius FEV</w:t>
      </w:r>
      <w:r>
        <w:rPr>
          <w:rFonts w:ascii="Times New Roman" w:hAnsi="Times New Roman"/>
          <w:sz w:val="24"/>
          <w:szCs w:val="24"/>
          <w:vertAlign w:val="subscript"/>
        </w:rPr>
        <w:t>1</w:t>
      </w:r>
      <w:r>
        <w:rPr>
          <w:rFonts w:ascii="Times New Roman" w:hAnsi="Times New Roman"/>
          <w:sz w:val="24"/>
          <w:szCs w:val="24"/>
        </w:rPr>
        <w:t xml:space="preserve"> ≥ 70% norminio dydžio, inertinių dujų iškvėpimo metodu nustatomas plaučių klirenso indeksas (LCI</w:t>
      </w:r>
      <w:r>
        <w:rPr>
          <w:rFonts w:ascii="Times New Roman" w:hAnsi="Times New Roman"/>
          <w:sz w:val="24"/>
          <w:szCs w:val="24"/>
          <w:vertAlign w:val="subscript"/>
        </w:rPr>
        <w:t>2,5</w:t>
      </w:r>
      <w:r>
        <w:rPr>
          <w:rFonts w:ascii="Times New Roman" w:hAnsi="Times New Roman"/>
          <w:sz w:val="24"/>
          <w:szCs w:val="24"/>
        </w:rPr>
        <w:t>) ≥ 7,5.</w:t>
      </w:r>
    </w:p>
    <w:p w14:paraId="5613254C" w14:textId="69F7F69C" w:rsidR="00617105" w:rsidRDefault="00617105" w:rsidP="00617105">
      <w:pPr>
        <w:pStyle w:val="Betarp"/>
        <w:numPr>
          <w:ilvl w:val="0"/>
          <w:numId w:val="14"/>
        </w:numPr>
        <w:spacing w:line="276" w:lineRule="auto"/>
        <w:jc w:val="both"/>
        <w:rPr>
          <w:rFonts w:ascii="Times New Roman" w:hAnsi="Times New Roman"/>
          <w:sz w:val="24"/>
          <w:szCs w:val="24"/>
        </w:rPr>
      </w:pPr>
      <w:r>
        <w:rPr>
          <w:rFonts w:ascii="Times New Roman" w:hAnsi="Times New Roman"/>
          <w:sz w:val="24"/>
          <w:szCs w:val="24"/>
        </w:rPr>
        <w:t xml:space="preserve">Vaikams nuo 2 metų rekomenduojama skirti, įvertinus paciento sveikatos būklę, </w:t>
      </w:r>
      <w:proofErr w:type="spellStart"/>
      <w:r>
        <w:rPr>
          <w:rFonts w:ascii="Times New Roman" w:hAnsi="Times New Roman"/>
          <w:sz w:val="24"/>
          <w:szCs w:val="24"/>
        </w:rPr>
        <w:t>t.y</w:t>
      </w:r>
      <w:proofErr w:type="spellEnd"/>
      <w:r>
        <w:rPr>
          <w:rFonts w:ascii="Times New Roman" w:hAnsi="Times New Roman"/>
          <w:sz w:val="24"/>
          <w:szCs w:val="24"/>
        </w:rPr>
        <w:t>. inertinių dujų iškvėpimo metodu nustatomas plaučių klirenso indeksas (LCI</w:t>
      </w:r>
      <w:r>
        <w:rPr>
          <w:rFonts w:ascii="Times New Roman" w:hAnsi="Times New Roman"/>
          <w:sz w:val="24"/>
          <w:szCs w:val="24"/>
          <w:vertAlign w:val="subscript"/>
        </w:rPr>
        <w:t xml:space="preserve">2,5) </w:t>
      </w:r>
      <w:r w:rsidR="003E142E">
        <w:rPr>
          <w:rFonts w:ascii="Times New Roman" w:hAnsi="Times New Roman"/>
          <w:sz w:val="24"/>
          <w:szCs w:val="24"/>
        </w:rPr>
        <w:t>≥</w:t>
      </w:r>
      <w:r>
        <w:rPr>
          <w:rFonts w:ascii="Times New Roman" w:hAnsi="Times New Roman"/>
          <w:sz w:val="24"/>
          <w:szCs w:val="24"/>
        </w:rPr>
        <w:t xml:space="preserve"> 7,5; chloridų jonų koncentrac</w:t>
      </w:r>
      <w:r w:rsidR="0044480A">
        <w:rPr>
          <w:rFonts w:ascii="Times New Roman" w:hAnsi="Times New Roman"/>
          <w:sz w:val="24"/>
          <w:szCs w:val="24"/>
        </w:rPr>
        <w:t xml:space="preserve">ija praikaite &gt;100 </w:t>
      </w:r>
      <w:proofErr w:type="spellStart"/>
      <w:r w:rsidR="0044480A">
        <w:rPr>
          <w:rFonts w:ascii="Times New Roman" w:hAnsi="Times New Roman"/>
          <w:sz w:val="24"/>
          <w:szCs w:val="24"/>
        </w:rPr>
        <w:t>mmol</w:t>
      </w:r>
      <w:proofErr w:type="spellEnd"/>
      <w:r w:rsidR="0044480A">
        <w:rPr>
          <w:rFonts w:ascii="Times New Roman" w:hAnsi="Times New Roman"/>
          <w:sz w:val="24"/>
          <w:szCs w:val="24"/>
        </w:rPr>
        <w:t xml:space="preserve">/l; KMI &lt; </w:t>
      </w:r>
      <w:r>
        <w:rPr>
          <w:rFonts w:ascii="Times New Roman" w:hAnsi="Times New Roman"/>
          <w:sz w:val="24"/>
          <w:szCs w:val="24"/>
        </w:rPr>
        <w:t>18 kg/m</w:t>
      </w:r>
      <w:r>
        <w:rPr>
          <w:rFonts w:ascii="Times New Roman" w:hAnsi="Times New Roman"/>
          <w:sz w:val="24"/>
          <w:szCs w:val="24"/>
          <w:vertAlign w:val="superscript"/>
        </w:rPr>
        <w:t>2</w:t>
      </w:r>
      <w:r>
        <w:rPr>
          <w:rFonts w:ascii="Times New Roman" w:hAnsi="Times New Roman"/>
          <w:sz w:val="24"/>
          <w:szCs w:val="24"/>
        </w:rPr>
        <w:t>.</w:t>
      </w:r>
    </w:p>
    <w:p w14:paraId="378ABDF6" w14:textId="77777777" w:rsidR="00617105" w:rsidRDefault="00617105" w:rsidP="00617105">
      <w:pPr>
        <w:spacing w:after="120" w:line="276" w:lineRule="auto"/>
        <w:ind w:left="360"/>
        <w:jc w:val="both"/>
        <w:rPr>
          <w:rFonts w:eastAsia="Arial"/>
          <w:szCs w:val="20"/>
        </w:rPr>
      </w:pPr>
    </w:p>
    <w:p w14:paraId="140DC598" w14:textId="77777777" w:rsidR="00E27C97" w:rsidRPr="000723FF" w:rsidRDefault="00E27C97" w:rsidP="00617105">
      <w:pPr>
        <w:spacing w:line="276" w:lineRule="auto"/>
        <w:rPr>
          <w:b/>
        </w:rPr>
      </w:pPr>
    </w:p>
    <w:sectPr w:rsidR="00E27C97" w:rsidRPr="000723FF" w:rsidSect="00B2237D">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5BB0" w14:textId="77777777" w:rsidR="00B2237D" w:rsidRDefault="00B2237D">
      <w:r>
        <w:separator/>
      </w:r>
    </w:p>
  </w:endnote>
  <w:endnote w:type="continuationSeparator" w:id="0">
    <w:p w14:paraId="13B66534" w14:textId="77777777" w:rsidR="00B2237D" w:rsidRDefault="00B2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9525" w14:textId="77777777" w:rsidR="000D4D08" w:rsidRDefault="000D4D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7556" w14:textId="77777777" w:rsidR="000D4D08" w:rsidRDefault="000D4D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3662" w14:textId="77777777" w:rsidR="00B2237D" w:rsidRDefault="00B2237D">
      <w:r>
        <w:separator/>
      </w:r>
    </w:p>
  </w:footnote>
  <w:footnote w:type="continuationSeparator" w:id="0">
    <w:p w14:paraId="075EDE38" w14:textId="77777777" w:rsidR="00B2237D" w:rsidRDefault="00B2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5F330EE"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4D08">
      <w:rPr>
        <w:rStyle w:val="Puslapionumeris"/>
        <w:noProof/>
      </w:rPr>
      <w:t>3</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44F7D"/>
    <w:multiLevelType w:val="hybridMultilevel"/>
    <w:tmpl w:val="B686BAAC"/>
    <w:lvl w:ilvl="0" w:tplc="CB70386A">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C298A"/>
    <w:multiLevelType w:val="hybridMultilevel"/>
    <w:tmpl w:val="21C88026"/>
    <w:lvl w:ilvl="0" w:tplc="08090001">
      <w:start w:val="1"/>
      <w:numFmt w:val="bullet"/>
      <w:lvlText w:val=""/>
      <w:lvlJc w:val="left"/>
      <w:pPr>
        <w:ind w:left="720" w:hanging="360"/>
      </w:pPr>
      <w:rPr>
        <w:rFonts w:ascii="Symbol" w:hAnsi="Symbol" w:hint="default"/>
      </w:rPr>
    </w:lvl>
    <w:lvl w:ilvl="1" w:tplc="84124AAC">
      <w:start w:val="1"/>
      <w:numFmt w:val="decimal"/>
      <w:lvlText w:val="%2."/>
      <w:lvlJc w:val="left"/>
      <w:pPr>
        <w:ind w:left="1440" w:hanging="360"/>
      </w:pPr>
      <w:rPr>
        <w:rFonts w:ascii="Times New Roman" w:hAnsi="Times New Roman" w:cs="Times New Roman" w:hint="default"/>
        <w:sz w:val="24"/>
        <w:szCs w:val="24"/>
      </w:rPr>
    </w:lvl>
    <w:lvl w:ilvl="2" w:tplc="08090017">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1924203">
    <w:abstractNumId w:val="7"/>
  </w:num>
  <w:num w:numId="2" w16cid:durableId="1248230477">
    <w:abstractNumId w:val="1"/>
  </w:num>
  <w:num w:numId="3" w16cid:durableId="594243664">
    <w:abstractNumId w:val="10"/>
  </w:num>
  <w:num w:numId="4" w16cid:durableId="878783513">
    <w:abstractNumId w:val="9"/>
  </w:num>
  <w:num w:numId="5" w16cid:durableId="1700274479">
    <w:abstractNumId w:val="6"/>
  </w:num>
  <w:num w:numId="6" w16cid:durableId="1557281734">
    <w:abstractNumId w:val="5"/>
  </w:num>
  <w:num w:numId="7" w16cid:durableId="2013481882">
    <w:abstractNumId w:val="4"/>
  </w:num>
  <w:num w:numId="8" w16cid:durableId="146212170">
    <w:abstractNumId w:val="13"/>
  </w:num>
  <w:num w:numId="9" w16cid:durableId="1641770221">
    <w:abstractNumId w:val="0"/>
  </w:num>
  <w:num w:numId="10" w16cid:durableId="905069165">
    <w:abstractNumId w:val="11"/>
  </w:num>
  <w:num w:numId="11" w16cid:durableId="817692792">
    <w:abstractNumId w:val="12"/>
  </w:num>
  <w:num w:numId="12" w16cid:durableId="495456639">
    <w:abstractNumId w:val="2"/>
  </w:num>
  <w:num w:numId="13" w16cid:durableId="1211572422">
    <w:abstractNumId w:val="3"/>
  </w:num>
  <w:num w:numId="14" w16cid:durableId="1347443390">
    <w:abstractNumId w:val="8"/>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60DA3"/>
    <w:rsid w:val="000723FF"/>
    <w:rsid w:val="000736B8"/>
    <w:rsid w:val="0008190F"/>
    <w:rsid w:val="00081D9C"/>
    <w:rsid w:val="00082907"/>
    <w:rsid w:val="0008378D"/>
    <w:rsid w:val="000908A5"/>
    <w:rsid w:val="00092805"/>
    <w:rsid w:val="000A3D1A"/>
    <w:rsid w:val="000B2391"/>
    <w:rsid w:val="000C454C"/>
    <w:rsid w:val="000D4D08"/>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0489"/>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008"/>
    <w:rsid w:val="00292392"/>
    <w:rsid w:val="002946C7"/>
    <w:rsid w:val="002A59A8"/>
    <w:rsid w:val="002B3CC1"/>
    <w:rsid w:val="002C09E0"/>
    <w:rsid w:val="002C1BB1"/>
    <w:rsid w:val="002C2786"/>
    <w:rsid w:val="002C3A10"/>
    <w:rsid w:val="002C4A90"/>
    <w:rsid w:val="002C4ED5"/>
    <w:rsid w:val="002D02EF"/>
    <w:rsid w:val="002E0702"/>
    <w:rsid w:val="002E57AD"/>
    <w:rsid w:val="002E6F80"/>
    <w:rsid w:val="002F0E4F"/>
    <w:rsid w:val="002F1053"/>
    <w:rsid w:val="00312C66"/>
    <w:rsid w:val="00317B0E"/>
    <w:rsid w:val="003322A0"/>
    <w:rsid w:val="00347FAA"/>
    <w:rsid w:val="0035172D"/>
    <w:rsid w:val="0036187D"/>
    <w:rsid w:val="00367EDB"/>
    <w:rsid w:val="00381024"/>
    <w:rsid w:val="00386307"/>
    <w:rsid w:val="003874DE"/>
    <w:rsid w:val="00393E9F"/>
    <w:rsid w:val="0039696E"/>
    <w:rsid w:val="003B211A"/>
    <w:rsid w:val="003B4D42"/>
    <w:rsid w:val="003C141F"/>
    <w:rsid w:val="003C6B0E"/>
    <w:rsid w:val="003C7257"/>
    <w:rsid w:val="003C7E35"/>
    <w:rsid w:val="003D1877"/>
    <w:rsid w:val="003D1E99"/>
    <w:rsid w:val="003D6208"/>
    <w:rsid w:val="003E142E"/>
    <w:rsid w:val="003E64A4"/>
    <w:rsid w:val="00404E8A"/>
    <w:rsid w:val="0040622F"/>
    <w:rsid w:val="00413F24"/>
    <w:rsid w:val="00422853"/>
    <w:rsid w:val="00423160"/>
    <w:rsid w:val="004259C9"/>
    <w:rsid w:val="00426D64"/>
    <w:rsid w:val="0043511D"/>
    <w:rsid w:val="0044480A"/>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C3C2D"/>
    <w:rsid w:val="004D48A6"/>
    <w:rsid w:val="004D7B8F"/>
    <w:rsid w:val="004E432B"/>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105"/>
    <w:rsid w:val="006174A1"/>
    <w:rsid w:val="00621D6C"/>
    <w:rsid w:val="00633B49"/>
    <w:rsid w:val="0064297F"/>
    <w:rsid w:val="00645102"/>
    <w:rsid w:val="00646CF3"/>
    <w:rsid w:val="00653D11"/>
    <w:rsid w:val="00654FC1"/>
    <w:rsid w:val="00662983"/>
    <w:rsid w:val="006774EC"/>
    <w:rsid w:val="006834D3"/>
    <w:rsid w:val="00691407"/>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01C2"/>
    <w:rsid w:val="00795DC5"/>
    <w:rsid w:val="00797153"/>
    <w:rsid w:val="007A21F7"/>
    <w:rsid w:val="007A2B68"/>
    <w:rsid w:val="007B0DDA"/>
    <w:rsid w:val="007C7519"/>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2C97"/>
    <w:rsid w:val="008E473B"/>
    <w:rsid w:val="008E51A6"/>
    <w:rsid w:val="008E7329"/>
    <w:rsid w:val="008F2ED5"/>
    <w:rsid w:val="00913849"/>
    <w:rsid w:val="0092297E"/>
    <w:rsid w:val="00923651"/>
    <w:rsid w:val="00927B56"/>
    <w:rsid w:val="009341BF"/>
    <w:rsid w:val="00937907"/>
    <w:rsid w:val="00941739"/>
    <w:rsid w:val="00943E06"/>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3B8"/>
    <w:rsid w:val="00AC26FC"/>
    <w:rsid w:val="00AC4A99"/>
    <w:rsid w:val="00AC64D2"/>
    <w:rsid w:val="00AD02E7"/>
    <w:rsid w:val="00AE0FE8"/>
    <w:rsid w:val="00AE1322"/>
    <w:rsid w:val="00AE3162"/>
    <w:rsid w:val="00AF60D5"/>
    <w:rsid w:val="00AF68B4"/>
    <w:rsid w:val="00B00959"/>
    <w:rsid w:val="00B04415"/>
    <w:rsid w:val="00B06509"/>
    <w:rsid w:val="00B11D60"/>
    <w:rsid w:val="00B13D65"/>
    <w:rsid w:val="00B21805"/>
    <w:rsid w:val="00B2237D"/>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015A"/>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97652"/>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27C97"/>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rsid w:val="003D1877"/>
    <w:rPr>
      <w:sz w:val="24"/>
      <w:szCs w:val="24"/>
      <w:lang w:eastAsia="en-US"/>
    </w:rPr>
  </w:style>
  <w:style w:type="table" w:customStyle="1" w:styleId="TableGrid1">
    <w:name w:val="Table Grid1"/>
    <w:basedOn w:val="prastojilentel"/>
    <w:next w:val="Lentelstinklelis"/>
    <w:rsid w:val="0029200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002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39FA38F7DD254A3EA8E1BA83473B1D06"/>
        <w:category>
          <w:name w:val="General"/>
          <w:gallery w:val="placeholder"/>
        </w:category>
        <w:types>
          <w:type w:val="bbPlcHdr"/>
        </w:types>
        <w:behaviors>
          <w:behavior w:val="content"/>
        </w:behaviors>
        <w:guid w:val="{0F11D3D0-3CE1-489B-8747-4BC01CCDA2B2}"/>
      </w:docPartPr>
      <w:docPartBody>
        <w:p w:rsidR="00F33947" w:rsidRDefault="000C01D2" w:rsidP="000C01D2">
          <w:pPr>
            <w:pStyle w:val="39FA38F7DD254A3EA8E1BA83473B1D06"/>
          </w:pPr>
          <w:r>
            <w:rPr>
              <w:rStyle w:val="Vietosrezervavimoenklotekstas"/>
            </w:rPr>
            <w:t>Click here to enter a date.</w:t>
          </w:r>
        </w:p>
      </w:docPartBody>
    </w:docPart>
    <w:docPart>
      <w:docPartPr>
        <w:name w:val="C5F63AFD10AC4FED9D510CF746720279"/>
        <w:category>
          <w:name w:val="General"/>
          <w:gallery w:val="placeholder"/>
        </w:category>
        <w:types>
          <w:type w:val="bbPlcHdr"/>
        </w:types>
        <w:behaviors>
          <w:behavior w:val="content"/>
        </w:behaviors>
        <w:guid w:val="{CEDD7674-3850-4B93-99E6-FBCE815A3C45}"/>
      </w:docPartPr>
      <w:docPartBody>
        <w:p w:rsidR="00F33947" w:rsidRDefault="000C01D2" w:rsidP="000C01D2">
          <w:pPr>
            <w:pStyle w:val="C5F63AFD10AC4FED9D510CF746720279"/>
          </w:pPr>
          <w:r>
            <w:rPr>
              <w:rStyle w:val="Vietosrezervavimoenklotekstas"/>
            </w:rPr>
            <w:t>Click here to enter a date.</w:t>
          </w:r>
        </w:p>
      </w:docPartBody>
    </w:docPart>
    <w:docPart>
      <w:docPartPr>
        <w:name w:val="6544C1AA4F834A1BB171BC4C2954B4BE"/>
        <w:category>
          <w:name w:val="General"/>
          <w:gallery w:val="placeholder"/>
        </w:category>
        <w:types>
          <w:type w:val="bbPlcHdr"/>
        </w:types>
        <w:behaviors>
          <w:behavior w:val="content"/>
        </w:behaviors>
        <w:guid w:val="{3F911835-2EB1-4CFD-A8B0-6FFFA6933C10}"/>
      </w:docPartPr>
      <w:docPartBody>
        <w:p w:rsidR="00F33947" w:rsidRDefault="000C01D2" w:rsidP="000C01D2">
          <w:pPr>
            <w:pStyle w:val="6544C1AA4F834A1BB171BC4C2954B4B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C01D2"/>
    <w:rsid w:val="000D24D4"/>
    <w:rsid w:val="001C35A9"/>
    <w:rsid w:val="00237556"/>
    <w:rsid w:val="0039303B"/>
    <w:rsid w:val="004144A3"/>
    <w:rsid w:val="004160E7"/>
    <w:rsid w:val="004416C6"/>
    <w:rsid w:val="004F5AB2"/>
    <w:rsid w:val="005074B9"/>
    <w:rsid w:val="005E40DD"/>
    <w:rsid w:val="005E665B"/>
    <w:rsid w:val="007219C1"/>
    <w:rsid w:val="00753462"/>
    <w:rsid w:val="00772325"/>
    <w:rsid w:val="007A2FE0"/>
    <w:rsid w:val="007C6D1D"/>
    <w:rsid w:val="0090074D"/>
    <w:rsid w:val="009B3BF0"/>
    <w:rsid w:val="009D5E5E"/>
    <w:rsid w:val="009F1BB4"/>
    <w:rsid w:val="00A61838"/>
    <w:rsid w:val="00AB6ED4"/>
    <w:rsid w:val="00B14210"/>
    <w:rsid w:val="00B23DC0"/>
    <w:rsid w:val="00B36058"/>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33947"/>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C01D2"/>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39FA38F7DD254A3EA8E1BA83473B1D06">
    <w:name w:val="39FA38F7DD254A3EA8E1BA83473B1D06"/>
    <w:rsid w:val="000C01D2"/>
  </w:style>
  <w:style w:type="paragraph" w:customStyle="1" w:styleId="C5F63AFD10AC4FED9D510CF746720279">
    <w:name w:val="C5F63AFD10AC4FED9D510CF746720279"/>
    <w:rsid w:val="000C01D2"/>
  </w:style>
  <w:style w:type="paragraph" w:customStyle="1" w:styleId="6544C1AA4F834A1BB171BC4C2954B4BE">
    <w:name w:val="6544C1AA4F834A1BB171BC4C2954B4BE"/>
    <w:rsid w:val="000C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E2C-07C4-4A5F-BE1F-DEEE6571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19607</Words>
  <Characters>11177</Characters>
  <Application>Microsoft Office Word</Application>
  <DocSecurity>0</DocSecurity>
  <Lines>93</Lines>
  <Paragraphs>61</Paragraphs>
  <ScaleCrop>false</ScaleCrop>
  <Company/>
  <LinksUpToDate>false</LinksUpToDate>
  <CharactersWithSpaces>30723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2023-07-05T13:25:00Z</dcterms:created>
  <dcterms:modified xsi:type="dcterms:W3CDTF">2024-02-07T15:32:00Z</dcterms:modified>
</cp:coreProperties>
</file>