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29862054" w14:textId="77777777" w:rsidR="007B0B0D" w:rsidRPr="00E7714E" w:rsidRDefault="007B0B0D" w:rsidP="007B0B0D">
      <w:pPr>
        <w:jc w:val="center"/>
        <w:rPr>
          <w:b/>
        </w:rPr>
      </w:pPr>
      <w:r w:rsidRPr="00E7714E">
        <w:rPr>
          <w:b/>
        </w:rPr>
        <w:t>Takhzyro, 300 mg injekcinis tirpalas</w:t>
      </w:r>
    </w:p>
    <w:p w14:paraId="3D951AED" w14:textId="77777777" w:rsidR="007B0B0D" w:rsidRDefault="007B0B0D" w:rsidP="007B0B0D">
      <w:pPr>
        <w:jc w:val="center"/>
      </w:pPr>
      <w:r w:rsidRPr="00E33EFF">
        <w:t xml:space="preserve"> </w:t>
      </w:r>
    </w:p>
    <w:p w14:paraId="3C1AFC17" w14:textId="252FC9FE" w:rsidR="00937907" w:rsidRPr="00E33EFF" w:rsidRDefault="007B0B0D" w:rsidP="007B0B0D">
      <w:pPr>
        <w:jc w:val="center"/>
      </w:pPr>
      <w:r>
        <w:rPr>
          <w:b/>
        </w:rPr>
        <w:t>Lanadelumabas</w:t>
      </w:r>
    </w:p>
    <w:p w14:paraId="7245D69E" w14:textId="77777777" w:rsidR="00937907" w:rsidRPr="00E33EFF" w:rsidRDefault="00937907" w:rsidP="00937907">
      <w:pPr>
        <w:jc w:val="center"/>
      </w:pPr>
    </w:p>
    <w:p w14:paraId="5BC2EA5D" w14:textId="2A2BC9B8" w:rsidR="00937907" w:rsidRPr="00E33EFF" w:rsidRDefault="007B0B0D" w:rsidP="003B211A">
      <w:pPr>
        <w:jc w:val="center"/>
        <w:rPr>
          <w:b/>
        </w:rPr>
      </w:pPr>
      <w:r>
        <w:rPr>
          <w:b/>
        </w:rPr>
        <w:t>STV</w:t>
      </w:r>
      <w:r w:rsidR="00EF789D">
        <w:rPr>
          <w:b/>
        </w:rPr>
        <w:t>-</w:t>
      </w:r>
      <w:r w:rsidR="00B5331C">
        <w:rPr>
          <w:b/>
        </w:rPr>
        <w:t>31</w:t>
      </w:r>
    </w:p>
    <w:p w14:paraId="453197C8" w14:textId="77777777" w:rsidR="00D4708D" w:rsidRPr="00E33EFF" w:rsidRDefault="00D4708D" w:rsidP="003B211A">
      <w:pPr>
        <w:jc w:val="center"/>
        <w:rPr>
          <w:b/>
        </w:rPr>
      </w:pPr>
    </w:p>
    <w:p w14:paraId="78C89D1C" w14:textId="0DEFFAA5" w:rsidR="00D4485B" w:rsidRPr="00E33EFF" w:rsidRDefault="00B13D65" w:rsidP="00CC09D4">
      <w:pPr>
        <w:pStyle w:val="ListParagraph"/>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B13D65" w:rsidRPr="00E33EFF" w14:paraId="18A83EC2" w14:textId="77777777" w:rsidTr="00BE7489">
        <w:trPr>
          <w:trHeight w:val="538"/>
        </w:trPr>
        <w:tc>
          <w:tcPr>
            <w:tcW w:w="632" w:type="dxa"/>
          </w:tcPr>
          <w:p w14:paraId="0646FBEA" w14:textId="77777777" w:rsidR="00B13D65" w:rsidRPr="00E33EFF" w:rsidRDefault="00B13D65" w:rsidP="00824B92">
            <w:pPr>
              <w:rPr>
                <w:rFonts w:eastAsia="Arial"/>
              </w:rPr>
            </w:pPr>
            <w:r w:rsidRPr="00E33EFF">
              <w:rPr>
                <w:rFonts w:eastAsia="Arial"/>
              </w:rPr>
              <w:t>1.1</w:t>
            </w:r>
          </w:p>
        </w:tc>
        <w:tc>
          <w:tcPr>
            <w:tcW w:w="3694" w:type="dxa"/>
          </w:tcPr>
          <w:p w14:paraId="6C3AE864" w14:textId="77777777" w:rsidR="00B13D65" w:rsidRPr="00E33EFF" w:rsidRDefault="00B13D65" w:rsidP="00824B92">
            <w:pPr>
              <w:rPr>
                <w:rFonts w:eastAsia="Arial"/>
              </w:rPr>
            </w:pPr>
            <w:r w:rsidRPr="00E33EFF">
              <w:rPr>
                <w:rFonts w:eastAsia="Arial"/>
              </w:rPr>
              <w:t>Pareiškėjas</w:t>
            </w:r>
          </w:p>
          <w:p w14:paraId="2AF240DC" w14:textId="77777777" w:rsidR="00B13D65" w:rsidRPr="00E33EFF" w:rsidRDefault="00B13D65" w:rsidP="00824B92">
            <w:pPr>
              <w:rPr>
                <w:rFonts w:eastAsia="Arial"/>
              </w:rPr>
            </w:pPr>
          </w:p>
        </w:tc>
        <w:tc>
          <w:tcPr>
            <w:tcW w:w="5167" w:type="dxa"/>
          </w:tcPr>
          <w:p w14:paraId="2AAF0D91" w14:textId="41D754FE" w:rsidR="00B13D65" w:rsidRPr="00E33EFF" w:rsidRDefault="005A0172" w:rsidP="00824B92">
            <w:pPr>
              <w:rPr>
                <w:rFonts w:eastAsia="Arial"/>
              </w:rPr>
            </w:pPr>
            <w:r>
              <w:t>Takeda UAB</w:t>
            </w:r>
            <w:r w:rsidRPr="00E33EFF">
              <w:rPr>
                <w:rFonts w:eastAsia="Arial"/>
              </w:rPr>
              <w:t xml:space="preserve"> </w:t>
            </w:r>
          </w:p>
        </w:tc>
      </w:tr>
      <w:tr w:rsidR="00B13D65" w:rsidRPr="00E33EFF" w14:paraId="31998B0D" w14:textId="77777777" w:rsidTr="00BE7489">
        <w:trPr>
          <w:trHeight w:val="538"/>
        </w:trPr>
        <w:tc>
          <w:tcPr>
            <w:tcW w:w="632" w:type="dxa"/>
          </w:tcPr>
          <w:p w14:paraId="2005EC67" w14:textId="662300D0" w:rsidR="00B13D65" w:rsidRPr="00E33EFF" w:rsidRDefault="002E0702" w:rsidP="00824B92">
            <w:pPr>
              <w:rPr>
                <w:rFonts w:eastAsia="Arial"/>
              </w:rPr>
            </w:pPr>
            <w:r w:rsidRPr="00E33EFF">
              <w:rPr>
                <w:rFonts w:eastAsia="Arial"/>
              </w:rPr>
              <w:t>1.2</w:t>
            </w:r>
          </w:p>
        </w:tc>
        <w:tc>
          <w:tcPr>
            <w:tcW w:w="3694" w:type="dxa"/>
          </w:tcPr>
          <w:p w14:paraId="1E4AE3B1" w14:textId="77777777" w:rsidR="00B13D65" w:rsidRPr="00E33EFF" w:rsidRDefault="00B13D65" w:rsidP="00824B92">
            <w:pPr>
              <w:rPr>
                <w:bCs/>
                <w:color w:val="000000"/>
                <w:lang w:eastAsia="lt-LT"/>
              </w:rPr>
            </w:pPr>
            <w:r w:rsidRPr="00E33EFF">
              <w:rPr>
                <w:bCs/>
                <w:color w:val="000000"/>
                <w:lang w:eastAsia="lt-LT"/>
              </w:rPr>
              <w:t xml:space="preserve">Registracijos data </w:t>
            </w:r>
          </w:p>
          <w:p w14:paraId="3A0DC096" w14:textId="77777777" w:rsidR="00B13D65" w:rsidRPr="00E33EFF" w:rsidRDefault="00B13D65" w:rsidP="00824B92">
            <w:pPr>
              <w:rPr>
                <w:bCs/>
                <w:color w:val="000000"/>
                <w:lang w:eastAsia="lt-LT"/>
              </w:rPr>
            </w:pPr>
          </w:p>
        </w:tc>
        <w:tc>
          <w:tcPr>
            <w:tcW w:w="5167" w:type="dxa"/>
          </w:tcPr>
          <w:p w14:paraId="3CA218AD" w14:textId="70D033C3" w:rsidR="00B13D65" w:rsidRPr="00E33EFF" w:rsidRDefault="0039524C" w:rsidP="00824B92">
            <w:pPr>
              <w:rPr>
                <w:rStyle w:val="Style2"/>
              </w:rPr>
            </w:pPr>
            <w:sdt>
              <w:sdtPr>
                <w:rPr>
                  <w:sz w:val="22"/>
                </w:rPr>
                <w:alias w:val="Nurodykite konkrečią dieną"/>
                <w:tag w:val="Nurodykite pradžios datą"/>
                <w:id w:val="423238108"/>
                <w:placeholder>
                  <w:docPart w:val="0A1DCC42A2974C359888226B925C8FF8"/>
                </w:placeholder>
                <w15:color w:val="FFCC99"/>
                <w:date w:fullDate="2018-11-22T00:00:00Z">
                  <w:dateFormat w:val="yyyy 'm.' MMMM d 'd.'"/>
                  <w:lid w:val="lt-LT"/>
                  <w:storeMappedDataAs w:val="dateTime"/>
                  <w:calendar w:val="gregorian"/>
                </w:date>
              </w:sdtPr>
              <w:sdtEndPr/>
              <w:sdtContent>
                <w:r w:rsidR="00591062" w:rsidRPr="00591062">
                  <w:rPr>
                    <w:sz w:val="22"/>
                  </w:rPr>
                  <w:t>2018 m. lapkričio 22 d.</w:t>
                </w:r>
              </w:sdtContent>
            </w:sdt>
          </w:p>
        </w:tc>
      </w:tr>
      <w:tr w:rsidR="00B13D65" w:rsidRPr="00E33EFF" w14:paraId="15968AE1" w14:textId="77777777" w:rsidTr="00BE7489">
        <w:trPr>
          <w:trHeight w:val="1500"/>
        </w:trPr>
        <w:tc>
          <w:tcPr>
            <w:tcW w:w="632" w:type="dxa"/>
          </w:tcPr>
          <w:p w14:paraId="6A784245" w14:textId="1E461489" w:rsidR="00B13D65" w:rsidRPr="00E33EFF" w:rsidRDefault="002E0702" w:rsidP="00824B92">
            <w:pPr>
              <w:rPr>
                <w:rFonts w:eastAsia="Arial"/>
              </w:rPr>
            </w:pPr>
            <w:r w:rsidRPr="00E33EFF">
              <w:rPr>
                <w:rFonts w:eastAsia="Arial"/>
              </w:rPr>
              <w:t>1.3</w:t>
            </w:r>
          </w:p>
        </w:tc>
        <w:tc>
          <w:tcPr>
            <w:tcW w:w="3694" w:type="dxa"/>
          </w:tcPr>
          <w:p w14:paraId="22933506" w14:textId="77777777" w:rsidR="00B13D65" w:rsidRPr="00E33EFF" w:rsidRDefault="00B13D65" w:rsidP="00824B92">
            <w:r w:rsidRPr="00E33EFF">
              <w:t xml:space="preserve">Paraiškos tipas </w:t>
            </w:r>
          </w:p>
          <w:p w14:paraId="0465E680" w14:textId="7F0A0714" w:rsidR="00B13D65" w:rsidRPr="00E33EFF" w:rsidRDefault="00B13D65" w:rsidP="00824B92">
            <w:r w:rsidRPr="00E33EFF">
              <w:t>(</w:t>
            </w:r>
            <w:r w:rsidR="00695CD3" w:rsidRPr="00E33EFF">
              <w:t xml:space="preserve">pagal </w:t>
            </w:r>
            <w:r w:rsidR="0039696E" w:rsidRPr="00E33EFF">
              <w:rPr>
                <w:color w:val="333333"/>
                <w:shd w:val="clear" w:color="auto" w:fill="FFFFFF"/>
              </w:rPr>
              <w:t>vaistinio preparato registracijos tipą, įtvirtintą</w:t>
            </w:r>
            <w:r w:rsidR="0039696E" w:rsidRPr="00E33EFF">
              <w:t xml:space="preserve"> </w:t>
            </w:r>
            <w:r w:rsidRPr="00E33EFF">
              <w:t>Direktyv</w:t>
            </w:r>
            <w:r w:rsidR="00695CD3" w:rsidRPr="00E33EFF">
              <w:t>os</w:t>
            </w:r>
            <w:r w:rsidRPr="00E33EFF">
              <w:t xml:space="preserve"> 2001/83/EB</w:t>
            </w:r>
            <w:r w:rsidR="00695CD3" w:rsidRPr="00E33EFF">
              <w:t xml:space="preserve"> straips</w:t>
            </w:r>
            <w:r w:rsidR="0039696E" w:rsidRPr="00E33EFF">
              <w:t>iuose</w:t>
            </w:r>
            <w:r w:rsidRPr="00E33EFF">
              <w:t>)</w:t>
            </w:r>
          </w:p>
          <w:p w14:paraId="77089D80" w14:textId="6681D72A" w:rsidR="00B13D65" w:rsidRPr="00E33EFF" w:rsidRDefault="00B13D65" w:rsidP="00824B92">
            <w:pPr>
              <w:rPr>
                <w:bCs/>
                <w:color w:val="000000"/>
                <w:lang w:eastAsia="lt-LT"/>
              </w:rPr>
            </w:pPr>
          </w:p>
        </w:tc>
        <w:tc>
          <w:tcPr>
            <w:tcW w:w="5167" w:type="dxa"/>
          </w:tcPr>
          <w:p w14:paraId="208F40EC" w14:textId="1823CC29" w:rsidR="00B13D65" w:rsidRPr="00E33EFF" w:rsidRDefault="0039524C"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EndPr>
                <w:rPr>
                  <w:rStyle w:val="Style2"/>
                </w:rPr>
              </w:sdtEndPr>
              <w:sdtContent>
                <w:r w:rsidR="00591062">
                  <w:rPr>
                    <w:rStyle w:val="Style2"/>
                    <w:rFonts w:ascii="MS Gothic" w:eastAsia="MS Gothic" w:hAnsi="MS Gothic" w:hint="eastAsia"/>
                    <w:sz w:val="22"/>
                    <w:szCs w:val="22"/>
                  </w:rPr>
                  <w:t>☒</w:t>
                </w:r>
              </w:sdtContent>
            </w:sdt>
            <w:r w:rsidR="00B13D65" w:rsidRPr="00E33EFF">
              <w:rPr>
                <w:sz w:val="22"/>
                <w:szCs w:val="22"/>
              </w:rPr>
              <w:t xml:space="preserve">8.3 str. (pilna byla, pagrįsta savais tyrimais) </w:t>
            </w:r>
          </w:p>
          <w:p w14:paraId="32BA564E" w14:textId="3FDA3E01" w:rsidR="00B13D65" w:rsidRPr="00E33EFF" w:rsidRDefault="0039524C"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 xml:space="preserve">10 a str. (pripažintas medicininis vartojimas) </w:t>
            </w:r>
          </w:p>
          <w:p w14:paraId="318DCD7F" w14:textId="32333E53" w:rsidR="00B13D65" w:rsidRPr="00E33EFF" w:rsidRDefault="0039524C"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10.1 str. (generinis)</w:t>
            </w:r>
          </w:p>
          <w:p w14:paraId="3B0A4F72" w14:textId="3F5FB073" w:rsidR="00B13D65" w:rsidRPr="00E33EFF" w:rsidRDefault="0039524C"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10.3 str. (hibridinis)</w:t>
            </w:r>
          </w:p>
        </w:tc>
      </w:tr>
      <w:tr w:rsidR="00B13D65" w:rsidRPr="00E33EFF" w14:paraId="310E9662" w14:textId="77777777" w:rsidTr="00BE7489">
        <w:trPr>
          <w:trHeight w:val="1442"/>
        </w:trPr>
        <w:tc>
          <w:tcPr>
            <w:tcW w:w="632" w:type="dxa"/>
          </w:tcPr>
          <w:p w14:paraId="4B5A91A2" w14:textId="561B5E5F" w:rsidR="00B13D65" w:rsidRPr="00E33EFF" w:rsidRDefault="00B13D65" w:rsidP="00824B92">
            <w:pPr>
              <w:rPr>
                <w:rFonts w:eastAsia="Arial"/>
              </w:rPr>
            </w:pPr>
            <w:r w:rsidRPr="00E33EFF">
              <w:rPr>
                <w:rFonts w:eastAsia="Arial"/>
              </w:rPr>
              <w:t>1.</w:t>
            </w:r>
            <w:r w:rsidR="002E0702" w:rsidRPr="00E33EFF">
              <w:rPr>
                <w:rFonts w:eastAsia="Arial"/>
              </w:rPr>
              <w:t>4</w:t>
            </w:r>
          </w:p>
        </w:tc>
        <w:tc>
          <w:tcPr>
            <w:tcW w:w="3694" w:type="dxa"/>
          </w:tcPr>
          <w:p w14:paraId="6C91E105" w14:textId="77777777" w:rsidR="00B13D65" w:rsidRPr="00E33EFF" w:rsidRDefault="00B13D65" w:rsidP="00824B92">
            <w:pPr>
              <w:rPr>
                <w:bCs/>
                <w:color w:val="000000"/>
                <w:lang w:eastAsia="lt-LT"/>
              </w:rPr>
            </w:pPr>
            <w:r w:rsidRPr="00E33EFF">
              <w:rPr>
                <w:bCs/>
                <w:color w:val="000000"/>
                <w:lang w:eastAsia="lt-LT"/>
              </w:rPr>
              <w:t xml:space="preserve">Ar vaistinis preparatas įrašytas į Bendrijos retųjų vaistinių preparatų registrą? </w:t>
            </w:r>
          </w:p>
          <w:p w14:paraId="33726F9C" w14:textId="77777777" w:rsidR="00B13D65" w:rsidRPr="00E33EFF" w:rsidRDefault="00B13D65" w:rsidP="00824B92">
            <w:pPr>
              <w:rPr>
                <w:bCs/>
                <w:i/>
                <w:color w:val="000000"/>
                <w:lang w:eastAsia="lt-LT"/>
              </w:rPr>
            </w:pPr>
          </w:p>
          <w:p w14:paraId="483071A3" w14:textId="6F225EC0" w:rsidR="00B13D65" w:rsidRPr="00E33EFF" w:rsidRDefault="00B13D65" w:rsidP="00824B92">
            <w:pPr>
              <w:rPr>
                <w:bCs/>
                <w:color w:val="000000"/>
                <w:lang w:eastAsia="lt-LT"/>
              </w:rPr>
            </w:pPr>
          </w:p>
        </w:tc>
        <w:tc>
          <w:tcPr>
            <w:tcW w:w="5167" w:type="dxa"/>
          </w:tcPr>
          <w:p w14:paraId="09371F32" w14:textId="16ECD62F" w:rsidR="00B94C05" w:rsidRPr="00E7714E" w:rsidRDefault="0039524C" w:rsidP="00B94C05">
            <w:sdt>
              <w:sdtPr>
                <w:rPr>
                  <w:rStyle w:val="Style2"/>
                </w:rPr>
                <w:id w:val="2024432173"/>
                <w15:color w:val="FFCC00"/>
                <w14:checkbox>
                  <w14:checked w14:val="1"/>
                  <w14:checkedState w14:val="2612" w14:font="MS Gothic"/>
                  <w14:uncheckedState w14:val="2610" w14:font="MS Gothic"/>
                </w14:checkbox>
              </w:sdtPr>
              <w:sdtEndPr>
                <w:rPr>
                  <w:rStyle w:val="Style2"/>
                </w:rPr>
              </w:sdtEndPr>
              <w:sdtContent>
                <w:r w:rsidR="00B94C05">
                  <w:rPr>
                    <w:rStyle w:val="Style2"/>
                    <w:rFonts w:ascii="MS Gothic" w:eastAsia="MS Gothic" w:hAnsi="MS Gothic" w:hint="eastAsia"/>
                  </w:rPr>
                  <w:t>☒</w:t>
                </w:r>
              </w:sdtContent>
            </w:sdt>
            <w:r w:rsidR="00B94C05" w:rsidRPr="00E7714E">
              <w:t xml:space="preserve"> Taip</w:t>
            </w:r>
          </w:p>
          <w:p w14:paraId="22B470AC" w14:textId="77777777" w:rsidR="00B94C05" w:rsidRPr="00E7714E" w:rsidRDefault="0039524C" w:rsidP="00B94C05">
            <w:sdt>
              <w:sdtPr>
                <w:rPr>
                  <w:rStyle w:val="Style2"/>
                </w:rPr>
                <w:id w:val="-970507926"/>
                <w15:color w:val="FFCC00"/>
                <w14:checkbox>
                  <w14:checked w14:val="0"/>
                  <w14:checkedState w14:val="2612" w14:font="MS Gothic"/>
                  <w14:uncheckedState w14:val="2610" w14:font="MS Gothic"/>
                </w14:checkbox>
              </w:sdtPr>
              <w:sdtEndPr>
                <w:rPr>
                  <w:rStyle w:val="Style2"/>
                </w:rPr>
              </w:sdtEndPr>
              <w:sdtContent>
                <w:r w:rsidR="00B94C05" w:rsidRPr="00E7714E">
                  <w:rPr>
                    <w:rStyle w:val="Style2"/>
                    <w:rFonts w:ascii="MS Gothic" w:eastAsia="MS Gothic" w:hAnsi="MS Gothic"/>
                  </w:rPr>
                  <w:t>☐</w:t>
                </w:r>
              </w:sdtContent>
            </w:sdt>
            <w:r w:rsidR="00B94C05" w:rsidRPr="00E7714E">
              <w:t xml:space="preserve"> Ne</w:t>
            </w:r>
          </w:p>
          <w:p w14:paraId="2D76B500" w14:textId="7F53301A" w:rsidR="00B94C05" w:rsidRDefault="0039524C" w:rsidP="00B94C05">
            <w:pPr>
              <w:rPr>
                <w:bCs/>
                <w:i/>
                <w:color w:val="00B050"/>
                <w:sz w:val="20"/>
                <w:lang w:eastAsia="lt-LT"/>
              </w:rPr>
            </w:pPr>
            <w:sdt>
              <w:sdtPr>
                <w:alias w:val="Nurodykite konkrečią dieną"/>
                <w:tag w:val="Nurodykite pradžios datą"/>
                <w:id w:val="693498901"/>
                <w:placeholder>
                  <w:docPart w:val="816171BCAD464703B3F7E54FFDC39F78"/>
                </w:placeholder>
                <w15:color w:val="FFCC99"/>
                <w:date w:fullDate="2018-11-26T00:00:00Z">
                  <w:dateFormat w:val="yyyy 'm.' MMMM d 'd.'"/>
                  <w:lid w:val="lt-LT"/>
                  <w:storeMappedDataAs w:val="dateTime"/>
                  <w:calendar w:val="gregorian"/>
                </w:date>
              </w:sdtPr>
              <w:sdtEndPr/>
              <w:sdtContent>
                <w:r w:rsidR="00B94C05" w:rsidRPr="00E7714E">
                  <w:t>2018 m. lapkričio 26 d.</w:t>
                </w:r>
              </w:sdtContent>
            </w:sdt>
          </w:p>
          <w:p w14:paraId="3DAAAE5F" w14:textId="77777777" w:rsidR="00B94C05" w:rsidRDefault="00B94C05" w:rsidP="00824B92">
            <w:pPr>
              <w:rPr>
                <w:bCs/>
                <w:i/>
                <w:color w:val="00B050"/>
                <w:sz w:val="20"/>
                <w:lang w:eastAsia="lt-LT"/>
              </w:rPr>
            </w:pPr>
          </w:p>
          <w:p w14:paraId="29C2CBBB" w14:textId="0A046B9C" w:rsidR="00B13D65" w:rsidRPr="00E33EFF" w:rsidRDefault="00B94C05" w:rsidP="00824B92">
            <w:pPr>
              <w:rPr>
                <w:rFonts w:eastAsia="Arial"/>
              </w:rPr>
            </w:pPr>
            <w:r w:rsidRPr="00B94C05">
              <w:rPr>
                <w:bCs/>
                <w:i/>
                <w:sz w:val="20"/>
                <w:lang w:eastAsia="lt-LT"/>
              </w:rPr>
              <w:t>EU/1/18/1340</w:t>
            </w:r>
          </w:p>
        </w:tc>
      </w:tr>
      <w:tr w:rsidR="00D417D2" w:rsidRPr="00E33EFF" w14:paraId="7841E5F8" w14:textId="77777777" w:rsidTr="00BE7489">
        <w:trPr>
          <w:trHeight w:val="476"/>
        </w:trPr>
        <w:tc>
          <w:tcPr>
            <w:tcW w:w="632" w:type="dxa"/>
          </w:tcPr>
          <w:p w14:paraId="109D2861" w14:textId="73BF27DF" w:rsidR="00D417D2" w:rsidRPr="00E33EFF" w:rsidRDefault="00D417D2" w:rsidP="00824B92">
            <w:pPr>
              <w:rPr>
                <w:rFonts w:eastAsia="Arial"/>
              </w:rPr>
            </w:pPr>
            <w:r w:rsidRPr="00E33EFF">
              <w:rPr>
                <w:rFonts w:eastAsia="Arial"/>
              </w:rPr>
              <w:t>1.5</w:t>
            </w:r>
          </w:p>
        </w:tc>
        <w:tc>
          <w:tcPr>
            <w:tcW w:w="3694" w:type="dxa"/>
          </w:tcPr>
          <w:p w14:paraId="7822D63E" w14:textId="68C38334" w:rsidR="00D417D2" w:rsidRPr="00E33EFF" w:rsidRDefault="00D417D2" w:rsidP="00824B92">
            <w:pPr>
              <w:rPr>
                <w:bCs/>
                <w:color w:val="000000"/>
                <w:lang w:eastAsia="lt-LT"/>
              </w:rPr>
            </w:pPr>
            <w:r w:rsidRPr="00E33EFF">
              <w:t>STV paraiškos pobūdis</w:t>
            </w:r>
          </w:p>
        </w:tc>
        <w:tc>
          <w:tcPr>
            <w:tcW w:w="5167" w:type="dxa"/>
          </w:tcPr>
          <w:p w14:paraId="403461B9" w14:textId="31E8305C" w:rsidR="00D417D2" w:rsidRPr="00E33EFF" w:rsidRDefault="0039524C"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7B17F4">
                  <w:rPr>
                    <w:rStyle w:val="Style2"/>
                    <w:rFonts w:ascii="MS Gothic" w:eastAsia="MS Gothic" w:hAnsi="MS Gothic" w:hint="eastAsia"/>
                    <w:sz w:val="24"/>
                  </w:rPr>
                  <w:t>☒</w:t>
                </w:r>
              </w:sdtContent>
            </w:sdt>
            <w:r w:rsidR="00D417D2" w:rsidRPr="00E33EFF">
              <w:t xml:space="preserve"> Pilna paraiška</w:t>
            </w:r>
          </w:p>
          <w:p w14:paraId="6B8213E3" w14:textId="3495CDF4" w:rsidR="00D417D2" w:rsidRPr="00E33EFF" w:rsidRDefault="0039524C"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B13D65" w:rsidRPr="00E33EFF" w14:paraId="274D1DAF" w14:textId="77777777" w:rsidTr="00BE7489">
        <w:trPr>
          <w:trHeight w:val="1922"/>
        </w:trPr>
        <w:tc>
          <w:tcPr>
            <w:tcW w:w="632" w:type="dxa"/>
          </w:tcPr>
          <w:p w14:paraId="17ABF217" w14:textId="14AC00D7" w:rsidR="00B13D65" w:rsidRPr="00E33EFF" w:rsidRDefault="00B13D65" w:rsidP="00824B92">
            <w:pPr>
              <w:rPr>
                <w:rFonts w:eastAsia="Arial"/>
              </w:rPr>
            </w:pPr>
            <w:r w:rsidRPr="00E33EFF">
              <w:rPr>
                <w:rFonts w:eastAsia="Arial"/>
              </w:rPr>
              <w:t>1.</w:t>
            </w:r>
            <w:r w:rsidR="00D417D2" w:rsidRPr="00E33EFF">
              <w:rPr>
                <w:rFonts w:eastAsia="Arial"/>
              </w:rPr>
              <w:t>6</w:t>
            </w:r>
          </w:p>
        </w:tc>
        <w:tc>
          <w:tcPr>
            <w:tcW w:w="3694" w:type="dxa"/>
          </w:tcPr>
          <w:p w14:paraId="4D49DBF5" w14:textId="77777777" w:rsidR="007656B2" w:rsidRPr="00E33EFF" w:rsidRDefault="00DE4484" w:rsidP="00824B92">
            <w:pPr>
              <w:rPr>
                <w:bCs/>
                <w:color w:val="000000"/>
                <w:lang w:eastAsia="lt-LT"/>
              </w:rPr>
            </w:pPr>
            <w:r w:rsidRPr="00E33EFF">
              <w:rPr>
                <w:bCs/>
                <w:color w:val="000000"/>
                <w:lang w:eastAsia="lt-LT"/>
              </w:rPr>
              <w:t>Par</w:t>
            </w:r>
            <w:r w:rsidR="007656B2" w:rsidRPr="00E33EFF">
              <w:rPr>
                <w:bCs/>
                <w:color w:val="000000"/>
                <w:lang w:eastAsia="lt-LT"/>
              </w:rPr>
              <w:t>eiškėjo t</w:t>
            </w:r>
            <w:r w:rsidR="00B13D65" w:rsidRPr="00E33EFF">
              <w:rPr>
                <w:bCs/>
                <w:color w:val="000000"/>
                <w:lang w:eastAsia="lt-LT"/>
              </w:rPr>
              <w:t>eikiama (-os) kompensuoti vaistinio preparato indikacija (-os)</w:t>
            </w:r>
          </w:p>
          <w:p w14:paraId="3FB07EE5" w14:textId="77777777" w:rsidR="00AE1322" w:rsidRDefault="00AE1322" w:rsidP="00824B92">
            <w:pPr>
              <w:rPr>
                <w:bCs/>
                <w:color w:val="000000"/>
                <w:lang w:eastAsia="lt-LT"/>
              </w:rPr>
            </w:pPr>
          </w:p>
          <w:p w14:paraId="30ACD5A6" w14:textId="77777777" w:rsidR="009240BE" w:rsidRDefault="009240BE" w:rsidP="00824B92">
            <w:pPr>
              <w:rPr>
                <w:bCs/>
                <w:color w:val="000000"/>
                <w:lang w:eastAsia="lt-LT"/>
              </w:rPr>
            </w:pPr>
          </w:p>
          <w:p w14:paraId="6B4FEEC1" w14:textId="278B93AB" w:rsidR="00B13D65" w:rsidRPr="00E33EFF" w:rsidRDefault="007656B2" w:rsidP="00824B92">
            <w:pPr>
              <w:rPr>
                <w:bCs/>
                <w:color w:val="000000"/>
                <w:lang w:eastAsia="lt-LT"/>
              </w:rPr>
            </w:pPr>
            <w:r w:rsidRPr="00E33EFF">
              <w:rPr>
                <w:bCs/>
                <w:color w:val="000000"/>
                <w:lang w:eastAsia="lt-LT"/>
              </w:rPr>
              <w:t>K</w:t>
            </w:r>
            <w:r w:rsidR="00B13D65" w:rsidRPr="00E33EFF">
              <w:rPr>
                <w:bCs/>
                <w:color w:val="000000"/>
                <w:lang w:eastAsia="lt-LT"/>
              </w:rPr>
              <w:t>odas</w:t>
            </w:r>
            <w:r w:rsidRPr="00E33EFF">
              <w:rPr>
                <w:bCs/>
                <w:color w:val="000000"/>
                <w:lang w:eastAsia="lt-LT"/>
              </w:rPr>
              <w:t xml:space="preserve"> pagal TLK-10 AM</w:t>
            </w:r>
          </w:p>
        </w:tc>
        <w:tc>
          <w:tcPr>
            <w:tcW w:w="5167" w:type="dxa"/>
          </w:tcPr>
          <w:p w14:paraId="4C4BB933" w14:textId="77777777" w:rsidR="009240BE" w:rsidRPr="00E7714E" w:rsidRDefault="009240BE" w:rsidP="009240BE">
            <w:pPr>
              <w:pStyle w:val="ListParagraph"/>
              <w:spacing w:after="120"/>
              <w:ind w:left="0"/>
              <w:contextualSpacing w:val="0"/>
              <w:jc w:val="both"/>
            </w:pPr>
            <w:r w:rsidRPr="00E7714E">
              <w:t>Skirtas 12 metų ir vyresnių pacientų pasikartojančių paveldimos angioedemos (PAE) priepuolių rutininei profilaktikai, kai priepuoliai kartojasi daugiau kaip 12 kartų per metus.</w:t>
            </w:r>
          </w:p>
          <w:p w14:paraId="2694D183" w14:textId="77777777" w:rsidR="009240BE" w:rsidRDefault="009240BE" w:rsidP="009240BE"/>
          <w:p w14:paraId="13F7DFB0" w14:textId="15679E33" w:rsidR="00B13D65" w:rsidRPr="00EF789D" w:rsidRDefault="009240BE" w:rsidP="009240BE">
            <w:r w:rsidRPr="00EF789D">
              <w:t>D84.1</w:t>
            </w:r>
          </w:p>
        </w:tc>
      </w:tr>
      <w:tr w:rsidR="00B13D65" w:rsidRPr="00E33EFF" w14:paraId="2F79DC08" w14:textId="77777777" w:rsidTr="00BE7489">
        <w:trPr>
          <w:trHeight w:val="378"/>
        </w:trPr>
        <w:tc>
          <w:tcPr>
            <w:tcW w:w="632" w:type="dxa"/>
          </w:tcPr>
          <w:p w14:paraId="547885A2" w14:textId="08AA8055" w:rsidR="00B13D65" w:rsidRPr="00E33EFF" w:rsidRDefault="00B13D65" w:rsidP="00824B92">
            <w:pPr>
              <w:rPr>
                <w:rFonts w:eastAsia="Arial"/>
              </w:rPr>
            </w:pPr>
            <w:r w:rsidRPr="00E33EFF">
              <w:rPr>
                <w:rFonts w:eastAsia="Arial"/>
              </w:rPr>
              <w:lastRenderedPageBreak/>
              <w:t>1.</w:t>
            </w:r>
            <w:r w:rsidR="002E0702" w:rsidRPr="00E33EFF">
              <w:rPr>
                <w:rFonts w:eastAsia="Arial"/>
              </w:rPr>
              <w:t>6</w:t>
            </w:r>
          </w:p>
        </w:tc>
        <w:tc>
          <w:tcPr>
            <w:tcW w:w="3694" w:type="dxa"/>
          </w:tcPr>
          <w:p w14:paraId="2EAB877F" w14:textId="39A36941" w:rsidR="00B13D65" w:rsidRPr="00E33EFF" w:rsidRDefault="007656B2" w:rsidP="00824B92">
            <w:pPr>
              <w:rPr>
                <w:bCs/>
                <w:color w:val="000000"/>
                <w:u w:val="single"/>
                <w:lang w:eastAsia="lt-LT"/>
              </w:rPr>
            </w:pPr>
            <w:r w:rsidRPr="00E33EFF">
              <w:rPr>
                <w:bCs/>
                <w:color w:val="000000"/>
                <w:lang w:eastAsia="lt-LT"/>
              </w:rPr>
              <w:t>Pareiškėjo t</w:t>
            </w:r>
            <w:r w:rsidR="00B13D65" w:rsidRPr="00E33EFF">
              <w:rPr>
                <w:bCs/>
                <w:color w:val="000000"/>
                <w:lang w:eastAsia="lt-LT"/>
              </w:rPr>
              <w:t>eikiamos skyrimo sąlygos</w:t>
            </w:r>
            <w:r w:rsidR="005B3756" w:rsidRPr="00E33EFF">
              <w:rPr>
                <w:bCs/>
                <w:color w:val="000000"/>
                <w:lang w:eastAsia="lt-LT"/>
              </w:rPr>
              <w:t xml:space="preserve"> </w:t>
            </w:r>
          </w:p>
        </w:tc>
        <w:tc>
          <w:tcPr>
            <w:tcW w:w="5167" w:type="dxa"/>
          </w:tcPr>
          <w:p w14:paraId="0579DF58" w14:textId="231E9B7A" w:rsidR="00B13D65" w:rsidRPr="00E33EFF" w:rsidRDefault="007A41E1" w:rsidP="00824B92">
            <w:r w:rsidRPr="00E7714E">
              <w:rPr>
                <w:color w:val="000000"/>
              </w:rPr>
              <w:t>Pradėti vartoti šį vaistinį preparatą galima tik prižiūrint gydytojui, turinčiam paveldima angioedema sergančių pacientų gydymo patirties</w:t>
            </w:r>
            <w:r w:rsidRPr="00E7714E">
              <w:t>.</w:t>
            </w:r>
          </w:p>
        </w:tc>
      </w:tr>
      <w:tr w:rsidR="00B13D65" w:rsidRPr="00E33EFF" w14:paraId="3B125269" w14:textId="77777777" w:rsidTr="00BE7489">
        <w:trPr>
          <w:trHeight w:val="378"/>
        </w:trPr>
        <w:tc>
          <w:tcPr>
            <w:tcW w:w="632" w:type="dxa"/>
          </w:tcPr>
          <w:p w14:paraId="0058E11F" w14:textId="77777777" w:rsidR="00B13D65" w:rsidRPr="00E33EFF" w:rsidRDefault="00B13D65" w:rsidP="00824B92">
            <w:pPr>
              <w:rPr>
                <w:rFonts w:eastAsia="Arial"/>
              </w:rPr>
            </w:pPr>
            <w:r w:rsidRPr="00E33EFF">
              <w:rPr>
                <w:rFonts w:eastAsia="Arial"/>
              </w:rPr>
              <w:t>1.7</w:t>
            </w:r>
          </w:p>
        </w:tc>
        <w:tc>
          <w:tcPr>
            <w:tcW w:w="3694" w:type="dxa"/>
          </w:tcPr>
          <w:p w14:paraId="738E1926" w14:textId="549281BD" w:rsidR="00B13D65" w:rsidRDefault="007656B2" w:rsidP="00824B92">
            <w:pPr>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 xml:space="preserve">gydymas </w:t>
            </w:r>
          </w:p>
          <w:p w14:paraId="1388054E" w14:textId="319F5B54" w:rsidR="003676C4" w:rsidRDefault="003676C4" w:rsidP="00824B92">
            <w:pPr>
              <w:rPr>
                <w:bCs/>
                <w:color w:val="000000"/>
                <w:lang w:eastAsia="lt-LT"/>
              </w:rPr>
            </w:pPr>
            <w:r>
              <w:rPr>
                <w:bCs/>
                <w:color w:val="000000"/>
                <w:lang w:eastAsia="lt-LT"/>
              </w:rPr>
              <w:t>Tiesioginis – placebas</w:t>
            </w:r>
          </w:p>
          <w:p w14:paraId="497F6248" w14:textId="77777777" w:rsidR="00E93DA5" w:rsidRDefault="00E93DA5" w:rsidP="00824B92">
            <w:pPr>
              <w:rPr>
                <w:bCs/>
                <w:color w:val="000000"/>
                <w:lang w:eastAsia="lt-LT"/>
              </w:rPr>
            </w:pPr>
          </w:p>
          <w:p w14:paraId="0749C2BF" w14:textId="77777777" w:rsidR="00E93DA5" w:rsidRDefault="00E93DA5" w:rsidP="00824B92">
            <w:pPr>
              <w:rPr>
                <w:bCs/>
                <w:color w:val="000000"/>
                <w:lang w:eastAsia="lt-LT"/>
              </w:rPr>
            </w:pPr>
          </w:p>
          <w:p w14:paraId="6BE79277" w14:textId="4E1B21BA" w:rsidR="003676C4" w:rsidRPr="00E33EFF" w:rsidRDefault="003676C4" w:rsidP="00824B92">
            <w:pPr>
              <w:rPr>
                <w:bCs/>
                <w:color w:val="000000"/>
                <w:lang w:eastAsia="lt-LT"/>
              </w:rPr>
            </w:pPr>
            <w:r>
              <w:rPr>
                <w:bCs/>
                <w:color w:val="000000"/>
                <w:lang w:eastAsia="lt-LT"/>
              </w:rPr>
              <w:t>Neties</w:t>
            </w:r>
            <w:r w:rsidR="00DB5BF8">
              <w:rPr>
                <w:bCs/>
                <w:color w:val="000000"/>
                <w:lang w:eastAsia="lt-LT"/>
              </w:rPr>
              <w:t>io</w:t>
            </w:r>
            <w:r>
              <w:rPr>
                <w:bCs/>
                <w:color w:val="000000"/>
                <w:lang w:eastAsia="lt-LT"/>
              </w:rPr>
              <w:t>ginis – C1 esterazės inhibitorius</w:t>
            </w:r>
          </w:p>
          <w:p w14:paraId="6CC1022E" w14:textId="2B6BCEE1" w:rsidR="009F4D66" w:rsidRPr="00E33EFF" w:rsidRDefault="009F4D66" w:rsidP="00824B92">
            <w:pPr>
              <w:rPr>
                <w:bCs/>
                <w:color w:val="000000"/>
                <w:lang w:eastAsia="lt-LT"/>
              </w:rPr>
            </w:pPr>
          </w:p>
        </w:tc>
        <w:tc>
          <w:tcPr>
            <w:tcW w:w="5167" w:type="dxa"/>
          </w:tcPr>
          <w:p w14:paraId="753E7ADE" w14:textId="02C0BDAC" w:rsidR="00E93DA5" w:rsidRDefault="00E93DA5" w:rsidP="00824B92"/>
          <w:p w14:paraId="37391AB8" w14:textId="77777777" w:rsidR="00E93DA5" w:rsidRDefault="00E93DA5" w:rsidP="00824B92"/>
          <w:p w14:paraId="61854F69" w14:textId="08703F19" w:rsidR="00E93DA5" w:rsidRPr="00E33EFF" w:rsidRDefault="0039524C" w:rsidP="00E93DA5">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E93DA5">
                  <w:rPr>
                    <w:rStyle w:val="Style2"/>
                    <w:rFonts w:ascii="MS Gothic" w:eastAsia="MS Gothic" w:hAnsi="MS Gothic" w:hint="eastAsia"/>
                    <w:sz w:val="24"/>
                  </w:rPr>
                  <w:t>☒</w:t>
                </w:r>
              </w:sdtContent>
            </w:sdt>
            <w:r w:rsidR="00E93DA5" w:rsidRPr="00E33EFF">
              <w:t xml:space="preserve"> Tinkamas</w:t>
            </w:r>
          </w:p>
          <w:p w14:paraId="52446BE6" w14:textId="2CF9B432" w:rsidR="00E93DA5" w:rsidRDefault="0039524C" w:rsidP="00E93DA5">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E93DA5" w:rsidRPr="00E33EFF">
                  <w:rPr>
                    <w:rStyle w:val="Style2"/>
                    <w:rFonts w:ascii="MS Gothic" w:eastAsia="MS Gothic" w:hAnsi="MS Gothic" w:hint="eastAsia"/>
                    <w:sz w:val="24"/>
                  </w:rPr>
                  <w:t>☐</w:t>
                </w:r>
              </w:sdtContent>
            </w:sdt>
            <w:r w:rsidR="00E93DA5" w:rsidRPr="00E33EFF">
              <w:t xml:space="preserve"> Netinkama</w:t>
            </w:r>
            <w:r w:rsidR="00317AE0">
              <w:t>s</w:t>
            </w:r>
          </w:p>
          <w:p w14:paraId="4A5C5ACE" w14:textId="77777777" w:rsidR="00E93DA5" w:rsidRDefault="00E93DA5" w:rsidP="00824B92"/>
          <w:p w14:paraId="5A3A1ECA" w14:textId="00228944" w:rsidR="00E93DA5" w:rsidRPr="00E33EFF" w:rsidRDefault="0039524C" w:rsidP="00E93DA5">
            <w:sdt>
              <w:sdtPr>
                <w:rPr>
                  <w:rStyle w:val="Style2"/>
                  <w:sz w:val="24"/>
                </w:rPr>
                <w:id w:val="-744020444"/>
                <w15:color w:val="FFCC00"/>
                <w14:checkbox>
                  <w14:checked w14:val="1"/>
                  <w14:checkedState w14:val="2612" w14:font="MS Gothic"/>
                  <w14:uncheckedState w14:val="2610" w14:font="MS Gothic"/>
                </w14:checkbox>
              </w:sdtPr>
              <w:sdtEndPr>
                <w:rPr>
                  <w:rStyle w:val="Style2"/>
                </w:rPr>
              </w:sdtEndPr>
              <w:sdtContent>
                <w:r w:rsidR="00E93DA5">
                  <w:rPr>
                    <w:rStyle w:val="Style2"/>
                    <w:rFonts w:ascii="MS Gothic" w:eastAsia="MS Gothic" w:hAnsi="MS Gothic" w:hint="eastAsia"/>
                    <w:sz w:val="24"/>
                  </w:rPr>
                  <w:t>☒</w:t>
                </w:r>
              </w:sdtContent>
            </w:sdt>
            <w:r w:rsidR="00E93DA5" w:rsidRPr="00E33EFF">
              <w:t xml:space="preserve"> Tinkamas</w:t>
            </w:r>
          </w:p>
          <w:p w14:paraId="41B44044" w14:textId="2DBEABA2" w:rsidR="00E93DA5" w:rsidRPr="00E33EFF" w:rsidRDefault="0039524C" w:rsidP="00E93DA5">
            <w:sdt>
              <w:sdtPr>
                <w:rPr>
                  <w:rStyle w:val="Style2"/>
                  <w:sz w:val="24"/>
                </w:rPr>
                <w:id w:val="1883053638"/>
                <w15:color w:val="FFCC00"/>
                <w14:checkbox>
                  <w14:checked w14:val="0"/>
                  <w14:checkedState w14:val="2612" w14:font="MS Gothic"/>
                  <w14:uncheckedState w14:val="2610" w14:font="MS Gothic"/>
                </w14:checkbox>
              </w:sdtPr>
              <w:sdtEndPr>
                <w:rPr>
                  <w:rStyle w:val="Style2"/>
                </w:rPr>
              </w:sdtEndPr>
              <w:sdtContent>
                <w:r w:rsidR="00E93DA5" w:rsidRPr="00E33EFF">
                  <w:rPr>
                    <w:rStyle w:val="Style2"/>
                    <w:rFonts w:ascii="MS Gothic" w:eastAsia="MS Gothic" w:hAnsi="MS Gothic" w:hint="eastAsia"/>
                    <w:sz w:val="24"/>
                  </w:rPr>
                  <w:t>☐</w:t>
                </w:r>
              </w:sdtContent>
            </w:sdt>
            <w:r w:rsidR="00E93DA5" w:rsidRPr="00E33EFF">
              <w:t xml:space="preserve"> Netinkama</w:t>
            </w:r>
            <w:r w:rsidR="00317AE0">
              <w:t>s</w:t>
            </w:r>
          </w:p>
        </w:tc>
      </w:tr>
    </w:tbl>
    <w:p w14:paraId="108176F7" w14:textId="640C6F75" w:rsidR="00F70C9E" w:rsidRPr="00E33EFF" w:rsidRDefault="00F70C9E" w:rsidP="00E03C3F">
      <w:pPr>
        <w:pStyle w:val="ListParagraph"/>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70C9E">
      <w:pPr>
        <w:spacing w:line="276" w:lineRule="auto"/>
        <w:rPr>
          <w:rFonts w:eastAsia="Arial"/>
        </w:rPr>
      </w:pPr>
    </w:p>
    <w:tbl>
      <w:tblPr>
        <w:tblStyle w:val="TableGrid"/>
        <w:tblW w:w="0" w:type="auto"/>
        <w:tblLook w:val="04A0" w:firstRow="1" w:lastRow="0" w:firstColumn="1" w:lastColumn="0" w:noHBand="0" w:noVBand="1"/>
      </w:tblPr>
      <w:tblGrid>
        <w:gridCol w:w="2405"/>
        <w:gridCol w:w="2552"/>
        <w:gridCol w:w="1993"/>
        <w:gridCol w:w="2543"/>
      </w:tblGrid>
      <w:tr w:rsidR="00F70C9E" w:rsidRPr="00E33EFF" w14:paraId="7E72828B" w14:textId="77777777" w:rsidTr="00CE6F92">
        <w:trPr>
          <w:trHeight w:val="924"/>
        </w:trPr>
        <w:tc>
          <w:tcPr>
            <w:tcW w:w="2405" w:type="dxa"/>
          </w:tcPr>
          <w:p w14:paraId="253D1DD4" w14:textId="5B2616C0" w:rsidR="00F70C9E" w:rsidRPr="00E33EFF" w:rsidRDefault="00F70C9E" w:rsidP="00824B92">
            <w:pPr>
              <w:rPr>
                <w:rFonts w:eastAsia="Arial"/>
              </w:rPr>
            </w:pPr>
            <w:r w:rsidRPr="00E33EFF">
              <w:rPr>
                <w:rFonts w:eastAsia="Arial"/>
              </w:rPr>
              <w:t>ST</w:t>
            </w:r>
            <w:r w:rsidR="00DF583C" w:rsidRPr="00E33EFF">
              <w:rPr>
                <w:rFonts w:eastAsia="Arial"/>
              </w:rPr>
              <w:t>V</w:t>
            </w:r>
            <w:r w:rsidRPr="00E33EFF">
              <w:rPr>
                <w:rFonts w:eastAsia="Arial"/>
              </w:rPr>
              <w:t xml:space="preserve"> agentūros pavadinimas, šalis</w:t>
            </w:r>
          </w:p>
        </w:tc>
        <w:tc>
          <w:tcPr>
            <w:tcW w:w="2552" w:type="dxa"/>
          </w:tcPr>
          <w:p w14:paraId="34AE1EDD" w14:textId="77777777" w:rsidR="00F70C9E" w:rsidRPr="00E33EFF" w:rsidRDefault="00F70C9E" w:rsidP="00824B92">
            <w:pPr>
              <w:rPr>
                <w:rFonts w:eastAsia="Arial"/>
              </w:rPr>
            </w:pPr>
            <w:r w:rsidRPr="00E33EFF">
              <w:rPr>
                <w:rFonts w:eastAsia="Arial"/>
              </w:rPr>
              <w:t>STV vertinimas atliktas</w:t>
            </w:r>
          </w:p>
        </w:tc>
        <w:tc>
          <w:tcPr>
            <w:tcW w:w="1993" w:type="dxa"/>
          </w:tcPr>
          <w:p w14:paraId="16E2DDC1" w14:textId="77777777" w:rsidR="00F70C9E" w:rsidRPr="00E33EFF" w:rsidRDefault="00F70C9E" w:rsidP="00824B92">
            <w:pPr>
              <w:rPr>
                <w:rFonts w:eastAsia="Arial"/>
              </w:rPr>
            </w:pPr>
            <w:r w:rsidRPr="00E33EFF">
              <w:rPr>
                <w:rFonts w:eastAsia="Arial"/>
              </w:rPr>
              <w:t>Klinikinio vertinimo išvada</w:t>
            </w:r>
          </w:p>
        </w:tc>
        <w:tc>
          <w:tcPr>
            <w:tcW w:w="2543" w:type="dxa"/>
          </w:tcPr>
          <w:p w14:paraId="1861E3F2" w14:textId="74803B5B" w:rsidR="00F70C9E" w:rsidRPr="00E33EFF" w:rsidRDefault="00F70C9E" w:rsidP="00824B92">
            <w:pPr>
              <w:rPr>
                <w:rFonts w:eastAsia="Arial"/>
              </w:rPr>
            </w:pPr>
            <w:r w:rsidRPr="00E33EFF">
              <w:rPr>
                <w:rFonts w:eastAsia="Arial"/>
              </w:rPr>
              <w:t>Farmako</w:t>
            </w:r>
            <w:r w:rsidR="00CA217D" w:rsidRPr="00E33EFF">
              <w:rPr>
                <w:rFonts w:eastAsia="Arial"/>
              </w:rPr>
              <w:t>e</w:t>
            </w:r>
            <w:r w:rsidR="00476256" w:rsidRPr="00E33EFF">
              <w:rPr>
                <w:rFonts w:eastAsia="Arial"/>
              </w:rPr>
              <w:t>ko</w:t>
            </w:r>
            <w:r w:rsidRPr="00E33EFF">
              <w:rPr>
                <w:rFonts w:eastAsia="Arial"/>
              </w:rPr>
              <w:t>nominio vertinimo išvada</w:t>
            </w:r>
          </w:p>
        </w:tc>
      </w:tr>
      <w:tr w:rsidR="007A7ECF" w:rsidRPr="00E33EFF" w14:paraId="129FA8F6" w14:textId="77777777" w:rsidTr="00CE6F92">
        <w:trPr>
          <w:trHeight w:val="2267"/>
        </w:trPr>
        <w:tc>
          <w:tcPr>
            <w:tcW w:w="2405" w:type="dxa"/>
          </w:tcPr>
          <w:p w14:paraId="0A070137" w14:textId="77777777" w:rsidR="007A7ECF" w:rsidRPr="00E33EFF" w:rsidRDefault="007A7ECF" w:rsidP="00824B92">
            <w:pPr>
              <w:rPr>
                <w:bCs/>
              </w:rPr>
            </w:pPr>
            <w:r w:rsidRPr="00E33EFF">
              <w:rPr>
                <w:bCs/>
              </w:rPr>
              <w:t>Nacionalinis sveikatos ir klinikinės kompetencijos institutas, Didžioji Britanija</w:t>
            </w:r>
          </w:p>
          <w:p w14:paraId="49C6520D" w14:textId="77777777" w:rsidR="007A7ECF" w:rsidRPr="00E33EFF" w:rsidRDefault="007A7ECF" w:rsidP="00824B92">
            <w:pPr>
              <w:rPr>
                <w:rFonts w:eastAsia="Arial"/>
                <w:lang w:val="en-GB"/>
              </w:rPr>
            </w:pPr>
            <w:r w:rsidRPr="00E33EFF">
              <w:rPr>
                <w:rFonts w:eastAsia="Arial"/>
                <w:lang w:val="en-GB"/>
              </w:rPr>
              <w:t>(</w:t>
            </w:r>
            <w:proofErr w:type="spellStart"/>
            <w:r w:rsidRPr="00E33EFF">
              <w:rPr>
                <w:rFonts w:eastAsia="Arial"/>
                <w:lang w:val="en-GB"/>
              </w:rPr>
              <w:t>angl.</w:t>
            </w:r>
            <w:proofErr w:type="spellEnd"/>
            <w:r w:rsidRPr="00E33EFF">
              <w:rPr>
                <w:rFonts w:eastAsia="Arial"/>
                <w:lang w:val="en-GB"/>
              </w:rPr>
              <w:t xml:space="preserve"> </w:t>
            </w:r>
            <w:r w:rsidRPr="00E33EFF">
              <w:rPr>
                <w:rFonts w:eastAsia="Arial"/>
                <w:i/>
                <w:lang w:val="en-GB"/>
              </w:rPr>
              <w:t>National Institute for Health and Care  Excellence, NICE</w:t>
            </w:r>
            <w:r w:rsidRPr="00E33EFF">
              <w:rPr>
                <w:rFonts w:eastAsia="Arial"/>
                <w:lang w:val="en-GB"/>
              </w:rPr>
              <w:t>)</w:t>
            </w:r>
          </w:p>
        </w:tc>
        <w:tc>
          <w:tcPr>
            <w:tcW w:w="2552" w:type="dxa"/>
          </w:tcPr>
          <w:p w14:paraId="5846A9F8" w14:textId="5C932607" w:rsidR="007A7ECF" w:rsidRPr="00E33EFF" w:rsidRDefault="0039524C" w:rsidP="00824B92">
            <w:sdt>
              <w:sdtPr>
                <w:rPr>
                  <w:rStyle w:val="Style2"/>
                  <w:sz w:val="24"/>
                </w:rPr>
                <w:id w:val="1558205022"/>
                <w15:color w:val="FFCC00"/>
                <w14:checkbox>
                  <w14:checked w14:val="1"/>
                  <w14:checkedState w14:val="2612" w14:font="MS Gothic"/>
                  <w14:uncheckedState w14:val="2610" w14:font="MS Gothic"/>
                </w14:checkbox>
              </w:sdtPr>
              <w:sdtEndPr>
                <w:rPr>
                  <w:rStyle w:val="Style2"/>
                </w:rPr>
              </w:sdtEndPr>
              <w:sdtContent>
                <w:r w:rsidR="007A7ECF">
                  <w:rPr>
                    <w:rStyle w:val="Style2"/>
                    <w:rFonts w:ascii="MS Gothic" w:eastAsia="MS Gothic" w:hAnsi="MS Gothic" w:hint="eastAsia"/>
                    <w:sz w:val="24"/>
                  </w:rPr>
                  <w:t>☒</w:t>
                </w:r>
              </w:sdtContent>
            </w:sdt>
            <w:r w:rsidR="007A7ECF" w:rsidRPr="00E33EFF">
              <w:t xml:space="preserve"> Taip</w:t>
            </w:r>
          </w:p>
          <w:p w14:paraId="29F3627E" w14:textId="77777777" w:rsidR="007A7ECF" w:rsidRPr="00E33EFF" w:rsidRDefault="0039524C" w:rsidP="00824B92">
            <w:sdt>
              <w:sdtPr>
                <w:rPr>
                  <w:rStyle w:val="Style2"/>
                  <w:sz w:val="24"/>
                </w:rPr>
                <w:id w:val="866029625"/>
                <w15:color w:val="FFCC00"/>
                <w14:checkbox>
                  <w14:checked w14:val="0"/>
                  <w14:checkedState w14:val="2612" w14:font="MS Gothic"/>
                  <w14:uncheckedState w14:val="2610" w14:font="MS Gothic"/>
                </w14:checkbox>
              </w:sdtPr>
              <w:sdtEndPr>
                <w:rPr>
                  <w:rStyle w:val="Style2"/>
                </w:rPr>
              </w:sdtEndPr>
              <w:sdtContent>
                <w:r w:rsidR="007A7ECF" w:rsidRPr="00E33EFF">
                  <w:rPr>
                    <w:rStyle w:val="Style2"/>
                    <w:rFonts w:ascii="Segoe UI Symbol" w:eastAsia="MS Gothic" w:hAnsi="Segoe UI Symbol" w:cs="Segoe UI Symbol"/>
                    <w:sz w:val="24"/>
                  </w:rPr>
                  <w:t>☐</w:t>
                </w:r>
              </w:sdtContent>
            </w:sdt>
            <w:r w:rsidR="007A7ECF" w:rsidRPr="00E33EFF">
              <w:t xml:space="preserve"> Ne</w:t>
            </w:r>
          </w:p>
          <w:p w14:paraId="7916359D" w14:textId="75D72650" w:rsidR="007A7ECF" w:rsidRPr="00E33EFF" w:rsidRDefault="0039524C" w:rsidP="00824B92">
            <w:pPr>
              <w:rPr>
                <w:rFonts w:eastAsia="Arial"/>
              </w:rPr>
            </w:pPr>
            <w:sdt>
              <w:sdtPr>
                <w:alias w:val="Nurodykite konkrečią dieną"/>
                <w:tag w:val="Nurodykite pradžios datą"/>
                <w:id w:val="922837954"/>
                <w:placeholder>
                  <w:docPart w:val="B3F61B05A4134CF491D0FC41DFF6728A"/>
                </w:placeholder>
                <w15:color w:val="FFCC99"/>
                <w:date w:fullDate="2019-10-16T00:00:00Z">
                  <w:dateFormat w:val="yyyy 'm.' MMMM d 'd.'"/>
                  <w:lid w:val="lt-LT"/>
                  <w:storeMappedDataAs w:val="dateTime"/>
                  <w:calendar w:val="gregorian"/>
                </w:date>
              </w:sdtPr>
              <w:sdtEndPr/>
              <w:sdtContent>
                <w:r w:rsidR="00737403">
                  <w:t>2019 m. spalio 16 d.</w:t>
                </w:r>
              </w:sdtContent>
            </w:sdt>
          </w:p>
        </w:tc>
        <w:tc>
          <w:tcPr>
            <w:tcW w:w="4536" w:type="dxa"/>
            <w:gridSpan w:val="2"/>
          </w:tcPr>
          <w:p w14:paraId="2CDE55C5" w14:textId="59F75447" w:rsidR="007A7ECF" w:rsidRPr="007A7ECF" w:rsidRDefault="007A7ECF" w:rsidP="007A7ECF">
            <w:pPr>
              <w:jc w:val="both"/>
              <w:rPr>
                <w:rFonts w:eastAsia="Arial"/>
              </w:rPr>
            </w:pPr>
            <w:r w:rsidRPr="007A7ECF">
              <w:rPr>
                <w:rFonts w:eastAsia="Arial"/>
              </w:rPr>
              <w:t>Lanadelumabas rekomenduojamas kaip pasirinkimas, taikant pasikartojančių priepuolių profilaktiką 12 metų ir vyresniems</w:t>
            </w:r>
            <w:r w:rsidR="00EF789D" w:rsidRPr="007A7ECF">
              <w:rPr>
                <w:rFonts w:eastAsia="Arial"/>
              </w:rPr>
              <w:t xml:space="preserve"> pacientams</w:t>
            </w:r>
            <w:r w:rsidRPr="007A7ECF">
              <w:rPr>
                <w:rFonts w:eastAsia="Arial"/>
              </w:rPr>
              <w:t>, kuriems yra paveldima angioedama, jeigu:</w:t>
            </w:r>
          </w:p>
          <w:p w14:paraId="688D4101" w14:textId="14993DE8" w:rsidR="007A7ECF" w:rsidRPr="007A7ECF" w:rsidRDefault="007A7ECF" w:rsidP="007A7ECF">
            <w:pPr>
              <w:jc w:val="both"/>
              <w:rPr>
                <w:rFonts w:eastAsia="Arial"/>
              </w:rPr>
            </w:pPr>
            <w:r w:rsidRPr="007A7ECF">
              <w:rPr>
                <w:rFonts w:eastAsia="Arial"/>
              </w:rPr>
              <w:t>- pacientai tinkami C1-INH gydymui pagal Anglijos nacionalinės sveikatos sistemos politiką bei jie pat</w:t>
            </w:r>
            <w:r w:rsidR="00F7771B">
              <w:rPr>
                <w:rFonts w:eastAsia="Arial"/>
              </w:rPr>
              <w:t>i</w:t>
            </w:r>
            <w:r w:rsidRPr="007A7ECF">
              <w:rPr>
                <w:rFonts w:eastAsia="Arial"/>
              </w:rPr>
              <w:t xml:space="preserve">ria ≥ 2 kliniškai reikšmingų priepuolių/savaitę per 8 savaites, nepaisant </w:t>
            </w:r>
            <w:r w:rsidR="00EF789D">
              <w:rPr>
                <w:rFonts w:eastAsia="Arial"/>
              </w:rPr>
              <w:t>gydymo geriamaisiais vaistais</w:t>
            </w:r>
            <w:r w:rsidRPr="007A7ECF">
              <w:rPr>
                <w:rFonts w:eastAsia="Arial"/>
              </w:rPr>
              <w:t xml:space="preserve"> arba </w:t>
            </w:r>
            <w:r w:rsidR="00EF789D">
              <w:rPr>
                <w:rFonts w:eastAsia="Arial"/>
              </w:rPr>
              <w:t>gydymo geriamaisiais vaistais</w:t>
            </w:r>
            <w:r w:rsidR="009013E3">
              <w:rPr>
                <w:rFonts w:eastAsia="Arial"/>
              </w:rPr>
              <w:t xml:space="preserve"> </w:t>
            </w:r>
            <w:r w:rsidRPr="007A7ECF">
              <w:rPr>
                <w:rFonts w:eastAsia="Arial"/>
              </w:rPr>
              <w:t>netinka;</w:t>
            </w:r>
          </w:p>
          <w:p w14:paraId="6CCE79B6" w14:textId="431DC4E0" w:rsidR="0043660A" w:rsidRDefault="007A7ECF" w:rsidP="0043660A">
            <w:pPr>
              <w:jc w:val="both"/>
              <w:rPr>
                <w:rFonts w:eastAsia="Arial"/>
              </w:rPr>
            </w:pPr>
            <w:r w:rsidRPr="007A7ECF">
              <w:rPr>
                <w:rFonts w:eastAsia="Arial"/>
              </w:rPr>
              <w:t>- mažiausias lanadelumabo dozės dažnis (1 kartą per 4 savaites) vartoj</w:t>
            </w:r>
            <w:r w:rsidR="00EF789D">
              <w:rPr>
                <w:rFonts w:eastAsia="Arial"/>
              </w:rPr>
              <w:t>a</w:t>
            </w:r>
            <w:r w:rsidRPr="007A7ECF">
              <w:rPr>
                <w:rFonts w:eastAsia="Arial"/>
              </w:rPr>
              <w:t>mas pagal pr</w:t>
            </w:r>
            <w:r w:rsidR="00EF789D">
              <w:rPr>
                <w:rFonts w:eastAsia="Arial"/>
              </w:rPr>
              <w:t>eparato</w:t>
            </w:r>
            <w:r w:rsidRPr="007A7ECF">
              <w:rPr>
                <w:rFonts w:eastAsia="Arial"/>
              </w:rPr>
              <w:t xml:space="preserve"> charakteristik</w:t>
            </w:r>
            <w:r w:rsidR="00EF789D">
              <w:rPr>
                <w:rFonts w:eastAsia="Arial"/>
              </w:rPr>
              <w:t>ų</w:t>
            </w:r>
            <w:r w:rsidRPr="007A7ECF">
              <w:rPr>
                <w:rFonts w:eastAsia="Arial"/>
              </w:rPr>
              <w:t xml:space="preserve"> santrauk</w:t>
            </w:r>
            <w:r w:rsidR="00EF789D">
              <w:rPr>
                <w:rFonts w:eastAsia="Arial"/>
              </w:rPr>
              <w:t>os nurodymus</w:t>
            </w:r>
            <w:r w:rsidRPr="007A7ECF">
              <w:rPr>
                <w:rFonts w:eastAsia="Arial"/>
              </w:rPr>
              <w:t>, t.y. lig</w:t>
            </w:r>
            <w:r w:rsidR="00627D90">
              <w:rPr>
                <w:rFonts w:eastAsia="Arial"/>
              </w:rPr>
              <w:t xml:space="preserve">os būklė </w:t>
            </w:r>
            <w:r w:rsidR="0043660A">
              <w:rPr>
                <w:rFonts w:eastAsia="Arial"/>
              </w:rPr>
              <w:t>stabili</w:t>
            </w:r>
            <w:r w:rsidR="00627D90">
              <w:rPr>
                <w:rFonts w:eastAsia="Arial"/>
              </w:rPr>
              <w:t>, be priepuolių;</w:t>
            </w:r>
          </w:p>
          <w:p w14:paraId="67430EE7" w14:textId="5960ACB5" w:rsidR="007A7ECF" w:rsidRPr="00E33EFF" w:rsidRDefault="00627D90" w:rsidP="0043660A">
            <w:pPr>
              <w:jc w:val="both"/>
              <w:rPr>
                <w:rFonts w:eastAsia="Arial"/>
              </w:rPr>
            </w:pPr>
            <w:r>
              <w:rPr>
                <w:rFonts w:eastAsia="Arial"/>
              </w:rPr>
              <w:t xml:space="preserve">- </w:t>
            </w:r>
            <w:r w:rsidR="007A7ECF" w:rsidRPr="007A7ECF">
              <w:rPr>
                <w:rFonts w:eastAsia="Arial"/>
              </w:rPr>
              <w:t>lanadelumabas kompensuojamas su konfidencialiu kainos susitarimu.</w:t>
            </w:r>
          </w:p>
        </w:tc>
      </w:tr>
      <w:tr w:rsidR="00D03EAA" w:rsidRPr="00E33EFF" w14:paraId="1CC31474" w14:textId="77777777" w:rsidTr="00CE6F92">
        <w:trPr>
          <w:trHeight w:val="1547"/>
        </w:trPr>
        <w:tc>
          <w:tcPr>
            <w:tcW w:w="2405" w:type="dxa"/>
          </w:tcPr>
          <w:p w14:paraId="12218E35" w14:textId="77777777" w:rsidR="00D03EAA" w:rsidRPr="00184175" w:rsidRDefault="00D03EAA" w:rsidP="00D03EAA">
            <w:pPr>
              <w:rPr>
                <w:rFonts w:eastAsia="Arial"/>
              </w:rPr>
            </w:pPr>
            <w:r w:rsidRPr="00184175">
              <w:rPr>
                <w:rFonts w:eastAsia="Arial"/>
              </w:rPr>
              <w:t>Kanados sveikatos technologijų agentūra</w:t>
            </w:r>
          </w:p>
          <w:p w14:paraId="2C593A82" w14:textId="77777777" w:rsidR="00D03EAA" w:rsidRPr="00E33EFF" w:rsidRDefault="00D03EAA" w:rsidP="00D03EAA">
            <w:pPr>
              <w:rPr>
                <w:rFonts w:eastAsia="Arial"/>
                <w:lang w:val="en-GB"/>
              </w:rPr>
            </w:pPr>
            <w:r w:rsidRPr="00184175">
              <w:rPr>
                <w:rFonts w:eastAsia="Arial"/>
              </w:rPr>
              <w:t xml:space="preserve">(angl. </w:t>
            </w:r>
            <w:r w:rsidRPr="00184175">
              <w:rPr>
                <w:rFonts w:eastAsia="Arial"/>
                <w:i/>
              </w:rPr>
              <w:t>Canadian health</w:t>
            </w:r>
            <w:r w:rsidRPr="00E33EFF">
              <w:rPr>
                <w:rFonts w:eastAsia="Arial"/>
                <w:i/>
                <w:lang w:val="en-GB"/>
              </w:rPr>
              <w:t xml:space="preserve"> Technology Assessment agency, CADTH</w:t>
            </w:r>
            <w:r w:rsidRPr="00E33EFF">
              <w:rPr>
                <w:rFonts w:eastAsia="Arial"/>
                <w:lang w:val="en-GB"/>
              </w:rPr>
              <w:t>)</w:t>
            </w:r>
          </w:p>
        </w:tc>
        <w:tc>
          <w:tcPr>
            <w:tcW w:w="2552" w:type="dxa"/>
          </w:tcPr>
          <w:p w14:paraId="3ACF9979" w14:textId="77777777" w:rsidR="00D03EAA" w:rsidRPr="00D03EAA" w:rsidRDefault="00D03EAA" w:rsidP="00D03EAA">
            <w:pPr>
              <w:rPr>
                <w:rFonts w:eastAsia="Arial"/>
              </w:rPr>
            </w:pPr>
            <w:r w:rsidRPr="00D03EAA">
              <w:rPr>
                <w:rFonts w:ascii="Segoe UI Symbol" w:eastAsia="Arial" w:hAnsi="Segoe UI Symbol" w:cs="Segoe UI Symbol"/>
              </w:rPr>
              <w:t>☒</w:t>
            </w:r>
            <w:r w:rsidRPr="00D03EAA">
              <w:rPr>
                <w:rFonts w:eastAsia="Arial"/>
              </w:rPr>
              <w:t xml:space="preserve"> Taip</w:t>
            </w:r>
          </w:p>
          <w:p w14:paraId="493F98BD" w14:textId="77777777" w:rsidR="00D03EAA" w:rsidRPr="00D03EAA" w:rsidRDefault="00D03EAA" w:rsidP="00D03EAA">
            <w:pPr>
              <w:rPr>
                <w:rFonts w:eastAsia="Arial"/>
              </w:rPr>
            </w:pPr>
            <w:r w:rsidRPr="00D03EAA">
              <w:rPr>
                <w:rFonts w:ascii="Segoe UI Symbol" w:eastAsia="Arial" w:hAnsi="Segoe UI Symbol" w:cs="Segoe UI Symbol"/>
              </w:rPr>
              <w:t>☐</w:t>
            </w:r>
            <w:r w:rsidRPr="00D03EAA">
              <w:rPr>
                <w:rFonts w:eastAsia="Arial"/>
              </w:rPr>
              <w:t xml:space="preserve"> Ne</w:t>
            </w:r>
          </w:p>
          <w:p w14:paraId="0C0988CC" w14:textId="27D3718A" w:rsidR="00D03EAA" w:rsidRPr="00E33EFF" w:rsidRDefault="00D03EAA" w:rsidP="00D03EAA">
            <w:pPr>
              <w:rPr>
                <w:rFonts w:eastAsia="Arial"/>
              </w:rPr>
            </w:pPr>
            <w:r w:rsidRPr="00D03EAA">
              <w:rPr>
                <w:rFonts w:eastAsia="Arial"/>
              </w:rPr>
              <w:t>2020 m. sausio 9 d.</w:t>
            </w:r>
          </w:p>
        </w:tc>
        <w:tc>
          <w:tcPr>
            <w:tcW w:w="4536" w:type="dxa"/>
            <w:gridSpan w:val="2"/>
          </w:tcPr>
          <w:p w14:paraId="72D99829" w14:textId="67832058" w:rsidR="00D03EAA" w:rsidRDefault="00D03EAA" w:rsidP="00D03EAA">
            <w:pPr>
              <w:spacing w:line="276" w:lineRule="auto"/>
            </w:pPr>
            <w:r>
              <w:t>Profilaktik</w:t>
            </w:r>
            <w:r w:rsidR="00CB779C">
              <w:t>ai</w:t>
            </w:r>
          </w:p>
          <w:p w14:paraId="20AF4054" w14:textId="150F46ED" w:rsidR="00D03EAA" w:rsidRDefault="00D03EAA" w:rsidP="00D03EAA">
            <w:pPr>
              <w:pStyle w:val="ListParagraph"/>
              <w:numPr>
                <w:ilvl w:val="0"/>
                <w:numId w:val="15"/>
              </w:numPr>
              <w:spacing w:line="276" w:lineRule="auto"/>
              <w:rPr>
                <w:rFonts w:eastAsia="Arial"/>
              </w:rPr>
            </w:pPr>
            <w:r>
              <w:rPr>
                <w:rFonts w:eastAsia="Arial"/>
              </w:rPr>
              <w:t>12 metų ir vyresni</w:t>
            </w:r>
            <w:r w:rsidR="00CB779C">
              <w:rPr>
                <w:rFonts w:eastAsia="Arial"/>
              </w:rPr>
              <w:t>ems</w:t>
            </w:r>
            <w:r w:rsidR="00CB779C">
              <w:t xml:space="preserve"> pacientams</w:t>
            </w:r>
            <w:r w:rsidR="00F7771B">
              <w:t>.</w:t>
            </w:r>
          </w:p>
          <w:p w14:paraId="7E438B7D" w14:textId="56BACC67" w:rsidR="00D03EAA" w:rsidRDefault="00D03EAA" w:rsidP="00D03EAA">
            <w:pPr>
              <w:pStyle w:val="ListParagraph"/>
              <w:numPr>
                <w:ilvl w:val="0"/>
                <w:numId w:val="15"/>
              </w:numPr>
              <w:spacing w:line="276" w:lineRule="auto"/>
              <w:rPr>
                <w:rFonts w:eastAsia="Arial"/>
              </w:rPr>
            </w:pPr>
            <w:r>
              <w:rPr>
                <w:rFonts w:eastAsia="Arial"/>
              </w:rPr>
              <w:t>PAE I arba II diagnozę nustato gydytojas specialistas (PAE)</w:t>
            </w:r>
            <w:r w:rsidR="00F7771B">
              <w:rPr>
                <w:rFonts w:eastAsia="Arial"/>
              </w:rPr>
              <w:t>.</w:t>
            </w:r>
          </w:p>
          <w:p w14:paraId="1B4E1531" w14:textId="1F852273" w:rsidR="00804693" w:rsidRPr="00090471" w:rsidRDefault="00D03EAA" w:rsidP="00090471">
            <w:pPr>
              <w:pStyle w:val="ListParagraph"/>
              <w:numPr>
                <w:ilvl w:val="0"/>
                <w:numId w:val="15"/>
              </w:numPr>
              <w:spacing w:line="276" w:lineRule="auto"/>
              <w:rPr>
                <w:rFonts w:eastAsia="Arial"/>
              </w:rPr>
            </w:pPr>
            <w:r w:rsidRPr="00090471">
              <w:rPr>
                <w:rFonts w:eastAsia="Arial"/>
              </w:rPr>
              <w:t>Pacientas patyrė ≥ 3 priepuolius per keturi</w:t>
            </w:r>
            <w:r w:rsidR="00CB779C" w:rsidRPr="00090471">
              <w:rPr>
                <w:rFonts w:eastAsia="Arial"/>
              </w:rPr>
              <w:t>a</w:t>
            </w:r>
            <w:r w:rsidRPr="00090471">
              <w:rPr>
                <w:rFonts w:eastAsia="Arial"/>
              </w:rPr>
              <w:t xml:space="preserve">s savaites iki </w:t>
            </w:r>
            <w:r w:rsidR="00CB779C" w:rsidRPr="00090471">
              <w:rPr>
                <w:rFonts w:eastAsia="Arial"/>
              </w:rPr>
              <w:t xml:space="preserve">gydymo </w:t>
            </w:r>
            <w:r w:rsidRPr="00090471">
              <w:rPr>
                <w:rFonts w:eastAsia="Arial"/>
              </w:rPr>
              <w:t>lanadelumab</w:t>
            </w:r>
            <w:r w:rsidR="00CB779C" w:rsidRPr="00090471">
              <w:rPr>
                <w:rFonts w:eastAsia="Arial"/>
              </w:rPr>
              <w:t>u</w:t>
            </w:r>
            <w:r w:rsidRPr="00090471">
              <w:rPr>
                <w:rFonts w:eastAsia="Arial"/>
              </w:rPr>
              <w:t xml:space="preserve"> </w:t>
            </w:r>
            <w:r w:rsidR="00804693" w:rsidRPr="00090471">
              <w:rPr>
                <w:rFonts w:eastAsia="Arial"/>
              </w:rPr>
              <w:t xml:space="preserve">pradžios </w:t>
            </w:r>
            <w:r w:rsidR="00090471" w:rsidRPr="00090471">
              <w:rPr>
                <w:rFonts w:eastAsia="Arial"/>
              </w:rPr>
              <w:t xml:space="preserve">ir dėl šių priepuolių buvo reikalingas </w:t>
            </w:r>
            <w:r w:rsidR="00F7771B">
              <w:rPr>
                <w:rFonts w:eastAsia="Arial"/>
              </w:rPr>
              <w:t xml:space="preserve">skubus </w:t>
            </w:r>
            <w:r w:rsidR="00090471" w:rsidRPr="00090471">
              <w:rPr>
                <w:rFonts w:eastAsia="Arial"/>
              </w:rPr>
              <w:t>gydymas</w:t>
            </w:r>
            <w:r w:rsidR="00804693">
              <w:t>.</w:t>
            </w:r>
          </w:p>
          <w:p w14:paraId="5C8CB330" w14:textId="5DBEB144" w:rsidR="00D03EAA" w:rsidRPr="00E33EFF" w:rsidRDefault="00D03EAA" w:rsidP="00D03EAA">
            <w:pPr>
              <w:rPr>
                <w:rFonts w:eastAsia="Arial"/>
              </w:rPr>
            </w:pPr>
            <w:r w:rsidRPr="00E7714E">
              <w:rPr>
                <w:rFonts w:eastAsia="Arial"/>
              </w:rPr>
              <w:t>L</w:t>
            </w:r>
            <w:r>
              <w:rPr>
                <w:rFonts w:eastAsia="Arial"/>
              </w:rPr>
              <w:t>anadelumabo</w:t>
            </w:r>
            <w:r w:rsidRPr="00E7714E">
              <w:rPr>
                <w:rFonts w:eastAsia="Arial"/>
              </w:rPr>
              <w:t xml:space="preserve"> </w:t>
            </w:r>
            <w:r>
              <w:rPr>
                <w:rFonts w:eastAsia="Arial"/>
              </w:rPr>
              <w:t>kaina turi būti sumažinta.</w:t>
            </w:r>
          </w:p>
        </w:tc>
      </w:tr>
      <w:tr w:rsidR="00D03EAA" w:rsidRPr="00E33EFF" w14:paraId="21C94D47" w14:textId="77777777" w:rsidTr="00CE6F92">
        <w:trPr>
          <w:trHeight w:val="557"/>
        </w:trPr>
        <w:tc>
          <w:tcPr>
            <w:tcW w:w="2405" w:type="dxa"/>
          </w:tcPr>
          <w:p w14:paraId="02F45BB8" w14:textId="77777777" w:rsidR="00D03EAA" w:rsidRPr="00E33EFF" w:rsidRDefault="00D03EAA" w:rsidP="00824B92">
            <w:pPr>
              <w:rPr>
                <w:rFonts w:eastAsia="Arial"/>
              </w:rPr>
            </w:pPr>
            <w:r w:rsidRPr="00E33EFF">
              <w:rPr>
                <w:rFonts w:eastAsia="Arial"/>
              </w:rPr>
              <w:t>Nacionalinis farmakoekonomikos centras, Airija</w:t>
            </w:r>
          </w:p>
          <w:p w14:paraId="736F5072" w14:textId="77777777" w:rsidR="00D03EAA" w:rsidRPr="00E33EFF" w:rsidRDefault="00D03EAA" w:rsidP="00824B92">
            <w:pPr>
              <w:rPr>
                <w:rFonts w:eastAsia="Arial"/>
              </w:rPr>
            </w:pPr>
            <w:r w:rsidRPr="00E33EFF">
              <w:rPr>
                <w:rFonts w:eastAsia="Arial"/>
              </w:rPr>
              <w:lastRenderedPageBreak/>
              <w:t>(angl.</w:t>
            </w:r>
            <w:r w:rsidRPr="00E33EFF">
              <w:rPr>
                <w:rFonts w:eastAsia="Arial"/>
                <w:i/>
              </w:rPr>
              <w:t xml:space="preserve"> National Centre for Pharmacoeconomics, NCPE</w:t>
            </w:r>
            <w:r w:rsidRPr="00E33EFF">
              <w:rPr>
                <w:rFonts w:eastAsia="Arial"/>
              </w:rPr>
              <w:t>)</w:t>
            </w:r>
          </w:p>
        </w:tc>
        <w:tc>
          <w:tcPr>
            <w:tcW w:w="2552" w:type="dxa"/>
          </w:tcPr>
          <w:p w14:paraId="07453693" w14:textId="77777777" w:rsidR="0088233A" w:rsidRPr="00E7714E" w:rsidRDefault="0039524C" w:rsidP="0088233A">
            <w:sdt>
              <w:sdtPr>
                <w:rPr>
                  <w:rStyle w:val="Style2"/>
                </w:rPr>
                <w:id w:val="-505750547"/>
                <w15:color w:val="FFCC00"/>
                <w14:checkbox>
                  <w14:checked w14:val="0"/>
                  <w14:checkedState w14:val="2612" w14:font="MS Gothic"/>
                  <w14:uncheckedState w14:val="2610" w14:font="MS Gothic"/>
                </w14:checkbox>
              </w:sdtPr>
              <w:sdtEndPr>
                <w:rPr>
                  <w:rStyle w:val="Style2"/>
                </w:rPr>
              </w:sdtEndPr>
              <w:sdtContent>
                <w:r w:rsidR="0088233A" w:rsidRPr="00E7714E">
                  <w:rPr>
                    <w:rStyle w:val="Style2"/>
                    <w:rFonts w:ascii="Segoe UI Symbol" w:eastAsia="MS Gothic" w:hAnsi="Segoe UI Symbol" w:cs="Segoe UI Symbol"/>
                  </w:rPr>
                  <w:t>☐</w:t>
                </w:r>
              </w:sdtContent>
            </w:sdt>
            <w:r w:rsidR="0088233A" w:rsidRPr="00E7714E">
              <w:t xml:space="preserve"> Taip</w:t>
            </w:r>
          </w:p>
          <w:p w14:paraId="054B5908" w14:textId="77777777" w:rsidR="0088233A" w:rsidRPr="00E7714E" w:rsidRDefault="0039524C" w:rsidP="0088233A">
            <w:sdt>
              <w:sdtPr>
                <w:rPr>
                  <w:rStyle w:val="Style2"/>
                </w:rPr>
                <w:id w:val="2138604772"/>
                <w15:color w:val="FFCC00"/>
                <w14:checkbox>
                  <w14:checked w14:val="1"/>
                  <w14:checkedState w14:val="2612" w14:font="MS Gothic"/>
                  <w14:uncheckedState w14:val="2610" w14:font="MS Gothic"/>
                </w14:checkbox>
              </w:sdtPr>
              <w:sdtEndPr>
                <w:rPr>
                  <w:rStyle w:val="Style2"/>
                </w:rPr>
              </w:sdtEndPr>
              <w:sdtContent>
                <w:r w:rsidR="0088233A">
                  <w:rPr>
                    <w:rStyle w:val="Style2"/>
                    <w:rFonts w:ascii="MS Gothic" w:eastAsia="MS Gothic" w:hAnsi="MS Gothic" w:hint="eastAsia"/>
                  </w:rPr>
                  <w:t>☒</w:t>
                </w:r>
              </w:sdtContent>
            </w:sdt>
            <w:r w:rsidR="0088233A" w:rsidRPr="00E7714E">
              <w:t xml:space="preserve"> Ne</w:t>
            </w:r>
          </w:p>
          <w:p w14:paraId="36A34127" w14:textId="77777777" w:rsidR="0088233A" w:rsidRDefault="0039524C" w:rsidP="0088233A">
            <w:pPr>
              <w:spacing w:line="276" w:lineRule="auto"/>
              <w:rPr>
                <w:rFonts w:eastAsia="Arial"/>
              </w:rPr>
            </w:pPr>
            <w:sdt>
              <w:sdtPr>
                <w:alias w:val="Nurodykite konkrečią dieną"/>
                <w:tag w:val="Nurodykite pradžios datą"/>
                <w:id w:val="-2030251134"/>
                <w:placeholder>
                  <w:docPart w:val="AFCE448C628D4CCB8BB815B662D96C7B"/>
                </w:placeholder>
                <w15:color w:val="FFCC99"/>
                <w:date w:fullDate="2020-06-26T00:00:00Z">
                  <w:dateFormat w:val="yyyy 'm.' MMMM d 'd.'"/>
                  <w:lid w:val="lt-LT"/>
                  <w:storeMappedDataAs w:val="dateTime"/>
                  <w:calendar w:val="gregorian"/>
                </w:date>
              </w:sdtPr>
              <w:sdtEndPr/>
              <w:sdtContent>
                <w:r w:rsidR="0088233A">
                  <w:t>2020 m. birželio 26 d.</w:t>
                </w:r>
              </w:sdtContent>
            </w:sdt>
          </w:p>
          <w:p w14:paraId="30074651" w14:textId="77777777" w:rsidR="0088233A" w:rsidRPr="00E7714E" w:rsidRDefault="0039524C" w:rsidP="0088233A">
            <w:sdt>
              <w:sdtPr>
                <w:rPr>
                  <w:rStyle w:val="Style2"/>
                </w:rPr>
                <w:id w:val="-1888403732"/>
                <w15:color w:val="FFCC00"/>
                <w14:checkbox>
                  <w14:checked w14:val="1"/>
                  <w14:checkedState w14:val="2612" w14:font="MS Gothic"/>
                  <w14:uncheckedState w14:val="2610" w14:font="MS Gothic"/>
                </w14:checkbox>
              </w:sdtPr>
              <w:sdtEndPr>
                <w:rPr>
                  <w:rStyle w:val="Style2"/>
                </w:rPr>
              </w:sdtEndPr>
              <w:sdtContent>
                <w:r w:rsidR="0088233A">
                  <w:rPr>
                    <w:rStyle w:val="Style2"/>
                    <w:rFonts w:ascii="MS Gothic" w:eastAsia="MS Gothic" w:hAnsi="MS Gothic" w:hint="eastAsia"/>
                  </w:rPr>
                  <w:t>☒</w:t>
                </w:r>
              </w:sdtContent>
            </w:sdt>
            <w:r w:rsidR="0088233A" w:rsidRPr="00E7714E">
              <w:t xml:space="preserve"> Taip</w:t>
            </w:r>
            <w:r w:rsidR="0088233A">
              <w:t>*</w:t>
            </w:r>
          </w:p>
          <w:p w14:paraId="22216067" w14:textId="77777777" w:rsidR="0088233A" w:rsidRPr="00E7714E" w:rsidRDefault="0039524C" w:rsidP="0088233A">
            <w:sdt>
              <w:sdtPr>
                <w:rPr>
                  <w:rStyle w:val="Style2"/>
                </w:rPr>
                <w:id w:val="1092201793"/>
                <w15:color w:val="FFCC00"/>
                <w14:checkbox>
                  <w14:checked w14:val="0"/>
                  <w14:checkedState w14:val="2612" w14:font="MS Gothic"/>
                  <w14:uncheckedState w14:val="2610" w14:font="MS Gothic"/>
                </w14:checkbox>
              </w:sdtPr>
              <w:sdtEndPr>
                <w:rPr>
                  <w:rStyle w:val="Style2"/>
                </w:rPr>
              </w:sdtEndPr>
              <w:sdtContent>
                <w:r w:rsidR="0088233A" w:rsidRPr="00E7714E">
                  <w:rPr>
                    <w:rStyle w:val="Style2"/>
                    <w:rFonts w:ascii="Segoe UI Symbol" w:eastAsia="MS Gothic" w:hAnsi="Segoe UI Symbol" w:cs="Segoe UI Symbol"/>
                  </w:rPr>
                  <w:t>☐</w:t>
                </w:r>
              </w:sdtContent>
            </w:sdt>
            <w:r w:rsidR="0088233A" w:rsidRPr="00E7714E">
              <w:t xml:space="preserve"> Ne</w:t>
            </w:r>
          </w:p>
          <w:p w14:paraId="69AA1151" w14:textId="757C1420" w:rsidR="00D03EAA" w:rsidRPr="00E33EFF" w:rsidRDefault="0039524C" w:rsidP="0088233A">
            <w:pPr>
              <w:rPr>
                <w:rFonts w:eastAsia="Arial"/>
              </w:rPr>
            </w:pPr>
            <w:sdt>
              <w:sdtPr>
                <w:alias w:val="Nurodykite konkrečią dieną"/>
                <w:tag w:val="Nurodykite pradžios datą"/>
                <w:id w:val="-198323198"/>
                <w:placeholder>
                  <w:docPart w:val="EFBE3A64C2E04EFCB43A8E2A7F765E5A"/>
                </w:placeholder>
                <w15:color w:val="FFCC99"/>
                <w:date w:fullDate="2021-09-01T00:00:00Z">
                  <w:dateFormat w:val="yyyy 'm.' MMMM d 'd.'"/>
                  <w:lid w:val="lt-LT"/>
                  <w:storeMappedDataAs w:val="dateTime"/>
                  <w:calendar w:val="gregorian"/>
                </w:date>
              </w:sdtPr>
              <w:sdtEndPr/>
              <w:sdtContent>
                <w:r w:rsidR="0088233A">
                  <w:t>2021 m. rugsėjo 1 d.</w:t>
                </w:r>
              </w:sdtContent>
            </w:sdt>
          </w:p>
        </w:tc>
        <w:tc>
          <w:tcPr>
            <w:tcW w:w="4536" w:type="dxa"/>
            <w:gridSpan w:val="2"/>
          </w:tcPr>
          <w:p w14:paraId="39A486DE" w14:textId="019AD678" w:rsidR="0088233A" w:rsidRPr="00E7714E" w:rsidRDefault="0088233A" w:rsidP="0043660A">
            <w:pPr>
              <w:spacing w:line="276" w:lineRule="auto"/>
              <w:jc w:val="both"/>
              <w:rPr>
                <w:rFonts w:eastAsia="Arial"/>
              </w:rPr>
            </w:pPr>
            <w:r>
              <w:rPr>
                <w:rFonts w:eastAsia="Arial"/>
              </w:rPr>
              <w:lastRenderedPageBreak/>
              <w:t xml:space="preserve">Lanadelumabas </w:t>
            </w:r>
            <w:r w:rsidR="00AB2A9F">
              <w:rPr>
                <w:rFonts w:eastAsia="Arial"/>
              </w:rPr>
              <w:t>rekomenduojamas</w:t>
            </w:r>
            <w:r>
              <w:rPr>
                <w:rFonts w:eastAsia="Arial"/>
              </w:rPr>
              <w:t xml:space="preserve"> paveldimos angioedemos priepuolių rutininei profilaktikai</w:t>
            </w:r>
            <w:r w:rsidRPr="00FE4F9E">
              <w:rPr>
                <w:rFonts w:eastAsia="Arial"/>
              </w:rPr>
              <w:t xml:space="preserve"> </w:t>
            </w:r>
            <w:r>
              <w:rPr>
                <w:rFonts w:eastAsia="Arial"/>
              </w:rPr>
              <w:t>pacientams nuo 12 metų</w:t>
            </w:r>
            <w:r w:rsidR="00C245A2">
              <w:rPr>
                <w:rFonts w:eastAsia="Arial"/>
              </w:rPr>
              <w:t>.</w:t>
            </w:r>
          </w:p>
          <w:p w14:paraId="60651AFD" w14:textId="11C58DD9" w:rsidR="00D03EAA" w:rsidRPr="00E33EFF" w:rsidRDefault="0088233A" w:rsidP="0043660A">
            <w:pPr>
              <w:jc w:val="both"/>
              <w:rPr>
                <w:rFonts w:eastAsia="Arial"/>
              </w:rPr>
            </w:pPr>
            <w:r>
              <w:rPr>
                <w:rFonts w:eastAsia="Arial"/>
              </w:rPr>
              <w:lastRenderedPageBreak/>
              <w:t>NFEC rekomenduoja nekompensuoti lanadelumabo, jeigu kaštų naudingumas nebus pagerintas atsižvelgiant į šiuo metu taikom</w:t>
            </w:r>
            <w:r w:rsidR="00AB2A9F">
              <w:rPr>
                <w:rFonts w:eastAsia="Arial"/>
              </w:rPr>
              <w:t>ą</w:t>
            </w:r>
            <w:r>
              <w:rPr>
                <w:rFonts w:eastAsia="Arial"/>
              </w:rPr>
              <w:t xml:space="preserve"> </w:t>
            </w:r>
            <w:r w:rsidR="00AB2A9F">
              <w:rPr>
                <w:rFonts w:eastAsia="Arial"/>
              </w:rPr>
              <w:t>terapiją</w:t>
            </w:r>
            <w:r>
              <w:rPr>
                <w:rFonts w:eastAsia="Arial"/>
              </w:rPr>
              <w:t xml:space="preserve">. Kompensavimas suteiktas po </w:t>
            </w:r>
            <w:r w:rsidR="00AB2A9F">
              <w:rPr>
                <w:rFonts w:eastAsia="Arial"/>
              </w:rPr>
              <w:t>konfidencialių</w:t>
            </w:r>
            <w:r>
              <w:rPr>
                <w:rFonts w:eastAsia="Arial"/>
              </w:rPr>
              <w:t xml:space="preserve"> derybų dėl kainos</w:t>
            </w:r>
            <w:r w:rsidRPr="009D6364">
              <w:rPr>
                <w:rFonts w:eastAsia="Arial"/>
              </w:rPr>
              <w:t>*</w:t>
            </w:r>
          </w:p>
        </w:tc>
      </w:tr>
    </w:tbl>
    <w:p w14:paraId="2EB7FD31" w14:textId="4D2A8479" w:rsidR="007A2B68" w:rsidRDefault="007A2B68" w:rsidP="00E03C3F">
      <w:pPr>
        <w:pStyle w:val="ListParagraph"/>
        <w:tabs>
          <w:tab w:val="left" w:pos="426"/>
        </w:tabs>
        <w:ind w:left="0"/>
        <w:rPr>
          <w:b/>
          <w:bCs/>
          <w:caps/>
        </w:rPr>
      </w:pPr>
    </w:p>
    <w:p w14:paraId="5055E8A8" w14:textId="005077E3" w:rsidR="002E6F80" w:rsidRPr="00F26368" w:rsidRDefault="00CC7832" w:rsidP="00F26368">
      <w:pPr>
        <w:pStyle w:val="ListParagraph"/>
        <w:numPr>
          <w:ilvl w:val="0"/>
          <w:numId w:val="12"/>
        </w:numPr>
        <w:rPr>
          <w:b/>
          <w:bCs/>
          <w:caps/>
        </w:rPr>
      </w:pPr>
      <w:r w:rsidRPr="00F26368">
        <w:rPr>
          <w:b/>
          <w:bCs/>
          <w:caps/>
        </w:rPr>
        <w:t>Klinikinio vertinimo a</w:t>
      </w:r>
      <w:r w:rsidR="00D4485B" w:rsidRPr="00F26368">
        <w:rPr>
          <w:b/>
          <w:bCs/>
          <w:caps/>
        </w:rPr>
        <w:t>pibendrinimas</w:t>
      </w:r>
    </w:p>
    <w:p w14:paraId="7B8501F6" w14:textId="77777777" w:rsidR="00C245A2" w:rsidRDefault="008323AC" w:rsidP="008323AC">
      <w:pPr>
        <w:tabs>
          <w:tab w:val="left" w:pos="426"/>
        </w:tabs>
        <w:jc w:val="both"/>
        <w:rPr>
          <w:b/>
          <w:bCs/>
          <w:caps/>
        </w:rPr>
      </w:pPr>
      <w:r>
        <w:rPr>
          <w:b/>
          <w:bCs/>
          <w:caps/>
        </w:rPr>
        <w:tab/>
      </w:r>
    </w:p>
    <w:p w14:paraId="6D504E63" w14:textId="51C0F68B" w:rsidR="008323AC" w:rsidRPr="00E7714E" w:rsidRDefault="00C245A2" w:rsidP="00090471">
      <w:pPr>
        <w:tabs>
          <w:tab w:val="left" w:pos="567"/>
        </w:tabs>
        <w:jc w:val="both"/>
        <w:rPr>
          <w:rFonts w:eastAsia="Arial"/>
          <w:color w:val="000000" w:themeColor="text1"/>
        </w:rPr>
      </w:pPr>
      <w:r>
        <w:rPr>
          <w:b/>
          <w:bCs/>
          <w:caps/>
        </w:rPr>
        <w:tab/>
      </w:r>
      <w:bookmarkStart w:id="0" w:name="_Hlk120197110"/>
      <w:r w:rsidR="008323AC" w:rsidRPr="00E7714E">
        <w:rPr>
          <w:rFonts w:eastAsia="Arial"/>
          <w:color w:val="000000" w:themeColor="text1"/>
        </w:rPr>
        <w:t>P</w:t>
      </w:r>
      <w:r w:rsidR="008323AC">
        <w:rPr>
          <w:rFonts w:eastAsia="Arial"/>
          <w:color w:val="000000" w:themeColor="text1"/>
        </w:rPr>
        <w:t>aveldima angioedema (P</w:t>
      </w:r>
      <w:r w:rsidR="008323AC" w:rsidRPr="00E7714E">
        <w:rPr>
          <w:rFonts w:eastAsia="Arial"/>
          <w:color w:val="000000" w:themeColor="text1"/>
        </w:rPr>
        <w:t>AE</w:t>
      </w:r>
      <w:r w:rsidR="008323AC">
        <w:rPr>
          <w:rFonts w:eastAsia="Arial"/>
          <w:color w:val="000000" w:themeColor="text1"/>
        </w:rPr>
        <w:t>)</w:t>
      </w:r>
      <w:r w:rsidR="008323AC" w:rsidRPr="00E7714E">
        <w:rPr>
          <w:rFonts w:eastAsia="Arial"/>
          <w:color w:val="000000" w:themeColor="text1"/>
        </w:rPr>
        <w:t xml:space="preserve"> – sunki, reta, genetinė autosominiu–dominantiniu būdu paveldima liga, pasireiškianti vienam iš 50 000 gyventojų. Lietuvoje 2021 m. duomenimis asmenų, kuriems diagnozuota PAE, yra 30. Ši liga atsiranda dėl paveldėtų ar spontaninių genetinių mutacijų, dėl kurių sutrinka C1 esterazės inhibitoriaus funkcija, aktyvumas arba gamyba, </w:t>
      </w:r>
      <w:r>
        <w:rPr>
          <w:rFonts w:eastAsia="Arial"/>
          <w:color w:val="000000" w:themeColor="text1"/>
        </w:rPr>
        <w:t xml:space="preserve">dėl </w:t>
      </w:r>
      <w:r w:rsidR="008323AC" w:rsidRPr="00E7714E">
        <w:rPr>
          <w:rFonts w:eastAsia="Arial"/>
          <w:color w:val="000000" w:themeColor="text1"/>
        </w:rPr>
        <w:t>ko pacientai patiria pasikartojančius pood</w:t>
      </w:r>
      <w:r>
        <w:rPr>
          <w:rFonts w:eastAsia="Arial"/>
          <w:color w:val="000000" w:themeColor="text1"/>
        </w:rPr>
        <w:t xml:space="preserve">inių audinių </w:t>
      </w:r>
      <w:r w:rsidR="008323AC" w:rsidRPr="00E7714E">
        <w:rPr>
          <w:rFonts w:eastAsia="Arial"/>
          <w:color w:val="000000" w:themeColor="text1"/>
        </w:rPr>
        <w:t xml:space="preserve"> arba gleivinės tinimo priepuolius dėl </w:t>
      </w:r>
      <w:r>
        <w:rPr>
          <w:rFonts w:eastAsia="Arial"/>
          <w:color w:val="000000" w:themeColor="text1"/>
        </w:rPr>
        <w:t>stipraus</w:t>
      </w:r>
      <w:r w:rsidR="008323AC" w:rsidRPr="00E7714E">
        <w:rPr>
          <w:rFonts w:eastAsia="Arial"/>
          <w:color w:val="000000" w:themeColor="text1"/>
        </w:rPr>
        <w:t xml:space="preserve"> bradikinino išsiskyrimo </w:t>
      </w:r>
      <w:r>
        <w:rPr>
          <w:rFonts w:eastAsia="Arial"/>
          <w:color w:val="000000" w:themeColor="text1"/>
        </w:rPr>
        <w:t>sukelto</w:t>
      </w:r>
      <w:r w:rsidR="008323AC" w:rsidRPr="00E7714E">
        <w:rPr>
          <w:rFonts w:eastAsia="Arial"/>
          <w:color w:val="000000" w:themeColor="text1"/>
        </w:rPr>
        <w:t xml:space="preserve"> kraujagyslių išsiplėtimo ir </w:t>
      </w:r>
      <w:r>
        <w:rPr>
          <w:rFonts w:eastAsia="Arial"/>
          <w:color w:val="000000" w:themeColor="text1"/>
        </w:rPr>
        <w:t xml:space="preserve">jų pralaidumo </w:t>
      </w:r>
      <w:r w:rsidR="008323AC" w:rsidRPr="00E7714E">
        <w:rPr>
          <w:rFonts w:eastAsia="Arial"/>
          <w:color w:val="000000" w:themeColor="text1"/>
        </w:rPr>
        <w:t>padidėj</w:t>
      </w:r>
      <w:r>
        <w:rPr>
          <w:rFonts w:eastAsia="Arial"/>
          <w:color w:val="000000" w:themeColor="text1"/>
        </w:rPr>
        <w:t>imo</w:t>
      </w:r>
      <w:r w:rsidR="008323AC" w:rsidRPr="00E7714E">
        <w:rPr>
          <w:rFonts w:eastAsia="Arial"/>
          <w:color w:val="000000" w:themeColor="text1"/>
        </w:rPr>
        <w:t>.</w:t>
      </w:r>
      <w:r w:rsidR="008323AC">
        <w:rPr>
          <w:rFonts w:eastAsia="Arial"/>
          <w:color w:val="000000" w:themeColor="text1"/>
        </w:rPr>
        <w:t xml:space="preserve"> </w:t>
      </w:r>
      <w:r w:rsidR="00C62A3E" w:rsidRPr="00E7714E">
        <w:rPr>
          <w:rFonts w:eastAsia="Arial"/>
          <w:color w:val="000000" w:themeColor="text1"/>
        </w:rPr>
        <w:t>Dažniausiai diagnozuojama I–ojo tipo PAE – 85 proc ir II – jo tipo apie 15 proc. PAE III tipas nėra pateiktas paraiškos vertinim</w:t>
      </w:r>
      <w:r w:rsidR="002D3E5B">
        <w:rPr>
          <w:rFonts w:eastAsia="Arial"/>
          <w:color w:val="000000" w:themeColor="text1"/>
        </w:rPr>
        <w:t>ui</w:t>
      </w:r>
      <w:r w:rsidR="00C62A3E" w:rsidRPr="00E7714E">
        <w:rPr>
          <w:rFonts w:eastAsia="Arial"/>
          <w:color w:val="000000" w:themeColor="text1"/>
        </w:rPr>
        <w:t>.</w:t>
      </w:r>
      <w:r w:rsidR="00C62A3E">
        <w:rPr>
          <w:rFonts w:eastAsia="Arial"/>
          <w:color w:val="000000" w:themeColor="text1"/>
        </w:rPr>
        <w:t xml:space="preserve"> </w:t>
      </w:r>
      <w:r w:rsidR="008323AC" w:rsidRPr="00E7714E">
        <w:rPr>
          <w:rFonts w:eastAsia="Arial"/>
          <w:color w:val="000000" w:themeColor="text1"/>
        </w:rPr>
        <w:t>Vidutinis pacientų amžius diagnozės metu apie 11 metų, ir apie 50 proc. pacientų pirmą kartą PAE priepuolį patiria iki 10 metų amžiaus. Priepuolių dažnis, trukmė ir sunkumas neprognozuojami – bet kuris paskesnis priepuolis gali baigtis mirtimi. Vidutiniškai pacientai gali patirti apie 27 priepuolius</w:t>
      </w:r>
      <w:r w:rsidR="00174796">
        <w:rPr>
          <w:rFonts w:eastAsia="Arial"/>
          <w:color w:val="000000" w:themeColor="text1"/>
        </w:rPr>
        <w:t xml:space="preserve"> per </w:t>
      </w:r>
      <w:r w:rsidR="008323AC" w:rsidRPr="00E7714E">
        <w:rPr>
          <w:rFonts w:eastAsia="Arial"/>
          <w:color w:val="000000" w:themeColor="text1"/>
        </w:rPr>
        <w:t xml:space="preserve">metus, vieno priepuolio trukmė gali tęstis </w:t>
      </w:r>
      <w:r w:rsidR="002D3E5B">
        <w:rPr>
          <w:rFonts w:eastAsia="Arial"/>
          <w:color w:val="000000" w:themeColor="text1"/>
        </w:rPr>
        <w:t>nuo</w:t>
      </w:r>
      <w:r w:rsidR="008323AC" w:rsidRPr="00E7714E">
        <w:rPr>
          <w:rFonts w:eastAsia="Arial"/>
          <w:color w:val="000000" w:themeColor="text1"/>
        </w:rPr>
        <w:t xml:space="preserve"> 72</w:t>
      </w:r>
      <w:r w:rsidR="00174796">
        <w:rPr>
          <w:rFonts w:eastAsia="Arial"/>
          <w:color w:val="000000" w:themeColor="text1"/>
        </w:rPr>
        <w:t xml:space="preserve"> iki</w:t>
      </w:r>
      <w:r w:rsidR="008323AC" w:rsidRPr="00E7714E">
        <w:rPr>
          <w:rFonts w:eastAsia="Arial"/>
          <w:color w:val="000000" w:themeColor="text1"/>
        </w:rPr>
        <w:t xml:space="preserve"> 96 valandų. PAE simptomai ir </w:t>
      </w:r>
      <w:r w:rsidR="002D3E5B">
        <w:rPr>
          <w:rFonts w:eastAsia="Arial"/>
          <w:color w:val="000000" w:themeColor="text1"/>
        </w:rPr>
        <w:t>ne</w:t>
      </w:r>
      <w:r w:rsidR="008323AC" w:rsidRPr="00E7714E">
        <w:rPr>
          <w:rFonts w:eastAsia="Arial"/>
          <w:color w:val="000000" w:themeColor="text1"/>
        </w:rPr>
        <w:t xml:space="preserve">nuspėjamų priepuolių baimė </w:t>
      </w:r>
      <w:r w:rsidR="00174796">
        <w:rPr>
          <w:rFonts w:eastAsia="Arial"/>
          <w:color w:val="000000" w:themeColor="text1"/>
        </w:rPr>
        <w:t xml:space="preserve">daro </w:t>
      </w:r>
      <w:r w:rsidR="008323AC" w:rsidRPr="00E7714E">
        <w:rPr>
          <w:rFonts w:eastAsia="Arial"/>
          <w:color w:val="000000" w:themeColor="text1"/>
        </w:rPr>
        <w:t>ne</w:t>
      </w:r>
      <w:r w:rsidR="00174796">
        <w:rPr>
          <w:rFonts w:eastAsia="Arial"/>
          <w:color w:val="000000" w:themeColor="text1"/>
        </w:rPr>
        <w:t>palankią</w:t>
      </w:r>
      <w:r w:rsidR="008323AC" w:rsidRPr="00E7714E">
        <w:rPr>
          <w:rFonts w:eastAsia="Arial"/>
          <w:color w:val="000000" w:themeColor="text1"/>
        </w:rPr>
        <w:t xml:space="preserve"> įtak</w:t>
      </w:r>
      <w:r w:rsidR="00174796">
        <w:rPr>
          <w:rFonts w:eastAsia="Arial"/>
          <w:color w:val="000000" w:themeColor="text1"/>
        </w:rPr>
        <w:t>ą</w:t>
      </w:r>
      <w:r w:rsidR="008323AC" w:rsidRPr="00E7714E">
        <w:rPr>
          <w:rFonts w:eastAsia="Arial"/>
          <w:color w:val="000000" w:themeColor="text1"/>
        </w:rPr>
        <w:t xml:space="preserve"> pacientų gyvenim</w:t>
      </w:r>
      <w:r w:rsidR="00174796">
        <w:rPr>
          <w:rFonts w:eastAsia="Arial"/>
          <w:color w:val="000000" w:themeColor="text1"/>
        </w:rPr>
        <w:t xml:space="preserve">ui ir </w:t>
      </w:r>
      <w:r w:rsidR="008323AC" w:rsidRPr="00E7714E">
        <w:rPr>
          <w:rFonts w:eastAsia="Arial"/>
          <w:color w:val="000000" w:themeColor="text1"/>
        </w:rPr>
        <w:t xml:space="preserve"> jų kasdienin</w:t>
      </w:r>
      <w:r w:rsidR="00174796">
        <w:rPr>
          <w:rFonts w:eastAsia="Arial"/>
          <w:color w:val="000000" w:themeColor="text1"/>
        </w:rPr>
        <w:t>ei</w:t>
      </w:r>
      <w:r w:rsidR="008323AC" w:rsidRPr="00E7714E">
        <w:rPr>
          <w:rFonts w:eastAsia="Arial"/>
          <w:color w:val="000000" w:themeColor="text1"/>
        </w:rPr>
        <w:t xml:space="preserve"> veikl</w:t>
      </w:r>
      <w:r w:rsidR="00174796">
        <w:rPr>
          <w:rFonts w:eastAsia="Arial"/>
          <w:color w:val="000000" w:themeColor="text1"/>
        </w:rPr>
        <w:t>ai</w:t>
      </w:r>
      <w:r w:rsidR="008323AC" w:rsidRPr="00E7714E">
        <w:rPr>
          <w:rFonts w:eastAsia="Arial"/>
          <w:color w:val="000000" w:themeColor="text1"/>
        </w:rPr>
        <w:t xml:space="preserve">. </w:t>
      </w:r>
    </w:p>
    <w:p w14:paraId="3CDC1C5C" w14:textId="423609A8" w:rsidR="008323AC" w:rsidRDefault="008323AC" w:rsidP="00090471">
      <w:pPr>
        <w:ind w:firstLine="720"/>
        <w:jc w:val="both"/>
        <w:rPr>
          <w:rFonts w:eastAsia="Arial"/>
          <w:color w:val="000000" w:themeColor="text1"/>
        </w:rPr>
      </w:pPr>
      <w:r w:rsidRPr="00E7714E">
        <w:rPr>
          <w:rFonts w:eastAsia="Arial"/>
          <w:color w:val="000000" w:themeColor="text1"/>
        </w:rPr>
        <w:t>Didžiausią su PAE susijusių tiesioginių išlaidų dalį sudaro gydymas skubios pagalbos skyriuje ir stacionare, o netiesioginių – ligos poveikis paciento nedarbingumui, sumažėjusiam produktyvumui darbe (iki darbo praradimo) bei šeimos funkcionavimui.</w:t>
      </w:r>
      <w:r>
        <w:rPr>
          <w:rFonts w:eastAsia="Arial"/>
          <w:color w:val="000000" w:themeColor="text1"/>
        </w:rPr>
        <w:t xml:space="preserve"> Šiai ligai reikalingas ne</w:t>
      </w:r>
      <w:r w:rsidR="00174796">
        <w:rPr>
          <w:rFonts w:eastAsia="Arial"/>
          <w:color w:val="000000" w:themeColor="text1"/>
        </w:rPr>
        <w:t xml:space="preserve"> </w:t>
      </w:r>
      <w:r>
        <w:rPr>
          <w:rFonts w:eastAsia="Arial"/>
          <w:color w:val="000000" w:themeColor="text1"/>
        </w:rPr>
        <w:t>tik tinkamas priepuolių gydymas, bet ir ilgalaikė priepuolių profilaktika.</w:t>
      </w:r>
    </w:p>
    <w:p w14:paraId="6338BA94" w14:textId="05064283" w:rsidR="008323AC" w:rsidRPr="00E7714E" w:rsidRDefault="00174796" w:rsidP="00AB352C">
      <w:pPr>
        <w:ind w:firstLine="720"/>
        <w:jc w:val="both"/>
        <w:rPr>
          <w:rFonts w:eastAsia="Arial"/>
        </w:rPr>
      </w:pPr>
      <w:r>
        <w:rPr>
          <w:rFonts w:eastAsia="Arial"/>
        </w:rPr>
        <w:t>T</w:t>
      </w:r>
      <w:r w:rsidRPr="00174796">
        <w:rPr>
          <w:rFonts w:eastAsia="Arial"/>
        </w:rPr>
        <w:t>arptautinės paveldimos angioedemos gydymo gairės (</w:t>
      </w:r>
      <w:bookmarkStart w:id="1" w:name="_Hlk120193839"/>
      <w:r w:rsidRPr="00090471">
        <w:rPr>
          <w:rFonts w:eastAsia="Arial"/>
          <w:i/>
        </w:rPr>
        <w:t>T</w:t>
      </w:r>
      <w:r w:rsidRPr="00090471">
        <w:rPr>
          <w:i/>
        </w:rPr>
        <w:t>he international WAO/EAACI guideline for the management of hereditary angioedema—the 2021 revision and update</w:t>
      </w:r>
      <w:bookmarkEnd w:id="1"/>
      <w:r w:rsidR="008323AC" w:rsidRPr="00E7714E">
        <w:rPr>
          <w:rFonts w:eastAsia="Arial"/>
        </w:rPr>
        <w:t>) rekomenduoja tris skirtingus vaistinius preparatus (aukščiausias rekomendacijos lygis –A).</w:t>
      </w:r>
      <w:r>
        <w:rPr>
          <w:rFonts w:eastAsia="Arial"/>
        </w:rPr>
        <w:t xml:space="preserve"> Vienas iš jų –l</w:t>
      </w:r>
      <w:r w:rsidR="008323AC" w:rsidRPr="00E7714E">
        <w:rPr>
          <w:rFonts w:eastAsia="Arial"/>
        </w:rPr>
        <w:t>anadelumabas</w:t>
      </w:r>
      <w:r>
        <w:rPr>
          <w:rFonts w:eastAsia="Arial"/>
        </w:rPr>
        <w:t>.</w:t>
      </w:r>
      <w:r w:rsidR="002D3E5B">
        <w:rPr>
          <w:rFonts w:eastAsia="Arial"/>
        </w:rPr>
        <w:t xml:space="preserve"> </w:t>
      </w:r>
      <w:r>
        <w:rPr>
          <w:rFonts w:eastAsia="Arial"/>
        </w:rPr>
        <w:t>K</w:t>
      </w:r>
      <w:r w:rsidR="008323AC" w:rsidRPr="00E7714E">
        <w:rPr>
          <w:rFonts w:eastAsia="Arial"/>
        </w:rPr>
        <w:t xml:space="preserve">artu su C1INH ir berotralstatu </w:t>
      </w:r>
      <w:r>
        <w:rPr>
          <w:rFonts w:eastAsia="Arial"/>
        </w:rPr>
        <w:t>šie vaistiniai preparatai laikomi</w:t>
      </w:r>
      <w:r w:rsidR="008323AC" w:rsidRPr="00E7714E">
        <w:rPr>
          <w:rFonts w:eastAsia="Arial"/>
        </w:rPr>
        <w:t xml:space="preserve"> pirmo</w:t>
      </w:r>
      <w:r>
        <w:rPr>
          <w:rFonts w:eastAsia="Arial"/>
        </w:rPr>
        <w:t>jo</w:t>
      </w:r>
      <w:r w:rsidR="008323AC" w:rsidRPr="00E7714E">
        <w:rPr>
          <w:rFonts w:eastAsia="Arial"/>
        </w:rPr>
        <w:t xml:space="preserve"> pasirinkimo vaistiniai</w:t>
      </w:r>
      <w:r>
        <w:rPr>
          <w:rFonts w:eastAsia="Arial"/>
        </w:rPr>
        <w:t>s</w:t>
      </w:r>
      <w:r w:rsidR="008323AC" w:rsidRPr="00E7714E">
        <w:rPr>
          <w:rFonts w:eastAsia="Arial"/>
        </w:rPr>
        <w:t xml:space="preserve"> preparatai</w:t>
      </w:r>
      <w:r>
        <w:rPr>
          <w:rFonts w:eastAsia="Arial"/>
        </w:rPr>
        <w:t>s skirt</w:t>
      </w:r>
      <w:r w:rsidR="00420DC0">
        <w:rPr>
          <w:rFonts w:eastAsia="Arial"/>
        </w:rPr>
        <w:t>a</w:t>
      </w:r>
      <w:r>
        <w:rPr>
          <w:rFonts w:eastAsia="Arial"/>
        </w:rPr>
        <w:t>i</w:t>
      </w:r>
      <w:r w:rsidR="00420DC0">
        <w:rPr>
          <w:rFonts w:eastAsia="Arial"/>
        </w:rPr>
        <w:t>s</w:t>
      </w:r>
      <w:r w:rsidR="008323AC" w:rsidRPr="00E7714E">
        <w:rPr>
          <w:rFonts w:eastAsia="Arial"/>
        </w:rPr>
        <w:t xml:space="preserve"> ilgalaikei terapin</w:t>
      </w:r>
      <w:r>
        <w:rPr>
          <w:rFonts w:eastAsia="Arial"/>
        </w:rPr>
        <w:t>e</w:t>
      </w:r>
      <w:r w:rsidR="008323AC" w:rsidRPr="00E7714E">
        <w:rPr>
          <w:rFonts w:eastAsia="Arial"/>
        </w:rPr>
        <w:t xml:space="preserve">i </w:t>
      </w:r>
      <w:r w:rsidRPr="00E7714E">
        <w:rPr>
          <w:rFonts w:eastAsia="Arial"/>
        </w:rPr>
        <w:t xml:space="preserve">PAE </w:t>
      </w:r>
      <w:r w:rsidR="008323AC" w:rsidRPr="00E7714E">
        <w:rPr>
          <w:rFonts w:eastAsia="Arial"/>
        </w:rPr>
        <w:t xml:space="preserve">profilaktikai (WAO/EAACI PAE gydymo </w:t>
      </w:r>
      <w:r>
        <w:rPr>
          <w:rFonts w:eastAsia="Arial"/>
        </w:rPr>
        <w:t>gairės</w:t>
      </w:r>
      <w:r w:rsidR="008323AC" w:rsidRPr="00E7714E">
        <w:rPr>
          <w:rFonts w:eastAsia="Arial"/>
        </w:rPr>
        <w:t>, 2021).</w:t>
      </w:r>
    </w:p>
    <w:p w14:paraId="53088598" w14:textId="58D126A5" w:rsidR="00DA67EC" w:rsidRDefault="008323AC" w:rsidP="009104C2">
      <w:pPr>
        <w:jc w:val="both"/>
        <w:rPr>
          <w:rFonts w:eastAsia="Arial"/>
          <w:color w:val="000000" w:themeColor="text1"/>
        </w:rPr>
      </w:pPr>
      <w:r w:rsidRPr="00E7714E">
        <w:rPr>
          <w:rFonts w:eastAsia="Arial"/>
          <w:color w:val="000000" w:themeColor="text1"/>
        </w:rPr>
        <w:tab/>
      </w:r>
      <w:r w:rsidR="009104C2" w:rsidRPr="00E7714E">
        <w:rPr>
          <w:rFonts w:eastAsia="Arial"/>
          <w:color w:val="000000" w:themeColor="text1"/>
        </w:rPr>
        <w:t xml:space="preserve">Lietuvoje PAE priepuolių ilgalaikis (rutininis) profilaktinis gydymas skiriamas </w:t>
      </w:r>
      <w:r w:rsidR="009104C2">
        <w:rPr>
          <w:rFonts w:eastAsia="Arial"/>
          <w:color w:val="000000" w:themeColor="text1"/>
        </w:rPr>
        <w:t xml:space="preserve">vadovaujantis Lietuvos Respublikos sveikatos apsaugos ministro 2016 m. kovo 29 d. įsakymu Nr. V-408 „Dėl labai retoms būklėms gydyti skirtų vaistinių preparatų ir medicinos pagalbos priemonių sąrašo patvirtinimo“. </w:t>
      </w:r>
      <w:r w:rsidR="00DA67EC">
        <w:rPr>
          <w:rFonts w:eastAsia="Arial"/>
          <w:color w:val="000000" w:themeColor="text1"/>
        </w:rPr>
        <w:t>Šio į</w:t>
      </w:r>
      <w:r w:rsidR="009104C2">
        <w:rPr>
          <w:rFonts w:eastAsia="Arial"/>
          <w:color w:val="000000" w:themeColor="text1"/>
        </w:rPr>
        <w:t>sakymo 4 punkte nurodyta, kad PAE gydymui naudojama „</w:t>
      </w:r>
      <w:r w:rsidR="009104C2" w:rsidRPr="00B36EB6">
        <w:rPr>
          <w:color w:val="000000"/>
          <w:szCs w:val="27"/>
        </w:rPr>
        <w:t xml:space="preserve">C1 </w:t>
      </w:r>
      <w:proofErr w:type="spellStart"/>
      <w:r w:rsidR="009104C2" w:rsidRPr="00B36EB6">
        <w:rPr>
          <w:color w:val="000000"/>
          <w:szCs w:val="27"/>
        </w:rPr>
        <w:t>esterazės</w:t>
      </w:r>
      <w:proofErr w:type="spellEnd"/>
      <w:r w:rsidR="009104C2" w:rsidRPr="00B36EB6">
        <w:rPr>
          <w:color w:val="000000"/>
          <w:szCs w:val="27"/>
        </w:rPr>
        <w:t xml:space="preserve"> inhibitorius (plazmos </w:t>
      </w:r>
      <w:proofErr w:type="spellStart"/>
      <w:r w:rsidR="009104C2" w:rsidRPr="00B36EB6">
        <w:rPr>
          <w:color w:val="000000"/>
          <w:szCs w:val="27"/>
        </w:rPr>
        <w:t>derivatas</w:t>
      </w:r>
      <w:proofErr w:type="spellEnd"/>
      <w:r w:rsidR="009104C2" w:rsidRPr="00B36EB6">
        <w:rPr>
          <w:color w:val="000000"/>
          <w:szCs w:val="27"/>
        </w:rPr>
        <w:t xml:space="preserve">) (injekcijos) arba </w:t>
      </w:r>
      <w:proofErr w:type="spellStart"/>
      <w:r w:rsidR="009104C2" w:rsidRPr="00B36EB6">
        <w:rPr>
          <w:color w:val="000000"/>
          <w:szCs w:val="27"/>
        </w:rPr>
        <w:t>konestatas</w:t>
      </w:r>
      <w:proofErr w:type="spellEnd"/>
      <w:r w:rsidR="009104C2" w:rsidRPr="00B36EB6">
        <w:rPr>
          <w:color w:val="000000"/>
          <w:szCs w:val="27"/>
        </w:rPr>
        <w:t xml:space="preserve"> alfa (injekcijos)</w:t>
      </w:r>
      <w:r w:rsidR="009104C2">
        <w:rPr>
          <w:color w:val="000000"/>
          <w:szCs w:val="27"/>
        </w:rPr>
        <w:t>“. Profilaktinio gydymo šiais vaisti</w:t>
      </w:r>
      <w:r w:rsidR="00DA67EC">
        <w:rPr>
          <w:color w:val="000000"/>
          <w:szCs w:val="27"/>
        </w:rPr>
        <w:t>niais preparatais tvarka yra iš</w:t>
      </w:r>
      <w:r w:rsidR="009104C2">
        <w:rPr>
          <w:color w:val="000000"/>
          <w:szCs w:val="27"/>
        </w:rPr>
        <w:t>dėsty</w:t>
      </w:r>
      <w:r w:rsidR="00DA67EC">
        <w:rPr>
          <w:color w:val="000000"/>
          <w:szCs w:val="27"/>
        </w:rPr>
        <w:t>t</w:t>
      </w:r>
      <w:r w:rsidR="009104C2">
        <w:rPr>
          <w:color w:val="000000"/>
          <w:szCs w:val="27"/>
        </w:rPr>
        <w:t xml:space="preserve">a Įsakymo 4.5 papunktyje, nurodant, kad </w:t>
      </w:r>
      <w:r w:rsidR="009104C2">
        <w:rPr>
          <w:rFonts w:eastAsia="Arial"/>
          <w:color w:val="000000" w:themeColor="text1"/>
        </w:rPr>
        <w:t>„</w:t>
      </w:r>
      <w:r w:rsidR="009104C2">
        <w:rPr>
          <w:lang w:eastAsia="lt-LT"/>
        </w:rPr>
        <w:t xml:space="preserve">Jei taikant profilaktinį gydymą </w:t>
      </w:r>
      <w:proofErr w:type="spellStart"/>
      <w:r w:rsidR="009104C2">
        <w:rPr>
          <w:lang w:eastAsia="lt-LT"/>
        </w:rPr>
        <w:t>traneksamo</w:t>
      </w:r>
      <w:proofErr w:type="spellEnd"/>
      <w:r w:rsidR="009104C2">
        <w:rPr>
          <w:lang w:eastAsia="lt-LT"/>
        </w:rPr>
        <w:t xml:space="preserve"> rūgštimi arba </w:t>
      </w:r>
      <w:proofErr w:type="spellStart"/>
      <w:r w:rsidR="009104C2">
        <w:rPr>
          <w:lang w:eastAsia="lt-LT"/>
        </w:rPr>
        <w:t>danazolu</w:t>
      </w:r>
      <w:proofErr w:type="spellEnd"/>
      <w:r w:rsidR="009104C2">
        <w:rPr>
          <w:lang w:eastAsia="lt-LT"/>
        </w:rPr>
        <w:t xml:space="preserve"> </w:t>
      </w:r>
      <w:proofErr w:type="spellStart"/>
      <w:r w:rsidR="009104C2">
        <w:rPr>
          <w:lang w:eastAsia="lt-LT"/>
        </w:rPr>
        <w:t>angioneurozinės</w:t>
      </w:r>
      <w:proofErr w:type="spellEnd"/>
      <w:r w:rsidR="009104C2">
        <w:rPr>
          <w:lang w:eastAsia="lt-LT"/>
        </w:rPr>
        <w:t xml:space="preserve"> edemos priepuoliai (pacientą priepuolių metu gydant stacionare) kartojasi daugiau kaip 12 kartų per metus, Sveikatos apsaugos ministerijos </w:t>
      </w:r>
      <w:r w:rsidR="009104C2">
        <w:rPr>
          <w:bCs/>
          <w:lang w:eastAsia="lt-LT"/>
        </w:rPr>
        <w:t xml:space="preserve">Labai retų </w:t>
      </w:r>
      <w:r w:rsidR="009104C2">
        <w:rPr>
          <w:lang w:eastAsia="lt-LT"/>
        </w:rPr>
        <w:t xml:space="preserve">žmogaus sveikatos būklių </w:t>
      </w:r>
      <w:r w:rsidR="009104C2">
        <w:rPr>
          <w:bCs/>
          <w:lang w:eastAsia="lt-LT"/>
        </w:rPr>
        <w:t xml:space="preserve">gydymo išlaidų kompensavimo </w:t>
      </w:r>
      <w:r w:rsidR="009104C2">
        <w:rPr>
          <w:lang w:eastAsia="lt-LT"/>
        </w:rPr>
        <w:t xml:space="preserve">komisija apsvarsto gydymo įstaigos prašymą ir, jei jis pagrįstas, priima sprendimą dėl profilaktinio gydymo C1 </w:t>
      </w:r>
      <w:proofErr w:type="spellStart"/>
      <w:r w:rsidR="009104C2">
        <w:rPr>
          <w:lang w:eastAsia="lt-LT"/>
        </w:rPr>
        <w:t>esterazės</w:t>
      </w:r>
      <w:proofErr w:type="spellEnd"/>
      <w:r w:rsidR="009104C2">
        <w:rPr>
          <w:lang w:eastAsia="lt-LT"/>
        </w:rPr>
        <w:t xml:space="preserve"> inhibitoriumi (plazmos </w:t>
      </w:r>
      <w:proofErr w:type="spellStart"/>
      <w:r w:rsidR="009104C2">
        <w:rPr>
          <w:lang w:eastAsia="lt-LT"/>
        </w:rPr>
        <w:t>derivatu</w:t>
      </w:r>
      <w:proofErr w:type="spellEnd"/>
      <w:r w:rsidR="009104C2">
        <w:rPr>
          <w:lang w:eastAsia="lt-LT"/>
        </w:rPr>
        <w:t>) išlaidų kompensavimo pradžios“</w:t>
      </w:r>
      <w:r w:rsidR="009104C2">
        <w:rPr>
          <w:rFonts w:eastAsia="Arial"/>
          <w:color w:val="000000" w:themeColor="text1"/>
        </w:rPr>
        <w:t>.</w:t>
      </w:r>
    </w:p>
    <w:p w14:paraId="3C8695A8" w14:textId="2248844F" w:rsidR="008323AC" w:rsidRDefault="006B399A" w:rsidP="00DA67EC">
      <w:pPr>
        <w:ind w:firstLine="720"/>
        <w:jc w:val="both"/>
        <w:rPr>
          <w:rFonts w:eastAsia="Arial"/>
          <w:color w:val="000000" w:themeColor="text1"/>
        </w:rPr>
      </w:pPr>
      <w:r>
        <w:rPr>
          <w:rFonts w:eastAsia="Arial"/>
          <w:color w:val="000000" w:themeColor="text1"/>
        </w:rPr>
        <w:t>Vaistinis</w:t>
      </w:r>
      <w:r w:rsidR="008323AC">
        <w:rPr>
          <w:rFonts w:eastAsia="Arial"/>
          <w:color w:val="000000" w:themeColor="text1"/>
        </w:rPr>
        <w:t xml:space="preserve"> preparatas </w:t>
      </w:r>
      <w:proofErr w:type="spellStart"/>
      <w:r w:rsidR="008323AC">
        <w:rPr>
          <w:rFonts w:eastAsia="Arial"/>
          <w:color w:val="000000" w:themeColor="text1"/>
        </w:rPr>
        <w:t>lanadelubas</w:t>
      </w:r>
      <w:proofErr w:type="spellEnd"/>
      <w:r w:rsidR="008323AC">
        <w:rPr>
          <w:rFonts w:eastAsia="Arial"/>
          <w:color w:val="000000" w:themeColor="text1"/>
        </w:rPr>
        <w:t xml:space="preserve"> buvo vertinimas pagal </w:t>
      </w:r>
      <w:r w:rsidR="004F3AF6">
        <w:rPr>
          <w:rFonts w:eastAsia="Arial"/>
          <w:color w:val="000000" w:themeColor="text1"/>
        </w:rPr>
        <w:t xml:space="preserve">teikiamą </w:t>
      </w:r>
      <w:r w:rsidR="008323AC">
        <w:rPr>
          <w:rFonts w:eastAsia="Arial"/>
          <w:color w:val="000000" w:themeColor="text1"/>
        </w:rPr>
        <w:t xml:space="preserve">kompensuoti </w:t>
      </w:r>
      <w:r>
        <w:rPr>
          <w:rFonts w:eastAsia="Arial"/>
          <w:color w:val="000000" w:themeColor="text1"/>
        </w:rPr>
        <w:t>indikaciją</w:t>
      </w:r>
      <w:r w:rsidR="008323AC">
        <w:rPr>
          <w:rFonts w:eastAsia="Arial"/>
          <w:color w:val="000000" w:themeColor="text1"/>
        </w:rPr>
        <w:t xml:space="preserve">: </w:t>
      </w:r>
      <w:r w:rsidR="004F3AF6">
        <w:rPr>
          <w:rFonts w:eastAsia="Arial"/>
          <w:color w:val="000000" w:themeColor="text1"/>
        </w:rPr>
        <w:t>„</w:t>
      </w:r>
      <w:r w:rsidR="008323AC" w:rsidRPr="00CB5F1F">
        <w:rPr>
          <w:i/>
        </w:rPr>
        <w:t>12 metų ir vyresnių pacientų pasikartojančių paveldimos angioedemos (PAE) priepuolių rutininei profilaktikai, kai priepuoliai kartojasi daugiau kaip 12 kartų per metus</w:t>
      </w:r>
      <w:r w:rsidR="008323AC">
        <w:rPr>
          <w:rFonts w:eastAsia="Arial"/>
          <w:color w:val="000000" w:themeColor="text1"/>
        </w:rPr>
        <w:t>.</w:t>
      </w:r>
      <w:r w:rsidR="004F3AF6">
        <w:rPr>
          <w:rFonts w:eastAsia="Arial"/>
          <w:color w:val="000000" w:themeColor="text1"/>
        </w:rPr>
        <w:t>“</w:t>
      </w:r>
      <w:r w:rsidR="008323AC">
        <w:rPr>
          <w:rFonts w:eastAsia="Arial"/>
          <w:color w:val="000000" w:themeColor="text1"/>
        </w:rPr>
        <w:t xml:space="preserve"> </w:t>
      </w:r>
      <w:r w:rsidR="008323AC" w:rsidRPr="009364FE">
        <w:rPr>
          <w:rFonts w:eastAsia="Arial"/>
          <w:color w:val="000000" w:themeColor="text1"/>
        </w:rPr>
        <w:t xml:space="preserve">Lanadelumabas yra visiškai žmogaus monokloninis antikūnas (IgG1/κ lengvoji grandinė). Lanadelumabas slopina plazmoje aktyvaus kalikreino proteolizinį poveikį. Padidėjęs kalikreino aktyvumas plazmoje PAE sergantiems pacientams sukelia angioedemos priepuolius, nes vyksta didelės molekulinės masės kininogeno (DMMK) proteolizė, per kurią susidaro suskaldytas DMMK (sDMMK) ir bradikininas. </w:t>
      </w:r>
    </w:p>
    <w:p w14:paraId="122827F3" w14:textId="77777777" w:rsidR="008323AC" w:rsidRDefault="008323AC" w:rsidP="008323AC">
      <w:pPr>
        <w:ind w:firstLine="720"/>
        <w:jc w:val="both"/>
        <w:rPr>
          <w:rFonts w:eastAsia="Arial"/>
          <w:i/>
          <w:color w:val="000000" w:themeColor="text1"/>
        </w:rPr>
      </w:pPr>
    </w:p>
    <w:p w14:paraId="2991478E" w14:textId="704E663B" w:rsidR="008323AC" w:rsidRDefault="008323AC" w:rsidP="008323AC">
      <w:pPr>
        <w:ind w:firstLine="720"/>
        <w:jc w:val="both"/>
        <w:rPr>
          <w:rFonts w:eastAsia="Arial"/>
          <w:i/>
          <w:color w:val="000000" w:themeColor="text1"/>
          <w:u w:val="single"/>
        </w:rPr>
      </w:pPr>
      <w:r w:rsidRPr="00A013B4">
        <w:rPr>
          <w:rFonts w:eastAsia="Arial"/>
          <w:i/>
          <w:color w:val="000000" w:themeColor="text1"/>
          <w:u w:val="single"/>
        </w:rPr>
        <w:t>Tiesioginis palyginimas</w:t>
      </w:r>
    </w:p>
    <w:p w14:paraId="4572E7DB" w14:textId="77641446" w:rsidR="008323AC" w:rsidRPr="00E7714E" w:rsidRDefault="004F3AF6" w:rsidP="008323AC">
      <w:pPr>
        <w:ind w:firstLine="720"/>
        <w:jc w:val="both"/>
        <w:rPr>
          <w:rFonts w:eastAsia="Arial"/>
          <w:color w:val="000000" w:themeColor="text1"/>
        </w:rPr>
      </w:pPr>
      <w:r>
        <w:rPr>
          <w:color w:val="000000"/>
          <w:lang w:eastAsia="lt-LT"/>
        </w:rPr>
        <w:t xml:space="preserve">Vadovaujantis </w:t>
      </w:r>
      <w:r w:rsidR="008323AC" w:rsidRPr="00E7714E">
        <w:rPr>
          <w:color w:val="000000"/>
          <w:lang w:eastAsia="lt-LT"/>
        </w:rPr>
        <w:t>Lietuvos Respublikos sveikatos apsaugos ministro 2002 m. balandžio 5 d. įsakym</w:t>
      </w:r>
      <w:r>
        <w:rPr>
          <w:color w:val="000000"/>
          <w:lang w:eastAsia="lt-LT"/>
        </w:rPr>
        <w:t>o</w:t>
      </w:r>
      <w:r w:rsidR="008323AC" w:rsidRPr="00E7714E">
        <w:rPr>
          <w:color w:val="000000"/>
          <w:lang w:eastAsia="lt-LT"/>
        </w:rPr>
        <w:t xml:space="preserve"> Nr. V-159 „Dėl vaistinių preparatų ir medicinos pagalbos priemonių įrašymo į </w:t>
      </w:r>
      <w:r w:rsidR="008323AC" w:rsidRPr="00E7714E">
        <w:rPr>
          <w:color w:val="000000"/>
          <w:lang w:eastAsia="lt-LT"/>
        </w:rPr>
        <w:lastRenderedPageBreak/>
        <w:t>kompensavimo sąrašus ir jų keitimo tvarkos aprašo patvirtinimo“ 116 - 119 punkt</w:t>
      </w:r>
      <w:r>
        <w:rPr>
          <w:color w:val="000000"/>
          <w:lang w:eastAsia="lt-LT"/>
        </w:rPr>
        <w:t>ais,</w:t>
      </w:r>
      <w:r w:rsidR="008323AC" w:rsidRPr="00E7714E">
        <w:rPr>
          <w:color w:val="000000"/>
          <w:lang w:eastAsia="lt-LT"/>
        </w:rPr>
        <w:t xml:space="preserve"> </w:t>
      </w:r>
      <w:r w:rsidR="008323AC" w:rsidRPr="001C219D">
        <w:rPr>
          <w:color w:val="000000"/>
          <w:lang w:eastAsia="lt-LT"/>
        </w:rPr>
        <w:t xml:space="preserve">tinkamas palyginamasis vaistinis preparatas yra </w:t>
      </w:r>
      <w:r w:rsidR="008323AC" w:rsidRPr="001C219D">
        <w:rPr>
          <w:rFonts w:eastAsia="Arial"/>
          <w:color w:val="000000" w:themeColor="text1"/>
        </w:rPr>
        <w:t xml:space="preserve">C1 </w:t>
      </w:r>
      <w:proofErr w:type="spellStart"/>
      <w:r w:rsidR="008323AC" w:rsidRPr="001C219D">
        <w:rPr>
          <w:rFonts w:eastAsia="Arial"/>
          <w:color w:val="000000" w:themeColor="text1"/>
        </w:rPr>
        <w:t>esterazės</w:t>
      </w:r>
      <w:proofErr w:type="spellEnd"/>
      <w:r w:rsidR="008323AC" w:rsidRPr="001C219D">
        <w:rPr>
          <w:rFonts w:eastAsia="Arial"/>
          <w:color w:val="000000" w:themeColor="text1"/>
        </w:rPr>
        <w:t xml:space="preserve"> inhibitorius (plazmos </w:t>
      </w:r>
      <w:proofErr w:type="spellStart"/>
      <w:r w:rsidR="008323AC" w:rsidRPr="001C219D">
        <w:rPr>
          <w:rFonts w:eastAsia="Arial"/>
          <w:color w:val="000000" w:themeColor="text1"/>
        </w:rPr>
        <w:t>derivatas</w:t>
      </w:r>
      <w:proofErr w:type="spellEnd"/>
      <w:r w:rsidR="008323AC" w:rsidRPr="001C219D">
        <w:rPr>
          <w:rFonts w:eastAsia="Arial"/>
          <w:color w:val="000000" w:themeColor="text1"/>
        </w:rPr>
        <w:t>)</w:t>
      </w:r>
      <w:r w:rsidR="00DA67EC">
        <w:rPr>
          <w:rFonts w:eastAsia="Arial"/>
          <w:color w:val="000000" w:themeColor="text1"/>
        </w:rPr>
        <w:t>.</w:t>
      </w:r>
      <w:r w:rsidR="00AB352C">
        <w:rPr>
          <w:rFonts w:eastAsia="Arial"/>
          <w:color w:val="000000" w:themeColor="text1"/>
        </w:rPr>
        <w:t xml:space="preserve"> </w:t>
      </w:r>
    </w:p>
    <w:p w14:paraId="64358B28" w14:textId="7ED4AF5E" w:rsidR="008323AC" w:rsidRPr="001C219D" w:rsidRDefault="004F3AF6" w:rsidP="008323AC">
      <w:pPr>
        <w:ind w:firstLine="720"/>
        <w:jc w:val="both"/>
        <w:rPr>
          <w:rFonts w:eastAsia="Arial"/>
          <w:i/>
          <w:color w:val="000000" w:themeColor="text1"/>
          <w:u w:val="single"/>
          <w:lang w:val="en-US"/>
        </w:rPr>
      </w:pPr>
      <w:r>
        <w:rPr>
          <w:rFonts w:eastAsia="Arial"/>
          <w:color w:val="000000" w:themeColor="text1"/>
        </w:rPr>
        <w:t>R</w:t>
      </w:r>
      <w:r w:rsidR="008323AC" w:rsidRPr="00E7714E">
        <w:rPr>
          <w:rFonts w:eastAsia="Arial"/>
          <w:color w:val="000000" w:themeColor="text1"/>
        </w:rPr>
        <w:t>emiantis Valstybinės lig</w:t>
      </w:r>
      <w:r w:rsidR="00B67D74">
        <w:rPr>
          <w:rFonts w:eastAsia="Arial"/>
          <w:color w:val="000000" w:themeColor="text1"/>
        </w:rPr>
        <w:t>o</w:t>
      </w:r>
      <w:r w:rsidR="008323AC" w:rsidRPr="00E7714E">
        <w:rPr>
          <w:rFonts w:eastAsia="Arial"/>
          <w:color w:val="000000" w:themeColor="text1"/>
        </w:rPr>
        <w:t xml:space="preserve">nių kasos (VLK) </w:t>
      </w:r>
      <w:r w:rsidR="00B67D74">
        <w:rPr>
          <w:rFonts w:eastAsia="Arial"/>
          <w:color w:val="000000" w:themeColor="text1"/>
        </w:rPr>
        <w:t xml:space="preserve">pateiktais </w:t>
      </w:r>
      <w:r w:rsidR="008323AC" w:rsidRPr="00E7714E">
        <w:rPr>
          <w:rFonts w:eastAsia="Arial"/>
          <w:color w:val="000000" w:themeColor="text1"/>
        </w:rPr>
        <w:t xml:space="preserve">duomenimis, </w:t>
      </w:r>
      <w:r w:rsidR="008323AC" w:rsidRPr="00E7714E">
        <w:rPr>
          <w:bCs/>
        </w:rPr>
        <w:t>2019-2021 m. C1 esterazės inhibitorius (plazmos d</w:t>
      </w:r>
      <w:r w:rsidR="00B67D74">
        <w:rPr>
          <w:bCs/>
        </w:rPr>
        <w:t>arinys</w:t>
      </w:r>
      <w:r w:rsidR="008323AC" w:rsidRPr="00E7714E">
        <w:rPr>
          <w:bCs/>
        </w:rPr>
        <w:t xml:space="preserve">, </w:t>
      </w:r>
      <w:r w:rsidR="00B67D74">
        <w:rPr>
          <w:bCs/>
        </w:rPr>
        <w:t xml:space="preserve">vartojamas </w:t>
      </w:r>
      <w:r w:rsidR="00B67D74" w:rsidRPr="001C219D">
        <w:rPr>
          <w:bCs/>
          <w:i/>
        </w:rPr>
        <w:t>i/v</w:t>
      </w:r>
      <w:r w:rsidR="008323AC" w:rsidRPr="00E7714E">
        <w:rPr>
          <w:bCs/>
        </w:rPr>
        <w:t xml:space="preserve">) nebuvo kompensuotas pasikartojančių paveldimos angioedemos (PAE) priepuolių rutininei profilaktikai (VLK </w:t>
      </w:r>
      <w:r w:rsidR="006B399A" w:rsidRPr="00E7714E">
        <w:rPr>
          <w:bCs/>
        </w:rPr>
        <w:t>atsakymas</w:t>
      </w:r>
      <w:r w:rsidR="008323AC" w:rsidRPr="00E7714E">
        <w:rPr>
          <w:bCs/>
        </w:rPr>
        <w:t xml:space="preserve"> e.</w:t>
      </w:r>
      <w:r w:rsidR="006B399A">
        <w:rPr>
          <w:bCs/>
        </w:rPr>
        <w:t xml:space="preserve"> </w:t>
      </w:r>
      <w:r w:rsidR="008323AC" w:rsidRPr="00E7714E">
        <w:rPr>
          <w:bCs/>
        </w:rPr>
        <w:t xml:space="preserve">laišku nuo 2022-06-13). Todėl </w:t>
      </w:r>
      <w:r w:rsidR="008323AC" w:rsidRPr="00E7714E">
        <w:rPr>
          <w:bCs/>
          <w:u w:val="single"/>
        </w:rPr>
        <w:t>p</w:t>
      </w:r>
      <w:r w:rsidR="008323AC" w:rsidRPr="00E7714E">
        <w:rPr>
          <w:color w:val="000000"/>
          <w:u w:val="single"/>
          <w:lang w:eastAsia="lt-LT"/>
        </w:rPr>
        <w:t>lacebas</w:t>
      </w:r>
      <w:r w:rsidR="00B67D74">
        <w:rPr>
          <w:color w:val="000000"/>
          <w:u w:val="single"/>
          <w:lang w:eastAsia="lt-LT"/>
        </w:rPr>
        <w:t>,</w:t>
      </w:r>
      <w:r w:rsidR="008323AC" w:rsidRPr="00E7714E">
        <w:rPr>
          <w:color w:val="000000"/>
          <w:lang w:eastAsia="lt-LT"/>
        </w:rPr>
        <w:t xml:space="preserve"> kaip palyginamasis gydym</w:t>
      </w:r>
      <w:r w:rsidR="00422DA4">
        <w:rPr>
          <w:color w:val="000000"/>
          <w:lang w:eastAsia="lt-LT"/>
        </w:rPr>
        <w:t>as</w:t>
      </w:r>
      <w:r w:rsidR="00B67D74">
        <w:rPr>
          <w:color w:val="000000"/>
          <w:lang w:eastAsia="lt-LT"/>
        </w:rPr>
        <w:t>,</w:t>
      </w:r>
      <w:r w:rsidR="008323AC" w:rsidRPr="00E7714E">
        <w:rPr>
          <w:color w:val="000000"/>
          <w:lang w:eastAsia="lt-LT"/>
        </w:rPr>
        <w:t xml:space="preserve"> pateiktas tiesioginiame klinikiniame palyginame </w:t>
      </w:r>
      <w:r w:rsidR="00B67D74">
        <w:rPr>
          <w:color w:val="000000"/>
          <w:u w:val="single"/>
          <w:lang w:eastAsia="lt-LT"/>
        </w:rPr>
        <w:t>laikomas</w:t>
      </w:r>
      <w:r w:rsidR="00463C23">
        <w:rPr>
          <w:color w:val="000000"/>
          <w:u w:val="single"/>
          <w:lang w:eastAsia="lt-LT"/>
        </w:rPr>
        <w:t xml:space="preserve"> tinkamu</w:t>
      </w:r>
      <w:r w:rsidR="008323AC" w:rsidRPr="00E7714E">
        <w:rPr>
          <w:color w:val="000000"/>
          <w:lang w:eastAsia="lt-LT"/>
        </w:rPr>
        <w:t xml:space="preserve">, </w:t>
      </w:r>
      <w:r w:rsidR="006B399A" w:rsidRPr="00E7714E">
        <w:rPr>
          <w:color w:val="000000"/>
          <w:lang w:eastAsia="lt-LT"/>
        </w:rPr>
        <w:t>vertinant</w:t>
      </w:r>
      <w:r w:rsidR="008323AC" w:rsidRPr="00E7714E">
        <w:rPr>
          <w:color w:val="000000"/>
          <w:lang w:eastAsia="lt-LT"/>
        </w:rPr>
        <w:t xml:space="preserve"> klinikin</w:t>
      </w:r>
      <w:r w:rsidR="00B67D74">
        <w:rPr>
          <w:color w:val="000000"/>
          <w:lang w:eastAsia="lt-LT"/>
        </w:rPr>
        <w:t>ę</w:t>
      </w:r>
      <w:r w:rsidR="008323AC" w:rsidRPr="00E7714E">
        <w:rPr>
          <w:color w:val="000000"/>
          <w:lang w:eastAsia="lt-LT"/>
        </w:rPr>
        <w:t xml:space="preserve"> paraiškos </w:t>
      </w:r>
      <w:r w:rsidR="00B67D74">
        <w:rPr>
          <w:color w:val="000000"/>
          <w:lang w:eastAsia="lt-LT"/>
        </w:rPr>
        <w:t>informaciją</w:t>
      </w:r>
      <w:r w:rsidR="008323AC" w:rsidRPr="00E7714E">
        <w:rPr>
          <w:color w:val="000000"/>
          <w:lang w:eastAsia="lt-LT"/>
        </w:rPr>
        <w:t>.</w:t>
      </w:r>
    </w:p>
    <w:p w14:paraId="2AC8E55D" w14:textId="3B1C5620" w:rsidR="008323AC" w:rsidRPr="00BD0F47" w:rsidRDefault="008323AC" w:rsidP="00DA67EC">
      <w:pPr>
        <w:ind w:firstLine="720"/>
        <w:jc w:val="both"/>
        <w:rPr>
          <w:color w:val="000000"/>
          <w:lang w:eastAsia="lt-LT"/>
        </w:rPr>
      </w:pPr>
      <w:r w:rsidRPr="00BD0F47">
        <w:rPr>
          <w:color w:val="000000"/>
          <w:lang w:eastAsia="lt-LT"/>
        </w:rPr>
        <w:t>Remiantis HELP-3 tyrimo rezultatais, lanadelumabo 300 mg</w:t>
      </w:r>
      <w:r w:rsidR="00AC6FA2">
        <w:rPr>
          <w:color w:val="000000"/>
          <w:lang w:eastAsia="lt-LT"/>
        </w:rPr>
        <w:t xml:space="preserve"> dozės vartojimas kas 4 savaites</w:t>
      </w:r>
      <w:r w:rsidRPr="00BD0F47">
        <w:rPr>
          <w:color w:val="000000"/>
          <w:lang w:eastAsia="lt-LT"/>
        </w:rPr>
        <w:t xml:space="preserve"> </w:t>
      </w:r>
      <w:r w:rsidR="006E5E25">
        <w:rPr>
          <w:color w:val="000000"/>
          <w:lang w:eastAsia="lt-LT"/>
        </w:rPr>
        <w:t>arba</w:t>
      </w:r>
      <w:r w:rsidR="006E5E25" w:rsidRPr="00BD0F47">
        <w:rPr>
          <w:color w:val="000000"/>
          <w:lang w:eastAsia="lt-LT"/>
        </w:rPr>
        <w:t xml:space="preserve"> </w:t>
      </w:r>
      <w:r w:rsidR="00AC6FA2">
        <w:rPr>
          <w:color w:val="000000"/>
          <w:lang w:eastAsia="lt-LT"/>
        </w:rPr>
        <w:t xml:space="preserve">kas 2 savaites </w:t>
      </w:r>
      <w:r w:rsidRPr="00BD0F47">
        <w:rPr>
          <w:color w:val="000000"/>
          <w:lang w:eastAsia="lt-LT"/>
        </w:rPr>
        <w:t xml:space="preserve">buvo susiję su statistiškai reikšmingu PAE priepuolių sumažėjimu: bendras priepuolių dažnis, vidutinio sunkumo ir sunkių priepuolių dažnis bei </w:t>
      </w:r>
      <w:r w:rsidRPr="008323AC">
        <w:rPr>
          <w:color w:val="000000"/>
          <w:lang w:eastAsia="lt-LT"/>
        </w:rPr>
        <w:t>priepuolių, reikalaujančių ūminių simptomų gydymo</w:t>
      </w:r>
      <w:r w:rsidRPr="00BD0F47">
        <w:rPr>
          <w:color w:val="000000"/>
          <w:lang w:eastAsia="lt-LT"/>
        </w:rPr>
        <w:t xml:space="preserve">. Priepuolių </w:t>
      </w:r>
      <w:r w:rsidR="000C557A">
        <w:rPr>
          <w:color w:val="000000"/>
          <w:lang w:eastAsia="lt-LT"/>
        </w:rPr>
        <w:t xml:space="preserve">skaičiaus </w:t>
      </w:r>
      <w:r w:rsidR="00B355BE">
        <w:rPr>
          <w:color w:val="000000"/>
          <w:lang w:eastAsia="lt-LT"/>
        </w:rPr>
        <w:t>su</w:t>
      </w:r>
      <w:r w:rsidRPr="00BD0F47">
        <w:rPr>
          <w:color w:val="000000"/>
          <w:lang w:eastAsia="lt-LT"/>
        </w:rPr>
        <w:t>maž</w:t>
      </w:r>
      <w:r w:rsidR="00B355BE">
        <w:rPr>
          <w:color w:val="000000"/>
          <w:lang w:eastAsia="lt-LT"/>
        </w:rPr>
        <w:t>ėj</w:t>
      </w:r>
      <w:r w:rsidRPr="00BD0F47">
        <w:rPr>
          <w:color w:val="000000"/>
          <w:lang w:eastAsia="lt-LT"/>
        </w:rPr>
        <w:t>imas, gydant</w:t>
      </w:r>
      <w:r>
        <w:rPr>
          <w:color w:val="000000"/>
          <w:lang w:eastAsia="lt-LT"/>
        </w:rPr>
        <w:t xml:space="preserve"> </w:t>
      </w:r>
      <w:r w:rsidRPr="00BD0F47">
        <w:rPr>
          <w:color w:val="000000"/>
          <w:lang w:eastAsia="lt-LT"/>
        </w:rPr>
        <w:t>lanadelumabu, buvo kliniškai reikšmingas pacientams, sergantiems PAE</w:t>
      </w:r>
      <w:r w:rsidR="000C557A">
        <w:rPr>
          <w:color w:val="000000"/>
          <w:lang w:eastAsia="lt-LT"/>
        </w:rPr>
        <w:t xml:space="preserve">. Tai </w:t>
      </w:r>
      <w:r w:rsidRPr="00BD0F47">
        <w:rPr>
          <w:color w:val="000000"/>
          <w:lang w:eastAsia="lt-LT"/>
        </w:rPr>
        <w:t xml:space="preserve">patvirtino ne tik pirminės baigties rezultatai, bet antrinių ir papildomų </w:t>
      </w:r>
      <w:r w:rsidR="000C557A">
        <w:rPr>
          <w:color w:val="000000"/>
          <w:lang w:eastAsia="lt-LT"/>
        </w:rPr>
        <w:t xml:space="preserve">vertinamųjų </w:t>
      </w:r>
      <w:r w:rsidRPr="00BD0F47">
        <w:rPr>
          <w:color w:val="000000"/>
          <w:lang w:eastAsia="lt-LT"/>
        </w:rPr>
        <w:t xml:space="preserve">baigčių </w:t>
      </w:r>
      <w:r w:rsidR="000C557A">
        <w:rPr>
          <w:color w:val="000000"/>
          <w:lang w:eastAsia="lt-LT"/>
        </w:rPr>
        <w:t>rezultatai</w:t>
      </w:r>
      <w:r w:rsidRPr="00BD0F47">
        <w:rPr>
          <w:color w:val="000000"/>
          <w:lang w:eastAsia="lt-LT"/>
        </w:rPr>
        <w:t>, lyginant su placebu (pvz.</w:t>
      </w:r>
      <w:r w:rsidR="000C557A">
        <w:rPr>
          <w:color w:val="000000"/>
          <w:lang w:eastAsia="lt-LT"/>
        </w:rPr>
        <w:t>,</w:t>
      </w:r>
      <w:r w:rsidRPr="00BD0F47">
        <w:rPr>
          <w:color w:val="000000"/>
          <w:lang w:eastAsia="lt-LT"/>
        </w:rPr>
        <w:t xml:space="preserve"> laikas iki pirmo priepuolio; pacientų praneštos baigtys). </w:t>
      </w:r>
    </w:p>
    <w:p w14:paraId="7813DD40" w14:textId="4D64D40E" w:rsidR="008323AC" w:rsidRDefault="00DA67EC" w:rsidP="00DA67EC">
      <w:pPr>
        <w:tabs>
          <w:tab w:val="left" w:pos="567"/>
        </w:tabs>
        <w:jc w:val="both"/>
      </w:pPr>
      <w:r>
        <w:rPr>
          <w:color w:val="000000"/>
          <w:lang w:eastAsia="lt-LT"/>
        </w:rPr>
        <w:tab/>
      </w:r>
      <w:r w:rsidR="008323AC" w:rsidRPr="00BD0F47">
        <w:rPr>
          <w:color w:val="000000"/>
          <w:lang w:eastAsia="lt-LT"/>
        </w:rPr>
        <w:t xml:space="preserve">Gerklų </w:t>
      </w:r>
      <w:proofErr w:type="spellStart"/>
      <w:r w:rsidR="009B33E7">
        <w:rPr>
          <w:color w:val="000000"/>
          <w:lang w:eastAsia="lt-LT"/>
        </w:rPr>
        <w:t>angioedemos</w:t>
      </w:r>
      <w:proofErr w:type="spellEnd"/>
      <w:r w:rsidR="009B33E7">
        <w:rPr>
          <w:color w:val="000000"/>
          <w:lang w:eastAsia="lt-LT"/>
        </w:rPr>
        <w:t xml:space="preserve"> </w:t>
      </w:r>
      <w:r w:rsidR="008323AC" w:rsidRPr="00BD0F47">
        <w:rPr>
          <w:color w:val="000000"/>
          <w:lang w:eastAsia="lt-LT"/>
        </w:rPr>
        <w:t>priepuolių dažnis statistiškai reikšmingai nesiskiria, nes šie įvykiai buvo reti ab</w:t>
      </w:r>
      <w:r w:rsidR="009B33E7">
        <w:rPr>
          <w:color w:val="000000"/>
          <w:lang w:eastAsia="lt-LT"/>
        </w:rPr>
        <w:t>i</w:t>
      </w:r>
      <w:r w:rsidR="008323AC" w:rsidRPr="00BD0F47">
        <w:rPr>
          <w:color w:val="000000"/>
          <w:lang w:eastAsia="lt-LT"/>
        </w:rPr>
        <w:t>ejose grupėse. Nors tyrimo dizainas neturėjo pakankamai galios</w:t>
      </w:r>
      <w:r w:rsidR="008323AC">
        <w:rPr>
          <w:color w:val="000000"/>
          <w:lang w:eastAsia="lt-LT"/>
        </w:rPr>
        <w:t xml:space="preserve"> </w:t>
      </w:r>
      <w:r w:rsidR="008323AC" w:rsidRPr="00BD0F47">
        <w:rPr>
          <w:color w:val="000000"/>
          <w:lang w:eastAsia="lt-LT"/>
        </w:rPr>
        <w:t xml:space="preserve">įvertinti šio tipo priepuolių dažnį, dėl </w:t>
      </w:r>
      <w:r w:rsidR="008323AC" w:rsidRPr="001C219D">
        <w:rPr>
          <w:color w:val="000000"/>
          <w:lang w:eastAsia="lt-LT"/>
        </w:rPr>
        <w:t>gerklų</w:t>
      </w:r>
      <w:r w:rsidR="008323AC" w:rsidRPr="00BD0F47">
        <w:rPr>
          <w:color w:val="000000"/>
          <w:lang w:eastAsia="lt-LT"/>
        </w:rPr>
        <w:t xml:space="preserve"> </w:t>
      </w:r>
      <w:r w:rsidR="009B33E7">
        <w:rPr>
          <w:color w:val="000000"/>
          <w:lang w:eastAsia="lt-LT"/>
        </w:rPr>
        <w:t>angioedemos</w:t>
      </w:r>
      <w:r w:rsidR="009B33E7" w:rsidRPr="00BD0F47">
        <w:rPr>
          <w:color w:val="000000"/>
          <w:lang w:eastAsia="lt-LT"/>
        </w:rPr>
        <w:t xml:space="preserve"> </w:t>
      </w:r>
      <w:r w:rsidR="008323AC" w:rsidRPr="00BD0F47">
        <w:rPr>
          <w:color w:val="000000"/>
          <w:lang w:eastAsia="lt-LT"/>
        </w:rPr>
        <w:t xml:space="preserve">priepuolių </w:t>
      </w:r>
      <w:r w:rsidR="001E441F">
        <w:rPr>
          <w:color w:val="000000"/>
          <w:lang w:eastAsia="lt-LT"/>
        </w:rPr>
        <w:t xml:space="preserve">sunkumo tokių </w:t>
      </w:r>
      <w:r w:rsidR="008323AC" w:rsidRPr="00BD0F47">
        <w:rPr>
          <w:color w:val="000000"/>
          <w:lang w:eastAsia="lt-LT"/>
        </w:rPr>
        <w:t xml:space="preserve">priepuolių </w:t>
      </w:r>
      <w:r w:rsidR="001E441F">
        <w:rPr>
          <w:color w:val="000000"/>
          <w:lang w:eastAsia="lt-LT"/>
        </w:rPr>
        <w:t xml:space="preserve">skaičiaus </w:t>
      </w:r>
      <w:r w:rsidR="008323AC" w:rsidRPr="00BD0F47">
        <w:rPr>
          <w:color w:val="000000"/>
          <w:lang w:eastAsia="lt-LT"/>
        </w:rPr>
        <w:t xml:space="preserve">sumažėjimas PAE </w:t>
      </w:r>
      <w:r w:rsidR="001E441F">
        <w:rPr>
          <w:color w:val="000000"/>
          <w:lang w:eastAsia="lt-LT"/>
        </w:rPr>
        <w:t xml:space="preserve">sergantiems </w:t>
      </w:r>
      <w:r w:rsidR="008323AC" w:rsidRPr="00BD0F47">
        <w:rPr>
          <w:color w:val="000000"/>
          <w:lang w:eastAsia="lt-LT"/>
        </w:rPr>
        <w:t>pacientams</w:t>
      </w:r>
      <w:r w:rsidR="001E441F">
        <w:rPr>
          <w:color w:val="000000"/>
          <w:lang w:eastAsia="lt-LT"/>
        </w:rPr>
        <w:t xml:space="preserve">, </w:t>
      </w:r>
      <w:r w:rsidR="008323AC" w:rsidRPr="00BD0F47">
        <w:rPr>
          <w:color w:val="000000"/>
          <w:lang w:eastAsia="lt-LT"/>
        </w:rPr>
        <w:t>vartojusiems</w:t>
      </w:r>
      <w:r w:rsidR="001E441F">
        <w:rPr>
          <w:color w:val="000000"/>
          <w:lang w:eastAsia="lt-LT"/>
        </w:rPr>
        <w:t xml:space="preserve"> </w:t>
      </w:r>
      <w:proofErr w:type="spellStart"/>
      <w:r w:rsidR="001E441F" w:rsidRPr="00BD0F47">
        <w:rPr>
          <w:color w:val="000000"/>
          <w:lang w:eastAsia="lt-LT"/>
        </w:rPr>
        <w:t>lanadelumabo</w:t>
      </w:r>
      <w:proofErr w:type="spellEnd"/>
      <w:r w:rsidR="008323AC" w:rsidRPr="00BD0F47">
        <w:rPr>
          <w:color w:val="000000"/>
          <w:lang w:eastAsia="lt-LT"/>
        </w:rPr>
        <w:t xml:space="preserve"> </w:t>
      </w:r>
      <w:r w:rsidR="001E441F" w:rsidRPr="00BD0F47">
        <w:rPr>
          <w:color w:val="000000"/>
          <w:lang w:eastAsia="lt-LT"/>
        </w:rPr>
        <w:t xml:space="preserve">palyginus su </w:t>
      </w:r>
      <w:proofErr w:type="spellStart"/>
      <w:r w:rsidR="001E441F" w:rsidRPr="00BD0F47">
        <w:rPr>
          <w:color w:val="000000"/>
          <w:lang w:eastAsia="lt-LT"/>
        </w:rPr>
        <w:t>placebu</w:t>
      </w:r>
      <w:proofErr w:type="spellEnd"/>
      <w:r w:rsidR="008323AC" w:rsidRPr="00BD0F47">
        <w:rPr>
          <w:color w:val="000000"/>
          <w:lang w:eastAsia="lt-LT"/>
        </w:rPr>
        <w:t>, gali būti laikomas kliniškai reikšmingu.</w:t>
      </w:r>
      <w:r w:rsidR="008323AC">
        <w:rPr>
          <w:color w:val="000000"/>
          <w:lang w:eastAsia="lt-LT"/>
        </w:rPr>
        <w:t xml:space="preserve"> </w:t>
      </w:r>
      <w:r w:rsidR="008323AC" w:rsidRPr="00BD0F47">
        <w:t>Pacientai, kurie vartojo lanadelumab</w:t>
      </w:r>
      <w:r w:rsidR="001E441F">
        <w:t>o</w:t>
      </w:r>
      <w:r w:rsidR="008323AC" w:rsidRPr="00BD0F47">
        <w:t>, patyrė dvigubai mažiau priepuolių gydymo metu, palyginus su įvadiniu tyrimo laikotarpiu (</w:t>
      </w:r>
      <w:r w:rsidR="008323AC" w:rsidRPr="00BD0F47">
        <w:rPr>
          <w:i/>
        </w:rPr>
        <w:t>angl. „run-in“</w:t>
      </w:r>
      <w:r w:rsidR="008323AC" w:rsidRPr="00BD0F47">
        <w:t>) (</w:t>
      </w:r>
      <w:r w:rsidR="000C557A">
        <w:t>p</w:t>
      </w:r>
      <w:r w:rsidR="001E441F">
        <w:t xml:space="preserve"> </w:t>
      </w:r>
      <w:r w:rsidR="008323AC" w:rsidRPr="00BD0F47">
        <w:t>&lt;</w:t>
      </w:r>
      <w:r w:rsidR="001E441F">
        <w:t xml:space="preserve"> </w:t>
      </w:r>
      <w:r w:rsidR="008323AC" w:rsidRPr="00BD0F47">
        <w:t>0,001), tuo tarpu pacientai placebo grupėje patyrė tik apie trečdal</w:t>
      </w:r>
      <w:r w:rsidR="001E441F">
        <w:t>iu</w:t>
      </w:r>
      <w:r w:rsidR="008323AC" w:rsidRPr="00BD0F47">
        <w:t xml:space="preserve"> mažiau priepuolių stebėjimo metu, palyginus su įvadini</w:t>
      </w:r>
      <w:r w:rsidR="001E441F">
        <w:t>u</w:t>
      </w:r>
      <w:r w:rsidR="008323AC" w:rsidRPr="00BD0F47">
        <w:t xml:space="preserve"> laikotarpiu. Pacientai, vartoj</w:t>
      </w:r>
      <w:r w:rsidR="001E441F">
        <w:t>ę</w:t>
      </w:r>
      <w:r w:rsidR="008323AC" w:rsidRPr="00BD0F47">
        <w:t xml:space="preserve"> lanadelumab</w:t>
      </w:r>
      <w:r w:rsidR="001E441F">
        <w:t>o</w:t>
      </w:r>
      <w:r w:rsidR="008323AC" w:rsidRPr="00BD0F47">
        <w:t xml:space="preserve">, gydymo metu ilgiau buvo be priepuolių, nei pacientai </w:t>
      </w:r>
      <w:r w:rsidR="001E441F">
        <w:t>vartoję</w:t>
      </w:r>
      <w:r w:rsidR="001E441F" w:rsidRPr="00BD0F47">
        <w:t xml:space="preserve"> </w:t>
      </w:r>
      <w:r w:rsidR="008323AC" w:rsidRPr="00BD0F47">
        <w:t>placeb</w:t>
      </w:r>
      <w:r w:rsidR="001E441F">
        <w:t>o</w:t>
      </w:r>
      <w:r w:rsidR="008323AC" w:rsidRPr="00BD0F47">
        <w:t xml:space="preserve">, o tai gali būti kliniškai reikšmingas rodiklis, nes pagrindinis gydymo tikslas </w:t>
      </w:r>
      <w:r w:rsidR="00AC6FA2">
        <w:t xml:space="preserve">yra pacientui </w:t>
      </w:r>
      <w:r w:rsidR="008323AC" w:rsidRPr="00BD0F47">
        <w:t>išvengti bet kokių PAE priepuolių</w:t>
      </w:r>
      <w:r w:rsidR="00AC6FA2">
        <w:t>.</w:t>
      </w:r>
    </w:p>
    <w:p w14:paraId="2D1BD07E" w14:textId="64248198" w:rsidR="008323AC" w:rsidRPr="003B559B" w:rsidRDefault="00DA67EC" w:rsidP="00DA67EC">
      <w:pPr>
        <w:tabs>
          <w:tab w:val="left" w:pos="567"/>
        </w:tabs>
        <w:jc w:val="both"/>
        <w:rPr>
          <w:bCs/>
          <w:color w:val="000000"/>
          <w:highlight w:val="yellow"/>
          <w:lang w:eastAsia="lt-LT"/>
        </w:rPr>
      </w:pPr>
      <w:r>
        <w:tab/>
      </w:r>
      <w:r w:rsidR="00BA71C2" w:rsidRPr="003B559B">
        <w:rPr>
          <w:bCs/>
          <w:color w:val="000000"/>
          <w:lang w:eastAsia="lt-LT"/>
        </w:rPr>
        <w:t>Vertinant</w:t>
      </w:r>
      <w:r w:rsidR="008323AC" w:rsidRPr="003B559B">
        <w:rPr>
          <w:bCs/>
          <w:color w:val="000000"/>
          <w:lang w:eastAsia="lt-LT"/>
        </w:rPr>
        <w:t xml:space="preserve"> nepageidaujamus reiškinius (NR) HELP-</w:t>
      </w:r>
      <w:r w:rsidR="008323AC" w:rsidRPr="003B559B">
        <w:rPr>
          <w:bCs/>
          <w:color w:val="000000"/>
          <w:lang w:val="en-US" w:eastAsia="lt-LT"/>
        </w:rPr>
        <w:t xml:space="preserve">3 </w:t>
      </w:r>
      <w:proofErr w:type="spellStart"/>
      <w:r w:rsidR="008323AC" w:rsidRPr="003B559B">
        <w:rPr>
          <w:bCs/>
          <w:color w:val="000000"/>
          <w:lang w:val="en-US" w:eastAsia="lt-LT"/>
        </w:rPr>
        <w:t>tyrimo</w:t>
      </w:r>
      <w:proofErr w:type="spellEnd"/>
      <w:r w:rsidR="008323AC" w:rsidRPr="003B559B">
        <w:rPr>
          <w:bCs/>
          <w:color w:val="000000"/>
          <w:lang w:val="en-US" w:eastAsia="lt-LT"/>
        </w:rPr>
        <w:t xml:space="preserve"> </w:t>
      </w:r>
      <w:proofErr w:type="spellStart"/>
      <w:r w:rsidR="008323AC" w:rsidRPr="003B559B">
        <w:rPr>
          <w:bCs/>
          <w:color w:val="000000"/>
          <w:lang w:val="en-US" w:eastAsia="lt-LT"/>
        </w:rPr>
        <w:t>metu</w:t>
      </w:r>
      <w:proofErr w:type="spellEnd"/>
      <w:r w:rsidR="008323AC" w:rsidRPr="003B559B">
        <w:rPr>
          <w:bCs/>
          <w:color w:val="000000"/>
          <w:lang w:val="en-US" w:eastAsia="lt-LT"/>
        </w:rPr>
        <w:t xml:space="preserve">, </w:t>
      </w:r>
      <w:r w:rsidR="008323AC" w:rsidRPr="003B559B">
        <w:rPr>
          <w:bCs/>
          <w:color w:val="000000"/>
          <w:lang w:eastAsia="lt-LT"/>
        </w:rPr>
        <w:t xml:space="preserve">76 pacientai (90,5 %) trijose gydymo lanadelumabu grupėse patyrė bent vieną NR. Iš jų 26 (96,3 %) vartojo 300 mg vaisto dozę kas 2 savaites ir 25 (86,2 %) vartojo 300 mg vaisto dozę kas 4 savaites. Tuo </w:t>
      </w:r>
      <w:r w:rsidR="00AC6FA2">
        <w:rPr>
          <w:bCs/>
          <w:color w:val="000000"/>
          <w:lang w:eastAsia="lt-LT"/>
        </w:rPr>
        <w:t>tarpu</w:t>
      </w:r>
      <w:r w:rsidR="008323AC" w:rsidRPr="003B559B">
        <w:rPr>
          <w:bCs/>
          <w:color w:val="000000"/>
          <w:lang w:eastAsia="lt-LT"/>
        </w:rPr>
        <w:t xml:space="preserve"> placebo grupėje NR pasireiškė 31 pacientui (75,6 %). Tarp 50 pacientų (59,5 %), kurie buvo gydyti lanadelumabu, pasireiškė su gydymu susiję NR, palygin</w:t>
      </w:r>
      <w:r w:rsidR="00AC6FA2">
        <w:rPr>
          <w:bCs/>
          <w:color w:val="000000"/>
          <w:lang w:eastAsia="lt-LT"/>
        </w:rPr>
        <w:t>us</w:t>
      </w:r>
      <w:r w:rsidR="008323AC" w:rsidRPr="003B559B">
        <w:rPr>
          <w:bCs/>
          <w:color w:val="000000"/>
          <w:lang w:eastAsia="lt-LT"/>
        </w:rPr>
        <w:t xml:space="preserve"> su 14 pacientų (34,1 %), kurie buvo gydyti placebu.</w:t>
      </w:r>
      <w:r w:rsidR="008323AC">
        <w:rPr>
          <w:bCs/>
          <w:color w:val="000000"/>
          <w:lang w:eastAsia="lt-LT"/>
        </w:rPr>
        <w:t xml:space="preserve"> </w:t>
      </w:r>
    </w:p>
    <w:p w14:paraId="1F1A4F83" w14:textId="5DF84CD9" w:rsidR="008323AC" w:rsidRDefault="008323AC" w:rsidP="008323AC">
      <w:pPr>
        <w:tabs>
          <w:tab w:val="left" w:pos="426"/>
        </w:tabs>
        <w:jc w:val="both"/>
        <w:rPr>
          <w:color w:val="000000"/>
          <w:lang w:eastAsia="lt-LT"/>
        </w:rPr>
      </w:pPr>
      <w:r w:rsidRPr="00BD0F47">
        <w:rPr>
          <w:color w:val="000000"/>
          <w:lang w:eastAsia="lt-LT"/>
        </w:rPr>
        <w:tab/>
        <w:t xml:space="preserve">Pacientų praneštų baigčių vertinimas pagal </w:t>
      </w:r>
      <w:proofErr w:type="spellStart"/>
      <w:r w:rsidR="00AC6FA2">
        <w:rPr>
          <w:color w:val="000000"/>
          <w:lang w:eastAsia="lt-LT"/>
        </w:rPr>
        <w:t>Angioedemos</w:t>
      </w:r>
      <w:proofErr w:type="spellEnd"/>
      <w:r w:rsidR="00AC6FA2">
        <w:rPr>
          <w:color w:val="000000"/>
          <w:lang w:eastAsia="lt-LT"/>
        </w:rPr>
        <w:t xml:space="preserve"> gyven</w:t>
      </w:r>
      <w:r w:rsidR="00DA67EC">
        <w:rPr>
          <w:color w:val="000000"/>
          <w:lang w:eastAsia="lt-LT"/>
        </w:rPr>
        <w:t>i</w:t>
      </w:r>
      <w:r w:rsidR="00AC6FA2">
        <w:rPr>
          <w:color w:val="000000"/>
          <w:lang w:eastAsia="lt-LT"/>
        </w:rPr>
        <w:t>mo kokybės klausimyną (</w:t>
      </w:r>
      <w:r w:rsidRPr="00BD0F47">
        <w:rPr>
          <w:color w:val="000000"/>
          <w:lang w:eastAsia="lt-LT"/>
        </w:rPr>
        <w:t>AE-</w:t>
      </w:r>
      <w:proofErr w:type="spellStart"/>
      <w:r w:rsidRPr="00BD0F47">
        <w:rPr>
          <w:color w:val="000000"/>
          <w:lang w:eastAsia="lt-LT"/>
        </w:rPr>
        <w:t>QoL</w:t>
      </w:r>
      <w:proofErr w:type="spellEnd"/>
      <w:r w:rsidR="00AC6FA2">
        <w:rPr>
          <w:color w:val="000000"/>
          <w:lang w:eastAsia="lt-LT"/>
        </w:rPr>
        <w:t>)</w:t>
      </w:r>
      <w:r w:rsidRPr="00BD0F47">
        <w:rPr>
          <w:color w:val="000000"/>
          <w:lang w:eastAsia="lt-LT"/>
        </w:rPr>
        <w:t xml:space="preserve"> parodė, kad pacientų gyvenim</w:t>
      </w:r>
      <w:r w:rsidR="00AC6FA2">
        <w:rPr>
          <w:color w:val="000000"/>
          <w:lang w:eastAsia="lt-LT"/>
        </w:rPr>
        <w:t>o kokybės</w:t>
      </w:r>
      <w:r w:rsidRPr="00BD0F47">
        <w:rPr>
          <w:color w:val="000000"/>
          <w:lang w:eastAsia="lt-LT"/>
        </w:rPr>
        <w:t xml:space="preserve"> ir savijauto</w:t>
      </w:r>
      <w:r w:rsidR="00AC6FA2">
        <w:rPr>
          <w:color w:val="000000"/>
          <w:lang w:eastAsia="lt-LT"/>
        </w:rPr>
        <w:t>s</w:t>
      </w:r>
      <w:r w:rsidRPr="00BD0F47">
        <w:rPr>
          <w:color w:val="000000"/>
          <w:lang w:eastAsia="lt-LT"/>
        </w:rPr>
        <w:t xml:space="preserve"> </w:t>
      </w:r>
      <w:r w:rsidR="00AC6FA2" w:rsidRPr="00BD0F47">
        <w:rPr>
          <w:color w:val="000000"/>
          <w:lang w:eastAsia="lt-LT"/>
        </w:rPr>
        <w:t xml:space="preserve">pagerėjimas </w:t>
      </w:r>
      <w:r w:rsidRPr="00BD0F47">
        <w:rPr>
          <w:color w:val="000000"/>
          <w:lang w:eastAsia="lt-LT"/>
        </w:rPr>
        <w:t>nuo gydymo pradžios iki 182 gydymo dienos viršijo minimalų kliniškai reikšmingą skirtumą (≥6 punktai).</w:t>
      </w:r>
      <w:r>
        <w:rPr>
          <w:color w:val="000000"/>
          <w:lang w:eastAsia="lt-LT"/>
        </w:rPr>
        <w:t xml:space="preserve"> </w:t>
      </w:r>
    </w:p>
    <w:p w14:paraId="4F6910FB" w14:textId="77777777" w:rsidR="008323AC" w:rsidRPr="00A013B4" w:rsidRDefault="008323AC" w:rsidP="008323AC">
      <w:pPr>
        <w:ind w:firstLine="720"/>
        <w:jc w:val="both"/>
        <w:rPr>
          <w:rFonts w:eastAsia="Arial"/>
          <w:color w:val="000000" w:themeColor="text1"/>
        </w:rPr>
      </w:pPr>
    </w:p>
    <w:p w14:paraId="0CBD5676" w14:textId="56DAC798" w:rsidR="008323AC" w:rsidRDefault="008323AC" w:rsidP="008323AC">
      <w:pPr>
        <w:ind w:firstLine="720"/>
        <w:jc w:val="both"/>
        <w:rPr>
          <w:rFonts w:eastAsia="Arial"/>
          <w:i/>
          <w:color w:val="000000" w:themeColor="text1"/>
          <w:u w:val="single"/>
        </w:rPr>
      </w:pPr>
      <w:r>
        <w:rPr>
          <w:rFonts w:eastAsia="Arial"/>
          <w:i/>
          <w:color w:val="000000" w:themeColor="text1"/>
          <w:u w:val="single"/>
        </w:rPr>
        <w:t>Net</w:t>
      </w:r>
      <w:r w:rsidRPr="00A013B4">
        <w:rPr>
          <w:rFonts w:eastAsia="Arial"/>
          <w:i/>
          <w:color w:val="000000" w:themeColor="text1"/>
          <w:u w:val="single"/>
        </w:rPr>
        <w:t>iesioginis palyginimas</w:t>
      </w:r>
    </w:p>
    <w:p w14:paraId="6C03F40F" w14:textId="2C50ADB9" w:rsidR="008323AC" w:rsidRDefault="008323AC" w:rsidP="008323AC">
      <w:pPr>
        <w:ind w:firstLine="720"/>
        <w:jc w:val="both"/>
        <w:rPr>
          <w:rFonts w:eastAsia="Arial"/>
        </w:rPr>
      </w:pPr>
      <w:r w:rsidRPr="004B515D">
        <w:rPr>
          <w:rFonts w:eastAsia="Arial"/>
        </w:rPr>
        <w:t>Pareiškėjas pateikė netiesiogin</w:t>
      </w:r>
      <w:r w:rsidR="00AC6FA2">
        <w:rPr>
          <w:rFonts w:eastAsia="Arial"/>
        </w:rPr>
        <w:t>į</w:t>
      </w:r>
      <w:r w:rsidRPr="004B515D">
        <w:rPr>
          <w:rFonts w:eastAsia="Arial"/>
        </w:rPr>
        <w:t xml:space="preserve"> </w:t>
      </w:r>
      <w:proofErr w:type="spellStart"/>
      <w:r w:rsidRPr="004B515D">
        <w:rPr>
          <w:rFonts w:eastAsia="Arial"/>
        </w:rPr>
        <w:t>lanadelumabo</w:t>
      </w:r>
      <w:proofErr w:type="spellEnd"/>
      <w:r w:rsidRPr="004B515D">
        <w:rPr>
          <w:rFonts w:eastAsia="Arial"/>
        </w:rPr>
        <w:t xml:space="preserve"> ir C1 </w:t>
      </w:r>
      <w:proofErr w:type="spellStart"/>
      <w:r w:rsidRPr="004B515D">
        <w:rPr>
          <w:rFonts w:eastAsia="Arial"/>
        </w:rPr>
        <w:t>esterazės</w:t>
      </w:r>
      <w:proofErr w:type="spellEnd"/>
      <w:r w:rsidRPr="004B515D">
        <w:rPr>
          <w:rFonts w:eastAsia="Arial"/>
        </w:rPr>
        <w:t xml:space="preserve"> inhibitoriaus efektyvumo ir saugumo palyginimą. Palyginimas </w:t>
      </w:r>
      <w:r w:rsidR="004246C1" w:rsidRPr="004B515D">
        <w:rPr>
          <w:rFonts w:eastAsia="Arial"/>
        </w:rPr>
        <w:t>rėmėsi</w:t>
      </w:r>
      <w:r w:rsidRPr="004B515D">
        <w:rPr>
          <w:rFonts w:eastAsia="Arial"/>
        </w:rPr>
        <w:t xml:space="preserve"> Bayesiano tinklin</w:t>
      </w:r>
      <w:r w:rsidR="003C75BE">
        <w:rPr>
          <w:rFonts w:eastAsia="Arial"/>
        </w:rPr>
        <w:t>e</w:t>
      </w:r>
      <w:r w:rsidRPr="004B515D">
        <w:rPr>
          <w:rFonts w:eastAsia="Arial"/>
        </w:rPr>
        <w:t xml:space="preserve"> meta-analize (TMA), kur</w:t>
      </w:r>
      <w:r w:rsidR="008001BD">
        <w:rPr>
          <w:rFonts w:eastAsia="Arial"/>
        </w:rPr>
        <w:t xml:space="preserve">ioje </w:t>
      </w:r>
      <w:r w:rsidRPr="004B515D">
        <w:rPr>
          <w:rFonts w:eastAsia="Arial"/>
        </w:rPr>
        <w:t xml:space="preserve">buvo lyginami 2 </w:t>
      </w:r>
      <w:r w:rsidR="004246C1" w:rsidRPr="004B515D">
        <w:rPr>
          <w:rFonts w:eastAsia="Arial"/>
        </w:rPr>
        <w:t>klinikiniai</w:t>
      </w:r>
      <w:r w:rsidRPr="004B515D">
        <w:rPr>
          <w:rFonts w:eastAsia="Arial"/>
        </w:rPr>
        <w:t xml:space="preserve"> tyrimai: HELP-3</w:t>
      </w:r>
      <w:r w:rsidR="004050FC">
        <w:rPr>
          <w:rFonts w:eastAsia="Arial"/>
        </w:rPr>
        <w:t xml:space="preserve"> (lanadelumabas)</w:t>
      </w:r>
      <w:r w:rsidRPr="004B515D">
        <w:rPr>
          <w:rFonts w:eastAsia="Arial"/>
        </w:rPr>
        <w:t xml:space="preserve"> ir CHANGE</w:t>
      </w:r>
      <w:r w:rsidR="004050FC">
        <w:rPr>
          <w:rFonts w:eastAsia="Arial"/>
        </w:rPr>
        <w:t xml:space="preserve"> (C1-INH)</w:t>
      </w:r>
      <w:r w:rsidRPr="004B515D">
        <w:rPr>
          <w:rFonts w:eastAsia="Arial"/>
        </w:rPr>
        <w:t xml:space="preserve">. TMA apėmė tik 2 </w:t>
      </w:r>
      <w:r w:rsidR="004246C1" w:rsidRPr="004B515D">
        <w:rPr>
          <w:rFonts w:eastAsia="Arial"/>
        </w:rPr>
        <w:t>klinikinius</w:t>
      </w:r>
      <w:r w:rsidRPr="004B515D">
        <w:rPr>
          <w:rFonts w:eastAsia="Arial"/>
        </w:rPr>
        <w:t xml:space="preserve"> tyrimus su nedideliu pacientų </w:t>
      </w:r>
      <w:r w:rsidR="004246C1" w:rsidRPr="004B515D">
        <w:rPr>
          <w:rFonts w:eastAsia="Arial"/>
        </w:rPr>
        <w:t>skaičiumi</w:t>
      </w:r>
      <w:r w:rsidRPr="004B515D">
        <w:rPr>
          <w:rFonts w:eastAsia="Arial"/>
        </w:rPr>
        <w:t>, o gaut</w:t>
      </w:r>
      <w:r w:rsidR="008001BD">
        <w:rPr>
          <w:rFonts w:eastAsia="Arial"/>
        </w:rPr>
        <w:t>us</w:t>
      </w:r>
      <w:r w:rsidRPr="004B515D">
        <w:rPr>
          <w:rFonts w:eastAsia="Arial"/>
        </w:rPr>
        <w:t xml:space="preserve"> </w:t>
      </w:r>
      <w:r w:rsidR="004246C1" w:rsidRPr="004B515D">
        <w:rPr>
          <w:rFonts w:eastAsia="Arial"/>
        </w:rPr>
        <w:t>rezultat</w:t>
      </w:r>
      <w:r w:rsidR="008001BD">
        <w:rPr>
          <w:rFonts w:eastAsia="Arial"/>
        </w:rPr>
        <w:t>us yra</w:t>
      </w:r>
      <w:r w:rsidRPr="004B515D">
        <w:rPr>
          <w:rFonts w:eastAsia="Arial"/>
        </w:rPr>
        <w:t xml:space="preserve"> sunku </w:t>
      </w:r>
      <w:r w:rsidR="004246C1" w:rsidRPr="004B515D">
        <w:rPr>
          <w:rFonts w:eastAsia="Arial"/>
        </w:rPr>
        <w:t>interpretuoti</w:t>
      </w:r>
      <w:r w:rsidRPr="004B515D">
        <w:rPr>
          <w:rFonts w:eastAsia="Arial"/>
        </w:rPr>
        <w:t xml:space="preserve"> dėl </w:t>
      </w:r>
      <w:r w:rsidR="004246C1" w:rsidRPr="004B515D">
        <w:rPr>
          <w:rFonts w:eastAsia="Arial"/>
        </w:rPr>
        <w:t>klinikinių</w:t>
      </w:r>
      <w:r w:rsidRPr="004B515D">
        <w:rPr>
          <w:rFonts w:eastAsia="Arial"/>
        </w:rPr>
        <w:t xml:space="preserve"> ir metodologinių skirtumų atliekant HELP-3 ir CHANGE tyrimus. Palyginamieji tyrimai </w:t>
      </w:r>
      <w:r w:rsidR="004246C1" w:rsidRPr="004B515D">
        <w:rPr>
          <w:rFonts w:eastAsia="Arial"/>
        </w:rPr>
        <w:t>skyrėsi</w:t>
      </w:r>
      <w:r w:rsidRPr="004B515D">
        <w:rPr>
          <w:rFonts w:eastAsia="Arial"/>
        </w:rPr>
        <w:t xml:space="preserve"> tyrimo dizainu: HELP-3 paralelinių grupių palyginimas, CHANGE – </w:t>
      </w:r>
      <w:r w:rsidR="004246C1" w:rsidRPr="004B515D">
        <w:rPr>
          <w:rFonts w:eastAsia="Arial"/>
        </w:rPr>
        <w:t>kryžminis</w:t>
      </w:r>
      <w:r w:rsidRPr="004B515D">
        <w:rPr>
          <w:rFonts w:eastAsia="Arial"/>
        </w:rPr>
        <w:t xml:space="preserve"> tyrimas. Palyginamieji tyrimai sk</w:t>
      </w:r>
      <w:r w:rsidR="00AC6FA2">
        <w:rPr>
          <w:rFonts w:eastAsia="Arial"/>
        </w:rPr>
        <w:t>y</w:t>
      </w:r>
      <w:r w:rsidRPr="004B515D">
        <w:rPr>
          <w:rFonts w:eastAsia="Arial"/>
        </w:rPr>
        <w:t xml:space="preserve">rėsi gydymo </w:t>
      </w:r>
      <w:r w:rsidR="004246C1" w:rsidRPr="004B515D">
        <w:rPr>
          <w:rFonts w:eastAsia="Arial"/>
        </w:rPr>
        <w:t>trukm</w:t>
      </w:r>
      <w:r w:rsidR="00AC6FA2">
        <w:rPr>
          <w:rFonts w:eastAsia="Arial"/>
        </w:rPr>
        <w:t>e</w:t>
      </w:r>
      <w:r w:rsidRPr="004B515D">
        <w:rPr>
          <w:rFonts w:eastAsia="Arial"/>
        </w:rPr>
        <w:t xml:space="preserve">: HELP-3 – 26 </w:t>
      </w:r>
      <w:r w:rsidR="004246C1" w:rsidRPr="004B515D">
        <w:rPr>
          <w:rFonts w:eastAsia="Arial"/>
        </w:rPr>
        <w:t>savaites</w:t>
      </w:r>
      <w:r w:rsidRPr="004B515D">
        <w:rPr>
          <w:rFonts w:eastAsia="Arial"/>
        </w:rPr>
        <w:t xml:space="preserve">, o CHANGE – 12 savaičių. Įtraukimo kriterijus – priepuolių skaičius per mėnesį – HELP – 3 tyrime buvo „≥1 PAE priepuolis per 4 savaites trukusį įvadinį tyrimo laikotarpį“, o CHANGE – „mažiausiai 2 priepuoliai per mėnesį“. Taip pat HELP-3 ir CHANGE tyrimuose </w:t>
      </w:r>
      <w:r w:rsidR="006F38DD" w:rsidRPr="004B515D">
        <w:rPr>
          <w:rFonts w:eastAsia="Arial"/>
        </w:rPr>
        <w:t>skyrėsi</w:t>
      </w:r>
      <w:r w:rsidRPr="004B515D">
        <w:rPr>
          <w:rFonts w:eastAsia="Arial"/>
        </w:rPr>
        <w:t xml:space="preserve"> terapij</w:t>
      </w:r>
      <w:r w:rsidR="008001BD">
        <w:rPr>
          <w:rFonts w:eastAsia="Arial"/>
        </w:rPr>
        <w:t>a</w:t>
      </w:r>
      <w:r w:rsidRPr="004B515D">
        <w:rPr>
          <w:rFonts w:eastAsia="Arial"/>
        </w:rPr>
        <w:t xml:space="preserve">, kuri buvo taikoma priepuolio metu, bei </w:t>
      </w:r>
      <w:r w:rsidR="004246C1" w:rsidRPr="004B515D">
        <w:rPr>
          <w:rFonts w:eastAsia="Arial"/>
        </w:rPr>
        <w:t>palaikomoji</w:t>
      </w:r>
      <w:r w:rsidRPr="004B515D">
        <w:rPr>
          <w:rFonts w:eastAsia="Arial"/>
        </w:rPr>
        <w:t xml:space="preserve"> terapija (pvz.</w:t>
      </w:r>
      <w:r w:rsidR="00AC6FA2">
        <w:rPr>
          <w:rFonts w:eastAsia="Arial"/>
        </w:rPr>
        <w:t>,</w:t>
      </w:r>
      <w:r w:rsidRPr="004B515D">
        <w:rPr>
          <w:rFonts w:eastAsia="Arial"/>
        </w:rPr>
        <w:t xml:space="preserve"> CHANGE tyrime pacientai negalėjo keisti savo profilaktinės androgeno ar antifibrinolitin</w:t>
      </w:r>
      <w:r>
        <w:rPr>
          <w:rFonts w:eastAsia="Arial"/>
        </w:rPr>
        <w:t xml:space="preserve">ės terapijos). </w:t>
      </w:r>
    </w:p>
    <w:p w14:paraId="2CEF09FE" w14:textId="67C3D2AD" w:rsidR="00317AE0" w:rsidRDefault="008323AC" w:rsidP="00317AE0">
      <w:pPr>
        <w:ind w:firstLine="720"/>
        <w:jc w:val="both"/>
        <w:rPr>
          <w:lang w:eastAsia="lt-LT"/>
        </w:rPr>
      </w:pPr>
      <w:r>
        <w:rPr>
          <w:lang w:eastAsia="lt-LT"/>
        </w:rPr>
        <w:t xml:space="preserve">Apibendrinant, lanadelumabo efektyvumas gali būti įvertintas kaip neprastesnis nei C1 esterazės inhibitoriaus. Efektyvumo pranašumas gali būti įvertintas tik tiesioginio </w:t>
      </w:r>
      <w:r w:rsidR="004246C1">
        <w:rPr>
          <w:lang w:eastAsia="lt-LT"/>
        </w:rPr>
        <w:t>palyginimo</w:t>
      </w:r>
      <w:r>
        <w:rPr>
          <w:lang w:eastAsia="lt-LT"/>
        </w:rPr>
        <w:t xml:space="preserve"> metu, atliekant randomizuotą klinikinį tyrimą. HELP-3 ir CHANGE tyrimai skiriasi klinikinio tyrimo gydymo schema ir metodologija (</w:t>
      </w:r>
      <w:r w:rsidR="00AC6FA2">
        <w:rPr>
          <w:lang w:eastAsia="lt-LT"/>
        </w:rPr>
        <w:t xml:space="preserve">detalesnį parašymą </w:t>
      </w:r>
      <w:r>
        <w:rPr>
          <w:lang w:eastAsia="lt-LT"/>
        </w:rPr>
        <w:t xml:space="preserve">žr. </w:t>
      </w:r>
      <w:r w:rsidR="00AC6FA2">
        <w:rPr>
          <w:lang w:eastAsia="lt-LT"/>
        </w:rPr>
        <w:t xml:space="preserve">vertinimo </w:t>
      </w:r>
      <w:r>
        <w:rPr>
          <w:lang w:eastAsia="lt-LT"/>
        </w:rPr>
        <w:t>protokol</w:t>
      </w:r>
      <w:r w:rsidR="00AC6FA2">
        <w:rPr>
          <w:lang w:eastAsia="lt-LT"/>
        </w:rPr>
        <w:t>e</w:t>
      </w:r>
      <w:r>
        <w:rPr>
          <w:lang w:eastAsia="lt-LT"/>
        </w:rPr>
        <w:t>)</w:t>
      </w:r>
      <w:r w:rsidR="00317AE0">
        <w:rPr>
          <w:lang w:eastAsia="lt-LT"/>
        </w:rPr>
        <w:t>.</w:t>
      </w:r>
    </w:p>
    <w:bookmarkEnd w:id="0"/>
    <w:p w14:paraId="0085D58E" w14:textId="77777777" w:rsidR="00317AE0" w:rsidRDefault="00317AE0" w:rsidP="00317AE0">
      <w:pPr>
        <w:ind w:firstLine="720"/>
        <w:jc w:val="both"/>
        <w:rPr>
          <w:lang w:eastAsia="lt-LT"/>
        </w:rPr>
      </w:pPr>
    </w:p>
    <w:p w14:paraId="47F6E188" w14:textId="22CE4BF7" w:rsidR="009446AE" w:rsidRPr="00317AE0" w:rsidRDefault="009446AE" w:rsidP="00317AE0">
      <w:pPr>
        <w:ind w:firstLine="720"/>
        <w:jc w:val="both"/>
        <w:rPr>
          <w:lang w:eastAsia="lt-LT"/>
        </w:rPr>
      </w:pPr>
      <w:r w:rsidRPr="009446AE">
        <w:rPr>
          <w:u w:val="single"/>
          <w:lang w:eastAsia="lt-LT"/>
        </w:rPr>
        <w:t>Privalumai</w:t>
      </w:r>
    </w:p>
    <w:p w14:paraId="1647086E" w14:textId="5DB661C9" w:rsidR="009446AE" w:rsidRDefault="009446AE" w:rsidP="009446AE">
      <w:pPr>
        <w:tabs>
          <w:tab w:val="left" w:pos="426"/>
        </w:tabs>
        <w:jc w:val="both"/>
        <w:rPr>
          <w:color w:val="000000"/>
          <w:lang w:eastAsia="lt-LT"/>
        </w:rPr>
      </w:pPr>
      <w:r>
        <w:rPr>
          <w:color w:val="000000"/>
          <w:lang w:eastAsia="lt-LT"/>
        </w:rPr>
        <w:lastRenderedPageBreak/>
        <w:tab/>
      </w:r>
      <w:r w:rsidR="00317AE0">
        <w:rPr>
          <w:color w:val="000000"/>
          <w:lang w:eastAsia="lt-LT"/>
        </w:rPr>
        <w:tab/>
      </w:r>
      <w:r w:rsidRPr="007240BC">
        <w:rPr>
          <w:color w:val="000000"/>
          <w:lang w:eastAsia="lt-LT"/>
        </w:rPr>
        <w:t>Dėl savo efektyvumo, mažinat priepuolių dažnį, saugumo p</w:t>
      </w:r>
      <w:r w:rsidR="00AC6FA2">
        <w:rPr>
          <w:color w:val="000000"/>
          <w:lang w:eastAsia="lt-LT"/>
        </w:rPr>
        <w:t>obūdžio</w:t>
      </w:r>
      <w:r w:rsidRPr="007240BC">
        <w:rPr>
          <w:color w:val="000000"/>
          <w:lang w:eastAsia="lt-LT"/>
        </w:rPr>
        <w:t xml:space="preserve"> ir </w:t>
      </w:r>
      <w:r w:rsidR="00AC6FA2">
        <w:rPr>
          <w:color w:val="000000"/>
          <w:lang w:eastAsia="lt-LT"/>
        </w:rPr>
        <w:t xml:space="preserve">vartojimo </w:t>
      </w:r>
      <w:r w:rsidRPr="007240BC">
        <w:rPr>
          <w:color w:val="000000"/>
          <w:lang w:eastAsia="lt-LT"/>
        </w:rPr>
        <w:t>būdo</w:t>
      </w:r>
      <w:r w:rsidR="00AC6FA2">
        <w:rPr>
          <w:color w:val="000000"/>
          <w:lang w:eastAsia="lt-LT"/>
        </w:rPr>
        <w:t xml:space="preserve"> (</w:t>
      </w:r>
      <w:r w:rsidRPr="007240BC">
        <w:rPr>
          <w:color w:val="000000"/>
          <w:lang w:eastAsia="lt-LT"/>
        </w:rPr>
        <w:t>poodinės injekcijos</w:t>
      </w:r>
      <w:r w:rsidR="00AC6FA2">
        <w:rPr>
          <w:color w:val="000000"/>
          <w:lang w:eastAsia="lt-LT"/>
        </w:rPr>
        <w:t>)</w:t>
      </w:r>
      <w:r w:rsidRPr="007240BC">
        <w:rPr>
          <w:color w:val="000000"/>
          <w:lang w:eastAsia="lt-LT"/>
        </w:rPr>
        <w:t xml:space="preserve"> lanadelumabas turi privalumą pacientams, kurie pat</w:t>
      </w:r>
      <w:r w:rsidR="00AC6FA2">
        <w:rPr>
          <w:color w:val="000000"/>
          <w:lang w:eastAsia="lt-LT"/>
        </w:rPr>
        <w:t>i</w:t>
      </w:r>
      <w:r w:rsidRPr="007240BC">
        <w:rPr>
          <w:color w:val="000000"/>
          <w:lang w:eastAsia="lt-LT"/>
        </w:rPr>
        <w:t>ria 12 ir da</w:t>
      </w:r>
      <w:r w:rsidR="00AC6FA2">
        <w:rPr>
          <w:color w:val="000000"/>
          <w:lang w:eastAsia="lt-LT"/>
        </w:rPr>
        <w:t>u</w:t>
      </w:r>
      <w:r w:rsidRPr="007240BC">
        <w:rPr>
          <w:color w:val="000000"/>
          <w:lang w:eastAsia="lt-LT"/>
        </w:rPr>
        <w:t>giau PAE priepuolių per metus</w:t>
      </w:r>
      <w:r>
        <w:rPr>
          <w:color w:val="000000"/>
          <w:lang w:eastAsia="lt-LT"/>
        </w:rPr>
        <w:t>. Pacientui nereikia papildomos pagalbos lei</w:t>
      </w:r>
      <w:r w:rsidR="00AC6FA2">
        <w:rPr>
          <w:color w:val="000000"/>
          <w:lang w:eastAsia="lt-LT"/>
        </w:rPr>
        <w:t>džiant</w:t>
      </w:r>
      <w:r>
        <w:rPr>
          <w:color w:val="000000"/>
          <w:lang w:eastAsia="lt-LT"/>
        </w:rPr>
        <w:t xml:space="preserve"> lanadelumab</w:t>
      </w:r>
      <w:r w:rsidR="00AC6FA2">
        <w:rPr>
          <w:color w:val="000000"/>
          <w:lang w:eastAsia="lt-LT"/>
        </w:rPr>
        <w:t>ą</w:t>
      </w:r>
      <w:r>
        <w:rPr>
          <w:color w:val="000000"/>
          <w:lang w:eastAsia="lt-LT"/>
        </w:rPr>
        <w:t xml:space="preserve"> po oda, jie gali tą daryti savarankiškai. </w:t>
      </w:r>
    </w:p>
    <w:p w14:paraId="61FD20E5" w14:textId="77777777" w:rsidR="00AC6FA2" w:rsidRDefault="00AC6FA2" w:rsidP="009446AE">
      <w:pPr>
        <w:tabs>
          <w:tab w:val="left" w:pos="426"/>
        </w:tabs>
        <w:jc w:val="both"/>
        <w:rPr>
          <w:color w:val="000000"/>
          <w:lang w:eastAsia="lt-LT"/>
        </w:rPr>
      </w:pPr>
    </w:p>
    <w:p w14:paraId="6FFE62DE" w14:textId="46592C93" w:rsidR="00317AE0" w:rsidRDefault="00317AE0" w:rsidP="009446AE">
      <w:pPr>
        <w:tabs>
          <w:tab w:val="left" w:pos="426"/>
        </w:tabs>
        <w:jc w:val="both"/>
        <w:rPr>
          <w:color w:val="000000"/>
          <w:lang w:eastAsia="lt-LT"/>
        </w:rPr>
      </w:pPr>
      <w:r>
        <w:rPr>
          <w:color w:val="000000"/>
          <w:lang w:eastAsia="lt-LT"/>
        </w:rPr>
        <w:tab/>
      </w:r>
      <w:r>
        <w:rPr>
          <w:color w:val="000000"/>
          <w:lang w:eastAsia="lt-LT"/>
        </w:rPr>
        <w:tab/>
      </w:r>
      <w:r w:rsidRPr="00317AE0">
        <w:rPr>
          <w:color w:val="000000"/>
          <w:u w:val="single"/>
          <w:lang w:eastAsia="lt-LT"/>
        </w:rPr>
        <w:t>Tr</w:t>
      </w:r>
      <w:r w:rsidR="00AC6FA2">
        <w:rPr>
          <w:color w:val="000000"/>
          <w:u w:val="single"/>
          <w:lang w:eastAsia="lt-LT"/>
        </w:rPr>
        <w:t>ū</w:t>
      </w:r>
      <w:r w:rsidRPr="00317AE0">
        <w:rPr>
          <w:color w:val="000000"/>
          <w:u w:val="single"/>
          <w:lang w:eastAsia="lt-LT"/>
        </w:rPr>
        <w:t>k</w:t>
      </w:r>
      <w:r w:rsidR="00AC6FA2">
        <w:rPr>
          <w:color w:val="000000"/>
          <w:u w:val="single"/>
          <w:lang w:eastAsia="lt-LT"/>
        </w:rPr>
        <w:t>u</w:t>
      </w:r>
      <w:r w:rsidRPr="00317AE0">
        <w:rPr>
          <w:color w:val="000000"/>
          <w:u w:val="single"/>
          <w:lang w:eastAsia="lt-LT"/>
        </w:rPr>
        <w:t>mai</w:t>
      </w:r>
    </w:p>
    <w:p w14:paraId="2054EDCD" w14:textId="2BA8151C" w:rsidR="00317AE0" w:rsidRPr="00317AE0" w:rsidRDefault="00317AE0" w:rsidP="009446AE">
      <w:pPr>
        <w:tabs>
          <w:tab w:val="left" w:pos="426"/>
        </w:tabs>
        <w:jc w:val="both"/>
        <w:rPr>
          <w:color w:val="000000"/>
          <w:lang w:eastAsia="lt-LT"/>
        </w:rPr>
      </w:pPr>
      <w:r>
        <w:rPr>
          <w:color w:val="000000"/>
          <w:lang w:eastAsia="lt-LT"/>
        </w:rPr>
        <w:tab/>
      </w:r>
      <w:r w:rsidRPr="00E7714E">
        <w:rPr>
          <w:rFonts w:eastAsia="Arial"/>
          <w:color w:val="000000" w:themeColor="text1"/>
        </w:rPr>
        <w:t xml:space="preserve">Lietuvoje 2021 m. </w:t>
      </w:r>
      <w:r w:rsidR="001E0836">
        <w:rPr>
          <w:rFonts w:eastAsia="Arial"/>
          <w:color w:val="000000" w:themeColor="text1"/>
        </w:rPr>
        <w:t xml:space="preserve">yra 30 </w:t>
      </w:r>
      <w:r w:rsidRPr="00E7714E">
        <w:rPr>
          <w:rFonts w:eastAsia="Arial"/>
          <w:color w:val="000000" w:themeColor="text1"/>
        </w:rPr>
        <w:t>asmenų, kuriems diagnozuota PAE</w:t>
      </w:r>
      <w:r w:rsidR="00072C60">
        <w:rPr>
          <w:rFonts w:eastAsia="Arial"/>
          <w:color w:val="000000" w:themeColor="text1"/>
        </w:rPr>
        <w:t xml:space="preserve"> </w:t>
      </w:r>
      <w:r w:rsidR="001E0836">
        <w:rPr>
          <w:rFonts w:eastAsia="Arial"/>
          <w:color w:val="000000" w:themeColor="text1"/>
        </w:rPr>
        <w:t>(</w:t>
      </w:r>
      <w:r w:rsidRPr="00E7714E">
        <w:rPr>
          <w:rFonts w:eastAsia="Arial"/>
          <w:color w:val="000000" w:themeColor="text1"/>
        </w:rPr>
        <w:t>L.</w:t>
      </w:r>
      <w:r w:rsidR="001E0836">
        <w:rPr>
          <w:rFonts w:eastAsia="Arial"/>
          <w:color w:val="000000" w:themeColor="text1"/>
        </w:rPr>
        <w:t> </w:t>
      </w:r>
      <w:r w:rsidRPr="00E7714E">
        <w:rPr>
          <w:rFonts w:eastAsia="Arial"/>
          <w:color w:val="000000" w:themeColor="text1"/>
        </w:rPr>
        <w:t>Kievišienė, 2021</w:t>
      </w:r>
      <w:r w:rsidR="001E0836">
        <w:rPr>
          <w:rFonts w:eastAsia="Arial"/>
          <w:color w:val="000000" w:themeColor="text1"/>
        </w:rPr>
        <w:t>)</w:t>
      </w:r>
      <w:r w:rsidRPr="00E7714E">
        <w:rPr>
          <w:rFonts w:eastAsia="Arial"/>
          <w:color w:val="000000" w:themeColor="text1"/>
        </w:rPr>
        <w:t>.</w:t>
      </w:r>
      <w:r>
        <w:rPr>
          <w:rFonts w:eastAsia="Arial"/>
          <w:color w:val="000000" w:themeColor="text1"/>
        </w:rPr>
        <w:t xml:space="preserve"> Pareiškėjas nepateikė tiesioginio efektyvumo palyginimo su galimai vartojamu klinikin</w:t>
      </w:r>
      <w:r w:rsidR="00F26368">
        <w:rPr>
          <w:rFonts w:eastAsia="Arial"/>
          <w:color w:val="000000" w:themeColor="text1"/>
        </w:rPr>
        <w:t>ė</w:t>
      </w:r>
      <w:r>
        <w:rPr>
          <w:rFonts w:eastAsia="Arial"/>
          <w:color w:val="000000" w:themeColor="text1"/>
        </w:rPr>
        <w:t xml:space="preserve">je praktikoje C1-INH. Netiesioginio </w:t>
      </w:r>
      <w:r w:rsidR="00F26368">
        <w:rPr>
          <w:rFonts w:eastAsia="Arial"/>
          <w:color w:val="000000" w:themeColor="text1"/>
        </w:rPr>
        <w:t>palyginimo</w:t>
      </w:r>
      <w:r>
        <w:rPr>
          <w:rFonts w:eastAsia="Arial"/>
          <w:color w:val="000000" w:themeColor="text1"/>
        </w:rPr>
        <w:t xml:space="preserve"> analizė parodė, kad vertinant priepuol</w:t>
      </w:r>
      <w:r w:rsidR="00F26368">
        <w:rPr>
          <w:rFonts w:eastAsia="Arial"/>
          <w:color w:val="000000" w:themeColor="text1"/>
        </w:rPr>
        <w:t>i</w:t>
      </w:r>
      <w:r>
        <w:rPr>
          <w:rFonts w:eastAsia="Arial"/>
          <w:color w:val="000000" w:themeColor="text1"/>
        </w:rPr>
        <w:t xml:space="preserve">ų dažnio </w:t>
      </w:r>
      <w:r w:rsidR="00F26368">
        <w:rPr>
          <w:rFonts w:eastAsia="Arial"/>
          <w:color w:val="000000" w:themeColor="text1"/>
        </w:rPr>
        <w:t>santykius</w:t>
      </w:r>
      <w:r w:rsidR="001E0836">
        <w:rPr>
          <w:rFonts w:eastAsia="Arial"/>
          <w:color w:val="000000" w:themeColor="text1"/>
        </w:rPr>
        <w:t>,</w:t>
      </w:r>
      <w:r>
        <w:rPr>
          <w:rFonts w:eastAsia="Arial"/>
          <w:color w:val="000000" w:themeColor="text1"/>
        </w:rPr>
        <w:t xml:space="preserve"> lanadelumabas labiau mažina priepuolių atsiradimo riziką nei C1-INH. Tačiau, </w:t>
      </w:r>
      <w:r w:rsidR="00F26368">
        <w:rPr>
          <w:rFonts w:eastAsia="Arial"/>
          <w:color w:val="000000" w:themeColor="text1"/>
        </w:rPr>
        <w:t>netiesioginė</w:t>
      </w:r>
      <w:r>
        <w:rPr>
          <w:rFonts w:eastAsia="Arial"/>
          <w:color w:val="000000" w:themeColor="text1"/>
        </w:rPr>
        <w:t xml:space="preserve"> analizė neparodė skirtumo tarp lanadelumabo ir C1-INH, vertinant laiką iki pirmo priepuolio</w:t>
      </w:r>
      <w:r w:rsidR="001E0836">
        <w:rPr>
          <w:rFonts w:eastAsia="Arial"/>
          <w:color w:val="000000" w:themeColor="text1"/>
        </w:rPr>
        <w:t xml:space="preserve"> taikant</w:t>
      </w:r>
      <w:r>
        <w:rPr>
          <w:rFonts w:eastAsia="Arial"/>
          <w:color w:val="000000" w:themeColor="text1"/>
        </w:rPr>
        <w:t xml:space="preserve"> profilaktik</w:t>
      </w:r>
      <w:r w:rsidR="001E0836">
        <w:rPr>
          <w:rFonts w:eastAsia="Arial"/>
          <w:color w:val="000000" w:themeColor="text1"/>
        </w:rPr>
        <w:t>ą</w:t>
      </w:r>
      <w:r>
        <w:rPr>
          <w:rFonts w:eastAsia="Arial"/>
          <w:color w:val="000000" w:themeColor="text1"/>
        </w:rPr>
        <w:t xml:space="preserve">. Klinikinio vertinimo metu </w:t>
      </w:r>
      <w:r w:rsidR="001E0836">
        <w:rPr>
          <w:rFonts w:eastAsia="Arial"/>
          <w:color w:val="000000" w:themeColor="text1"/>
        </w:rPr>
        <w:t>nepakako</w:t>
      </w:r>
      <w:r>
        <w:rPr>
          <w:rFonts w:eastAsia="Arial"/>
          <w:color w:val="000000" w:themeColor="text1"/>
        </w:rPr>
        <w:t xml:space="preserve"> </w:t>
      </w:r>
      <w:r w:rsidR="001E0836">
        <w:rPr>
          <w:rFonts w:eastAsia="Arial"/>
          <w:color w:val="000000" w:themeColor="text1"/>
        </w:rPr>
        <w:t xml:space="preserve">lanadelumabo </w:t>
      </w:r>
      <w:r>
        <w:rPr>
          <w:rFonts w:eastAsia="Arial"/>
          <w:color w:val="000000" w:themeColor="text1"/>
        </w:rPr>
        <w:t>tiesioginio efektyvumo palyginimo su C1-INH.</w:t>
      </w:r>
    </w:p>
    <w:p w14:paraId="365D13C3" w14:textId="5D3C670B" w:rsidR="00317AE0" w:rsidRPr="00317AE0" w:rsidRDefault="00317AE0" w:rsidP="009446AE">
      <w:pPr>
        <w:tabs>
          <w:tab w:val="left" w:pos="426"/>
        </w:tabs>
        <w:jc w:val="both"/>
        <w:rPr>
          <w:color w:val="000000"/>
          <w:u w:val="single"/>
          <w:lang w:eastAsia="lt-LT"/>
        </w:rPr>
      </w:pPr>
    </w:p>
    <w:p w14:paraId="4A2BBCD7" w14:textId="77777777" w:rsidR="008323AC" w:rsidRPr="00E33EFF" w:rsidRDefault="008323AC" w:rsidP="00A93AA6">
      <w:pPr>
        <w:pStyle w:val="ListParagraph"/>
        <w:tabs>
          <w:tab w:val="left" w:pos="426"/>
        </w:tabs>
        <w:ind w:left="0"/>
        <w:rPr>
          <w:b/>
          <w:bCs/>
          <w:caps/>
        </w:rPr>
      </w:pPr>
    </w:p>
    <w:p w14:paraId="7DE09EB5" w14:textId="69E9DD74" w:rsidR="00E03C3F" w:rsidRPr="00E33EFF" w:rsidRDefault="00CC7832" w:rsidP="00CC09D4">
      <w:pPr>
        <w:pStyle w:val="ListParagraph"/>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717895FF" w14:textId="77777777" w:rsidR="00E44C8E" w:rsidRDefault="00E44C8E" w:rsidP="00E44C8E">
      <w:pPr>
        <w:tabs>
          <w:tab w:val="left" w:pos="567"/>
        </w:tabs>
        <w:jc w:val="both"/>
        <w:rPr>
          <w:iCs/>
          <w:color w:val="000000" w:themeColor="text1"/>
          <w:lang w:eastAsia="lt-LT"/>
        </w:rPr>
      </w:pPr>
    </w:p>
    <w:p w14:paraId="729E0094" w14:textId="5E85EA69" w:rsidR="00E44C8E" w:rsidRDefault="001E0836" w:rsidP="00E44C8E">
      <w:pPr>
        <w:tabs>
          <w:tab w:val="left" w:pos="567"/>
        </w:tabs>
        <w:jc w:val="both"/>
        <w:rPr>
          <w:szCs w:val="20"/>
        </w:rPr>
      </w:pPr>
      <w:r>
        <w:rPr>
          <w:iCs/>
          <w:color w:val="000000" w:themeColor="text1"/>
          <w:lang w:eastAsia="lt-LT"/>
        </w:rPr>
        <w:tab/>
      </w:r>
      <w:r w:rsidR="00E44C8E">
        <w:rPr>
          <w:iCs/>
          <w:color w:val="000000" w:themeColor="text1"/>
          <w:lang w:eastAsia="lt-LT"/>
        </w:rPr>
        <w:t>Vertinimui pateikta kaštų naudingumo analizė, lanadelumabo kaštų naudingumą lyginant su C1 esterazės inhibitoriumi (Cinryze). Paraiškoje nurodyta indikacija</w:t>
      </w:r>
      <w:r w:rsidR="00E44C8E">
        <w:t xml:space="preserve">– </w:t>
      </w:r>
      <w:r>
        <w:t>„</w:t>
      </w:r>
      <w:r w:rsidR="00E44C8E">
        <w:t>Lanadelumabas skirtas 12 metų ir vyresnių pacientų pasikartojančių paveldimos angioedemos (PAE) priepuolių rutininei profilaktikai</w:t>
      </w:r>
      <w:r>
        <w:t>“</w:t>
      </w:r>
      <w:r w:rsidR="00E44C8E">
        <w:t>. Ilgalaikis profilaktinis gydymas C1 esterazės inhibitorimi Lietuvoje skiriamas pagal L</w:t>
      </w:r>
      <w:r>
        <w:t xml:space="preserve">ietuvos </w:t>
      </w:r>
      <w:r w:rsidR="008477C5">
        <w:t>R</w:t>
      </w:r>
      <w:r>
        <w:t>espublikos</w:t>
      </w:r>
      <w:r w:rsidR="00E44C8E">
        <w:t xml:space="preserve"> S</w:t>
      </w:r>
      <w:r>
        <w:t>veikatos apsaugos ministerijos</w:t>
      </w:r>
      <w:r w:rsidR="00FB69A6">
        <w:t xml:space="preserve"> </w:t>
      </w:r>
      <w:r w:rsidR="00E44C8E">
        <w:t>Labai retų žmogaus sveikatos būklių gydymo išlaidų kompensavimo komisijos sprendimą dėl gydymo įstaigų prašym</w:t>
      </w:r>
      <w:r w:rsidR="00FB69A6">
        <w:t>o</w:t>
      </w:r>
      <w:r w:rsidR="00E44C8E">
        <w:t xml:space="preserve"> dėl profilaktinio gydymo C1 esterazės inhibitorimi (plazmos derivatu) išlaidų pradžios, kai pacientui, taikant profilaktinį gydymą traneksamo rūgštimi arba danazolu, angioedemos priepuoliai (pacientą priepuolių metu gydant stacionare) kartojasi daugiau kaip 12 kartų per metus“. </w:t>
      </w:r>
      <w:r w:rsidR="0032200D">
        <w:t xml:space="preserve">Šiuo </w:t>
      </w:r>
      <w:r w:rsidR="00E44C8E">
        <w:t xml:space="preserve"> metu Lietuvoje nėra rutiniškai kompensuojam</w:t>
      </w:r>
      <w:r w:rsidR="0032200D">
        <w:t>i vaistai, skirti</w:t>
      </w:r>
      <w:r w:rsidR="00E44C8E">
        <w:t xml:space="preserve"> PAE priepuolių profilaktikai. Remiantis Valstybinės Ligonių Kasos </w:t>
      </w:r>
      <w:r w:rsidR="0032200D">
        <w:t>(</w:t>
      </w:r>
      <w:r w:rsidR="00E44C8E">
        <w:t>VLK</w:t>
      </w:r>
      <w:r w:rsidR="0032200D">
        <w:t>)</w:t>
      </w:r>
      <w:r w:rsidR="00E44C8E">
        <w:t xml:space="preserve"> - duomenimis, 2019-2021 m. nebuvo kompensuota C1 esterazės inhibitori</w:t>
      </w:r>
      <w:r w:rsidR="0032200D">
        <w:t>ai</w:t>
      </w:r>
      <w:r w:rsidR="00E44C8E">
        <w:t xml:space="preserve"> (plazmos d</w:t>
      </w:r>
      <w:r w:rsidR="0032200D">
        <w:t>arinys</w:t>
      </w:r>
      <w:r w:rsidR="00E44C8E">
        <w:t>) pasikartojančių paveldimos angioedemos priepuolių rutininei profilaktikai. Taigi, teoriškai C1 esterazės inhibitorius (</w:t>
      </w:r>
      <w:r w:rsidR="00E44C8E" w:rsidRPr="00D11246">
        <w:rPr>
          <w:i/>
        </w:rPr>
        <w:t>Cinryze</w:t>
      </w:r>
      <w:r w:rsidR="00E44C8E">
        <w:t xml:space="preserve">) galėtų būti kompensuojamas PAE priepuolių profilaktikai (tai atitinka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119 punktą), tačiau vertinant faktinius duomenis – pacientų, kuriems būtų skiriamas šis vaistinis preparatas PAE profilaktikai, 2019-2021 metais – nebuvo. Dėl šios priežasties, Tarnyba pripažįsta, jog </w:t>
      </w:r>
      <w:r w:rsidR="00E44C8E" w:rsidRPr="00D11246">
        <w:rPr>
          <w:i/>
        </w:rPr>
        <w:t>Cinryze</w:t>
      </w:r>
      <w:r w:rsidR="00E44C8E">
        <w:t xml:space="preserve"> yra tinkamas palyginamasis gydymas, tačiau faktiškai Lietuvos klinikinę situaciją atitinka placebas – t.y. pacientai nėra profilaktiškai gydomi nuo PAE priepuolių. Dėl šios priežasties, Tarnyba analizėje pateikia ir analizės rezultato apskaičiavimą su </w:t>
      </w:r>
      <w:r w:rsidR="00FB69A6">
        <w:t xml:space="preserve">abiem </w:t>
      </w:r>
      <w:r w:rsidR="00E44C8E">
        <w:t>palyginam</w:t>
      </w:r>
      <w:r w:rsidR="00FB69A6">
        <w:t>aisiais</w:t>
      </w:r>
      <w:r w:rsidR="0032200D">
        <w:t xml:space="preserve"> gydym</w:t>
      </w:r>
      <w:r w:rsidR="00FB69A6">
        <w:t>ais</w:t>
      </w:r>
      <w:r w:rsidR="00E44C8E">
        <w:t xml:space="preserve"> – placebu</w:t>
      </w:r>
      <w:r w:rsidR="00FB69A6">
        <w:t xml:space="preserve"> ir </w:t>
      </w:r>
      <w:r w:rsidR="00FB69A6" w:rsidRPr="00D11246">
        <w:rPr>
          <w:i/>
          <w:iCs/>
        </w:rPr>
        <w:t>Cinryze</w:t>
      </w:r>
      <w:r w:rsidR="00E44C8E">
        <w:t>.</w:t>
      </w:r>
    </w:p>
    <w:p w14:paraId="32892042" w14:textId="4269201D" w:rsidR="00E44C8E" w:rsidRDefault="0032200D" w:rsidP="00E44C8E">
      <w:pPr>
        <w:tabs>
          <w:tab w:val="left" w:pos="567"/>
        </w:tabs>
        <w:jc w:val="both"/>
      </w:pPr>
      <w:r>
        <w:tab/>
      </w:r>
      <w:r w:rsidR="00E44C8E">
        <w:t>Tarnybos pateiktame analizės rezultato perskaičiavime, kaštai atnaujinti pagal naujausius prieinamus šaltinius. Taip pat, Tarnyba analizėje koregavo Pareiškėjo taikomas prielaidas</w:t>
      </w:r>
      <w:r>
        <w:t>.</w:t>
      </w:r>
    </w:p>
    <w:p w14:paraId="51A74C6E" w14:textId="77777777" w:rsidR="00E44C8E" w:rsidRDefault="00E44C8E" w:rsidP="00E44C8E">
      <w:pPr>
        <w:tabs>
          <w:tab w:val="left" w:pos="567"/>
        </w:tabs>
        <w:jc w:val="both"/>
      </w:pPr>
    </w:p>
    <w:p w14:paraId="1A2C0A9B" w14:textId="23ED03D2" w:rsidR="00E44C8E" w:rsidRPr="0032200D" w:rsidRDefault="00E44C8E" w:rsidP="00E44C8E">
      <w:pPr>
        <w:pStyle w:val="ListParagraph"/>
        <w:numPr>
          <w:ilvl w:val="0"/>
          <w:numId w:val="13"/>
        </w:numPr>
        <w:spacing w:after="120"/>
        <w:jc w:val="both"/>
        <w:rPr>
          <w:snapToGrid w:val="0"/>
        </w:rPr>
      </w:pPr>
      <w:r w:rsidRPr="0032200D">
        <w:t xml:space="preserve">Modelyje taikoma prielaida, jog </w:t>
      </w:r>
      <w:r w:rsidRPr="008477C5">
        <w:rPr>
          <w:snapToGrid w:val="0"/>
        </w:rPr>
        <w:t>pacientai patenka į modelį vartodami lanadelumabo 300 mg. dozę, kas 2 savaites, o dalis pacientų po kurio laiko, pereina į 300 mg kas 4 savaites dozavimo rėžimą. Pagrindinio atvejo analizėje laikoma, jog po 6 mėn</w:t>
      </w:r>
      <w:r w:rsidR="00FB69A6">
        <w:rPr>
          <w:snapToGrid w:val="0"/>
        </w:rPr>
        <w:t>.</w:t>
      </w:r>
      <w:r w:rsidRPr="008477C5">
        <w:rPr>
          <w:snapToGrid w:val="0"/>
        </w:rPr>
        <w:t>, 44,4%</w:t>
      </w:r>
      <w:r w:rsidRPr="0032200D">
        <w:rPr>
          <w:snapToGrid w:val="0"/>
        </w:rPr>
        <w:t xml:space="preserve"> pacientų pereis į mažesnio dozavimo intervalo grupę, o 76,9</w:t>
      </w:r>
      <w:r w:rsidRPr="008477C5">
        <w:rPr>
          <w:snapToGrid w:val="0"/>
        </w:rPr>
        <w:t>%</w:t>
      </w:r>
      <w:r w:rsidRPr="0032200D">
        <w:rPr>
          <w:snapToGrid w:val="0"/>
        </w:rPr>
        <w:t xml:space="preserve"> pacientų mažesnę dozę vartos po 12</w:t>
      </w:r>
      <w:r w:rsidRPr="008477C5">
        <w:rPr>
          <w:snapToGrid w:val="0"/>
        </w:rPr>
        <w:t xml:space="preserve"> m</w:t>
      </w:r>
      <w:r w:rsidRPr="0032200D">
        <w:rPr>
          <w:snapToGrid w:val="0"/>
        </w:rPr>
        <w:t>ėn. nuo lanadelumabo iniciacijos. Šis pacientų pasiskirstymas buvo nuspręstas iš HELP-03 tyrimo (po 6 mėn. nuo tyrimo pradžios 44,4</w:t>
      </w:r>
      <w:r w:rsidRPr="008477C5">
        <w:rPr>
          <w:snapToGrid w:val="0"/>
        </w:rPr>
        <w:t>% pa</w:t>
      </w:r>
      <w:r w:rsidRPr="0032200D">
        <w:rPr>
          <w:snapToGrid w:val="0"/>
        </w:rPr>
        <w:t>cientų, vartoję 300 mg kas 2 savaites nepatyrė priepuolių. 76,9</w:t>
      </w:r>
      <w:r w:rsidRPr="008477C5">
        <w:rPr>
          <w:snapToGrid w:val="0"/>
        </w:rPr>
        <w:t xml:space="preserve">% </w:t>
      </w:r>
      <w:r w:rsidRPr="0032200D">
        <w:rPr>
          <w:snapToGrid w:val="0"/>
        </w:rPr>
        <w:t>pacientų po 182 dienų taip pat nepatyrė priepuolių). Vis dėlto, HELP-03 tyrime pacientai neturėjo galimybės keisti dozavimo intervalo, todėl lieka neaišku, ar nurodyta pacientų dalis iš tikro vaistą pradės vartoti rečiau. Neaišku ar pacientai sutiktų retinti vaisto dozavimą, kai jų būklė, vaistą vartojant dažniau, yra valdoma. Lanadelumabo retesnis dozavimas preparato charakteri</w:t>
      </w:r>
      <w:r w:rsidR="0032200D">
        <w:rPr>
          <w:snapToGrid w:val="0"/>
        </w:rPr>
        <w:t>s</w:t>
      </w:r>
      <w:r w:rsidRPr="0032200D">
        <w:rPr>
          <w:snapToGrid w:val="0"/>
        </w:rPr>
        <w:t xml:space="preserve">tikų santraukoje yra pateiktas kaip rekomendacinio pobūdžio </w:t>
      </w:r>
      <w:r w:rsidRPr="0032200D">
        <w:rPr>
          <w:snapToGrid w:val="0"/>
        </w:rPr>
        <w:lastRenderedPageBreak/>
        <w:t>pasiūlymas – nėra tiksliai nurodyta, kokiu atveju keičiamas dozavimas. Taip pat nepateikta ir kitų klinikinių duomenų, įrodančių dozavimo retinimą. Dėl šių priežasčių, Tarnyba pagrindinio atvejo analizei renkasi, jog per 12 mėn. 0 proc. pacientų vaistą pradės vartoti rečiau (konservatyvi prielaida PSDF biudžeto atžvilgiu).</w:t>
      </w:r>
    </w:p>
    <w:p w14:paraId="269F8C57" w14:textId="65C11B35" w:rsidR="00E44C8E" w:rsidRPr="0032200D" w:rsidRDefault="00E44C8E" w:rsidP="00E44C8E">
      <w:pPr>
        <w:pStyle w:val="ListParagraph"/>
        <w:numPr>
          <w:ilvl w:val="0"/>
          <w:numId w:val="13"/>
        </w:numPr>
        <w:spacing w:after="120"/>
        <w:jc w:val="both"/>
        <w:rPr>
          <w:snapToGrid w:val="0"/>
        </w:rPr>
      </w:pPr>
      <w:r w:rsidRPr="0032200D">
        <w:rPr>
          <w:snapToGrid w:val="0"/>
        </w:rPr>
        <w:t xml:space="preserve">Modelyje taikomas </w:t>
      </w:r>
      <w:r w:rsidR="0032200D" w:rsidRPr="008477C5">
        <w:rPr>
          <w:i/>
          <w:snapToGrid w:val="0"/>
        </w:rPr>
        <w:t>C</w:t>
      </w:r>
      <w:r w:rsidRPr="008477C5">
        <w:rPr>
          <w:i/>
          <w:snapToGrid w:val="0"/>
        </w:rPr>
        <w:t>inryze</w:t>
      </w:r>
      <w:r w:rsidRPr="0032200D">
        <w:rPr>
          <w:snapToGrid w:val="0"/>
        </w:rPr>
        <w:t xml:space="preserve"> dozavimo intervalas kas 3,5 dienos (t.y. 8 1000TV dozės per 28 dienas). Pagal preparato charakteristikų santrauką, cinryze dozavimas PAE priepuolių profilaktikai yra kas 3 – 4 dienas. Tarnyba analizei renkasi konservatyvų scenarijų ir taiko 1000TV </w:t>
      </w:r>
      <w:r w:rsidR="00FB69A6" w:rsidRPr="008477C5">
        <w:rPr>
          <w:i/>
          <w:iCs/>
          <w:snapToGrid w:val="0"/>
        </w:rPr>
        <w:t>C</w:t>
      </w:r>
      <w:r w:rsidRPr="008477C5">
        <w:rPr>
          <w:i/>
          <w:iCs/>
          <w:snapToGrid w:val="0"/>
        </w:rPr>
        <w:t xml:space="preserve">inryze </w:t>
      </w:r>
      <w:r w:rsidRPr="0032200D">
        <w:rPr>
          <w:snapToGrid w:val="0"/>
        </w:rPr>
        <w:t>dozavimą kas 4 dienas (t.y. 7 1000TV dozės per 28 dienas).</w:t>
      </w:r>
    </w:p>
    <w:p w14:paraId="51D7A9A4" w14:textId="6DBFF868" w:rsidR="00E44C8E" w:rsidRDefault="00E44C8E" w:rsidP="00E44C8E">
      <w:pPr>
        <w:pStyle w:val="ListParagraph"/>
        <w:numPr>
          <w:ilvl w:val="0"/>
          <w:numId w:val="13"/>
        </w:numPr>
        <w:spacing w:after="120"/>
        <w:jc w:val="both"/>
        <w:rPr>
          <w:snapToGrid w:val="0"/>
        </w:rPr>
      </w:pPr>
      <w:r w:rsidRPr="0032200D">
        <w:rPr>
          <w:snapToGrid w:val="0"/>
        </w:rPr>
        <w:t xml:space="preserve">Analizėje lyginant </w:t>
      </w:r>
      <w:r w:rsidR="0032200D" w:rsidRPr="008477C5">
        <w:rPr>
          <w:i/>
          <w:snapToGrid w:val="0"/>
        </w:rPr>
        <w:t>C</w:t>
      </w:r>
      <w:r w:rsidRPr="008477C5">
        <w:rPr>
          <w:i/>
          <w:snapToGrid w:val="0"/>
        </w:rPr>
        <w:t>inryze</w:t>
      </w:r>
      <w:r w:rsidRPr="0032200D">
        <w:rPr>
          <w:snapToGrid w:val="0"/>
        </w:rPr>
        <w:t xml:space="preserve"> ir lanadelumabo efektyvumą yra naudojami skirtingi duomenų šaltiniai. Lanadelumabo pacientų grupės priepuolių skaičius kiekviename cikle buvo paskaičiuotas remiantis Poisson regresijos duomenimis iš HELP-03 tyrimo. Siekiant palyginti </w:t>
      </w:r>
      <w:r w:rsidR="0032200D" w:rsidRPr="008477C5">
        <w:rPr>
          <w:i/>
          <w:snapToGrid w:val="0"/>
        </w:rPr>
        <w:t>C</w:t>
      </w:r>
      <w:r w:rsidRPr="008477C5">
        <w:rPr>
          <w:i/>
          <w:snapToGrid w:val="0"/>
        </w:rPr>
        <w:t xml:space="preserve">inryze </w:t>
      </w:r>
      <w:r w:rsidRPr="0032200D">
        <w:rPr>
          <w:snapToGrid w:val="0"/>
        </w:rPr>
        <w:t>ir lanadelumabo efektyvumą buvo atliktas netiesioginis palyginimas iš HELP-03 ir</w:t>
      </w:r>
      <w:r>
        <w:rPr>
          <w:snapToGrid w:val="0"/>
        </w:rPr>
        <w:t xml:space="preserve"> CHANGE tyrimų. Siekiant įvertinti vidutinį priepuolių skaičių kieviename cikle, </w:t>
      </w:r>
      <w:r w:rsidR="0032200D" w:rsidRPr="008477C5">
        <w:rPr>
          <w:i/>
          <w:snapToGrid w:val="0"/>
        </w:rPr>
        <w:t>C</w:t>
      </w:r>
      <w:r w:rsidRPr="008477C5">
        <w:rPr>
          <w:i/>
          <w:snapToGrid w:val="0"/>
        </w:rPr>
        <w:t xml:space="preserve">inryze </w:t>
      </w:r>
      <w:r>
        <w:rPr>
          <w:snapToGrid w:val="0"/>
        </w:rPr>
        <w:t>grupėje buvo naudotas rizikos santykis (</w:t>
      </w:r>
      <w:r>
        <w:rPr>
          <w:i/>
          <w:snapToGrid w:val="0"/>
        </w:rPr>
        <w:t>angl. risk ratio</w:t>
      </w:r>
      <w:r>
        <w:rPr>
          <w:snapToGrid w:val="0"/>
        </w:rPr>
        <w:t xml:space="preserve">) iš netiesioginio palyginimo. Tarnyba pagrindinio atvejo analizei renkasi vieną šaltinį vaisto efektyvumo įvertinimui – netiesioginį palyginimą, tokiu atveju ir lanadelumabo, ir </w:t>
      </w:r>
      <w:r w:rsidR="0032200D" w:rsidRPr="008477C5">
        <w:rPr>
          <w:i/>
          <w:snapToGrid w:val="0"/>
        </w:rPr>
        <w:t>C</w:t>
      </w:r>
      <w:r w:rsidRPr="008477C5">
        <w:rPr>
          <w:i/>
          <w:snapToGrid w:val="0"/>
        </w:rPr>
        <w:t>inryze</w:t>
      </w:r>
      <w:r>
        <w:rPr>
          <w:snapToGrid w:val="0"/>
        </w:rPr>
        <w:t xml:space="preserve"> grupėse, siekiant įvertinti vidutinį priepuolių skaičių kiekviename cikle, buvo naudotas rizikos santykis.</w:t>
      </w:r>
    </w:p>
    <w:p w14:paraId="5993CFB8" w14:textId="77777777" w:rsidR="00E44C8E" w:rsidRDefault="00E44C8E" w:rsidP="00E44C8E">
      <w:pPr>
        <w:pStyle w:val="ListParagraph"/>
        <w:spacing w:after="120"/>
        <w:jc w:val="both"/>
        <w:rPr>
          <w:snapToGrid w:val="0"/>
        </w:rPr>
      </w:pPr>
    </w:p>
    <w:p w14:paraId="1694A934" w14:textId="78A9AC1B" w:rsidR="00E44C8E" w:rsidRDefault="00E44C8E" w:rsidP="00E44C8E">
      <w:pPr>
        <w:shd w:val="clear" w:color="auto" w:fill="FFFFFF"/>
        <w:spacing w:line="276" w:lineRule="auto"/>
        <w:rPr>
          <w:rFonts w:eastAsia="Arial"/>
        </w:rPr>
      </w:pPr>
      <w:r>
        <w:rPr>
          <w:rFonts w:eastAsia="Arial"/>
        </w:rPr>
        <w:t xml:space="preserve">Modelyje pritaikius nurodytas prielaidas bei atnaujinus kaštus, ICER neatitinka referentinės kaštų naudingumo vertės nei lyginant su </w:t>
      </w:r>
      <w:r w:rsidR="0032200D" w:rsidRPr="008477C5">
        <w:rPr>
          <w:rFonts w:eastAsia="Arial"/>
          <w:i/>
        </w:rPr>
        <w:t>C</w:t>
      </w:r>
      <w:r w:rsidRPr="008477C5">
        <w:rPr>
          <w:rFonts w:eastAsia="Arial"/>
          <w:i/>
        </w:rPr>
        <w:t>inryze</w:t>
      </w:r>
      <w:r>
        <w:rPr>
          <w:rFonts w:eastAsia="Arial"/>
        </w:rPr>
        <w:t>, nei lyginant su placebu.</w:t>
      </w:r>
    </w:p>
    <w:p w14:paraId="7C1E08E4" w14:textId="0AADDCFB" w:rsidR="00E44C8E" w:rsidRDefault="00E44C8E" w:rsidP="00E44C8E">
      <w:pPr>
        <w:shd w:val="clear" w:color="auto" w:fill="FFFFFF"/>
        <w:spacing w:line="276" w:lineRule="auto"/>
        <w:rPr>
          <w:rFonts w:eastAsia="Arial"/>
          <w:lang w:val="en-US"/>
        </w:rPr>
      </w:pPr>
      <w:r>
        <w:rPr>
          <w:rFonts w:eastAsia="Arial"/>
        </w:rPr>
        <w:t xml:space="preserve">Santykinis kokybiškos gyvenimo trukmės praradimas </w:t>
      </w:r>
      <w:r>
        <w:rPr>
          <w:rFonts w:eastAsia="Arial"/>
          <w:lang w:val="en-US"/>
        </w:rPr>
        <w:t xml:space="preserve">= </w:t>
      </w:r>
      <w:r w:rsidR="0039524C">
        <w:rPr>
          <w:rFonts w:eastAsia="Arial"/>
          <w:lang w:val="en-US"/>
        </w:rPr>
        <w:t>****</w:t>
      </w:r>
    </w:p>
    <w:p w14:paraId="36B354B2" w14:textId="4EAA9C48" w:rsidR="00E44C8E" w:rsidRPr="00D354F2" w:rsidRDefault="00E44C8E" w:rsidP="00E44C8E">
      <w:pPr>
        <w:pStyle w:val="ListParagraph"/>
        <w:numPr>
          <w:ilvl w:val="0"/>
          <w:numId w:val="14"/>
        </w:numPr>
        <w:tabs>
          <w:tab w:val="left" w:pos="567"/>
        </w:tabs>
        <w:jc w:val="both"/>
        <w:rPr>
          <w:iCs/>
          <w:lang w:eastAsia="lt-LT"/>
        </w:rPr>
      </w:pPr>
      <w:r>
        <w:rPr>
          <w:bCs/>
          <w:color w:val="000000"/>
          <w:lang w:eastAsia="lt-LT"/>
        </w:rPr>
        <w:t xml:space="preserve">Remiantis Lietuvos Respublikos statistikos departamento duomenimis, 2020 m. BVP </w:t>
      </w:r>
      <w:r w:rsidRPr="008477C5">
        <w:rPr>
          <w:bCs/>
          <w:i/>
          <w:color w:val="000000"/>
          <w:lang w:eastAsia="lt-LT"/>
        </w:rPr>
        <w:t>per capita</w:t>
      </w:r>
      <w:r>
        <w:rPr>
          <w:bCs/>
          <w:color w:val="000000"/>
          <w:lang w:eastAsia="lt-LT"/>
        </w:rPr>
        <w:t xml:space="preserve"> to meto kainomis yra 17807 </w:t>
      </w:r>
      <w:r w:rsidR="00DB5BF8">
        <w:rPr>
          <w:bCs/>
          <w:color w:val="000000"/>
          <w:lang w:eastAsia="lt-LT"/>
        </w:rPr>
        <w:t>E</w:t>
      </w:r>
      <w:r>
        <w:rPr>
          <w:bCs/>
          <w:color w:val="000000"/>
          <w:lang w:eastAsia="lt-LT"/>
        </w:rPr>
        <w:t>ur., referentinė kaštų naudingumo vertė</w:t>
      </w:r>
      <w:r>
        <w:rPr>
          <w:bCs/>
          <w:color w:val="000000"/>
          <w:lang w:val="en-US" w:eastAsia="lt-LT"/>
        </w:rPr>
        <w:t xml:space="preserve"> =</w:t>
      </w:r>
      <w:r>
        <w:rPr>
          <w:bCs/>
          <w:color w:val="000000"/>
          <w:lang w:eastAsia="lt-LT"/>
        </w:rPr>
        <w:t>1BVP</w:t>
      </w:r>
      <w:r>
        <w:rPr>
          <w:bCs/>
          <w:color w:val="000000"/>
          <w:lang w:val="en-US" w:eastAsia="lt-LT"/>
        </w:rPr>
        <w:t>=</w:t>
      </w:r>
      <w:r>
        <w:rPr>
          <w:bCs/>
          <w:color w:val="000000"/>
          <w:lang w:eastAsia="lt-LT"/>
        </w:rPr>
        <w:t xml:space="preserve">17807 </w:t>
      </w:r>
      <w:r w:rsidR="00DB5BF8">
        <w:rPr>
          <w:bCs/>
          <w:color w:val="000000"/>
          <w:lang w:eastAsia="lt-LT"/>
        </w:rPr>
        <w:t>E</w:t>
      </w:r>
      <w:r>
        <w:rPr>
          <w:bCs/>
          <w:color w:val="000000"/>
          <w:lang w:eastAsia="lt-LT"/>
        </w:rPr>
        <w:t>ur.</w:t>
      </w:r>
    </w:p>
    <w:p w14:paraId="1A900598" w14:textId="4826E5DF" w:rsidR="00C62B36" w:rsidRPr="00E33EFF" w:rsidRDefault="00C62B36" w:rsidP="00A93AA6">
      <w:pPr>
        <w:tabs>
          <w:tab w:val="left" w:pos="426"/>
        </w:tabs>
        <w:rPr>
          <w:b/>
          <w:bCs/>
          <w:caps/>
        </w:rPr>
      </w:pPr>
    </w:p>
    <w:p w14:paraId="174D84D7" w14:textId="2A98EE7C" w:rsidR="0035172D" w:rsidRPr="00E33EFF" w:rsidRDefault="0035172D" w:rsidP="00A93AA6">
      <w:pPr>
        <w:tabs>
          <w:tab w:val="left" w:pos="426"/>
        </w:tabs>
        <w:rPr>
          <w:b/>
          <w:lang w:eastAsia="lt-LT"/>
        </w:rPr>
      </w:pPr>
      <w:r w:rsidRPr="00E33EFF">
        <w:rPr>
          <w:b/>
          <w:lang w:eastAsia="lt-LT"/>
        </w:rPr>
        <w:t>Ekonominės analizės rezultatas</w:t>
      </w:r>
    </w:p>
    <w:p w14:paraId="4801D227" w14:textId="77777777" w:rsidR="009E44AE" w:rsidRPr="00E33EFF"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06"/>
        <w:gridCol w:w="5333"/>
      </w:tblGrid>
      <w:tr w:rsidR="009E44AE" w:rsidRPr="00E33EFF"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E33EFF" w:rsidRDefault="009E44AE" w:rsidP="009E44AE">
            <w:pPr>
              <w:tabs>
                <w:tab w:val="left" w:pos="567"/>
              </w:tabs>
              <w:jc w:val="center"/>
              <w:rPr>
                <w:b/>
                <w:bCs/>
                <w:sz w:val="26"/>
                <w:szCs w:val="26"/>
                <w:lang w:eastAsia="lt-LT"/>
              </w:rPr>
            </w:pPr>
            <w:r w:rsidRPr="00E33EFF">
              <w:rPr>
                <w:b/>
                <w:bCs/>
                <w:sz w:val="26"/>
                <w:szCs w:val="26"/>
                <w:lang w:eastAsia="lt-LT"/>
              </w:rPr>
              <w:t>Rezultatai</w:t>
            </w:r>
          </w:p>
        </w:tc>
      </w:tr>
      <w:tr w:rsidR="00E44C8E" w:rsidRPr="00E33EFF" w14:paraId="319AF392" w14:textId="77777777" w:rsidTr="00E44C8E">
        <w:trPr>
          <w:trHeight w:val="267"/>
          <w:jc w:val="center"/>
        </w:trPr>
        <w:tc>
          <w:tcPr>
            <w:tcW w:w="4106" w:type="dxa"/>
            <w:vMerge w:val="restart"/>
            <w:tcBorders>
              <w:left w:val="single" w:sz="4" w:space="0" w:color="auto"/>
            </w:tcBorders>
          </w:tcPr>
          <w:p w14:paraId="44CD8D27" w14:textId="27245A0B" w:rsidR="00E44C8E" w:rsidRPr="00E33EFF" w:rsidRDefault="00E44C8E" w:rsidP="00BA5DBC">
            <w:pPr>
              <w:tabs>
                <w:tab w:val="left" w:pos="567"/>
              </w:tabs>
              <w:jc w:val="right"/>
              <w:rPr>
                <w:iCs/>
                <w:lang w:eastAsia="lt-LT"/>
              </w:rPr>
            </w:pPr>
            <w:r w:rsidRPr="00E33EFF">
              <w:rPr>
                <w:iCs/>
                <w:lang w:eastAsia="lt-LT"/>
              </w:rPr>
              <w:t>Kaštų skirtumas</w:t>
            </w:r>
          </w:p>
        </w:tc>
        <w:tc>
          <w:tcPr>
            <w:tcW w:w="5333" w:type="dxa"/>
            <w:tcBorders>
              <w:right w:val="single" w:sz="4" w:space="0" w:color="auto"/>
            </w:tcBorders>
          </w:tcPr>
          <w:p w14:paraId="1CACF0B4" w14:textId="07541226" w:rsidR="00E44C8E" w:rsidRPr="00E44C8E" w:rsidRDefault="00E44C8E" w:rsidP="0039524C">
            <w:pPr>
              <w:tabs>
                <w:tab w:val="left" w:pos="567"/>
              </w:tabs>
              <w:jc w:val="both"/>
              <w:rPr>
                <w:iCs/>
                <w:lang w:eastAsia="lt-LT"/>
              </w:rPr>
            </w:pPr>
            <w:proofErr w:type="spellStart"/>
            <w:r w:rsidRPr="00E44C8E">
              <w:rPr>
                <w:iCs/>
                <w:lang w:eastAsia="lt-LT"/>
              </w:rPr>
              <w:t>Lanadelumab</w:t>
            </w:r>
            <w:proofErr w:type="spellEnd"/>
            <w:r w:rsidRPr="00E44C8E">
              <w:rPr>
                <w:iCs/>
                <w:lang w:eastAsia="lt-LT"/>
              </w:rPr>
              <w:t xml:space="preserve"> </w:t>
            </w:r>
            <w:proofErr w:type="spellStart"/>
            <w:r w:rsidRPr="00E44C8E">
              <w:rPr>
                <w:iCs/>
                <w:lang w:eastAsia="lt-LT"/>
              </w:rPr>
              <w:t>v</w:t>
            </w:r>
            <w:r w:rsidR="002176E1">
              <w:rPr>
                <w:iCs/>
                <w:lang w:eastAsia="lt-LT"/>
              </w:rPr>
              <w:t>s</w:t>
            </w:r>
            <w:proofErr w:type="spellEnd"/>
            <w:r w:rsidR="002176E1">
              <w:rPr>
                <w:iCs/>
                <w:lang w:eastAsia="lt-LT"/>
              </w:rPr>
              <w:t xml:space="preserve"> </w:t>
            </w:r>
            <w:proofErr w:type="spellStart"/>
            <w:r w:rsidR="002176E1">
              <w:rPr>
                <w:iCs/>
                <w:lang w:eastAsia="lt-LT"/>
              </w:rPr>
              <w:t>cinryze</w:t>
            </w:r>
            <w:proofErr w:type="spellEnd"/>
            <w:r w:rsidR="002176E1">
              <w:rPr>
                <w:iCs/>
                <w:lang w:eastAsia="lt-LT"/>
              </w:rPr>
              <w:t xml:space="preserve">:             </w:t>
            </w:r>
            <w:r w:rsidR="0039524C">
              <w:rPr>
                <w:iCs/>
                <w:lang w:eastAsia="lt-LT"/>
              </w:rPr>
              <w:t>*********</w:t>
            </w:r>
            <w:r>
              <w:rPr>
                <w:iCs/>
                <w:lang w:eastAsia="lt-LT"/>
              </w:rPr>
              <w:t xml:space="preserve"> </w:t>
            </w:r>
            <w:proofErr w:type="spellStart"/>
            <w:r w:rsidR="00DB5BF8">
              <w:rPr>
                <w:iCs/>
                <w:lang w:eastAsia="lt-LT"/>
              </w:rPr>
              <w:t>E</w:t>
            </w:r>
            <w:r>
              <w:rPr>
                <w:iCs/>
                <w:lang w:eastAsia="lt-LT"/>
              </w:rPr>
              <w:t>ur</w:t>
            </w:r>
            <w:proofErr w:type="spellEnd"/>
            <w:r>
              <w:rPr>
                <w:iCs/>
                <w:lang w:eastAsia="lt-LT"/>
              </w:rPr>
              <w:t>.</w:t>
            </w:r>
          </w:p>
        </w:tc>
      </w:tr>
      <w:tr w:rsidR="00E44C8E" w:rsidRPr="00E33EFF" w14:paraId="1939CBB5" w14:textId="77777777" w:rsidTr="00E44C8E">
        <w:trPr>
          <w:trHeight w:val="267"/>
          <w:jc w:val="center"/>
        </w:trPr>
        <w:tc>
          <w:tcPr>
            <w:tcW w:w="4106" w:type="dxa"/>
            <w:vMerge/>
            <w:tcBorders>
              <w:left w:val="single" w:sz="4" w:space="0" w:color="auto"/>
            </w:tcBorders>
          </w:tcPr>
          <w:p w14:paraId="3D4CCC0A" w14:textId="77777777" w:rsidR="00E44C8E" w:rsidRPr="00E33EFF" w:rsidRDefault="00E44C8E" w:rsidP="00BA5DBC">
            <w:pPr>
              <w:tabs>
                <w:tab w:val="left" w:pos="567"/>
              </w:tabs>
              <w:jc w:val="right"/>
              <w:rPr>
                <w:iCs/>
                <w:lang w:eastAsia="lt-LT"/>
              </w:rPr>
            </w:pPr>
          </w:p>
        </w:tc>
        <w:tc>
          <w:tcPr>
            <w:tcW w:w="5333" w:type="dxa"/>
            <w:tcBorders>
              <w:right w:val="single" w:sz="4" w:space="0" w:color="auto"/>
            </w:tcBorders>
          </w:tcPr>
          <w:p w14:paraId="463C7AA4" w14:textId="1698247A" w:rsidR="00E44C8E" w:rsidRPr="00E33EFF" w:rsidRDefault="00E44C8E" w:rsidP="00BA5DBC">
            <w:pPr>
              <w:tabs>
                <w:tab w:val="left" w:pos="567"/>
              </w:tabs>
              <w:jc w:val="both"/>
              <w:rPr>
                <w:i/>
                <w:iCs/>
                <w:lang w:eastAsia="lt-LT"/>
              </w:rPr>
            </w:pPr>
            <w:proofErr w:type="spellStart"/>
            <w:r>
              <w:rPr>
                <w:i/>
                <w:iCs/>
                <w:lang w:eastAsia="lt-LT"/>
              </w:rPr>
              <w:t>Lanadeluma</w:t>
            </w:r>
            <w:r w:rsidR="002176E1">
              <w:rPr>
                <w:i/>
                <w:iCs/>
                <w:lang w:eastAsia="lt-LT"/>
              </w:rPr>
              <w:t>b</w:t>
            </w:r>
            <w:proofErr w:type="spellEnd"/>
            <w:r w:rsidR="002176E1">
              <w:rPr>
                <w:i/>
                <w:iCs/>
                <w:lang w:eastAsia="lt-LT"/>
              </w:rPr>
              <w:t xml:space="preserve"> </w:t>
            </w:r>
            <w:proofErr w:type="spellStart"/>
            <w:r w:rsidR="002176E1">
              <w:rPr>
                <w:i/>
                <w:iCs/>
                <w:lang w:eastAsia="lt-LT"/>
              </w:rPr>
              <w:t>vs</w:t>
            </w:r>
            <w:proofErr w:type="spellEnd"/>
            <w:r w:rsidR="002176E1">
              <w:rPr>
                <w:i/>
                <w:iCs/>
                <w:lang w:eastAsia="lt-LT"/>
              </w:rPr>
              <w:t xml:space="preserve"> </w:t>
            </w:r>
            <w:proofErr w:type="spellStart"/>
            <w:r w:rsidR="002176E1">
              <w:rPr>
                <w:i/>
                <w:iCs/>
                <w:lang w:eastAsia="lt-LT"/>
              </w:rPr>
              <w:t>placebo</w:t>
            </w:r>
            <w:proofErr w:type="spellEnd"/>
            <w:r w:rsidR="002176E1">
              <w:rPr>
                <w:i/>
                <w:iCs/>
                <w:lang w:eastAsia="lt-LT"/>
              </w:rPr>
              <w:t xml:space="preserve">:           </w:t>
            </w:r>
            <w:r w:rsidR="0039524C">
              <w:rPr>
                <w:iCs/>
                <w:lang w:eastAsia="lt-LT"/>
              </w:rPr>
              <w:t>*********</w:t>
            </w:r>
            <w:proofErr w:type="spellStart"/>
            <w:r w:rsidR="00DB5BF8">
              <w:rPr>
                <w:i/>
                <w:iCs/>
                <w:lang w:eastAsia="lt-LT"/>
              </w:rPr>
              <w:t>E</w:t>
            </w:r>
            <w:r>
              <w:rPr>
                <w:i/>
                <w:iCs/>
                <w:lang w:eastAsia="lt-LT"/>
              </w:rPr>
              <w:t>ur</w:t>
            </w:r>
            <w:proofErr w:type="spellEnd"/>
            <w:r>
              <w:rPr>
                <w:i/>
                <w:iCs/>
                <w:lang w:eastAsia="lt-LT"/>
              </w:rPr>
              <w:t>.</w:t>
            </w:r>
          </w:p>
        </w:tc>
      </w:tr>
      <w:tr w:rsidR="00E44C8E" w:rsidRPr="00E33EFF" w14:paraId="20ADA742" w14:textId="77777777" w:rsidTr="00E44C8E">
        <w:trPr>
          <w:trHeight w:val="267"/>
          <w:jc w:val="center"/>
        </w:trPr>
        <w:tc>
          <w:tcPr>
            <w:tcW w:w="4106" w:type="dxa"/>
            <w:vMerge w:val="restart"/>
            <w:tcBorders>
              <w:left w:val="single" w:sz="4" w:space="0" w:color="auto"/>
            </w:tcBorders>
          </w:tcPr>
          <w:p w14:paraId="0F567576" w14:textId="2606A2E9" w:rsidR="00E44C8E" w:rsidRPr="00E33EFF" w:rsidRDefault="00E44C8E" w:rsidP="00E44C8E">
            <w:pPr>
              <w:tabs>
                <w:tab w:val="left" w:pos="567"/>
              </w:tabs>
              <w:jc w:val="right"/>
              <w:rPr>
                <w:iCs/>
                <w:lang w:eastAsia="lt-LT"/>
              </w:rPr>
            </w:pPr>
            <w:r w:rsidRPr="00E33EFF">
              <w:rPr>
                <w:iCs/>
                <w:lang w:eastAsia="lt-LT"/>
              </w:rPr>
              <w:t>Papildomi kokybiški gyvenimo metai (QALY)</w:t>
            </w:r>
          </w:p>
        </w:tc>
        <w:tc>
          <w:tcPr>
            <w:tcW w:w="5333" w:type="dxa"/>
            <w:tcBorders>
              <w:right w:val="single" w:sz="4" w:space="0" w:color="auto"/>
            </w:tcBorders>
          </w:tcPr>
          <w:p w14:paraId="02E4DAE1" w14:textId="3713720B" w:rsidR="00E44C8E" w:rsidRPr="00E44C8E" w:rsidRDefault="00E44C8E" w:rsidP="0039524C">
            <w:pPr>
              <w:tabs>
                <w:tab w:val="left" w:pos="567"/>
              </w:tabs>
              <w:jc w:val="both"/>
              <w:rPr>
                <w:iCs/>
                <w:lang w:eastAsia="lt-LT"/>
              </w:rPr>
            </w:pPr>
            <w:proofErr w:type="spellStart"/>
            <w:r w:rsidRPr="00E44C8E">
              <w:rPr>
                <w:iCs/>
                <w:lang w:eastAsia="lt-LT"/>
              </w:rPr>
              <w:t>Lanadelumab</w:t>
            </w:r>
            <w:proofErr w:type="spellEnd"/>
            <w:r w:rsidRPr="00E44C8E">
              <w:rPr>
                <w:iCs/>
                <w:lang w:eastAsia="lt-LT"/>
              </w:rPr>
              <w:t xml:space="preserve"> </w:t>
            </w:r>
            <w:proofErr w:type="spellStart"/>
            <w:r w:rsidRPr="00E44C8E">
              <w:rPr>
                <w:iCs/>
                <w:lang w:eastAsia="lt-LT"/>
              </w:rPr>
              <w:t>vs</w:t>
            </w:r>
            <w:proofErr w:type="spellEnd"/>
            <w:r w:rsidRPr="00E44C8E">
              <w:rPr>
                <w:iCs/>
                <w:lang w:eastAsia="lt-LT"/>
              </w:rPr>
              <w:t xml:space="preserve"> </w:t>
            </w:r>
            <w:proofErr w:type="spellStart"/>
            <w:r w:rsidRPr="00E44C8E">
              <w:rPr>
                <w:iCs/>
                <w:lang w:eastAsia="lt-LT"/>
              </w:rPr>
              <w:t>cinryze</w:t>
            </w:r>
            <w:proofErr w:type="spellEnd"/>
            <w:r w:rsidRPr="00E44C8E">
              <w:rPr>
                <w:iCs/>
                <w:lang w:eastAsia="lt-LT"/>
              </w:rPr>
              <w:t xml:space="preserve">             </w:t>
            </w:r>
            <w:r w:rsidR="0039524C">
              <w:rPr>
                <w:iCs/>
                <w:lang w:eastAsia="lt-LT"/>
              </w:rPr>
              <w:t>****</w:t>
            </w:r>
            <w:r w:rsidR="002176E1">
              <w:rPr>
                <w:iCs/>
                <w:lang w:eastAsia="lt-LT"/>
              </w:rPr>
              <w:t xml:space="preserve"> </w:t>
            </w:r>
            <w:r>
              <w:rPr>
                <w:iCs/>
                <w:lang w:eastAsia="lt-LT"/>
              </w:rPr>
              <w:t>QALY</w:t>
            </w:r>
          </w:p>
        </w:tc>
      </w:tr>
      <w:tr w:rsidR="00E44C8E" w:rsidRPr="00E33EFF" w14:paraId="27287249" w14:textId="77777777" w:rsidTr="00E44C8E">
        <w:trPr>
          <w:trHeight w:val="267"/>
          <w:jc w:val="center"/>
        </w:trPr>
        <w:tc>
          <w:tcPr>
            <w:tcW w:w="4106" w:type="dxa"/>
            <w:vMerge/>
            <w:tcBorders>
              <w:left w:val="single" w:sz="4" w:space="0" w:color="auto"/>
            </w:tcBorders>
          </w:tcPr>
          <w:p w14:paraId="692421F3" w14:textId="77777777" w:rsidR="00E44C8E" w:rsidRPr="00E33EFF" w:rsidRDefault="00E44C8E" w:rsidP="00E44C8E">
            <w:pPr>
              <w:tabs>
                <w:tab w:val="left" w:pos="567"/>
              </w:tabs>
              <w:jc w:val="right"/>
              <w:rPr>
                <w:iCs/>
                <w:lang w:eastAsia="lt-LT"/>
              </w:rPr>
            </w:pPr>
          </w:p>
        </w:tc>
        <w:tc>
          <w:tcPr>
            <w:tcW w:w="5333" w:type="dxa"/>
            <w:tcBorders>
              <w:right w:val="single" w:sz="4" w:space="0" w:color="auto"/>
            </w:tcBorders>
          </w:tcPr>
          <w:p w14:paraId="2A3750EE" w14:textId="56066EA2" w:rsidR="00E44C8E" w:rsidRPr="00E33EFF" w:rsidRDefault="00E44C8E" w:rsidP="0039524C">
            <w:pPr>
              <w:tabs>
                <w:tab w:val="left" w:pos="567"/>
              </w:tabs>
              <w:jc w:val="both"/>
              <w:rPr>
                <w:i/>
                <w:iCs/>
                <w:lang w:eastAsia="lt-LT"/>
              </w:rPr>
            </w:pPr>
            <w:proofErr w:type="spellStart"/>
            <w:r>
              <w:rPr>
                <w:i/>
                <w:iCs/>
                <w:lang w:eastAsia="lt-LT"/>
              </w:rPr>
              <w:t>Lanadelumab</w:t>
            </w:r>
            <w:proofErr w:type="spellEnd"/>
            <w:r>
              <w:rPr>
                <w:i/>
                <w:iCs/>
                <w:lang w:eastAsia="lt-LT"/>
              </w:rPr>
              <w:t xml:space="preserve"> </w:t>
            </w:r>
            <w:proofErr w:type="spellStart"/>
            <w:r>
              <w:rPr>
                <w:i/>
                <w:iCs/>
                <w:lang w:eastAsia="lt-LT"/>
              </w:rPr>
              <w:t>vs</w:t>
            </w:r>
            <w:proofErr w:type="spellEnd"/>
            <w:r>
              <w:rPr>
                <w:i/>
                <w:iCs/>
                <w:lang w:eastAsia="lt-LT"/>
              </w:rPr>
              <w:t xml:space="preserve"> </w:t>
            </w:r>
            <w:proofErr w:type="spellStart"/>
            <w:r>
              <w:rPr>
                <w:i/>
                <w:iCs/>
                <w:lang w:eastAsia="lt-LT"/>
              </w:rPr>
              <w:t>placebo</w:t>
            </w:r>
            <w:proofErr w:type="spellEnd"/>
            <w:r>
              <w:rPr>
                <w:i/>
                <w:iCs/>
                <w:lang w:eastAsia="lt-LT"/>
              </w:rPr>
              <w:t xml:space="preserve">            </w:t>
            </w:r>
            <w:r w:rsidR="0039524C">
              <w:rPr>
                <w:i/>
                <w:iCs/>
                <w:lang w:eastAsia="lt-LT"/>
              </w:rPr>
              <w:t>****</w:t>
            </w:r>
            <w:r>
              <w:rPr>
                <w:i/>
                <w:iCs/>
                <w:lang w:eastAsia="lt-LT"/>
              </w:rPr>
              <w:t xml:space="preserve"> QALY</w:t>
            </w:r>
          </w:p>
        </w:tc>
      </w:tr>
      <w:tr w:rsidR="00E44C8E" w:rsidRPr="00E33EFF" w14:paraId="250DE960" w14:textId="77777777" w:rsidTr="00E44C8E">
        <w:trPr>
          <w:trHeight w:val="267"/>
          <w:jc w:val="center"/>
        </w:trPr>
        <w:tc>
          <w:tcPr>
            <w:tcW w:w="4106" w:type="dxa"/>
            <w:vMerge w:val="restart"/>
            <w:tcBorders>
              <w:left w:val="single" w:sz="4" w:space="0" w:color="auto"/>
            </w:tcBorders>
          </w:tcPr>
          <w:p w14:paraId="207EFB23" w14:textId="77777777" w:rsidR="00E44C8E" w:rsidRPr="00E33EFF" w:rsidRDefault="00E44C8E" w:rsidP="00E44C8E">
            <w:pPr>
              <w:tabs>
                <w:tab w:val="left" w:pos="567"/>
              </w:tabs>
              <w:jc w:val="right"/>
              <w:rPr>
                <w:iCs/>
                <w:lang w:eastAsia="lt-LT"/>
              </w:rPr>
            </w:pPr>
            <w:r w:rsidRPr="00E33EFF">
              <w:rPr>
                <w:iCs/>
                <w:lang w:eastAsia="lt-LT"/>
              </w:rPr>
              <w:t>ICER už QALY</w:t>
            </w:r>
          </w:p>
        </w:tc>
        <w:tc>
          <w:tcPr>
            <w:tcW w:w="5333" w:type="dxa"/>
            <w:tcBorders>
              <w:right w:val="single" w:sz="4" w:space="0" w:color="auto"/>
            </w:tcBorders>
          </w:tcPr>
          <w:p w14:paraId="4275320D" w14:textId="39D719A9" w:rsidR="00E44C8E" w:rsidRPr="00E44C8E" w:rsidRDefault="00E44C8E" w:rsidP="00DB5BF8">
            <w:pPr>
              <w:tabs>
                <w:tab w:val="left" w:pos="567"/>
              </w:tabs>
              <w:jc w:val="both"/>
              <w:rPr>
                <w:iCs/>
                <w:lang w:eastAsia="lt-LT"/>
              </w:rPr>
            </w:pPr>
            <w:proofErr w:type="spellStart"/>
            <w:r w:rsidRPr="00E44C8E">
              <w:rPr>
                <w:iCs/>
                <w:lang w:eastAsia="lt-LT"/>
              </w:rPr>
              <w:t>Lanadelumab</w:t>
            </w:r>
            <w:proofErr w:type="spellEnd"/>
            <w:r w:rsidRPr="00E44C8E">
              <w:rPr>
                <w:iCs/>
                <w:lang w:eastAsia="lt-LT"/>
              </w:rPr>
              <w:t xml:space="preserve"> </w:t>
            </w:r>
            <w:proofErr w:type="spellStart"/>
            <w:r w:rsidR="002176E1">
              <w:rPr>
                <w:iCs/>
                <w:lang w:eastAsia="lt-LT"/>
              </w:rPr>
              <w:t>vs</w:t>
            </w:r>
            <w:proofErr w:type="spellEnd"/>
            <w:r w:rsidR="002176E1">
              <w:rPr>
                <w:iCs/>
                <w:lang w:eastAsia="lt-LT"/>
              </w:rPr>
              <w:t xml:space="preserve"> </w:t>
            </w:r>
            <w:proofErr w:type="spellStart"/>
            <w:r w:rsidR="002176E1">
              <w:rPr>
                <w:iCs/>
                <w:lang w:eastAsia="lt-LT"/>
              </w:rPr>
              <w:t>cinryze</w:t>
            </w:r>
            <w:proofErr w:type="spellEnd"/>
            <w:r w:rsidR="002176E1">
              <w:rPr>
                <w:iCs/>
                <w:lang w:eastAsia="lt-LT"/>
              </w:rPr>
              <w:t xml:space="preserve">:            </w:t>
            </w:r>
            <w:r w:rsidR="0039524C">
              <w:rPr>
                <w:iCs/>
                <w:lang w:eastAsia="lt-LT"/>
              </w:rPr>
              <w:t>*********</w:t>
            </w:r>
            <w:proofErr w:type="spellStart"/>
            <w:r w:rsidR="00DB5BF8">
              <w:rPr>
                <w:iCs/>
                <w:lang w:eastAsia="lt-LT"/>
              </w:rPr>
              <w:t>E</w:t>
            </w:r>
            <w:r>
              <w:rPr>
                <w:iCs/>
                <w:lang w:eastAsia="lt-LT"/>
              </w:rPr>
              <w:t>ur</w:t>
            </w:r>
            <w:proofErr w:type="spellEnd"/>
            <w:r>
              <w:rPr>
                <w:iCs/>
                <w:lang w:eastAsia="lt-LT"/>
              </w:rPr>
              <w:t>/</w:t>
            </w:r>
            <w:r w:rsidR="00DB5BF8">
              <w:rPr>
                <w:iCs/>
                <w:lang w:eastAsia="lt-LT"/>
              </w:rPr>
              <w:t>QALY</w:t>
            </w:r>
          </w:p>
        </w:tc>
      </w:tr>
      <w:tr w:rsidR="00E44C8E" w:rsidRPr="00E33EFF" w14:paraId="55E6CDEB" w14:textId="77777777" w:rsidTr="00E44C8E">
        <w:trPr>
          <w:trHeight w:val="267"/>
          <w:jc w:val="center"/>
        </w:trPr>
        <w:tc>
          <w:tcPr>
            <w:tcW w:w="4106" w:type="dxa"/>
            <w:vMerge/>
            <w:tcBorders>
              <w:left w:val="single" w:sz="4" w:space="0" w:color="auto"/>
            </w:tcBorders>
          </w:tcPr>
          <w:p w14:paraId="61347B8C" w14:textId="77777777" w:rsidR="00E44C8E" w:rsidRPr="00E33EFF" w:rsidRDefault="00E44C8E" w:rsidP="00E44C8E">
            <w:pPr>
              <w:tabs>
                <w:tab w:val="left" w:pos="567"/>
              </w:tabs>
              <w:jc w:val="right"/>
              <w:rPr>
                <w:iCs/>
                <w:lang w:eastAsia="lt-LT"/>
              </w:rPr>
            </w:pPr>
          </w:p>
        </w:tc>
        <w:tc>
          <w:tcPr>
            <w:tcW w:w="5333" w:type="dxa"/>
            <w:tcBorders>
              <w:right w:val="single" w:sz="4" w:space="0" w:color="auto"/>
            </w:tcBorders>
          </w:tcPr>
          <w:p w14:paraId="35749E39" w14:textId="4A218BFC" w:rsidR="00E44C8E" w:rsidRPr="00E33EFF" w:rsidRDefault="00E44C8E" w:rsidP="00DB5BF8">
            <w:pPr>
              <w:tabs>
                <w:tab w:val="left" w:pos="567"/>
              </w:tabs>
              <w:jc w:val="both"/>
              <w:rPr>
                <w:i/>
                <w:iCs/>
                <w:lang w:eastAsia="lt-LT"/>
              </w:rPr>
            </w:pPr>
            <w:proofErr w:type="spellStart"/>
            <w:r>
              <w:rPr>
                <w:i/>
                <w:iCs/>
                <w:lang w:eastAsia="lt-LT"/>
              </w:rPr>
              <w:t>Lanadeluma</w:t>
            </w:r>
            <w:r w:rsidR="002176E1">
              <w:rPr>
                <w:i/>
                <w:iCs/>
                <w:lang w:eastAsia="lt-LT"/>
              </w:rPr>
              <w:t>b</w:t>
            </w:r>
            <w:proofErr w:type="spellEnd"/>
            <w:r w:rsidR="002176E1">
              <w:rPr>
                <w:i/>
                <w:iCs/>
                <w:lang w:eastAsia="lt-LT"/>
              </w:rPr>
              <w:t xml:space="preserve"> </w:t>
            </w:r>
            <w:proofErr w:type="spellStart"/>
            <w:r w:rsidR="002176E1">
              <w:rPr>
                <w:i/>
                <w:iCs/>
                <w:lang w:eastAsia="lt-LT"/>
              </w:rPr>
              <w:t>vs</w:t>
            </w:r>
            <w:proofErr w:type="spellEnd"/>
            <w:r w:rsidR="002176E1">
              <w:rPr>
                <w:i/>
                <w:iCs/>
                <w:lang w:eastAsia="lt-LT"/>
              </w:rPr>
              <w:t xml:space="preserve"> </w:t>
            </w:r>
            <w:proofErr w:type="spellStart"/>
            <w:r w:rsidR="002176E1">
              <w:rPr>
                <w:i/>
                <w:iCs/>
                <w:lang w:eastAsia="lt-LT"/>
              </w:rPr>
              <w:t>placebo</w:t>
            </w:r>
            <w:proofErr w:type="spellEnd"/>
            <w:r w:rsidR="002176E1">
              <w:rPr>
                <w:i/>
                <w:iCs/>
                <w:lang w:eastAsia="lt-LT"/>
              </w:rPr>
              <w:t xml:space="preserve">:          </w:t>
            </w:r>
            <w:r w:rsidR="0039524C">
              <w:rPr>
                <w:iCs/>
                <w:lang w:eastAsia="lt-LT"/>
              </w:rPr>
              <w:t>*********</w:t>
            </w:r>
            <w:r w:rsidR="0039524C">
              <w:rPr>
                <w:iCs/>
                <w:lang w:eastAsia="lt-LT"/>
              </w:rPr>
              <w:t xml:space="preserve"> </w:t>
            </w:r>
            <w:bookmarkStart w:id="2" w:name="_GoBack"/>
            <w:bookmarkEnd w:id="2"/>
            <w:proofErr w:type="spellStart"/>
            <w:r w:rsidR="00DB5BF8">
              <w:rPr>
                <w:i/>
                <w:iCs/>
                <w:lang w:eastAsia="lt-LT"/>
              </w:rPr>
              <w:t>E</w:t>
            </w:r>
            <w:r>
              <w:rPr>
                <w:i/>
                <w:iCs/>
                <w:lang w:eastAsia="lt-LT"/>
              </w:rPr>
              <w:t>ur</w:t>
            </w:r>
            <w:proofErr w:type="spellEnd"/>
            <w:r>
              <w:rPr>
                <w:i/>
                <w:iCs/>
                <w:lang w:eastAsia="lt-LT"/>
              </w:rPr>
              <w:t>/</w:t>
            </w:r>
            <w:r w:rsidR="00DB5BF8">
              <w:rPr>
                <w:i/>
                <w:iCs/>
                <w:lang w:eastAsia="lt-LT"/>
              </w:rPr>
              <w:t>QALY</w:t>
            </w:r>
          </w:p>
        </w:tc>
      </w:tr>
      <w:tr w:rsidR="009E44AE" w:rsidRPr="00E33EFF" w14:paraId="2C4C68BA" w14:textId="77777777" w:rsidTr="00E44C8E">
        <w:trPr>
          <w:trHeight w:val="267"/>
          <w:jc w:val="center"/>
        </w:trPr>
        <w:tc>
          <w:tcPr>
            <w:tcW w:w="4106" w:type="dxa"/>
            <w:tcBorders>
              <w:left w:val="single" w:sz="4" w:space="0" w:color="auto"/>
              <w:bottom w:val="single" w:sz="4" w:space="0" w:color="auto"/>
              <w:right w:val="single" w:sz="4" w:space="0" w:color="auto"/>
            </w:tcBorders>
          </w:tcPr>
          <w:p w14:paraId="21BEDABF" w14:textId="77777777" w:rsidR="009E44AE" w:rsidRPr="00E33EFF" w:rsidRDefault="009E44AE" w:rsidP="009E44AE">
            <w:pPr>
              <w:tabs>
                <w:tab w:val="left" w:pos="567"/>
              </w:tabs>
              <w:jc w:val="right"/>
              <w:rPr>
                <w:iCs/>
                <w:lang w:eastAsia="lt-LT"/>
              </w:rPr>
            </w:pPr>
            <w:r w:rsidRPr="00E33EFF">
              <w:rPr>
                <w:iCs/>
                <w:lang w:eastAsia="lt-LT"/>
              </w:rPr>
              <w:t>Referentinė kaštų naudingumo vertė</w:t>
            </w:r>
          </w:p>
        </w:tc>
        <w:tc>
          <w:tcPr>
            <w:tcW w:w="5333" w:type="dxa"/>
            <w:tcBorders>
              <w:left w:val="single" w:sz="4" w:space="0" w:color="auto"/>
              <w:bottom w:val="single" w:sz="4" w:space="0" w:color="auto"/>
              <w:right w:val="single" w:sz="4" w:space="0" w:color="auto"/>
            </w:tcBorders>
          </w:tcPr>
          <w:p w14:paraId="31DAA72E" w14:textId="64068F83" w:rsidR="009E44AE" w:rsidRPr="00E33EFF" w:rsidRDefault="00E44C8E" w:rsidP="009E44AE">
            <w:pPr>
              <w:tabs>
                <w:tab w:val="left" w:pos="567"/>
              </w:tabs>
              <w:jc w:val="both"/>
              <w:rPr>
                <w:i/>
                <w:iCs/>
                <w:lang w:eastAsia="lt-LT"/>
              </w:rPr>
            </w:pPr>
            <w:r>
              <w:rPr>
                <w:i/>
                <w:iCs/>
                <w:lang w:eastAsia="lt-LT"/>
              </w:rPr>
              <w:t xml:space="preserve">17 807 </w:t>
            </w:r>
            <w:r w:rsidR="00DB5BF8">
              <w:rPr>
                <w:i/>
                <w:iCs/>
                <w:lang w:eastAsia="lt-LT"/>
              </w:rPr>
              <w:t>E</w:t>
            </w:r>
            <w:r>
              <w:rPr>
                <w:i/>
                <w:iCs/>
                <w:lang w:eastAsia="lt-LT"/>
              </w:rPr>
              <w:t>ur</w:t>
            </w:r>
          </w:p>
        </w:tc>
      </w:tr>
    </w:tbl>
    <w:p w14:paraId="5FC8C737" w14:textId="4136B7F4" w:rsidR="0035172D" w:rsidRPr="00E33EFF" w:rsidRDefault="00E5102E" w:rsidP="0035172D">
      <w:pPr>
        <w:tabs>
          <w:tab w:val="left" w:pos="567"/>
        </w:tabs>
        <w:jc w:val="both"/>
        <w:rPr>
          <w:iCs/>
          <w:sz w:val="20"/>
          <w:lang w:eastAsia="lt-LT"/>
        </w:rPr>
      </w:pPr>
      <w:r w:rsidRPr="00E33EFF">
        <w:rPr>
          <w:iCs/>
          <w:sz w:val="20"/>
          <w:lang w:eastAsia="lt-LT"/>
        </w:rPr>
        <w:t xml:space="preserve">ICER </w:t>
      </w:r>
      <w:r w:rsidR="00453862" w:rsidRPr="00E33EFF">
        <w:rPr>
          <w:iCs/>
          <w:sz w:val="20"/>
          <w:lang w:eastAsia="lt-LT"/>
        </w:rPr>
        <w:t>– (</w:t>
      </w:r>
      <w:r w:rsidR="00453862" w:rsidRPr="00E33EFF">
        <w:rPr>
          <w:i/>
          <w:sz w:val="20"/>
          <w:lang w:eastAsia="lt-LT"/>
        </w:rPr>
        <w:t>angl. incremental cost-effectiveness ratio</w:t>
      </w:r>
      <w:r w:rsidR="00453862" w:rsidRPr="00E33EFF">
        <w:rPr>
          <w:iCs/>
          <w:sz w:val="20"/>
          <w:lang w:eastAsia="lt-LT"/>
        </w:rPr>
        <w:t>) inkrementinis kaštų naudingumo koeficientas</w:t>
      </w:r>
      <w:r w:rsidRPr="00E33EFF">
        <w:rPr>
          <w:iCs/>
          <w:sz w:val="20"/>
          <w:lang w:eastAsia="lt-LT"/>
        </w:rPr>
        <w:t>; LY –</w:t>
      </w:r>
      <w:r w:rsidR="00453862" w:rsidRPr="00E33EFF">
        <w:rPr>
          <w:iCs/>
          <w:sz w:val="20"/>
          <w:lang w:eastAsia="lt-LT"/>
        </w:rPr>
        <w:t xml:space="preserve"> (</w:t>
      </w:r>
      <w:r w:rsidR="00453862" w:rsidRPr="00E33EFF">
        <w:rPr>
          <w:i/>
          <w:sz w:val="20"/>
          <w:lang w:eastAsia="lt-LT"/>
        </w:rPr>
        <w:t>angl. life years</w:t>
      </w:r>
      <w:r w:rsidR="00453862" w:rsidRPr="00E33EFF">
        <w:rPr>
          <w:iCs/>
          <w:sz w:val="20"/>
          <w:lang w:eastAsia="lt-LT"/>
        </w:rPr>
        <w:t>) gyvenimo metai</w:t>
      </w:r>
      <w:r w:rsidRPr="00E33EFF">
        <w:rPr>
          <w:iCs/>
          <w:sz w:val="20"/>
          <w:lang w:eastAsia="lt-LT"/>
        </w:rPr>
        <w:t xml:space="preserve">; QALY- </w:t>
      </w:r>
      <w:r w:rsidR="00453862" w:rsidRPr="00E33EFF">
        <w:rPr>
          <w:iCs/>
          <w:sz w:val="20"/>
          <w:lang w:eastAsia="lt-LT"/>
        </w:rPr>
        <w:t>(</w:t>
      </w:r>
      <w:r w:rsidR="00453862" w:rsidRPr="00E33EFF">
        <w:rPr>
          <w:i/>
          <w:sz w:val="20"/>
          <w:lang w:eastAsia="lt-LT"/>
        </w:rPr>
        <w:t xml:space="preserve">angl. quality adjusted life years) </w:t>
      </w:r>
      <w:r w:rsidR="00453862" w:rsidRPr="00E33EFF">
        <w:rPr>
          <w:iCs/>
          <w:sz w:val="20"/>
          <w:lang w:eastAsia="lt-LT"/>
        </w:rPr>
        <w:t>kokybiški gyvenimo metai.</w:t>
      </w:r>
    </w:p>
    <w:p w14:paraId="33875138" w14:textId="77777777" w:rsidR="0035172D" w:rsidRPr="00E33EFF" w:rsidRDefault="0035172D" w:rsidP="00A93AA6">
      <w:pPr>
        <w:tabs>
          <w:tab w:val="left" w:pos="426"/>
        </w:tabs>
        <w:rPr>
          <w:b/>
          <w:bCs/>
          <w:caps/>
        </w:rPr>
      </w:pPr>
    </w:p>
    <w:p w14:paraId="4FC424F9" w14:textId="4E767245" w:rsidR="00C62B36" w:rsidRPr="00E33EFF" w:rsidRDefault="00C62B36" w:rsidP="00CC09D4">
      <w:pPr>
        <w:pStyle w:val="ListParagraph"/>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8477C5" w:rsidRDefault="0039524C"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8477C5">
            <w:rPr>
              <w:rStyle w:val="Style2"/>
              <w:rFonts w:ascii="MS Gothic" w:eastAsia="MS Gothic" w:hAnsi="MS Gothic"/>
              <w:sz w:val="24"/>
            </w:rPr>
            <w:t>☐</w:t>
          </w:r>
        </w:sdtContent>
      </w:sdt>
      <w:r w:rsidR="00937907" w:rsidRPr="008477C5">
        <w:t xml:space="preserve"> Pacientų organizacijos pozicija pateikta. Žr. priedą.</w:t>
      </w:r>
    </w:p>
    <w:p w14:paraId="62992180" w14:textId="34D3C30E" w:rsidR="00937907" w:rsidRPr="00E33EFF" w:rsidRDefault="0039524C"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8477C5">
            <w:rPr>
              <w:rStyle w:val="Style2"/>
              <w:rFonts w:ascii="MS Gothic" w:eastAsia="MS Gothic" w:hAnsi="MS Gothic" w:hint="eastAsia"/>
              <w:sz w:val="24"/>
            </w:rPr>
            <w:t>☒</w:t>
          </w:r>
        </w:sdtContent>
      </w:sdt>
      <w:r w:rsidR="00937907" w:rsidRPr="008477C5">
        <w:t xml:space="preserve"> Pacientų organizacijos pozicija </w:t>
      </w:r>
      <w:r w:rsidR="00880A44" w:rsidRPr="008477C5">
        <w:t>ne</w:t>
      </w:r>
      <w:r w:rsidR="00937907" w:rsidRPr="008477C5">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ListParagraph"/>
        <w:numPr>
          <w:ilvl w:val="0"/>
          <w:numId w:val="12"/>
        </w:numPr>
        <w:tabs>
          <w:tab w:val="left" w:pos="567"/>
        </w:tabs>
        <w:ind w:hanging="720"/>
        <w:rPr>
          <w:b/>
          <w:bCs/>
          <w:caps/>
        </w:rPr>
      </w:pPr>
      <w:r w:rsidRPr="00E33EFF">
        <w:rPr>
          <w:b/>
          <w:bCs/>
          <w:caps/>
        </w:rPr>
        <w:t>Gydytojų organizacijų pateikti duomenys</w:t>
      </w:r>
    </w:p>
    <w:p w14:paraId="389A346C" w14:textId="2EDEFD77" w:rsidR="00937907" w:rsidRPr="008477C5" w:rsidRDefault="0039524C" w:rsidP="00662983">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EndPr>
          <w:rPr>
            <w:rStyle w:val="Style2"/>
          </w:rPr>
        </w:sdtEndPr>
        <w:sdtContent>
          <w:r w:rsidR="008477C5" w:rsidRPr="008477C5">
            <w:rPr>
              <w:rStyle w:val="Style2"/>
              <w:rFonts w:ascii="MS Gothic" w:eastAsia="MS Gothic" w:hAnsi="MS Gothic" w:hint="eastAsia"/>
              <w:sz w:val="24"/>
            </w:rPr>
            <w:t>☒</w:t>
          </w:r>
        </w:sdtContent>
      </w:sdt>
      <w:r w:rsidR="00662983" w:rsidRPr="008477C5">
        <w:t xml:space="preserve"> </w:t>
      </w:r>
      <w:r w:rsidR="00937907" w:rsidRPr="008477C5">
        <w:t xml:space="preserve">Gydytojų specialistų organizacijos pozicija pateikta. </w:t>
      </w:r>
      <w:r w:rsidR="00662983" w:rsidRPr="008477C5">
        <w:t>Žr. priedą</w:t>
      </w:r>
      <w:r w:rsidR="00937907" w:rsidRPr="008477C5">
        <w:t>.</w:t>
      </w:r>
    </w:p>
    <w:p w14:paraId="5D8CC48C" w14:textId="7AA56ADF" w:rsidR="00662983" w:rsidRPr="00E33EFF" w:rsidRDefault="0039524C" w:rsidP="00662983">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EndPr>
          <w:rPr>
            <w:rStyle w:val="Style2"/>
          </w:rPr>
        </w:sdtEndPr>
        <w:sdtContent>
          <w:r w:rsidR="00937907" w:rsidRPr="008477C5">
            <w:rPr>
              <w:rStyle w:val="Style2"/>
              <w:rFonts w:ascii="MS Gothic" w:eastAsia="MS Gothic" w:hAnsi="MS Gothic"/>
              <w:sz w:val="24"/>
            </w:rPr>
            <w:t>☐</w:t>
          </w:r>
        </w:sdtContent>
      </w:sdt>
      <w:r w:rsidR="00662983" w:rsidRPr="008477C5">
        <w:t xml:space="preserve"> </w:t>
      </w:r>
      <w:r w:rsidR="00937907" w:rsidRPr="008477C5">
        <w:t xml:space="preserve">Gydytojų specialistų organizacijos pozicija </w:t>
      </w:r>
      <w:r w:rsidR="00880A44" w:rsidRPr="008477C5">
        <w:t>ne</w:t>
      </w:r>
      <w:r w:rsidR="00937907" w:rsidRPr="008477C5">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ListParagraph"/>
        <w:numPr>
          <w:ilvl w:val="0"/>
          <w:numId w:val="12"/>
        </w:numPr>
        <w:tabs>
          <w:tab w:val="left" w:pos="567"/>
        </w:tabs>
        <w:ind w:hanging="720"/>
        <w:rPr>
          <w:b/>
          <w:bCs/>
          <w:caps/>
        </w:rPr>
      </w:pPr>
      <w:r w:rsidRPr="00E33EFF">
        <w:rPr>
          <w:b/>
          <w:bCs/>
          <w:caps/>
        </w:rPr>
        <w:t xml:space="preserve">Išvada </w:t>
      </w:r>
    </w:p>
    <w:p w14:paraId="08D5B3B6" w14:textId="50967347" w:rsidR="0061611B" w:rsidRPr="00E33EFF" w:rsidRDefault="0061611B" w:rsidP="0061611B">
      <w:pPr>
        <w:rPr>
          <w:i/>
          <w:color w:val="00B050"/>
          <w:szCs w:val="22"/>
        </w:rPr>
      </w:pPr>
    </w:p>
    <w:tbl>
      <w:tblPr>
        <w:tblStyle w:val="TableGrid"/>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AC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lastRenderedPageBreak/>
              <w:t>Rekomenduojama kompensuoti</w:t>
            </w:r>
          </w:p>
        </w:tc>
        <w:tc>
          <w:tcPr>
            <w:tcW w:w="4814" w:type="dxa"/>
            <w:vAlign w:val="center"/>
          </w:tcPr>
          <w:p w14:paraId="330A1A5E" w14:textId="19247DC1" w:rsidR="00B13D65" w:rsidRPr="00E33EFF" w:rsidRDefault="00662983" w:rsidP="00AC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4D9359A4" w:rsidR="00B13D65" w:rsidRPr="00E33EFF" w:rsidRDefault="0039524C" w:rsidP="00AC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EndPr>
                <w:rPr>
                  <w:rStyle w:val="Style2"/>
                </w:rPr>
              </w:sdtEndPr>
              <w:sdtContent>
                <w:r w:rsidR="00317AE0">
                  <w:rPr>
                    <w:rStyle w:val="Style2"/>
                    <w:rFonts w:ascii="MS Gothic" w:eastAsia="MS Gothic" w:hAnsi="MS Gothic" w:hint="eastAsia"/>
                    <w:sz w:val="24"/>
                  </w:rPr>
                  <w:t>☒</w:t>
                </w:r>
              </w:sdtContent>
            </w:sdt>
            <w:r w:rsidR="00B13D65" w:rsidRPr="00E33EFF">
              <w:t xml:space="preserve"> 32.1. yra didesnis</w:t>
            </w:r>
          </w:p>
          <w:p w14:paraId="3B48F372" w14:textId="77777777" w:rsidR="00662983" w:rsidRPr="00E33EFF" w:rsidRDefault="00662983" w:rsidP="00AC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5D4BE0E4" w:rsidR="00B13D65" w:rsidRPr="00E33EFF" w:rsidRDefault="0039524C" w:rsidP="006A6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32.1. iš esmės nesiskiria</w:t>
            </w:r>
          </w:p>
        </w:tc>
        <w:tc>
          <w:tcPr>
            <w:tcW w:w="4814" w:type="dxa"/>
          </w:tcPr>
          <w:p w14:paraId="507828D9" w14:textId="24CE5118" w:rsidR="00B13D65" w:rsidRPr="00E33EFF" w:rsidRDefault="0039524C" w:rsidP="00AC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p>
          <w:p w14:paraId="7F95DEEC" w14:textId="77777777" w:rsidR="00662983" w:rsidRPr="00E33EFF" w:rsidRDefault="00662983" w:rsidP="00AC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768B9EB2" w:rsidR="00662983" w:rsidRPr="00E33EFF" w:rsidRDefault="0039524C" w:rsidP="00AC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p>
          <w:p w14:paraId="35205E85" w14:textId="77777777" w:rsidR="00662983" w:rsidRPr="00E33EFF" w:rsidRDefault="00662983" w:rsidP="00AC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26D26A10" w:rsidR="00B13D65" w:rsidRPr="00E33EFF" w:rsidRDefault="0039524C" w:rsidP="00AC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p>
          <w:p w14:paraId="512E653B" w14:textId="77777777" w:rsidR="00662983" w:rsidRPr="00E33EFF" w:rsidRDefault="00662983" w:rsidP="00AC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E33EFF" w:rsidRDefault="0039524C" w:rsidP="00AC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AC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B13D65" w:rsidRPr="00E33EFF" w14:paraId="3C60570A" w14:textId="77777777" w:rsidTr="0061611B">
        <w:tc>
          <w:tcPr>
            <w:tcW w:w="4815" w:type="dxa"/>
          </w:tcPr>
          <w:p w14:paraId="6897B306" w14:textId="1B9E45EC" w:rsidR="00B13D65" w:rsidRPr="00E33EFF" w:rsidRDefault="0039524C" w:rsidP="00AC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EndPr>
                <w:rPr>
                  <w:rStyle w:val="Style2"/>
                </w:rPr>
              </w:sdtEndPr>
              <w:sdtContent>
                <w:r w:rsidR="00317AE0">
                  <w:rPr>
                    <w:rStyle w:val="Style2"/>
                    <w:rFonts w:ascii="MS Gothic" w:eastAsia="MS Gothic" w:hAnsi="MS Gothic" w:hint="eastAsia"/>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AC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0FE0B2" w:rsidR="00B13D65" w:rsidRPr="00E33EFF" w:rsidRDefault="0039524C" w:rsidP="00AC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AC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E33EFF" w:rsidRDefault="0039524C"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AC6FA2">
            <w:pPr>
              <w:jc w:val="both"/>
            </w:pPr>
          </w:p>
          <w:p w14:paraId="0ADEC30D" w14:textId="1353964F" w:rsidR="00B13D65" w:rsidRPr="00E33EFF" w:rsidRDefault="0039524C" w:rsidP="00AC6FA2">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AC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AC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B13D65" w:rsidRPr="00E33EFF" w14:paraId="7091A05B" w14:textId="77777777" w:rsidTr="0061611B">
        <w:tc>
          <w:tcPr>
            <w:tcW w:w="4815" w:type="dxa"/>
          </w:tcPr>
          <w:p w14:paraId="69B2A994" w14:textId="3249F238" w:rsidR="00B13D65" w:rsidRPr="00E33EFF" w:rsidRDefault="0039524C" w:rsidP="00AC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A06DBB" w:rsidRPr="00E33EFF">
                  <w:rPr>
                    <w:rStyle w:val="Style2"/>
                    <w:rFonts w:ascii="MS Gothic" w:eastAsia="MS Gothic" w:hAnsi="MS Gothic" w:hint="eastAsia"/>
                    <w:sz w:val="24"/>
                  </w:rPr>
                  <w:t>☐</w:t>
                </w:r>
              </w:sdtContent>
            </w:sdt>
            <w:r w:rsidR="00B13D65" w:rsidRPr="00E33EFF">
              <w:t xml:space="preserve"> 32.3. atitinka referencinę naudingumo vertę, </w:t>
            </w:r>
            <w:r w:rsidR="00662983" w:rsidRPr="00E33EFF">
              <w:t>&lt;</w:t>
            </w:r>
            <w:r w:rsidR="00B13D65" w:rsidRPr="00E33EFF">
              <w:t>taikant</w:t>
            </w:r>
            <w:r w:rsidR="00662983" w:rsidRPr="00E33EFF">
              <w:t xml:space="preserve"> PGS&gt; &lt;</w:t>
            </w:r>
            <w:r w:rsidR="00B13D65" w:rsidRPr="00E33EFF">
              <w:t>netaikant PGS</w:t>
            </w:r>
            <w:r w:rsidR="00662983" w:rsidRPr="00E33EFF">
              <w:t>&gt;</w:t>
            </w:r>
          </w:p>
          <w:p w14:paraId="3F76F153" w14:textId="77777777" w:rsidR="00662983" w:rsidRPr="00E33EFF" w:rsidRDefault="00662983" w:rsidP="00AC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565CB771" w:rsidR="00B13D65" w:rsidRPr="00E33EFF" w:rsidRDefault="0039524C" w:rsidP="00AC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32.3. gydymo juo kaštai yra mažesni ar tokie patys esant iš esmės nesiskiriančiam palyginamajam efektyvumui, </w:t>
            </w:r>
            <w:r w:rsidR="00662983" w:rsidRPr="00E33EFF">
              <w:t>&lt;</w:t>
            </w:r>
            <w:r w:rsidR="00B13D65" w:rsidRPr="00E33EFF">
              <w:t xml:space="preserve">taikant </w:t>
            </w:r>
            <w:r w:rsidR="00662983" w:rsidRPr="00E33EFF">
              <w:t>PGS&gt; &lt;</w:t>
            </w:r>
            <w:r w:rsidR="00B13D65" w:rsidRPr="00E33EFF">
              <w:t>netaikant PGS</w:t>
            </w:r>
            <w:r w:rsidR="00662983" w:rsidRPr="00E33EFF">
              <w:t>&gt;</w:t>
            </w:r>
            <w:r w:rsidR="00B00959" w:rsidRPr="00E33EFF">
              <w:t>, lyginant su įprasta klinikine praktika</w:t>
            </w:r>
          </w:p>
          <w:p w14:paraId="25E4BD1E" w14:textId="77777777" w:rsidR="00B13D65" w:rsidRPr="00E33EFF" w:rsidRDefault="00B13D65" w:rsidP="00AC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979CE08" w:rsidR="00B13D65" w:rsidRPr="00E33EFF" w:rsidRDefault="0039524C" w:rsidP="00AC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1"/>
                  <w14:checkedState w14:val="2612" w14:font="MS Gothic"/>
                  <w14:uncheckedState w14:val="2610" w14:font="MS Gothic"/>
                </w14:checkbox>
              </w:sdtPr>
              <w:sdtEndPr>
                <w:rPr>
                  <w:rStyle w:val="Style2"/>
                </w:rPr>
              </w:sdtEndPr>
              <w:sdtContent>
                <w:r w:rsidR="00E44C8E">
                  <w:rPr>
                    <w:rStyle w:val="Style2"/>
                    <w:rFonts w:ascii="MS Gothic" w:eastAsia="MS Gothic" w:hAnsi="MS Gothic" w:hint="eastAsia"/>
                    <w:sz w:val="24"/>
                  </w:rPr>
                  <w:t>☒</w:t>
                </w:r>
              </w:sdtContent>
            </w:sdt>
            <w:r w:rsidR="00B13D65" w:rsidRPr="00E33EFF">
              <w:t xml:space="preserve"> 33.3. neatitinka referencinės naudingumo vertės Lietuvos Respublikoje</w:t>
            </w:r>
          </w:p>
          <w:p w14:paraId="229ED51A" w14:textId="77777777" w:rsidR="00662983" w:rsidRPr="00E33EFF" w:rsidRDefault="00662983" w:rsidP="00AC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28FB2120" w:rsidR="00B13D65" w:rsidRPr="00E33EFF" w:rsidRDefault="0039524C" w:rsidP="00AC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gydymo juo kaštai yra didesni esant iš esmės nesiskiriančiam palyginamajam efektyvumui, </w:t>
            </w:r>
            <w:r w:rsidR="00662983" w:rsidRPr="00E33EFF">
              <w:t>&lt;</w:t>
            </w:r>
            <w:r w:rsidR="00B13D65" w:rsidRPr="00E33EFF">
              <w:t>taikant</w:t>
            </w:r>
            <w:r w:rsidR="00662983" w:rsidRPr="00E33EFF">
              <w:t xml:space="preserve"> PGS&gt;</w:t>
            </w:r>
            <w:r w:rsidR="00B13D65" w:rsidRPr="00E33EFF">
              <w:t xml:space="preserve"> </w:t>
            </w:r>
            <w:r w:rsidR="00662983" w:rsidRPr="00E33EFF">
              <w:t>&lt;</w:t>
            </w:r>
            <w:r w:rsidR="00B13D65" w:rsidRPr="00E33EFF">
              <w:t>netaikant PGS</w:t>
            </w:r>
            <w:r w:rsidR="00662983" w:rsidRPr="00E33EFF">
              <w:t>&gt;</w:t>
            </w:r>
            <w:r w:rsidR="00B00959" w:rsidRPr="00E33EFF">
              <w:t>, lyginant su įprasta klinikine praktika</w:t>
            </w:r>
          </w:p>
          <w:p w14:paraId="4A9C7D2A" w14:textId="77777777" w:rsidR="00662983" w:rsidRPr="00E33EFF" w:rsidRDefault="00662983" w:rsidP="00AC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E33EFF" w:rsidRDefault="0039524C" w:rsidP="00AC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pateikti duomenys apie kaštų na</w:t>
            </w:r>
            <w:r w:rsidR="00662983" w:rsidRPr="00E33EFF">
              <w:t>udingumą yra netinkami vertinti</w:t>
            </w:r>
          </w:p>
          <w:p w14:paraId="470A48A4" w14:textId="77777777" w:rsidR="00B13D65" w:rsidRPr="00E33EFF" w:rsidRDefault="00B13D65" w:rsidP="00AC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5ACA3C5" w14:textId="76C604A1" w:rsidR="004A3A61" w:rsidRPr="00E33EFF" w:rsidRDefault="004A3A61" w:rsidP="00381024"/>
    <w:p w14:paraId="3B2D1F25" w14:textId="3A80E19F" w:rsidR="000001B0" w:rsidRPr="00E33EFF" w:rsidRDefault="000001B0" w:rsidP="00CC09D4">
      <w:pPr>
        <w:pStyle w:val="ListParagraph"/>
        <w:numPr>
          <w:ilvl w:val="0"/>
          <w:numId w:val="12"/>
        </w:numPr>
        <w:ind w:left="567" w:hanging="567"/>
      </w:pPr>
      <w:r w:rsidRPr="00E33EFF">
        <w:rPr>
          <w:b/>
        </w:rPr>
        <w:t>REKOME</w:t>
      </w:r>
      <w:r w:rsidR="00D83182" w:rsidRPr="00E33EFF">
        <w:rPr>
          <w:b/>
        </w:rPr>
        <w:t>N</w:t>
      </w:r>
      <w:r w:rsidRPr="00E33EFF">
        <w:rPr>
          <w:b/>
        </w:rPr>
        <w:t>DACIJA</w:t>
      </w:r>
    </w:p>
    <w:p w14:paraId="7D5C6700" w14:textId="77777777" w:rsidR="00D5470B" w:rsidRPr="00E33EFF" w:rsidRDefault="00D5470B" w:rsidP="00C712EA">
      <w:pPr>
        <w:pStyle w:val="ListParagraph"/>
        <w:ind w:left="426"/>
      </w:pPr>
    </w:p>
    <w:p w14:paraId="22325210" w14:textId="70D36C88" w:rsidR="004F3B2B" w:rsidRPr="00E33EFF" w:rsidRDefault="004F3B2B" w:rsidP="004F3B2B">
      <w:pPr>
        <w:jc w:val="both"/>
      </w:pPr>
      <w:r w:rsidRPr="00E33EFF">
        <w:t xml:space="preserve">Vadovaujantis </w:t>
      </w:r>
      <w:r w:rsidR="00F259FC">
        <w:t>V</w:t>
      </w:r>
      <w:r w:rsidR="00F259FC" w:rsidRPr="00E33EFF">
        <w:t>aistinių preparatų ir medicinos pagalbos priemonių įrašymo į kompensavimo sąrašus ir jų keitimo tvarkos aprašo</w:t>
      </w:r>
      <w:r w:rsidR="00F259FC">
        <w:t>, patvirtinto</w:t>
      </w:r>
      <w:r w:rsidR="00F259FC" w:rsidRPr="00E33EFF">
        <w:t xml:space="preserve"> </w:t>
      </w:r>
      <w:r w:rsidRPr="00E33EFF">
        <w:t>Lietuvos Respublikos sveikatos apsaugos ministro 2002 m. balandžio 5 d. įsakymu Nr. V-159 „Dėl vaistinių preparatų ir medicinos pagalbos priemonių įrašymo į kompensavimo sąrašus ir jų keitimo tvarkos aprašo patvirtinimo“</w:t>
      </w:r>
      <w:r w:rsidR="00F259FC">
        <w:t>,</w:t>
      </w:r>
      <w:r w:rsidRPr="00E33EFF">
        <w:t xml:space="preserve"> punktu </w:t>
      </w:r>
    </w:p>
    <w:p w14:paraId="06BC01EE" w14:textId="3B296877" w:rsidR="000723FF" w:rsidRDefault="004F3B2B" w:rsidP="00E44C8E">
      <w:pPr>
        <w:jc w:val="both"/>
      </w:pPr>
      <w:r w:rsidRPr="00E33EFF">
        <w:t xml:space="preserve">34.4. rekomenduojama </w:t>
      </w:r>
      <w:r w:rsidRPr="00E33EFF">
        <w:rPr>
          <w:i/>
        </w:rPr>
        <w:t xml:space="preserve">nekompensuoti </w:t>
      </w:r>
      <w:r w:rsidRPr="00E33EFF">
        <w:t>vaistinio prepa</w:t>
      </w:r>
      <w:r w:rsidR="00E44C8E">
        <w:t xml:space="preserve">rato pagal paraiškoje nurodytą indikaciją </w:t>
      </w:r>
      <w:r w:rsidRPr="00E33EFF">
        <w:t>su</w:t>
      </w:r>
      <w:r w:rsidR="00E44C8E">
        <w:t xml:space="preserve"> skyrimo sąlygomis, taikant PGS </w:t>
      </w:r>
      <w:r w:rsidRPr="00E33EFF">
        <w:t>dėl vertinimo išvadų</w:t>
      </w:r>
      <w:r w:rsidR="00E44C8E">
        <w:t xml:space="preserve">, nurodytų 33.3 </w:t>
      </w:r>
      <w:r w:rsidR="00613143">
        <w:t>papunk</w:t>
      </w:r>
      <w:r w:rsidR="00E348BA">
        <w:t xml:space="preserve">tyje (žr. 6 skyrių), </w:t>
      </w:r>
      <w:r w:rsidRPr="00E33EFF">
        <w:t xml:space="preserve">neatitikties </w:t>
      </w:r>
      <w:r w:rsidRPr="003D6208">
        <w:t>34.1 papunktyje išdėstyt</w:t>
      </w:r>
      <w:r w:rsidR="00CF27FD" w:rsidRPr="003D6208">
        <w:t>oms</w:t>
      </w:r>
      <w:r w:rsidRPr="003D6208">
        <w:t xml:space="preserve"> sąlyg</w:t>
      </w:r>
      <w:r w:rsidR="00CF27FD" w:rsidRPr="003D6208">
        <w:t>oms</w:t>
      </w:r>
      <w:r w:rsidR="00BF3927">
        <w:t>.</w:t>
      </w:r>
    </w:p>
    <w:p w14:paraId="3FF468CE" w14:textId="77777777" w:rsidR="00E44C8E" w:rsidRPr="00E33EFF" w:rsidRDefault="00E44C8E" w:rsidP="00E44C8E">
      <w:pPr>
        <w:jc w:val="both"/>
      </w:pPr>
    </w:p>
    <w:p w14:paraId="18B4292E" w14:textId="51556FAF" w:rsidR="000723FF" w:rsidRPr="00E33EFF" w:rsidRDefault="00CC09D4" w:rsidP="00CC09D4">
      <w:pPr>
        <w:tabs>
          <w:tab w:val="left" w:pos="567"/>
        </w:tabs>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 xml:space="preserve">SIŪLOMOS KOMPENSUOTI TERAPINĖS INDIKACIJOS IR SKYRIMO SĄLYGOS </w:t>
      </w:r>
    </w:p>
    <w:p w14:paraId="691340BB" w14:textId="77777777" w:rsidR="000723FF" w:rsidRPr="00E33EFF" w:rsidRDefault="000723FF" w:rsidP="000723FF">
      <w:pPr>
        <w:tabs>
          <w:tab w:val="left" w:pos="426"/>
        </w:tabs>
        <w:jc w:val="both"/>
        <w:rPr>
          <w:b/>
          <w:color w:val="000000"/>
          <w:lang w:eastAsia="lt-LT"/>
        </w:rPr>
      </w:pPr>
    </w:p>
    <w:p w14:paraId="529C92C4" w14:textId="152E5FB4" w:rsidR="000723FF" w:rsidRPr="00DC5BAC" w:rsidRDefault="000723FF" w:rsidP="00824B92">
      <w:pPr>
        <w:rPr>
          <w:b/>
          <w:lang w:eastAsia="lt-LT"/>
        </w:rPr>
      </w:pPr>
      <w:r w:rsidRPr="00DC5BAC">
        <w:rPr>
          <w:b/>
          <w:lang w:eastAsia="lt-LT"/>
        </w:rPr>
        <w:t>Terapinės indikacijos</w:t>
      </w:r>
    </w:p>
    <w:p w14:paraId="5BB746DD" w14:textId="31463A88" w:rsidR="000723FF" w:rsidRPr="00E33EFF" w:rsidRDefault="0039524C" w:rsidP="00824B92">
      <w:sdt>
        <w:sdtPr>
          <w:rPr>
            <w:rStyle w:val="Style2"/>
          </w:rPr>
          <w:id w:val="1146316688"/>
          <w15:color w:val="FFCC00"/>
          <w14:checkbox>
            <w14:checked w14:val="1"/>
            <w14:checkedState w14:val="2612" w14:font="MS Gothic"/>
            <w14:uncheckedState w14:val="2610" w14:font="MS Gothic"/>
          </w14:checkbox>
        </w:sdtPr>
        <w:sdtEndPr>
          <w:rPr>
            <w:rStyle w:val="Style2"/>
          </w:rPr>
        </w:sdtEndPr>
        <w:sdtContent>
          <w:r w:rsidR="00317AE0">
            <w:rPr>
              <w:rStyle w:val="Style2"/>
              <w:rFonts w:ascii="MS Gothic" w:eastAsia="MS Gothic" w:hAnsi="MS Gothic" w:hint="eastAsia"/>
            </w:rPr>
            <w:t>☒</w:t>
          </w:r>
        </w:sdtContent>
      </w:sdt>
      <w:r w:rsidR="000723FF" w:rsidRPr="00E33EFF">
        <w:t xml:space="preserve"> Siūloma kompensuoti Pareiškėjo teikiamą indikaciją be pakeitimų.</w:t>
      </w:r>
    </w:p>
    <w:p w14:paraId="28E19BF2" w14:textId="77777777" w:rsidR="00A46BBE" w:rsidRPr="00A46BBE" w:rsidRDefault="00A46BBE" w:rsidP="00A46BBE">
      <w:pPr>
        <w:pStyle w:val="ListParagraph"/>
        <w:spacing w:after="120"/>
        <w:ind w:left="0"/>
        <w:contextualSpacing w:val="0"/>
        <w:jc w:val="both"/>
        <w:rPr>
          <w:i/>
        </w:rPr>
      </w:pPr>
      <w:r w:rsidRPr="00A46BBE">
        <w:rPr>
          <w:i/>
        </w:rPr>
        <w:t>Skirtas 12 metų ir vyresnių pacientų pasikartojančių paveldimos angioedemos (PAE) priepuolių rutininei profilaktikai, kai priepuoliai kartojasi daugiau kaip 12 kartų per metus.</w:t>
      </w:r>
    </w:p>
    <w:p w14:paraId="597367EF" w14:textId="77777777" w:rsidR="000723FF" w:rsidRPr="00E33EFF" w:rsidRDefault="0039524C" w:rsidP="00824B92">
      <w:sdt>
        <w:sdtPr>
          <w:rPr>
            <w:rStyle w:val="Style2"/>
          </w:rPr>
          <w:id w:val="1467245146"/>
          <w15:color w:val="FFCC00"/>
          <w14:checkbox>
            <w14:checked w14:val="0"/>
            <w14:checkedState w14:val="2612" w14:font="MS Gothic"/>
            <w14:uncheckedState w14:val="2610" w14:font="MS Gothic"/>
          </w14:checkbox>
        </w:sdtPr>
        <w:sdtEndPr>
          <w:rPr>
            <w:rStyle w:val="Style2"/>
          </w:rPr>
        </w:sdtEndPr>
        <w:sdtContent>
          <w:r w:rsidR="000723FF" w:rsidRPr="00E33EFF">
            <w:rPr>
              <w:rStyle w:val="Style2"/>
              <w:rFonts w:ascii="MS Gothic" w:eastAsia="MS Gothic" w:hAnsi="MS Gothic"/>
            </w:rPr>
            <w:t>☐</w:t>
          </w:r>
        </w:sdtContent>
      </w:sdt>
      <w:r w:rsidR="000723FF" w:rsidRPr="00E33EFF">
        <w:t xml:space="preserve"> Siūloma kompensuoti Pareiškėjo teikiamą indikaciją su pakeitimais.</w:t>
      </w:r>
    </w:p>
    <w:p w14:paraId="7DD65F7E" w14:textId="77777777" w:rsidR="000723FF" w:rsidRPr="00E33EFF" w:rsidRDefault="000723FF" w:rsidP="00824B92"/>
    <w:p w14:paraId="241A6E6B" w14:textId="77777777" w:rsidR="000723FF" w:rsidRPr="00E33EFF" w:rsidRDefault="000723FF" w:rsidP="00824B92">
      <w:pPr>
        <w:rPr>
          <w:b/>
        </w:rPr>
      </w:pPr>
      <w:r w:rsidRPr="00E33EFF">
        <w:rPr>
          <w:b/>
        </w:rPr>
        <w:t>Skyrimo sąlygos</w:t>
      </w:r>
    </w:p>
    <w:p w14:paraId="250ACC46" w14:textId="327CE71C" w:rsidR="000723FF" w:rsidRPr="00E33EFF" w:rsidRDefault="0039524C" w:rsidP="00824B92">
      <w:sdt>
        <w:sdtPr>
          <w:rPr>
            <w:rStyle w:val="Style2"/>
          </w:rPr>
          <w:id w:val="169305347"/>
          <w15:color w:val="FFCC00"/>
          <w14:checkbox>
            <w14:checked w14:val="1"/>
            <w14:checkedState w14:val="2612" w14:font="MS Gothic"/>
            <w14:uncheckedState w14:val="2610" w14:font="MS Gothic"/>
          </w14:checkbox>
        </w:sdtPr>
        <w:sdtEndPr>
          <w:rPr>
            <w:rStyle w:val="Style2"/>
          </w:rPr>
        </w:sdtEndPr>
        <w:sdtContent>
          <w:r w:rsidR="008E3412">
            <w:rPr>
              <w:rStyle w:val="Style2"/>
              <w:rFonts w:ascii="MS Gothic" w:eastAsia="MS Gothic" w:hAnsi="MS Gothic" w:hint="eastAsia"/>
            </w:rPr>
            <w:t>☒</w:t>
          </w:r>
        </w:sdtContent>
      </w:sdt>
      <w:r w:rsidR="000723FF" w:rsidRPr="00E33EFF">
        <w:t xml:space="preserve"> Pareiškėjo siūlomos skyrimo sąlygos priimtinos. </w:t>
      </w:r>
    </w:p>
    <w:p w14:paraId="2A4B6542" w14:textId="5F788CAA" w:rsidR="000723FF" w:rsidRPr="008E3412" w:rsidRDefault="008E3412" w:rsidP="00824B92">
      <w:pPr>
        <w:rPr>
          <w:i/>
        </w:rPr>
      </w:pPr>
      <w:r w:rsidRPr="008E3412">
        <w:rPr>
          <w:i/>
          <w:color w:val="000000"/>
        </w:rPr>
        <w:t>Pradėti vartoti šį vaistinį preparatą galima tik prižiūrint gydytojui, turinčiam paveldima angioedema sergančių pacientų gydymo patirties</w:t>
      </w:r>
      <w:r w:rsidRPr="008E3412">
        <w:rPr>
          <w:i/>
        </w:rPr>
        <w:t>.</w:t>
      </w:r>
    </w:p>
    <w:p w14:paraId="297867ED" w14:textId="77777777" w:rsidR="000723FF" w:rsidRPr="00E33EFF" w:rsidRDefault="0039524C" w:rsidP="00824B92">
      <w:sdt>
        <w:sdtPr>
          <w:rPr>
            <w:rStyle w:val="Style2"/>
          </w:rPr>
          <w:id w:val="1823936883"/>
          <w15:color w:val="FFCC00"/>
          <w14:checkbox>
            <w14:checked w14:val="0"/>
            <w14:checkedState w14:val="2612" w14:font="MS Gothic"/>
            <w14:uncheckedState w14:val="2610" w14:font="MS Gothic"/>
          </w14:checkbox>
        </w:sdtPr>
        <w:sdtEndPr>
          <w:rPr>
            <w:rStyle w:val="Style2"/>
          </w:rPr>
        </w:sdtEndPr>
        <w:sdtContent>
          <w:r w:rsidR="000723FF" w:rsidRPr="00E33EFF">
            <w:rPr>
              <w:rStyle w:val="Style2"/>
              <w:rFonts w:ascii="MS Gothic" w:eastAsia="MS Gothic" w:hAnsi="MS Gothic"/>
            </w:rPr>
            <w:t>☐</w:t>
          </w:r>
        </w:sdtContent>
      </w:sdt>
      <w:r w:rsidR="000723FF" w:rsidRPr="00E33EFF">
        <w:t xml:space="preserve"> Pareiškėjo siūlomos skyrimo sąlygos nepriimtinos. </w:t>
      </w:r>
    </w:p>
    <w:p w14:paraId="7CDFF220" w14:textId="58191D98" w:rsidR="000723FF" w:rsidRPr="000723FF" w:rsidRDefault="000723FF" w:rsidP="00824B92">
      <w:pPr>
        <w:rPr>
          <w:b/>
        </w:rPr>
      </w:pPr>
    </w:p>
    <w:sectPr w:rsidR="000723FF" w:rsidRPr="000723FF"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28A68" w14:textId="77777777" w:rsidR="002A59C5" w:rsidRDefault="002A59C5">
      <w:r>
        <w:separator/>
      </w:r>
    </w:p>
  </w:endnote>
  <w:endnote w:type="continuationSeparator" w:id="0">
    <w:p w14:paraId="0C886437" w14:textId="77777777" w:rsidR="002A59C5" w:rsidRDefault="002A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3368" w14:textId="77777777" w:rsidR="00AB352C" w:rsidRDefault="00AB352C">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89C54" w14:textId="77777777" w:rsidR="002A59C5" w:rsidRDefault="002A59C5">
      <w:r>
        <w:separator/>
      </w:r>
    </w:p>
  </w:footnote>
  <w:footnote w:type="continuationSeparator" w:id="0">
    <w:p w14:paraId="1174AF38" w14:textId="77777777" w:rsidR="002A59C5" w:rsidRDefault="002A5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6FB2" w14:textId="77777777" w:rsidR="00AB352C" w:rsidRDefault="00AB35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AB352C" w:rsidRDefault="00AB35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BD5F9" w14:textId="473A2AD4" w:rsidR="00AB352C" w:rsidRDefault="00AB35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524C">
      <w:rPr>
        <w:rStyle w:val="PageNumber"/>
        <w:noProof/>
      </w:rPr>
      <w:t>6</w:t>
    </w:r>
    <w:r>
      <w:rPr>
        <w:rStyle w:val="PageNumber"/>
      </w:rPr>
      <w:fldChar w:fldCharType="end"/>
    </w:r>
  </w:p>
  <w:p w14:paraId="13EC872E" w14:textId="77777777" w:rsidR="00AB352C" w:rsidRDefault="00AB35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1C8F" w14:textId="77777777" w:rsidR="00AB352C" w:rsidRDefault="00AB352C"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9876A0"/>
    <w:multiLevelType w:val="hybridMultilevel"/>
    <w:tmpl w:val="6A4C5E8A"/>
    <w:lvl w:ilvl="0" w:tplc="1C80B146">
      <w:start w:val="7"/>
      <w:numFmt w:val="bullet"/>
      <w:lvlText w:val="-"/>
      <w:lvlJc w:val="left"/>
      <w:pPr>
        <w:ind w:left="377" w:hanging="360"/>
      </w:pPr>
      <w:rPr>
        <w:rFonts w:ascii="Times New Roman" w:eastAsia="Arial" w:hAnsi="Times New Roman" w:cs="Times New Roman" w:hint="default"/>
      </w:rPr>
    </w:lvl>
    <w:lvl w:ilvl="1" w:tplc="04270003" w:tentative="1">
      <w:start w:val="1"/>
      <w:numFmt w:val="bullet"/>
      <w:lvlText w:val="o"/>
      <w:lvlJc w:val="left"/>
      <w:pPr>
        <w:ind w:left="1097" w:hanging="360"/>
      </w:pPr>
      <w:rPr>
        <w:rFonts w:ascii="Courier New" w:hAnsi="Courier New" w:cs="Courier New" w:hint="default"/>
      </w:rPr>
    </w:lvl>
    <w:lvl w:ilvl="2" w:tplc="04270005" w:tentative="1">
      <w:start w:val="1"/>
      <w:numFmt w:val="bullet"/>
      <w:lvlText w:val=""/>
      <w:lvlJc w:val="left"/>
      <w:pPr>
        <w:ind w:left="1817" w:hanging="360"/>
      </w:pPr>
      <w:rPr>
        <w:rFonts w:ascii="Wingdings" w:hAnsi="Wingdings" w:hint="default"/>
      </w:rPr>
    </w:lvl>
    <w:lvl w:ilvl="3" w:tplc="04270001" w:tentative="1">
      <w:start w:val="1"/>
      <w:numFmt w:val="bullet"/>
      <w:lvlText w:val=""/>
      <w:lvlJc w:val="left"/>
      <w:pPr>
        <w:ind w:left="2537" w:hanging="360"/>
      </w:pPr>
      <w:rPr>
        <w:rFonts w:ascii="Symbol" w:hAnsi="Symbol" w:hint="default"/>
      </w:rPr>
    </w:lvl>
    <w:lvl w:ilvl="4" w:tplc="04270003" w:tentative="1">
      <w:start w:val="1"/>
      <w:numFmt w:val="bullet"/>
      <w:lvlText w:val="o"/>
      <w:lvlJc w:val="left"/>
      <w:pPr>
        <w:ind w:left="3257" w:hanging="360"/>
      </w:pPr>
      <w:rPr>
        <w:rFonts w:ascii="Courier New" w:hAnsi="Courier New" w:cs="Courier New" w:hint="default"/>
      </w:rPr>
    </w:lvl>
    <w:lvl w:ilvl="5" w:tplc="04270005" w:tentative="1">
      <w:start w:val="1"/>
      <w:numFmt w:val="bullet"/>
      <w:lvlText w:val=""/>
      <w:lvlJc w:val="left"/>
      <w:pPr>
        <w:ind w:left="3977" w:hanging="360"/>
      </w:pPr>
      <w:rPr>
        <w:rFonts w:ascii="Wingdings" w:hAnsi="Wingdings" w:hint="default"/>
      </w:rPr>
    </w:lvl>
    <w:lvl w:ilvl="6" w:tplc="04270001" w:tentative="1">
      <w:start w:val="1"/>
      <w:numFmt w:val="bullet"/>
      <w:lvlText w:val=""/>
      <w:lvlJc w:val="left"/>
      <w:pPr>
        <w:ind w:left="4697" w:hanging="360"/>
      </w:pPr>
      <w:rPr>
        <w:rFonts w:ascii="Symbol" w:hAnsi="Symbol" w:hint="default"/>
      </w:rPr>
    </w:lvl>
    <w:lvl w:ilvl="7" w:tplc="04270003" w:tentative="1">
      <w:start w:val="1"/>
      <w:numFmt w:val="bullet"/>
      <w:lvlText w:val="o"/>
      <w:lvlJc w:val="left"/>
      <w:pPr>
        <w:ind w:left="5417" w:hanging="360"/>
      </w:pPr>
      <w:rPr>
        <w:rFonts w:ascii="Courier New" w:hAnsi="Courier New" w:cs="Courier New" w:hint="default"/>
      </w:rPr>
    </w:lvl>
    <w:lvl w:ilvl="8" w:tplc="04270005" w:tentative="1">
      <w:start w:val="1"/>
      <w:numFmt w:val="bullet"/>
      <w:lvlText w:val=""/>
      <w:lvlJc w:val="left"/>
      <w:pPr>
        <w:ind w:left="6137" w:hanging="360"/>
      </w:pPr>
      <w:rPr>
        <w:rFonts w:ascii="Wingdings" w:hAnsi="Wingdings" w:hint="default"/>
      </w:r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536E38"/>
    <w:multiLevelType w:val="hybridMultilevel"/>
    <w:tmpl w:val="6EF08A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F00789D"/>
    <w:multiLevelType w:val="hybridMultilevel"/>
    <w:tmpl w:val="8822F2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9"/>
  </w:num>
  <w:num w:numId="4">
    <w:abstractNumId w:val="8"/>
  </w:num>
  <w:num w:numId="5">
    <w:abstractNumId w:val="6"/>
  </w:num>
  <w:num w:numId="6">
    <w:abstractNumId w:val="5"/>
  </w:num>
  <w:num w:numId="7">
    <w:abstractNumId w:val="4"/>
  </w:num>
  <w:num w:numId="8">
    <w:abstractNumId w:val="13"/>
  </w:num>
  <w:num w:numId="9">
    <w:abstractNumId w:val="0"/>
  </w:num>
  <w:num w:numId="10">
    <w:abstractNumId w:val="10"/>
  </w:num>
  <w:num w:numId="11">
    <w:abstractNumId w:val="11"/>
  </w:num>
  <w:num w:numId="12">
    <w:abstractNumId w:val="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E7"/>
    <w:rsid w:val="000001B0"/>
    <w:rsid w:val="00003F5B"/>
    <w:rsid w:val="000114DD"/>
    <w:rsid w:val="000136F7"/>
    <w:rsid w:val="0002686C"/>
    <w:rsid w:val="00031D0E"/>
    <w:rsid w:val="000337E6"/>
    <w:rsid w:val="0003402E"/>
    <w:rsid w:val="00034EAE"/>
    <w:rsid w:val="00042924"/>
    <w:rsid w:val="00053975"/>
    <w:rsid w:val="00057A2B"/>
    <w:rsid w:val="000606BE"/>
    <w:rsid w:val="000723FF"/>
    <w:rsid w:val="00072C60"/>
    <w:rsid w:val="000736B8"/>
    <w:rsid w:val="0008190F"/>
    <w:rsid w:val="00081D9C"/>
    <w:rsid w:val="00082907"/>
    <w:rsid w:val="0008378D"/>
    <w:rsid w:val="00090471"/>
    <w:rsid w:val="000908A5"/>
    <w:rsid w:val="00092805"/>
    <w:rsid w:val="000C38DE"/>
    <w:rsid w:val="000C454C"/>
    <w:rsid w:val="000C557A"/>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64146"/>
    <w:rsid w:val="0017369C"/>
    <w:rsid w:val="00174796"/>
    <w:rsid w:val="00175D57"/>
    <w:rsid w:val="00180C39"/>
    <w:rsid w:val="00180D96"/>
    <w:rsid w:val="00184175"/>
    <w:rsid w:val="00184BD3"/>
    <w:rsid w:val="001921F3"/>
    <w:rsid w:val="001B3C5B"/>
    <w:rsid w:val="001C219D"/>
    <w:rsid w:val="001D746F"/>
    <w:rsid w:val="001E0836"/>
    <w:rsid w:val="001E441F"/>
    <w:rsid w:val="001E4BBB"/>
    <w:rsid w:val="001E6304"/>
    <w:rsid w:val="0020381E"/>
    <w:rsid w:val="00213471"/>
    <w:rsid w:val="00215906"/>
    <w:rsid w:val="002176E1"/>
    <w:rsid w:val="00225A34"/>
    <w:rsid w:val="00241CD8"/>
    <w:rsid w:val="00244B09"/>
    <w:rsid w:val="002519CB"/>
    <w:rsid w:val="0025697F"/>
    <w:rsid w:val="00260258"/>
    <w:rsid w:val="0026588E"/>
    <w:rsid w:val="00272428"/>
    <w:rsid w:val="00272948"/>
    <w:rsid w:val="00292392"/>
    <w:rsid w:val="002946C7"/>
    <w:rsid w:val="002A50A0"/>
    <w:rsid w:val="002A59C5"/>
    <w:rsid w:val="002A6732"/>
    <w:rsid w:val="002B3CC1"/>
    <w:rsid w:val="002C09E0"/>
    <w:rsid w:val="002C1BB1"/>
    <w:rsid w:val="002C2786"/>
    <w:rsid w:val="002C3A10"/>
    <w:rsid w:val="002C4A90"/>
    <w:rsid w:val="002C4ED5"/>
    <w:rsid w:val="002D02EF"/>
    <w:rsid w:val="002D3E5B"/>
    <w:rsid w:val="002E0702"/>
    <w:rsid w:val="002E57AD"/>
    <w:rsid w:val="002E6F80"/>
    <w:rsid w:val="002F0E4F"/>
    <w:rsid w:val="002F1053"/>
    <w:rsid w:val="00317AE0"/>
    <w:rsid w:val="00317B0E"/>
    <w:rsid w:val="0032200D"/>
    <w:rsid w:val="00347FAA"/>
    <w:rsid w:val="0035172D"/>
    <w:rsid w:val="00351B5B"/>
    <w:rsid w:val="0036187D"/>
    <w:rsid w:val="003676C4"/>
    <w:rsid w:val="00367EDB"/>
    <w:rsid w:val="00381024"/>
    <w:rsid w:val="00386307"/>
    <w:rsid w:val="003874DE"/>
    <w:rsid w:val="00393E9F"/>
    <w:rsid w:val="0039524C"/>
    <w:rsid w:val="0039696E"/>
    <w:rsid w:val="003B211A"/>
    <w:rsid w:val="003C141F"/>
    <w:rsid w:val="003C6B0E"/>
    <w:rsid w:val="003C7257"/>
    <w:rsid w:val="003C75BE"/>
    <w:rsid w:val="003C7E35"/>
    <w:rsid w:val="003D1E99"/>
    <w:rsid w:val="003D6208"/>
    <w:rsid w:val="00404E8A"/>
    <w:rsid w:val="004050FC"/>
    <w:rsid w:val="0040622F"/>
    <w:rsid w:val="00413F24"/>
    <w:rsid w:val="00420DC0"/>
    <w:rsid w:val="00422853"/>
    <w:rsid w:val="00422DA4"/>
    <w:rsid w:val="00423160"/>
    <w:rsid w:val="004246C1"/>
    <w:rsid w:val="0043660A"/>
    <w:rsid w:val="00453862"/>
    <w:rsid w:val="0045469B"/>
    <w:rsid w:val="00461338"/>
    <w:rsid w:val="00463C23"/>
    <w:rsid w:val="004677DB"/>
    <w:rsid w:val="00476256"/>
    <w:rsid w:val="0048630F"/>
    <w:rsid w:val="004947A1"/>
    <w:rsid w:val="0049482A"/>
    <w:rsid w:val="004952F5"/>
    <w:rsid w:val="004979D3"/>
    <w:rsid w:val="004A00E7"/>
    <w:rsid w:val="004A17B4"/>
    <w:rsid w:val="004A3A61"/>
    <w:rsid w:val="004B59BA"/>
    <w:rsid w:val="004B5A03"/>
    <w:rsid w:val="004C263A"/>
    <w:rsid w:val="004D48A6"/>
    <w:rsid w:val="004D7B8F"/>
    <w:rsid w:val="004E6458"/>
    <w:rsid w:val="004E6E7D"/>
    <w:rsid w:val="004F1AAC"/>
    <w:rsid w:val="004F1AE2"/>
    <w:rsid w:val="004F34F0"/>
    <w:rsid w:val="004F3AF6"/>
    <w:rsid w:val="004F3B2B"/>
    <w:rsid w:val="004F6050"/>
    <w:rsid w:val="005005EF"/>
    <w:rsid w:val="005123C2"/>
    <w:rsid w:val="0052144B"/>
    <w:rsid w:val="00524066"/>
    <w:rsid w:val="00531307"/>
    <w:rsid w:val="00534E11"/>
    <w:rsid w:val="005378D8"/>
    <w:rsid w:val="005400D9"/>
    <w:rsid w:val="005476A4"/>
    <w:rsid w:val="0055019B"/>
    <w:rsid w:val="00556E63"/>
    <w:rsid w:val="005601A4"/>
    <w:rsid w:val="00566DBB"/>
    <w:rsid w:val="005767DB"/>
    <w:rsid w:val="005815E6"/>
    <w:rsid w:val="0058712F"/>
    <w:rsid w:val="00591062"/>
    <w:rsid w:val="005976CE"/>
    <w:rsid w:val="005A0172"/>
    <w:rsid w:val="005A23D4"/>
    <w:rsid w:val="005A2D1E"/>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0365"/>
    <w:rsid w:val="00621D6C"/>
    <w:rsid w:val="00627D90"/>
    <w:rsid w:val="00633B49"/>
    <w:rsid w:val="0064297F"/>
    <w:rsid w:val="00645102"/>
    <w:rsid w:val="00646CF3"/>
    <w:rsid w:val="00653D11"/>
    <w:rsid w:val="00662983"/>
    <w:rsid w:val="006834D3"/>
    <w:rsid w:val="006863C3"/>
    <w:rsid w:val="00692625"/>
    <w:rsid w:val="00695CD3"/>
    <w:rsid w:val="006A38B6"/>
    <w:rsid w:val="006A60F1"/>
    <w:rsid w:val="006B1987"/>
    <w:rsid w:val="006B399A"/>
    <w:rsid w:val="006B5B71"/>
    <w:rsid w:val="006B6CB0"/>
    <w:rsid w:val="006C0296"/>
    <w:rsid w:val="006C2B64"/>
    <w:rsid w:val="006D4C85"/>
    <w:rsid w:val="006D66AC"/>
    <w:rsid w:val="006E33F6"/>
    <w:rsid w:val="006E5E25"/>
    <w:rsid w:val="006F1251"/>
    <w:rsid w:val="006F1C23"/>
    <w:rsid w:val="006F38DD"/>
    <w:rsid w:val="00702C18"/>
    <w:rsid w:val="00703166"/>
    <w:rsid w:val="007127F3"/>
    <w:rsid w:val="007301CF"/>
    <w:rsid w:val="007316FB"/>
    <w:rsid w:val="00737403"/>
    <w:rsid w:val="007374D0"/>
    <w:rsid w:val="00737E2D"/>
    <w:rsid w:val="007424D5"/>
    <w:rsid w:val="00750A88"/>
    <w:rsid w:val="007523DD"/>
    <w:rsid w:val="00757B7E"/>
    <w:rsid w:val="007656B2"/>
    <w:rsid w:val="0077016F"/>
    <w:rsid w:val="007713AD"/>
    <w:rsid w:val="00795DC5"/>
    <w:rsid w:val="00797153"/>
    <w:rsid w:val="007A21F7"/>
    <w:rsid w:val="007A2B68"/>
    <w:rsid w:val="007A41E1"/>
    <w:rsid w:val="007A7ECF"/>
    <w:rsid w:val="007B0B0D"/>
    <w:rsid w:val="007B0DDA"/>
    <w:rsid w:val="007B17F4"/>
    <w:rsid w:val="007D3347"/>
    <w:rsid w:val="007E5466"/>
    <w:rsid w:val="007F1949"/>
    <w:rsid w:val="007F2592"/>
    <w:rsid w:val="008001BD"/>
    <w:rsid w:val="00800A08"/>
    <w:rsid w:val="00804693"/>
    <w:rsid w:val="00817A84"/>
    <w:rsid w:val="008225A4"/>
    <w:rsid w:val="00824B92"/>
    <w:rsid w:val="00826D5E"/>
    <w:rsid w:val="00832013"/>
    <w:rsid w:val="008323AC"/>
    <w:rsid w:val="00832DB7"/>
    <w:rsid w:val="00834732"/>
    <w:rsid w:val="008477C5"/>
    <w:rsid w:val="0085200C"/>
    <w:rsid w:val="00857C52"/>
    <w:rsid w:val="00860D5F"/>
    <w:rsid w:val="00880A44"/>
    <w:rsid w:val="0088233A"/>
    <w:rsid w:val="0088345E"/>
    <w:rsid w:val="0088656F"/>
    <w:rsid w:val="00891EF6"/>
    <w:rsid w:val="008A0303"/>
    <w:rsid w:val="008A5FDD"/>
    <w:rsid w:val="008C3947"/>
    <w:rsid w:val="008E3412"/>
    <w:rsid w:val="008E473B"/>
    <w:rsid w:val="008E51A6"/>
    <w:rsid w:val="008E7329"/>
    <w:rsid w:val="008F2ED5"/>
    <w:rsid w:val="009013E3"/>
    <w:rsid w:val="009104C2"/>
    <w:rsid w:val="0092297E"/>
    <w:rsid w:val="00923651"/>
    <w:rsid w:val="009240BE"/>
    <w:rsid w:val="00927B56"/>
    <w:rsid w:val="009341BF"/>
    <w:rsid w:val="00937907"/>
    <w:rsid w:val="00941739"/>
    <w:rsid w:val="009446AE"/>
    <w:rsid w:val="00951573"/>
    <w:rsid w:val="00963003"/>
    <w:rsid w:val="00966EEF"/>
    <w:rsid w:val="00971B28"/>
    <w:rsid w:val="00983471"/>
    <w:rsid w:val="009909AB"/>
    <w:rsid w:val="009B33E7"/>
    <w:rsid w:val="009B37DB"/>
    <w:rsid w:val="009C7A8C"/>
    <w:rsid w:val="009D23F9"/>
    <w:rsid w:val="009D4FA8"/>
    <w:rsid w:val="009E44AE"/>
    <w:rsid w:val="009E6CD6"/>
    <w:rsid w:val="009F4D66"/>
    <w:rsid w:val="00A00C3C"/>
    <w:rsid w:val="00A01091"/>
    <w:rsid w:val="00A042B9"/>
    <w:rsid w:val="00A06DBB"/>
    <w:rsid w:val="00A136D1"/>
    <w:rsid w:val="00A22ADF"/>
    <w:rsid w:val="00A31E86"/>
    <w:rsid w:val="00A46BBE"/>
    <w:rsid w:val="00A54D87"/>
    <w:rsid w:val="00A5553C"/>
    <w:rsid w:val="00A61D7F"/>
    <w:rsid w:val="00A701C9"/>
    <w:rsid w:val="00A81785"/>
    <w:rsid w:val="00A84803"/>
    <w:rsid w:val="00A84C51"/>
    <w:rsid w:val="00A86F2B"/>
    <w:rsid w:val="00A91366"/>
    <w:rsid w:val="00A93AA6"/>
    <w:rsid w:val="00AA4E48"/>
    <w:rsid w:val="00AA6202"/>
    <w:rsid w:val="00AA7B57"/>
    <w:rsid w:val="00AB2A9F"/>
    <w:rsid w:val="00AB352C"/>
    <w:rsid w:val="00AC26FC"/>
    <w:rsid w:val="00AC4A99"/>
    <w:rsid w:val="00AC64D2"/>
    <w:rsid w:val="00AC6FA2"/>
    <w:rsid w:val="00AD02E7"/>
    <w:rsid w:val="00AE0FE8"/>
    <w:rsid w:val="00AE1322"/>
    <w:rsid w:val="00AF60D5"/>
    <w:rsid w:val="00B00959"/>
    <w:rsid w:val="00B04415"/>
    <w:rsid w:val="00B06509"/>
    <w:rsid w:val="00B11D60"/>
    <w:rsid w:val="00B13D65"/>
    <w:rsid w:val="00B21805"/>
    <w:rsid w:val="00B3072E"/>
    <w:rsid w:val="00B355BE"/>
    <w:rsid w:val="00B36E15"/>
    <w:rsid w:val="00B37245"/>
    <w:rsid w:val="00B4017A"/>
    <w:rsid w:val="00B4468D"/>
    <w:rsid w:val="00B5331C"/>
    <w:rsid w:val="00B67D74"/>
    <w:rsid w:val="00B71C72"/>
    <w:rsid w:val="00B81E92"/>
    <w:rsid w:val="00B908D7"/>
    <w:rsid w:val="00B915AB"/>
    <w:rsid w:val="00B935E8"/>
    <w:rsid w:val="00B93B30"/>
    <w:rsid w:val="00B94C05"/>
    <w:rsid w:val="00B94CB5"/>
    <w:rsid w:val="00BA0DD9"/>
    <w:rsid w:val="00BA5DBC"/>
    <w:rsid w:val="00BA71C2"/>
    <w:rsid w:val="00BB6312"/>
    <w:rsid w:val="00BC4D06"/>
    <w:rsid w:val="00BD585E"/>
    <w:rsid w:val="00BD6919"/>
    <w:rsid w:val="00BE1EA7"/>
    <w:rsid w:val="00BE32B8"/>
    <w:rsid w:val="00BE7489"/>
    <w:rsid w:val="00BF2E0D"/>
    <w:rsid w:val="00BF3927"/>
    <w:rsid w:val="00BF3F8B"/>
    <w:rsid w:val="00BF76DA"/>
    <w:rsid w:val="00C07C7B"/>
    <w:rsid w:val="00C16245"/>
    <w:rsid w:val="00C22DC5"/>
    <w:rsid w:val="00C24479"/>
    <w:rsid w:val="00C245A2"/>
    <w:rsid w:val="00C273F2"/>
    <w:rsid w:val="00C37B53"/>
    <w:rsid w:val="00C517D2"/>
    <w:rsid w:val="00C5772E"/>
    <w:rsid w:val="00C62A3E"/>
    <w:rsid w:val="00C62B36"/>
    <w:rsid w:val="00C7012C"/>
    <w:rsid w:val="00C712EA"/>
    <w:rsid w:val="00CA217D"/>
    <w:rsid w:val="00CB779C"/>
    <w:rsid w:val="00CC09D4"/>
    <w:rsid w:val="00CC668D"/>
    <w:rsid w:val="00CC7832"/>
    <w:rsid w:val="00CD045F"/>
    <w:rsid w:val="00CE6F92"/>
    <w:rsid w:val="00CF0C1C"/>
    <w:rsid w:val="00CF27FD"/>
    <w:rsid w:val="00CF5F12"/>
    <w:rsid w:val="00D00D8F"/>
    <w:rsid w:val="00D03EAA"/>
    <w:rsid w:val="00D05C44"/>
    <w:rsid w:val="00D11246"/>
    <w:rsid w:val="00D21F3A"/>
    <w:rsid w:val="00D23808"/>
    <w:rsid w:val="00D3016A"/>
    <w:rsid w:val="00D417D2"/>
    <w:rsid w:val="00D42960"/>
    <w:rsid w:val="00D43BD7"/>
    <w:rsid w:val="00D4485B"/>
    <w:rsid w:val="00D4708D"/>
    <w:rsid w:val="00D4744C"/>
    <w:rsid w:val="00D521DE"/>
    <w:rsid w:val="00D5470B"/>
    <w:rsid w:val="00D63068"/>
    <w:rsid w:val="00D6498C"/>
    <w:rsid w:val="00D76A70"/>
    <w:rsid w:val="00D83182"/>
    <w:rsid w:val="00D8521E"/>
    <w:rsid w:val="00D9291C"/>
    <w:rsid w:val="00D93A97"/>
    <w:rsid w:val="00DA67EC"/>
    <w:rsid w:val="00DB1F64"/>
    <w:rsid w:val="00DB3824"/>
    <w:rsid w:val="00DB5BF8"/>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4C8E"/>
    <w:rsid w:val="00E475F8"/>
    <w:rsid w:val="00E5102E"/>
    <w:rsid w:val="00E5721C"/>
    <w:rsid w:val="00E619C6"/>
    <w:rsid w:val="00E745A1"/>
    <w:rsid w:val="00E81529"/>
    <w:rsid w:val="00E83A13"/>
    <w:rsid w:val="00E93DA5"/>
    <w:rsid w:val="00EB6FC5"/>
    <w:rsid w:val="00EC2356"/>
    <w:rsid w:val="00EC2582"/>
    <w:rsid w:val="00EC337C"/>
    <w:rsid w:val="00ED0CFF"/>
    <w:rsid w:val="00ED31D2"/>
    <w:rsid w:val="00EE0EAC"/>
    <w:rsid w:val="00EE3322"/>
    <w:rsid w:val="00EE33CB"/>
    <w:rsid w:val="00EF789D"/>
    <w:rsid w:val="00F0061A"/>
    <w:rsid w:val="00F02834"/>
    <w:rsid w:val="00F04EEB"/>
    <w:rsid w:val="00F05467"/>
    <w:rsid w:val="00F055D2"/>
    <w:rsid w:val="00F07CD7"/>
    <w:rsid w:val="00F127E9"/>
    <w:rsid w:val="00F14B5D"/>
    <w:rsid w:val="00F259FC"/>
    <w:rsid w:val="00F26368"/>
    <w:rsid w:val="00F36972"/>
    <w:rsid w:val="00F42426"/>
    <w:rsid w:val="00F43633"/>
    <w:rsid w:val="00F456BC"/>
    <w:rsid w:val="00F50666"/>
    <w:rsid w:val="00F70C9E"/>
    <w:rsid w:val="00F74A74"/>
    <w:rsid w:val="00F7572C"/>
    <w:rsid w:val="00F7771B"/>
    <w:rsid w:val="00F8382C"/>
    <w:rsid w:val="00F855D7"/>
    <w:rsid w:val="00F92035"/>
    <w:rsid w:val="00F92748"/>
    <w:rsid w:val="00FA4169"/>
    <w:rsid w:val="00FB0D41"/>
    <w:rsid w:val="00FB2030"/>
    <w:rsid w:val="00FB2E62"/>
    <w:rsid w:val="00FB69A6"/>
    <w:rsid w:val="00FD0E46"/>
    <w:rsid w:val="00FD1CF2"/>
    <w:rsid w:val="00FD3EDF"/>
    <w:rsid w:val="00FD51A6"/>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DFE6E56"/>
  <w15:docId w15:val="{EAE663F4-E9D4-4801-9B3D-DF72203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basedOn w:val="Normal"/>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794101">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345983693">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 w:id="210110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ceviciute\Documents\VVKT%20rastam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PlaceholderText"/>
            </w:rPr>
            <w:t>Click here to enter a date.</w:t>
          </w:r>
        </w:p>
      </w:docPartBody>
    </w:docPart>
    <w:docPart>
      <w:docPartPr>
        <w:name w:val="B3F61B05A4134CF491D0FC41DFF6728A"/>
        <w:category>
          <w:name w:val="General"/>
          <w:gallery w:val="placeholder"/>
        </w:category>
        <w:types>
          <w:type w:val="bbPlcHdr"/>
        </w:types>
        <w:behaviors>
          <w:behavior w:val="content"/>
        </w:behaviors>
        <w:guid w:val="{7A2DA3AB-1B13-4DF7-BCA4-9F7C54D34B14}"/>
      </w:docPartPr>
      <w:docPartBody>
        <w:p w:rsidR="00932CA6" w:rsidRDefault="005309B6" w:rsidP="005309B6">
          <w:pPr>
            <w:pStyle w:val="B3F61B05A4134CF491D0FC41DFF6728A"/>
          </w:pPr>
          <w:r>
            <w:rPr>
              <w:rStyle w:val="PlaceholderText"/>
            </w:rPr>
            <w:t>Click here to enter a date.</w:t>
          </w:r>
        </w:p>
      </w:docPartBody>
    </w:docPart>
    <w:docPart>
      <w:docPartPr>
        <w:name w:val="816171BCAD464703B3F7E54FFDC39F78"/>
        <w:category>
          <w:name w:val="General"/>
          <w:gallery w:val="placeholder"/>
        </w:category>
        <w:types>
          <w:type w:val="bbPlcHdr"/>
        </w:types>
        <w:behaviors>
          <w:behavior w:val="content"/>
        </w:behaviors>
        <w:guid w:val="{65AD8010-E222-40AE-9674-16A6E2316987}"/>
      </w:docPartPr>
      <w:docPartBody>
        <w:p w:rsidR="00932CA6" w:rsidRDefault="005309B6" w:rsidP="005309B6">
          <w:pPr>
            <w:pStyle w:val="816171BCAD464703B3F7E54FFDC39F78"/>
          </w:pPr>
          <w:r>
            <w:rPr>
              <w:rStyle w:val="PlaceholderText"/>
            </w:rPr>
            <w:t>Click here to enter a date.</w:t>
          </w:r>
        </w:p>
      </w:docPartBody>
    </w:docPart>
    <w:docPart>
      <w:docPartPr>
        <w:name w:val="AFCE448C628D4CCB8BB815B662D96C7B"/>
        <w:category>
          <w:name w:val="General"/>
          <w:gallery w:val="placeholder"/>
        </w:category>
        <w:types>
          <w:type w:val="bbPlcHdr"/>
        </w:types>
        <w:behaviors>
          <w:behavior w:val="content"/>
        </w:behaviors>
        <w:guid w:val="{34AC2F7C-7AF0-4194-B4F3-3DE1FCFB9E15}"/>
      </w:docPartPr>
      <w:docPartBody>
        <w:p w:rsidR="00932CA6" w:rsidRDefault="005309B6" w:rsidP="005309B6">
          <w:pPr>
            <w:pStyle w:val="AFCE448C628D4CCB8BB815B662D96C7B"/>
          </w:pPr>
          <w:r>
            <w:rPr>
              <w:rStyle w:val="PlaceholderText"/>
            </w:rPr>
            <w:t>Click here to enter a date.</w:t>
          </w:r>
        </w:p>
      </w:docPartBody>
    </w:docPart>
    <w:docPart>
      <w:docPartPr>
        <w:name w:val="EFBE3A64C2E04EFCB43A8E2A7F765E5A"/>
        <w:category>
          <w:name w:val="General"/>
          <w:gallery w:val="placeholder"/>
        </w:category>
        <w:types>
          <w:type w:val="bbPlcHdr"/>
        </w:types>
        <w:behaviors>
          <w:behavior w:val="content"/>
        </w:behaviors>
        <w:guid w:val="{CFB39ABF-3972-4BB8-AE88-0F122F9820AA}"/>
      </w:docPartPr>
      <w:docPartBody>
        <w:p w:rsidR="00932CA6" w:rsidRDefault="005309B6" w:rsidP="005309B6">
          <w:pPr>
            <w:pStyle w:val="EFBE3A64C2E04EFCB43A8E2A7F765E5A"/>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DD"/>
    <w:rsid w:val="0001247F"/>
    <w:rsid w:val="00061157"/>
    <w:rsid w:val="000744E5"/>
    <w:rsid w:val="000937FE"/>
    <w:rsid w:val="000A559A"/>
    <w:rsid w:val="000D24D4"/>
    <w:rsid w:val="001C35A9"/>
    <w:rsid w:val="00237556"/>
    <w:rsid w:val="00306761"/>
    <w:rsid w:val="0039303B"/>
    <w:rsid w:val="004144A3"/>
    <w:rsid w:val="004160E7"/>
    <w:rsid w:val="004416C6"/>
    <w:rsid w:val="004F5AB2"/>
    <w:rsid w:val="005074B9"/>
    <w:rsid w:val="005309B6"/>
    <w:rsid w:val="005470DA"/>
    <w:rsid w:val="005E40DD"/>
    <w:rsid w:val="007219C1"/>
    <w:rsid w:val="00753462"/>
    <w:rsid w:val="00772325"/>
    <w:rsid w:val="007830C6"/>
    <w:rsid w:val="007A2FE0"/>
    <w:rsid w:val="007C6D1D"/>
    <w:rsid w:val="0090074D"/>
    <w:rsid w:val="00932CA6"/>
    <w:rsid w:val="009B3BF0"/>
    <w:rsid w:val="009D5E5E"/>
    <w:rsid w:val="009F1BB4"/>
    <w:rsid w:val="00AB6ED4"/>
    <w:rsid w:val="00B13B74"/>
    <w:rsid w:val="00B14210"/>
    <w:rsid w:val="00B23DC0"/>
    <w:rsid w:val="00B9655D"/>
    <w:rsid w:val="00B96656"/>
    <w:rsid w:val="00BE29C1"/>
    <w:rsid w:val="00C2401D"/>
    <w:rsid w:val="00C53A68"/>
    <w:rsid w:val="00CA5BB4"/>
    <w:rsid w:val="00CB4BD1"/>
    <w:rsid w:val="00CD6868"/>
    <w:rsid w:val="00CE2DA9"/>
    <w:rsid w:val="00CE44BE"/>
    <w:rsid w:val="00D4356B"/>
    <w:rsid w:val="00D7162F"/>
    <w:rsid w:val="00E44A86"/>
    <w:rsid w:val="00E522EB"/>
    <w:rsid w:val="00E60827"/>
    <w:rsid w:val="00E73FF6"/>
    <w:rsid w:val="00EC48C6"/>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309B6"/>
    <w:rPr>
      <w:color w:val="808080"/>
    </w:rPr>
  </w:style>
  <w:style w:type="paragraph" w:customStyle="1" w:styleId="0A1DCC42A2974C359888226B925C8FF8">
    <w:name w:val="0A1DCC42A2974C359888226B925C8FF8"/>
    <w:rsid w:val="005E40DD"/>
  </w:style>
  <w:style w:type="paragraph" w:customStyle="1" w:styleId="B3F61B05A4134CF491D0FC41DFF6728A">
    <w:name w:val="B3F61B05A4134CF491D0FC41DFF6728A"/>
    <w:rsid w:val="005309B6"/>
  </w:style>
  <w:style w:type="paragraph" w:customStyle="1" w:styleId="816171BCAD464703B3F7E54FFDC39F78">
    <w:name w:val="816171BCAD464703B3F7E54FFDC39F78"/>
    <w:rsid w:val="005309B6"/>
  </w:style>
  <w:style w:type="paragraph" w:customStyle="1" w:styleId="AFCE448C628D4CCB8BB815B662D96C7B">
    <w:name w:val="AFCE448C628D4CCB8BB815B662D96C7B"/>
    <w:rsid w:val="005309B6"/>
  </w:style>
  <w:style w:type="paragraph" w:customStyle="1" w:styleId="EFBE3A64C2E04EFCB43A8E2A7F765E5A">
    <w:name w:val="EFBE3A64C2E04EFCB43A8E2A7F765E5A"/>
    <w:rsid w:val="005309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D8C2A-1E5F-4160-83E4-454444208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VVKT rastams</Template>
  <TotalTime>3</TotalTime>
  <Pages>8</Pages>
  <Words>2701</Words>
  <Characters>19228</Characters>
  <Application>Microsoft Office Word</Application>
  <DocSecurity>0</DocSecurity>
  <Lines>160</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S.M.C.A.</Company>
  <LinksUpToDate>false</LinksUpToDate>
  <CharactersWithSpaces>21886</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Kudelienė</dc:creator>
  <cp:keywords/>
  <dc:description/>
  <cp:lastModifiedBy>Brigita Venclovaitė</cp:lastModifiedBy>
  <cp:revision>3</cp:revision>
  <cp:lastPrinted>2015-11-17T07:39:00Z</cp:lastPrinted>
  <dcterms:created xsi:type="dcterms:W3CDTF">2022-11-28T08:40:00Z</dcterms:created>
  <dcterms:modified xsi:type="dcterms:W3CDTF">2022-11-28T08:46:00Z</dcterms:modified>
</cp:coreProperties>
</file>