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Default="005F7602" w:rsidP="00966A05">
      <w:pPr>
        <w:spacing w:line="276" w:lineRule="auto"/>
        <w:ind w:left="5529"/>
      </w:pPr>
    </w:p>
    <w:p w14:paraId="12FA4B9E" w14:textId="77777777" w:rsidR="001B3C5B" w:rsidRPr="00E33EFF" w:rsidRDefault="001B3C5B" w:rsidP="00966A05">
      <w:pPr>
        <w:spacing w:line="276" w:lineRule="auto"/>
        <w:ind w:left="6096"/>
      </w:pPr>
      <w:r w:rsidRPr="00E33EFF">
        <w:t>Forma patvirtinta</w:t>
      </w:r>
    </w:p>
    <w:p w14:paraId="7206970B" w14:textId="70E9BD2E" w:rsidR="004C263A" w:rsidRPr="00E33EFF" w:rsidRDefault="001B3C5B" w:rsidP="00966A05">
      <w:pPr>
        <w:spacing w:line="276" w:lineRule="auto"/>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966A05">
      <w:pPr>
        <w:spacing w:line="276" w:lineRule="auto"/>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966A05">
      <w:pPr>
        <w:spacing w:line="276" w:lineRule="auto"/>
      </w:pPr>
    </w:p>
    <w:p w14:paraId="77AFB67E" w14:textId="16397257" w:rsidR="00613501" w:rsidRPr="00E33EFF" w:rsidRDefault="002F0E4F" w:rsidP="00966A05">
      <w:pPr>
        <w:spacing w:line="276" w:lineRule="auto"/>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966A05">
      <w:pPr>
        <w:spacing w:line="276" w:lineRule="auto"/>
        <w:jc w:val="center"/>
        <w:rPr>
          <w:b/>
        </w:rPr>
      </w:pPr>
    </w:p>
    <w:p w14:paraId="0C96EA1E" w14:textId="364C6430" w:rsidR="00D41427" w:rsidRDefault="00D41427" w:rsidP="00966A05">
      <w:pPr>
        <w:spacing w:line="276" w:lineRule="auto"/>
        <w:jc w:val="center"/>
        <w:rPr>
          <w:b/>
        </w:rPr>
      </w:pPr>
      <w:proofErr w:type="spellStart"/>
      <w:r w:rsidRPr="00FC106E">
        <w:rPr>
          <w:b/>
        </w:rPr>
        <w:t>Verquvo</w:t>
      </w:r>
      <w:proofErr w:type="spellEnd"/>
      <w:r w:rsidRPr="004E28B7">
        <w:rPr>
          <w:b/>
        </w:rPr>
        <w:t xml:space="preserve"> </w:t>
      </w:r>
      <w:r w:rsidRPr="00FC106E">
        <w:rPr>
          <w:b/>
        </w:rPr>
        <w:t>2.5 mg</w:t>
      </w:r>
      <w:r>
        <w:rPr>
          <w:b/>
        </w:rPr>
        <w:t>, 5 mg ir 10 mg, p</w:t>
      </w:r>
      <w:r w:rsidRPr="00FC106E">
        <w:rPr>
          <w:b/>
        </w:rPr>
        <w:t>lėvele dengtos tabletės</w:t>
      </w:r>
    </w:p>
    <w:p w14:paraId="14A034C1" w14:textId="77777777" w:rsidR="00D41427" w:rsidRPr="004E28B7" w:rsidRDefault="00D41427" w:rsidP="00966A05">
      <w:pPr>
        <w:spacing w:line="276" w:lineRule="auto"/>
        <w:jc w:val="center"/>
        <w:rPr>
          <w:b/>
        </w:rPr>
      </w:pPr>
    </w:p>
    <w:p w14:paraId="61148366" w14:textId="77777777" w:rsidR="00D41427" w:rsidRPr="004E28B7" w:rsidRDefault="00D41427" w:rsidP="00966A05">
      <w:pPr>
        <w:spacing w:line="276" w:lineRule="auto"/>
        <w:jc w:val="center"/>
        <w:rPr>
          <w:b/>
        </w:rPr>
      </w:pPr>
      <w:r w:rsidRPr="004E28B7">
        <w:rPr>
          <w:b/>
        </w:rPr>
        <w:t>(</w:t>
      </w:r>
      <w:proofErr w:type="spellStart"/>
      <w:r w:rsidRPr="00A0355B">
        <w:rPr>
          <w:b/>
          <w:color w:val="000000"/>
        </w:rPr>
        <w:t>Vericiguatas</w:t>
      </w:r>
      <w:proofErr w:type="spellEnd"/>
      <w:r w:rsidRPr="004E28B7">
        <w:rPr>
          <w:b/>
        </w:rPr>
        <w:t>)</w:t>
      </w:r>
    </w:p>
    <w:p w14:paraId="6B01D9D9" w14:textId="77777777" w:rsidR="00D41427" w:rsidRPr="004E28B7" w:rsidRDefault="00D41427" w:rsidP="00966A05">
      <w:pPr>
        <w:spacing w:line="276" w:lineRule="auto"/>
        <w:jc w:val="center"/>
        <w:rPr>
          <w:b/>
        </w:rPr>
      </w:pPr>
    </w:p>
    <w:p w14:paraId="410F50AB" w14:textId="77777777" w:rsidR="00D41427" w:rsidRPr="00D05364" w:rsidRDefault="00D41427" w:rsidP="00966A05">
      <w:pPr>
        <w:spacing w:line="276" w:lineRule="auto"/>
        <w:jc w:val="center"/>
        <w:rPr>
          <w:b/>
        </w:rPr>
      </w:pPr>
      <w:r>
        <w:rPr>
          <w:b/>
        </w:rPr>
        <w:t>STV79</w:t>
      </w:r>
    </w:p>
    <w:p w14:paraId="5BC2EA5D" w14:textId="45A77B4A" w:rsidR="00937907" w:rsidRPr="00E33EFF" w:rsidRDefault="00937907" w:rsidP="00966A05">
      <w:pPr>
        <w:spacing w:line="276" w:lineRule="auto"/>
        <w:jc w:val="center"/>
        <w:rPr>
          <w:b/>
        </w:rPr>
      </w:pPr>
    </w:p>
    <w:p w14:paraId="453197C8" w14:textId="77777777" w:rsidR="00D4708D" w:rsidRPr="00E33EFF" w:rsidRDefault="00D4708D" w:rsidP="00966A05">
      <w:pPr>
        <w:spacing w:line="276" w:lineRule="auto"/>
        <w:jc w:val="center"/>
        <w:rPr>
          <w:b/>
        </w:rPr>
      </w:pPr>
    </w:p>
    <w:p w14:paraId="78C89D1C" w14:textId="0DEFFAA5" w:rsidR="00D4485B" w:rsidRPr="00E33EFF" w:rsidRDefault="00B13D65" w:rsidP="00966A05">
      <w:pPr>
        <w:pStyle w:val="ListParagraph"/>
        <w:numPr>
          <w:ilvl w:val="0"/>
          <w:numId w:val="12"/>
        </w:numPr>
        <w:tabs>
          <w:tab w:val="left" w:pos="567"/>
        </w:tabs>
        <w:spacing w:line="276" w:lineRule="auto"/>
        <w:ind w:left="567" w:hanging="567"/>
        <w:rPr>
          <w:b/>
          <w:bCs/>
          <w:caps/>
        </w:rPr>
      </w:pPr>
      <w:r w:rsidRPr="00E33EFF">
        <w:rPr>
          <w:b/>
          <w:bCs/>
          <w:caps/>
        </w:rPr>
        <w:t>Bendroji dalis</w:t>
      </w:r>
    </w:p>
    <w:p w14:paraId="04A7C7A7" w14:textId="77777777" w:rsidR="00B13D65" w:rsidRPr="00E33EFF" w:rsidRDefault="00B13D65" w:rsidP="00966A05">
      <w:pPr>
        <w:pStyle w:val="ListParagraph"/>
        <w:tabs>
          <w:tab w:val="left" w:pos="284"/>
        </w:tabs>
        <w:spacing w:line="276" w:lineRule="auto"/>
        <w:ind w:left="0"/>
        <w:rPr>
          <w:b/>
          <w:bCs/>
          <w:caps/>
        </w:rPr>
      </w:pPr>
    </w:p>
    <w:tbl>
      <w:tblPr>
        <w:tblStyle w:val="TableGrid"/>
        <w:tblW w:w="9493" w:type="dxa"/>
        <w:tblLook w:val="04A0" w:firstRow="1" w:lastRow="0" w:firstColumn="1" w:lastColumn="0" w:noHBand="0" w:noVBand="1"/>
      </w:tblPr>
      <w:tblGrid>
        <w:gridCol w:w="632"/>
        <w:gridCol w:w="3694"/>
        <w:gridCol w:w="5167"/>
      </w:tblGrid>
      <w:tr w:rsidR="00B13D65" w:rsidRPr="00E33EFF" w14:paraId="18A83EC2" w14:textId="77777777" w:rsidTr="00BE7489">
        <w:trPr>
          <w:trHeight w:val="538"/>
        </w:trPr>
        <w:tc>
          <w:tcPr>
            <w:tcW w:w="632" w:type="dxa"/>
          </w:tcPr>
          <w:p w14:paraId="0646FBEA" w14:textId="77777777" w:rsidR="00B13D65" w:rsidRPr="00E33EFF" w:rsidRDefault="00B13D65" w:rsidP="00966A05">
            <w:pPr>
              <w:spacing w:line="276" w:lineRule="auto"/>
              <w:rPr>
                <w:rFonts w:eastAsia="Arial"/>
              </w:rPr>
            </w:pPr>
            <w:r w:rsidRPr="00E33EFF">
              <w:rPr>
                <w:rFonts w:eastAsia="Arial"/>
              </w:rPr>
              <w:t>1.1</w:t>
            </w:r>
          </w:p>
        </w:tc>
        <w:tc>
          <w:tcPr>
            <w:tcW w:w="3694" w:type="dxa"/>
          </w:tcPr>
          <w:p w14:paraId="6C3AE864" w14:textId="77777777" w:rsidR="00B13D65" w:rsidRPr="00E33EFF" w:rsidRDefault="00B13D65" w:rsidP="00966A05">
            <w:pPr>
              <w:spacing w:line="276" w:lineRule="auto"/>
              <w:rPr>
                <w:rFonts w:eastAsia="Arial"/>
              </w:rPr>
            </w:pPr>
            <w:r w:rsidRPr="00E33EFF">
              <w:rPr>
                <w:rFonts w:eastAsia="Arial"/>
              </w:rPr>
              <w:t>Pareiškėjas</w:t>
            </w:r>
          </w:p>
          <w:p w14:paraId="2AF240DC" w14:textId="77777777" w:rsidR="00B13D65" w:rsidRPr="00E33EFF" w:rsidRDefault="00B13D65" w:rsidP="00966A05">
            <w:pPr>
              <w:spacing w:line="276" w:lineRule="auto"/>
              <w:rPr>
                <w:rFonts w:eastAsia="Arial"/>
              </w:rPr>
            </w:pPr>
          </w:p>
        </w:tc>
        <w:tc>
          <w:tcPr>
            <w:tcW w:w="5167" w:type="dxa"/>
          </w:tcPr>
          <w:p w14:paraId="2AAF0D91" w14:textId="22BE8A4C" w:rsidR="00B13D65" w:rsidRPr="00E33EFF" w:rsidRDefault="00D84F36" w:rsidP="00966A05">
            <w:pPr>
              <w:spacing w:line="276" w:lineRule="auto"/>
              <w:rPr>
                <w:rFonts w:eastAsia="Arial"/>
              </w:rPr>
            </w:pPr>
            <w:r>
              <w:rPr>
                <w:color w:val="000000"/>
              </w:rPr>
              <w:t>Bayer AG, Vokietija</w:t>
            </w:r>
          </w:p>
        </w:tc>
      </w:tr>
      <w:tr w:rsidR="00B13D65" w:rsidRPr="00E33EFF" w14:paraId="31998B0D" w14:textId="77777777" w:rsidTr="00BE7489">
        <w:trPr>
          <w:trHeight w:val="538"/>
        </w:trPr>
        <w:tc>
          <w:tcPr>
            <w:tcW w:w="632" w:type="dxa"/>
          </w:tcPr>
          <w:p w14:paraId="2005EC67" w14:textId="662300D0" w:rsidR="00B13D65" w:rsidRPr="00E33EFF" w:rsidRDefault="002E0702" w:rsidP="00966A05">
            <w:pPr>
              <w:spacing w:line="276" w:lineRule="auto"/>
              <w:rPr>
                <w:rFonts w:eastAsia="Arial"/>
              </w:rPr>
            </w:pPr>
            <w:r w:rsidRPr="00E33EFF">
              <w:rPr>
                <w:rFonts w:eastAsia="Arial"/>
              </w:rPr>
              <w:t>1.2</w:t>
            </w:r>
          </w:p>
        </w:tc>
        <w:tc>
          <w:tcPr>
            <w:tcW w:w="3694" w:type="dxa"/>
          </w:tcPr>
          <w:p w14:paraId="1E4AE3B1" w14:textId="77777777" w:rsidR="00B13D65" w:rsidRPr="00E33EFF" w:rsidRDefault="00B13D65" w:rsidP="00966A05">
            <w:pPr>
              <w:spacing w:line="276" w:lineRule="auto"/>
              <w:rPr>
                <w:bCs/>
                <w:color w:val="000000"/>
                <w:lang w:eastAsia="lt-LT"/>
              </w:rPr>
            </w:pPr>
            <w:r w:rsidRPr="00E33EFF">
              <w:rPr>
                <w:bCs/>
                <w:color w:val="000000"/>
                <w:lang w:eastAsia="lt-LT"/>
              </w:rPr>
              <w:t xml:space="preserve">Registracijos data </w:t>
            </w:r>
          </w:p>
          <w:p w14:paraId="3A0DC096" w14:textId="77777777" w:rsidR="00B13D65" w:rsidRPr="00E33EFF" w:rsidRDefault="00B13D65" w:rsidP="00966A05">
            <w:pPr>
              <w:spacing w:line="276" w:lineRule="auto"/>
              <w:rPr>
                <w:bCs/>
                <w:color w:val="000000"/>
                <w:lang w:eastAsia="lt-LT"/>
              </w:rPr>
            </w:pPr>
          </w:p>
        </w:tc>
        <w:tc>
          <w:tcPr>
            <w:tcW w:w="5167" w:type="dxa"/>
          </w:tcPr>
          <w:p w14:paraId="3CA218AD" w14:textId="6AE5298A" w:rsidR="00B13D65" w:rsidRPr="00E33EFF" w:rsidRDefault="00D4648A" w:rsidP="00966A05">
            <w:pPr>
              <w:spacing w:line="276" w:lineRule="auto"/>
              <w:rPr>
                <w:rStyle w:val="Style2"/>
              </w:rPr>
            </w:pPr>
            <w:sdt>
              <w:sdtPr>
                <w:rPr>
                  <w:sz w:val="32"/>
                </w:rPr>
                <w:alias w:val="Nurodykite konkrečią dieną"/>
                <w:tag w:val="Nurodykite pradžios datą"/>
                <w:id w:val="423238108"/>
                <w:placeholder>
                  <w:docPart w:val="0A1DCC42A2974C359888226B925C8FF8"/>
                </w:placeholder>
                <w15:color w:val="FFCC99"/>
                <w:date>
                  <w:dateFormat w:val="yyyy 'm.' MMMM d 'd.'"/>
                  <w:lid w:val="lt-LT"/>
                  <w:storeMappedDataAs w:val="dateTime"/>
                  <w:calendar w:val="gregorian"/>
                </w:date>
              </w:sdtPr>
              <w:sdtEndPr>
                <w:rPr>
                  <w:sz w:val="24"/>
                </w:rPr>
              </w:sdtEndPr>
              <w:sdtContent>
                <w:r w:rsidR="00D84F36" w:rsidRPr="00D84F36">
                  <w:t>2021 m. liepos 16 d.</w:t>
                </w:r>
              </w:sdtContent>
            </w:sdt>
          </w:p>
        </w:tc>
      </w:tr>
      <w:tr w:rsidR="00B13D65" w:rsidRPr="00E33EFF" w14:paraId="15968AE1" w14:textId="77777777" w:rsidTr="00BE7489">
        <w:trPr>
          <w:trHeight w:val="1500"/>
        </w:trPr>
        <w:tc>
          <w:tcPr>
            <w:tcW w:w="632" w:type="dxa"/>
          </w:tcPr>
          <w:p w14:paraId="6A784245" w14:textId="1E461489" w:rsidR="00B13D65" w:rsidRPr="00E33EFF" w:rsidRDefault="002E0702" w:rsidP="00966A05">
            <w:pPr>
              <w:spacing w:line="276" w:lineRule="auto"/>
              <w:rPr>
                <w:rFonts w:eastAsia="Arial"/>
              </w:rPr>
            </w:pPr>
            <w:r w:rsidRPr="00E33EFF">
              <w:rPr>
                <w:rFonts w:eastAsia="Arial"/>
              </w:rPr>
              <w:t>1.3</w:t>
            </w:r>
          </w:p>
        </w:tc>
        <w:tc>
          <w:tcPr>
            <w:tcW w:w="3694" w:type="dxa"/>
          </w:tcPr>
          <w:p w14:paraId="22933506" w14:textId="77777777" w:rsidR="00B13D65" w:rsidRPr="00E33EFF" w:rsidRDefault="00B13D65" w:rsidP="00966A05">
            <w:pPr>
              <w:spacing w:line="276" w:lineRule="auto"/>
            </w:pPr>
            <w:r w:rsidRPr="00E33EFF">
              <w:t xml:space="preserve">Paraiškos tipas </w:t>
            </w:r>
          </w:p>
          <w:p w14:paraId="0465E680" w14:textId="7F0A0714" w:rsidR="00B13D65" w:rsidRPr="00E33EFF" w:rsidRDefault="00B13D65" w:rsidP="00966A05">
            <w:pPr>
              <w:spacing w:line="276" w:lineRule="auto"/>
            </w:pPr>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w:t>
            </w:r>
            <w:proofErr w:type="spellStart"/>
            <w:r w:rsidR="00695CD3" w:rsidRPr="00E33EFF">
              <w:t>straips</w:t>
            </w:r>
            <w:r w:rsidR="0039696E" w:rsidRPr="00E33EFF">
              <w:t>iuose</w:t>
            </w:r>
            <w:proofErr w:type="spellEnd"/>
            <w:r w:rsidRPr="00E33EFF">
              <w:t>)</w:t>
            </w:r>
          </w:p>
          <w:p w14:paraId="77089D80" w14:textId="6681D72A" w:rsidR="00B13D65" w:rsidRPr="00E33EFF" w:rsidRDefault="00B13D65" w:rsidP="00966A05">
            <w:pPr>
              <w:spacing w:line="276" w:lineRule="auto"/>
              <w:rPr>
                <w:bCs/>
                <w:color w:val="000000"/>
                <w:lang w:eastAsia="lt-LT"/>
              </w:rPr>
            </w:pPr>
          </w:p>
        </w:tc>
        <w:tc>
          <w:tcPr>
            <w:tcW w:w="5167" w:type="dxa"/>
          </w:tcPr>
          <w:p w14:paraId="208F40EC" w14:textId="455DB204" w:rsidR="00B13D65" w:rsidRPr="00E33EFF" w:rsidRDefault="00D4648A" w:rsidP="00966A05">
            <w:pPr>
              <w:spacing w:line="276" w:lineRule="auto"/>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3D1877">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7AF8DD32" w:rsidR="00B13D65" w:rsidRPr="00E33EFF" w:rsidRDefault="00D4648A" w:rsidP="00966A05">
            <w:pPr>
              <w:spacing w:line="276" w:lineRule="auto"/>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080D17B9" w:rsidR="00B13D65" w:rsidRPr="00E33EFF" w:rsidRDefault="00D4648A" w:rsidP="00966A05">
            <w:pPr>
              <w:spacing w:line="276" w:lineRule="auto"/>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w:t>
            </w:r>
            <w:proofErr w:type="spellStart"/>
            <w:r w:rsidR="00B13D65" w:rsidRPr="00E33EFF">
              <w:rPr>
                <w:sz w:val="22"/>
                <w:szCs w:val="22"/>
              </w:rPr>
              <w:t>generinis</w:t>
            </w:r>
            <w:proofErr w:type="spellEnd"/>
            <w:r w:rsidR="00B13D65" w:rsidRPr="00E33EFF">
              <w:rPr>
                <w:sz w:val="22"/>
                <w:szCs w:val="22"/>
              </w:rPr>
              <w:t>)</w:t>
            </w:r>
          </w:p>
          <w:p w14:paraId="3B0A4F72" w14:textId="2CF95E4C" w:rsidR="00B13D65" w:rsidRPr="00E33EFF" w:rsidRDefault="00D4648A" w:rsidP="00966A05">
            <w:pPr>
              <w:spacing w:line="276" w:lineRule="auto"/>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966A05">
            <w:pPr>
              <w:spacing w:line="276" w:lineRule="auto"/>
              <w:rPr>
                <w:rFonts w:eastAsia="Arial"/>
              </w:rPr>
            </w:pPr>
            <w:r w:rsidRPr="00E33EFF">
              <w:rPr>
                <w:rFonts w:eastAsia="Arial"/>
              </w:rPr>
              <w:t>1.</w:t>
            </w:r>
            <w:r w:rsidR="002E0702" w:rsidRPr="00E33EFF">
              <w:rPr>
                <w:rFonts w:eastAsia="Arial"/>
              </w:rPr>
              <w:t>4</w:t>
            </w:r>
          </w:p>
        </w:tc>
        <w:tc>
          <w:tcPr>
            <w:tcW w:w="3694" w:type="dxa"/>
          </w:tcPr>
          <w:p w14:paraId="6C91E105" w14:textId="77777777" w:rsidR="00B13D65" w:rsidRPr="00E33EFF" w:rsidRDefault="00B13D65" w:rsidP="00966A05">
            <w:pPr>
              <w:spacing w:line="276" w:lineRule="auto"/>
              <w:rPr>
                <w:bCs/>
                <w:color w:val="000000"/>
                <w:lang w:eastAsia="lt-LT"/>
              </w:rPr>
            </w:pPr>
            <w:r w:rsidRPr="00E33EFF">
              <w:rPr>
                <w:bCs/>
                <w:color w:val="000000"/>
                <w:lang w:eastAsia="lt-LT"/>
              </w:rPr>
              <w:t xml:space="preserve">Ar vaistinis preparatas įrašytas į Bendrijos retųjų vaistinių preparatų registrą? </w:t>
            </w:r>
          </w:p>
          <w:p w14:paraId="33726F9C" w14:textId="77777777" w:rsidR="00B13D65" w:rsidRPr="00E33EFF" w:rsidRDefault="00B13D65" w:rsidP="00966A05">
            <w:pPr>
              <w:spacing w:line="276" w:lineRule="auto"/>
              <w:rPr>
                <w:bCs/>
                <w:i/>
                <w:color w:val="000000"/>
                <w:lang w:eastAsia="lt-LT"/>
              </w:rPr>
            </w:pPr>
          </w:p>
          <w:p w14:paraId="483071A3" w14:textId="3CFEDE70" w:rsidR="00B13D65" w:rsidRPr="00E33EFF" w:rsidRDefault="00B13D65" w:rsidP="00966A05">
            <w:pPr>
              <w:spacing w:line="276" w:lineRule="auto"/>
              <w:rPr>
                <w:bCs/>
                <w:color w:val="000000"/>
                <w:lang w:eastAsia="lt-LT"/>
              </w:rPr>
            </w:pPr>
          </w:p>
        </w:tc>
        <w:tc>
          <w:tcPr>
            <w:tcW w:w="5167" w:type="dxa"/>
          </w:tcPr>
          <w:p w14:paraId="05845C60" w14:textId="452A9833" w:rsidR="00B13D65" w:rsidRPr="00E33EFF" w:rsidRDefault="00D4648A" w:rsidP="00966A05">
            <w:pPr>
              <w:spacing w:line="276" w:lineRule="auto"/>
            </w:pPr>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B13D65" w:rsidRPr="00E33EFF">
              <w:t xml:space="preserve"> Taip</w:t>
            </w:r>
          </w:p>
          <w:p w14:paraId="41D88067" w14:textId="41FB1E50" w:rsidR="00B13D65" w:rsidRPr="00E33EFF" w:rsidRDefault="00D4648A" w:rsidP="00966A05">
            <w:pPr>
              <w:spacing w:line="276" w:lineRule="auto"/>
            </w:pPr>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3D1877">
                  <w:rPr>
                    <w:rStyle w:val="Style2"/>
                    <w:rFonts w:ascii="MS Gothic" w:eastAsia="MS Gothic" w:hAnsi="MS Gothic" w:hint="eastAsia"/>
                    <w:sz w:val="24"/>
                  </w:rPr>
                  <w:t>☒</w:t>
                </w:r>
              </w:sdtContent>
            </w:sdt>
            <w:r w:rsidR="00B13D65" w:rsidRPr="00E33EFF">
              <w:t xml:space="preserve"> Ne</w:t>
            </w:r>
          </w:p>
          <w:p w14:paraId="29C2CBBB" w14:textId="592F53E4" w:rsidR="00B13D65" w:rsidRPr="00E33EFF" w:rsidRDefault="00D4648A" w:rsidP="00966A05">
            <w:pPr>
              <w:spacing w:line="276" w:lineRule="auto"/>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EndPr/>
              <w:sdtContent>
                <w:r w:rsidR="00B13D65" w:rsidRPr="00E33EFF">
                  <w:rPr>
                    <w:rStyle w:val="PlaceholderText"/>
                  </w:rPr>
                  <w:t>Click here to enter a date.</w:t>
                </w:r>
              </w:sdtContent>
            </w:sdt>
          </w:p>
        </w:tc>
      </w:tr>
      <w:tr w:rsidR="00D417D2" w:rsidRPr="00E33EFF" w14:paraId="7841E5F8" w14:textId="77777777" w:rsidTr="00BE7489">
        <w:trPr>
          <w:trHeight w:val="476"/>
        </w:trPr>
        <w:tc>
          <w:tcPr>
            <w:tcW w:w="632" w:type="dxa"/>
          </w:tcPr>
          <w:p w14:paraId="109D2861" w14:textId="73BF27DF" w:rsidR="00D417D2" w:rsidRPr="00E33EFF" w:rsidRDefault="00D417D2" w:rsidP="00966A05">
            <w:pPr>
              <w:spacing w:line="276" w:lineRule="auto"/>
              <w:rPr>
                <w:rFonts w:eastAsia="Arial"/>
              </w:rPr>
            </w:pPr>
            <w:r w:rsidRPr="00E33EFF">
              <w:rPr>
                <w:rFonts w:eastAsia="Arial"/>
              </w:rPr>
              <w:t>1.5</w:t>
            </w:r>
          </w:p>
        </w:tc>
        <w:tc>
          <w:tcPr>
            <w:tcW w:w="3694" w:type="dxa"/>
          </w:tcPr>
          <w:p w14:paraId="7822D63E" w14:textId="68C38334" w:rsidR="00D417D2" w:rsidRPr="00E33EFF" w:rsidRDefault="00D417D2" w:rsidP="00966A05">
            <w:pPr>
              <w:spacing w:line="276" w:lineRule="auto"/>
              <w:rPr>
                <w:bCs/>
                <w:color w:val="000000"/>
                <w:lang w:eastAsia="lt-LT"/>
              </w:rPr>
            </w:pPr>
            <w:r w:rsidRPr="00E33EFF">
              <w:t>STV paraiškos pobūdis</w:t>
            </w:r>
          </w:p>
        </w:tc>
        <w:tc>
          <w:tcPr>
            <w:tcW w:w="5167" w:type="dxa"/>
          </w:tcPr>
          <w:p w14:paraId="403461B9" w14:textId="0922EB83" w:rsidR="00D417D2" w:rsidRPr="00E33EFF" w:rsidRDefault="00D4648A" w:rsidP="00966A05">
            <w:pPr>
              <w:spacing w:line="276" w:lineRule="auto"/>
            </w:pPr>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3D1877">
                  <w:rPr>
                    <w:rStyle w:val="Style2"/>
                    <w:rFonts w:ascii="MS Gothic" w:eastAsia="MS Gothic" w:hAnsi="MS Gothic" w:hint="eastAsia"/>
                    <w:sz w:val="24"/>
                  </w:rPr>
                  <w:t>☒</w:t>
                </w:r>
              </w:sdtContent>
            </w:sdt>
            <w:r w:rsidR="00D417D2" w:rsidRPr="00E33EFF">
              <w:t xml:space="preserve"> Pilna paraiška</w:t>
            </w:r>
          </w:p>
          <w:p w14:paraId="6B8213E3" w14:textId="2ACB6C5C" w:rsidR="00D417D2" w:rsidRPr="00E33EFF" w:rsidRDefault="00D4648A" w:rsidP="00966A05">
            <w:pPr>
              <w:spacing w:line="276" w:lineRule="auto"/>
            </w:pPr>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BE7489">
        <w:trPr>
          <w:trHeight w:val="1922"/>
        </w:trPr>
        <w:tc>
          <w:tcPr>
            <w:tcW w:w="632" w:type="dxa"/>
          </w:tcPr>
          <w:p w14:paraId="17ABF217" w14:textId="14AC00D7" w:rsidR="00B13D65" w:rsidRPr="00E33EFF" w:rsidRDefault="00B13D65" w:rsidP="00966A05">
            <w:pPr>
              <w:spacing w:line="276" w:lineRule="auto"/>
              <w:rPr>
                <w:rFonts w:eastAsia="Arial"/>
              </w:rPr>
            </w:pPr>
            <w:r w:rsidRPr="00E33EFF">
              <w:rPr>
                <w:rFonts w:eastAsia="Arial"/>
              </w:rPr>
              <w:lastRenderedPageBreak/>
              <w:t>1.</w:t>
            </w:r>
            <w:r w:rsidR="00D417D2" w:rsidRPr="00E33EFF">
              <w:rPr>
                <w:rFonts w:eastAsia="Arial"/>
              </w:rPr>
              <w:t>6</w:t>
            </w:r>
          </w:p>
        </w:tc>
        <w:tc>
          <w:tcPr>
            <w:tcW w:w="3694" w:type="dxa"/>
          </w:tcPr>
          <w:p w14:paraId="3FB07EE5" w14:textId="7E377DDE" w:rsidR="00AE1322" w:rsidRDefault="00DE4484" w:rsidP="00966A05">
            <w:pPr>
              <w:spacing w:line="276" w:lineRule="auto"/>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w:t>
            </w:r>
            <w:proofErr w:type="spellStart"/>
            <w:r w:rsidR="00B13D65" w:rsidRPr="00E33EFF">
              <w:rPr>
                <w:bCs/>
                <w:color w:val="000000"/>
                <w:lang w:eastAsia="lt-LT"/>
              </w:rPr>
              <w:t>os</w:t>
            </w:r>
            <w:proofErr w:type="spellEnd"/>
            <w:r w:rsidR="00B13D65" w:rsidRPr="00E33EFF">
              <w:rPr>
                <w:bCs/>
                <w:color w:val="000000"/>
                <w:lang w:eastAsia="lt-LT"/>
              </w:rPr>
              <w:t>) kompensuoti vaistinio preparato indikacija (-</w:t>
            </w:r>
            <w:proofErr w:type="spellStart"/>
            <w:r w:rsidR="00B13D65" w:rsidRPr="00E33EFF">
              <w:rPr>
                <w:bCs/>
                <w:color w:val="000000"/>
                <w:lang w:eastAsia="lt-LT"/>
              </w:rPr>
              <w:t>os</w:t>
            </w:r>
            <w:proofErr w:type="spellEnd"/>
            <w:r w:rsidR="00B13D65" w:rsidRPr="00E33EFF">
              <w:rPr>
                <w:bCs/>
                <w:color w:val="000000"/>
                <w:lang w:eastAsia="lt-LT"/>
              </w:rPr>
              <w:t>)</w:t>
            </w:r>
          </w:p>
          <w:p w14:paraId="31E4A3A9" w14:textId="27E0BF2D" w:rsidR="00D41427" w:rsidRDefault="00D41427" w:rsidP="00966A05">
            <w:pPr>
              <w:spacing w:line="276" w:lineRule="auto"/>
              <w:rPr>
                <w:bCs/>
                <w:color w:val="000000"/>
                <w:lang w:eastAsia="lt-LT"/>
              </w:rPr>
            </w:pPr>
          </w:p>
          <w:p w14:paraId="7412D9B1" w14:textId="12364BEC" w:rsidR="00D41427" w:rsidRDefault="00D41427" w:rsidP="00966A05">
            <w:pPr>
              <w:spacing w:line="276" w:lineRule="auto"/>
              <w:rPr>
                <w:bCs/>
                <w:color w:val="000000"/>
                <w:lang w:eastAsia="lt-LT"/>
              </w:rPr>
            </w:pPr>
          </w:p>
          <w:p w14:paraId="60520CD5" w14:textId="5CF3FE62" w:rsidR="00D41427" w:rsidRDefault="00D41427" w:rsidP="00966A05">
            <w:pPr>
              <w:spacing w:line="276" w:lineRule="auto"/>
              <w:rPr>
                <w:bCs/>
                <w:color w:val="000000"/>
                <w:lang w:eastAsia="lt-LT"/>
              </w:rPr>
            </w:pPr>
          </w:p>
          <w:p w14:paraId="3A6B054C" w14:textId="77777777" w:rsidR="00AE1322" w:rsidRDefault="00AE1322" w:rsidP="00966A05">
            <w:pPr>
              <w:spacing w:line="276" w:lineRule="auto"/>
              <w:rPr>
                <w:bCs/>
                <w:color w:val="000000"/>
                <w:lang w:eastAsia="lt-LT"/>
              </w:rPr>
            </w:pPr>
          </w:p>
          <w:p w14:paraId="6B4FEEC1" w14:textId="378668B0" w:rsidR="00B13D65" w:rsidRPr="00E33EFF" w:rsidRDefault="007656B2" w:rsidP="00966A05">
            <w:pPr>
              <w:spacing w:line="276" w:lineRule="auto"/>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26581C24" w14:textId="77777777" w:rsidR="00D41427" w:rsidRPr="00D41427" w:rsidRDefault="00D41427" w:rsidP="00966A05">
            <w:pPr>
              <w:spacing w:after="120" w:line="276" w:lineRule="auto"/>
              <w:contextualSpacing/>
              <w:jc w:val="both"/>
            </w:pPr>
            <w:proofErr w:type="spellStart"/>
            <w:r w:rsidRPr="00D41427">
              <w:t>Verquvo</w:t>
            </w:r>
            <w:proofErr w:type="spellEnd"/>
            <w:r w:rsidRPr="00D41427">
              <w:t xml:space="preserve"> skirtas simptominiam lėtiniam širdies nepakankamumui su sumažėjusia išstūmimo frakcija gydyti suaugusiems pacientams, kurių būklei stabilizuoti po neseniai įvykusio </w:t>
            </w:r>
            <w:proofErr w:type="spellStart"/>
            <w:r w:rsidRPr="00D41427">
              <w:t>dekompensacijos</w:t>
            </w:r>
            <w:proofErr w:type="spellEnd"/>
            <w:r w:rsidRPr="00D41427">
              <w:t xml:space="preserve"> epizodo buvo taikyta intraveninė (</w:t>
            </w:r>
            <w:proofErr w:type="spellStart"/>
            <w:r w:rsidRPr="00D41427">
              <w:t>i.v</w:t>
            </w:r>
            <w:proofErr w:type="spellEnd"/>
            <w:r w:rsidRPr="00D41427">
              <w:t>.) terapija.</w:t>
            </w:r>
          </w:p>
          <w:p w14:paraId="1D3C5830" w14:textId="77777777" w:rsidR="00D41427" w:rsidRPr="00D41427" w:rsidRDefault="00D41427" w:rsidP="00966A05">
            <w:pPr>
              <w:spacing w:after="120" w:line="276" w:lineRule="auto"/>
              <w:contextualSpacing/>
              <w:jc w:val="both"/>
            </w:pPr>
          </w:p>
          <w:p w14:paraId="13F7DFB0" w14:textId="4033106E" w:rsidR="00B13D65" w:rsidRPr="00E33EFF" w:rsidRDefault="00D41427" w:rsidP="00966A05">
            <w:pPr>
              <w:pStyle w:val="ListParagraph"/>
              <w:spacing w:after="120" w:line="276" w:lineRule="auto"/>
              <w:ind w:left="0"/>
              <w:contextualSpacing w:val="0"/>
              <w:jc w:val="both"/>
            </w:pPr>
            <w:r w:rsidRPr="00D41427">
              <w:t>TLK-10-AM I.50 – širdies nepakankamumas</w:t>
            </w:r>
          </w:p>
        </w:tc>
      </w:tr>
      <w:tr w:rsidR="00B13D65" w:rsidRPr="00E33EFF" w14:paraId="2F79DC08" w14:textId="77777777" w:rsidTr="00BE7489">
        <w:trPr>
          <w:trHeight w:val="378"/>
        </w:trPr>
        <w:tc>
          <w:tcPr>
            <w:tcW w:w="632" w:type="dxa"/>
          </w:tcPr>
          <w:p w14:paraId="547885A2" w14:textId="08AA8055" w:rsidR="00B13D65" w:rsidRPr="00E33EFF" w:rsidRDefault="00B13D65" w:rsidP="00966A05">
            <w:pPr>
              <w:spacing w:line="276" w:lineRule="auto"/>
              <w:rPr>
                <w:rFonts w:eastAsia="Arial"/>
              </w:rPr>
            </w:pPr>
            <w:r w:rsidRPr="00E33EFF">
              <w:rPr>
                <w:rFonts w:eastAsia="Arial"/>
              </w:rPr>
              <w:t>1.</w:t>
            </w:r>
            <w:r w:rsidR="002E0702" w:rsidRPr="00E33EFF">
              <w:rPr>
                <w:rFonts w:eastAsia="Arial"/>
              </w:rPr>
              <w:t>6</w:t>
            </w:r>
          </w:p>
        </w:tc>
        <w:tc>
          <w:tcPr>
            <w:tcW w:w="3694" w:type="dxa"/>
          </w:tcPr>
          <w:p w14:paraId="2EAB877F" w14:textId="39A36941" w:rsidR="00B13D65" w:rsidRPr="00E33EFF" w:rsidRDefault="007656B2" w:rsidP="00966A05">
            <w:pPr>
              <w:spacing w:line="276" w:lineRule="auto"/>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0579DF58" w14:textId="4B155348" w:rsidR="00B13D65" w:rsidRPr="00E33EFF" w:rsidRDefault="0047414A" w:rsidP="00966A05">
            <w:pPr>
              <w:spacing w:line="276" w:lineRule="auto"/>
            </w:pPr>
            <w:r>
              <w:t>Neteikiamos</w:t>
            </w:r>
          </w:p>
        </w:tc>
      </w:tr>
      <w:tr w:rsidR="00B13D65" w:rsidRPr="00E33EFF" w14:paraId="3B125269" w14:textId="77777777" w:rsidTr="00BE7489">
        <w:trPr>
          <w:trHeight w:val="378"/>
        </w:trPr>
        <w:tc>
          <w:tcPr>
            <w:tcW w:w="632" w:type="dxa"/>
          </w:tcPr>
          <w:p w14:paraId="0058E11F" w14:textId="77777777" w:rsidR="00B13D65" w:rsidRPr="00E33EFF" w:rsidRDefault="00B13D65" w:rsidP="00966A05">
            <w:pPr>
              <w:spacing w:line="276" w:lineRule="auto"/>
              <w:rPr>
                <w:rFonts w:eastAsia="Arial"/>
              </w:rPr>
            </w:pPr>
            <w:r w:rsidRPr="00E33EFF">
              <w:rPr>
                <w:rFonts w:eastAsia="Arial"/>
              </w:rPr>
              <w:t>1.7</w:t>
            </w:r>
          </w:p>
        </w:tc>
        <w:tc>
          <w:tcPr>
            <w:tcW w:w="3694" w:type="dxa"/>
          </w:tcPr>
          <w:p w14:paraId="738E1926" w14:textId="50A9DC79" w:rsidR="00B13D65" w:rsidRDefault="007656B2" w:rsidP="00966A05">
            <w:pPr>
              <w:spacing w:line="276" w:lineRule="auto"/>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gydymas</w:t>
            </w:r>
            <w:r w:rsidR="0047414A">
              <w:rPr>
                <w:bCs/>
                <w:color w:val="000000"/>
                <w:lang w:eastAsia="lt-LT"/>
              </w:rPr>
              <w:t>:</w:t>
            </w:r>
            <w:r w:rsidR="00B13D65" w:rsidRPr="00E33EFF">
              <w:rPr>
                <w:bCs/>
                <w:color w:val="000000"/>
                <w:lang w:eastAsia="lt-LT"/>
              </w:rPr>
              <w:t xml:space="preserve"> </w:t>
            </w:r>
          </w:p>
          <w:p w14:paraId="1F7BF92F" w14:textId="59899EC4" w:rsidR="007C7519" w:rsidRDefault="007C7519" w:rsidP="00966A05">
            <w:pPr>
              <w:spacing w:line="276" w:lineRule="auto"/>
              <w:rPr>
                <w:bCs/>
                <w:i/>
                <w:color w:val="000000"/>
                <w:lang w:eastAsia="lt-LT"/>
              </w:rPr>
            </w:pPr>
            <w:r w:rsidRPr="007C7519">
              <w:rPr>
                <w:bCs/>
                <w:i/>
                <w:color w:val="000000"/>
                <w:lang w:eastAsia="lt-LT"/>
              </w:rPr>
              <w:t>Tiesioginis</w:t>
            </w:r>
            <w:r w:rsidR="005E1093">
              <w:rPr>
                <w:bCs/>
                <w:i/>
                <w:color w:val="000000"/>
                <w:lang w:eastAsia="lt-LT"/>
              </w:rPr>
              <w:t xml:space="preserve"> – standartinis gydymas</w:t>
            </w:r>
          </w:p>
          <w:p w14:paraId="0F9C9CF3" w14:textId="7457B530" w:rsidR="005E1093" w:rsidRDefault="005E1093" w:rsidP="00966A05">
            <w:pPr>
              <w:spacing w:line="276" w:lineRule="auto"/>
              <w:rPr>
                <w:bCs/>
                <w:i/>
                <w:color w:val="000000"/>
                <w:lang w:eastAsia="lt-LT"/>
              </w:rPr>
            </w:pPr>
          </w:p>
          <w:p w14:paraId="53F60A31" w14:textId="77777777" w:rsidR="005E1093" w:rsidRDefault="005E1093" w:rsidP="00966A05">
            <w:pPr>
              <w:spacing w:line="276" w:lineRule="auto"/>
              <w:rPr>
                <w:bCs/>
                <w:i/>
                <w:color w:val="000000"/>
                <w:lang w:eastAsia="lt-LT"/>
              </w:rPr>
            </w:pPr>
          </w:p>
          <w:p w14:paraId="61EC5BBD" w14:textId="34208FA7" w:rsidR="009F4D66" w:rsidRPr="005E1093" w:rsidRDefault="005E1093" w:rsidP="00966A05">
            <w:pPr>
              <w:spacing w:line="276" w:lineRule="auto"/>
              <w:rPr>
                <w:bCs/>
                <w:i/>
                <w:color w:val="000000"/>
                <w:lang w:eastAsia="lt-LT"/>
              </w:rPr>
            </w:pPr>
            <w:r w:rsidRPr="005E1093">
              <w:rPr>
                <w:bCs/>
                <w:i/>
                <w:color w:val="000000"/>
                <w:lang w:eastAsia="lt-LT"/>
              </w:rPr>
              <w:t xml:space="preserve">Netiesioginis - </w:t>
            </w:r>
            <w:proofErr w:type="spellStart"/>
            <w:r w:rsidRPr="000B5C94">
              <w:rPr>
                <w:rFonts w:eastAsia="Arial"/>
                <w:i/>
              </w:rPr>
              <w:t>s</w:t>
            </w:r>
            <w:r w:rsidR="00B43B37">
              <w:rPr>
                <w:rFonts w:eastAsia="Arial"/>
                <w:i/>
              </w:rPr>
              <w:t>a</w:t>
            </w:r>
            <w:r w:rsidRPr="000B5C94">
              <w:rPr>
                <w:rFonts w:eastAsia="Arial"/>
                <w:i/>
              </w:rPr>
              <w:t>kubitrilo</w:t>
            </w:r>
            <w:proofErr w:type="spellEnd"/>
            <w:r w:rsidRPr="000B5C94">
              <w:rPr>
                <w:rFonts w:eastAsia="Arial"/>
                <w:i/>
              </w:rPr>
              <w:t xml:space="preserve"> ir </w:t>
            </w:r>
            <w:proofErr w:type="spellStart"/>
            <w:r w:rsidRPr="000B5C94">
              <w:rPr>
                <w:rFonts w:eastAsia="Arial"/>
                <w:i/>
              </w:rPr>
              <w:t>valsartano</w:t>
            </w:r>
            <w:proofErr w:type="spellEnd"/>
            <w:r w:rsidRPr="000B5C94">
              <w:rPr>
                <w:rFonts w:eastAsia="Arial"/>
                <w:i/>
              </w:rPr>
              <w:t xml:space="preserve"> </w:t>
            </w:r>
            <w:proofErr w:type="spellStart"/>
            <w:r w:rsidRPr="000B5C94">
              <w:rPr>
                <w:rFonts w:eastAsia="Arial"/>
                <w:i/>
              </w:rPr>
              <w:t>derini</w:t>
            </w:r>
            <w:r>
              <w:rPr>
                <w:rFonts w:eastAsia="Arial"/>
                <w:i/>
              </w:rPr>
              <w:t>s</w:t>
            </w:r>
            <w:proofErr w:type="spellEnd"/>
          </w:p>
          <w:p w14:paraId="62057D94" w14:textId="77777777" w:rsidR="00413F24" w:rsidRPr="00E33EFF" w:rsidRDefault="00413F24" w:rsidP="00966A05">
            <w:pPr>
              <w:spacing w:line="276" w:lineRule="auto"/>
              <w:rPr>
                <w:bCs/>
                <w:color w:val="000000"/>
                <w:lang w:eastAsia="lt-LT"/>
              </w:rPr>
            </w:pPr>
          </w:p>
          <w:p w14:paraId="6CC1022E" w14:textId="2B6BCEE1" w:rsidR="009F4D66" w:rsidRPr="00E33EFF" w:rsidRDefault="009F4D66" w:rsidP="00966A05">
            <w:pPr>
              <w:spacing w:line="276" w:lineRule="auto"/>
              <w:rPr>
                <w:bCs/>
                <w:color w:val="000000"/>
                <w:lang w:eastAsia="lt-LT"/>
              </w:rPr>
            </w:pPr>
          </w:p>
        </w:tc>
        <w:tc>
          <w:tcPr>
            <w:tcW w:w="5167" w:type="dxa"/>
          </w:tcPr>
          <w:p w14:paraId="5474EFC4" w14:textId="79628B2B" w:rsidR="0047414A" w:rsidRDefault="0047414A" w:rsidP="00966A05">
            <w:pPr>
              <w:spacing w:line="276" w:lineRule="auto"/>
              <w:rPr>
                <w:rStyle w:val="Style2"/>
                <w:sz w:val="24"/>
              </w:rPr>
            </w:pPr>
          </w:p>
          <w:p w14:paraId="7C709C84" w14:textId="77777777" w:rsidR="005E1093" w:rsidRPr="00E33EFF" w:rsidRDefault="005E1093" w:rsidP="00966A05">
            <w:pPr>
              <w:spacing w:line="276" w:lineRule="auto"/>
            </w:pPr>
          </w:p>
          <w:p w14:paraId="07315C8F" w14:textId="57415442" w:rsidR="005E1093" w:rsidRPr="00E33EFF" w:rsidRDefault="00D4648A" w:rsidP="00966A05">
            <w:pPr>
              <w:spacing w:line="276" w:lineRule="auto"/>
            </w:pPr>
            <w:sdt>
              <w:sdtPr>
                <w:rPr>
                  <w:rStyle w:val="Style2"/>
                  <w:sz w:val="24"/>
                </w:rPr>
                <w:id w:val="1887215969"/>
                <w15:color w:val="FFCC00"/>
                <w14:checkbox>
                  <w14:checked w14:val="1"/>
                  <w14:checkedState w14:val="2612" w14:font="MS Gothic"/>
                  <w14:uncheckedState w14:val="2610" w14:font="MS Gothic"/>
                </w14:checkbox>
              </w:sdtPr>
              <w:sdtEndPr>
                <w:rPr>
                  <w:rStyle w:val="Style2"/>
                </w:rPr>
              </w:sdtEndPr>
              <w:sdtContent>
                <w:r w:rsidR="005E1093">
                  <w:rPr>
                    <w:rStyle w:val="Style2"/>
                    <w:rFonts w:ascii="MS Gothic" w:eastAsia="MS Gothic" w:hAnsi="MS Gothic" w:hint="eastAsia"/>
                    <w:sz w:val="24"/>
                  </w:rPr>
                  <w:t>☒</w:t>
                </w:r>
              </w:sdtContent>
            </w:sdt>
            <w:r w:rsidR="005E1093" w:rsidRPr="00E33EFF">
              <w:t xml:space="preserve"> Tinkamas</w:t>
            </w:r>
          </w:p>
          <w:p w14:paraId="52847BF9" w14:textId="3962E80C" w:rsidR="005E1093" w:rsidRDefault="00D4648A" w:rsidP="00966A05">
            <w:pPr>
              <w:spacing w:line="276" w:lineRule="auto"/>
            </w:pPr>
            <w:sdt>
              <w:sdtPr>
                <w:rPr>
                  <w:rStyle w:val="Style2"/>
                  <w:sz w:val="24"/>
                </w:rPr>
                <w:id w:val="1936791919"/>
                <w15:color w:val="FFCC00"/>
                <w14:checkbox>
                  <w14:checked w14:val="0"/>
                  <w14:checkedState w14:val="2612" w14:font="MS Gothic"/>
                  <w14:uncheckedState w14:val="2610" w14:font="MS Gothic"/>
                </w14:checkbox>
              </w:sdtPr>
              <w:sdtEndPr>
                <w:rPr>
                  <w:rStyle w:val="Style2"/>
                </w:rPr>
              </w:sdtEndPr>
              <w:sdtContent>
                <w:r w:rsidR="005E1093">
                  <w:rPr>
                    <w:rStyle w:val="Style2"/>
                    <w:rFonts w:ascii="MS Gothic" w:eastAsia="MS Gothic" w:hAnsi="MS Gothic" w:hint="eastAsia"/>
                    <w:sz w:val="24"/>
                  </w:rPr>
                  <w:t>☐</w:t>
                </w:r>
              </w:sdtContent>
            </w:sdt>
            <w:r w:rsidR="005E1093" w:rsidRPr="00E33EFF">
              <w:t xml:space="preserve"> Netinkama</w:t>
            </w:r>
            <w:r w:rsidR="005E1093">
              <w:t xml:space="preserve">s </w:t>
            </w:r>
          </w:p>
          <w:p w14:paraId="489C6556" w14:textId="77777777" w:rsidR="005E1093" w:rsidRPr="00E33EFF" w:rsidRDefault="005E1093" w:rsidP="00966A05">
            <w:pPr>
              <w:spacing w:line="276" w:lineRule="auto"/>
            </w:pPr>
          </w:p>
          <w:p w14:paraId="40EEF084" w14:textId="6863D479" w:rsidR="005E1093" w:rsidRDefault="00D4648A" w:rsidP="00966A05">
            <w:pPr>
              <w:spacing w:line="276" w:lineRule="auto"/>
            </w:pPr>
            <w:sdt>
              <w:sdtPr>
                <w:rPr>
                  <w:rStyle w:val="Style2"/>
                  <w:sz w:val="24"/>
                </w:rPr>
                <w:id w:val="1480955706"/>
                <w15:color w:val="FFCC00"/>
                <w14:checkbox>
                  <w14:checked w14:val="0"/>
                  <w14:checkedState w14:val="2612" w14:font="MS Gothic"/>
                  <w14:uncheckedState w14:val="2610" w14:font="MS Gothic"/>
                </w14:checkbox>
              </w:sdtPr>
              <w:sdtEndPr>
                <w:rPr>
                  <w:rStyle w:val="Style2"/>
                </w:rPr>
              </w:sdtEndPr>
              <w:sdtContent>
                <w:r w:rsidR="005E1093">
                  <w:rPr>
                    <w:rStyle w:val="Style2"/>
                    <w:rFonts w:ascii="MS Gothic" w:eastAsia="MS Gothic" w:hAnsi="MS Gothic" w:hint="eastAsia"/>
                    <w:sz w:val="24"/>
                  </w:rPr>
                  <w:t>☐</w:t>
                </w:r>
              </w:sdtContent>
            </w:sdt>
            <w:r w:rsidR="009F4D66" w:rsidRPr="00E33EFF">
              <w:t xml:space="preserve"> Tinkamas</w:t>
            </w:r>
          </w:p>
          <w:p w14:paraId="41B44044" w14:textId="6F5E770B" w:rsidR="00B13D65" w:rsidRPr="00E33EFF" w:rsidRDefault="00D4648A" w:rsidP="00966A05">
            <w:pPr>
              <w:spacing w:line="276" w:lineRule="auto"/>
            </w:pPr>
            <w:sdt>
              <w:sdtPr>
                <w:rPr>
                  <w:rStyle w:val="Style2"/>
                  <w:sz w:val="24"/>
                </w:rPr>
                <w:id w:val="-352420698"/>
                <w15:color w:val="FFCC00"/>
                <w14:checkbox>
                  <w14:checked w14:val="1"/>
                  <w14:checkedState w14:val="2612" w14:font="MS Gothic"/>
                  <w14:uncheckedState w14:val="2610" w14:font="MS Gothic"/>
                </w14:checkbox>
              </w:sdtPr>
              <w:sdtEndPr>
                <w:rPr>
                  <w:rStyle w:val="Style2"/>
                </w:rPr>
              </w:sdtEndPr>
              <w:sdtContent>
                <w:r w:rsidR="005E1093">
                  <w:rPr>
                    <w:rStyle w:val="Style2"/>
                    <w:rFonts w:ascii="MS Gothic" w:eastAsia="MS Gothic" w:hAnsi="MS Gothic" w:hint="eastAsia"/>
                    <w:sz w:val="24"/>
                  </w:rPr>
                  <w:t>☒</w:t>
                </w:r>
              </w:sdtContent>
            </w:sdt>
            <w:r w:rsidR="009F4D66" w:rsidRPr="00E33EFF">
              <w:t xml:space="preserve"> Netinkama</w:t>
            </w:r>
            <w:r w:rsidR="0047414A">
              <w:t>s</w:t>
            </w:r>
          </w:p>
        </w:tc>
      </w:tr>
    </w:tbl>
    <w:p w14:paraId="108176F7" w14:textId="640C6F75" w:rsidR="00F70C9E" w:rsidRPr="00E33EFF" w:rsidRDefault="00F70C9E" w:rsidP="00966A05">
      <w:pPr>
        <w:pStyle w:val="ListParagraph"/>
        <w:tabs>
          <w:tab w:val="left" w:pos="426"/>
        </w:tabs>
        <w:spacing w:line="276" w:lineRule="auto"/>
        <w:ind w:left="0"/>
        <w:rPr>
          <w:b/>
          <w:bCs/>
          <w:caps/>
        </w:rPr>
      </w:pPr>
    </w:p>
    <w:p w14:paraId="2871CA7F" w14:textId="5B466E0C" w:rsidR="00F70C9E" w:rsidRDefault="00F70C9E" w:rsidP="00966A05">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7F8A989" w14:textId="4258BD31" w:rsidR="003E036C" w:rsidRDefault="003E036C" w:rsidP="00966A05">
      <w:pPr>
        <w:spacing w:line="276" w:lineRule="auto"/>
        <w:jc w:val="both"/>
        <w:rPr>
          <w:rFonts w:eastAsia="Arial"/>
          <w:b/>
        </w:rPr>
      </w:pPr>
    </w:p>
    <w:p w14:paraId="15C9DE36" w14:textId="77777777" w:rsidR="003E036C" w:rsidRPr="00D05364" w:rsidRDefault="003E036C" w:rsidP="00966A05">
      <w:pPr>
        <w:spacing w:line="276" w:lineRule="auto"/>
        <w:rPr>
          <w:rFonts w:eastAsia="Arial"/>
        </w:rPr>
      </w:pPr>
    </w:p>
    <w:tbl>
      <w:tblPr>
        <w:tblStyle w:val="TableGrid"/>
        <w:tblW w:w="9918" w:type="dxa"/>
        <w:tblLook w:val="04A0" w:firstRow="1" w:lastRow="0" w:firstColumn="1" w:lastColumn="0" w:noHBand="0" w:noVBand="1"/>
      </w:tblPr>
      <w:tblGrid>
        <w:gridCol w:w="2927"/>
        <w:gridCol w:w="1915"/>
        <w:gridCol w:w="2351"/>
        <w:gridCol w:w="2725"/>
      </w:tblGrid>
      <w:tr w:rsidR="003E036C" w:rsidRPr="00D05364" w14:paraId="1A234474" w14:textId="77777777" w:rsidTr="00ED2C54">
        <w:trPr>
          <w:trHeight w:val="924"/>
        </w:trPr>
        <w:tc>
          <w:tcPr>
            <w:tcW w:w="2927" w:type="dxa"/>
          </w:tcPr>
          <w:p w14:paraId="7C5E86D2" w14:textId="77777777" w:rsidR="003E036C" w:rsidRPr="00D05364" w:rsidRDefault="003E036C" w:rsidP="00966A05">
            <w:pPr>
              <w:spacing w:line="276" w:lineRule="auto"/>
              <w:rPr>
                <w:rFonts w:eastAsia="Arial"/>
              </w:rPr>
            </w:pPr>
            <w:r w:rsidRPr="00D05364">
              <w:rPr>
                <w:rFonts w:eastAsia="Arial"/>
              </w:rPr>
              <w:t>STV agentūros pavadinimas, šalis</w:t>
            </w:r>
          </w:p>
        </w:tc>
        <w:tc>
          <w:tcPr>
            <w:tcW w:w="1915" w:type="dxa"/>
          </w:tcPr>
          <w:p w14:paraId="516711E3" w14:textId="77777777" w:rsidR="003E036C" w:rsidRPr="00D05364" w:rsidRDefault="003E036C" w:rsidP="00966A05">
            <w:pPr>
              <w:spacing w:line="276" w:lineRule="auto"/>
              <w:rPr>
                <w:rFonts w:eastAsia="Arial"/>
              </w:rPr>
            </w:pPr>
            <w:r w:rsidRPr="00D05364">
              <w:rPr>
                <w:rFonts w:eastAsia="Arial"/>
              </w:rPr>
              <w:t>STV vertinimas atliktas</w:t>
            </w:r>
          </w:p>
        </w:tc>
        <w:tc>
          <w:tcPr>
            <w:tcW w:w="2351" w:type="dxa"/>
          </w:tcPr>
          <w:p w14:paraId="7A260502" w14:textId="77777777" w:rsidR="003E036C" w:rsidRPr="00D05364" w:rsidRDefault="003E036C" w:rsidP="00966A05">
            <w:pPr>
              <w:spacing w:line="276" w:lineRule="auto"/>
              <w:rPr>
                <w:rFonts w:eastAsia="Arial"/>
              </w:rPr>
            </w:pPr>
            <w:r w:rsidRPr="00D05364">
              <w:rPr>
                <w:rFonts w:eastAsia="Arial"/>
              </w:rPr>
              <w:t>Klinikinio vertinimo išvada</w:t>
            </w:r>
          </w:p>
        </w:tc>
        <w:tc>
          <w:tcPr>
            <w:tcW w:w="2725" w:type="dxa"/>
          </w:tcPr>
          <w:p w14:paraId="1F9B0BE0" w14:textId="77777777" w:rsidR="003E036C" w:rsidRPr="00D05364" w:rsidRDefault="003E036C" w:rsidP="00966A05">
            <w:pPr>
              <w:spacing w:line="276" w:lineRule="auto"/>
              <w:rPr>
                <w:rFonts w:eastAsia="Arial"/>
              </w:rPr>
            </w:pPr>
            <w:proofErr w:type="spellStart"/>
            <w:r w:rsidRPr="00D05364">
              <w:rPr>
                <w:rFonts w:eastAsia="Arial"/>
              </w:rPr>
              <w:t>Farmakoekonominio</w:t>
            </w:r>
            <w:proofErr w:type="spellEnd"/>
            <w:r w:rsidRPr="00D05364">
              <w:rPr>
                <w:rFonts w:eastAsia="Arial"/>
              </w:rPr>
              <w:t xml:space="preserve"> vertinimo išvada</w:t>
            </w:r>
          </w:p>
        </w:tc>
      </w:tr>
      <w:tr w:rsidR="003E036C" w:rsidRPr="00D05364" w14:paraId="5F298EE8" w14:textId="77777777" w:rsidTr="00ED2C54">
        <w:trPr>
          <w:trHeight w:val="1765"/>
        </w:trPr>
        <w:tc>
          <w:tcPr>
            <w:tcW w:w="2927" w:type="dxa"/>
          </w:tcPr>
          <w:p w14:paraId="5605D2D5" w14:textId="77777777" w:rsidR="003E036C" w:rsidRPr="00D05364" w:rsidRDefault="003E036C" w:rsidP="00966A05">
            <w:pPr>
              <w:autoSpaceDE w:val="0"/>
              <w:autoSpaceDN w:val="0"/>
              <w:adjustRightInd w:val="0"/>
              <w:spacing w:line="276" w:lineRule="auto"/>
              <w:rPr>
                <w:bCs/>
              </w:rPr>
            </w:pPr>
            <w:r w:rsidRPr="00D05364">
              <w:rPr>
                <w:bCs/>
              </w:rPr>
              <w:t>Nacionalinis sveikatos ir klinikinės kompetencijos institutas, Didžioji Britanija</w:t>
            </w:r>
          </w:p>
          <w:p w14:paraId="3876142A" w14:textId="77777777" w:rsidR="003E036C" w:rsidRPr="00D05364" w:rsidRDefault="003E036C" w:rsidP="00966A05">
            <w:pPr>
              <w:spacing w:line="276" w:lineRule="auto"/>
              <w:rPr>
                <w:rFonts w:eastAsia="Arial"/>
              </w:rPr>
            </w:pPr>
            <w:r w:rsidRPr="00D05364">
              <w:rPr>
                <w:rFonts w:eastAsia="Arial"/>
              </w:rPr>
              <w:t xml:space="preserve">(angl. </w:t>
            </w:r>
            <w:proofErr w:type="spellStart"/>
            <w:r w:rsidRPr="00D05364">
              <w:rPr>
                <w:rFonts w:eastAsia="Arial"/>
                <w:i/>
              </w:rPr>
              <w:t>National</w:t>
            </w:r>
            <w:proofErr w:type="spellEnd"/>
            <w:r w:rsidRPr="00D05364">
              <w:rPr>
                <w:rFonts w:eastAsia="Arial"/>
                <w:i/>
              </w:rPr>
              <w:t xml:space="preserve"> Institute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and</w:t>
            </w:r>
            <w:proofErr w:type="spellEnd"/>
            <w:r w:rsidRPr="00D05364">
              <w:rPr>
                <w:rFonts w:eastAsia="Arial"/>
                <w:i/>
              </w:rPr>
              <w:t xml:space="preserve"> Care </w:t>
            </w:r>
            <w:proofErr w:type="spellStart"/>
            <w:r w:rsidRPr="00D05364">
              <w:rPr>
                <w:rFonts w:eastAsia="Arial"/>
                <w:i/>
              </w:rPr>
              <w:t>Excellence</w:t>
            </w:r>
            <w:proofErr w:type="spellEnd"/>
            <w:r w:rsidRPr="00D05364">
              <w:rPr>
                <w:rFonts w:eastAsia="Arial"/>
                <w:i/>
              </w:rPr>
              <w:t>, NICE</w:t>
            </w:r>
            <w:r w:rsidRPr="00D05364">
              <w:rPr>
                <w:rFonts w:eastAsia="Arial"/>
              </w:rPr>
              <w:t>)</w:t>
            </w:r>
          </w:p>
        </w:tc>
        <w:tc>
          <w:tcPr>
            <w:tcW w:w="1915" w:type="dxa"/>
          </w:tcPr>
          <w:p w14:paraId="24F0607B" w14:textId="6D098BF7" w:rsidR="003E036C" w:rsidRPr="00D05364" w:rsidRDefault="00D4648A" w:rsidP="00966A05">
            <w:pPr>
              <w:spacing w:line="276" w:lineRule="auto"/>
            </w:pPr>
            <w:sdt>
              <w:sdtPr>
                <w:rPr>
                  <w:rStyle w:val="Style2"/>
                </w:rPr>
                <w:id w:val="1558205022"/>
                <w15:color w:val="FFCC00"/>
                <w14:checkbox>
                  <w14:checked w14:val="0"/>
                  <w14:checkedState w14:val="2612" w14:font="MS Gothic"/>
                  <w14:uncheckedState w14:val="2610" w14:font="MS Gothic"/>
                </w14:checkbox>
              </w:sdtPr>
              <w:sdtEndPr>
                <w:rPr>
                  <w:rStyle w:val="Style2"/>
                </w:rPr>
              </w:sdtEndPr>
              <w:sdtContent>
                <w:r w:rsidR="003E036C">
                  <w:rPr>
                    <w:rStyle w:val="Style2"/>
                    <w:rFonts w:ascii="MS Gothic" w:eastAsia="MS Gothic" w:hAnsi="MS Gothic" w:hint="eastAsia"/>
                  </w:rPr>
                  <w:t>☐</w:t>
                </w:r>
              </w:sdtContent>
            </w:sdt>
            <w:r w:rsidR="003E036C" w:rsidRPr="00D05364">
              <w:t xml:space="preserve"> Taip</w:t>
            </w:r>
          </w:p>
          <w:p w14:paraId="34B224A1" w14:textId="634B82C1" w:rsidR="003E036C" w:rsidRPr="00D05364" w:rsidRDefault="00D4648A" w:rsidP="00966A05">
            <w:pPr>
              <w:spacing w:line="276" w:lineRule="auto"/>
            </w:pPr>
            <w:sdt>
              <w:sdtPr>
                <w:rPr>
                  <w:rStyle w:val="Style2"/>
                </w:rPr>
                <w:id w:val="866029625"/>
                <w15:color w:val="FFCC00"/>
                <w14:checkbox>
                  <w14:checked w14:val="1"/>
                  <w14:checkedState w14:val="2612" w14:font="MS Gothic"/>
                  <w14:uncheckedState w14:val="2610" w14:font="MS Gothic"/>
                </w14:checkbox>
              </w:sdtPr>
              <w:sdtEndPr>
                <w:rPr>
                  <w:rStyle w:val="Style2"/>
                </w:rPr>
              </w:sdtEndPr>
              <w:sdtContent>
                <w:r w:rsidR="003E036C">
                  <w:rPr>
                    <w:rStyle w:val="Style2"/>
                    <w:rFonts w:ascii="MS Gothic" w:eastAsia="MS Gothic" w:hAnsi="MS Gothic" w:hint="eastAsia"/>
                  </w:rPr>
                  <w:t>☒</w:t>
                </w:r>
              </w:sdtContent>
            </w:sdt>
            <w:r w:rsidR="003E036C" w:rsidRPr="00D05364">
              <w:t xml:space="preserve"> Ne</w:t>
            </w:r>
          </w:p>
          <w:p w14:paraId="3133F514" w14:textId="10403635" w:rsidR="003E036C" w:rsidRPr="00D05364" w:rsidRDefault="00D4648A" w:rsidP="00966A05">
            <w:pPr>
              <w:spacing w:line="276" w:lineRule="auto"/>
              <w:rPr>
                <w:rFonts w:eastAsia="Arial"/>
              </w:rPr>
            </w:pPr>
            <w:sdt>
              <w:sdtPr>
                <w:alias w:val="Nurodykite konkrečią dieną"/>
                <w:tag w:val="Nurodykite pradžios datą"/>
                <w:id w:val="922837954"/>
                <w:placeholder>
                  <w:docPart w:val="E8B6F6AFE7DF4BA29BDF026E1C7A51C3"/>
                </w:placeholder>
                <w15:color w:val="FFCC99"/>
                <w:date w:fullDate="2021-09-29T00:00:00Z">
                  <w:dateFormat w:val="yyyy 'm.' MMMM d 'd.'"/>
                  <w:lid w:val="lt-LT"/>
                  <w:storeMappedDataAs w:val="dateTime"/>
                  <w:calendar w:val="gregorian"/>
                </w:date>
              </w:sdtPr>
              <w:sdtEndPr/>
              <w:sdtContent>
                <w:r w:rsidR="003E036C">
                  <w:t>2021 m. rugsėjo 29 d.</w:t>
                </w:r>
              </w:sdtContent>
            </w:sdt>
          </w:p>
        </w:tc>
        <w:tc>
          <w:tcPr>
            <w:tcW w:w="5076" w:type="dxa"/>
            <w:gridSpan w:val="2"/>
          </w:tcPr>
          <w:p w14:paraId="314DC9C6" w14:textId="77777777" w:rsidR="003E036C" w:rsidRDefault="003E036C" w:rsidP="00966A05">
            <w:pPr>
              <w:spacing w:line="276" w:lineRule="auto"/>
              <w:rPr>
                <w:rFonts w:eastAsia="Arial"/>
              </w:rPr>
            </w:pPr>
            <w:r>
              <w:rPr>
                <w:rFonts w:eastAsia="Arial"/>
              </w:rPr>
              <w:t xml:space="preserve">NICE negali rekomenduoti </w:t>
            </w:r>
            <w:proofErr w:type="spellStart"/>
            <w:r>
              <w:rPr>
                <w:rFonts w:eastAsia="Arial"/>
              </w:rPr>
              <w:t>vericiguato</w:t>
            </w:r>
            <w:proofErr w:type="spellEnd"/>
            <w:r>
              <w:rPr>
                <w:rFonts w:eastAsia="Arial"/>
              </w:rPr>
              <w:t xml:space="preserve"> (</w:t>
            </w:r>
            <w:proofErr w:type="spellStart"/>
            <w:r>
              <w:rPr>
                <w:rFonts w:eastAsia="Arial"/>
              </w:rPr>
              <w:t>Verquvo</w:t>
            </w:r>
            <w:proofErr w:type="spellEnd"/>
            <w:r>
              <w:rPr>
                <w:rFonts w:eastAsia="Arial"/>
              </w:rPr>
              <w:t xml:space="preserve">) suaugusiems pacientams, kuriems yra nustatytas sumažėjusios </w:t>
            </w:r>
            <w:proofErr w:type="spellStart"/>
            <w:r>
              <w:rPr>
                <w:rFonts w:eastAsia="Arial"/>
              </w:rPr>
              <w:t>išstūmio</w:t>
            </w:r>
            <w:proofErr w:type="spellEnd"/>
            <w:r>
              <w:rPr>
                <w:rFonts w:eastAsia="Arial"/>
              </w:rPr>
              <w:t xml:space="preserve"> frakcijos širdies nepakankamumas, nes Bayer nepateikė klinikinių įrodymų paraiškoje. NICE peržiūrės sprendimą kompanijai pateikus tinkamus įrodymus.</w:t>
            </w:r>
          </w:p>
          <w:p w14:paraId="10426BAD" w14:textId="77777777" w:rsidR="003E036C" w:rsidRPr="00D05364" w:rsidRDefault="003E036C" w:rsidP="00966A05">
            <w:pPr>
              <w:spacing w:line="276" w:lineRule="auto"/>
              <w:rPr>
                <w:rFonts w:eastAsia="Arial"/>
              </w:rPr>
            </w:pPr>
          </w:p>
        </w:tc>
      </w:tr>
      <w:tr w:rsidR="003E036C" w:rsidRPr="00D05364" w14:paraId="67DEBC38" w14:textId="77777777" w:rsidTr="00ED2C54">
        <w:trPr>
          <w:trHeight w:val="1547"/>
        </w:trPr>
        <w:tc>
          <w:tcPr>
            <w:tcW w:w="2927" w:type="dxa"/>
          </w:tcPr>
          <w:p w14:paraId="585C49EC" w14:textId="77777777" w:rsidR="003E036C" w:rsidRPr="00D05364" w:rsidRDefault="003E036C" w:rsidP="00966A05">
            <w:pPr>
              <w:spacing w:line="276" w:lineRule="auto"/>
              <w:rPr>
                <w:rFonts w:eastAsia="Arial"/>
              </w:rPr>
            </w:pPr>
            <w:r w:rsidRPr="00D05364">
              <w:rPr>
                <w:rFonts w:eastAsia="Arial"/>
              </w:rPr>
              <w:t>Kanados sveikatos technologijų agentūra</w:t>
            </w:r>
          </w:p>
          <w:p w14:paraId="678CD54C" w14:textId="77777777" w:rsidR="003E036C" w:rsidRPr="00D05364" w:rsidRDefault="003E036C" w:rsidP="00966A05">
            <w:pPr>
              <w:spacing w:line="276" w:lineRule="auto"/>
              <w:rPr>
                <w:rFonts w:eastAsia="Arial"/>
              </w:rPr>
            </w:pPr>
            <w:r w:rsidRPr="00D05364">
              <w:rPr>
                <w:rFonts w:eastAsia="Arial"/>
              </w:rPr>
              <w:t xml:space="preserve">(angl. </w:t>
            </w:r>
            <w:proofErr w:type="spellStart"/>
            <w:r w:rsidRPr="00D05364">
              <w:rPr>
                <w:rFonts w:eastAsia="Arial"/>
                <w:i/>
              </w:rPr>
              <w:t>Canadian</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Technology</w:t>
            </w:r>
            <w:proofErr w:type="spellEnd"/>
            <w:r w:rsidRPr="00D05364">
              <w:rPr>
                <w:rFonts w:eastAsia="Arial"/>
                <w:i/>
              </w:rPr>
              <w:t xml:space="preserve"> </w:t>
            </w:r>
            <w:proofErr w:type="spellStart"/>
            <w:r w:rsidRPr="00D05364">
              <w:rPr>
                <w:rFonts w:eastAsia="Arial"/>
                <w:i/>
              </w:rPr>
              <w:t>Assessment</w:t>
            </w:r>
            <w:proofErr w:type="spellEnd"/>
            <w:r w:rsidRPr="00D05364">
              <w:rPr>
                <w:rFonts w:eastAsia="Arial"/>
                <w:i/>
              </w:rPr>
              <w:t xml:space="preserve"> </w:t>
            </w:r>
            <w:proofErr w:type="spellStart"/>
            <w:r w:rsidRPr="00D05364">
              <w:rPr>
                <w:rFonts w:eastAsia="Arial"/>
                <w:i/>
              </w:rPr>
              <w:t>agency</w:t>
            </w:r>
            <w:proofErr w:type="spellEnd"/>
            <w:r w:rsidRPr="00D05364">
              <w:rPr>
                <w:rFonts w:eastAsia="Arial"/>
                <w:i/>
              </w:rPr>
              <w:t>, CADTH</w:t>
            </w:r>
            <w:r w:rsidRPr="00D05364">
              <w:rPr>
                <w:rFonts w:eastAsia="Arial"/>
              </w:rPr>
              <w:t>)</w:t>
            </w:r>
          </w:p>
        </w:tc>
        <w:tc>
          <w:tcPr>
            <w:tcW w:w="1915" w:type="dxa"/>
          </w:tcPr>
          <w:p w14:paraId="20DFBA66" w14:textId="3C0F160C" w:rsidR="003E036C" w:rsidRPr="00D05364" w:rsidRDefault="00D4648A" w:rsidP="00966A05">
            <w:pPr>
              <w:spacing w:line="276" w:lineRule="auto"/>
            </w:pPr>
            <w:sdt>
              <w:sdtPr>
                <w:rPr>
                  <w:rStyle w:val="Style2"/>
                </w:rPr>
                <w:id w:val="-372539057"/>
                <w15:color w:val="FFCC00"/>
                <w14:checkbox>
                  <w14:checked w14:val="0"/>
                  <w14:checkedState w14:val="2612" w14:font="MS Gothic"/>
                  <w14:uncheckedState w14:val="2610" w14:font="MS Gothic"/>
                </w14:checkbox>
              </w:sdtPr>
              <w:sdtEndPr>
                <w:rPr>
                  <w:rStyle w:val="Style2"/>
                </w:rPr>
              </w:sdtEndPr>
              <w:sdtContent>
                <w:r w:rsidR="003E036C" w:rsidRPr="00D05364">
                  <w:rPr>
                    <w:rStyle w:val="Style2"/>
                    <w:rFonts w:ascii="Segoe UI Symbol" w:eastAsia="MS Gothic" w:hAnsi="Segoe UI Symbol" w:cs="Segoe UI Symbol"/>
                  </w:rPr>
                  <w:t>☐</w:t>
                </w:r>
              </w:sdtContent>
            </w:sdt>
            <w:r w:rsidR="003E036C" w:rsidRPr="00D05364">
              <w:t xml:space="preserve"> Taip</w:t>
            </w:r>
          </w:p>
          <w:p w14:paraId="41FEA336" w14:textId="3075D31F" w:rsidR="003E036C" w:rsidRPr="00D05364" w:rsidRDefault="00D4648A" w:rsidP="00966A05">
            <w:pPr>
              <w:spacing w:line="276" w:lineRule="auto"/>
            </w:pPr>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3E036C" w:rsidRPr="00D05364">
                  <w:rPr>
                    <w:rStyle w:val="Style2"/>
                    <w:rFonts w:ascii="Segoe UI Symbol" w:eastAsia="MS Gothic" w:hAnsi="Segoe UI Symbol" w:cs="Segoe UI Symbol"/>
                  </w:rPr>
                  <w:t>☐</w:t>
                </w:r>
              </w:sdtContent>
            </w:sdt>
            <w:r w:rsidR="003E036C" w:rsidRPr="00D05364">
              <w:t xml:space="preserve"> Ne</w:t>
            </w:r>
          </w:p>
          <w:p w14:paraId="60C82562" w14:textId="175325AB" w:rsidR="003E036C" w:rsidRPr="00D05364" w:rsidRDefault="00D4648A" w:rsidP="00966A05">
            <w:pPr>
              <w:spacing w:line="276" w:lineRule="auto"/>
              <w:rPr>
                <w:rFonts w:eastAsia="Arial"/>
              </w:rPr>
            </w:pPr>
            <w:sdt>
              <w:sdtPr>
                <w:alias w:val="Nurodykite konkrečią dieną"/>
                <w:tag w:val="Nurodykite pradžios datą"/>
                <w:id w:val="1072468416"/>
                <w:placeholder>
                  <w:docPart w:val="C8A92CBCD0F640BC9AA98497DC32E81B"/>
                </w:placeholder>
                <w:showingPlcHdr/>
                <w15:color w:val="FFCC99"/>
                <w:date w:fullDate="2022-05-18T00:00:00Z">
                  <w:dateFormat w:val="yyyy 'm.' MMMM d 'd.'"/>
                  <w:lid w:val="lt-LT"/>
                  <w:storeMappedDataAs w:val="dateTime"/>
                  <w:calendar w:val="gregorian"/>
                </w:date>
              </w:sdtPr>
              <w:sdtEndPr/>
              <w:sdtContent>
                <w:r w:rsidR="003E036C" w:rsidRPr="00D05364">
                  <w:rPr>
                    <w:rStyle w:val="PlaceholderText"/>
                  </w:rPr>
                  <w:t>Click here to enter a date.</w:t>
                </w:r>
              </w:sdtContent>
            </w:sdt>
          </w:p>
        </w:tc>
        <w:tc>
          <w:tcPr>
            <w:tcW w:w="5076" w:type="dxa"/>
            <w:gridSpan w:val="2"/>
          </w:tcPr>
          <w:p w14:paraId="794F077A" w14:textId="290CA3F7" w:rsidR="003E036C" w:rsidRPr="00D05364" w:rsidRDefault="003E036C" w:rsidP="00966A05">
            <w:pPr>
              <w:spacing w:line="276" w:lineRule="auto"/>
              <w:rPr>
                <w:rFonts w:eastAsia="Arial"/>
              </w:rPr>
            </w:pPr>
            <w:r>
              <w:rPr>
                <w:rFonts w:eastAsia="Arial"/>
              </w:rPr>
              <w:t>Vyksta vertini</w:t>
            </w:r>
            <w:r w:rsidR="00AA4C9C">
              <w:rPr>
                <w:rFonts w:eastAsia="Arial"/>
              </w:rPr>
              <w:t>mo</w:t>
            </w:r>
            <w:r>
              <w:rPr>
                <w:rFonts w:eastAsia="Arial"/>
              </w:rPr>
              <w:t xml:space="preserve"> procesas</w:t>
            </w:r>
          </w:p>
        </w:tc>
      </w:tr>
      <w:tr w:rsidR="003E036C" w:rsidRPr="00D05364" w14:paraId="6E61BC12" w14:textId="77777777" w:rsidTr="00ED2C54">
        <w:trPr>
          <w:trHeight w:val="1927"/>
        </w:trPr>
        <w:tc>
          <w:tcPr>
            <w:tcW w:w="2927" w:type="dxa"/>
          </w:tcPr>
          <w:p w14:paraId="66E79592" w14:textId="77777777" w:rsidR="003E036C" w:rsidRPr="00D05364" w:rsidRDefault="003E036C" w:rsidP="00966A05">
            <w:pPr>
              <w:spacing w:line="276" w:lineRule="auto"/>
              <w:rPr>
                <w:rFonts w:eastAsia="Arial"/>
              </w:rPr>
            </w:pPr>
            <w:r w:rsidRPr="00D05364">
              <w:rPr>
                <w:rFonts w:eastAsia="Arial"/>
              </w:rPr>
              <w:lastRenderedPageBreak/>
              <w:t xml:space="preserve">Nacionalinis </w:t>
            </w:r>
            <w:proofErr w:type="spellStart"/>
            <w:r w:rsidRPr="00D05364">
              <w:rPr>
                <w:rFonts w:eastAsia="Arial"/>
              </w:rPr>
              <w:t>farmakoekonomikos</w:t>
            </w:r>
            <w:proofErr w:type="spellEnd"/>
            <w:r w:rsidRPr="00D05364">
              <w:rPr>
                <w:rFonts w:eastAsia="Arial"/>
              </w:rPr>
              <w:t xml:space="preserve"> centras, Airija</w:t>
            </w:r>
          </w:p>
          <w:p w14:paraId="5D61EB16" w14:textId="77777777" w:rsidR="003E036C" w:rsidRPr="00D05364" w:rsidRDefault="003E036C" w:rsidP="00966A05">
            <w:pPr>
              <w:spacing w:line="276" w:lineRule="auto"/>
              <w:rPr>
                <w:rFonts w:eastAsia="Arial"/>
              </w:rPr>
            </w:pPr>
            <w:r w:rsidRPr="00D05364">
              <w:rPr>
                <w:rFonts w:eastAsia="Arial"/>
              </w:rPr>
              <w:t>(angl.</w:t>
            </w:r>
            <w:r w:rsidRPr="00D05364">
              <w:rPr>
                <w:rFonts w:eastAsia="Arial"/>
                <w:i/>
              </w:rPr>
              <w:t xml:space="preserve"> </w:t>
            </w:r>
            <w:proofErr w:type="spellStart"/>
            <w:r w:rsidRPr="00D05364">
              <w:rPr>
                <w:rFonts w:eastAsia="Arial"/>
                <w:i/>
              </w:rPr>
              <w:t>National</w:t>
            </w:r>
            <w:proofErr w:type="spellEnd"/>
            <w:r w:rsidRPr="00D05364">
              <w:rPr>
                <w:rFonts w:eastAsia="Arial"/>
                <w:i/>
              </w:rPr>
              <w:t xml:space="preserve"> Centre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Pharmacoeconomics</w:t>
            </w:r>
            <w:proofErr w:type="spellEnd"/>
            <w:r w:rsidRPr="00D05364">
              <w:rPr>
                <w:rFonts w:eastAsia="Arial"/>
                <w:i/>
              </w:rPr>
              <w:t>, NCPE</w:t>
            </w:r>
            <w:r w:rsidRPr="00D05364">
              <w:rPr>
                <w:rFonts w:eastAsia="Arial"/>
              </w:rPr>
              <w:t>)</w:t>
            </w:r>
          </w:p>
        </w:tc>
        <w:tc>
          <w:tcPr>
            <w:tcW w:w="1915" w:type="dxa"/>
          </w:tcPr>
          <w:p w14:paraId="10849E29" w14:textId="6C32975B" w:rsidR="003E036C" w:rsidRPr="00D05364" w:rsidRDefault="00D4648A" w:rsidP="00966A05">
            <w:pPr>
              <w:spacing w:line="276" w:lineRule="auto"/>
            </w:pPr>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98710E">
                  <w:rPr>
                    <w:rStyle w:val="Style2"/>
                    <w:rFonts w:ascii="MS Gothic" w:eastAsia="MS Gothic" w:hAnsi="MS Gothic" w:hint="eastAsia"/>
                  </w:rPr>
                  <w:t>☒</w:t>
                </w:r>
              </w:sdtContent>
            </w:sdt>
            <w:r w:rsidR="003E036C" w:rsidRPr="00D05364">
              <w:t xml:space="preserve"> Taip</w:t>
            </w:r>
          </w:p>
          <w:p w14:paraId="4AB44557" w14:textId="40C330B4" w:rsidR="003E036C" w:rsidRPr="00D05364" w:rsidRDefault="00D4648A" w:rsidP="00966A05">
            <w:pPr>
              <w:spacing w:line="276" w:lineRule="auto"/>
            </w:pPr>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98710E">
                  <w:rPr>
                    <w:rStyle w:val="Style2"/>
                    <w:rFonts w:ascii="MS Gothic" w:eastAsia="MS Gothic" w:hAnsi="MS Gothic" w:hint="eastAsia"/>
                  </w:rPr>
                  <w:t>☐</w:t>
                </w:r>
              </w:sdtContent>
            </w:sdt>
            <w:r w:rsidR="003E036C" w:rsidRPr="00D05364">
              <w:t xml:space="preserve"> Ne</w:t>
            </w:r>
          </w:p>
          <w:p w14:paraId="00D4E829" w14:textId="50170E40" w:rsidR="003E036C" w:rsidRPr="00D05364" w:rsidRDefault="00D4648A" w:rsidP="00966A05">
            <w:pPr>
              <w:spacing w:line="276" w:lineRule="auto"/>
              <w:rPr>
                <w:rFonts w:eastAsia="Arial"/>
              </w:rPr>
            </w:pPr>
            <w:sdt>
              <w:sdtPr>
                <w:alias w:val="Nurodykite konkrečią dieną"/>
                <w:tag w:val="Nurodykite pradžios datą"/>
                <w:id w:val="-198323198"/>
                <w:placeholder>
                  <w:docPart w:val="832535DA62DA45D68C4E5610EC95D90F"/>
                </w:placeholder>
                <w15:color w:val="FFCC99"/>
                <w:date w:fullDate="2022-07-28T00:00:00Z">
                  <w:dateFormat w:val="yyyy 'm.' MMMM d 'd.'"/>
                  <w:lid w:val="lt-LT"/>
                  <w:storeMappedDataAs w:val="dateTime"/>
                  <w:calendar w:val="gregorian"/>
                </w:date>
              </w:sdtPr>
              <w:sdtEndPr/>
              <w:sdtContent>
                <w:r w:rsidR="003E036C">
                  <w:t>2022 m. liepos 28 d.</w:t>
                </w:r>
              </w:sdtContent>
            </w:sdt>
          </w:p>
        </w:tc>
        <w:tc>
          <w:tcPr>
            <w:tcW w:w="5076" w:type="dxa"/>
            <w:gridSpan w:val="2"/>
          </w:tcPr>
          <w:p w14:paraId="02DB204D" w14:textId="77777777" w:rsidR="003E036C" w:rsidRPr="00EE3554" w:rsidRDefault="003E036C" w:rsidP="00966A05">
            <w:pPr>
              <w:spacing w:line="276" w:lineRule="auto"/>
              <w:rPr>
                <w:rFonts w:eastAsia="Arial"/>
              </w:rPr>
            </w:pPr>
            <w:r>
              <w:rPr>
                <w:rFonts w:eastAsia="Arial"/>
              </w:rPr>
              <w:t>NCP</w:t>
            </w:r>
            <w:r w:rsidRPr="00EE3554">
              <w:rPr>
                <w:rFonts w:eastAsia="Arial"/>
              </w:rPr>
              <w:t xml:space="preserve">E rekomenduoja nekompensuoti </w:t>
            </w:r>
            <w:proofErr w:type="spellStart"/>
            <w:r>
              <w:rPr>
                <w:rFonts w:eastAsia="Arial"/>
              </w:rPr>
              <w:t>vericiguato</w:t>
            </w:r>
            <w:proofErr w:type="spellEnd"/>
            <w:r>
              <w:rPr>
                <w:rFonts w:eastAsia="Arial"/>
              </w:rPr>
              <w:t>.</w:t>
            </w:r>
          </w:p>
          <w:p w14:paraId="2B72CE51" w14:textId="77777777" w:rsidR="003E036C" w:rsidRPr="00EE3554" w:rsidRDefault="003E036C" w:rsidP="00966A05">
            <w:pPr>
              <w:spacing w:line="276" w:lineRule="auto"/>
              <w:rPr>
                <w:rFonts w:eastAsia="Arial"/>
                <w:lang w:val="en-US"/>
              </w:rPr>
            </w:pPr>
          </w:p>
        </w:tc>
      </w:tr>
    </w:tbl>
    <w:p w14:paraId="3678EA66" w14:textId="41FBD169" w:rsidR="003E036C" w:rsidRDefault="003E036C" w:rsidP="00966A05">
      <w:pPr>
        <w:spacing w:line="276" w:lineRule="auto"/>
        <w:rPr>
          <w:rFonts w:eastAsia="Arial"/>
        </w:rPr>
      </w:pPr>
    </w:p>
    <w:p w14:paraId="749D7B90" w14:textId="6D52E5FF" w:rsidR="003E036C" w:rsidRDefault="003E036C" w:rsidP="00966A05">
      <w:pPr>
        <w:spacing w:line="276" w:lineRule="auto"/>
        <w:rPr>
          <w:rFonts w:eastAsia="Arial"/>
        </w:rPr>
      </w:pPr>
      <w:r>
        <w:rPr>
          <w:rFonts w:eastAsia="Arial"/>
        </w:rPr>
        <w:br w:type="page"/>
      </w:r>
    </w:p>
    <w:p w14:paraId="5055E8A8" w14:textId="471A9757" w:rsidR="002E6F80" w:rsidRPr="00E33EFF" w:rsidRDefault="00CC7832" w:rsidP="00966A05">
      <w:pPr>
        <w:pStyle w:val="ListParagraph"/>
        <w:numPr>
          <w:ilvl w:val="0"/>
          <w:numId w:val="12"/>
        </w:numPr>
        <w:tabs>
          <w:tab w:val="left" w:pos="567"/>
        </w:tabs>
        <w:spacing w:line="276" w:lineRule="auto"/>
        <w:ind w:hanging="720"/>
        <w:rPr>
          <w:b/>
          <w:bCs/>
          <w:caps/>
        </w:rPr>
      </w:pPr>
      <w:r w:rsidRPr="00E33EFF">
        <w:rPr>
          <w:b/>
          <w:bCs/>
          <w:caps/>
        </w:rPr>
        <w:lastRenderedPageBreak/>
        <w:t>Klinikinio vertinimo a</w:t>
      </w:r>
      <w:r w:rsidR="00D4485B" w:rsidRPr="00E33EFF">
        <w:rPr>
          <w:b/>
          <w:bCs/>
          <w:caps/>
        </w:rPr>
        <w:t>pibendrinimas</w:t>
      </w:r>
    </w:p>
    <w:p w14:paraId="328C0EAA" w14:textId="77777777" w:rsidR="000B5C94" w:rsidRDefault="000B5C94" w:rsidP="00966A05">
      <w:pPr>
        <w:spacing w:line="276" w:lineRule="auto"/>
        <w:ind w:firstLine="720"/>
        <w:jc w:val="both"/>
        <w:rPr>
          <w:rFonts w:eastAsia="Arial"/>
        </w:rPr>
      </w:pPr>
    </w:p>
    <w:p w14:paraId="411583AC" w14:textId="67C0BC3C" w:rsidR="002B38A9" w:rsidRPr="006F5163" w:rsidRDefault="002B38A9" w:rsidP="00966A05">
      <w:pPr>
        <w:spacing w:line="276" w:lineRule="auto"/>
        <w:ind w:firstLine="720"/>
        <w:jc w:val="both"/>
        <w:rPr>
          <w:rFonts w:eastAsia="Arial"/>
        </w:rPr>
      </w:pPr>
      <w:r w:rsidRPr="006F5163">
        <w:rPr>
          <w:rFonts w:eastAsia="Arial"/>
        </w:rPr>
        <w:t>Širdies nepakankamumas (ŠN) - tai klinikinis sindromas, kuriam būdingi tipiniai simptomai (pvz.</w:t>
      </w:r>
      <w:r w:rsidR="00FB1843" w:rsidRPr="006F5163">
        <w:rPr>
          <w:rFonts w:eastAsia="Arial"/>
        </w:rPr>
        <w:t>,</w:t>
      </w:r>
      <w:r w:rsidRPr="006F5163">
        <w:rPr>
          <w:rFonts w:eastAsia="Arial"/>
        </w:rPr>
        <w:t xml:space="preserve"> dusulys, kulkšnių edema, nuovargis) ir požymiai (pvz.</w:t>
      </w:r>
      <w:r w:rsidR="00FB1843" w:rsidRPr="006F5163">
        <w:rPr>
          <w:rFonts w:eastAsia="Arial"/>
        </w:rPr>
        <w:t>,</w:t>
      </w:r>
      <w:r w:rsidRPr="006F5163">
        <w:rPr>
          <w:rFonts w:eastAsia="Arial"/>
        </w:rPr>
        <w:t xml:space="preserve"> padidėjęs jungo venų spaudimas, karkalai plaučiuose ir periferinės edemos). Juos sukelia širdies struktūros ir/ar funkcijos sutrikimas, lemiantis </w:t>
      </w:r>
      <w:proofErr w:type="spellStart"/>
      <w:r w:rsidRPr="006F5163">
        <w:rPr>
          <w:rFonts w:eastAsia="Arial"/>
        </w:rPr>
        <w:t>sistolinio</w:t>
      </w:r>
      <w:proofErr w:type="spellEnd"/>
      <w:r w:rsidRPr="006F5163">
        <w:rPr>
          <w:rFonts w:eastAsia="Arial"/>
        </w:rPr>
        <w:t xml:space="preserve"> tūrio sumažėjimą ir spaudimo širdies ertmėse padidėjimą ramybėje ar krūvio metu. Svarbiausia diagnozuojant ŠN yra išaiškinti vyraujančią priežastį. Sergančiojo lėtiniu ŠN klinikinei būklei pablogėjus, pacientai įprastai yra hospitalizuojami ar pagalba suteikiama ambulatoriškai skubios pagalbos skyriuose, didinant diuretiko dozę ar skiriant intraveninius diuretikus ar intraveninius </w:t>
      </w:r>
      <w:proofErr w:type="spellStart"/>
      <w:r w:rsidRPr="006F5163">
        <w:rPr>
          <w:rFonts w:eastAsia="Arial"/>
        </w:rPr>
        <w:t>vazodilatatorius</w:t>
      </w:r>
      <w:proofErr w:type="spellEnd"/>
      <w:r w:rsidRPr="006F5163">
        <w:rPr>
          <w:rFonts w:eastAsia="Arial"/>
        </w:rPr>
        <w:t>/</w:t>
      </w:r>
      <w:proofErr w:type="spellStart"/>
      <w:r w:rsidRPr="006F5163">
        <w:rPr>
          <w:rFonts w:eastAsia="Arial"/>
        </w:rPr>
        <w:t>inotropinius</w:t>
      </w:r>
      <w:proofErr w:type="spellEnd"/>
      <w:r w:rsidRPr="006F5163">
        <w:rPr>
          <w:rFonts w:eastAsia="Arial"/>
        </w:rPr>
        <w:t xml:space="preserve"> preparatus būklei stabilizuoti. Lietuvoje ŠN klasifikacija atitinka Europos kardiologijos draugijos (angl. </w:t>
      </w:r>
      <w:proofErr w:type="spellStart"/>
      <w:r w:rsidRPr="006F5163">
        <w:rPr>
          <w:rFonts w:eastAsia="Arial"/>
          <w:i/>
        </w:rPr>
        <w:t>European</w:t>
      </w:r>
      <w:proofErr w:type="spellEnd"/>
      <w:r w:rsidRPr="006F5163">
        <w:rPr>
          <w:rFonts w:eastAsia="Arial"/>
          <w:i/>
        </w:rPr>
        <w:t xml:space="preserve"> </w:t>
      </w:r>
      <w:proofErr w:type="spellStart"/>
      <w:r w:rsidRPr="006F5163">
        <w:rPr>
          <w:rFonts w:eastAsia="Arial"/>
          <w:i/>
        </w:rPr>
        <w:t>Society</w:t>
      </w:r>
      <w:proofErr w:type="spellEnd"/>
      <w:r w:rsidRPr="006F5163">
        <w:rPr>
          <w:rFonts w:eastAsia="Arial"/>
          <w:i/>
        </w:rPr>
        <w:t xml:space="preserve"> </w:t>
      </w:r>
      <w:proofErr w:type="spellStart"/>
      <w:r w:rsidRPr="006F5163">
        <w:rPr>
          <w:rFonts w:eastAsia="Arial"/>
          <w:i/>
        </w:rPr>
        <w:t>of</w:t>
      </w:r>
      <w:proofErr w:type="spellEnd"/>
      <w:r w:rsidRPr="006F5163">
        <w:rPr>
          <w:rFonts w:eastAsia="Arial"/>
          <w:i/>
        </w:rPr>
        <w:t xml:space="preserve"> </w:t>
      </w:r>
      <w:proofErr w:type="spellStart"/>
      <w:r w:rsidRPr="006F5163">
        <w:rPr>
          <w:rFonts w:eastAsia="Arial"/>
          <w:i/>
        </w:rPr>
        <w:t>Cardiology</w:t>
      </w:r>
      <w:proofErr w:type="spellEnd"/>
      <w:r w:rsidRPr="006F5163">
        <w:rPr>
          <w:rFonts w:eastAsia="Arial"/>
          <w:i/>
        </w:rPr>
        <w:t>, ESC 2021</w:t>
      </w:r>
      <w:r w:rsidRPr="006F5163">
        <w:rPr>
          <w:rFonts w:eastAsia="Arial"/>
        </w:rPr>
        <w:t xml:space="preserve">) klasifikaciją (2017 ir 2021). Pažymėtina, kad šiuo metu pagal ESC (2021) pacientus, kuriems yra nustatytas </w:t>
      </w:r>
      <w:proofErr w:type="spellStart"/>
      <w:r w:rsidRPr="006F5163">
        <w:rPr>
          <w:rFonts w:eastAsia="Arial"/>
        </w:rPr>
        <w:t>sIFŠN</w:t>
      </w:r>
      <w:proofErr w:type="spellEnd"/>
      <w:r w:rsidRPr="006F5163">
        <w:rPr>
          <w:rFonts w:eastAsia="Arial"/>
        </w:rPr>
        <w:t xml:space="preserve"> (II-IV laipsnis pagal NYHA klasifikaciją), rekomenduojama gydyti AKF inhibitoriais, beta</w:t>
      </w:r>
      <w:r w:rsidR="00FB1843" w:rsidRPr="006F5163">
        <w:rPr>
          <w:rFonts w:eastAsia="Arial"/>
        </w:rPr>
        <w:t xml:space="preserve"> </w:t>
      </w:r>
      <w:proofErr w:type="spellStart"/>
      <w:r w:rsidR="00FB1843" w:rsidRPr="006F5163">
        <w:rPr>
          <w:rFonts w:eastAsia="Arial"/>
        </w:rPr>
        <w:t>adren</w:t>
      </w:r>
      <w:r w:rsidR="00407753" w:rsidRPr="006F5163">
        <w:rPr>
          <w:rFonts w:eastAsia="Arial"/>
        </w:rPr>
        <w:t>erginių</w:t>
      </w:r>
      <w:proofErr w:type="spellEnd"/>
      <w:r w:rsidR="00407753" w:rsidRPr="006F5163">
        <w:rPr>
          <w:rFonts w:eastAsia="Arial"/>
        </w:rPr>
        <w:t xml:space="preserve"> receptorių </w:t>
      </w:r>
      <w:r w:rsidRPr="006F5163">
        <w:rPr>
          <w:rFonts w:eastAsia="Arial"/>
        </w:rPr>
        <w:t>blo</w:t>
      </w:r>
      <w:r w:rsidR="00FB1843" w:rsidRPr="006F5163">
        <w:rPr>
          <w:rFonts w:eastAsia="Arial"/>
        </w:rPr>
        <w:t>kato</w:t>
      </w:r>
      <w:r w:rsidRPr="006F5163">
        <w:rPr>
          <w:rFonts w:eastAsia="Arial"/>
        </w:rPr>
        <w:t xml:space="preserve">riais, </w:t>
      </w:r>
      <w:proofErr w:type="spellStart"/>
      <w:r w:rsidRPr="006F5163">
        <w:rPr>
          <w:rFonts w:eastAsia="Arial"/>
        </w:rPr>
        <w:t>mineralokortikoidų</w:t>
      </w:r>
      <w:proofErr w:type="spellEnd"/>
      <w:r w:rsidRPr="006F5163">
        <w:rPr>
          <w:rFonts w:eastAsia="Arial"/>
        </w:rPr>
        <w:t xml:space="preserve"> receptorių antagonistais ir </w:t>
      </w:r>
      <w:r w:rsidR="00FB1843" w:rsidRPr="006F5163">
        <w:rPr>
          <w:rFonts w:eastAsia="Arial"/>
        </w:rPr>
        <w:t xml:space="preserve">SGLT2 inhibitoriais </w:t>
      </w:r>
      <w:proofErr w:type="spellStart"/>
      <w:r w:rsidRPr="006F5163">
        <w:rPr>
          <w:rFonts w:eastAsia="Arial"/>
        </w:rPr>
        <w:t>dap</w:t>
      </w:r>
      <w:r w:rsidR="00FB1843" w:rsidRPr="006F5163">
        <w:rPr>
          <w:rFonts w:eastAsia="Arial"/>
        </w:rPr>
        <w:t>a</w:t>
      </w:r>
      <w:r w:rsidRPr="006F5163">
        <w:rPr>
          <w:rFonts w:eastAsia="Arial"/>
        </w:rPr>
        <w:t>gl</w:t>
      </w:r>
      <w:r w:rsidR="00FB1843" w:rsidRPr="006F5163">
        <w:rPr>
          <w:rFonts w:eastAsia="Arial"/>
        </w:rPr>
        <w:t>i</w:t>
      </w:r>
      <w:r w:rsidRPr="006F5163">
        <w:rPr>
          <w:rFonts w:eastAsia="Arial"/>
        </w:rPr>
        <w:t>flozinu</w:t>
      </w:r>
      <w:proofErr w:type="spellEnd"/>
      <w:r w:rsidRPr="006F5163">
        <w:rPr>
          <w:rFonts w:eastAsia="Arial"/>
        </w:rPr>
        <w:t xml:space="preserve"> arba </w:t>
      </w:r>
      <w:proofErr w:type="spellStart"/>
      <w:r w:rsidRPr="006F5163">
        <w:rPr>
          <w:rFonts w:eastAsia="Arial"/>
        </w:rPr>
        <w:t>empagliflozinu</w:t>
      </w:r>
      <w:r w:rsidR="00FB1843" w:rsidRPr="006F5163">
        <w:rPr>
          <w:rFonts w:eastAsia="Arial"/>
        </w:rPr>
        <w:t>.G</w:t>
      </w:r>
      <w:r w:rsidRPr="006F5163">
        <w:rPr>
          <w:rFonts w:eastAsia="Arial"/>
        </w:rPr>
        <w:t>ydymas</w:t>
      </w:r>
      <w:proofErr w:type="spellEnd"/>
      <w:r w:rsidRPr="006F5163">
        <w:rPr>
          <w:rFonts w:eastAsia="Arial"/>
        </w:rPr>
        <w:t xml:space="preserve"> </w:t>
      </w:r>
      <w:proofErr w:type="spellStart"/>
      <w:r w:rsidRPr="006F5163">
        <w:rPr>
          <w:rFonts w:eastAsia="Arial"/>
        </w:rPr>
        <w:t>s</w:t>
      </w:r>
      <w:r w:rsidR="00B43B37">
        <w:rPr>
          <w:rFonts w:eastAsia="Arial"/>
        </w:rPr>
        <w:t>a</w:t>
      </w:r>
      <w:r w:rsidRPr="006F5163">
        <w:rPr>
          <w:rFonts w:eastAsia="Arial"/>
        </w:rPr>
        <w:t>kubitrilo</w:t>
      </w:r>
      <w:proofErr w:type="spellEnd"/>
      <w:r w:rsidRPr="006F5163">
        <w:rPr>
          <w:rFonts w:eastAsia="Arial"/>
        </w:rPr>
        <w:t xml:space="preserve"> ir </w:t>
      </w:r>
      <w:proofErr w:type="spellStart"/>
      <w:r w:rsidRPr="006F5163">
        <w:rPr>
          <w:rFonts w:eastAsia="Arial"/>
        </w:rPr>
        <w:t>valsartano</w:t>
      </w:r>
      <w:proofErr w:type="spellEnd"/>
      <w:r w:rsidRPr="006F5163">
        <w:rPr>
          <w:rFonts w:eastAsia="Arial"/>
        </w:rPr>
        <w:t xml:space="preserve"> deriniu rekomenduo</w:t>
      </w:r>
      <w:r w:rsidR="00FB1843" w:rsidRPr="006F5163">
        <w:rPr>
          <w:rFonts w:eastAsia="Arial"/>
        </w:rPr>
        <w:t>j</w:t>
      </w:r>
      <w:r w:rsidRPr="006F5163">
        <w:rPr>
          <w:rFonts w:eastAsia="Arial"/>
        </w:rPr>
        <w:t>amas kaip AKF inhibitorių pakaitinė terapija.</w:t>
      </w:r>
    </w:p>
    <w:p w14:paraId="71692EB4" w14:textId="0F759D7C" w:rsidR="002B38A9" w:rsidRPr="006F5163" w:rsidRDefault="002B38A9" w:rsidP="00966A05">
      <w:pPr>
        <w:spacing w:line="276" w:lineRule="auto"/>
        <w:ind w:firstLine="720"/>
        <w:jc w:val="both"/>
        <w:rPr>
          <w:rFonts w:eastAsia="Arial"/>
        </w:rPr>
      </w:pPr>
      <w:proofErr w:type="spellStart"/>
      <w:r w:rsidRPr="006F5163">
        <w:rPr>
          <w:rFonts w:eastAsia="Arial"/>
        </w:rPr>
        <w:t>Vericiguatas</w:t>
      </w:r>
      <w:proofErr w:type="spellEnd"/>
      <w:r w:rsidR="004D62A0" w:rsidRPr="006F5163">
        <w:rPr>
          <w:rFonts w:eastAsia="Arial"/>
        </w:rPr>
        <w:t xml:space="preserve"> -</w:t>
      </w:r>
      <w:r w:rsidRPr="006F5163">
        <w:rPr>
          <w:rFonts w:eastAsia="Arial"/>
        </w:rPr>
        <w:t xml:space="preserve"> </w:t>
      </w:r>
      <w:proofErr w:type="spellStart"/>
      <w:r w:rsidRPr="006F5163">
        <w:rPr>
          <w:rFonts w:eastAsia="Arial"/>
        </w:rPr>
        <w:t>vazodilatatori</w:t>
      </w:r>
      <w:r w:rsidR="00FB1843" w:rsidRPr="006F5163">
        <w:rPr>
          <w:rFonts w:eastAsia="Arial"/>
        </w:rPr>
        <w:t>ų</w:t>
      </w:r>
      <w:proofErr w:type="spellEnd"/>
      <w:r w:rsidR="00FB1843" w:rsidRPr="006F5163">
        <w:rPr>
          <w:rFonts w:eastAsia="Arial"/>
        </w:rPr>
        <w:t xml:space="preserve"> grupės vaistinis preparatas</w:t>
      </w:r>
      <w:r w:rsidR="00CE5826" w:rsidRPr="006F5163">
        <w:rPr>
          <w:rFonts w:eastAsia="Arial"/>
        </w:rPr>
        <w:t xml:space="preserve"> tirpios </w:t>
      </w:r>
      <w:proofErr w:type="spellStart"/>
      <w:r w:rsidR="00CE5826" w:rsidRPr="006F5163">
        <w:rPr>
          <w:rFonts w:eastAsia="Arial"/>
        </w:rPr>
        <w:t>guanilat</w:t>
      </w:r>
      <w:r w:rsidR="00966A05">
        <w:rPr>
          <w:rFonts w:eastAsia="Arial"/>
        </w:rPr>
        <w:t>o</w:t>
      </w:r>
      <w:proofErr w:type="spellEnd"/>
      <w:r w:rsidR="00966A05">
        <w:rPr>
          <w:rFonts w:eastAsia="Arial"/>
        </w:rPr>
        <w:t xml:space="preserve"> </w:t>
      </w:r>
      <w:proofErr w:type="spellStart"/>
      <w:r w:rsidR="00CE5826" w:rsidRPr="006F5163">
        <w:rPr>
          <w:rFonts w:eastAsia="Arial"/>
        </w:rPr>
        <w:t>ciklazės</w:t>
      </w:r>
      <w:proofErr w:type="spellEnd"/>
      <w:r w:rsidR="00CE5826" w:rsidRPr="006F5163">
        <w:rPr>
          <w:rFonts w:eastAsia="Arial"/>
        </w:rPr>
        <w:t xml:space="preserve"> (</w:t>
      </w:r>
      <w:proofErr w:type="spellStart"/>
      <w:r w:rsidR="00CE5826" w:rsidRPr="006F5163">
        <w:rPr>
          <w:rFonts w:eastAsia="Arial"/>
        </w:rPr>
        <w:t>tGC</w:t>
      </w:r>
      <w:proofErr w:type="spellEnd"/>
      <w:r w:rsidR="00CE5826" w:rsidRPr="006F5163">
        <w:rPr>
          <w:rFonts w:eastAsia="Arial"/>
        </w:rPr>
        <w:t>) stimuliatorius</w:t>
      </w:r>
      <w:r w:rsidRPr="006F5163">
        <w:rPr>
          <w:rFonts w:eastAsia="Arial"/>
        </w:rPr>
        <w:t xml:space="preserve"> (ATC kodas – C01DX22</w:t>
      </w:r>
      <w:r w:rsidR="004D62A0" w:rsidRPr="006F5163">
        <w:rPr>
          <w:rFonts w:eastAsia="Arial"/>
        </w:rPr>
        <w:t>).</w:t>
      </w:r>
      <w:r w:rsidRPr="006F5163">
        <w:rPr>
          <w:rFonts w:eastAsia="Arial"/>
        </w:rPr>
        <w:t xml:space="preserve"> </w:t>
      </w:r>
      <w:proofErr w:type="spellStart"/>
      <w:r w:rsidRPr="006F5163">
        <w:rPr>
          <w:rFonts w:eastAsia="Arial"/>
        </w:rPr>
        <w:t>Vericiguatas</w:t>
      </w:r>
      <w:proofErr w:type="spellEnd"/>
      <w:r w:rsidRPr="006F5163">
        <w:rPr>
          <w:rFonts w:eastAsia="Arial"/>
        </w:rPr>
        <w:t xml:space="preserve"> pašalina santykinę azoto oksido stoką, kuri bū</w:t>
      </w:r>
      <w:r w:rsidR="00CE5826" w:rsidRPr="006F5163">
        <w:rPr>
          <w:rFonts w:eastAsia="Arial"/>
        </w:rPr>
        <w:t>na</w:t>
      </w:r>
      <w:r w:rsidRPr="006F5163">
        <w:rPr>
          <w:rFonts w:eastAsia="Arial"/>
        </w:rPr>
        <w:t xml:space="preserve"> esant širdies nepakankamumui. Tai vyksta NO-</w:t>
      </w:r>
      <w:proofErr w:type="spellStart"/>
      <w:r w:rsidRPr="006F5163">
        <w:rPr>
          <w:rFonts w:eastAsia="Arial"/>
        </w:rPr>
        <w:t>tGC</w:t>
      </w:r>
      <w:proofErr w:type="spellEnd"/>
      <w:r w:rsidRPr="006F5163">
        <w:rPr>
          <w:rFonts w:eastAsia="Arial"/>
        </w:rPr>
        <w:t>-</w:t>
      </w:r>
      <w:proofErr w:type="spellStart"/>
      <w:r w:rsidRPr="006F5163">
        <w:rPr>
          <w:rFonts w:eastAsia="Arial"/>
        </w:rPr>
        <w:t>cGMF</w:t>
      </w:r>
      <w:proofErr w:type="spellEnd"/>
      <w:r w:rsidRPr="006F5163">
        <w:rPr>
          <w:rFonts w:eastAsia="Arial"/>
        </w:rPr>
        <w:t xml:space="preserve"> signalų perdavimo sekoje, </w:t>
      </w:r>
      <w:r w:rsidR="004D62A0" w:rsidRPr="006F5163">
        <w:rPr>
          <w:rFonts w:eastAsia="Arial"/>
        </w:rPr>
        <w:t xml:space="preserve">kurioje </w:t>
      </w:r>
      <w:proofErr w:type="spellStart"/>
      <w:r w:rsidR="004D62A0" w:rsidRPr="006F5163">
        <w:rPr>
          <w:rFonts w:eastAsia="Arial"/>
        </w:rPr>
        <w:t>tGC</w:t>
      </w:r>
      <w:proofErr w:type="spellEnd"/>
      <w:r w:rsidR="004D62A0" w:rsidRPr="006F5163">
        <w:rPr>
          <w:rFonts w:eastAsia="Arial"/>
        </w:rPr>
        <w:t xml:space="preserve"> yra </w:t>
      </w:r>
      <w:r w:rsidRPr="006F5163">
        <w:rPr>
          <w:rFonts w:eastAsia="Arial"/>
        </w:rPr>
        <w:t xml:space="preserve">tiesiogiai </w:t>
      </w:r>
      <w:r w:rsidR="004D62A0" w:rsidRPr="006F5163">
        <w:rPr>
          <w:rFonts w:eastAsia="Arial"/>
        </w:rPr>
        <w:t>stimuliuoj</w:t>
      </w:r>
      <w:r w:rsidRPr="006F5163">
        <w:rPr>
          <w:rFonts w:eastAsia="Arial"/>
        </w:rPr>
        <w:t xml:space="preserve">amas, nepriklausomai nuo NO ir </w:t>
      </w:r>
      <w:proofErr w:type="spellStart"/>
      <w:r w:rsidRPr="006F5163">
        <w:rPr>
          <w:rFonts w:eastAsia="Arial"/>
        </w:rPr>
        <w:t>sinerg</w:t>
      </w:r>
      <w:r w:rsidR="00CE5826" w:rsidRPr="006F5163">
        <w:rPr>
          <w:rFonts w:eastAsia="Arial"/>
        </w:rPr>
        <w:t>et</w:t>
      </w:r>
      <w:r w:rsidRPr="006F5163">
        <w:rPr>
          <w:rFonts w:eastAsia="Arial"/>
        </w:rPr>
        <w:t>iškai</w:t>
      </w:r>
      <w:proofErr w:type="spellEnd"/>
      <w:r w:rsidRPr="006F5163">
        <w:rPr>
          <w:rFonts w:eastAsia="Arial"/>
        </w:rPr>
        <w:t xml:space="preserve"> su NO, kad padidintų </w:t>
      </w:r>
      <w:proofErr w:type="spellStart"/>
      <w:r w:rsidRPr="006F5163">
        <w:rPr>
          <w:rFonts w:eastAsia="Arial"/>
        </w:rPr>
        <w:t>intraląstelinio</w:t>
      </w:r>
      <w:proofErr w:type="spellEnd"/>
      <w:r w:rsidRPr="006F5163">
        <w:rPr>
          <w:rFonts w:eastAsia="Arial"/>
        </w:rPr>
        <w:t xml:space="preserve"> </w:t>
      </w:r>
      <w:proofErr w:type="spellStart"/>
      <w:r w:rsidRPr="006F5163">
        <w:rPr>
          <w:rFonts w:eastAsia="Arial"/>
        </w:rPr>
        <w:t>cGMF</w:t>
      </w:r>
      <w:proofErr w:type="spellEnd"/>
      <w:r w:rsidRPr="006F5163">
        <w:rPr>
          <w:rFonts w:eastAsia="Arial"/>
        </w:rPr>
        <w:t xml:space="preserve"> kiekį, kuris gali pagerinti širdies raumens ir kraujagyslių funkciją.</w:t>
      </w:r>
    </w:p>
    <w:p w14:paraId="6B31ABB2" w14:textId="4D276511" w:rsidR="002B38A9" w:rsidRPr="006F5163" w:rsidRDefault="002B38A9" w:rsidP="00966A05">
      <w:pPr>
        <w:tabs>
          <w:tab w:val="left" w:pos="426"/>
        </w:tabs>
        <w:spacing w:line="276" w:lineRule="auto"/>
        <w:jc w:val="both"/>
        <w:rPr>
          <w:rFonts w:eastAsia="Arial"/>
        </w:rPr>
      </w:pPr>
      <w:r w:rsidRPr="006F5163">
        <w:rPr>
          <w:rFonts w:eastAsia="Arial"/>
        </w:rPr>
        <w:tab/>
        <w:t>Vadovaujantis Lietuvos Respublikos sveikatos apsaugos ministro 2002 m. balandžio 5 d. įsakymu Nr. V-159 „Dėl vaistinių preparatų ir medicinos pagalbos priemonių įrašymo į kompensavimo sąrašus ir jų keitimo tvarkos aprašo patvirtinimo“  116 – 119 punkt</w:t>
      </w:r>
      <w:r w:rsidR="00CE5826" w:rsidRPr="006F5163">
        <w:rPr>
          <w:rFonts w:eastAsia="Arial"/>
        </w:rPr>
        <w:t>ais</w:t>
      </w:r>
      <w:r w:rsidRPr="006F5163">
        <w:rPr>
          <w:rFonts w:eastAsia="Arial"/>
        </w:rPr>
        <w:t xml:space="preserve">, </w:t>
      </w:r>
      <w:r w:rsidRPr="006F5163">
        <w:t>standartinį širdies nepakankamumo gydym</w:t>
      </w:r>
      <w:r w:rsidR="00CE5826" w:rsidRPr="006F5163">
        <w:t>as</w:t>
      </w:r>
      <w:r w:rsidRPr="006F5163">
        <w:t xml:space="preserve"> </w:t>
      </w:r>
      <w:proofErr w:type="spellStart"/>
      <w:r w:rsidRPr="006F5163">
        <w:t>angiotenziną</w:t>
      </w:r>
      <w:proofErr w:type="spellEnd"/>
      <w:r w:rsidRPr="006F5163">
        <w:t xml:space="preserve"> konvertuojančio fermento inhibitori</w:t>
      </w:r>
      <w:r w:rsidR="00CE5826" w:rsidRPr="006F5163">
        <w:t>ai</w:t>
      </w:r>
      <w:r w:rsidRPr="006F5163">
        <w:t>s/</w:t>
      </w:r>
      <w:proofErr w:type="spellStart"/>
      <w:r w:rsidRPr="006F5163">
        <w:t>angiotenzino</w:t>
      </w:r>
      <w:proofErr w:type="spellEnd"/>
      <w:r w:rsidRPr="006F5163">
        <w:t xml:space="preserve"> II receptorių blokatori</w:t>
      </w:r>
      <w:r w:rsidR="00CE5826" w:rsidRPr="006F5163">
        <w:t>ai</w:t>
      </w:r>
      <w:r w:rsidRPr="006F5163">
        <w:t>s/</w:t>
      </w:r>
      <w:proofErr w:type="spellStart"/>
      <w:r w:rsidRPr="006F5163">
        <w:t>ARNi</w:t>
      </w:r>
      <w:proofErr w:type="spellEnd"/>
      <w:r w:rsidRPr="006F5163">
        <w:t xml:space="preserve">, beta </w:t>
      </w:r>
      <w:proofErr w:type="spellStart"/>
      <w:r w:rsidRPr="006F5163">
        <w:t>adrenerginių</w:t>
      </w:r>
      <w:proofErr w:type="spellEnd"/>
      <w:r w:rsidRPr="006F5163">
        <w:t xml:space="preserve"> receptorių blokatori</w:t>
      </w:r>
      <w:r w:rsidR="00CE5826" w:rsidRPr="006F5163">
        <w:t>ai</w:t>
      </w:r>
      <w:r w:rsidRPr="006F5163">
        <w:t xml:space="preserve">s ir/arba </w:t>
      </w:r>
      <w:proofErr w:type="spellStart"/>
      <w:r w:rsidRPr="006F5163">
        <w:t>mineralkortikoidų</w:t>
      </w:r>
      <w:proofErr w:type="spellEnd"/>
      <w:r w:rsidRPr="006F5163">
        <w:t xml:space="preserve"> receptorių antagonist</w:t>
      </w:r>
      <w:r w:rsidR="00CE5826" w:rsidRPr="006F5163">
        <w:t>ai</w:t>
      </w:r>
      <w:r w:rsidRPr="006F5163">
        <w:t xml:space="preserve">s, </w:t>
      </w:r>
      <w:r w:rsidR="00CE5826" w:rsidRPr="006F5163">
        <w:t xml:space="preserve">laikomas </w:t>
      </w:r>
      <w:r w:rsidRPr="006F5163">
        <w:rPr>
          <w:b/>
        </w:rPr>
        <w:t xml:space="preserve">tinkamu </w:t>
      </w:r>
      <w:r w:rsidRPr="006F5163">
        <w:t>palyginamuoju gydymu.</w:t>
      </w:r>
      <w:r w:rsidRPr="006F5163">
        <w:rPr>
          <w:rFonts w:eastAsia="Arial"/>
        </w:rPr>
        <w:tab/>
      </w:r>
    </w:p>
    <w:p w14:paraId="6B94B2B0" w14:textId="77777777" w:rsidR="002B38A9" w:rsidRPr="006F5163" w:rsidRDefault="002B38A9" w:rsidP="00966A05">
      <w:pPr>
        <w:tabs>
          <w:tab w:val="left" w:pos="426"/>
        </w:tabs>
        <w:spacing w:line="276" w:lineRule="auto"/>
        <w:jc w:val="both"/>
        <w:rPr>
          <w:rFonts w:eastAsia="Arial"/>
        </w:rPr>
      </w:pPr>
    </w:p>
    <w:p w14:paraId="429800D9" w14:textId="77777777" w:rsidR="002B38A9" w:rsidRPr="006F5163" w:rsidRDefault="002B38A9" w:rsidP="00966A05">
      <w:pPr>
        <w:tabs>
          <w:tab w:val="left" w:pos="426"/>
        </w:tabs>
        <w:spacing w:line="276" w:lineRule="auto"/>
        <w:jc w:val="both"/>
        <w:rPr>
          <w:i/>
          <w:color w:val="00B050"/>
          <w:lang w:eastAsia="lt-LT"/>
        </w:rPr>
      </w:pPr>
      <w:r w:rsidRPr="006F5163">
        <w:rPr>
          <w:i/>
          <w:color w:val="000000" w:themeColor="text1"/>
          <w:lang w:eastAsia="lt-LT"/>
        </w:rPr>
        <w:t>Tiesioginis palyginimas</w:t>
      </w:r>
    </w:p>
    <w:p w14:paraId="5C6568DC" w14:textId="7A442368" w:rsidR="002B38A9" w:rsidRPr="006F5163" w:rsidRDefault="002B38A9" w:rsidP="00966A05">
      <w:pPr>
        <w:pStyle w:val="ListParagraph"/>
        <w:spacing w:after="120" w:line="276" w:lineRule="auto"/>
        <w:ind w:left="0" w:firstLine="720"/>
        <w:jc w:val="both"/>
      </w:pPr>
      <w:r w:rsidRPr="006F5163">
        <w:rPr>
          <w:rFonts w:eastAsia="Arial"/>
        </w:rPr>
        <w:t xml:space="preserve">Pareiškėjas </w:t>
      </w:r>
      <w:r w:rsidR="004D62A0" w:rsidRPr="006F5163">
        <w:rPr>
          <w:rFonts w:eastAsia="Arial"/>
        </w:rPr>
        <w:t xml:space="preserve">tiesioginiam palyginimui </w:t>
      </w:r>
      <w:r w:rsidRPr="006F5163">
        <w:rPr>
          <w:rFonts w:eastAsia="Arial"/>
        </w:rPr>
        <w:t>pateikė atsitiktinių imčių klinikinį tyrimą VICTORIA. Tai yra 3 fazės klinikinis tyrimas, kuris buvo pateiktas</w:t>
      </w:r>
      <w:r w:rsidR="0066096D" w:rsidRPr="006F5163">
        <w:rPr>
          <w:rFonts w:eastAsia="Arial"/>
        </w:rPr>
        <w:t xml:space="preserve"> paraiškoje registruoti vaistinį preparatą</w:t>
      </w:r>
      <w:r w:rsidRPr="006F5163">
        <w:rPr>
          <w:rFonts w:eastAsia="Arial"/>
        </w:rPr>
        <w:t xml:space="preserve"> indikacij</w:t>
      </w:r>
      <w:r w:rsidR="0066096D" w:rsidRPr="006F5163">
        <w:rPr>
          <w:rFonts w:eastAsia="Arial"/>
        </w:rPr>
        <w:t>ai</w:t>
      </w:r>
      <w:r w:rsidRPr="006F5163">
        <w:rPr>
          <w:rFonts w:eastAsia="Arial"/>
        </w:rPr>
        <w:t xml:space="preserve"> </w:t>
      </w:r>
      <w:r w:rsidRPr="006F5163">
        <w:t xml:space="preserve">simptominiam lėtiniam širdies nepakankamumui su sumažėjusia išstūmimo frakcija gydyti suaugusiems pacientams, kurių būklei stabilizuoti po neseniai įvykusio </w:t>
      </w:r>
      <w:proofErr w:type="spellStart"/>
      <w:r w:rsidRPr="006F5163">
        <w:t>dekompensacijos</w:t>
      </w:r>
      <w:proofErr w:type="spellEnd"/>
      <w:r w:rsidRPr="006F5163">
        <w:t xml:space="preserve"> epizodo buvo taikyta intraveninė (</w:t>
      </w:r>
      <w:proofErr w:type="spellStart"/>
      <w:r w:rsidRPr="006F5163">
        <w:t>i.v</w:t>
      </w:r>
      <w:proofErr w:type="spellEnd"/>
      <w:r w:rsidRPr="006F5163">
        <w:t xml:space="preserve">.) terapija. Palyginamasis gydymas - standartinis gydymas. </w:t>
      </w:r>
    </w:p>
    <w:p w14:paraId="3974AC92" w14:textId="190DA6A7" w:rsidR="002B38A9" w:rsidRPr="006F5163" w:rsidRDefault="002B38A9" w:rsidP="00966A05">
      <w:pPr>
        <w:tabs>
          <w:tab w:val="left" w:pos="426"/>
        </w:tabs>
        <w:spacing w:line="276" w:lineRule="auto"/>
        <w:jc w:val="both"/>
        <w:rPr>
          <w:rFonts w:eastAsia="Arial"/>
          <w:color w:val="000000" w:themeColor="text1"/>
        </w:rPr>
      </w:pPr>
      <w:r w:rsidRPr="006F5163">
        <w:rPr>
          <w:rFonts w:eastAsia="Arial"/>
          <w:color w:val="000000" w:themeColor="text1"/>
        </w:rPr>
        <w:tab/>
        <w:t xml:space="preserve">Klinikinio tyrimo VICTORIA populiaciją sudarė pacientai, kuriems buvo nustatytas lėtinis širdies nepakankamumas II, III arba IV klasės pagal </w:t>
      </w:r>
      <w:r w:rsidR="0066096D" w:rsidRPr="006F5163">
        <w:rPr>
          <w:rFonts w:eastAsia="Arial"/>
          <w:color w:val="000000" w:themeColor="text1"/>
        </w:rPr>
        <w:t>Niujorko Širdies Asociacija (</w:t>
      </w:r>
      <w:r w:rsidRPr="006F5163">
        <w:rPr>
          <w:rFonts w:eastAsia="Arial"/>
          <w:color w:val="000000" w:themeColor="text1"/>
        </w:rPr>
        <w:t>NYHA) klasifikaciją su sumažėjusia išstūmimo frakcija (pagal protokolo įtraukimo kriterijus &lt; 45 proc. per paskutinius 12 mėnesius iki atsitiktinės imčių atrankos). Remiantis ESC (2016, 2021) rekomendacijomis ir Lietuvos ŠN diagnostikos metodika (2017), tinkama pacientų populiacija Lietuvoje būtų pacientai, kuriems yra diagnozuotas širdies nepakankamumas su sumažėjusia išstūmimo frakcija (&lt; 40 proc.). Įvertinus pradines pacientų charakteristikas</w:t>
      </w:r>
      <w:r w:rsidR="00060B8B" w:rsidRPr="006F5163">
        <w:rPr>
          <w:rFonts w:eastAsia="Arial"/>
          <w:color w:val="000000" w:themeColor="text1"/>
        </w:rPr>
        <w:t xml:space="preserve"> į tyrimą įtrauktų pacientų (angl. </w:t>
      </w:r>
      <w:proofErr w:type="spellStart"/>
      <w:r w:rsidR="0066096D" w:rsidRPr="006F5163">
        <w:rPr>
          <w:rFonts w:eastAsia="Arial"/>
          <w:i/>
          <w:color w:val="000000" w:themeColor="text1"/>
        </w:rPr>
        <w:t>intention</w:t>
      </w:r>
      <w:proofErr w:type="spellEnd"/>
      <w:r w:rsidR="0066096D" w:rsidRPr="006F5163">
        <w:rPr>
          <w:rFonts w:eastAsia="Arial"/>
          <w:i/>
          <w:color w:val="000000" w:themeColor="text1"/>
        </w:rPr>
        <w:t xml:space="preserve"> –to –</w:t>
      </w:r>
      <w:proofErr w:type="spellStart"/>
      <w:r w:rsidR="0066096D" w:rsidRPr="006F5163">
        <w:rPr>
          <w:rFonts w:eastAsia="Arial"/>
          <w:i/>
          <w:color w:val="000000" w:themeColor="text1"/>
        </w:rPr>
        <w:t>treat</w:t>
      </w:r>
      <w:proofErr w:type="spellEnd"/>
      <w:r w:rsidR="00060B8B" w:rsidRPr="006F5163">
        <w:rPr>
          <w:rFonts w:eastAsia="Arial"/>
          <w:i/>
          <w:color w:val="000000" w:themeColor="text1"/>
        </w:rPr>
        <w:t xml:space="preserve">, </w:t>
      </w:r>
      <w:r w:rsidRPr="006F5163">
        <w:rPr>
          <w:rFonts w:eastAsia="Arial"/>
          <w:color w:val="000000" w:themeColor="text1"/>
        </w:rPr>
        <w:t>ITT</w:t>
      </w:r>
      <w:r w:rsidR="0066096D" w:rsidRPr="006F5163">
        <w:rPr>
          <w:rFonts w:eastAsia="Arial"/>
          <w:color w:val="000000" w:themeColor="text1"/>
        </w:rPr>
        <w:t>)</w:t>
      </w:r>
      <w:r w:rsidRPr="006F5163">
        <w:rPr>
          <w:rFonts w:eastAsia="Arial"/>
          <w:color w:val="000000" w:themeColor="text1"/>
        </w:rPr>
        <w:t xml:space="preserve"> populiacijoje tokių pacientų buvo 85,7 proc. </w:t>
      </w:r>
    </w:p>
    <w:p w14:paraId="4C0D1F0D" w14:textId="676A5073" w:rsidR="002B38A9" w:rsidRPr="006F5163" w:rsidRDefault="002B38A9" w:rsidP="00966A05">
      <w:pPr>
        <w:spacing w:line="276" w:lineRule="auto"/>
        <w:ind w:firstLine="720"/>
        <w:jc w:val="both"/>
        <w:rPr>
          <w:rFonts w:eastAsia="Arial"/>
        </w:rPr>
      </w:pPr>
      <w:r w:rsidRPr="006F5163">
        <w:rPr>
          <w:rFonts w:eastAsia="Arial"/>
          <w:color w:val="000000" w:themeColor="text1"/>
        </w:rPr>
        <w:t>VICTORIA tyrimas – atsitiktinių imčių, dvigubai koduotas, placeb</w:t>
      </w:r>
      <w:r w:rsidR="00060B8B" w:rsidRPr="006F5163">
        <w:rPr>
          <w:rFonts w:eastAsia="Arial"/>
          <w:color w:val="000000" w:themeColor="text1"/>
        </w:rPr>
        <w:t>u</w:t>
      </w:r>
      <w:r w:rsidRPr="006F5163">
        <w:rPr>
          <w:rFonts w:eastAsia="Arial"/>
          <w:color w:val="000000" w:themeColor="text1"/>
        </w:rPr>
        <w:t xml:space="preserve"> kontroliuojamas 3 fazės klinikinis tyrimas. Pacientai buvo suskirstyti į 2 grupės atsitiktinių imčių būdu santykiu 1:1, vienoje grupėje pacientai vartojo </w:t>
      </w:r>
      <w:proofErr w:type="spellStart"/>
      <w:r w:rsidRPr="006F5163">
        <w:rPr>
          <w:rFonts w:eastAsia="Arial"/>
          <w:color w:val="000000" w:themeColor="text1"/>
        </w:rPr>
        <w:t>vericiguatą</w:t>
      </w:r>
      <w:proofErr w:type="spellEnd"/>
      <w:r w:rsidRPr="006F5163">
        <w:rPr>
          <w:rFonts w:eastAsia="Arial"/>
          <w:color w:val="000000" w:themeColor="text1"/>
        </w:rPr>
        <w:t xml:space="preserve"> ir kitoje - placeb</w:t>
      </w:r>
      <w:r w:rsidR="00060B8B" w:rsidRPr="006F5163">
        <w:rPr>
          <w:rFonts w:eastAsia="Arial"/>
          <w:color w:val="000000" w:themeColor="text1"/>
        </w:rPr>
        <w:t>ą</w:t>
      </w:r>
      <w:r w:rsidRPr="006F5163">
        <w:rPr>
          <w:rFonts w:eastAsia="Arial"/>
          <w:color w:val="000000" w:themeColor="text1"/>
        </w:rPr>
        <w:t xml:space="preserve">. Tyrimo </w:t>
      </w:r>
      <w:r w:rsidR="00060B8B" w:rsidRPr="006F5163">
        <w:rPr>
          <w:rFonts w:eastAsia="Arial"/>
          <w:color w:val="000000" w:themeColor="text1"/>
        </w:rPr>
        <w:t xml:space="preserve">metu </w:t>
      </w:r>
      <w:r w:rsidRPr="006F5163">
        <w:rPr>
          <w:rFonts w:eastAsia="Arial"/>
          <w:color w:val="000000" w:themeColor="text1"/>
        </w:rPr>
        <w:t xml:space="preserve">gydymas buvo skiriamas </w:t>
      </w:r>
      <w:r w:rsidRPr="006F5163">
        <w:rPr>
          <w:rFonts w:eastAsia="Arial"/>
          <w:color w:val="000000" w:themeColor="text1"/>
        </w:rPr>
        <w:lastRenderedPageBreak/>
        <w:t>papildomai prie standartinio ŠN gydymo (</w:t>
      </w:r>
      <w:proofErr w:type="spellStart"/>
      <w:r w:rsidRPr="006F5163">
        <w:rPr>
          <w:rFonts w:eastAsia="Arial"/>
          <w:color w:val="000000" w:themeColor="text1"/>
        </w:rPr>
        <w:t>t.y</w:t>
      </w:r>
      <w:proofErr w:type="spellEnd"/>
      <w:r w:rsidRPr="006F5163">
        <w:rPr>
          <w:rFonts w:eastAsia="Arial"/>
          <w:color w:val="000000" w:themeColor="text1"/>
        </w:rPr>
        <w:t>. AKF inhibitori</w:t>
      </w:r>
      <w:r w:rsidR="00060B8B" w:rsidRPr="006F5163">
        <w:rPr>
          <w:rFonts w:eastAsia="Arial"/>
          <w:color w:val="000000" w:themeColor="text1"/>
        </w:rPr>
        <w:t>ų</w:t>
      </w:r>
      <w:r w:rsidRPr="006F5163">
        <w:rPr>
          <w:rFonts w:eastAsia="Arial"/>
          <w:color w:val="000000" w:themeColor="text1"/>
        </w:rPr>
        <w:t xml:space="preserve">, </w:t>
      </w:r>
      <w:proofErr w:type="spellStart"/>
      <w:r w:rsidRPr="006F5163">
        <w:rPr>
          <w:rFonts w:eastAsia="Arial"/>
          <w:color w:val="000000" w:themeColor="text1"/>
        </w:rPr>
        <w:t>angiotenzino</w:t>
      </w:r>
      <w:proofErr w:type="spellEnd"/>
      <w:r w:rsidRPr="006F5163">
        <w:rPr>
          <w:rFonts w:eastAsia="Arial"/>
          <w:color w:val="000000" w:themeColor="text1"/>
        </w:rPr>
        <w:t xml:space="preserve"> II receptorių blokatori</w:t>
      </w:r>
      <w:r w:rsidR="00060B8B" w:rsidRPr="006F5163">
        <w:rPr>
          <w:rFonts w:eastAsia="Arial"/>
          <w:color w:val="000000" w:themeColor="text1"/>
        </w:rPr>
        <w:t>ų</w:t>
      </w:r>
      <w:r w:rsidRPr="006F5163">
        <w:rPr>
          <w:rFonts w:eastAsia="Arial"/>
          <w:color w:val="000000" w:themeColor="text1"/>
        </w:rPr>
        <w:t xml:space="preserve"> (ARB), beta </w:t>
      </w:r>
      <w:proofErr w:type="spellStart"/>
      <w:r w:rsidR="00060B8B" w:rsidRPr="006F5163">
        <w:rPr>
          <w:rFonts w:eastAsia="Arial"/>
          <w:color w:val="000000" w:themeColor="text1"/>
        </w:rPr>
        <w:t>adren</w:t>
      </w:r>
      <w:r w:rsidR="00407753" w:rsidRPr="006F5163">
        <w:rPr>
          <w:rFonts w:eastAsia="Arial"/>
          <w:color w:val="000000" w:themeColor="text1"/>
        </w:rPr>
        <w:t>erginių</w:t>
      </w:r>
      <w:proofErr w:type="spellEnd"/>
      <w:r w:rsidR="00407753" w:rsidRPr="006F5163">
        <w:rPr>
          <w:rFonts w:eastAsia="Arial"/>
          <w:color w:val="000000" w:themeColor="text1"/>
        </w:rPr>
        <w:t xml:space="preserve"> receptorių </w:t>
      </w:r>
      <w:r w:rsidRPr="006F5163">
        <w:rPr>
          <w:rFonts w:eastAsia="Arial"/>
          <w:color w:val="000000" w:themeColor="text1"/>
        </w:rPr>
        <w:t>blokatori</w:t>
      </w:r>
      <w:r w:rsidR="00060B8B" w:rsidRPr="006F5163">
        <w:rPr>
          <w:rFonts w:eastAsia="Arial"/>
          <w:color w:val="000000" w:themeColor="text1"/>
        </w:rPr>
        <w:t>ų</w:t>
      </w:r>
      <w:r w:rsidRPr="006F5163">
        <w:rPr>
          <w:rFonts w:eastAsia="Arial"/>
          <w:color w:val="000000" w:themeColor="text1"/>
        </w:rPr>
        <w:t xml:space="preserve">, </w:t>
      </w:r>
      <w:proofErr w:type="spellStart"/>
      <w:r w:rsidRPr="006F5163">
        <w:rPr>
          <w:rFonts w:eastAsia="Arial"/>
          <w:color w:val="000000" w:themeColor="text1"/>
        </w:rPr>
        <w:t>mineralkortikoidų</w:t>
      </w:r>
      <w:proofErr w:type="spellEnd"/>
      <w:r w:rsidRPr="006F5163">
        <w:rPr>
          <w:rFonts w:eastAsia="Arial"/>
          <w:color w:val="000000" w:themeColor="text1"/>
        </w:rPr>
        <w:t xml:space="preserve"> receptorių </w:t>
      </w:r>
      <w:proofErr w:type="spellStart"/>
      <w:r w:rsidRPr="006F5163">
        <w:rPr>
          <w:rFonts w:eastAsia="Arial"/>
          <w:color w:val="000000" w:themeColor="text1"/>
        </w:rPr>
        <w:t>antgonist</w:t>
      </w:r>
      <w:r w:rsidR="00060B8B" w:rsidRPr="006F5163">
        <w:rPr>
          <w:rFonts w:eastAsia="Arial"/>
          <w:color w:val="000000" w:themeColor="text1"/>
        </w:rPr>
        <w:t>ų</w:t>
      </w:r>
      <w:proofErr w:type="spellEnd"/>
      <w:r w:rsidRPr="006F5163">
        <w:rPr>
          <w:rFonts w:eastAsia="Arial"/>
          <w:color w:val="000000" w:themeColor="text1"/>
        </w:rPr>
        <w:t xml:space="preserve">). </w:t>
      </w:r>
      <w:r w:rsidR="004D62A0" w:rsidRPr="006F5163">
        <w:rPr>
          <w:rFonts w:eastAsia="Arial"/>
        </w:rPr>
        <w:t>ITT sudaro</w:t>
      </w:r>
      <w:r w:rsidRPr="006F5163">
        <w:rPr>
          <w:rFonts w:eastAsia="Arial"/>
        </w:rPr>
        <w:t xml:space="preserve"> 5050 pacientų, iš jų 2526 pacientai pateko į </w:t>
      </w:r>
      <w:proofErr w:type="spellStart"/>
      <w:r w:rsidRPr="006F5163">
        <w:rPr>
          <w:rFonts w:eastAsia="Arial"/>
        </w:rPr>
        <w:t>vericiguato</w:t>
      </w:r>
      <w:proofErr w:type="spellEnd"/>
      <w:r w:rsidRPr="006F5163">
        <w:rPr>
          <w:rFonts w:eastAsia="Arial"/>
        </w:rPr>
        <w:t xml:space="preserve"> grupę ir 2524 pacientai pateko į placebo grupę. Pateikti tyrimo rezultatai: hospitalizavimo dėl širdies nepakankamumo ir mirties dėl širdies ir kraujagyslių ligų atvejų dažnis tiriamose grupėse, atitinka </w:t>
      </w:r>
      <w:r w:rsidR="004D62A0" w:rsidRPr="006F5163">
        <w:rPr>
          <w:rFonts w:eastAsia="Arial"/>
        </w:rPr>
        <w:t xml:space="preserve">tyrime </w:t>
      </w:r>
      <w:r w:rsidRPr="006F5163">
        <w:rPr>
          <w:rFonts w:eastAsia="Arial"/>
        </w:rPr>
        <w:t xml:space="preserve">užsibrėžtus tikslus. Pirminė vertinamoji baigtis susideda iš 2-jų dalių: mirties dėl širdies ir kraujagyslių ligų atvejai ir </w:t>
      </w:r>
      <w:r w:rsidR="004D62A0" w:rsidRPr="006F5163">
        <w:rPr>
          <w:rFonts w:eastAsia="Arial"/>
        </w:rPr>
        <w:t>pirmo</w:t>
      </w:r>
      <w:r w:rsidRPr="006F5163">
        <w:rPr>
          <w:rFonts w:eastAsia="Arial"/>
        </w:rPr>
        <w:t xml:space="preserve"> </w:t>
      </w:r>
      <w:r w:rsidR="004D62A0" w:rsidRPr="006F5163">
        <w:rPr>
          <w:rFonts w:eastAsia="Arial"/>
        </w:rPr>
        <w:t>hospitalizavimo</w:t>
      </w:r>
      <w:r w:rsidRPr="006F5163">
        <w:rPr>
          <w:rFonts w:eastAsia="Arial"/>
        </w:rPr>
        <w:t xml:space="preserve"> dėl ŠN atvejai tyrimo metu. Šis rodiklis buvo vertinamas kaip dažnis ir lyginamas tarp tiriamųjų grupių. </w:t>
      </w:r>
      <w:r w:rsidRPr="006F5163">
        <w:rPr>
          <w:rFonts w:eastAsia="Arial"/>
          <w:i/>
          <w:u w:val="single"/>
        </w:rPr>
        <w:t>Pirminės sudėtinės baigties vertinimas</w:t>
      </w:r>
      <w:r w:rsidRPr="006F5163">
        <w:rPr>
          <w:rFonts w:eastAsia="Arial"/>
        </w:rPr>
        <w:t xml:space="preserve"> parodė, kad </w:t>
      </w:r>
      <w:r w:rsidR="00060B8B" w:rsidRPr="006F5163">
        <w:rPr>
          <w:rFonts w:eastAsia="Arial"/>
        </w:rPr>
        <w:t xml:space="preserve">dėl ŠN buvo hospitalizuoti arba mirė </w:t>
      </w:r>
      <w:r w:rsidRPr="006F5163">
        <w:rPr>
          <w:rFonts w:eastAsia="Arial"/>
        </w:rPr>
        <w:t>35,5 proc. pacientų (n=897)</w:t>
      </w:r>
      <w:r w:rsidR="00AA4C9C" w:rsidRPr="006F5163">
        <w:rPr>
          <w:rFonts w:eastAsia="Arial"/>
        </w:rPr>
        <w:t xml:space="preserve"> </w:t>
      </w:r>
      <w:proofErr w:type="spellStart"/>
      <w:r w:rsidR="00060B8B" w:rsidRPr="006F5163">
        <w:rPr>
          <w:rFonts w:eastAsia="Arial"/>
        </w:rPr>
        <w:t>vericiguato</w:t>
      </w:r>
      <w:proofErr w:type="spellEnd"/>
      <w:r w:rsidR="00060B8B" w:rsidRPr="006F5163">
        <w:rPr>
          <w:rFonts w:eastAsia="Arial"/>
        </w:rPr>
        <w:t xml:space="preserve"> grupėje </w:t>
      </w:r>
      <w:r w:rsidRPr="006F5163">
        <w:rPr>
          <w:rFonts w:eastAsia="Arial"/>
        </w:rPr>
        <w:t xml:space="preserve">, 38,5 proc. pacientų (n=972) </w:t>
      </w:r>
      <w:r w:rsidR="00060B8B" w:rsidRPr="006F5163">
        <w:rPr>
          <w:rFonts w:eastAsia="Arial"/>
        </w:rPr>
        <w:t xml:space="preserve">placebo grupėje. </w:t>
      </w:r>
      <w:r w:rsidRPr="006F5163">
        <w:rPr>
          <w:rFonts w:eastAsia="Arial"/>
        </w:rPr>
        <w:t>Rizikos santykis – 0,90 (95 proc. PI: 0,82 -0,98; p=0,02). Atskirai įvertinus pirminės baigties sudedamąsias dalis</w:t>
      </w:r>
      <w:r w:rsidR="00060B8B" w:rsidRPr="006F5163">
        <w:rPr>
          <w:rFonts w:eastAsia="Arial"/>
        </w:rPr>
        <w:t xml:space="preserve">, nustatyta, kad </w:t>
      </w:r>
      <w:r w:rsidRPr="006F5163">
        <w:rPr>
          <w:rFonts w:eastAsia="Arial"/>
        </w:rPr>
        <w:t xml:space="preserve"> mirties nuo širdies ir kraujagyslių ligų atvejų dažnis bei pirmo hospitalizavimo atvejų tyrimo metu dažnis tarp palyginamųjų grupių ne</w:t>
      </w:r>
      <w:r w:rsidR="00060B8B" w:rsidRPr="006F5163">
        <w:rPr>
          <w:rFonts w:eastAsia="Arial"/>
        </w:rPr>
        <w:t>siskyrė</w:t>
      </w:r>
      <w:r w:rsidRPr="006F5163">
        <w:rPr>
          <w:rFonts w:eastAsia="Arial"/>
        </w:rPr>
        <w:t xml:space="preserve">. Vertinant </w:t>
      </w:r>
      <w:r w:rsidRPr="006F5163">
        <w:rPr>
          <w:rFonts w:eastAsia="Arial"/>
          <w:i/>
          <w:u w:val="single"/>
        </w:rPr>
        <w:t>antrines vertinamąsias baigtis</w:t>
      </w:r>
      <w:r w:rsidRPr="006F5163">
        <w:rPr>
          <w:rFonts w:eastAsia="Arial"/>
        </w:rPr>
        <w:t xml:space="preserve"> (įvykiai/100 000 pacientų metus), </w:t>
      </w:r>
      <w:proofErr w:type="spellStart"/>
      <w:r w:rsidRPr="006F5163">
        <w:rPr>
          <w:rFonts w:eastAsia="Arial"/>
        </w:rPr>
        <w:t>vericiguato</w:t>
      </w:r>
      <w:proofErr w:type="spellEnd"/>
      <w:r w:rsidRPr="006F5163">
        <w:rPr>
          <w:rFonts w:eastAsia="Arial"/>
        </w:rPr>
        <w:t xml:space="preserve"> grupėje pacientai rečiau buvo hospitalizuojami dėl ŠN (RS=0,91, 95 proc. PI: 0,84-0,99; p</w:t>
      </w:r>
      <w:r w:rsidRPr="006F5163">
        <w:rPr>
          <w:rFonts w:eastAsia="Arial"/>
          <w:lang w:val="en-GB"/>
        </w:rPr>
        <w:t>=</w:t>
      </w:r>
      <w:r w:rsidRPr="006F5163">
        <w:rPr>
          <w:rFonts w:eastAsia="Arial"/>
        </w:rPr>
        <w:t xml:space="preserve">0,02) taip pat kartu vertinant mirties atvejų dėl bet kokios priežasties ir hospitalizavimo atvejų </w:t>
      </w:r>
      <w:proofErr w:type="spellStart"/>
      <w:r w:rsidRPr="006F5163">
        <w:rPr>
          <w:rFonts w:eastAsia="Arial"/>
        </w:rPr>
        <w:t>vericiguato</w:t>
      </w:r>
      <w:proofErr w:type="spellEnd"/>
      <w:r w:rsidRPr="006F5163">
        <w:rPr>
          <w:rFonts w:eastAsia="Arial"/>
        </w:rPr>
        <w:t xml:space="preserve"> grupėje šis rodiklis buvo geresnis nei placebo grupėje (RS=0,90, 95 proc. PI: 0,83-0,98; p</w:t>
      </w:r>
      <w:r w:rsidRPr="006F5163">
        <w:rPr>
          <w:rFonts w:eastAsia="Arial"/>
          <w:lang w:val="en-GB"/>
        </w:rPr>
        <w:t>=</w:t>
      </w:r>
      <w:r w:rsidRPr="006F5163">
        <w:rPr>
          <w:rFonts w:eastAsia="Arial"/>
        </w:rPr>
        <w:t>0,02). Vertinant kitas antrines baigtis</w:t>
      </w:r>
      <w:r w:rsidR="00060B8B" w:rsidRPr="006F5163">
        <w:rPr>
          <w:rFonts w:eastAsia="Arial"/>
        </w:rPr>
        <w:t xml:space="preserve"> nustatyta, kad</w:t>
      </w:r>
      <w:r w:rsidRPr="006F5163">
        <w:rPr>
          <w:rFonts w:eastAsia="Arial"/>
        </w:rPr>
        <w:t xml:space="preserve"> mirties nuo širdies ir kraujagyslių ligų su prieš </w:t>
      </w:r>
      <w:r w:rsidR="00060B8B" w:rsidRPr="006F5163">
        <w:rPr>
          <w:rFonts w:eastAsia="Arial"/>
        </w:rPr>
        <w:t>tai buvusiu</w:t>
      </w:r>
      <w:r w:rsidRPr="006F5163">
        <w:rPr>
          <w:rFonts w:eastAsia="Arial"/>
        </w:rPr>
        <w:t xml:space="preserve"> hospitalizavimu dėl ŠN paūmėjimo bei mirties nuo bet kokios priežasties atvejų dažnius, tarp tiriamųjų grupių</w:t>
      </w:r>
      <w:r w:rsidR="00060B8B" w:rsidRPr="006F5163">
        <w:rPr>
          <w:rFonts w:eastAsia="Arial"/>
        </w:rPr>
        <w:t xml:space="preserve"> nesiskyrė</w:t>
      </w:r>
      <w:r w:rsidRPr="006F5163">
        <w:rPr>
          <w:rFonts w:eastAsia="Arial"/>
        </w:rPr>
        <w:t xml:space="preserve">. </w:t>
      </w:r>
    </w:p>
    <w:p w14:paraId="2E6D108A" w14:textId="624BA4D4" w:rsidR="002B38A9" w:rsidRPr="006F5163" w:rsidRDefault="002B38A9" w:rsidP="00966A05">
      <w:pPr>
        <w:spacing w:line="276" w:lineRule="auto"/>
        <w:ind w:firstLine="720"/>
        <w:jc w:val="both"/>
      </w:pPr>
      <w:r w:rsidRPr="006F5163">
        <w:rPr>
          <w:rFonts w:eastAsia="Arial"/>
        </w:rPr>
        <w:t>Palyginamasis saugumas neparodė jokių išskirtinių nepageidaujamų reiškinių atsiradimo, tačiau, pažymėtina, kad v</w:t>
      </w:r>
      <w:r w:rsidRPr="006F5163">
        <w:t xml:space="preserve">ykdoma papildoma šio vaistinio preparato </w:t>
      </w:r>
      <w:r w:rsidR="00060B8B" w:rsidRPr="006F5163">
        <w:t xml:space="preserve">saugumo </w:t>
      </w:r>
      <w:r w:rsidRPr="006F5163">
        <w:t>stebėsena</w:t>
      </w:r>
      <w:r w:rsidR="00060B8B" w:rsidRPr="006F5163">
        <w:t xml:space="preserve">. </w:t>
      </w:r>
      <w:r w:rsidRPr="006F5163">
        <w:t>Sveikatos priežiūros specialistai turi pranešti apie bet kokias įtariamas nepageidaujamas reakcijas.</w:t>
      </w:r>
    </w:p>
    <w:p w14:paraId="2920374E" w14:textId="77777777" w:rsidR="002B38A9" w:rsidRPr="006F5163" w:rsidRDefault="002B38A9" w:rsidP="00966A05">
      <w:pPr>
        <w:spacing w:line="276" w:lineRule="auto"/>
        <w:ind w:firstLine="720"/>
        <w:jc w:val="both"/>
        <w:rPr>
          <w:rFonts w:eastAsia="Arial"/>
          <w:i/>
        </w:rPr>
      </w:pPr>
      <w:r w:rsidRPr="006F5163">
        <w:rPr>
          <w:i/>
        </w:rPr>
        <w:t xml:space="preserve">Netiesioginis palyginimas </w:t>
      </w:r>
    </w:p>
    <w:p w14:paraId="53F67584" w14:textId="014CE938" w:rsidR="002B38A9" w:rsidRPr="006F5163" w:rsidRDefault="00060B8B" w:rsidP="00966A05">
      <w:pPr>
        <w:tabs>
          <w:tab w:val="left" w:pos="709"/>
        </w:tabs>
        <w:spacing w:line="276" w:lineRule="auto"/>
        <w:jc w:val="both"/>
        <w:rPr>
          <w:lang w:eastAsia="lt-LT"/>
        </w:rPr>
      </w:pPr>
      <w:r w:rsidRPr="006F5163">
        <w:rPr>
          <w:rFonts w:eastAsia="Arial"/>
        </w:rPr>
        <w:tab/>
      </w:r>
      <w:r w:rsidR="002B38A9" w:rsidRPr="006F5163">
        <w:rPr>
          <w:rFonts w:eastAsia="Arial"/>
        </w:rPr>
        <w:t>Neties</w:t>
      </w:r>
      <w:r w:rsidR="004D62A0" w:rsidRPr="006F5163">
        <w:rPr>
          <w:rFonts w:eastAsia="Arial"/>
        </w:rPr>
        <w:t>ioginėje analizėje buvo lyginamos</w:t>
      </w:r>
      <w:r w:rsidR="002B38A9" w:rsidRPr="006F5163">
        <w:rPr>
          <w:rFonts w:eastAsia="Arial"/>
        </w:rPr>
        <w:t xml:space="preserve"> VICTORIA ir PARADIGM-HF pacientų populiacijos bei vaistinių preparatų </w:t>
      </w:r>
      <w:proofErr w:type="spellStart"/>
      <w:r w:rsidR="002B38A9" w:rsidRPr="006F5163">
        <w:rPr>
          <w:rFonts w:eastAsia="Arial"/>
        </w:rPr>
        <w:t>vericiguato</w:t>
      </w:r>
      <w:proofErr w:type="spellEnd"/>
      <w:r w:rsidR="002B38A9" w:rsidRPr="006F5163">
        <w:rPr>
          <w:rFonts w:eastAsia="Arial"/>
        </w:rPr>
        <w:t xml:space="preserve"> bei </w:t>
      </w:r>
      <w:proofErr w:type="spellStart"/>
      <w:r w:rsidR="002B38A9" w:rsidRPr="006F5163">
        <w:rPr>
          <w:iCs/>
        </w:rPr>
        <w:t>sakubitrilo</w:t>
      </w:r>
      <w:proofErr w:type="spellEnd"/>
      <w:r w:rsidR="002B38A9" w:rsidRPr="006F5163">
        <w:rPr>
          <w:iCs/>
        </w:rPr>
        <w:t xml:space="preserve"> ir </w:t>
      </w:r>
      <w:proofErr w:type="spellStart"/>
      <w:r w:rsidR="002B38A9" w:rsidRPr="006F5163">
        <w:rPr>
          <w:iCs/>
        </w:rPr>
        <w:t>valsartano</w:t>
      </w:r>
      <w:proofErr w:type="spellEnd"/>
      <w:r w:rsidR="002B38A9" w:rsidRPr="006F5163">
        <w:rPr>
          <w:iCs/>
        </w:rPr>
        <w:t xml:space="preserve"> derinio veiksmingumas. Pažymėtina, kad abiejų klinikinių tyrimų pacientų populiacijos </w:t>
      </w:r>
      <w:r w:rsidR="002B38A9" w:rsidRPr="006F5163">
        <w:rPr>
          <w:rFonts w:eastAsia="Arial"/>
        </w:rPr>
        <w:t xml:space="preserve">reikšmingai skiriasi. </w:t>
      </w:r>
      <w:r w:rsidR="002B38A9" w:rsidRPr="006F5163">
        <w:rPr>
          <w:iCs/>
        </w:rPr>
        <w:t xml:space="preserve">Pagrindiniai skirtumai ir </w:t>
      </w:r>
      <w:proofErr w:type="spellStart"/>
      <w:r w:rsidR="002B38A9" w:rsidRPr="006F5163">
        <w:rPr>
          <w:iCs/>
        </w:rPr>
        <w:t>heterogeniškumai</w:t>
      </w:r>
      <w:proofErr w:type="spellEnd"/>
      <w:r w:rsidR="002B38A9" w:rsidRPr="006F5163">
        <w:rPr>
          <w:iCs/>
        </w:rPr>
        <w:t xml:space="preserve">: </w:t>
      </w:r>
      <w:proofErr w:type="spellStart"/>
      <w:r w:rsidR="002B38A9" w:rsidRPr="006F5163">
        <w:rPr>
          <w:iCs/>
        </w:rPr>
        <w:t>NTproBNP</w:t>
      </w:r>
      <w:proofErr w:type="spellEnd"/>
      <w:r w:rsidR="002B38A9" w:rsidRPr="006F5163">
        <w:rPr>
          <w:iCs/>
        </w:rPr>
        <w:t xml:space="preserve"> </w:t>
      </w:r>
      <w:proofErr w:type="spellStart"/>
      <w:r w:rsidR="002B38A9" w:rsidRPr="006F5163">
        <w:rPr>
          <w:iCs/>
        </w:rPr>
        <w:t>koncentraijos</w:t>
      </w:r>
      <w:proofErr w:type="spellEnd"/>
      <w:r w:rsidR="002B38A9" w:rsidRPr="006F5163">
        <w:rPr>
          <w:iCs/>
        </w:rPr>
        <w:t xml:space="preserve">, klinikinis paciento stabilumas skiriasi laiko kontekste, skirtingi pacientų </w:t>
      </w:r>
      <w:r w:rsidR="004D62A0" w:rsidRPr="006F5163">
        <w:rPr>
          <w:iCs/>
        </w:rPr>
        <w:t xml:space="preserve">įtraukimo </w:t>
      </w:r>
      <w:r w:rsidR="002B38A9" w:rsidRPr="006F5163">
        <w:rPr>
          <w:iCs/>
        </w:rPr>
        <w:t xml:space="preserve">kriterijai (LVEF, </w:t>
      </w:r>
      <w:proofErr w:type="spellStart"/>
      <w:r w:rsidR="002B38A9" w:rsidRPr="006F5163">
        <w:rPr>
          <w:iCs/>
        </w:rPr>
        <w:t>eGFR</w:t>
      </w:r>
      <w:proofErr w:type="spellEnd"/>
      <w:r w:rsidR="002B38A9" w:rsidRPr="006F5163">
        <w:rPr>
          <w:iCs/>
        </w:rPr>
        <w:t xml:space="preserve"> ir kt.), </w:t>
      </w:r>
      <w:proofErr w:type="spellStart"/>
      <w:r w:rsidR="002B38A9" w:rsidRPr="006F5163">
        <w:rPr>
          <w:iCs/>
        </w:rPr>
        <w:t>vericiguato</w:t>
      </w:r>
      <w:proofErr w:type="spellEnd"/>
      <w:r w:rsidR="002B38A9" w:rsidRPr="006F5163">
        <w:rPr>
          <w:iCs/>
        </w:rPr>
        <w:t xml:space="preserve"> tyrime 100% pacientų su ŠN </w:t>
      </w:r>
      <w:proofErr w:type="spellStart"/>
      <w:r w:rsidR="002B38A9" w:rsidRPr="006F5163">
        <w:rPr>
          <w:iCs/>
        </w:rPr>
        <w:t>dekompensacija</w:t>
      </w:r>
      <w:proofErr w:type="spellEnd"/>
      <w:r w:rsidR="002B38A9" w:rsidRPr="006F5163">
        <w:rPr>
          <w:iCs/>
        </w:rPr>
        <w:t>, lyginant su ~30% kitų vaistinių preparatų tyrimuose, pradinė pagrindinės sudėtinės baigties rizika rodo didesnę dalį sergančių/sunki</w:t>
      </w:r>
      <w:r w:rsidR="00407753" w:rsidRPr="006F5163">
        <w:rPr>
          <w:iCs/>
        </w:rPr>
        <w:t>ai serganči</w:t>
      </w:r>
      <w:r w:rsidR="002B38A9" w:rsidRPr="006F5163">
        <w:rPr>
          <w:iCs/>
        </w:rPr>
        <w:t xml:space="preserve">ų pacientų. </w:t>
      </w:r>
      <w:r w:rsidR="002B38A9" w:rsidRPr="006F5163">
        <w:rPr>
          <w:rFonts w:eastAsia="Arial"/>
        </w:rPr>
        <w:t xml:space="preserve">Dėl šios priežasties pareiškėjas pateikė </w:t>
      </w:r>
      <w:r w:rsidR="00407753" w:rsidRPr="006F5163">
        <w:rPr>
          <w:rFonts w:eastAsia="Arial"/>
        </w:rPr>
        <w:t>s</w:t>
      </w:r>
      <w:r w:rsidR="002B38A9" w:rsidRPr="006F5163">
        <w:rPr>
          <w:iCs/>
        </w:rPr>
        <w:t>utapatintą netiesioginį gydymo palyginimą (angl</w:t>
      </w:r>
      <w:r w:rsidR="002B38A9" w:rsidRPr="006F5163">
        <w:rPr>
          <w:i/>
          <w:iCs/>
        </w:rPr>
        <w:t xml:space="preserve">. </w:t>
      </w:r>
      <w:proofErr w:type="spellStart"/>
      <w:r w:rsidR="002B38A9" w:rsidRPr="006F5163">
        <w:rPr>
          <w:i/>
          <w:iCs/>
        </w:rPr>
        <w:t>Matching-adjusted</w:t>
      </w:r>
      <w:proofErr w:type="spellEnd"/>
      <w:r w:rsidR="002B38A9" w:rsidRPr="006F5163">
        <w:rPr>
          <w:i/>
          <w:iCs/>
        </w:rPr>
        <w:t xml:space="preserve"> </w:t>
      </w:r>
      <w:proofErr w:type="spellStart"/>
      <w:r w:rsidR="002B38A9" w:rsidRPr="006F5163">
        <w:rPr>
          <w:i/>
          <w:iCs/>
        </w:rPr>
        <w:t>indirect</w:t>
      </w:r>
      <w:proofErr w:type="spellEnd"/>
      <w:r w:rsidR="002B38A9" w:rsidRPr="006F5163">
        <w:rPr>
          <w:i/>
          <w:iCs/>
        </w:rPr>
        <w:t xml:space="preserve"> </w:t>
      </w:r>
      <w:proofErr w:type="spellStart"/>
      <w:r w:rsidR="002B38A9" w:rsidRPr="006F5163">
        <w:rPr>
          <w:i/>
          <w:iCs/>
        </w:rPr>
        <w:t>treatment</w:t>
      </w:r>
      <w:proofErr w:type="spellEnd"/>
      <w:r w:rsidR="002B38A9" w:rsidRPr="006F5163">
        <w:rPr>
          <w:i/>
          <w:iCs/>
        </w:rPr>
        <w:t xml:space="preserve"> </w:t>
      </w:r>
      <w:proofErr w:type="spellStart"/>
      <w:r w:rsidR="002B38A9" w:rsidRPr="006F5163">
        <w:rPr>
          <w:i/>
          <w:iCs/>
        </w:rPr>
        <w:t>comparison</w:t>
      </w:r>
      <w:proofErr w:type="spellEnd"/>
      <w:r w:rsidR="002B38A9" w:rsidRPr="006F5163">
        <w:rPr>
          <w:iCs/>
        </w:rPr>
        <w:t xml:space="preserve">, MAIC). Pažymėtina, kad </w:t>
      </w:r>
      <w:r w:rsidR="002B38A9" w:rsidRPr="006F5163">
        <w:t xml:space="preserve">remiantis detalaus įvertinimo rezultatais ir klinikinėje vertinimo dalyje nurodytu esminiu prieštaravimu, </w:t>
      </w:r>
      <w:r w:rsidR="002B38A9" w:rsidRPr="006F5163">
        <w:rPr>
          <w:b/>
        </w:rPr>
        <w:t xml:space="preserve">tinkamu </w:t>
      </w:r>
      <w:r w:rsidR="002B38A9" w:rsidRPr="006F5163">
        <w:t>palyginamuoju gydymu laiko</w:t>
      </w:r>
      <w:r w:rsidR="00407753" w:rsidRPr="006F5163">
        <w:t>mas</w:t>
      </w:r>
      <w:r w:rsidR="002B38A9" w:rsidRPr="006F5163">
        <w:t xml:space="preserve"> standartin</w:t>
      </w:r>
      <w:r w:rsidR="00407753" w:rsidRPr="006F5163">
        <w:t>is</w:t>
      </w:r>
      <w:r w:rsidR="002B38A9" w:rsidRPr="006F5163">
        <w:t xml:space="preserve"> širdies nepakankamumo gydym</w:t>
      </w:r>
      <w:r w:rsidR="00407753" w:rsidRPr="006F5163">
        <w:t>as</w:t>
      </w:r>
      <w:r w:rsidR="002B38A9" w:rsidRPr="006F5163">
        <w:t xml:space="preserve"> </w:t>
      </w:r>
      <w:proofErr w:type="spellStart"/>
      <w:r w:rsidR="002B38A9" w:rsidRPr="006F5163">
        <w:t>angiotenziną</w:t>
      </w:r>
      <w:proofErr w:type="spellEnd"/>
      <w:r w:rsidR="002B38A9" w:rsidRPr="006F5163">
        <w:t xml:space="preserve"> konvertuojančio fermento inhibitori</w:t>
      </w:r>
      <w:r w:rsidR="00407753" w:rsidRPr="006F5163">
        <w:t>ais</w:t>
      </w:r>
      <w:r w:rsidR="002B38A9" w:rsidRPr="006F5163">
        <w:t>/</w:t>
      </w:r>
      <w:proofErr w:type="spellStart"/>
      <w:r w:rsidR="002B38A9" w:rsidRPr="006F5163">
        <w:t>angiotenzino</w:t>
      </w:r>
      <w:proofErr w:type="spellEnd"/>
      <w:r w:rsidR="002B38A9" w:rsidRPr="006F5163">
        <w:t xml:space="preserve"> II receptorių blokatori</w:t>
      </w:r>
      <w:r w:rsidR="00407753" w:rsidRPr="006F5163">
        <w:t>ai</w:t>
      </w:r>
      <w:r w:rsidR="002B38A9" w:rsidRPr="006F5163">
        <w:t>s/</w:t>
      </w:r>
      <w:proofErr w:type="spellStart"/>
      <w:r w:rsidR="002B38A9" w:rsidRPr="006F5163">
        <w:t>ARNi</w:t>
      </w:r>
      <w:proofErr w:type="spellEnd"/>
      <w:r w:rsidR="002B38A9" w:rsidRPr="006F5163">
        <w:t xml:space="preserve">, beta </w:t>
      </w:r>
      <w:proofErr w:type="spellStart"/>
      <w:r w:rsidR="002B38A9" w:rsidRPr="006F5163">
        <w:t>adrenerginių</w:t>
      </w:r>
      <w:proofErr w:type="spellEnd"/>
      <w:r w:rsidR="002B38A9" w:rsidRPr="006F5163">
        <w:t xml:space="preserve"> receptorių blokatori</w:t>
      </w:r>
      <w:r w:rsidR="00407753" w:rsidRPr="006F5163">
        <w:t>ai</w:t>
      </w:r>
      <w:r w:rsidR="002B38A9" w:rsidRPr="006F5163">
        <w:t xml:space="preserve">s ir/arba </w:t>
      </w:r>
      <w:proofErr w:type="spellStart"/>
      <w:r w:rsidR="002B38A9" w:rsidRPr="006F5163">
        <w:t>mineralkortikoidų</w:t>
      </w:r>
      <w:proofErr w:type="spellEnd"/>
      <w:r w:rsidR="002B38A9" w:rsidRPr="006F5163">
        <w:t xml:space="preserve"> receptorių antagonist</w:t>
      </w:r>
      <w:r w:rsidR="00407753" w:rsidRPr="006F5163">
        <w:t>ai</w:t>
      </w:r>
      <w:r w:rsidR="002B38A9" w:rsidRPr="006F5163">
        <w:t>s.</w:t>
      </w:r>
      <w:r w:rsidR="002B38A9" w:rsidRPr="006F5163">
        <w:rPr>
          <w:lang w:eastAsia="lt-LT"/>
        </w:rPr>
        <w:t xml:space="preserve"> </w:t>
      </w:r>
      <w:r w:rsidR="002B38A9" w:rsidRPr="006F5163">
        <w:t>Todėl pateikti netiesioginio palyginimo rezultatai negali būti panaudojami atskirai nuo kitų standartinio gydymo vaistinių preparatų vertinimo bei laikomi netinkami palyginamajam klinikiniam veiksmingumui įvertinti numatytai pagal taikomą terapinę indikaciją pacientų populiacijai.</w:t>
      </w:r>
    </w:p>
    <w:p w14:paraId="31071C0D" w14:textId="5D1DB4C4" w:rsidR="002B38A9" w:rsidRPr="00BD1264" w:rsidRDefault="002B38A9" w:rsidP="00966A05">
      <w:pPr>
        <w:tabs>
          <w:tab w:val="left" w:pos="426"/>
        </w:tabs>
        <w:spacing w:line="276" w:lineRule="auto"/>
        <w:jc w:val="both"/>
      </w:pPr>
      <w:r w:rsidRPr="006F5163">
        <w:rPr>
          <w:lang w:eastAsia="lt-LT"/>
        </w:rPr>
        <w:tab/>
        <w:t xml:space="preserve">Apibendrinant klinikinio tyrimo VICTORIA rezultatus, </w:t>
      </w:r>
      <w:r w:rsidRPr="006F5163">
        <w:t>papildomai va</w:t>
      </w:r>
      <w:r w:rsidR="0095160B" w:rsidRPr="006F5163">
        <w:t>r</w:t>
      </w:r>
      <w:r w:rsidRPr="006F5163">
        <w:t xml:space="preserve">tojant </w:t>
      </w:r>
      <w:proofErr w:type="spellStart"/>
      <w:r w:rsidRPr="006F5163">
        <w:t>vericiguatą</w:t>
      </w:r>
      <w:proofErr w:type="spellEnd"/>
      <w:r w:rsidRPr="006F5163">
        <w:t xml:space="preserve"> pacientams, sergantiems  simptominiu lėtiniu širdies nepakankamumu su sumažėjusia išstūmimo frakcija, kurių būklei stabilizuoti po neseniai įvykusio </w:t>
      </w:r>
      <w:proofErr w:type="spellStart"/>
      <w:r w:rsidRPr="006F5163">
        <w:t>dekompensacijos</w:t>
      </w:r>
      <w:proofErr w:type="spellEnd"/>
      <w:r w:rsidRPr="006F5163">
        <w:t xml:space="preserve"> epizodo buvo taikyta intraveninė (</w:t>
      </w:r>
      <w:proofErr w:type="spellStart"/>
      <w:r w:rsidRPr="006F5163">
        <w:t>i.v</w:t>
      </w:r>
      <w:proofErr w:type="spellEnd"/>
      <w:r w:rsidRPr="006F5163">
        <w:t xml:space="preserve">.) terapija, gydyti, mirtingumas nuo širdies ir kraujagyslių ligų ir hospitalizavimo dažnis (įvykių/100 000 pacientų per metus) nežymiai mažėjo (10 proc. palyginus su standartiniu gydymu, </w:t>
      </w:r>
      <w:r w:rsidR="008B372B" w:rsidRPr="006F5163">
        <w:rPr>
          <w:rFonts w:eastAsia="Arial"/>
        </w:rPr>
        <w:t>p=0,02</w:t>
      </w:r>
      <w:r w:rsidRPr="006F5163">
        <w:t xml:space="preserve">), tačiau vertinant pirminės baigties sudedamuosius įverčius mirties nuo širdies ir kraujagyslių ligų atvejų bei hospitalizacijos dėl širdies nepakankamumo atvejų dažnius atskirai, nenustatyta statistiškai reikšmingų skirtumų tarp palyginamųjų grupių. Pacientų praneštos baigtys </w:t>
      </w:r>
      <w:r w:rsidRPr="006F5163">
        <w:lastRenderedPageBreak/>
        <w:t xml:space="preserve">taip pat neparodė statistiškai ir kliniškai reikšmingo skirtumo pridedant </w:t>
      </w:r>
      <w:proofErr w:type="spellStart"/>
      <w:r w:rsidRPr="006F5163">
        <w:t>vericiguatą</w:t>
      </w:r>
      <w:proofErr w:type="spellEnd"/>
      <w:r w:rsidRPr="006F5163">
        <w:t xml:space="preserve"> prie standartinio gydymo nuo širdies nepakankamumo. </w:t>
      </w:r>
      <w:r w:rsidR="00EC6581">
        <w:t xml:space="preserve">Pažymėtina, kad </w:t>
      </w:r>
      <w:r w:rsidR="0095160B" w:rsidRPr="006F5163">
        <w:t xml:space="preserve"> išvad</w:t>
      </w:r>
      <w:r w:rsidR="00EC6581">
        <w:t>a</w:t>
      </w:r>
      <w:r w:rsidR="0095160B" w:rsidRPr="006F5163">
        <w:t xml:space="preserve"> dėl didesnio </w:t>
      </w:r>
      <w:proofErr w:type="spellStart"/>
      <w:r w:rsidR="0095160B" w:rsidRPr="006F5163">
        <w:t>vericiguato</w:t>
      </w:r>
      <w:proofErr w:type="spellEnd"/>
      <w:r w:rsidR="0095160B" w:rsidRPr="006F5163">
        <w:t xml:space="preserve"> </w:t>
      </w:r>
      <w:r w:rsidR="00EC6581">
        <w:t xml:space="preserve">palyginamojo efektyvumo ir </w:t>
      </w:r>
      <w:r w:rsidR="0095160B" w:rsidRPr="006F5163">
        <w:t xml:space="preserve">klinikinio veiksmingumo </w:t>
      </w:r>
      <w:r w:rsidR="006A4034" w:rsidRPr="006F5163">
        <w:t>grindžia</w:t>
      </w:r>
      <w:r w:rsidR="00EC6581">
        <w:t>ma</w:t>
      </w:r>
      <w:r w:rsidR="006A4034" w:rsidRPr="006F5163">
        <w:t xml:space="preserve"> </w:t>
      </w:r>
      <w:r w:rsidR="00E72002">
        <w:t xml:space="preserve">tiesioginio palyginimo tyrime </w:t>
      </w:r>
      <w:r w:rsidR="006A4034" w:rsidRPr="006F5163">
        <w:t xml:space="preserve">pasiektu </w:t>
      </w:r>
      <w:r w:rsidR="00AA4C9C" w:rsidRPr="006F5163">
        <w:t>statistiškai reikšming</w:t>
      </w:r>
      <w:r w:rsidR="006A4034" w:rsidRPr="006F5163">
        <w:t>u skirtumu tarp palyginamųjų grupių</w:t>
      </w:r>
      <w:r w:rsidR="00EC6581">
        <w:t xml:space="preserve">. </w:t>
      </w:r>
    </w:p>
    <w:p w14:paraId="25F89291" w14:textId="5C45C8FC" w:rsidR="00D4485B" w:rsidRPr="00E33EFF" w:rsidRDefault="00D4485B" w:rsidP="00966A05">
      <w:pPr>
        <w:pStyle w:val="ListParagraph"/>
        <w:tabs>
          <w:tab w:val="left" w:pos="426"/>
        </w:tabs>
        <w:spacing w:line="276" w:lineRule="auto"/>
        <w:ind w:left="0"/>
        <w:rPr>
          <w:b/>
          <w:bCs/>
          <w:caps/>
        </w:rPr>
      </w:pPr>
    </w:p>
    <w:p w14:paraId="7DE09EB5" w14:textId="69E9DD74" w:rsidR="00E03C3F" w:rsidRPr="00E33EFF" w:rsidRDefault="00CC7832" w:rsidP="00966A05">
      <w:pPr>
        <w:pStyle w:val="ListParagraph"/>
        <w:numPr>
          <w:ilvl w:val="0"/>
          <w:numId w:val="12"/>
        </w:numPr>
        <w:tabs>
          <w:tab w:val="left" w:pos="567"/>
        </w:tabs>
        <w:spacing w:line="276" w:lineRule="auto"/>
        <w:ind w:hanging="720"/>
        <w:rPr>
          <w:b/>
          <w:bCs/>
          <w:caps/>
        </w:rPr>
      </w:pPr>
      <w:r w:rsidRPr="00E33EFF">
        <w:rPr>
          <w:b/>
          <w:bCs/>
          <w:caps/>
        </w:rPr>
        <w:t xml:space="preserve">ekonominio vertinimo </w:t>
      </w:r>
      <w:r w:rsidR="002F0E4F" w:rsidRPr="00E33EFF">
        <w:rPr>
          <w:b/>
          <w:bCs/>
          <w:caps/>
        </w:rPr>
        <w:t>apibendrinimas</w:t>
      </w:r>
    </w:p>
    <w:p w14:paraId="6D0DB83D" w14:textId="77777777" w:rsidR="002B38A9" w:rsidRDefault="002B38A9" w:rsidP="00966A05">
      <w:pPr>
        <w:shd w:val="clear" w:color="auto" w:fill="FFFFFF"/>
        <w:spacing w:line="276" w:lineRule="auto"/>
        <w:jc w:val="both"/>
        <w:rPr>
          <w:rFonts w:eastAsia="Arial"/>
        </w:rPr>
      </w:pPr>
    </w:p>
    <w:p w14:paraId="2720E9E3" w14:textId="56C0931C" w:rsidR="002B38A9" w:rsidRPr="002B38A9" w:rsidRDefault="002B38A9" w:rsidP="00966A05">
      <w:pPr>
        <w:shd w:val="clear" w:color="auto" w:fill="FFFFFF"/>
        <w:spacing w:line="276" w:lineRule="auto"/>
        <w:jc w:val="both"/>
        <w:rPr>
          <w:rFonts w:eastAsia="Arial"/>
        </w:rPr>
      </w:pPr>
      <w:r w:rsidRPr="002B38A9">
        <w:rPr>
          <w:rFonts w:eastAsia="Arial"/>
        </w:rPr>
        <w:t xml:space="preserve">Vertinimui pateikta kaštų naudingumo analizė, kurioje nagrinėjamas vaistinio preparato </w:t>
      </w:r>
      <w:proofErr w:type="spellStart"/>
      <w:r w:rsidRPr="002B38A9">
        <w:rPr>
          <w:rFonts w:eastAsia="Arial"/>
        </w:rPr>
        <w:t>Vericiguatas</w:t>
      </w:r>
      <w:proofErr w:type="spellEnd"/>
      <w:r w:rsidRPr="002B38A9">
        <w:rPr>
          <w:rFonts w:eastAsia="Arial"/>
        </w:rPr>
        <w:t xml:space="preserve"> (</w:t>
      </w:r>
      <w:proofErr w:type="spellStart"/>
      <w:r w:rsidR="005D42EA">
        <w:rPr>
          <w:rFonts w:eastAsia="Arial"/>
        </w:rPr>
        <w:t>V</w:t>
      </w:r>
      <w:r w:rsidRPr="002B38A9">
        <w:rPr>
          <w:rFonts w:eastAsia="Arial"/>
        </w:rPr>
        <w:t>erquvo</w:t>
      </w:r>
      <w:proofErr w:type="spellEnd"/>
      <w:r w:rsidRPr="002B38A9">
        <w:rPr>
          <w:rFonts w:eastAsia="Arial"/>
        </w:rPr>
        <w:t xml:space="preserve">) kaštų naudingumas. Analizėje lyginamos </w:t>
      </w:r>
      <w:proofErr w:type="spellStart"/>
      <w:r w:rsidRPr="002B38A9">
        <w:rPr>
          <w:rFonts w:eastAsia="Arial"/>
        </w:rPr>
        <w:t>vericiguatas+SoC</w:t>
      </w:r>
      <w:proofErr w:type="spellEnd"/>
      <w:r w:rsidRPr="002B38A9">
        <w:rPr>
          <w:rFonts w:eastAsia="Arial"/>
        </w:rPr>
        <w:t xml:space="preserve"> ir </w:t>
      </w:r>
      <w:proofErr w:type="spellStart"/>
      <w:r w:rsidRPr="002B38A9">
        <w:rPr>
          <w:rFonts w:eastAsia="Arial"/>
        </w:rPr>
        <w:t>SoC</w:t>
      </w:r>
      <w:proofErr w:type="spellEnd"/>
      <w:r w:rsidRPr="002B38A9">
        <w:rPr>
          <w:rFonts w:eastAsia="Arial"/>
        </w:rPr>
        <w:t xml:space="preserve"> grupės. Analizė atliekama iš PSDF biudžeto mokėtojo perspektyvos, ta</w:t>
      </w:r>
      <w:r w:rsidR="00395168">
        <w:rPr>
          <w:rFonts w:eastAsia="Arial"/>
        </w:rPr>
        <w:t>i atitinka teisės aktų reikalavimus</w:t>
      </w:r>
      <w:r w:rsidRPr="002B38A9">
        <w:rPr>
          <w:rFonts w:eastAsia="Arial"/>
        </w:rPr>
        <w:t>.</w:t>
      </w:r>
    </w:p>
    <w:p w14:paraId="34B97F2F" w14:textId="77777777" w:rsidR="002B38A9" w:rsidRPr="002B38A9" w:rsidRDefault="002B38A9" w:rsidP="00966A05">
      <w:pPr>
        <w:shd w:val="clear" w:color="auto" w:fill="FFFFFF"/>
        <w:spacing w:line="276" w:lineRule="auto"/>
        <w:jc w:val="both"/>
        <w:rPr>
          <w:rFonts w:eastAsia="Arial"/>
        </w:rPr>
      </w:pPr>
    </w:p>
    <w:p w14:paraId="4B51001F" w14:textId="77777777" w:rsidR="002B38A9" w:rsidRPr="002B38A9" w:rsidRDefault="002B38A9" w:rsidP="00966A05">
      <w:pPr>
        <w:shd w:val="clear" w:color="auto" w:fill="FFFFFF"/>
        <w:spacing w:line="276" w:lineRule="auto"/>
        <w:jc w:val="both"/>
        <w:rPr>
          <w:rFonts w:eastAsia="Arial"/>
        </w:rPr>
      </w:pPr>
      <w:r w:rsidRPr="002B38A9">
        <w:rPr>
          <w:rFonts w:eastAsia="Arial"/>
        </w:rPr>
        <w:t>Tarnyba pateikia analizės rezultatą, pritaikydama konservatyvias prielaidas.</w:t>
      </w:r>
    </w:p>
    <w:p w14:paraId="7D7E7B20" w14:textId="77777777" w:rsidR="002B38A9" w:rsidRPr="002B38A9" w:rsidRDefault="002B38A9" w:rsidP="00966A05">
      <w:pPr>
        <w:shd w:val="clear" w:color="auto" w:fill="FFFFFF"/>
        <w:spacing w:line="276" w:lineRule="auto"/>
        <w:jc w:val="both"/>
        <w:rPr>
          <w:rFonts w:eastAsia="Arial"/>
        </w:rPr>
      </w:pPr>
    </w:p>
    <w:p w14:paraId="784680F8" w14:textId="21A58ECF" w:rsidR="002B38A9" w:rsidRPr="002B38A9" w:rsidRDefault="002B38A9" w:rsidP="00966A05">
      <w:pPr>
        <w:tabs>
          <w:tab w:val="left" w:pos="567"/>
        </w:tabs>
        <w:spacing w:line="276" w:lineRule="auto"/>
        <w:jc w:val="both"/>
        <w:rPr>
          <w:iCs/>
          <w:lang w:eastAsia="lt-LT"/>
        </w:rPr>
      </w:pPr>
      <w:r>
        <w:rPr>
          <w:iCs/>
          <w:lang w:eastAsia="lt-LT"/>
        </w:rPr>
        <w:t>A</w:t>
      </w:r>
      <w:r w:rsidRPr="002B38A9">
        <w:rPr>
          <w:iCs/>
          <w:lang w:eastAsia="lt-LT"/>
        </w:rPr>
        <w:t xml:space="preserve">tsižvelgiant į tai, jog atskirai vertinant mirtingumą ir hospitalizacijas dėl ŠN nėra </w:t>
      </w:r>
      <w:r w:rsidR="00CA5C0D">
        <w:rPr>
          <w:iCs/>
          <w:lang w:eastAsia="lt-LT"/>
        </w:rPr>
        <w:t xml:space="preserve">nustatyta </w:t>
      </w:r>
      <w:r w:rsidRPr="002B38A9">
        <w:rPr>
          <w:iCs/>
          <w:lang w:eastAsia="lt-LT"/>
        </w:rPr>
        <w:t>statistiškai reikšming</w:t>
      </w:r>
      <w:r w:rsidR="00CA5C0D">
        <w:rPr>
          <w:iCs/>
          <w:lang w:eastAsia="lt-LT"/>
        </w:rPr>
        <w:t>o</w:t>
      </w:r>
      <w:r w:rsidRPr="002B38A9">
        <w:rPr>
          <w:iCs/>
          <w:lang w:eastAsia="lt-LT"/>
        </w:rPr>
        <w:t xml:space="preserve"> skirtum</w:t>
      </w:r>
      <w:r w:rsidR="00CA5C0D">
        <w:rPr>
          <w:iCs/>
          <w:lang w:eastAsia="lt-LT"/>
        </w:rPr>
        <w:t>o</w:t>
      </w:r>
      <w:r w:rsidRPr="002B38A9">
        <w:rPr>
          <w:iCs/>
          <w:lang w:eastAsia="lt-LT"/>
        </w:rPr>
        <w:t xml:space="preserve"> tyrimo laikotarpiu tarp </w:t>
      </w:r>
      <w:proofErr w:type="spellStart"/>
      <w:r w:rsidRPr="002B38A9">
        <w:rPr>
          <w:iCs/>
          <w:lang w:eastAsia="lt-LT"/>
        </w:rPr>
        <w:t>vericiguato+SoC</w:t>
      </w:r>
      <w:proofErr w:type="spellEnd"/>
      <w:r w:rsidRPr="002B38A9">
        <w:rPr>
          <w:iCs/>
          <w:lang w:eastAsia="lt-LT"/>
        </w:rPr>
        <w:t xml:space="preserve"> ir </w:t>
      </w:r>
      <w:proofErr w:type="spellStart"/>
      <w:r w:rsidRPr="002B38A9">
        <w:rPr>
          <w:iCs/>
          <w:lang w:eastAsia="lt-LT"/>
        </w:rPr>
        <w:t>SoC</w:t>
      </w:r>
      <w:proofErr w:type="spellEnd"/>
      <w:r w:rsidRPr="002B38A9">
        <w:rPr>
          <w:iCs/>
          <w:lang w:eastAsia="lt-LT"/>
        </w:rPr>
        <w:t xml:space="preserve"> grupės ir į tai, jog atliekant ekonominę analizę viso gyvenimo laiko perspektyvoje gaunamas reikšmingas veiksmingumo skirtumas, kuris nėra pagrįstas ilgalaikiais klinikiniais duomenimis, Tarnyba atliko analizės rezultato perskaičiavimą, taikydama konservatyvias prielaidas. Kadangi klinikinio tyrimo pabaigoje, statistiškai reikšmingo skirtumo tarp grupių nebuvo, didžiausia </w:t>
      </w:r>
      <w:proofErr w:type="spellStart"/>
      <w:r w:rsidRPr="002B38A9">
        <w:rPr>
          <w:iCs/>
          <w:lang w:eastAsia="lt-LT"/>
        </w:rPr>
        <w:t>vericiguato</w:t>
      </w:r>
      <w:proofErr w:type="spellEnd"/>
      <w:r w:rsidRPr="002B38A9">
        <w:rPr>
          <w:iCs/>
          <w:lang w:eastAsia="lt-LT"/>
        </w:rPr>
        <w:t xml:space="preserve"> nauda yra modeliuojama laikotarpyje po klinikinio tyrimo. Siekiant sumažinti šį neapibrėžtumą, pagrindinio atvejo analizėje laiko perspektyva yra trumpinama iki 10 metų (atsižvelgiant į pacientų, sergančių širdies nepakankamumu su sumažėjusia kairiojo skilvelio išstūmimo frakcija). Laikoma, jog trumpinant laiko perspektyvą neapibrėžtumas dėl </w:t>
      </w:r>
      <w:proofErr w:type="spellStart"/>
      <w:r w:rsidRPr="002B38A9">
        <w:rPr>
          <w:iCs/>
          <w:lang w:eastAsia="lt-LT"/>
        </w:rPr>
        <w:t>vericiguato</w:t>
      </w:r>
      <w:proofErr w:type="spellEnd"/>
      <w:r w:rsidRPr="002B38A9">
        <w:rPr>
          <w:iCs/>
          <w:lang w:eastAsia="lt-LT"/>
        </w:rPr>
        <w:t xml:space="preserve"> efektyvumo įvertinimo mažėja.</w:t>
      </w:r>
    </w:p>
    <w:p w14:paraId="43CE9E28" w14:textId="77777777" w:rsidR="002B38A9" w:rsidRPr="002B38A9" w:rsidRDefault="002B38A9" w:rsidP="00966A05">
      <w:pPr>
        <w:tabs>
          <w:tab w:val="left" w:pos="567"/>
        </w:tabs>
        <w:spacing w:line="276" w:lineRule="auto"/>
        <w:jc w:val="both"/>
        <w:rPr>
          <w:iCs/>
          <w:lang w:eastAsia="lt-LT"/>
        </w:rPr>
      </w:pPr>
    </w:p>
    <w:p w14:paraId="68964C4E" w14:textId="77777777" w:rsidR="002B38A9" w:rsidRPr="002B38A9" w:rsidRDefault="002B38A9" w:rsidP="00966A05">
      <w:pPr>
        <w:tabs>
          <w:tab w:val="left" w:pos="567"/>
        </w:tabs>
        <w:spacing w:line="276" w:lineRule="auto"/>
        <w:jc w:val="both"/>
        <w:rPr>
          <w:iCs/>
          <w:lang w:eastAsia="lt-LT"/>
        </w:rPr>
      </w:pPr>
      <w:r w:rsidRPr="002B38A9">
        <w:rPr>
          <w:iCs/>
          <w:lang w:eastAsia="lt-LT"/>
        </w:rPr>
        <w:t>Atsižvelgiant į prieš tai Tarnybos atliktus vertinimus, po hospitalizacijos netaikomas naudos sveikatai įverčio sumažėjimas, todėl koreguojami naudos sveikatai įverčiai ir šioje paraiškoje. Pacientui po hospitalizacijos taikomas toks pat gyvenimo kokybės įvertis, kaip ir prieš hospitalizaciją. Laikoma, jog hospitalizacijos metu buvo atliktas nuodugnus paciento būklės įvertinimas, pakoreguojami, jei reikalinga, jo vartojami vaistai ir pacientas po hospitalizacijos pasiekia optimalią būklę.</w:t>
      </w:r>
    </w:p>
    <w:p w14:paraId="34466393" w14:textId="77777777" w:rsidR="002B38A9" w:rsidRDefault="002B38A9" w:rsidP="00966A05">
      <w:pPr>
        <w:tabs>
          <w:tab w:val="left" w:pos="567"/>
        </w:tabs>
        <w:spacing w:line="276" w:lineRule="auto"/>
        <w:jc w:val="both"/>
        <w:rPr>
          <w:iCs/>
          <w:lang w:eastAsia="lt-LT"/>
        </w:rPr>
      </w:pPr>
    </w:p>
    <w:p w14:paraId="62E19820" w14:textId="758CC3F4" w:rsidR="002B38A9" w:rsidRPr="002B38A9" w:rsidRDefault="002B38A9" w:rsidP="00966A05">
      <w:pPr>
        <w:tabs>
          <w:tab w:val="left" w:pos="567"/>
        </w:tabs>
        <w:spacing w:line="276" w:lineRule="auto"/>
        <w:jc w:val="both"/>
        <w:rPr>
          <w:iCs/>
          <w:lang w:eastAsia="lt-LT"/>
        </w:rPr>
      </w:pPr>
      <w:r w:rsidRPr="002B38A9">
        <w:rPr>
          <w:iCs/>
          <w:lang w:eastAsia="lt-LT"/>
        </w:rPr>
        <w:t>Analizėje taikomi tik kardiovaskulinio mirtingumo kaštai, siekiant vienodumo su panašios indikacijos Paraiškomis, kurios jau buvo vertinamos Tarnybos.</w:t>
      </w:r>
    </w:p>
    <w:p w14:paraId="0395F12D" w14:textId="77777777" w:rsidR="002B38A9" w:rsidRPr="002B38A9" w:rsidRDefault="002B38A9" w:rsidP="00966A05">
      <w:pPr>
        <w:shd w:val="clear" w:color="auto" w:fill="FFFFFF"/>
        <w:spacing w:line="276" w:lineRule="auto"/>
        <w:rPr>
          <w:rFonts w:eastAsia="Arial"/>
        </w:rPr>
      </w:pPr>
    </w:p>
    <w:p w14:paraId="2A51EDE4" w14:textId="61FB27BF" w:rsidR="002B38A9" w:rsidRPr="002B38A9" w:rsidRDefault="002B38A9" w:rsidP="00966A05">
      <w:pPr>
        <w:tabs>
          <w:tab w:val="left" w:pos="567"/>
        </w:tabs>
        <w:spacing w:line="276" w:lineRule="auto"/>
        <w:jc w:val="both"/>
        <w:rPr>
          <w:iCs/>
          <w:lang w:eastAsia="lt-LT"/>
        </w:rPr>
      </w:pPr>
      <w:r w:rsidRPr="002B38A9">
        <w:rPr>
          <w:iCs/>
          <w:lang w:eastAsia="lt-LT"/>
        </w:rPr>
        <w:t xml:space="preserve">Pareiškėjas apskaičiuodamas </w:t>
      </w:r>
      <w:bookmarkStart w:id="0" w:name="_GoBack"/>
      <w:r w:rsidRPr="002B38A9">
        <w:rPr>
          <w:iCs/>
          <w:lang w:eastAsia="lt-LT"/>
        </w:rPr>
        <w:t xml:space="preserve">ligos naštą ir įvertinamas referencinę kaštų naudingumo vertę naudojo diskontuotus kokybiškus gyvenimo metus. Vis dėlto, pagal ligos naštos skaičiuoklės metodologiją turi būti naudojami nediskontuoti </w:t>
      </w:r>
      <w:proofErr w:type="spellStart"/>
      <w:r w:rsidRPr="002B38A9">
        <w:rPr>
          <w:iCs/>
          <w:lang w:eastAsia="lt-LT"/>
        </w:rPr>
        <w:t>QALY‘s</w:t>
      </w:r>
      <w:proofErr w:type="spellEnd"/>
      <w:r w:rsidRPr="002B38A9">
        <w:rPr>
          <w:iCs/>
          <w:lang w:eastAsia="lt-LT"/>
        </w:rPr>
        <w:t xml:space="preserve">. Tarnyba atliko ligos naštos rezultato perskaičiavimą. Atsižvelgiant į tai, jog pagrindinio atvejo analizėje yra trumpinama laiko perspektyva, siekiant sumažinti neapibrėžtumą dėl vaisto efektyvumo įvertinimo, tačiau ligos našta yra apskaičiuojama naudojantis viso gyvenimo laiko perspektyvoje gautu rezultatu. Toks sprendimas priimtas dėl ligos naštos skaičiuoklės ypatumų (turi būti naudojami nediskontuoti </w:t>
      </w:r>
      <w:proofErr w:type="spellStart"/>
      <w:r w:rsidRPr="002B38A9">
        <w:rPr>
          <w:iCs/>
          <w:lang w:eastAsia="lt-LT"/>
        </w:rPr>
        <w:t>QALYs</w:t>
      </w:r>
      <w:proofErr w:type="spellEnd"/>
      <w:r w:rsidRPr="002B38A9">
        <w:rPr>
          <w:iCs/>
          <w:lang w:eastAsia="lt-LT"/>
        </w:rPr>
        <w:t xml:space="preserve">, sugeneruojami viso gyvenimo laiko perspektyvoje). Kitos Tarnybos keistos prielaidos pagrindinio atvejo analizėje, taikomos ir apskaičiuojant ligos naštą. Tarnyba pastebi, jog ligos naštos įvertis yra ribinis tarp lengvos ir vidutinio sunkumo. Kituose Tarnybos atliktuose vertinimuose panašiai indikacijai (ŠN su sumažėjusia išstūmimo frakcija) ligos našta buvo pripažinta kaip vidutinio sunkumo (remiantis atitinkamų paraiškų modelių įverčiais). Šiuo atveju Tarnyba pabrėžia vaisto efektyvumo vertinimo neapibrėžtumą ir laiko, jog viso gyvenimo laiko </w:t>
      </w:r>
      <w:bookmarkEnd w:id="0"/>
      <w:r w:rsidRPr="002B38A9">
        <w:rPr>
          <w:iCs/>
          <w:lang w:eastAsia="lt-LT"/>
        </w:rPr>
        <w:t xml:space="preserve">perspektyvoje </w:t>
      </w:r>
      <w:proofErr w:type="spellStart"/>
      <w:r w:rsidRPr="002B38A9">
        <w:rPr>
          <w:iCs/>
          <w:lang w:eastAsia="lt-LT"/>
        </w:rPr>
        <w:t>ekstrapoliuojamų</w:t>
      </w:r>
      <w:proofErr w:type="spellEnd"/>
      <w:r w:rsidRPr="002B38A9">
        <w:rPr>
          <w:iCs/>
          <w:lang w:eastAsia="lt-LT"/>
        </w:rPr>
        <w:t xml:space="preserve"> vertinamųjų baigčių </w:t>
      </w:r>
      <w:r w:rsidRPr="002B38A9">
        <w:rPr>
          <w:iCs/>
          <w:lang w:eastAsia="lt-LT"/>
        </w:rPr>
        <w:lastRenderedPageBreak/>
        <w:t>rezultatas, tikėtina,</w:t>
      </w:r>
      <w:r w:rsidR="00395168">
        <w:rPr>
          <w:iCs/>
          <w:lang w:eastAsia="lt-LT"/>
        </w:rPr>
        <w:t xml:space="preserve"> pervertina tikrą gaunamą naudą</w:t>
      </w:r>
      <w:r w:rsidRPr="002B38A9">
        <w:rPr>
          <w:iCs/>
          <w:lang w:eastAsia="lt-LT"/>
        </w:rPr>
        <w:t>. Laikoma, jog pripažįstant ligos naštą kaip vidutinio sunkumo, taip pat yra sumažinamas ir neapibrėžtumas vaisto efektyvumo įvertinime.</w:t>
      </w:r>
    </w:p>
    <w:p w14:paraId="2420138E" w14:textId="77777777" w:rsidR="002B38A9" w:rsidRPr="002B38A9" w:rsidRDefault="002B38A9" w:rsidP="00966A05">
      <w:pPr>
        <w:tabs>
          <w:tab w:val="left" w:pos="567"/>
        </w:tabs>
        <w:spacing w:line="276" w:lineRule="auto"/>
        <w:jc w:val="both"/>
        <w:rPr>
          <w:iCs/>
          <w:lang w:eastAsia="lt-LT"/>
        </w:rPr>
      </w:pPr>
    </w:p>
    <w:p w14:paraId="7D9AEC40" w14:textId="77777777" w:rsidR="002B38A9" w:rsidRPr="002B38A9" w:rsidRDefault="002B38A9" w:rsidP="00966A05">
      <w:pPr>
        <w:spacing w:line="276" w:lineRule="auto"/>
        <w:jc w:val="both"/>
        <w:rPr>
          <w:rFonts w:eastAsia="Arial"/>
        </w:rPr>
      </w:pPr>
      <w:r w:rsidRPr="002B38A9">
        <w:rPr>
          <w:rFonts w:eastAsia="Arial"/>
        </w:rPr>
        <w:t xml:space="preserve">Remiantis Tarnybos atliktu analizės rezultato perskaičiavimu, </w:t>
      </w:r>
      <w:proofErr w:type="spellStart"/>
      <w:r w:rsidRPr="002B38A9">
        <w:rPr>
          <w:rFonts w:eastAsia="Arial"/>
        </w:rPr>
        <w:t>inkrementinis</w:t>
      </w:r>
      <w:proofErr w:type="spellEnd"/>
      <w:r w:rsidRPr="002B38A9">
        <w:rPr>
          <w:rFonts w:eastAsia="Arial"/>
        </w:rPr>
        <w:t xml:space="preserve"> kaštų naudingumo koeficientas viršija referencinę kaštų naudingumo vertę ir </w:t>
      </w:r>
      <w:proofErr w:type="spellStart"/>
      <w:r w:rsidRPr="002B38A9">
        <w:rPr>
          <w:rFonts w:eastAsia="Arial"/>
        </w:rPr>
        <w:t>vericiguatas</w:t>
      </w:r>
      <w:proofErr w:type="spellEnd"/>
      <w:r w:rsidRPr="002B38A9">
        <w:rPr>
          <w:rFonts w:eastAsia="Arial"/>
        </w:rPr>
        <w:t xml:space="preserve"> nėra laikomas kaštams naudingu.</w:t>
      </w:r>
    </w:p>
    <w:p w14:paraId="487FA091" w14:textId="77777777" w:rsidR="002B38A9" w:rsidRPr="00E33EFF" w:rsidRDefault="002B38A9" w:rsidP="00966A05">
      <w:pPr>
        <w:tabs>
          <w:tab w:val="left" w:pos="426"/>
        </w:tabs>
        <w:spacing w:line="276" w:lineRule="auto"/>
        <w:rPr>
          <w:b/>
          <w:bCs/>
          <w:caps/>
        </w:rPr>
      </w:pPr>
    </w:p>
    <w:p w14:paraId="174D84D7" w14:textId="2A98EE7C" w:rsidR="0035172D" w:rsidRPr="00E33EFF" w:rsidRDefault="0035172D" w:rsidP="00966A05">
      <w:pPr>
        <w:tabs>
          <w:tab w:val="left" w:pos="426"/>
        </w:tabs>
        <w:spacing w:line="276" w:lineRule="auto"/>
        <w:rPr>
          <w:b/>
          <w:lang w:eastAsia="lt-LT"/>
        </w:rPr>
      </w:pPr>
      <w:r w:rsidRPr="00E33EFF">
        <w:rPr>
          <w:b/>
          <w:lang w:eastAsia="lt-LT"/>
        </w:rPr>
        <w:t>Ekonominės analizės rezultatas</w:t>
      </w:r>
    </w:p>
    <w:p w14:paraId="4801D227" w14:textId="77777777" w:rsidR="009E44AE" w:rsidRPr="00E33EFF" w:rsidRDefault="009E44AE" w:rsidP="00966A05">
      <w:pPr>
        <w:tabs>
          <w:tab w:val="left" w:pos="426"/>
        </w:tabs>
        <w:spacing w:line="276" w:lineRule="auto"/>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E33EFF"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E33EFF" w:rsidRDefault="009E44AE" w:rsidP="00966A05">
            <w:pPr>
              <w:tabs>
                <w:tab w:val="left" w:pos="567"/>
              </w:tabs>
              <w:spacing w:line="276" w:lineRule="auto"/>
              <w:jc w:val="center"/>
              <w:rPr>
                <w:b/>
                <w:bCs/>
                <w:sz w:val="26"/>
                <w:szCs w:val="26"/>
                <w:lang w:eastAsia="lt-LT"/>
              </w:rPr>
            </w:pPr>
            <w:r w:rsidRPr="00E33EFF">
              <w:rPr>
                <w:b/>
                <w:bCs/>
                <w:sz w:val="26"/>
                <w:szCs w:val="26"/>
                <w:lang w:eastAsia="lt-LT"/>
              </w:rPr>
              <w:t>Rezultatai</w:t>
            </w:r>
          </w:p>
        </w:tc>
      </w:tr>
      <w:tr w:rsidR="00BA5DBC" w:rsidRPr="00E33EFF" w14:paraId="319AF392" w14:textId="77777777" w:rsidTr="002B38A9">
        <w:trPr>
          <w:trHeight w:val="267"/>
          <w:jc w:val="center"/>
        </w:trPr>
        <w:tc>
          <w:tcPr>
            <w:tcW w:w="6200" w:type="dxa"/>
            <w:tcBorders>
              <w:left w:val="single" w:sz="4" w:space="0" w:color="auto"/>
            </w:tcBorders>
          </w:tcPr>
          <w:p w14:paraId="44CD8D27" w14:textId="27245A0B" w:rsidR="00BA5DBC" w:rsidRPr="00E33EFF" w:rsidRDefault="00BA5DBC" w:rsidP="00966A05">
            <w:pPr>
              <w:tabs>
                <w:tab w:val="left" w:pos="567"/>
              </w:tabs>
              <w:spacing w:line="276" w:lineRule="auto"/>
              <w:jc w:val="right"/>
              <w:rPr>
                <w:iCs/>
                <w:lang w:eastAsia="lt-LT"/>
              </w:rPr>
            </w:pPr>
            <w:r w:rsidRPr="00E33EFF">
              <w:rPr>
                <w:iCs/>
                <w:lang w:eastAsia="lt-LT"/>
              </w:rPr>
              <w:t>Kaštų skirtumas</w:t>
            </w:r>
          </w:p>
        </w:tc>
        <w:tc>
          <w:tcPr>
            <w:tcW w:w="3239" w:type="dxa"/>
            <w:tcBorders>
              <w:right w:val="single" w:sz="4" w:space="0" w:color="auto"/>
            </w:tcBorders>
          </w:tcPr>
          <w:p w14:paraId="1CACF0B4" w14:textId="7CC925E9" w:rsidR="00BA5DBC" w:rsidRPr="00E33EFF" w:rsidRDefault="00D4648A" w:rsidP="00966A05">
            <w:pPr>
              <w:tabs>
                <w:tab w:val="left" w:pos="567"/>
              </w:tabs>
              <w:spacing w:line="276" w:lineRule="auto"/>
              <w:jc w:val="both"/>
              <w:rPr>
                <w:i/>
                <w:iCs/>
                <w:lang w:eastAsia="lt-LT"/>
              </w:rPr>
            </w:pPr>
            <w:r>
              <w:rPr>
                <w:i/>
                <w:iCs/>
                <w:lang w:eastAsia="lt-LT"/>
              </w:rPr>
              <w:t>****</w:t>
            </w:r>
          </w:p>
        </w:tc>
      </w:tr>
      <w:tr w:rsidR="00BA5DBC" w:rsidRPr="00E33EFF" w14:paraId="49F818A3" w14:textId="77777777" w:rsidTr="002B38A9">
        <w:trPr>
          <w:trHeight w:val="267"/>
          <w:jc w:val="center"/>
        </w:trPr>
        <w:tc>
          <w:tcPr>
            <w:tcW w:w="6200" w:type="dxa"/>
            <w:tcBorders>
              <w:left w:val="single" w:sz="4" w:space="0" w:color="auto"/>
            </w:tcBorders>
          </w:tcPr>
          <w:p w14:paraId="021DB925" w14:textId="389F1BF5" w:rsidR="00BA5DBC" w:rsidRPr="00E33EFF" w:rsidRDefault="00BA5DBC" w:rsidP="00966A05">
            <w:pPr>
              <w:tabs>
                <w:tab w:val="left" w:pos="567"/>
              </w:tabs>
              <w:spacing w:line="276" w:lineRule="auto"/>
              <w:jc w:val="right"/>
              <w:rPr>
                <w:iCs/>
                <w:lang w:eastAsia="lt-LT"/>
              </w:rPr>
            </w:pPr>
            <w:r w:rsidRPr="00E33EFF">
              <w:rPr>
                <w:iCs/>
                <w:lang w:eastAsia="lt-LT"/>
              </w:rPr>
              <w:t>Papildomi gyvenimo metai (LY)</w:t>
            </w:r>
          </w:p>
        </w:tc>
        <w:tc>
          <w:tcPr>
            <w:tcW w:w="3239" w:type="dxa"/>
            <w:tcBorders>
              <w:right w:val="single" w:sz="4" w:space="0" w:color="auto"/>
            </w:tcBorders>
          </w:tcPr>
          <w:p w14:paraId="4954817B" w14:textId="6BC075E8" w:rsidR="00BA5DBC" w:rsidRPr="00E33EFF" w:rsidRDefault="00D4648A" w:rsidP="00D4648A">
            <w:pPr>
              <w:tabs>
                <w:tab w:val="left" w:pos="567"/>
              </w:tabs>
              <w:spacing w:line="276" w:lineRule="auto"/>
              <w:jc w:val="both"/>
              <w:rPr>
                <w:i/>
                <w:iCs/>
                <w:lang w:eastAsia="lt-LT"/>
              </w:rPr>
            </w:pPr>
            <w:r>
              <w:rPr>
                <w:i/>
                <w:iCs/>
                <w:lang w:eastAsia="lt-LT"/>
              </w:rPr>
              <w:t>****</w:t>
            </w:r>
          </w:p>
        </w:tc>
      </w:tr>
      <w:tr w:rsidR="00BA5DBC" w:rsidRPr="00E33EFF" w14:paraId="20ADA742" w14:textId="77777777" w:rsidTr="002B38A9">
        <w:trPr>
          <w:trHeight w:val="267"/>
          <w:jc w:val="center"/>
        </w:trPr>
        <w:tc>
          <w:tcPr>
            <w:tcW w:w="6200" w:type="dxa"/>
            <w:tcBorders>
              <w:left w:val="single" w:sz="4" w:space="0" w:color="auto"/>
            </w:tcBorders>
          </w:tcPr>
          <w:p w14:paraId="0F567576" w14:textId="2606A2E9" w:rsidR="00BA5DBC" w:rsidRPr="00E33EFF" w:rsidRDefault="0058712F" w:rsidP="00966A05">
            <w:pPr>
              <w:tabs>
                <w:tab w:val="left" w:pos="567"/>
              </w:tabs>
              <w:spacing w:line="276" w:lineRule="auto"/>
              <w:jc w:val="right"/>
              <w:rPr>
                <w:iCs/>
                <w:lang w:eastAsia="lt-LT"/>
              </w:rPr>
            </w:pPr>
            <w:r w:rsidRPr="00E33EFF">
              <w:rPr>
                <w:iCs/>
                <w:lang w:eastAsia="lt-LT"/>
              </w:rPr>
              <w:t>Papildomi k</w:t>
            </w:r>
            <w:r w:rsidR="00BA5DBC" w:rsidRPr="00E33EFF">
              <w:rPr>
                <w:iCs/>
                <w:lang w:eastAsia="lt-LT"/>
              </w:rPr>
              <w:t>okybiški gyvenimo metai (QALY)</w:t>
            </w:r>
          </w:p>
        </w:tc>
        <w:tc>
          <w:tcPr>
            <w:tcW w:w="3239" w:type="dxa"/>
            <w:tcBorders>
              <w:right w:val="single" w:sz="4" w:space="0" w:color="auto"/>
            </w:tcBorders>
          </w:tcPr>
          <w:p w14:paraId="02E4DAE1" w14:textId="6253AC86" w:rsidR="00BA5DBC" w:rsidRPr="00E33EFF" w:rsidRDefault="00D4648A" w:rsidP="00966A05">
            <w:pPr>
              <w:tabs>
                <w:tab w:val="left" w:pos="567"/>
              </w:tabs>
              <w:spacing w:line="276" w:lineRule="auto"/>
              <w:jc w:val="both"/>
              <w:rPr>
                <w:i/>
                <w:iCs/>
                <w:lang w:eastAsia="lt-LT"/>
              </w:rPr>
            </w:pPr>
            <w:r>
              <w:rPr>
                <w:i/>
                <w:iCs/>
                <w:lang w:eastAsia="lt-LT"/>
              </w:rPr>
              <w:t>****</w:t>
            </w:r>
          </w:p>
        </w:tc>
      </w:tr>
      <w:tr w:rsidR="002B38A9" w:rsidRPr="00E33EFF" w14:paraId="1FADA2B3" w14:textId="77777777" w:rsidTr="002B38A9">
        <w:trPr>
          <w:trHeight w:val="267"/>
          <w:jc w:val="center"/>
        </w:trPr>
        <w:tc>
          <w:tcPr>
            <w:tcW w:w="6200" w:type="dxa"/>
            <w:tcBorders>
              <w:left w:val="single" w:sz="4" w:space="0" w:color="auto"/>
            </w:tcBorders>
          </w:tcPr>
          <w:p w14:paraId="13E089E8" w14:textId="0BCEB339" w:rsidR="002B38A9" w:rsidRPr="00E33EFF" w:rsidRDefault="002B38A9" w:rsidP="00966A05">
            <w:pPr>
              <w:tabs>
                <w:tab w:val="left" w:pos="567"/>
              </w:tabs>
              <w:spacing w:line="276" w:lineRule="auto"/>
              <w:jc w:val="right"/>
              <w:rPr>
                <w:iCs/>
                <w:lang w:eastAsia="lt-LT"/>
              </w:rPr>
            </w:pPr>
            <w:r w:rsidRPr="00E33EFF">
              <w:rPr>
                <w:iCs/>
                <w:lang w:eastAsia="lt-LT"/>
              </w:rPr>
              <w:t>ICER už LY</w:t>
            </w:r>
          </w:p>
        </w:tc>
        <w:tc>
          <w:tcPr>
            <w:tcW w:w="3239" w:type="dxa"/>
            <w:tcBorders>
              <w:right w:val="single" w:sz="4" w:space="0" w:color="auto"/>
            </w:tcBorders>
          </w:tcPr>
          <w:p w14:paraId="2817448D" w14:textId="072435F5" w:rsidR="002B38A9" w:rsidRPr="00E33EFF" w:rsidRDefault="00D4648A" w:rsidP="00966A05">
            <w:pPr>
              <w:tabs>
                <w:tab w:val="left" w:pos="567"/>
              </w:tabs>
              <w:spacing w:line="276" w:lineRule="auto"/>
              <w:jc w:val="both"/>
              <w:rPr>
                <w:i/>
                <w:iCs/>
                <w:lang w:eastAsia="lt-LT"/>
              </w:rPr>
            </w:pPr>
            <w:r>
              <w:rPr>
                <w:i/>
                <w:iCs/>
                <w:lang w:eastAsia="lt-LT"/>
              </w:rPr>
              <w:t>****</w:t>
            </w:r>
            <w:r w:rsidR="002B38A9">
              <w:rPr>
                <w:i/>
                <w:iCs/>
                <w:lang w:eastAsia="lt-LT"/>
              </w:rPr>
              <w:t xml:space="preserve"> </w:t>
            </w:r>
            <w:proofErr w:type="spellStart"/>
            <w:r w:rsidR="002B38A9">
              <w:rPr>
                <w:i/>
                <w:iCs/>
                <w:lang w:eastAsia="lt-LT"/>
              </w:rPr>
              <w:t>eur</w:t>
            </w:r>
            <w:proofErr w:type="spellEnd"/>
            <w:r w:rsidR="002B38A9">
              <w:rPr>
                <w:i/>
                <w:iCs/>
                <w:lang w:eastAsia="lt-LT"/>
              </w:rPr>
              <w:t>/LY</w:t>
            </w:r>
          </w:p>
        </w:tc>
      </w:tr>
      <w:tr w:rsidR="002B38A9" w:rsidRPr="00E33EFF" w14:paraId="250DE960" w14:textId="77777777" w:rsidTr="002B38A9">
        <w:trPr>
          <w:trHeight w:val="267"/>
          <w:jc w:val="center"/>
        </w:trPr>
        <w:tc>
          <w:tcPr>
            <w:tcW w:w="6200" w:type="dxa"/>
            <w:tcBorders>
              <w:left w:val="single" w:sz="4" w:space="0" w:color="auto"/>
            </w:tcBorders>
          </w:tcPr>
          <w:p w14:paraId="207EFB23" w14:textId="77777777" w:rsidR="002B38A9" w:rsidRPr="00E33EFF" w:rsidRDefault="002B38A9" w:rsidP="00966A05">
            <w:pPr>
              <w:tabs>
                <w:tab w:val="left" w:pos="567"/>
              </w:tabs>
              <w:spacing w:line="276" w:lineRule="auto"/>
              <w:jc w:val="right"/>
              <w:rPr>
                <w:iCs/>
                <w:lang w:eastAsia="lt-LT"/>
              </w:rPr>
            </w:pPr>
            <w:r w:rsidRPr="00E33EFF">
              <w:rPr>
                <w:iCs/>
                <w:lang w:eastAsia="lt-LT"/>
              </w:rPr>
              <w:t>ICER už QALY</w:t>
            </w:r>
          </w:p>
        </w:tc>
        <w:tc>
          <w:tcPr>
            <w:tcW w:w="3239" w:type="dxa"/>
            <w:tcBorders>
              <w:right w:val="single" w:sz="4" w:space="0" w:color="auto"/>
            </w:tcBorders>
          </w:tcPr>
          <w:p w14:paraId="4275320D" w14:textId="20F90747" w:rsidR="002B38A9" w:rsidRPr="00E33EFF" w:rsidRDefault="00D4648A" w:rsidP="00966A05">
            <w:pPr>
              <w:tabs>
                <w:tab w:val="left" w:pos="567"/>
              </w:tabs>
              <w:spacing w:line="276" w:lineRule="auto"/>
              <w:jc w:val="both"/>
              <w:rPr>
                <w:i/>
                <w:iCs/>
                <w:lang w:eastAsia="lt-LT"/>
              </w:rPr>
            </w:pPr>
            <w:r>
              <w:rPr>
                <w:i/>
                <w:iCs/>
                <w:lang w:eastAsia="lt-LT"/>
              </w:rPr>
              <w:t>****</w:t>
            </w:r>
            <w:r w:rsidR="002B38A9">
              <w:rPr>
                <w:i/>
                <w:iCs/>
                <w:lang w:eastAsia="lt-LT"/>
              </w:rPr>
              <w:t xml:space="preserve"> </w:t>
            </w:r>
            <w:proofErr w:type="spellStart"/>
            <w:r w:rsidR="002B38A9">
              <w:rPr>
                <w:i/>
                <w:iCs/>
                <w:lang w:eastAsia="lt-LT"/>
              </w:rPr>
              <w:t>eur</w:t>
            </w:r>
            <w:proofErr w:type="spellEnd"/>
            <w:r w:rsidR="002B38A9">
              <w:rPr>
                <w:i/>
                <w:iCs/>
                <w:lang w:eastAsia="lt-LT"/>
              </w:rPr>
              <w:t>/QALY</w:t>
            </w:r>
          </w:p>
        </w:tc>
      </w:tr>
      <w:tr w:rsidR="002B38A9" w:rsidRPr="00E33EFF" w14:paraId="2C4C68BA" w14:textId="77777777" w:rsidTr="002B38A9">
        <w:trPr>
          <w:trHeight w:val="267"/>
          <w:jc w:val="center"/>
        </w:trPr>
        <w:tc>
          <w:tcPr>
            <w:tcW w:w="6200" w:type="dxa"/>
            <w:tcBorders>
              <w:left w:val="single" w:sz="4" w:space="0" w:color="auto"/>
              <w:bottom w:val="single" w:sz="4" w:space="0" w:color="auto"/>
              <w:right w:val="single" w:sz="4" w:space="0" w:color="auto"/>
            </w:tcBorders>
          </w:tcPr>
          <w:p w14:paraId="21BEDABF" w14:textId="77777777" w:rsidR="002B38A9" w:rsidRPr="00E33EFF" w:rsidRDefault="002B38A9" w:rsidP="00966A05">
            <w:pPr>
              <w:tabs>
                <w:tab w:val="left" w:pos="567"/>
              </w:tabs>
              <w:spacing w:line="276" w:lineRule="auto"/>
              <w:jc w:val="right"/>
              <w:rPr>
                <w:iCs/>
                <w:lang w:eastAsia="lt-LT"/>
              </w:rPr>
            </w:pPr>
            <w:r w:rsidRPr="00E33EFF">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31DAA72E" w14:textId="1A733365" w:rsidR="002B38A9" w:rsidRPr="00E33EFF" w:rsidRDefault="002B38A9" w:rsidP="00966A05">
            <w:pPr>
              <w:tabs>
                <w:tab w:val="left" w:pos="567"/>
              </w:tabs>
              <w:spacing w:line="276" w:lineRule="auto"/>
              <w:jc w:val="both"/>
              <w:rPr>
                <w:i/>
                <w:iCs/>
                <w:lang w:eastAsia="lt-LT"/>
              </w:rPr>
            </w:pPr>
            <w:r>
              <w:rPr>
                <w:i/>
                <w:iCs/>
                <w:lang w:eastAsia="lt-LT"/>
              </w:rPr>
              <w:t xml:space="preserve">20 004 </w:t>
            </w:r>
            <w:proofErr w:type="spellStart"/>
            <w:r>
              <w:rPr>
                <w:i/>
                <w:iCs/>
                <w:lang w:eastAsia="lt-LT"/>
              </w:rPr>
              <w:t>eur</w:t>
            </w:r>
            <w:proofErr w:type="spellEnd"/>
            <w:r>
              <w:rPr>
                <w:i/>
                <w:iCs/>
                <w:lang w:eastAsia="lt-LT"/>
              </w:rPr>
              <w:t>/QALY</w:t>
            </w:r>
          </w:p>
        </w:tc>
      </w:tr>
    </w:tbl>
    <w:p w14:paraId="5FC8C737" w14:textId="4136B7F4" w:rsidR="0035172D" w:rsidRPr="00E33EFF" w:rsidRDefault="00E5102E" w:rsidP="00966A05">
      <w:pPr>
        <w:tabs>
          <w:tab w:val="left" w:pos="567"/>
        </w:tabs>
        <w:spacing w:line="276" w:lineRule="auto"/>
        <w:jc w:val="both"/>
        <w:rPr>
          <w:iCs/>
          <w:sz w:val="20"/>
          <w:lang w:eastAsia="lt-LT"/>
        </w:rPr>
      </w:pPr>
      <w:r w:rsidRPr="00E33EFF">
        <w:rPr>
          <w:iCs/>
          <w:sz w:val="20"/>
          <w:lang w:eastAsia="lt-LT"/>
        </w:rPr>
        <w:t xml:space="preserve">ICER </w:t>
      </w:r>
      <w:r w:rsidR="00453862" w:rsidRPr="00E33EFF">
        <w:rPr>
          <w:iCs/>
          <w:sz w:val="20"/>
          <w:lang w:eastAsia="lt-LT"/>
        </w:rPr>
        <w:t>– (</w:t>
      </w:r>
      <w:r w:rsidR="00453862" w:rsidRPr="00E33EFF">
        <w:rPr>
          <w:i/>
          <w:sz w:val="20"/>
          <w:lang w:eastAsia="lt-LT"/>
        </w:rPr>
        <w:t xml:space="preserve">angl. </w:t>
      </w:r>
      <w:proofErr w:type="spellStart"/>
      <w:r w:rsidR="00453862" w:rsidRPr="00E33EFF">
        <w:rPr>
          <w:i/>
          <w:sz w:val="20"/>
          <w:lang w:eastAsia="lt-LT"/>
        </w:rPr>
        <w:t>incremental</w:t>
      </w:r>
      <w:proofErr w:type="spellEnd"/>
      <w:r w:rsidR="00453862" w:rsidRPr="00E33EFF">
        <w:rPr>
          <w:i/>
          <w:sz w:val="20"/>
          <w:lang w:eastAsia="lt-LT"/>
        </w:rPr>
        <w:t xml:space="preserve"> </w:t>
      </w:r>
      <w:proofErr w:type="spellStart"/>
      <w:r w:rsidR="00453862" w:rsidRPr="00E33EFF">
        <w:rPr>
          <w:i/>
          <w:sz w:val="20"/>
          <w:lang w:eastAsia="lt-LT"/>
        </w:rPr>
        <w:t>cost-effectiveness</w:t>
      </w:r>
      <w:proofErr w:type="spellEnd"/>
      <w:r w:rsidR="00453862" w:rsidRPr="00E33EFF">
        <w:rPr>
          <w:i/>
          <w:sz w:val="20"/>
          <w:lang w:eastAsia="lt-LT"/>
        </w:rPr>
        <w:t xml:space="preserve"> </w:t>
      </w:r>
      <w:proofErr w:type="spellStart"/>
      <w:r w:rsidR="00453862" w:rsidRPr="00E33EFF">
        <w:rPr>
          <w:i/>
          <w:sz w:val="20"/>
          <w:lang w:eastAsia="lt-LT"/>
        </w:rPr>
        <w:t>ratio</w:t>
      </w:r>
      <w:proofErr w:type="spellEnd"/>
      <w:r w:rsidR="00453862" w:rsidRPr="00E33EFF">
        <w:rPr>
          <w:iCs/>
          <w:sz w:val="20"/>
          <w:lang w:eastAsia="lt-LT"/>
        </w:rPr>
        <w:t xml:space="preserve">) </w:t>
      </w:r>
      <w:proofErr w:type="spellStart"/>
      <w:r w:rsidR="00453862" w:rsidRPr="00E33EFF">
        <w:rPr>
          <w:iCs/>
          <w:sz w:val="20"/>
          <w:lang w:eastAsia="lt-LT"/>
        </w:rPr>
        <w:t>inkrementinis</w:t>
      </w:r>
      <w:proofErr w:type="spellEnd"/>
      <w:r w:rsidR="00453862" w:rsidRPr="00E33EFF">
        <w:rPr>
          <w:iCs/>
          <w:sz w:val="20"/>
          <w:lang w:eastAsia="lt-LT"/>
        </w:rPr>
        <w:t xml:space="preserve"> kaštų naudingumo koeficientas</w:t>
      </w:r>
      <w:r w:rsidRPr="00E33EFF">
        <w:rPr>
          <w:iCs/>
          <w:sz w:val="20"/>
          <w:lang w:eastAsia="lt-LT"/>
        </w:rPr>
        <w:t>; LY –</w:t>
      </w:r>
      <w:r w:rsidR="00453862" w:rsidRPr="00E33EFF">
        <w:rPr>
          <w:iCs/>
          <w:sz w:val="20"/>
          <w:lang w:eastAsia="lt-LT"/>
        </w:rPr>
        <w:t xml:space="preserve"> (</w:t>
      </w:r>
      <w:r w:rsidR="00453862" w:rsidRPr="00E33EFF">
        <w:rPr>
          <w:i/>
          <w:sz w:val="20"/>
          <w:lang w:eastAsia="lt-LT"/>
        </w:rPr>
        <w:t xml:space="preserve">angl. </w:t>
      </w:r>
      <w:proofErr w:type="spellStart"/>
      <w:r w:rsidR="00453862" w:rsidRPr="00E33EFF">
        <w:rPr>
          <w:i/>
          <w:sz w:val="20"/>
          <w:lang w:eastAsia="lt-LT"/>
        </w:rPr>
        <w:t>life</w:t>
      </w:r>
      <w:proofErr w:type="spellEnd"/>
      <w:r w:rsidR="00453862" w:rsidRPr="00E33EFF">
        <w:rPr>
          <w:i/>
          <w:sz w:val="20"/>
          <w:lang w:eastAsia="lt-LT"/>
        </w:rPr>
        <w:t xml:space="preserve"> </w:t>
      </w:r>
      <w:proofErr w:type="spellStart"/>
      <w:r w:rsidR="00453862" w:rsidRPr="00E33EFF">
        <w:rPr>
          <w:i/>
          <w:sz w:val="20"/>
          <w:lang w:eastAsia="lt-LT"/>
        </w:rPr>
        <w:t>years</w:t>
      </w:r>
      <w:proofErr w:type="spellEnd"/>
      <w:r w:rsidR="00453862" w:rsidRPr="00E33EFF">
        <w:rPr>
          <w:iCs/>
          <w:sz w:val="20"/>
          <w:lang w:eastAsia="lt-LT"/>
        </w:rPr>
        <w:t>) gyvenimo metai</w:t>
      </w:r>
      <w:r w:rsidRPr="00E33EFF">
        <w:rPr>
          <w:iCs/>
          <w:sz w:val="20"/>
          <w:lang w:eastAsia="lt-LT"/>
        </w:rPr>
        <w:t xml:space="preserve">; QALY- </w:t>
      </w:r>
      <w:r w:rsidR="00453862" w:rsidRPr="00E33EFF">
        <w:rPr>
          <w:iCs/>
          <w:sz w:val="20"/>
          <w:lang w:eastAsia="lt-LT"/>
        </w:rPr>
        <w:t>(</w:t>
      </w:r>
      <w:r w:rsidR="00453862" w:rsidRPr="00E33EFF">
        <w:rPr>
          <w:i/>
          <w:sz w:val="20"/>
          <w:lang w:eastAsia="lt-LT"/>
        </w:rPr>
        <w:t xml:space="preserve">angl. </w:t>
      </w:r>
      <w:proofErr w:type="spellStart"/>
      <w:r w:rsidR="00453862" w:rsidRPr="00E33EFF">
        <w:rPr>
          <w:i/>
          <w:sz w:val="20"/>
          <w:lang w:eastAsia="lt-LT"/>
        </w:rPr>
        <w:t>quality</w:t>
      </w:r>
      <w:proofErr w:type="spellEnd"/>
      <w:r w:rsidR="00453862" w:rsidRPr="00E33EFF">
        <w:rPr>
          <w:i/>
          <w:sz w:val="20"/>
          <w:lang w:eastAsia="lt-LT"/>
        </w:rPr>
        <w:t xml:space="preserve"> </w:t>
      </w:r>
      <w:proofErr w:type="spellStart"/>
      <w:r w:rsidR="00453862" w:rsidRPr="00E33EFF">
        <w:rPr>
          <w:i/>
          <w:sz w:val="20"/>
          <w:lang w:eastAsia="lt-LT"/>
        </w:rPr>
        <w:t>adjusted</w:t>
      </w:r>
      <w:proofErr w:type="spellEnd"/>
      <w:r w:rsidR="00453862" w:rsidRPr="00E33EFF">
        <w:rPr>
          <w:i/>
          <w:sz w:val="20"/>
          <w:lang w:eastAsia="lt-LT"/>
        </w:rPr>
        <w:t xml:space="preserve"> </w:t>
      </w:r>
      <w:proofErr w:type="spellStart"/>
      <w:r w:rsidR="00453862" w:rsidRPr="00E33EFF">
        <w:rPr>
          <w:i/>
          <w:sz w:val="20"/>
          <w:lang w:eastAsia="lt-LT"/>
        </w:rPr>
        <w:t>life</w:t>
      </w:r>
      <w:proofErr w:type="spellEnd"/>
      <w:r w:rsidR="00453862" w:rsidRPr="00E33EFF">
        <w:rPr>
          <w:i/>
          <w:sz w:val="20"/>
          <w:lang w:eastAsia="lt-LT"/>
        </w:rPr>
        <w:t xml:space="preserve"> </w:t>
      </w:r>
      <w:proofErr w:type="spellStart"/>
      <w:r w:rsidR="00453862" w:rsidRPr="00E33EFF">
        <w:rPr>
          <w:i/>
          <w:sz w:val="20"/>
          <w:lang w:eastAsia="lt-LT"/>
        </w:rPr>
        <w:t>years</w:t>
      </w:r>
      <w:proofErr w:type="spellEnd"/>
      <w:r w:rsidR="00453862" w:rsidRPr="00E33EFF">
        <w:rPr>
          <w:i/>
          <w:sz w:val="20"/>
          <w:lang w:eastAsia="lt-LT"/>
        </w:rPr>
        <w:t xml:space="preserve">) </w:t>
      </w:r>
      <w:r w:rsidR="00453862" w:rsidRPr="00E33EFF">
        <w:rPr>
          <w:iCs/>
          <w:sz w:val="20"/>
          <w:lang w:eastAsia="lt-LT"/>
        </w:rPr>
        <w:t>kokybiški gyvenimo metai.</w:t>
      </w:r>
    </w:p>
    <w:p w14:paraId="33875138" w14:textId="77777777" w:rsidR="0035172D" w:rsidRPr="00E33EFF" w:rsidRDefault="0035172D" w:rsidP="00966A05">
      <w:pPr>
        <w:tabs>
          <w:tab w:val="left" w:pos="426"/>
        </w:tabs>
        <w:spacing w:line="276" w:lineRule="auto"/>
        <w:rPr>
          <w:b/>
          <w:bCs/>
          <w:caps/>
        </w:rPr>
      </w:pPr>
    </w:p>
    <w:p w14:paraId="4FC424F9" w14:textId="4E767245" w:rsidR="00C62B36" w:rsidRPr="00E33EFF" w:rsidRDefault="00C62B36" w:rsidP="00966A05">
      <w:pPr>
        <w:pStyle w:val="ListParagraph"/>
        <w:numPr>
          <w:ilvl w:val="0"/>
          <w:numId w:val="12"/>
        </w:numPr>
        <w:tabs>
          <w:tab w:val="left" w:pos="567"/>
        </w:tabs>
        <w:spacing w:line="276" w:lineRule="auto"/>
        <w:ind w:hanging="720"/>
        <w:rPr>
          <w:b/>
          <w:bCs/>
          <w:caps/>
        </w:rPr>
      </w:pPr>
      <w:r w:rsidRPr="00E33EFF">
        <w:rPr>
          <w:b/>
          <w:bCs/>
          <w:caps/>
        </w:rPr>
        <w:t xml:space="preserve">Pacientų organizacijų pateikti duomenys </w:t>
      </w:r>
    </w:p>
    <w:p w14:paraId="79BCFF40" w14:textId="5FAF3224" w:rsidR="00937907" w:rsidRPr="00E33EFF" w:rsidRDefault="00D4648A" w:rsidP="00966A05">
      <w:pPr>
        <w:spacing w:after="120" w:line="276" w:lineRule="auto"/>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EndPr>
          <w:rPr>
            <w:rStyle w:val="Style2"/>
          </w:rPr>
        </w:sdtEndPr>
        <w:sdtContent>
          <w:r w:rsidR="000B5C94">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1A5F6995" w:rsidR="00937907" w:rsidRPr="00E33EFF" w:rsidRDefault="00D4648A" w:rsidP="00966A05">
      <w:pPr>
        <w:spacing w:after="120" w:line="276" w:lineRule="auto"/>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EndPr>
          <w:rPr>
            <w:rStyle w:val="Style2"/>
          </w:rPr>
        </w:sdtEndPr>
        <w:sdtContent>
          <w:r w:rsidR="000B5C94">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66A05">
      <w:pPr>
        <w:spacing w:after="120" w:line="276" w:lineRule="auto"/>
        <w:jc w:val="both"/>
      </w:pPr>
    </w:p>
    <w:p w14:paraId="3D3277FA" w14:textId="3CEEB2D2" w:rsidR="00C62B36" w:rsidRPr="00E33EFF" w:rsidRDefault="00C62B36" w:rsidP="00966A05">
      <w:pPr>
        <w:pStyle w:val="ListParagraph"/>
        <w:numPr>
          <w:ilvl w:val="0"/>
          <w:numId w:val="12"/>
        </w:numPr>
        <w:tabs>
          <w:tab w:val="left" w:pos="567"/>
        </w:tabs>
        <w:spacing w:line="276" w:lineRule="auto"/>
        <w:ind w:hanging="720"/>
        <w:rPr>
          <w:b/>
          <w:bCs/>
          <w:caps/>
        </w:rPr>
      </w:pPr>
      <w:r w:rsidRPr="00E33EFF">
        <w:rPr>
          <w:b/>
          <w:bCs/>
          <w:caps/>
        </w:rPr>
        <w:t>Gydytojų organizacijų pateikti duomenys</w:t>
      </w:r>
    </w:p>
    <w:p w14:paraId="389A346C" w14:textId="17184B64" w:rsidR="00937907" w:rsidRPr="00E33EFF" w:rsidRDefault="00D4648A" w:rsidP="00966A05">
      <w:pPr>
        <w:spacing w:after="120" w:line="276" w:lineRule="auto"/>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4EDA8F18" w:rsidR="00662983" w:rsidRPr="00E33EFF" w:rsidRDefault="00D4648A" w:rsidP="00966A05">
      <w:pPr>
        <w:spacing w:after="120" w:line="276" w:lineRule="auto"/>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0B5C94">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966A05">
      <w:pPr>
        <w:spacing w:after="120" w:line="276" w:lineRule="auto"/>
        <w:jc w:val="both"/>
      </w:pPr>
    </w:p>
    <w:p w14:paraId="78F23ECB" w14:textId="23A3A002" w:rsidR="002F0E4F" w:rsidRPr="00E33EFF" w:rsidRDefault="002F0E4F" w:rsidP="00966A05">
      <w:pPr>
        <w:pStyle w:val="ListParagraph"/>
        <w:numPr>
          <w:ilvl w:val="0"/>
          <w:numId w:val="12"/>
        </w:numPr>
        <w:tabs>
          <w:tab w:val="left" w:pos="567"/>
        </w:tabs>
        <w:spacing w:line="276" w:lineRule="auto"/>
        <w:ind w:hanging="720"/>
        <w:rPr>
          <w:b/>
          <w:bCs/>
          <w:caps/>
        </w:rPr>
      </w:pPr>
      <w:r w:rsidRPr="00E33EFF">
        <w:rPr>
          <w:b/>
          <w:bCs/>
          <w:caps/>
        </w:rPr>
        <w:t xml:space="preserve">Išvada </w:t>
      </w:r>
    </w:p>
    <w:p w14:paraId="30069D85" w14:textId="77777777" w:rsidR="0061611B" w:rsidRPr="00BF3927" w:rsidRDefault="0061611B" w:rsidP="00966A05">
      <w:pPr>
        <w:spacing w:line="276" w:lineRule="auto"/>
        <w:ind w:left="360"/>
        <w:rPr>
          <w:i/>
          <w:color w:val="000000" w:themeColor="text1"/>
          <w:szCs w:val="22"/>
        </w:rPr>
      </w:pPr>
    </w:p>
    <w:p w14:paraId="08D5B3B6" w14:textId="092DB859" w:rsidR="0061611B" w:rsidRPr="00E33EFF" w:rsidRDefault="0061611B" w:rsidP="00966A05">
      <w:pPr>
        <w:spacing w:line="276" w:lineRule="auto"/>
        <w:rPr>
          <w:i/>
          <w:color w:val="00B050"/>
          <w:szCs w:val="22"/>
        </w:rPr>
      </w:pPr>
    </w:p>
    <w:tbl>
      <w:tblPr>
        <w:tblStyle w:val="TableGrid"/>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2CE2D5D8" w:rsidR="00B13D65" w:rsidRPr="00E33EFF" w:rsidRDefault="00D4648A"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0B5C94">
                  <w:rPr>
                    <w:rStyle w:val="Style2"/>
                    <w:rFonts w:ascii="MS Gothic" w:eastAsia="MS Gothic" w:hAnsi="MS Gothic" w:hint="eastAsia"/>
                    <w:sz w:val="24"/>
                  </w:rPr>
                  <w:t>☒</w:t>
                </w:r>
              </w:sdtContent>
            </w:sdt>
            <w:r w:rsidR="00B13D65" w:rsidRPr="00E33EFF">
              <w:t xml:space="preserve"> 32.1. yra didesnis</w:t>
            </w:r>
          </w:p>
          <w:p w14:paraId="3B48F372" w14:textId="77777777" w:rsidR="00662983" w:rsidRPr="00E33EFF" w:rsidRDefault="00662983"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74F18D4" w14:textId="1D6DDC38" w:rsidR="00B13D65" w:rsidRPr="00E33EFF" w:rsidRDefault="00D4648A"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32.1. iš esmės nesiskiria</w:t>
            </w:r>
          </w:p>
        </w:tc>
        <w:tc>
          <w:tcPr>
            <w:tcW w:w="4814" w:type="dxa"/>
          </w:tcPr>
          <w:p w14:paraId="507828D9" w14:textId="73193254" w:rsidR="00B13D65" w:rsidRPr="00E33EFF" w:rsidRDefault="00D4648A"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p>
          <w:p w14:paraId="7F95DEEC" w14:textId="77777777" w:rsidR="00662983" w:rsidRPr="00E33EFF" w:rsidRDefault="00662983"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80682B8" w14:textId="2F9B65EE" w:rsidR="00662983" w:rsidRPr="00E33EFF" w:rsidRDefault="00D4648A"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p>
          <w:p w14:paraId="35205E85" w14:textId="77777777" w:rsidR="00662983" w:rsidRPr="00E33EFF" w:rsidRDefault="00662983"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CC3F0A3" w14:textId="1B01D9D1" w:rsidR="00B13D65" w:rsidRPr="00E33EFF" w:rsidRDefault="00D4648A"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p>
          <w:p w14:paraId="512E653B" w14:textId="77777777" w:rsidR="00662983" w:rsidRPr="00E33EFF" w:rsidRDefault="00662983"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3F374F4" w14:textId="77777777" w:rsidR="00B13D65" w:rsidRPr="00E33EFF" w:rsidRDefault="00D4648A"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E33EFF">
              <w:rPr>
                <w:rStyle w:val="Style2"/>
                <w:rFonts w:eastAsia="MS Gothic"/>
                <w:b/>
                <w:bCs/>
                <w:sz w:val="24"/>
              </w:rPr>
              <w:lastRenderedPageBreak/>
              <w:t>Klinikinis veiksmingumas</w:t>
            </w:r>
          </w:p>
        </w:tc>
      </w:tr>
      <w:tr w:rsidR="00B13D65" w:rsidRPr="00E33EFF" w14:paraId="3C60570A" w14:textId="77777777" w:rsidTr="0061611B">
        <w:tc>
          <w:tcPr>
            <w:tcW w:w="4815" w:type="dxa"/>
          </w:tcPr>
          <w:p w14:paraId="6897B306" w14:textId="55A994C3" w:rsidR="00B13D65" w:rsidRPr="00E33EFF" w:rsidRDefault="00D4648A"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481080007"/>
                <w15:color w:val="FFCC00"/>
                <w14:checkbox>
                  <w14:checked w14:val="1"/>
                  <w14:checkedState w14:val="2612" w14:font="MS Gothic"/>
                  <w14:uncheckedState w14:val="2610" w14:font="MS Gothic"/>
                </w14:checkbox>
              </w:sdtPr>
              <w:sdtEndPr>
                <w:rPr>
                  <w:rStyle w:val="Style2"/>
                </w:rPr>
              </w:sdtEndPr>
              <w:sdtContent>
                <w:r w:rsidR="000B5C94">
                  <w:rPr>
                    <w:rStyle w:val="Style2"/>
                    <w:rFonts w:ascii="MS Gothic" w:eastAsia="MS Gothic" w:hAnsi="MS Gothic" w:hint="eastAsia"/>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EBBDF86" w14:textId="5C0FE0B2" w:rsidR="00B13D65" w:rsidRPr="00E33EFF" w:rsidRDefault="00D4648A"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c>
          <w:tcPr>
            <w:tcW w:w="4814" w:type="dxa"/>
          </w:tcPr>
          <w:p w14:paraId="74A2DECF" w14:textId="682BFC3B" w:rsidR="00662983" w:rsidRPr="00E33EFF" w:rsidRDefault="00D4648A" w:rsidP="00966A05">
            <w:pPr>
              <w:spacing w:line="276" w:lineRule="auto"/>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966A05">
            <w:pPr>
              <w:spacing w:line="276" w:lineRule="auto"/>
              <w:jc w:val="both"/>
            </w:pPr>
          </w:p>
          <w:p w14:paraId="0ADEC30D" w14:textId="1353964F" w:rsidR="00B13D65" w:rsidRPr="00E33EFF" w:rsidRDefault="00D4648A" w:rsidP="00966A05">
            <w:pPr>
              <w:spacing w:line="276" w:lineRule="auto"/>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747E672" w14:textId="77777777" w:rsidR="00B13D65" w:rsidRPr="00E33EFF" w:rsidRDefault="00B13D65"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4C0730DB" w:rsidR="00B13D65" w:rsidRPr="00E33EFF" w:rsidRDefault="00D4648A"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 netaikant PGS</w:t>
            </w:r>
          </w:p>
          <w:p w14:paraId="3F76F153" w14:textId="77777777" w:rsidR="00662983" w:rsidRPr="00E33EFF" w:rsidRDefault="00662983"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072E7" w14:textId="49849201" w:rsidR="00B13D65" w:rsidRPr="00E33EFF" w:rsidRDefault="00D4648A"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nesiskiriančiam palyginamajam efektyvumui, netaikant PGS</w:t>
            </w:r>
            <w:r w:rsidR="00B00959" w:rsidRPr="00E33EFF">
              <w:t>, lyginant su įprasta klinikine praktika</w:t>
            </w:r>
          </w:p>
          <w:p w14:paraId="25E4BD1E" w14:textId="77777777" w:rsidR="00B13D65" w:rsidRPr="00E33EFF" w:rsidRDefault="00B13D65"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c>
          <w:tcPr>
            <w:tcW w:w="4814" w:type="dxa"/>
          </w:tcPr>
          <w:p w14:paraId="53380063" w14:textId="4F9187C0" w:rsidR="00B13D65" w:rsidRPr="00E33EFF" w:rsidRDefault="00D4648A"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365405113"/>
                <w15:color w:val="FFCC00"/>
                <w14:checkbox>
                  <w14:checked w14:val="1"/>
                  <w14:checkedState w14:val="2612" w14:font="MS Gothic"/>
                  <w14:uncheckedState w14:val="2610" w14:font="MS Gothic"/>
                </w14:checkbox>
              </w:sdtPr>
              <w:sdtEndPr>
                <w:rPr>
                  <w:rStyle w:val="Style2"/>
                </w:rPr>
              </w:sdtEndPr>
              <w:sdtContent>
                <w:r w:rsidR="002B38A9">
                  <w:rPr>
                    <w:rStyle w:val="Style2"/>
                    <w:rFonts w:ascii="MS Gothic" w:eastAsia="MS Gothic" w:hAnsi="MS Gothic" w:hint="eastAsia"/>
                    <w:sz w:val="24"/>
                  </w:rPr>
                  <w:t>☒</w:t>
                </w:r>
              </w:sdtContent>
            </w:sdt>
            <w:r w:rsidR="00B13D65" w:rsidRPr="00E33EFF">
              <w:t xml:space="preserve"> 33.3. neatitinka referencinės naudingumo vertės Lietuvos Respublikoje</w:t>
            </w:r>
          </w:p>
          <w:p w14:paraId="229ED51A" w14:textId="77777777" w:rsidR="00662983" w:rsidRPr="00E33EFF" w:rsidRDefault="00662983"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673C3A9" w14:textId="53D0B41F" w:rsidR="00B13D65" w:rsidRPr="00E33EFF" w:rsidRDefault="00D4648A"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nesiskiriančiam palyginamajam e</w:t>
            </w:r>
            <w:r w:rsidR="002B38A9">
              <w:t xml:space="preserve">fektyvumui, </w:t>
            </w:r>
            <w:r w:rsidR="00B13D65" w:rsidRPr="00E33EFF">
              <w:t>netaikant PGS</w:t>
            </w:r>
            <w:r w:rsidR="00B00959" w:rsidRPr="00E33EFF">
              <w:t>, lyginant su įprasta klinikine praktika</w:t>
            </w:r>
          </w:p>
          <w:p w14:paraId="4A9C7D2A" w14:textId="77777777" w:rsidR="00662983" w:rsidRPr="00E33EFF" w:rsidRDefault="00662983"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226013D" w14:textId="4020B1AC" w:rsidR="00B13D65" w:rsidRPr="00E33EFF" w:rsidRDefault="00D4648A"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96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r>
    </w:tbl>
    <w:p w14:paraId="29A90384" w14:textId="4772D5ED" w:rsidR="004A3A61" w:rsidRPr="00E33EFF" w:rsidRDefault="004A3A61" w:rsidP="00966A05">
      <w:pPr>
        <w:spacing w:line="276" w:lineRule="auto"/>
      </w:pPr>
    </w:p>
    <w:p w14:paraId="1B85C083" w14:textId="77777777" w:rsidR="009E44AE" w:rsidRPr="00E33EFF" w:rsidRDefault="009E44AE" w:rsidP="00966A05">
      <w:pPr>
        <w:spacing w:line="276" w:lineRule="auto"/>
      </w:pPr>
    </w:p>
    <w:p w14:paraId="3B2D1F25" w14:textId="3A80E19F" w:rsidR="000001B0" w:rsidRPr="00E33EFF" w:rsidRDefault="000001B0" w:rsidP="00966A05">
      <w:pPr>
        <w:pStyle w:val="ListParagraph"/>
        <w:numPr>
          <w:ilvl w:val="0"/>
          <w:numId w:val="12"/>
        </w:numPr>
        <w:spacing w:line="276" w:lineRule="auto"/>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966A05">
      <w:pPr>
        <w:pStyle w:val="ListParagraph"/>
        <w:spacing w:line="276" w:lineRule="auto"/>
        <w:ind w:left="426"/>
      </w:pPr>
    </w:p>
    <w:p w14:paraId="22325210" w14:textId="3676A618" w:rsidR="004F3B2B" w:rsidRPr="00E33EFF" w:rsidRDefault="004F3B2B" w:rsidP="00966A05">
      <w:pPr>
        <w:spacing w:line="276" w:lineRule="auto"/>
        <w:jc w:val="both"/>
      </w:pPr>
      <w:r w:rsidRPr="00E33EFF">
        <w:t xml:space="preserve">Vadovaujantis </w:t>
      </w:r>
      <w:r w:rsidR="00F259FC">
        <w:t>V</w:t>
      </w:r>
      <w:r w:rsidR="00F259FC" w:rsidRPr="00E33EFF">
        <w:t>aistinių preparatų ir medicinos pagalbos priemonių įrašymo į kompensavimo sąrašus ir jų keitimo tvarkos aprašo</w:t>
      </w:r>
      <w:r w:rsidR="00F259FC">
        <w:t>, patvirtinto</w:t>
      </w:r>
      <w:r w:rsidR="00F259FC" w:rsidRPr="00E33EFF">
        <w:t xml:space="preserve"> </w:t>
      </w:r>
      <w:r w:rsidRPr="00E33EFF">
        <w:t>Lietuvos Respublikos sveikatos apsaugos ministro 2002 m. balandžio 5 d. įsakymu Nr. V-159 „Dėl vaistinių preparatų ir medicinos pagalbos priemonių įrašymo į kompensavimo sąrašus ir jų keitimo tvarkos aprašo patvirtinimo“</w:t>
      </w:r>
      <w:r w:rsidR="00F259FC">
        <w:t>,</w:t>
      </w:r>
      <w:r w:rsidRPr="00E33EFF">
        <w:t xml:space="preserve"> punktu </w:t>
      </w:r>
    </w:p>
    <w:p w14:paraId="00098A62" w14:textId="5198D999" w:rsidR="003D6208" w:rsidRPr="002B38A9" w:rsidRDefault="004F3B2B" w:rsidP="00966A05">
      <w:pPr>
        <w:spacing w:line="276" w:lineRule="auto"/>
        <w:jc w:val="both"/>
      </w:pPr>
      <w:r w:rsidRPr="00E33EFF">
        <w:t xml:space="preserve">34.4. rekomenduojama </w:t>
      </w:r>
      <w:r w:rsidRPr="00E33EFF">
        <w:rPr>
          <w:i/>
        </w:rPr>
        <w:t xml:space="preserve">nekompensuoti </w:t>
      </w:r>
      <w:r w:rsidRPr="00E33EFF">
        <w:t>vaistinio prepa</w:t>
      </w:r>
      <w:r w:rsidR="002B38A9">
        <w:t>rato pagal paraiškoje nurodytą indikaciją</w:t>
      </w:r>
      <w:r w:rsidRPr="00E33EFF">
        <w:t xml:space="preserve"> su skyrimo sąlygomis</w:t>
      </w:r>
      <w:r w:rsidR="002B38A9">
        <w:t xml:space="preserve">, </w:t>
      </w:r>
      <w:r w:rsidRPr="00E33EFF">
        <w:t>netaikant PGS dėl vertinimo išvadų</w:t>
      </w:r>
      <w:r w:rsidR="00613143">
        <w:t xml:space="preserve">, nurodytų </w:t>
      </w:r>
      <w:r w:rsidR="002B38A9">
        <w:t>3</w:t>
      </w:r>
      <w:r w:rsidR="00613143">
        <w:t>3.3 papunk</w:t>
      </w:r>
      <w:r w:rsidR="00E348BA">
        <w:t xml:space="preserve">tyje (žr. 6 skyrių), </w:t>
      </w:r>
      <w:r w:rsidRPr="00E33EFF">
        <w:t xml:space="preserve"> neatitikties </w:t>
      </w:r>
      <w:r w:rsidRPr="003D6208">
        <w:t>34.1 papunktyje išdėstyt</w:t>
      </w:r>
      <w:r w:rsidR="00CF27FD" w:rsidRPr="003D6208">
        <w:t>oms</w:t>
      </w:r>
      <w:r w:rsidRPr="003D6208">
        <w:t xml:space="preserve"> sąlyg</w:t>
      </w:r>
      <w:r w:rsidR="00CF27FD" w:rsidRPr="003D6208">
        <w:t>oms</w:t>
      </w:r>
      <w:r w:rsidR="00BF3927">
        <w:t>.</w:t>
      </w:r>
    </w:p>
    <w:p w14:paraId="7CDFF220" w14:textId="7F8D9095" w:rsidR="000723FF" w:rsidRPr="000723FF" w:rsidRDefault="000723FF" w:rsidP="00966A05">
      <w:pPr>
        <w:spacing w:line="276" w:lineRule="auto"/>
        <w:rPr>
          <w:b/>
        </w:rPr>
      </w:pPr>
    </w:p>
    <w:sectPr w:rsidR="000723FF" w:rsidRPr="000723FF"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B4749" w14:textId="77777777" w:rsidR="00992774" w:rsidRDefault="00992774">
      <w:r>
        <w:separator/>
      </w:r>
    </w:p>
  </w:endnote>
  <w:endnote w:type="continuationSeparator" w:id="0">
    <w:p w14:paraId="43E4038A" w14:textId="77777777" w:rsidR="00992774" w:rsidRDefault="0099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243AF" w14:textId="77777777" w:rsidR="00992774" w:rsidRDefault="00992774">
      <w:r>
        <w:separator/>
      </w:r>
    </w:p>
  </w:footnote>
  <w:footnote w:type="continuationSeparator" w:id="0">
    <w:p w14:paraId="515C0459" w14:textId="77777777" w:rsidR="00992774" w:rsidRDefault="0099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205BA989"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648A">
      <w:rPr>
        <w:rStyle w:val="PageNumber"/>
        <w:noProof/>
      </w:rPr>
      <w:t>7</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4B64C46"/>
    <w:multiLevelType w:val="hybridMultilevel"/>
    <w:tmpl w:val="2278C7BE"/>
    <w:lvl w:ilvl="0" w:tplc="ADB8174C">
      <w:start w:val="3"/>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7"/>
  </w:num>
  <w:num w:numId="5">
    <w:abstractNumId w:val="5"/>
  </w:num>
  <w:num w:numId="6">
    <w:abstractNumId w:val="4"/>
  </w:num>
  <w:num w:numId="7">
    <w:abstractNumId w:val="3"/>
  </w:num>
  <w:num w:numId="8">
    <w:abstractNumId w:val="11"/>
  </w:num>
  <w:num w:numId="9">
    <w:abstractNumId w:val="0"/>
  </w:num>
  <w:num w:numId="10">
    <w:abstractNumId w:val="9"/>
  </w:num>
  <w:num w:numId="11">
    <w:abstractNumId w:val="1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60B8B"/>
    <w:rsid w:val="000723FF"/>
    <w:rsid w:val="000736B8"/>
    <w:rsid w:val="0008190F"/>
    <w:rsid w:val="00081D9C"/>
    <w:rsid w:val="00082907"/>
    <w:rsid w:val="0008378D"/>
    <w:rsid w:val="000908A5"/>
    <w:rsid w:val="00092805"/>
    <w:rsid w:val="000B5C94"/>
    <w:rsid w:val="000C454C"/>
    <w:rsid w:val="000D5038"/>
    <w:rsid w:val="000E29D4"/>
    <w:rsid w:val="000E43DD"/>
    <w:rsid w:val="000F3540"/>
    <w:rsid w:val="00100491"/>
    <w:rsid w:val="00104E2E"/>
    <w:rsid w:val="00107287"/>
    <w:rsid w:val="00117406"/>
    <w:rsid w:val="00121EF0"/>
    <w:rsid w:val="00124A9E"/>
    <w:rsid w:val="00130703"/>
    <w:rsid w:val="0013153F"/>
    <w:rsid w:val="001408B8"/>
    <w:rsid w:val="0015007A"/>
    <w:rsid w:val="001517E2"/>
    <w:rsid w:val="001521D9"/>
    <w:rsid w:val="001554E2"/>
    <w:rsid w:val="00164146"/>
    <w:rsid w:val="0017369C"/>
    <w:rsid w:val="00175D57"/>
    <w:rsid w:val="00180C39"/>
    <w:rsid w:val="00180D96"/>
    <w:rsid w:val="00184BD3"/>
    <w:rsid w:val="001921F3"/>
    <w:rsid w:val="001B3C5B"/>
    <w:rsid w:val="001D746F"/>
    <w:rsid w:val="001E4BBB"/>
    <w:rsid w:val="001E6304"/>
    <w:rsid w:val="0020381E"/>
    <w:rsid w:val="00213471"/>
    <w:rsid w:val="00215906"/>
    <w:rsid w:val="00241CD8"/>
    <w:rsid w:val="00244B09"/>
    <w:rsid w:val="002519CB"/>
    <w:rsid w:val="0025697F"/>
    <w:rsid w:val="00260258"/>
    <w:rsid w:val="0026588E"/>
    <w:rsid w:val="002720CF"/>
    <w:rsid w:val="00272428"/>
    <w:rsid w:val="00272948"/>
    <w:rsid w:val="00292392"/>
    <w:rsid w:val="002946C7"/>
    <w:rsid w:val="002B38A9"/>
    <w:rsid w:val="002B3CC1"/>
    <w:rsid w:val="002C09E0"/>
    <w:rsid w:val="002C1BB1"/>
    <w:rsid w:val="002C2786"/>
    <w:rsid w:val="002C3A10"/>
    <w:rsid w:val="002C4A90"/>
    <w:rsid w:val="002C4ED5"/>
    <w:rsid w:val="002D02EF"/>
    <w:rsid w:val="002E0702"/>
    <w:rsid w:val="002E57AD"/>
    <w:rsid w:val="002E6F80"/>
    <w:rsid w:val="002F0E4F"/>
    <w:rsid w:val="002F1053"/>
    <w:rsid w:val="00317B0E"/>
    <w:rsid w:val="00347FAA"/>
    <w:rsid w:val="0035172D"/>
    <w:rsid w:val="003540D3"/>
    <w:rsid w:val="0036187D"/>
    <w:rsid w:val="00367EDB"/>
    <w:rsid w:val="00372265"/>
    <w:rsid w:val="00381024"/>
    <w:rsid w:val="00386307"/>
    <w:rsid w:val="003874DE"/>
    <w:rsid w:val="00393E9F"/>
    <w:rsid w:val="00395168"/>
    <w:rsid w:val="0039696E"/>
    <w:rsid w:val="003B211A"/>
    <w:rsid w:val="003B7DAA"/>
    <w:rsid w:val="003C141F"/>
    <w:rsid w:val="003C6B0E"/>
    <w:rsid w:val="003C7257"/>
    <w:rsid w:val="003C7E35"/>
    <w:rsid w:val="003D1877"/>
    <w:rsid w:val="003D1E99"/>
    <w:rsid w:val="003D6208"/>
    <w:rsid w:val="003E036C"/>
    <w:rsid w:val="00404E8A"/>
    <w:rsid w:val="0040622F"/>
    <w:rsid w:val="00407753"/>
    <w:rsid w:val="00413F24"/>
    <w:rsid w:val="00422853"/>
    <w:rsid w:val="00423160"/>
    <w:rsid w:val="00423196"/>
    <w:rsid w:val="00453862"/>
    <w:rsid w:val="0045469B"/>
    <w:rsid w:val="00461338"/>
    <w:rsid w:val="004677DB"/>
    <w:rsid w:val="0047414A"/>
    <w:rsid w:val="00476256"/>
    <w:rsid w:val="0048630F"/>
    <w:rsid w:val="004947A1"/>
    <w:rsid w:val="0049482A"/>
    <w:rsid w:val="004979D3"/>
    <w:rsid w:val="004A00E7"/>
    <w:rsid w:val="004A3A61"/>
    <w:rsid w:val="004B205D"/>
    <w:rsid w:val="004B59BA"/>
    <w:rsid w:val="004B5A03"/>
    <w:rsid w:val="004C263A"/>
    <w:rsid w:val="004D48A6"/>
    <w:rsid w:val="004D62A0"/>
    <w:rsid w:val="004D7B8F"/>
    <w:rsid w:val="004E6458"/>
    <w:rsid w:val="004E6E7D"/>
    <w:rsid w:val="004F1AAC"/>
    <w:rsid w:val="004F1AE2"/>
    <w:rsid w:val="004F34F0"/>
    <w:rsid w:val="004F3B2B"/>
    <w:rsid w:val="004F6050"/>
    <w:rsid w:val="004F66B8"/>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B3756"/>
    <w:rsid w:val="005C493F"/>
    <w:rsid w:val="005C6BF7"/>
    <w:rsid w:val="005C71BF"/>
    <w:rsid w:val="005D002C"/>
    <w:rsid w:val="005D30E1"/>
    <w:rsid w:val="005D42EA"/>
    <w:rsid w:val="005D6555"/>
    <w:rsid w:val="005D7BDF"/>
    <w:rsid w:val="005E1093"/>
    <w:rsid w:val="005E4870"/>
    <w:rsid w:val="005F71D9"/>
    <w:rsid w:val="005F7602"/>
    <w:rsid w:val="006031C8"/>
    <w:rsid w:val="006062BE"/>
    <w:rsid w:val="00607119"/>
    <w:rsid w:val="00613143"/>
    <w:rsid w:val="00613501"/>
    <w:rsid w:val="0061611B"/>
    <w:rsid w:val="006166A8"/>
    <w:rsid w:val="006174A1"/>
    <w:rsid w:val="00621D6C"/>
    <w:rsid w:val="00631E70"/>
    <w:rsid w:val="00633B49"/>
    <w:rsid w:val="0064297F"/>
    <w:rsid w:val="00645102"/>
    <w:rsid w:val="00646CF3"/>
    <w:rsid w:val="00653D11"/>
    <w:rsid w:val="0066096D"/>
    <w:rsid w:val="00662983"/>
    <w:rsid w:val="006834D3"/>
    <w:rsid w:val="00692625"/>
    <w:rsid w:val="00695CD3"/>
    <w:rsid w:val="006A31B5"/>
    <w:rsid w:val="006A38B6"/>
    <w:rsid w:val="006A4034"/>
    <w:rsid w:val="006B1987"/>
    <w:rsid w:val="006B5B71"/>
    <w:rsid w:val="006B6CB0"/>
    <w:rsid w:val="006C0296"/>
    <w:rsid w:val="006C2B64"/>
    <w:rsid w:val="006D4C85"/>
    <w:rsid w:val="006D66AC"/>
    <w:rsid w:val="006E33F6"/>
    <w:rsid w:val="006F1251"/>
    <w:rsid w:val="006F1C23"/>
    <w:rsid w:val="006F2D8F"/>
    <w:rsid w:val="006F516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757CD"/>
    <w:rsid w:val="00776559"/>
    <w:rsid w:val="00795DC5"/>
    <w:rsid w:val="00797153"/>
    <w:rsid w:val="00797E4C"/>
    <w:rsid w:val="007A21F7"/>
    <w:rsid w:val="007A2B68"/>
    <w:rsid w:val="007B0DDA"/>
    <w:rsid w:val="007C2EEC"/>
    <w:rsid w:val="007C7519"/>
    <w:rsid w:val="007D3347"/>
    <w:rsid w:val="007E5466"/>
    <w:rsid w:val="007F1949"/>
    <w:rsid w:val="007F2592"/>
    <w:rsid w:val="00800A08"/>
    <w:rsid w:val="00817A84"/>
    <w:rsid w:val="008225A4"/>
    <w:rsid w:val="00824B92"/>
    <w:rsid w:val="00826D5E"/>
    <w:rsid w:val="00832013"/>
    <w:rsid w:val="00832DB7"/>
    <w:rsid w:val="00834732"/>
    <w:rsid w:val="0085200C"/>
    <w:rsid w:val="008556A5"/>
    <w:rsid w:val="00857C52"/>
    <w:rsid w:val="00860D5F"/>
    <w:rsid w:val="00880A44"/>
    <w:rsid w:val="0088345E"/>
    <w:rsid w:val="00886429"/>
    <w:rsid w:val="0088656F"/>
    <w:rsid w:val="00891EF6"/>
    <w:rsid w:val="008A0303"/>
    <w:rsid w:val="008A5FDD"/>
    <w:rsid w:val="008B372B"/>
    <w:rsid w:val="008C3947"/>
    <w:rsid w:val="008E473B"/>
    <w:rsid w:val="008E51A6"/>
    <w:rsid w:val="008E7329"/>
    <w:rsid w:val="008F2ED5"/>
    <w:rsid w:val="0092297E"/>
    <w:rsid w:val="00923651"/>
    <w:rsid w:val="00927B56"/>
    <w:rsid w:val="009341BF"/>
    <w:rsid w:val="00937907"/>
    <w:rsid w:val="00941739"/>
    <w:rsid w:val="00943E06"/>
    <w:rsid w:val="00951573"/>
    <w:rsid w:val="0095160B"/>
    <w:rsid w:val="00955DCB"/>
    <w:rsid w:val="00963003"/>
    <w:rsid w:val="00966A05"/>
    <w:rsid w:val="00966EEF"/>
    <w:rsid w:val="00971B28"/>
    <w:rsid w:val="00983471"/>
    <w:rsid w:val="0098710E"/>
    <w:rsid w:val="009909AB"/>
    <w:rsid w:val="00992774"/>
    <w:rsid w:val="009B37DB"/>
    <w:rsid w:val="009C7A8C"/>
    <w:rsid w:val="009D23F9"/>
    <w:rsid w:val="009D4FA8"/>
    <w:rsid w:val="009E44AE"/>
    <w:rsid w:val="009E6CD6"/>
    <w:rsid w:val="009F4D66"/>
    <w:rsid w:val="00A00C3C"/>
    <w:rsid w:val="00A01091"/>
    <w:rsid w:val="00A042B9"/>
    <w:rsid w:val="00A06DBB"/>
    <w:rsid w:val="00A137E7"/>
    <w:rsid w:val="00A22ADF"/>
    <w:rsid w:val="00A31E86"/>
    <w:rsid w:val="00A54D87"/>
    <w:rsid w:val="00A5553C"/>
    <w:rsid w:val="00A701C9"/>
    <w:rsid w:val="00A81785"/>
    <w:rsid w:val="00A84803"/>
    <w:rsid w:val="00A84C51"/>
    <w:rsid w:val="00A86F2B"/>
    <w:rsid w:val="00A91366"/>
    <w:rsid w:val="00A93AA6"/>
    <w:rsid w:val="00AA4C9C"/>
    <w:rsid w:val="00AA4E48"/>
    <w:rsid w:val="00AA6202"/>
    <w:rsid w:val="00AA7B57"/>
    <w:rsid w:val="00AC26FC"/>
    <w:rsid w:val="00AC4A99"/>
    <w:rsid w:val="00AC64D2"/>
    <w:rsid w:val="00AD02E7"/>
    <w:rsid w:val="00AE0FE8"/>
    <w:rsid w:val="00AE1322"/>
    <w:rsid w:val="00AF60D5"/>
    <w:rsid w:val="00B00959"/>
    <w:rsid w:val="00B033A7"/>
    <w:rsid w:val="00B04415"/>
    <w:rsid w:val="00B06509"/>
    <w:rsid w:val="00B11D60"/>
    <w:rsid w:val="00B13D65"/>
    <w:rsid w:val="00B21805"/>
    <w:rsid w:val="00B3072E"/>
    <w:rsid w:val="00B36E15"/>
    <w:rsid w:val="00B37245"/>
    <w:rsid w:val="00B4017A"/>
    <w:rsid w:val="00B43B37"/>
    <w:rsid w:val="00B4468D"/>
    <w:rsid w:val="00B71C72"/>
    <w:rsid w:val="00B81E32"/>
    <w:rsid w:val="00B81E92"/>
    <w:rsid w:val="00B908D7"/>
    <w:rsid w:val="00B915AB"/>
    <w:rsid w:val="00B935E8"/>
    <w:rsid w:val="00B93B30"/>
    <w:rsid w:val="00B94CB5"/>
    <w:rsid w:val="00BA0DD9"/>
    <w:rsid w:val="00BA5DBC"/>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7012C"/>
    <w:rsid w:val="00C712EA"/>
    <w:rsid w:val="00C86927"/>
    <w:rsid w:val="00CA217D"/>
    <w:rsid w:val="00CA5C0D"/>
    <w:rsid w:val="00CC09D4"/>
    <w:rsid w:val="00CC668D"/>
    <w:rsid w:val="00CC7832"/>
    <w:rsid w:val="00CE5826"/>
    <w:rsid w:val="00CF0C1C"/>
    <w:rsid w:val="00CF27FD"/>
    <w:rsid w:val="00CF5F12"/>
    <w:rsid w:val="00D00D8F"/>
    <w:rsid w:val="00D21F3A"/>
    <w:rsid w:val="00D23808"/>
    <w:rsid w:val="00D3016A"/>
    <w:rsid w:val="00D3436D"/>
    <w:rsid w:val="00D41427"/>
    <w:rsid w:val="00D417D2"/>
    <w:rsid w:val="00D42960"/>
    <w:rsid w:val="00D43BD7"/>
    <w:rsid w:val="00D4485B"/>
    <w:rsid w:val="00D4648A"/>
    <w:rsid w:val="00D4708D"/>
    <w:rsid w:val="00D4744C"/>
    <w:rsid w:val="00D521DE"/>
    <w:rsid w:val="00D5470B"/>
    <w:rsid w:val="00D63068"/>
    <w:rsid w:val="00D6498C"/>
    <w:rsid w:val="00D72D63"/>
    <w:rsid w:val="00D76A70"/>
    <w:rsid w:val="00D83182"/>
    <w:rsid w:val="00D84F36"/>
    <w:rsid w:val="00D8521E"/>
    <w:rsid w:val="00D9291C"/>
    <w:rsid w:val="00D93A97"/>
    <w:rsid w:val="00DB1F64"/>
    <w:rsid w:val="00DC2F53"/>
    <w:rsid w:val="00DC451D"/>
    <w:rsid w:val="00DC5BAC"/>
    <w:rsid w:val="00DC6816"/>
    <w:rsid w:val="00DC76C2"/>
    <w:rsid w:val="00DD1CF2"/>
    <w:rsid w:val="00DE4484"/>
    <w:rsid w:val="00DF41B7"/>
    <w:rsid w:val="00DF4A4A"/>
    <w:rsid w:val="00DF583C"/>
    <w:rsid w:val="00E03C3F"/>
    <w:rsid w:val="00E06FD7"/>
    <w:rsid w:val="00E07417"/>
    <w:rsid w:val="00E22519"/>
    <w:rsid w:val="00E24D45"/>
    <w:rsid w:val="00E33DB8"/>
    <w:rsid w:val="00E33EFF"/>
    <w:rsid w:val="00E34387"/>
    <w:rsid w:val="00E348BA"/>
    <w:rsid w:val="00E369FE"/>
    <w:rsid w:val="00E37C6F"/>
    <w:rsid w:val="00E43C31"/>
    <w:rsid w:val="00E475F8"/>
    <w:rsid w:val="00E5102E"/>
    <w:rsid w:val="00E5721C"/>
    <w:rsid w:val="00E619C6"/>
    <w:rsid w:val="00E72002"/>
    <w:rsid w:val="00E745A1"/>
    <w:rsid w:val="00E81529"/>
    <w:rsid w:val="00E83A13"/>
    <w:rsid w:val="00E8656B"/>
    <w:rsid w:val="00EB6FC5"/>
    <w:rsid w:val="00EC2356"/>
    <w:rsid w:val="00EC2582"/>
    <w:rsid w:val="00EC337C"/>
    <w:rsid w:val="00EC6581"/>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A55B2"/>
    <w:rsid w:val="00FB0D41"/>
    <w:rsid w:val="00FB1843"/>
    <w:rsid w:val="00FB2030"/>
    <w:rsid w:val="00FB4040"/>
    <w:rsid w:val="00FD0E46"/>
    <w:rsid w:val="00FD1CF2"/>
    <w:rsid w:val="00FD3EDF"/>
    <w:rsid w:val="00FD793C"/>
    <w:rsid w:val="00FE0FD5"/>
    <w:rsid w:val="00FE20E6"/>
    <w:rsid w:val="00FE3E3B"/>
    <w:rsid w:val="00FE511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Summary Bullets,Bullet 1,Bullet1,Bullet List,Section 5,List Paragraph CCT minutes,Table Legend,Bullets Points,Use Case List Paragraph,List Paragraph1,Body Bullet,Table Number Paragraph,Colorful List - Accent 11,List Paragraph 1,Ref,B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Summary Bullets Char,Bullet 1 Char,Bullet1 Char,Bullet List Char,Section 5 Char,List Paragraph CCT minutes Char,Table Legend Char,Bullets Points Char,Use Case List Paragraph Char,List Paragraph1 Char,Body Bullet Char,Ref Char,B1 Char"/>
    <w:basedOn w:val="DefaultParagraphFont"/>
    <w:link w:val="ListParagraph"/>
    <w:uiPriority w:val="1"/>
    <w:rsid w:val="003D18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PlaceholderText"/>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PlaceholderText"/>
            </w:rPr>
            <w:t>Click here to enter a date.</w:t>
          </w:r>
        </w:p>
      </w:docPartBody>
    </w:docPart>
    <w:docPart>
      <w:docPartPr>
        <w:name w:val="E8B6F6AFE7DF4BA29BDF026E1C7A51C3"/>
        <w:category>
          <w:name w:val="General"/>
          <w:gallery w:val="placeholder"/>
        </w:category>
        <w:types>
          <w:type w:val="bbPlcHdr"/>
        </w:types>
        <w:behaviors>
          <w:behavior w:val="content"/>
        </w:behaviors>
        <w:guid w:val="{6A29C290-42BB-466F-91A8-E152A1F4603C}"/>
      </w:docPartPr>
      <w:docPartBody>
        <w:p w:rsidR="00963BEA" w:rsidRDefault="00B05FDA" w:rsidP="00B05FDA">
          <w:pPr>
            <w:pStyle w:val="E8B6F6AFE7DF4BA29BDF026E1C7A51C3"/>
          </w:pPr>
          <w:r>
            <w:rPr>
              <w:rStyle w:val="PlaceholderText"/>
            </w:rPr>
            <w:t>Click here to enter a date.</w:t>
          </w:r>
        </w:p>
      </w:docPartBody>
    </w:docPart>
    <w:docPart>
      <w:docPartPr>
        <w:name w:val="C8A92CBCD0F640BC9AA98497DC32E81B"/>
        <w:category>
          <w:name w:val="General"/>
          <w:gallery w:val="placeholder"/>
        </w:category>
        <w:types>
          <w:type w:val="bbPlcHdr"/>
        </w:types>
        <w:behaviors>
          <w:behavior w:val="content"/>
        </w:behaviors>
        <w:guid w:val="{F2F9EB2B-9EDF-49A1-B685-117F96FAC38B}"/>
      </w:docPartPr>
      <w:docPartBody>
        <w:p w:rsidR="00963BEA" w:rsidRDefault="00B05FDA" w:rsidP="00B05FDA">
          <w:pPr>
            <w:pStyle w:val="C8A92CBCD0F640BC9AA98497DC32E81B"/>
          </w:pPr>
          <w:r>
            <w:rPr>
              <w:rStyle w:val="PlaceholderText"/>
            </w:rPr>
            <w:t>Click here to enter a date.</w:t>
          </w:r>
        </w:p>
      </w:docPartBody>
    </w:docPart>
    <w:docPart>
      <w:docPartPr>
        <w:name w:val="832535DA62DA45D68C4E5610EC95D90F"/>
        <w:category>
          <w:name w:val="General"/>
          <w:gallery w:val="placeholder"/>
        </w:category>
        <w:types>
          <w:type w:val="bbPlcHdr"/>
        </w:types>
        <w:behaviors>
          <w:behavior w:val="content"/>
        </w:behaviors>
        <w:guid w:val="{8F0E13D0-F486-4FD8-A86B-293D1B61C160}"/>
      </w:docPartPr>
      <w:docPartBody>
        <w:p w:rsidR="00963BEA" w:rsidRDefault="00B05FDA" w:rsidP="00B05FDA">
          <w:pPr>
            <w:pStyle w:val="832535DA62DA45D68C4E5610EC95D90F"/>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1247F"/>
    <w:rsid w:val="00061157"/>
    <w:rsid w:val="000937FE"/>
    <w:rsid w:val="000A559A"/>
    <w:rsid w:val="000D24D4"/>
    <w:rsid w:val="001C35A9"/>
    <w:rsid w:val="001F47C5"/>
    <w:rsid w:val="001F5C85"/>
    <w:rsid w:val="00237556"/>
    <w:rsid w:val="0039303B"/>
    <w:rsid w:val="00396E2E"/>
    <w:rsid w:val="004144A3"/>
    <w:rsid w:val="004160E7"/>
    <w:rsid w:val="00422946"/>
    <w:rsid w:val="004416C6"/>
    <w:rsid w:val="00476015"/>
    <w:rsid w:val="004F5AB2"/>
    <w:rsid w:val="005074B9"/>
    <w:rsid w:val="005E40DD"/>
    <w:rsid w:val="00611764"/>
    <w:rsid w:val="00636131"/>
    <w:rsid w:val="007076E2"/>
    <w:rsid w:val="007219C1"/>
    <w:rsid w:val="007368A8"/>
    <w:rsid w:val="007528D3"/>
    <w:rsid w:val="00753462"/>
    <w:rsid w:val="00772325"/>
    <w:rsid w:val="007A2FE0"/>
    <w:rsid w:val="007C6D1D"/>
    <w:rsid w:val="0090074D"/>
    <w:rsid w:val="00963BEA"/>
    <w:rsid w:val="009B3BF0"/>
    <w:rsid w:val="009C4C49"/>
    <w:rsid w:val="009D5E5E"/>
    <w:rsid w:val="009F1BB4"/>
    <w:rsid w:val="00AB6ED4"/>
    <w:rsid w:val="00AD5FFC"/>
    <w:rsid w:val="00B05FDA"/>
    <w:rsid w:val="00B14210"/>
    <w:rsid w:val="00B23DC0"/>
    <w:rsid w:val="00B96656"/>
    <w:rsid w:val="00BE29C1"/>
    <w:rsid w:val="00C2401D"/>
    <w:rsid w:val="00C53A68"/>
    <w:rsid w:val="00CA5BB4"/>
    <w:rsid w:val="00CB4BD1"/>
    <w:rsid w:val="00CE2DA9"/>
    <w:rsid w:val="00CE44BE"/>
    <w:rsid w:val="00D4356B"/>
    <w:rsid w:val="00D7162F"/>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05FDA"/>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E8B6F6AFE7DF4BA29BDF026E1C7A51C3">
    <w:name w:val="E8B6F6AFE7DF4BA29BDF026E1C7A51C3"/>
    <w:rsid w:val="00B05FDA"/>
  </w:style>
  <w:style w:type="paragraph" w:customStyle="1" w:styleId="C8A92CBCD0F640BC9AA98497DC32E81B">
    <w:name w:val="C8A92CBCD0F640BC9AA98497DC32E81B"/>
    <w:rsid w:val="00B05FDA"/>
  </w:style>
  <w:style w:type="paragraph" w:customStyle="1" w:styleId="832535DA62DA45D68C4E5610EC95D90F">
    <w:name w:val="832535DA62DA45D68C4E5610EC95D90F"/>
    <w:rsid w:val="00B05F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1F439-D522-44DA-B86D-46BBB19E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2105</Words>
  <Characters>15821</Characters>
  <Application>Microsoft Office Word</Application>
  <DocSecurity>0</DocSecurity>
  <Lines>131</Lines>
  <Paragraphs>35</Paragraphs>
  <ScaleCrop>false</ScaleCrop>
  <Company/>
  <LinksUpToDate>false</LinksUpToDate>
  <CharactersWithSpaces>17891</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2023-12-18T07:58:00Z</dcterms:created>
  <dcterms:modified xsi:type="dcterms:W3CDTF">2024-03-07T07:47:00Z</dcterms:modified>
</cp:coreProperties>
</file>