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8" w:type="dxa"/>
        <w:jc w:val="center"/>
        <w:tblLayout w:type="fixed"/>
        <w:tblLook w:val="04A0" w:firstRow="1" w:lastRow="0" w:firstColumn="1" w:lastColumn="0" w:noHBand="0" w:noVBand="1"/>
      </w:tblPr>
      <w:tblGrid>
        <w:gridCol w:w="5535"/>
        <w:gridCol w:w="278"/>
        <w:gridCol w:w="279"/>
        <w:gridCol w:w="1538"/>
        <w:gridCol w:w="1898"/>
      </w:tblGrid>
      <w:tr w:rsidR="00484191" w:rsidRPr="00902A9F" w14:paraId="4943C0A8" w14:textId="77777777" w:rsidTr="000E5A01">
        <w:trPr>
          <w:cantSplit/>
          <w:trHeight w:val="152"/>
          <w:jc w:val="center"/>
        </w:trPr>
        <w:tc>
          <w:tcPr>
            <w:tcW w:w="5535" w:type="dxa"/>
            <w:vMerge w:val="restart"/>
          </w:tcPr>
          <w:p w14:paraId="726D87EB" w14:textId="77777777" w:rsidR="00484191" w:rsidRPr="00902A9F" w:rsidRDefault="00484191">
            <w:r w:rsidRPr="00902A9F">
              <w:t>Lietuvos Respublikos Sveikatos apsaugos ministerijos</w:t>
            </w:r>
          </w:p>
          <w:p w14:paraId="6F042DAA" w14:textId="34919CA9" w:rsidR="00484191" w:rsidRPr="00902A9F" w:rsidRDefault="00484191">
            <w:r>
              <w:t>V</w:t>
            </w:r>
            <w:r w:rsidRPr="00902A9F">
              <w:t>aistinių preparatų ir medicinos pagalbos priemonių kompensavimo komisijai</w:t>
            </w:r>
          </w:p>
          <w:p w14:paraId="0E58D729" w14:textId="433D33C9" w:rsidR="00484191" w:rsidRDefault="00484191">
            <w:r>
              <w:t xml:space="preserve">El. p. </w:t>
            </w:r>
            <w:hyperlink r:id="rId11" w:history="1">
              <w:r w:rsidR="002161E2" w:rsidRPr="00872B09">
                <w:rPr>
                  <w:rStyle w:val="Hipersaitas"/>
                </w:rPr>
                <w:t>ministerija@sam.lt</w:t>
              </w:r>
            </w:hyperlink>
            <w:r w:rsidR="002161E2">
              <w:t xml:space="preserve"> </w:t>
            </w:r>
          </w:p>
          <w:p w14:paraId="1DF88E3F" w14:textId="15C7BC28" w:rsidR="003D412E" w:rsidRDefault="003D412E"/>
          <w:p w14:paraId="3B7BC1D4" w14:textId="77777777" w:rsidR="003D412E" w:rsidRPr="003D412E" w:rsidRDefault="003D412E">
            <w:pPr>
              <w:rPr>
                <w:lang w:val="en-US"/>
              </w:rPr>
            </w:pPr>
          </w:p>
          <w:p w14:paraId="0045D7C6" w14:textId="31EABE0A" w:rsidR="00484191" w:rsidRPr="00902A9F" w:rsidRDefault="00DE7C0A" w:rsidP="00DE7C0A">
            <w:r w:rsidRPr="00902A9F">
              <w:t xml:space="preserve"> </w:t>
            </w:r>
          </w:p>
        </w:tc>
        <w:tc>
          <w:tcPr>
            <w:tcW w:w="278" w:type="dxa"/>
          </w:tcPr>
          <w:p w14:paraId="12737FA8" w14:textId="77777777" w:rsidR="00484191" w:rsidRPr="00902A9F" w:rsidRDefault="00484191"/>
        </w:tc>
        <w:tc>
          <w:tcPr>
            <w:tcW w:w="279" w:type="dxa"/>
          </w:tcPr>
          <w:p w14:paraId="73F4FBE6" w14:textId="77777777" w:rsidR="00484191" w:rsidRPr="00902A9F" w:rsidRDefault="00484191">
            <w:pPr>
              <w:jc w:val="right"/>
            </w:pPr>
          </w:p>
        </w:tc>
        <w:tc>
          <w:tcPr>
            <w:tcW w:w="1538" w:type="dxa"/>
          </w:tcPr>
          <w:p w14:paraId="18708CE9" w14:textId="77777777" w:rsidR="00484191" w:rsidRPr="00902A9F" w:rsidRDefault="00484191">
            <w:pPr>
              <w:jc w:val="right"/>
            </w:pPr>
          </w:p>
        </w:tc>
        <w:tc>
          <w:tcPr>
            <w:tcW w:w="1898" w:type="dxa"/>
            <w:hideMark/>
          </w:tcPr>
          <w:p w14:paraId="30DA7EEB" w14:textId="7AF2AD9C" w:rsidR="00484191" w:rsidRPr="00902A9F" w:rsidRDefault="00484191"/>
        </w:tc>
      </w:tr>
      <w:tr w:rsidR="00484191" w:rsidRPr="00902A9F" w14:paraId="11F6FE08" w14:textId="77777777" w:rsidTr="000E5A01">
        <w:trPr>
          <w:cantSplit/>
          <w:trHeight w:val="450"/>
          <w:jc w:val="center"/>
        </w:trPr>
        <w:tc>
          <w:tcPr>
            <w:tcW w:w="5535" w:type="dxa"/>
            <w:vMerge/>
            <w:vAlign w:val="center"/>
            <w:hideMark/>
          </w:tcPr>
          <w:p w14:paraId="4742CB37" w14:textId="77777777" w:rsidR="00484191" w:rsidRPr="00902A9F" w:rsidRDefault="00484191"/>
        </w:tc>
        <w:tc>
          <w:tcPr>
            <w:tcW w:w="278" w:type="dxa"/>
            <w:vAlign w:val="center"/>
          </w:tcPr>
          <w:p w14:paraId="687AE32E" w14:textId="77777777" w:rsidR="00484191" w:rsidRPr="00902A9F" w:rsidRDefault="00484191"/>
        </w:tc>
        <w:tc>
          <w:tcPr>
            <w:tcW w:w="279" w:type="dxa"/>
            <w:vAlign w:val="center"/>
            <w:hideMark/>
          </w:tcPr>
          <w:p w14:paraId="4D6A529F" w14:textId="26F5908C" w:rsidR="00484191" w:rsidRPr="00902A9F" w:rsidRDefault="00484191" w:rsidP="00484191">
            <w:pPr>
              <w:jc w:val="center"/>
            </w:pPr>
          </w:p>
        </w:tc>
        <w:tc>
          <w:tcPr>
            <w:tcW w:w="1538" w:type="dxa"/>
            <w:vAlign w:val="center"/>
          </w:tcPr>
          <w:p w14:paraId="02F081B8" w14:textId="1BC42145" w:rsidR="00484191" w:rsidRPr="00902A9F" w:rsidRDefault="00484191" w:rsidP="00935249"/>
        </w:tc>
        <w:tc>
          <w:tcPr>
            <w:tcW w:w="1898" w:type="dxa"/>
            <w:vAlign w:val="center"/>
            <w:hideMark/>
          </w:tcPr>
          <w:p w14:paraId="5FAD2F28" w14:textId="5533F197" w:rsidR="00484191" w:rsidRPr="00902A9F" w:rsidRDefault="00484191">
            <w:r w:rsidRPr="00902A9F">
              <w:t>Nr.</w:t>
            </w:r>
            <w:r>
              <w:t xml:space="preserve"> </w:t>
            </w:r>
          </w:p>
        </w:tc>
      </w:tr>
      <w:tr w:rsidR="00862F7C" w:rsidRPr="00902A9F" w14:paraId="0D542FEF" w14:textId="77777777" w:rsidTr="000E5A01">
        <w:trPr>
          <w:cantSplit/>
          <w:trHeight w:val="791"/>
          <w:jc w:val="center"/>
        </w:trPr>
        <w:tc>
          <w:tcPr>
            <w:tcW w:w="5535" w:type="dxa"/>
            <w:vMerge/>
            <w:vAlign w:val="center"/>
          </w:tcPr>
          <w:p w14:paraId="00A41BCE" w14:textId="77777777" w:rsidR="00862F7C" w:rsidRPr="00902A9F" w:rsidRDefault="00862F7C" w:rsidP="00862F7C"/>
        </w:tc>
        <w:tc>
          <w:tcPr>
            <w:tcW w:w="278" w:type="dxa"/>
            <w:vAlign w:val="center"/>
          </w:tcPr>
          <w:p w14:paraId="32CB57B9" w14:textId="77777777" w:rsidR="00862F7C" w:rsidRPr="00902A9F" w:rsidRDefault="00862F7C" w:rsidP="00862F7C"/>
        </w:tc>
        <w:tc>
          <w:tcPr>
            <w:tcW w:w="279" w:type="dxa"/>
            <w:vAlign w:val="center"/>
          </w:tcPr>
          <w:p w14:paraId="3DF11C4A" w14:textId="3775158D" w:rsidR="00862F7C" w:rsidRPr="00902A9F" w:rsidRDefault="00862F7C" w:rsidP="00862F7C">
            <w:pPr>
              <w:jc w:val="right"/>
            </w:pPr>
            <w:r>
              <w:t>Į</w:t>
            </w:r>
          </w:p>
        </w:tc>
        <w:tc>
          <w:tcPr>
            <w:tcW w:w="1538" w:type="dxa"/>
            <w:vAlign w:val="center"/>
          </w:tcPr>
          <w:p w14:paraId="65D71E2E" w14:textId="1FEB0F93" w:rsidR="00862F7C" w:rsidRPr="00902A9F" w:rsidRDefault="00862F7C" w:rsidP="00385FD0">
            <w:r w:rsidRPr="00B404DE">
              <w:t xml:space="preserve"> </w:t>
            </w:r>
            <w:r w:rsidR="001660E3">
              <w:t>2021-02-12</w:t>
            </w:r>
          </w:p>
        </w:tc>
        <w:tc>
          <w:tcPr>
            <w:tcW w:w="1898" w:type="dxa"/>
            <w:vAlign w:val="center"/>
          </w:tcPr>
          <w:p w14:paraId="08ADC466" w14:textId="3FDC9EF0" w:rsidR="00862F7C" w:rsidRPr="00902A9F" w:rsidRDefault="00862F7C" w:rsidP="00862F7C">
            <w:r w:rsidRPr="00B404DE">
              <w:t xml:space="preserve">Nr. </w:t>
            </w:r>
          </w:p>
        </w:tc>
      </w:tr>
    </w:tbl>
    <w:p w14:paraId="3D264F6E" w14:textId="37F0F9EF" w:rsidR="0025697F" w:rsidRPr="00484191" w:rsidRDefault="0025697F" w:rsidP="00484191">
      <w:pPr>
        <w:jc w:val="both"/>
        <w:rPr>
          <w:b/>
        </w:rPr>
      </w:pPr>
    </w:p>
    <w:p w14:paraId="32B11A45" w14:textId="42DF8A2F" w:rsidR="00484191" w:rsidRDefault="00484191" w:rsidP="00484191">
      <w:pPr>
        <w:jc w:val="both"/>
        <w:rPr>
          <w:b/>
        </w:rPr>
      </w:pPr>
      <w:r w:rsidRPr="00484191">
        <w:rPr>
          <w:b/>
        </w:rPr>
        <w:t>DĖL REKOMENDACIJOS LIETUVOS RESPUBLIKOS SVEIKATOS APSAUGOS MINISTERIJOS VAISTINIŲ PREPARATŲ IR MEDICINOS PAGALBOS PRIEMONIŲ KOMPENSAVIMO KOMISIJAI PATEIKIMO</w:t>
      </w:r>
    </w:p>
    <w:p w14:paraId="656EFFCA" w14:textId="527B62A6" w:rsidR="00883C96" w:rsidRDefault="00883C96" w:rsidP="00883C96">
      <w:pPr>
        <w:jc w:val="both"/>
      </w:pPr>
    </w:p>
    <w:p w14:paraId="342E7DB1" w14:textId="2D0D22E9" w:rsidR="00DE64A6" w:rsidRDefault="00DE64A6" w:rsidP="00DE64A6">
      <w:pPr>
        <w:ind w:firstLine="993"/>
        <w:jc w:val="both"/>
      </w:pPr>
      <w:r w:rsidRPr="00484191">
        <w:t>Valstybinės vaistų kontrolės tarnybos prie Lietuvos Respublikos sveikatos apsaugos ministerijos Sveikatos</w:t>
      </w:r>
      <w:r>
        <w:t xml:space="preserve"> technologijų vertinimo skyrius kreipiasi į </w:t>
      </w:r>
      <w:r w:rsidRPr="00484191">
        <w:t>Lietuvos Respublikos sveikatos apsaugos ministerijos Vaistinių preparatų ir medicinos pagalbos p</w:t>
      </w:r>
      <w:r>
        <w:t>riemonių kompensavimo komisiją</w:t>
      </w:r>
      <w:r w:rsidRPr="009E0C9D">
        <w:t xml:space="preserve"> </w:t>
      </w:r>
      <w:r>
        <w:t>dė</w:t>
      </w:r>
      <w:r w:rsidRPr="00E01B69">
        <w:t>l medicinos pagalbos priemonė</w:t>
      </w:r>
      <w:r w:rsidRPr="0077295E">
        <w:t xml:space="preserve">s </w:t>
      </w:r>
      <w:r>
        <w:t>„</w:t>
      </w:r>
      <w:r w:rsidRPr="0077295E">
        <w:t xml:space="preserve">A7+ </w:t>
      </w:r>
      <w:proofErr w:type="spellStart"/>
      <w:r w:rsidRPr="0077295E">
        <w:t>TouchCare</w:t>
      </w:r>
      <w:proofErr w:type="spellEnd"/>
      <w:r w:rsidRPr="0077295E">
        <w:t xml:space="preserve"> insulino pompos sistemos, naudojamos ambulatoriškai gydyti nuolatine poodine insulino injekcija, keičiamųjų dalių komplekt</w:t>
      </w:r>
      <w:r>
        <w:t xml:space="preserve">o“ </w:t>
      </w:r>
      <w:r w:rsidRPr="00E01B69">
        <w:t xml:space="preserve">(toliau – MPP)  įtraukimo į </w:t>
      </w:r>
      <w:r>
        <w:rPr>
          <w:rFonts w:eastAsia="Arial Unicode MS"/>
        </w:rPr>
        <w:t>Kompensuojamųjų medicinos pagalbos priemonių sąrašą (C sąrašą) (toliau – Sąrašas).</w:t>
      </w:r>
    </w:p>
    <w:p w14:paraId="62DF9C12" w14:textId="70CF5904" w:rsidR="000012A3" w:rsidRDefault="003A654E" w:rsidP="005C76EC">
      <w:pPr>
        <w:ind w:firstLine="993"/>
        <w:jc w:val="both"/>
        <w:rPr>
          <w:color w:val="000000"/>
        </w:rPr>
      </w:pPr>
      <w:r>
        <w:t xml:space="preserve">Šiuo metu, remiantis </w:t>
      </w:r>
      <w:r>
        <w:rPr>
          <w:color w:val="000000"/>
        </w:rPr>
        <w:t>2000 m. spalio 6 d. LR Sveikatos apsaugos ministro įsakymu Nr. 529 „Dėl kompensuojamųjų medicinos pagalbos priemonių sąrašo (C sąrašo) patvirtinimo</w:t>
      </w:r>
      <w:r w:rsidR="000012A3">
        <w:rPr>
          <w:color w:val="000000"/>
        </w:rPr>
        <w:t>“, insulino pompų, naudojamų ambulatoriškai gydyti nuolatine poodine insulino injekcija, keičiamųjų dalių komplektai yra kompensuojami (</w:t>
      </w:r>
      <w:r w:rsidR="00CC5F39">
        <w:rPr>
          <w:color w:val="000000"/>
        </w:rPr>
        <w:t>„16. Insulino pompų, naudojamų ambulatoriškai gydyti nuolatine poodine insulino injekcija, keičiamųjų dalių komplektas“</w:t>
      </w:r>
      <w:r w:rsidR="000012A3">
        <w:rPr>
          <w:color w:val="000000"/>
        </w:rPr>
        <w:t>).</w:t>
      </w:r>
    </w:p>
    <w:p w14:paraId="12410546" w14:textId="6CC456A7" w:rsidR="00DE39DB" w:rsidRDefault="00DE64A6" w:rsidP="00DE39DB">
      <w:pPr>
        <w:ind w:firstLine="993"/>
        <w:jc w:val="both"/>
        <w:rPr>
          <w:color w:val="000000"/>
        </w:rPr>
      </w:pPr>
      <w:r>
        <w:t xml:space="preserve">Tarnyba atkreipia dėmesį, kad vertinamos MPP skiriamoji savybė lyginant su alternatyviomis šiai MPP, kurios šiuo metu yra kompensuojamos, yra ta, kad insulino pompos sistemos keičiamųjų dalių komplektas yra </w:t>
      </w:r>
      <w:r w:rsidRPr="00DE64A6">
        <w:rPr>
          <w:b/>
          <w:i/>
        </w:rPr>
        <w:t>belaid</w:t>
      </w:r>
      <w:r w:rsidR="003D412E">
        <w:rPr>
          <w:b/>
          <w:i/>
        </w:rPr>
        <w:t>ės sistemos dalis</w:t>
      </w:r>
      <w:r>
        <w:t>.</w:t>
      </w:r>
      <w:r w:rsidR="0099352B">
        <w:t xml:space="preserve"> </w:t>
      </w:r>
      <w:r w:rsidR="005C76EC">
        <w:t>Remiantis</w:t>
      </w:r>
      <w:r w:rsidR="005C76EC" w:rsidRPr="002B375C">
        <w:t xml:space="preserve"> </w:t>
      </w:r>
      <w:r w:rsidR="005C76EC" w:rsidRPr="0077295E">
        <w:t xml:space="preserve">Lietuvos Respublikos </w:t>
      </w:r>
      <w:r w:rsidR="005C76EC">
        <w:t>s</w:t>
      </w:r>
      <w:r w:rsidR="005C76EC" w:rsidRPr="0077295E">
        <w:t xml:space="preserve">veikatos </w:t>
      </w:r>
      <w:r w:rsidR="005C76EC">
        <w:t>a</w:t>
      </w:r>
      <w:r w:rsidR="005C76EC" w:rsidRPr="0077295E">
        <w:t xml:space="preserve">psaugos </w:t>
      </w:r>
      <w:r w:rsidR="005C76EC">
        <w:t>m</w:t>
      </w:r>
      <w:r w:rsidR="005C76EC" w:rsidRPr="0077295E">
        <w:t>inistr</w:t>
      </w:r>
      <w:r w:rsidR="005C76EC">
        <w:t xml:space="preserve">o </w:t>
      </w:r>
      <w:r w:rsidR="005C76EC" w:rsidRPr="0077295E">
        <w:t xml:space="preserve">2009 m. spalio 23 d. </w:t>
      </w:r>
      <w:r w:rsidR="005C76EC">
        <w:t>N</w:t>
      </w:r>
      <w:r w:rsidR="005C76EC" w:rsidRPr="0077295E">
        <w:t xml:space="preserve">r. </w:t>
      </w:r>
      <w:r w:rsidR="005C76EC">
        <w:t>V</w:t>
      </w:r>
      <w:r w:rsidR="005C76EC" w:rsidRPr="0077295E">
        <w:t>-880</w:t>
      </w:r>
      <w:r w:rsidR="005C76EC">
        <w:t xml:space="preserve"> </w:t>
      </w:r>
      <w:r w:rsidR="005C76EC" w:rsidRPr="0077295E">
        <w:t>įsakym</w:t>
      </w:r>
      <w:r w:rsidR="005C76EC">
        <w:t>u „Dė</w:t>
      </w:r>
      <w:r w:rsidR="005C76EC" w:rsidRPr="0077295E">
        <w:t>l ambulatoriniam gydymui skirtų kompensuojamųjų medicinos pagalbos priemonių grupių ir šioms grupėms priskiriamų medicinos pagalbos priemonių jų bazinei kainai apskaičiuoti sąrašo patvirtinimo</w:t>
      </w:r>
      <w:r w:rsidR="005C76EC">
        <w:t xml:space="preserve">“ MPP priemonės yra grupuojamos pagal paskirtį.  </w:t>
      </w:r>
      <w:r w:rsidR="00B2320B">
        <w:t xml:space="preserve">Vertinama MPP būtų priskirta „Priemonės sergantiems cukriniu diabetu“ paskirties MPP </w:t>
      </w:r>
      <w:r w:rsidR="00CC5F39">
        <w:t xml:space="preserve">grupei, kadangi </w:t>
      </w:r>
      <w:r w:rsidR="00B2320B">
        <w:t xml:space="preserve">pagal šią paskirtį </w:t>
      </w:r>
      <w:r w:rsidR="00B2320B" w:rsidRPr="005C390D">
        <w:rPr>
          <w:i/>
        </w:rPr>
        <w:t>laidinių ir belaidžių</w:t>
      </w:r>
      <w:r w:rsidR="00B2320B">
        <w:t xml:space="preserve"> insulino pompų sistemų keičiamųjų dalių komplektai nėra išskirti</w:t>
      </w:r>
      <w:r w:rsidR="00165A03">
        <w:t xml:space="preserve">, yra bendra grupė „ </w:t>
      </w:r>
      <w:r w:rsidR="00165A03">
        <w:rPr>
          <w:color w:val="000000"/>
        </w:rPr>
        <w:t>6</w:t>
      </w:r>
      <w:r w:rsidR="00165A03" w:rsidRPr="005C390D">
        <w:t>.6. Insulino pompų, naudojamų ambulatoriškai gydyti nuolatine poodine insulino injekcija, keičiamųjų dalių komplektai</w:t>
      </w:r>
      <w:r w:rsidR="00165A03">
        <w:t xml:space="preserve">“. </w:t>
      </w:r>
      <w:r w:rsidR="00563639">
        <w:t xml:space="preserve"> </w:t>
      </w:r>
      <w:r w:rsidR="00B337AA">
        <w:t>Remiantis, kad šiuo metu kompensuojamos alternatyvios MPP yra pigesnės nei vertinamas „</w:t>
      </w:r>
      <w:r w:rsidR="00B337AA" w:rsidRPr="0077295E">
        <w:t xml:space="preserve">A7+ </w:t>
      </w:r>
      <w:proofErr w:type="spellStart"/>
      <w:r w:rsidR="00B337AA" w:rsidRPr="0077295E">
        <w:t>TouchCare</w:t>
      </w:r>
      <w:proofErr w:type="spellEnd"/>
      <w:r w:rsidR="00B337AA" w:rsidRPr="0077295E">
        <w:t xml:space="preserve"> komplekt</w:t>
      </w:r>
      <w:r w:rsidR="00B337AA">
        <w:t xml:space="preserve">as“ nustatyta funkcinė vertė nesiektų </w:t>
      </w:r>
      <w:r w:rsidR="00B337AA" w:rsidRPr="003D412E">
        <w:t>9 bal</w:t>
      </w:r>
      <w:r w:rsidR="00B337AA">
        <w:t xml:space="preserve">ų ir vadovaujantis </w:t>
      </w:r>
      <w:r w:rsidR="00B337AA" w:rsidRPr="003D412E">
        <w:t>2002 m. baland</w:t>
      </w:r>
      <w:r w:rsidR="00B337AA">
        <w:t xml:space="preserve">žio </w:t>
      </w:r>
      <w:r w:rsidR="00B337AA" w:rsidRPr="003D412E">
        <w:t>5 d.</w:t>
      </w:r>
      <w:r w:rsidR="00B337AA">
        <w:t xml:space="preserve"> </w:t>
      </w:r>
      <w:r w:rsidR="00B337AA" w:rsidRPr="003D412E">
        <w:t xml:space="preserve">LR Sveikatos apsaugos ministro </w:t>
      </w:r>
      <w:r w:rsidR="00B337AA">
        <w:t xml:space="preserve">įsakymu </w:t>
      </w:r>
      <w:r w:rsidR="00B337AA" w:rsidRPr="003D412E">
        <w:t>Nr. 159 “Dėl vaistinių preparatų ir medicinos pagalbos priemonių įrašymo į kompensavimo sąrašus ir jų keitimo tvarkos aprašo patvirtinimo” punktu “</w:t>
      </w:r>
      <w:r w:rsidR="00B337AA">
        <w:rPr>
          <w:color w:val="000000"/>
        </w:rPr>
        <w:t>51. Medicinos pagalbos priemonė gali būti įrašoma į C sąrašą, jei jos funkcinė vertė yra ne mažesnė kaip 9 balai“</w:t>
      </w:r>
      <w:r w:rsidR="00DE39DB">
        <w:rPr>
          <w:color w:val="000000"/>
        </w:rPr>
        <w:t xml:space="preserve">, </w:t>
      </w:r>
      <w:r w:rsidR="00407553" w:rsidRPr="00407553">
        <w:rPr>
          <w:b/>
        </w:rPr>
        <w:t xml:space="preserve">„A7+ </w:t>
      </w:r>
      <w:proofErr w:type="spellStart"/>
      <w:r w:rsidR="00407553" w:rsidRPr="00407553">
        <w:rPr>
          <w:b/>
        </w:rPr>
        <w:t>TouchCare</w:t>
      </w:r>
      <w:proofErr w:type="spellEnd"/>
      <w:r w:rsidR="00407553" w:rsidRPr="00407553">
        <w:rPr>
          <w:b/>
        </w:rPr>
        <w:t xml:space="preserve"> insulino pompos sistemos, naudojamos ambulatoriškai gydyti nuolatine poodine insulino injekcija, keičiamųjų dalių komplektas“ </w:t>
      </w:r>
      <w:r w:rsidR="00407553" w:rsidRPr="00407553">
        <w:rPr>
          <w:b/>
          <w:color w:val="000000"/>
        </w:rPr>
        <w:t>negalėtų būti įtrauktas</w:t>
      </w:r>
      <w:r w:rsidR="00DE39DB" w:rsidRPr="00407553">
        <w:rPr>
          <w:b/>
          <w:color w:val="000000"/>
        </w:rPr>
        <w:t xml:space="preserve"> į kompensuojamųjų medicinos pagalbos priemonių sąrašą (C sąrašą).</w:t>
      </w:r>
    </w:p>
    <w:p w14:paraId="7B8152E1" w14:textId="775A915C" w:rsidR="00605C24" w:rsidRPr="00407553" w:rsidRDefault="000012A3" w:rsidP="005C76EC">
      <w:pPr>
        <w:ind w:firstLine="993"/>
        <w:jc w:val="both"/>
        <w:rPr>
          <w:b/>
          <w:color w:val="000000"/>
        </w:rPr>
      </w:pPr>
      <w:r>
        <w:lastRenderedPageBreak/>
        <w:t xml:space="preserve"> </w:t>
      </w:r>
      <w:r w:rsidR="00605C24">
        <w:t>Kadangi</w:t>
      </w:r>
      <w:r>
        <w:t xml:space="preserve"> P</w:t>
      </w:r>
      <w:r w:rsidR="00B2320B">
        <w:t xml:space="preserve">areiškėjas </w:t>
      </w:r>
      <w:r>
        <w:t>STV skyriui pateikė paraišką vertinimui siekdamas</w:t>
      </w:r>
      <w:r w:rsidR="00B2320B">
        <w:t xml:space="preserve"> būti įtrauktas į </w:t>
      </w:r>
      <w:r w:rsidR="00B2320B">
        <w:rPr>
          <w:rFonts w:eastAsia="Arial Unicode MS"/>
        </w:rPr>
        <w:t xml:space="preserve">Kompensuojamųjų medicinos pagalbos priemonių sąrašą atskira </w:t>
      </w:r>
      <w:r w:rsidR="00B2320B" w:rsidRPr="000012A3">
        <w:rPr>
          <w:rFonts w:eastAsia="Arial Unicode MS"/>
          <w:b/>
          <w:i/>
        </w:rPr>
        <w:t>belaidžių</w:t>
      </w:r>
      <w:r w:rsidR="00B2320B">
        <w:rPr>
          <w:rFonts w:eastAsia="Arial Unicode MS"/>
        </w:rPr>
        <w:t xml:space="preserve"> </w:t>
      </w:r>
      <w:r>
        <w:rPr>
          <w:color w:val="000000"/>
        </w:rPr>
        <w:t>i</w:t>
      </w:r>
      <w:r w:rsidR="00B2320B">
        <w:rPr>
          <w:color w:val="000000"/>
        </w:rPr>
        <w:t>nsulino pompų, naudojamų ambulatoriškai gydyti nuolatine poodine insulino injekcija, keičiamųjų dalių komplektas</w:t>
      </w:r>
      <w:r>
        <w:rPr>
          <w:color w:val="000000"/>
        </w:rPr>
        <w:t>,</w:t>
      </w:r>
      <w:r w:rsidR="00B2320B">
        <w:rPr>
          <w:color w:val="000000"/>
        </w:rPr>
        <w:t xml:space="preserve"> grupe</w:t>
      </w:r>
      <w:r w:rsidR="00605C24">
        <w:rPr>
          <w:color w:val="000000"/>
        </w:rPr>
        <w:t xml:space="preserve">, Tarnyba atkreipia dėmesį, kad </w:t>
      </w:r>
      <w:r w:rsidR="00605C24">
        <w:t xml:space="preserve">keičiamųjų dalių komplektus išskyrus į </w:t>
      </w:r>
      <w:r w:rsidR="00605C24" w:rsidRPr="00FB48DD">
        <w:rPr>
          <w:i/>
        </w:rPr>
        <w:t>laidines ir belaides</w:t>
      </w:r>
      <w:r w:rsidR="00605C24">
        <w:t xml:space="preserve"> sistemas“ vertinamos MPP nustatyta </w:t>
      </w:r>
      <w:r w:rsidR="00605C24" w:rsidRPr="00407553">
        <w:rPr>
          <w:b/>
        </w:rPr>
        <w:t>funkcinė vertė būtų didesnė</w:t>
      </w:r>
      <w:r w:rsidR="002F6E6E">
        <w:rPr>
          <w:b/>
        </w:rPr>
        <w:t xml:space="preserve"> (nei dabar nustatoma)</w:t>
      </w:r>
      <w:r w:rsidR="00605C24" w:rsidRPr="00407553">
        <w:rPr>
          <w:b/>
        </w:rPr>
        <w:t xml:space="preserve"> ir MPP galėtų būti įtraukiama į </w:t>
      </w:r>
      <w:r w:rsidR="00605C24" w:rsidRPr="00407553">
        <w:rPr>
          <w:b/>
          <w:color w:val="000000"/>
        </w:rPr>
        <w:t>kompensuojamųjų medicinos pagalbos priemonių sąrašą (C sąrašą).</w:t>
      </w:r>
    </w:p>
    <w:p w14:paraId="6E0FBD09" w14:textId="77777777" w:rsidR="00605C24" w:rsidRDefault="00605C24" w:rsidP="005C76EC">
      <w:pPr>
        <w:ind w:firstLine="993"/>
        <w:jc w:val="both"/>
        <w:rPr>
          <w:color w:val="000000"/>
        </w:rPr>
      </w:pPr>
    </w:p>
    <w:p w14:paraId="7B03ACF5" w14:textId="62846BD2" w:rsidR="006E44C9" w:rsidRDefault="006E44C9" w:rsidP="00883C96">
      <w:pPr>
        <w:jc w:val="both"/>
      </w:pPr>
    </w:p>
    <w:p w14:paraId="0D293840" w14:textId="71AB4CE1" w:rsidR="00120D4F" w:rsidRDefault="00120D4F" w:rsidP="00883C96">
      <w:pPr>
        <w:jc w:val="both"/>
      </w:pPr>
    </w:p>
    <w:p w14:paraId="2B6A8206" w14:textId="77777777" w:rsidR="00120D4F" w:rsidRPr="00566DBB" w:rsidRDefault="00120D4F" w:rsidP="00120D4F">
      <w:pPr>
        <w:rPr>
          <w:i/>
        </w:rPr>
      </w:pPr>
      <w:r w:rsidRPr="00B404DE">
        <w:t>Viršininkas</w:t>
      </w:r>
      <w:r w:rsidRPr="00B404DE">
        <w:tab/>
      </w:r>
      <w:r w:rsidRPr="00B404DE">
        <w:tab/>
      </w:r>
      <w:r w:rsidRPr="00B404DE">
        <w:tab/>
      </w:r>
      <w:r w:rsidRPr="00B404DE">
        <w:tab/>
      </w:r>
      <w:r w:rsidRPr="00B404DE">
        <w:tab/>
      </w:r>
      <w:r w:rsidRPr="00B404DE">
        <w:tab/>
      </w:r>
      <w:r w:rsidRPr="00B404DE">
        <w:tab/>
      </w:r>
      <w:r w:rsidRPr="00B404DE">
        <w:tab/>
      </w:r>
      <w:r w:rsidRPr="00B404DE">
        <w:tab/>
        <w:t xml:space="preserve">           Gytis </w:t>
      </w:r>
      <w:proofErr w:type="spellStart"/>
      <w:r w:rsidRPr="00B404DE">
        <w:t>Andrulionis</w:t>
      </w:r>
      <w:proofErr w:type="spellEnd"/>
    </w:p>
    <w:p w14:paraId="53B13C6A" w14:textId="77777777" w:rsidR="00120D4F" w:rsidRPr="00B05B63" w:rsidRDefault="00120D4F" w:rsidP="00883C96">
      <w:pPr>
        <w:jc w:val="both"/>
      </w:pPr>
    </w:p>
    <w:sectPr w:rsidR="00120D4F" w:rsidRPr="00B05B63" w:rsidSect="008B5202">
      <w:headerReference w:type="even" r:id="rId12"/>
      <w:head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D20E6" w14:textId="77777777" w:rsidR="008B5202" w:rsidRDefault="008B5202">
      <w:r>
        <w:separator/>
      </w:r>
    </w:p>
  </w:endnote>
  <w:endnote w:type="continuationSeparator" w:id="0">
    <w:p w14:paraId="1786C3A3" w14:textId="77777777" w:rsidR="008B5202" w:rsidRDefault="008B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63"/>
      <w:gridCol w:w="2427"/>
      <w:gridCol w:w="2426"/>
      <w:gridCol w:w="2251"/>
    </w:tblGrid>
    <w:tr w:rsidR="003C7257" w14:paraId="2296CD2E" w14:textId="77777777" w:rsidTr="00A86F2B">
      <w:trPr>
        <w:jc w:val="center"/>
      </w:trPr>
      <w:tc>
        <w:tcPr>
          <w:tcW w:w="9567" w:type="dxa"/>
          <w:gridSpan w:val="4"/>
        </w:tcPr>
        <w:p w14:paraId="7D5A0D43" w14:textId="77777777" w:rsidR="00737E2D" w:rsidRDefault="00737E2D" w:rsidP="00737E2D">
          <w:pPr>
            <w:pStyle w:val="Porat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Pr="00386307">
            <w:rPr>
              <w:sz w:val="18"/>
              <w:szCs w:val="18"/>
            </w:rPr>
            <w:t>iudžetinė įstaiga,</w:t>
          </w:r>
          <w:r>
            <w:rPr>
              <w:sz w:val="18"/>
              <w:szCs w:val="18"/>
            </w:rPr>
            <w:t xml:space="preserve"> Žirmūnų g.139A, LT-09120</w:t>
          </w:r>
          <w:r w:rsidRPr="00386307">
            <w:rPr>
              <w:sz w:val="18"/>
              <w:szCs w:val="18"/>
            </w:rPr>
            <w:t xml:space="preserve"> Vilnius,</w:t>
          </w:r>
        </w:p>
        <w:p w14:paraId="02BBC618" w14:textId="77777777" w:rsidR="00737E2D" w:rsidRPr="00386307" w:rsidRDefault="00737E2D" w:rsidP="00737E2D">
          <w:pPr>
            <w:pStyle w:val="Porat"/>
            <w:jc w:val="center"/>
            <w:rPr>
              <w:sz w:val="18"/>
              <w:szCs w:val="18"/>
            </w:rPr>
          </w:pPr>
          <w:r w:rsidRPr="00386307">
            <w:rPr>
              <w:sz w:val="18"/>
              <w:szCs w:val="18"/>
            </w:rPr>
            <w:t>tel.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>5) 263 9264, faks.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 xml:space="preserve">5) 263 9265, el. p. </w:t>
          </w:r>
          <w:hyperlink r:id="rId1" w:history="1">
            <w:r w:rsidRPr="00386307">
              <w:rPr>
                <w:rStyle w:val="Hipersaitas"/>
                <w:sz w:val="18"/>
                <w:szCs w:val="18"/>
              </w:rPr>
              <w:t>vvkt</w:t>
            </w:r>
            <w:r w:rsidRPr="00386307">
              <w:rPr>
                <w:rStyle w:val="Hipersaitas"/>
                <w:sz w:val="18"/>
                <w:szCs w:val="18"/>
                <w:lang w:val="en-US"/>
              </w:rPr>
              <w:t>@vvkt.lt</w:t>
            </w:r>
          </w:hyperlink>
        </w:p>
        <w:p w14:paraId="78AB38D8" w14:textId="77777777" w:rsidR="00737E2D" w:rsidRPr="00EF08D7" w:rsidRDefault="00737E2D" w:rsidP="00737E2D">
          <w:pPr>
            <w:tabs>
              <w:tab w:val="right" w:pos="9498"/>
            </w:tabs>
            <w:jc w:val="center"/>
            <w:rPr>
              <w:sz w:val="22"/>
              <w:szCs w:val="22"/>
            </w:rPr>
          </w:pPr>
          <w:r>
            <w:rPr>
              <w:sz w:val="18"/>
              <w:szCs w:val="18"/>
            </w:rPr>
            <w:t>Duomeny</w:t>
          </w:r>
          <w:r w:rsidRPr="00386307">
            <w:rPr>
              <w:sz w:val="18"/>
              <w:szCs w:val="18"/>
            </w:rPr>
            <w:t>s kaupiami ir sa</w:t>
          </w:r>
          <w:r>
            <w:rPr>
              <w:sz w:val="18"/>
              <w:szCs w:val="18"/>
            </w:rPr>
            <w:t>ugomi Juridinių asmenų registr</w:t>
          </w:r>
          <w:r w:rsidRPr="00386307">
            <w:rPr>
              <w:sz w:val="18"/>
              <w:szCs w:val="18"/>
            </w:rPr>
            <w:t>e, kodas 191351864</w:t>
          </w:r>
        </w:p>
        <w:p w14:paraId="5BB0A42A" w14:textId="77777777" w:rsidR="003C7257" w:rsidRPr="00951573" w:rsidRDefault="003C7257" w:rsidP="00951573">
          <w:pPr>
            <w:pStyle w:val="Porat"/>
            <w:jc w:val="center"/>
            <w:rPr>
              <w:sz w:val="20"/>
              <w:szCs w:val="20"/>
            </w:rPr>
          </w:pPr>
        </w:p>
      </w:tc>
    </w:tr>
    <w:tr w:rsidR="003C7257" w14:paraId="05DFB827" w14:textId="77777777" w:rsidTr="00A86F2B">
      <w:trPr>
        <w:jc w:val="center"/>
      </w:trPr>
      <w:tc>
        <w:tcPr>
          <w:tcW w:w="2463" w:type="dxa"/>
        </w:tcPr>
        <w:p w14:paraId="0E4A2319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427" w:type="dxa"/>
        </w:tcPr>
        <w:p w14:paraId="4D313133" w14:textId="77777777" w:rsidR="003C7257" w:rsidRDefault="003C7257">
          <w:pPr>
            <w:rPr>
              <w:sz w:val="4"/>
              <w:szCs w:val="4"/>
            </w:rPr>
          </w:pPr>
        </w:p>
      </w:tc>
      <w:tc>
        <w:tcPr>
          <w:tcW w:w="2426" w:type="dxa"/>
        </w:tcPr>
        <w:p w14:paraId="7339576D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251" w:type="dxa"/>
        </w:tcPr>
        <w:p w14:paraId="79DBF1FF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</w:tr>
    <w:tr w:rsidR="003C7257" w14:paraId="439E649C" w14:textId="77777777" w:rsidTr="008F2ED5">
      <w:trPr>
        <w:jc w:val="center"/>
      </w:trPr>
      <w:tc>
        <w:tcPr>
          <w:tcW w:w="9567" w:type="dxa"/>
          <w:gridSpan w:val="4"/>
        </w:tcPr>
        <w:p w14:paraId="72A87506" w14:textId="77777777" w:rsidR="003C7257" w:rsidRDefault="003C7257">
          <w:pPr>
            <w:pStyle w:val="Porat"/>
            <w:rPr>
              <w:i/>
              <w:sz w:val="16"/>
              <w:szCs w:val="16"/>
            </w:rPr>
          </w:pPr>
        </w:p>
      </w:tc>
    </w:tr>
  </w:tbl>
  <w:p w14:paraId="2E869136" w14:textId="77777777" w:rsidR="003C7257" w:rsidRDefault="003C7257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6984E" w14:textId="77777777" w:rsidR="008B5202" w:rsidRDefault="008B5202">
      <w:r>
        <w:separator/>
      </w:r>
    </w:p>
  </w:footnote>
  <w:footnote w:type="continuationSeparator" w:id="0">
    <w:p w14:paraId="78F4D429" w14:textId="77777777" w:rsidR="008B5202" w:rsidRDefault="008B5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79ED" w14:textId="77777777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725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4412995" w14:textId="77777777" w:rsidR="003C7257" w:rsidRDefault="003C72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87AB" w14:textId="4C65A7D8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4218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826A5C" w14:textId="77777777" w:rsidR="003C7257" w:rsidRDefault="003C725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7"/>
      <w:gridCol w:w="2460"/>
      <w:gridCol w:w="3120"/>
      <w:gridCol w:w="2328"/>
    </w:tblGrid>
    <w:tr w:rsidR="003C7257" w14:paraId="65D4FEE6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95DB8E9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B8BAC5F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607760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D086EE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FFAC878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439E5D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1F2356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9B7402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BE3B6D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3B249B4" w14:textId="77777777">
      <w:trPr>
        <w:cantSplit/>
        <w:trHeight w:val="1713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14:paraId="02E997D0" w14:textId="77777777" w:rsidR="003C7257" w:rsidRDefault="00000000">
          <w:pPr>
            <w:pStyle w:val="Porat"/>
            <w:tabs>
              <w:tab w:val="left" w:pos="720"/>
            </w:tabs>
          </w:pPr>
          <w:r>
            <w:object w:dxaOrig="1440" w:dyaOrig="1440" w14:anchorId="6ED8A3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" style="position:absolute;margin-left:2.25pt;margin-top:8.25pt;width:70pt;height:69.95pt;z-index:251657728;mso-wrap-edited:f;mso-width-percent:0;mso-height-percent:0;mso-position-horizontal-relative:text;mso-position-vertical-relative:text;mso-width-percent:0;mso-height-percent:0" fillcolor="window">
                <v:imagedata r:id="rId1" o:title=""/>
              </v:shape>
              <o:OLEObject Type="Embed" ProgID="Word.Picture.8" ShapeID="_x0000_s1025" DrawAspect="Content" ObjectID="_1772275427" r:id="rId2"/>
            </w:object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5671AF8C" w14:textId="77777777" w:rsidR="003C7257" w:rsidRDefault="00124A9E">
          <w:pPr>
            <w:pStyle w:val="Antrat2"/>
            <w:rPr>
              <w:sz w:val="24"/>
            </w:rPr>
          </w:pPr>
          <w:r>
            <w:rPr>
              <w:sz w:val="24"/>
            </w:rPr>
            <w:t>Valstybinė vaistų</w:t>
          </w:r>
          <w:r w:rsidR="003C7257">
            <w:rPr>
              <w:sz w:val="24"/>
            </w:rPr>
            <w:t xml:space="preserve"> kontrolės tarnyba</w:t>
          </w:r>
        </w:p>
        <w:p w14:paraId="62687569" w14:textId="77777777" w:rsidR="003C7257" w:rsidRDefault="003C7257">
          <w:pPr>
            <w:pStyle w:val="Antrat1"/>
          </w:pPr>
          <w:r>
            <w:t>Prie LIETUVOS RESPUBLIKOS</w:t>
          </w:r>
        </w:p>
        <w:p w14:paraId="5C6D2F09" w14:textId="77777777" w:rsidR="003C7257" w:rsidRDefault="003C7257">
          <w:pPr>
            <w:pStyle w:val="Antrat1"/>
          </w:pPr>
          <w:r>
            <w:t>sveikatos apsaugos ministerijos</w:t>
          </w:r>
        </w:p>
      </w:tc>
    </w:tr>
    <w:tr w:rsidR="003C7257" w14:paraId="46D183E1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C26BA3" w14:textId="77777777" w:rsidR="003C7257" w:rsidRDefault="003C7257">
          <w:pPr>
            <w:pStyle w:val="Porat"/>
            <w:tabs>
              <w:tab w:val="left" w:pos="720"/>
            </w:tabs>
            <w:rPr>
              <w:sz w:val="6"/>
              <w:szCs w:val="16"/>
            </w:rPr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2A81F9C" w14:textId="77777777" w:rsidR="003C7257" w:rsidRDefault="003C7257">
          <w:pPr>
            <w:pStyle w:val="Antrat2"/>
            <w:rPr>
              <w:sz w:val="6"/>
              <w:szCs w:val="16"/>
            </w:rPr>
          </w:pPr>
        </w:p>
      </w:tc>
    </w:tr>
    <w:tr w:rsidR="003C7257" w14:paraId="11A2A88C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BD314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6B17F86F" w14:textId="77777777" w:rsidR="003C7257" w:rsidRDefault="003C7257">
          <w:pPr>
            <w:pStyle w:val="Antrat2"/>
            <w:rPr>
              <w:sz w:val="24"/>
            </w:rPr>
          </w:pPr>
        </w:p>
      </w:tc>
    </w:tr>
    <w:tr w:rsidR="003C7257" w14:paraId="38149177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28BDD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3E0745FB" w14:textId="77777777" w:rsidR="003C7257" w:rsidRDefault="003C7257">
          <w:pPr>
            <w:pStyle w:val="Antrat2"/>
            <w:rPr>
              <w:sz w:val="24"/>
            </w:rPr>
          </w:pPr>
        </w:p>
      </w:tc>
    </w:tr>
  </w:tbl>
  <w:p w14:paraId="081D4F8F" w14:textId="77777777" w:rsidR="003C7257" w:rsidRDefault="003C7257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3621F"/>
    <w:multiLevelType w:val="hybridMultilevel"/>
    <w:tmpl w:val="3802265C"/>
    <w:lvl w:ilvl="0" w:tplc="94DAF73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55E16"/>
    <w:multiLevelType w:val="hybridMultilevel"/>
    <w:tmpl w:val="85CC8B9E"/>
    <w:lvl w:ilvl="0" w:tplc="D968F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2C3497"/>
    <w:multiLevelType w:val="hybridMultilevel"/>
    <w:tmpl w:val="A7D8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73123"/>
    <w:multiLevelType w:val="hybridMultilevel"/>
    <w:tmpl w:val="9C725C10"/>
    <w:lvl w:ilvl="0" w:tplc="04090019">
      <w:start w:val="1"/>
      <w:numFmt w:val="lowerLetter"/>
      <w:lvlText w:val="%1."/>
      <w:lvlJc w:val="left"/>
      <w:pPr>
        <w:ind w:left="1039" w:hanging="360"/>
      </w:pPr>
    </w:lvl>
    <w:lvl w:ilvl="1" w:tplc="04090019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4" w15:restartNumberingAfterBreak="0">
    <w:nsid w:val="6D176BFE"/>
    <w:multiLevelType w:val="hybridMultilevel"/>
    <w:tmpl w:val="92E4DF3C"/>
    <w:lvl w:ilvl="0" w:tplc="8786A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707994">
    <w:abstractNumId w:val="2"/>
  </w:num>
  <w:num w:numId="2" w16cid:durableId="473134212">
    <w:abstractNumId w:val="3"/>
  </w:num>
  <w:num w:numId="3" w16cid:durableId="1771511548">
    <w:abstractNumId w:val="4"/>
  </w:num>
  <w:num w:numId="4" w16cid:durableId="2114550808">
    <w:abstractNumId w:val="1"/>
  </w:num>
  <w:num w:numId="5" w16cid:durableId="129486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2A"/>
    <w:rsid w:val="000012A3"/>
    <w:rsid w:val="00012EEA"/>
    <w:rsid w:val="00031D0E"/>
    <w:rsid w:val="0003402E"/>
    <w:rsid w:val="00046678"/>
    <w:rsid w:val="0008190F"/>
    <w:rsid w:val="00081D9C"/>
    <w:rsid w:val="00082907"/>
    <w:rsid w:val="0008378D"/>
    <w:rsid w:val="000D5038"/>
    <w:rsid w:val="000E29D4"/>
    <w:rsid w:val="000E5A01"/>
    <w:rsid w:val="000F3540"/>
    <w:rsid w:val="00107287"/>
    <w:rsid w:val="00117099"/>
    <w:rsid w:val="00120D4F"/>
    <w:rsid w:val="00121EF0"/>
    <w:rsid w:val="00124A9E"/>
    <w:rsid w:val="0013153F"/>
    <w:rsid w:val="001354D2"/>
    <w:rsid w:val="001408B8"/>
    <w:rsid w:val="001521D9"/>
    <w:rsid w:val="00153DE6"/>
    <w:rsid w:val="001554E2"/>
    <w:rsid w:val="00163FE4"/>
    <w:rsid w:val="00164146"/>
    <w:rsid w:val="00165A03"/>
    <w:rsid w:val="001660E3"/>
    <w:rsid w:val="00180C39"/>
    <w:rsid w:val="0018222E"/>
    <w:rsid w:val="001921F3"/>
    <w:rsid w:val="001A6657"/>
    <w:rsid w:val="001F51F1"/>
    <w:rsid w:val="001F692A"/>
    <w:rsid w:val="002107F8"/>
    <w:rsid w:val="00213471"/>
    <w:rsid w:val="00215906"/>
    <w:rsid w:val="002161E2"/>
    <w:rsid w:val="00220AAB"/>
    <w:rsid w:val="00221F7C"/>
    <w:rsid w:val="00251AAB"/>
    <w:rsid w:val="0025697F"/>
    <w:rsid w:val="00272428"/>
    <w:rsid w:val="00272948"/>
    <w:rsid w:val="002743BD"/>
    <w:rsid w:val="0028672F"/>
    <w:rsid w:val="00293D04"/>
    <w:rsid w:val="002B375C"/>
    <w:rsid w:val="002B3CC1"/>
    <w:rsid w:val="002B3F30"/>
    <w:rsid w:val="002C3A10"/>
    <w:rsid w:val="002C4A90"/>
    <w:rsid w:val="002D02EF"/>
    <w:rsid w:val="002E39E4"/>
    <w:rsid w:val="002F1053"/>
    <w:rsid w:val="002F6E6E"/>
    <w:rsid w:val="00301862"/>
    <w:rsid w:val="00303AFD"/>
    <w:rsid w:val="00344D4C"/>
    <w:rsid w:val="0036187D"/>
    <w:rsid w:val="003728B2"/>
    <w:rsid w:val="00384751"/>
    <w:rsid w:val="00385FD0"/>
    <w:rsid w:val="00386307"/>
    <w:rsid w:val="003A654E"/>
    <w:rsid w:val="003A6B49"/>
    <w:rsid w:val="003C3CE3"/>
    <w:rsid w:val="003C7257"/>
    <w:rsid w:val="003C7E35"/>
    <w:rsid w:val="003D412E"/>
    <w:rsid w:val="003E2DC9"/>
    <w:rsid w:val="003E5DEF"/>
    <w:rsid w:val="0040622F"/>
    <w:rsid w:val="00407553"/>
    <w:rsid w:val="004217A0"/>
    <w:rsid w:val="00423160"/>
    <w:rsid w:val="00453BF8"/>
    <w:rsid w:val="004569CD"/>
    <w:rsid w:val="00461338"/>
    <w:rsid w:val="004643CC"/>
    <w:rsid w:val="004654CC"/>
    <w:rsid w:val="0047454D"/>
    <w:rsid w:val="00484191"/>
    <w:rsid w:val="00490E71"/>
    <w:rsid w:val="0049482A"/>
    <w:rsid w:val="004B59BA"/>
    <w:rsid w:val="004B689A"/>
    <w:rsid w:val="004B6F94"/>
    <w:rsid w:val="004C0200"/>
    <w:rsid w:val="005005EF"/>
    <w:rsid w:val="005028AA"/>
    <w:rsid w:val="00521E8C"/>
    <w:rsid w:val="00535F96"/>
    <w:rsid w:val="005476A4"/>
    <w:rsid w:val="005500C2"/>
    <w:rsid w:val="005601A4"/>
    <w:rsid w:val="00563639"/>
    <w:rsid w:val="00575777"/>
    <w:rsid w:val="00581788"/>
    <w:rsid w:val="00593031"/>
    <w:rsid w:val="005976CE"/>
    <w:rsid w:val="005A23D4"/>
    <w:rsid w:val="005A2D1E"/>
    <w:rsid w:val="005B7814"/>
    <w:rsid w:val="005C390D"/>
    <w:rsid w:val="005C4790"/>
    <w:rsid w:val="005C493F"/>
    <w:rsid w:val="005C6BF7"/>
    <w:rsid w:val="005C76EC"/>
    <w:rsid w:val="005D30E1"/>
    <w:rsid w:val="005D6555"/>
    <w:rsid w:val="005D7BDF"/>
    <w:rsid w:val="005D7DD3"/>
    <w:rsid w:val="005E3235"/>
    <w:rsid w:val="00605C24"/>
    <w:rsid w:val="006166A8"/>
    <w:rsid w:val="00633B49"/>
    <w:rsid w:val="0064297F"/>
    <w:rsid w:val="006523F7"/>
    <w:rsid w:val="006579C6"/>
    <w:rsid w:val="00674E0D"/>
    <w:rsid w:val="006A1D72"/>
    <w:rsid w:val="006A38B6"/>
    <w:rsid w:val="006C1C3E"/>
    <w:rsid w:val="006C2B64"/>
    <w:rsid w:val="006C4C0E"/>
    <w:rsid w:val="006D38BA"/>
    <w:rsid w:val="006E44C9"/>
    <w:rsid w:val="006F1251"/>
    <w:rsid w:val="00703166"/>
    <w:rsid w:val="00704A13"/>
    <w:rsid w:val="007127F3"/>
    <w:rsid w:val="007316FB"/>
    <w:rsid w:val="00733BF6"/>
    <w:rsid w:val="00737E2D"/>
    <w:rsid w:val="007424D5"/>
    <w:rsid w:val="00751A88"/>
    <w:rsid w:val="007523DD"/>
    <w:rsid w:val="00762187"/>
    <w:rsid w:val="0077295E"/>
    <w:rsid w:val="007B0DDA"/>
    <w:rsid w:val="007B7850"/>
    <w:rsid w:val="007B7CEE"/>
    <w:rsid w:val="007C5B41"/>
    <w:rsid w:val="007E0EA9"/>
    <w:rsid w:val="007F0DD5"/>
    <w:rsid w:val="007F1949"/>
    <w:rsid w:val="00806470"/>
    <w:rsid w:val="008332BC"/>
    <w:rsid w:val="00833FEF"/>
    <w:rsid w:val="0085200C"/>
    <w:rsid w:val="00857C52"/>
    <w:rsid w:val="00862F7C"/>
    <w:rsid w:val="00870A8D"/>
    <w:rsid w:val="00870F22"/>
    <w:rsid w:val="00875A80"/>
    <w:rsid w:val="008806DA"/>
    <w:rsid w:val="00880A67"/>
    <w:rsid w:val="00883C96"/>
    <w:rsid w:val="00885C5A"/>
    <w:rsid w:val="008A336B"/>
    <w:rsid w:val="008A3A98"/>
    <w:rsid w:val="008B0D63"/>
    <w:rsid w:val="008B5202"/>
    <w:rsid w:val="008C3947"/>
    <w:rsid w:val="008D4880"/>
    <w:rsid w:val="008D740B"/>
    <w:rsid w:val="008F2060"/>
    <w:rsid w:val="008F2ED5"/>
    <w:rsid w:val="00902A9F"/>
    <w:rsid w:val="00920B69"/>
    <w:rsid w:val="009341BF"/>
    <w:rsid w:val="00935249"/>
    <w:rsid w:val="00941739"/>
    <w:rsid w:val="00951573"/>
    <w:rsid w:val="00954168"/>
    <w:rsid w:val="00956725"/>
    <w:rsid w:val="00957FF0"/>
    <w:rsid w:val="009628E0"/>
    <w:rsid w:val="00963003"/>
    <w:rsid w:val="00980A24"/>
    <w:rsid w:val="0099352B"/>
    <w:rsid w:val="009A30CD"/>
    <w:rsid w:val="009B37DB"/>
    <w:rsid w:val="009B6404"/>
    <w:rsid w:val="009C15A8"/>
    <w:rsid w:val="009C7A8C"/>
    <w:rsid w:val="009E0C9D"/>
    <w:rsid w:val="009E6CD6"/>
    <w:rsid w:val="00A00683"/>
    <w:rsid w:val="00A115F5"/>
    <w:rsid w:val="00A30691"/>
    <w:rsid w:val="00A5553C"/>
    <w:rsid w:val="00A84C51"/>
    <w:rsid w:val="00A86F2B"/>
    <w:rsid w:val="00A91366"/>
    <w:rsid w:val="00A942B9"/>
    <w:rsid w:val="00AA517B"/>
    <w:rsid w:val="00AA6202"/>
    <w:rsid w:val="00AC30A4"/>
    <w:rsid w:val="00AC4A99"/>
    <w:rsid w:val="00AD2BA1"/>
    <w:rsid w:val="00AF60D5"/>
    <w:rsid w:val="00B04415"/>
    <w:rsid w:val="00B05B63"/>
    <w:rsid w:val="00B11D60"/>
    <w:rsid w:val="00B13208"/>
    <w:rsid w:val="00B2320B"/>
    <w:rsid w:val="00B337AA"/>
    <w:rsid w:val="00B37245"/>
    <w:rsid w:val="00B6677E"/>
    <w:rsid w:val="00B86883"/>
    <w:rsid w:val="00BA6BCA"/>
    <w:rsid w:val="00BD585E"/>
    <w:rsid w:val="00BD5AA8"/>
    <w:rsid w:val="00BE424E"/>
    <w:rsid w:val="00BF76DA"/>
    <w:rsid w:val="00C02E14"/>
    <w:rsid w:val="00C3795D"/>
    <w:rsid w:val="00C517D2"/>
    <w:rsid w:val="00CB528A"/>
    <w:rsid w:val="00CC5F39"/>
    <w:rsid w:val="00CC6996"/>
    <w:rsid w:val="00CD1ABD"/>
    <w:rsid w:val="00CE35E5"/>
    <w:rsid w:val="00CE3AEA"/>
    <w:rsid w:val="00CE3D1C"/>
    <w:rsid w:val="00CF4D65"/>
    <w:rsid w:val="00D23808"/>
    <w:rsid w:val="00D26A31"/>
    <w:rsid w:val="00D27736"/>
    <w:rsid w:val="00D42181"/>
    <w:rsid w:val="00D55AA7"/>
    <w:rsid w:val="00D63068"/>
    <w:rsid w:val="00D7316E"/>
    <w:rsid w:val="00D767E5"/>
    <w:rsid w:val="00D828C7"/>
    <w:rsid w:val="00D8521E"/>
    <w:rsid w:val="00DB1F64"/>
    <w:rsid w:val="00DB67B7"/>
    <w:rsid w:val="00DC0FED"/>
    <w:rsid w:val="00DC2B3C"/>
    <w:rsid w:val="00DC2F53"/>
    <w:rsid w:val="00DC76C2"/>
    <w:rsid w:val="00DE2CE3"/>
    <w:rsid w:val="00DE39DB"/>
    <w:rsid w:val="00DE64A6"/>
    <w:rsid w:val="00DE7C0A"/>
    <w:rsid w:val="00E01B69"/>
    <w:rsid w:val="00E2561D"/>
    <w:rsid w:val="00E33DB8"/>
    <w:rsid w:val="00E33FF6"/>
    <w:rsid w:val="00E34387"/>
    <w:rsid w:val="00E475F8"/>
    <w:rsid w:val="00E53A69"/>
    <w:rsid w:val="00E5721C"/>
    <w:rsid w:val="00E57393"/>
    <w:rsid w:val="00E619C6"/>
    <w:rsid w:val="00E70618"/>
    <w:rsid w:val="00E73F09"/>
    <w:rsid w:val="00E76424"/>
    <w:rsid w:val="00E77EFB"/>
    <w:rsid w:val="00E82873"/>
    <w:rsid w:val="00EB14F2"/>
    <w:rsid w:val="00EB6BA2"/>
    <w:rsid w:val="00EC2356"/>
    <w:rsid w:val="00EC2582"/>
    <w:rsid w:val="00EC337C"/>
    <w:rsid w:val="00ED0CFF"/>
    <w:rsid w:val="00ED2E6B"/>
    <w:rsid w:val="00EE0EAC"/>
    <w:rsid w:val="00EF3E2B"/>
    <w:rsid w:val="00F0181A"/>
    <w:rsid w:val="00F01C97"/>
    <w:rsid w:val="00F127E9"/>
    <w:rsid w:val="00F13AD0"/>
    <w:rsid w:val="00F30091"/>
    <w:rsid w:val="00F36972"/>
    <w:rsid w:val="00F42426"/>
    <w:rsid w:val="00F50666"/>
    <w:rsid w:val="00F74BC6"/>
    <w:rsid w:val="00F83672"/>
    <w:rsid w:val="00F855D7"/>
    <w:rsid w:val="00F86079"/>
    <w:rsid w:val="00F92748"/>
    <w:rsid w:val="00FB0D41"/>
    <w:rsid w:val="00FB2030"/>
    <w:rsid w:val="00FB48DD"/>
    <w:rsid w:val="00FC4DB6"/>
    <w:rsid w:val="00FC630D"/>
    <w:rsid w:val="00FD2317"/>
    <w:rsid w:val="00FD3EDF"/>
    <w:rsid w:val="00FE20E6"/>
    <w:rsid w:val="00FE3E3B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DB0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F692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4C51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A84C5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84C51"/>
  </w:style>
  <w:style w:type="character" w:styleId="Hipersaitas">
    <w:name w:val="Hyperlink"/>
    <w:basedOn w:val="Numatytasispastraiposriftas"/>
    <w:rsid w:val="00A84C51"/>
    <w:rPr>
      <w:color w:val="0000FF"/>
      <w:u w:val="single"/>
    </w:rPr>
  </w:style>
  <w:style w:type="paragraph" w:styleId="Debesliotekstas">
    <w:name w:val="Balloon Text"/>
    <w:basedOn w:val="prastasis"/>
    <w:semiHidden/>
    <w:rsid w:val="00EC235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737E2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0B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0B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20B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20B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20B69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E53A6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7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paprastojilentel">
    <w:name w:val="Plain Table 1"/>
    <w:basedOn w:val="prastojilentel"/>
    <w:uiPriority w:val="41"/>
    <w:rsid w:val="005817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viesus">
    <w:name w:val="Grid Table Light"/>
    <w:basedOn w:val="prastojilentel"/>
    <w:uiPriority w:val="40"/>
    <w:rsid w:val="005817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paprastojilentel">
    <w:name w:val="Plain Table 2"/>
    <w:basedOn w:val="prastojilentel"/>
    <w:uiPriority w:val="42"/>
    <w:rsid w:val="005817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5817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aprastasistekstas">
    <w:name w:val="Plain Text"/>
    <w:basedOn w:val="prastasis"/>
    <w:link w:val="PaprastasistekstasDiagrama"/>
    <w:uiPriority w:val="99"/>
    <w:unhideWhenUsed/>
    <w:rsid w:val="00484191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84191"/>
    <w:rPr>
      <w:rFonts w:ascii="Calibri" w:eastAsiaTheme="minorHAnsi" w:hAnsi="Calibri" w:cs="Calibri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161E2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DE7C0A"/>
    <w:pPr>
      <w:spacing w:before="100" w:beforeAutospacing="1" w:after="100" w:afterAutospacing="1"/>
    </w:pPr>
    <w:rPr>
      <w:lang w:eastAsia="lt-LT"/>
    </w:rPr>
  </w:style>
  <w:style w:type="character" w:customStyle="1" w:styleId="apple-converted-space">
    <w:name w:val="apple-converted-space"/>
    <w:basedOn w:val="Numatytasispastraiposriftas"/>
    <w:rsid w:val="00D55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nisterija@sam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vkt@vvkt.l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B67235628E7F46AF2BA15FF369754F" ma:contentTypeVersion="10" ma:contentTypeDescription="Kurkite naują dokumentą." ma:contentTypeScope="" ma:versionID="e7968208d987ec736a7023c2e23d8435">
  <xsd:schema xmlns:xsd="http://www.w3.org/2001/XMLSchema" xmlns:xs="http://www.w3.org/2001/XMLSchema" xmlns:p="http://schemas.microsoft.com/office/2006/metadata/properties" xmlns:ns2="0cbfc325-95d3-4267-a4df-efb99666e73f" xmlns:ns3="58c78cca-ba62-460a-8b2d-a5f76cdde1ab" targetNamespace="http://schemas.microsoft.com/office/2006/metadata/properties" ma:root="true" ma:fieldsID="ba04c7a3afbdb0cfb00cbf5b17b34b6b" ns2:_="" ns3:_="">
    <xsd:import namespace="0cbfc325-95d3-4267-a4df-efb99666e73f"/>
    <xsd:import namespace="58c78cca-ba62-460a-8b2d-a5f76cdde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fc325-95d3-4267-a4df-efb99666e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78cca-ba62-460a-8b2d-a5f76cdde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7AFA0-A73D-4A1B-B023-39B06AF055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13ACD0-DBC5-4289-B1F6-9713207FC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6B830-39B8-463E-833D-2990AA64FB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F60D91-AE67-40C2-97E7-10F9D937A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fc325-95d3-4267-a4df-efb99666e73f"/>
    <ds:schemaRef ds:uri="58c78cca-ba62-460a-8b2d-a5f76cdde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2315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2021-12-29T07:40:00Z</dcterms:created>
  <dcterms:modified xsi:type="dcterms:W3CDTF">2024-03-18T11:57:00Z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0x010100E3B67235628E7F46AF2BA15FF369754F</vt:lpwstr>
  </property>
</Properties>
</file>