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7F3D1D80" w14:textId="77777777" w:rsidR="007F0869" w:rsidRPr="00C97239" w:rsidRDefault="007F0869" w:rsidP="007F0869">
      <w:pPr>
        <w:pStyle w:val="Default"/>
        <w:jc w:val="center"/>
        <w:rPr>
          <w:rFonts w:ascii="Times New Roman" w:hAnsi="Times New Roman" w:cs="Times New Roman"/>
          <w:b/>
          <w:color w:val="auto"/>
          <w:szCs w:val="20"/>
        </w:rPr>
      </w:pPr>
      <w:proofErr w:type="spellStart"/>
      <w:r w:rsidRPr="00C97239">
        <w:rPr>
          <w:rFonts w:ascii="Times New Roman" w:hAnsi="Times New Roman" w:cs="Times New Roman"/>
          <w:b/>
          <w:color w:val="auto"/>
          <w:szCs w:val="20"/>
        </w:rPr>
        <w:t>Venclyxto</w:t>
      </w:r>
      <w:proofErr w:type="spellEnd"/>
      <w:r w:rsidRPr="00C97239">
        <w:rPr>
          <w:rFonts w:ascii="Times New Roman" w:hAnsi="Times New Roman" w:cs="Times New Roman"/>
          <w:b/>
          <w:color w:val="auto"/>
          <w:szCs w:val="20"/>
        </w:rPr>
        <w:t xml:space="preserve"> </w:t>
      </w:r>
      <w:r w:rsidRPr="00C97239">
        <w:rPr>
          <w:rFonts w:ascii="Times New Roman" w:hAnsi="Times New Roman" w:cs="Times New Roman"/>
          <w:b/>
          <w:color w:val="auto"/>
        </w:rPr>
        <w:t>10/50/100 mg plėvele dengtos tabletės</w:t>
      </w:r>
    </w:p>
    <w:p w14:paraId="66A1AF15" w14:textId="77777777" w:rsidR="007F0869" w:rsidRPr="00C97239" w:rsidRDefault="007F0869" w:rsidP="007F0869">
      <w:pPr>
        <w:pStyle w:val="Default"/>
        <w:jc w:val="center"/>
        <w:rPr>
          <w:rFonts w:ascii="Times New Roman" w:hAnsi="Times New Roman" w:cs="Times New Roman"/>
          <w:b/>
          <w:color w:val="auto"/>
          <w:szCs w:val="20"/>
          <w:highlight w:val="yellow"/>
        </w:rPr>
      </w:pPr>
      <w:r w:rsidRPr="00C97239">
        <w:rPr>
          <w:rFonts w:ascii="Times New Roman" w:hAnsi="Times New Roman" w:cs="Times New Roman"/>
          <w:b/>
          <w:color w:val="auto"/>
          <w:szCs w:val="20"/>
        </w:rPr>
        <w:t>Venetoklaksas</w:t>
      </w:r>
    </w:p>
    <w:p w14:paraId="63C6B4EF" w14:textId="77777777" w:rsidR="007F0869" w:rsidRPr="00C97239" w:rsidRDefault="007F0869" w:rsidP="007F0869">
      <w:pPr>
        <w:jc w:val="center"/>
        <w:rPr>
          <w:b/>
        </w:rPr>
      </w:pPr>
      <w:r w:rsidRPr="00C97239">
        <w:rPr>
          <w:b/>
        </w:rPr>
        <w:t>STV-64A</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7F0869" w:rsidRPr="007F0869" w14:paraId="18A83EC2" w14:textId="77777777" w:rsidTr="00BE7489">
        <w:trPr>
          <w:trHeight w:val="538"/>
        </w:trPr>
        <w:tc>
          <w:tcPr>
            <w:tcW w:w="632" w:type="dxa"/>
          </w:tcPr>
          <w:p w14:paraId="0646FBEA" w14:textId="77777777" w:rsidR="007F0869" w:rsidRPr="007F0869" w:rsidRDefault="007F0869" w:rsidP="007F0869">
            <w:pPr>
              <w:rPr>
                <w:rFonts w:eastAsia="Arial"/>
              </w:rPr>
            </w:pPr>
            <w:r w:rsidRPr="007F0869">
              <w:rPr>
                <w:rFonts w:eastAsia="Arial"/>
              </w:rPr>
              <w:t>1.1</w:t>
            </w:r>
          </w:p>
        </w:tc>
        <w:tc>
          <w:tcPr>
            <w:tcW w:w="3694" w:type="dxa"/>
          </w:tcPr>
          <w:p w14:paraId="6C3AE864" w14:textId="77777777" w:rsidR="007F0869" w:rsidRPr="007F0869" w:rsidRDefault="007F0869" w:rsidP="007F0869">
            <w:pPr>
              <w:rPr>
                <w:rFonts w:eastAsia="Arial"/>
              </w:rPr>
            </w:pPr>
            <w:r w:rsidRPr="007F0869">
              <w:rPr>
                <w:rFonts w:eastAsia="Arial"/>
              </w:rPr>
              <w:t>Pareiškėjas</w:t>
            </w:r>
          </w:p>
          <w:p w14:paraId="2AF240DC" w14:textId="77777777" w:rsidR="007F0869" w:rsidRPr="007F0869" w:rsidRDefault="007F0869" w:rsidP="007F0869">
            <w:pPr>
              <w:rPr>
                <w:rFonts w:eastAsia="Arial"/>
              </w:rPr>
            </w:pPr>
          </w:p>
        </w:tc>
        <w:tc>
          <w:tcPr>
            <w:tcW w:w="5167" w:type="dxa"/>
          </w:tcPr>
          <w:p w14:paraId="2AAF0D91" w14:textId="2AB88DDB" w:rsidR="007F0869" w:rsidRPr="007F0869" w:rsidRDefault="007F0869" w:rsidP="007F0869">
            <w:pPr>
              <w:rPr>
                <w:rFonts w:eastAsia="Arial"/>
              </w:rPr>
            </w:pPr>
            <w:r w:rsidRPr="007F0869">
              <w:t>UAB „</w:t>
            </w:r>
            <w:proofErr w:type="spellStart"/>
            <w:r w:rsidRPr="007F0869">
              <w:t>AbbVie</w:t>
            </w:r>
            <w:proofErr w:type="spellEnd"/>
            <w:r w:rsidRPr="007F0869">
              <w:t>“</w:t>
            </w:r>
          </w:p>
        </w:tc>
      </w:tr>
      <w:tr w:rsidR="007F0869" w:rsidRPr="007F0869" w14:paraId="31998B0D" w14:textId="77777777" w:rsidTr="00BE7489">
        <w:trPr>
          <w:trHeight w:val="538"/>
        </w:trPr>
        <w:tc>
          <w:tcPr>
            <w:tcW w:w="632" w:type="dxa"/>
          </w:tcPr>
          <w:p w14:paraId="2005EC67" w14:textId="662300D0" w:rsidR="007F0869" w:rsidRPr="007F0869" w:rsidRDefault="007F0869" w:rsidP="007F0869">
            <w:pPr>
              <w:rPr>
                <w:rFonts w:eastAsia="Arial"/>
              </w:rPr>
            </w:pPr>
            <w:r w:rsidRPr="007F0869">
              <w:rPr>
                <w:rFonts w:eastAsia="Arial"/>
              </w:rPr>
              <w:t>1.2</w:t>
            </w:r>
          </w:p>
        </w:tc>
        <w:tc>
          <w:tcPr>
            <w:tcW w:w="3694" w:type="dxa"/>
          </w:tcPr>
          <w:p w14:paraId="1E4AE3B1" w14:textId="77777777" w:rsidR="007F0869" w:rsidRPr="007F0869" w:rsidRDefault="007F0869" w:rsidP="007F0869">
            <w:pPr>
              <w:rPr>
                <w:bCs/>
                <w:color w:val="000000"/>
                <w:lang w:eastAsia="lt-LT"/>
              </w:rPr>
            </w:pPr>
            <w:r w:rsidRPr="007F0869">
              <w:rPr>
                <w:bCs/>
                <w:color w:val="000000"/>
                <w:lang w:eastAsia="lt-LT"/>
              </w:rPr>
              <w:t xml:space="preserve">Registracijos data </w:t>
            </w:r>
          </w:p>
          <w:p w14:paraId="3A0DC096" w14:textId="77777777" w:rsidR="007F0869" w:rsidRPr="007F0869" w:rsidRDefault="007F0869" w:rsidP="007F0869">
            <w:pPr>
              <w:rPr>
                <w:bCs/>
                <w:color w:val="000000"/>
                <w:lang w:eastAsia="lt-LT"/>
              </w:rPr>
            </w:pPr>
          </w:p>
        </w:tc>
        <w:tc>
          <w:tcPr>
            <w:tcW w:w="5167" w:type="dxa"/>
          </w:tcPr>
          <w:p w14:paraId="3CA218AD" w14:textId="3F76D5D7" w:rsidR="007F0869" w:rsidRPr="007F0869" w:rsidRDefault="00A36797" w:rsidP="007F0869">
            <w:pPr>
              <w:rPr>
                <w:rStyle w:val="Style2"/>
                <w:sz w:val="24"/>
              </w:rPr>
            </w:pPr>
            <w:sdt>
              <w:sdtPr>
                <w:rPr>
                  <w:sz w:val="32"/>
                </w:rPr>
                <w:alias w:val="Nurodykite konkrečią dieną"/>
                <w:tag w:val="Nurodykite pradžios datą"/>
                <w:id w:val="423238108"/>
                <w:placeholder>
                  <w:docPart w:val="19A872DFFF9746FA9C54F3ACCF3B7266"/>
                </w:placeholder>
                <w:date>
                  <w:dateFormat w:val="yyyy 'm.' MMMM d 'd.'"/>
                  <w:lid w:val="lt-LT"/>
                  <w:storeMappedDataAs w:val="dateTime"/>
                  <w:calendar w:val="gregorian"/>
                </w:date>
              </w:sdtPr>
              <w:sdtEndPr>
                <w:rPr>
                  <w:sz w:val="24"/>
                </w:rPr>
              </w:sdtEndPr>
              <w:sdtContent>
                <w:r w:rsidR="007F0869" w:rsidRPr="007F0869">
                  <w:t>2016 m. gruodžio 4 d.</w:t>
                </w:r>
              </w:sdtContent>
            </w:sdt>
          </w:p>
        </w:tc>
      </w:tr>
      <w:tr w:rsidR="00B13D65" w:rsidRPr="007F0869" w14:paraId="15968AE1" w14:textId="77777777" w:rsidTr="00BE7489">
        <w:trPr>
          <w:trHeight w:val="1500"/>
        </w:trPr>
        <w:tc>
          <w:tcPr>
            <w:tcW w:w="632" w:type="dxa"/>
          </w:tcPr>
          <w:p w14:paraId="6A784245" w14:textId="1E461489" w:rsidR="00B13D65" w:rsidRPr="007F0869" w:rsidRDefault="002E0702" w:rsidP="00824B92">
            <w:pPr>
              <w:rPr>
                <w:rFonts w:eastAsia="Arial"/>
              </w:rPr>
            </w:pPr>
            <w:r w:rsidRPr="007F0869">
              <w:rPr>
                <w:rFonts w:eastAsia="Arial"/>
              </w:rPr>
              <w:t>1.3</w:t>
            </w:r>
          </w:p>
        </w:tc>
        <w:tc>
          <w:tcPr>
            <w:tcW w:w="3694" w:type="dxa"/>
          </w:tcPr>
          <w:p w14:paraId="22933506" w14:textId="77777777" w:rsidR="00B13D65" w:rsidRPr="007F0869" w:rsidRDefault="00B13D65" w:rsidP="00824B92">
            <w:r w:rsidRPr="007F0869">
              <w:t xml:space="preserve">Paraiškos tipas </w:t>
            </w:r>
          </w:p>
          <w:p w14:paraId="0465E680" w14:textId="7F0A0714" w:rsidR="00B13D65" w:rsidRPr="007F0869" w:rsidRDefault="00B13D65" w:rsidP="00824B92">
            <w:r w:rsidRPr="007F0869">
              <w:t>(</w:t>
            </w:r>
            <w:r w:rsidR="00695CD3" w:rsidRPr="007F0869">
              <w:t xml:space="preserve">pagal </w:t>
            </w:r>
            <w:r w:rsidR="0039696E" w:rsidRPr="007F0869">
              <w:rPr>
                <w:color w:val="333333"/>
                <w:shd w:val="clear" w:color="auto" w:fill="FFFFFF"/>
              </w:rPr>
              <w:t>vaistinio preparato registracijos tipą, įtvirtintą</w:t>
            </w:r>
            <w:r w:rsidR="0039696E" w:rsidRPr="007F0869">
              <w:t xml:space="preserve"> </w:t>
            </w:r>
            <w:r w:rsidRPr="007F0869">
              <w:t>Direktyv</w:t>
            </w:r>
            <w:r w:rsidR="00695CD3" w:rsidRPr="007F0869">
              <w:t>os</w:t>
            </w:r>
            <w:r w:rsidRPr="007F0869">
              <w:t xml:space="preserve"> 2001/83/EB</w:t>
            </w:r>
            <w:r w:rsidR="00695CD3" w:rsidRPr="007F0869">
              <w:t xml:space="preserve"> </w:t>
            </w:r>
            <w:proofErr w:type="spellStart"/>
            <w:r w:rsidR="00695CD3" w:rsidRPr="007F0869">
              <w:t>straips</w:t>
            </w:r>
            <w:r w:rsidR="0039696E" w:rsidRPr="007F0869">
              <w:t>iuose</w:t>
            </w:r>
            <w:proofErr w:type="spellEnd"/>
            <w:r w:rsidRPr="007F0869">
              <w:t>)</w:t>
            </w:r>
          </w:p>
          <w:p w14:paraId="77089D80" w14:textId="6681D72A" w:rsidR="00B13D65" w:rsidRPr="007F0869" w:rsidRDefault="00B13D65" w:rsidP="00824B92">
            <w:pPr>
              <w:rPr>
                <w:bCs/>
                <w:color w:val="000000"/>
                <w:lang w:eastAsia="lt-LT"/>
              </w:rPr>
            </w:pPr>
          </w:p>
        </w:tc>
        <w:tc>
          <w:tcPr>
            <w:tcW w:w="5167" w:type="dxa"/>
          </w:tcPr>
          <w:p w14:paraId="208F40EC" w14:textId="264BDD67" w:rsidR="00B13D65" w:rsidRPr="007F0869" w:rsidRDefault="00A36797" w:rsidP="00824B92">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7F0869" w:rsidRPr="007F0869">
                  <w:rPr>
                    <w:rStyle w:val="Style2"/>
                    <w:rFonts w:ascii="Segoe UI Symbol" w:eastAsia="MS Gothic" w:hAnsi="Segoe UI Symbol" w:cs="Segoe UI Symbol"/>
                    <w:sz w:val="24"/>
                  </w:rPr>
                  <w:t>☒</w:t>
                </w:r>
              </w:sdtContent>
            </w:sdt>
            <w:r w:rsidR="00B13D65" w:rsidRPr="007F0869">
              <w:t xml:space="preserve">8.3 str. (pilna byla, pagrįsta savais tyrimais) </w:t>
            </w:r>
          </w:p>
          <w:p w14:paraId="32BA564E" w14:textId="3EEA41F0" w:rsidR="00B13D65" w:rsidRPr="007F0869" w:rsidRDefault="00A36797" w:rsidP="00824B92">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7F0869" w:rsidRPr="007F0869">
                  <w:rPr>
                    <w:rStyle w:val="Style2"/>
                    <w:rFonts w:ascii="Segoe UI Symbol" w:eastAsia="MS Gothic" w:hAnsi="Segoe UI Symbol" w:cs="Segoe UI Symbol"/>
                    <w:sz w:val="24"/>
                  </w:rPr>
                  <w:t>☐</w:t>
                </w:r>
              </w:sdtContent>
            </w:sdt>
            <w:r w:rsidR="00B13D65" w:rsidRPr="007F0869">
              <w:t xml:space="preserve">10 a str. (pripažintas medicininis vartojimas) </w:t>
            </w:r>
          </w:p>
          <w:p w14:paraId="318DCD7F" w14:textId="610ED61D" w:rsidR="00B13D65" w:rsidRPr="007F0869" w:rsidRDefault="00A36797" w:rsidP="00824B92">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7F0869" w:rsidRPr="007F0869">
                  <w:rPr>
                    <w:rStyle w:val="Style2"/>
                    <w:rFonts w:ascii="Segoe UI Symbol" w:eastAsia="MS Gothic" w:hAnsi="Segoe UI Symbol" w:cs="Segoe UI Symbol"/>
                    <w:sz w:val="24"/>
                  </w:rPr>
                  <w:t>☐</w:t>
                </w:r>
              </w:sdtContent>
            </w:sdt>
            <w:r w:rsidR="00B13D65" w:rsidRPr="007F0869">
              <w:t>10.1 str. (</w:t>
            </w:r>
            <w:proofErr w:type="spellStart"/>
            <w:r w:rsidR="00B13D65" w:rsidRPr="007F0869">
              <w:t>generinis</w:t>
            </w:r>
            <w:proofErr w:type="spellEnd"/>
            <w:r w:rsidR="00B13D65" w:rsidRPr="007F0869">
              <w:t>)</w:t>
            </w:r>
          </w:p>
          <w:p w14:paraId="3B0A4F72" w14:textId="4944133B" w:rsidR="00B13D65" w:rsidRPr="007F0869" w:rsidRDefault="00A36797"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7F0869" w:rsidRPr="007F0869">
                  <w:rPr>
                    <w:rStyle w:val="Style2"/>
                    <w:rFonts w:ascii="Segoe UI Symbol" w:eastAsia="MS Gothic" w:hAnsi="Segoe UI Symbol" w:cs="Segoe UI Symbol"/>
                    <w:sz w:val="24"/>
                  </w:rPr>
                  <w:t>☐</w:t>
                </w:r>
              </w:sdtContent>
            </w:sdt>
            <w:r w:rsidR="00B13D65" w:rsidRPr="007F0869">
              <w:t>10.3 str. (hibridinis)</w:t>
            </w:r>
          </w:p>
        </w:tc>
      </w:tr>
      <w:tr w:rsidR="00B13D65" w:rsidRPr="007F0869" w14:paraId="310E9662" w14:textId="77777777" w:rsidTr="007F0869">
        <w:trPr>
          <w:trHeight w:val="96"/>
        </w:trPr>
        <w:tc>
          <w:tcPr>
            <w:tcW w:w="632" w:type="dxa"/>
          </w:tcPr>
          <w:p w14:paraId="4B5A91A2" w14:textId="561B5E5F" w:rsidR="00B13D65" w:rsidRPr="007F0869" w:rsidRDefault="00B13D65" w:rsidP="00824B92">
            <w:pPr>
              <w:rPr>
                <w:rFonts w:eastAsia="Arial"/>
              </w:rPr>
            </w:pPr>
            <w:r w:rsidRPr="007F0869">
              <w:rPr>
                <w:rFonts w:eastAsia="Arial"/>
              </w:rPr>
              <w:t>1.</w:t>
            </w:r>
            <w:r w:rsidR="002E0702" w:rsidRPr="007F0869">
              <w:rPr>
                <w:rFonts w:eastAsia="Arial"/>
              </w:rPr>
              <w:t>4</w:t>
            </w:r>
          </w:p>
        </w:tc>
        <w:tc>
          <w:tcPr>
            <w:tcW w:w="3694" w:type="dxa"/>
          </w:tcPr>
          <w:p w14:paraId="483071A3" w14:textId="2C9E3345" w:rsidR="00B13D65" w:rsidRPr="007F0869" w:rsidRDefault="00B13D65" w:rsidP="00824B92">
            <w:pPr>
              <w:rPr>
                <w:bCs/>
                <w:color w:val="000000"/>
                <w:lang w:eastAsia="lt-LT"/>
              </w:rPr>
            </w:pPr>
            <w:r w:rsidRPr="007F0869">
              <w:rPr>
                <w:bCs/>
                <w:color w:val="000000"/>
                <w:lang w:eastAsia="lt-LT"/>
              </w:rPr>
              <w:t xml:space="preserve">Ar vaistinis preparatas įrašytas į Bendrijos retųjų vaistinių preparatų registrą? </w:t>
            </w:r>
          </w:p>
        </w:tc>
        <w:tc>
          <w:tcPr>
            <w:tcW w:w="5167" w:type="dxa"/>
          </w:tcPr>
          <w:p w14:paraId="05845C60" w14:textId="10CF4033" w:rsidR="00B13D65" w:rsidRPr="007F0869" w:rsidRDefault="00A36797"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7F0869">
                  <w:rPr>
                    <w:rStyle w:val="Style2"/>
                    <w:rFonts w:ascii="Segoe UI Symbol" w:eastAsia="MS Gothic" w:hAnsi="Segoe UI Symbol" w:cs="Segoe UI Symbol"/>
                    <w:sz w:val="24"/>
                  </w:rPr>
                  <w:t>☐</w:t>
                </w:r>
              </w:sdtContent>
            </w:sdt>
            <w:r w:rsidR="00B13D65" w:rsidRPr="007F0869">
              <w:t xml:space="preserve"> Taip</w:t>
            </w:r>
          </w:p>
          <w:p w14:paraId="41D88067" w14:textId="02D084B5" w:rsidR="00B13D65" w:rsidRPr="007F0869" w:rsidRDefault="00A36797"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7F0869" w:rsidRPr="007F0869">
                  <w:rPr>
                    <w:rStyle w:val="Style2"/>
                    <w:rFonts w:ascii="Segoe UI Symbol" w:eastAsia="MS Gothic" w:hAnsi="Segoe UI Symbol" w:cs="Segoe UI Symbol"/>
                    <w:sz w:val="24"/>
                  </w:rPr>
                  <w:t>☒</w:t>
                </w:r>
              </w:sdtContent>
            </w:sdt>
            <w:r w:rsidR="00B13D65" w:rsidRPr="007F0869">
              <w:t xml:space="preserve"> Ne</w:t>
            </w:r>
          </w:p>
          <w:p w14:paraId="29C2CBBB" w14:textId="77777777" w:rsidR="00B13D65" w:rsidRPr="007F0869" w:rsidRDefault="00A36797"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7F0869">
                  <w:rPr>
                    <w:rStyle w:val="PlaceholderText"/>
                  </w:rPr>
                  <w:t>Click here to enter a date.</w:t>
                </w:r>
              </w:sdtContent>
            </w:sdt>
          </w:p>
        </w:tc>
      </w:tr>
      <w:tr w:rsidR="00D417D2" w:rsidRPr="007F0869" w14:paraId="7841E5F8" w14:textId="77777777" w:rsidTr="00BE7489">
        <w:trPr>
          <w:trHeight w:val="476"/>
        </w:trPr>
        <w:tc>
          <w:tcPr>
            <w:tcW w:w="632" w:type="dxa"/>
          </w:tcPr>
          <w:p w14:paraId="109D2861" w14:textId="73BF27DF" w:rsidR="00D417D2" w:rsidRPr="007F0869" w:rsidRDefault="00D417D2" w:rsidP="00824B92">
            <w:pPr>
              <w:rPr>
                <w:rFonts w:eastAsia="Arial"/>
              </w:rPr>
            </w:pPr>
            <w:r w:rsidRPr="007F0869">
              <w:rPr>
                <w:rFonts w:eastAsia="Arial"/>
              </w:rPr>
              <w:t>1.5</w:t>
            </w:r>
          </w:p>
        </w:tc>
        <w:tc>
          <w:tcPr>
            <w:tcW w:w="3694" w:type="dxa"/>
          </w:tcPr>
          <w:p w14:paraId="7822D63E" w14:textId="68C38334" w:rsidR="00D417D2" w:rsidRPr="007F0869" w:rsidRDefault="00D417D2" w:rsidP="00824B92">
            <w:pPr>
              <w:rPr>
                <w:bCs/>
                <w:color w:val="000000"/>
                <w:lang w:eastAsia="lt-LT"/>
              </w:rPr>
            </w:pPr>
            <w:r w:rsidRPr="007F0869">
              <w:t>STV paraiškos pobūdis</w:t>
            </w:r>
          </w:p>
        </w:tc>
        <w:tc>
          <w:tcPr>
            <w:tcW w:w="5167" w:type="dxa"/>
          </w:tcPr>
          <w:p w14:paraId="403461B9" w14:textId="77777777" w:rsidR="00D417D2" w:rsidRPr="007F0869" w:rsidRDefault="00A36797" w:rsidP="00824B92">
            <w:sdt>
              <w:sdtPr>
                <w:rPr>
                  <w:rStyle w:val="Style2"/>
                  <w:sz w:val="24"/>
                </w:rPr>
                <w:id w:val="-468433535"/>
                <w15:color w:val="FFCC00"/>
                <w14:checkbox>
                  <w14:checked w14:val="0"/>
                  <w14:checkedState w14:val="2612" w14:font="MS Gothic"/>
                  <w14:uncheckedState w14:val="2610" w14:font="MS Gothic"/>
                </w14:checkbox>
              </w:sdtPr>
              <w:sdtEndPr>
                <w:rPr>
                  <w:rStyle w:val="Style2"/>
                </w:rPr>
              </w:sdtEndPr>
              <w:sdtContent>
                <w:r w:rsidR="00D417D2" w:rsidRPr="007F0869">
                  <w:rPr>
                    <w:rStyle w:val="Style2"/>
                    <w:rFonts w:ascii="Segoe UI Symbol" w:eastAsia="MS Gothic" w:hAnsi="Segoe UI Symbol" w:cs="Segoe UI Symbol"/>
                    <w:sz w:val="24"/>
                  </w:rPr>
                  <w:t>☐</w:t>
                </w:r>
              </w:sdtContent>
            </w:sdt>
            <w:r w:rsidR="00D417D2" w:rsidRPr="007F0869">
              <w:t xml:space="preserve"> Pilna paraiška</w:t>
            </w:r>
          </w:p>
          <w:p w14:paraId="6B8213E3" w14:textId="3495CDF4" w:rsidR="00D417D2" w:rsidRPr="007F0869" w:rsidRDefault="00A36797"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7F0869">
                  <w:rPr>
                    <w:rStyle w:val="Style2"/>
                    <w:rFonts w:ascii="Segoe UI Symbol" w:eastAsia="MS Gothic" w:hAnsi="Segoe UI Symbol" w:cs="Segoe UI Symbol"/>
                    <w:sz w:val="24"/>
                  </w:rPr>
                  <w:t>☐</w:t>
                </w:r>
              </w:sdtContent>
            </w:sdt>
            <w:r w:rsidR="00D417D2" w:rsidRPr="007F0869">
              <w:t xml:space="preserve"> Supaprastinta paraiška</w:t>
            </w:r>
          </w:p>
        </w:tc>
      </w:tr>
      <w:tr w:rsidR="007F0869" w:rsidRPr="007F0869" w14:paraId="274D1DAF" w14:textId="77777777" w:rsidTr="00BE7489">
        <w:trPr>
          <w:trHeight w:val="1922"/>
        </w:trPr>
        <w:tc>
          <w:tcPr>
            <w:tcW w:w="632" w:type="dxa"/>
          </w:tcPr>
          <w:p w14:paraId="17ABF217" w14:textId="14AC00D7" w:rsidR="007F0869" w:rsidRPr="007F0869" w:rsidRDefault="007F0869" w:rsidP="007F0869">
            <w:pPr>
              <w:rPr>
                <w:rFonts w:eastAsia="Arial"/>
              </w:rPr>
            </w:pPr>
            <w:r w:rsidRPr="007F0869">
              <w:rPr>
                <w:rFonts w:eastAsia="Arial"/>
              </w:rPr>
              <w:t>1.6</w:t>
            </w:r>
          </w:p>
        </w:tc>
        <w:tc>
          <w:tcPr>
            <w:tcW w:w="3694" w:type="dxa"/>
          </w:tcPr>
          <w:p w14:paraId="4D49DBF5" w14:textId="77777777" w:rsidR="007F0869" w:rsidRPr="007F0869" w:rsidRDefault="007F0869" w:rsidP="007F0869">
            <w:pPr>
              <w:rPr>
                <w:bCs/>
                <w:color w:val="000000"/>
                <w:lang w:eastAsia="lt-LT"/>
              </w:rPr>
            </w:pPr>
            <w:r w:rsidRPr="007F0869">
              <w:rPr>
                <w:bCs/>
                <w:color w:val="000000"/>
                <w:lang w:eastAsia="lt-LT"/>
              </w:rPr>
              <w:t>Pareiškėjo teikiama (-</w:t>
            </w:r>
            <w:proofErr w:type="spellStart"/>
            <w:r w:rsidRPr="007F0869">
              <w:rPr>
                <w:bCs/>
                <w:color w:val="000000"/>
                <w:lang w:eastAsia="lt-LT"/>
              </w:rPr>
              <w:t>os</w:t>
            </w:r>
            <w:proofErr w:type="spellEnd"/>
            <w:r w:rsidRPr="007F0869">
              <w:rPr>
                <w:bCs/>
                <w:color w:val="000000"/>
                <w:lang w:eastAsia="lt-LT"/>
              </w:rPr>
              <w:t>) kompensuoti vaistinio preparato indikacija (-</w:t>
            </w:r>
            <w:proofErr w:type="spellStart"/>
            <w:r w:rsidRPr="007F0869">
              <w:rPr>
                <w:bCs/>
                <w:color w:val="000000"/>
                <w:lang w:eastAsia="lt-LT"/>
              </w:rPr>
              <w:t>os</w:t>
            </w:r>
            <w:proofErr w:type="spellEnd"/>
            <w:r w:rsidRPr="007F0869">
              <w:rPr>
                <w:bCs/>
                <w:color w:val="000000"/>
                <w:lang w:eastAsia="lt-LT"/>
              </w:rPr>
              <w:t>)</w:t>
            </w:r>
          </w:p>
          <w:p w14:paraId="3FB07EE5" w14:textId="77777777" w:rsidR="007F0869" w:rsidRPr="007F0869" w:rsidRDefault="007F0869" w:rsidP="007F0869">
            <w:pPr>
              <w:rPr>
                <w:bCs/>
                <w:color w:val="000000"/>
                <w:lang w:eastAsia="lt-LT"/>
              </w:rPr>
            </w:pPr>
          </w:p>
          <w:p w14:paraId="3A6B054C" w14:textId="77777777" w:rsidR="007F0869" w:rsidRPr="007F0869" w:rsidRDefault="007F0869" w:rsidP="007F0869">
            <w:pPr>
              <w:rPr>
                <w:bCs/>
                <w:color w:val="000000"/>
                <w:lang w:eastAsia="lt-LT"/>
              </w:rPr>
            </w:pPr>
          </w:p>
          <w:p w14:paraId="6B4FEEC1" w14:textId="378668B0" w:rsidR="007F0869" w:rsidRPr="007F0869" w:rsidRDefault="007F0869" w:rsidP="007F0869">
            <w:pPr>
              <w:rPr>
                <w:bCs/>
                <w:color w:val="000000"/>
                <w:lang w:eastAsia="lt-LT"/>
              </w:rPr>
            </w:pPr>
            <w:r w:rsidRPr="007F0869">
              <w:rPr>
                <w:bCs/>
                <w:color w:val="000000"/>
                <w:lang w:eastAsia="lt-LT"/>
              </w:rPr>
              <w:t>Kodas pagal TLK-10 AM</w:t>
            </w:r>
          </w:p>
        </w:tc>
        <w:tc>
          <w:tcPr>
            <w:tcW w:w="5167" w:type="dxa"/>
          </w:tcPr>
          <w:p w14:paraId="29AE2AB2" w14:textId="77777777" w:rsidR="007F0869" w:rsidRPr="00C97239" w:rsidRDefault="007F0869" w:rsidP="007F0869">
            <w:pPr>
              <w:pStyle w:val="Default"/>
              <w:jc w:val="both"/>
              <w:rPr>
                <w:rFonts w:ascii="Times New Roman" w:hAnsi="Times New Roman" w:cs="Times New Roman"/>
                <w:color w:val="auto"/>
                <w:szCs w:val="20"/>
              </w:rPr>
            </w:pPr>
            <w:proofErr w:type="spellStart"/>
            <w:r w:rsidRPr="00C97239">
              <w:rPr>
                <w:rFonts w:ascii="Times New Roman" w:hAnsi="Times New Roman" w:cs="Times New Roman"/>
                <w:color w:val="auto"/>
                <w:szCs w:val="20"/>
              </w:rPr>
              <w:t>Venclyxto</w:t>
            </w:r>
            <w:proofErr w:type="spellEnd"/>
            <w:r w:rsidRPr="00C97239">
              <w:rPr>
                <w:rFonts w:ascii="Times New Roman" w:hAnsi="Times New Roman" w:cs="Times New Roman"/>
                <w:color w:val="auto"/>
                <w:szCs w:val="20"/>
              </w:rPr>
              <w:t xml:space="preserve"> derinyje su </w:t>
            </w:r>
            <w:proofErr w:type="spellStart"/>
            <w:r w:rsidRPr="00C97239">
              <w:rPr>
                <w:rFonts w:ascii="Times New Roman" w:hAnsi="Times New Roman" w:cs="Times New Roman"/>
                <w:color w:val="auto"/>
                <w:szCs w:val="20"/>
              </w:rPr>
              <w:t>hipometilinančiu</w:t>
            </w:r>
            <w:proofErr w:type="spellEnd"/>
            <w:r w:rsidRPr="00C97239">
              <w:rPr>
                <w:rFonts w:ascii="Times New Roman" w:hAnsi="Times New Roman" w:cs="Times New Roman"/>
                <w:color w:val="auto"/>
                <w:szCs w:val="20"/>
              </w:rPr>
              <w:t xml:space="preserve"> vaistiniu preparatu yra skirtas suaugusių pacientų, sergančių naujai diagnozuota ūmine </w:t>
            </w:r>
            <w:proofErr w:type="spellStart"/>
            <w:r w:rsidRPr="00C97239">
              <w:rPr>
                <w:rFonts w:ascii="Times New Roman" w:hAnsi="Times New Roman" w:cs="Times New Roman"/>
                <w:color w:val="auto"/>
                <w:szCs w:val="20"/>
              </w:rPr>
              <w:t>mieloidine</w:t>
            </w:r>
            <w:proofErr w:type="spellEnd"/>
            <w:r w:rsidRPr="00C97239">
              <w:rPr>
                <w:rFonts w:ascii="Times New Roman" w:hAnsi="Times New Roman" w:cs="Times New Roman"/>
                <w:color w:val="auto"/>
                <w:szCs w:val="20"/>
              </w:rPr>
              <w:t xml:space="preserve"> leukemija (ŪML), kuriems netinka intensyvi chemoterapija, gydymui. </w:t>
            </w:r>
          </w:p>
          <w:p w14:paraId="19A8A91C" w14:textId="77777777" w:rsidR="007F0869" w:rsidRPr="00C97239" w:rsidRDefault="007F0869" w:rsidP="007F0869">
            <w:pPr>
              <w:pStyle w:val="Default"/>
              <w:jc w:val="both"/>
              <w:rPr>
                <w:rFonts w:ascii="Times New Roman" w:hAnsi="Times New Roman" w:cs="Times New Roman"/>
                <w:color w:val="auto"/>
                <w:szCs w:val="20"/>
              </w:rPr>
            </w:pPr>
          </w:p>
          <w:p w14:paraId="13F7DFB0" w14:textId="766C64B8" w:rsidR="007F0869" w:rsidRPr="007F0869" w:rsidRDefault="007F0869" w:rsidP="007F0869">
            <w:r w:rsidRPr="00C97239">
              <w:rPr>
                <w:szCs w:val="20"/>
              </w:rPr>
              <w:t>TLK kodas – C92.0</w:t>
            </w:r>
          </w:p>
        </w:tc>
      </w:tr>
      <w:tr w:rsidR="007F0869" w:rsidRPr="007F0869" w14:paraId="2F79DC08" w14:textId="77777777" w:rsidTr="00BE7489">
        <w:trPr>
          <w:trHeight w:val="378"/>
        </w:trPr>
        <w:tc>
          <w:tcPr>
            <w:tcW w:w="632" w:type="dxa"/>
          </w:tcPr>
          <w:p w14:paraId="547885A2" w14:textId="08AA8055" w:rsidR="007F0869" w:rsidRPr="007F0869" w:rsidRDefault="007F0869" w:rsidP="007F0869">
            <w:pPr>
              <w:rPr>
                <w:rFonts w:eastAsia="Arial"/>
              </w:rPr>
            </w:pPr>
            <w:r w:rsidRPr="007F0869">
              <w:rPr>
                <w:rFonts w:eastAsia="Arial"/>
              </w:rPr>
              <w:t>1.6</w:t>
            </w:r>
          </w:p>
        </w:tc>
        <w:tc>
          <w:tcPr>
            <w:tcW w:w="3694" w:type="dxa"/>
          </w:tcPr>
          <w:p w14:paraId="2EAB877F" w14:textId="39A36941" w:rsidR="007F0869" w:rsidRPr="007F0869" w:rsidRDefault="007F0869" w:rsidP="007F0869">
            <w:pPr>
              <w:rPr>
                <w:bCs/>
                <w:color w:val="000000"/>
                <w:u w:val="single"/>
                <w:lang w:eastAsia="lt-LT"/>
              </w:rPr>
            </w:pPr>
            <w:r w:rsidRPr="007F0869">
              <w:rPr>
                <w:bCs/>
                <w:color w:val="000000"/>
                <w:lang w:eastAsia="lt-LT"/>
              </w:rPr>
              <w:t xml:space="preserve">Pareiškėjo teikiamos skyrimo sąlygos </w:t>
            </w:r>
          </w:p>
        </w:tc>
        <w:tc>
          <w:tcPr>
            <w:tcW w:w="5167" w:type="dxa"/>
          </w:tcPr>
          <w:p w14:paraId="0579DF58" w14:textId="3760E6F9" w:rsidR="007F0869" w:rsidRPr="007F0869" w:rsidRDefault="007F0869" w:rsidP="007F0869">
            <w:r w:rsidRPr="00C97239">
              <w:rPr>
                <w:szCs w:val="20"/>
              </w:rPr>
              <w:t>Papildomų skyrimo sąlygų Pareiškėjas nesiūlo.</w:t>
            </w:r>
          </w:p>
        </w:tc>
      </w:tr>
      <w:tr w:rsidR="00B13D65" w:rsidRPr="007F0869" w14:paraId="3B125269" w14:textId="77777777" w:rsidTr="00BE7489">
        <w:trPr>
          <w:trHeight w:val="378"/>
        </w:trPr>
        <w:tc>
          <w:tcPr>
            <w:tcW w:w="632" w:type="dxa"/>
          </w:tcPr>
          <w:p w14:paraId="0058E11F" w14:textId="77777777" w:rsidR="00B13D65" w:rsidRPr="007F0869" w:rsidRDefault="00B13D65" w:rsidP="00824B92">
            <w:pPr>
              <w:rPr>
                <w:rFonts w:eastAsia="Arial"/>
              </w:rPr>
            </w:pPr>
            <w:r w:rsidRPr="007F0869">
              <w:rPr>
                <w:rFonts w:eastAsia="Arial"/>
              </w:rPr>
              <w:t>1.7</w:t>
            </w:r>
          </w:p>
        </w:tc>
        <w:tc>
          <w:tcPr>
            <w:tcW w:w="3694" w:type="dxa"/>
          </w:tcPr>
          <w:p w14:paraId="738E1926" w14:textId="77777777" w:rsidR="00B13D65" w:rsidRPr="007F0869" w:rsidRDefault="007656B2" w:rsidP="00824B92">
            <w:pPr>
              <w:rPr>
                <w:bCs/>
                <w:color w:val="000000"/>
                <w:lang w:eastAsia="lt-LT"/>
              </w:rPr>
            </w:pPr>
            <w:r w:rsidRPr="007F0869">
              <w:rPr>
                <w:bCs/>
                <w:color w:val="000000"/>
                <w:lang w:eastAsia="lt-LT"/>
              </w:rPr>
              <w:t>Pareiškėjo teikiamas p</w:t>
            </w:r>
            <w:r w:rsidR="00B13D65" w:rsidRPr="007F0869">
              <w:rPr>
                <w:bCs/>
                <w:color w:val="000000"/>
                <w:lang w:eastAsia="lt-LT"/>
              </w:rPr>
              <w:t>alyginamasis</w:t>
            </w:r>
            <w:r w:rsidR="005B3756" w:rsidRPr="007F0869">
              <w:rPr>
                <w:bCs/>
                <w:color w:val="000000"/>
                <w:lang w:eastAsia="lt-LT"/>
              </w:rPr>
              <w:t xml:space="preserve"> </w:t>
            </w:r>
            <w:r w:rsidR="00B13D65" w:rsidRPr="007F0869">
              <w:rPr>
                <w:bCs/>
                <w:color w:val="000000"/>
                <w:lang w:eastAsia="lt-LT"/>
              </w:rPr>
              <w:t xml:space="preserve">gydymas </w:t>
            </w:r>
          </w:p>
          <w:p w14:paraId="61EC5BBD" w14:textId="7A8BD8B4" w:rsidR="009F4D66" w:rsidRPr="007F0869" w:rsidRDefault="009F4D66" w:rsidP="00824B92">
            <w:pPr>
              <w:rPr>
                <w:bCs/>
                <w:color w:val="000000"/>
                <w:lang w:eastAsia="lt-LT"/>
              </w:rPr>
            </w:pPr>
          </w:p>
          <w:p w14:paraId="62057D94" w14:textId="77777777" w:rsidR="00413F24" w:rsidRPr="007F0869" w:rsidRDefault="00413F24" w:rsidP="00824B92">
            <w:pPr>
              <w:rPr>
                <w:bCs/>
                <w:color w:val="000000"/>
                <w:lang w:eastAsia="lt-LT"/>
              </w:rPr>
            </w:pPr>
          </w:p>
          <w:p w14:paraId="6CC1022E" w14:textId="2B6BCEE1" w:rsidR="009F4D66" w:rsidRPr="007F0869" w:rsidRDefault="009F4D66" w:rsidP="00824B92">
            <w:pPr>
              <w:rPr>
                <w:bCs/>
                <w:color w:val="000000"/>
                <w:lang w:eastAsia="lt-LT"/>
              </w:rPr>
            </w:pPr>
          </w:p>
        </w:tc>
        <w:tc>
          <w:tcPr>
            <w:tcW w:w="5167" w:type="dxa"/>
          </w:tcPr>
          <w:p w14:paraId="1F113AC0" w14:textId="32282641" w:rsidR="009F4D66" w:rsidRPr="007F0869" w:rsidRDefault="00A36797"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7F0869">
                  <w:rPr>
                    <w:rStyle w:val="Style2"/>
                    <w:rFonts w:ascii="MS Gothic" w:eastAsia="MS Gothic" w:hAnsi="MS Gothic" w:hint="eastAsia"/>
                    <w:sz w:val="24"/>
                  </w:rPr>
                  <w:t>☒</w:t>
                </w:r>
              </w:sdtContent>
            </w:sdt>
            <w:r w:rsidR="009F4D66" w:rsidRPr="007F0869">
              <w:t xml:space="preserve"> Tinkamas</w:t>
            </w:r>
          </w:p>
          <w:p w14:paraId="41B44044" w14:textId="199BD9DF" w:rsidR="00B13D65" w:rsidRPr="007F0869" w:rsidRDefault="00A36797"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9F4D66" w:rsidRPr="007F0869">
                  <w:rPr>
                    <w:rStyle w:val="Style2"/>
                    <w:rFonts w:ascii="Segoe UI Symbol" w:eastAsia="MS Gothic" w:hAnsi="Segoe UI Symbol" w:cs="Segoe UI Symbol"/>
                    <w:sz w:val="24"/>
                  </w:rPr>
                  <w:t>☐</w:t>
                </w:r>
              </w:sdtContent>
            </w:sdt>
            <w:r w:rsidR="009F4D66" w:rsidRPr="007F0869">
              <w:t xml:space="preserve"> Netinkama</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855"/>
        <w:gridCol w:w="1851"/>
        <w:gridCol w:w="2244"/>
        <w:gridCol w:w="2543"/>
      </w:tblGrid>
      <w:tr w:rsidR="00F70C9E" w:rsidRPr="00E33EFF" w14:paraId="7E72828B" w14:textId="77777777" w:rsidTr="00BE7489">
        <w:trPr>
          <w:trHeight w:val="924"/>
        </w:trPr>
        <w:tc>
          <w:tcPr>
            <w:tcW w:w="2855" w:type="dxa"/>
          </w:tcPr>
          <w:p w14:paraId="253D1DD4" w14:textId="5B2616C0" w:rsidR="00F70C9E" w:rsidRPr="00E33EFF" w:rsidRDefault="00F70C9E" w:rsidP="007F0869">
            <w:pPr>
              <w:jc w:val="cente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7F0869">
            <w:pPr>
              <w:jc w:val="center"/>
              <w:rPr>
                <w:rFonts w:eastAsia="Arial"/>
              </w:rPr>
            </w:pPr>
            <w:r w:rsidRPr="00E33EFF">
              <w:rPr>
                <w:rFonts w:eastAsia="Arial"/>
              </w:rPr>
              <w:t>STV vertinimas atliktas</w:t>
            </w:r>
          </w:p>
        </w:tc>
        <w:tc>
          <w:tcPr>
            <w:tcW w:w="2244" w:type="dxa"/>
          </w:tcPr>
          <w:p w14:paraId="16E2DDC1" w14:textId="77777777" w:rsidR="00F70C9E" w:rsidRPr="00E33EFF" w:rsidRDefault="00F70C9E" w:rsidP="007F0869">
            <w:pPr>
              <w:jc w:val="center"/>
              <w:rPr>
                <w:rFonts w:eastAsia="Arial"/>
              </w:rPr>
            </w:pPr>
            <w:r w:rsidRPr="00E33EFF">
              <w:rPr>
                <w:rFonts w:eastAsia="Arial"/>
              </w:rPr>
              <w:t>Klinikinio vertinimo išvada</w:t>
            </w:r>
          </w:p>
        </w:tc>
        <w:tc>
          <w:tcPr>
            <w:tcW w:w="2543" w:type="dxa"/>
          </w:tcPr>
          <w:p w14:paraId="1861E3F2" w14:textId="74803B5B" w:rsidR="00F70C9E" w:rsidRPr="00E33EFF" w:rsidRDefault="00F70C9E" w:rsidP="007F0869">
            <w:pPr>
              <w:jc w:val="center"/>
              <w:rPr>
                <w:rFonts w:eastAsia="Arial"/>
              </w:rPr>
            </w:pPr>
            <w:proofErr w:type="spellStart"/>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w:t>
            </w:r>
            <w:proofErr w:type="spellEnd"/>
            <w:r w:rsidRPr="00E33EFF">
              <w:rPr>
                <w:rFonts w:eastAsia="Arial"/>
              </w:rPr>
              <w:t xml:space="preserve"> vertinimo išvada</w:t>
            </w:r>
          </w:p>
        </w:tc>
      </w:tr>
      <w:tr w:rsidR="007F0869" w:rsidRPr="00E33EFF" w14:paraId="129FA8F6" w14:textId="77777777" w:rsidTr="007F0869">
        <w:trPr>
          <w:trHeight w:val="1130"/>
        </w:trPr>
        <w:tc>
          <w:tcPr>
            <w:tcW w:w="2855" w:type="dxa"/>
          </w:tcPr>
          <w:p w14:paraId="0F719220" w14:textId="77777777" w:rsidR="007F0869" w:rsidRPr="0008163E" w:rsidRDefault="007F0869" w:rsidP="007F0869">
            <w:pPr>
              <w:autoSpaceDE w:val="0"/>
              <w:autoSpaceDN w:val="0"/>
              <w:adjustRightInd w:val="0"/>
              <w:rPr>
                <w:bCs/>
              </w:rPr>
            </w:pPr>
            <w:r w:rsidRPr="0008163E">
              <w:rPr>
                <w:bCs/>
              </w:rPr>
              <w:t>Nacionalinis sveikatos ir klinikinės kompetencijos institutas, Didžioji Britanija</w:t>
            </w:r>
          </w:p>
          <w:p w14:paraId="49C6520D" w14:textId="12FF86A2" w:rsidR="007F0869" w:rsidRPr="00E33EFF" w:rsidRDefault="007F0869" w:rsidP="007F0869">
            <w:pPr>
              <w:rPr>
                <w:rFonts w:eastAsia="Arial"/>
                <w:lang w:val="en-GB"/>
              </w:rPr>
            </w:pPr>
            <w:r w:rsidRPr="0008163E">
              <w:rPr>
                <w:rFonts w:eastAsia="Arial"/>
              </w:rPr>
              <w:t xml:space="preserve">(angl. </w:t>
            </w:r>
            <w:proofErr w:type="spellStart"/>
            <w:r w:rsidRPr="0008163E">
              <w:rPr>
                <w:rFonts w:eastAsia="Arial"/>
                <w:i/>
              </w:rPr>
              <w:t>National</w:t>
            </w:r>
            <w:proofErr w:type="spellEnd"/>
            <w:r w:rsidRPr="0008163E">
              <w:rPr>
                <w:rFonts w:eastAsia="Arial"/>
                <w:i/>
              </w:rPr>
              <w:t xml:space="preserve"> Institute </w:t>
            </w:r>
            <w:proofErr w:type="spellStart"/>
            <w:r w:rsidRPr="0008163E">
              <w:rPr>
                <w:rFonts w:eastAsia="Arial"/>
                <w:i/>
              </w:rPr>
              <w:t>for</w:t>
            </w:r>
            <w:proofErr w:type="spellEnd"/>
            <w:r w:rsidRPr="0008163E">
              <w:rPr>
                <w:rFonts w:eastAsia="Arial"/>
                <w:i/>
              </w:rPr>
              <w:t xml:space="preserve"> </w:t>
            </w:r>
            <w:proofErr w:type="spellStart"/>
            <w:r w:rsidRPr="0008163E">
              <w:rPr>
                <w:rFonts w:eastAsia="Arial"/>
                <w:i/>
              </w:rPr>
              <w:t>Health</w:t>
            </w:r>
            <w:proofErr w:type="spellEnd"/>
            <w:r w:rsidRPr="0008163E">
              <w:rPr>
                <w:rFonts w:eastAsia="Arial"/>
                <w:i/>
              </w:rPr>
              <w:t xml:space="preserve"> </w:t>
            </w:r>
            <w:proofErr w:type="spellStart"/>
            <w:r w:rsidRPr="0008163E">
              <w:rPr>
                <w:rFonts w:eastAsia="Arial"/>
                <w:i/>
              </w:rPr>
              <w:t>and</w:t>
            </w:r>
            <w:proofErr w:type="spellEnd"/>
            <w:r w:rsidRPr="0008163E">
              <w:rPr>
                <w:rFonts w:eastAsia="Arial"/>
                <w:i/>
              </w:rPr>
              <w:t xml:space="preserve"> Care </w:t>
            </w:r>
            <w:proofErr w:type="spellStart"/>
            <w:r w:rsidRPr="0008163E">
              <w:rPr>
                <w:rFonts w:eastAsia="Arial"/>
                <w:i/>
              </w:rPr>
              <w:t>Excellence</w:t>
            </w:r>
            <w:proofErr w:type="spellEnd"/>
            <w:r w:rsidRPr="0008163E">
              <w:rPr>
                <w:rFonts w:eastAsia="Arial"/>
                <w:i/>
              </w:rPr>
              <w:t>, NICE</w:t>
            </w:r>
            <w:r w:rsidRPr="0008163E">
              <w:rPr>
                <w:rFonts w:eastAsia="Arial"/>
              </w:rPr>
              <w:t>)</w:t>
            </w:r>
          </w:p>
        </w:tc>
        <w:tc>
          <w:tcPr>
            <w:tcW w:w="1851" w:type="dxa"/>
          </w:tcPr>
          <w:p w14:paraId="7E01BDE4" w14:textId="77777777" w:rsidR="007F0869" w:rsidRPr="0008163E" w:rsidRDefault="00A36797" w:rsidP="007F0869">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7F0869" w:rsidRPr="0008163E">
                  <w:rPr>
                    <w:rStyle w:val="Style2"/>
                    <w:rFonts w:ascii="MS Gothic" w:eastAsia="MS Gothic" w:hAnsi="MS Gothic"/>
                  </w:rPr>
                  <w:t>☒</w:t>
                </w:r>
              </w:sdtContent>
            </w:sdt>
            <w:r w:rsidR="007F0869" w:rsidRPr="0008163E">
              <w:t xml:space="preserve"> Taip</w:t>
            </w:r>
          </w:p>
          <w:p w14:paraId="23DEE26B" w14:textId="77777777" w:rsidR="007F0869" w:rsidRPr="0008163E" w:rsidRDefault="00A36797" w:rsidP="007F0869">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7F0869" w:rsidRPr="0008163E">
                  <w:rPr>
                    <w:rStyle w:val="Style2"/>
                    <w:rFonts w:ascii="MS Gothic" w:eastAsia="MS Gothic" w:hAnsi="MS Gothic"/>
                  </w:rPr>
                  <w:t>☐</w:t>
                </w:r>
              </w:sdtContent>
            </w:sdt>
            <w:r w:rsidR="007F0869" w:rsidRPr="0008163E">
              <w:t xml:space="preserve"> Ne</w:t>
            </w:r>
          </w:p>
          <w:p w14:paraId="7916359D" w14:textId="38A0EFD3" w:rsidR="007F0869" w:rsidRPr="00E33EFF" w:rsidRDefault="00A36797" w:rsidP="007F0869">
            <w:pPr>
              <w:rPr>
                <w:rFonts w:eastAsia="Arial"/>
              </w:rPr>
            </w:pPr>
            <w:sdt>
              <w:sdtPr>
                <w:alias w:val="Nurodykite konkrečią dieną"/>
                <w:tag w:val="Nurodykite pradžios datą"/>
                <w:id w:val="922837954"/>
                <w15:color w:val="FFCC99"/>
                <w:date>
                  <w:dateFormat w:val="yyyy 'm.' MMMM d 'd.'"/>
                  <w:lid w:val="lt-LT"/>
                  <w:storeMappedDataAs w:val="dateTime"/>
                  <w:calendar w:val="gregorian"/>
                </w:date>
              </w:sdtPr>
              <w:sdtEndPr/>
              <w:sdtContent>
                <w:r w:rsidR="007F0869" w:rsidRPr="0008163E">
                  <w:t>2022 m. vasario 2 d.</w:t>
                </w:r>
              </w:sdtContent>
            </w:sdt>
          </w:p>
        </w:tc>
        <w:tc>
          <w:tcPr>
            <w:tcW w:w="4787" w:type="dxa"/>
            <w:gridSpan w:val="2"/>
          </w:tcPr>
          <w:p w14:paraId="67430EE7" w14:textId="111D3A09" w:rsidR="007F0869" w:rsidRPr="00E33EFF" w:rsidRDefault="007F0869" w:rsidP="007F0869">
            <w:pPr>
              <w:jc w:val="both"/>
              <w:rPr>
                <w:rFonts w:eastAsia="Arial"/>
              </w:rPr>
            </w:pPr>
            <w:proofErr w:type="spellStart"/>
            <w:r>
              <w:rPr>
                <w:rFonts w:eastAsia="Arial"/>
              </w:rPr>
              <w:t>Venetoklaksas</w:t>
            </w:r>
            <w:proofErr w:type="spellEnd"/>
            <w:r w:rsidRPr="0008163E">
              <w:rPr>
                <w:rFonts w:eastAsia="Arial"/>
              </w:rPr>
              <w:t xml:space="preserve"> su </w:t>
            </w:r>
            <w:proofErr w:type="spellStart"/>
            <w:r w:rsidRPr="0008163E">
              <w:rPr>
                <w:rFonts w:eastAsia="Arial"/>
              </w:rPr>
              <w:t>azacitidinu</w:t>
            </w:r>
            <w:proofErr w:type="spellEnd"/>
            <w:r w:rsidRPr="0008163E">
              <w:rPr>
                <w:rFonts w:eastAsia="Arial"/>
              </w:rPr>
              <w:t xml:space="preserve"> rekomenduojamas kaip alternatyva negydytai ūminei </w:t>
            </w:r>
            <w:proofErr w:type="spellStart"/>
            <w:r w:rsidRPr="0008163E">
              <w:rPr>
                <w:rFonts w:eastAsia="Arial"/>
              </w:rPr>
              <w:t>mieloidinei</w:t>
            </w:r>
            <w:proofErr w:type="spellEnd"/>
            <w:r w:rsidRPr="0008163E">
              <w:rPr>
                <w:rFonts w:eastAsia="Arial"/>
              </w:rPr>
              <w:t xml:space="preserve"> leukemijai suaugusiesiems, kai intensyvi chemoterapija netinka. Rekomenduojama tik tuo atveju, jei įmonė tiekia </w:t>
            </w:r>
            <w:proofErr w:type="spellStart"/>
            <w:r w:rsidRPr="0008163E">
              <w:rPr>
                <w:rFonts w:eastAsia="Arial"/>
              </w:rPr>
              <w:t>venetoklaksą</w:t>
            </w:r>
            <w:proofErr w:type="spellEnd"/>
            <w:r w:rsidRPr="0008163E">
              <w:rPr>
                <w:rFonts w:eastAsia="Arial"/>
              </w:rPr>
              <w:t xml:space="preserve"> pagal komercinį susitarimą.</w:t>
            </w:r>
          </w:p>
        </w:tc>
      </w:tr>
      <w:tr w:rsidR="007F0869" w:rsidRPr="00E33EFF" w14:paraId="1CC31474" w14:textId="77777777" w:rsidTr="00BD4620">
        <w:trPr>
          <w:trHeight w:val="1547"/>
        </w:trPr>
        <w:tc>
          <w:tcPr>
            <w:tcW w:w="2855" w:type="dxa"/>
          </w:tcPr>
          <w:p w14:paraId="517C7847" w14:textId="77777777" w:rsidR="007F0869" w:rsidRPr="00C158E1" w:rsidRDefault="007F0869" w:rsidP="007F0869">
            <w:pPr>
              <w:spacing w:line="276" w:lineRule="auto"/>
              <w:rPr>
                <w:rFonts w:eastAsia="Arial"/>
              </w:rPr>
            </w:pPr>
            <w:r w:rsidRPr="00C158E1">
              <w:rPr>
                <w:rFonts w:eastAsia="Arial"/>
              </w:rPr>
              <w:t>Kanados sveikatos technologijų agentūra</w:t>
            </w:r>
          </w:p>
          <w:p w14:paraId="2C593A82" w14:textId="2F1F25D1" w:rsidR="007F0869" w:rsidRPr="00E33EFF" w:rsidRDefault="007F0869" w:rsidP="007F0869">
            <w:pPr>
              <w:rPr>
                <w:rFonts w:eastAsia="Arial"/>
                <w:lang w:val="en-GB"/>
              </w:rPr>
            </w:pPr>
            <w:r w:rsidRPr="00C158E1">
              <w:rPr>
                <w:rFonts w:eastAsia="Arial"/>
              </w:rPr>
              <w:t xml:space="preserve">(angl. </w:t>
            </w:r>
            <w:proofErr w:type="spellStart"/>
            <w:r w:rsidRPr="00C158E1">
              <w:rPr>
                <w:rFonts w:eastAsia="Arial"/>
                <w:i/>
              </w:rPr>
              <w:t>Canadian</w:t>
            </w:r>
            <w:proofErr w:type="spellEnd"/>
            <w:r w:rsidRPr="00C158E1">
              <w:rPr>
                <w:rFonts w:eastAsia="Arial"/>
                <w:i/>
              </w:rPr>
              <w:t xml:space="preserve"> </w:t>
            </w:r>
            <w:proofErr w:type="spellStart"/>
            <w:r w:rsidRPr="00C158E1">
              <w:rPr>
                <w:rFonts w:eastAsia="Arial"/>
                <w:i/>
              </w:rPr>
              <w:t>health</w:t>
            </w:r>
            <w:proofErr w:type="spellEnd"/>
            <w:r w:rsidRPr="00C158E1">
              <w:rPr>
                <w:rFonts w:eastAsia="Arial"/>
                <w:i/>
              </w:rPr>
              <w:t xml:space="preserve"> </w:t>
            </w:r>
            <w:proofErr w:type="spellStart"/>
            <w:r w:rsidRPr="00C158E1">
              <w:rPr>
                <w:rFonts w:eastAsia="Arial"/>
                <w:i/>
              </w:rPr>
              <w:t>Technology</w:t>
            </w:r>
            <w:proofErr w:type="spellEnd"/>
            <w:r w:rsidRPr="00C158E1">
              <w:rPr>
                <w:rFonts w:eastAsia="Arial"/>
                <w:i/>
              </w:rPr>
              <w:t xml:space="preserve"> </w:t>
            </w:r>
            <w:proofErr w:type="spellStart"/>
            <w:r w:rsidRPr="00C158E1">
              <w:rPr>
                <w:rFonts w:eastAsia="Arial"/>
                <w:i/>
              </w:rPr>
              <w:t>Assessment</w:t>
            </w:r>
            <w:proofErr w:type="spellEnd"/>
            <w:r w:rsidRPr="00C158E1">
              <w:rPr>
                <w:rFonts w:eastAsia="Arial"/>
                <w:i/>
              </w:rPr>
              <w:t xml:space="preserve"> </w:t>
            </w:r>
            <w:proofErr w:type="spellStart"/>
            <w:r w:rsidRPr="00C158E1">
              <w:rPr>
                <w:rFonts w:eastAsia="Arial"/>
                <w:i/>
              </w:rPr>
              <w:t>agency</w:t>
            </w:r>
            <w:proofErr w:type="spellEnd"/>
            <w:r w:rsidRPr="00C158E1">
              <w:rPr>
                <w:rFonts w:eastAsia="Arial"/>
                <w:i/>
              </w:rPr>
              <w:t>, CADTH</w:t>
            </w:r>
            <w:r w:rsidRPr="00C158E1">
              <w:rPr>
                <w:rFonts w:eastAsia="Arial"/>
              </w:rPr>
              <w:t>)</w:t>
            </w:r>
          </w:p>
        </w:tc>
        <w:tc>
          <w:tcPr>
            <w:tcW w:w="1851" w:type="dxa"/>
          </w:tcPr>
          <w:p w14:paraId="217C7B74" w14:textId="77777777" w:rsidR="007F0869" w:rsidRPr="00C158E1" w:rsidRDefault="00A36797" w:rsidP="007F0869">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7F0869" w:rsidRPr="00C158E1">
                  <w:rPr>
                    <w:rStyle w:val="Style2"/>
                    <w:rFonts w:ascii="MS Gothic" w:eastAsia="MS Gothic" w:hAnsi="MS Gothic" w:hint="eastAsia"/>
                  </w:rPr>
                  <w:t>☒</w:t>
                </w:r>
              </w:sdtContent>
            </w:sdt>
            <w:r w:rsidR="007F0869" w:rsidRPr="00C158E1">
              <w:t xml:space="preserve"> Taip</w:t>
            </w:r>
          </w:p>
          <w:p w14:paraId="3F98E390" w14:textId="77777777" w:rsidR="007F0869" w:rsidRPr="00C158E1" w:rsidRDefault="00A36797" w:rsidP="007F0869">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7F0869" w:rsidRPr="00C158E1">
                  <w:rPr>
                    <w:rStyle w:val="Style2"/>
                    <w:rFonts w:ascii="MS Gothic" w:eastAsia="MS Gothic" w:hAnsi="MS Gothic" w:hint="eastAsia"/>
                  </w:rPr>
                  <w:t>☐</w:t>
                </w:r>
              </w:sdtContent>
            </w:sdt>
            <w:r w:rsidR="007F0869" w:rsidRPr="00C158E1">
              <w:t xml:space="preserve"> Ne</w:t>
            </w:r>
          </w:p>
          <w:p w14:paraId="0C0988CC" w14:textId="675EDDA8" w:rsidR="007F0869" w:rsidRPr="00E33EFF" w:rsidRDefault="00A36797" w:rsidP="007F0869">
            <w:pPr>
              <w:rPr>
                <w:rFonts w:eastAsia="Arial"/>
              </w:rPr>
            </w:pPr>
            <w:sdt>
              <w:sdtPr>
                <w:alias w:val="Nurodykite konkrečią dieną"/>
                <w:tag w:val="Nurodykite pradžios datą"/>
                <w:id w:val="1072468416"/>
                <w15:color w:val="FFCC99"/>
                <w:date>
                  <w:dateFormat w:val="yyyy 'm.' MMMM d 'd.'"/>
                  <w:lid w:val="lt-LT"/>
                  <w:storeMappedDataAs w:val="dateTime"/>
                  <w:calendar w:val="gregorian"/>
                </w:date>
              </w:sdtPr>
              <w:sdtEndPr/>
              <w:sdtContent>
                <w:r w:rsidR="007F0869" w:rsidRPr="00C158E1">
                  <w:t>2021 m. rugpjūčio 20 d.</w:t>
                </w:r>
              </w:sdtContent>
            </w:sdt>
          </w:p>
        </w:tc>
        <w:tc>
          <w:tcPr>
            <w:tcW w:w="4787" w:type="dxa"/>
            <w:gridSpan w:val="2"/>
          </w:tcPr>
          <w:p w14:paraId="5C8CB330" w14:textId="3D6A67C6" w:rsidR="007F0869" w:rsidRPr="00E33EFF" w:rsidRDefault="007F0869" w:rsidP="007F0869">
            <w:pPr>
              <w:jc w:val="both"/>
              <w:rPr>
                <w:rFonts w:eastAsia="Arial"/>
              </w:rPr>
            </w:pPr>
            <w:proofErr w:type="spellStart"/>
            <w:r w:rsidRPr="00C158E1">
              <w:rPr>
                <w:rFonts w:eastAsia="Arial"/>
              </w:rPr>
              <w:t>Venetoklaksas</w:t>
            </w:r>
            <w:proofErr w:type="spellEnd"/>
            <w:r w:rsidRPr="00C158E1">
              <w:rPr>
                <w:rFonts w:eastAsia="Arial"/>
              </w:rPr>
              <w:t xml:space="preserve"> su </w:t>
            </w:r>
            <w:proofErr w:type="spellStart"/>
            <w:r w:rsidRPr="00C158E1">
              <w:rPr>
                <w:rFonts w:eastAsia="Arial"/>
              </w:rPr>
              <w:t>azacitidinu</w:t>
            </w:r>
            <w:proofErr w:type="spellEnd"/>
            <w:r w:rsidRPr="00C158E1">
              <w:rPr>
                <w:rFonts w:eastAsia="Arial"/>
              </w:rPr>
              <w:t xml:space="preserve"> rekomenduojamas naujai diagnozuotos ūminės </w:t>
            </w:r>
            <w:proofErr w:type="spellStart"/>
            <w:r w:rsidRPr="00C158E1">
              <w:rPr>
                <w:rFonts w:eastAsia="Arial"/>
              </w:rPr>
              <w:t>mieloidinės</w:t>
            </w:r>
            <w:proofErr w:type="spellEnd"/>
            <w:r w:rsidRPr="00C158E1">
              <w:rPr>
                <w:rFonts w:eastAsia="Arial"/>
              </w:rPr>
              <w:t xml:space="preserve"> leukemijos gydymui pacientams, kurie yra 75 m. ar vyresni arba kuriems dėl gretutinių ligų negali būti skiriama intensyvi chemoterapija. </w:t>
            </w:r>
          </w:p>
        </w:tc>
      </w:tr>
      <w:tr w:rsidR="007F0869" w:rsidRPr="00E33EFF" w14:paraId="21C94D47" w14:textId="77777777" w:rsidTr="00C97827">
        <w:trPr>
          <w:trHeight w:val="2160"/>
        </w:trPr>
        <w:tc>
          <w:tcPr>
            <w:tcW w:w="2855" w:type="dxa"/>
          </w:tcPr>
          <w:p w14:paraId="6763D915" w14:textId="77777777" w:rsidR="007F0869" w:rsidRPr="0008163E" w:rsidRDefault="007F0869" w:rsidP="007F0869">
            <w:pPr>
              <w:spacing w:line="276" w:lineRule="auto"/>
              <w:rPr>
                <w:rFonts w:eastAsia="Arial"/>
              </w:rPr>
            </w:pPr>
            <w:r w:rsidRPr="0008163E">
              <w:rPr>
                <w:rFonts w:eastAsia="Arial"/>
              </w:rPr>
              <w:t xml:space="preserve">Nacionalinis </w:t>
            </w:r>
            <w:proofErr w:type="spellStart"/>
            <w:r w:rsidRPr="0008163E">
              <w:rPr>
                <w:rFonts w:eastAsia="Arial"/>
              </w:rPr>
              <w:t>farmakoekonomikos</w:t>
            </w:r>
            <w:proofErr w:type="spellEnd"/>
            <w:r w:rsidRPr="0008163E">
              <w:rPr>
                <w:rFonts w:eastAsia="Arial"/>
              </w:rPr>
              <w:t xml:space="preserve"> centras, Airija</w:t>
            </w:r>
          </w:p>
          <w:p w14:paraId="736F5072" w14:textId="7C8BF3A2" w:rsidR="007F0869" w:rsidRPr="00E33EFF" w:rsidRDefault="007F0869" w:rsidP="007F0869">
            <w:pPr>
              <w:rPr>
                <w:rFonts w:eastAsia="Arial"/>
              </w:rPr>
            </w:pPr>
            <w:r w:rsidRPr="0008163E">
              <w:rPr>
                <w:rFonts w:eastAsia="Arial"/>
              </w:rPr>
              <w:t>(angl.</w:t>
            </w:r>
            <w:r w:rsidRPr="0008163E">
              <w:rPr>
                <w:rFonts w:eastAsia="Arial"/>
                <w:i/>
              </w:rPr>
              <w:t xml:space="preserve"> </w:t>
            </w:r>
            <w:proofErr w:type="spellStart"/>
            <w:r w:rsidRPr="0008163E">
              <w:rPr>
                <w:rFonts w:eastAsia="Arial"/>
                <w:i/>
              </w:rPr>
              <w:t>National</w:t>
            </w:r>
            <w:proofErr w:type="spellEnd"/>
            <w:r w:rsidRPr="0008163E">
              <w:rPr>
                <w:rFonts w:eastAsia="Arial"/>
                <w:i/>
              </w:rPr>
              <w:t xml:space="preserve"> Centre </w:t>
            </w:r>
            <w:proofErr w:type="spellStart"/>
            <w:r w:rsidRPr="0008163E">
              <w:rPr>
                <w:rFonts w:eastAsia="Arial"/>
                <w:i/>
              </w:rPr>
              <w:t>for</w:t>
            </w:r>
            <w:proofErr w:type="spellEnd"/>
            <w:r w:rsidRPr="0008163E">
              <w:rPr>
                <w:rFonts w:eastAsia="Arial"/>
                <w:i/>
              </w:rPr>
              <w:t xml:space="preserve"> </w:t>
            </w:r>
            <w:proofErr w:type="spellStart"/>
            <w:r w:rsidRPr="0008163E">
              <w:rPr>
                <w:rFonts w:eastAsia="Arial"/>
                <w:i/>
              </w:rPr>
              <w:t>Pharmacoeconomics</w:t>
            </w:r>
            <w:proofErr w:type="spellEnd"/>
            <w:r w:rsidRPr="0008163E">
              <w:rPr>
                <w:rFonts w:eastAsia="Arial"/>
                <w:i/>
              </w:rPr>
              <w:t>, NCPE</w:t>
            </w:r>
            <w:r w:rsidRPr="0008163E">
              <w:rPr>
                <w:rFonts w:eastAsia="Arial"/>
              </w:rPr>
              <w:t>)</w:t>
            </w:r>
          </w:p>
        </w:tc>
        <w:tc>
          <w:tcPr>
            <w:tcW w:w="1851" w:type="dxa"/>
          </w:tcPr>
          <w:p w14:paraId="6B6F09C2" w14:textId="77777777" w:rsidR="007F0869" w:rsidRPr="0008163E" w:rsidRDefault="00A36797" w:rsidP="007F0869">
            <w:sdt>
              <w:sdtPr>
                <w:rPr>
                  <w:rStyle w:val="Style2"/>
                </w:rPr>
                <w:id w:val="-969666745"/>
                <w15:color w:val="FFCC00"/>
                <w14:checkbox>
                  <w14:checked w14:val="1"/>
                  <w14:checkedState w14:val="2612" w14:font="MS Gothic"/>
                  <w14:uncheckedState w14:val="2610" w14:font="MS Gothic"/>
                </w14:checkbox>
              </w:sdtPr>
              <w:sdtEndPr>
                <w:rPr>
                  <w:rStyle w:val="Style2"/>
                </w:rPr>
              </w:sdtEndPr>
              <w:sdtContent>
                <w:r w:rsidR="007F0869" w:rsidRPr="0008163E">
                  <w:rPr>
                    <w:rStyle w:val="Style2"/>
                    <w:rFonts w:ascii="MS Gothic" w:eastAsia="MS Gothic" w:hAnsi="MS Gothic" w:hint="eastAsia"/>
                  </w:rPr>
                  <w:t>☒</w:t>
                </w:r>
              </w:sdtContent>
            </w:sdt>
            <w:r w:rsidR="007F0869" w:rsidRPr="0008163E">
              <w:t xml:space="preserve"> Taip</w:t>
            </w:r>
          </w:p>
          <w:p w14:paraId="1DD6360A" w14:textId="77777777" w:rsidR="007F0869" w:rsidRPr="0008163E" w:rsidRDefault="00A36797" w:rsidP="007F0869">
            <w:sdt>
              <w:sdtPr>
                <w:rPr>
                  <w:rStyle w:val="Style2"/>
                </w:rPr>
                <w:id w:val="1883360091"/>
                <w15:color w:val="FFCC00"/>
                <w14:checkbox>
                  <w14:checked w14:val="0"/>
                  <w14:checkedState w14:val="2612" w14:font="MS Gothic"/>
                  <w14:uncheckedState w14:val="2610" w14:font="MS Gothic"/>
                </w14:checkbox>
              </w:sdtPr>
              <w:sdtEndPr>
                <w:rPr>
                  <w:rStyle w:val="Style2"/>
                </w:rPr>
              </w:sdtEndPr>
              <w:sdtContent>
                <w:r w:rsidR="007F0869" w:rsidRPr="0008163E">
                  <w:rPr>
                    <w:rStyle w:val="Style2"/>
                    <w:rFonts w:ascii="MS Gothic" w:eastAsia="MS Gothic" w:hAnsi="MS Gothic" w:hint="eastAsia"/>
                  </w:rPr>
                  <w:t>☐</w:t>
                </w:r>
              </w:sdtContent>
            </w:sdt>
            <w:r w:rsidR="007F0869" w:rsidRPr="0008163E">
              <w:t xml:space="preserve"> Ne</w:t>
            </w:r>
          </w:p>
          <w:p w14:paraId="3DE3DA1A" w14:textId="77777777" w:rsidR="007F0869" w:rsidRPr="0008163E" w:rsidRDefault="00A36797" w:rsidP="007F0869">
            <w:pPr>
              <w:spacing w:line="276" w:lineRule="auto"/>
            </w:pPr>
            <w:sdt>
              <w:sdtPr>
                <w:alias w:val="Nurodykite konkrečią dieną"/>
                <w:tag w:val="Nurodykite pradžios datą"/>
                <w:id w:val="-154304504"/>
                <w15:color w:val="FFCC99"/>
                <w:date w:fullDate="2023-09-26T00:00:00Z">
                  <w:dateFormat w:val="yyyy 'm.' MMMM d 'd.'"/>
                  <w:lid w:val="lt-LT"/>
                  <w:storeMappedDataAs w:val="dateTime"/>
                  <w:calendar w:val="gregorian"/>
                </w:date>
              </w:sdtPr>
              <w:sdtEndPr/>
              <w:sdtContent>
                <w:r w:rsidR="007F0869" w:rsidRPr="0008163E">
                  <w:t>2023 m. rugsėjo 26 d.</w:t>
                </w:r>
              </w:sdtContent>
            </w:sdt>
          </w:p>
          <w:p w14:paraId="6932E153" w14:textId="77777777" w:rsidR="007F0869" w:rsidRPr="0008163E" w:rsidRDefault="007F0869" w:rsidP="007F0869">
            <w:pPr>
              <w:spacing w:line="276" w:lineRule="auto"/>
            </w:pPr>
          </w:p>
          <w:p w14:paraId="69AA1151" w14:textId="200E9B78" w:rsidR="007F0869" w:rsidRPr="00E33EFF" w:rsidRDefault="007F0869" w:rsidP="007F0869">
            <w:pPr>
              <w:rPr>
                <w:rFonts w:eastAsia="Arial"/>
              </w:rPr>
            </w:pPr>
          </w:p>
        </w:tc>
        <w:tc>
          <w:tcPr>
            <w:tcW w:w="4787" w:type="dxa"/>
            <w:gridSpan w:val="2"/>
          </w:tcPr>
          <w:p w14:paraId="60651AFD" w14:textId="5FFB0ABC" w:rsidR="007F0869" w:rsidRPr="00E33EFF" w:rsidRDefault="007F0869" w:rsidP="007F0869">
            <w:pPr>
              <w:jc w:val="both"/>
              <w:rPr>
                <w:rFonts w:eastAsia="Arial"/>
              </w:rPr>
            </w:pPr>
            <w:r>
              <w:rPr>
                <w:rFonts w:eastAsia="Arial"/>
              </w:rPr>
              <w:t>R</w:t>
            </w:r>
            <w:r w:rsidRPr="0008163E">
              <w:rPr>
                <w:rFonts w:eastAsia="Arial"/>
              </w:rPr>
              <w:t xml:space="preserve">ekomenduoja, kad </w:t>
            </w:r>
            <w:proofErr w:type="spellStart"/>
            <w:r w:rsidRPr="0008163E">
              <w:rPr>
                <w:rFonts w:eastAsia="Arial"/>
              </w:rPr>
              <w:t>venetoklaksas</w:t>
            </w:r>
            <w:proofErr w:type="spellEnd"/>
            <w:r w:rsidRPr="0008163E">
              <w:rPr>
                <w:rFonts w:eastAsia="Arial"/>
              </w:rPr>
              <w:t xml:space="preserve"> nebūtų kompensuojamas, nebent būtų galima pagerinti ekonominį efektyvumą, palyginti su esamais gydymo būdais.</w:t>
            </w:r>
          </w:p>
        </w:tc>
      </w:tr>
    </w:tbl>
    <w:p w14:paraId="73290081" w14:textId="31B3ECEA" w:rsidR="007A2B68" w:rsidRDefault="007A2B68">
      <w:pPr>
        <w:rPr>
          <w:b/>
          <w:bCs/>
          <w:caps/>
        </w:rPr>
      </w:pP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25F89291" w14:textId="59E8505B" w:rsidR="00D4485B" w:rsidRDefault="00D4485B" w:rsidP="00A93AA6">
      <w:pPr>
        <w:pStyle w:val="ListParagraph"/>
        <w:tabs>
          <w:tab w:val="left" w:pos="426"/>
        </w:tabs>
        <w:ind w:left="0"/>
        <w:rPr>
          <w:b/>
          <w:bCs/>
          <w:caps/>
        </w:rPr>
      </w:pPr>
    </w:p>
    <w:p w14:paraId="772D2F4D" w14:textId="65C9A79D" w:rsidR="007F0869" w:rsidRPr="00C97239" w:rsidRDefault="007F0869" w:rsidP="00844A26">
      <w:pPr>
        <w:tabs>
          <w:tab w:val="left" w:pos="426"/>
        </w:tabs>
        <w:spacing w:line="276" w:lineRule="auto"/>
        <w:jc w:val="both"/>
        <w:rPr>
          <w:rFonts w:eastAsia="Arial"/>
        </w:rPr>
      </w:pPr>
      <w:r>
        <w:tab/>
      </w:r>
      <w:r>
        <w:tab/>
      </w:r>
      <w:r w:rsidRPr="00C97239">
        <w:t xml:space="preserve">Ūminė </w:t>
      </w:r>
      <w:proofErr w:type="spellStart"/>
      <w:r w:rsidRPr="00C97239">
        <w:t>mieloidinė</w:t>
      </w:r>
      <w:proofErr w:type="spellEnd"/>
      <w:r w:rsidRPr="00C97239">
        <w:t xml:space="preserve"> leukemija (ŪML) yra agresyvus, greitai sąlygojantis mirtį, </w:t>
      </w:r>
      <w:proofErr w:type="spellStart"/>
      <w:r w:rsidRPr="00C97239">
        <w:t>heterogeniškas</w:t>
      </w:r>
      <w:proofErr w:type="spellEnd"/>
      <w:r w:rsidRPr="00C97239">
        <w:t xml:space="preserve"> hematologinis piktybinis navikas, kuriam būdingas kaulų čiulpų, periferinio kraujo ir kartais </w:t>
      </w:r>
      <w:proofErr w:type="spellStart"/>
      <w:r w:rsidRPr="00C97239">
        <w:t>ekstramedulinių</w:t>
      </w:r>
      <w:proofErr w:type="spellEnd"/>
      <w:r w:rsidRPr="00C97239">
        <w:t xml:space="preserve"> audinių </w:t>
      </w:r>
      <w:proofErr w:type="spellStart"/>
      <w:r w:rsidRPr="00C97239">
        <w:t>kloninis</w:t>
      </w:r>
      <w:proofErr w:type="spellEnd"/>
      <w:r w:rsidRPr="00C97239">
        <w:t xml:space="preserve"> išsiplėtimas kaulų čiulpuose, kuris sutrikdo normalią kraujo ląstelių ir trombocitų gamybą. Genetiniai pakitimai </w:t>
      </w:r>
      <w:proofErr w:type="spellStart"/>
      <w:r w:rsidRPr="00C97239">
        <w:t>mieloidinėse</w:t>
      </w:r>
      <w:proofErr w:type="spellEnd"/>
      <w:r w:rsidRPr="00C97239">
        <w:t xml:space="preserve"> </w:t>
      </w:r>
      <w:proofErr w:type="spellStart"/>
      <w:r w:rsidRPr="00C97239">
        <w:t>progenitorinėse</w:t>
      </w:r>
      <w:proofErr w:type="spellEnd"/>
      <w:r w:rsidRPr="00C97239">
        <w:t xml:space="preserve"> kamieninėse ląstelėse lemia normalaus augimo pakitimus, pakitusią </w:t>
      </w:r>
      <w:proofErr w:type="spellStart"/>
      <w:r w:rsidRPr="00C97239">
        <w:t>mieloblastų</w:t>
      </w:r>
      <w:proofErr w:type="spellEnd"/>
      <w:r w:rsidRPr="00C97239">
        <w:t xml:space="preserve"> diferenciaciją.</w:t>
      </w:r>
      <w:r w:rsidRPr="00C97239">
        <w:rPr>
          <w:rFonts w:eastAsia="Arial"/>
        </w:rPr>
        <w:tab/>
        <w:t xml:space="preserve">Tiksli ŪML išsivystymo priežastis nėra žinoma, tačiau išskiriami šie rizikos veiksniai: vyresnis amžius, vyriška lytis, rūkymas, kai kurių genetinių sindromų (pavyzdžiui, Dauno sindromo) ir / ar </w:t>
      </w:r>
      <w:proofErr w:type="spellStart"/>
      <w:r w:rsidRPr="00C97239">
        <w:rPr>
          <w:rFonts w:eastAsia="Arial"/>
        </w:rPr>
        <w:t>kraujodaros</w:t>
      </w:r>
      <w:proofErr w:type="spellEnd"/>
      <w:r w:rsidRPr="00C97239">
        <w:rPr>
          <w:rFonts w:eastAsia="Arial"/>
        </w:rPr>
        <w:t xml:space="preserve"> sutrikimų turėjimas, ankstesnis piktybinės ligos gydymas chemoterapija, ekspozicija kai kuriems cheminiams preparatams, radiacijai.</w:t>
      </w:r>
    </w:p>
    <w:p w14:paraId="1B7C9EFA" w14:textId="77777777" w:rsidR="007F0869" w:rsidRPr="00C97239" w:rsidRDefault="007F0869" w:rsidP="00844A26">
      <w:pPr>
        <w:tabs>
          <w:tab w:val="left" w:pos="426"/>
        </w:tabs>
        <w:spacing w:line="276" w:lineRule="auto"/>
        <w:jc w:val="both"/>
        <w:rPr>
          <w:rFonts w:eastAsia="Arial"/>
        </w:rPr>
      </w:pPr>
      <w:r w:rsidRPr="00C97239">
        <w:rPr>
          <w:rFonts w:eastAsia="Arial"/>
        </w:rPr>
        <w:t xml:space="preserve"> </w:t>
      </w:r>
      <w:r w:rsidRPr="00C97239">
        <w:rPr>
          <w:rFonts w:eastAsia="Arial"/>
        </w:rPr>
        <w:tab/>
      </w:r>
      <w:r w:rsidRPr="00C97239">
        <w:rPr>
          <w:rFonts w:eastAsia="Arial"/>
        </w:rPr>
        <w:tab/>
        <w:t xml:space="preserve">Diagnozuojant ŪML, būtina įvertinti paciento </w:t>
      </w:r>
      <w:proofErr w:type="spellStart"/>
      <w:r w:rsidRPr="00C97239">
        <w:rPr>
          <w:rFonts w:eastAsia="Arial"/>
        </w:rPr>
        <w:t>anamnezę</w:t>
      </w:r>
      <w:proofErr w:type="spellEnd"/>
      <w:r w:rsidRPr="00C97239">
        <w:rPr>
          <w:rFonts w:eastAsia="Arial"/>
        </w:rPr>
        <w:t xml:space="preserve">, citologinius pakitimus periferiniame kraujyje ir kaulų čiulpuose, atlikti </w:t>
      </w:r>
      <w:proofErr w:type="spellStart"/>
      <w:r w:rsidRPr="00C97239">
        <w:rPr>
          <w:rFonts w:eastAsia="Arial"/>
        </w:rPr>
        <w:t>imunofenotipavimą</w:t>
      </w:r>
      <w:proofErr w:type="spellEnd"/>
      <w:r w:rsidRPr="00C97239">
        <w:rPr>
          <w:rFonts w:eastAsia="Arial"/>
        </w:rPr>
        <w:t xml:space="preserve">, </w:t>
      </w:r>
      <w:proofErr w:type="spellStart"/>
      <w:r w:rsidRPr="00C97239">
        <w:rPr>
          <w:rFonts w:eastAsia="Arial"/>
        </w:rPr>
        <w:t>citocheminius</w:t>
      </w:r>
      <w:proofErr w:type="spellEnd"/>
      <w:r w:rsidRPr="00C97239">
        <w:rPr>
          <w:rFonts w:eastAsia="Arial"/>
        </w:rPr>
        <w:t xml:space="preserve"> tyrimus, taip pat ištirti citogenetinius žymenis. </w:t>
      </w:r>
    </w:p>
    <w:p w14:paraId="16EB95FE" w14:textId="77777777" w:rsidR="007F0869" w:rsidRPr="00C97239" w:rsidRDefault="007F0869" w:rsidP="00844A26">
      <w:pPr>
        <w:tabs>
          <w:tab w:val="left" w:pos="426"/>
        </w:tabs>
        <w:spacing w:line="276" w:lineRule="auto"/>
        <w:jc w:val="both"/>
        <w:rPr>
          <w:rFonts w:eastAsia="Arial"/>
        </w:rPr>
      </w:pPr>
      <w:r w:rsidRPr="00C97239">
        <w:rPr>
          <w:rFonts w:eastAsia="Arial"/>
        </w:rPr>
        <w:tab/>
      </w:r>
      <w:r w:rsidRPr="00C97239">
        <w:rPr>
          <w:rFonts w:eastAsia="Arial"/>
        </w:rPr>
        <w:tab/>
        <w:t xml:space="preserve">ŪML yra greitai progresuojanti liga, kurią būtina nedelsiant gydyti. Daliai pacientų yra tinkamas gydymas intensyvia chemoterapija, ir jis yra taikomas. Tačiau įvertinus tai, kad didelė dalis ŪML sergančių yra vyresnio amžiaus, trapūs pacientai, jiems gydymas intensyvia chemoterapija nėra tinkama alternatyva. </w:t>
      </w:r>
    </w:p>
    <w:p w14:paraId="66E5FB73" w14:textId="77777777" w:rsidR="007F0869" w:rsidRPr="00C97239" w:rsidRDefault="007F0869" w:rsidP="00844A26">
      <w:pPr>
        <w:tabs>
          <w:tab w:val="left" w:pos="426"/>
        </w:tabs>
        <w:spacing w:line="276" w:lineRule="auto"/>
        <w:jc w:val="both"/>
      </w:pPr>
      <w:r w:rsidRPr="00C97239">
        <w:rPr>
          <w:rFonts w:eastAsia="Arial"/>
        </w:rPr>
        <w:lastRenderedPageBreak/>
        <w:tab/>
      </w:r>
      <w:r w:rsidRPr="00C97239">
        <w:rPr>
          <w:rFonts w:eastAsia="Arial"/>
        </w:rPr>
        <w:tab/>
      </w:r>
      <w:proofErr w:type="spellStart"/>
      <w:r w:rsidRPr="00C97239">
        <w:t>Venetoklaksas</w:t>
      </w:r>
      <w:proofErr w:type="spellEnd"/>
      <w:r w:rsidRPr="00C97239">
        <w:t xml:space="preserve"> priskiriamas </w:t>
      </w:r>
      <w:proofErr w:type="spellStart"/>
      <w:r w:rsidRPr="00C97239">
        <w:t>antinavikinių</w:t>
      </w:r>
      <w:proofErr w:type="spellEnd"/>
      <w:r w:rsidRPr="00C97239">
        <w:t xml:space="preserve"> medžiagų </w:t>
      </w:r>
      <w:proofErr w:type="spellStart"/>
      <w:r w:rsidRPr="00C97239">
        <w:t>farmakoterapinei</w:t>
      </w:r>
      <w:proofErr w:type="spellEnd"/>
      <w:r w:rsidRPr="00C97239">
        <w:t xml:space="preserve"> grupei, tai yra </w:t>
      </w:r>
      <w:proofErr w:type="spellStart"/>
      <w:r w:rsidRPr="00C97239">
        <w:t>monokloninis</w:t>
      </w:r>
      <w:proofErr w:type="spellEnd"/>
      <w:r w:rsidRPr="00C97239">
        <w:t xml:space="preserve"> antikūnas. Venetoklaksas yra stiprus, selektyvus B ląstelių limfomos (BLL-2) </w:t>
      </w:r>
      <w:proofErr w:type="spellStart"/>
      <w:r w:rsidRPr="00C97239">
        <w:t>antiapoptozinio</w:t>
      </w:r>
      <w:proofErr w:type="spellEnd"/>
      <w:r w:rsidRPr="00C97239">
        <w:t xml:space="preserve"> baltymo inhibitorius. Įrodyta, kad padidinta BLL-2 ekspresija LLL ir ŪML ląstelėse sąlygoja ilgesnį navikinių ląstelių </w:t>
      </w:r>
      <w:proofErr w:type="spellStart"/>
      <w:r w:rsidRPr="00C97239">
        <w:t>išgyvenamumą</w:t>
      </w:r>
      <w:proofErr w:type="spellEnd"/>
      <w:r w:rsidRPr="00C97239">
        <w:t xml:space="preserve"> ir atsparumą chemoterapijai. Venetoklaksas jungiasi tiesiogiai prie BLL-2 jungimosi kanalo BH3 jungties ir išstumia BH3 motyvą turinčius pro-</w:t>
      </w:r>
      <w:proofErr w:type="spellStart"/>
      <w:r w:rsidRPr="00C97239">
        <w:t>apoptozinius</w:t>
      </w:r>
      <w:proofErr w:type="spellEnd"/>
      <w:r w:rsidRPr="00C97239">
        <w:t xml:space="preserve"> baltymus, tokius kaip BIM, inicijuoja </w:t>
      </w:r>
      <w:proofErr w:type="spellStart"/>
      <w:r w:rsidRPr="00C97239">
        <w:t>mitochondrijos</w:t>
      </w:r>
      <w:proofErr w:type="spellEnd"/>
      <w:r w:rsidRPr="00C97239">
        <w:t xml:space="preserve"> išorinės membranos pralaidumą (</w:t>
      </w:r>
      <w:proofErr w:type="spellStart"/>
      <w:r w:rsidRPr="00C97239">
        <w:t>ang</w:t>
      </w:r>
      <w:proofErr w:type="spellEnd"/>
      <w:r w:rsidRPr="00C97239">
        <w:t xml:space="preserve">. </w:t>
      </w:r>
      <w:proofErr w:type="spellStart"/>
      <w:r w:rsidRPr="00C97239">
        <w:t>mitochondrial</w:t>
      </w:r>
      <w:proofErr w:type="spellEnd"/>
      <w:r w:rsidRPr="00C97239">
        <w:t xml:space="preserve"> </w:t>
      </w:r>
      <w:proofErr w:type="spellStart"/>
      <w:r w:rsidRPr="00C97239">
        <w:t>outer</w:t>
      </w:r>
      <w:proofErr w:type="spellEnd"/>
      <w:r w:rsidRPr="00C97239">
        <w:t xml:space="preserve"> </w:t>
      </w:r>
      <w:proofErr w:type="spellStart"/>
      <w:r w:rsidRPr="00C97239">
        <w:t>membrane</w:t>
      </w:r>
      <w:proofErr w:type="spellEnd"/>
      <w:r w:rsidRPr="00C97239">
        <w:t xml:space="preserve"> </w:t>
      </w:r>
      <w:proofErr w:type="spellStart"/>
      <w:r w:rsidRPr="00C97239">
        <w:t>permeabilization</w:t>
      </w:r>
      <w:proofErr w:type="spellEnd"/>
      <w:r w:rsidRPr="00C97239">
        <w:t xml:space="preserve">, MOMP), aktyvuoja </w:t>
      </w:r>
      <w:proofErr w:type="spellStart"/>
      <w:r w:rsidRPr="00C97239">
        <w:t>kaspazę</w:t>
      </w:r>
      <w:proofErr w:type="spellEnd"/>
      <w:r w:rsidRPr="00C97239">
        <w:t xml:space="preserve"> ir programuoja ląstelių mirtį. </w:t>
      </w:r>
      <w:proofErr w:type="spellStart"/>
      <w:r w:rsidRPr="00C97239">
        <w:t>Ikiklinikiniuose</w:t>
      </w:r>
      <w:proofErr w:type="spellEnd"/>
      <w:r w:rsidRPr="00C97239">
        <w:t xml:space="preserve"> tyrimuose </w:t>
      </w:r>
      <w:proofErr w:type="spellStart"/>
      <w:r w:rsidRPr="00C97239">
        <w:t>venetoklaksas</w:t>
      </w:r>
      <w:proofErr w:type="spellEnd"/>
      <w:r w:rsidRPr="00C97239">
        <w:t xml:space="preserve"> parodė </w:t>
      </w:r>
      <w:proofErr w:type="spellStart"/>
      <w:r w:rsidRPr="00C97239">
        <w:t>citotoksinį</w:t>
      </w:r>
      <w:proofErr w:type="spellEnd"/>
      <w:r w:rsidRPr="00C97239">
        <w:t xml:space="preserve"> poveikį vėžio ląstelėms su padidinta BLL-2 ekspresija.</w:t>
      </w:r>
    </w:p>
    <w:p w14:paraId="1FEC643D" w14:textId="77777777" w:rsidR="007F0869" w:rsidRPr="00C97239" w:rsidRDefault="007F0869" w:rsidP="00844A26">
      <w:pPr>
        <w:tabs>
          <w:tab w:val="left" w:pos="426"/>
        </w:tabs>
        <w:spacing w:line="276" w:lineRule="auto"/>
        <w:jc w:val="both"/>
        <w:rPr>
          <w:rFonts w:eastAsia="Arial"/>
        </w:rPr>
      </w:pPr>
      <w:r w:rsidRPr="00C97239">
        <w:rPr>
          <w:rFonts w:eastAsia="Arial"/>
        </w:rPr>
        <w:tab/>
      </w:r>
      <w:r w:rsidRPr="00C97239">
        <w:rPr>
          <w:rFonts w:eastAsia="Arial"/>
        </w:rPr>
        <w:tab/>
        <w:t xml:space="preserve">2020 m. Europos medicinos onkologų asociacijos gairės nurodo, kad pirmo pasirinkimo preparatas ŪML gydymui yra chemoterapija. Tačiau vertinant, kad didelė dalis pacientų nėra tinkami chemoterapiniam gydymui, pacientams, kurie anksčiau nebuvo gydomi </w:t>
      </w:r>
      <w:proofErr w:type="spellStart"/>
      <w:r w:rsidRPr="00C97239">
        <w:rPr>
          <w:rFonts w:eastAsia="Arial"/>
        </w:rPr>
        <w:t>hipometilinančiu</w:t>
      </w:r>
      <w:proofErr w:type="spellEnd"/>
      <w:r w:rsidRPr="00C97239">
        <w:rPr>
          <w:rFonts w:eastAsia="Arial"/>
        </w:rPr>
        <w:t xml:space="preserve"> vaistiniu preparatu, turėtų būti gydomi </w:t>
      </w:r>
      <w:proofErr w:type="spellStart"/>
      <w:r w:rsidRPr="00C97239">
        <w:rPr>
          <w:rFonts w:eastAsia="Arial"/>
        </w:rPr>
        <w:t>hipometilinančiu</w:t>
      </w:r>
      <w:proofErr w:type="spellEnd"/>
      <w:r w:rsidRPr="00C97239">
        <w:rPr>
          <w:rFonts w:eastAsia="Arial"/>
        </w:rPr>
        <w:t xml:space="preserve"> vaistiniu preparatu ar mažų dozių </w:t>
      </w:r>
      <w:proofErr w:type="spellStart"/>
      <w:r w:rsidRPr="00C97239">
        <w:rPr>
          <w:rFonts w:eastAsia="Arial"/>
        </w:rPr>
        <w:t>citarabinu</w:t>
      </w:r>
      <w:proofErr w:type="spellEnd"/>
      <w:r w:rsidRPr="00C97239">
        <w:rPr>
          <w:rFonts w:eastAsia="Arial"/>
        </w:rPr>
        <w:t xml:space="preserve">, derinyje su </w:t>
      </w:r>
      <w:proofErr w:type="spellStart"/>
      <w:r w:rsidRPr="00C97239">
        <w:rPr>
          <w:rFonts w:eastAsia="Arial"/>
        </w:rPr>
        <w:t>venetoklaksu</w:t>
      </w:r>
      <w:proofErr w:type="spellEnd"/>
      <w:r w:rsidRPr="00C97239">
        <w:rPr>
          <w:rFonts w:eastAsia="Arial"/>
        </w:rPr>
        <w:t xml:space="preserve">, jeigu yra tokia galimybė. </w:t>
      </w:r>
    </w:p>
    <w:p w14:paraId="4ACE3C7F" w14:textId="77777777" w:rsidR="007F0869" w:rsidRPr="00C97239" w:rsidRDefault="007F0869" w:rsidP="00844A26">
      <w:pPr>
        <w:tabs>
          <w:tab w:val="left" w:pos="426"/>
        </w:tabs>
        <w:spacing w:line="276" w:lineRule="auto"/>
        <w:jc w:val="both"/>
      </w:pPr>
      <w:r w:rsidRPr="00C97239">
        <w:tab/>
      </w:r>
      <w:r w:rsidRPr="00C97239">
        <w:tab/>
        <w:t xml:space="preserve">Pagal šiuo metu įprastą klinikinę praktiką, remiantis Lietuvoje prieinamais preparatais, pacientai, kuriems nustatoma ŪML, ir jie nėra kandidatai intensyviai chemoterapijai, yra gydomi </w:t>
      </w:r>
      <w:proofErr w:type="spellStart"/>
      <w:r w:rsidRPr="00C97239">
        <w:t>decitabinu</w:t>
      </w:r>
      <w:proofErr w:type="spellEnd"/>
      <w:r w:rsidRPr="00C97239">
        <w:t xml:space="preserve"> ar </w:t>
      </w:r>
      <w:proofErr w:type="spellStart"/>
      <w:r w:rsidRPr="00C97239">
        <w:t>azacitidinu</w:t>
      </w:r>
      <w:proofErr w:type="spellEnd"/>
      <w:r w:rsidRPr="00C97239">
        <w:t xml:space="preserve"> (</w:t>
      </w:r>
      <w:proofErr w:type="spellStart"/>
      <w:r w:rsidRPr="00C97239">
        <w:t>hipometilinančiu</w:t>
      </w:r>
      <w:proofErr w:type="spellEnd"/>
      <w:r w:rsidRPr="00C97239">
        <w:t xml:space="preserve"> vaistu) arba mažų dozių chemoterapija </w:t>
      </w:r>
      <w:proofErr w:type="spellStart"/>
      <w:r w:rsidRPr="00C97239">
        <w:t>citarabinu</w:t>
      </w:r>
      <w:proofErr w:type="spellEnd"/>
      <w:r w:rsidRPr="00C97239">
        <w:t xml:space="preserve"> (LDAC), arba </w:t>
      </w:r>
      <w:proofErr w:type="spellStart"/>
      <w:r w:rsidRPr="00C97239">
        <w:t>paliatyviu</w:t>
      </w:r>
      <w:proofErr w:type="spellEnd"/>
      <w:r w:rsidRPr="00C97239">
        <w:t xml:space="preserve"> gydymu (</w:t>
      </w:r>
      <w:proofErr w:type="spellStart"/>
      <w:r w:rsidRPr="00C97239">
        <w:t>transfuzine</w:t>
      </w:r>
      <w:proofErr w:type="spellEnd"/>
      <w:r w:rsidRPr="00C97239">
        <w:t xml:space="preserve"> terapija), todėl </w:t>
      </w:r>
      <w:r w:rsidRPr="00C97239">
        <w:rPr>
          <w:bCs/>
        </w:rPr>
        <w:t xml:space="preserve">tinkamas palyginamasis gydymas – </w:t>
      </w:r>
      <w:proofErr w:type="spellStart"/>
      <w:r w:rsidRPr="00C97239">
        <w:rPr>
          <w:bCs/>
        </w:rPr>
        <w:t>hipometilinantis</w:t>
      </w:r>
      <w:proofErr w:type="spellEnd"/>
      <w:r w:rsidRPr="00C97239">
        <w:rPr>
          <w:bCs/>
        </w:rPr>
        <w:t xml:space="preserve"> vaistinis preparatas – </w:t>
      </w:r>
      <w:proofErr w:type="spellStart"/>
      <w:r w:rsidRPr="00C97239">
        <w:t>decitabinas</w:t>
      </w:r>
      <w:proofErr w:type="spellEnd"/>
      <w:r w:rsidRPr="00C97239">
        <w:t xml:space="preserve"> ar </w:t>
      </w:r>
      <w:proofErr w:type="spellStart"/>
      <w:r w:rsidRPr="00C97239">
        <w:t>azacitidinas</w:t>
      </w:r>
      <w:proofErr w:type="spellEnd"/>
      <w:r w:rsidRPr="00C97239">
        <w:t>.</w:t>
      </w:r>
    </w:p>
    <w:p w14:paraId="64F3A0C9" w14:textId="77777777" w:rsidR="007F0869" w:rsidRPr="00C97239" w:rsidRDefault="007F0869" w:rsidP="00844A26">
      <w:pPr>
        <w:tabs>
          <w:tab w:val="left" w:pos="426"/>
        </w:tabs>
        <w:spacing w:line="276" w:lineRule="auto"/>
        <w:jc w:val="both"/>
      </w:pPr>
    </w:p>
    <w:p w14:paraId="716C3840" w14:textId="77777777" w:rsidR="007F0869" w:rsidRPr="00C97239" w:rsidRDefault="007F0869" w:rsidP="00844A26">
      <w:pPr>
        <w:tabs>
          <w:tab w:val="left" w:pos="426"/>
        </w:tabs>
        <w:spacing w:line="276" w:lineRule="auto"/>
        <w:jc w:val="both"/>
        <w:rPr>
          <w:i/>
          <w:szCs w:val="20"/>
        </w:rPr>
      </w:pPr>
      <w:r w:rsidRPr="00C97239">
        <w:rPr>
          <w:i/>
        </w:rPr>
        <w:t>Tiesioginis palyginimas</w:t>
      </w:r>
    </w:p>
    <w:p w14:paraId="5FB6EB68" w14:textId="77777777" w:rsidR="007F0869" w:rsidRPr="00C97239" w:rsidRDefault="007F0869" w:rsidP="00844A26">
      <w:pPr>
        <w:tabs>
          <w:tab w:val="left" w:pos="426"/>
        </w:tabs>
        <w:spacing w:line="276" w:lineRule="auto"/>
        <w:jc w:val="both"/>
        <w:rPr>
          <w:rFonts w:eastAsia="Arial"/>
        </w:rPr>
      </w:pPr>
      <w:r w:rsidRPr="00C97239">
        <w:rPr>
          <w:lang w:eastAsia="lt-LT"/>
        </w:rPr>
        <w:tab/>
      </w:r>
      <w:r w:rsidRPr="00C97239">
        <w:rPr>
          <w:lang w:eastAsia="lt-LT"/>
        </w:rPr>
        <w:tab/>
        <w:t xml:space="preserve">Pareiškėjas vertinimui pateikė </w:t>
      </w:r>
      <w:r w:rsidRPr="00C97239">
        <w:t xml:space="preserve">VIALE-A klinikinį tyrimą. VIALE-A tai atsitiktinių imčių, dvigubai koduotas, </w:t>
      </w:r>
      <w:proofErr w:type="spellStart"/>
      <w:r w:rsidRPr="00C97239">
        <w:t>placebo</w:t>
      </w:r>
      <w:proofErr w:type="spellEnd"/>
      <w:r w:rsidRPr="00C97239">
        <w:t xml:space="preserve"> kontroliuojamas 3 fazės tyrimas, kurio metu buvo vertinamas </w:t>
      </w:r>
      <w:proofErr w:type="spellStart"/>
      <w:r w:rsidRPr="00C97239">
        <w:t>venetoklakso</w:t>
      </w:r>
      <w:proofErr w:type="spellEnd"/>
      <w:r w:rsidRPr="00C97239">
        <w:t xml:space="preserve"> derinyje su </w:t>
      </w:r>
      <w:proofErr w:type="spellStart"/>
      <w:r w:rsidRPr="00C97239">
        <w:t>azacitidinu</w:t>
      </w:r>
      <w:proofErr w:type="spellEnd"/>
      <w:r w:rsidRPr="00C97239">
        <w:t xml:space="preserve"> veiksmingumas ir saugumas naujai diagnozuota ŪML sergantiems pacientams, kuriems nebuvo galima taikyti intensyvios chemoterapijos. Pažymėtina, kad palyginamasis gydymas – </w:t>
      </w:r>
      <w:proofErr w:type="spellStart"/>
      <w:r w:rsidRPr="00C97239">
        <w:t>monoterapija</w:t>
      </w:r>
      <w:proofErr w:type="spellEnd"/>
      <w:r w:rsidRPr="00C97239">
        <w:t xml:space="preserve"> </w:t>
      </w:r>
      <w:proofErr w:type="spellStart"/>
      <w:r w:rsidRPr="00C97239">
        <w:t>azacitidinu</w:t>
      </w:r>
      <w:proofErr w:type="spellEnd"/>
      <w:r w:rsidRPr="00C97239">
        <w:t xml:space="preserve">. Remiantis įprasta klinikine praktika Lietuvoje – tinkamas palyginamasis gydymas </w:t>
      </w:r>
      <w:proofErr w:type="spellStart"/>
      <w:r w:rsidRPr="00C97239">
        <w:t>hipometilinantis</w:t>
      </w:r>
      <w:proofErr w:type="spellEnd"/>
      <w:r w:rsidRPr="00C97239">
        <w:t xml:space="preserve"> vaistinis preparatas (pvz. </w:t>
      </w:r>
      <w:proofErr w:type="spellStart"/>
      <w:r w:rsidRPr="00C97239">
        <w:t>azacitidinas</w:t>
      </w:r>
      <w:proofErr w:type="spellEnd"/>
      <w:r w:rsidRPr="00C97239">
        <w:t xml:space="preserve">). VIALE-A klinikinis tyrimas – registracinis klinikinis tyrimas. Remiantis įtraukimo ir atmetimo kriterijais, parinkta pacientų populiacija </w:t>
      </w:r>
      <w:r w:rsidRPr="00C97239">
        <w:rPr>
          <w:rFonts w:eastAsia="Arial"/>
        </w:rPr>
        <w:t xml:space="preserve">atitinka Pareiškėjo siūlomą kompensuoti indikaciją ir skyrimo sąlygas Lietuvoje. </w:t>
      </w:r>
      <w:r w:rsidRPr="00C97239">
        <w:rPr>
          <w:rFonts w:eastAsia="Arial"/>
        </w:rPr>
        <w:tab/>
      </w:r>
      <w:r w:rsidRPr="00C97239">
        <w:rPr>
          <w:rFonts w:eastAsia="Arial"/>
        </w:rPr>
        <w:tab/>
      </w:r>
      <w:r w:rsidRPr="00C97239">
        <w:rPr>
          <w:bCs/>
          <w:iCs/>
          <w:lang w:eastAsia="lt-LT"/>
        </w:rPr>
        <w:tab/>
        <w:t>P</w:t>
      </w:r>
      <w:r w:rsidRPr="00C97239">
        <w:t xml:space="preserve">acientai atsitiktiniu būdu santykiu 2:1 buvo suskirstyti į grupes ir jiems buvo paskirtas </w:t>
      </w:r>
      <w:proofErr w:type="spellStart"/>
      <w:r w:rsidRPr="00C97239">
        <w:rPr>
          <w:bCs/>
          <w:iCs/>
          <w:lang w:eastAsia="lt-LT"/>
        </w:rPr>
        <w:t>v</w:t>
      </w:r>
      <w:r w:rsidRPr="00C97239">
        <w:t>enetoklaksas</w:t>
      </w:r>
      <w:proofErr w:type="spellEnd"/>
      <w:r w:rsidRPr="00C97239">
        <w:t xml:space="preserve"> ir </w:t>
      </w:r>
      <w:proofErr w:type="spellStart"/>
      <w:r w:rsidRPr="00C97239">
        <w:t>azacitidinas</w:t>
      </w:r>
      <w:proofErr w:type="spellEnd"/>
      <w:r w:rsidRPr="00C97239">
        <w:t xml:space="preserve">, arba </w:t>
      </w:r>
      <w:proofErr w:type="spellStart"/>
      <w:r w:rsidRPr="00C97239">
        <w:t>placebo</w:t>
      </w:r>
      <w:proofErr w:type="spellEnd"/>
      <w:r w:rsidRPr="00C97239">
        <w:t xml:space="preserve"> ir </w:t>
      </w:r>
      <w:proofErr w:type="spellStart"/>
      <w:r w:rsidRPr="00C97239">
        <w:t>azacitidinas</w:t>
      </w:r>
      <w:proofErr w:type="spellEnd"/>
      <w:r w:rsidRPr="00C97239">
        <w:t xml:space="preserve">. Klinikinio tyrimo VIALE-A ITT populiaciją sudarė 431 pacientai, iš kurių 286 pateko į </w:t>
      </w:r>
      <w:proofErr w:type="spellStart"/>
      <w:r w:rsidRPr="00C97239">
        <w:t>venetoklakso</w:t>
      </w:r>
      <w:proofErr w:type="spellEnd"/>
      <w:r w:rsidRPr="00C97239">
        <w:t xml:space="preserve"> ir </w:t>
      </w:r>
      <w:proofErr w:type="spellStart"/>
      <w:r w:rsidRPr="00C97239">
        <w:t>azacitidino</w:t>
      </w:r>
      <w:proofErr w:type="spellEnd"/>
      <w:r w:rsidRPr="00C97239">
        <w:t xml:space="preserve"> grupę, o 145 – į </w:t>
      </w:r>
      <w:proofErr w:type="spellStart"/>
      <w:r w:rsidRPr="00C97239">
        <w:t>placebo</w:t>
      </w:r>
      <w:proofErr w:type="spellEnd"/>
      <w:r w:rsidRPr="00C97239">
        <w:t xml:space="preserve"> ir </w:t>
      </w:r>
      <w:proofErr w:type="spellStart"/>
      <w:r w:rsidRPr="00C97239">
        <w:t>azacitidino</w:t>
      </w:r>
      <w:proofErr w:type="spellEnd"/>
      <w:r w:rsidRPr="00C97239">
        <w:t xml:space="preserve"> grupę.</w:t>
      </w:r>
      <w:r w:rsidRPr="00C97239">
        <w:rPr>
          <w:rFonts w:eastAsia="Arial"/>
          <w:i/>
        </w:rPr>
        <w:t xml:space="preserve"> </w:t>
      </w:r>
      <w:r w:rsidRPr="00C97239">
        <w:rPr>
          <w:rFonts w:eastAsia="Arial"/>
        </w:rPr>
        <w:t>Tyrimo pagrindinė (</w:t>
      </w:r>
      <w:r w:rsidRPr="00C97239">
        <w:rPr>
          <w:rFonts w:eastAsia="Arial"/>
          <w:u w:val="single"/>
        </w:rPr>
        <w:t>pirminė</w:t>
      </w:r>
      <w:r w:rsidRPr="00C97239">
        <w:rPr>
          <w:rFonts w:eastAsia="Arial"/>
        </w:rPr>
        <w:t xml:space="preserve">) veiksmingumo </w:t>
      </w:r>
      <w:r w:rsidRPr="00C97239">
        <w:rPr>
          <w:rFonts w:eastAsia="Arial"/>
          <w:u w:val="single"/>
        </w:rPr>
        <w:t>vertinamoji baigtis</w:t>
      </w:r>
      <w:r w:rsidRPr="00C97239">
        <w:rPr>
          <w:rFonts w:eastAsia="Arial"/>
        </w:rPr>
        <w:t xml:space="preserve"> buvo </w:t>
      </w:r>
      <w:r w:rsidRPr="00C97239">
        <w:rPr>
          <w:rFonts w:eastAsia="Arial"/>
          <w:u w:val="single"/>
        </w:rPr>
        <w:t>bendrasis išgyvenamumas</w:t>
      </w:r>
      <w:r w:rsidRPr="00C97239">
        <w:rPr>
          <w:rFonts w:eastAsia="Arial"/>
        </w:rPr>
        <w:t xml:space="preserve"> (angl. </w:t>
      </w:r>
      <w:proofErr w:type="spellStart"/>
      <w:r w:rsidRPr="00C97239">
        <w:rPr>
          <w:rFonts w:eastAsia="Arial"/>
        </w:rPr>
        <w:t>overall</w:t>
      </w:r>
      <w:proofErr w:type="spellEnd"/>
      <w:r w:rsidRPr="00C97239">
        <w:rPr>
          <w:rFonts w:eastAsia="Arial"/>
        </w:rPr>
        <w:t xml:space="preserve"> </w:t>
      </w:r>
      <w:proofErr w:type="spellStart"/>
      <w:r w:rsidRPr="00C97239">
        <w:rPr>
          <w:rFonts w:eastAsia="Arial"/>
        </w:rPr>
        <w:t>survival</w:t>
      </w:r>
      <w:proofErr w:type="spellEnd"/>
      <w:r w:rsidRPr="00C97239">
        <w:rPr>
          <w:rFonts w:eastAsia="Arial"/>
        </w:rPr>
        <w:t xml:space="preserve">; BI), antrinės baigtys buvo: visiškos remisijos (VR) dažnis, </w:t>
      </w:r>
      <w:r w:rsidRPr="00C97239">
        <w:t xml:space="preserve">= visiška remisija su nepilnu kaulų čiulpų atsistatymu, trombocitų transfuzijų poreikio nebuvimas, eritrocitų transfuzijų poreikio nebuvimas, išgyvenamumas be įvykių. Demografinės ir ligos charakteristikos pradinio vertinimo metu </w:t>
      </w:r>
      <w:proofErr w:type="spellStart"/>
      <w:r w:rsidRPr="00C97239">
        <w:t>venetoklakso</w:t>
      </w:r>
      <w:proofErr w:type="spellEnd"/>
      <w:r w:rsidRPr="00C97239">
        <w:t xml:space="preserve"> + </w:t>
      </w:r>
      <w:proofErr w:type="spellStart"/>
      <w:r w:rsidRPr="00C97239">
        <w:t>azacitidino</w:t>
      </w:r>
      <w:proofErr w:type="spellEnd"/>
      <w:r w:rsidRPr="00C97239">
        <w:t xml:space="preserve"> ir </w:t>
      </w:r>
      <w:proofErr w:type="spellStart"/>
      <w:r w:rsidRPr="00C97239">
        <w:t>placebo</w:t>
      </w:r>
      <w:proofErr w:type="spellEnd"/>
      <w:r w:rsidRPr="00C97239">
        <w:t xml:space="preserve"> + </w:t>
      </w:r>
      <w:proofErr w:type="spellStart"/>
      <w:r w:rsidRPr="00C97239">
        <w:t>azacitidino</w:t>
      </w:r>
      <w:proofErr w:type="spellEnd"/>
      <w:r w:rsidRPr="00C97239">
        <w:t xml:space="preserve"> tiriamųjų grupėse buvo panašios. </w:t>
      </w:r>
    </w:p>
    <w:p w14:paraId="0771CDE0" w14:textId="77777777" w:rsidR="007F0869" w:rsidRPr="00C97239" w:rsidRDefault="007F0869" w:rsidP="00844A26">
      <w:pPr>
        <w:pStyle w:val="Default"/>
        <w:spacing w:line="276" w:lineRule="auto"/>
        <w:ind w:firstLine="720"/>
        <w:jc w:val="both"/>
        <w:rPr>
          <w:rFonts w:ascii="Times New Roman" w:eastAsia="Arial" w:hAnsi="Times New Roman" w:cs="Times New Roman"/>
          <w:color w:val="auto"/>
        </w:rPr>
      </w:pPr>
      <w:r w:rsidRPr="00C97239">
        <w:rPr>
          <w:rFonts w:ascii="Times New Roman" w:eastAsia="Arial" w:hAnsi="Times New Roman" w:cs="Times New Roman"/>
          <w:color w:val="auto"/>
        </w:rPr>
        <w:t xml:space="preserve">BI rodmens duomenų analizė rodo, kad tarp visų į tyrimą įtrauktų pacientų, buvo statistiškai reikšmingas BI rodmens pagerėjimas </w:t>
      </w:r>
      <w:proofErr w:type="spellStart"/>
      <w:r w:rsidRPr="00C97239">
        <w:rPr>
          <w:rFonts w:ascii="Times New Roman" w:eastAsia="Arial" w:hAnsi="Times New Roman" w:cs="Times New Roman"/>
          <w:color w:val="auto"/>
        </w:rPr>
        <w:t>venetoklakso</w:t>
      </w:r>
      <w:proofErr w:type="spellEnd"/>
      <w:r w:rsidRPr="00C97239">
        <w:rPr>
          <w:rFonts w:ascii="Times New Roman" w:eastAsia="Arial" w:hAnsi="Times New Roman" w:cs="Times New Roman"/>
          <w:color w:val="auto"/>
        </w:rPr>
        <w:t xml:space="preserve"> + </w:t>
      </w:r>
      <w:proofErr w:type="spellStart"/>
      <w:r w:rsidRPr="00C97239">
        <w:rPr>
          <w:rFonts w:ascii="Times New Roman" w:eastAsia="Arial" w:hAnsi="Times New Roman" w:cs="Times New Roman"/>
          <w:color w:val="auto"/>
        </w:rPr>
        <w:t>azacitidino</w:t>
      </w:r>
      <w:proofErr w:type="spellEnd"/>
      <w:r w:rsidRPr="00C97239">
        <w:rPr>
          <w:rFonts w:ascii="Times New Roman" w:eastAsia="Arial" w:hAnsi="Times New Roman" w:cs="Times New Roman"/>
          <w:color w:val="auto"/>
        </w:rPr>
        <w:t xml:space="preserve"> derinį vartojusiųjų tarpe, lyginant su </w:t>
      </w:r>
      <w:proofErr w:type="spellStart"/>
      <w:r w:rsidRPr="00C97239">
        <w:rPr>
          <w:rFonts w:ascii="Times New Roman" w:eastAsia="Arial" w:hAnsi="Times New Roman" w:cs="Times New Roman"/>
          <w:color w:val="auto"/>
        </w:rPr>
        <w:t>placebo</w:t>
      </w:r>
      <w:proofErr w:type="spellEnd"/>
      <w:r w:rsidRPr="00C97239">
        <w:rPr>
          <w:rFonts w:ascii="Times New Roman" w:eastAsia="Arial" w:hAnsi="Times New Roman" w:cs="Times New Roman"/>
          <w:color w:val="auto"/>
        </w:rPr>
        <w:t xml:space="preserve"> + </w:t>
      </w:r>
      <w:proofErr w:type="spellStart"/>
      <w:r w:rsidRPr="00C97239">
        <w:rPr>
          <w:rFonts w:ascii="Times New Roman" w:eastAsia="Arial" w:hAnsi="Times New Roman" w:cs="Times New Roman"/>
          <w:color w:val="auto"/>
        </w:rPr>
        <w:t>azacitidino</w:t>
      </w:r>
      <w:proofErr w:type="spellEnd"/>
      <w:r w:rsidRPr="00C97239">
        <w:rPr>
          <w:rFonts w:ascii="Times New Roman" w:eastAsia="Arial" w:hAnsi="Times New Roman" w:cs="Times New Roman"/>
          <w:color w:val="auto"/>
        </w:rPr>
        <w:t xml:space="preserve"> derinio grupe (RS 0,</w:t>
      </w:r>
      <w:r w:rsidRPr="00C97239">
        <w:rPr>
          <w:rFonts w:ascii="Times New Roman" w:eastAsia="Arial" w:hAnsi="Times New Roman" w:cs="Times New Roman"/>
          <w:color w:val="auto"/>
          <w:lang w:val="en-US"/>
        </w:rPr>
        <w:t>66</w:t>
      </w:r>
      <w:r w:rsidRPr="00C97239">
        <w:rPr>
          <w:rFonts w:ascii="Times New Roman" w:eastAsia="Arial" w:hAnsi="Times New Roman" w:cs="Times New Roman"/>
          <w:color w:val="auto"/>
        </w:rPr>
        <w:t xml:space="preserve">; 95 proc. PI: 0,52-0,85). BI mediana </w:t>
      </w:r>
      <w:proofErr w:type="spellStart"/>
      <w:r w:rsidRPr="00C97239">
        <w:rPr>
          <w:rFonts w:ascii="Times New Roman" w:eastAsia="Arial" w:hAnsi="Times New Roman" w:cs="Times New Roman"/>
          <w:color w:val="auto"/>
        </w:rPr>
        <w:t>venetoklakso</w:t>
      </w:r>
      <w:proofErr w:type="spellEnd"/>
      <w:r w:rsidRPr="00C97239">
        <w:rPr>
          <w:rFonts w:ascii="Times New Roman" w:eastAsia="Arial" w:hAnsi="Times New Roman" w:cs="Times New Roman"/>
          <w:color w:val="auto"/>
        </w:rPr>
        <w:t xml:space="preserve"> + </w:t>
      </w:r>
      <w:proofErr w:type="spellStart"/>
      <w:r w:rsidRPr="00C97239">
        <w:rPr>
          <w:rFonts w:ascii="Times New Roman" w:eastAsia="Arial" w:hAnsi="Times New Roman" w:cs="Times New Roman"/>
          <w:color w:val="auto"/>
        </w:rPr>
        <w:t>azacitidino</w:t>
      </w:r>
      <w:proofErr w:type="spellEnd"/>
      <w:r w:rsidRPr="00C97239">
        <w:rPr>
          <w:rFonts w:ascii="Times New Roman" w:eastAsia="Arial" w:hAnsi="Times New Roman" w:cs="Times New Roman"/>
          <w:color w:val="auto"/>
        </w:rPr>
        <w:t xml:space="preserve"> grupėje – 14,7 (95 proc. PI 11,9-18,7) mėn., lyginant su 9,6 (95 proc. PI 7,4-12,7) mėn. </w:t>
      </w:r>
      <w:proofErr w:type="spellStart"/>
      <w:r w:rsidRPr="00C97239">
        <w:rPr>
          <w:rFonts w:ascii="Times New Roman" w:eastAsia="Arial" w:hAnsi="Times New Roman" w:cs="Times New Roman"/>
          <w:color w:val="auto"/>
        </w:rPr>
        <w:t>placebo</w:t>
      </w:r>
      <w:proofErr w:type="spellEnd"/>
      <w:r w:rsidRPr="00C97239">
        <w:rPr>
          <w:rFonts w:ascii="Times New Roman" w:eastAsia="Arial" w:hAnsi="Times New Roman" w:cs="Times New Roman"/>
          <w:color w:val="auto"/>
        </w:rPr>
        <w:t xml:space="preserve"> + </w:t>
      </w:r>
      <w:proofErr w:type="spellStart"/>
      <w:r w:rsidRPr="00C97239">
        <w:rPr>
          <w:rFonts w:ascii="Times New Roman" w:eastAsia="Arial" w:hAnsi="Times New Roman" w:cs="Times New Roman"/>
          <w:color w:val="auto"/>
        </w:rPr>
        <w:t>azacitidino</w:t>
      </w:r>
      <w:proofErr w:type="spellEnd"/>
      <w:r w:rsidRPr="00C97239">
        <w:rPr>
          <w:rFonts w:ascii="Times New Roman" w:eastAsia="Arial" w:hAnsi="Times New Roman" w:cs="Times New Roman"/>
          <w:color w:val="auto"/>
        </w:rPr>
        <w:t xml:space="preserve"> grupėje (dvikrypčio p&lt;0,001; 4 paveikslas). Analizuojant pacientų pogrupius nustatyta, kad statistiškai reikšmingas rezultatas </w:t>
      </w:r>
      <w:proofErr w:type="spellStart"/>
      <w:r w:rsidRPr="00C97239">
        <w:rPr>
          <w:rFonts w:ascii="Times New Roman" w:eastAsia="Arial" w:hAnsi="Times New Roman" w:cs="Times New Roman"/>
          <w:color w:val="auto"/>
        </w:rPr>
        <w:t>venetoklakso</w:t>
      </w:r>
      <w:proofErr w:type="spellEnd"/>
      <w:r w:rsidRPr="00C97239">
        <w:rPr>
          <w:rFonts w:ascii="Times New Roman" w:eastAsia="Arial" w:hAnsi="Times New Roman" w:cs="Times New Roman"/>
          <w:color w:val="auto"/>
        </w:rPr>
        <w:t xml:space="preserve"> + </w:t>
      </w:r>
      <w:proofErr w:type="spellStart"/>
      <w:r w:rsidRPr="00C97239">
        <w:rPr>
          <w:rFonts w:ascii="Times New Roman" w:eastAsia="Arial" w:hAnsi="Times New Roman" w:cs="Times New Roman"/>
          <w:color w:val="auto"/>
        </w:rPr>
        <w:t>azacitidino</w:t>
      </w:r>
      <w:proofErr w:type="spellEnd"/>
      <w:r w:rsidRPr="00C97239">
        <w:rPr>
          <w:rFonts w:ascii="Times New Roman" w:eastAsia="Arial" w:hAnsi="Times New Roman" w:cs="Times New Roman"/>
          <w:color w:val="auto"/>
        </w:rPr>
        <w:t xml:space="preserve"> grupėje gautas buvo taikant gydymą vyrams, vyresniems nei </w:t>
      </w:r>
      <w:r w:rsidRPr="00C97239">
        <w:rPr>
          <w:rFonts w:ascii="Times New Roman" w:eastAsia="Arial" w:hAnsi="Times New Roman" w:cs="Times New Roman"/>
          <w:color w:val="auto"/>
          <w:lang w:val="en-US"/>
        </w:rPr>
        <w:t xml:space="preserve">75 m., </w:t>
      </w:r>
      <w:proofErr w:type="spellStart"/>
      <w:r w:rsidRPr="00C97239">
        <w:rPr>
          <w:rFonts w:ascii="Times New Roman" w:eastAsia="Arial" w:hAnsi="Times New Roman" w:cs="Times New Roman"/>
          <w:color w:val="auto"/>
          <w:lang w:val="en-US"/>
        </w:rPr>
        <w:t>Europos</w:t>
      </w:r>
      <w:proofErr w:type="spellEnd"/>
      <w:r w:rsidRPr="00C97239">
        <w:rPr>
          <w:rFonts w:ascii="Times New Roman" w:eastAsia="Arial" w:hAnsi="Times New Roman" w:cs="Times New Roman"/>
          <w:color w:val="auto"/>
          <w:lang w:val="en-US"/>
        </w:rPr>
        <w:t xml:space="preserve"> </w:t>
      </w:r>
      <w:proofErr w:type="spellStart"/>
      <w:r w:rsidRPr="00C97239">
        <w:rPr>
          <w:rFonts w:ascii="Times New Roman" w:eastAsia="Arial" w:hAnsi="Times New Roman" w:cs="Times New Roman"/>
          <w:color w:val="auto"/>
          <w:lang w:val="en-US"/>
        </w:rPr>
        <w:t>ir</w:t>
      </w:r>
      <w:proofErr w:type="spellEnd"/>
      <w:r w:rsidRPr="00C97239">
        <w:rPr>
          <w:rFonts w:ascii="Times New Roman" w:eastAsia="Arial" w:hAnsi="Times New Roman" w:cs="Times New Roman"/>
          <w:color w:val="auto"/>
          <w:lang w:val="en-US"/>
        </w:rPr>
        <w:t xml:space="preserve"> JAV </w:t>
      </w:r>
      <w:r w:rsidRPr="00C97239">
        <w:rPr>
          <w:rFonts w:ascii="Times New Roman" w:eastAsia="Arial" w:hAnsi="Times New Roman" w:cs="Times New Roman"/>
          <w:color w:val="auto"/>
        </w:rPr>
        <w:t>gyventojams</w:t>
      </w:r>
      <w:r w:rsidRPr="00C97239">
        <w:rPr>
          <w:rFonts w:ascii="Times New Roman" w:eastAsia="Arial" w:hAnsi="Times New Roman" w:cs="Times New Roman"/>
          <w:color w:val="auto"/>
          <w:lang w:val="en-US"/>
        </w:rPr>
        <w:t xml:space="preserve">, </w:t>
      </w:r>
      <w:proofErr w:type="spellStart"/>
      <w:r w:rsidRPr="00C97239">
        <w:rPr>
          <w:rFonts w:ascii="Times New Roman" w:eastAsia="Arial" w:hAnsi="Times New Roman" w:cs="Times New Roman"/>
          <w:color w:val="auto"/>
          <w:lang w:val="en-US"/>
        </w:rPr>
        <w:t>kuri</w:t>
      </w:r>
      <w:proofErr w:type="spellEnd"/>
      <w:r w:rsidRPr="00C97239">
        <w:rPr>
          <w:rFonts w:ascii="Times New Roman" w:eastAsia="Arial" w:hAnsi="Times New Roman" w:cs="Times New Roman"/>
          <w:color w:val="auto"/>
        </w:rPr>
        <w:t xml:space="preserve">ų ECOG funkcinė klasė buvo &lt; </w:t>
      </w:r>
      <w:r w:rsidRPr="00C97239">
        <w:rPr>
          <w:rFonts w:ascii="Times New Roman" w:eastAsia="Arial" w:hAnsi="Times New Roman" w:cs="Times New Roman"/>
          <w:color w:val="auto"/>
          <w:lang w:val="en-US"/>
        </w:rPr>
        <w:t xml:space="preserve">2 </w:t>
      </w:r>
      <w:proofErr w:type="spellStart"/>
      <w:r w:rsidRPr="00C97239">
        <w:rPr>
          <w:rFonts w:ascii="Times New Roman" w:eastAsia="Arial" w:hAnsi="Times New Roman" w:cs="Times New Roman"/>
          <w:color w:val="auto"/>
          <w:lang w:val="en-US"/>
        </w:rPr>
        <w:t>laipsnio</w:t>
      </w:r>
      <w:proofErr w:type="spellEnd"/>
      <w:r w:rsidRPr="00C97239">
        <w:rPr>
          <w:rFonts w:ascii="Times New Roman" w:eastAsia="Arial" w:hAnsi="Times New Roman" w:cs="Times New Roman"/>
          <w:color w:val="auto"/>
          <w:lang w:val="en-US"/>
        </w:rPr>
        <w:t xml:space="preserve"> </w:t>
      </w:r>
      <w:r w:rsidRPr="00C97239">
        <w:rPr>
          <w:rFonts w:ascii="Times New Roman" w:eastAsia="Arial" w:hAnsi="Times New Roman" w:cs="Times New Roman"/>
          <w:color w:val="auto"/>
        </w:rPr>
        <w:t>(5 paveikslas).</w:t>
      </w:r>
      <w:r w:rsidRPr="00C97239">
        <w:rPr>
          <w:rFonts w:ascii="Times New Roman" w:eastAsia="Arial" w:hAnsi="Times New Roman" w:cs="Times New Roman"/>
          <w:color w:val="auto"/>
          <w:lang w:val="en-US"/>
        </w:rPr>
        <w:t xml:space="preserve"> </w:t>
      </w:r>
      <w:proofErr w:type="spellStart"/>
      <w:r w:rsidRPr="00C97239">
        <w:rPr>
          <w:rFonts w:ascii="Times New Roman" w:eastAsia="Arial" w:hAnsi="Times New Roman" w:cs="Times New Roman"/>
          <w:color w:val="auto"/>
          <w:lang w:val="en-US"/>
        </w:rPr>
        <w:t>Reik</w:t>
      </w:r>
      <w:r w:rsidRPr="00C97239">
        <w:rPr>
          <w:rFonts w:ascii="Times New Roman" w:eastAsia="Arial" w:hAnsi="Times New Roman" w:cs="Times New Roman"/>
          <w:color w:val="auto"/>
        </w:rPr>
        <w:t>šmingi</w:t>
      </w:r>
      <w:proofErr w:type="spellEnd"/>
      <w:r w:rsidRPr="00C97239">
        <w:rPr>
          <w:rFonts w:ascii="Times New Roman" w:eastAsia="Arial" w:hAnsi="Times New Roman" w:cs="Times New Roman"/>
          <w:color w:val="auto"/>
        </w:rPr>
        <w:t xml:space="preserve"> rezultatai pasiekti nepriklausomai nuo ŪML </w:t>
      </w:r>
      <w:r w:rsidRPr="00C97239">
        <w:rPr>
          <w:rFonts w:ascii="Times New Roman" w:eastAsia="Arial" w:hAnsi="Times New Roman" w:cs="Times New Roman"/>
          <w:color w:val="auto"/>
        </w:rPr>
        <w:lastRenderedPageBreak/>
        <w:t xml:space="preserve">priežasties, vidutinės citogenetinės rizikos pacientams, IDH </w:t>
      </w:r>
      <w:proofErr w:type="spellStart"/>
      <w:r w:rsidRPr="00C97239">
        <w:rPr>
          <w:rFonts w:ascii="Times New Roman" w:eastAsia="Arial" w:hAnsi="Times New Roman" w:cs="Times New Roman"/>
          <w:color w:val="auto"/>
        </w:rPr>
        <w:t>biožymuo</w:t>
      </w:r>
      <w:proofErr w:type="spellEnd"/>
      <w:r w:rsidRPr="00C97239">
        <w:rPr>
          <w:rFonts w:ascii="Times New Roman" w:eastAsia="Arial" w:hAnsi="Times New Roman" w:cs="Times New Roman"/>
          <w:color w:val="auto"/>
        </w:rPr>
        <w:t xml:space="preserve"> buvo reikšmingai susijęs su būklės pagerėjimu vartojant </w:t>
      </w:r>
      <w:proofErr w:type="spellStart"/>
      <w:r w:rsidRPr="00C97239">
        <w:rPr>
          <w:rFonts w:ascii="Times New Roman" w:eastAsia="Arial" w:hAnsi="Times New Roman" w:cs="Times New Roman"/>
          <w:color w:val="auto"/>
        </w:rPr>
        <w:t>azacitidiną</w:t>
      </w:r>
      <w:proofErr w:type="spellEnd"/>
      <w:r w:rsidRPr="00C97239">
        <w:rPr>
          <w:rFonts w:ascii="Times New Roman" w:eastAsia="Arial" w:hAnsi="Times New Roman" w:cs="Times New Roman"/>
          <w:color w:val="auto"/>
        </w:rPr>
        <w:t xml:space="preserve"> ir </w:t>
      </w:r>
      <w:proofErr w:type="spellStart"/>
      <w:r w:rsidRPr="00C97239">
        <w:rPr>
          <w:rFonts w:ascii="Times New Roman" w:eastAsia="Arial" w:hAnsi="Times New Roman" w:cs="Times New Roman"/>
          <w:color w:val="auto"/>
        </w:rPr>
        <w:t>venetoklaksą</w:t>
      </w:r>
      <w:proofErr w:type="spellEnd"/>
      <w:r w:rsidRPr="00C97239">
        <w:rPr>
          <w:rFonts w:ascii="Times New Roman" w:eastAsia="Arial" w:hAnsi="Times New Roman" w:cs="Times New Roman"/>
          <w:color w:val="auto"/>
        </w:rPr>
        <w:t>.</w:t>
      </w:r>
    </w:p>
    <w:p w14:paraId="33F3BCBA" w14:textId="77777777" w:rsidR="007F0869" w:rsidRPr="00C97239" w:rsidRDefault="007F0869" w:rsidP="00844A26">
      <w:pPr>
        <w:tabs>
          <w:tab w:val="left" w:pos="426"/>
        </w:tabs>
        <w:spacing w:line="276" w:lineRule="auto"/>
        <w:jc w:val="both"/>
        <w:rPr>
          <w:noProof/>
        </w:rPr>
      </w:pPr>
      <w:r w:rsidRPr="00C97239">
        <w:rPr>
          <w:noProof/>
        </w:rPr>
        <w:tab/>
      </w:r>
      <w:r w:rsidRPr="00C97239">
        <w:rPr>
          <w:noProof/>
        </w:rPr>
        <w:tab/>
        <w:t>Tarp visų antrinių baigčių buvo stebėtas statistinis reikšmingumas, o rezultatai įrodė venetoklakso ir azacitidino derinio pranašumą prieš placebo ir azacitidino derinį:</w:t>
      </w:r>
    </w:p>
    <w:p w14:paraId="289C07CF" w14:textId="77777777" w:rsidR="007F0869" w:rsidRPr="00C97239" w:rsidRDefault="007F0869" w:rsidP="00844A26">
      <w:pPr>
        <w:pStyle w:val="ListParagraph"/>
        <w:numPr>
          <w:ilvl w:val="0"/>
          <w:numId w:val="13"/>
        </w:numPr>
        <w:tabs>
          <w:tab w:val="left" w:pos="426"/>
        </w:tabs>
        <w:spacing w:line="276" w:lineRule="auto"/>
        <w:jc w:val="both"/>
        <w:rPr>
          <w:rFonts w:eastAsia="Arial"/>
          <w:lang w:val="en-US"/>
        </w:rPr>
      </w:pPr>
      <w:r w:rsidRPr="00C97239">
        <w:t xml:space="preserve">Sudėtinis visiškos remisijos dažnis buvo pasiektas 66,4 proc. (95 proc. PI: 60,6-71,9) </w:t>
      </w:r>
      <w:proofErr w:type="spellStart"/>
      <w:r w:rsidRPr="00C97239">
        <w:rPr>
          <w:rFonts w:eastAsia="Arial"/>
        </w:rPr>
        <w:t>venetoklakso</w:t>
      </w:r>
      <w:proofErr w:type="spellEnd"/>
      <w:r w:rsidRPr="00C97239">
        <w:rPr>
          <w:rFonts w:eastAsia="Arial"/>
        </w:rPr>
        <w:t xml:space="preserve"> + </w:t>
      </w:r>
      <w:proofErr w:type="spellStart"/>
      <w:r w:rsidRPr="00C97239">
        <w:rPr>
          <w:rFonts w:eastAsia="Arial"/>
        </w:rPr>
        <w:t>azacitidino</w:t>
      </w:r>
      <w:proofErr w:type="spellEnd"/>
      <w:r w:rsidRPr="00C97239">
        <w:rPr>
          <w:rFonts w:eastAsia="Arial"/>
        </w:rPr>
        <w:t xml:space="preserve"> ir 28,3 proc. </w:t>
      </w:r>
      <w:r w:rsidRPr="00C97239">
        <w:t>(95 proc. PI: 21,1-36,3)</w:t>
      </w:r>
      <w:r w:rsidRPr="00C97239">
        <w:rPr>
          <w:rFonts w:eastAsia="Arial"/>
        </w:rPr>
        <w:t xml:space="preserve"> </w:t>
      </w:r>
      <w:proofErr w:type="spellStart"/>
      <w:r w:rsidRPr="00C97239">
        <w:rPr>
          <w:rFonts w:eastAsia="Arial"/>
        </w:rPr>
        <w:t>placebo</w:t>
      </w:r>
      <w:proofErr w:type="spellEnd"/>
      <w:r w:rsidRPr="00C97239">
        <w:rPr>
          <w:rFonts w:eastAsia="Arial"/>
        </w:rPr>
        <w:t xml:space="preserve"> + </w:t>
      </w:r>
      <w:proofErr w:type="spellStart"/>
      <w:r w:rsidRPr="00C97239">
        <w:rPr>
          <w:rFonts w:eastAsia="Arial"/>
        </w:rPr>
        <w:t>azacitidino</w:t>
      </w:r>
      <w:proofErr w:type="spellEnd"/>
      <w:r w:rsidRPr="00C97239">
        <w:rPr>
          <w:rFonts w:eastAsia="Arial"/>
        </w:rPr>
        <w:t xml:space="preserve"> grupėje (p&lt;0,001). </w:t>
      </w:r>
    </w:p>
    <w:p w14:paraId="04E45AAF" w14:textId="77777777" w:rsidR="007F0869" w:rsidRPr="00C97239" w:rsidRDefault="007F0869" w:rsidP="00844A26">
      <w:pPr>
        <w:pStyle w:val="ListParagraph"/>
        <w:numPr>
          <w:ilvl w:val="0"/>
          <w:numId w:val="13"/>
        </w:numPr>
        <w:tabs>
          <w:tab w:val="left" w:pos="426"/>
        </w:tabs>
        <w:spacing w:line="276" w:lineRule="auto"/>
        <w:jc w:val="both"/>
        <w:rPr>
          <w:rFonts w:eastAsia="Arial"/>
          <w:lang w:val="en-US"/>
        </w:rPr>
      </w:pPr>
      <w:r w:rsidRPr="00C97239">
        <w:t>Visiška remisija buvo pasiekta 36,7 proc.</w:t>
      </w:r>
      <w:r w:rsidRPr="00C97239">
        <w:rPr>
          <w:rFonts w:eastAsia="Arial"/>
        </w:rPr>
        <w:t xml:space="preserve"> </w:t>
      </w:r>
      <w:proofErr w:type="spellStart"/>
      <w:r w:rsidRPr="00C97239">
        <w:rPr>
          <w:rFonts w:eastAsia="Arial"/>
        </w:rPr>
        <w:t>venetoklakso</w:t>
      </w:r>
      <w:proofErr w:type="spellEnd"/>
      <w:r w:rsidRPr="00C97239">
        <w:rPr>
          <w:rFonts w:eastAsia="Arial"/>
        </w:rPr>
        <w:t xml:space="preserve"> + </w:t>
      </w:r>
      <w:proofErr w:type="spellStart"/>
      <w:r w:rsidRPr="00C97239">
        <w:rPr>
          <w:rFonts w:eastAsia="Arial"/>
        </w:rPr>
        <w:t>azacitidino</w:t>
      </w:r>
      <w:proofErr w:type="spellEnd"/>
      <w:r w:rsidRPr="00C97239">
        <w:rPr>
          <w:rFonts w:eastAsia="Arial"/>
        </w:rPr>
        <w:t xml:space="preserve"> ir 17,9 proc. </w:t>
      </w:r>
      <w:proofErr w:type="spellStart"/>
      <w:r w:rsidRPr="00C97239">
        <w:rPr>
          <w:rFonts w:eastAsia="Arial"/>
        </w:rPr>
        <w:t>placebo</w:t>
      </w:r>
      <w:proofErr w:type="spellEnd"/>
      <w:r w:rsidRPr="00C97239">
        <w:rPr>
          <w:rFonts w:eastAsia="Arial"/>
        </w:rPr>
        <w:t xml:space="preserve"> + </w:t>
      </w:r>
      <w:proofErr w:type="spellStart"/>
      <w:r w:rsidRPr="00C97239">
        <w:rPr>
          <w:rFonts w:eastAsia="Arial"/>
        </w:rPr>
        <w:t>azacitidino</w:t>
      </w:r>
      <w:proofErr w:type="spellEnd"/>
      <w:r w:rsidRPr="00C97239">
        <w:rPr>
          <w:rFonts w:eastAsia="Arial"/>
        </w:rPr>
        <w:t xml:space="preserve"> grupėje (p&lt;0,001).</w:t>
      </w:r>
    </w:p>
    <w:p w14:paraId="47778DD1" w14:textId="77777777" w:rsidR="007F0869" w:rsidRPr="00C97239" w:rsidRDefault="007F0869" w:rsidP="00844A26">
      <w:pPr>
        <w:pStyle w:val="ListParagraph"/>
        <w:numPr>
          <w:ilvl w:val="0"/>
          <w:numId w:val="13"/>
        </w:numPr>
        <w:tabs>
          <w:tab w:val="left" w:pos="426"/>
        </w:tabs>
        <w:spacing w:line="276" w:lineRule="auto"/>
        <w:jc w:val="both"/>
        <w:rPr>
          <w:rFonts w:eastAsia="Arial"/>
          <w:lang w:val="en-US"/>
        </w:rPr>
      </w:pPr>
      <w:r w:rsidRPr="00C97239">
        <w:t xml:space="preserve">Visiškos remisijos ir dalinio hematologinio atsistatymo greitis buvo pasiektas </w:t>
      </w:r>
      <w:r w:rsidRPr="00C97239">
        <w:rPr>
          <w:lang w:val="en-US"/>
        </w:rPr>
        <w:t xml:space="preserve">64,7 proc. (95 proc. PI 58,8-70,2 proc.) </w:t>
      </w:r>
      <w:proofErr w:type="spellStart"/>
      <w:r w:rsidRPr="00C97239">
        <w:rPr>
          <w:rFonts w:eastAsia="Arial"/>
        </w:rPr>
        <w:t>venetoklakso</w:t>
      </w:r>
      <w:proofErr w:type="spellEnd"/>
      <w:r w:rsidRPr="00C97239">
        <w:rPr>
          <w:rFonts w:eastAsia="Arial"/>
        </w:rPr>
        <w:t xml:space="preserve"> + </w:t>
      </w:r>
      <w:proofErr w:type="spellStart"/>
      <w:r w:rsidRPr="00C97239">
        <w:rPr>
          <w:rFonts w:eastAsia="Arial"/>
        </w:rPr>
        <w:t>azacitidino</w:t>
      </w:r>
      <w:proofErr w:type="spellEnd"/>
      <w:r w:rsidRPr="00C97239">
        <w:rPr>
          <w:rFonts w:eastAsia="Arial"/>
        </w:rPr>
        <w:t xml:space="preserve"> ir 22,8 proc. </w:t>
      </w:r>
      <w:r w:rsidRPr="00C97239">
        <w:rPr>
          <w:lang w:val="en-US"/>
        </w:rPr>
        <w:t xml:space="preserve">(95 proc. PI 16,2-30,5 proc.) </w:t>
      </w:r>
      <w:proofErr w:type="spellStart"/>
      <w:r w:rsidRPr="00C97239">
        <w:rPr>
          <w:rFonts w:eastAsia="Arial"/>
        </w:rPr>
        <w:t>placebo</w:t>
      </w:r>
      <w:proofErr w:type="spellEnd"/>
      <w:r w:rsidRPr="00C97239">
        <w:rPr>
          <w:rFonts w:eastAsia="Arial"/>
        </w:rPr>
        <w:t xml:space="preserve"> + </w:t>
      </w:r>
      <w:proofErr w:type="spellStart"/>
      <w:r w:rsidRPr="00C97239">
        <w:rPr>
          <w:rFonts w:eastAsia="Arial"/>
        </w:rPr>
        <w:t>azacitidino</w:t>
      </w:r>
      <w:proofErr w:type="spellEnd"/>
      <w:r w:rsidRPr="00C97239">
        <w:rPr>
          <w:rFonts w:eastAsia="Arial"/>
        </w:rPr>
        <w:t xml:space="preserve"> grupėje (p&lt;0,001).</w:t>
      </w:r>
    </w:p>
    <w:p w14:paraId="50886524" w14:textId="77777777" w:rsidR="007F0869" w:rsidRPr="00C97239" w:rsidRDefault="007F0869" w:rsidP="00844A26">
      <w:pPr>
        <w:pStyle w:val="ListParagraph"/>
        <w:numPr>
          <w:ilvl w:val="0"/>
          <w:numId w:val="13"/>
        </w:numPr>
        <w:tabs>
          <w:tab w:val="left" w:pos="426"/>
        </w:tabs>
        <w:spacing w:line="276" w:lineRule="auto"/>
        <w:jc w:val="both"/>
        <w:rPr>
          <w:rFonts w:eastAsia="Arial"/>
          <w:lang w:val="en-US"/>
        </w:rPr>
      </w:pPr>
      <w:r w:rsidRPr="00C97239">
        <w:t xml:space="preserve">Eritrocitų masės transfuzijos nebuvimas: pasiektas </w:t>
      </w:r>
      <w:r w:rsidRPr="00C97239">
        <w:rPr>
          <w:lang w:val="en-US"/>
        </w:rPr>
        <w:t xml:space="preserve">59,8 (95 proc. PI 53,9-65,5) proc. </w:t>
      </w:r>
      <w:proofErr w:type="spellStart"/>
      <w:r w:rsidRPr="00C97239">
        <w:rPr>
          <w:rFonts w:eastAsia="Arial"/>
        </w:rPr>
        <w:t>venetoklakso</w:t>
      </w:r>
      <w:proofErr w:type="spellEnd"/>
      <w:r w:rsidRPr="00C97239">
        <w:rPr>
          <w:rFonts w:eastAsia="Arial"/>
        </w:rPr>
        <w:t xml:space="preserve"> + </w:t>
      </w:r>
      <w:proofErr w:type="spellStart"/>
      <w:r w:rsidRPr="00C97239">
        <w:rPr>
          <w:rFonts w:eastAsia="Arial"/>
        </w:rPr>
        <w:t>azacitidino</w:t>
      </w:r>
      <w:proofErr w:type="spellEnd"/>
      <w:r w:rsidRPr="00C97239">
        <w:rPr>
          <w:rFonts w:eastAsia="Arial"/>
        </w:rPr>
        <w:t xml:space="preserve"> ir 35,2 (95 proc. PI 27,4-43,5) proc. </w:t>
      </w:r>
      <w:proofErr w:type="spellStart"/>
      <w:r w:rsidRPr="00C97239">
        <w:rPr>
          <w:rFonts w:eastAsia="Arial"/>
        </w:rPr>
        <w:t>placebo</w:t>
      </w:r>
      <w:proofErr w:type="spellEnd"/>
      <w:r w:rsidRPr="00C97239">
        <w:rPr>
          <w:rFonts w:eastAsia="Arial"/>
        </w:rPr>
        <w:t xml:space="preserve"> + </w:t>
      </w:r>
      <w:proofErr w:type="spellStart"/>
      <w:r w:rsidRPr="00C97239">
        <w:rPr>
          <w:rFonts w:eastAsia="Arial"/>
        </w:rPr>
        <w:t>azacitidino</w:t>
      </w:r>
      <w:proofErr w:type="spellEnd"/>
      <w:r w:rsidRPr="00C97239">
        <w:rPr>
          <w:rFonts w:eastAsia="Arial"/>
        </w:rPr>
        <w:t xml:space="preserve"> grupėje(p&lt;0,001). </w:t>
      </w:r>
    </w:p>
    <w:p w14:paraId="1B9CE43B" w14:textId="77777777" w:rsidR="007F0869" w:rsidRPr="00C97239" w:rsidRDefault="007F0869" w:rsidP="00844A26">
      <w:pPr>
        <w:pStyle w:val="ListParagraph"/>
        <w:numPr>
          <w:ilvl w:val="0"/>
          <w:numId w:val="13"/>
        </w:numPr>
        <w:tabs>
          <w:tab w:val="left" w:pos="426"/>
        </w:tabs>
        <w:spacing w:line="276" w:lineRule="auto"/>
        <w:jc w:val="both"/>
      </w:pPr>
      <w:r w:rsidRPr="00C97239">
        <w:t xml:space="preserve">Trombocitų masės transfuzijos nebuvimas: pasiektas </w:t>
      </w:r>
      <w:r w:rsidRPr="00C97239">
        <w:rPr>
          <w:lang w:val="en-US"/>
        </w:rPr>
        <w:t>68,5 (</w:t>
      </w:r>
      <w:r w:rsidRPr="00C97239">
        <w:rPr>
          <w:rFonts w:eastAsia="Arial"/>
        </w:rPr>
        <w:t xml:space="preserve">95 proc. PI </w:t>
      </w:r>
      <w:r w:rsidRPr="00C97239">
        <w:rPr>
          <w:lang w:val="en-US"/>
        </w:rPr>
        <w:t xml:space="preserve">62,8-73,9) proc. </w:t>
      </w:r>
      <w:proofErr w:type="spellStart"/>
      <w:r w:rsidRPr="00C97239">
        <w:rPr>
          <w:rFonts w:eastAsia="Arial"/>
        </w:rPr>
        <w:t>venetoklakso</w:t>
      </w:r>
      <w:proofErr w:type="spellEnd"/>
      <w:r w:rsidRPr="00C97239">
        <w:rPr>
          <w:rFonts w:eastAsia="Arial"/>
        </w:rPr>
        <w:t xml:space="preserve"> + </w:t>
      </w:r>
      <w:proofErr w:type="spellStart"/>
      <w:r w:rsidRPr="00C97239">
        <w:rPr>
          <w:rFonts w:eastAsia="Arial"/>
        </w:rPr>
        <w:t>azacitidino</w:t>
      </w:r>
      <w:proofErr w:type="spellEnd"/>
      <w:r w:rsidRPr="00C97239">
        <w:rPr>
          <w:rFonts w:eastAsia="Arial"/>
        </w:rPr>
        <w:t xml:space="preserve"> ir 49,7 (95 proc. PI 41,3-58,1) proc. </w:t>
      </w:r>
      <w:proofErr w:type="spellStart"/>
      <w:r w:rsidRPr="00C97239">
        <w:rPr>
          <w:rFonts w:eastAsia="Arial"/>
        </w:rPr>
        <w:t>placebo</w:t>
      </w:r>
      <w:proofErr w:type="spellEnd"/>
      <w:r w:rsidRPr="00C97239">
        <w:rPr>
          <w:rFonts w:eastAsia="Arial"/>
        </w:rPr>
        <w:t xml:space="preserve"> + </w:t>
      </w:r>
      <w:proofErr w:type="spellStart"/>
      <w:r w:rsidRPr="00C97239">
        <w:rPr>
          <w:rFonts w:eastAsia="Arial"/>
        </w:rPr>
        <w:t>azacitidino</w:t>
      </w:r>
      <w:proofErr w:type="spellEnd"/>
      <w:r w:rsidRPr="00C97239">
        <w:rPr>
          <w:rFonts w:eastAsia="Arial"/>
        </w:rPr>
        <w:t xml:space="preserve"> grupėje (p&lt;0,001)</w:t>
      </w:r>
      <w:r w:rsidRPr="00C97239">
        <w:rPr>
          <w:rFonts w:eastAsia="Arial"/>
          <w:lang w:val="en-US"/>
        </w:rPr>
        <w:t>.</w:t>
      </w:r>
    </w:p>
    <w:p w14:paraId="6CEC7037" w14:textId="77777777" w:rsidR="007F0869" w:rsidRPr="00C97239" w:rsidRDefault="007F0869" w:rsidP="00844A26">
      <w:pPr>
        <w:pStyle w:val="ListParagraph"/>
        <w:numPr>
          <w:ilvl w:val="0"/>
          <w:numId w:val="13"/>
        </w:numPr>
        <w:tabs>
          <w:tab w:val="left" w:pos="426"/>
        </w:tabs>
        <w:spacing w:line="276" w:lineRule="auto"/>
        <w:jc w:val="both"/>
      </w:pPr>
      <w:r w:rsidRPr="00C97239">
        <w:t>Vidutinis IBĮ buvo 9,8 (95 % PI: 8,4–11,8) mėn.</w:t>
      </w:r>
      <w:r w:rsidRPr="00C97239">
        <w:rPr>
          <w:rFonts w:eastAsia="Arial"/>
        </w:rPr>
        <w:t xml:space="preserve"> </w:t>
      </w:r>
      <w:proofErr w:type="spellStart"/>
      <w:r w:rsidRPr="00C97239">
        <w:rPr>
          <w:rFonts w:eastAsia="Arial"/>
        </w:rPr>
        <w:t>venetoklakso</w:t>
      </w:r>
      <w:proofErr w:type="spellEnd"/>
      <w:r w:rsidRPr="00C97239">
        <w:rPr>
          <w:rFonts w:eastAsia="Arial"/>
        </w:rPr>
        <w:t xml:space="preserve"> + </w:t>
      </w:r>
      <w:proofErr w:type="spellStart"/>
      <w:r w:rsidRPr="00C97239">
        <w:rPr>
          <w:rFonts w:eastAsia="Arial"/>
        </w:rPr>
        <w:t>azacitidino</w:t>
      </w:r>
      <w:proofErr w:type="spellEnd"/>
      <w:r w:rsidRPr="00C97239">
        <w:rPr>
          <w:rFonts w:eastAsia="Arial"/>
        </w:rPr>
        <w:t xml:space="preserve"> grupėje</w:t>
      </w:r>
      <w:r w:rsidRPr="00C97239">
        <w:t xml:space="preserve">, palyginti su 7,0 (95 % PI: 5,6–9,5) mėn. </w:t>
      </w:r>
      <w:proofErr w:type="spellStart"/>
      <w:r w:rsidRPr="00C97239">
        <w:rPr>
          <w:rFonts w:eastAsia="Arial"/>
        </w:rPr>
        <w:t>placebo</w:t>
      </w:r>
      <w:proofErr w:type="spellEnd"/>
      <w:r w:rsidRPr="00C97239">
        <w:rPr>
          <w:rFonts w:eastAsia="Arial"/>
        </w:rPr>
        <w:t xml:space="preserve"> + </w:t>
      </w:r>
      <w:proofErr w:type="spellStart"/>
      <w:r w:rsidRPr="00C97239">
        <w:rPr>
          <w:rFonts w:eastAsia="Arial"/>
        </w:rPr>
        <w:t>azacitidino</w:t>
      </w:r>
      <w:proofErr w:type="spellEnd"/>
      <w:r w:rsidRPr="00C97239">
        <w:t xml:space="preserve"> grupe [RS: 0,63 (95% PI: 0,5–0,8); p&lt;0,001] (6 paveikslas).</w:t>
      </w:r>
    </w:p>
    <w:p w14:paraId="4599E471" w14:textId="77777777" w:rsidR="007F0869" w:rsidRPr="00C97239" w:rsidRDefault="007F0869" w:rsidP="00844A26">
      <w:pPr>
        <w:pStyle w:val="ListParagraph"/>
        <w:numPr>
          <w:ilvl w:val="0"/>
          <w:numId w:val="13"/>
        </w:numPr>
        <w:tabs>
          <w:tab w:val="left" w:pos="426"/>
        </w:tabs>
        <w:spacing w:line="276" w:lineRule="auto"/>
        <w:jc w:val="both"/>
        <w:rPr>
          <w:szCs w:val="20"/>
        </w:rPr>
      </w:pPr>
      <w:r w:rsidRPr="00C97239">
        <w:t xml:space="preserve">Visuose analizuotuose molekulinių žymenų pogrupiuose </w:t>
      </w:r>
      <w:proofErr w:type="spellStart"/>
      <w:r w:rsidRPr="00C97239">
        <w:t>azacitidino</w:t>
      </w:r>
      <w:proofErr w:type="spellEnd"/>
      <w:r w:rsidRPr="00C97239">
        <w:t xml:space="preserve"> ir </w:t>
      </w:r>
      <w:proofErr w:type="spellStart"/>
      <w:r w:rsidRPr="00C97239">
        <w:t>venetoklakso</w:t>
      </w:r>
      <w:proofErr w:type="spellEnd"/>
      <w:r w:rsidRPr="00C97239">
        <w:t xml:space="preserve"> derinys žymiai pagerino sudėtinę remisiją, palyginti su kontroline grupe.</w:t>
      </w:r>
    </w:p>
    <w:p w14:paraId="3BDDA3A2" w14:textId="77777777" w:rsidR="007F0869" w:rsidRDefault="007F0869" w:rsidP="00844A26">
      <w:pPr>
        <w:tabs>
          <w:tab w:val="left" w:pos="492"/>
        </w:tabs>
        <w:spacing w:line="276" w:lineRule="auto"/>
        <w:jc w:val="both"/>
        <w:outlineLvl w:val="1"/>
        <w:rPr>
          <w:rFonts w:eastAsia="Arial"/>
          <w:bCs/>
        </w:rPr>
      </w:pPr>
      <w:r w:rsidRPr="00C97239">
        <w:rPr>
          <w:rFonts w:eastAsia="Arial"/>
          <w:bCs/>
        </w:rPr>
        <w:tab/>
      </w:r>
      <w:r w:rsidRPr="00C97239">
        <w:rPr>
          <w:rFonts w:eastAsia="Arial"/>
          <w:bCs/>
        </w:rPr>
        <w:tab/>
        <w:t xml:space="preserve">Vertinant pacientų praneštas baigtis stebėtas EQ5D VAS skalės įverčių reikšmingas pokytis. Visoje populiacijoje </w:t>
      </w:r>
      <w:proofErr w:type="spellStart"/>
      <w:r w:rsidRPr="00C97239">
        <w:rPr>
          <w:rFonts w:eastAsia="Arial"/>
        </w:rPr>
        <w:t>venetoklakso</w:t>
      </w:r>
      <w:proofErr w:type="spellEnd"/>
      <w:r w:rsidRPr="00C97239">
        <w:rPr>
          <w:rFonts w:eastAsia="Arial"/>
        </w:rPr>
        <w:t xml:space="preserve"> + </w:t>
      </w:r>
      <w:proofErr w:type="spellStart"/>
      <w:r w:rsidRPr="00C97239">
        <w:rPr>
          <w:rFonts w:eastAsia="Arial"/>
        </w:rPr>
        <w:t>azacitidino</w:t>
      </w:r>
      <w:proofErr w:type="spellEnd"/>
      <w:r w:rsidRPr="00C97239">
        <w:rPr>
          <w:rFonts w:eastAsia="Arial"/>
        </w:rPr>
        <w:t xml:space="preserve"> </w:t>
      </w:r>
      <w:r w:rsidRPr="00C97239">
        <w:rPr>
          <w:rFonts w:eastAsia="Arial"/>
          <w:bCs/>
        </w:rPr>
        <w:t>grupės tiriamieji žymiai ilgiau išgyveno iki gyvenimo kokybės pablogėjimo (p≤0,05), o vidutinė trukmė buvo 10,7 mėnesio, palyginti su kontroline grupe, kurios vidutinė trukmė buvo 3,9 mėnesio. Gydymo grupės kreivės buvo aiškiai atskirtos nuo maždaug 2 mėnesio. Koreguotas RS buvo 0,55 (95 proc. PI 0,394-0,768; p=0,0004).</w:t>
      </w:r>
    </w:p>
    <w:p w14:paraId="40DB5CDC" w14:textId="77777777" w:rsidR="007F0869" w:rsidRDefault="007F0869" w:rsidP="00844A26">
      <w:pPr>
        <w:tabs>
          <w:tab w:val="left" w:pos="492"/>
        </w:tabs>
        <w:spacing w:line="276" w:lineRule="auto"/>
        <w:jc w:val="both"/>
        <w:outlineLvl w:val="1"/>
      </w:pPr>
      <w:r>
        <w:rPr>
          <w:rFonts w:eastAsia="Arial"/>
          <w:bCs/>
        </w:rPr>
        <w:tab/>
      </w:r>
      <w:r>
        <w:rPr>
          <w:rFonts w:eastAsia="Arial"/>
          <w:bCs/>
        </w:rPr>
        <w:tab/>
        <w:t xml:space="preserve">Apibendrinant klinikinio tyrimo </w:t>
      </w:r>
      <w:r w:rsidRPr="00C97239">
        <w:t>VIALE-A</w:t>
      </w:r>
      <w:r>
        <w:t xml:space="preserve"> rezultatus, pacientams, sergantiems ūmine </w:t>
      </w:r>
      <w:proofErr w:type="spellStart"/>
      <w:r>
        <w:t>mieloidine</w:t>
      </w:r>
      <w:proofErr w:type="spellEnd"/>
      <w:r>
        <w:t xml:space="preserve"> leukemija, kuriems netinkamas gydymas chemoterapija, gydymas </w:t>
      </w:r>
      <w:proofErr w:type="spellStart"/>
      <w:r>
        <w:t>azacitidino</w:t>
      </w:r>
      <w:proofErr w:type="spellEnd"/>
      <w:r>
        <w:t xml:space="preserve"> ir </w:t>
      </w:r>
      <w:proofErr w:type="spellStart"/>
      <w:r>
        <w:t>venetoklakso</w:t>
      </w:r>
      <w:proofErr w:type="spellEnd"/>
      <w:r>
        <w:t xml:space="preserve"> deriniu reikšmingai pagerino bendrojo </w:t>
      </w:r>
      <w:proofErr w:type="spellStart"/>
      <w:r>
        <w:t>išgyvenamumo</w:t>
      </w:r>
      <w:proofErr w:type="spellEnd"/>
      <w:r>
        <w:t xml:space="preserve"> rodmens rezultatus, o mirties įvykio tikimybę statistiškai reikšmingai sumažino 34 proc., buvo stebėti ir statistiškai reikšmingas poveikis </w:t>
      </w:r>
      <w:proofErr w:type="spellStart"/>
      <w:r>
        <w:t>išgyvenamumui</w:t>
      </w:r>
      <w:proofErr w:type="spellEnd"/>
      <w:r>
        <w:t xml:space="preserve"> be įvykių bei kitoms antrinėms vertinamosiomis baigtims. Priimta išvada dėl papildomos naudos sukūrimą grindžiama tiesioginio palyginimo tyrime pasiektu statistiškai reikšmingu skirtumu tarp palyginamųjų grupių. </w:t>
      </w:r>
    </w:p>
    <w:p w14:paraId="30F3219E" w14:textId="77777777" w:rsidR="007F0869" w:rsidRPr="00E33EFF" w:rsidRDefault="007F0869" w:rsidP="00844A26">
      <w:pPr>
        <w:pStyle w:val="ListParagraph"/>
        <w:tabs>
          <w:tab w:val="left" w:pos="426"/>
        </w:tabs>
        <w:spacing w:line="276" w:lineRule="auto"/>
        <w:ind w:left="0"/>
        <w:rPr>
          <w:b/>
          <w:bCs/>
          <w:caps/>
        </w:rPr>
      </w:pPr>
    </w:p>
    <w:p w14:paraId="7DE09EB5" w14:textId="69E9DD74" w:rsidR="00E03C3F" w:rsidRPr="00EE4319" w:rsidRDefault="00CC7832" w:rsidP="00844A26">
      <w:pPr>
        <w:pStyle w:val="ListParagraph"/>
        <w:numPr>
          <w:ilvl w:val="0"/>
          <w:numId w:val="12"/>
        </w:numPr>
        <w:tabs>
          <w:tab w:val="left" w:pos="567"/>
        </w:tabs>
        <w:spacing w:line="276" w:lineRule="auto"/>
        <w:ind w:hanging="720"/>
        <w:rPr>
          <w:b/>
          <w:bCs/>
          <w:caps/>
        </w:rPr>
      </w:pPr>
      <w:r w:rsidRPr="00EE4319">
        <w:rPr>
          <w:b/>
          <w:bCs/>
          <w:caps/>
        </w:rPr>
        <w:t xml:space="preserve">ekonominio vertinimo </w:t>
      </w:r>
      <w:r w:rsidR="002F0E4F" w:rsidRPr="00EE4319">
        <w:rPr>
          <w:b/>
          <w:bCs/>
          <w:caps/>
        </w:rPr>
        <w:t>apibendrinimas</w:t>
      </w:r>
    </w:p>
    <w:p w14:paraId="1A900598" w14:textId="561C30E5" w:rsidR="00C62B36" w:rsidRPr="00EE4319" w:rsidRDefault="00C62B36" w:rsidP="00844A26">
      <w:pPr>
        <w:tabs>
          <w:tab w:val="left" w:pos="426"/>
        </w:tabs>
        <w:spacing w:line="276" w:lineRule="auto"/>
        <w:rPr>
          <w:i/>
          <w:color w:val="00B050"/>
          <w:sz w:val="22"/>
          <w:szCs w:val="22"/>
        </w:rPr>
      </w:pPr>
    </w:p>
    <w:p w14:paraId="128CADC4" w14:textId="51A380F4" w:rsidR="00EE4319" w:rsidRPr="00EE4319" w:rsidRDefault="00EE4319" w:rsidP="00844A26">
      <w:pPr>
        <w:shd w:val="clear" w:color="auto" w:fill="FFFFFF"/>
        <w:spacing w:line="276" w:lineRule="auto"/>
        <w:jc w:val="both"/>
        <w:rPr>
          <w:rFonts w:eastAsia="Arial"/>
        </w:rPr>
      </w:pPr>
      <w:r w:rsidRPr="00EE4319">
        <w:rPr>
          <w:rFonts w:eastAsia="Arial"/>
        </w:rPr>
        <w:t xml:space="preserve">Pateikta kaštų naudingumo analizė, vertinant </w:t>
      </w:r>
      <w:proofErr w:type="spellStart"/>
      <w:r w:rsidRPr="00EE4319">
        <w:rPr>
          <w:rFonts w:eastAsia="Arial"/>
        </w:rPr>
        <w:t>venetoklakso+azacitidinos</w:t>
      </w:r>
      <w:proofErr w:type="spellEnd"/>
      <w:r w:rsidRPr="00EE4319">
        <w:rPr>
          <w:rFonts w:eastAsia="Arial"/>
        </w:rPr>
        <w:t xml:space="preserve"> derinio veiksmingumą, lyginant su dabartine praktika Lietuvoje – </w:t>
      </w:r>
      <w:proofErr w:type="spellStart"/>
      <w:r w:rsidRPr="00EE4319">
        <w:rPr>
          <w:rFonts w:eastAsia="Arial"/>
        </w:rPr>
        <w:t>azacitidino</w:t>
      </w:r>
      <w:proofErr w:type="spellEnd"/>
      <w:r w:rsidRPr="00EE4319">
        <w:rPr>
          <w:rFonts w:eastAsia="Arial"/>
        </w:rPr>
        <w:t xml:space="preserve"> </w:t>
      </w:r>
      <w:proofErr w:type="spellStart"/>
      <w:r w:rsidRPr="00EE4319">
        <w:rPr>
          <w:rFonts w:eastAsia="Arial"/>
        </w:rPr>
        <w:t>monoterapija</w:t>
      </w:r>
      <w:proofErr w:type="spellEnd"/>
      <w:r w:rsidRPr="00EE4319">
        <w:rPr>
          <w:rFonts w:eastAsia="Arial"/>
        </w:rPr>
        <w:t xml:space="preserve">. Tarnyba vertina, </w:t>
      </w:r>
      <w:r>
        <w:rPr>
          <w:rFonts w:eastAsia="Arial"/>
        </w:rPr>
        <w:t xml:space="preserve">jog </w:t>
      </w:r>
      <w:proofErr w:type="spellStart"/>
      <w:r>
        <w:rPr>
          <w:rFonts w:eastAsia="Arial"/>
        </w:rPr>
        <w:t>venetoklakso</w:t>
      </w:r>
      <w:proofErr w:type="spellEnd"/>
      <w:r>
        <w:rPr>
          <w:rFonts w:eastAsia="Arial"/>
        </w:rPr>
        <w:t xml:space="preserve"> ir </w:t>
      </w:r>
      <w:proofErr w:type="spellStart"/>
      <w:r>
        <w:rPr>
          <w:rFonts w:eastAsia="Arial"/>
        </w:rPr>
        <w:t>azacitidino</w:t>
      </w:r>
      <w:proofErr w:type="spellEnd"/>
      <w:r w:rsidRPr="00EE4319">
        <w:rPr>
          <w:rFonts w:eastAsia="Arial"/>
        </w:rPr>
        <w:t xml:space="preserve"> derinys yra kaštams naudingas.</w:t>
      </w:r>
    </w:p>
    <w:p w14:paraId="0D70C360" w14:textId="797D975F" w:rsidR="00EE4319" w:rsidRPr="00EE4319" w:rsidRDefault="00EE4319" w:rsidP="00A93AA6">
      <w:pPr>
        <w:tabs>
          <w:tab w:val="left" w:pos="426"/>
        </w:tabs>
        <w:rPr>
          <w:b/>
          <w:bCs/>
          <w:caps/>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84"/>
        <w:gridCol w:w="2911"/>
        <w:gridCol w:w="1708"/>
        <w:gridCol w:w="2405"/>
      </w:tblGrid>
      <w:tr w:rsidR="00EE4319" w:rsidRPr="00EE4319" w14:paraId="5DCFD3C8" w14:textId="77777777" w:rsidTr="00816A2B">
        <w:trPr>
          <w:trHeight w:val="364"/>
          <w:jc w:val="center"/>
        </w:trPr>
        <w:tc>
          <w:tcPr>
            <w:tcW w:w="9908" w:type="dxa"/>
            <w:gridSpan w:val="4"/>
            <w:tcBorders>
              <w:top w:val="single" w:sz="12" w:space="0" w:color="auto"/>
              <w:bottom w:val="single" w:sz="4" w:space="0" w:color="auto"/>
            </w:tcBorders>
            <w:vAlign w:val="center"/>
          </w:tcPr>
          <w:p w14:paraId="38883E6E" w14:textId="77777777" w:rsidR="00EE4319" w:rsidRPr="00EE4319" w:rsidRDefault="00EE4319" w:rsidP="00816A2B">
            <w:pPr>
              <w:tabs>
                <w:tab w:val="left" w:pos="567"/>
              </w:tabs>
              <w:jc w:val="center"/>
              <w:rPr>
                <w:b/>
                <w:i/>
                <w:iCs/>
                <w:color w:val="00B050"/>
                <w:sz w:val="22"/>
                <w:szCs w:val="22"/>
                <w:lang w:eastAsia="lt-LT"/>
              </w:rPr>
            </w:pPr>
            <w:r w:rsidRPr="00EE4319">
              <w:rPr>
                <w:b/>
                <w:lang w:eastAsia="lt-LT"/>
              </w:rPr>
              <w:t>Kaštai</w:t>
            </w:r>
          </w:p>
        </w:tc>
      </w:tr>
      <w:tr w:rsidR="00EE4319" w:rsidRPr="00EE4319" w14:paraId="0BCD06CE" w14:textId="77777777" w:rsidTr="00816A2B">
        <w:trPr>
          <w:jc w:val="center"/>
        </w:trPr>
        <w:tc>
          <w:tcPr>
            <w:tcW w:w="2884" w:type="dxa"/>
            <w:tcBorders>
              <w:top w:val="single" w:sz="4" w:space="0" w:color="auto"/>
              <w:bottom w:val="single" w:sz="4" w:space="0" w:color="auto"/>
            </w:tcBorders>
          </w:tcPr>
          <w:p w14:paraId="08FC86FC" w14:textId="77777777" w:rsidR="00EE4319" w:rsidRPr="00EE4319" w:rsidRDefault="00EE4319" w:rsidP="00816A2B">
            <w:pPr>
              <w:tabs>
                <w:tab w:val="left" w:pos="567"/>
              </w:tabs>
              <w:jc w:val="both"/>
              <w:rPr>
                <w:color w:val="00B050"/>
                <w:lang w:eastAsia="lt-LT"/>
              </w:rPr>
            </w:pPr>
          </w:p>
        </w:tc>
        <w:tc>
          <w:tcPr>
            <w:tcW w:w="2911" w:type="dxa"/>
            <w:tcBorders>
              <w:top w:val="single" w:sz="4" w:space="0" w:color="auto"/>
              <w:bottom w:val="single" w:sz="4" w:space="0" w:color="auto"/>
            </w:tcBorders>
          </w:tcPr>
          <w:p w14:paraId="5AD33787" w14:textId="77777777" w:rsidR="00EE4319" w:rsidRPr="00EE4319" w:rsidRDefault="00EE4319" w:rsidP="00816A2B">
            <w:pPr>
              <w:tabs>
                <w:tab w:val="left" w:pos="567"/>
              </w:tabs>
              <w:jc w:val="both"/>
              <w:rPr>
                <w:i/>
                <w:iCs/>
                <w:lang w:eastAsia="lt-LT"/>
              </w:rPr>
            </w:pPr>
            <w:proofErr w:type="spellStart"/>
            <w:r w:rsidRPr="00EE4319">
              <w:rPr>
                <w:i/>
                <w:iCs/>
                <w:lang w:eastAsia="lt-LT"/>
              </w:rPr>
              <w:t>Venetoklaksas+azacitidinas</w:t>
            </w:r>
            <w:proofErr w:type="spellEnd"/>
          </w:p>
        </w:tc>
        <w:tc>
          <w:tcPr>
            <w:tcW w:w="1708" w:type="dxa"/>
            <w:tcBorders>
              <w:top w:val="single" w:sz="4" w:space="0" w:color="auto"/>
              <w:bottom w:val="single" w:sz="4" w:space="0" w:color="auto"/>
            </w:tcBorders>
          </w:tcPr>
          <w:p w14:paraId="740628E8" w14:textId="77777777" w:rsidR="00EE4319" w:rsidRPr="00EE4319" w:rsidRDefault="00EE4319" w:rsidP="00816A2B">
            <w:pPr>
              <w:tabs>
                <w:tab w:val="left" w:pos="567"/>
              </w:tabs>
              <w:jc w:val="both"/>
              <w:rPr>
                <w:i/>
                <w:iCs/>
                <w:lang w:eastAsia="lt-LT"/>
              </w:rPr>
            </w:pPr>
            <w:proofErr w:type="spellStart"/>
            <w:r w:rsidRPr="00EE4319">
              <w:rPr>
                <w:i/>
                <w:iCs/>
                <w:lang w:eastAsia="lt-LT"/>
              </w:rPr>
              <w:t>Azacitidinas</w:t>
            </w:r>
            <w:proofErr w:type="spellEnd"/>
          </w:p>
        </w:tc>
        <w:tc>
          <w:tcPr>
            <w:tcW w:w="2405" w:type="dxa"/>
            <w:tcBorders>
              <w:top w:val="single" w:sz="4" w:space="0" w:color="auto"/>
              <w:bottom w:val="single" w:sz="4" w:space="0" w:color="auto"/>
            </w:tcBorders>
          </w:tcPr>
          <w:p w14:paraId="2B5C3795" w14:textId="77777777" w:rsidR="00EE4319" w:rsidRPr="00EE4319" w:rsidRDefault="00EE4319" w:rsidP="00816A2B">
            <w:pPr>
              <w:tabs>
                <w:tab w:val="left" w:pos="567"/>
              </w:tabs>
              <w:jc w:val="both"/>
              <w:rPr>
                <w:i/>
                <w:lang w:eastAsia="lt-LT"/>
              </w:rPr>
            </w:pPr>
            <w:r w:rsidRPr="00EE4319">
              <w:rPr>
                <w:i/>
                <w:lang w:eastAsia="lt-LT"/>
              </w:rPr>
              <w:t xml:space="preserve">Skirtumas, </w:t>
            </w:r>
            <w:proofErr w:type="spellStart"/>
            <w:r w:rsidRPr="00EE4319">
              <w:rPr>
                <w:i/>
                <w:lang w:eastAsia="lt-LT"/>
              </w:rPr>
              <w:t>eur</w:t>
            </w:r>
            <w:proofErr w:type="spellEnd"/>
          </w:p>
        </w:tc>
      </w:tr>
      <w:tr w:rsidR="00A36797" w:rsidRPr="00EE4319" w14:paraId="4EC9D543" w14:textId="77777777" w:rsidTr="00816A2B">
        <w:trPr>
          <w:jc w:val="center"/>
        </w:trPr>
        <w:tc>
          <w:tcPr>
            <w:tcW w:w="2884" w:type="dxa"/>
            <w:tcBorders>
              <w:top w:val="single" w:sz="4" w:space="0" w:color="auto"/>
              <w:bottom w:val="single" w:sz="4" w:space="0" w:color="auto"/>
            </w:tcBorders>
          </w:tcPr>
          <w:p w14:paraId="538ABEBD" w14:textId="77777777" w:rsidR="00A36797" w:rsidRPr="00EE4319" w:rsidRDefault="00A36797" w:rsidP="00A36797">
            <w:pPr>
              <w:tabs>
                <w:tab w:val="left" w:pos="567"/>
              </w:tabs>
              <w:rPr>
                <w:iCs/>
                <w:color w:val="000000"/>
                <w:lang w:eastAsia="lt-LT"/>
              </w:rPr>
            </w:pPr>
            <w:r w:rsidRPr="00EE4319">
              <w:rPr>
                <w:iCs/>
                <w:color w:val="000000"/>
                <w:lang w:eastAsia="lt-LT"/>
              </w:rPr>
              <w:lastRenderedPageBreak/>
              <w:t>Vaistinių preparatų įsigijimo kaštai</w:t>
            </w:r>
          </w:p>
        </w:tc>
        <w:tc>
          <w:tcPr>
            <w:tcW w:w="2911" w:type="dxa"/>
            <w:tcBorders>
              <w:top w:val="single" w:sz="4" w:space="0" w:color="auto"/>
              <w:bottom w:val="single" w:sz="4" w:space="0" w:color="auto"/>
            </w:tcBorders>
          </w:tcPr>
          <w:p w14:paraId="0CC43174" w14:textId="2AFB0FBA" w:rsidR="00A36797" w:rsidRPr="00EE4319" w:rsidRDefault="00A36797" w:rsidP="00A36797">
            <w:pPr>
              <w:tabs>
                <w:tab w:val="left" w:pos="567"/>
              </w:tabs>
              <w:jc w:val="both"/>
              <w:rPr>
                <w:i/>
                <w:iCs/>
                <w:lang w:eastAsia="lt-LT"/>
              </w:rPr>
            </w:pPr>
            <w:r w:rsidRPr="00021B01">
              <w:rPr>
                <w:b/>
                <w:bCs/>
                <w:caps/>
              </w:rPr>
              <w:t>*****</w:t>
            </w:r>
          </w:p>
        </w:tc>
        <w:tc>
          <w:tcPr>
            <w:tcW w:w="1708" w:type="dxa"/>
            <w:tcBorders>
              <w:top w:val="single" w:sz="4" w:space="0" w:color="auto"/>
              <w:bottom w:val="single" w:sz="4" w:space="0" w:color="auto"/>
            </w:tcBorders>
          </w:tcPr>
          <w:p w14:paraId="5DA9EBFB" w14:textId="7579D1E7" w:rsidR="00A36797" w:rsidRPr="00EE4319" w:rsidRDefault="00A36797" w:rsidP="00A36797">
            <w:pPr>
              <w:tabs>
                <w:tab w:val="left" w:pos="567"/>
              </w:tabs>
              <w:jc w:val="both"/>
              <w:rPr>
                <w:i/>
                <w:iCs/>
                <w:lang w:eastAsia="lt-LT"/>
              </w:rPr>
            </w:pPr>
            <w:r w:rsidRPr="00021B01">
              <w:rPr>
                <w:b/>
                <w:bCs/>
                <w:caps/>
              </w:rPr>
              <w:t>*****</w:t>
            </w:r>
          </w:p>
        </w:tc>
        <w:tc>
          <w:tcPr>
            <w:tcW w:w="2405" w:type="dxa"/>
            <w:tcBorders>
              <w:top w:val="single" w:sz="4" w:space="0" w:color="auto"/>
              <w:bottom w:val="single" w:sz="4" w:space="0" w:color="auto"/>
            </w:tcBorders>
          </w:tcPr>
          <w:p w14:paraId="5ACEE8E7" w14:textId="378FCCEA" w:rsidR="00A36797" w:rsidRPr="00EE4319" w:rsidRDefault="00A36797" w:rsidP="00A36797">
            <w:pPr>
              <w:tabs>
                <w:tab w:val="left" w:pos="567"/>
              </w:tabs>
              <w:jc w:val="both"/>
              <w:rPr>
                <w:lang w:eastAsia="lt-LT"/>
              </w:rPr>
            </w:pPr>
            <w:r w:rsidRPr="00021B01">
              <w:rPr>
                <w:b/>
                <w:bCs/>
                <w:caps/>
              </w:rPr>
              <w:t>*****</w:t>
            </w:r>
          </w:p>
        </w:tc>
      </w:tr>
      <w:tr w:rsidR="00A36797" w:rsidRPr="00EE4319" w14:paraId="3975F5C1" w14:textId="77777777" w:rsidTr="00816A2B">
        <w:trPr>
          <w:jc w:val="center"/>
        </w:trPr>
        <w:tc>
          <w:tcPr>
            <w:tcW w:w="2884" w:type="dxa"/>
            <w:tcBorders>
              <w:top w:val="single" w:sz="4" w:space="0" w:color="auto"/>
              <w:bottom w:val="single" w:sz="4" w:space="0" w:color="auto"/>
            </w:tcBorders>
          </w:tcPr>
          <w:p w14:paraId="30074208" w14:textId="77777777" w:rsidR="00A36797" w:rsidRPr="00EE4319" w:rsidRDefault="00A36797" w:rsidP="00A36797">
            <w:pPr>
              <w:tabs>
                <w:tab w:val="left" w:pos="567"/>
              </w:tabs>
              <w:rPr>
                <w:iCs/>
                <w:color w:val="000000"/>
                <w:lang w:eastAsia="lt-LT"/>
              </w:rPr>
            </w:pPr>
            <w:r w:rsidRPr="00EE4319">
              <w:rPr>
                <w:iCs/>
                <w:color w:val="000000"/>
                <w:lang w:eastAsia="lt-LT"/>
              </w:rPr>
              <w:t>Sekančių eilių gydymo kaštai</w:t>
            </w:r>
          </w:p>
        </w:tc>
        <w:tc>
          <w:tcPr>
            <w:tcW w:w="2911" w:type="dxa"/>
            <w:tcBorders>
              <w:top w:val="single" w:sz="4" w:space="0" w:color="auto"/>
              <w:bottom w:val="single" w:sz="4" w:space="0" w:color="auto"/>
            </w:tcBorders>
          </w:tcPr>
          <w:p w14:paraId="217D0CD1" w14:textId="4AACF690" w:rsidR="00A36797" w:rsidRPr="00EE4319" w:rsidRDefault="00A36797" w:rsidP="00A36797">
            <w:pPr>
              <w:tabs>
                <w:tab w:val="left" w:pos="567"/>
              </w:tabs>
              <w:jc w:val="both"/>
              <w:rPr>
                <w:i/>
                <w:iCs/>
                <w:lang w:eastAsia="lt-LT"/>
              </w:rPr>
            </w:pPr>
            <w:r w:rsidRPr="00021B01">
              <w:rPr>
                <w:b/>
                <w:bCs/>
                <w:caps/>
              </w:rPr>
              <w:t>*****</w:t>
            </w:r>
          </w:p>
        </w:tc>
        <w:tc>
          <w:tcPr>
            <w:tcW w:w="1708" w:type="dxa"/>
            <w:tcBorders>
              <w:top w:val="single" w:sz="4" w:space="0" w:color="auto"/>
              <w:bottom w:val="single" w:sz="4" w:space="0" w:color="auto"/>
            </w:tcBorders>
          </w:tcPr>
          <w:p w14:paraId="55617495" w14:textId="277C1952" w:rsidR="00A36797" w:rsidRPr="00EE4319" w:rsidRDefault="00A36797" w:rsidP="00A36797">
            <w:pPr>
              <w:tabs>
                <w:tab w:val="left" w:pos="567"/>
              </w:tabs>
              <w:jc w:val="both"/>
              <w:rPr>
                <w:i/>
                <w:iCs/>
                <w:lang w:eastAsia="lt-LT"/>
              </w:rPr>
            </w:pPr>
            <w:r w:rsidRPr="00021B01">
              <w:rPr>
                <w:b/>
                <w:bCs/>
                <w:caps/>
              </w:rPr>
              <w:t>*****</w:t>
            </w:r>
          </w:p>
        </w:tc>
        <w:tc>
          <w:tcPr>
            <w:tcW w:w="2405" w:type="dxa"/>
            <w:tcBorders>
              <w:top w:val="single" w:sz="4" w:space="0" w:color="auto"/>
              <w:bottom w:val="single" w:sz="4" w:space="0" w:color="auto"/>
            </w:tcBorders>
          </w:tcPr>
          <w:p w14:paraId="16C25CFC" w14:textId="1264EC15" w:rsidR="00A36797" w:rsidRPr="00EE4319" w:rsidRDefault="00A36797" w:rsidP="00A36797">
            <w:pPr>
              <w:tabs>
                <w:tab w:val="left" w:pos="567"/>
              </w:tabs>
              <w:jc w:val="both"/>
              <w:rPr>
                <w:lang w:eastAsia="lt-LT"/>
              </w:rPr>
            </w:pPr>
            <w:r w:rsidRPr="00021B01">
              <w:rPr>
                <w:b/>
                <w:bCs/>
                <w:caps/>
              </w:rPr>
              <w:t>*****</w:t>
            </w:r>
          </w:p>
        </w:tc>
      </w:tr>
      <w:tr w:rsidR="00A36797" w:rsidRPr="00EE4319" w14:paraId="186F4A10" w14:textId="77777777" w:rsidTr="00816A2B">
        <w:trPr>
          <w:jc w:val="center"/>
        </w:trPr>
        <w:tc>
          <w:tcPr>
            <w:tcW w:w="2884" w:type="dxa"/>
            <w:tcBorders>
              <w:top w:val="single" w:sz="4" w:space="0" w:color="auto"/>
              <w:bottom w:val="single" w:sz="4" w:space="0" w:color="auto"/>
            </w:tcBorders>
          </w:tcPr>
          <w:p w14:paraId="7D61CE84" w14:textId="77777777" w:rsidR="00A36797" w:rsidRPr="00EE4319" w:rsidRDefault="00A36797" w:rsidP="00A36797">
            <w:pPr>
              <w:tabs>
                <w:tab w:val="left" w:pos="567"/>
              </w:tabs>
              <w:rPr>
                <w:iCs/>
                <w:color w:val="000000"/>
                <w:lang w:eastAsia="lt-LT"/>
              </w:rPr>
            </w:pPr>
            <w:r w:rsidRPr="00EE4319">
              <w:rPr>
                <w:iCs/>
                <w:color w:val="000000"/>
                <w:lang w:eastAsia="lt-LT"/>
              </w:rPr>
              <w:t>HSCT kaštai</w:t>
            </w:r>
          </w:p>
        </w:tc>
        <w:tc>
          <w:tcPr>
            <w:tcW w:w="2911" w:type="dxa"/>
            <w:tcBorders>
              <w:top w:val="single" w:sz="4" w:space="0" w:color="auto"/>
              <w:bottom w:val="single" w:sz="4" w:space="0" w:color="auto"/>
            </w:tcBorders>
          </w:tcPr>
          <w:p w14:paraId="2C3CA341" w14:textId="7139BB7E" w:rsidR="00A36797" w:rsidRPr="00EE4319" w:rsidRDefault="00A36797" w:rsidP="00A36797">
            <w:pPr>
              <w:tabs>
                <w:tab w:val="left" w:pos="567"/>
              </w:tabs>
              <w:jc w:val="both"/>
              <w:rPr>
                <w:i/>
                <w:iCs/>
                <w:lang w:eastAsia="lt-LT"/>
              </w:rPr>
            </w:pPr>
            <w:r w:rsidRPr="00021B01">
              <w:rPr>
                <w:b/>
                <w:bCs/>
                <w:caps/>
              </w:rPr>
              <w:t>*****</w:t>
            </w:r>
          </w:p>
        </w:tc>
        <w:tc>
          <w:tcPr>
            <w:tcW w:w="1708" w:type="dxa"/>
            <w:tcBorders>
              <w:top w:val="single" w:sz="4" w:space="0" w:color="auto"/>
              <w:bottom w:val="single" w:sz="4" w:space="0" w:color="auto"/>
            </w:tcBorders>
          </w:tcPr>
          <w:p w14:paraId="2D4FAD7C" w14:textId="6ED429EA" w:rsidR="00A36797" w:rsidRPr="00EE4319" w:rsidRDefault="00A36797" w:rsidP="00A36797">
            <w:pPr>
              <w:tabs>
                <w:tab w:val="left" w:pos="567"/>
              </w:tabs>
              <w:jc w:val="both"/>
              <w:rPr>
                <w:i/>
                <w:iCs/>
                <w:lang w:eastAsia="lt-LT"/>
              </w:rPr>
            </w:pPr>
            <w:r w:rsidRPr="00021B01">
              <w:rPr>
                <w:b/>
                <w:bCs/>
                <w:caps/>
              </w:rPr>
              <w:t>*****</w:t>
            </w:r>
          </w:p>
        </w:tc>
        <w:tc>
          <w:tcPr>
            <w:tcW w:w="2405" w:type="dxa"/>
            <w:tcBorders>
              <w:top w:val="single" w:sz="4" w:space="0" w:color="auto"/>
              <w:bottom w:val="single" w:sz="4" w:space="0" w:color="auto"/>
            </w:tcBorders>
          </w:tcPr>
          <w:p w14:paraId="64BF42B7" w14:textId="50B307CB" w:rsidR="00A36797" w:rsidRPr="00EE4319" w:rsidRDefault="00A36797" w:rsidP="00A36797">
            <w:pPr>
              <w:tabs>
                <w:tab w:val="left" w:pos="567"/>
              </w:tabs>
              <w:jc w:val="both"/>
              <w:rPr>
                <w:lang w:eastAsia="lt-LT"/>
              </w:rPr>
            </w:pPr>
            <w:r w:rsidRPr="00021B01">
              <w:rPr>
                <w:b/>
                <w:bCs/>
                <w:caps/>
              </w:rPr>
              <w:t>*****</w:t>
            </w:r>
          </w:p>
        </w:tc>
      </w:tr>
      <w:tr w:rsidR="00A36797" w:rsidRPr="00EE4319" w14:paraId="7EF87EF7" w14:textId="77777777" w:rsidTr="00816A2B">
        <w:trPr>
          <w:jc w:val="center"/>
        </w:trPr>
        <w:tc>
          <w:tcPr>
            <w:tcW w:w="2884" w:type="dxa"/>
            <w:tcBorders>
              <w:top w:val="single" w:sz="4" w:space="0" w:color="auto"/>
              <w:bottom w:val="single" w:sz="4" w:space="0" w:color="auto"/>
            </w:tcBorders>
          </w:tcPr>
          <w:p w14:paraId="00790AA7" w14:textId="77777777" w:rsidR="00A36797" w:rsidRPr="00EE4319" w:rsidRDefault="00A36797" w:rsidP="00A36797">
            <w:pPr>
              <w:tabs>
                <w:tab w:val="left" w:pos="567"/>
              </w:tabs>
              <w:jc w:val="both"/>
              <w:rPr>
                <w:iCs/>
                <w:color w:val="00B050"/>
                <w:lang w:eastAsia="lt-LT"/>
              </w:rPr>
            </w:pPr>
            <w:r w:rsidRPr="00EE4319">
              <w:rPr>
                <w:iCs/>
                <w:color w:val="000000"/>
                <w:lang w:eastAsia="lt-LT"/>
              </w:rPr>
              <w:t>Nepageidaujamų reiškinių valdymo kaštai</w:t>
            </w:r>
          </w:p>
        </w:tc>
        <w:tc>
          <w:tcPr>
            <w:tcW w:w="2911" w:type="dxa"/>
            <w:tcBorders>
              <w:top w:val="single" w:sz="4" w:space="0" w:color="auto"/>
              <w:bottom w:val="single" w:sz="4" w:space="0" w:color="auto"/>
            </w:tcBorders>
          </w:tcPr>
          <w:p w14:paraId="3E9A5D0B" w14:textId="3814C0A9" w:rsidR="00A36797" w:rsidRPr="00EE4319" w:rsidRDefault="00A36797" w:rsidP="00A36797">
            <w:pPr>
              <w:tabs>
                <w:tab w:val="left" w:pos="567"/>
              </w:tabs>
              <w:jc w:val="both"/>
              <w:rPr>
                <w:i/>
                <w:iCs/>
                <w:lang w:eastAsia="lt-LT"/>
              </w:rPr>
            </w:pPr>
            <w:r w:rsidRPr="00021B01">
              <w:rPr>
                <w:b/>
                <w:bCs/>
                <w:caps/>
              </w:rPr>
              <w:t>*****</w:t>
            </w:r>
          </w:p>
        </w:tc>
        <w:tc>
          <w:tcPr>
            <w:tcW w:w="1708" w:type="dxa"/>
            <w:tcBorders>
              <w:top w:val="single" w:sz="4" w:space="0" w:color="auto"/>
              <w:bottom w:val="single" w:sz="4" w:space="0" w:color="auto"/>
            </w:tcBorders>
          </w:tcPr>
          <w:p w14:paraId="42F04790" w14:textId="5B9CAAC8" w:rsidR="00A36797" w:rsidRPr="00EE4319" w:rsidRDefault="00A36797" w:rsidP="00A36797">
            <w:pPr>
              <w:tabs>
                <w:tab w:val="left" w:pos="567"/>
              </w:tabs>
              <w:jc w:val="both"/>
              <w:rPr>
                <w:i/>
                <w:iCs/>
                <w:lang w:eastAsia="lt-LT"/>
              </w:rPr>
            </w:pPr>
            <w:r w:rsidRPr="00021B01">
              <w:rPr>
                <w:b/>
                <w:bCs/>
                <w:caps/>
              </w:rPr>
              <w:t>*****</w:t>
            </w:r>
          </w:p>
        </w:tc>
        <w:tc>
          <w:tcPr>
            <w:tcW w:w="2405" w:type="dxa"/>
            <w:tcBorders>
              <w:top w:val="single" w:sz="4" w:space="0" w:color="auto"/>
              <w:bottom w:val="single" w:sz="4" w:space="0" w:color="auto"/>
            </w:tcBorders>
          </w:tcPr>
          <w:p w14:paraId="16F63914" w14:textId="263CAE88" w:rsidR="00A36797" w:rsidRPr="00EE4319" w:rsidRDefault="00A36797" w:rsidP="00A36797">
            <w:pPr>
              <w:tabs>
                <w:tab w:val="left" w:pos="567"/>
              </w:tabs>
              <w:jc w:val="both"/>
              <w:rPr>
                <w:i/>
                <w:iCs/>
                <w:lang w:eastAsia="lt-LT"/>
              </w:rPr>
            </w:pPr>
            <w:r w:rsidRPr="00021B01">
              <w:rPr>
                <w:b/>
                <w:bCs/>
                <w:caps/>
              </w:rPr>
              <w:t>*****</w:t>
            </w:r>
          </w:p>
        </w:tc>
      </w:tr>
      <w:tr w:rsidR="00A36797" w:rsidRPr="00EE4319" w14:paraId="427C8CE6" w14:textId="77777777" w:rsidTr="00816A2B">
        <w:trPr>
          <w:jc w:val="center"/>
        </w:trPr>
        <w:tc>
          <w:tcPr>
            <w:tcW w:w="2884" w:type="dxa"/>
            <w:tcBorders>
              <w:top w:val="single" w:sz="4" w:space="0" w:color="auto"/>
              <w:bottom w:val="single" w:sz="4" w:space="0" w:color="auto"/>
            </w:tcBorders>
          </w:tcPr>
          <w:p w14:paraId="1E2BCD9B" w14:textId="77777777" w:rsidR="00A36797" w:rsidRPr="00EE4319" w:rsidRDefault="00A36797" w:rsidP="00A36797">
            <w:pPr>
              <w:tabs>
                <w:tab w:val="left" w:pos="567"/>
              </w:tabs>
              <w:jc w:val="both"/>
              <w:rPr>
                <w:iCs/>
                <w:color w:val="000000"/>
                <w:lang w:eastAsia="lt-LT"/>
              </w:rPr>
            </w:pPr>
            <w:r w:rsidRPr="00EE4319">
              <w:rPr>
                <w:iCs/>
                <w:color w:val="000000"/>
                <w:lang w:eastAsia="lt-LT"/>
              </w:rPr>
              <w:t>Terminaliniai kaštai</w:t>
            </w:r>
          </w:p>
        </w:tc>
        <w:tc>
          <w:tcPr>
            <w:tcW w:w="2911" w:type="dxa"/>
            <w:tcBorders>
              <w:top w:val="single" w:sz="4" w:space="0" w:color="auto"/>
              <w:bottom w:val="single" w:sz="4" w:space="0" w:color="auto"/>
            </w:tcBorders>
          </w:tcPr>
          <w:p w14:paraId="117B812A" w14:textId="39A1EB84" w:rsidR="00A36797" w:rsidRPr="00EE4319" w:rsidRDefault="00A36797" w:rsidP="00A36797">
            <w:pPr>
              <w:tabs>
                <w:tab w:val="left" w:pos="567"/>
              </w:tabs>
              <w:jc w:val="both"/>
              <w:rPr>
                <w:i/>
                <w:iCs/>
                <w:lang w:eastAsia="lt-LT"/>
              </w:rPr>
            </w:pPr>
            <w:r w:rsidRPr="00021B01">
              <w:rPr>
                <w:b/>
                <w:bCs/>
                <w:caps/>
              </w:rPr>
              <w:t>*****</w:t>
            </w:r>
          </w:p>
        </w:tc>
        <w:tc>
          <w:tcPr>
            <w:tcW w:w="1708" w:type="dxa"/>
            <w:tcBorders>
              <w:top w:val="single" w:sz="4" w:space="0" w:color="auto"/>
              <w:bottom w:val="single" w:sz="4" w:space="0" w:color="auto"/>
            </w:tcBorders>
          </w:tcPr>
          <w:p w14:paraId="4A16D12B" w14:textId="41B9C52E" w:rsidR="00A36797" w:rsidRPr="00EE4319" w:rsidRDefault="00A36797" w:rsidP="00A36797">
            <w:pPr>
              <w:tabs>
                <w:tab w:val="left" w:pos="567"/>
              </w:tabs>
              <w:jc w:val="both"/>
              <w:rPr>
                <w:i/>
                <w:iCs/>
                <w:lang w:eastAsia="lt-LT"/>
              </w:rPr>
            </w:pPr>
            <w:r w:rsidRPr="00021B01">
              <w:rPr>
                <w:b/>
                <w:bCs/>
                <w:caps/>
              </w:rPr>
              <w:t>*****</w:t>
            </w:r>
          </w:p>
        </w:tc>
        <w:tc>
          <w:tcPr>
            <w:tcW w:w="2405" w:type="dxa"/>
            <w:tcBorders>
              <w:top w:val="single" w:sz="4" w:space="0" w:color="auto"/>
              <w:bottom w:val="single" w:sz="4" w:space="0" w:color="auto"/>
            </w:tcBorders>
          </w:tcPr>
          <w:p w14:paraId="68633F34" w14:textId="04AA01BE" w:rsidR="00A36797" w:rsidRPr="00EE4319" w:rsidRDefault="00A36797" w:rsidP="00A36797">
            <w:pPr>
              <w:tabs>
                <w:tab w:val="left" w:pos="567"/>
              </w:tabs>
              <w:jc w:val="both"/>
              <w:rPr>
                <w:i/>
                <w:iCs/>
                <w:lang w:eastAsia="lt-LT"/>
              </w:rPr>
            </w:pPr>
            <w:r w:rsidRPr="00021B01">
              <w:rPr>
                <w:b/>
                <w:bCs/>
                <w:caps/>
              </w:rPr>
              <w:t>*****</w:t>
            </w:r>
          </w:p>
        </w:tc>
      </w:tr>
      <w:tr w:rsidR="00A36797" w:rsidRPr="00EE4319" w14:paraId="1DFCF9AC" w14:textId="77777777" w:rsidTr="00816A2B">
        <w:trPr>
          <w:jc w:val="center"/>
        </w:trPr>
        <w:tc>
          <w:tcPr>
            <w:tcW w:w="2884" w:type="dxa"/>
            <w:tcBorders>
              <w:top w:val="single" w:sz="4" w:space="0" w:color="auto"/>
              <w:bottom w:val="single" w:sz="12" w:space="0" w:color="auto"/>
            </w:tcBorders>
          </w:tcPr>
          <w:p w14:paraId="3F3639AF" w14:textId="77777777" w:rsidR="00A36797" w:rsidRPr="00EE4319" w:rsidRDefault="00A36797" w:rsidP="00A36797">
            <w:pPr>
              <w:tabs>
                <w:tab w:val="left" w:pos="567"/>
              </w:tabs>
              <w:jc w:val="both"/>
              <w:rPr>
                <w:iCs/>
                <w:lang w:eastAsia="lt-LT"/>
              </w:rPr>
            </w:pPr>
            <w:r w:rsidRPr="00EE4319">
              <w:rPr>
                <w:iCs/>
                <w:lang w:eastAsia="lt-LT"/>
              </w:rPr>
              <w:t>Viso:</w:t>
            </w:r>
          </w:p>
        </w:tc>
        <w:tc>
          <w:tcPr>
            <w:tcW w:w="2911" w:type="dxa"/>
            <w:tcBorders>
              <w:top w:val="single" w:sz="4" w:space="0" w:color="auto"/>
              <w:bottom w:val="single" w:sz="12" w:space="0" w:color="auto"/>
            </w:tcBorders>
          </w:tcPr>
          <w:p w14:paraId="1E4FB828" w14:textId="6E1ED6D2" w:rsidR="00A36797" w:rsidRPr="00EE4319" w:rsidRDefault="00A36797" w:rsidP="00A36797">
            <w:pPr>
              <w:tabs>
                <w:tab w:val="left" w:pos="567"/>
              </w:tabs>
              <w:jc w:val="both"/>
              <w:rPr>
                <w:i/>
                <w:iCs/>
                <w:lang w:eastAsia="lt-LT"/>
              </w:rPr>
            </w:pPr>
            <w:r w:rsidRPr="00021B01">
              <w:rPr>
                <w:b/>
                <w:bCs/>
                <w:caps/>
              </w:rPr>
              <w:t>*****</w:t>
            </w:r>
          </w:p>
        </w:tc>
        <w:tc>
          <w:tcPr>
            <w:tcW w:w="1708" w:type="dxa"/>
            <w:tcBorders>
              <w:top w:val="single" w:sz="4" w:space="0" w:color="auto"/>
              <w:bottom w:val="single" w:sz="12" w:space="0" w:color="auto"/>
            </w:tcBorders>
          </w:tcPr>
          <w:p w14:paraId="7358983E" w14:textId="1C727E87" w:rsidR="00A36797" w:rsidRPr="00EE4319" w:rsidRDefault="00A36797" w:rsidP="00A36797">
            <w:pPr>
              <w:tabs>
                <w:tab w:val="left" w:pos="567"/>
              </w:tabs>
              <w:jc w:val="both"/>
              <w:rPr>
                <w:i/>
                <w:iCs/>
                <w:lang w:eastAsia="lt-LT"/>
              </w:rPr>
            </w:pPr>
            <w:r w:rsidRPr="00021B01">
              <w:rPr>
                <w:b/>
                <w:bCs/>
                <w:caps/>
              </w:rPr>
              <w:t>*****</w:t>
            </w:r>
          </w:p>
        </w:tc>
        <w:tc>
          <w:tcPr>
            <w:tcW w:w="2405" w:type="dxa"/>
            <w:tcBorders>
              <w:top w:val="single" w:sz="4" w:space="0" w:color="auto"/>
              <w:bottom w:val="single" w:sz="12" w:space="0" w:color="auto"/>
            </w:tcBorders>
          </w:tcPr>
          <w:p w14:paraId="28D567D4" w14:textId="7EEC26A7" w:rsidR="00A36797" w:rsidRPr="00EE4319" w:rsidRDefault="00A36797" w:rsidP="00A36797">
            <w:pPr>
              <w:tabs>
                <w:tab w:val="left" w:pos="567"/>
              </w:tabs>
              <w:jc w:val="both"/>
              <w:rPr>
                <w:i/>
                <w:iCs/>
                <w:lang w:eastAsia="lt-LT"/>
              </w:rPr>
            </w:pPr>
            <w:r w:rsidRPr="00021B01">
              <w:rPr>
                <w:b/>
                <w:bCs/>
                <w:caps/>
              </w:rPr>
              <w:t>*****</w:t>
            </w:r>
          </w:p>
        </w:tc>
      </w:tr>
      <w:tr w:rsidR="00EE4319" w:rsidRPr="00EE4319" w14:paraId="47C3A071" w14:textId="77777777" w:rsidTr="00816A2B">
        <w:trPr>
          <w:jc w:val="center"/>
        </w:trPr>
        <w:tc>
          <w:tcPr>
            <w:tcW w:w="9908" w:type="dxa"/>
            <w:gridSpan w:val="4"/>
            <w:tcBorders>
              <w:top w:val="single" w:sz="12" w:space="0" w:color="auto"/>
              <w:bottom w:val="single" w:sz="4" w:space="0" w:color="auto"/>
            </w:tcBorders>
          </w:tcPr>
          <w:p w14:paraId="0D03042B" w14:textId="77777777" w:rsidR="00EE4319" w:rsidRPr="00EE4319" w:rsidRDefault="00EE4319" w:rsidP="00816A2B">
            <w:pPr>
              <w:tabs>
                <w:tab w:val="left" w:pos="567"/>
              </w:tabs>
              <w:jc w:val="center"/>
              <w:rPr>
                <w:iCs/>
                <w:lang w:eastAsia="lt-LT"/>
              </w:rPr>
            </w:pPr>
            <w:r w:rsidRPr="00EE4319">
              <w:rPr>
                <w:lang w:eastAsia="lt-LT"/>
              </w:rPr>
              <w:t>Papildomi gyvenimo metai (LY)</w:t>
            </w:r>
          </w:p>
        </w:tc>
      </w:tr>
      <w:tr w:rsidR="00A36797" w:rsidRPr="00EE4319" w14:paraId="7ACFCD44" w14:textId="77777777" w:rsidTr="00816A2B">
        <w:trPr>
          <w:jc w:val="center"/>
        </w:trPr>
        <w:tc>
          <w:tcPr>
            <w:tcW w:w="2884" w:type="dxa"/>
            <w:tcBorders>
              <w:top w:val="single" w:sz="4" w:space="0" w:color="auto"/>
              <w:bottom w:val="single" w:sz="4" w:space="0" w:color="auto"/>
            </w:tcBorders>
          </w:tcPr>
          <w:p w14:paraId="36EED915" w14:textId="77777777" w:rsidR="00A36797" w:rsidRPr="00EE4319" w:rsidRDefault="00A36797" w:rsidP="00A36797">
            <w:pPr>
              <w:tabs>
                <w:tab w:val="left" w:pos="567"/>
              </w:tabs>
              <w:jc w:val="both"/>
              <w:rPr>
                <w:lang w:eastAsia="lt-LT"/>
              </w:rPr>
            </w:pPr>
            <w:proofErr w:type="spellStart"/>
            <w:r w:rsidRPr="00EE4319">
              <w:rPr>
                <w:iCs/>
                <w:lang w:eastAsia="lt-LT"/>
              </w:rPr>
              <w:t>Venetoklaksas+azacitidinas</w:t>
            </w:r>
            <w:proofErr w:type="spellEnd"/>
          </w:p>
        </w:tc>
        <w:tc>
          <w:tcPr>
            <w:tcW w:w="4619" w:type="dxa"/>
            <w:gridSpan w:val="2"/>
            <w:tcBorders>
              <w:top w:val="single" w:sz="4" w:space="0" w:color="auto"/>
              <w:bottom w:val="single" w:sz="4" w:space="0" w:color="auto"/>
            </w:tcBorders>
          </w:tcPr>
          <w:p w14:paraId="040ABFCB" w14:textId="4A8909C7" w:rsidR="00A36797" w:rsidRPr="00EE4319" w:rsidRDefault="00A36797" w:rsidP="00A36797">
            <w:pPr>
              <w:tabs>
                <w:tab w:val="left" w:pos="567"/>
              </w:tabs>
              <w:jc w:val="both"/>
              <w:rPr>
                <w:i/>
                <w:iCs/>
                <w:lang w:eastAsia="lt-LT"/>
              </w:rPr>
            </w:pPr>
            <w:r w:rsidRPr="0001725A">
              <w:rPr>
                <w:b/>
                <w:bCs/>
                <w:caps/>
              </w:rPr>
              <w:t>*****</w:t>
            </w:r>
          </w:p>
        </w:tc>
        <w:tc>
          <w:tcPr>
            <w:tcW w:w="2405" w:type="dxa"/>
            <w:vMerge w:val="restart"/>
            <w:tcBorders>
              <w:top w:val="single" w:sz="4" w:space="0" w:color="auto"/>
            </w:tcBorders>
          </w:tcPr>
          <w:p w14:paraId="2B6C74F6" w14:textId="4D3CE6C3" w:rsidR="00A36797" w:rsidRPr="00EE4319" w:rsidRDefault="00A36797" w:rsidP="00A36797">
            <w:pPr>
              <w:tabs>
                <w:tab w:val="left" w:pos="567"/>
              </w:tabs>
              <w:jc w:val="both"/>
              <w:rPr>
                <w:lang w:eastAsia="lt-LT"/>
              </w:rPr>
            </w:pPr>
            <w:r w:rsidRPr="00EE4319">
              <w:rPr>
                <w:lang w:eastAsia="lt-LT"/>
              </w:rPr>
              <w:t xml:space="preserve">Skirtumas: </w:t>
            </w:r>
            <w:r>
              <w:rPr>
                <w:b/>
                <w:bCs/>
                <w:caps/>
              </w:rPr>
              <w:t>*****</w:t>
            </w:r>
          </w:p>
        </w:tc>
      </w:tr>
      <w:tr w:rsidR="00A36797" w:rsidRPr="00EE4319" w14:paraId="2D7C1D56" w14:textId="77777777" w:rsidTr="00816A2B">
        <w:trPr>
          <w:jc w:val="center"/>
        </w:trPr>
        <w:tc>
          <w:tcPr>
            <w:tcW w:w="2884" w:type="dxa"/>
            <w:tcBorders>
              <w:top w:val="single" w:sz="4" w:space="0" w:color="auto"/>
              <w:bottom w:val="single" w:sz="12" w:space="0" w:color="auto"/>
            </w:tcBorders>
          </w:tcPr>
          <w:p w14:paraId="1102A9FC" w14:textId="77777777" w:rsidR="00A36797" w:rsidRPr="00EE4319" w:rsidRDefault="00A36797" w:rsidP="00A36797">
            <w:pPr>
              <w:tabs>
                <w:tab w:val="left" w:pos="567"/>
              </w:tabs>
              <w:jc w:val="both"/>
              <w:rPr>
                <w:lang w:eastAsia="lt-LT"/>
              </w:rPr>
            </w:pPr>
            <w:proofErr w:type="spellStart"/>
            <w:r w:rsidRPr="00EE4319">
              <w:rPr>
                <w:iCs/>
                <w:lang w:eastAsia="lt-LT"/>
              </w:rPr>
              <w:t>Azacitidinas</w:t>
            </w:r>
            <w:proofErr w:type="spellEnd"/>
          </w:p>
        </w:tc>
        <w:tc>
          <w:tcPr>
            <w:tcW w:w="4619" w:type="dxa"/>
            <w:gridSpan w:val="2"/>
            <w:tcBorders>
              <w:top w:val="single" w:sz="4" w:space="0" w:color="auto"/>
              <w:bottom w:val="single" w:sz="12" w:space="0" w:color="auto"/>
            </w:tcBorders>
          </w:tcPr>
          <w:p w14:paraId="2E3FDAD3" w14:textId="3651E2CB" w:rsidR="00A36797" w:rsidRPr="00EE4319" w:rsidRDefault="00A36797" w:rsidP="00A36797">
            <w:pPr>
              <w:tabs>
                <w:tab w:val="left" w:pos="567"/>
              </w:tabs>
              <w:jc w:val="both"/>
              <w:rPr>
                <w:i/>
                <w:iCs/>
                <w:lang w:eastAsia="lt-LT"/>
              </w:rPr>
            </w:pPr>
            <w:r w:rsidRPr="0001725A">
              <w:rPr>
                <w:b/>
                <w:bCs/>
                <w:caps/>
              </w:rPr>
              <w:t>*****</w:t>
            </w:r>
          </w:p>
        </w:tc>
        <w:tc>
          <w:tcPr>
            <w:tcW w:w="2405" w:type="dxa"/>
            <w:vMerge/>
            <w:tcBorders>
              <w:bottom w:val="single" w:sz="12" w:space="0" w:color="auto"/>
            </w:tcBorders>
          </w:tcPr>
          <w:p w14:paraId="62BAA5EB" w14:textId="77777777" w:rsidR="00A36797" w:rsidRPr="00EE4319" w:rsidRDefault="00A36797" w:rsidP="00A36797">
            <w:pPr>
              <w:tabs>
                <w:tab w:val="left" w:pos="567"/>
              </w:tabs>
              <w:jc w:val="both"/>
              <w:rPr>
                <w:i/>
                <w:iCs/>
                <w:lang w:eastAsia="lt-LT"/>
              </w:rPr>
            </w:pPr>
          </w:p>
        </w:tc>
      </w:tr>
      <w:tr w:rsidR="00EE4319" w:rsidRPr="00EE4319" w14:paraId="3DAFE3B1" w14:textId="77777777" w:rsidTr="00816A2B">
        <w:trPr>
          <w:jc w:val="center"/>
        </w:trPr>
        <w:tc>
          <w:tcPr>
            <w:tcW w:w="9908" w:type="dxa"/>
            <w:gridSpan w:val="4"/>
            <w:tcBorders>
              <w:top w:val="single" w:sz="12" w:space="0" w:color="auto"/>
              <w:bottom w:val="single" w:sz="4" w:space="0" w:color="auto"/>
            </w:tcBorders>
          </w:tcPr>
          <w:p w14:paraId="0D7E347A" w14:textId="77777777" w:rsidR="00EE4319" w:rsidRPr="00EE4319" w:rsidRDefault="00EE4319" w:rsidP="00816A2B">
            <w:pPr>
              <w:tabs>
                <w:tab w:val="left" w:pos="567"/>
              </w:tabs>
              <w:jc w:val="center"/>
              <w:rPr>
                <w:iCs/>
                <w:lang w:eastAsia="lt-LT"/>
              </w:rPr>
            </w:pPr>
            <w:r w:rsidRPr="00EE4319">
              <w:rPr>
                <w:lang w:eastAsia="lt-LT"/>
              </w:rPr>
              <w:t>Kokybiški gyvenimo metai (QALY)</w:t>
            </w:r>
          </w:p>
        </w:tc>
      </w:tr>
      <w:tr w:rsidR="00A36797" w:rsidRPr="00D05364" w14:paraId="1820D76F" w14:textId="77777777" w:rsidTr="00816A2B">
        <w:trPr>
          <w:jc w:val="center"/>
        </w:trPr>
        <w:tc>
          <w:tcPr>
            <w:tcW w:w="2884" w:type="dxa"/>
            <w:tcBorders>
              <w:top w:val="single" w:sz="4" w:space="0" w:color="auto"/>
              <w:bottom w:val="single" w:sz="4" w:space="0" w:color="auto"/>
            </w:tcBorders>
          </w:tcPr>
          <w:p w14:paraId="1FBEE00F" w14:textId="77777777" w:rsidR="00A36797" w:rsidRPr="00EE4319" w:rsidRDefault="00A36797" w:rsidP="00A36797">
            <w:pPr>
              <w:tabs>
                <w:tab w:val="left" w:pos="567"/>
              </w:tabs>
              <w:jc w:val="both"/>
              <w:rPr>
                <w:iCs/>
                <w:lang w:eastAsia="lt-LT"/>
              </w:rPr>
            </w:pPr>
            <w:proofErr w:type="spellStart"/>
            <w:r w:rsidRPr="00EE4319">
              <w:rPr>
                <w:iCs/>
                <w:lang w:eastAsia="lt-LT"/>
              </w:rPr>
              <w:t>Venetoklaksas+azacitidinas</w:t>
            </w:r>
            <w:proofErr w:type="spellEnd"/>
          </w:p>
        </w:tc>
        <w:tc>
          <w:tcPr>
            <w:tcW w:w="4619" w:type="dxa"/>
            <w:gridSpan w:val="2"/>
            <w:tcBorders>
              <w:top w:val="single" w:sz="4" w:space="0" w:color="auto"/>
              <w:bottom w:val="single" w:sz="4" w:space="0" w:color="auto"/>
            </w:tcBorders>
          </w:tcPr>
          <w:p w14:paraId="78A6625B" w14:textId="456FD3A0" w:rsidR="00A36797" w:rsidRPr="00EE4319" w:rsidRDefault="00A36797" w:rsidP="00A36797">
            <w:pPr>
              <w:tabs>
                <w:tab w:val="left" w:pos="567"/>
              </w:tabs>
              <w:jc w:val="both"/>
              <w:rPr>
                <w:i/>
                <w:iCs/>
                <w:lang w:eastAsia="lt-LT"/>
              </w:rPr>
            </w:pPr>
            <w:r w:rsidRPr="00D225DE">
              <w:rPr>
                <w:b/>
                <w:bCs/>
                <w:caps/>
              </w:rPr>
              <w:t>*****</w:t>
            </w:r>
          </w:p>
        </w:tc>
        <w:tc>
          <w:tcPr>
            <w:tcW w:w="2405" w:type="dxa"/>
            <w:vMerge w:val="restart"/>
            <w:tcBorders>
              <w:top w:val="single" w:sz="4" w:space="0" w:color="auto"/>
            </w:tcBorders>
          </w:tcPr>
          <w:p w14:paraId="22184521" w14:textId="6A986194" w:rsidR="00A36797" w:rsidRPr="00D05364" w:rsidRDefault="00A36797" w:rsidP="00A36797">
            <w:pPr>
              <w:tabs>
                <w:tab w:val="left" w:pos="567"/>
              </w:tabs>
              <w:jc w:val="both"/>
              <w:rPr>
                <w:lang w:eastAsia="lt-LT"/>
              </w:rPr>
            </w:pPr>
            <w:r w:rsidRPr="00EE4319">
              <w:rPr>
                <w:lang w:eastAsia="lt-LT"/>
              </w:rPr>
              <w:t xml:space="preserve">Skirtumas: </w:t>
            </w:r>
            <w:r>
              <w:rPr>
                <w:b/>
                <w:bCs/>
                <w:caps/>
              </w:rPr>
              <w:t>*****</w:t>
            </w:r>
          </w:p>
        </w:tc>
      </w:tr>
      <w:tr w:rsidR="00A36797" w:rsidRPr="00D05364" w14:paraId="13455136" w14:textId="77777777" w:rsidTr="00816A2B">
        <w:trPr>
          <w:jc w:val="center"/>
        </w:trPr>
        <w:tc>
          <w:tcPr>
            <w:tcW w:w="2884" w:type="dxa"/>
            <w:tcBorders>
              <w:top w:val="single" w:sz="4" w:space="0" w:color="auto"/>
              <w:bottom w:val="single" w:sz="12" w:space="0" w:color="auto"/>
            </w:tcBorders>
          </w:tcPr>
          <w:p w14:paraId="3EF58C00" w14:textId="77777777" w:rsidR="00A36797" w:rsidRPr="00D05364" w:rsidRDefault="00A36797" w:rsidP="00A36797">
            <w:pPr>
              <w:tabs>
                <w:tab w:val="left" w:pos="567"/>
              </w:tabs>
              <w:jc w:val="both"/>
              <w:rPr>
                <w:iCs/>
                <w:lang w:eastAsia="lt-LT"/>
              </w:rPr>
            </w:pPr>
            <w:proofErr w:type="spellStart"/>
            <w:r>
              <w:rPr>
                <w:iCs/>
                <w:lang w:eastAsia="lt-LT"/>
              </w:rPr>
              <w:t>Azacitidinas</w:t>
            </w:r>
            <w:proofErr w:type="spellEnd"/>
          </w:p>
        </w:tc>
        <w:tc>
          <w:tcPr>
            <w:tcW w:w="4619" w:type="dxa"/>
            <w:gridSpan w:val="2"/>
            <w:tcBorders>
              <w:top w:val="single" w:sz="4" w:space="0" w:color="auto"/>
              <w:bottom w:val="single" w:sz="12" w:space="0" w:color="auto"/>
            </w:tcBorders>
          </w:tcPr>
          <w:p w14:paraId="6D08AB32" w14:textId="6FD70322" w:rsidR="00A36797" w:rsidRPr="00D05364" w:rsidRDefault="00A36797" w:rsidP="00A36797">
            <w:pPr>
              <w:tabs>
                <w:tab w:val="left" w:pos="567"/>
              </w:tabs>
              <w:jc w:val="both"/>
              <w:rPr>
                <w:i/>
                <w:iCs/>
                <w:lang w:eastAsia="lt-LT"/>
              </w:rPr>
            </w:pPr>
            <w:r w:rsidRPr="00D225DE">
              <w:rPr>
                <w:b/>
                <w:bCs/>
                <w:caps/>
              </w:rPr>
              <w:t>*****</w:t>
            </w:r>
          </w:p>
        </w:tc>
        <w:tc>
          <w:tcPr>
            <w:tcW w:w="2405" w:type="dxa"/>
            <w:vMerge/>
            <w:tcBorders>
              <w:bottom w:val="single" w:sz="12" w:space="0" w:color="auto"/>
            </w:tcBorders>
          </w:tcPr>
          <w:p w14:paraId="009C9D25" w14:textId="77777777" w:rsidR="00A36797" w:rsidRPr="00D05364" w:rsidRDefault="00A36797" w:rsidP="00A36797">
            <w:pPr>
              <w:tabs>
                <w:tab w:val="left" w:pos="567"/>
              </w:tabs>
              <w:jc w:val="both"/>
              <w:rPr>
                <w:i/>
                <w:iCs/>
                <w:lang w:eastAsia="lt-LT"/>
              </w:rPr>
            </w:pPr>
          </w:p>
        </w:tc>
      </w:tr>
      <w:tr w:rsidR="00EE4319" w:rsidRPr="00D05364" w14:paraId="46C2D954" w14:textId="77777777" w:rsidTr="00816A2B">
        <w:trPr>
          <w:trHeight w:val="347"/>
          <w:jc w:val="center"/>
        </w:trPr>
        <w:tc>
          <w:tcPr>
            <w:tcW w:w="9908" w:type="dxa"/>
            <w:gridSpan w:val="4"/>
            <w:tcBorders>
              <w:top w:val="single" w:sz="12" w:space="0" w:color="auto"/>
            </w:tcBorders>
            <w:vAlign w:val="center"/>
          </w:tcPr>
          <w:p w14:paraId="65494401" w14:textId="77777777" w:rsidR="00EE4319" w:rsidRPr="00D05364" w:rsidRDefault="00EE4319" w:rsidP="00816A2B">
            <w:pPr>
              <w:tabs>
                <w:tab w:val="left" w:pos="567"/>
              </w:tabs>
              <w:jc w:val="center"/>
              <w:rPr>
                <w:b/>
                <w:bCs/>
                <w:sz w:val="26"/>
                <w:szCs w:val="26"/>
                <w:lang w:eastAsia="lt-LT"/>
              </w:rPr>
            </w:pPr>
            <w:r w:rsidRPr="00D05364">
              <w:rPr>
                <w:b/>
                <w:bCs/>
                <w:sz w:val="26"/>
                <w:szCs w:val="26"/>
                <w:lang w:eastAsia="lt-LT"/>
              </w:rPr>
              <w:t>Rezultatai</w:t>
            </w:r>
          </w:p>
        </w:tc>
      </w:tr>
      <w:tr w:rsidR="00A36797" w:rsidRPr="00D05364" w14:paraId="24F7D209" w14:textId="77777777" w:rsidTr="00816A2B">
        <w:trPr>
          <w:jc w:val="center"/>
        </w:trPr>
        <w:tc>
          <w:tcPr>
            <w:tcW w:w="7503" w:type="dxa"/>
            <w:gridSpan w:val="3"/>
          </w:tcPr>
          <w:p w14:paraId="3C185085" w14:textId="77777777" w:rsidR="00A36797" w:rsidRPr="00D05364" w:rsidRDefault="00A36797" w:rsidP="00A36797">
            <w:pPr>
              <w:tabs>
                <w:tab w:val="left" w:pos="567"/>
              </w:tabs>
              <w:jc w:val="right"/>
              <w:rPr>
                <w:iCs/>
                <w:lang w:eastAsia="lt-LT"/>
              </w:rPr>
            </w:pPr>
            <w:bookmarkStart w:id="0" w:name="_GoBack" w:colFirst="1" w:colLast="1"/>
            <w:r w:rsidRPr="00D05364">
              <w:rPr>
                <w:iCs/>
                <w:lang w:eastAsia="lt-LT"/>
              </w:rPr>
              <w:t>ICER už LY</w:t>
            </w:r>
          </w:p>
        </w:tc>
        <w:tc>
          <w:tcPr>
            <w:tcW w:w="2405" w:type="dxa"/>
          </w:tcPr>
          <w:p w14:paraId="0BD5D277" w14:textId="24ECE9F3" w:rsidR="00A36797" w:rsidRPr="00D05364" w:rsidRDefault="00A36797" w:rsidP="00A36797">
            <w:pPr>
              <w:tabs>
                <w:tab w:val="left" w:pos="567"/>
              </w:tabs>
              <w:jc w:val="both"/>
              <w:rPr>
                <w:i/>
                <w:iCs/>
                <w:lang w:eastAsia="lt-LT"/>
              </w:rPr>
            </w:pPr>
            <w:r w:rsidRPr="009D51F6">
              <w:rPr>
                <w:b/>
                <w:bCs/>
                <w:caps/>
              </w:rPr>
              <w:t>*****</w:t>
            </w:r>
          </w:p>
        </w:tc>
      </w:tr>
      <w:tr w:rsidR="00A36797" w:rsidRPr="00D05364" w14:paraId="3521EF50" w14:textId="77777777" w:rsidTr="00816A2B">
        <w:trPr>
          <w:jc w:val="center"/>
        </w:trPr>
        <w:tc>
          <w:tcPr>
            <w:tcW w:w="7503" w:type="dxa"/>
            <w:gridSpan w:val="3"/>
          </w:tcPr>
          <w:p w14:paraId="52415C97" w14:textId="77777777" w:rsidR="00A36797" w:rsidRPr="00D05364" w:rsidRDefault="00A36797" w:rsidP="00A36797">
            <w:pPr>
              <w:tabs>
                <w:tab w:val="left" w:pos="567"/>
              </w:tabs>
              <w:jc w:val="right"/>
              <w:rPr>
                <w:iCs/>
                <w:lang w:eastAsia="lt-LT"/>
              </w:rPr>
            </w:pPr>
            <w:r w:rsidRPr="00D05364">
              <w:rPr>
                <w:iCs/>
                <w:lang w:eastAsia="lt-LT"/>
              </w:rPr>
              <w:t>ICER už QALY</w:t>
            </w:r>
          </w:p>
        </w:tc>
        <w:tc>
          <w:tcPr>
            <w:tcW w:w="2405" w:type="dxa"/>
          </w:tcPr>
          <w:p w14:paraId="3089E4F9" w14:textId="055F8062" w:rsidR="00A36797" w:rsidRPr="00D05364" w:rsidRDefault="00A36797" w:rsidP="00A36797">
            <w:pPr>
              <w:tabs>
                <w:tab w:val="left" w:pos="567"/>
              </w:tabs>
              <w:jc w:val="both"/>
              <w:rPr>
                <w:i/>
                <w:iCs/>
                <w:lang w:eastAsia="lt-LT"/>
              </w:rPr>
            </w:pPr>
            <w:r w:rsidRPr="009D51F6">
              <w:rPr>
                <w:b/>
                <w:bCs/>
                <w:caps/>
              </w:rPr>
              <w:t>*****</w:t>
            </w:r>
          </w:p>
        </w:tc>
      </w:tr>
      <w:bookmarkEnd w:id="0"/>
      <w:tr w:rsidR="00EE4319" w:rsidRPr="00D05364" w14:paraId="0387EA9C" w14:textId="77777777" w:rsidTr="00816A2B">
        <w:trPr>
          <w:jc w:val="center"/>
        </w:trPr>
        <w:tc>
          <w:tcPr>
            <w:tcW w:w="7503" w:type="dxa"/>
            <w:gridSpan w:val="3"/>
          </w:tcPr>
          <w:p w14:paraId="71E69525" w14:textId="77777777" w:rsidR="00EE4319" w:rsidRPr="00D05364" w:rsidRDefault="00EE4319" w:rsidP="00816A2B">
            <w:pPr>
              <w:tabs>
                <w:tab w:val="left" w:pos="567"/>
              </w:tabs>
              <w:jc w:val="right"/>
              <w:rPr>
                <w:iCs/>
                <w:lang w:eastAsia="lt-LT"/>
              </w:rPr>
            </w:pPr>
            <w:r w:rsidRPr="00D05364">
              <w:rPr>
                <w:iCs/>
                <w:lang w:eastAsia="lt-LT"/>
              </w:rPr>
              <w:t>Referencinė kaštų naudingumo vertė</w:t>
            </w:r>
          </w:p>
        </w:tc>
        <w:tc>
          <w:tcPr>
            <w:tcW w:w="2405" w:type="dxa"/>
          </w:tcPr>
          <w:p w14:paraId="35F4986A" w14:textId="77777777" w:rsidR="00EE4319" w:rsidRPr="00D05364" w:rsidRDefault="00EE4319" w:rsidP="00816A2B">
            <w:pPr>
              <w:tabs>
                <w:tab w:val="left" w:pos="567"/>
              </w:tabs>
              <w:jc w:val="both"/>
              <w:rPr>
                <w:i/>
                <w:iCs/>
                <w:lang w:eastAsia="lt-LT"/>
              </w:rPr>
            </w:pPr>
            <w:r>
              <w:rPr>
                <w:i/>
                <w:iCs/>
                <w:lang w:eastAsia="lt-LT"/>
              </w:rPr>
              <w:t xml:space="preserve">119 011 </w:t>
            </w:r>
            <w:proofErr w:type="spellStart"/>
            <w:r>
              <w:rPr>
                <w:i/>
                <w:iCs/>
                <w:lang w:eastAsia="lt-LT"/>
              </w:rPr>
              <w:t>eur</w:t>
            </w:r>
            <w:proofErr w:type="spellEnd"/>
            <w:r>
              <w:rPr>
                <w:i/>
                <w:iCs/>
                <w:lang w:eastAsia="lt-LT"/>
              </w:rPr>
              <w:t>/QALY</w:t>
            </w:r>
          </w:p>
        </w:tc>
      </w:tr>
    </w:tbl>
    <w:p w14:paraId="33875138" w14:textId="77777777" w:rsidR="0035172D" w:rsidRPr="007F0869" w:rsidRDefault="0035172D" w:rsidP="00A93AA6">
      <w:pPr>
        <w:tabs>
          <w:tab w:val="left" w:pos="426"/>
        </w:tabs>
        <w:rPr>
          <w:b/>
          <w:bCs/>
          <w:caps/>
        </w:rPr>
      </w:pPr>
    </w:p>
    <w:p w14:paraId="4FC424F9" w14:textId="4E767245" w:rsidR="00C62B36" w:rsidRPr="007F0869" w:rsidRDefault="00C62B36" w:rsidP="00CC09D4">
      <w:pPr>
        <w:pStyle w:val="ListParagraph"/>
        <w:numPr>
          <w:ilvl w:val="0"/>
          <w:numId w:val="12"/>
        </w:numPr>
        <w:tabs>
          <w:tab w:val="left" w:pos="567"/>
        </w:tabs>
        <w:ind w:hanging="720"/>
        <w:rPr>
          <w:b/>
          <w:bCs/>
          <w:caps/>
        </w:rPr>
      </w:pPr>
      <w:r w:rsidRPr="007F0869">
        <w:rPr>
          <w:b/>
          <w:bCs/>
          <w:caps/>
        </w:rPr>
        <w:t xml:space="preserve">Pacientų organizacijų pateikti duomenys </w:t>
      </w:r>
    </w:p>
    <w:p w14:paraId="79BCFF40" w14:textId="1992DF4A" w:rsidR="00937907" w:rsidRPr="007F0869" w:rsidRDefault="00A36797"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7F0869">
            <w:rPr>
              <w:rStyle w:val="Style2"/>
              <w:rFonts w:ascii="MS Gothic" w:eastAsia="MS Gothic" w:hAnsi="MS Gothic" w:hint="eastAsia"/>
              <w:sz w:val="24"/>
            </w:rPr>
            <w:t>☐</w:t>
          </w:r>
        </w:sdtContent>
      </w:sdt>
      <w:r w:rsidR="00937907" w:rsidRPr="007F0869">
        <w:t xml:space="preserve"> Pacientų organizacijos pozicija pateikta. Žr. priedą.</w:t>
      </w:r>
    </w:p>
    <w:p w14:paraId="62992180" w14:textId="57BAB03E" w:rsidR="00937907" w:rsidRPr="007F0869" w:rsidRDefault="00A36797"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7F0869">
            <w:rPr>
              <w:rStyle w:val="Style2"/>
              <w:rFonts w:ascii="MS Gothic" w:eastAsia="MS Gothic" w:hAnsi="MS Gothic" w:hint="eastAsia"/>
              <w:sz w:val="24"/>
            </w:rPr>
            <w:t>☒</w:t>
          </w:r>
        </w:sdtContent>
      </w:sdt>
      <w:r w:rsidR="00937907" w:rsidRPr="007F0869">
        <w:t xml:space="preserve"> Pacientų organizacijos pozicija </w:t>
      </w:r>
      <w:r w:rsidR="00880A44" w:rsidRPr="007F0869">
        <w:t>ne</w:t>
      </w:r>
      <w:r w:rsidR="00937907" w:rsidRPr="007F0869">
        <w:t>pateikta.</w:t>
      </w:r>
    </w:p>
    <w:p w14:paraId="03E73D82" w14:textId="77777777" w:rsidR="00D417D2" w:rsidRPr="007F0869" w:rsidRDefault="00D417D2" w:rsidP="00937907">
      <w:pPr>
        <w:spacing w:after="120"/>
        <w:jc w:val="both"/>
      </w:pPr>
    </w:p>
    <w:p w14:paraId="3D3277FA" w14:textId="3CEEB2D2" w:rsidR="00C62B36" w:rsidRPr="007F0869" w:rsidRDefault="00C62B36" w:rsidP="00CC09D4">
      <w:pPr>
        <w:pStyle w:val="ListParagraph"/>
        <w:numPr>
          <w:ilvl w:val="0"/>
          <w:numId w:val="12"/>
        </w:numPr>
        <w:tabs>
          <w:tab w:val="left" w:pos="567"/>
        </w:tabs>
        <w:ind w:hanging="720"/>
        <w:rPr>
          <w:b/>
          <w:bCs/>
          <w:caps/>
        </w:rPr>
      </w:pPr>
      <w:r w:rsidRPr="007F0869">
        <w:rPr>
          <w:b/>
          <w:bCs/>
          <w:caps/>
        </w:rPr>
        <w:t>Gydytojų organizacijų pateikti duomenys</w:t>
      </w:r>
    </w:p>
    <w:p w14:paraId="389A346C" w14:textId="17184B64" w:rsidR="00937907" w:rsidRPr="007F0869" w:rsidRDefault="00A36797"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7F0869">
            <w:rPr>
              <w:rStyle w:val="Style2"/>
              <w:rFonts w:ascii="MS Gothic" w:eastAsia="MS Gothic" w:hAnsi="MS Gothic" w:hint="eastAsia"/>
              <w:sz w:val="24"/>
            </w:rPr>
            <w:t>☐</w:t>
          </w:r>
        </w:sdtContent>
      </w:sdt>
      <w:r w:rsidR="00662983" w:rsidRPr="007F0869">
        <w:t xml:space="preserve"> </w:t>
      </w:r>
      <w:r w:rsidR="00937907" w:rsidRPr="007F0869">
        <w:t xml:space="preserve">Gydytojų specialistų organizacijos pozicija pateikta. </w:t>
      </w:r>
      <w:r w:rsidR="00662983" w:rsidRPr="007F0869">
        <w:t>Žr. priedą</w:t>
      </w:r>
      <w:r w:rsidR="00937907" w:rsidRPr="007F0869">
        <w:t>.</w:t>
      </w:r>
    </w:p>
    <w:p w14:paraId="5D8CC48C" w14:textId="3969A6A4" w:rsidR="00662983" w:rsidRPr="00E33EFF" w:rsidRDefault="00A36797"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7F0869">
            <w:rPr>
              <w:rStyle w:val="Style2"/>
              <w:rFonts w:ascii="MS Gothic" w:eastAsia="MS Gothic" w:hAnsi="MS Gothic" w:hint="eastAsia"/>
              <w:sz w:val="24"/>
            </w:rPr>
            <w:t>☒</w:t>
          </w:r>
        </w:sdtContent>
      </w:sdt>
      <w:r w:rsidR="00662983" w:rsidRPr="007F0869">
        <w:t xml:space="preserve"> </w:t>
      </w:r>
      <w:r w:rsidR="00937907" w:rsidRPr="007F0869">
        <w:t xml:space="preserve">Gydytojų specialistų organizacijos pozicija </w:t>
      </w:r>
      <w:r w:rsidR="00880A44" w:rsidRPr="007F0869">
        <w:t>ne</w:t>
      </w:r>
      <w:r w:rsidR="00937907" w:rsidRPr="007F0869">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30069D85" w14:textId="77777777" w:rsidR="0061611B" w:rsidRPr="00BF3927" w:rsidRDefault="0061611B" w:rsidP="0061611B">
      <w:pPr>
        <w:ind w:left="360"/>
        <w:rPr>
          <w:i/>
          <w:color w:val="000000" w:themeColor="text1"/>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74A486D7" w:rsidR="00B13D65" w:rsidRPr="00E33EFF" w:rsidRDefault="00A3679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7F0869">
                  <w:rPr>
                    <w:rStyle w:val="Style2"/>
                    <w:rFonts w:ascii="MS Gothic" w:eastAsia="MS Gothic" w:hAnsi="MS Gothic" w:hint="eastAsia"/>
                    <w:sz w:val="24"/>
                  </w:rPr>
                  <w:t>☒</w:t>
                </w:r>
              </w:sdtContent>
            </w:sdt>
            <w:r w:rsidR="00B13D65" w:rsidRPr="00E33EFF">
              <w:t xml:space="preserve"> 32.1. yra didesnis</w:t>
            </w:r>
            <w:r w:rsidR="007F0869">
              <w:t>.</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C91FF66" w:rsidR="00B13D65" w:rsidRPr="00E33EFF" w:rsidRDefault="00A36797" w:rsidP="007F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r w:rsidR="007F0869">
              <w:t>.</w:t>
            </w:r>
          </w:p>
        </w:tc>
        <w:tc>
          <w:tcPr>
            <w:tcW w:w="4814" w:type="dxa"/>
          </w:tcPr>
          <w:p w14:paraId="507828D9" w14:textId="386266E5" w:rsidR="00B13D65" w:rsidRPr="00E33EFF" w:rsidRDefault="00A3679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409DED7A" w:rsidR="00662983" w:rsidRPr="00E33EFF" w:rsidRDefault="00A3679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470BB564" w:rsidR="00B13D65" w:rsidRPr="00E33EFF" w:rsidRDefault="00A3679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A3679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9864A49" w:rsidR="00B13D65" w:rsidRPr="00E33EFF" w:rsidRDefault="00A3679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7F0869">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w:t>
            </w:r>
            <w:r w:rsidR="007F0869">
              <w:t>.</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41E42FBC" w:rsidR="00B13D65" w:rsidRPr="00E33EFF" w:rsidRDefault="00A3679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w:t>
            </w:r>
            <w:r w:rsidR="007F0869">
              <w:t>os pacientų sveikatai sukūrimą.</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A36797"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A36797"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EE4319">
        <w:trPr>
          <w:trHeight w:val="510"/>
        </w:trPr>
        <w:tc>
          <w:tcPr>
            <w:tcW w:w="9629" w:type="dxa"/>
            <w:gridSpan w:val="2"/>
            <w:shd w:val="clear" w:color="auto" w:fill="auto"/>
            <w:vAlign w:val="center"/>
          </w:tcPr>
          <w:p w14:paraId="0247EDAD" w14:textId="7FBBB759" w:rsidR="00B13D65" w:rsidRPr="00EE4319"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E4319">
              <w:rPr>
                <w:rStyle w:val="Style2"/>
                <w:rFonts w:eastAsia="MS Gothic"/>
                <w:b/>
                <w:bCs/>
                <w:sz w:val="24"/>
              </w:rPr>
              <w:t>Kaštų naudingumas</w:t>
            </w:r>
          </w:p>
        </w:tc>
      </w:tr>
      <w:tr w:rsidR="00B13D65" w:rsidRPr="00E33EFF" w14:paraId="7091A05B" w14:textId="77777777" w:rsidTr="00EE4319">
        <w:tc>
          <w:tcPr>
            <w:tcW w:w="4815" w:type="dxa"/>
            <w:shd w:val="clear" w:color="auto" w:fill="auto"/>
          </w:tcPr>
          <w:p w14:paraId="69B2A994" w14:textId="3B6A7765" w:rsidR="00B13D65" w:rsidRPr="00EE4319" w:rsidRDefault="00A3679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EE4319" w:rsidRPr="00EE4319">
                  <w:rPr>
                    <w:rStyle w:val="Style2"/>
                    <w:rFonts w:ascii="MS Gothic" w:eastAsia="MS Gothic" w:hAnsi="MS Gothic" w:hint="eastAsia"/>
                    <w:sz w:val="24"/>
                  </w:rPr>
                  <w:t>☒</w:t>
                </w:r>
              </w:sdtContent>
            </w:sdt>
            <w:r w:rsidR="00B13D65" w:rsidRPr="00EE4319">
              <w:t xml:space="preserve"> 32.3. atitinka referencinę naudingumo vertę, taikant</w:t>
            </w:r>
            <w:r w:rsidR="00EE4319">
              <w:t xml:space="preserve"> PGS</w:t>
            </w:r>
          </w:p>
          <w:p w14:paraId="3F76F153" w14:textId="77777777" w:rsidR="00662983" w:rsidRPr="00EE4319"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570A208B" w:rsidR="00B13D65" w:rsidRPr="00EE4319" w:rsidRDefault="00A3679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EE4319">
                  <w:rPr>
                    <w:rStyle w:val="Style2"/>
                    <w:rFonts w:ascii="Segoe UI Symbol" w:eastAsia="MS Gothic" w:hAnsi="Segoe UI Symbol" w:cs="Segoe UI Symbol"/>
                    <w:sz w:val="24"/>
                  </w:rPr>
                  <w:t>☐</w:t>
                </w:r>
              </w:sdtContent>
            </w:sdt>
            <w:r w:rsidR="00B13D65" w:rsidRPr="00EE4319">
              <w:t xml:space="preserve"> 32.3. gydymo juo kaštai yra mažesni ar tokie patys esant iš esmės nesiskiriančiam palyginamajam efektyvumui, taikant </w:t>
            </w:r>
            <w:r w:rsidR="009A7609">
              <w:t>PGS,</w:t>
            </w:r>
            <w:r w:rsidR="00B00959" w:rsidRPr="00EE4319">
              <w:t xml:space="preserve"> lyginant su įprasta klinikine praktika</w:t>
            </w:r>
          </w:p>
          <w:p w14:paraId="25E4BD1E" w14:textId="77777777" w:rsidR="00B13D65" w:rsidRPr="00EE431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shd w:val="clear" w:color="auto" w:fill="auto"/>
          </w:tcPr>
          <w:p w14:paraId="53380063" w14:textId="5EB8488A" w:rsidR="00B13D65" w:rsidRPr="00EE4319" w:rsidRDefault="00A3679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EE4319">
                  <w:rPr>
                    <w:rStyle w:val="Style2"/>
                    <w:rFonts w:ascii="Segoe UI Symbol" w:eastAsia="MS Gothic" w:hAnsi="Segoe UI Symbol" w:cs="Segoe UI Symbol"/>
                    <w:sz w:val="24"/>
                  </w:rPr>
                  <w:t>☐</w:t>
                </w:r>
              </w:sdtContent>
            </w:sdt>
            <w:r w:rsidR="00B13D65" w:rsidRPr="00EE4319">
              <w:t xml:space="preserve"> 33.3. neatitinka referencinės naudingumo vertės Lietuvos Respublikoje</w:t>
            </w:r>
          </w:p>
          <w:p w14:paraId="229ED51A" w14:textId="77777777" w:rsidR="00662983" w:rsidRPr="00EE4319"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7A5F9792" w:rsidR="00B13D65" w:rsidRPr="00EE4319" w:rsidRDefault="00A3679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EE4319">
                  <w:rPr>
                    <w:rStyle w:val="Style2"/>
                    <w:rFonts w:ascii="Segoe UI Symbol" w:eastAsia="MS Gothic" w:hAnsi="Segoe UI Symbol" w:cs="Segoe UI Symbol"/>
                    <w:sz w:val="24"/>
                  </w:rPr>
                  <w:t>☐</w:t>
                </w:r>
              </w:sdtContent>
            </w:sdt>
            <w:r w:rsidR="00B13D65" w:rsidRPr="00EE4319">
              <w:t xml:space="preserve"> 33.3. gydymo juo kaštai yra didesni esant iš esmės nesiskiriančiam palyginamajam efektyvumui, taikant</w:t>
            </w:r>
            <w:r w:rsidR="00662983" w:rsidRPr="00EE4319">
              <w:t xml:space="preserve"> PGS</w:t>
            </w:r>
            <w:r w:rsidR="00B00959" w:rsidRPr="00EE4319">
              <w:t>, lyginant su įprasta klinikine praktika</w:t>
            </w:r>
          </w:p>
          <w:p w14:paraId="4A9C7D2A" w14:textId="77777777" w:rsidR="00662983" w:rsidRPr="00EE4319"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E4319" w:rsidRDefault="00A3679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EE4319">
                  <w:rPr>
                    <w:rStyle w:val="Style2"/>
                    <w:rFonts w:ascii="Segoe UI Symbol" w:eastAsia="MS Gothic" w:hAnsi="Segoe UI Symbol" w:cs="Segoe UI Symbol"/>
                    <w:sz w:val="24"/>
                  </w:rPr>
                  <w:t>☐</w:t>
                </w:r>
              </w:sdtContent>
            </w:sdt>
            <w:r w:rsidR="00B13D65" w:rsidRPr="00EE4319">
              <w:t xml:space="preserve"> 33.3. pateikti duomenys apie kaštų na</w:t>
            </w:r>
            <w:r w:rsidR="00662983" w:rsidRPr="00EE4319">
              <w:t>udingumą yra netinkami vertinti</w:t>
            </w:r>
          </w:p>
          <w:p w14:paraId="470A48A4" w14:textId="77777777" w:rsidR="00B13D65" w:rsidRPr="00EE431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1B85C083" w14:textId="77777777" w:rsidR="009E44AE" w:rsidRPr="00E33EFF" w:rsidRDefault="009E44AE"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7AA5A068" w14:textId="77777777" w:rsidR="00EE4319" w:rsidRPr="00EE4319" w:rsidRDefault="00EE4319" w:rsidP="004F3B2B">
      <w:pPr>
        <w:jc w:val="both"/>
      </w:pPr>
    </w:p>
    <w:p w14:paraId="2359AB28" w14:textId="18406D16" w:rsidR="004F3B2B" w:rsidRPr="00EE4319" w:rsidRDefault="004F3B2B" w:rsidP="008F1936">
      <w:pPr>
        <w:spacing w:line="276" w:lineRule="auto"/>
        <w:jc w:val="both"/>
      </w:pPr>
      <w:r w:rsidRPr="00EE4319">
        <w:t xml:space="preserve">Vadovaujantis </w:t>
      </w:r>
      <w:r w:rsidR="00F259FC" w:rsidRPr="00EE4319">
        <w:t xml:space="preserve">Vaistinių preparatų ir medicinos pagalbos priemonių įrašymo į kompensavimo sąrašus ir jų keitimo tvarkos aprašo, patvirtinto </w:t>
      </w:r>
      <w:r w:rsidRPr="00EE4319">
        <w:t>Lietuvos Respublikos sveikatos apsaugos ministro 2002 m. balandžio 5 d. įsakymu Nr. V-159 „Dėl vaistinių preparatų ir medicinos pagalbos priemonių įrašymo į kompensavimo sąrašus ir jų keitimo tvarkos aprašo patvirtinimo“</w:t>
      </w:r>
      <w:r w:rsidR="00F259FC" w:rsidRPr="00EE4319">
        <w:t>,</w:t>
      </w:r>
      <w:r w:rsidRPr="00EE4319">
        <w:t xml:space="preserve"> punktu</w:t>
      </w:r>
    </w:p>
    <w:p w14:paraId="452E5A41" w14:textId="11E379DF" w:rsidR="004F3B2B" w:rsidRPr="00EE4319" w:rsidRDefault="004F3B2B" w:rsidP="008F1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E4319">
        <w:t xml:space="preserve">34.1. rekomenduojama </w:t>
      </w:r>
      <w:r w:rsidRPr="00EE4319">
        <w:rPr>
          <w:i/>
        </w:rPr>
        <w:t xml:space="preserve">kompensuoti </w:t>
      </w:r>
      <w:r w:rsidRPr="00EE4319">
        <w:t>vaistinį prepa</w:t>
      </w:r>
      <w:r w:rsidR="00EE4319" w:rsidRPr="00EE4319">
        <w:t xml:space="preserve">ratą pagal paraiškoje nurodytą indikaciją </w:t>
      </w:r>
      <w:r w:rsidRPr="00EE4319">
        <w:t>su skyrimo sąlygomis</w:t>
      </w:r>
      <w:r w:rsidR="00EE4319" w:rsidRPr="00EE4319">
        <w:t xml:space="preserve">, </w:t>
      </w:r>
      <w:r w:rsidRPr="00EE4319">
        <w:t>taikant PGS, dėl didesnio palyginamojo efektyvumo ir gydymo sukuriamos papildomos naudos pacientų sveikatai, lyginant su įprasta klinikine praktika, ir atitikties referencinei naudingumo v</w:t>
      </w:r>
      <w:r w:rsidR="00EE4319" w:rsidRPr="00EE4319">
        <w:t>ertei.</w:t>
      </w:r>
    </w:p>
    <w:p w14:paraId="59422C01" w14:textId="44945DD2" w:rsidR="004F3B2B" w:rsidRPr="00E33EFF" w:rsidRDefault="004F3B2B" w:rsidP="004F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8B4292E" w14:textId="08AC8198"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w:t>
      </w:r>
      <w:r w:rsidR="007F0869">
        <w:rPr>
          <w:b/>
          <w:color w:val="000000"/>
          <w:lang w:eastAsia="lt-LT"/>
        </w:rPr>
        <w:t xml:space="preserve"> INDIKACIJOS IR SKYRIMO SĄLYGOS</w:t>
      </w:r>
      <w:r w:rsidR="000723FF" w:rsidRPr="00E33EFF">
        <w:rPr>
          <w:b/>
          <w:color w:val="000000"/>
          <w:lang w:eastAsia="lt-LT"/>
        </w:rPr>
        <w:t xml:space="preserve"> </w:t>
      </w:r>
    </w:p>
    <w:p w14:paraId="691340BB" w14:textId="77777777" w:rsidR="000723FF" w:rsidRPr="00E33EFF" w:rsidRDefault="000723FF" w:rsidP="000723FF">
      <w:pPr>
        <w:tabs>
          <w:tab w:val="left" w:pos="426"/>
        </w:tabs>
        <w:jc w:val="both"/>
        <w:rPr>
          <w:b/>
          <w:color w:val="000000"/>
          <w:lang w:eastAsia="lt-LT"/>
        </w:rPr>
      </w:pPr>
    </w:p>
    <w:p w14:paraId="7BC8AE52" w14:textId="77777777" w:rsidR="007F0869" w:rsidRPr="00C97239" w:rsidRDefault="007F0869" w:rsidP="007F0869">
      <w:pPr>
        <w:pStyle w:val="NoSpacing"/>
        <w:spacing w:line="360" w:lineRule="auto"/>
        <w:rPr>
          <w:rFonts w:ascii="Times New Roman" w:hAnsi="Times New Roman"/>
          <w:b/>
          <w:sz w:val="24"/>
          <w:szCs w:val="24"/>
          <w:lang w:eastAsia="lt-LT"/>
        </w:rPr>
      </w:pPr>
      <w:r w:rsidRPr="00C97239">
        <w:rPr>
          <w:rFonts w:ascii="Times New Roman" w:hAnsi="Times New Roman"/>
          <w:b/>
          <w:sz w:val="24"/>
          <w:szCs w:val="24"/>
          <w:lang w:eastAsia="lt-LT"/>
        </w:rPr>
        <w:t>Terapinės indikacijos</w:t>
      </w:r>
    </w:p>
    <w:p w14:paraId="5CD47799" w14:textId="77777777" w:rsidR="007F0869" w:rsidRPr="00C97239" w:rsidRDefault="00A36797" w:rsidP="007F0869">
      <w:pPr>
        <w:pStyle w:val="NoSpacing"/>
        <w:spacing w:line="360" w:lineRule="auto"/>
        <w:rPr>
          <w:rFonts w:ascii="Times New Roman" w:hAnsi="Times New Roman"/>
          <w:sz w:val="24"/>
          <w:szCs w:val="24"/>
        </w:rPr>
      </w:pPr>
      <w:sdt>
        <w:sdtPr>
          <w:rPr>
            <w:rStyle w:val="Style2"/>
            <w:rFonts w:ascii="Times New Roman" w:hAnsi="Times New Roman"/>
            <w:sz w:val="24"/>
            <w:szCs w:val="24"/>
          </w:rPr>
          <w:id w:val="703833255"/>
          <w15:color w:val="FFCC00"/>
          <w14:checkbox>
            <w14:checked w14:val="1"/>
            <w14:checkedState w14:val="2612" w14:font="MS Gothic"/>
            <w14:uncheckedState w14:val="2610" w14:font="MS Gothic"/>
          </w14:checkbox>
        </w:sdtPr>
        <w:sdtEndPr>
          <w:rPr>
            <w:rStyle w:val="Style2"/>
          </w:rPr>
        </w:sdtEndPr>
        <w:sdtContent>
          <w:r w:rsidR="007F0869" w:rsidRPr="00C97239">
            <w:rPr>
              <w:rStyle w:val="Style2"/>
              <w:rFonts w:ascii="Segoe UI Symbol" w:eastAsia="MS Gothic" w:hAnsi="Segoe UI Symbol" w:cs="Segoe UI Symbol"/>
              <w:sz w:val="24"/>
              <w:szCs w:val="24"/>
            </w:rPr>
            <w:t>☒</w:t>
          </w:r>
        </w:sdtContent>
      </w:sdt>
      <w:r w:rsidR="007F0869" w:rsidRPr="00C97239">
        <w:rPr>
          <w:rFonts w:ascii="Times New Roman" w:hAnsi="Times New Roman"/>
        </w:rPr>
        <w:t xml:space="preserve"> </w:t>
      </w:r>
      <w:r w:rsidR="007F0869" w:rsidRPr="00C97239">
        <w:rPr>
          <w:rFonts w:ascii="Times New Roman" w:hAnsi="Times New Roman"/>
          <w:sz w:val="24"/>
          <w:szCs w:val="24"/>
        </w:rPr>
        <w:t>Siūloma kompensuoti Pareiškėjo teikiamą indikaciją be pakeitimų:</w:t>
      </w:r>
    </w:p>
    <w:p w14:paraId="5DFD1381" w14:textId="1BF2C872" w:rsidR="007F0869" w:rsidRPr="00C97239" w:rsidRDefault="007F0869" w:rsidP="00844A26">
      <w:pPr>
        <w:pStyle w:val="NoSpacing"/>
        <w:spacing w:line="276" w:lineRule="auto"/>
        <w:jc w:val="both"/>
        <w:rPr>
          <w:rFonts w:ascii="Times New Roman" w:hAnsi="Times New Roman"/>
          <w:sz w:val="24"/>
          <w:szCs w:val="24"/>
        </w:rPr>
      </w:pPr>
      <w:proofErr w:type="spellStart"/>
      <w:r w:rsidRPr="00C97239">
        <w:rPr>
          <w:rFonts w:ascii="Times New Roman" w:hAnsi="Times New Roman"/>
          <w:sz w:val="24"/>
          <w:szCs w:val="24"/>
        </w:rPr>
        <w:t>Venclyxto</w:t>
      </w:r>
      <w:proofErr w:type="spellEnd"/>
      <w:r w:rsidRPr="00C97239">
        <w:rPr>
          <w:rFonts w:ascii="Times New Roman" w:hAnsi="Times New Roman"/>
          <w:sz w:val="24"/>
          <w:szCs w:val="24"/>
        </w:rPr>
        <w:t xml:space="preserve"> derinyje su </w:t>
      </w:r>
      <w:proofErr w:type="spellStart"/>
      <w:r w:rsidRPr="00C97239">
        <w:rPr>
          <w:rFonts w:ascii="Times New Roman" w:hAnsi="Times New Roman"/>
          <w:sz w:val="24"/>
          <w:szCs w:val="24"/>
        </w:rPr>
        <w:t>hipometilinančiu</w:t>
      </w:r>
      <w:proofErr w:type="spellEnd"/>
      <w:r w:rsidRPr="00C97239">
        <w:rPr>
          <w:rFonts w:ascii="Times New Roman" w:hAnsi="Times New Roman"/>
          <w:sz w:val="24"/>
          <w:szCs w:val="24"/>
        </w:rPr>
        <w:t xml:space="preserve"> vaistiniu preparatu yra skirtas suaugusių pacientų, sergančių naujai diagnozuota ūmine </w:t>
      </w:r>
      <w:proofErr w:type="spellStart"/>
      <w:r w:rsidRPr="00C97239">
        <w:rPr>
          <w:rFonts w:ascii="Times New Roman" w:hAnsi="Times New Roman"/>
          <w:sz w:val="24"/>
          <w:szCs w:val="24"/>
        </w:rPr>
        <w:t>mieloidine</w:t>
      </w:r>
      <w:proofErr w:type="spellEnd"/>
      <w:r w:rsidRPr="00C97239">
        <w:rPr>
          <w:rFonts w:ascii="Times New Roman" w:hAnsi="Times New Roman"/>
          <w:sz w:val="24"/>
          <w:szCs w:val="24"/>
        </w:rPr>
        <w:t xml:space="preserve"> leukemija (ŪML), kuriems netinka intensyvi chemoterapija, gydymui</w:t>
      </w:r>
      <w:r>
        <w:rPr>
          <w:rFonts w:ascii="Times New Roman" w:hAnsi="Times New Roman"/>
          <w:sz w:val="24"/>
          <w:szCs w:val="24"/>
        </w:rPr>
        <w:t>.</w:t>
      </w:r>
    </w:p>
    <w:p w14:paraId="0D8F7EBF" w14:textId="77777777" w:rsidR="007F0869" w:rsidRPr="00C97239" w:rsidRDefault="00A36797" w:rsidP="007F0869">
      <w:pPr>
        <w:pStyle w:val="NoSpacing"/>
        <w:spacing w:line="360" w:lineRule="auto"/>
        <w:rPr>
          <w:rFonts w:ascii="Times New Roman" w:hAnsi="Times New Roman"/>
          <w:sz w:val="24"/>
          <w:szCs w:val="24"/>
        </w:rPr>
      </w:pPr>
      <w:sdt>
        <w:sdtPr>
          <w:rPr>
            <w:rStyle w:val="Style2"/>
            <w:rFonts w:ascii="Times New Roman" w:hAnsi="Times New Roman"/>
            <w:sz w:val="24"/>
            <w:szCs w:val="24"/>
          </w:rPr>
          <w:id w:val="1467245146"/>
        </w:sdtPr>
        <w:sdtEndPr>
          <w:rPr>
            <w:rStyle w:val="Style2"/>
          </w:rPr>
        </w:sdtEndPr>
        <w:sdtContent>
          <w:r w:rsidR="007F0869" w:rsidRPr="00C97239">
            <w:rPr>
              <w:rStyle w:val="Style2"/>
              <w:rFonts w:ascii="Segoe UI Symbol" w:eastAsia="MS Gothic" w:hAnsi="Segoe UI Symbol" w:cs="Segoe UI Symbol"/>
              <w:sz w:val="24"/>
              <w:szCs w:val="24"/>
            </w:rPr>
            <w:t>☐</w:t>
          </w:r>
        </w:sdtContent>
      </w:sdt>
      <w:r w:rsidR="007F0869" w:rsidRPr="00C97239">
        <w:rPr>
          <w:rStyle w:val="Style2"/>
          <w:rFonts w:ascii="Times New Roman" w:hAnsi="Times New Roman"/>
          <w:sz w:val="24"/>
          <w:szCs w:val="24"/>
        </w:rPr>
        <w:t xml:space="preserve">   </w:t>
      </w:r>
      <w:r w:rsidR="007F0869" w:rsidRPr="00C97239">
        <w:rPr>
          <w:rFonts w:ascii="Times New Roman" w:hAnsi="Times New Roman"/>
          <w:sz w:val="24"/>
          <w:szCs w:val="24"/>
        </w:rPr>
        <w:t>Siūloma kompensuoti Pareiškėjo teikiamą indikaciją su pakeitimais.</w:t>
      </w:r>
    </w:p>
    <w:p w14:paraId="329C8D00" w14:textId="77777777" w:rsidR="007F0869" w:rsidRPr="00C97239" w:rsidRDefault="007F0869" w:rsidP="007F0869">
      <w:pPr>
        <w:pStyle w:val="NoSpacing"/>
        <w:spacing w:line="360" w:lineRule="auto"/>
        <w:rPr>
          <w:rFonts w:ascii="Times New Roman" w:hAnsi="Times New Roman"/>
          <w:b/>
          <w:sz w:val="24"/>
          <w:szCs w:val="24"/>
        </w:rPr>
      </w:pPr>
      <w:r w:rsidRPr="00C97239">
        <w:rPr>
          <w:rFonts w:ascii="Times New Roman" w:hAnsi="Times New Roman"/>
          <w:b/>
          <w:sz w:val="24"/>
          <w:szCs w:val="24"/>
        </w:rPr>
        <w:t>Skyrimo sąlygos</w:t>
      </w:r>
    </w:p>
    <w:p w14:paraId="7CDFF220" w14:textId="71F488E5" w:rsidR="000723FF" w:rsidRPr="00381767" w:rsidRDefault="00381767" w:rsidP="00824B92">
      <w:r w:rsidRPr="00381767">
        <w:t>Neteikiamos.</w:t>
      </w:r>
    </w:p>
    <w:sectPr w:rsidR="000723FF" w:rsidRPr="00381767"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95933" w16cex:dateUtc="2022-07-01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23EA7" w16cid:durableId="266959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FE1F3" w14:textId="77777777" w:rsidR="00D15E40" w:rsidRDefault="00D15E40">
      <w:r>
        <w:separator/>
      </w:r>
    </w:p>
  </w:endnote>
  <w:endnote w:type="continuationSeparator" w:id="0">
    <w:p w14:paraId="5DB6C35A" w14:textId="77777777" w:rsidR="00D15E40" w:rsidRDefault="00D1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69BFD" w14:textId="77777777" w:rsidR="00C358F2" w:rsidRDefault="00C35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70CBB" w14:textId="77777777" w:rsidR="00C358F2" w:rsidRDefault="00C35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A342D" w14:textId="77777777" w:rsidR="00D15E40" w:rsidRDefault="00D15E40">
      <w:r>
        <w:separator/>
      </w:r>
    </w:p>
  </w:footnote>
  <w:footnote w:type="continuationSeparator" w:id="0">
    <w:p w14:paraId="4196080E" w14:textId="77777777" w:rsidR="00D15E40" w:rsidRDefault="00D15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26813BEF"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6797">
      <w:rPr>
        <w:rStyle w:val="PageNumber"/>
        <w:noProof/>
      </w:rPr>
      <w:t>6</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057E3E"/>
    <w:multiLevelType w:val="hybridMultilevel"/>
    <w:tmpl w:val="C5BAF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5"/>
  </w:num>
  <w:num w:numId="6">
    <w:abstractNumId w:val="4"/>
  </w:num>
  <w:num w:numId="7">
    <w:abstractNumId w:val="3"/>
  </w:num>
  <w:num w:numId="8">
    <w:abstractNumId w:val="11"/>
  </w:num>
  <w:num w:numId="9">
    <w:abstractNumId w:val="0"/>
  </w:num>
  <w:num w:numId="10">
    <w:abstractNumId w:val="9"/>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6187D"/>
    <w:rsid w:val="00367EDB"/>
    <w:rsid w:val="00381024"/>
    <w:rsid w:val="00381767"/>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5466"/>
    <w:rsid w:val="007F0869"/>
    <w:rsid w:val="007F1949"/>
    <w:rsid w:val="007F2592"/>
    <w:rsid w:val="00800A08"/>
    <w:rsid w:val="00817A84"/>
    <w:rsid w:val="008225A4"/>
    <w:rsid w:val="00824B92"/>
    <w:rsid w:val="00826D5E"/>
    <w:rsid w:val="00832013"/>
    <w:rsid w:val="00832DB7"/>
    <w:rsid w:val="00834732"/>
    <w:rsid w:val="00844A26"/>
    <w:rsid w:val="0085200C"/>
    <w:rsid w:val="00857C52"/>
    <w:rsid w:val="00860D5F"/>
    <w:rsid w:val="00880A44"/>
    <w:rsid w:val="0088345E"/>
    <w:rsid w:val="0088656F"/>
    <w:rsid w:val="00891EF6"/>
    <w:rsid w:val="008A0303"/>
    <w:rsid w:val="008A5FDD"/>
    <w:rsid w:val="008C3947"/>
    <w:rsid w:val="008E473B"/>
    <w:rsid w:val="008E51A6"/>
    <w:rsid w:val="008E7329"/>
    <w:rsid w:val="008F1936"/>
    <w:rsid w:val="008F2ED5"/>
    <w:rsid w:val="0092297E"/>
    <w:rsid w:val="00923651"/>
    <w:rsid w:val="00927B56"/>
    <w:rsid w:val="009341BF"/>
    <w:rsid w:val="00937907"/>
    <w:rsid w:val="00941739"/>
    <w:rsid w:val="00951573"/>
    <w:rsid w:val="00963003"/>
    <w:rsid w:val="00966EEF"/>
    <w:rsid w:val="00971B28"/>
    <w:rsid w:val="00983471"/>
    <w:rsid w:val="009909AB"/>
    <w:rsid w:val="009A7609"/>
    <w:rsid w:val="009B37DB"/>
    <w:rsid w:val="009C7A8C"/>
    <w:rsid w:val="009D23F9"/>
    <w:rsid w:val="009D4FA8"/>
    <w:rsid w:val="009E44AE"/>
    <w:rsid w:val="009E6CD6"/>
    <w:rsid w:val="009F4D66"/>
    <w:rsid w:val="00A00C3C"/>
    <w:rsid w:val="00A01091"/>
    <w:rsid w:val="00A042B9"/>
    <w:rsid w:val="00A06DBB"/>
    <w:rsid w:val="00A22ADF"/>
    <w:rsid w:val="00A31E86"/>
    <w:rsid w:val="00A36797"/>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58F2"/>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15E40"/>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3D50"/>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A0AEE"/>
    <w:rsid w:val="00EB6FC5"/>
    <w:rsid w:val="00EC2356"/>
    <w:rsid w:val="00EC2582"/>
    <w:rsid w:val="00EC337C"/>
    <w:rsid w:val="00ED0CFF"/>
    <w:rsid w:val="00ED31D2"/>
    <w:rsid w:val="00EE0EAC"/>
    <w:rsid w:val="00EE3322"/>
    <w:rsid w:val="00EE33CB"/>
    <w:rsid w:val="00EE4319"/>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paragraph" w:customStyle="1" w:styleId="Default">
    <w:name w:val="Default"/>
    <w:rsid w:val="007F0869"/>
    <w:pPr>
      <w:autoSpaceDE w:val="0"/>
      <w:autoSpaceDN w:val="0"/>
      <w:adjustRightInd w:val="0"/>
    </w:pPr>
    <w:rPr>
      <w:rFonts w:ascii="Calibri" w:hAnsi="Calibri" w:cs="Calibri"/>
      <w:color w:val="000000"/>
      <w:sz w:val="24"/>
      <w:szCs w:val="24"/>
      <w:lang w:eastAsia="en-US"/>
    </w:rPr>
  </w:style>
  <w:style w:type="character" w:customStyle="1" w:styleId="ListParagraphChar">
    <w:name w:val="List Paragraph Char"/>
    <w:link w:val="ListParagraph"/>
    <w:uiPriority w:val="34"/>
    <w:rsid w:val="007F08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19A872DFFF9746FA9C54F3ACCF3B7266"/>
        <w:category>
          <w:name w:val="General"/>
          <w:gallery w:val="placeholder"/>
        </w:category>
        <w:types>
          <w:type w:val="bbPlcHdr"/>
        </w:types>
        <w:behaviors>
          <w:behavior w:val="content"/>
        </w:behaviors>
        <w:guid w:val="{B53677F0-10FA-472D-8000-7EE9C7E35B2A}"/>
      </w:docPartPr>
      <w:docPartBody>
        <w:p w:rsidR="00B93A89" w:rsidRDefault="00555F47" w:rsidP="00555F47">
          <w:pPr>
            <w:pStyle w:val="19A872DFFF9746FA9C54F3ACCF3B7266"/>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61157"/>
    <w:rsid w:val="000937FE"/>
    <w:rsid w:val="000A559A"/>
    <w:rsid w:val="000D24D4"/>
    <w:rsid w:val="001C35A9"/>
    <w:rsid w:val="00237556"/>
    <w:rsid w:val="0039303B"/>
    <w:rsid w:val="004144A3"/>
    <w:rsid w:val="004160E7"/>
    <w:rsid w:val="004416C6"/>
    <w:rsid w:val="004F5AB2"/>
    <w:rsid w:val="005074B9"/>
    <w:rsid w:val="00555F47"/>
    <w:rsid w:val="005E40DD"/>
    <w:rsid w:val="00705ED1"/>
    <w:rsid w:val="007219C1"/>
    <w:rsid w:val="00753462"/>
    <w:rsid w:val="00772325"/>
    <w:rsid w:val="007A2FE0"/>
    <w:rsid w:val="007C6D1D"/>
    <w:rsid w:val="0090074D"/>
    <w:rsid w:val="009B3BF0"/>
    <w:rsid w:val="009D5E5E"/>
    <w:rsid w:val="009F1BB4"/>
    <w:rsid w:val="00AB6ED4"/>
    <w:rsid w:val="00B14210"/>
    <w:rsid w:val="00B23DC0"/>
    <w:rsid w:val="00B93A89"/>
    <w:rsid w:val="00B96656"/>
    <w:rsid w:val="00BE29C1"/>
    <w:rsid w:val="00C2401D"/>
    <w:rsid w:val="00C53A68"/>
    <w:rsid w:val="00C77F47"/>
    <w:rsid w:val="00CA5BB4"/>
    <w:rsid w:val="00CB4BD1"/>
    <w:rsid w:val="00CE2DA9"/>
    <w:rsid w:val="00CE44BE"/>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55F47"/>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9DD01831B4FB44D9ADBDF62239B9B5EF">
    <w:name w:val="9DD01831B4FB44D9ADBDF62239B9B5EF"/>
    <w:rsid w:val="00E60827"/>
  </w:style>
  <w:style w:type="paragraph" w:customStyle="1" w:styleId="19A872DFFF9746FA9C54F3ACCF3B7266">
    <w:name w:val="19A872DFFF9746FA9C54F3ACCF3B7266"/>
    <w:rsid w:val="00555F47"/>
  </w:style>
  <w:style w:type="paragraph" w:customStyle="1" w:styleId="E97D1ABB19A4461799CD9E5CA0049080">
    <w:name w:val="E97D1ABB19A4461799CD9E5CA0049080"/>
    <w:rsid w:val="00555F47"/>
  </w:style>
  <w:style w:type="paragraph" w:customStyle="1" w:styleId="6C588FC547A7425ABBFE343FFAD7A0BC">
    <w:name w:val="6C588FC547A7425ABBFE343FFAD7A0BC"/>
    <w:rsid w:val="00555F47"/>
  </w:style>
  <w:style w:type="paragraph" w:customStyle="1" w:styleId="FEA90329012645499B30873C0DF1239E">
    <w:name w:val="FEA90329012645499B30873C0DF1239E"/>
    <w:rsid w:val="00555F47"/>
  </w:style>
  <w:style w:type="paragraph" w:customStyle="1" w:styleId="3AE17D65016C4B22A403D45438BBF90A">
    <w:name w:val="3AE17D65016C4B22A403D45438BBF90A"/>
    <w:rsid w:val="00555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F046-E965-4952-8A28-57A47F2E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1777</Words>
  <Characters>13052</Characters>
  <Application>Microsoft Office Word</Application>
  <DocSecurity>0</DocSecurity>
  <Lines>108</Lines>
  <Paragraphs>29</Paragraphs>
  <ScaleCrop>false</ScaleCrop>
  <Company/>
  <LinksUpToDate>false</LinksUpToDate>
  <CharactersWithSpaces>14800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2024-03-04T07:49:00Z</dcterms:created>
  <dcterms:modified xsi:type="dcterms:W3CDTF">2024-03-06T10:17:00Z</dcterms:modified>
</cp:coreProperties>
</file>