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E5EB3" w14:textId="1955ADE3" w:rsidR="005F7602" w:rsidRDefault="005F7602" w:rsidP="002946C7">
      <w:pPr>
        <w:ind w:left="5529"/>
      </w:pPr>
    </w:p>
    <w:p w14:paraId="12FA4B9E" w14:textId="77777777" w:rsidR="001B3C5B" w:rsidRPr="00E33EFF" w:rsidRDefault="001B3C5B" w:rsidP="001B3C5B">
      <w:pPr>
        <w:ind w:left="6096"/>
      </w:pPr>
      <w:r w:rsidRPr="00E33EFF">
        <w:t>Forma patvirtinta</w:t>
      </w:r>
    </w:p>
    <w:p w14:paraId="7206970B" w14:textId="70E9BD2E" w:rsidR="004C263A" w:rsidRPr="00E33EFF" w:rsidRDefault="001B3C5B" w:rsidP="001B3C5B">
      <w:pPr>
        <w:ind w:left="6096"/>
      </w:pPr>
      <w:r w:rsidRPr="00E33EFF">
        <w:t>Valstybinės vaistų kontrolės tarnybos prie Lietuvos Respublikos sveikatos apsaugos ministerijos viršininko 2021 m</w:t>
      </w:r>
      <w:r w:rsidR="004C263A" w:rsidRPr="00E33EFF">
        <w:t xml:space="preserve">. lapkričio 12 </w:t>
      </w:r>
      <w:r w:rsidRPr="00E33EFF">
        <w:t>d. įsakymu Nr.</w:t>
      </w:r>
      <w:r w:rsidR="004C263A" w:rsidRPr="00E33EFF">
        <w:t xml:space="preserve"> (1.72E)1A-1418</w:t>
      </w:r>
    </w:p>
    <w:p w14:paraId="5B219AA6" w14:textId="520B9136" w:rsidR="001B3C5B" w:rsidRPr="00E33EFF" w:rsidRDefault="004C263A" w:rsidP="001B3C5B">
      <w:pPr>
        <w:ind w:left="6096"/>
      </w:pPr>
      <w:r w:rsidRPr="00E33EFF">
        <w:t>(Valstybinės vaistų kontrolės tarnybos prie Lietuvos Respublikos sveikatos apsaugos ministerijos viršininko 2022 m.                         d. įsakymo Nr.                    redakcija)</w:t>
      </w:r>
    </w:p>
    <w:p w14:paraId="3336BD74" w14:textId="77777777" w:rsidR="001B3C5B" w:rsidRPr="00E33EFF" w:rsidRDefault="001B3C5B" w:rsidP="00FA4169"/>
    <w:p w14:paraId="77AFB67E" w14:textId="16397257" w:rsidR="00613501" w:rsidRPr="00E33EFF" w:rsidRDefault="002F0E4F" w:rsidP="003B211A">
      <w:pPr>
        <w:jc w:val="center"/>
        <w:rPr>
          <w:b/>
          <w:bCs/>
          <w:caps/>
        </w:rPr>
      </w:pPr>
      <w:r w:rsidRPr="00E33EFF">
        <w:rPr>
          <w:b/>
        </w:rPr>
        <w:t xml:space="preserve">REKOMENDACIJA DĖL VAISTINIO PREPARATO </w:t>
      </w:r>
      <w:r w:rsidRPr="00E33EFF">
        <w:rPr>
          <w:b/>
          <w:bCs/>
          <w:caps/>
        </w:rPr>
        <w:t>Lietuvos Respublikos Sveikatos apsaugos ministerijos vaistinių preparatų ir medicinos pagalbos priemonių kompensavimo komisijai</w:t>
      </w:r>
    </w:p>
    <w:p w14:paraId="34E4395D" w14:textId="15FB10DF" w:rsidR="00B13D65" w:rsidRPr="00E33EFF" w:rsidRDefault="00B13D65" w:rsidP="003B211A">
      <w:pPr>
        <w:jc w:val="center"/>
        <w:rPr>
          <w:b/>
        </w:rPr>
      </w:pPr>
    </w:p>
    <w:p w14:paraId="4285A32A" w14:textId="77777777" w:rsidR="001A6558" w:rsidRPr="0073329D" w:rsidRDefault="001A6558" w:rsidP="001A6558">
      <w:pPr>
        <w:jc w:val="center"/>
        <w:rPr>
          <w:b/>
        </w:rPr>
      </w:pPr>
      <w:r w:rsidRPr="00B250BD">
        <w:rPr>
          <w:b/>
        </w:rPr>
        <w:t xml:space="preserve">AQUIPTA </w:t>
      </w:r>
      <w:r>
        <w:rPr>
          <w:b/>
        </w:rPr>
        <w:t>10 mg, 60 mg</w:t>
      </w:r>
      <w:r w:rsidRPr="0073329D">
        <w:rPr>
          <w:b/>
        </w:rPr>
        <w:t xml:space="preserve"> </w:t>
      </w:r>
      <w:r>
        <w:rPr>
          <w:b/>
        </w:rPr>
        <w:t>tabletės</w:t>
      </w:r>
    </w:p>
    <w:p w14:paraId="1BD14B8A" w14:textId="77777777" w:rsidR="001A6558" w:rsidRPr="0073329D" w:rsidRDefault="001A6558" w:rsidP="001A6558">
      <w:pPr>
        <w:jc w:val="center"/>
      </w:pPr>
    </w:p>
    <w:p w14:paraId="474BB956" w14:textId="77777777" w:rsidR="001A6558" w:rsidRPr="0073329D" w:rsidRDefault="001A6558" w:rsidP="001A6558">
      <w:pPr>
        <w:jc w:val="center"/>
      </w:pPr>
      <w:r w:rsidRPr="0073329D">
        <w:t>(</w:t>
      </w:r>
      <w:r>
        <w:rPr>
          <w:b/>
        </w:rPr>
        <w:t>Atogepantum</w:t>
      </w:r>
      <w:r w:rsidRPr="0073329D">
        <w:t>)</w:t>
      </w:r>
    </w:p>
    <w:p w14:paraId="3F11E7AB" w14:textId="77777777" w:rsidR="001A6558" w:rsidRPr="0073329D" w:rsidRDefault="001A6558" w:rsidP="001A6558">
      <w:pPr>
        <w:jc w:val="center"/>
      </w:pPr>
    </w:p>
    <w:p w14:paraId="2CF15347" w14:textId="77777777" w:rsidR="001A6558" w:rsidRPr="0073329D" w:rsidRDefault="001A6558" w:rsidP="001A6558">
      <w:pPr>
        <w:jc w:val="center"/>
        <w:rPr>
          <w:b/>
        </w:rPr>
      </w:pPr>
      <w:r>
        <w:rPr>
          <w:b/>
        </w:rPr>
        <w:t>STV 161</w:t>
      </w:r>
    </w:p>
    <w:p w14:paraId="453197C8" w14:textId="77777777" w:rsidR="00D4708D" w:rsidRPr="00E33EFF" w:rsidRDefault="00D4708D" w:rsidP="003B211A">
      <w:pPr>
        <w:jc w:val="center"/>
        <w:rPr>
          <w:b/>
        </w:rPr>
      </w:pPr>
    </w:p>
    <w:p w14:paraId="78C89D1C" w14:textId="0DEFFAA5" w:rsidR="00D4485B" w:rsidRPr="00E33EFF" w:rsidRDefault="00B13D65" w:rsidP="00CC09D4">
      <w:pPr>
        <w:pStyle w:val="Sraopastraipa"/>
        <w:numPr>
          <w:ilvl w:val="0"/>
          <w:numId w:val="12"/>
        </w:numPr>
        <w:tabs>
          <w:tab w:val="left" w:pos="567"/>
        </w:tabs>
        <w:ind w:left="567" w:hanging="567"/>
        <w:rPr>
          <w:b/>
          <w:bCs/>
          <w:caps/>
        </w:rPr>
      </w:pPr>
      <w:r w:rsidRPr="00E33EFF">
        <w:rPr>
          <w:b/>
          <w:bCs/>
          <w:caps/>
        </w:rPr>
        <w:t>Bendroji dalis</w:t>
      </w:r>
    </w:p>
    <w:p w14:paraId="04A7C7A7" w14:textId="77777777" w:rsidR="00B13D65" w:rsidRPr="00E33EFF" w:rsidRDefault="00B13D65" w:rsidP="00E03C3F">
      <w:pPr>
        <w:pStyle w:val="Sraopastraipa"/>
        <w:tabs>
          <w:tab w:val="left" w:pos="284"/>
        </w:tabs>
        <w:ind w:left="0"/>
        <w:rPr>
          <w:b/>
          <w:bCs/>
          <w:caps/>
        </w:rPr>
      </w:pPr>
    </w:p>
    <w:tbl>
      <w:tblPr>
        <w:tblStyle w:val="Lentelstinklelis"/>
        <w:tblW w:w="9493" w:type="dxa"/>
        <w:tblLook w:val="04A0" w:firstRow="1" w:lastRow="0" w:firstColumn="1" w:lastColumn="0" w:noHBand="0" w:noVBand="1"/>
      </w:tblPr>
      <w:tblGrid>
        <w:gridCol w:w="632"/>
        <w:gridCol w:w="3694"/>
        <w:gridCol w:w="5167"/>
      </w:tblGrid>
      <w:tr w:rsidR="001A6558" w:rsidRPr="00E33EFF" w14:paraId="18A83EC2" w14:textId="77777777" w:rsidTr="00BE7489">
        <w:trPr>
          <w:trHeight w:val="538"/>
        </w:trPr>
        <w:tc>
          <w:tcPr>
            <w:tcW w:w="632" w:type="dxa"/>
          </w:tcPr>
          <w:p w14:paraId="0646FBEA" w14:textId="77777777" w:rsidR="001A6558" w:rsidRPr="00E33EFF" w:rsidRDefault="001A6558" w:rsidP="001A6558">
            <w:pPr>
              <w:rPr>
                <w:rFonts w:eastAsia="Arial"/>
              </w:rPr>
            </w:pPr>
            <w:r w:rsidRPr="00E33EFF">
              <w:rPr>
                <w:rFonts w:eastAsia="Arial"/>
              </w:rPr>
              <w:t>1.1</w:t>
            </w:r>
          </w:p>
        </w:tc>
        <w:tc>
          <w:tcPr>
            <w:tcW w:w="3694" w:type="dxa"/>
          </w:tcPr>
          <w:p w14:paraId="2AF240DC" w14:textId="7513C5F0" w:rsidR="001A6558" w:rsidRPr="001A6558" w:rsidRDefault="001A6558" w:rsidP="001A6558">
            <w:pPr>
              <w:rPr>
                <w:rFonts w:eastAsia="Arial"/>
              </w:rPr>
            </w:pPr>
            <w:r w:rsidRPr="001A6558">
              <w:rPr>
                <w:lang w:eastAsia="lt-LT"/>
              </w:rPr>
              <w:t>Pareiškėjas</w:t>
            </w:r>
          </w:p>
        </w:tc>
        <w:tc>
          <w:tcPr>
            <w:tcW w:w="5167" w:type="dxa"/>
          </w:tcPr>
          <w:p w14:paraId="2AAF0D91" w14:textId="6A7AD235" w:rsidR="001A6558" w:rsidRPr="00E33EFF" w:rsidRDefault="001A6558" w:rsidP="001A6558">
            <w:pPr>
              <w:rPr>
                <w:rFonts w:eastAsia="Arial"/>
              </w:rPr>
            </w:pPr>
            <w:r w:rsidRPr="00941F1D">
              <w:t>UAB „AbbVie“</w:t>
            </w:r>
          </w:p>
        </w:tc>
      </w:tr>
      <w:tr w:rsidR="001A6558" w:rsidRPr="00E33EFF" w14:paraId="31998B0D" w14:textId="77777777" w:rsidTr="00BE7489">
        <w:trPr>
          <w:trHeight w:val="538"/>
        </w:trPr>
        <w:tc>
          <w:tcPr>
            <w:tcW w:w="632" w:type="dxa"/>
          </w:tcPr>
          <w:p w14:paraId="2005EC67" w14:textId="662300D0" w:rsidR="001A6558" w:rsidRPr="00E33EFF" w:rsidRDefault="001A6558" w:rsidP="001A6558">
            <w:pPr>
              <w:rPr>
                <w:rFonts w:eastAsia="Arial"/>
              </w:rPr>
            </w:pPr>
            <w:r w:rsidRPr="00E33EFF">
              <w:rPr>
                <w:rFonts w:eastAsia="Arial"/>
              </w:rPr>
              <w:t>1.2</w:t>
            </w:r>
          </w:p>
        </w:tc>
        <w:tc>
          <w:tcPr>
            <w:tcW w:w="3694" w:type="dxa"/>
          </w:tcPr>
          <w:p w14:paraId="04DF231C" w14:textId="77777777" w:rsidR="001A6558" w:rsidRPr="001A6558" w:rsidRDefault="001A6558" w:rsidP="001A6558">
            <w:pPr>
              <w:tabs>
                <w:tab w:val="left" w:pos="284"/>
              </w:tabs>
              <w:spacing w:line="280" w:lineRule="atLeast"/>
              <w:rPr>
                <w:lang w:eastAsia="lt-LT"/>
              </w:rPr>
            </w:pPr>
            <w:r w:rsidRPr="001A6558">
              <w:rPr>
                <w:lang w:eastAsia="lt-LT"/>
              </w:rPr>
              <w:t>Registracijos data (EVA)</w:t>
            </w:r>
          </w:p>
          <w:p w14:paraId="3A0DC096" w14:textId="77777777" w:rsidR="001A6558" w:rsidRPr="001A6558" w:rsidRDefault="001A6558" w:rsidP="001A6558">
            <w:pPr>
              <w:rPr>
                <w:color w:val="000000"/>
                <w:lang w:eastAsia="lt-LT"/>
              </w:rPr>
            </w:pPr>
          </w:p>
        </w:tc>
        <w:tc>
          <w:tcPr>
            <w:tcW w:w="5167" w:type="dxa"/>
          </w:tcPr>
          <w:p w14:paraId="3CA218AD" w14:textId="1DE62E46" w:rsidR="001A6558" w:rsidRPr="00E33EFF" w:rsidRDefault="00E305D8" w:rsidP="001A6558">
            <w:pPr>
              <w:rPr>
                <w:rStyle w:val="Style2"/>
              </w:rPr>
            </w:pPr>
            <w:sdt>
              <w:sdtPr>
                <w:rPr>
                  <w:sz w:val="32"/>
                </w:rPr>
                <w:alias w:val="Nurodykite konkrečią dieną"/>
                <w:tag w:val="Nurodykite pradžios datą"/>
                <w:id w:val="423238108"/>
                <w:placeholder>
                  <w:docPart w:val="84F4D102D51B4E429FAB330DC8998511"/>
                </w:placeholder>
                <w15:color w:val="FFCC99"/>
                <w:date>
                  <w:dateFormat w:val="yyyy 'm.' MMMM d 'd.'"/>
                  <w:lid w:val="lt-LT"/>
                  <w:storeMappedDataAs w:val="dateTime"/>
                  <w:calendar w:val="gregorian"/>
                </w:date>
              </w:sdtPr>
              <w:sdtEndPr>
                <w:rPr>
                  <w:sz w:val="24"/>
                </w:rPr>
              </w:sdtEndPr>
              <w:sdtContent>
                <w:r w:rsidR="001A6558" w:rsidRPr="004520D6">
                  <w:t>2023 rugpjūčio 14 d.</w:t>
                </w:r>
              </w:sdtContent>
            </w:sdt>
          </w:p>
        </w:tc>
      </w:tr>
      <w:tr w:rsidR="001A6558" w:rsidRPr="00E33EFF" w14:paraId="15968AE1" w14:textId="77777777" w:rsidTr="00BE7489">
        <w:trPr>
          <w:trHeight w:val="1500"/>
        </w:trPr>
        <w:tc>
          <w:tcPr>
            <w:tcW w:w="632" w:type="dxa"/>
          </w:tcPr>
          <w:p w14:paraId="6A784245" w14:textId="1E461489" w:rsidR="001A6558" w:rsidRPr="00E33EFF" w:rsidRDefault="001A6558" w:rsidP="001A6558">
            <w:pPr>
              <w:rPr>
                <w:rFonts w:eastAsia="Arial"/>
              </w:rPr>
            </w:pPr>
            <w:r w:rsidRPr="00E33EFF">
              <w:rPr>
                <w:rFonts w:eastAsia="Arial"/>
              </w:rPr>
              <w:t>1.3</w:t>
            </w:r>
          </w:p>
        </w:tc>
        <w:tc>
          <w:tcPr>
            <w:tcW w:w="3694" w:type="dxa"/>
          </w:tcPr>
          <w:p w14:paraId="415724B6" w14:textId="77777777" w:rsidR="001A6558" w:rsidRPr="001A6558" w:rsidRDefault="001A6558" w:rsidP="001A6558">
            <w:pPr>
              <w:pStyle w:val="Betarp"/>
              <w:rPr>
                <w:rFonts w:ascii="Times New Roman" w:hAnsi="Times New Roman"/>
                <w:sz w:val="24"/>
                <w:szCs w:val="24"/>
              </w:rPr>
            </w:pPr>
            <w:r w:rsidRPr="001A6558">
              <w:rPr>
                <w:rFonts w:ascii="Times New Roman" w:hAnsi="Times New Roman"/>
                <w:sz w:val="24"/>
                <w:szCs w:val="24"/>
              </w:rPr>
              <w:t xml:space="preserve">Paraiškos tipas </w:t>
            </w:r>
          </w:p>
          <w:p w14:paraId="47283E4C" w14:textId="77777777" w:rsidR="001A6558" w:rsidRPr="001A6558" w:rsidRDefault="001A6558" w:rsidP="001A6558">
            <w:r w:rsidRPr="001A6558">
              <w:t xml:space="preserve">(pagal </w:t>
            </w:r>
            <w:r w:rsidRPr="001A6558">
              <w:rPr>
                <w:shd w:val="clear" w:color="auto" w:fill="FFFFFF"/>
              </w:rPr>
              <w:t>vaistinio preparato registracijos tipą, įtvirtintą</w:t>
            </w:r>
            <w:r w:rsidRPr="001A6558">
              <w:t xml:space="preserve"> Direktyvos 2001/83/EB straipsniuose)</w:t>
            </w:r>
          </w:p>
          <w:p w14:paraId="77089D80" w14:textId="6681D72A" w:rsidR="001A6558" w:rsidRPr="001A6558" w:rsidRDefault="001A6558" w:rsidP="001A6558">
            <w:pPr>
              <w:rPr>
                <w:color w:val="000000"/>
                <w:lang w:eastAsia="lt-LT"/>
              </w:rPr>
            </w:pPr>
          </w:p>
        </w:tc>
        <w:tc>
          <w:tcPr>
            <w:tcW w:w="5167" w:type="dxa"/>
          </w:tcPr>
          <w:p w14:paraId="61814E26" w14:textId="77777777" w:rsidR="001A6558" w:rsidRPr="0073329D" w:rsidRDefault="00E305D8" w:rsidP="001A6558">
            <w:sdt>
              <w:sdtPr>
                <w:rPr>
                  <w:rStyle w:val="Style2"/>
                </w:rPr>
                <w:id w:val="-366596377"/>
                <w15:color w:val="FFCC00"/>
                <w14:checkbox>
                  <w14:checked w14:val="1"/>
                  <w14:checkedState w14:val="2612" w14:font="MS Gothic"/>
                  <w14:uncheckedState w14:val="2610" w14:font="MS Gothic"/>
                </w14:checkbox>
              </w:sdtPr>
              <w:sdtEndPr>
                <w:rPr>
                  <w:rStyle w:val="Style2"/>
                </w:rPr>
              </w:sdtEndPr>
              <w:sdtContent>
                <w:r w:rsidR="001A6558">
                  <w:rPr>
                    <w:rStyle w:val="Style2"/>
                    <w:rFonts w:ascii="MS Gothic" w:eastAsia="MS Gothic" w:hAnsi="MS Gothic" w:hint="eastAsia"/>
                  </w:rPr>
                  <w:t>☒</w:t>
                </w:r>
              </w:sdtContent>
            </w:sdt>
            <w:r w:rsidR="001A6558" w:rsidRPr="0073329D">
              <w:t xml:space="preserve"> 8.3 str. (pilna byla, pagrįsta savais tyrimais) </w:t>
            </w:r>
          </w:p>
          <w:p w14:paraId="389FE371" w14:textId="77777777" w:rsidR="001A6558" w:rsidRPr="0073329D" w:rsidRDefault="00E305D8" w:rsidP="001A6558">
            <w:sdt>
              <w:sdtPr>
                <w:rPr>
                  <w:rStyle w:val="Style2"/>
                </w:rPr>
                <w:id w:val="675462298"/>
                <w15:color w:val="FFCC00"/>
                <w14:checkbox>
                  <w14:checked w14:val="0"/>
                  <w14:checkedState w14:val="2612" w14:font="MS Gothic"/>
                  <w14:uncheckedState w14:val="2610" w14:font="MS Gothic"/>
                </w14:checkbox>
              </w:sdtPr>
              <w:sdtEndPr>
                <w:rPr>
                  <w:rStyle w:val="Style2"/>
                </w:rPr>
              </w:sdtEndPr>
              <w:sdtContent>
                <w:r w:rsidR="001A6558" w:rsidRPr="0073329D">
                  <w:rPr>
                    <w:rStyle w:val="Style2"/>
                    <w:rFonts w:ascii="Segoe UI Symbol" w:eastAsia="MS Gothic" w:hAnsi="Segoe UI Symbol" w:cs="Segoe UI Symbol"/>
                  </w:rPr>
                  <w:t>☐</w:t>
                </w:r>
              </w:sdtContent>
            </w:sdt>
            <w:r w:rsidR="001A6558" w:rsidRPr="0073329D">
              <w:t xml:space="preserve"> 10 a str. (pripažintas medicininis vartojimas) </w:t>
            </w:r>
          </w:p>
          <w:p w14:paraId="68E54582" w14:textId="77777777" w:rsidR="001A6558" w:rsidRPr="0073329D" w:rsidRDefault="00E305D8" w:rsidP="001A6558">
            <w:sdt>
              <w:sdtPr>
                <w:rPr>
                  <w:rStyle w:val="Style2"/>
                </w:rPr>
                <w:id w:val="-1290435890"/>
                <w15:color w:val="FFCC00"/>
                <w14:checkbox>
                  <w14:checked w14:val="0"/>
                  <w14:checkedState w14:val="2612" w14:font="MS Gothic"/>
                  <w14:uncheckedState w14:val="2610" w14:font="MS Gothic"/>
                </w14:checkbox>
              </w:sdtPr>
              <w:sdtEndPr>
                <w:rPr>
                  <w:rStyle w:val="Style2"/>
                </w:rPr>
              </w:sdtEndPr>
              <w:sdtContent>
                <w:r w:rsidR="001A6558" w:rsidRPr="0073329D">
                  <w:rPr>
                    <w:rStyle w:val="Style2"/>
                    <w:rFonts w:ascii="MS Gothic" w:eastAsia="MS Gothic" w:hAnsi="MS Gothic" w:hint="eastAsia"/>
                  </w:rPr>
                  <w:t>☐</w:t>
                </w:r>
              </w:sdtContent>
            </w:sdt>
            <w:r w:rsidR="001A6558" w:rsidRPr="0073329D">
              <w:t xml:space="preserve"> 10.1 str. (generinis)</w:t>
            </w:r>
          </w:p>
          <w:p w14:paraId="3B0A4F72" w14:textId="3EA875CD" w:rsidR="001A6558" w:rsidRPr="00E33EFF" w:rsidRDefault="00E305D8" w:rsidP="001A6558">
            <w:pPr>
              <w:rPr>
                <w:rStyle w:val="Style2"/>
                <w:sz w:val="24"/>
              </w:rPr>
            </w:pPr>
            <w:sdt>
              <w:sdtPr>
                <w:rPr>
                  <w:rStyle w:val="Style2"/>
                </w:rPr>
                <w:id w:val="-124545030"/>
                <w15:color w:val="FFCC00"/>
                <w14:checkbox>
                  <w14:checked w14:val="0"/>
                  <w14:checkedState w14:val="2612" w14:font="MS Gothic"/>
                  <w14:uncheckedState w14:val="2610" w14:font="MS Gothic"/>
                </w14:checkbox>
              </w:sdtPr>
              <w:sdtEndPr>
                <w:rPr>
                  <w:rStyle w:val="Style2"/>
                </w:rPr>
              </w:sdtEndPr>
              <w:sdtContent>
                <w:r w:rsidR="001A6558" w:rsidRPr="0073329D">
                  <w:rPr>
                    <w:rStyle w:val="Style2"/>
                    <w:rFonts w:ascii="Segoe UI Symbol" w:eastAsia="MS Gothic" w:hAnsi="Segoe UI Symbol" w:cs="Segoe UI Symbol"/>
                  </w:rPr>
                  <w:t>☐</w:t>
                </w:r>
              </w:sdtContent>
            </w:sdt>
            <w:r w:rsidR="001A6558" w:rsidRPr="0073329D">
              <w:t xml:space="preserve"> 10.3 str. (hibridinis)</w:t>
            </w:r>
          </w:p>
        </w:tc>
      </w:tr>
      <w:tr w:rsidR="001A6558" w:rsidRPr="00E33EFF" w14:paraId="310E9662" w14:textId="77777777" w:rsidTr="00BE7489">
        <w:trPr>
          <w:trHeight w:val="1442"/>
        </w:trPr>
        <w:tc>
          <w:tcPr>
            <w:tcW w:w="632" w:type="dxa"/>
          </w:tcPr>
          <w:p w14:paraId="4B5A91A2" w14:textId="561B5E5F" w:rsidR="001A6558" w:rsidRPr="00E33EFF" w:rsidRDefault="001A6558" w:rsidP="001A6558">
            <w:pPr>
              <w:rPr>
                <w:rFonts w:eastAsia="Arial"/>
              </w:rPr>
            </w:pPr>
            <w:r w:rsidRPr="00E33EFF">
              <w:rPr>
                <w:rFonts w:eastAsia="Arial"/>
              </w:rPr>
              <w:t>1.4</w:t>
            </w:r>
          </w:p>
        </w:tc>
        <w:tc>
          <w:tcPr>
            <w:tcW w:w="3694" w:type="dxa"/>
          </w:tcPr>
          <w:p w14:paraId="4CD91A43" w14:textId="77777777" w:rsidR="001A6558" w:rsidRPr="001A6558" w:rsidRDefault="001A6558" w:rsidP="001A6558">
            <w:pPr>
              <w:tabs>
                <w:tab w:val="left" w:pos="284"/>
              </w:tabs>
              <w:spacing w:line="280" w:lineRule="atLeast"/>
              <w:rPr>
                <w:lang w:eastAsia="lt-LT"/>
              </w:rPr>
            </w:pPr>
            <w:r w:rsidRPr="001A6558">
              <w:rPr>
                <w:lang w:eastAsia="lt-LT"/>
              </w:rPr>
              <w:t>Ar vaistinis preparatas įrašytas į Bendrijos retųjų vaistinių preparatų registrą?</w:t>
            </w:r>
          </w:p>
          <w:p w14:paraId="3FD14C83" w14:textId="77777777" w:rsidR="001A6558" w:rsidRPr="001A6558" w:rsidRDefault="001A6558" w:rsidP="001A6558">
            <w:pPr>
              <w:tabs>
                <w:tab w:val="left" w:pos="284"/>
              </w:tabs>
              <w:spacing w:line="280" w:lineRule="atLeast"/>
              <w:rPr>
                <w:i/>
                <w:lang w:eastAsia="lt-LT"/>
              </w:rPr>
            </w:pPr>
          </w:p>
          <w:p w14:paraId="483071A3" w14:textId="5B712511" w:rsidR="001A6558" w:rsidRPr="001A6558" w:rsidRDefault="001A6558" w:rsidP="001A6558">
            <w:pPr>
              <w:rPr>
                <w:color w:val="000000"/>
                <w:lang w:eastAsia="lt-LT"/>
              </w:rPr>
            </w:pPr>
            <w:r w:rsidRPr="001A6558">
              <w:rPr>
                <w:i/>
                <w:sz w:val="22"/>
                <w:szCs w:val="22"/>
                <w:lang w:eastAsia="lt-LT"/>
              </w:rPr>
              <w:t>Jei taip, nurodykite įrašymo datą ir numerį</w:t>
            </w:r>
          </w:p>
        </w:tc>
        <w:tc>
          <w:tcPr>
            <w:tcW w:w="5167" w:type="dxa"/>
          </w:tcPr>
          <w:p w14:paraId="270D7058" w14:textId="77777777" w:rsidR="001A6558" w:rsidRPr="0073329D" w:rsidRDefault="00E305D8" w:rsidP="001A6558">
            <w:sdt>
              <w:sdtPr>
                <w:rPr>
                  <w:rStyle w:val="Style2"/>
                </w:rPr>
                <w:id w:val="2024432173"/>
                <w15:color w:val="FFCC00"/>
                <w14:checkbox>
                  <w14:checked w14:val="0"/>
                  <w14:checkedState w14:val="2612" w14:font="MS Gothic"/>
                  <w14:uncheckedState w14:val="2610" w14:font="MS Gothic"/>
                </w14:checkbox>
              </w:sdtPr>
              <w:sdtEndPr>
                <w:rPr>
                  <w:rStyle w:val="Style2"/>
                </w:rPr>
              </w:sdtEndPr>
              <w:sdtContent>
                <w:r w:rsidR="001A6558" w:rsidRPr="0073329D">
                  <w:rPr>
                    <w:rStyle w:val="Style2"/>
                    <w:rFonts w:ascii="Segoe UI Symbol" w:eastAsia="MS Gothic" w:hAnsi="Segoe UI Symbol" w:cs="Segoe UI Symbol"/>
                  </w:rPr>
                  <w:t>☐</w:t>
                </w:r>
              </w:sdtContent>
            </w:sdt>
            <w:r w:rsidR="001A6558" w:rsidRPr="0073329D">
              <w:t xml:space="preserve"> Taip</w:t>
            </w:r>
          </w:p>
          <w:p w14:paraId="499BA5A7" w14:textId="77777777" w:rsidR="001A6558" w:rsidRPr="0073329D" w:rsidRDefault="00E305D8" w:rsidP="001A6558">
            <w:sdt>
              <w:sdtPr>
                <w:rPr>
                  <w:rStyle w:val="Style2"/>
                </w:rPr>
                <w:id w:val="-970507926"/>
                <w15:color w:val="FFCC00"/>
                <w14:checkbox>
                  <w14:checked w14:val="1"/>
                  <w14:checkedState w14:val="2612" w14:font="MS Gothic"/>
                  <w14:uncheckedState w14:val="2610" w14:font="MS Gothic"/>
                </w14:checkbox>
              </w:sdtPr>
              <w:sdtEndPr>
                <w:rPr>
                  <w:rStyle w:val="Style2"/>
                </w:rPr>
              </w:sdtEndPr>
              <w:sdtContent>
                <w:r w:rsidR="001A6558">
                  <w:rPr>
                    <w:rStyle w:val="Style2"/>
                    <w:rFonts w:ascii="MS Gothic" w:eastAsia="MS Gothic" w:hAnsi="MS Gothic" w:hint="eastAsia"/>
                  </w:rPr>
                  <w:t>☒</w:t>
                </w:r>
              </w:sdtContent>
            </w:sdt>
            <w:r w:rsidR="001A6558" w:rsidRPr="0073329D">
              <w:t xml:space="preserve"> Ne</w:t>
            </w:r>
          </w:p>
          <w:p w14:paraId="29C2CBBB" w14:textId="732ECEA8" w:rsidR="001A6558" w:rsidRPr="00E33EFF" w:rsidRDefault="00E305D8" w:rsidP="001A6558">
            <w:pPr>
              <w:rPr>
                <w:rFonts w:eastAsia="Arial"/>
              </w:rPr>
            </w:pPr>
            <w:sdt>
              <w:sdtPr>
                <w:alias w:val="Nurodykite konkrečią dieną"/>
                <w:tag w:val="Nurodykite pradžios datą"/>
                <w:id w:val="693498901"/>
                <w:placeholder>
                  <w:docPart w:val="2F8CF07B79A4CC4F9F1EF5522977EBEC"/>
                </w:placeholder>
                <w:showingPlcHdr/>
                <w15:color w:val="FFCC99"/>
                <w:date w:fullDate="2022-05-18T00:00:00Z">
                  <w:dateFormat w:val="yyyy 'm.' MMMM d 'd.'"/>
                  <w:lid w:val="lt-LT"/>
                  <w:storeMappedDataAs w:val="dateTime"/>
                  <w:calendar w:val="gregorian"/>
                </w:date>
              </w:sdtPr>
              <w:sdtEndPr/>
              <w:sdtContent>
                <w:r w:rsidR="001A6558" w:rsidRPr="0073329D">
                  <w:rPr>
                    <w:rStyle w:val="Vietosrezervavimoenklotekstas"/>
                  </w:rPr>
                  <w:t>Click here to enter a date.</w:t>
                </w:r>
              </w:sdtContent>
            </w:sdt>
          </w:p>
        </w:tc>
      </w:tr>
      <w:tr w:rsidR="00D417D2" w:rsidRPr="00E33EFF" w14:paraId="7841E5F8" w14:textId="77777777" w:rsidTr="00BE7489">
        <w:trPr>
          <w:trHeight w:val="476"/>
        </w:trPr>
        <w:tc>
          <w:tcPr>
            <w:tcW w:w="632" w:type="dxa"/>
          </w:tcPr>
          <w:p w14:paraId="109D2861" w14:textId="73BF27DF" w:rsidR="00D417D2" w:rsidRPr="00E33EFF" w:rsidRDefault="00D417D2" w:rsidP="00824B92">
            <w:pPr>
              <w:rPr>
                <w:rFonts w:eastAsia="Arial"/>
              </w:rPr>
            </w:pPr>
            <w:r w:rsidRPr="00E33EFF">
              <w:rPr>
                <w:rFonts w:eastAsia="Arial"/>
              </w:rPr>
              <w:t>1.5</w:t>
            </w:r>
          </w:p>
        </w:tc>
        <w:tc>
          <w:tcPr>
            <w:tcW w:w="3694" w:type="dxa"/>
          </w:tcPr>
          <w:p w14:paraId="7822D63E" w14:textId="68C38334" w:rsidR="00D417D2" w:rsidRPr="00E33EFF" w:rsidRDefault="00D417D2" w:rsidP="00824B92">
            <w:pPr>
              <w:rPr>
                <w:bCs/>
                <w:color w:val="000000"/>
                <w:lang w:eastAsia="lt-LT"/>
              </w:rPr>
            </w:pPr>
            <w:r w:rsidRPr="00E33EFF">
              <w:t>STV paraiškos pobūdis</w:t>
            </w:r>
          </w:p>
        </w:tc>
        <w:tc>
          <w:tcPr>
            <w:tcW w:w="5167" w:type="dxa"/>
          </w:tcPr>
          <w:p w14:paraId="403461B9" w14:textId="7C17E980" w:rsidR="00D417D2" w:rsidRPr="00E33EFF" w:rsidRDefault="00E305D8" w:rsidP="00824B92">
            <w:sdt>
              <w:sdtPr>
                <w:rPr>
                  <w:rStyle w:val="Style2"/>
                  <w:sz w:val="24"/>
                </w:rPr>
                <w:id w:val="-468433535"/>
                <w15:color w:val="FFCC00"/>
                <w14:checkbox>
                  <w14:checked w14:val="1"/>
                  <w14:checkedState w14:val="2612" w14:font="MS Gothic"/>
                  <w14:uncheckedState w14:val="2610" w14:font="MS Gothic"/>
                </w14:checkbox>
              </w:sdtPr>
              <w:sdtEndPr>
                <w:rPr>
                  <w:rStyle w:val="Style2"/>
                </w:rPr>
              </w:sdtEndPr>
              <w:sdtContent>
                <w:r w:rsidR="001A6558">
                  <w:rPr>
                    <w:rStyle w:val="Style2"/>
                    <w:rFonts w:ascii="MS Gothic" w:eastAsia="MS Gothic" w:hAnsi="MS Gothic" w:hint="eastAsia"/>
                    <w:sz w:val="24"/>
                  </w:rPr>
                  <w:t>☒</w:t>
                </w:r>
              </w:sdtContent>
            </w:sdt>
            <w:r w:rsidR="00D417D2" w:rsidRPr="00E33EFF">
              <w:t xml:space="preserve"> Pilna paraiška</w:t>
            </w:r>
          </w:p>
          <w:p w14:paraId="6B8213E3" w14:textId="3495CDF4" w:rsidR="00D417D2" w:rsidRPr="00E33EFF" w:rsidRDefault="00E305D8" w:rsidP="00824B92">
            <w:sdt>
              <w:sdtPr>
                <w:rPr>
                  <w:rStyle w:val="Style2"/>
                  <w:sz w:val="24"/>
                </w:rPr>
                <w:id w:val="-1489014904"/>
                <w15:color w:val="FFCC00"/>
                <w14:checkbox>
                  <w14:checked w14:val="0"/>
                  <w14:checkedState w14:val="2612" w14:font="MS Gothic"/>
                  <w14:uncheckedState w14:val="2610" w14:font="MS Gothic"/>
                </w14:checkbox>
              </w:sdtPr>
              <w:sdtEndPr>
                <w:rPr>
                  <w:rStyle w:val="Style2"/>
                </w:rPr>
              </w:sdtEndPr>
              <w:sdtContent>
                <w:r w:rsidR="00D417D2" w:rsidRPr="00E33EFF">
                  <w:rPr>
                    <w:rStyle w:val="Style2"/>
                    <w:rFonts w:ascii="MS Gothic" w:eastAsia="MS Gothic" w:hAnsi="MS Gothic" w:hint="eastAsia"/>
                    <w:sz w:val="24"/>
                  </w:rPr>
                  <w:t>☐</w:t>
                </w:r>
              </w:sdtContent>
            </w:sdt>
            <w:r w:rsidR="00D417D2" w:rsidRPr="00E33EFF">
              <w:t xml:space="preserve"> Supaprastinta paraiška</w:t>
            </w:r>
          </w:p>
        </w:tc>
      </w:tr>
      <w:tr w:rsidR="00B13D65" w:rsidRPr="00E33EFF" w14:paraId="274D1DAF" w14:textId="77777777" w:rsidTr="00BE7489">
        <w:trPr>
          <w:trHeight w:val="1922"/>
        </w:trPr>
        <w:tc>
          <w:tcPr>
            <w:tcW w:w="632" w:type="dxa"/>
          </w:tcPr>
          <w:p w14:paraId="17ABF217" w14:textId="14AC00D7" w:rsidR="00B13D65" w:rsidRPr="00E33EFF" w:rsidRDefault="00B13D65" w:rsidP="00824B92">
            <w:pPr>
              <w:rPr>
                <w:rFonts w:eastAsia="Arial"/>
              </w:rPr>
            </w:pPr>
            <w:r w:rsidRPr="00E33EFF">
              <w:rPr>
                <w:rFonts w:eastAsia="Arial"/>
              </w:rPr>
              <w:t>1.</w:t>
            </w:r>
            <w:r w:rsidR="00D417D2" w:rsidRPr="00E33EFF">
              <w:rPr>
                <w:rFonts w:eastAsia="Arial"/>
              </w:rPr>
              <w:t>6</w:t>
            </w:r>
          </w:p>
        </w:tc>
        <w:tc>
          <w:tcPr>
            <w:tcW w:w="3694" w:type="dxa"/>
          </w:tcPr>
          <w:p w14:paraId="4D49DBF5" w14:textId="77777777" w:rsidR="007656B2" w:rsidRPr="00E33EFF" w:rsidRDefault="00DE4484" w:rsidP="00824B92">
            <w:pPr>
              <w:rPr>
                <w:bCs/>
                <w:color w:val="000000"/>
                <w:lang w:eastAsia="lt-LT"/>
              </w:rPr>
            </w:pPr>
            <w:r w:rsidRPr="00E33EFF">
              <w:rPr>
                <w:bCs/>
                <w:color w:val="000000"/>
                <w:lang w:eastAsia="lt-LT"/>
              </w:rPr>
              <w:t>Par</w:t>
            </w:r>
            <w:r w:rsidR="007656B2" w:rsidRPr="00E33EFF">
              <w:rPr>
                <w:bCs/>
                <w:color w:val="000000"/>
                <w:lang w:eastAsia="lt-LT"/>
              </w:rPr>
              <w:t>eiškėjo t</w:t>
            </w:r>
            <w:r w:rsidR="00B13D65" w:rsidRPr="00E33EFF">
              <w:rPr>
                <w:bCs/>
                <w:color w:val="000000"/>
                <w:lang w:eastAsia="lt-LT"/>
              </w:rPr>
              <w:t>eikiama (-os) kompensuoti vaistinio preparato indikacija (-os)</w:t>
            </w:r>
          </w:p>
          <w:p w14:paraId="3FB07EE5" w14:textId="77777777" w:rsidR="00AE1322" w:rsidRDefault="00AE1322" w:rsidP="00824B92">
            <w:pPr>
              <w:rPr>
                <w:bCs/>
                <w:color w:val="000000"/>
                <w:lang w:eastAsia="lt-LT"/>
              </w:rPr>
            </w:pPr>
          </w:p>
          <w:p w14:paraId="3A6B054C" w14:textId="77777777" w:rsidR="00AE1322" w:rsidRDefault="00AE1322" w:rsidP="00824B92">
            <w:pPr>
              <w:rPr>
                <w:bCs/>
                <w:color w:val="000000"/>
                <w:lang w:eastAsia="lt-LT"/>
              </w:rPr>
            </w:pPr>
          </w:p>
          <w:p w14:paraId="6B4FEEC1" w14:textId="378668B0" w:rsidR="00B13D65" w:rsidRPr="00E33EFF" w:rsidRDefault="007656B2" w:rsidP="00824B92">
            <w:pPr>
              <w:rPr>
                <w:bCs/>
                <w:color w:val="000000"/>
                <w:lang w:eastAsia="lt-LT"/>
              </w:rPr>
            </w:pPr>
            <w:r w:rsidRPr="00E33EFF">
              <w:rPr>
                <w:bCs/>
                <w:color w:val="000000"/>
                <w:lang w:eastAsia="lt-LT"/>
              </w:rPr>
              <w:t>K</w:t>
            </w:r>
            <w:r w:rsidR="00B13D65" w:rsidRPr="00E33EFF">
              <w:rPr>
                <w:bCs/>
                <w:color w:val="000000"/>
                <w:lang w:eastAsia="lt-LT"/>
              </w:rPr>
              <w:t>odas</w:t>
            </w:r>
            <w:r w:rsidRPr="00E33EFF">
              <w:rPr>
                <w:bCs/>
                <w:color w:val="000000"/>
                <w:lang w:eastAsia="lt-LT"/>
              </w:rPr>
              <w:t xml:space="preserve"> pagal TLK-10 AM</w:t>
            </w:r>
          </w:p>
        </w:tc>
        <w:tc>
          <w:tcPr>
            <w:tcW w:w="5167" w:type="dxa"/>
          </w:tcPr>
          <w:p w14:paraId="5333B52C" w14:textId="6116E4FC" w:rsidR="001A6558" w:rsidRDefault="001A6558" w:rsidP="001A6558">
            <w:pPr>
              <w:pStyle w:val="Sraopastraipa"/>
              <w:spacing w:after="120"/>
              <w:ind w:left="0"/>
              <w:contextualSpacing w:val="0"/>
              <w:jc w:val="both"/>
            </w:pPr>
            <w:r w:rsidRPr="00B250BD">
              <w:t>AQUIPTA skirtas migrenos profilaktikai suaugusiesiems, kuriems būna bent 4 migrenos dienos per mėnesį.</w:t>
            </w:r>
          </w:p>
          <w:p w14:paraId="465B7B81" w14:textId="77777777" w:rsidR="001A6558" w:rsidRPr="00E33EFF" w:rsidRDefault="001A6558" w:rsidP="001A6558">
            <w:pPr>
              <w:pStyle w:val="Sraopastraipa"/>
              <w:spacing w:after="120"/>
              <w:ind w:left="0"/>
              <w:contextualSpacing w:val="0"/>
              <w:jc w:val="both"/>
            </w:pPr>
          </w:p>
          <w:p w14:paraId="13F7DFB0" w14:textId="3599A690" w:rsidR="00B13D65" w:rsidRPr="00E33EFF" w:rsidRDefault="001A6558" w:rsidP="00824B92">
            <w:r>
              <w:t>G43</w:t>
            </w:r>
          </w:p>
        </w:tc>
      </w:tr>
      <w:tr w:rsidR="00B13D65" w:rsidRPr="00E33EFF" w14:paraId="2F79DC08" w14:textId="77777777" w:rsidTr="00BE7489">
        <w:trPr>
          <w:trHeight w:val="378"/>
        </w:trPr>
        <w:tc>
          <w:tcPr>
            <w:tcW w:w="632" w:type="dxa"/>
          </w:tcPr>
          <w:p w14:paraId="547885A2" w14:textId="08AA8055" w:rsidR="00B13D65" w:rsidRPr="00E33EFF" w:rsidRDefault="00B13D65" w:rsidP="00824B92">
            <w:pPr>
              <w:rPr>
                <w:rFonts w:eastAsia="Arial"/>
              </w:rPr>
            </w:pPr>
            <w:r w:rsidRPr="00E33EFF">
              <w:rPr>
                <w:rFonts w:eastAsia="Arial"/>
              </w:rPr>
              <w:t>1.</w:t>
            </w:r>
            <w:r w:rsidR="002E0702" w:rsidRPr="00E33EFF">
              <w:rPr>
                <w:rFonts w:eastAsia="Arial"/>
              </w:rPr>
              <w:t>6</w:t>
            </w:r>
          </w:p>
        </w:tc>
        <w:tc>
          <w:tcPr>
            <w:tcW w:w="3694" w:type="dxa"/>
          </w:tcPr>
          <w:p w14:paraId="2EAB877F" w14:textId="39A36941" w:rsidR="00B13D65" w:rsidRPr="00E33EFF" w:rsidRDefault="007656B2" w:rsidP="00824B92">
            <w:pPr>
              <w:rPr>
                <w:bCs/>
                <w:color w:val="000000"/>
                <w:u w:val="single"/>
                <w:lang w:eastAsia="lt-LT"/>
              </w:rPr>
            </w:pPr>
            <w:r w:rsidRPr="00E33EFF">
              <w:rPr>
                <w:bCs/>
                <w:color w:val="000000"/>
                <w:lang w:eastAsia="lt-LT"/>
              </w:rPr>
              <w:t>Pareiškėjo t</w:t>
            </w:r>
            <w:r w:rsidR="00B13D65" w:rsidRPr="00E33EFF">
              <w:rPr>
                <w:bCs/>
                <w:color w:val="000000"/>
                <w:lang w:eastAsia="lt-LT"/>
              </w:rPr>
              <w:t>eikiamos skyrimo sąlygos</w:t>
            </w:r>
            <w:r w:rsidR="005B3756" w:rsidRPr="00E33EFF">
              <w:rPr>
                <w:bCs/>
                <w:color w:val="000000"/>
                <w:lang w:eastAsia="lt-LT"/>
              </w:rPr>
              <w:t xml:space="preserve"> </w:t>
            </w:r>
          </w:p>
        </w:tc>
        <w:tc>
          <w:tcPr>
            <w:tcW w:w="5167" w:type="dxa"/>
          </w:tcPr>
          <w:p w14:paraId="0579DF58" w14:textId="32538C6D" w:rsidR="00B13D65" w:rsidRPr="00E33EFF" w:rsidRDefault="001A6558" w:rsidP="00824B92">
            <w:r w:rsidRPr="00B250BD">
              <w:t xml:space="preserve">Skiriamas migrenos profilaktikai suaugusiesiems, kuriems bent 4 dienas per mėnesį pasireiškia </w:t>
            </w:r>
            <w:r w:rsidRPr="00B250BD">
              <w:lastRenderedPageBreak/>
              <w:t>migrenos skausmai. Pirmą kartą skiria ir išrašo gydytojas neurologas, vėliau gali išrašyti vidaus ligų ar šeimos gydytojas.</w:t>
            </w:r>
          </w:p>
        </w:tc>
      </w:tr>
      <w:tr w:rsidR="00B13D65" w:rsidRPr="00E33EFF" w14:paraId="3B125269" w14:textId="77777777" w:rsidTr="00BE7489">
        <w:trPr>
          <w:trHeight w:val="378"/>
        </w:trPr>
        <w:tc>
          <w:tcPr>
            <w:tcW w:w="632" w:type="dxa"/>
          </w:tcPr>
          <w:p w14:paraId="0058E11F" w14:textId="77777777" w:rsidR="00B13D65" w:rsidRPr="00E33EFF" w:rsidRDefault="00B13D65" w:rsidP="00824B92">
            <w:pPr>
              <w:rPr>
                <w:rFonts w:eastAsia="Arial"/>
              </w:rPr>
            </w:pPr>
            <w:r w:rsidRPr="00E33EFF">
              <w:rPr>
                <w:rFonts w:eastAsia="Arial"/>
              </w:rPr>
              <w:lastRenderedPageBreak/>
              <w:t>1.7</w:t>
            </w:r>
          </w:p>
        </w:tc>
        <w:tc>
          <w:tcPr>
            <w:tcW w:w="3694" w:type="dxa"/>
          </w:tcPr>
          <w:p w14:paraId="738E1926" w14:textId="77777777" w:rsidR="00B13D65" w:rsidRPr="00E33EFF" w:rsidRDefault="007656B2" w:rsidP="00824B92">
            <w:pPr>
              <w:rPr>
                <w:bCs/>
                <w:color w:val="000000"/>
                <w:lang w:eastAsia="lt-LT"/>
              </w:rPr>
            </w:pPr>
            <w:r w:rsidRPr="00E33EFF">
              <w:rPr>
                <w:bCs/>
                <w:color w:val="000000"/>
                <w:lang w:eastAsia="lt-LT"/>
              </w:rPr>
              <w:t>Pareiškėjo teikiamas p</w:t>
            </w:r>
            <w:r w:rsidR="00B13D65" w:rsidRPr="00E33EFF">
              <w:rPr>
                <w:bCs/>
                <w:color w:val="000000"/>
                <w:lang w:eastAsia="lt-LT"/>
              </w:rPr>
              <w:t>alyginamasis</w:t>
            </w:r>
            <w:r w:rsidR="005B3756" w:rsidRPr="00E33EFF">
              <w:rPr>
                <w:bCs/>
                <w:color w:val="000000"/>
                <w:lang w:eastAsia="lt-LT"/>
              </w:rPr>
              <w:t xml:space="preserve"> </w:t>
            </w:r>
            <w:r w:rsidR="00B13D65" w:rsidRPr="00E33EFF">
              <w:rPr>
                <w:bCs/>
                <w:color w:val="000000"/>
                <w:lang w:eastAsia="lt-LT"/>
              </w:rPr>
              <w:t xml:space="preserve">gydymas </w:t>
            </w:r>
          </w:p>
          <w:p w14:paraId="61EC5BBD" w14:textId="7A8BD8B4" w:rsidR="009F4D66" w:rsidRPr="00E33EFF" w:rsidRDefault="009F4D66" w:rsidP="00824B92">
            <w:pPr>
              <w:rPr>
                <w:bCs/>
                <w:color w:val="000000"/>
                <w:lang w:eastAsia="lt-LT"/>
              </w:rPr>
            </w:pPr>
          </w:p>
          <w:p w14:paraId="62057D94" w14:textId="77777777" w:rsidR="00413F24" w:rsidRPr="00E33EFF" w:rsidRDefault="00413F24" w:rsidP="00824B92">
            <w:pPr>
              <w:rPr>
                <w:bCs/>
                <w:color w:val="000000"/>
                <w:lang w:eastAsia="lt-LT"/>
              </w:rPr>
            </w:pPr>
          </w:p>
          <w:p w14:paraId="6CC1022E" w14:textId="2B6BCEE1" w:rsidR="009F4D66" w:rsidRPr="00E33EFF" w:rsidRDefault="009F4D66" w:rsidP="00824B92">
            <w:pPr>
              <w:rPr>
                <w:bCs/>
                <w:color w:val="000000"/>
                <w:lang w:eastAsia="lt-LT"/>
              </w:rPr>
            </w:pPr>
          </w:p>
        </w:tc>
        <w:tc>
          <w:tcPr>
            <w:tcW w:w="5167" w:type="dxa"/>
          </w:tcPr>
          <w:p w14:paraId="1F113AC0" w14:textId="3BDAC88F" w:rsidR="009F4D66" w:rsidRPr="00E33EFF" w:rsidRDefault="00E305D8" w:rsidP="00824B92">
            <w:sdt>
              <w:sdtPr>
                <w:rPr>
                  <w:rStyle w:val="Style2"/>
                  <w:sz w:val="24"/>
                </w:rPr>
                <w:id w:val="1480955706"/>
                <w15:color w:val="FFCC00"/>
                <w14:checkbox>
                  <w14:checked w14:val="1"/>
                  <w14:checkedState w14:val="2612" w14:font="MS Gothic"/>
                  <w14:uncheckedState w14:val="2610" w14:font="MS Gothic"/>
                </w14:checkbox>
              </w:sdtPr>
              <w:sdtEndPr>
                <w:rPr>
                  <w:rStyle w:val="Style2"/>
                </w:rPr>
              </w:sdtEndPr>
              <w:sdtContent>
                <w:r w:rsidR="001A6558">
                  <w:rPr>
                    <w:rStyle w:val="Style2"/>
                    <w:rFonts w:ascii="MS Gothic" w:eastAsia="MS Gothic" w:hAnsi="MS Gothic" w:hint="eastAsia"/>
                    <w:sz w:val="24"/>
                  </w:rPr>
                  <w:t>☒</w:t>
                </w:r>
              </w:sdtContent>
            </w:sdt>
            <w:r w:rsidR="009F4D66" w:rsidRPr="00E33EFF">
              <w:t xml:space="preserve"> Tinkamas</w:t>
            </w:r>
          </w:p>
          <w:p w14:paraId="41B44044" w14:textId="199BD9DF" w:rsidR="00B13D65" w:rsidRPr="00E33EFF" w:rsidRDefault="00E305D8" w:rsidP="00824B92">
            <w:sdt>
              <w:sdtPr>
                <w:rPr>
                  <w:rStyle w:val="Style2"/>
                  <w:sz w:val="24"/>
                </w:rPr>
                <w:id w:val="-352420698"/>
                <w15:color w:val="FFCC00"/>
                <w14:checkbox>
                  <w14:checked w14:val="0"/>
                  <w14:checkedState w14:val="2612" w14:font="MS Gothic"/>
                  <w14:uncheckedState w14:val="2610" w14:font="MS Gothic"/>
                </w14:checkbox>
              </w:sdtPr>
              <w:sdtEndPr>
                <w:rPr>
                  <w:rStyle w:val="Style2"/>
                </w:rPr>
              </w:sdtEndPr>
              <w:sdtContent>
                <w:r w:rsidR="009F4D66" w:rsidRPr="00E33EFF">
                  <w:rPr>
                    <w:rStyle w:val="Style2"/>
                    <w:rFonts w:ascii="MS Gothic" w:eastAsia="MS Gothic" w:hAnsi="MS Gothic" w:hint="eastAsia"/>
                    <w:sz w:val="24"/>
                  </w:rPr>
                  <w:t>☐</w:t>
                </w:r>
              </w:sdtContent>
            </w:sdt>
            <w:r w:rsidR="009F4D66" w:rsidRPr="00E33EFF">
              <w:t xml:space="preserve"> Netinkama</w:t>
            </w:r>
          </w:p>
        </w:tc>
      </w:tr>
    </w:tbl>
    <w:p w14:paraId="108176F7" w14:textId="640C6F75" w:rsidR="00F70C9E" w:rsidRPr="00E33EFF" w:rsidRDefault="00F70C9E" w:rsidP="00E03C3F">
      <w:pPr>
        <w:pStyle w:val="Sraopastraipa"/>
        <w:tabs>
          <w:tab w:val="left" w:pos="426"/>
        </w:tabs>
        <w:ind w:left="0"/>
        <w:rPr>
          <w:b/>
          <w:bCs/>
          <w:caps/>
        </w:rPr>
      </w:pPr>
    </w:p>
    <w:p w14:paraId="2871CA7F" w14:textId="2370BDDB" w:rsidR="00F70C9E" w:rsidRPr="00E33EFF" w:rsidRDefault="00F70C9E" w:rsidP="00880A44">
      <w:pPr>
        <w:spacing w:line="276" w:lineRule="auto"/>
        <w:jc w:val="both"/>
        <w:rPr>
          <w:rFonts w:eastAsia="Arial"/>
          <w:b/>
        </w:rPr>
      </w:pPr>
      <w:r w:rsidRPr="00E33EFF">
        <w:rPr>
          <w:rFonts w:eastAsia="Arial"/>
          <w:b/>
        </w:rPr>
        <w:t xml:space="preserve">1.8 Kitų </w:t>
      </w:r>
      <w:r w:rsidR="00DF583C" w:rsidRPr="00E33EFF">
        <w:rPr>
          <w:rFonts w:eastAsia="Arial"/>
          <w:b/>
        </w:rPr>
        <w:t xml:space="preserve">valstybių </w:t>
      </w:r>
      <w:r w:rsidRPr="00E33EFF">
        <w:rPr>
          <w:rFonts w:eastAsia="Arial"/>
          <w:b/>
        </w:rPr>
        <w:t xml:space="preserve">atsakingų institucijų atlikto </w:t>
      </w:r>
      <w:r w:rsidR="00DF583C" w:rsidRPr="00E33EFF">
        <w:rPr>
          <w:rFonts w:eastAsia="Arial"/>
          <w:b/>
        </w:rPr>
        <w:t>Sveikatos technologijų vertinimo (toliau – STV)</w:t>
      </w:r>
      <w:r w:rsidRPr="00E33EFF">
        <w:rPr>
          <w:rFonts w:eastAsia="Arial"/>
          <w:b/>
        </w:rPr>
        <w:t xml:space="preserve"> išvados</w:t>
      </w:r>
    </w:p>
    <w:p w14:paraId="30721FDD" w14:textId="77777777" w:rsidR="00F70C9E" w:rsidRPr="00E33EFF" w:rsidRDefault="00F70C9E" w:rsidP="00F70C9E">
      <w:pPr>
        <w:spacing w:line="276" w:lineRule="auto"/>
        <w:rPr>
          <w:rFonts w:eastAsia="Arial"/>
        </w:rPr>
      </w:pPr>
    </w:p>
    <w:tbl>
      <w:tblPr>
        <w:tblStyle w:val="Lentelstinklelis"/>
        <w:tblW w:w="0" w:type="auto"/>
        <w:tblLook w:val="04A0" w:firstRow="1" w:lastRow="0" w:firstColumn="1" w:lastColumn="0" w:noHBand="0" w:noVBand="1"/>
      </w:tblPr>
      <w:tblGrid>
        <w:gridCol w:w="2771"/>
        <w:gridCol w:w="1760"/>
        <w:gridCol w:w="2603"/>
        <w:gridCol w:w="2495"/>
      </w:tblGrid>
      <w:tr w:rsidR="00F70C9E" w:rsidRPr="00E33EFF" w14:paraId="7E72828B" w14:textId="77777777" w:rsidTr="001A6558">
        <w:trPr>
          <w:trHeight w:val="924"/>
        </w:trPr>
        <w:tc>
          <w:tcPr>
            <w:tcW w:w="2771" w:type="dxa"/>
          </w:tcPr>
          <w:p w14:paraId="253D1DD4" w14:textId="5B2616C0" w:rsidR="00F70C9E" w:rsidRPr="00E33EFF" w:rsidRDefault="00F70C9E" w:rsidP="00824B92">
            <w:pPr>
              <w:rPr>
                <w:rFonts w:eastAsia="Arial"/>
              </w:rPr>
            </w:pPr>
            <w:r w:rsidRPr="00E33EFF">
              <w:rPr>
                <w:rFonts w:eastAsia="Arial"/>
              </w:rPr>
              <w:t>ST</w:t>
            </w:r>
            <w:r w:rsidR="00DF583C" w:rsidRPr="00E33EFF">
              <w:rPr>
                <w:rFonts w:eastAsia="Arial"/>
              </w:rPr>
              <w:t>V</w:t>
            </w:r>
            <w:r w:rsidRPr="00E33EFF">
              <w:rPr>
                <w:rFonts w:eastAsia="Arial"/>
              </w:rPr>
              <w:t xml:space="preserve"> agentūros pavadinimas, šalis</w:t>
            </w:r>
          </w:p>
        </w:tc>
        <w:tc>
          <w:tcPr>
            <w:tcW w:w="1760" w:type="dxa"/>
          </w:tcPr>
          <w:p w14:paraId="34AE1EDD" w14:textId="77777777" w:rsidR="00F70C9E" w:rsidRPr="00E33EFF" w:rsidRDefault="00F70C9E" w:rsidP="00824B92">
            <w:pPr>
              <w:rPr>
                <w:rFonts w:eastAsia="Arial"/>
              </w:rPr>
            </w:pPr>
            <w:r w:rsidRPr="00E33EFF">
              <w:rPr>
                <w:rFonts w:eastAsia="Arial"/>
              </w:rPr>
              <w:t>STV vertinimas atliktas</w:t>
            </w:r>
          </w:p>
        </w:tc>
        <w:tc>
          <w:tcPr>
            <w:tcW w:w="2603" w:type="dxa"/>
          </w:tcPr>
          <w:p w14:paraId="16E2DDC1" w14:textId="77777777" w:rsidR="00F70C9E" w:rsidRPr="00E33EFF" w:rsidRDefault="00F70C9E" w:rsidP="00824B92">
            <w:pPr>
              <w:rPr>
                <w:rFonts w:eastAsia="Arial"/>
              </w:rPr>
            </w:pPr>
            <w:r w:rsidRPr="00E33EFF">
              <w:rPr>
                <w:rFonts w:eastAsia="Arial"/>
              </w:rPr>
              <w:t>Klinikinio vertinimo išvada</w:t>
            </w:r>
          </w:p>
        </w:tc>
        <w:tc>
          <w:tcPr>
            <w:tcW w:w="2495" w:type="dxa"/>
          </w:tcPr>
          <w:p w14:paraId="1861E3F2" w14:textId="74803B5B" w:rsidR="00F70C9E" w:rsidRPr="00E33EFF" w:rsidRDefault="00F70C9E" w:rsidP="00824B92">
            <w:pPr>
              <w:rPr>
                <w:rFonts w:eastAsia="Arial"/>
              </w:rPr>
            </w:pPr>
            <w:r w:rsidRPr="00E33EFF">
              <w:rPr>
                <w:rFonts w:eastAsia="Arial"/>
              </w:rPr>
              <w:t>Farmako</w:t>
            </w:r>
            <w:r w:rsidR="00CA217D" w:rsidRPr="00E33EFF">
              <w:rPr>
                <w:rFonts w:eastAsia="Arial"/>
              </w:rPr>
              <w:t>e</w:t>
            </w:r>
            <w:r w:rsidR="00476256" w:rsidRPr="00E33EFF">
              <w:rPr>
                <w:rFonts w:eastAsia="Arial"/>
              </w:rPr>
              <w:t>ko</w:t>
            </w:r>
            <w:r w:rsidRPr="00E33EFF">
              <w:rPr>
                <w:rFonts w:eastAsia="Arial"/>
              </w:rPr>
              <w:t>nominio vertinimo išvada</w:t>
            </w:r>
          </w:p>
        </w:tc>
      </w:tr>
      <w:tr w:rsidR="001A6558" w:rsidRPr="00E33EFF" w14:paraId="129FA8F6" w14:textId="77777777" w:rsidTr="001A6558">
        <w:trPr>
          <w:trHeight w:val="2267"/>
        </w:trPr>
        <w:tc>
          <w:tcPr>
            <w:tcW w:w="2771" w:type="dxa"/>
          </w:tcPr>
          <w:p w14:paraId="20A601F6" w14:textId="77777777" w:rsidR="001A6558" w:rsidRPr="0073329D" w:rsidRDefault="001A6558" w:rsidP="001A6558">
            <w:pPr>
              <w:autoSpaceDE w:val="0"/>
              <w:autoSpaceDN w:val="0"/>
              <w:adjustRightInd w:val="0"/>
              <w:rPr>
                <w:bCs/>
              </w:rPr>
            </w:pPr>
            <w:r w:rsidRPr="0073329D">
              <w:rPr>
                <w:bCs/>
              </w:rPr>
              <w:t>Nacionalinis sveikatos ir klinikinės kompetencijos institutas, Didžioji Britanija</w:t>
            </w:r>
          </w:p>
          <w:p w14:paraId="49C6520D" w14:textId="1BA5F69D" w:rsidR="001A6558" w:rsidRPr="00E33EFF" w:rsidRDefault="001A6558" w:rsidP="001A6558">
            <w:pPr>
              <w:rPr>
                <w:rFonts w:eastAsia="Arial"/>
                <w:lang w:val="en-GB"/>
              </w:rPr>
            </w:pPr>
            <w:r w:rsidRPr="0073329D">
              <w:rPr>
                <w:rFonts w:eastAsia="Arial"/>
              </w:rPr>
              <w:t xml:space="preserve">(angl. </w:t>
            </w:r>
            <w:r w:rsidRPr="0073329D">
              <w:rPr>
                <w:rFonts w:eastAsia="Arial"/>
                <w:i/>
              </w:rPr>
              <w:t>National Institute for Health and Care Excellence, NICE</w:t>
            </w:r>
            <w:r w:rsidRPr="0073329D">
              <w:rPr>
                <w:rFonts w:eastAsia="Arial"/>
              </w:rPr>
              <w:t>)</w:t>
            </w:r>
          </w:p>
        </w:tc>
        <w:tc>
          <w:tcPr>
            <w:tcW w:w="1760" w:type="dxa"/>
          </w:tcPr>
          <w:p w14:paraId="68305A06" w14:textId="77777777" w:rsidR="001A6558" w:rsidRPr="0073329D" w:rsidRDefault="00E305D8" w:rsidP="001A6558">
            <w:sdt>
              <w:sdtPr>
                <w:rPr>
                  <w:rStyle w:val="Style2"/>
                </w:rPr>
                <w:id w:val="1558205022"/>
                <w15:color w:val="FFCC00"/>
                <w14:checkbox>
                  <w14:checked w14:val="0"/>
                  <w14:checkedState w14:val="2612" w14:font="MS Gothic"/>
                  <w14:uncheckedState w14:val="2610" w14:font="MS Gothic"/>
                </w14:checkbox>
              </w:sdtPr>
              <w:sdtEndPr>
                <w:rPr>
                  <w:rStyle w:val="Style2"/>
                </w:rPr>
              </w:sdtEndPr>
              <w:sdtContent>
                <w:r w:rsidR="001A6558" w:rsidRPr="0073329D">
                  <w:rPr>
                    <w:rStyle w:val="Style2"/>
                    <w:rFonts w:ascii="MS Gothic" w:eastAsia="MS Gothic" w:hAnsi="MS Gothic" w:hint="eastAsia"/>
                  </w:rPr>
                  <w:t>☐</w:t>
                </w:r>
              </w:sdtContent>
            </w:sdt>
            <w:r w:rsidR="001A6558" w:rsidRPr="0073329D">
              <w:t xml:space="preserve"> Taip</w:t>
            </w:r>
          </w:p>
          <w:p w14:paraId="7916359D" w14:textId="21FA946A" w:rsidR="001A6558" w:rsidRPr="00E33EFF" w:rsidRDefault="00E305D8" w:rsidP="001A6558">
            <w:pPr>
              <w:rPr>
                <w:rFonts w:eastAsia="Arial"/>
              </w:rPr>
            </w:pPr>
            <w:sdt>
              <w:sdtPr>
                <w:rPr>
                  <w:rStyle w:val="Style2"/>
                </w:rPr>
                <w:id w:val="866029625"/>
                <w15:color w:val="FFCC00"/>
                <w14:checkbox>
                  <w14:checked w14:val="1"/>
                  <w14:checkedState w14:val="2612" w14:font="MS Gothic"/>
                  <w14:uncheckedState w14:val="2610" w14:font="MS Gothic"/>
                </w14:checkbox>
              </w:sdtPr>
              <w:sdtEndPr>
                <w:rPr>
                  <w:rStyle w:val="Style2"/>
                </w:rPr>
              </w:sdtEndPr>
              <w:sdtContent>
                <w:r w:rsidR="001A6558">
                  <w:rPr>
                    <w:rStyle w:val="Style2"/>
                    <w:rFonts w:ascii="MS Gothic" w:eastAsia="MS Gothic" w:hAnsi="MS Gothic" w:hint="eastAsia"/>
                  </w:rPr>
                  <w:t>☒</w:t>
                </w:r>
              </w:sdtContent>
            </w:sdt>
            <w:r w:rsidR="001A6558" w:rsidRPr="0073329D">
              <w:t xml:space="preserve"> Ne</w:t>
            </w:r>
          </w:p>
        </w:tc>
        <w:tc>
          <w:tcPr>
            <w:tcW w:w="2603" w:type="dxa"/>
          </w:tcPr>
          <w:p w14:paraId="6413D0ED" w14:textId="77777777" w:rsidR="001A6558" w:rsidRPr="00E33EFF" w:rsidRDefault="001A6558" w:rsidP="001A6558">
            <w:pPr>
              <w:rPr>
                <w:rFonts w:eastAsia="Arial"/>
              </w:rPr>
            </w:pPr>
          </w:p>
        </w:tc>
        <w:tc>
          <w:tcPr>
            <w:tcW w:w="2495" w:type="dxa"/>
          </w:tcPr>
          <w:p w14:paraId="67430EE7" w14:textId="77777777" w:rsidR="001A6558" w:rsidRPr="00E33EFF" w:rsidRDefault="001A6558" w:rsidP="001A6558">
            <w:pPr>
              <w:rPr>
                <w:rFonts w:eastAsia="Arial"/>
              </w:rPr>
            </w:pPr>
          </w:p>
        </w:tc>
      </w:tr>
      <w:tr w:rsidR="001A6558" w:rsidRPr="00E33EFF" w14:paraId="1CC31474" w14:textId="77777777" w:rsidTr="001A6558">
        <w:trPr>
          <w:trHeight w:val="1547"/>
        </w:trPr>
        <w:tc>
          <w:tcPr>
            <w:tcW w:w="2771" w:type="dxa"/>
          </w:tcPr>
          <w:p w14:paraId="4CA09F9D" w14:textId="77777777" w:rsidR="001A6558" w:rsidRPr="0073329D" w:rsidRDefault="001A6558" w:rsidP="001A6558">
            <w:pPr>
              <w:spacing w:line="276" w:lineRule="auto"/>
              <w:rPr>
                <w:rFonts w:eastAsia="Arial"/>
              </w:rPr>
            </w:pPr>
            <w:r w:rsidRPr="0073329D">
              <w:rPr>
                <w:rFonts w:eastAsia="Arial"/>
              </w:rPr>
              <w:t>Kanados sveikatos technologijų agentūra</w:t>
            </w:r>
          </w:p>
          <w:p w14:paraId="2C593A82" w14:textId="49182AC4" w:rsidR="001A6558" w:rsidRPr="00E33EFF" w:rsidRDefault="001A6558" w:rsidP="001A6558">
            <w:pPr>
              <w:rPr>
                <w:rFonts w:eastAsia="Arial"/>
                <w:lang w:val="en-GB"/>
              </w:rPr>
            </w:pPr>
            <w:r w:rsidRPr="0073329D">
              <w:rPr>
                <w:rFonts w:eastAsia="Arial"/>
              </w:rPr>
              <w:t xml:space="preserve">(angl. </w:t>
            </w:r>
            <w:r w:rsidRPr="0073329D">
              <w:rPr>
                <w:rFonts w:eastAsia="Arial"/>
                <w:i/>
              </w:rPr>
              <w:t>Canadian health Technology Assessment agency, CADTH</w:t>
            </w:r>
            <w:r w:rsidRPr="0073329D">
              <w:rPr>
                <w:rFonts w:eastAsia="Arial"/>
              </w:rPr>
              <w:t>)</w:t>
            </w:r>
          </w:p>
        </w:tc>
        <w:tc>
          <w:tcPr>
            <w:tcW w:w="1760" w:type="dxa"/>
          </w:tcPr>
          <w:p w14:paraId="51B325B0" w14:textId="77777777" w:rsidR="001A6558" w:rsidRPr="0073329D" w:rsidRDefault="00E305D8" w:rsidP="001A6558">
            <w:sdt>
              <w:sdtPr>
                <w:rPr>
                  <w:rStyle w:val="Style2"/>
                </w:rPr>
                <w:id w:val="-372539057"/>
                <w15:color w:val="FFCC00"/>
                <w14:checkbox>
                  <w14:checked w14:val="1"/>
                  <w14:checkedState w14:val="2612" w14:font="MS Gothic"/>
                  <w14:uncheckedState w14:val="2610" w14:font="MS Gothic"/>
                </w14:checkbox>
              </w:sdtPr>
              <w:sdtEndPr>
                <w:rPr>
                  <w:rStyle w:val="Style2"/>
                </w:rPr>
              </w:sdtEndPr>
              <w:sdtContent>
                <w:r w:rsidR="001A6558">
                  <w:rPr>
                    <w:rStyle w:val="Style2"/>
                    <w:rFonts w:ascii="MS Gothic" w:eastAsia="MS Gothic" w:hAnsi="MS Gothic" w:hint="eastAsia"/>
                  </w:rPr>
                  <w:t>☒</w:t>
                </w:r>
              </w:sdtContent>
            </w:sdt>
            <w:r w:rsidR="001A6558" w:rsidRPr="0073329D">
              <w:t xml:space="preserve"> Taip</w:t>
            </w:r>
          </w:p>
          <w:p w14:paraId="60B9C1A1" w14:textId="77777777" w:rsidR="001A6558" w:rsidRPr="0073329D" w:rsidRDefault="00E305D8" w:rsidP="001A6558">
            <w:sdt>
              <w:sdtPr>
                <w:rPr>
                  <w:rStyle w:val="Style2"/>
                </w:rPr>
                <w:id w:val="594442222"/>
                <w15:color w:val="FFCC00"/>
                <w14:checkbox>
                  <w14:checked w14:val="0"/>
                  <w14:checkedState w14:val="2612" w14:font="MS Gothic"/>
                  <w14:uncheckedState w14:val="2610" w14:font="MS Gothic"/>
                </w14:checkbox>
              </w:sdtPr>
              <w:sdtEndPr>
                <w:rPr>
                  <w:rStyle w:val="Style2"/>
                </w:rPr>
              </w:sdtEndPr>
              <w:sdtContent>
                <w:r w:rsidR="001A6558" w:rsidRPr="0073329D">
                  <w:rPr>
                    <w:rStyle w:val="Style2"/>
                    <w:rFonts w:ascii="Segoe UI Symbol" w:eastAsia="MS Gothic" w:hAnsi="Segoe UI Symbol" w:cs="Segoe UI Symbol"/>
                  </w:rPr>
                  <w:t>☐</w:t>
                </w:r>
              </w:sdtContent>
            </w:sdt>
            <w:r w:rsidR="001A6558" w:rsidRPr="0073329D">
              <w:t xml:space="preserve"> Ne</w:t>
            </w:r>
          </w:p>
          <w:p w14:paraId="0C0988CC" w14:textId="51461E85" w:rsidR="001A6558" w:rsidRPr="00E33EFF" w:rsidRDefault="00E305D8" w:rsidP="001A6558">
            <w:pPr>
              <w:rPr>
                <w:rFonts w:eastAsia="Arial"/>
              </w:rPr>
            </w:pPr>
            <w:sdt>
              <w:sdtPr>
                <w:alias w:val="Nurodykite konkrečią dieną"/>
                <w:tag w:val="Nurodykite pradžios datą"/>
                <w:id w:val="1072468416"/>
                <w:placeholder>
                  <w:docPart w:val="A38B42CE285F5646A5FBEBF29618D854"/>
                </w:placeholder>
                <w15:color w:val="FFCC99"/>
                <w:date>
                  <w:dateFormat w:val="yyyy 'm.' MMMM d 'd.'"/>
                  <w:lid w:val="lt-LT"/>
                  <w:storeMappedDataAs w:val="dateTime"/>
                  <w:calendar w:val="gregorian"/>
                </w:date>
              </w:sdtPr>
              <w:sdtEndPr/>
              <w:sdtContent>
                <w:r w:rsidR="001A6558">
                  <w:t>2023 rugpjūčio 30 d.</w:t>
                </w:r>
              </w:sdtContent>
            </w:sdt>
          </w:p>
        </w:tc>
        <w:tc>
          <w:tcPr>
            <w:tcW w:w="2603" w:type="dxa"/>
          </w:tcPr>
          <w:p w14:paraId="450B9E47" w14:textId="77777777" w:rsidR="001A6558" w:rsidRDefault="001A6558" w:rsidP="001A6558">
            <w:pPr>
              <w:spacing w:line="276" w:lineRule="auto"/>
              <w:rPr>
                <w:rFonts w:eastAsia="Arial"/>
              </w:rPr>
            </w:pPr>
            <w:r>
              <w:rPr>
                <w:rFonts w:eastAsia="Arial"/>
              </w:rPr>
              <w:t>CADTH rekomenduoja kompensuoti atogepantą epizodinės migrenos prevencijai suaugusiems pacientams, jeigu pacientas atitinka šias sąlygas:</w:t>
            </w:r>
          </w:p>
          <w:p w14:paraId="69C3DBEA" w14:textId="77777777" w:rsidR="001A6558" w:rsidRDefault="001A6558" w:rsidP="001A6558">
            <w:pPr>
              <w:pStyle w:val="Sraopastraipa"/>
              <w:numPr>
                <w:ilvl w:val="0"/>
                <w:numId w:val="14"/>
              </w:numPr>
              <w:spacing w:line="276" w:lineRule="auto"/>
              <w:rPr>
                <w:rFonts w:eastAsia="Arial"/>
              </w:rPr>
            </w:pPr>
            <w:r>
              <w:rPr>
                <w:rFonts w:eastAsia="Arial"/>
              </w:rPr>
              <w:t>Atogepanto skyrimas turi būti grindžiamas tais pačiais kriterijais kaip kitų su kalcitonino genu susijusio peptido (KGSP) inhibitorių skyrimas suaugusiems pacientams, sergantiems epizodine migrena.</w:t>
            </w:r>
          </w:p>
          <w:p w14:paraId="19D87CD9" w14:textId="77777777" w:rsidR="001A6558" w:rsidRPr="00B250BD" w:rsidRDefault="001A6558" w:rsidP="001A6558">
            <w:pPr>
              <w:pStyle w:val="Sraopastraipa"/>
              <w:numPr>
                <w:ilvl w:val="0"/>
                <w:numId w:val="14"/>
              </w:numPr>
              <w:spacing w:line="276" w:lineRule="auto"/>
              <w:rPr>
                <w:rFonts w:eastAsia="Arial"/>
              </w:rPr>
            </w:pPr>
            <w:r w:rsidRPr="00B250BD">
              <w:rPr>
                <w:rFonts w:eastAsia="Arial"/>
              </w:rPr>
              <w:lastRenderedPageBreak/>
              <w:t>Atogepantas neturėtų būti kompensuojamas skiriant su kitais KGSP inhibitoriais epizodinės migrenos prevencijai.</w:t>
            </w:r>
          </w:p>
          <w:p w14:paraId="64D1B800" w14:textId="213A4655" w:rsidR="001A6558" w:rsidRPr="00E33EFF" w:rsidRDefault="001A6558" w:rsidP="001A6558">
            <w:pPr>
              <w:rPr>
                <w:rFonts w:eastAsia="Arial"/>
              </w:rPr>
            </w:pPr>
            <w:r>
              <w:rPr>
                <w:rFonts w:eastAsia="Arial"/>
              </w:rPr>
              <w:t xml:space="preserve"> </w:t>
            </w:r>
          </w:p>
        </w:tc>
        <w:tc>
          <w:tcPr>
            <w:tcW w:w="2495" w:type="dxa"/>
          </w:tcPr>
          <w:p w14:paraId="5C8CB330" w14:textId="77777777" w:rsidR="001A6558" w:rsidRPr="00E33EFF" w:rsidRDefault="001A6558" w:rsidP="001A6558">
            <w:pPr>
              <w:rPr>
                <w:rFonts w:eastAsia="Arial"/>
              </w:rPr>
            </w:pPr>
          </w:p>
        </w:tc>
      </w:tr>
      <w:tr w:rsidR="001A6558" w:rsidRPr="00E33EFF" w14:paraId="21C94D47" w14:textId="77777777" w:rsidTr="001A6558">
        <w:trPr>
          <w:trHeight w:val="2160"/>
        </w:trPr>
        <w:tc>
          <w:tcPr>
            <w:tcW w:w="2771" w:type="dxa"/>
          </w:tcPr>
          <w:p w14:paraId="1460ACF4" w14:textId="77777777" w:rsidR="001A6558" w:rsidRPr="0073329D" w:rsidRDefault="001A6558" w:rsidP="001A6558">
            <w:pPr>
              <w:spacing w:line="276" w:lineRule="auto"/>
              <w:rPr>
                <w:rFonts w:eastAsia="Arial"/>
              </w:rPr>
            </w:pPr>
            <w:r w:rsidRPr="0073329D">
              <w:rPr>
                <w:rFonts w:eastAsia="Arial"/>
              </w:rPr>
              <w:t>Nacionalinis farmakoekonomikos centras, Airija</w:t>
            </w:r>
          </w:p>
          <w:p w14:paraId="736F5072" w14:textId="5BD7BE9E" w:rsidR="001A6558" w:rsidRPr="00E33EFF" w:rsidRDefault="001A6558" w:rsidP="001A6558">
            <w:pPr>
              <w:rPr>
                <w:rFonts w:eastAsia="Arial"/>
              </w:rPr>
            </w:pPr>
            <w:r w:rsidRPr="0073329D">
              <w:rPr>
                <w:rFonts w:eastAsia="Arial"/>
              </w:rPr>
              <w:t>(angl.</w:t>
            </w:r>
            <w:r w:rsidRPr="0073329D">
              <w:rPr>
                <w:rFonts w:eastAsia="Arial"/>
                <w:i/>
              </w:rPr>
              <w:t xml:space="preserve"> National Centre for Pharmacoeconomics, NCPE</w:t>
            </w:r>
            <w:r w:rsidRPr="0073329D">
              <w:rPr>
                <w:rFonts w:eastAsia="Arial"/>
              </w:rPr>
              <w:t>)</w:t>
            </w:r>
          </w:p>
        </w:tc>
        <w:tc>
          <w:tcPr>
            <w:tcW w:w="1760" w:type="dxa"/>
          </w:tcPr>
          <w:p w14:paraId="09F2449E" w14:textId="77777777" w:rsidR="001A6558" w:rsidRPr="0073329D" w:rsidRDefault="00E305D8" w:rsidP="001A6558">
            <w:sdt>
              <w:sdtPr>
                <w:rPr>
                  <w:rStyle w:val="Style2"/>
                </w:rPr>
                <w:id w:val="-1888403732"/>
                <w15:color w:val="FFCC00"/>
                <w14:checkbox>
                  <w14:checked w14:val="0"/>
                  <w14:checkedState w14:val="2612" w14:font="MS Gothic"/>
                  <w14:uncheckedState w14:val="2610" w14:font="MS Gothic"/>
                </w14:checkbox>
              </w:sdtPr>
              <w:sdtEndPr>
                <w:rPr>
                  <w:rStyle w:val="Style2"/>
                </w:rPr>
              </w:sdtEndPr>
              <w:sdtContent>
                <w:r w:rsidR="001A6558" w:rsidRPr="0073329D">
                  <w:rPr>
                    <w:rStyle w:val="Style2"/>
                    <w:rFonts w:ascii="Segoe UI Symbol" w:eastAsia="MS Gothic" w:hAnsi="Segoe UI Symbol" w:cs="Segoe UI Symbol"/>
                  </w:rPr>
                  <w:t>☐</w:t>
                </w:r>
              </w:sdtContent>
            </w:sdt>
            <w:r w:rsidR="001A6558" w:rsidRPr="0073329D">
              <w:t xml:space="preserve"> Taip</w:t>
            </w:r>
          </w:p>
          <w:p w14:paraId="69AA1151" w14:textId="2E3F2835" w:rsidR="001A6558" w:rsidRPr="00E33EFF" w:rsidRDefault="00E305D8" w:rsidP="001A6558">
            <w:pPr>
              <w:rPr>
                <w:rFonts w:eastAsia="Arial"/>
              </w:rPr>
            </w:pPr>
            <w:sdt>
              <w:sdtPr>
                <w:rPr>
                  <w:rStyle w:val="Style2"/>
                </w:rPr>
                <w:id w:val="1092201793"/>
                <w15:color w:val="FFCC00"/>
                <w14:checkbox>
                  <w14:checked w14:val="1"/>
                  <w14:checkedState w14:val="2612" w14:font="MS Gothic"/>
                  <w14:uncheckedState w14:val="2610" w14:font="MS Gothic"/>
                </w14:checkbox>
              </w:sdtPr>
              <w:sdtEndPr>
                <w:rPr>
                  <w:rStyle w:val="Style2"/>
                </w:rPr>
              </w:sdtEndPr>
              <w:sdtContent>
                <w:r w:rsidR="001A6558">
                  <w:rPr>
                    <w:rStyle w:val="Style2"/>
                    <w:rFonts w:ascii="MS Gothic" w:eastAsia="MS Gothic" w:hAnsi="MS Gothic" w:hint="eastAsia"/>
                  </w:rPr>
                  <w:t>☒</w:t>
                </w:r>
              </w:sdtContent>
            </w:sdt>
            <w:r w:rsidR="001A6558" w:rsidRPr="0073329D">
              <w:t xml:space="preserve"> Ne</w:t>
            </w:r>
          </w:p>
        </w:tc>
        <w:tc>
          <w:tcPr>
            <w:tcW w:w="2603" w:type="dxa"/>
          </w:tcPr>
          <w:p w14:paraId="3C67423E" w14:textId="77777777" w:rsidR="001A6558" w:rsidRPr="00E33EFF" w:rsidRDefault="001A6558" w:rsidP="001A6558">
            <w:pPr>
              <w:rPr>
                <w:rFonts w:eastAsia="Arial"/>
              </w:rPr>
            </w:pPr>
          </w:p>
        </w:tc>
        <w:tc>
          <w:tcPr>
            <w:tcW w:w="2495" w:type="dxa"/>
          </w:tcPr>
          <w:p w14:paraId="60651AFD" w14:textId="77777777" w:rsidR="001A6558" w:rsidRPr="00E33EFF" w:rsidRDefault="001A6558" w:rsidP="001A6558">
            <w:pPr>
              <w:rPr>
                <w:rFonts w:eastAsia="Arial"/>
              </w:rPr>
            </w:pPr>
          </w:p>
        </w:tc>
      </w:tr>
    </w:tbl>
    <w:p w14:paraId="2EB7FD31" w14:textId="4D2A8479" w:rsidR="007A2B68" w:rsidRDefault="007A2B68" w:rsidP="00E03C3F">
      <w:pPr>
        <w:pStyle w:val="Sraopastraipa"/>
        <w:tabs>
          <w:tab w:val="left" w:pos="426"/>
        </w:tabs>
        <w:ind w:left="0"/>
        <w:rPr>
          <w:b/>
          <w:bCs/>
          <w:caps/>
        </w:rPr>
      </w:pPr>
    </w:p>
    <w:p w14:paraId="73290081" w14:textId="77777777" w:rsidR="007A2B68" w:rsidRDefault="007A2B68">
      <w:pPr>
        <w:rPr>
          <w:b/>
          <w:bCs/>
          <w:caps/>
        </w:rPr>
      </w:pPr>
      <w:r>
        <w:rPr>
          <w:b/>
          <w:bCs/>
          <w:caps/>
        </w:rPr>
        <w:br w:type="page"/>
      </w:r>
    </w:p>
    <w:p w14:paraId="5055E8A8" w14:textId="3BBFC3FB" w:rsidR="002E6F80" w:rsidRDefault="00CC7832" w:rsidP="00CC09D4">
      <w:pPr>
        <w:pStyle w:val="Sraopastraipa"/>
        <w:numPr>
          <w:ilvl w:val="0"/>
          <w:numId w:val="12"/>
        </w:numPr>
        <w:tabs>
          <w:tab w:val="left" w:pos="567"/>
        </w:tabs>
        <w:ind w:hanging="720"/>
        <w:rPr>
          <w:b/>
          <w:bCs/>
          <w:caps/>
        </w:rPr>
      </w:pPr>
      <w:r w:rsidRPr="00E33EFF">
        <w:rPr>
          <w:b/>
          <w:bCs/>
          <w:caps/>
        </w:rPr>
        <w:lastRenderedPageBreak/>
        <w:t>Klinikinio vertinimo a</w:t>
      </w:r>
      <w:r w:rsidR="00D4485B" w:rsidRPr="00E33EFF">
        <w:rPr>
          <w:b/>
          <w:bCs/>
          <w:caps/>
        </w:rPr>
        <w:t>pibendrinimas</w:t>
      </w:r>
    </w:p>
    <w:p w14:paraId="67C1930C" w14:textId="69DB61EE" w:rsidR="001A6558" w:rsidRDefault="001A6558" w:rsidP="001A6558">
      <w:pPr>
        <w:pStyle w:val="VVKT"/>
      </w:pPr>
      <w:r w:rsidRPr="00BA5B73">
        <w:t>Migrena yra ilgalaikė varginanti neurologinė liga, kuriai būdingi pasikartojantys pirminiai, vidutinio sunkumo ar sunkaus galvos skausmo epizodai, kartais lydimi vėmimo, fotofobijos ar fonofobijos, nerimo ir depresijos.</w:t>
      </w:r>
      <w:r>
        <w:t xml:space="preserve"> </w:t>
      </w:r>
      <w:r w:rsidRPr="00FE0E4C">
        <w:t xml:space="preserve">Lietuvoje, remiantis vyresnių kaip 18 metų amžiaus žmonių populiacija, galima apskaičiuoti, kad su migrena gyvena apie 400 tūkst. Maždaug 42 % jų liga yra diagnozuota ir 25 % skiriamas profilaktinis gydymas. </w:t>
      </w:r>
      <w:r w:rsidRPr="00BA5B73">
        <w:t>Kadangi migrena dažniausiai vargina produktyviausiu žmogaus amžiaus laikotarpiu, ji lemia reikšmingą produktyvumo netekimą</w:t>
      </w:r>
      <w:r>
        <w:t xml:space="preserve">. </w:t>
      </w:r>
    </w:p>
    <w:p w14:paraId="08333118" w14:textId="77777777" w:rsidR="001A6558" w:rsidRDefault="001A6558" w:rsidP="001A6558">
      <w:pPr>
        <w:pStyle w:val="VVKT"/>
      </w:pPr>
      <w:r>
        <w:t>Priepuolių profilaktikai šiuo metu Lietuvoje yra kompensuojami CGRP (angl. Calcitonin gene-related peptide) antagonistai fremanezumabas ir erenumabas, kurie yra vartojami poodinėmis injekcijomis kas 1-3 mėnesius. Abu šie vaistiniai preparatai yra tinkami palyginamieji vaistiniai preparatai.</w:t>
      </w:r>
    </w:p>
    <w:p w14:paraId="2EEF1141" w14:textId="77777777" w:rsidR="001A6558" w:rsidRPr="00CA511B" w:rsidRDefault="001A6558" w:rsidP="001A6558">
      <w:pPr>
        <w:pStyle w:val="VVKT"/>
      </w:pPr>
      <w:r w:rsidRPr="00CA511B">
        <w:t>Atogepantas  yra selektyvus CGRP</w:t>
      </w:r>
      <w:r>
        <w:t xml:space="preserve"> r</w:t>
      </w:r>
      <w:r w:rsidRPr="00CA511B">
        <w:t>eceptoriaus antagonistas, kuris blokuoja CGRP jungimąsi prie receptoriaus ir antagonizuoja CGRP receptoriaus funkciją.</w:t>
      </w:r>
      <w:r>
        <w:t xml:space="preserve"> Atogepanto vaistinė forma yra tabletės, jis vartojamas vieną kartą per dieną. </w:t>
      </w:r>
    </w:p>
    <w:p w14:paraId="2475B28C" w14:textId="77777777" w:rsidR="001A6558" w:rsidRDefault="001A6558" w:rsidP="001A6558">
      <w:pPr>
        <w:pStyle w:val="VVKT"/>
        <w:ind w:firstLine="0"/>
      </w:pPr>
      <w:r>
        <w:rPr>
          <w:i/>
          <w:iCs/>
        </w:rPr>
        <w:t>Tiesioginis palyginimas</w:t>
      </w:r>
    </w:p>
    <w:p w14:paraId="524F66B8" w14:textId="77777777" w:rsidR="001A6558" w:rsidRDefault="001A6558" w:rsidP="001A6558">
      <w:pPr>
        <w:pStyle w:val="VVKT"/>
      </w:pPr>
      <w:r>
        <w:t xml:space="preserve">Tiesioginiame palyginime pateiktas </w:t>
      </w:r>
      <w:r w:rsidRPr="00AE4AA8">
        <w:t xml:space="preserve">daugiacentris, atsitiktinių imčių, dvigubai aklas, placebo kontroliuojamas 3 fazės </w:t>
      </w:r>
      <w:r>
        <w:t xml:space="preserve">klinikinis </w:t>
      </w:r>
      <w:r w:rsidRPr="00AE4AA8">
        <w:t>tyrimas</w:t>
      </w:r>
      <w:r>
        <w:t xml:space="preserve"> ADVANCE, skirtas įvertinti atogepanto efektyvumą  peroraliniam epizodinės migrenos gydymui. Tyrimo trukmė 20 savaičių. Tyrime vertintos 10 mg, 30 mg ir 60 mg atogepanto dozės. Pagrindinė vertinamoji baigtis: visose atogepanto grupėse vidutinio MMD skaičiaus pokytis nuo pradinio per 12 tyrimo savaičių buvo statistiškai reikšmingai didesnis (</w:t>
      </w:r>
      <w:r w:rsidRPr="008C4E49">
        <w:t>10 mg -1</w:t>
      </w:r>
      <w:r>
        <w:t>,</w:t>
      </w:r>
      <w:r w:rsidRPr="008C4E49">
        <w:t>21; 30 mg -1</w:t>
      </w:r>
      <w:r>
        <w:t>,</w:t>
      </w:r>
      <w:r w:rsidRPr="008C4E49">
        <w:t>38; 60 mg -1</w:t>
      </w:r>
      <w:r>
        <w:t>,</w:t>
      </w:r>
      <w:r w:rsidRPr="008C4E49">
        <w:t>72</w:t>
      </w:r>
      <w:r>
        <w:t xml:space="preserve">; </w:t>
      </w:r>
      <w:r w:rsidRPr="008C4E49">
        <w:t>p&lt;0</w:t>
      </w:r>
      <w:r>
        <w:t>,</w:t>
      </w:r>
      <w:r w:rsidRPr="008C4E49">
        <w:t>0001</w:t>
      </w:r>
      <w:r>
        <w:t xml:space="preserve">). Visose antrinėse vertinamosiose baigtyse atogepantas buvo statistiškai reikšmingai pranašesnis už placebo: vidutinių galvos skausmo dienų pokytis, MMD skaičiaus sumažėjimas sumažėjo lyginant su pradiniu, vidutinis dienų, kai buvo vartojami medikamentai  priepuolio gydymui (analgetikai ir kt.), skaičius, kasdienis funkcionavimas pagal MSQ ir AIM-D skales, fizinė negalia pagal AIM-D skalę. Tyrimas ADVANCE buvo tęsiamas kaip atviros fazės tyrimas dar 40 savaičių, teigiamas efektas stebėtas kontroliuojamoje fazėje išliko visą tęstinio tyrimo laiką. Kitas pateiktas tyrimas ELEVATE - </w:t>
      </w:r>
      <w:r w:rsidRPr="00AE4AA8">
        <w:t xml:space="preserve">daugiacentris, atsitiktinių imčių, dvigubai aklas, placebo kontroliuojamas 3 fazės </w:t>
      </w:r>
      <w:r>
        <w:t xml:space="preserve">klinikinis </w:t>
      </w:r>
      <w:r w:rsidRPr="00AE4AA8">
        <w:t>tyrimas</w:t>
      </w:r>
      <w:r>
        <w:t xml:space="preserve">, tyrimo populiaciją sudarė epizodinės migrenos pacientai, kuriems anksčiau buvo neveiksmingi 2-4 nespecifiniai peroraliniai migrenos prevenciniai preparatai. Tyrimo trukmė buvo 20 savaičių, vertinta 60 mg atogepanto dozė. </w:t>
      </w:r>
      <w:r w:rsidRPr="004607F5">
        <w:t>Pagrindinė vertinamo</w:t>
      </w:r>
      <w:r>
        <w:t>ji</w:t>
      </w:r>
      <w:r w:rsidRPr="004607F5">
        <w:t xml:space="preserve"> bai</w:t>
      </w:r>
      <w:r>
        <w:t>gtis</w:t>
      </w:r>
      <w:r w:rsidRPr="00BB0734">
        <w:t xml:space="preserve">: vidutinio MMD skaičiaus pokytis nuo pradinio 12 tyrimo savaitę </w:t>
      </w:r>
      <w:r>
        <w:t xml:space="preserve">atogepanto grupėje buvo statistiškai reikšmingai didesnis, lyginant su placebo (-4,20 </w:t>
      </w:r>
      <w:r>
        <w:rPr>
          <w:i/>
          <w:iCs/>
        </w:rPr>
        <w:t xml:space="preserve">vs </w:t>
      </w:r>
      <w:r w:rsidRPr="00640C7B">
        <w:t>-1,85, p&lt;0,001)</w:t>
      </w:r>
      <w:r>
        <w:t xml:space="preserve">. Visose antrinėse vertinamosiose baigtyse atogepantas buvo statistiškai reikšmingai pranašesnis už placebo: vidutinis 3 mėnesių MMD skaičiaus sumažėjimas ≥50%, vidutinių galvos skausmo dienų skaičiaus sumažėjimas nuo pradinio, vidutinis dienų, kai buvo vartojami medikamentai  priepuolio gydymui (analgetikai ir kt.), skaičius, gyvenimo kokybė kasdienių veiklų ir fizinės negalios atžvilgiu, vertinant pagal MSQ ir </w:t>
      </w:r>
      <w:r w:rsidRPr="00AD6AD0">
        <w:t>AIM-</w:t>
      </w:r>
      <w:r>
        <w:t>D, gyvenimo kokybė pagal HIT-6 skalę. Atogepanto pranašumas išliko statistiškai reikšmingas ir atskiruose pogrupiuose (</w:t>
      </w:r>
      <w:r>
        <w:rPr>
          <w:bCs/>
        </w:rPr>
        <w:t xml:space="preserve">≥2 neefektyvūs profilaktiniai preparatai, ≥3 neefektyvūs profilaktiniai preparatai, ≥2 neefektyvūs profilaktiniai preparatai pacientams, kurie turi didelio dažnio epizodinę migreną ir ≥3 neefektyvūs profilaktiniai preparatai pacientams, kurie turi didelio dažnio epizodinę migreną. Pateiktame </w:t>
      </w:r>
      <w:r>
        <w:t xml:space="preserve">identiško dizaino PROGRESS klinikiniame tyrime vertintas atogepanto efektyvumas  peroraliniam lėtinės migrenos gydymui. Tyrimo trukmė buvo 20 savaičių, vertintos 30 mg ir 60 mg atogepanto dozės. </w:t>
      </w:r>
      <w:r w:rsidRPr="004607F5">
        <w:t>Pagrindinė vertinamo</w:t>
      </w:r>
      <w:r>
        <w:t>ji</w:t>
      </w:r>
      <w:r w:rsidRPr="004607F5">
        <w:t xml:space="preserve"> bai</w:t>
      </w:r>
      <w:r>
        <w:t>gtis</w:t>
      </w:r>
      <w:r w:rsidRPr="00BB0734">
        <w:t xml:space="preserve">: vidutinio MMD skaičiaus pokytis nuo pradinio 12 tyrimo savaitę </w:t>
      </w:r>
      <w:r>
        <w:t xml:space="preserve">atogepanto 30 mg ir 60 mg grupėse buvo statistiškai reikšmingai didesnis, lyginant su placebo (-7,00 ir -7,19 </w:t>
      </w:r>
      <w:r>
        <w:rPr>
          <w:i/>
          <w:iCs/>
        </w:rPr>
        <w:t xml:space="preserve">vs </w:t>
      </w:r>
      <w:r w:rsidRPr="00640C7B">
        <w:t>-</w:t>
      </w:r>
      <w:r>
        <w:t>4,65</w:t>
      </w:r>
      <w:r w:rsidRPr="00640C7B">
        <w:t>, p</w:t>
      </w:r>
      <w:r>
        <w:t>=0,0001 ir p=0,0024, atitinkamai</w:t>
      </w:r>
      <w:r w:rsidRPr="00640C7B">
        <w:t>)</w:t>
      </w:r>
      <w:r>
        <w:t xml:space="preserve">. Visose antrinėse vertinamosiose baigtyse atogepantas buvo </w:t>
      </w:r>
      <w:r>
        <w:lastRenderedPageBreak/>
        <w:t>pranašesnis už placebo: vidutinio 3 mėnesių MMD skaičius sumažėjimas  ≥50%, vidutinių galvos skausmo dienų skaičiaus sumažėjimas nuo pradinio, vidutinis dienų, kai buvo vartojami medikamentai  priepuolio gydymui (analgetikai ir kt.), skaičius, gyvenimo kokybė, vertinant pagal MSQ ir HIT-6 skales.</w:t>
      </w:r>
    </w:p>
    <w:p w14:paraId="4B249415" w14:textId="77777777" w:rsidR="001A6558" w:rsidRDefault="001A6558" w:rsidP="001A6558">
      <w:pPr>
        <w:pStyle w:val="VVKT"/>
        <w:ind w:firstLine="0"/>
      </w:pPr>
      <w:r>
        <w:rPr>
          <w:i/>
          <w:iCs/>
        </w:rPr>
        <w:t>Netiesioginis palyginimas</w:t>
      </w:r>
    </w:p>
    <w:p w14:paraId="5551D167" w14:textId="77777777" w:rsidR="001A6558" w:rsidRPr="00CA511B" w:rsidRDefault="001A6558" w:rsidP="001A6558">
      <w:pPr>
        <w:pStyle w:val="VVKT"/>
      </w:pPr>
      <w:r w:rsidRPr="00AE4AA8">
        <w:t xml:space="preserve">Nesant tinkamo tiesioginio palyginimo su palyginamaisiais preparatais, atlikta netiesioginė palyginamoji </w:t>
      </w:r>
      <w:r>
        <w:t xml:space="preserve">atogepanto </w:t>
      </w:r>
      <w:r w:rsidRPr="00AE4AA8">
        <w:t>analizė</w:t>
      </w:r>
      <w:r>
        <w:t xml:space="preserve"> </w:t>
      </w:r>
      <w:r w:rsidRPr="00AE4AA8">
        <w:t>su</w:t>
      </w:r>
      <w:r>
        <w:t xml:space="preserve"> šiais preparatais: </w:t>
      </w:r>
      <w:r w:rsidRPr="00CA511B">
        <w:t>rimegepant</w:t>
      </w:r>
      <w:r>
        <w:t>as</w:t>
      </w:r>
      <w:r w:rsidRPr="00CA511B">
        <w:t xml:space="preserve"> 75 mg, erenumabas 140 mg, galkanezumabas 120 mg, fremanezumabas 225 mg, fremanezumabas 675 mg, onabotulinotoksinas A</w:t>
      </w:r>
      <w:r>
        <w:t>, bendras palyginamasis buvo</w:t>
      </w:r>
      <w:r w:rsidRPr="00CA511B">
        <w:t xml:space="preserve"> placebo.</w:t>
      </w:r>
      <w:r>
        <w:t xml:space="preserve"> </w:t>
      </w:r>
      <w:r w:rsidRPr="00D909CE">
        <w:rPr>
          <w:bCs/>
        </w:rPr>
        <w:t>Bendra EM NPA įtrauktų klinikinių tyrimų imtis 8687 pacientai. Bendra LM NPA įtrauktų klinikinių tyrimų imtis 6201 pacientas.</w:t>
      </w:r>
      <w:r>
        <w:rPr>
          <w:bCs/>
        </w:rPr>
        <w:t xml:space="preserve"> </w:t>
      </w:r>
      <w:r>
        <w:t xml:space="preserve"> </w:t>
      </w:r>
      <w:r>
        <w:rPr>
          <w:bCs/>
        </w:rPr>
        <w:t>EM NPA nustatyta, kad atogepanto populiacijoje MMD sumažėjo statistiškai reikšmingai labiau nei galkanezumabo 120 mg grupėje. Atogepanto grupėje statistiškai reikšmingai didesnei daliai pacientų MMD sumažėjo ≥50%, lyginant su rimegepanto populiacija. NPA kitų nenustatyta statistiškai reikšmingų skirtumų tarp vertinamųjų baigčių atogepanto atžvilgiu. Atlikta pogrupių analizė pacientams, kuriems ≥2 ankstesni prevencinio gydymo preparatai buvo neveiksmingi. Atogepanto populiacijoje MMD sumažėjo statistiškai reikšmingai labiau nei erenumabo 70 mg grupėje. Kitų vertinamųjų baigčių atžvilgiu statistiškai reikšmingų skirtumų tarp palyginamųjų preparatų nenustatyta.</w:t>
      </w:r>
      <w:r>
        <w:t xml:space="preserve"> </w:t>
      </w:r>
      <w:r>
        <w:rPr>
          <w:bCs/>
        </w:rPr>
        <w:t>Lėtinės migrenos NPA nustatyta, kad nėra statistiškai reikšmingų skirtumų tarp atogepanto populiacijos ir kitų CGRP antagonistų. Atliktoje ≥2 ankstesnių neefektyvių prevencinio gydymo preparatų pogrupio analizėje nebuvo statistiškai reikšmingų skirtumų tarp atogepanto ir kitų CGRP antagonistų populiacijų.</w:t>
      </w:r>
    </w:p>
    <w:p w14:paraId="3EDB4C36" w14:textId="77777777" w:rsidR="001A6558" w:rsidRPr="00387953" w:rsidRDefault="001A6558" w:rsidP="001A6558">
      <w:pPr>
        <w:tabs>
          <w:tab w:val="left" w:pos="492"/>
        </w:tabs>
        <w:spacing w:line="276" w:lineRule="auto"/>
        <w:jc w:val="both"/>
        <w:outlineLvl w:val="1"/>
        <w:rPr>
          <w:rFonts w:eastAsia="Arial"/>
          <w:bCs/>
          <w:i/>
          <w:iCs/>
        </w:rPr>
      </w:pPr>
      <w:r>
        <w:rPr>
          <w:rFonts w:eastAsia="Arial"/>
          <w:bCs/>
          <w:i/>
          <w:iCs/>
        </w:rPr>
        <w:t>Palyginamasis s</w:t>
      </w:r>
      <w:r w:rsidRPr="00387953">
        <w:rPr>
          <w:rFonts w:eastAsia="Arial"/>
          <w:bCs/>
          <w:i/>
          <w:iCs/>
        </w:rPr>
        <w:t>augumas</w:t>
      </w:r>
    </w:p>
    <w:p w14:paraId="7E078DC1" w14:textId="77777777" w:rsidR="001A6558" w:rsidRPr="002251E7" w:rsidRDefault="001A6558" w:rsidP="001A6558">
      <w:pPr>
        <w:pStyle w:val="VVKT"/>
      </w:pPr>
      <w:r>
        <w:t>Atogepanto</w:t>
      </w:r>
      <w:r w:rsidRPr="009B0D07">
        <w:t xml:space="preserve"> saugumo rezultatai buvo aptarti EVA mokslinėje diskusijoje (EMA/CHMP/257716/2023)</w:t>
      </w:r>
      <w:r>
        <w:t>, atogepantas</w:t>
      </w:r>
      <w:r w:rsidRPr="009B0D07">
        <w:t xml:space="preserve"> vertinamas kaip turintis palankų saugumo profilį.</w:t>
      </w:r>
      <w:r>
        <w:t xml:space="preserve"> Dauguma nepageidaujamų reiškinių buvo nesunkūs ar vidutinio intensyvumo, nesusiję su gydymu ir nereikalavo papildomo gydymo. Dažniausi nepageidaujami reiškiniai (NR) buvo pykinimas, vidurių užkietėjimas, nuovargis. Mirčių registruota nebuvo. NPA saugumo analizėje atogepanto populiacijoje su tyrimu susijusių nepageidaujamų reiškinių dažnis statistiškai reikšmingai nesiskyrė nuo kitų CGRP antagonistų tiek epizodinės, tiek lėtinės migrenos populiacijų palyginimuose.</w:t>
      </w:r>
    </w:p>
    <w:p w14:paraId="02D612AA" w14:textId="77777777" w:rsidR="001A6558" w:rsidRPr="00387953" w:rsidRDefault="001A6558" w:rsidP="001A6558">
      <w:pPr>
        <w:spacing w:line="276" w:lineRule="auto"/>
        <w:jc w:val="both"/>
        <w:rPr>
          <w:rFonts w:eastAsia="Arial"/>
          <w:i/>
          <w:color w:val="000000" w:themeColor="text1"/>
        </w:rPr>
      </w:pPr>
      <w:r w:rsidRPr="00387953">
        <w:rPr>
          <w:rFonts w:eastAsia="Arial"/>
          <w:i/>
          <w:color w:val="000000" w:themeColor="text1"/>
        </w:rPr>
        <w:t>Privalumai ir trūkumai</w:t>
      </w:r>
    </w:p>
    <w:p w14:paraId="6996A673" w14:textId="77777777" w:rsidR="001A6558" w:rsidRPr="001A6558" w:rsidRDefault="001A6558" w:rsidP="001A6558">
      <w:pPr>
        <w:pStyle w:val="Protokolui"/>
        <w:rPr>
          <w:rFonts w:eastAsia="Arial"/>
          <w:sz w:val="24"/>
          <w:szCs w:val="24"/>
          <w:lang w:val="lt-LT"/>
        </w:rPr>
      </w:pPr>
      <w:r w:rsidRPr="001A6558">
        <w:rPr>
          <w:rFonts w:eastAsia="Arial"/>
          <w:sz w:val="24"/>
          <w:szCs w:val="24"/>
          <w:lang w:val="lt-LT"/>
        </w:rPr>
        <w:t>Jei vaistinis preparatas būtų įrašytas į kompensavimo sąrašus, gydymo šiuo vaistiniu preparatu taikymas klinikinėje praktikoje galėtų turėti privalumų ir trūkumų medicininėms paslaugoms ar pacientams.</w:t>
      </w:r>
    </w:p>
    <w:p w14:paraId="537C6770" w14:textId="3DC4C152" w:rsidR="001A6558" w:rsidRDefault="001A6558" w:rsidP="001A6558">
      <w:pPr>
        <w:spacing w:line="276" w:lineRule="auto"/>
        <w:jc w:val="both"/>
        <w:rPr>
          <w:rFonts w:eastAsia="Arial"/>
          <w:i/>
          <w:iCs/>
          <w:color w:val="000000" w:themeColor="text1"/>
        </w:rPr>
      </w:pPr>
      <w:r w:rsidRPr="001C4887">
        <w:rPr>
          <w:rFonts w:eastAsia="Arial"/>
          <w:i/>
          <w:iCs/>
          <w:color w:val="000000" w:themeColor="text1"/>
        </w:rPr>
        <w:t>Privalumai.</w:t>
      </w:r>
      <w:r w:rsidRPr="001C4887">
        <w:rPr>
          <w:rFonts w:eastAsia="Arial"/>
          <w:iCs/>
          <w:color w:val="000000" w:themeColor="text1"/>
        </w:rPr>
        <w:t xml:space="preserve"> Pacientams –</w:t>
      </w:r>
      <w:r w:rsidRPr="00FC4D49">
        <w:rPr>
          <w:rFonts w:eastAsia="Arial"/>
          <w:iCs/>
          <w:color w:val="000000" w:themeColor="text1"/>
        </w:rPr>
        <w:t xml:space="preserve"> </w:t>
      </w:r>
      <w:r>
        <w:rPr>
          <w:rFonts w:eastAsia="Arial"/>
          <w:iCs/>
          <w:color w:val="000000" w:themeColor="text1"/>
        </w:rPr>
        <w:t xml:space="preserve">didesnė migrenos prevencinio gydymo pasirinkimo galimybė, galimybė pasirinkti specifinį peroralinį preparatą, greito gydymo nutraukimo galimybė. </w:t>
      </w:r>
      <w:r w:rsidRPr="00FC4D49">
        <w:rPr>
          <w:rFonts w:eastAsia="Arial"/>
          <w:iCs/>
          <w:color w:val="000000" w:themeColor="text1"/>
        </w:rPr>
        <w:t xml:space="preserve">Medicinos paslaugoms – </w:t>
      </w:r>
      <w:r>
        <w:rPr>
          <w:rFonts w:eastAsia="Arial"/>
          <w:iCs/>
          <w:color w:val="000000" w:themeColor="text1"/>
        </w:rPr>
        <w:t xml:space="preserve">greito gydymo nutraukimo galimybė esant medicininėms indikacijoms. </w:t>
      </w:r>
    </w:p>
    <w:p w14:paraId="6699267A" w14:textId="77777777" w:rsidR="001A6558" w:rsidRPr="00FC4D49" w:rsidRDefault="001A6558" w:rsidP="001A6558">
      <w:pPr>
        <w:spacing w:line="276" w:lineRule="auto"/>
        <w:jc w:val="both"/>
        <w:rPr>
          <w:rFonts w:eastAsia="Arial"/>
          <w:iCs/>
          <w:color w:val="000000" w:themeColor="text1"/>
        </w:rPr>
      </w:pPr>
      <w:r w:rsidRPr="00FC6AEC">
        <w:rPr>
          <w:rFonts w:eastAsia="Arial"/>
          <w:i/>
          <w:iCs/>
          <w:color w:val="000000" w:themeColor="text1"/>
        </w:rPr>
        <w:t>Trūkumai</w:t>
      </w:r>
      <w:r w:rsidRPr="00FC4D49">
        <w:rPr>
          <w:rFonts w:eastAsia="Arial"/>
          <w:iCs/>
          <w:color w:val="000000" w:themeColor="text1"/>
        </w:rPr>
        <w:t>.</w:t>
      </w:r>
      <w:r w:rsidRPr="007C1987">
        <w:rPr>
          <w:rFonts w:eastAsia="Arial"/>
          <w:iCs/>
          <w:color w:val="000000" w:themeColor="text1"/>
        </w:rPr>
        <w:t xml:space="preserve"> Pacientams ir medicinos paslaugoms –  </w:t>
      </w:r>
      <w:r>
        <w:rPr>
          <w:rFonts w:eastAsia="Arial"/>
          <w:iCs/>
          <w:color w:val="000000" w:themeColor="text1"/>
        </w:rPr>
        <w:t>esminių trūkumų nėra.</w:t>
      </w:r>
    </w:p>
    <w:p w14:paraId="1C65FAA7" w14:textId="77777777" w:rsidR="001A6558" w:rsidRDefault="001A6558" w:rsidP="001A6558">
      <w:pPr>
        <w:pStyle w:val="VVKT"/>
        <w:ind w:firstLine="0"/>
      </w:pPr>
    </w:p>
    <w:p w14:paraId="0F4D9477" w14:textId="77777777" w:rsidR="001A6558" w:rsidRPr="0059771D" w:rsidRDefault="001A6558" w:rsidP="001A6558">
      <w:pPr>
        <w:pStyle w:val="VVKT"/>
      </w:pPr>
      <w:r>
        <w:t>Apibendrinant paraiškoje pateiktus duomenis ir nesant tiesioginio palyginimo su palyginamaisiais vaistiniais preparatais, daroma išvada</w:t>
      </w:r>
      <w:r w:rsidRPr="0059771D">
        <w:t xml:space="preserve">, kad </w:t>
      </w:r>
      <w:r>
        <w:t>atogepantas</w:t>
      </w:r>
      <w:r w:rsidRPr="0059771D">
        <w:t xml:space="preserve"> yra </w:t>
      </w:r>
      <w:r>
        <w:t xml:space="preserve">iš esmės </w:t>
      </w:r>
      <w:r w:rsidRPr="0059771D">
        <w:t xml:space="preserve">nesiskiriančio palyginamojo </w:t>
      </w:r>
      <w:r>
        <w:t>efektyvumo</w:t>
      </w:r>
      <w:r w:rsidRPr="0059771D">
        <w:t xml:space="preserve"> </w:t>
      </w:r>
      <w:r>
        <w:t>nuo</w:t>
      </w:r>
      <w:r w:rsidRPr="0059771D">
        <w:t xml:space="preserve"> erenumab</w:t>
      </w:r>
      <w:r>
        <w:t>o</w:t>
      </w:r>
      <w:r w:rsidRPr="0059771D">
        <w:t xml:space="preserve"> ir fremanezumab</w:t>
      </w:r>
      <w:r>
        <w:t xml:space="preserve">o migrenos prevencijai. Atogepanto klinikinis veiksmingumas vertinamas kaip </w:t>
      </w:r>
      <w:r w:rsidRPr="0059771D">
        <w:t>pagrindžiantis nesiskiriančios naudos pacientų sveikatai sukūrimą, lyginant su įprasta klinikine praktika</w:t>
      </w:r>
      <w:r>
        <w:t>.</w:t>
      </w:r>
    </w:p>
    <w:p w14:paraId="46CE5AD6" w14:textId="2E454AC2" w:rsidR="001A6558" w:rsidRPr="001A6558" w:rsidRDefault="001A6558" w:rsidP="001A6558">
      <w:pPr>
        <w:tabs>
          <w:tab w:val="left" w:pos="567"/>
        </w:tabs>
        <w:rPr>
          <w:b/>
          <w:bCs/>
          <w:caps/>
        </w:rPr>
      </w:pPr>
    </w:p>
    <w:p w14:paraId="7DE09EB5" w14:textId="69E9DD74" w:rsidR="00E03C3F" w:rsidRPr="00E33EFF" w:rsidRDefault="00CC7832" w:rsidP="00CC09D4">
      <w:pPr>
        <w:pStyle w:val="Sraopastraipa"/>
        <w:numPr>
          <w:ilvl w:val="0"/>
          <w:numId w:val="12"/>
        </w:numPr>
        <w:tabs>
          <w:tab w:val="left" w:pos="567"/>
        </w:tabs>
        <w:ind w:hanging="720"/>
        <w:rPr>
          <w:b/>
          <w:bCs/>
          <w:caps/>
        </w:rPr>
      </w:pPr>
      <w:r w:rsidRPr="00E33EFF">
        <w:rPr>
          <w:b/>
          <w:bCs/>
          <w:caps/>
        </w:rPr>
        <w:t xml:space="preserve">ekonominio vertinimo </w:t>
      </w:r>
      <w:r w:rsidR="002F0E4F" w:rsidRPr="00E33EFF">
        <w:rPr>
          <w:b/>
          <w:bCs/>
          <w:caps/>
        </w:rPr>
        <w:t>apibendrinimas</w:t>
      </w:r>
    </w:p>
    <w:p w14:paraId="1A900598" w14:textId="7601A945" w:rsidR="00C62B36" w:rsidRDefault="00C62B36" w:rsidP="00A93AA6">
      <w:pPr>
        <w:tabs>
          <w:tab w:val="left" w:pos="426"/>
        </w:tabs>
        <w:rPr>
          <w:i/>
          <w:color w:val="00B050"/>
          <w:sz w:val="22"/>
          <w:szCs w:val="22"/>
        </w:rPr>
      </w:pPr>
    </w:p>
    <w:p w14:paraId="0EEDFA15" w14:textId="77777777" w:rsidR="000F34B4" w:rsidRDefault="000F34B4" w:rsidP="000F34B4">
      <w:pPr>
        <w:tabs>
          <w:tab w:val="left" w:pos="567"/>
        </w:tabs>
        <w:jc w:val="both"/>
        <w:rPr>
          <w:iCs/>
          <w:lang w:eastAsia="lt-LT"/>
        </w:rPr>
      </w:pPr>
      <w:r>
        <w:rPr>
          <w:iCs/>
          <w:lang w:eastAsia="lt-LT"/>
        </w:rPr>
        <w:t xml:space="preserve">Vertinimui pateikta kaštų mažinimo analizė, lyginant atogepanto kaštus su erenumabo ir fremanezumabo kaštais. Dėl analizės struktūros paprastumo, pilnas STV yra nerekomenduojamas, o </w:t>
      </w:r>
      <w:r>
        <w:rPr>
          <w:iCs/>
          <w:lang w:eastAsia="lt-LT"/>
        </w:rPr>
        <w:lastRenderedPageBreak/>
        <w:t>sprendimą dėl vaisto kompensavimo galima priimti remiantis VLK atliekamu įtakos PSDF biudžetui skaičiavimu.</w:t>
      </w:r>
    </w:p>
    <w:p w14:paraId="5A9FAF73" w14:textId="77777777" w:rsidR="000F34B4" w:rsidRDefault="000F34B4" w:rsidP="000F34B4">
      <w:pPr>
        <w:tabs>
          <w:tab w:val="left" w:pos="567"/>
        </w:tabs>
        <w:jc w:val="both"/>
        <w:rPr>
          <w:iCs/>
          <w:lang w:eastAsia="lt-LT"/>
        </w:rPr>
      </w:pPr>
    </w:p>
    <w:p w14:paraId="3B1AB4FB" w14:textId="77777777" w:rsidR="000F34B4" w:rsidRDefault="000F34B4" w:rsidP="000F34B4">
      <w:pPr>
        <w:tabs>
          <w:tab w:val="left" w:pos="567"/>
        </w:tabs>
        <w:jc w:val="both"/>
        <w:rPr>
          <w:iCs/>
          <w:lang w:eastAsia="lt-LT"/>
        </w:rPr>
      </w:pPr>
      <w:r>
        <w:rPr>
          <w:iCs/>
          <w:lang w:eastAsia="lt-LT"/>
        </w:rPr>
        <w:t>Pateiktas Tarnybos atliktas analizės rezultato perskaičiavimas.</w:t>
      </w:r>
    </w:p>
    <w:p w14:paraId="0A9DD1BC" w14:textId="77777777" w:rsidR="000F34B4" w:rsidRDefault="000F34B4" w:rsidP="000F34B4">
      <w:pPr>
        <w:tabs>
          <w:tab w:val="left" w:pos="567"/>
        </w:tabs>
        <w:jc w:val="both"/>
        <w:rPr>
          <w:iCs/>
          <w:lang w:eastAsia="lt-LT"/>
        </w:rPr>
      </w:pPr>
      <w:r>
        <w:rPr>
          <w:iCs/>
          <w:lang w:eastAsia="lt-LT"/>
        </w:rPr>
        <w:t>Perskaičiuojant analizės rezultatą buvo koreguojamos šios prielaidos:</w:t>
      </w:r>
    </w:p>
    <w:p w14:paraId="6383D6E3" w14:textId="77777777" w:rsidR="000F34B4" w:rsidRDefault="000F34B4" w:rsidP="000F34B4">
      <w:pPr>
        <w:pStyle w:val="Sraopastraipa"/>
        <w:numPr>
          <w:ilvl w:val="0"/>
          <w:numId w:val="13"/>
        </w:numPr>
        <w:tabs>
          <w:tab w:val="left" w:pos="567"/>
        </w:tabs>
        <w:jc w:val="both"/>
        <w:rPr>
          <w:iCs/>
          <w:lang w:eastAsia="lt-LT"/>
        </w:rPr>
      </w:pPr>
      <w:r>
        <w:rPr>
          <w:iCs/>
          <w:lang w:eastAsia="lt-LT"/>
        </w:rPr>
        <w:t>Pateikiamas palyginimas atskirai su kiekvienu vaistu (erenumabu ir fremanezumabu), nekoreguojant analizės rezultato pagal parduodamų receptų skaičių. Atsižvelgiant į tai, jog išrašomų receptų skaičius yra panašus abiems palyginamiesiems (48,3 proc. ir 51,7 proc.), pateikiame analizės rezultatą atogepanto kaštus lyginant atskirai su erenumabu ir fremanezumabu;</w:t>
      </w:r>
    </w:p>
    <w:p w14:paraId="53D7A824" w14:textId="77777777" w:rsidR="000F34B4" w:rsidRDefault="000F34B4" w:rsidP="000F34B4">
      <w:pPr>
        <w:pStyle w:val="Sraopastraipa"/>
        <w:numPr>
          <w:ilvl w:val="0"/>
          <w:numId w:val="13"/>
        </w:numPr>
        <w:tabs>
          <w:tab w:val="left" w:pos="567"/>
        </w:tabs>
        <w:jc w:val="both"/>
        <w:rPr>
          <w:iCs/>
          <w:lang w:eastAsia="lt-LT"/>
        </w:rPr>
      </w:pPr>
      <w:r>
        <w:rPr>
          <w:iCs/>
          <w:lang w:eastAsia="lt-LT"/>
        </w:rPr>
        <w:t>Koreguojamas asmens sveikatos priežiūros paslaugų poreikis. Siekiant vienodumo su prieš tai atliktais vertinimais panašioms indikacijoms, taikoma prielaida, jog poodine injekcija vartojamus vaistus susileis pats pacientas, o paciento apmokymas įvyks pirmojo vizito – paskiriant vaistą – metu. Todėl tokiems vaistiniams preparatams netaikomi papildomi vaistų vartojimo kaštai;</w:t>
      </w:r>
    </w:p>
    <w:p w14:paraId="135A5994" w14:textId="77777777" w:rsidR="000F34B4" w:rsidRDefault="000F34B4" w:rsidP="000F34B4">
      <w:pPr>
        <w:pStyle w:val="Sraopastraipa"/>
        <w:numPr>
          <w:ilvl w:val="0"/>
          <w:numId w:val="13"/>
        </w:numPr>
        <w:tabs>
          <w:tab w:val="left" w:pos="567"/>
        </w:tabs>
        <w:jc w:val="both"/>
        <w:rPr>
          <w:iCs/>
          <w:lang w:eastAsia="lt-LT"/>
        </w:rPr>
      </w:pPr>
      <w:r>
        <w:rPr>
          <w:iCs/>
          <w:lang w:eastAsia="lt-LT"/>
        </w:rPr>
        <w:t>Siekiant vienodumo su jau atliktais vertinimais, taikoma 1 metų laiko perspektyva;</w:t>
      </w:r>
    </w:p>
    <w:p w14:paraId="0C2B36D8" w14:textId="77777777" w:rsidR="000F34B4" w:rsidRDefault="000F34B4" w:rsidP="000F34B4">
      <w:pPr>
        <w:pStyle w:val="Sraopastraipa"/>
        <w:numPr>
          <w:ilvl w:val="0"/>
          <w:numId w:val="13"/>
        </w:numPr>
        <w:tabs>
          <w:tab w:val="left" w:pos="567"/>
        </w:tabs>
        <w:jc w:val="both"/>
        <w:rPr>
          <w:iCs/>
          <w:lang w:eastAsia="lt-LT"/>
        </w:rPr>
      </w:pPr>
      <w:r>
        <w:rPr>
          <w:iCs/>
          <w:lang w:eastAsia="lt-LT"/>
        </w:rPr>
        <w:t>Kaštai atnaujinti pagal 2024 m. I pusmečio duomenis.</w:t>
      </w:r>
    </w:p>
    <w:p w14:paraId="38C7AD49" w14:textId="77777777" w:rsidR="000F34B4" w:rsidRPr="00E33EFF" w:rsidRDefault="000F34B4" w:rsidP="00A93AA6">
      <w:pPr>
        <w:tabs>
          <w:tab w:val="left" w:pos="426"/>
        </w:tabs>
        <w:rPr>
          <w:b/>
          <w:bCs/>
          <w:caps/>
        </w:rPr>
      </w:pPr>
    </w:p>
    <w:p w14:paraId="174D84D7" w14:textId="2A98EE7C" w:rsidR="0035172D" w:rsidRPr="00E33EFF" w:rsidRDefault="0035172D" w:rsidP="00A93AA6">
      <w:pPr>
        <w:tabs>
          <w:tab w:val="left" w:pos="426"/>
        </w:tabs>
        <w:rPr>
          <w:b/>
          <w:lang w:eastAsia="lt-LT"/>
        </w:rPr>
      </w:pPr>
      <w:r w:rsidRPr="00E33EFF">
        <w:rPr>
          <w:b/>
          <w:lang w:eastAsia="lt-LT"/>
        </w:rPr>
        <w:t>Ekonominės analizės rezultatas</w:t>
      </w:r>
    </w:p>
    <w:p w14:paraId="4801D227" w14:textId="77777777" w:rsidR="009E44AE" w:rsidRPr="00E33EFF" w:rsidRDefault="009E44AE" w:rsidP="00A93AA6">
      <w:pPr>
        <w:tabs>
          <w:tab w:val="left" w:pos="426"/>
        </w:tabs>
        <w:rPr>
          <w:b/>
          <w:lang w:eastAsia="lt-LT"/>
        </w:rPr>
      </w:pPr>
    </w:p>
    <w:tbl>
      <w:tblPr>
        <w:tblStyle w:val="Lentelstinklelis"/>
        <w:tblW w:w="9908"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56"/>
        <w:gridCol w:w="1422"/>
        <w:gridCol w:w="1430"/>
        <w:gridCol w:w="1923"/>
        <w:gridCol w:w="1459"/>
        <w:gridCol w:w="1418"/>
      </w:tblGrid>
      <w:tr w:rsidR="000F34B4" w:rsidRPr="00D05364" w14:paraId="4E5856B4" w14:textId="77777777" w:rsidTr="00200C15">
        <w:trPr>
          <w:trHeight w:val="364"/>
          <w:jc w:val="center"/>
        </w:trPr>
        <w:tc>
          <w:tcPr>
            <w:tcW w:w="9908" w:type="dxa"/>
            <w:gridSpan w:val="6"/>
            <w:tcBorders>
              <w:top w:val="single" w:sz="12" w:space="0" w:color="auto"/>
              <w:bottom w:val="single" w:sz="4" w:space="0" w:color="auto"/>
            </w:tcBorders>
            <w:vAlign w:val="center"/>
          </w:tcPr>
          <w:p w14:paraId="4D0EDD9B" w14:textId="77777777" w:rsidR="000F34B4" w:rsidRPr="00D05364" w:rsidRDefault="000F34B4" w:rsidP="00200C15">
            <w:pPr>
              <w:tabs>
                <w:tab w:val="left" w:pos="567"/>
              </w:tabs>
              <w:jc w:val="center"/>
              <w:rPr>
                <w:b/>
                <w:i/>
                <w:iCs/>
                <w:color w:val="00B050"/>
                <w:sz w:val="22"/>
                <w:szCs w:val="22"/>
                <w:lang w:eastAsia="lt-LT"/>
              </w:rPr>
            </w:pPr>
            <w:r w:rsidRPr="00D05364">
              <w:rPr>
                <w:b/>
                <w:lang w:eastAsia="lt-LT"/>
              </w:rPr>
              <w:t>Kaštai</w:t>
            </w:r>
          </w:p>
        </w:tc>
      </w:tr>
      <w:tr w:rsidR="000F34B4" w:rsidRPr="00D05364" w14:paraId="7DAA7435" w14:textId="77777777" w:rsidTr="00200C15">
        <w:trPr>
          <w:jc w:val="center"/>
        </w:trPr>
        <w:tc>
          <w:tcPr>
            <w:tcW w:w="2256" w:type="dxa"/>
            <w:tcBorders>
              <w:top w:val="single" w:sz="4" w:space="0" w:color="auto"/>
              <w:bottom w:val="single" w:sz="4" w:space="0" w:color="auto"/>
            </w:tcBorders>
          </w:tcPr>
          <w:p w14:paraId="2E03179A" w14:textId="77777777" w:rsidR="000F34B4" w:rsidRPr="00D05364" w:rsidRDefault="000F34B4" w:rsidP="00200C15">
            <w:pPr>
              <w:tabs>
                <w:tab w:val="left" w:pos="567"/>
              </w:tabs>
              <w:jc w:val="both"/>
              <w:rPr>
                <w:color w:val="00B050"/>
                <w:lang w:eastAsia="lt-LT"/>
              </w:rPr>
            </w:pPr>
          </w:p>
        </w:tc>
        <w:tc>
          <w:tcPr>
            <w:tcW w:w="1422" w:type="dxa"/>
            <w:tcBorders>
              <w:top w:val="single" w:sz="4" w:space="0" w:color="auto"/>
              <w:bottom w:val="single" w:sz="4" w:space="0" w:color="auto"/>
            </w:tcBorders>
          </w:tcPr>
          <w:p w14:paraId="47AD2B1D" w14:textId="77777777" w:rsidR="000F34B4" w:rsidRPr="00D05364" w:rsidRDefault="000F34B4" w:rsidP="00200C15">
            <w:pPr>
              <w:tabs>
                <w:tab w:val="left" w:pos="567"/>
              </w:tabs>
              <w:jc w:val="both"/>
              <w:rPr>
                <w:i/>
                <w:iCs/>
                <w:lang w:eastAsia="lt-LT"/>
              </w:rPr>
            </w:pPr>
            <w:r>
              <w:rPr>
                <w:i/>
                <w:iCs/>
                <w:lang w:eastAsia="lt-LT"/>
              </w:rPr>
              <w:t>Atogepantas</w:t>
            </w:r>
          </w:p>
        </w:tc>
        <w:tc>
          <w:tcPr>
            <w:tcW w:w="1430" w:type="dxa"/>
            <w:tcBorders>
              <w:top w:val="single" w:sz="4" w:space="0" w:color="auto"/>
            </w:tcBorders>
          </w:tcPr>
          <w:p w14:paraId="595BCBE7" w14:textId="77777777" w:rsidR="000F34B4" w:rsidRPr="00D05364" w:rsidRDefault="000F34B4" w:rsidP="00200C15">
            <w:pPr>
              <w:tabs>
                <w:tab w:val="left" w:pos="567"/>
              </w:tabs>
              <w:jc w:val="both"/>
              <w:rPr>
                <w:i/>
                <w:iCs/>
                <w:lang w:eastAsia="lt-LT"/>
              </w:rPr>
            </w:pPr>
            <w:r>
              <w:rPr>
                <w:i/>
                <w:iCs/>
                <w:lang w:eastAsia="lt-LT"/>
              </w:rPr>
              <w:t>Erenumabas</w:t>
            </w:r>
          </w:p>
        </w:tc>
        <w:tc>
          <w:tcPr>
            <w:tcW w:w="1923" w:type="dxa"/>
            <w:tcBorders>
              <w:top w:val="single" w:sz="4" w:space="0" w:color="auto"/>
            </w:tcBorders>
          </w:tcPr>
          <w:p w14:paraId="31AA4AFD" w14:textId="77777777" w:rsidR="000F34B4" w:rsidRPr="00D05364" w:rsidRDefault="000F34B4" w:rsidP="00200C15">
            <w:pPr>
              <w:tabs>
                <w:tab w:val="left" w:pos="567"/>
              </w:tabs>
              <w:jc w:val="both"/>
              <w:rPr>
                <w:i/>
                <w:iCs/>
                <w:lang w:eastAsia="lt-LT"/>
              </w:rPr>
            </w:pPr>
            <w:r>
              <w:rPr>
                <w:i/>
                <w:iCs/>
                <w:lang w:eastAsia="lt-LT"/>
              </w:rPr>
              <w:t>Fremanezumabas</w:t>
            </w:r>
          </w:p>
        </w:tc>
        <w:tc>
          <w:tcPr>
            <w:tcW w:w="1459" w:type="dxa"/>
            <w:tcBorders>
              <w:top w:val="single" w:sz="4" w:space="0" w:color="auto"/>
            </w:tcBorders>
          </w:tcPr>
          <w:p w14:paraId="6D0B9F3A" w14:textId="77777777" w:rsidR="000F34B4" w:rsidRPr="00D05364" w:rsidRDefault="000F34B4" w:rsidP="00200C15">
            <w:pPr>
              <w:tabs>
                <w:tab w:val="left" w:pos="567"/>
              </w:tabs>
              <w:jc w:val="both"/>
              <w:rPr>
                <w:i/>
                <w:iCs/>
                <w:lang w:eastAsia="lt-LT"/>
              </w:rPr>
            </w:pPr>
            <w:r>
              <w:rPr>
                <w:i/>
                <w:iCs/>
                <w:lang w:eastAsia="lt-LT"/>
              </w:rPr>
              <w:t xml:space="preserve">Skirtumas </w:t>
            </w:r>
            <w:r w:rsidRPr="00036661">
              <w:rPr>
                <w:i/>
                <w:iCs/>
                <w:sz w:val="16"/>
                <w:lang w:eastAsia="lt-LT"/>
              </w:rPr>
              <w:t>(vs erenumabas)</w:t>
            </w:r>
          </w:p>
        </w:tc>
        <w:tc>
          <w:tcPr>
            <w:tcW w:w="1418" w:type="dxa"/>
            <w:tcBorders>
              <w:top w:val="single" w:sz="4" w:space="0" w:color="auto"/>
              <w:bottom w:val="single" w:sz="4" w:space="0" w:color="auto"/>
            </w:tcBorders>
          </w:tcPr>
          <w:p w14:paraId="71E873AC" w14:textId="77777777" w:rsidR="000F34B4" w:rsidRPr="00D05364" w:rsidRDefault="000F34B4" w:rsidP="00200C15">
            <w:pPr>
              <w:tabs>
                <w:tab w:val="left" w:pos="567"/>
              </w:tabs>
              <w:jc w:val="both"/>
              <w:rPr>
                <w:i/>
                <w:lang w:eastAsia="lt-LT"/>
              </w:rPr>
            </w:pPr>
            <w:r w:rsidRPr="00D05364">
              <w:rPr>
                <w:i/>
                <w:lang w:eastAsia="lt-LT"/>
              </w:rPr>
              <w:t>Skirtumas</w:t>
            </w:r>
            <w:r>
              <w:rPr>
                <w:i/>
                <w:lang w:eastAsia="lt-LT"/>
              </w:rPr>
              <w:t xml:space="preserve"> </w:t>
            </w:r>
            <w:r w:rsidRPr="00036661">
              <w:rPr>
                <w:i/>
                <w:sz w:val="16"/>
                <w:lang w:eastAsia="lt-LT"/>
              </w:rPr>
              <w:t>(vs fremanezumabas)</w:t>
            </w:r>
          </w:p>
        </w:tc>
      </w:tr>
      <w:tr w:rsidR="000F34B4" w:rsidRPr="00D05364" w14:paraId="6550760C" w14:textId="77777777" w:rsidTr="00200C15">
        <w:trPr>
          <w:jc w:val="center"/>
        </w:trPr>
        <w:tc>
          <w:tcPr>
            <w:tcW w:w="2256" w:type="dxa"/>
            <w:tcBorders>
              <w:top w:val="single" w:sz="4" w:space="0" w:color="auto"/>
              <w:bottom w:val="single" w:sz="4" w:space="0" w:color="auto"/>
            </w:tcBorders>
          </w:tcPr>
          <w:p w14:paraId="0F3916A9" w14:textId="77777777" w:rsidR="000F34B4" w:rsidRPr="00D05364" w:rsidRDefault="000F34B4" w:rsidP="00200C15">
            <w:pPr>
              <w:tabs>
                <w:tab w:val="left" w:pos="567"/>
              </w:tabs>
              <w:rPr>
                <w:iCs/>
                <w:color w:val="000000"/>
                <w:lang w:eastAsia="lt-LT"/>
              </w:rPr>
            </w:pPr>
            <w:r w:rsidRPr="00D05364">
              <w:rPr>
                <w:iCs/>
                <w:color w:val="000000"/>
                <w:lang w:eastAsia="lt-LT"/>
              </w:rPr>
              <w:t>Vaistinių preparatų įsigijimo kaštai</w:t>
            </w:r>
          </w:p>
        </w:tc>
        <w:tc>
          <w:tcPr>
            <w:tcW w:w="1422" w:type="dxa"/>
            <w:tcBorders>
              <w:top w:val="single" w:sz="4" w:space="0" w:color="auto"/>
              <w:bottom w:val="single" w:sz="4" w:space="0" w:color="auto"/>
            </w:tcBorders>
          </w:tcPr>
          <w:p w14:paraId="1C26F92F" w14:textId="2A77F27D" w:rsidR="000F34B4" w:rsidRPr="00D05364" w:rsidRDefault="00E305D8" w:rsidP="00200C15">
            <w:pPr>
              <w:tabs>
                <w:tab w:val="left" w:pos="567"/>
              </w:tabs>
              <w:jc w:val="both"/>
              <w:rPr>
                <w:i/>
                <w:iCs/>
                <w:lang w:eastAsia="lt-LT"/>
              </w:rPr>
            </w:pPr>
            <w:r>
              <w:rPr>
                <w:i/>
                <w:iCs/>
                <w:lang w:eastAsia="lt-LT"/>
              </w:rPr>
              <w:t>***</w:t>
            </w:r>
          </w:p>
        </w:tc>
        <w:tc>
          <w:tcPr>
            <w:tcW w:w="1430" w:type="dxa"/>
          </w:tcPr>
          <w:p w14:paraId="1E3244DC" w14:textId="3421A863" w:rsidR="000F34B4" w:rsidRPr="00D05364" w:rsidRDefault="00E305D8" w:rsidP="00200C15">
            <w:pPr>
              <w:tabs>
                <w:tab w:val="left" w:pos="567"/>
              </w:tabs>
              <w:jc w:val="both"/>
              <w:rPr>
                <w:i/>
                <w:iCs/>
                <w:lang w:eastAsia="lt-LT"/>
              </w:rPr>
            </w:pPr>
            <w:r>
              <w:rPr>
                <w:i/>
                <w:iCs/>
                <w:lang w:eastAsia="lt-LT"/>
              </w:rPr>
              <w:t>***</w:t>
            </w:r>
          </w:p>
        </w:tc>
        <w:tc>
          <w:tcPr>
            <w:tcW w:w="1923" w:type="dxa"/>
          </w:tcPr>
          <w:p w14:paraId="09887C06" w14:textId="780AF0B9" w:rsidR="000F34B4" w:rsidRPr="00D05364" w:rsidRDefault="00E305D8" w:rsidP="00200C15">
            <w:pPr>
              <w:tabs>
                <w:tab w:val="left" w:pos="567"/>
              </w:tabs>
              <w:jc w:val="both"/>
              <w:rPr>
                <w:i/>
                <w:iCs/>
                <w:lang w:eastAsia="lt-LT"/>
              </w:rPr>
            </w:pPr>
            <w:r>
              <w:rPr>
                <w:i/>
                <w:iCs/>
                <w:lang w:eastAsia="lt-LT"/>
              </w:rPr>
              <w:t>***</w:t>
            </w:r>
          </w:p>
        </w:tc>
        <w:tc>
          <w:tcPr>
            <w:tcW w:w="1459" w:type="dxa"/>
          </w:tcPr>
          <w:p w14:paraId="540AAC53" w14:textId="2C071F14" w:rsidR="000F34B4" w:rsidRPr="00D05364" w:rsidRDefault="00E305D8" w:rsidP="00200C15">
            <w:pPr>
              <w:tabs>
                <w:tab w:val="left" w:pos="567"/>
              </w:tabs>
              <w:jc w:val="both"/>
              <w:rPr>
                <w:i/>
                <w:iCs/>
                <w:lang w:eastAsia="lt-LT"/>
              </w:rPr>
            </w:pPr>
            <w:r>
              <w:rPr>
                <w:i/>
                <w:iCs/>
                <w:lang w:eastAsia="lt-LT"/>
              </w:rPr>
              <w:t>***</w:t>
            </w:r>
          </w:p>
        </w:tc>
        <w:tc>
          <w:tcPr>
            <w:tcW w:w="1418" w:type="dxa"/>
            <w:tcBorders>
              <w:top w:val="single" w:sz="4" w:space="0" w:color="auto"/>
              <w:bottom w:val="single" w:sz="4" w:space="0" w:color="auto"/>
            </w:tcBorders>
          </w:tcPr>
          <w:p w14:paraId="3881C432" w14:textId="3ED1D252" w:rsidR="000F34B4" w:rsidRPr="00D05364" w:rsidRDefault="00E305D8" w:rsidP="00200C15">
            <w:pPr>
              <w:tabs>
                <w:tab w:val="left" w:pos="567"/>
              </w:tabs>
              <w:jc w:val="both"/>
              <w:rPr>
                <w:lang w:eastAsia="lt-LT"/>
              </w:rPr>
            </w:pPr>
            <w:r>
              <w:rPr>
                <w:lang w:eastAsia="lt-LT"/>
              </w:rPr>
              <w:t>***</w:t>
            </w:r>
          </w:p>
        </w:tc>
      </w:tr>
      <w:tr w:rsidR="000F34B4" w:rsidRPr="00D05364" w14:paraId="454F0E05" w14:textId="77777777" w:rsidTr="00200C15">
        <w:trPr>
          <w:jc w:val="center"/>
        </w:trPr>
        <w:tc>
          <w:tcPr>
            <w:tcW w:w="2256" w:type="dxa"/>
            <w:tcBorders>
              <w:top w:val="single" w:sz="4" w:space="0" w:color="auto"/>
              <w:bottom w:val="single" w:sz="4" w:space="0" w:color="auto"/>
            </w:tcBorders>
          </w:tcPr>
          <w:p w14:paraId="5ACD99ED" w14:textId="77777777" w:rsidR="000F34B4" w:rsidRPr="00D05364" w:rsidRDefault="000F34B4" w:rsidP="00200C15">
            <w:pPr>
              <w:tabs>
                <w:tab w:val="left" w:pos="567"/>
              </w:tabs>
              <w:rPr>
                <w:iCs/>
                <w:color w:val="000000"/>
                <w:lang w:eastAsia="lt-LT"/>
              </w:rPr>
            </w:pPr>
            <w:r w:rsidRPr="00D05364">
              <w:rPr>
                <w:iCs/>
                <w:color w:val="000000"/>
                <w:lang w:eastAsia="lt-LT"/>
              </w:rPr>
              <w:t>Vaistų administravimo ir stebėsenos kaštai</w:t>
            </w:r>
          </w:p>
        </w:tc>
        <w:tc>
          <w:tcPr>
            <w:tcW w:w="1422" w:type="dxa"/>
            <w:tcBorders>
              <w:top w:val="single" w:sz="4" w:space="0" w:color="auto"/>
              <w:bottom w:val="single" w:sz="4" w:space="0" w:color="auto"/>
            </w:tcBorders>
          </w:tcPr>
          <w:p w14:paraId="1C9704B2" w14:textId="39AAD521" w:rsidR="000F34B4" w:rsidRPr="00D05364" w:rsidRDefault="00E305D8" w:rsidP="00200C15">
            <w:pPr>
              <w:tabs>
                <w:tab w:val="left" w:pos="567"/>
              </w:tabs>
              <w:jc w:val="both"/>
              <w:rPr>
                <w:i/>
                <w:iCs/>
                <w:lang w:eastAsia="lt-LT"/>
              </w:rPr>
            </w:pPr>
            <w:r>
              <w:rPr>
                <w:i/>
                <w:iCs/>
                <w:lang w:eastAsia="lt-LT"/>
              </w:rPr>
              <w:t>***</w:t>
            </w:r>
          </w:p>
        </w:tc>
        <w:tc>
          <w:tcPr>
            <w:tcW w:w="1430" w:type="dxa"/>
          </w:tcPr>
          <w:p w14:paraId="689BF435" w14:textId="55AE6F89" w:rsidR="000F34B4" w:rsidRPr="00D05364" w:rsidRDefault="00E305D8" w:rsidP="00200C15">
            <w:pPr>
              <w:tabs>
                <w:tab w:val="left" w:pos="567"/>
              </w:tabs>
              <w:jc w:val="both"/>
              <w:rPr>
                <w:i/>
                <w:iCs/>
                <w:lang w:eastAsia="lt-LT"/>
              </w:rPr>
            </w:pPr>
            <w:r>
              <w:rPr>
                <w:i/>
                <w:iCs/>
                <w:lang w:eastAsia="lt-LT"/>
              </w:rPr>
              <w:t>***</w:t>
            </w:r>
          </w:p>
        </w:tc>
        <w:tc>
          <w:tcPr>
            <w:tcW w:w="1923" w:type="dxa"/>
          </w:tcPr>
          <w:p w14:paraId="41F48366" w14:textId="781B058F" w:rsidR="000F34B4" w:rsidRPr="00D05364" w:rsidRDefault="00E305D8" w:rsidP="00200C15">
            <w:pPr>
              <w:tabs>
                <w:tab w:val="left" w:pos="567"/>
              </w:tabs>
              <w:jc w:val="both"/>
              <w:rPr>
                <w:i/>
                <w:iCs/>
                <w:lang w:eastAsia="lt-LT"/>
              </w:rPr>
            </w:pPr>
            <w:r>
              <w:rPr>
                <w:i/>
                <w:iCs/>
                <w:lang w:eastAsia="lt-LT"/>
              </w:rPr>
              <w:t>***</w:t>
            </w:r>
          </w:p>
        </w:tc>
        <w:tc>
          <w:tcPr>
            <w:tcW w:w="1459" w:type="dxa"/>
          </w:tcPr>
          <w:p w14:paraId="5C61BA58" w14:textId="02A374B9" w:rsidR="000F34B4" w:rsidRPr="00D05364" w:rsidRDefault="00E305D8" w:rsidP="00200C15">
            <w:pPr>
              <w:tabs>
                <w:tab w:val="left" w:pos="567"/>
              </w:tabs>
              <w:jc w:val="both"/>
              <w:rPr>
                <w:i/>
                <w:iCs/>
                <w:lang w:eastAsia="lt-LT"/>
              </w:rPr>
            </w:pPr>
            <w:r>
              <w:rPr>
                <w:i/>
                <w:iCs/>
                <w:lang w:eastAsia="lt-LT"/>
              </w:rPr>
              <w:t>***</w:t>
            </w:r>
          </w:p>
        </w:tc>
        <w:tc>
          <w:tcPr>
            <w:tcW w:w="1418" w:type="dxa"/>
            <w:tcBorders>
              <w:top w:val="single" w:sz="4" w:space="0" w:color="auto"/>
              <w:bottom w:val="single" w:sz="4" w:space="0" w:color="auto"/>
            </w:tcBorders>
          </w:tcPr>
          <w:p w14:paraId="2C369717" w14:textId="7F989D3F" w:rsidR="000F34B4" w:rsidRPr="00D05364" w:rsidRDefault="00E305D8" w:rsidP="00200C15">
            <w:pPr>
              <w:tabs>
                <w:tab w:val="left" w:pos="567"/>
              </w:tabs>
              <w:jc w:val="both"/>
              <w:rPr>
                <w:i/>
                <w:iCs/>
                <w:lang w:eastAsia="lt-LT"/>
              </w:rPr>
            </w:pPr>
            <w:r>
              <w:rPr>
                <w:i/>
                <w:iCs/>
                <w:lang w:eastAsia="lt-LT"/>
              </w:rPr>
              <w:t>***</w:t>
            </w:r>
          </w:p>
        </w:tc>
      </w:tr>
      <w:tr w:rsidR="000F34B4" w:rsidRPr="00D05364" w14:paraId="0CF3DC6C" w14:textId="77777777" w:rsidTr="00200C15">
        <w:trPr>
          <w:jc w:val="center"/>
        </w:trPr>
        <w:tc>
          <w:tcPr>
            <w:tcW w:w="2256" w:type="dxa"/>
            <w:tcBorders>
              <w:top w:val="single" w:sz="4" w:space="0" w:color="auto"/>
              <w:bottom w:val="single" w:sz="12" w:space="0" w:color="auto"/>
            </w:tcBorders>
          </w:tcPr>
          <w:p w14:paraId="04D9A64B" w14:textId="77777777" w:rsidR="000F34B4" w:rsidRPr="00D05364" w:rsidRDefault="000F34B4" w:rsidP="00200C15">
            <w:pPr>
              <w:tabs>
                <w:tab w:val="left" w:pos="567"/>
              </w:tabs>
              <w:jc w:val="right"/>
              <w:rPr>
                <w:iCs/>
                <w:lang w:eastAsia="lt-LT"/>
              </w:rPr>
            </w:pPr>
            <w:r>
              <w:rPr>
                <w:iCs/>
                <w:lang w:eastAsia="lt-LT"/>
              </w:rPr>
              <w:t>Viso:</w:t>
            </w:r>
          </w:p>
        </w:tc>
        <w:tc>
          <w:tcPr>
            <w:tcW w:w="1422" w:type="dxa"/>
            <w:tcBorders>
              <w:top w:val="single" w:sz="4" w:space="0" w:color="auto"/>
              <w:bottom w:val="single" w:sz="12" w:space="0" w:color="auto"/>
            </w:tcBorders>
          </w:tcPr>
          <w:p w14:paraId="2CCD41DF" w14:textId="54E2880D" w:rsidR="000F34B4" w:rsidRPr="00D05364" w:rsidRDefault="00E305D8" w:rsidP="00200C15">
            <w:pPr>
              <w:tabs>
                <w:tab w:val="left" w:pos="567"/>
              </w:tabs>
              <w:jc w:val="both"/>
              <w:rPr>
                <w:i/>
                <w:iCs/>
                <w:lang w:eastAsia="lt-LT"/>
              </w:rPr>
            </w:pPr>
            <w:r>
              <w:rPr>
                <w:i/>
                <w:iCs/>
                <w:lang w:eastAsia="lt-LT"/>
              </w:rPr>
              <w:t>***</w:t>
            </w:r>
          </w:p>
        </w:tc>
        <w:tc>
          <w:tcPr>
            <w:tcW w:w="1430" w:type="dxa"/>
            <w:tcBorders>
              <w:bottom w:val="single" w:sz="12" w:space="0" w:color="auto"/>
            </w:tcBorders>
          </w:tcPr>
          <w:p w14:paraId="5964CB72" w14:textId="08280F86" w:rsidR="000F34B4" w:rsidRPr="00D05364" w:rsidRDefault="00E305D8" w:rsidP="00200C15">
            <w:pPr>
              <w:tabs>
                <w:tab w:val="left" w:pos="567"/>
              </w:tabs>
              <w:jc w:val="both"/>
              <w:rPr>
                <w:i/>
                <w:iCs/>
                <w:lang w:eastAsia="lt-LT"/>
              </w:rPr>
            </w:pPr>
            <w:r>
              <w:rPr>
                <w:i/>
                <w:iCs/>
                <w:lang w:eastAsia="lt-LT"/>
              </w:rPr>
              <w:t>***</w:t>
            </w:r>
          </w:p>
        </w:tc>
        <w:tc>
          <w:tcPr>
            <w:tcW w:w="1923" w:type="dxa"/>
            <w:tcBorders>
              <w:bottom w:val="single" w:sz="12" w:space="0" w:color="auto"/>
            </w:tcBorders>
          </w:tcPr>
          <w:p w14:paraId="0ADDC08A" w14:textId="6FD57A1C" w:rsidR="000F34B4" w:rsidRPr="00D05364" w:rsidRDefault="00E305D8" w:rsidP="00200C15">
            <w:pPr>
              <w:tabs>
                <w:tab w:val="left" w:pos="567"/>
              </w:tabs>
              <w:jc w:val="both"/>
              <w:rPr>
                <w:i/>
                <w:iCs/>
                <w:lang w:eastAsia="lt-LT"/>
              </w:rPr>
            </w:pPr>
            <w:r>
              <w:rPr>
                <w:i/>
                <w:iCs/>
                <w:lang w:eastAsia="lt-LT"/>
              </w:rPr>
              <w:t>***</w:t>
            </w:r>
          </w:p>
        </w:tc>
        <w:tc>
          <w:tcPr>
            <w:tcW w:w="1459" w:type="dxa"/>
            <w:tcBorders>
              <w:bottom w:val="single" w:sz="12" w:space="0" w:color="auto"/>
            </w:tcBorders>
          </w:tcPr>
          <w:p w14:paraId="783025BA" w14:textId="44588FF1" w:rsidR="000F34B4" w:rsidRPr="00D05364" w:rsidRDefault="00E305D8" w:rsidP="00200C15">
            <w:pPr>
              <w:tabs>
                <w:tab w:val="left" w:pos="567"/>
              </w:tabs>
              <w:jc w:val="both"/>
              <w:rPr>
                <w:i/>
                <w:iCs/>
                <w:lang w:eastAsia="lt-LT"/>
              </w:rPr>
            </w:pPr>
            <w:r>
              <w:rPr>
                <w:i/>
                <w:iCs/>
                <w:lang w:eastAsia="lt-LT"/>
              </w:rPr>
              <w:t>***</w:t>
            </w:r>
          </w:p>
        </w:tc>
        <w:tc>
          <w:tcPr>
            <w:tcW w:w="1418" w:type="dxa"/>
            <w:tcBorders>
              <w:top w:val="single" w:sz="4" w:space="0" w:color="auto"/>
              <w:bottom w:val="single" w:sz="12" w:space="0" w:color="auto"/>
            </w:tcBorders>
          </w:tcPr>
          <w:p w14:paraId="6A24483B" w14:textId="6BB3167C" w:rsidR="000F34B4" w:rsidRPr="00D05364" w:rsidRDefault="00E305D8" w:rsidP="00200C15">
            <w:pPr>
              <w:tabs>
                <w:tab w:val="left" w:pos="567"/>
              </w:tabs>
              <w:jc w:val="both"/>
              <w:rPr>
                <w:i/>
                <w:iCs/>
                <w:lang w:eastAsia="lt-LT"/>
              </w:rPr>
            </w:pPr>
            <w:r>
              <w:rPr>
                <w:i/>
                <w:iCs/>
                <w:lang w:eastAsia="lt-LT"/>
              </w:rPr>
              <w:t>***</w:t>
            </w:r>
          </w:p>
        </w:tc>
      </w:tr>
    </w:tbl>
    <w:p w14:paraId="33875138" w14:textId="77777777" w:rsidR="0035172D" w:rsidRPr="00E33EFF" w:rsidRDefault="0035172D" w:rsidP="00A93AA6">
      <w:pPr>
        <w:tabs>
          <w:tab w:val="left" w:pos="426"/>
        </w:tabs>
        <w:rPr>
          <w:b/>
          <w:bCs/>
          <w:caps/>
        </w:rPr>
      </w:pPr>
    </w:p>
    <w:p w14:paraId="4FC424F9" w14:textId="4E767245" w:rsidR="00C62B36" w:rsidRPr="00E33EFF" w:rsidRDefault="00C62B36" w:rsidP="00CC09D4">
      <w:pPr>
        <w:pStyle w:val="Sraopastraipa"/>
        <w:numPr>
          <w:ilvl w:val="0"/>
          <w:numId w:val="12"/>
        </w:numPr>
        <w:tabs>
          <w:tab w:val="left" w:pos="567"/>
        </w:tabs>
        <w:ind w:hanging="720"/>
        <w:rPr>
          <w:b/>
          <w:bCs/>
          <w:caps/>
        </w:rPr>
      </w:pPr>
      <w:r w:rsidRPr="00E33EFF">
        <w:rPr>
          <w:b/>
          <w:bCs/>
          <w:caps/>
        </w:rPr>
        <w:t xml:space="preserve">Pacientų organizacijų pateikti duomenys </w:t>
      </w:r>
    </w:p>
    <w:p w14:paraId="79BCFF40" w14:textId="1992DF4A" w:rsidR="00937907" w:rsidRPr="00E33EFF" w:rsidRDefault="00E305D8" w:rsidP="00937907">
      <w:pPr>
        <w:spacing w:after="120"/>
        <w:jc w:val="both"/>
      </w:pPr>
      <w:sdt>
        <w:sdtPr>
          <w:rPr>
            <w:rStyle w:val="Style2"/>
            <w:rFonts w:ascii="MS Gothic" w:eastAsia="MS Gothic" w:hAnsi="MS Gothic"/>
            <w:sz w:val="24"/>
          </w:rPr>
          <w:id w:val="1150014178"/>
          <w15:color w:val="FFCC00"/>
          <w14:checkbox>
            <w14:checked w14:val="0"/>
            <w14:checkedState w14:val="2612" w14:font="MS Gothic"/>
            <w14:uncheckedState w14:val="2610" w14:font="MS Gothic"/>
          </w14:checkbox>
        </w:sdtPr>
        <w:sdtEndPr>
          <w:rPr>
            <w:rStyle w:val="Style2"/>
          </w:rPr>
        </w:sdtEndPr>
        <w:sdtContent>
          <w:r w:rsidR="00937907" w:rsidRPr="00E33EFF">
            <w:rPr>
              <w:rStyle w:val="Style2"/>
              <w:rFonts w:ascii="MS Gothic" w:eastAsia="MS Gothic" w:hAnsi="MS Gothic" w:hint="eastAsia"/>
              <w:sz w:val="24"/>
            </w:rPr>
            <w:t>☐</w:t>
          </w:r>
        </w:sdtContent>
      </w:sdt>
      <w:r w:rsidR="00937907" w:rsidRPr="00E33EFF">
        <w:t xml:space="preserve"> Pacientų organizacijos pozicija pateikta. Žr. priedą.</w:t>
      </w:r>
    </w:p>
    <w:p w14:paraId="62992180" w14:textId="242661E3" w:rsidR="00937907" w:rsidRPr="00E33EFF" w:rsidRDefault="00E305D8" w:rsidP="00937907">
      <w:pPr>
        <w:spacing w:after="120"/>
        <w:jc w:val="both"/>
      </w:pPr>
      <w:sdt>
        <w:sdtPr>
          <w:rPr>
            <w:rStyle w:val="Style2"/>
            <w:rFonts w:ascii="MS Gothic" w:eastAsia="MS Gothic" w:hAnsi="MS Gothic"/>
            <w:sz w:val="24"/>
          </w:rPr>
          <w:id w:val="-1545513810"/>
          <w15:color w:val="FFCC00"/>
          <w14:checkbox>
            <w14:checked w14:val="1"/>
            <w14:checkedState w14:val="2612" w14:font="MS Gothic"/>
            <w14:uncheckedState w14:val="2610" w14:font="MS Gothic"/>
          </w14:checkbox>
        </w:sdtPr>
        <w:sdtEndPr>
          <w:rPr>
            <w:rStyle w:val="Style2"/>
          </w:rPr>
        </w:sdtEndPr>
        <w:sdtContent>
          <w:r w:rsidR="001A6558">
            <w:rPr>
              <w:rStyle w:val="Style2"/>
              <w:rFonts w:ascii="MS Gothic" w:eastAsia="MS Gothic" w:hAnsi="MS Gothic" w:hint="eastAsia"/>
              <w:sz w:val="24"/>
            </w:rPr>
            <w:t>☒</w:t>
          </w:r>
        </w:sdtContent>
      </w:sdt>
      <w:r w:rsidR="00937907" w:rsidRPr="00E33EFF">
        <w:t xml:space="preserve"> Pacientų organizacijos pozicija </w:t>
      </w:r>
      <w:r w:rsidR="00880A44" w:rsidRPr="00E33EFF">
        <w:t>ne</w:t>
      </w:r>
      <w:r w:rsidR="00937907" w:rsidRPr="00E33EFF">
        <w:t>pateikta.</w:t>
      </w:r>
    </w:p>
    <w:p w14:paraId="03E73D82" w14:textId="77777777" w:rsidR="00D417D2" w:rsidRPr="00E33EFF" w:rsidRDefault="00D417D2" w:rsidP="00937907">
      <w:pPr>
        <w:spacing w:after="120"/>
        <w:jc w:val="both"/>
      </w:pPr>
    </w:p>
    <w:p w14:paraId="3D3277FA" w14:textId="3CEEB2D2" w:rsidR="00C62B36" w:rsidRPr="00E33EFF" w:rsidRDefault="00C62B36" w:rsidP="00CC09D4">
      <w:pPr>
        <w:pStyle w:val="Sraopastraipa"/>
        <w:numPr>
          <w:ilvl w:val="0"/>
          <w:numId w:val="12"/>
        </w:numPr>
        <w:tabs>
          <w:tab w:val="left" w:pos="567"/>
        </w:tabs>
        <w:ind w:hanging="720"/>
        <w:rPr>
          <w:b/>
          <w:bCs/>
          <w:caps/>
        </w:rPr>
      </w:pPr>
      <w:r w:rsidRPr="00E33EFF">
        <w:rPr>
          <w:b/>
          <w:bCs/>
          <w:caps/>
        </w:rPr>
        <w:t>Gydytojų organizacijų pateikti duomenys</w:t>
      </w:r>
    </w:p>
    <w:p w14:paraId="389A346C" w14:textId="17184B64" w:rsidR="00937907" w:rsidRPr="00E33EFF" w:rsidRDefault="00E305D8" w:rsidP="00662983">
      <w:pPr>
        <w:spacing w:after="120"/>
        <w:jc w:val="both"/>
      </w:pPr>
      <w:sdt>
        <w:sdtPr>
          <w:rPr>
            <w:rStyle w:val="Style2"/>
            <w:rFonts w:ascii="MS Gothic" w:eastAsia="MS Gothic" w:hAnsi="MS Gothic"/>
            <w:sz w:val="24"/>
          </w:rPr>
          <w:id w:val="1613862788"/>
          <w15:color w:val="FFCC00"/>
          <w14:checkbox>
            <w14:checked w14:val="0"/>
            <w14:checkedState w14:val="2612" w14:font="MS Gothic"/>
            <w14:uncheckedState w14:val="2610" w14:font="MS Gothic"/>
          </w14:checkbox>
        </w:sdtPr>
        <w:sdtEndPr>
          <w:rPr>
            <w:rStyle w:val="Style2"/>
          </w:rPr>
        </w:sdtEndPr>
        <w:sdtContent>
          <w:r w:rsidR="00937907" w:rsidRPr="00E33EFF">
            <w:rPr>
              <w:rStyle w:val="Style2"/>
              <w:rFonts w:ascii="MS Gothic" w:eastAsia="MS Gothic" w:hAnsi="MS Gothic" w:hint="eastAsia"/>
              <w:sz w:val="24"/>
            </w:rPr>
            <w:t>☐</w:t>
          </w:r>
        </w:sdtContent>
      </w:sdt>
      <w:r w:rsidR="00662983" w:rsidRPr="00E33EFF">
        <w:t xml:space="preserve"> </w:t>
      </w:r>
      <w:r w:rsidR="00937907" w:rsidRPr="00E33EFF">
        <w:t xml:space="preserve">Gydytojų specialistų organizacijos pozicija pateikta. </w:t>
      </w:r>
      <w:r w:rsidR="00662983" w:rsidRPr="00E33EFF">
        <w:t>Žr. priedą</w:t>
      </w:r>
      <w:r w:rsidR="00937907" w:rsidRPr="00E33EFF">
        <w:t>.</w:t>
      </w:r>
    </w:p>
    <w:p w14:paraId="5D8CC48C" w14:textId="018B4DCC" w:rsidR="00662983" w:rsidRPr="00E33EFF" w:rsidRDefault="00E305D8" w:rsidP="00662983">
      <w:pPr>
        <w:spacing w:after="120"/>
        <w:jc w:val="both"/>
      </w:pPr>
      <w:sdt>
        <w:sdtPr>
          <w:rPr>
            <w:rStyle w:val="Style2"/>
            <w:rFonts w:ascii="MS Gothic" w:eastAsia="MS Gothic" w:hAnsi="MS Gothic"/>
            <w:sz w:val="24"/>
          </w:rPr>
          <w:id w:val="-41988141"/>
          <w15:color w:val="FFCC00"/>
          <w14:checkbox>
            <w14:checked w14:val="1"/>
            <w14:checkedState w14:val="2612" w14:font="MS Gothic"/>
            <w14:uncheckedState w14:val="2610" w14:font="MS Gothic"/>
          </w14:checkbox>
        </w:sdtPr>
        <w:sdtEndPr>
          <w:rPr>
            <w:rStyle w:val="Style2"/>
          </w:rPr>
        </w:sdtEndPr>
        <w:sdtContent>
          <w:r w:rsidR="001A6558">
            <w:rPr>
              <w:rStyle w:val="Style2"/>
              <w:rFonts w:ascii="MS Gothic" w:eastAsia="MS Gothic" w:hAnsi="MS Gothic" w:hint="eastAsia"/>
              <w:sz w:val="24"/>
            </w:rPr>
            <w:t>☒</w:t>
          </w:r>
        </w:sdtContent>
      </w:sdt>
      <w:r w:rsidR="00662983" w:rsidRPr="00E33EFF">
        <w:t xml:space="preserve"> </w:t>
      </w:r>
      <w:r w:rsidR="00937907" w:rsidRPr="00E33EFF">
        <w:t xml:space="preserve">Gydytojų specialistų organizacijos pozicija </w:t>
      </w:r>
      <w:r w:rsidR="00880A44" w:rsidRPr="00E33EFF">
        <w:t>ne</w:t>
      </w:r>
      <w:r w:rsidR="00937907" w:rsidRPr="00E33EFF">
        <w:t>pateikta.</w:t>
      </w:r>
    </w:p>
    <w:p w14:paraId="3701D46A" w14:textId="77777777" w:rsidR="00A042B9" w:rsidRPr="00E33EFF" w:rsidRDefault="00A042B9" w:rsidP="00662983">
      <w:pPr>
        <w:spacing w:after="120"/>
        <w:jc w:val="both"/>
      </w:pPr>
    </w:p>
    <w:p w14:paraId="78F23ECB" w14:textId="23A3A002" w:rsidR="002F0E4F" w:rsidRPr="00E33EFF" w:rsidRDefault="002F0E4F" w:rsidP="00CC09D4">
      <w:pPr>
        <w:pStyle w:val="Sraopastraipa"/>
        <w:numPr>
          <w:ilvl w:val="0"/>
          <w:numId w:val="12"/>
        </w:numPr>
        <w:tabs>
          <w:tab w:val="left" w:pos="567"/>
        </w:tabs>
        <w:ind w:hanging="720"/>
        <w:rPr>
          <w:b/>
          <w:bCs/>
          <w:caps/>
        </w:rPr>
      </w:pPr>
      <w:r w:rsidRPr="00E33EFF">
        <w:rPr>
          <w:b/>
          <w:bCs/>
          <w:caps/>
        </w:rPr>
        <w:t xml:space="preserve">Išvada </w:t>
      </w:r>
    </w:p>
    <w:p w14:paraId="08D5B3B6" w14:textId="7D5B1F04" w:rsidR="0061611B" w:rsidRDefault="0061611B" w:rsidP="0061611B">
      <w:pPr>
        <w:rPr>
          <w:i/>
          <w:color w:val="00B050"/>
          <w:szCs w:val="22"/>
        </w:rPr>
      </w:pPr>
    </w:p>
    <w:p w14:paraId="2BC1DB29" w14:textId="77777777" w:rsidR="000F34B4" w:rsidRPr="00E33EFF" w:rsidRDefault="000F34B4" w:rsidP="0061611B">
      <w:pPr>
        <w:rPr>
          <w:i/>
          <w:color w:val="00B050"/>
          <w:szCs w:val="22"/>
        </w:rPr>
      </w:pPr>
    </w:p>
    <w:tbl>
      <w:tblPr>
        <w:tblStyle w:val="Lentelstinklelis"/>
        <w:tblW w:w="0" w:type="auto"/>
        <w:tblLook w:val="04A0" w:firstRow="1" w:lastRow="0" w:firstColumn="1" w:lastColumn="0" w:noHBand="0" w:noVBand="1"/>
      </w:tblPr>
      <w:tblGrid>
        <w:gridCol w:w="4815"/>
        <w:gridCol w:w="4814"/>
      </w:tblGrid>
      <w:tr w:rsidR="00B13D65" w:rsidRPr="00E33EFF" w14:paraId="25A2473E" w14:textId="77777777" w:rsidTr="00C16245">
        <w:trPr>
          <w:trHeight w:val="510"/>
        </w:trPr>
        <w:tc>
          <w:tcPr>
            <w:tcW w:w="4815" w:type="dxa"/>
            <w:vAlign w:val="center"/>
          </w:tcPr>
          <w:p w14:paraId="7EFE6941" w14:textId="23B8BB6D" w:rsidR="00B13D65"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b/>
                <w:bCs/>
                <w:sz w:val="24"/>
              </w:rPr>
            </w:pPr>
            <w:r w:rsidRPr="00E33EFF">
              <w:rPr>
                <w:rStyle w:val="Style2"/>
                <w:rFonts w:eastAsia="MS Gothic"/>
                <w:b/>
                <w:bCs/>
                <w:sz w:val="24"/>
              </w:rPr>
              <w:t>Rekomenduojama kompensuoti</w:t>
            </w:r>
          </w:p>
        </w:tc>
        <w:tc>
          <w:tcPr>
            <w:tcW w:w="4814" w:type="dxa"/>
            <w:vAlign w:val="center"/>
          </w:tcPr>
          <w:p w14:paraId="330A1A5E" w14:textId="19247DC1" w:rsidR="00B13D65"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b/>
                <w:bCs/>
                <w:sz w:val="24"/>
              </w:rPr>
            </w:pPr>
            <w:r w:rsidRPr="00E33EFF">
              <w:rPr>
                <w:rStyle w:val="Style2"/>
                <w:rFonts w:eastAsia="MS Gothic"/>
                <w:b/>
                <w:bCs/>
                <w:sz w:val="24"/>
              </w:rPr>
              <w:t xml:space="preserve">Rekomenduojama nekompensuoti </w:t>
            </w:r>
          </w:p>
        </w:tc>
      </w:tr>
      <w:tr w:rsidR="00B13D65" w:rsidRPr="00E33EFF" w14:paraId="143A7356" w14:textId="77777777" w:rsidTr="00C16245">
        <w:trPr>
          <w:trHeight w:val="510"/>
        </w:trPr>
        <w:tc>
          <w:tcPr>
            <w:tcW w:w="9629" w:type="dxa"/>
            <w:gridSpan w:val="2"/>
            <w:vAlign w:val="center"/>
          </w:tcPr>
          <w:p w14:paraId="0AF5D6B4" w14:textId="6D8B6C59" w:rsidR="00B13D65" w:rsidRPr="00E33EFF" w:rsidRDefault="00B13D65" w:rsidP="00C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E33EFF">
              <w:rPr>
                <w:rStyle w:val="Style2"/>
                <w:rFonts w:eastAsia="MS Gothic"/>
                <w:b/>
                <w:bCs/>
                <w:sz w:val="24"/>
              </w:rPr>
              <w:t>Palyginamasis efektyvumas</w:t>
            </w:r>
          </w:p>
        </w:tc>
      </w:tr>
      <w:tr w:rsidR="00B13D65" w:rsidRPr="00E33EFF" w14:paraId="28A0C814" w14:textId="77777777" w:rsidTr="0061611B">
        <w:tc>
          <w:tcPr>
            <w:tcW w:w="4815" w:type="dxa"/>
          </w:tcPr>
          <w:p w14:paraId="216769B5" w14:textId="7CAA5A6F" w:rsidR="00B13D65" w:rsidRPr="00E33EFF" w:rsidRDefault="00E305D8"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97324644"/>
                <w15:color w:val="FFCC00"/>
                <w14:checkbox>
                  <w14:checked w14:val="0"/>
                  <w14:checkedState w14:val="2612" w14:font="MS Gothic"/>
                  <w14:uncheckedState w14:val="2610" w14:font="MS Gothic"/>
                </w14:checkbox>
              </w:sdtPr>
              <w:sdtEndPr>
                <w:rPr>
                  <w:rStyle w:val="Style2"/>
                </w:rPr>
              </w:sdtEndPr>
              <w:sdtContent>
                <w:r w:rsidR="00B13D65" w:rsidRPr="00E33EFF">
                  <w:rPr>
                    <w:rStyle w:val="Style2"/>
                    <w:rFonts w:ascii="Segoe UI Symbol" w:eastAsia="MS Gothic" w:hAnsi="Segoe UI Symbol" w:cs="Segoe UI Symbol"/>
                    <w:sz w:val="24"/>
                  </w:rPr>
                  <w:t>☐</w:t>
                </w:r>
              </w:sdtContent>
            </w:sdt>
            <w:r w:rsidR="00B13D65" w:rsidRPr="00E33EFF">
              <w:t xml:space="preserve"> 32.1. yra didesnis</w:t>
            </w:r>
          </w:p>
          <w:p w14:paraId="3B48F372"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74F18D4" w14:textId="644F74D3" w:rsidR="00B13D65" w:rsidRPr="00E33EFF" w:rsidRDefault="00E305D8" w:rsidP="000F34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sz w:val="24"/>
              </w:rPr>
            </w:pPr>
            <w:sdt>
              <w:sdtPr>
                <w:rPr>
                  <w:rStyle w:val="Style2"/>
                  <w:sz w:val="24"/>
                </w:rPr>
                <w:id w:val="418297090"/>
                <w15:color w:val="FFCC00"/>
                <w14:checkbox>
                  <w14:checked w14:val="1"/>
                  <w14:checkedState w14:val="2612" w14:font="MS Gothic"/>
                  <w14:uncheckedState w14:val="2610" w14:font="MS Gothic"/>
                </w14:checkbox>
              </w:sdtPr>
              <w:sdtEndPr>
                <w:rPr>
                  <w:rStyle w:val="Style2"/>
                </w:rPr>
              </w:sdtEndPr>
              <w:sdtContent>
                <w:r w:rsidR="001A6558">
                  <w:rPr>
                    <w:rStyle w:val="Style2"/>
                    <w:rFonts w:ascii="MS Gothic" w:eastAsia="MS Gothic" w:hAnsi="MS Gothic" w:hint="eastAsia"/>
                    <w:sz w:val="24"/>
                  </w:rPr>
                  <w:t>☒</w:t>
                </w:r>
              </w:sdtContent>
            </w:sdt>
            <w:r w:rsidR="00B13D65" w:rsidRPr="00E33EFF">
              <w:t xml:space="preserve"> 32.1. iš esmės nesiskiria</w:t>
            </w:r>
          </w:p>
        </w:tc>
        <w:tc>
          <w:tcPr>
            <w:tcW w:w="4814" w:type="dxa"/>
          </w:tcPr>
          <w:p w14:paraId="507828D9" w14:textId="1214618D" w:rsidR="00B13D65" w:rsidRPr="00E33EFF" w:rsidRDefault="00E305D8"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724755596"/>
                <w15:color w:val="FFCC00"/>
                <w14:checkbox>
                  <w14:checked w14:val="0"/>
                  <w14:checkedState w14:val="2612" w14:font="MS Gothic"/>
                  <w14:uncheckedState w14:val="2610" w14:font="MS Gothic"/>
                </w14:checkbox>
              </w:sdtPr>
              <w:sdtEndPr>
                <w:rPr>
                  <w:rStyle w:val="Style2"/>
                </w:rPr>
              </w:sdtEndPr>
              <w:sdtContent>
                <w:r w:rsidR="00B13D65" w:rsidRPr="00E33EFF">
                  <w:rPr>
                    <w:rStyle w:val="Style2"/>
                    <w:rFonts w:ascii="Segoe UI Symbol" w:eastAsia="MS Gothic" w:hAnsi="Segoe UI Symbol" w:cs="Segoe UI Symbol"/>
                    <w:sz w:val="24"/>
                  </w:rPr>
                  <w:t>☐</w:t>
                </w:r>
              </w:sdtContent>
            </w:sdt>
            <w:r w:rsidR="00B13D65" w:rsidRPr="00E33EFF">
              <w:t xml:space="preserve"> 33.1. yra mažesnis</w:t>
            </w:r>
          </w:p>
          <w:p w14:paraId="7F95DEEC"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680682B8" w14:textId="5BE056C4" w:rsidR="00662983" w:rsidRPr="00E33EFF" w:rsidRDefault="00E305D8"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862168479"/>
                <w15:color w:val="FFCC00"/>
                <w14:checkbox>
                  <w14:checked w14:val="0"/>
                  <w14:checkedState w14:val="2612" w14:font="MS Gothic"/>
                  <w14:uncheckedState w14:val="2610" w14:font="MS Gothic"/>
                </w14:checkbox>
              </w:sdtPr>
              <w:sdtEndPr>
                <w:rPr>
                  <w:rStyle w:val="Style2"/>
                </w:rPr>
              </w:sdtEndPr>
              <w:sdtContent>
                <w:r w:rsidR="00B13D65" w:rsidRPr="00E33EFF">
                  <w:rPr>
                    <w:rStyle w:val="Style2"/>
                    <w:rFonts w:ascii="Segoe UI Symbol" w:eastAsia="MS Gothic" w:hAnsi="Segoe UI Symbol" w:cs="Segoe UI Symbol"/>
                    <w:sz w:val="24"/>
                  </w:rPr>
                  <w:t>☐</w:t>
                </w:r>
              </w:sdtContent>
            </w:sdt>
            <w:r w:rsidR="00B13D65" w:rsidRPr="00E33EFF">
              <w:t xml:space="preserve"> 33.1. yra neįrodytas kaip toks pat</w:t>
            </w:r>
          </w:p>
          <w:p w14:paraId="35205E85"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CC3F0A3" w14:textId="36A631A5" w:rsidR="00B13D65" w:rsidRPr="00E33EFF" w:rsidRDefault="00E305D8"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857960180"/>
                <w15:color w:val="FFCC00"/>
                <w14:checkbox>
                  <w14:checked w14:val="0"/>
                  <w14:checkedState w14:val="2612" w14:font="MS Gothic"/>
                  <w14:uncheckedState w14:val="2610" w14:font="MS Gothic"/>
                </w14:checkbox>
              </w:sdtPr>
              <w:sdtEndPr>
                <w:rPr>
                  <w:rStyle w:val="Style2"/>
                </w:rPr>
              </w:sdtEndPr>
              <w:sdtContent>
                <w:r w:rsidR="00662983" w:rsidRPr="00E33EFF">
                  <w:rPr>
                    <w:rStyle w:val="Style2"/>
                    <w:rFonts w:ascii="Segoe UI Symbol" w:eastAsia="MS Gothic" w:hAnsi="Segoe UI Symbol" w:cs="Segoe UI Symbol"/>
                    <w:sz w:val="24"/>
                  </w:rPr>
                  <w:t>☐</w:t>
                </w:r>
              </w:sdtContent>
            </w:sdt>
            <w:r w:rsidR="00662983" w:rsidRPr="00E33EFF">
              <w:t xml:space="preserve"> 33.1 </w:t>
            </w:r>
            <w:r w:rsidR="00B00959" w:rsidRPr="00E33EFF">
              <w:t xml:space="preserve">yra </w:t>
            </w:r>
            <w:r w:rsidR="00B13D65" w:rsidRPr="00E33EFF">
              <w:t>neįrodytas kaip didesnis</w:t>
            </w:r>
          </w:p>
          <w:p w14:paraId="512E653B"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73F374F4" w14:textId="77777777" w:rsidR="00B13D65" w:rsidRPr="00E33EFF" w:rsidRDefault="00E305D8"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2069842114"/>
                <w15:color w:val="FFCC00"/>
                <w14:checkbox>
                  <w14:checked w14:val="0"/>
                  <w14:checkedState w14:val="2612" w14:font="MS Gothic"/>
                  <w14:uncheckedState w14:val="2610" w14:font="MS Gothic"/>
                </w14:checkbox>
              </w:sdtPr>
              <w:sdtEndPr>
                <w:rPr>
                  <w:rStyle w:val="Style2"/>
                </w:rPr>
              </w:sdtEndPr>
              <w:sdtContent>
                <w:r w:rsidR="00B13D65" w:rsidRPr="00E33EFF">
                  <w:rPr>
                    <w:rStyle w:val="Style2"/>
                    <w:rFonts w:ascii="Segoe UI Symbol" w:eastAsia="MS Gothic" w:hAnsi="Segoe UI Symbol" w:cs="Segoe UI Symbol"/>
                    <w:sz w:val="24"/>
                  </w:rPr>
                  <w:t>☐</w:t>
                </w:r>
              </w:sdtContent>
            </w:sdt>
            <w:r w:rsidR="00B13D65" w:rsidRPr="00E33EFF">
              <w:t xml:space="preserve"> 33.1. pateikti duomenys apie palyginamąjį efektyvumą yra netinkami vertinti</w:t>
            </w:r>
          </w:p>
          <w:p w14:paraId="5DDAA961" w14:textId="77777777" w:rsidR="00B13D65" w:rsidRPr="00E33EFF"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r w:rsidR="00B13D65" w:rsidRPr="00E33EFF" w14:paraId="161CC3FE" w14:textId="77777777" w:rsidTr="00C16245">
        <w:trPr>
          <w:trHeight w:val="510"/>
        </w:trPr>
        <w:tc>
          <w:tcPr>
            <w:tcW w:w="9629" w:type="dxa"/>
            <w:gridSpan w:val="2"/>
            <w:vAlign w:val="center"/>
          </w:tcPr>
          <w:p w14:paraId="1AB46894" w14:textId="3E765638" w:rsidR="00B13D65" w:rsidRPr="00E33EFF" w:rsidRDefault="00B13D65" w:rsidP="00C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E33EFF">
              <w:rPr>
                <w:rStyle w:val="Style2"/>
                <w:rFonts w:eastAsia="MS Gothic"/>
                <w:b/>
                <w:bCs/>
                <w:sz w:val="24"/>
              </w:rPr>
              <w:lastRenderedPageBreak/>
              <w:t>Klinikinis veiksmingumas</w:t>
            </w:r>
          </w:p>
        </w:tc>
      </w:tr>
      <w:tr w:rsidR="00B13D65" w:rsidRPr="00E33EFF" w14:paraId="3C60570A" w14:textId="77777777" w:rsidTr="0061611B">
        <w:tc>
          <w:tcPr>
            <w:tcW w:w="4815" w:type="dxa"/>
          </w:tcPr>
          <w:p w14:paraId="6897B306" w14:textId="70C15EA4" w:rsidR="00B13D65" w:rsidRPr="00E33EFF" w:rsidRDefault="00E305D8"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481080007"/>
                <w15:color w:val="FFCC00"/>
                <w14:checkbox>
                  <w14:checked w14:val="0"/>
                  <w14:checkedState w14:val="2612" w14:font="MS Gothic"/>
                  <w14:uncheckedState w14:val="2610" w14:font="MS Gothic"/>
                </w14:checkbox>
              </w:sdtPr>
              <w:sdtEndPr>
                <w:rPr>
                  <w:rStyle w:val="Style2"/>
                </w:rPr>
              </w:sdtEndPr>
              <w:sdtContent>
                <w:r w:rsidR="00B13D65" w:rsidRPr="00E33EFF">
                  <w:rPr>
                    <w:rStyle w:val="Style2"/>
                    <w:rFonts w:ascii="Segoe UI Symbol" w:eastAsia="MS Gothic" w:hAnsi="Segoe UI Symbol" w:cs="Segoe UI Symbol"/>
                    <w:sz w:val="24"/>
                  </w:rPr>
                  <w:t>☐</w:t>
                </w:r>
              </w:sdtContent>
            </w:sdt>
            <w:r w:rsidR="00B13D65" w:rsidRPr="00E33EFF">
              <w:t xml:space="preserve"> 32.2. yra įvertintas kaip pagrindžiantis papildomos naudos pacientų sveikatai sukūrimą, lyginant su įprasta klinikine praktika</w:t>
            </w:r>
          </w:p>
          <w:p w14:paraId="71D57105"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EBBDF86" w14:textId="0B8D7A68" w:rsidR="00B13D65" w:rsidRPr="00E33EFF" w:rsidRDefault="00E305D8"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862061586"/>
                <w15:color w:val="FFCC00"/>
                <w14:checkbox>
                  <w14:checked w14:val="1"/>
                  <w14:checkedState w14:val="2612" w14:font="MS Gothic"/>
                  <w14:uncheckedState w14:val="2610" w14:font="MS Gothic"/>
                </w14:checkbox>
              </w:sdtPr>
              <w:sdtEndPr>
                <w:rPr>
                  <w:rStyle w:val="Style2"/>
                </w:rPr>
              </w:sdtEndPr>
              <w:sdtContent>
                <w:r w:rsidR="001A6558">
                  <w:rPr>
                    <w:rStyle w:val="Style2"/>
                    <w:rFonts w:ascii="MS Gothic" w:eastAsia="MS Gothic" w:hAnsi="MS Gothic" w:hint="eastAsia"/>
                    <w:sz w:val="24"/>
                  </w:rPr>
                  <w:t>☒</w:t>
                </w:r>
              </w:sdtContent>
            </w:sdt>
            <w:r w:rsidR="00B13D65" w:rsidRPr="00E33EFF">
              <w:t xml:space="preserve"> 32.2. </w:t>
            </w:r>
            <w:r w:rsidR="00B00959" w:rsidRPr="00E33EFF">
              <w:t xml:space="preserve">yra </w:t>
            </w:r>
            <w:r w:rsidR="00B13D65" w:rsidRPr="00E33EFF">
              <w:t>įvertintas kaip pagrindžiantis nesiskiriančios naudos pacientų sveikatai sukūrimą, lyginant su įprasta klinikine praktika</w:t>
            </w:r>
          </w:p>
          <w:p w14:paraId="287AD233" w14:textId="77777777" w:rsidR="00B13D65" w:rsidRPr="00E33EFF"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c>
          <w:tcPr>
            <w:tcW w:w="4814" w:type="dxa"/>
          </w:tcPr>
          <w:p w14:paraId="74A2DECF" w14:textId="682BFC3B" w:rsidR="00662983" w:rsidRPr="00E33EFF" w:rsidRDefault="00E305D8" w:rsidP="00662983">
            <w:pPr>
              <w:jc w:val="both"/>
            </w:pPr>
            <w:sdt>
              <w:sdtPr>
                <w:rPr>
                  <w:rStyle w:val="Style2"/>
                  <w:sz w:val="24"/>
                </w:rPr>
                <w:id w:val="-1034573056"/>
                <w15:color w:val="FFCC00"/>
                <w14:checkbox>
                  <w14:checked w14:val="0"/>
                  <w14:checkedState w14:val="2612" w14:font="MS Gothic"/>
                  <w14:uncheckedState w14:val="2610" w14:font="MS Gothic"/>
                </w14:checkbox>
              </w:sdtPr>
              <w:sdtEndPr>
                <w:rPr>
                  <w:rStyle w:val="Style2"/>
                </w:rPr>
              </w:sdtEndPr>
              <w:sdtContent>
                <w:r w:rsidR="00B13D65" w:rsidRPr="00E33EFF">
                  <w:rPr>
                    <w:rStyle w:val="Style2"/>
                    <w:rFonts w:ascii="Segoe UI Symbol" w:eastAsia="MS Gothic" w:hAnsi="Segoe UI Symbol" w:cs="Segoe UI Symbol"/>
                    <w:sz w:val="24"/>
                  </w:rPr>
                  <w:t>☐</w:t>
                </w:r>
              </w:sdtContent>
            </w:sdt>
            <w:r w:rsidR="00B13D65" w:rsidRPr="00E33EFF">
              <w:t xml:space="preserve"> 33.1. yra įvertintas kaip nepagrindžiantis papildomos </w:t>
            </w:r>
            <w:r w:rsidR="00662983" w:rsidRPr="00E33EFF">
              <w:t>naudos pacientų sveikatai sukūrimo, lyginant su  įprasta klinikine praktika</w:t>
            </w:r>
          </w:p>
          <w:p w14:paraId="6C70BCFC" w14:textId="77777777" w:rsidR="00662983" w:rsidRPr="00E33EFF" w:rsidRDefault="00662983" w:rsidP="00BD1E5A">
            <w:pPr>
              <w:jc w:val="both"/>
            </w:pPr>
          </w:p>
          <w:p w14:paraId="0ADEC30D" w14:textId="1353964F" w:rsidR="00B13D65" w:rsidRPr="00E33EFF" w:rsidRDefault="00E305D8" w:rsidP="00BD1E5A">
            <w:pPr>
              <w:jc w:val="both"/>
            </w:pPr>
            <w:sdt>
              <w:sdtPr>
                <w:rPr>
                  <w:rStyle w:val="Style2"/>
                  <w:sz w:val="24"/>
                </w:rPr>
                <w:id w:val="1289549109"/>
                <w15:color w:val="FFCC00"/>
                <w14:checkbox>
                  <w14:checked w14:val="0"/>
                  <w14:checkedState w14:val="2612" w14:font="MS Gothic"/>
                  <w14:uncheckedState w14:val="2610" w14:font="MS Gothic"/>
                </w14:checkbox>
              </w:sdtPr>
              <w:sdtEndPr>
                <w:rPr>
                  <w:rStyle w:val="Style2"/>
                </w:rPr>
              </w:sdtEndPr>
              <w:sdtContent>
                <w:r w:rsidR="00662983" w:rsidRPr="00E33EFF">
                  <w:rPr>
                    <w:rStyle w:val="Style2"/>
                    <w:rFonts w:ascii="Segoe UI Symbol" w:eastAsia="MS Gothic" w:hAnsi="Segoe UI Symbol" w:cs="Segoe UI Symbol"/>
                    <w:sz w:val="24"/>
                  </w:rPr>
                  <w:t>☐</w:t>
                </w:r>
              </w:sdtContent>
            </w:sdt>
            <w:r w:rsidR="00B13D65" w:rsidRPr="00E33EFF">
              <w:t xml:space="preserve"> </w:t>
            </w:r>
            <w:r w:rsidR="00662983" w:rsidRPr="00E33EFF">
              <w:t xml:space="preserve">33.1. </w:t>
            </w:r>
            <w:r w:rsidR="00B00959" w:rsidRPr="00E33EFF">
              <w:t xml:space="preserve">yra įvertintas kaip nepagrindžiantis </w:t>
            </w:r>
            <w:r w:rsidR="00B13D65" w:rsidRPr="00E33EFF">
              <w:t>nesiskiriančios naudos pacientų sveikatai sukūrimo, lyginant su įprasta klinikine praktika</w:t>
            </w:r>
          </w:p>
          <w:p w14:paraId="1EED7901" w14:textId="77777777" w:rsidR="00B13D65" w:rsidRPr="00E33EFF"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747E672" w14:textId="77777777" w:rsidR="00B13D65" w:rsidRPr="00E33EFF"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r w:rsidR="00B13D65" w:rsidRPr="00E33EFF" w14:paraId="1C75AE76" w14:textId="77777777" w:rsidTr="00C16245">
        <w:trPr>
          <w:trHeight w:val="510"/>
        </w:trPr>
        <w:tc>
          <w:tcPr>
            <w:tcW w:w="9629" w:type="dxa"/>
            <w:gridSpan w:val="2"/>
            <w:vAlign w:val="center"/>
          </w:tcPr>
          <w:p w14:paraId="0247EDAD" w14:textId="7FBBB759" w:rsidR="00B13D65" w:rsidRPr="00E33EFF" w:rsidRDefault="00B13D65" w:rsidP="00C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E33EFF">
              <w:rPr>
                <w:rStyle w:val="Style2"/>
                <w:rFonts w:eastAsia="MS Gothic"/>
                <w:b/>
                <w:bCs/>
                <w:sz w:val="24"/>
              </w:rPr>
              <w:t>Kaštų naudingumas</w:t>
            </w:r>
          </w:p>
        </w:tc>
      </w:tr>
      <w:tr w:rsidR="00B13D65" w:rsidRPr="00E33EFF" w14:paraId="7091A05B" w14:textId="77777777" w:rsidTr="0061611B">
        <w:tc>
          <w:tcPr>
            <w:tcW w:w="4815" w:type="dxa"/>
          </w:tcPr>
          <w:p w14:paraId="69B2A994" w14:textId="3BCE0B8D" w:rsidR="00B13D65" w:rsidRPr="00E33EFF" w:rsidRDefault="00E305D8"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975984416"/>
                <w15:color w:val="FFCC00"/>
                <w14:checkbox>
                  <w14:checked w14:val="0"/>
                  <w14:checkedState w14:val="2612" w14:font="MS Gothic"/>
                  <w14:uncheckedState w14:val="2610" w14:font="MS Gothic"/>
                </w14:checkbox>
              </w:sdtPr>
              <w:sdtEndPr>
                <w:rPr>
                  <w:rStyle w:val="Style2"/>
                </w:rPr>
              </w:sdtEndPr>
              <w:sdtContent>
                <w:r w:rsidR="00A06DBB" w:rsidRPr="00E33EFF">
                  <w:rPr>
                    <w:rStyle w:val="Style2"/>
                    <w:rFonts w:ascii="MS Gothic" w:eastAsia="MS Gothic" w:hAnsi="MS Gothic" w:hint="eastAsia"/>
                    <w:sz w:val="24"/>
                  </w:rPr>
                  <w:t>☐</w:t>
                </w:r>
              </w:sdtContent>
            </w:sdt>
            <w:r w:rsidR="00B13D65" w:rsidRPr="00E33EFF">
              <w:t xml:space="preserve"> 32.3. atitinka referencinę naudingumo vertę, netaikant PGS</w:t>
            </w:r>
          </w:p>
          <w:p w14:paraId="3F76F153"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062072E7" w14:textId="257B957F" w:rsidR="00B13D65" w:rsidRPr="00E33EFF" w:rsidRDefault="00E305D8"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sdt>
              <w:sdtPr>
                <w:rPr>
                  <w:rStyle w:val="Style2"/>
                  <w:sz w:val="24"/>
                </w:rPr>
                <w:id w:val="-1308081728"/>
                <w15:color w:val="FFCC00"/>
                <w14:checkbox>
                  <w14:checked w14:val="0"/>
                  <w14:checkedState w14:val="2612" w14:font="MS Gothic"/>
                  <w14:uncheckedState w14:val="2610" w14:font="MS Gothic"/>
                </w14:checkbox>
              </w:sdtPr>
              <w:sdtEndPr>
                <w:rPr>
                  <w:rStyle w:val="Style2"/>
                </w:rPr>
              </w:sdtEndPr>
              <w:sdtContent>
                <w:r w:rsidR="00B13D65" w:rsidRPr="00E33EFF">
                  <w:rPr>
                    <w:rStyle w:val="Style2"/>
                    <w:rFonts w:ascii="Segoe UI Symbol" w:eastAsia="MS Gothic" w:hAnsi="Segoe UI Symbol" w:cs="Segoe UI Symbol"/>
                    <w:sz w:val="24"/>
                  </w:rPr>
                  <w:t>☐</w:t>
                </w:r>
              </w:sdtContent>
            </w:sdt>
            <w:r w:rsidR="00B13D65" w:rsidRPr="00E33EFF">
              <w:t xml:space="preserve"> 32.3. gydymo juo kaštai yra mažesni ar tokie patys esant iš esmės nesiskiriančiam palyginamajam efektyvumui, netaikant PGS</w:t>
            </w:r>
            <w:r w:rsidR="00B00959" w:rsidRPr="00E33EFF">
              <w:t>, lyginant su įprasta klinikine praktika</w:t>
            </w:r>
          </w:p>
          <w:p w14:paraId="25E4BD1E" w14:textId="77777777" w:rsidR="00B13D65" w:rsidRPr="00E33EFF"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c>
          <w:tcPr>
            <w:tcW w:w="4814" w:type="dxa"/>
          </w:tcPr>
          <w:p w14:paraId="53380063" w14:textId="5EB8488A" w:rsidR="00B13D65" w:rsidRPr="00E33EFF" w:rsidRDefault="00E305D8"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65405113"/>
                <w15:color w:val="FFCC00"/>
                <w14:checkbox>
                  <w14:checked w14:val="0"/>
                  <w14:checkedState w14:val="2612" w14:font="MS Gothic"/>
                  <w14:uncheckedState w14:val="2610" w14:font="MS Gothic"/>
                </w14:checkbox>
              </w:sdtPr>
              <w:sdtEndPr>
                <w:rPr>
                  <w:rStyle w:val="Style2"/>
                </w:rPr>
              </w:sdtEndPr>
              <w:sdtContent>
                <w:r w:rsidR="00B13D65" w:rsidRPr="00E33EFF">
                  <w:rPr>
                    <w:rStyle w:val="Style2"/>
                    <w:rFonts w:ascii="Segoe UI Symbol" w:eastAsia="MS Gothic" w:hAnsi="Segoe UI Symbol" w:cs="Segoe UI Symbol"/>
                    <w:sz w:val="24"/>
                  </w:rPr>
                  <w:t>☐</w:t>
                </w:r>
              </w:sdtContent>
            </w:sdt>
            <w:r w:rsidR="00B13D65" w:rsidRPr="00E33EFF">
              <w:t xml:space="preserve"> 33.3. neatitinka referencinės naudingumo vertės Lietuvos Respublikoje</w:t>
            </w:r>
          </w:p>
          <w:p w14:paraId="229ED51A"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673C3A9" w14:textId="77569787" w:rsidR="00B13D65" w:rsidRPr="00E33EFF" w:rsidRDefault="00E305D8"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sdt>
              <w:sdtPr>
                <w:rPr>
                  <w:rStyle w:val="Style2"/>
                  <w:sz w:val="24"/>
                </w:rPr>
                <w:id w:val="-1135473618"/>
                <w15:color w:val="FFCC00"/>
                <w14:checkbox>
                  <w14:checked w14:val="1"/>
                  <w14:checkedState w14:val="2612" w14:font="MS Gothic"/>
                  <w14:uncheckedState w14:val="2610" w14:font="MS Gothic"/>
                </w14:checkbox>
              </w:sdtPr>
              <w:sdtEndPr>
                <w:rPr>
                  <w:rStyle w:val="Style2"/>
                </w:rPr>
              </w:sdtEndPr>
              <w:sdtContent>
                <w:r w:rsidR="000F34B4">
                  <w:rPr>
                    <w:rStyle w:val="Style2"/>
                    <w:rFonts w:ascii="MS Gothic" w:eastAsia="MS Gothic" w:hAnsi="MS Gothic" w:hint="eastAsia"/>
                    <w:sz w:val="24"/>
                  </w:rPr>
                  <w:t>☒</w:t>
                </w:r>
              </w:sdtContent>
            </w:sdt>
            <w:r w:rsidR="00B13D65" w:rsidRPr="00E33EFF">
              <w:t xml:space="preserve"> 33.3. gydymo juo kaštai yra didesni esant iš esmės nesiskiriančiam palyginamajam efektyvumui, netaikant PGS</w:t>
            </w:r>
            <w:r w:rsidR="00B00959" w:rsidRPr="00E33EFF">
              <w:t>, lyginant su įprasta klinikine praktika</w:t>
            </w:r>
          </w:p>
          <w:p w14:paraId="4A9C7D2A"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4226013D" w14:textId="4020B1AC" w:rsidR="00B13D65" w:rsidRPr="00E33EFF" w:rsidRDefault="00E305D8"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2008360022"/>
                <w15:color w:val="FFCC00"/>
                <w14:checkbox>
                  <w14:checked w14:val="0"/>
                  <w14:checkedState w14:val="2612" w14:font="MS Gothic"/>
                  <w14:uncheckedState w14:val="2610" w14:font="MS Gothic"/>
                </w14:checkbox>
              </w:sdtPr>
              <w:sdtEndPr>
                <w:rPr>
                  <w:rStyle w:val="Style2"/>
                </w:rPr>
              </w:sdtEndPr>
              <w:sdtContent>
                <w:r w:rsidR="00B13D65" w:rsidRPr="00E33EFF">
                  <w:rPr>
                    <w:rStyle w:val="Style2"/>
                    <w:rFonts w:ascii="Segoe UI Symbol" w:eastAsia="MS Gothic" w:hAnsi="Segoe UI Symbol" w:cs="Segoe UI Symbol"/>
                    <w:sz w:val="24"/>
                  </w:rPr>
                  <w:t>☐</w:t>
                </w:r>
              </w:sdtContent>
            </w:sdt>
            <w:r w:rsidR="00B13D65" w:rsidRPr="00E33EFF">
              <w:t xml:space="preserve"> 33.3. pateikti duomenys apie kaštų na</w:t>
            </w:r>
            <w:r w:rsidR="00662983" w:rsidRPr="00E33EFF">
              <w:t>udingumą yra netinkami vertinti</w:t>
            </w:r>
          </w:p>
          <w:p w14:paraId="470A48A4" w14:textId="77777777" w:rsidR="00B13D65" w:rsidRPr="00E33EFF"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bl>
    <w:p w14:paraId="29A90384" w14:textId="3E7B088F" w:rsidR="004A3A61" w:rsidRPr="00E33EFF" w:rsidRDefault="004A3A61" w:rsidP="00381024"/>
    <w:p w14:paraId="1B85C083" w14:textId="77777777" w:rsidR="009E44AE" w:rsidRPr="00E33EFF" w:rsidRDefault="009E44AE" w:rsidP="00381024"/>
    <w:p w14:paraId="3B2D1F25" w14:textId="3A80E19F" w:rsidR="000001B0" w:rsidRPr="00E33EFF" w:rsidRDefault="000001B0" w:rsidP="00CC09D4">
      <w:pPr>
        <w:pStyle w:val="Sraopastraipa"/>
        <w:numPr>
          <w:ilvl w:val="0"/>
          <w:numId w:val="12"/>
        </w:numPr>
        <w:ind w:left="567" w:hanging="567"/>
      </w:pPr>
      <w:r w:rsidRPr="00E33EFF">
        <w:rPr>
          <w:b/>
        </w:rPr>
        <w:t>REKOME</w:t>
      </w:r>
      <w:r w:rsidR="00D83182" w:rsidRPr="00E33EFF">
        <w:rPr>
          <w:b/>
        </w:rPr>
        <w:t>N</w:t>
      </w:r>
      <w:r w:rsidRPr="00E33EFF">
        <w:rPr>
          <w:b/>
        </w:rPr>
        <w:t>DACIJA</w:t>
      </w:r>
    </w:p>
    <w:p w14:paraId="7D5C6700" w14:textId="77777777" w:rsidR="00D5470B" w:rsidRPr="00E33EFF" w:rsidRDefault="00D5470B" w:rsidP="00C712EA">
      <w:pPr>
        <w:pStyle w:val="Sraopastraipa"/>
        <w:ind w:left="426"/>
      </w:pPr>
    </w:p>
    <w:p w14:paraId="22325210" w14:textId="21E388F4" w:rsidR="004F3B2B" w:rsidRPr="00E33EFF" w:rsidRDefault="004F3B2B" w:rsidP="004F3B2B">
      <w:pPr>
        <w:jc w:val="both"/>
      </w:pPr>
      <w:r w:rsidRPr="00E33EFF">
        <w:t xml:space="preserve">Vadovaujantis </w:t>
      </w:r>
      <w:r w:rsidR="00F259FC">
        <w:t>V</w:t>
      </w:r>
      <w:r w:rsidR="00F259FC" w:rsidRPr="00E33EFF">
        <w:t>aistinių preparatų ir medicinos pagalbos priemonių įrašymo į kompensavimo sąrašus ir jų keitimo tvarkos aprašo</w:t>
      </w:r>
      <w:r w:rsidR="00F259FC">
        <w:t>, patvirtinto</w:t>
      </w:r>
      <w:r w:rsidR="00F259FC" w:rsidRPr="00E33EFF">
        <w:t xml:space="preserve"> </w:t>
      </w:r>
      <w:r w:rsidRPr="00E33EFF">
        <w:t>Lietuvos Respublikos sveikatos apsaugos ministro 2002 m. balandžio 5 d. įsakymu Nr. V-159 „Dėl vaistinių preparatų ir medicinos pagalbos priemonių įrašymo į kompensavimo sąrašus ir jų keitimo tvarkos aprašo patvirtinimo“</w:t>
      </w:r>
      <w:r w:rsidR="00F259FC">
        <w:t>,</w:t>
      </w:r>
      <w:r w:rsidRPr="00E33EFF">
        <w:t xml:space="preserve"> punktu </w:t>
      </w:r>
    </w:p>
    <w:p w14:paraId="6339AEC7" w14:textId="74DA562C" w:rsidR="00CF27FD" w:rsidRDefault="004F3B2B" w:rsidP="004F3B2B">
      <w:pPr>
        <w:jc w:val="both"/>
      </w:pPr>
      <w:r w:rsidRPr="00E33EFF">
        <w:t xml:space="preserve">34.4. rekomenduojama </w:t>
      </w:r>
      <w:r w:rsidRPr="00E33EFF">
        <w:rPr>
          <w:i/>
        </w:rPr>
        <w:t xml:space="preserve">nekompensuoti </w:t>
      </w:r>
      <w:r w:rsidRPr="00E33EFF">
        <w:t>vaistinio prepa</w:t>
      </w:r>
      <w:r w:rsidR="000F34B4">
        <w:t xml:space="preserve">rato pagal paraiškoje nurodytą </w:t>
      </w:r>
      <w:r w:rsidRPr="00E33EFF">
        <w:t>indikaciją</w:t>
      </w:r>
      <w:r w:rsidR="000F34B4">
        <w:t xml:space="preserve"> </w:t>
      </w:r>
      <w:r w:rsidRPr="00E33EFF">
        <w:t>su skyrimo sąlygomis</w:t>
      </w:r>
      <w:r w:rsidR="000F34B4">
        <w:t xml:space="preserve">, </w:t>
      </w:r>
      <w:r w:rsidRPr="00E33EFF">
        <w:t>netaikant PGS dėl vertinimo išvadų</w:t>
      </w:r>
      <w:r w:rsidR="00613143">
        <w:t xml:space="preserve">, nurodytų </w:t>
      </w:r>
      <w:r w:rsidR="000F34B4">
        <w:t>3</w:t>
      </w:r>
      <w:r w:rsidR="00613143">
        <w:t>3.3</w:t>
      </w:r>
      <w:r w:rsidR="000F34B4">
        <w:t xml:space="preserve"> </w:t>
      </w:r>
      <w:r w:rsidR="00613143">
        <w:t>papunk</w:t>
      </w:r>
      <w:r w:rsidR="00E348BA">
        <w:t xml:space="preserve">tyje (žr. 6 skyrių), </w:t>
      </w:r>
      <w:r w:rsidRPr="00E33EFF">
        <w:t xml:space="preserve"> neatitikties </w:t>
      </w:r>
      <w:r w:rsidRPr="003D6208">
        <w:t>34.3 papunktyje išdėstyt</w:t>
      </w:r>
      <w:r w:rsidR="00CF27FD" w:rsidRPr="003D6208">
        <w:t>oms</w:t>
      </w:r>
      <w:r w:rsidRPr="003D6208">
        <w:t xml:space="preserve"> sąlyg</w:t>
      </w:r>
      <w:r w:rsidR="00CF27FD" w:rsidRPr="003D6208">
        <w:t>oms</w:t>
      </w:r>
      <w:r w:rsidR="00BF3927">
        <w:t>.</w:t>
      </w:r>
      <w:r w:rsidR="00CF27FD" w:rsidRPr="003D6208">
        <w:t xml:space="preserve"> </w:t>
      </w:r>
    </w:p>
    <w:p w14:paraId="7728DE80" w14:textId="3DE1F2C2" w:rsidR="000F34B4" w:rsidRDefault="000F34B4" w:rsidP="004F3B2B">
      <w:pPr>
        <w:jc w:val="both"/>
      </w:pPr>
    </w:p>
    <w:p w14:paraId="202ABF17" w14:textId="48CA1DA2" w:rsidR="000F34B4" w:rsidRDefault="000F34B4" w:rsidP="004F3B2B">
      <w:pPr>
        <w:jc w:val="both"/>
      </w:pPr>
      <w:r>
        <w:t>Papildomos pastabos ir pasiūlymai</w:t>
      </w:r>
    </w:p>
    <w:p w14:paraId="0CDFBA1A" w14:textId="7DAF5882" w:rsidR="000F34B4" w:rsidRPr="000F34B4" w:rsidRDefault="000F34B4" w:rsidP="004F3B2B">
      <w:pPr>
        <w:jc w:val="both"/>
        <w:rPr>
          <w:b/>
          <w:i/>
        </w:rPr>
      </w:pPr>
      <w:r>
        <w:rPr>
          <w:rStyle w:val="normaltextrun"/>
        </w:rPr>
        <w:t>Atsižvelgiant į nedidelį gydymo kaštų skirtumą, Tarnyba, vadovaudamasi</w:t>
      </w:r>
      <w:r>
        <w:rPr>
          <w:bCs/>
        </w:rPr>
        <w:t xml:space="preserve"> Vaistinių preparatų ir medicinos pagalbos priemonių įrašymo į kompensavimo sąrašus ir jų keitimo tvarkos aprašo, patvirtinto Lietuvos Respublikos sveikatos apsaugos ministro </w:t>
      </w:r>
      <w:r>
        <w:t xml:space="preserve">2002 m. balandžio 5 d. įsakymu Nr. 159 „Dėl Vaistinių preparatų ir medicinos pagalbos priemonių įrašymo į kompensavimo sąrašus ir jų keitimo tvarkos aprašo patvirtinimo“ 35 punktu, </w:t>
      </w:r>
      <w:r>
        <w:rPr>
          <w:rStyle w:val="normaltextrun"/>
        </w:rPr>
        <w:t xml:space="preserve">siūlo kompensuoti vaistinį preparatą Aquipta su sąlyga, jog gydymo juo kaštai būtų mažesni už palyginamųjų gydymu (fremanezumabo ir erenumabo) kaštus – atitinkamai Aquipta kaina turi būti sumažinta maždaug </w:t>
      </w:r>
      <w:r w:rsidR="00E305D8">
        <w:rPr>
          <w:rStyle w:val="normaltextrun"/>
        </w:rPr>
        <w:t>***</w:t>
      </w:r>
      <w:r>
        <w:rPr>
          <w:rStyle w:val="normaltextrun"/>
        </w:rPr>
        <w:t xml:space="preserve"> procentais.</w:t>
      </w:r>
    </w:p>
    <w:p w14:paraId="06BC01EE" w14:textId="44333E0B" w:rsidR="000723FF" w:rsidRPr="00E33EFF" w:rsidRDefault="000723FF" w:rsidP="00381024"/>
    <w:p w14:paraId="18B4292E" w14:textId="641C92F4" w:rsidR="000723FF" w:rsidRPr="00E33EFF" w:rsidRDefault="00CC09D4" w:rsidP="00CC09D4">
      <w:pPr>
        <w:tabs>
          <w:tab w:val="left" w:pos="567"/>
        </w:tabs>
        <w:ind w:left="567" w:hanging="567"/>
        <w:jc w:val="both"/>
        <w:rPr>
          <w:b/>
          <w:color w:val="000000"/>
          <w:lang w:eastAsia="lt-LT"/>
        </w:rPr>
      </w:pPr>
      <w:r>
        <w:rPr>
          <w:b/>
          <w:color w:val="000000"/>
          <w:lang w:eastAsia="lt-LT"/>
        </w:rPr>
        <w:t>8.</w:t>
      </w:r>
      <w:r>
        <w:rPr>
          <w:b/>
          <w:color w:val="000000"/>
          <w:lang w:eastAsia="lt-LT"/>
        </w:rPr>
        <w:tab/>
      </w:r>
      <w:r w:rsidR="000723FF" w:rsidRPr="00E33EFF">
        <w:rPr>
          <w:b/>
          <w:color w:val="000000"/>
          <w:lang w:eastAsia="lt-LT"/>
        </w:rPr>
        <w:t>SIŪLOMOS KOMPENSUOTI TERAPINĖS INDIKACIJOS IR SKYRIMO SĄLYGOS</w:t>
      </w:r>
    </w:p>
    <w:p w14:paraId="691340BB" w14:textId="77777777" w:rsidR="000723FF" w:rsidRPr="00E33EFF" w:rsidRDefault="000723FF" w:rsidP="000723FF">
      <w:pPr>
        <w:tabs>
          <w:tab w:val="left" w:pos="426"/>
        </w:tabs>
        <w:jc w:val="both"/>
        <w:rPr>
          <w:b/>
          <w:color w:val="000000"/>
          <w:lang w:eastAsia="lt-LT"/>
        </w:rPr>
      </w:pPr>
    </w:p>
    <w:p w14:paraId="76835EB5" w14:textId="77777777" w:rsidR="001A6558" w:rsidRPr="0073329D" w:rsidRDefault="001A6558" w:rsidP="001A6558">
      <w:pPr>
        <w:pStyle w:val="Betarp"/>
        <w:rPr>
          <w:rFonts w:ascii="Times New Roman" w:hAnsi="Times New Roman"/>
          <w:b/>
          <w:sz w:val="24"/>
          <w:szCs w:val="24"/>
          <w:lang w:eastAsia="lt-LT"/>
        </w:rPr>
      </w:pPr>
      <w:r w:rsidRPr="0073329D">
        <w:rPr>
          <w:rFonts w:ascii="Times New Roman" w:hAnsi="Times New Roman"/>
          <w:b/>
          <w:sz w:val="24"/>
          <w:szCs w:val="24"/>
          <w:lang w:eastAsia="lt-LT"/>
        </w:rPr>
        <w:t>Terapinės indikacijos</w:t>
      </w:r>
    </w:p>
    <w:p w14:paraId="28D5407D" w14:textId="77777777" w:rsidR="001A6558" w:rsidRPr="0073329D" w:rsidRDefault="00E305D8" w:rsidP="001A6558">
      <w:pPr>
        <w:pStyle w:val="Betarp"/>
        <w:rPr>
          <w:rFonts w:ascii="Times New Roman" w:hAnsi="Times New Roman"/>
          <w:sz w:val="24"/>
          <w:szCs w:val="24"/>
        </w:rPr>
      </w:pPr>
      <w:sdt>
        <w:sdtPr>
          <w:rPr>
            <w:rStyle w:val="Style2"/>
            <w:rFonts w:ascii="Times New Roman" w:hAnsi="Times New Roman"/>
            <w:sz w:val="24"/>
            <w:szCs w:val="24"/>
          </w:rPr>
          <w:id w:val="1146316688"/>
          <w15:color w:val="FFCC00"/>
          <w14:checkbox>
            <w14:checked w14:val="1"/>
            <w14:checkedState w14:val="2612" w14:font="MS Gothic"/>
            <w14:uncheckedState w14:val="2610" w14:font="MS Gothic"/>
          </w14:checkbox>
        </w:sdtPr>
        <w:sdtEndPr>
          <w:rPr>
            <w:rStyle w:val="Style2"/>
          </w:rPr>
        </w:sdtEndPr>
        <w:sdtContent>
          <w:r w:rsidR="001A6558">
            <w:rPr>
              <w:rStyle w:val="Style2"/>
              <w:rFonts w:ascii="MS Gothic" w:eastAsia="MS Gothic" w:hAnsi="MS Gothic" w:hint="eastAsia"/>
              <w:sz w:val="24"/>
              <w:szCs w:val="24"/>
            </w:rPr>
            <w:t>☒</w:t>
          </w:r>
        </w:sdtContent>
      </w:sdt>
      <w:r w:rsidR="001A6558" w:rsidRPr="0073329D">
        <w:rPr>
          <w:rFonts w:ascii="Times New Roman" w:hAnsi="Times New Roman"/>
          <w:sz w:val="24"/>
          <w:szCs w:val="24"/>
        </w:rPr>
        <w:t xml:space="preserve"> Siūloma kompensuoti Pareiškėjo teikiamą indikaciją be pakeitimų.</w:t>
      </w:r>
    </w:p>
    <w:p w14:paraId="1817C345" w14:textId="77777777" w:rsidR="001A6558" w:rsidRDefault="001A6558" w:rsidP="001A6558">
      <w:pPr>
        <w:pStyle w:val="Betarp"/>
        <w:rPr>
          <w:rFonts w:ascii="Times New Roman" w:hAnsi="Times New Roman"/>
          <w:sz w:val="24"/>
          <w:szCs w:val="24"/>
        </w:rPr>
      </w:pPr>
      <w:r w:rsidRPr="00D909CE">
        <w:rPr>
          <w:rFonts w:ascii="Times New Roman" w:hAnsi="Times New Roman"/>
          <w:sz w:val="24"/>
          <w:szCs w:val="24"/>
        </w:rPr>
        <w:t>AQUIPTA skirtas migrenos profilaktikai suaugusiesiems, kuriems būna bent 4 migrenos dienos per mėnesį.</w:t>
      </w:r>
    </w:p>
    <w:p w14:paraId="62AAE8F5" w14:textId="77777777" w:rsidR="001A6558" w:rsidRPr="0073329D" w:rsidRDefault="001A6558" w:rsidP="001A6558">
      <w:pPr>
        <w:pStyle w:val="Betarp"/>
        <w:rPr>
          <w:rFonts w:ascii="Times New Roman" w:hAnsi="Times New Roman"/>
          <w:sz w:val="24"/>
          <w:szCs w:val="24"/>
        </w:rPr>
      </w:pPr>
    </w:p>
    <w:p w14:paraId="51B7F65D" w14:textId="77777777" w:rsidR="001A6558" w:rsidRPr="0073329D" w:rsidRDefault="00E305D8" w:rsidP="001A6558">
      <w:pPr>
        <w:pStyle w:val="Betarp"/>
        <w:rPr>
          <w:rFonts w:ascii="Times New Roman" w:hAnsi="Times New Roman"/>
          <w:sz w:val="24"/>
          <w:szCs w:val="24"/>
        </w:rPr>
      </w:pPr>
      <w:sdt>
        <w:sdtPr>
          <w:rPr>
            <w:rStyle w:val="Style2"/>
            <w:rFonts w:ascii="Times New Roman" w:hAnsi="Times New Roman"/>
            <w:sz w:val="24"/>
            <w:szCs w:val="24"/>
          </w:rPr>
          <w:id w:val="1467245146"/>
          <w15:color w:val="FFCC00"/>
          <w14:checkbox>
            <w14:checked w14:val="0"/>
            <w14:checkedState w14:val="2612" w14:font="MS Gothic"/>
            <w14:uncheckedState w14:val="2610" w14:font="MS Gothic"/>
          </w14:checkbox>
        </w:sdtPr>
        <w:sdtEndPr>
          <w:rPr>
            <w:rStyle w:val="Style2"/>
          </w:rPr>
        </w:sdtEndPr>
        <w:sdtContent>
          <w:r w:rsidR="001A6558" w:rsidRPr="0073329D">
            <w:rPr>
              <w:rStyle w:val="Style2"/>
              <w:rFonts w:ascii="Segoe UI Symbol" w:eastAsia="MS Gothic" w:hAnsi="Segoe UI Symbol" w:cs="Segoe UI Symbol"/>
              <w:sz w:val="24"/>
              <w:szCs w:val="24"/>
            </w:rPr>
            <w:t>☐</w:t>
          </w:r>
        </w:sdtContent>
      </w:sdt>
      <w:r w:rsidR="001A6558" w:rsidRPr="0073329D">
        <w:rPr>
          <w:rFonts w:ascii="Times New Roman" w:hAnsi="Times New Roman"/>
          <w:sz w:val="24"/>
          <w:szCs w:val="24"/>
        </w:rPr>
        <w:t xml:space="preserve"> Siūloma kompensuoti Pareiškėjo teikiamą indikaciją su pakeitimais.</w:t>
      </w:r>
    </w:p>
    <w:p w14:paraId="19733530" w14:textId="77777777" w:rsidR="001A6558" w:rsidRPr="0073329D" w:rsidRDefault="001A6558" w:rsidP="001A6558">
      <w:pPr>
        <w:pStyle w:val="Betarp"/>
        <w:rPr>
          <w:rFonts w:ascii="Times New Roman" w:hAnsi="Times New Roman"/>
          <w:sz w:val="24"/>
          <w:szCs w:val="24"/>
        </w:rPr>
      </w:pPr>
    </w:p>
    <w:p w14:paraId="73CC3F63" w14:textId="77777777" w:rsidR="001A6558" w:rsidRPr="0073329D" w:rsidRDefault="001A6558" w:rsidP="001A6558">
      <w:pPr>
        <w:pStyle w:val="Betarp"/>
        <w:rPr>
          <w:rFonts w:ascii="Times New Roman" w:hAnsi="Times New Roman"/>
          <w:b/>
          <w:sz w:val="24"/>
          <w:szCs w:val="24"/>
        </w:rPr>
      </w:pPr>
      <w:r w:rsidRPr="0073329D">
        <w:rPr>
          <w:rFonts w:ascii="Times New Roman" w:hAnsi="Times New Roman"/>
          <w:b/>
          <w:sz w:val="24"/>
          <w:szCs w:val="24"/>
        </w:rPr>
        <w:t>Skyrimo sąlygos</w:t>
      </w:r>
    </w:p>
    <w:p w14:paraId="7DA8A7B5" w14:textId="77777777" w:rsidR="001A6558" w:rsidRDefault="00E305D8" w:rsidP="001A6558">
      <w:pPr>
        <w:pStyle w:val="Betarp"/>
        <w:rPr>
          <w:rFonts w:ascii="Times New Roman" w:hAnsi="Times New Roman"/>
          <w:sz w:val="24"/>
          <w:szCs w:val="24"/>
        </w:rPr>
      </w:pPr>
      <w:sdt>
        <w:sdtPr>
          <w:rPr>
            <w:rStyle w:val="Style2"/>
            <w:rFonts w:ascii="Times New Roman" w:hAnsi="Times New Roman"/>
            <w:sz w:val="24"/>
            <w:szCs w:val="24"/>
          </w:rPr>
          <w:id w:val="169305347"/>
          <w15:color w:val="FFCC00"/>
          <w14:checkbox>
            <w14:checked w14:val="0"/>
            <w14:checkedState w14:val="2612" w14:font="MS Gothic"/>
            <w14:uncheckedState w14:val="2610" w14:font="MS Gothic"/>
          </w14:checkbox>
        </w:sdtPr>
        <w:sdtEndPr>
          <w:rPr>
            <w:rStyle w:val="Style2"/>
          </w:rPr>
        </w:sdtEndPr>
        <w:sdtContent>
          <w:r w:rsidR="001A6558">
            <w:rPr>
              <w:rStyle w:val="Style2"/>
              <w:rFonts w:ascii="MS Gothic" w:eastAsia="MS Gothic" w:hAnsi="MS Gothic" w:hint="eastAsia"/>
              <w:sz w:val="24"/>
              <w:szCs w:val="24"/>
            </w:rPr>
            <w:t>☐</w:t>
          </w:r>
        </w:sdtContent>
      </w:sdt>
      <w:r w:rsidR="001A6558" w:rsidRPr="0073329D">
        <w:rPr>
          <w:rFonts w:ascii="Times New Roman" w:hAnsi="Times New Roman"/>
          <w:sz w:val="24"/>
          <w:szCs w:val="24"/>
        </w:rPr>
        <w:t xml:space="preserve"> Pareiškėjo siūlomos skyrimo sąlygos priimtinos. </w:t>
      </w:r>
    </w:p>
    <w:p w14:paraId="4A36B693" w14:textId="77777777" w:rsidR="001A6558" w:rsidRDefault="001A6558" w:rsidP="001A6558">
      <w:pPr>
        <w:pStyle w:val="Betarp"/>
        <w:rPr>
          <w:rFonts w:ascii="Times New Roman" w:hAnsi="Times New Roman"/>
          <w:sz w:val="24"/>
          <w:szCs w:val="24"/>
        </w:rPr>
      </w:pPr>
    </w:p>
    <w:p w14:paraId="30070DEE" w14:textId="77777777" w:rsidR="001A6558" w:rsidRPr="0073329D" w:rsidRDefault="00E305D8" w:rsidP="001A6558">
      <w:pPr>
        <w:pStyle w:val="Betarp"/>
        <w:rPr>
          <w:rFonts w:ascii="Times New Roman" w:hAnsi="Times New Roman"/>
          <w:sz w:val="24"/>
          <w:szCs w:val="24"/>
        </w:rPr>
      </w:pPr>
      <w:sdt>
        <w:sdtPr>
          <w:rPr>
            <w:rStyle w:val="Style2"/>
            <w:rFonts w:ascii="Times New Roman" w:hAnsi="Times New Roman"/>
            <w:sz w:val="24"/>
            <w:szCs w:val="24"/>
          </w:rPr>
          <w:id w:val="1823936883"/>
          <w15:color w:val="FFCC00"/>
          <w14:checkbox>
            <w14:checked w14:val="1"/>
            <w14:checkedState w14:val="2612" w14:font="MS Gothic"/>
            <w14:uncheckedState w14:val="2610" w14:font="MS Gothic"/>
          </w14:checkbox>
        </w:sdtPr>
        <w:sdtEndPr>
          <w:rPr>
            <w:rStyle w:val="Style2"/>
          </w:rPr>
        </w:sdtEndPr>
        <w:sdtContent>
          <w:r w:rsidR="001A6558">
            <w:rPr>
              <w:rStyle w:val="Style2"/>
              <w:rFonts w:ascii="MS Gothic" w:eastAsia="MS Gothic" w:hAnsi="MS Gothic" w:hint="eastAsia"/>
              <w:sz w:val="24"/>
              <w:szCs w:val="24"/>
            </w:rPr>
            <w:t>☒</w:t>
          </w:r>
        </w:sdtContent>
      </w:sdt>
      <w:r w:rsidR="001A6558" w:rsidRPr="0073329D">
        <w:rPr>
          <w:rFonts w:ascii="Times New Roman" w:hAnsi="Times New Roman"/>
          <w:sz w:val="24"/>
          <w:szCs w:val="24"/>
        </w:rPr>
        <w:t xml:space="preserve"> Pareiškėjo siūlomos skyrimo sąlygos nepriimtinos. </w:t>
      </w:r>
    </w:p>
    <w:p w14:paraId="7CDFF220" w14:textId="32C56E63" w:rsidR="000723FF" w:rsidRPr="001A6558" w:rsidRDefault="001A6558" w:rsidP="001A6558">
      <w:pPr>
        <w:pStyle w:val="Betarp"/>
        <w:rPr>
          <w:rFonts w:ascii="Times New Roman" w:hAnsi="Times New Roman"/>
          <w:sz w:val="24"/>
          <w:szCs w:val="24"/>
          <w:lang w:eastAsia="lt-LT"/>
        </w:rPr>
      </w:pPr>
      <w:r w:rsidRPr="00CA511B">
        <w:rPr>
          <w:rFonts w:ascii="Times New Roman" w:hAnsi="Times New Roman"/>
          <w:sz w:val="24"/>
          <w:szCs w:val="24"/>
          <w:lang w:eastAsia="lt-LT"/>
        </w:rPr>
        <w:t>Siūloma nustatyti tokias pačias skyrimo sąlygas kaip migrenos profilaktikai skirtų kompensuojamųjų vaistų fremanezumabo ir erenumabo.</w:t>
      </w:r>
    </w:p>
    <w:sectPr w:rsidR="000723FF" w:rsidRPr="001A6558" w:rsidSect="005D30E1">
      <w:headerReference w:type="even" r:id="rId8"/>
      <w:headerReference w:type="default" r:id="rId9"/>
      <w:headerReference w:type="first" r:id="rId10"/>
      <w:footerReference w:type="first" r:id="rId11"/>
      <w:pgSz w:w="11907" w:h="16840" w:code="9"/>
      <w:pgMar w:top="1134" w:right="567" w:bottom="1134" w:left="1701" w:header="646"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ED915" w14:textId="77777777" w:rsidR="001348BB" w:rsidRDefault="001348BB">
      <w:r>
        <w:separator/>
      </w:r>
    </w:p>
  </w:endnote>
  <w:endnote w:type="continuationSeparator" w:id="0">
    <w:p w14:paraId="5C17615B" w14:textId="77777777" w:rsidR="001348BB" w:rsidRDefault="00134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D3368" w14:textId="77777777" w:rsidR="00347FAA" w:rsidRDefault="00347FAA">
    <w:pPr>
      <w:pStyle w:val="Porat"/>
      <w:jc w:val="right"/>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94AE5" w14:textId="77777777" w:rsidR="001348BB" w:rsidRDefault="001348BB">
      <w:r>
        <w:separator/>
      </w:r>
    </w:p>
  </w:footnote>
  <w:footnote w:type="continuationSeparator" w:id="0">
    <w:p w14:paraId="6F089D94" w14:textId="77777777" w:rsidR="001348BB" w:rsidRDefault="001348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86FB2" w14:textId="77777777" w:rsidR="00347FAA" w:rsidRDefault="00347FA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3E81DB01" w14:textId="77777777" w:rsidR="00347FAA" w:rsidRDefault="00347FA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BD5F9" w14:textId="0ED554F5" w:rsidR="00347FAA" w:rsidRDefault="00347FA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F34B4">
      <w:rPr>
        <w:rStyle w:val="Puslapionumeris"/>
        <w:noProof/>
      </w:rPr>
      <w:t>4</w:t>
    </w:r>
    <w:r>
      <w:rPr>
        <w:rStyle w:val="Puslapionumeris"/>
      </w:rPr>
      <w:fldChar w:fldCharType="end"/>
    </w:r>
  </w:p>
  <w:p w14:paraId="13EC872E" w14:textId="77777777" w:rsidR="00347FAA" w:rsidRDefault="00347FA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E1C8F" w14:textId="77777777" w:rsidR="00347FAA" w:rsidRDefault="00347FAA" w:rsidP="00FD793C">
    <w:pPr>
      <w:pStyle w:val="Antrats"/>
      <w:ind w:left="612"/>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7D8E"/>
    <w:multiLevelType w:val="hybridMultilevel"/>
    <w:tmpl w:val="10FAC1C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9E0081E"/>
    <w:multiLevelType w:val="multilevel"/>
    <w:tmpl w:val="0427001F"/>
    <w:lvl w:ilvl="0">
      <w:start w:val="1"/>
      <w:numFmt w:val="decimal"/>
      <w:lvlText w:val="%1."/>
      <w:lvlJc w:val="left"/>
      <w:pPr>
        <w:ind w:left="360" w:hanging="360"/>
      </w:pPr>
      <w:rPr>
        <w:rFonts w:hint="default"/>
        <w:b w:val="0"/>
        <w:bCs w:val="0"/>
      </w:rPr>
    </w:lvl>
    <w:lvl w:ilvl="1">
      <w:start w:val="1"/>
      <w:numFmt w:val="decimal"/>
      <w:lvlText w:val="%1.%2."/>
      <w:lvlJc w:val="left"/>
      <w:pPr>
        <w:ind w:left="28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AD2E58"/>
    <w:multiLevelType w:val="hybridMultilevel"/>
    <w:tmpl w:val="F6943F7A"/>
    <w:lvl w:ilvl="0" w:tplc="AB64BC8E">
      <w:start w:val="1"/>
      <w:numFmt w:val="decimal"/>
      <w:lvlText w:val="%1."/>
      <w:lvlJc w:val="lef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A101C59"/>
    <w:multiLevelType w:val="hybridMultilevel"/>
    <w:tmpl w:val="64544F3A"/>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4" w15:restartNumberingAfterBreak="0">
    <w:nsid w:val="2CDF31B3"/>
    <w:multiLevelType w:val="hybridMultilevel"/>
    <w:tmpl w:val="6F36C418"/>
    <w:lvl w:ilvl="0" w:tplc="55947282">
      <w:start w:val="1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975004F"/>
    <w:multiLevelType w:val="hybridMultilevel"/>
    <w:tmpl w:val="13E4607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 w15:restartNumberingAfterBreak="0">
    <w:nsid w:val="3BCC4222"/>
    <w:multiLevelType w:val="multilevel"/>
    <w:tmpl w:val="C9C6278E"/>
    <w:lvl w:ilvl="0">
      <w:start w:val="2"/>
      <w:numFmt w:val="decimal"/>
      <w:lvlText w:val="%1."/>
      <w:lvlJc w:val="left"/>
      <w:pPr>
        <w:ind w:left="360" w:hanging="360"/>
      </w:pPr>
      <w:rPr>
        <w:rFonts w:eastAsia="Arial Unicode MS" w:hint="default"/>
      </w:rPr>
    </w:lvl>
    <w:lvl w:ilvl="1">
      <w:start w:val="7"/>
      <w:numFmt w:val="decimal"/>
      <w:lvlText w:val="%1.%2."/>
      <w:lvlJc w:val="left"/>
      <w:pPr>
        <w:ind w:left="720" w:hanging="360"/>
      </w:pPr>
      <w:rPr>
        <w:rFonts w:eastAsia="Arial Unicode MS" w:hint="default"/>
      </w:rPr>
    </w:lvl>
    <w:lvl w:ilvl="2">
      <w:start w:val="1"/>
      <w:numFmt w:val="decimal"/>
      <w:lvlText w:val="%1.%2.%3."/>
      <w:lvlJc w:val="left"/>
      <w:pPr>
        <w:ind w:left="1440" w:hanging="720"/>
      </w:pPr>
      <w:rPr>
        <w:rFonts w:eastAsia="Arial Unicode MS" w:hint="default"/>
      </w:rPr>
    </w:lvl>
    <w:lvl w:ilvl="3">
      <w:start w:val="1"/>
      <w:numFmt w:val="decimal"/>
      <w:lvlText w:val="%1.%2.%3.%4."/>
      <w:lvlJc w:val="left"/>
      <w:pPr>
        <w:ind w:left="1800" w:hanging="720"/>
      </w:pPr>
      <w:rPr>
        <w:rFonts w:eastAsia="Arial Unicode MS" w:hint="default"/>
      </w:rPr>
    </w:lvl>
    <w:lvl w:ilvl="4">
      <w:start w:val="1"/>
      <w:numFmt w:val="decimal"/>
      <w:lvlText w:val="%1.%2.%3.%4.%5."/>
      <w:lvlJc w:val="left"/>
      <w:pPr>
        <w:ind w:left="2520" w:hanging="1080"/>
      </w:pPr>
      <w:rPr>
        <w:rFonts w:eastAsia="Arial Unicode MS" w:hint="default"/>
      </w:rPr>
    </w:lvl>
    <w:lvl w:ilvl="5">
      <w:start w:val="1"/>
      <w:numFmt w:val="decimal"/>
      <w:lvlText w:val="%1.%2.%3.%4.%5.%6."/>
      <w:lvlJc w:val="left"/>
      <w:pPr>
        <w:ind w:left="2880" w:hanging="1080"/>
      </w:pPr>
      <w:rPr>
        <w:rFonts w:eastAsia="Arial Unicode MS" w:hint="default"/>
      </w:rPr>
    </w:lvl>
    <w:lvl w:ilvl="6">
      <w:start w:val="1"/>
      <w:numFmt w:val="decimal"/>
      <w:lvlText w:val="%1.%2.%3.%4.%5.%6.%7."/>
      <w:lvlJc w:val="left"/>
      <w:pPr>
        <w:ind w:left="3600" w:hanging="1440"/>
      </w:pPr>
      <w:rPr>
        <w:rFonts w:eastAsia="Arial Unicode MS" w:hint="default"/>
      </w:rPr>
    </w:lvl>
    <w:lvl w:ilvl="7">
      <w:start w:val="1"/>
      <w:numFmt w:val="decimal"/>
      <w:lvlText w:val="%1.%2.%3.%4.%5.%6.%7.%8."/>
      <w:lvlJc w:val="left"/>
      <w:pPr>
        <w:ind w:left="3960" w:hanging="1440"/>
      </w:pPr>
      <w:rPr>
        <w:rFonts w:eastAsia="Arial Unicode MS" w:hint="default"/>
      </w:rPr>
    </w:lvl>
    <w:lvl w:ilvl="8">
      <w:start w:val="1"/>
      <w:numFmt w:val="decimal"/>
      <w:lvlText w:val="%1.%2.%3.%4.%5.%6.%7.%8.%9."/>
      <w:lvlJc w:val="left"/>
      <w:pPr>
        <w:ind w:left="4680" w:hanging="1800"/>
      </w:pPr>
      <w:rPr>
        <w:rFonts w:eastAsia="Arial Unicode MS" w:hint="default"/>
      </w:rPr>
    </w:lvl>
  </w:abstractNum>
  <w:abstractNum w:abstractNumId="7" w15:restartNumberingAfterBreak="0">
    <w:nsid w:val="41953EAB"/>
    <w:multiLevelType w:val="hybridMultilevel"/>
    <w:tmpl w:val="D0F01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9B019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9B83C1B"/>
    <w:multiLevelType w:val="multilevel"/>
    <w:tmpl w:val="5F38437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0" w15:restartNumberingAfterBreak="0">
    <w:nsid w:val="5A0D73F3"/>
    <w:multiLevelType w:val="hybridMultilevel"/>
    <w:tmpl w:val="CA9A2AC8"/>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24664AC"/>
    <w:multiLevelType w:val="multilevel"/>
    <w:tmpl w:val="04BACD6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upperLetter"/>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AB27E1E"/>
    <w:multiLevelType w:val="hybridMultilevel"/>
    <w:tmpl w:val="3D568A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2266018"/>
    <w:multiLevelType w:val="hybridMultilevel"/>
    <w:tmpl w:val="AA9C98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92701352">
    <w:abstractNumId w:val="7"/>
  </w:num>
  <w:num w:numId="2" w16cid:durableId="2141221194">
    <w:abstractNumId w:val="1"/>
  </w:num>
  <w:num w:numId="3" w16cid:durableId="637414279">
    <w:abstractNumId w:val="9"/>
  </w:num>
  <w:num w:numId="4" w16cid:durableId="845510955">
    <w:abstractNumId w:val="8"/>
  </w:num>
  <w:num w:numId="5" w16cid:durableId="513618890">
    <w:abstractNumId w:val="6"/>
  </w:num>
  <w:num w:numId="6" w16cid:durableId="798500394">
    <w:abstractNumId w:val="5"/>
  </w:num>
  <w:num w:numId="7" w16cid:durableId="1479372255">
    <w:abstractNumId w:val="3"/>
  </w:num>
  <w:num w:numId="8" w16cid:durableId="984971235">
    <w:abstractNumId w:val="13"/>
  </w:num>
  <w:num w:numId="9" w16cid:durableId="1478256672">
    <w:abstractNumId w:val="0"/>
  </w:num>
  <w:num w:numId="10" w16cid:durableId="1189879786">
    <w:abstractNumId w:val="10"/>
  </w:num>
  <w:num w:numId="11" w16cid:durableId="1184788020">
    <w:abstractNumId w:val="12"/>
  </w:num>
  <w:num w:numId="12" w16cid:durableId="1102729429">
    <w:abstractNumId w:val="2"/>
  </w:num>
  <w:num w:numId="13" w16cid:durableId="747770272">
    <w:abstractNumId w:val="4"/>
  </w:num>
  <w:num w:numId="14" w16cid:durableId="79587570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0E7"/>
    <w:rsid w:val="000001B0"/>
    <w:rsid w:val="00003F5B"/>
    <w:rsid w:val="000114DD"/>
    <w:rsid w:val="000136F7"/>
    <w:rsid w:val="0002686C"/>
    <w:rsid w:val="00031D0E"/>
    <w:rsid w:val="000337E6"/>
    <w:rsid w:val="0003402E"/>
    <w:rsid w:val="00034EAE"/>
    <w:rsid w:val="00042924"/>
    <w:rsid w:val="00053975"/>
    <w:rsid w:val="00057A2B"/>
    <w:rsid w:val="000606BE"/>
    <w:rsid w:val="000723FF"/>
    <w:rsid w:val="000736B8"/>
    <w:rsid w:val="0008190F"/>
    <w:rsid w:val="00081D9C"/>
    <w:rsid w:val="00082907"/>
    <w:rsid w:val="0008378D"/>
    <w:rsid w:val="000908A5"/>
    <w:rsid w:val="00092805"/>
    <w:rsid w:val="000C454C"/>
    <w:rsid w:val="000D5038"/>
    <w:rsid w:val="000E29D4"/>
    <w:rsid w:val="000F34B4"/>
    <w:rsid w:val="000F3540"/>
    <w:rsid w:val="00100491"/>
    <w:rsid w:val="00104E2E"/>
    <w:rsid w:val="00107287"/>
    <w:rsid w:val="00117406"/>
    <w:rsid w:val="00121EF0"/>
    <w:rsid w:val="00124A9E"/>
    <w:rsid w:val="00130703"/>
    <w:rsid w:val="0013153F"/>
    <w:rsid w:val="001348BB"/>
    <w:rsid w:val="001408B8"/>
    <w:rsid w:val="001517E2"/>
    <w:rsid w:val="001521D9"/>
    <w:rsid w:val="001554E2"/>
    <w:rsid w:val="00164146"/>
    <w:rsid w:val="0017369C"/>
    <w:rsid w:val="00175D57"/>
    <w:rsid w:val="00180C39"/>
    <w:rsid w:val="00180D96"/>
    <w:rsid w:val="00184BD3"/>
    <w:rsid w:val="001921F3"/>
    <w:rsid w:val="001A6558"/>
    <w:rsid w:val="001B3C5B"/>
    <w:rsid w:val="001D746F"/>
    <w:rsid w:val="001E4BBB"/>
    <w:rsid w:val="001E6304"/>
    <w:rsid w:val="0020381E"/>
    <w:rsid w:val="00213471"/>
    <w:rsid w:val="00215906"/>
    <w:rsid w:val="00241CD8"/>
    <w:rsid w:val="00244B09"/>
    <w:rsid w:val="002519CB"/>
    <w:rsid w:val="0025697F"/>
    <w:rsid w:val="00260258"/>
    <w:rsid w:val="0026588E"/>
    <w:rsid w:val="00272428"/>
    <w:rsid w:val="00272948"/>
    <w:rsid w:val="00292392"/>
    <w:rsid w:val="002946C7"/>
    <w:rsid w:val="002B3CC1"/>
    <w:rsid w:val="002C09E0"/>
    <w:rsid w:val="002C1BB1"/>
    <w:rsid w:val="002C2786"/>
    <w:rsid w:val="002C3A10"/>
    <w:rsid w:val="002C4A90"/>
    <w:rsid w:val="002C4ED5"/>
    <w:rsid w:val="002D02EF"/>
    <w:rsid w:val="002E0702"/>
    <w:rsid w:val="002E57AD"/>
    <w:rsid w:val="002E6F80"/>
    <w:rsid w:val="002F0E4F"/>
    <w:rsid w:val="002F1053"/>
    <w:rsid w:val="00317B0E"/>
    <w:rsid w:val="00347FAA"/>
    <w:rsid w:val="0035172D"/>
    <w:rsid w:val="0036187D"/>
    <w:rsid w:val="00367EDB"/>
    <w:rsid w:val="00381024"/>
    <w:rsid w:val="00386307"/>
    <w:rsid w:val="003874DE"/>
    <w:rsid w:val="00393E9F"/>
    <w:rsid w:val="0039696E"/>
    <w:rsid w:val="003B211A"/>
    <w:rsid w:val="003C141F"/>
    <w:rsid w:val="003C6B0E"/>
    <w:rsid w:val="003C7257"/>
    <w:rsid w:val="003C7E35"/>
    <w:rsid w:val="003D1E99"/>
    <w:rsid w:val="003D6208"/>
    <w:rsid w:val="00404E8A"/>
    <w:rsid w:val="0040622F"/>
    <w:rsid w:val="00413F24"/>
    <w:rsid w:val="00422853"/>
    <w:rsid w:val="00423160"/>
    <w:rsid w:val="00453862"/>
    <w:rsid w:val="0045469B"/>
    <w:rsid w:val="00461338"/>
    <w:rsid w:val="004677DB"/>
    <w:rsid w:val="00476256"/>
    <w:rsid w:val="0048630F"/>
    <w:rsid w:val="004947A1"/>
    <w:rsid w:val="0049482A"/>
    <w:rsid w:val="004979D3"/>
    <w:rsid w:val="004A00E7"/>
    <w:rsid w:val="004A3A61"/>
    <w:rsid w:val="004B59BA"/>
    <w:rsid w:val="004B5A03"/>
    <w:rsid w:val="004C263A"/>
    <w:rsid w:val="004D48A6"/>
    <w:rsid w:val="004D7B8F"/>
    <w:rsid w:val="004E6458"/>
    <w:rsid w:val="004E6E7D"/>
    <w:rsid w:val="004F1AAC"/>
    <w:rsid w:val="004F1AE2"/>
    <w:rsid w:val="004F34F0"/>
    <w:rsid w:val="004F3B2B"/>
    <w:rsid w:val="004F6050"/>
    <w:rsid w:val="005005EF"/>
    <w:rsid w:val="005123C2"/>
    <w:rsid w:val="0052144B"/>
    <w:rsid w:val="00524066"/>
    <w:rsid w:val="00534E11"/>
    <w:rsid w:val="005378D8"/>
    <w:rsid w:val="005400D9"/>
    <w:rsid w:val="005476A4"/>
    <w:rsid w:val="0055019B"/>
    <w:rsid w:val="00556E63"/>
    <w:rsid w:val="005601A4"/>
    <w:rsid w:val="00566DBB"/>
    <w:rsid w:val="005767DB"/>
    <w:rsid w:val="005815E6"/>
    <w:rsid w:val="0058712F"/>
    <w:rsid w:val="005976CE"/>
    <w:rsid w:val="005A23D4"/>
    <w:rsid w:val="005A2D1E"/>
    <w:rsid w:val="005B3756"/>
    <w:rsid w:val="005C493F"/>
    <w:rsid w:val="005C6BF7"/>
    <w:rsid w:val="005C71BF"/>
    <w:rsid w:val="005D002C"/>
    <w:rsid w:val="005D30E1"/>
    <w:rsid w:val="005D6555"/>
    <w:rsid w:val="005D7BDF"/>
    <w:rsid w:val="005E4870"/>
    <w:rsid w:val="005F71D9"/>
    <w:rsid w:val="005F7602"/>
    <w:rsid w:val="006062BE"/>
    <w:rsid w:val="00613143"/>
    <w:rsid w:val="00613501"/>
    <w:rsid w:val="0061611B"/>
    <w:rsid w:val="006166A8"/>
    <w:rsid w:val="006174A1"/>
    <w:rsid w:val="00621D6C"/>
    <w:rsid w:val="00633B49"/>
    <w:rsid w:val="0064297F"/>
    <w:rsid w:val="00645102"/>
    <w:rsid w:val="00646CF3"/>
    <w:rsid w:val="00653D11"/>
    <w:rsid w:val="00662983"/>
    <w:rsid w:val="006834D3"/>
    <w:rsid w:val="00692625"/>
    <w:rsid w:val="00695CD3"/>
    <w:rsid w:val="006A38B6"/>
    <w:rsid w:val="006B1987"/>
    <w:rsid w:val="006B5B71"/>
    <w:rsid w:val="006B6CB0"/>
    <w:rsid w:val="006C0296"/>
    <w:rsid w:val="006C2B64"/>
    <w:rsid w:val="006D4C85"/>
    <w:rsid w:val="006D66AC"/>
    <w:rsid w:val="006E33F6"/>
    <w:rsid w:val="006F1251"/>
    <w:rsid w:val="006F1C23"/>
    <w:rsid w:val="00702C18"/>
    <w:rsid w:val="00703166"/>
    <w:rsid w:val="007127F3"/>
    <w:rsid w:val="007301CF"/>
    <w:rsid w:val="007316FB"/>
    <w:rsid w:val="007374D0"/>
    <w:rsid w:val="00737E2D"/>
    <w:rsid w:val="007424D5"/>
    <w:rsid w:val="00750A88"/>
    <w:rsid w:val="007523DD"/>
    <w:rsid w:val="00757B7E"/>
    <w:rsid w:val="007656B2"/>
    <w:rsid w:val="0077016F"/>
    <w:rsid w:val="007713AD"/>
    <w:rsid w:val="00795DC5"/>
    <w:rsid w:val="00797153"/>
    <w:rsid w:val="007A21F7"/>
    <w:rsid w:val="007A2B68"/>
    <w:rsid w:val="007B0DDA"/>
    <w:rsid w:val="007D3347"/>
    <w:rsid w:val="007E5466"/>
    <w:rsid w:val="007F1949"/>
    <w:rsid w:val="007F2592"/>
    <w:rsid w:val="00800A08"/>
    <w:rsid w:val="00817A84"/>
    <w:rsid w:val="008225A4"/>
    <w:rsid w:val="00824B92"/>
    <w:rsid w:val="00826D5E"/>
    <w:rsid w:val="00832013"/>
    <w:rsid w:val="00832DB7"/>
    <w:rsid w:val="00834732"/>
    <w:rsid w:val="0085200C"/>
    <w:rsid w:val="00857C52"/>
    <w:rsid w:val="00860D5F"/>
    <w:rsid w:val="00880A44"/>
    <w:rsid w:val="0088345E"/>
    <w:rsid w:val="0088656F"/>
    <w:rsid w:val="00891EF6"/>
    <w:rsid w:val="008A0303"/>
    <w:rsid w:val="008A5FDD"/>
    <w:rsid w:val="008C3947"/>
    <w:rsid w:val="008E473B"/>
    <w:rsid w:val="008E51A6"/>
    <w:rsid w:val="008E7329"/>
    <w:rsid w:val="008F2ED5"/>
    <w:rsid w:val="0092297E"/>
    <w:rsid w:val="00923651"/>
    <w:rsid w:val="00927B56"/>
    <w:rsid w:val="009341BF"/>
    <w:rsid w:val="00937907"/>
    <w:rsid w:val="00941739"/>
    <w:rsid w:val="00951573"/>
    <w:rsid w:val="00963003"/>
    <w:rsid w:val="00966EEF"/>
    <w:rsid w:val="00971B28"/>
    <w:rsid w:val="00983471"/>
    <w:rsid w:val="009909AB"/>
    <w:rsid w:val="009B37DB"/>
    <w:rsid w:val="009C7A8C"/>
    <w:rsid w:val="009D23F9"/>
    <w:rsid w:val="009D4FA8"/>
    <w:rsid w:val="009E44AE"/>
    <w:rsid w:val="009E6CD6"/>
    <w:rsid w:val="009F4D66"/>
    <w:rsid w:val="00A00C3C"/>
    <w:rsid w:val="00A01091"/>
    <w:rsid w:val="00A042B9"/>
    <w:rsid w:val="00A06DBB"/>
    <w:rsid w:val="00A22ADF"/>
    <w:rsid w:val="00A31E86"/>
    <w:rsid w:val="00A54D87"/>
    <w:rsid w:val="00A5553C"/>
    <w:rsid w:val="00A701C9"/>
    <w:rsid w:val="00A81785"/>
    <w:rsid w:val="00A84803"/>
    <w:rsid w:val="00A84C51"/>
    <w:rsid w:val="00A86F2B"/>
    <w:rsid w:val="00A91366"/>
    <w:rsid w:val="00A93AA6"/>
    <w:rsid w:val="00AA4E48"/>
    <w:rsid w:val="00AA6202"/>
    <w:rsid w:val="00AA7B57"/>
    <w:rsid w:val="00AC26FC"/>
    <w:rsid w:val="00AC4A99"/>
    <w:rsid w:val="00AC64D2"/>
    <w:rsid w:val="00AD02E7"/>
    <w:rsid w:val="00AE0FE8"/>
    <w:rsid w:val="00AE1322"/>
    <w:rsid w:val="00AF60D5"/>
    <w:rsid w:val="00B00959"/>
    <w:rsid w:val="00B04415"/>
    <w:rsid w:val="00B06509"/>
    <w:rsid w:val="00B11D60"/>
    <w:rsid w:val="00B13D65"/>
    <w:rsid w:val="00B21805"/>
    <w:rsid w:val="00B3072E"/>
    <w:rsid w:val="00B36E15"/>
    <w:rsid w:val="00B37245"/>
    <w:rsid w:val="00B4017A"/>
    <w:rsid w:val="00B4468D"/>
    <w:rsid w:val="00B71C72"/>
    <w:rsid w:val="00B81E92"/>
    <w:rsid w:val="00B908D7"/>
    <w:rsid w:val="00B915AB"/>
    <w:rsid w:val="00B935E8"/>
    <w:rsid w:val="00B93B30"/>
    <w:rsid w:val="00B94CB5"/>
    <w:rsid w:val="00BA0DD9"/>
    <w:rsid w:val="00BA5DBC"/>
    <w:rsid w:val="00BB6312"/>
    <w:rsid w:val="00BC4D06"/>
    <w:rsid w:val="00BD585E"/>
    <w:rsid w:val="00BD6919"/>
    <w:rsid w:val="00BE1EA7"/>
    <w:rsid w:val="00BE7489"/>
    <w:rsid w:val="00BF2E0D"/>
    <w:rsid w:val="00BF3927"/>
    <w:rsid w:val="00BF3F8B"/>
    <w:rsid w:val="00BF76DA"/>
    <w:rsid w:val="00C07C7B"/>
    <w:rsid w:val="00C16245"/>
    <w:rsid w:val="00C22DC5"/>
    <w:rsid w:val="00C24479"/>
    <w:rsid w:val="00C273F2"/>
    <w:rsid w:val="00C37B53"/>
    <w:rsid w:val="00C517D2"/>
    <w:rsid w:val="00C5772E"/>
    <w:rsid w:val="00C62B36"/>
    <w:rsid w:val="00C7012C"/>
    <w:rsid w:val="00C712EA"/>
    <w:rsid w:val="00CA217D"/>
    <w:rsid w:val="00CC09D4"/>
    <w:rsid w:val="00CC668D"/>
    <w:rsid w:val="00CC7832"/>
    <w:rsid w:val="00CF0C1C"/>
    <w:rsid w:val="00CF27FD"/>
    <w:rsid w:val="00CF5F12"/>
    <w:rsid w:val="00D00D8F"/>
    <w:rsid w:val="00D21F3A"/>
    <w:rsid w:val="00D23808"/>
    <w:rsid w:val="00D3016A"/>
    <w:rsid w:val="00D417D2"/>
    <w:rsid w:val="00D42960"/>
    <w:rsid w:val="00D43BD7"/>
    <w:rsid w:val="00D4485B"/>
    <w:rsid w:val="00D4708D"/>
    <w:rsid w:val="00D4744C"/>
    <w:rsid w:val="00D521DE"/>
    <w:rsid w:val="00D5470B"/>
    <w:rsid w:val="00D63068"/>
    <w:rsid w:val="00D6498C"/>
    <w:rsid w:val="00D76A70"/>
    <w:rsid w:val="00D83182"/>
    <w:rsid w:val="00D8521E"/>
    <w:rsid w:val="00D9291C"/>
    <w:rsid w:val="00D93A97"/>
    <w:rsid w:val="00DB1F64"/>
    <w:rsid w:val="00DC2F53"/>
    <w:rsid w:val="00DC5BAC"/>
    <w:rsid w:val="00DC6816"/>
    <w:rsid w:val="00DC76C2"/>
    <w:rsid w:val="00DD1CF2"/>
    <w:rsid w:val="00DE4484"/>
    <w:rsid w:val="00DF41B7"/>
    <w:rsid w:val="00DF4A4A"/>
    <w:rsid w:val="00DF583C"/>
    <w:rsid w:val="00E03C3F"/>
    <w:rsid w:val="00E06FD7"/>
    <w:rsid w:val="00E07417"/>
    <w:rsid w:val="00E24D45"/>
    <w:rsid w:val="00E305D8"/>
    <w:rsid w:val="00E33DB8"/>
    <w:rsid w:val="00E33EFF"/>
    <w:rsid w:val="00E34387"/>
    <w:rsid w:val="00E348BA"/>
    <w:rsid w:val="00E369FE"/>
    <w:rsid w:val="00E37C6F"/>
    <w:rsid w:val="00E475F8"/>
    <w:rsid w:val="00E5102E"/>
    <w:rsid w:val="00E5721C"/>
    <w:rsid w:val="00E619C6"/>
    <w:rsid w:val="00E745A1"/>
    <w:rsid w:val="00E81529"/>
    <w:rsid w:val="00E83A13"/>
    <w:rsid w:val="00EB6FC5"/>
    <w:rsid w:val="00EC2356"/>
    <w:rsid w:val="00EC2582"/>
    <w:rsid w:val="00EC337C"/>
    <w:rsid w:val="00ED0CFF"/>
    <w:rsid w:val="00ED31D2"/>
    <w:rsid w:val="00EE0EAC"/>
    <w:rsid w:val="00EE3322"/>
    <w:rsid w:val="00EE33CB"/>
    <w:rsid w:val="00F0061A"/>
    <w:rsid w:val="00F02834"/>
    <w:rsid w:val="00F04EEB"/>
    <w:rsid w:val="00F05467"/>
    <w:rsid w:val="00F055D2"/>
    <w:rsid w:val="00F07CD7"/>
    <w:rsid w:val="00F127E9"/>
    <w:rsid w:val="00F14B5D"/>
    <w:rsid w:val="00F259FC"/>
    <w:rsid w:val="00F36972"/>
    <w:rsid w:val="00F42426"/>
    <w:rsid w:val="00F456BC"/>
    <w:rsid w:val="00F50666"/>
    <w:rsid w:val="00F542ED"/>
    <w:rsid w:val="00F70C9E"/>
    <w:rsid w:val="00F74A74"/>
    <w:rsid w:val="00F7572C"/>
    <w:rsid w:val="00F8382C"/>
    <w:rsid w:val="00F855D7"/>
    <w:rsid w:val="00F92035"/>
    <w:rsid w:val="00F92748"/>
    <w:rsid w:val="00FA4169"/>
    <w:rsid w:val="00FB0D41"/>
    <w:rsid w:val="00FB2030"/>
    <w:rsid w:val="00FD0E46"/>
    <w:rsid w:val="00FD1CF2"/>
    <w:rsid w:val="00FD3EDF"/>
    <w:rsid w:val="00FD793C"/>
    <w:rsid w:val="00FE0FD5"/>
    <w:rsid w:val="00FE20E6"/>
    <w:rsid w:val="00FE3E3B"/>
    <w:rsid w:val="00FF4032"/>
    <w:rsid w:val="00FF6469"/>
    <w:rsid w:val="00FF7E4A"/>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FE6E56"/>
  <w15:docId w15:val="{EAE663F4-E9D4-4801-9B3D-DF722035B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81529"/>
    <w:rPr>
      <w:sz w:val="24"/>
      <w:szCs w:val="24"/>
      <w:lang w:eastAsia="en-US"/>
    </w:rPr>
  </w:style>
  <w:style w:type="paragraph" w:styleId="Antrat1">
    <w:name w:val="heading 1"/>
    <w:basedOn w:val="prastasis"/>
    <w:next w:val="prastasis"/>
    <w:qFormat/>
    <w:rsid w:val="00A84C51"/>
    <w:pPr>
      <w:keepNext/>
      <w:jc w:val="center"/>
      <w:outlineLvl w:val="0"/>
    </w:pPr>
    <w:rPr>
      <w:b/>
      <w:bCs/>
      <w:caps/>
    </w:rPr>
  </w:style>
  <w:style w:type="paragraph" w:styleId="Antrat2">
    <w:name w:val="heading 2"/>
    <w:basedOn w:val="prastasis"/>
    <w:next w:val="prastasis"/>
    <w:qFormat/>
    <w:rsid w:val="00A84C51"/>
    <w:pPr>
      <w:keepNext/>
      <w:jc w:val="center"/>
      <w:outlineLvl w:val="1"/>
    </w:pPr>
    <w:rPr>
      <w:b/>
      <w:bCs/>
      <w:caps/>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A84C51"/>
    <w:pPr>
      <w:tabs>
        <w:tab w:val="center" w:pos="4986"/>
        <w:tab w:val="right" w:pos="9972"/>
      </w:tabs>
    </w:pPr>
  </w:style>
  <w:style w:type="paragraph" w:styleId="Porat">
    <w:name w:val="footer"/>
    <w:basedOn w:val="prastasis"/>
    <w:link w:val="PoratDiagrama"/>
    <w:rsid w:val="00A84C51"/>
    <w:pPr>
      <w:tabs>
        <w:tab w:val="center" w:pos="4986"/>
        <w:tab w:val="right" w:pos="9972"/>
      </w:tabs>
    </w:pPr>
  </w:style>
  <w:style w:type="character" w:styleId="Puslapionumeris">
    <w:name w:val="page number"/>
    <w:basedOn w:val="Numatytasispastraiposriftas"/>
    <w:rsid w:val="00A84C51"/>
  </w:style>
  <w:style w:type="character" w:styleId="Hipersaitas">
    <w:name w:val="Hyperlink"/>
    <w:basedOn w:val="Numatytasispastraiposriftas"/>
    <w:rsid w:val="00A84C51"/>
    <w:rPr>
      <w:color w:val="0000FF"/>
      <w:u w:val="single"/>
    </w:rPr>
  </w:style>
  <w:style w:type="paragraph" w:styleId="Debesliotekstas">
    <w:name w:val="Balloon Text"/>
    <w:basedOn w:val="prastasis"/>
    <w:semiHidden/>
    <w:rsid w:val="00EC2356"/>
    <w:rPr>
      <w:rFonts w:ascii="Tahoma" w:hAnsi="Tahoma" w:cs="Tahoma"/>
      <w:sz w:val="16"/>
      <w:szCs w:val="16"/>
    </w:rPr>
  </w:style>
  <w:style w:type="character" w:customStyle="1" w:styleId="PoratDiagrama">
    <w:name w:val="Poraštė Diagrama"/>
    <w:basedOn w:val="Numatytasispastraiposriftas"/>
    <w:link w:val="Porat"/>
    <w:rsid w:val="00737E2D"/>
    <w:rPr>
      <w:sz w:val="24"/>
      <w:szCs w:val="24"/>
      <w:lang w:eastAsia="en-US"/>
    </w:rPr>
  </w:style>
  <w:style w:type="character" w:customStyle="1" w:styleId="Neapdorotaspaminjimas1">
    <w:name w:val="Neapdorotas paminėjimas1"/>
    <w:basedOn w:val="Numatytasispastraiposriftas"/>
    <w:uiPriority w:val="99"/>
    <w:semiHidden/>
    <w:unhideWhenUsed/>
    <w:rsid w:val="00A31E86"/>
    <w:rPr>
      <w:color w:val="605E5C"/>
      <w:shd w:val="clear" w:color="auto" w:fill="E1DFDD"/>
    </w:rPr>
  </w:style>
  <w:style w:type="character" w:styleId="Perirtashipersaitas">
    <w:name w:val="FollowedHyperlink"/>
    <w:basedOn w:val="Numatytasispastraiposriftas"/>
    <w:semiHidden/>
    <w:unhideWhenUsed/>
    <w:rsid w:val="00A31E86"/>
    <w:rPr>
      <w:color w:val="800080" w:themeColor="followedHyperlink"/>
      <w:u w:val="single"/>
    </w:rPr>
  </w:style>
  <w:style w:type="table" w:styleId="Lentelstinklelis">
    <w:name w:val="Table Grid"/>
    <w:basedOn w:val="prastojilentel"/>
    <w:rsid w:val="00D42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C7012C"/>
    <w:rPr>
      <w:sz w:val="16"/>
      <w:szCs w:val="16"/>
    </w:rPr>
  </w:style>
  <w:style w:type="paragraph" w:styleId="Komentarotekstas">
    <w:name w:val="annotation text"/>
    <w:basedOn w:val="prastasis"/>
    <w:link w:val="KomentarotekstasDiagrama"/>
    <w:unhideWhenUsed/>
    <w:rsid w:val="00C7012C"/>
    <w:rPr>
      <w:sz w:val="20"/>
      <w:szCs w:val="20"/>
    </w:rPr>
  </w:style>
  <w:style w:type="character" w:customStyle="1" w:styleId="KomentarotekstasDiagrama">
    <w:name w:val="Komentaro tekstas Diagrama"/>
    <w:basedOn w:val="Numatytasispastraiposriftas"/>
    <w:link w:val="Komentarotekstas"/>
    <w:rsid w:val="00C7012C"/>
    <w:rPr>
      <w:lang w:eastAsia="en-US"/>
    </w:rPr>
  </w:style>
  <w:style w:type="paragraph" w:styleId="Komentarotema">
    <w:name w:val="annotation subject"/>
    <w:basedOn w:val="Komentarotekstas"/>
    <w:next w:val="Komentarotekstas"/>
    <w:link w:val="KomentarotemaDiagrama"/>
    <w:semiHidden/>
    <w:unhideWhenUsed/>
    <w:rsid w:val="00C7012C"/>
    <w:rPr>
      <w:b/>
      <w:bCs/>
    </w:rPr>
  </w:style>
  <w:style w:type="character" w:customStyle="1" w:styleId="KomentarotemaDiagrama">
    <w:name w:val="Komentaro tema Diagrama"/>
    <w:basedOn w:val="KomentarotekstasDiagrama"/>
    <w:link w:val="Komentarotema"/>
    <w:semiHidden/>
    <w:rsid w:val="00C7012C"/>
    <w:rPr>
      <w:b/>
      <w:bCs/>
      <w:lang w:eastAsia="en-US"/>
    </w:rPr>
  </w:style>
  <w:style w:type="paragraph" w:styleId="Sraopastraipa">
    <w:name w:val="List Paragraph"/>
    <w:basedOn w:val="prastasis"/>
    <w:uiPriority w:val="34"/>
    <w:qFormat/>
    <w:rsid w:val="00104E2E"/>
    <w:pPr>
      <w:ind w:left="720"/>
      <w:contextualSpacing/>
    </w:pPr>
  </w:style>
  <w:style w:type="character" w:customStyle="1" w:styleId="Style2">
    <w:name w:val="Style2"/>
    <w:basedOn w:val="Numatytasispastraiposriftas"/>
    <w:uiPriority w:val="1"/>
    <w:rsid w:val="00D6498C"/>
    <w:rPr>
      <w:sz w:val="32"/>
    </w:rPr>
  </w:style>
  <w:style w:type="character" w:styleId="Vietosrezervavimoenklotekstas">
    <w:name w:val="Placeholder Text"/>
    <w:basedOn w:val="Numatytasispastraiposriftas"/>
    <w:uiPriority w:val="99"/>
    <w:rsid w:val="00B13D65"/>
    <w:rPr>
      <w:color w:val="808080"/>
    </w:rPr>
  </w:style>
  <w:style w:type="paragraph" w:styleId="Betarp">
    <w:name w:val="No Spacing"/>
    <w:uiPriority w:val="1"/>
    <w:qFormat/>
    <w:rsid w:val="00B13D65"/>
    <w:rPr>
      <w:rFonts w:ascii="Calibri" w:eastAsia="Calibri" w:hAnsi="Calibri"/>
      <w:sz w:val="22"/>
      <w:szCs w:val="22"/>
      <w:lang w:eastAsia="en-US"/>
    </w:rPr>
  </w:style>
  <w:style w:type="table" w:customStyle="1" w:styleId="Lentelstinklelis1">
    <w:name w:val="Lentelės tinklelis1"/>
    <w:basedOn w:val="prastojilentel"/>
    <w:next w:val="Lentelstinklelis"/>
    <w:rsid w:val="009E44AE"/>
    <w:rPr>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476256"/>
    <w:rPr>
      <w:sz w:val="24"/>
      <w:szCs w:val="24"/>
      <w:lang w:eastAsia="en-US"/>
    </w:rPr>
  </w:style>
  <w:style w:type="character" w:customStyle="1" w:styleId="normaltextrun">
    <w:name w:val="normaltextrun"/>
    <w:basedOn w:val="Numatytasispastraiposriftas"/>
    <w:rsid w:val="000F34B4"/>
  </w:style>
  <w:style w:type="paragraph" w:customStyle="1" w:styleId="VVKT">
    <w:name w:val="VVKT"/>
    <w:basedOn w:val="prastasis"/>
    <w:qFormat/>
    <w:rsid w:val="001A6558"/>
    <w:pPr>
      <w:tabs>
        <w:tab w:val="left" w:pos="426"/>
      </w:tabs>
      <w:spacing w:line="276" w:lineRule="auto"/>
      <w:ind w:firstLine="567"/>
      <w:jc w:val="both"/>
    </w:pPr>
    <w:rPr>
      <w:rFonts w:eastAsia="Arial"/>
    </w:rPr>
  </w:style>
  <w:style w:type="character" w:customStyle="1" w:styleId="ProtokoluiChar">
    <w:name w:val="Protokolui Char"/>
    <w:link w:val="Protokolui"/>
    <w:locked/>
    <w:rsid w:val="001A6558"/>
    <w:rPr>
      <w:lang w:val="x-none"/>
    </w:rPr>
  </w:style>
  <w:style w:type="paragraph" w:customStyle="1" w:styleId="Protokolui">
    <w:name w:val="Protokolui"/>
    <w:basedOn w:val="Pagrindinistekstas"/>
    <w:link w:val="ProtokoluiChar"/>
    <w:qFormat/>
    <w:rsid w:val="001A6558"/>
    <w:pPr>
      <w:spacing w:after="0"/>
      <w:ind w:firstLine="432"/>
      <w:jc w:val="both"/>
    </w:pPr>
    <w:rPr>
      <w:sz w:val="20"/>
      <w:szCs w:val="20"/>
      <w:lang w:val="x-none" w:eastAsia="lt-LT"/>
    </w:rPr>
  </w:style>
  <w:style w:type="paragraph" w:styleId="Pagrindinistekstas">
    <w:name w:val="Body Text"/>
    <w:basedOn w:val="prastasis"/>
    <w:link w:val="PagrindinistekstasDiagrama"/>
    <w:semiHidden/>
    <w:unhideWhenUsed/>
    <w:rsid w:val="001A6558"/>
    <w:pPr>
      <w:spacing w:after="120"/>
    </w:pPr>
  </w:style>
  <w:style w:type="character" w:customStyle="1" w:styleId="PagrindinistekstasDiagrama">
    <w:name w:val="Pagrindinis tekstas Diagrama"/>
    <w:basedOn w:val="Numatytasispastraiposriftas"/>
    <w:link w:val="Pagrindinistekstas"/>
    <w:semiHidden/>
    <w:rsid w:val="001A6558"/>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8802146">
      <w:bodyDiv w:val="1"/>
      <w:marLeft w:val="0"/>
      <w:marRight w:val="0"/>
      <w:marTop w:val="0"/>
      <w:marBottom w:val="0"/>
      <w:divBdr>
        <w:top w:val="none" w:sz="0" w:space="0" w:color="auto"/>
        <w:left w:val="none" w:sz="0" w:space="0" w:color="auto"/>
        <w:bottom w:val="none" w:sz="0" w:space="0" w:color="auto"/>
        <w:right w:val="none" w:sz="0" w:space="0" w:color="auto"/>
      </w:divBdr>
    </w:div>
    <w:div w:id="159778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poceviciute\Documents\VVKT%20rastam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4F4D102D51B4E429FAB330DC8998511"/>
        <w:category>
          <w:name w:val="General"/>
          <w:gallery w:val="placeholder"/>
        </w:category>
        <w:types>
          <w:type w:val="bbPlcHdr"/>
        </w:types>
        <w:behaviors>
          <w:behavior w:val="content"/>
        </w:behaviors>
        <w:guid w:val="{67B029BB-BE1B-AA4A-943E-458ED6B07EB5}"/>
      </w:docPartPr>
      <w:docPartBody>
        <w:p w:rsidR="00162C44" w:rsidRDefault="00487042" w:rsidP="00487042">
          <w:pPr>
            <w:pStyle w:val="84F4D102D51B4E429FAB330DC8998511"/>
          </w:pPr>
          <w:r>
            <w:rPr>
              <w:rStyle w:val="Vietosrezervavimoenklotekstas"/>
            </w:rPr>
            <w:t>Click here to enter a date.</w:t>
          </w:r>
        </w:p>
      </w:docPartBody>
    </w:docPart>
    <w:docPart>
      <w:docPartPr>
        <w:name w:val="2F8CF07B79A4CC4F9F1EF5522977EBEC"/>
        <w:category>
          <w:name w:val="General"/>
          <w:gallery w:val="placeholder"/>
        </w:category>
        <w:types>
          <w:type w:val="bbPlcHdr"/>
        </w:types>
        <w:behaviors>
          <w:behavior w:val="content"/>
        </w:behaviors>
        <w:guid w:val="{F2C93DB3-C794-604E-8F5D-53291184D16C}"/>
      </w:docPartPr>
      <w:docPartBody>
        <w:p w:rsidR="00162C44" w:rsidRDefault="00487042" w:rsidP="00487042">
          <w:pPr>
            <w:pStyle w:val="2F8CF07B79A4CC4F9F1EF5522977EBEC"/>
          </w:pPr>
          <w:r>
            <w:rPr>
              <w:rStyle w:val="Vietosrezervavimoenklotekstas"/>
            </w:rPr>
            <w:t>Click here to enter a date.</w:t>
          </w:r>
        </w:p>
      </w:docPartBody>
    </w:docPart>
    <w:docPart>
      <w:docPartPr>
        <w:name w:val="A38B42CE285F5646A5FBEBF29618D854"/>
        <w:category>
          <w:name w:val="General"/>
          <w:gallery w:val="placeholder"/>
        </w:category>
        <w:types>
          <w:type w:val="bbPlcHdr"/>
        </w:types>
        <w:behaviors>
          <w:behavior w:val="content"/>
        </w:behaviors>
        <w:guid w:val="{FFDAADEE-F276-0A49-B3BD-E05E87E0EC53}"/>
      </w:docPartPr>
      <w:docPartBody>
        <w:p w:rsidR="00162C44" w:rsidRDefault="00487042" w:rsidP="00487042">
          <w:pPr>
            <w:pStyle w:val="A38B42CE285F5646A5FBEBF29618D854"/>
          </w:pPr>
          <w:r>
            <w:rPr>
              <w:rStyle w:val="Vietosrezervavimoenklotekstas"/>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0DD"/>
    <w:rsid w:val="0001247F"/>
    <w:rsid w:val="00061157"/>
    <w:rsid w:val="000937FE"/>
    <w:rsid w:val="000A559A"/>
    <w:rsid w:val="000D24D4"/>
    <w:rsid w:val="00162C44"/>
    <w:rsid w:val="001C35A9"/>
    <w:rsid w:val="00237556"/>
    <w:rsid w:val="0039303B"/>
    <w:rsid w:val="004144A3"/>
    <w:rsid w:val="004160E7"/>
    <w:rsid w:val="004416C6"/>
    <w:rsid w:val="00487042"/>
    <w:rsid w:val="004F5AB2"/>
    <w:rsid w:val="005074B9"/>
    <w:rsid w:val="005E40DD"/>
    <w:rsid w:val="007219C1"/>
    <w:rsid w:val="00753462"/>
    <w:rsid w:val="00772325"/>
    <w:rsid w:val="007A2FE0"/>
    <w:rsid w:val="007C6D1D"/>
    <w:rsid w:val="0090074D"/>
    <w:rsid w:val="009B3BF0"/>
    <w:rsid w:val="009D5E5E"/>
    <w:rsid w:val="009F1BB4"/>
    <w:rsid w:val="00AB6ED4"/>
    <w:rsid w:val="00B14210"/>
    <w:rsid w:val="00B23DC0"/>
    <w:rsid w:val="00B96656"/>
    <w:rsid w:val="00BE29C1"/>
    <w:rsid w:val="00C2401D"/>
    <w:rsid w:val="00C53A68"/>
    <w:rsid w:val="00CA5BB4"/>
    <w:rsid w:val="00CB4BD1"/>
    <w:rsid w:val="00CE2DA9"/>
    <w:rsid w:val="00CE44BE"/>
    <w:rsid w:val="00D4356B"/>
    <w:rsid w:val="00D7162F"/>
    <w:rsid w:val="00DE1D4C"/>
    <w:rsid w:val="00E44A86"/>
    <w:rsid w:val="00E522EB"/>
    <w:rsid w:val="00E60827"/>
    <w:rsid w:val="00E73FF6"/>
    <w:rsid w:val="00EF6E0C"/>
    <w:rsid w:val="00F55028"/>
    <w:rsid w:val="00F77BEF"/>
    <w:rsid w:val="00FC755C"/>
    <w:rsid w:val="00FE0D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rsid w:val="00487042"/>
    <w:rPr>
      <w:color w:val="808080"/>
    </w:rPr>
  </w:style>
  <w:style w:type="paragraph" w:customStyle="1" w:styleId="84F4D102D51B4E429FAB330DC8998511">
    <w:name w:val="84F4D102D51B4E429FAB330DC8998511"/>
    <w:rsid w:val="00487042"/>
    <w:pPr>
      <w:spacing w:after="0" w:line="240" w:lineRule="auto"/>
    </w:pPr>
    <w:rPr>
      <w:sz w:val="24"/>
      <w:szCs w:val="24"/>
      <w:lang w:eastAsia="en-GB"/>
    </w:rPr>
  </w:style>
  <w:style w:type="paragraph" w:customStyle="1" w:styleId="2F8CF07B79A4CC4F9F1EF5522977EBEC">
    <w:name w:val="2F8CF07B79A4CC4F9F1EF5522977EBEC"/>
    <w:rsid w:val="00487042"/>
    <w:pPr>
      <w:spacing w:after="0" w:line="240" w:lineRule="auto"/>
    </w:pPr>
    <w:rPr>
      <w:sz w:val="24"/>
      <w:szCs w:val="24"/>
      <w:lang w:eastAsia="en-GB"/>
    </w:rPr>
  </w:style>
  <w:style w:type="paragraph" w:customStyle="1" w:styleId="A38B42CE285F5646A5FBEBF29618D854">
    <w:name w:val="A38B42CE285F5646A5FBEBF29618D854"/>
    <w:rsid w:val="00487042"/>
    <w:pPr>
      <w:spacing w:after="0" w:line="240" w:lineRule="auto"/>
    </w:pPr>
    <w:rPr>
      <w:sz w:val="24"/>
      <w:szCs w:val="24"/>
      <w:lang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7211CF-927E-461E-8965-2BA3B9BE9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VVKT rastams</Template>
  <TotalTime>37</TotalTime>
  <Pages>8</Pages>
  <Words>1885</Words>
  <Characters>13759</Characters>
  <Application>Microsoft Office Word</Application>
  <DocSecurity>0</DocSecurity>
  <Lines>114</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S.M.C.A.</Company>
  <LinksUpToDate>false</LinksUpToDate>
  <CharactersWithSpaces>15613</CharactersWithSpaces>
  <SharedDoc>false</SharedDoc>
  <HLinks>
    <vt:vector size="6" baseType="variant">
      <vt:variant>
        <vt:i4>5308539</vt:i4>
      </vt:variant>
      <vt:variant>
        <vt:i4>6</vt:i4>
      </vt:variant>
      <vt:variant>
        <vt:i4>0</vt:i4>
      </vt:variant>
      <vt:variant>
        <vt:i4>5</vt:i4>
      </vt:variant>
      <vt:variant>
        <vt:lpwstr>mailto:vvkt@vvkt.lt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Kudelienė</dc:creator>
  <cp:keywords/>
  <dc:description/>
  <cp:lastModifiedBy>Gintarė Žilvytė</cp:lastModifiedBy>
  <cp:revision>21</cp:revision>
  <cp:lastPrinted>2015-11-17T07:39:00Z</cp:lastPrinted>
  <dcterms:created xsi:type="dcterms:W3CDTF">2022-07-01T08:28:00Z</dcterms:created>
  <dcterms:modified xsi:type="dcterms:W3CDTF">2024-03-13T16:01:00Z</dcterms:modified>
</cp:coreProperties>
</file>