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902A9F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902A9F" w:rsidRDefault="00484191">
            <w:bookmarkStart w:id="0" w:name="_GoBack"/>
            <w:r w:rsidRPr="00902A9F">
              <w:t>Lietuvos Respublikos Sveikatos apsaugos ministerijos</w:t>
            </w:r>
          </w:p>
          <w:p w14:paraId="0045D7C6" w14:textId="1821E7B1" w:rsidR="00484191" w:rsidRPr="00902A9F" w:rsidRDefault="00484191" w:rsidP="001A015E">
            <w:r>
              <w:t>V</w:t>
            </w:r>
            <w:r w:rsidRPr="00902A9F">
              <w:t>aistinių preparatų ir medicinos pagalbos priemonių kompensavimo komisijai</w:t>
            </w:r>
          </w:p>
        </w:tc>
        <w:tc>
          <w:tcPr>
            <w:tcW w:w="285" w:type="dxa"/>
          </w:tcPr>
          <w:p w14:paraId="12737FA8" w14:textId="77777777" w:rsidR="00484191" w:rsidRPr="00902A9F" w:rsidRDefault="00484191"/>
        </w:tc>
        <w:tc>
          <w:tcPr>
            <w:tcW w:w="286" w:type="dxa"/>
          </w:tcPr>
          <w:p w14:paraId="73F4FBE6" w14:textId="77777777" w:rsidR="00484191" w:rsidRPr="00902A9F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902A9F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902A9F" w:rsidRDefault="00484191"/>
        </w:tc>
      </w:tr>
      <w:tr w:rsidR="00484191" w:rsidRPr="00902A9F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902A9F" w:rsidRDefault="00484191"/>
        </w:tc>
        <w:tc>
          <w:tcPr>
            <w:tcW w:w="285" w:type="dxa"/>
            <w:vAlign w:val="center"/>
          </w:tcPr>
          <w:p w14:paraId="687AE32E" w14:textId="77777777" w:rsidR="00484191" w:rsidRPr="00902A9F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902A9F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A661CE8" w:rsidR="00484191" w:rsidRPr="00902A9F" w:rsidRDefault="001A015E" w:rsidP="00935249">
            <w:r w:rsidRPr="00B95628">
              <w:t>Į</w:t>
            </w:r>
            <w:r w:rsidRPr="00B95628">
              <w:t xml:space="preserve"> </w:t>
            </w:r>
            <w:r w:rsidRPr="00B95628">
              <w:t>2020-05-20</w:t>
            </w:r>
          </w:p>
        </w:tc>
        <w:tc>
          <w:tcPr>
            <w:tcW w:w="1941" w:type="dxa"/>
            <w:vAlign w:val="center"/>
            <w:hideMark/>
          </w:tcPr>
          <w:p w14:paraId="5FAD2F28" w14:textId="21FD8A72" w:rsidR="00484191" w:rsidRPr="00902A9F" w:rsidRDefault="00484191">
            <w:r w:rsidRPr="00902A9F">
              <w:t>Nr.</w:t>
            </w:r>
          </w:p>
        </w:tc>
      </w:tr>
      <w:bookmarkEnd w:id="0"/>
    </w:tbl>
    <w:p w14:paraId="3D264F6E" w14:textId="37F0F9EF" w:rsidR="0025697F" w:rsidRPr="00484191" w:rsidRDefault="0025697F" w:rsidP="00484191">
      <w:pPr>
        <w:jc w:val="both"/>
        <w:rPr>
          <w:b/>
        </w:rPr>
      </w:pPr>
    </w:p>
    <w:p w14:paraId="32B11A45" w14:textId="42DF8A2F" w:rsidR="00484191" w:rsidRDefault="00484191" w:rsidP="00484191">
      <w:pPr>
        <w:jc w:val="both"/>
        <w:rPr>
          <w:b/>
        </w:rPr>
      </w:pPr>
      <w:r w:rsidRPr="00484191">
        <w:rPr>
          <w:b/>
        </w:rPr>
        <w:t>DĖL REKOMENDACIJOS LIETUVOS RESPUBLIKOS SVEIKATOS APSAUGOS MINISTERIJOS VAISTINIŲ PREPARATŲ IR MEDICINOS PAGALBOS PRIEMONIŲ KOMPENSAVIMO KOMISIJAI PATEIKIMO</w:t>
      </w:r>
    </w:p>
    <w:p w14:paraId="14C51826" w14:textId="683C32EF" w:rsidR="00484191" w:rsidRDefault="00484191" w:rsidP="00484191">
      <w:pPr>
        <w:jc w:val="both"/>
        <w:rPr>
          <w:b/>
        </w:rPr>
      </w:pPr>
    </w:p>
    <w:p w14:paraId="6F15F03B" w14:textId="2FE6DEEE" w:rsidR="009E0C9D" w:rsidRDefault="00484191" w:rsidP="009E0C9D">
      <w:pPr>
        <w:pStyle w:val="PlainText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Teikiame</w:t>
      </w:r>
      <w:r w:rsidRPr="00484191">
        <w:rPr>
          <w:rFonts w:ascii="Times New Roman" w:hAnsi="Times New Roman" w:cs="Times New Roman"/>
          <w:sz w:val="24"/>
          <w:szCs w:val="24"/>
        </w:rPr>
        <w:t xml:space="preserve"> Valstybinės vaistų kontrolės tarnybos prie Lietuvos Respublikos sveikatos apsaugos ministerijos Sveikatos technologijų vertinimo skyriaus </w:t>
      </w:r>
      <w:r w:rsidR="00A00683">
        <w:rPr>
          <w:rFonts w:ascii="Times New Roman" w:hAnsi="Times New Roman" w:cs="Times New Roman"/>
          <w:sz w:val="24"/>
          <w:szCs w:val="24"/>
        </w:rPr>
        <w:t xml:space="preserve">išvadas ir </w:t>
      </w:r>
      <w:r w:rsidRPr="00484191">
        <w:rPr>
          <w:rFonts w:ascii="Times New Roman" w:hAnsi="Times New Roman" w:cs="Times New Roman"/>
          <w:sz w:val="24"/>
          <w:szCs w:val="24"/>
        </w:rPr>
        <w:t>rekomendaciją Lietuvos Respublikos sveikatos apsaugos ministerijos Vaistinių preparatų ir medicinos pagalbos p</w:t>
      </w:r>
      <w:r w:rsidR="00FC630D">
        <w:rPr>
          <w:rFonts w:ascii="Times New Roman" w:hAnsi="Times New Roman" w:cs="Times New Roman"/>
          <w:sz w:val="24"/>
          <w:szCs w:val="24"/>
        </w:rPr>
        <w:t>riemonių kompensavimo komisijai</w:t>
      </w:r>
      <w:r w:rsidR="009E0C9D" w:rsidRPr="009E0C9D">
        <w:rPr>
          <w:rFonts w:ascii="Times New Roman" w:hAnsi="Times New Roman" w:cs="Times New Roman"/>
          <w:sz w:val="24"/>
          <w:szCs w:val="24"/>
        </w:rPr>
        <w:t xml:space="preserve"> </w:t>
      </w:r>
      <w:r w:rsidR="009E0C9D">
        <w:rPr>
          <w:rFonts w:ascii="Times New Roman" w:hAnsi="Times New Roman" w:cs="Times New Roman"/>
          <w:sz w:val="24"/>
          <w:szCs w:val="24"/>
        </w:rPr>
        <w:t>dė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l </w:t>
      </w:r>
      <w:r w:rsidR="00E01B69" w:rsidRPr="00E01B69">
        <w:rPr>
          <w:rFonts w:ascii="Times New Roman" w:hAnsi="Times New Roman" w:cs="Times New Roman"/>
          <w:sz w:val="24"/>
          <w:szCs w:val="24"/>
        </w:rPr>
        <w:t xml:space="preserve">medicinos pagalbos </w:t>
      </w:r>
      <w:r w:rsidR="00E01B69" w:rsidRPr="00B565A2">
        <w:rPr>
          <w:rFonts w:ascii="Times New Roman" w:hAnsi="Times New Roman" w:cs="Times New Roman"/>
          <w:sz w:val="24"/>
          <w:szCs w:val="24"/>
        </w:rPr>
        <w:t>priemonė</w:t>
      </w:r>
      <w:r w:rsidR="00E01B69" w:rsidRPr="00B565A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E01B69" w:rsidRPr="00B565A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159B1" w:rsidRPr="00B565A2">
        <w:rPr>
          <w:rFonts w:ascii="Times New Roman" w:hAnsi="Times New Roman" w:cs="Times New Roman"/>
          <w:sz w:val="24"/>
          <w:szCs w:val="24"/>
        </w:rPr>
        <w:t>Mikrokateteris</w:t>
      </w:r>
      <w:proofErr w:type="spellEnd"/>
      <w:r w:rsidR="006159B1" w:rsidRPr="00B56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9B1" w:rsidRPr="00B565A2">
        <w:rPr>
          <w:rFonts w:ascii="Times New Roman" w:hAnsi="Times New Roman" w:cs="Times New Roman"/>
          <w:sz w:val="24"/>
          <w:szCs w:val="24"/>
        </w:rPr>
        <w:t>kanaloplastikai</w:t>
      </w:r>
      <w:proofErr w:type="spellEnd"/>
      <w:r w:rsidR="00E01B69" w:rsidRPr="00B565A2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="006159B1" w:rsidRPr="00B565A2">
        <w:rPr>
          <w:rFonts w:ascii="Times New Roman" w:hAnsi="Times New Roman" w:cs="Times New Roman"/>
          <w:sz w:val="24"/>
          <w:szCs w:val="24"/>
        </w:rPr>
        <w:t>iTRACK</w:t>
      </w:r>
      <w:proofErr w:type="spellEnd"/>
      <w:r w:rsidR="006159B1" w:rsidRPr="00B565A2">
        <w:rPr>
          <w:rFonts w:ascii="Times New Roman" w:hAnsi="Times New Roman" w:cs="Times New Roman"/>
          <w:sz w:val="24"/>
          <w:szCs w:val="24"/>
        </w:rPr>
        <w:t xml:space="preserve"> 250</w:t>
      </w:r>
      <w:r w:rsidR="00E01B69" w:rsidRPr="00B565A2">
        <w:rPr>
          <w:rFonts w:ascii="Times New Roman" w:hAnsi="Times New Roman" w:cs="Times New Roman"/>
          <w:sz w:val="24"/>
          <w:szCs w:val="24"/>
        </w:rPr>
        <w:t>) (toliau – MPP)</w:t>
      </w:r>
      <w:r w:rsidR="00E01B69" w:rsidRPr="00E01B69">
        <w:rPr>
          <w:rFonts w:ascii="Times New Roman" w:hAnsi="Times New Roman" w:cs="Times New Roman"/>
          <w:sz w:val="24"/>
          <w:szCs w:val="24"/>
        </w:rPr>
        <w:t xml:space="preserve"> </w:t>
      </w:r>
      <w:r w:rsidR="00FC630D" w:rsidRPr="00E01B69">
        <w:rPr>
          <w:rFonts w:ascii="Times New Roman" w:hAnsi="Times New Roman" w:cs="Times New Roman"/>
          <w:sz w:val="24"/>
          <w:szCs w:val="24"/>
        </w:rPr>
        <w:t xml:space="preserve"> 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įtraukimo į </w:t>
      </w:r>
      <w:r w:rsidR="00E01B69" w:rsidRPr="00E01B69">
        <w:rPr>
          <w:rFonts w:ascii="Times New Roman" w:eastAsia="Arial Unicode MS" w:hAnsi="Times New Roman" w:cs="Times New Roman"/>
          <w:sz w:val="24"/>
          <w:szCs w:val="24"/>
        </w:rPr>
        <w:t>Centralizuotai apmokamų vaistinių preparatų ir medicinos pagalbos priemonių sąrašą</w:t>
      </w:r>
      <w:r w:rsidR="00ED2E6B">
        <w:rPr>
          <w:rFonts w:ascii="Times New Roman" w:eastAsia="Arial Unicode MS" w:hAnsi="Times New Roman" w:cs="Times New Roman"/>
          <w:sz w:val="24"/>
          <w:szCs w:val="24"/>
        </w:rPr>
        <w:t xml:space="preserve"> (toliau – Sąrašas)</w:t>
      </w:r>
      <w:r w:rsidR="00FC4DB6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D442A2D" w14:textId="77777777" w:rsidR="00641B88" w:rsidRDefault="00641B88" w:rsidP="00641B88">
      <w:pPr>
        <w:ind w:firstLine="720"/>
        <w:jc w:val="both"/>
      </w:pPr>
      <w:r>
        <w:t xml:space="preserve">Tarnyba atkreipia dėmesį dėl vertinamos MPP Lietuvai taikomos kainos, kuri yra </w:t>
      </w:r>
      <w:r w:rsidRPr="00B552D3">
        <w:rPr>
          <w:bCs/>
        </w:rPr>
        <w:t xml:space="preserve">didesnė už </w:t>
      </w:r>
      <w:r w:rsidRPr="00B552D3">
        <w:t xml:space="preserve">ES valstybėse deklaruojamų </w:t>
      </w:r>
      <w:r>
        <w:t xml:space="preserve">trijų </w:t>
      </w:r>
      <w:r w:rsidRPr="00B552D3">
        <w:t>(deklaruotos kainos: Italijoje, Ispanijoje</w:t>
      </w:r>
      <w:r>
        <w:t xml:space="preserve"> ir</w:t>
      </w:r>
      <w:r w:rsidRPr="00B552D3">
        <w:t xml:space="preserve"> Švedijoje) kainų vidurkį</w:t>
      </w:r>
      <w:r>
        <w:t xml:space="preserve"> (Lietuvoje yra tik vienas tiekėjas) bei </w:t>
      </w:r>
      <w:r>
        <w:rPr>
          <w:rFonts w:eastAsia="Arial Unicode MS"/>
        </w:rPr>
        <w:t>didesnė nei kaina, kuria gydymo įstaiga pirko MPP pagal pateiktus pirkimo sutarties dokumentus (pirkimo-pardavimo sutartis pridėta prieduose).</w:t>
      </w:r>
    </w:p>
    <w:p w14:paraId="52C15176" w14:textId="4518B956" w:rsidR="00641B88" w:rsidRDefault="00641B88" w:rsidP="00641B88">
      <w:pPr>
        <w:pStyle w:val="PlainText"/>
        <w:ind w:firstLine="85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Vertinan</w:t>
      </w:r>
      <w:r w:rsidR="006159B1">
        <w:rPr>
          <w:rFonts w:ascii="Times New Roman" w:hAnsi="Times New Roman" w:cs="Times New Roman"/>
          <w:sz w:val="24"/>
          <w:szCs w:val="24"/>
        </w:rPr>
        <w:t>t, kad</w:t>
      </w:r>
      <w:r w:rsidR="00ED2E6B" w:rsidRPr="002B375C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 xml:space="preserve">nustatyta </w:t>
      </w:r>
      <w:r w:rsidR="00ED2E6B" w:rsidRPr="002B375C">
        <w:rPr>
          <w:rFonts w:ascii="Times New Roman" w:hAnsi="Times New Roman" w:cs="Times New Roman"/>
          <w:sz w:val="24"/>
          <w:szCs w:val="24"/>
        </w:rPr>
        <w:t>MPP funkcinė vertė</w:t>
      </w:r>
      <w:r w:rsidR="00880A67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>yra 9 balai bei</w:t>
      </w:r>
      <w:r w:rsidR="00ED2E6B" w:rsidRPr="002B375C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 xml:space="preserve">MPP atitinka </w:t>
      </w:r>
      <w:r w:rsidR="002B375C" w:rsidRPr="002B375C">
        <w:rPr>
          <w:rFonts w:ascii="Times New Roman" w:hAnsi="Times New Roman" w:cs="Times New Roman"/>
          <w:sz w:val="24"/>
          <w:szCs w:val="24"/>
        </w:rPr>
        <w:t>Lietuvos Respublikos sveikatos apsaugos ministr</w:t>
      </w:r>
      <w:r w:rsidR="00FA74CE">
        <w:rPr>
          <w:rFonts w:ascii="Times New Roman" w:hAnsi="Times New Roman" w:cs="Times New Roman"/>
          <w:sz w:val="24"/>
          <w:szCs w:val="24"/>
        </w:rPr>
        <w:t>o 2002 m. balandžio 5 d. įsakymo</w:t>
      </w:r>
      <w:r w:rsidR="002B375C" w:rsidRPr="002B375C">
        <w:rPr>
          <w:rFonts w:ascii="Times New Roman" w:hAnsi="Times New Roman" w:cs="Times New Roman"/>
          <w:sz w:val="24"/>
          <w:szCs w:val="24"/>
        </w:rPr>
        <w:t xml:space="preserve"> Nr. 159 „Dėl Vaistinių preparatų ir medicinos pagalbos priemonių įrašymo į kompensavimo sąrašus ir jų keitimo tvarkos aprašo patvirtinimo“</w:t>
      </w:r>
      <w:r w:rsidR="006159B1">
        <w:rPr>
          <w:rFonts w:ascii="Times New Roman" w:hAnsi="Times New Roman" w:cs="Times New Roman"/>
          <w:sz w:val="24"/>
          <w:szCs w:val="24"/>
        </w:rPr>
        <w:t xml:space="preserve"> 52 punkte įvardintus</w:t>
      </w:r>
      <w:r w:rsidR="00B565A2">
        <w:rPr>
          <w:rFonts w:ascii="Times New Roman" w:hAnsi="Times New Roman" w:cs="Times New Roman"/>
          <w:sz w:val="24"/>
          <w:szCs w:val="24"/>
        </w:rPr>
        <w:t xml:space="preserve"> kriterijus, vertinama MPP</w:t>
      </w:r>
      <w:r w:rsid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6159B1" w:rsidRPr="00641B88">
        <w:rPr>
          <w:rFonts w:ascii="Times New Roman" w:hAnsi="Times New Roman" w:cs="Times New Roman"/>
          <w:b/>
          <w:sz w:val="24"/>
          <w:szCs w:val="24"/>
        </w:rPr>
        <w:t>gali būti</w:t>
      </w:r>
      <w:r w:rsid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6159B1" w:rsidRPr="008D4880">
        <w:rPr>
          <w:rFonts w:ascii="Times New Roman" w:hAnsi="Times New Roman" w:cs="Times New Roman"/>
          <w:b/>
          <w:sz w:val="24"/>
          <w:szCs w:val="24"/>
        </w:rPr>
        <w:t>į</w:t>
      </w:r>
      <w:r w:rsidR="006159B1">
        <w:rPr>
          <w:rFonts w:ascii="Times New Roman" w:hAnsi="Times New Roman" w:cs="Times New Roman"/>
          <w:b/>
          <w:sz w:val="24"/>
          <w:szCs w:val="24"/>
        </w:rPr>
        <w:t xml:space="preserve">traukta </w:t>
      </w:r>
      <w:r w:rsidR="006159B1" w:rsidRPr="008D4880">
        <w:rPr>
          <w:rFonts w:ascii="Times New Roman" w:hAnsi="Times New Roman" w:cs="Times New Roman"/>
          <w:b/>
          <w:sz w:val="24"/>
          <w:szCs w:val="24"/>
        </w:rPr>
        <w:t xml:space="preserve">į </w:t>
      </w:r>
      <w:r w:rsidR="006159B1" w:rsidRPr="008D4880">
        <w:rPr>
          <w:rFonts w:ascii="Times New Roman" w:eastAsia="Arial Unicode MS" w:hAnsi="Times New Roman" w:cs="Times New Roman"/>
          <w:b/>
          <w:sz w:val="24"/>
          <w:szCs w:val="24"/>
        </w:rPr>
        <w:t>Centralizuotai apmokamų vaistinių preparatų ir medicinos pagalbos priemonių sąrašą</w:t>
      </w:r>
      <w:r w:rsidR="006159B1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14:paraId="687ADF73" w14:textId="2C652BD3" w:rsidR="00484191" w:rsidRDefault="00484191" w:rsidP="00484191">
      <w:pPr>
        <w:ind w:firstLine="851"/>
        <w:jc w:val="both"/>
      </w:pPr>
    </w:p>
    <w:p w14:paraId="404F1791" w14:textId="3547EE51" w:rsidR="003B36CE" w:rsidRDefault="003B36CE" w:rsidP="00484191">
      <w:pPr>
        <w:ind w:firstLine="851"/>
        <w:jc w:val="both"/>
      </w:pPr>
    </w:p>
    <w:p w14:paraId="238E6EB2" w14:textId="2A397144" w:rsidR="003B36CE" w:rsidRDefault="003B36CE" w:rsidP="00484191">
      <w:pPr>
        <w:ind w:firstLine="851"/>
        <w:jc w:val="both"/>
      </w:pPr>
    </w:p>
    <w:p w14:paraId="78BB05EE" w14:textId="39DF7F8F" w:rsidR="003B36CE" w:rsidRDefault="003B36CE" w:rsidP="00484191">
      <w:pPr>
        <w:ind w:firstLine="851"/>
        <w:jc w:val="both"/>
      </w:pPr>
    </w:p>
    <w:p w14:paraId="4E2D73C7" w14:textId="40BF8989" w:rsidR="003B36CE" w:rsidRDefault="003B36CE" w:rsidP="00484191">
      <w:pPr>
        <w:ind w:firstLine="851"/>
        <w:jc w:val="both"/>
      </w:pPr>
    </w:p>
    <w:p w14:paraId="0F0C2A5C" w14:textId="60C1B9E0" w:rsidR="003B36CE" w:rsidRDefault="003B36CE" w:rsidP="00484191">
      <w:pPr>
        <w:ind w:firstLine="851"/>
        <w:jc w:val="both"/>
      </w:pPr>
    </w:p>
    <w:p w14:paraId="0304B7E5" w14:textId="670F86C9" w:rsidR="003B36CE" w:rsidRDefault="003B36CE" w:rsidP="00484191">
      <w:pPr>
        <w:ind w:firstLine="851"/>
        <w:jc w:val="both"/>
      </w:pPr>
    </w:p>
    <w:p w14:paraId="59B2A882" w14:textId="77777777" w:rsidR="003B36CE" w:rsidRDefault="003B36CE" w:rsidP="00484191">
      <w:pPr>
        <w:ind w:firstLine="851"/>
        <w:jc w:val="both"/>
      </w:pPr>
    </w:p>
    <w:p w14:paraId="1572BDC5" w14:textId="6DE6DDEB" w:rsidR="00484191" w:rsidRDefault="00484191" w:rsidP="00484191">
      <w:pPr>
        <w:jc w:val="both"/>
      </w:pPr>
    </w:p>
    <w:p w14:paraId="6419DBA8" w14:textId="4BA82A2B" w:rsidR="00B95628" w:rsidRDefault="00B95628" w:rsidP="00484191">
      <w:pPr>
        <w:jc w:val="both"/>
      </w:pPr>
    </w:p>
    <w:p w14:paraId="2D97A1BB" w14:textId="7A83DEB9" w:rsidR="00883C96" w:rsidRPr="00154D08" w:rsidRDefault="00384751" w:rsidP="00154D08">
      <w:pPr>
        <w:rPr>
          <w:i/>
        </w:rPr>
      </w:pPr>
      <w:r w:rsidRPr="00B404DE">
        <w:t>Viršininkas</w:t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  <w:t xml:space="preserve">           Gytis </w:t>
      </w:r>
      <w:proofErr w:type="spellStart"/>
      <w:r w:rsidRPr="00B404DE">
        <w:t>Andrulionis</w:t>
      </w:r>
      <w:proofErr w:type="spellEnd"/>
    </w:p>
    <w:sectPr w:rsidR="00883C96" w:rsidRPr="00154D08" w:rsidSect="00484191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41171" w14:textId="77777777" w:rsidR="008D740B" w:rsidRDefault="008D740B">
      <w:r>
        <w:separator/>
      </w:r>
    </w:p>
  </w:endnote>
  <w:endnote w:type="continuationSeparator" w:id="0">
    <w:p w14:paraId="324B09EB" w14:textId="77777777" w:rsidR="008D740B" w:rsidRDefault="008D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77777777" w:rsidR="00737E2D" w:rsidRDefault="00737E2D" w:rsidP="00737E2D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Žirmūnų g.139A, LT-09120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Footer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yperlink"/>
                <w:sz w:val="18"/>
                <w:szCs w:val="18"/>
              </w:rPr>
              <w:t>vvkt</w:t>
            </w:r>
            <w:r w:rsidRPr="00386307">
              <w:rPr>
                <w:rStyle w:val="Hyperlink"/>
                <w:sz w:val="18"/>
                <w:szCs w:val="18"/>
                <w:lang w:val="en-US"/>
              </w:rPr>
              <w:t>@</w:t>
            </w:r>
            <w:proofErr w:type="spellStart"/>
            <w:r w:rsidRPr="00386307">
              <w:rPr>
                <w:rStyle w:val="Hyperlink"/>
                <w:sz w:val="18"/>
                <w:szCs w:val="18"/>
                <w:lang w:val="en-US"/>
              </w:rPr>
              <w:t>vvkt.lt</w:t>
            </w:r>
            <w:proofErr w:type="spellEnd"/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Footer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Footer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Footer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Footer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Footer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77FC" w14:textId="77777777" w:rsidR="008D740B" w:rsidRDefault="008D740B">
      <w:r>
        <w:separator/>
      </w:r>
    </w:p>
  </w:footnote>
  <w:footnote w:type="continuationSeparator" w:id="0">
    <w:p w14:paraId="1846EEC9" w14:textId="77777777" w:rsidR="008D740B" w:rsidRDefault="008D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B79ED" w14:textId="77777777" w:rsidR="003C7257" w:rsidRDefault="006A38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72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2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412995" w14:textId="77777777" w:rsidR="003C7257" w:rsidRDefault="003C7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587AB" w14:textId="181B883A" w:rsidR="003C7257" w:rsidRDefault="006A38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72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1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826A5C" w14:textId="77777777" w:rsidR="003C7257" w:rsidRDefault="003C7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Footer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Footer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C22CA2">
          <w:pPr>
            <w:pStyle w:val="Footer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2049" DrawAspect="Content" ObjectID="_1694497049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Heading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Heading1"/>
          </w:pPr>
          <w:r>
            <w:t>Prie LIETUVOS RESPUBLIKOS</w:t>
          </w:r>
        </w:p>
        <w:p w14:paraId="5C6D2F09" w14:textId="77777777" w:rsidR="003C7257" w:rsidRDefault="003C7257">
          <w:pPr>
            <w:pStyle w:val="Heading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Footer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Heading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Footer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Heading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Footer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Heading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2A"/>
    <w:rsid w:val="00012EEA"/>
    <w:rsid w:val="00031D0E"/>
    <w:rsid w:val="0003402E"/>
    <w:rsid w:val="00046678"/>
    <w:rsid w:val="0008190F"/>
    <w:rsid w:val="00081D9C"/>
    <w:rsid w:val="00082907"/>
    <w:rsid w:val="0008378D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4D08"/>
    <w:rsid w:val="001554E2"/>
    <w:rsid w:val="00163FE4"/>
    <w:rsid w:val="00164146"/>
    <w:rsid w:val="00180C39"/>
    <w:rsid w:val="0018222E"/>
    <w:rsid w:val="001921F3"/>
    <w:rsid w:val="001A015E"/>
    <w:rsid w:val="001A6657"/>
    <w:rsid w:val="001F51F1"/>
    <w:rsid w:val="001F692A"/>
    <w:rsid w:val="001F6B24"/>
    <w:rsid w:val="00213471"/>
    <w:rsid w:val="00215906"/>
    <w:rsid w:val="002161E2"/>
    <w:rsid w:val="00220AAB"/>
    <w:rsid w:val="00221F7C"/>
    <w:rsid w:val="00251AAB"/>
    <w:rsid w:val="0025697F"/>
    <w:rsid w:val="00272428"/>
    <w:rsid w:val="00272948"/>
    <w:rsid w:val="002743BD"/>
    <w:rsid w:val="0028672F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728B2"/>
    <w:rsid w:val="00384751"/>
    <w:rsid w:val="00385FD0"/>
    <w:rsid w:val="00386307"/>
    <w:rsid w:val="003B36CE"/>
    <w:rsid w:val="003C3CE3"/>
    <w:rsid w:val="003C7257"/>
    <w:rsid w:val="003C7E35"/>
    <w:rsid w:val="003E2DC9"/>
    <w:rsid w:val="003E5DEF"/>
    <w:rsid w:val="0040622F"/>
    <w:rsid w:val="004217A0"/>
    <w:rsid w:val="00423160"/>
    <w:rsid w:val="00453BF8"/>
    <w:rsid w:val="004569CD"/>
    <w:rsid w:val="00461338"/>
    <w:rsid w:val="004643CC"/>
    <w:rsid w:val="004654CC"/>
    <w:rsid w:val="0047454D"/>
    <w:rsid w:val="00484191"/>
    <w:rsid w:val="00490E71"/>
    <w:rsid w:val="0049482A"/>
    <w:rsid w:val="004B59BA"/>
    <w:rsid w:val="004B6F94"/>
    <w:rsid w:val="004C0200"/>
    <w:rsid w:val="005005EF"/>
    <w:rsid w:val="005028AA"/>
    <w:rsid w:val="00535F96"/>
    <w:rsid w:val="005476A4"/>
    <w:rsid w:val="005500C2"/>
    <w:rsid w:val="005601A4"/>
    <w:rsid w:val="00575777"/>
    <w:rsid w:val="00581788"/>
    <w:rsid w:val="00593031"/>
    <w:rsid w:val="005976CE"/>
    <w:rsid w:val="005A23D4"/>
    <w:rsid w:val="005A2C27"/>
    <w:rsid w:val="005A2D1E"/>
    <w:rsid w:val="005B7814"/>
    <w:rsid w:val="005C493F"/>
    <w:rsid w:val="005C6BF7"/>
    <w:rsid w:val="005D30E1"/>
    <w:rsid w:val="005D6555"/>
    <w:rsid w:val="005D7BDF"/>
    <w:rsid w:val="005D7DD3"/>
    <w:rsid w:val="005E3235"/>
    <w:rsid w:val="006159B1"/>
    <w:rsid w:val="006166A8"/>
    <w:rsid w:val="00633B49"/>
    <w:rsid w:val="00641B88"/>
    <w:rsid w:val="0064297F"/>
    <w:rsid w:val="006523F7"/>
    <w:rsid w:val="006579C6"/>
    <w:rsid w:val="00674E0D"/>
    <w:rsid w:val="006A1D72"/>
    <w:rsid w:val="006A38B6"/>
    <w:rsid w:val="006C1C3E"/>
    <w:rsid w:val="006C2B64"/>
    <w:rsid w:val="006C4C0E"/>
    <w:rsid w:val="006D38BA"/>
    <w:rsid w:val="006F1251"/>
    <w:rsid w:val="00703166"/>
    <w:rsid w:val="00704A13"/>
    <w:rsid w:val="007127F3"/>
    <w:rsid w:val="007316FB"/>
    <w:rsid w:val="00733BF6"/>
    <w:rsid w:val="00737E2D"/>
    <w:rsid w:val="007424D5"/>
    <w:rsid w:val="00751A88"/>
    <w:rsid w:val="007523DD"/>
    <w:rsid w:val="00762187"/>
    <w:rsid w:val="00770D43"/>
    <w:rsid w:val="007B0DDA"/>
    <w:rsid w:val="007B7850"/>
    <w:rsid w:val="007C5B41"/>
    <w:rsid w:val="007E0EA9"/>
    <w:rsid w:val="007F0DD5"/>
    <w:rsid w:val="007F1949"/>
    <w:rsid w:val="00806470"/>
    <w:rsid w:val="008332BC"/>
    <w:rsid w:val="00833FEF"/>
    <w:rsid w:val="0085200C"/>
    <w:rsid w:val="00857C52"/>
    <w:rsid w:val="00862F7C"/>
    <w:rsid w:val="00870A8D"/>
    <w:rsid w:val="00870F22"/>
    <w:rsid w:val="00875A80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A30CD"/>
    <w:rsid w:val="009B37DB"/>
    <w:rsid w:val="009C15A8"/>
    <w:rsid w:val="009C7A8C"/>
    <w:rsid w:val="009E0C9D"/>
    <w:rsid w:val="009E6CD6"/>
    <w:rsid w:val="00A00683"/>
    <w:rsid w:val="00A115F5"/>
    <w:rsid w:val="00A30691"/>
    <w:rsid w:val="00A5553C"/>
    <w:rsid w:val="00A84C51"/>
    <w:rsid w:val="00A86F2B"/>
    <w:rsid w:val="00A91366"/>
    <w:rsid w:val="00A942B9"/>
    <w:rsid w:val="00AA517B"/>
    <w:rsid w:val="00AA6202"/>
    <w:rsid w:val="00AC30A4"/>
    <w:rsid w:val="00AC4A99"/>
    <w:rsid w:val="00AD2BA1"/>
    <w:rsid w:val="00AE7F9F"/>
    <w:rsid w:val="00AF60D5"/>
    <w:rsid w:val="00B04415"/>
    <w:rsid w:val="00B11D60"/>
    <w:rsid w:val="00B13208"/>
    <w:rsid w:val="00B37245"/>
    <w:rsid w:val="00B565A2"/>
    <w:rsid w:val="00B6677E"/>
    <w:rsid w:val="00B86883"/>
    <w:rsid w:val="00B95628"/>
    <w:rsid w:val="00BA6BCA"/>
    <w:rsid w:val="00BD585E"/>
    <w:rsid w:val="00BD5AA8"/>
    <w:rsid w:val="00BE424E"/>
    <w:rsid w:val="00BF76DA"/>
    <w:rsid w:val="00C02E14"/>
    <w:rsid w:val="00C22CA2"/>
    <w:rsid w:val="00C3795D"/>
    <w:rsid w:val="00C517D2"/>
    <w:rsid w:val="00CB528A"/>
    <w:rsid w:val="00CC6996"/>
    <w:rsid w:val="00CD1ABD"/>
    <w:rsid w:val="00CE35E5"/>
    <w:rsid w:val="00CE3AEA"/>
    <w:rsid w:val="00CE3D1C"/>
    <w:rsid w:val="00CF4D65"/>
    <w:rsid w:val="00D23808"/>
    <w:rsid w:val="00D26A31"/>
    <w:rsid w:val="00D27736"/>
    <w:rsid w:val="00D63068"/>
    <w:rsid w:val="00D7316E"/>
    <w:rsid w:val="00D767E5"/>
    <w:rsid w:val="00D828C7"/>
    <w:rsid w:val="00D8521E"/>
    <w:rsid w:val="00DB1F64"/>
    <w:rsid w:val="00DC0FED"/>
    <w:rsid w:val="00DC2F53"/>
    <w:rsid w:val="00DC76C2"/>
    <w:rsid w:val="00DE2CE3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B14F2"/>
    <w:rsid w:val="00EB6BA2"/>
    <w:rsid w:val="00EC2356"/>
    <w:rsid w:val="00EC2582"/>
    <w:rsid w:val="00EC337C"/>
    <w:rsid w:val="00ED0CFF"/>
    <w:rsid w:val="00ED2E6B"/>
    <w:rsid w:val="00ED56CF"/>
    <w:rsid w:val="00EE0EAC"/>
    <w:rsid w:val="00EF3E2B"/>
    <w:rsid w:val="00F0181A"/>
    <w:rsid w:val="00F127E9"/>
    <w:rsid w:val="00F12D65"/>
    <w:rsid w:val="00F36972"/>
    <w:rsid w:val="00F42426"/>
    <w:rsid w:val="00F50666"/>
    <w:rsid w:val="00F83672"/>
    <w:rsid w:val="00F855D7"/>
    <w:rsid w:val="00F92748"/>
    <w:rsid w:val="00FA74CE"/>
    <w:rsid w:val="00FB0D41"/>
    <w:rsid w:val="00FB2030"/>
    <w:rsid w:val="00FC4DB6"/>
    <w:rsid w:val="00FC630D"/>
    <w:rsid w:val="00FD2317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C51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rsid w:val="00A84C51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84C51"/>
  </w:style>
  <w:style w:type="character" w:styleId="Hyperlink">
    <w:name w:val="Hyperlink"/>
    <w:basedOn w:val="DefaultParagraphFont"/>
    <w:rsid w:val="00A84C51"/>
    <w:rPr>
      <w:color w:val="0000FF"/>
      <w:u w:val="single"/>
    </w:rPr>
  </w:style>
  <w:style w:type="paragraph" w:styleId="BalloonText">
    <w:name w:val="Balloon Text"/>
    <w:basedOn w:val="Normal"/>
    <w:semiHidden/>
    <w:rsid w:val="00EC23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37E2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0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0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0B6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53A69"/>
    <w:pPr>
      <w:ind w:left="720"/>
      <w:contextualSpacing/>
    </w:pPr>
  </w:style>
  <w:style w:type="table" w:styleId="TableGrid">
    <w:name w:val="Table Grid"/>
    <w:basedOn w:val="TableNorma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AFA0-A73D-4A1B-B023-39B06AF055E4}">
  <ds:schemaRefs>
    <ds:schemaRef ds:uri="http://purl.org/dc/dcmitype/"/>
    <ds:schemaRef ds:uri="58c78cca-ba62-460a-8b2d-a5f76cdde1ab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cbfc325-95d3-4267-a4df-efb99666e73f"/>
  </ds:schemaRefs>
</ds:datastoreItem>
</file>

<file path=customXml/itemProps2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7734B-B797-4B63-AFA2-B0623C46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2021-09-30T05:46:00Z</dcterms:created>
  <dcterms:modified xsi:type="dcterms:W3CDTF">2021-09-30T05:51:00Z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