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35265A5" w14:textId="77777777" w:rsidR="00183C4A" w:rsidRPr="0073329D" w:rsidRDefault="00183C4A" w:rsidP="00183C4A">
      <w:pPr>
        <w:jc w:val="center"/>
        <w:rPr>
          <w:b/>
        </w:rPr>
      </w:pPr>
      <w:proofErr w:type="spellStart"/>
      <w:r>
        <w:rPr>
          <w:b/>
        </w:rPr>
        <w:t>Vydura</w:t>
      </w:r>
      <w:proofErr w:type="spellEnd"/>
      <w:r w:rsidRPr="0073329D">
        <w:rPr>
          <w:b/>
        </w:rPr>
        <w:t xml:space="preserve"> </w:t>
      </w:r>
      <w:r>
        <w:rPr>
          <w:b/>
        </w:rPr>
        <w:t>75 mg</w:t>
      </w:r>
      <w:r w:rsidRPr="0073329D">
        <w:rPr>
          <w:b/>
        </w:rPr>
        <w:t xml:space="preserve"> </w:t>
      </w:r>
      <w:r>
        <w:rPr>
          <w:b/>
        </w:rPr>
        <w:t>g</w:t>
      </w:r>
      <w:r w:rsidRPr="00441A59">
        <w:rPr>
          <w:b/>
        </w:rPr>
        <w:t xml:space="preserve">eriamasis </w:t>
      </w:r>
      <w:proofErr w:type="spellStart"/>
      <w:r w:rsidRPr="00441A59">
        <w:rPr>
          <w:b/>
        </w:rPr>
        <w:t>liofilizatas</w:t>
      </w:r>
      <w:proofErr w:type="spellEnd"/>
    </w:p>
    <w:p w14:paraId="7B122E39" w14:textId="77777777" w:rsidR="00183C4A" w:rsidRPr="0073329D" w:rsidRDefault="00183C4A" w:rsidP="00183C4A">
      <w:pPr>
        <w:jc w:val="center"/>
      </w:pPr>
    </w:p>
    <w:p w14:paraId="03844542" w14:textId="77777777" w:rsidR="00183C4A" w:rsidRPr="0073329D" w:rsidRDefault="00183C4A" w:rsidP="00183C4A">
      <w:pPr>
        <w:jc w:val="center"/>
      </w:pPr>
      <w:r w:rsidRPr="0073329D">
        <w:t>(</w:t>
      </w:r>
      <w:proofErr w:type="spellStart"/>
      <w:r>
        <w:rPr>
          <w:b/>
        </w:rPr>
        <w:t>Rimegepantum</w:t>
      </w:r>
      <w:proofErr w:type="spellEnd"/>
      <w:r w:rsidRPr="0073329D">
        <w:t>)</w:t>
      </w:r>
    </w:p>
    <w:p w14:paraId="0461B4E5" w14:textId="77777777" w:rsidR="00183C4A" w:rsidRPr="0073329D" w:rsidRDefault="00183C4A" w:rsidP="00183C4A">
      <w:pPr>
        <w:jc w:val="center"/>
      </w:pPr>
    </w:p>
    <w:p w14:paraId="33656658" w14:textId="77777777" w:rsidR="00183C4A" w:rsidRPr="0073329D" w:rsidRDefault="00183C4A" w:rsidP="00183C4A">
      <w:pPr>
        <w:jc w:val="center"/>
        <w:rPr>
          <w:b/>
        </w:rPr>
      </w:pPr>
      <w:r>
        <w:rPr>
          <w:b/>
        </w:rPr>
        <w:t>STV 130</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0203E1" w:rsidRPr="000203E1" w14:paraId="18A83EC2" w14:textId="77777777" w:rsidTr="00BE7489">
        <w:trPr>
          <w:trHeight w:val="538"/>
        </w:trPr>
        <w:tc>
          <w:tcPr>
            <w:tcW w:w="632" w:type="dxa"/>
          </w:tcPr>
          <w:p w14:paraId="0646FBEA" w14:textId="77777777" w:rsidR="00B13D65" w:rsidRPr="000203E1" w:rsidRDefault="00B13D65" w:rsidP="00824B92">
            <w:pPr>
              <w:rPr>
                <w:rFonts w:eastAsia="Arial"/>
              </w:rPr>
            </w:pPr>
            <w:r w:rsidRPr="000203E1">
              <w:rPr>
                <w:rFonts w:eastAsia="Arial"/>
              </w:rPr>
              <w:t>1.1</w:t>
            </w:r>
          </w:p>
        </w:tc>
        <w:tc>
          <w:tcPr>
            <w:tcW w:w="3694" w:type="dxa"/>
          </w:tcPr>
          <w:p w14:paraId="6C3AE864" w14:textId="77777777" w:rsidR="00B13D65" w:rsidRPr="000203E1" w:rsidRDefault="00B13D65" w:rsidP="00824B92">
            <w:pPr>
              <w:rPr>
                <w:rFonts w:eastAsia="Arial"/>
              </w:rPr>
            </w:pPr>
            <w:r w:rsidRPr="000203E1">
              <w:rPr>
                <w:rFonts w:eastAsia="Arial"/>
              </w:rPr>
              <w:t>Pareiškėjas</w:t>
            </w:r>
          </w:p>
          <w:p w14:paraId="2AF240DC" w14:textId="77777777" w:rsidR="00B13D65" w:rsidRPr="000203E1" w:rsidRDefault="00B13D65" w:rsidP="00824B92">
            <w:pPr>
              <w:rPr>
                <w:rFonts w:eastAsia="Arial"/>
              </w:rPr>
            </w:pPr>
          </w:p>
        </w:tc>
        <w:tc>
          <w:tcPr>
            <w:tcW w:w="5167" w:type="dxa"/>
          </w:tcPr>
          <w:p w14:paraId="2AAF0D91" w14:textId="0476F542" w:rsidR="00B13D65" w:rsidRPr="00183C4A" w:rsidRDefault="00183C4A" w:rsidP="00824B92">
            <w:proofErr w:type="spellStart"/>
            <w:r w:rsidRPr="00462CB3">
              <w:t>Pfizer</w:t>
            </w:r>
            <w:proofErr w:type="spellEnd"/>
            <w:r w:rsidRPr="00462CB3">
              <w:t xml:space="preserve"> </w:t>
            </w:r>
            <w:proofErr w:type="spellStart"/>
            <w:r w:rsidRPr="00462CB3">
              <w:t>Lu</w:t>
            </w:r>
            <w:r>
              <w:t>x</w:t>
            </w:r>
            <w:r w:rsidRPr="00326E71">
              <w:t>embourg</w:t>
            </w:r>
            <w:proofErr w:type="spellEnd"/>
            <w:r w:rsidRPr="00326E71">
              <w:t xml:space="preserve"> SARL filialas</w:t>
            </w:r>
          </w:p>
        </w:tc>
      </w:tr>
      <w:tr w:rsidR="000203E1" w:rsidRPr="000203E1" w14:paraId="31998B0D" w14:textId="77777777" w:rsidTr="00BE7489">
        <w:trPr>
          <w:trHeight w:val="538"/>
        </w:trPr>
        <w:tc>
          <w:tcPr>
            <w:tcW w:w="632" w:type="dxa"/>
          </w:tcPr>
          <w:p w14:paraId="2005EC67" w14:textId="662300D0" w:rsidR="00B13D65" w:rsidRPr="000203E1" w:rsidRDefault="002E0702" w:rsidP="00824B92">
            <w:pPr>
              <w:rPr>
                <w:rFonts w:eastAsia="Arial"/>
              </w:rPr>
            </w:pPr>
            <w:r w:rsidRPr="000203E1">
              <w:rPr>
                <w:rFonts w:eastAsia="Arial"/>
              </w:rPr>
              <w:t>1.2</w:t>
            </w:r>
          </w:p>
        </w:tc>
        <w:tc>
          <w:tcPr>
            <w:tcW w:w="3694" w:type="dxa"/>
          </w:tcPr>
          <w:p w14:paraId="1E4AE3B1" w14:textId="77777777" w:rsidR="00B13D65" w:rsidRPr="000203E1" w:rsidRDefault="00B13D65" w:rsidP="00824B92">
            <w:pPr>
              <w:rPr>
                <w:bCs/>
                <w:lang w:eastAsia="lt-LT"/>
              </w:rPr>
            </w:pPr>
            <w:r w:rsidRPr="000203E1">
              <w:rPr>
                <w:bCs/>
                <w:lang w:eastAsia="lt-LT"/>
              </w:rPr>
              <w:t xml:space="preserve">Registracijos data </w:t>
            </w:r>
          </w:p>
          <w:p w14:paraId="3A0DC096" w14:textId="77777777" w:rsidR="00B13D65" w:rsidRPr="000203E1" w:rsidRDefault="00B13D65" w:rsidP="00824B92">
            <w:pPr>
              <w:rPr>
                <w:bCs/>
                <w:lang w:eastAsia="lt-LT"/>
              </w:rPr>
            </w:pPr>
          </w:p>
        </w:tc>
        <w:tc>
          <w:tcPr>
            <w:tcW w:w="5167" w:type="dxa"/>
          </w:tcPr>
          <w:p w14:paraId="3CA218AD" w14:textId="0692D579" w:rsidR="00B13D65" w:rsidRPr="000203E1" w:rsidRDefault="00C40AA8"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183C4A" w:rsidRPr="00183C4A">
                  <w:t>2022 balandžio 25 d.</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w:t>
            </w:r>
            <w:proofErr w:type="spellStart"/>
            <w:r w:rsidR="00695CD3" w:rsidRPr="000203E1">
              <w:t>straips</w:t>
            </w:r>
            <w:r w:rsidR="0039696E" w:rsidRPr="000203E1">
              <w:t>iuose</w:t>
            </w:r>
            <w:proofErr w:type="spellEnd"/>
            <w:r w:rsidRPr="000203E1">
              <w:t>)</w:t>
            </w:r>
          </w:p>
          <w:p w14:paraId="77089D80" w14:textId="6681D72A" w:rsidR="00B13D65" w:rsidRPr="000203E1" w:rsidRDefault="00B13D65" w:rsidP="00824B92">
            <w:pPr>
              <w:rPr>
                <w:bCs/>
                <w:lang w:eastAsia="lt-LT"/>
              </w:rPr>
            </w:pPr>
          </w:p>
        </w:tc>
        <w:tc>
          <w:tcPr>
            <w:tcW w:w="5167" w:type="dxa"/>
          </w:tcPr>
          <w:p w14:paraId="208F40EC" w14:textId="5A76A4B7" w:rsidR="00B13D65" w:rsidRPr="000203E1" w:rsidRDefault="00C40AA8"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2"/>
                    <w:szCs w:val="22"/>
                  </w:rPr>
                  <w:t>☒</w:t>
                </w:r>
              </w:sdtContent>
            </w:sdt>
            <w:r w:rsidR="00B13D65" w:rsidRPr="000203E1">
              <w:rPr>
                <w:sz w:val="22"/>
                <w:szCs w:val="22"/>
              </w:rPr>
              <w:t xml:space="preserve">8.3 str. (pilna byla, pagrįsta savais tyrimais) </w:t>
            </w:r>
          </w:p>
          <w:p w14:paraId="32BA564E" w14:textId="3FDA3E01" w:rsidR="00B13D65" w:rsidRPr="000203E1" w:rsidRDefault="00C40AA8"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 xml:space="preserve">10 a str. (pripažintas medicininis vartojimas) </w:t>
            </w:r>
          </w:p>
          <w:p w14:paraId="318DCD7F" w14:textId="32333E53" w:rsidR="00B13D65" w:rsidRPr="000203E1" w:rsidRDefault="00C40AA8"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10.1 str. (generinis)</w:t>
            </w:r>
          </w:p>
          <w:p w14:paraId="3B0A4F72" w14:textId="3F5FB073" w:rsidR="00B13D65" w:rsidRPr="000203E1" w:rsidRDefault="00C40AA8"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33726F9C" w14:textId="77777777" w:rsidR="00B13D65" w:rsidRPr="000203E1" w:rsidRDefault="00B13D65" w:rsidP="00824B92">
            <w:pPr>
              <w:rPr>
                <w:bCs/>
                <w:i/>
                <w:lang w:eastAsia="lt-LT"/>
              </w:rPr>
            </w:pPr>
          </w:p>
          <w:p w14:paraId="483071A3" w14:textId="0F633FFC" w:rsidR="00B13D65" w:rsidRPr="000203E1" w:rsidRDefault="00DF583C" w:rsidP="00824B92">
            <w:pPr>
              <w:rPr>
                <w:bCs/>
                <w:lang w:eastAsia="lt-LT"/>
              </w:rPr>
            </w:pPr>
            <w:r w:rsidRPr="000203E1">
              <w:rPr>
                <w:bCs/>
                <w:i/>
                <w:sz w:val="20"/>
                <w:lang w:eastAsia="lt-LT"/>
              </w:rPr>
              <w:t>Jei taip, n</w:t>
            </w:r>
            <w:r w:rsidR="00B13D65" w:rsidRPr="000203E1">
              <w:rPr>
                <w:bCs/>
                <w:i/>
                <w:sz w:val="20"/>
                <w:lang w:eastAsia="lt-LT"/>
              </w:rPr>
              <w:t xml:space="preserve">urodykite </w:t>
            </w:r>
            <w:r w:rsidR="007656B2" w:rsidRPr="000203E1">
              <w:rPr>
                <w:bCs/>
                <w:i/>
                <w:sz w:val="20"/>
                <w:lang w:eastAsia="lt-LT"/>
              </w:rPr>
              <w:t>įrašymo</w:t>
            </w:r>
            <w:r w:rsidR="00B13D65" w:rsidRPr="000203E1">
              <w:rPr>
                <w:bCs/>
                <w:i/>
                <w:sz w:val="20"/>
                <w:lang w:eastAsia="lt-LT"/>
              </w:rPr>
              <w:t xml:space="preserve"> datą ir numerį</w:t>
            </w:r>
          </w:p>
        </w:tc>
        <w:tc>
          <w:tcPr>
            <w:tcW w:w="5167" w:type="dxa"/>
          </w:tcPr>
          <w:p w14:paraId="05845C60" w14:textId="10CF4033" w:rsidR="00B13D65" w:rsidRPr="000203E1" w:rsidRDefault="00C40AA8"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B13D65" w:rsidRPr="000203E1">
              <w:t xml:space="preserve"> Taip</w:t>
            </w:r>
          </w:p>
          <w:p w14:paraId="41D88067" w14:textId="6E565915" w:rsidR="00B13D65" w:rsidRPr="000203E1" w:rsidRDefault="00C40AA8"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B13D65" w:rsidRPr="000203E1">
              <w:t xml:space="preserve"> Ne</w:t>
            </w:r>
          </w:p>
          <w:p w14:paraId="29C2CBBB" w14:textId="77777777" w:rsidR="00B13D65" w:rsidRPr="000203E1" w:rsidRDefault="00C40AA8"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0203E1">
                  <w:rPr>
                    <w:rStyle w:val="PlaceholderText"/>
                    <w:color w:val="auto"/>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1A011D7B" w:rsidR="00D417D2" w:rsidRPr="000203E1" w:rsidRDefault="00C40AA8"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C40AA8"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w:t>
            </w:r>
            <w:proofErr w:type="spellStart"/>
            <w:r w:rsidR="00B13D65" w:rsidRPr="000203E1">
              <w:rPr>
                <w:bCs/>
                <w:lang w:eastAsia="lt-LT"/>
              </w:rPr>
              <w:t>os</w:t>
            </w:r>
            <w:proofErr w:type="spellEnd"/>
            <w:r w:rsidR="00B13D65" w:rsidRPr="000203E1">
              <w:rPr>
                <w:bCs/>
                <w:lang w:eastAsia="lt-LT"/>
              </w:rPr>
              <w:t>) kompensuoti vaistinio preparato indikacija (-</w:t>
            </w:r>
            <w:proofErr w:type="spellStart"/>
            <w:r w:rsidR="00B13D65" w:rsidRPr="000203E1">
              <w:rPr>
                <w:bCs/>
                <w:lang w:eastAsia="lt-LT"/>
              </w:rPr>
              <w:t>os</w:t>
            </w:r>
            <w:proofErr w:type="spellEnd"/>
            <w:r w:rsidR="00B13D65" w:rsidRPr="000203E1">
              <w:rPr>
                <w:bCs/>
                <w:lang w:eastAsia="lt-LT"/>
              </w:rPr>
              <w:t>)</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085514DE" w14:textId="10CAFB3A" w:rsidR="00B13D65" w:rsidRPr="000203E1" w:rsidRDefault="00183C4A" w:rsidP="00183C4A">
            <w:pPr>
              <w:pStyle w:val="ListParagraph"/>
              <w:spacing w:after="120"/>
              <w:ind w:left="0"/>
              <w:contextualSpacing w:val="0"/>
              <w:jc w:val="both"/>
            </w:pPr>
            <w:r w:rsidRPr="00441A59">
              <w:t xml:space="preserve">VYDURA </w:t>
            </w:r>
            <w:r w:rsidRPr="00C0731F">
              <w:t>migrenos su aura arba be jos neatidėliotinam gydymui suaugusiesiems.</w:t>
            </w:r>
          </w:p>
          <w:p w14:paraId="430E383A" w14:textId="77777777" w:rsidR="00B13D65" w:rsidRPr="000203E1" w:rsidRDefault="00B13D65" w:rsidP="00824B92"/>
          <w:p w14:paraId="13F7DFB0" w14:textId="1EFF61F2" w:rsidR="00B13D65" w:rsidRPr="000203E1" w:rsidRDefault="00183C4A" w:rsidP="00824B92">
            <w:r>
              <w:t>G43</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8253555" w14:textId="77777777" w:rsidR="00183C4A" w:rsidRPr="00C0731F" w:rsidRDefault="00183C4A" w:rsidP="00183C4A">
            <w:pPr>
              <w:spacing w:after="120"/>
              <w:jc w:val="both"/>
            </w:pPr>
            <w:r w:rsidRPr="00C0731F">
              <w:t>Rimegepantas galėtų būti skiriamas:</w:t>
            </w:r>
          </w:p>
          <w:p w14:paraId="0579DF58" w14:textId="167BA345" w:rsidR="00B13D65" w:rsidRPr="000203E1" w:rsidRDefault="00183C4A" w:rsidP="00183C4A">
            <w:r w:rsidRPr="00C0731F">
              <w:lastRenderedPageBreak/>
              <w:t xml:space="preserve">Migrena (su aura ar be jos) sergantiems pacientams, kuriems gydymas bent </w:t>
            </w:r>
            <w:proofErr w:type="spellStart"/>
            <w:r w:rsidRPr="00C0731F">
              <w:t>dviems</w:t>
            </w:r>
            <w:proofErr w:type="spellEnd"/>
            <w:r w:rsidRPr="00C0731F">
              <w:t xml:space="preserve"> </w:t>
            </w:r>
            <w:proofErr w:type="spellStart"/>
            <w:r w:rsidRPr="00C0731F">
              <w:t>triptanais</w:t>
            </w:r>
            <w:proofErr w:type="spellEnd"/>
            <w:r w:rsidRPr="00C0731F">
              <w:t xml:space="preserve"> buvo neefektyvus ar kuriems gydymas </w:t>
            </w:r>
            <w:proofErr w:type="spellStart"/>
            <w:r w:rsidRPr="00C0731F">
              <w:t>triptanais</w:t>
            </w:r>
            <w:proofErr w:type="spellEnd"/>
            <w:r w:rsidRPr="00C0731F">
              <w:t xml:space="preserve"> </w:t>
            </w:r>
            <w:proofErr w:type="spellStart"/>
            <w:r w:rsidRPr="00C0731F">
              <w:t>kontraindikuotinas</w:t>
            </w:r>
            <w:proofErr w:type="spellEnd"/>
            <w:r w:rsidRPr="00C0731F">
              <w:t xml:space="preserve"> arba tokio gydymo netoleruoja.</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lastRenderedPageBreak/>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2019357F" w:rsidR="009F4D66" w:rsidRPr="000203E1" w:rsidRDefault="00C40AA8"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9F4D66" w:rsidRPr="000203E1">
              <w:t xml:space="preserve"> Tinkamas</w:t>
            </w:r>
            <w:r w:rsidR="00183C4A">
              <w:t xml:space="preserve"> (</w:t>
            </w:r>
            <w:proofErr w:type="spellStart"/>
            <w:r w:rsidR="00183C4A">
              <w:t>placeb</w:t>
            </w:r>
            <w:r w:rsidR="000E6841">
              <w:t>as</w:t>
            </w:r>
            <w:proofErr w:type="spellEnd"/>
            <w:r w:rsidR="00183C4A">
              <w:t>)</w:t>
            </w:r>
          </w:p>
          <w:p w14:paraId="41B44044" w14:textId="199BD9DF" w:rsidR="00B13D65" w:rsidRPr="000203E1" w:rsidRDefault="00C40AA8"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9F4D66" w:rsidRPr="000203E1">
                  <w:rPr>
                    <w:rStyle w:val="Style2"/>
                    <w:rFonts w:ascii="MS Gothic" w:eastAsia="MS Gothic" w:hAnsi="MS Gothic" w:hint="eastAsia"/>
                    <w:sz w:val="24"/>
                  </w:rPr>
                  <w:t>☐</w:t>
                </w:r>
              </w:sdtContent>
            </w:sdt>
            <w:r w:rsidR="009F4D66" w:rsidRPr="000203E1">
              <w:t xml:space="preserve"> Netinkama</w:t>
            </w:r>
          </w:p>
        </w:tc>
      </w:tr>
    </w:tbl>
    <w:p w14:paraId="108176F7" w14:textId="640C6F75" w:rsidR="00F70C9E" w:rsidRPr="000203E1" w:rsidRDefault="00F70C9E"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839"/>
        <w:gridCol w:w="1821"/>
        <w:gridCol w:w="2603"/>
        <w:gridCol w:w="2655"/>
      </w:tblGrid>
      <w:tr w:rsidR="002E1972" w:rsidRPr="0073329D" w14:paraId="3CAC157D" w14:textId="77777777" w:rsidTr="0026236C">
        <w:trPr>
          <w:trHeight w:val="924"/>
        </w:trPr>
        <w:tc>
          <w:tcPr>
            <w:tcW w:w="2839" w:type="dxa"/>
          </w:tcPr>
          <w:p w14:paraId="1AEA789D" w14:textId="77777777" w:rsidR="002E1972" w:rsidRPr="0073329D" w:rsidRDefault="002E1972" w:rsidP="0026236C">
            <w:pPr>
              <w:spacing w:line="276" w:lineRule="auto"/>
              <w:rPr>
                <w:rFonts w:eastAsia="Arial"/>
              </w:rPr>
            </w:pPr>
            <w:r w:rsidRPr="0073329D">
              <w:rPr>
                <w:rFonts w:eastAsia="Arial"/>
              </w:rPr>
              <w:t>STV agentūros pavadinimas, šalis</w:t>
            </w:r>
          </w:p>
        </w:tc>
        <w:tc>
          <w:tcPr>
            <w:tcW w:w="1821" w:type="dxa"/>
          </w:tcPr>
          <w:p w14:paraId="3021E638" w14:textId="77777777" w:rsidR="002E1972" w:rsidRPr="0073329D" w:rsidRDefault="002E1972" w:rsidP="0026236C">
            <w:pPr>
              <w:spacing w:line="276" w:lineRule="auto"/>
              <w:rPr>
                <w:rFonts w:eastAsia="Arial"/>
              </w:rPr>
            </w:pPr>
            <w:r w:rsidRPr="0073329D">
              <w:rPr>
                <w:rFonts w:eastAsia="Arial"/>
              </w:rPr>
              <w:t>STV vertinimas atliktas</w:t>
            </w:r>
          </w:p>
        </w:tc>
        <w:tc>
          <w:tcPr>
            <w:tcW w:w="2603" w:type="dxa"/>
          </w:tcPr>
          <w:p w14:paraId="1F89BB40" w14:textId="77777777" w:rsidR="002E1972" w:rsidRPr="0073329D" w:rsidRDefault="002E1972" w:rsidP="0026236C">
            <w:pPr>
              <w:spacing w:line="276" w:lineRule="auto"/>
              <w:rPr>
                <w:rFonts w:eastAsia="Arial"/>
              </w:rPr>
            </w:pPr>
            <w:r w:rsidRPr="0073329D">
              <w:rPr>
                <w:rFonts w:eastAsia="Arial"/>
              </w:rPr>
              <w:t>Klinikinio vertinimo išvada</w:t>
            </w:r>
          </w:p>
        </w:tc>
        <w:tc>
          <w:tcPr>
            <w:tcW w:w="2655" w:type="dxa"/>
          </w:tcPr>
          <w:p w14:paraId="01E155FA" w14:textId="77777777" w:rsidR="002E1972" w:rsidRPr="0073329D" w:rsidRDefault="002E1972" w:rsidP="0026236C">
            <w:pPr>
              <w:spacing w:line="276" w:lineRule="auto"/>
              <w:rPr>
                <w:rFonts w:eastAsia="Arial"/>
              </w:rPr>
            </w:pPr>
            <w:proofErr w:type="spellStart"/>
            <w:r w:rsidRPr="0073329D">
              <w:rPr>
                <w:rFonts w:eastAsia="Arial"/>
              </w:rPr>
              <w:t>Farmakoekonominio</w:t>
            </w:r>
            <w:proofErr w:type="spellEnd"/>
            <w:r w:rsidRPr="0073329D">
              <w:rPr>
                <w:rFonts w:eastAsia="Arial"/>
              </w:rPr>
              <w:t xml:space="preserve"> vertinimo išvada</w:t>
            </w:r>
          </w:p>
        </w:tc>
      </w:tr>
      <w:tr w:rsidR="002E1972" w:rsidRPr="0073329D" w14:paraId="7AF6B91E" w14:textId="77777777" w:rsidTr="0026236C">
        <w:trPr>
          <w:trHeight w:val="1765"/>
        </w:trPr>
        <w:tc>
          <w:tcPr>
            <w:tcW w:w="2839" w:type="dxa"/>
          </w:tcPr>
          <w:p w14:paraId="30C122B2" w14:textId="77777777" w:rsidR="002E1972" w:rsidRPr="0073329D" w:rsidRDefault="002E1972" w:rsidP="0026236C">
            <w:pPr>
              <w:autoSpaceDE w:val="0"/>
              <w:autoSpaceDN w:val="0"/>
              <w:adjustRightInd w:val="0"/>
              <w:rPr>
                <w:bCs/>
              </w:rPr>
            </w:pPr>
            <w:r w:rsidRPr="0073329D">
              <w:rPr>
                <w:bCs/>
              </w:rPr>
              <w:t>Nacionalinis sveikatos ir klinikinės kompetencijos institutas, Didžioji Britanija</w:t>
            </w:r>
          </w:p>
          <w:p w14:paraId="7C5CDFAD" w14:textId="77777777" w:rsidR="002E1972" w:rsidRPr="0073329D" w:rsidRDefault="002E1972" w:rsidP="0026236C">
            <w:pPr>
              <w:spacing w:line="276" w:lineRule="auto"/>
              <w:rPr>
                <w:rFonts w:eastAsia="Arial"/>
              </w:rPr>
            </w:pPr>
            <w:r w:rsidRPr="0073329D">
              <w:rPr>
                <w:rFonts w:eastAsia="Arial"/>
              </w:rPr>
              <w:t xml:space="preserve">(angl. </w:t>
            </w:r>
            <w:proofErr w:type="spellStart"/>
            <w:r w:rsidRPr="0073329D">
              <w:rPr>
                <w:rFonts w:eastAsia="Arial"/>
                <w:i/>
              </w:rPr>
              <w:t>National</w:t>
            </w:r>
            <w:proofErr w:type="spellEnd"/>
            <w:r w:rsidRPr="0073329D">
              <w:rPr>
                <w:rFonts w:eastAsia="Arial"/>
                <w:i/>
              </w:rPr>
              <w:t xml:space="preserve"> Institute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and</w:t>
            </w:r>
            <w:proofErr w:type="spellEnd"/>
            <w:r w:rsidRPr="0073329D">
              <w:rPr>
                <w:rFonts w:eastAsia="Arial"/>
                <w:i/>
              </w:rPr>
              <w:t xml:space="preserve"> Care </w:t>
            </w:r>
            <w:proofErr w:type="spellStart"/>
            <w:r w:rsidRPr="0073329D">
              <w:rPr>
                <w:rFonts w:eastAsia="Arial"/>
                <w:i/>
              </w:rPr>
              <w:t>Excellence</w:t>
            </w:r>
            <w:proofErr w:type="spellEnd"/>
            <w:r w:rsidRPr="0073329D">
              <w:rPr>
                <w:rFonts w:eastAsia="Arial"/>
                <w:i/>
              </w:rPr>
              <w:t>, NICE</w:t>
            </w:r>
            <w:r w:rsidRPr="0073329D">
              <w:rPr>
                <w:rFonts w:eastAsia="Arial"/>
              </w:rPr>
              <w:t>)</w:t>
            </w:r>
          </w:p>
        </w:tc>
        <w:tc>
          <w:tcPr>
            <w:tcW w:w="1821" w:type="dxa"/>
          </w:tcPr>
          <w:p w14:paraId="11FDE7F6" w14:textId="77777777" w:rsidR="002E1972" w:rsidRPr="0073329D" w:rsidRDefault="00C40AA8" w:rsidP="0026236C">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2E1972">
                  <w:rPr>
                    <w:rStyle w:val="Style2"/>
                    <w:rFonts w:ascii="MS Gothic" w:eastAsia="MS Gothic" w:hAnsi="MS Gothic" w:hint="eastAsia"/>
                  </w:rPr>
                  <w:t>☒</w:t>
                </w:r>
              </w:sdtContent>
            </w:sdt>
            <w:r w:rsidR="002E1972" w:rsidRPr="0073329D">
              <w:t xml:space="preserve"> Taip</w:t>
            </w:r>
          </w:p>
          <w:p w14:paraId="54B88270" w14:textId="77777777" w:rsidR="002E1972" w:rsidRPr="0073329D" w:rsidRDefault="00C40AA8" w:rsidP="0026236C">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2E1972" w:rsidRPr="0073329D">
                  <w:rPr>
                    <w:rStyle w:val="Style2"/>
                    <w:rFonts w:ascii="MS Gothic" w:eastAsia="MS Gothic" w:hAnsi="MS Gothic" w:hint="eastAsia"/>
                  </w:rPr>
                  <w:t>☐</w:t>
                </w:r>
              </w:sdtContent>
            </w:sdt>
            <w:r w:rsidR="002E1972" w:rsidRPr="0073329D">
              <w:t xml:space="preserve"> Ne</w:t>
            </w:r>
          </w:p>
          <w:p w14:paraId="4570D3C3" w14:textId="77777777" w:rsidR="002E1972" w:rsidRPr="0073329D" w:rsidRDefault="00C40AA8" w:rsidP="0026236C">
            <w:pPr>
              <w:rPr>
                <w:rFonts w:eastAsia="Arial"/>
              </w:rPr>
            </w:pPr>
            <w:sdt>
              <w:sdtPr>
                <w:alias w:val="Nurodykite konkrečią dieną"/>
                <w:tag w:val="Nurodykite pradžios datą"/>
                <w:id w:val="922837954"/>
                <w:placeholder>
                  <w:docPart w:val="37C36A27E6EF468394B14EAA0446725D"/>
                </w:placeholder>
                <w15:color w:val="FFCC99"/>
                <w:date>
                  <w:dateFormat w:val="yyyy 'm.' MMMM d 'd.'"/>
                  <w:lid w:val="lt-LT"/>
                  <w:storeMappedDataAs w:val="dateTime"/>
                  <w:calendar w:val="gregorian"/>
                </w:date>
              </w:sdtPr>
              <w:sdtEndPr/>
              <w:sdtContent>
                <w:r w:rsidR="002E1972">
                  <w:t>2023 spalio 18 d.</w:t>
                </w:r>
              </w:sdtContent>
            </w:sdt>
          </w:p>
        </w:tc>
        <w:tc>
          <w:tcPr>
            <w:tcW w:w="2603" w:type="dxa"/>
          </w:tcPr>
          <w:p w14:paraId="1478A7D9" w14:textId="77777777" w:rsidR="002E1972" w:rsidRDefault="002E1972" w:rsidP="0026236C">
            <w:pPr>
              <w:spacing w:line="276" w:lineRule="auto"/>
              <w:rPr>
                <w:rFonts w:eastAsia="Arial"/>
              </w:rPr>
            </w:pPr>
            <w:proofErr w:type="spellStart"/>
            <w:r>
              <w:rPr>
                <w:rFonts w:eastAsia="Arial"/>
              </w:rPr>
              <w:t>Rimegepantas</w:t>
            </w:r>
            <w:proofErr w:type="spellEnd"/>
            <w:r>
              <w:rPr>
                <w:rFonts w:eastAsia="Arial"/>
              </w:rPr>
              <w:t xml:space="preserve"> rekomenduojamas kaip migrenos su ar be auros priepuolio gydymo galimybė suaugusiems pacientams, jeigu gydant ankstesnius priepuolius:</w:t>
            </w:r>
          </w:p>
          <w:p w14:paraId="73CBF8A9" w14:textId="77777777" w:rsidR="002E1972" w:rsidRDefault="002E1972" w:rsidP="002E1972">
            <w:pPr>
              <w:pStyle w:val="ListParagraph"/>
              <w:numPr>
                <w:ilvl w:val="0"/>
                <w:numId w:val="13"/>
              </w:numPr>
              <w:spacing w:line="276" w:lineRule="auto"/>
              <w:rPr>
                <w:rFonts w:eastAsia="Arial"/>
              </w:rPr>
            </w:pPr>
            <w:r>
              <w:rPr>
                <w:rFonts w:eastAsia="Arial"/>
              </w:rPr>
              <w:t xml:space="preserve">Buvo išbandyti bent 2 </w:t>
            </w:r>
            <w:proofErr w:type="spellStart"/>
            <w:r>
              <w:rPr>
                <w:rFonts w:eastAsia="Arial"/>
              </w:rPr>
              <w:t>triptanai</w:t>
            </w:r>
            <w:proofErr w:type="spellEnd"/>
            <w:r>
              <w:rPr>
                <w:rFonts w:eastAsia="Arial"/>
              </w:rPr>
              <w:t>, kurių efektas buvo nepakankamas, arba</w:t>
            </w:r>
          </w:p>
          <w:p w14:paraId="730F5A83" w14:textId="77777777" w:rsidR="002E1972" w:rsidRPr="005E620F" w:rsidRDefault="002E1972" w:rsidP="002E1972">
            <w:pPr>
              <w:pStyle w:val="ListParagraph"/>
              <w:numPr>
                <w:ilvl w:val="0"/>
                <w:numId w:val="13"/>
              </w:numPr>
              <w:spacing w:line="276" w:lineRule="auto"/>
              <w:rPr>
                <w:rFonts w:eastAsia="Arial"/>
              </w:rPr>
            </w:pPr>
            <w:proofErr w:type="spellStart"/>
            <w:r>
              <w:rPr>
                <w:rFonts w:eastAsia="Arial"/>
              </w:rPr>
              <w:t>Triptanai</w:t>
            </w:r>
            <w:proofErr w:type="spellEnd"/>
            <w:r>
              <w:rPr>
                <w:rFonts w:eastAsia="Arial"/>
              </w:rPr>
              <w:t xml:space="preserve"> buvo </w:t>
            </w:r>
            <w:proofErr w:type="spellStart"/>
            <w:r>
              <w:rPr>
                <w:rFonts w:eastAsia="Arial"/>
              </w:rPr>
              <w:t>kontraindikuotini</w:t>
            </w:r>
            <w:proofErr w:type="spellEnd"/>
            <w:r>
              <w:rPr>
                <w:rFonts w:eastAsia="Arial"/>
              </w:rPr>
              <w:t xml:space="preserve"> ar netoleruojami, ir nesteroidiniai vaistai nuo uždegimo ir </w:t>
            </w:r>
            <w:proofErr w:type="spellStart"/>
            <w:r>
              <w:rPr>
                <w:rFonts w:eastAsia="Arial"/>
              </w:rPr>
              <w:t>paracetamolis</w:t>
            </w:r>
            <w:proofErr w:type="spellEnd"/>
            <w:r>
              <w:rPr>
                <w:rFonts w:eastAsia="Arial"/>
              </w:rPr>
              <w:t xml:space="preserve"> buvo išbandyti, bet nebuvo pakankamai efektyvūs.</w:t>
            </w:r>
          </w:p>
        </w:tc>
        <w:tc>
          <w:tcPr>
            <w:tcW w:w="2655" w:type="dxa"/>
          </w:tcPr>
          <w:p w14:paraId="2F103BD1" w14:textId="77777777" w:rsidR="002E1972" w:rsidRPr="000565E7" w:rsidRDefault="002E1972" w:rsidP="0026236C">
            <w:pPr>
              <w:pStyle w:val="NormalWeb"/>
              <w:rPr>
                <w:color w:val="0E0E0E"/>
              </w:rPr>
            </w:pPr>
            <w:r w:rsidRPr="000565E7">
              <w:rPr>
                <w:color w:val="0E0E0E"/>
              </w:rPr>
              <w:t xml:space="preserve">Laikoma, jog </w:t>
            </w:r>
            <w:proofErr w:type="spellStart"/>
            <w:r w:rsidRPr="000565E7">
              <w:rPr>
                <w:color w:val="0E0E0E"/>
              </w:rPr>
              <w:t>rimegepantas</w:t>
            </w:r>
            <w:proofErr w:type="spellEnd"/>
            <w:r w:rsidRPr="000565E7">
              <w:rPr>
                <w:color w:val="0E0E0E"/>
              </w:rPr>
              <w:t xml:space="preserve"> yra kaštams efektyvus ir tikimybė, jog bus peržengtas slenkstis – nedidelė.</w:t>
            </w:r>
          </w:p>
          <w:p w14:paraId="1CD38DE1" w14:textId="77777777" w:rsidR="002E1972" w:rsidRPr="0073329D" w:rsidRDefault="002E1972" w:rsidP="0026236C">
            <w:pPr>
              <w:pStyle w:val="NormalWeb"/>
              <w:rPr>
                <w:rFonts w:eastAsia="Arial"/>
              </w:rPr>
            </w:pPr>
          </w:p>
        </w:tc>
      </w:tr>
      <w:tr w:rsidR="002E1972" w:rsidRPr="0073329D" w14:paraId="2974F4F8" w14:textId="77777777" w:rsidTr="0026236C">
        <w:trPr>
          <w:trHeight w:val="1547"/>
        </w:trPr>
        <w:tc>
          <w:tcPr>
            <w:tcW w:w="2839" w:type="dxa"/>
          </w:tcPr>
          <w:p w14:paraId="66289F92" w14:textId="77777777" w:rsidR="002E1972" w:rsidRPr="0073329D" w:rsidRDefault="002E1972" w:rsidP="0026236C">
            <w:pPr>
              <w:spacing w:line="276" w:lineRule="auto"/>
              <w:rPr>
                <w:rFonts w:eastAsia="Arial"/>
              </w:rPr>
            </w:pPr>
            <w:r w:rsidRPr="0073329D">
              <w:rPr>
                <w:rFonts w:eastAsia="Arial"/>
              </w:rPr>
              <w:t>Kanados sveikatos technologijų agentūra</w:t>
            </w:r>
          </w:p>
          <w:p w14:paraId="3F7E7EA1" w14:textId="77777777" w:rsidR="002E1972" w:rsidRPr="0073329D" w:rsidRDefault="002E1972" w:rsidP="0026236C">
            <w:pPr>
              <w:spacing w:line="276" w:lineRule="auto"/>
              <w:rPr>
                <w:rFonts w:eastAsia="Arial"/>
              </w:rPr>
            </w:pPr>
            <w:r w:rsidRPr="0073329D">
              <w:rPr>
                <w:rFonts w:eastAsia="Arial"/>
              </w:rPr>
              <w:t xml:space="preserve">(angl. </w:t>
            </w:r>
            <w:proofErr w:type="spellStart"/>
            <w:r w:rsidRPr="0073329D">
              <w:rPr>
                <w:rFonts w:eastAsia="Arial"/>
                <w:i/>
              </w:rPr>
              <w:t>Canadian</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Technology</w:t>
            </w:r>
            <w:proofErr w:type="spellEnd"/>
            <w:r w:rsidRPr="0073329D">
              <w:rPr>
                <w:rFonts w:eastAsia="Arial"/>
                <w:i/>
              </w:rPr>
              <w:t xml:space="preserve"> </w:t>
            </w:r>
            <w:proofErr w:type="spellStart"/>
            <w:r w:rsidRPr="0073329D">
              <w:rPr>
                <w:rFonts w:eastAsia="Arial"/>
                <w:i/>
              </w:rPr>
              <w:t>Assessment</w:t>
            </w:r>
            <w:proofErr w:type="spellEnd"/>
            <w:r w:rsidRPr="0073329D">
              <w:rPr>
                <w:rFonts w:eastAsia="Arial"/>
                <w:i/>
              </w:rPr>
              <w:t xml:space="preserve"> </w:t>
            </w:r>
            <w:proofErr w:type="spellStart"/>
            <w:r w:rsidRPr="0073329D">
              <w:rPr>
                <w:rFonts w:eastAsia="Arial"/>
                <w:i/>
              </w:rPr>
              <w:t>agency</w:t>
            </w:r>
            <w:proofErr w:type="spellEnd"/>
            <w:r w:rsidRPr="0073329D">
              <w:rPr>
                <w:rFonts w:eastAsia="Arial"/>
                <w:i/>
              </w:rPr>
              <w:t>, CADTH</w:t>
            </w:r>
            <w:r w:rsidRPr="0073329D">
              <w:rPr>
                <w:rFonts w:eastAsia="Arial"/>
              </w:rPr>
              <w:t>)</w:t>
            </w:r>
          </w:p>
        </w:tc>
        <w:tc>
          <w:tcPr>
            <w:tcW w:w="1821" w:type="dxa"/>
          </w:tcPr>
          <w:p w14:paraId="72CCB11D" w14:textId="77777777" w:rsidR="002E1972" w:rsidRPr="0073329D" w:rsidRDefault="00C40AA8" w:rsidP="0026236C">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2E1972" w:rsidRPr="0073329D">
                  <w:rPr>
                    <w:rStyle w:val="Style2"/>
                    <w:rFonts w:ascii="Segoe UI Symbol" w:eastAsia="MS Gothic" w:hAnsi="Segoe UI Symbol" w:cs="Segoe UI Symbol"/>
                  </w:rPr>
                  <w:t>☐</w:t>
                </w:r>
              </w:sdtContent>
            </w:sdt>
            <w:r w:rsidR="002E1972" w:rsidRPr="0073329D">
              <w:t xml:space="preserve"> Taip</w:t>
            </w:r>
          </w:p>
          <w:p w14:paraId="31B3A271" w14:textId="77777777" w:rsidR="002E1972" w:rsidRPr="0073329D" w:rsidRDefault="00C40AA8" w:rsidP="0026236C">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2E1972">
                  <w:rPr>
                    <w:rStyle w:val="Style2"/>
                    <w:rFonts w:ascii="MS Gothic" w:eastAsia="MS Gothic" w:hAnsi="MS Gothic" w:hint="eastAsia"/>
                  </w:rPr>
                  <w:t>☒</w:t>
                </w:r>
              </w:sdtContent>
            </w:sdt>
            <w:r w:rsidR="002E1972" w:rsidRPr="0073329D">
              <w:t xml:space="preserve"> Ne</w:t>
            </w:r>
          </w:p>
          <w:p w14:paraId="536B9B19" w14:textId="77777777" w:rsidR="002E1972" w:rsidRPr="0073329D" w:rsidRDefault="00C40AA8" w:rsidP="0026236C">
            <w:pPr>
              <w:spacing w:line="276" w:lineRule="auto"/>
              <w:rPr>
                <w:rFonts w:eastAsia="Arial"/>
              </w:rPr>
            </w:pPr>
            <w:sdt>
              <w:sdtPr>
                <w:alias w:val="Nurodykite konkrečią dieną"/>
                <w:tag w:val="Nurodykite pradžios datą"/>
                <w:id w:val="1072468416"/>
                <w:placeholder>
                  <w:docPart w:val="BCCFC48D71104543B9B3FF3278B4AEEB"/>
                </w:placeholder>
                <w:showingPlcHdr/>
                <w15:color w:val="FFCC99"/>
                <w:date w:fullDate="2022-05-18T00:00:00Z">
                  <w:dateFormat w:val="yyyy 'm.' MMMM d 'd.'"/>
                  <w:lid w:val="lt-LT"/>
                  <w:storeMappedDataAs w:val="dateTime"/>
                  <w:calendar w:val="gregorian"/>
                </w:date>
              </w:sdtPr>
              <w:sdtEndPr/>
              <w:sdtContent>
                <w:r w:rsidR="002E1972" w:rsidRPr="0073329D">
                  <w:rPr>
                    <w:rStyle w:val="PlaceholderText"/>
                  </w:rPr>
                  <w:t>Click here to enter a date.</w:t>
                </w:r>
              </w:sdtContent>
            </w:sdt>
          </w:p>
        </w:tc>
        <w:tc>
          <w:tcPr>
            <w:tcW w:w="2603" w:type="dxa"/>
          </w:tcPr>
          <w:p w14:paraId="6229E3F3" w14:textId="77777777" w:rsidR="002E1972" w:rsidRPr="0073329D" w:rsidRDefault="002E1972" w:rsidP="0026236C">
            <w:pPr>
              <w:spacing w:line="276" w:lineRule="auto"/>
              <w:rPr>
                <w:rFonts w:eastAsia="Arial"/>
              </w:rPr>
            </w:pPr>
          </w:p>
        </w:tc>
        <w:tc>
          <w:tcPr>
            <w:tcW w:w="2655" w:type="dxa"/>
          </w:tcPr>
          <w:p w14:paraId="7C1AC142" w14:textId="77777777" w:rsidR="002E1972" w:rsidRPr="0073329D" w:rsidRDefault="002E1972" w:rsidP="0026236C">
            <w:pPr>
              <w:spacing w:line="276" w:lineRule="auto"/>
              <w:rPr>
                <w:rFonts w:eastAsia="Arial"/>
              </w:rPr>
            </w:pPr>
          </w:p>
        </w:tc>
      </w:tr>
      <w:tr w:rsidR="002E1972" w:rsidRPr="0073329D" w14:paraId="05EB5DB8" w14:textId="77777777" w:rsidTr="0026236C">
        <w:trPr>
          <w:trHeight w:val="1927"/>
        </w:trPr>
        <w:tc>
          <w:tcPr>
            <w:tcW w:w="2839" w:type="dxa"/>
          </w:tcPr>
          <w:p w14:paraId="06E68877" w14:textId="77777777" w:rsidR="002E1972" w:rsidRPr="0073329D" w:rsidRDefault="002E1972" w:rsidP="0026236C">
            <w:pPr>
              <w:spacing w:line="276" w:lineRule="auto"/>
              <w:rPr>
                <w:rFonts w:eastAsia="Arial"/>
              </w:rPr>
            </w:pPr>
            <w:r w:rsidRPr="0073329D">
              <w:rPr>
                <w:rFonts w:eastAsia="Arial"/>
              </w:rPr>
              <w:lastRenderedPageBreak/>
              <w:t xml:space="preserve">Nacionalinis </w:t>
            </w:r>
            <w:proofErr w:type="spellStart"/>
            <w:r w:rsidRPr="0073329D">
              <w:rPr>
                <w:rFonts w:eastAsia="Arial"/>
              </w:rPr>
              <w:t>farmakoekonomikos</w:t>
            </w:r>
            <w:proofErr w:type="spellEnd"/>
            <w:r w:rsidRPr="0073329D">
              <w:rPr>
                <w:rFonts w:eastAsia="Arial"/>
              </w:rPr>
              <w:t xml:space="preserve"> centras, Airija</w:t>
            </w:r>
          </w:p>
          <w:p w14:paraId="550E03D0" w14:textId="77777777" w:rsidR="002E1972" w:rsidRPr="0073329D" w:rsidRDefault="002E1972" w:rsidP="0026236C">
            <w:pPr>
              <w:spacing w:line="276" w:lineRule="auto"/>
              <w:rPr>
                <w:rFonts w:eastAsia="Arial"/>
              </w:rPr>
            </w:pPr>
            <w:r w:rsidRPr="0073329D">
              <w:rPr>
                <w:rFonts w:eastAsia="Arial"/>
              </w:rPr>
              <w:t>(angl.</w:t>
            </w:r>
            <w:r w:rsidRPr="0073329D">
              <w:rPr>
                <w:rFonts w:eastAsia="Arial"/>
                <w:i/>
              </w:rPr>
              <w:t xml:space="preserve"> </w:t>
            </w:r>
            <w:proofErr w:type="spellStart"/>
            <w:r w:rsidRPr="0073329D">
              <w:rPr>
                <w:rFonts w:eastAsia="Arial"/>
                <w:i/>
              </w:rPr>
              <w:t>National</w:t>
            </w:r>
            <w:proofErr w:type="spellEnd"/>
            <w:r w:rsidRPr="0073329D">
              <w:rPr>
                <w:rFonts w:eastAsia="Arial"/>
                <w:i/>
              </w:rPr>
              <w:t xml:space="preserve"> Centre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Pharmacoeconomics</w:t>
            </w:r>
            <w:proofErr w:type="spellEnd"/>
            <w:r w:rsidRPr="0073329D">
              <w:rPr>
                <w:rFonts w:eastAsia="Arial"/>
                <w:i/>
              </w:rPr>
              <w:t>, NCPE</w:t>
            </w:r>
            <w:r w:rsidRPr="0073329D">
              <w:rPr>
                <w:rFonts w:eastAsia="Arial"/>
              </w:rPr>
              <w:t>)</w:t>
            </w:r>
          </w:p>
        </w:tc>
        <w:tc>
          <w:tcPr>
            <w:tcW w:w="1821" w:type="dxa"/>
          </w:tcPr>
          <w:p w14:paraId="15B52073" w14:textId="77777777" w:rsidR="002E1972" w:rsidRPr="0073329D" w:rsidRDefault="00C40AA8" w:rsidP="0026236C">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2E1972">
                  <w:rPr>
                    <w:rStyle w:val="Style2"/>
                    <w:rFonts w:ascii="MS Gothic" w:eastAsia="MS Gothic" w:hAnsi="MS Gothic" w:hint="eastAsia"/>
                  </w:rPr>
                  <w:t>☒</w:t>
                </w:r>
              </w:sdtContent>
            </w:sdt>
            <w:r w:rsidR="002E1972" w:rsidRPr="0073329D">
              <w:t xml:space="preserve"> Taip</w:t>
            </w:r>
          </w:p>
          <w:p w14:paraId="60AAA61B" w14:textId="77777777" w:rsidR="002E1972" w:rsidRPr="0073329D" w:rsidRDefault="00C40AA8" w:rsidP="0026236C">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2E1972" w:rsidRPr="0073329D">
                  <w:rPr>
                    <w:rStyle w:val="Style2"/>
                    <w:rFonts w:ascii="Segoe UI Symbol" w:eastAsia="MS Gothic" w:hAnsi="Segoe UI Symbol" w:cs="Segoe UI Symbol"/>
                  </w:rPr>
                  <w:t>☐</w:t>
                </w:r>
              </w:sdtContent>
            </w:sdt>
            <w:r w:rsidR="002E1972" w:rsidRPr="0073329D">
              <w:t xml:space="preserve"> Ne</w:t>
            </w:r>
          </w:p>
          <w:p w14:paraId="0DB33AD8" w14:textId="77777777" w:rsidR="002E1972" w:rsidRPr="0073329D" w:rsidRDefault="00C40AA8" w:rsidP="0026236C">
            <w:pPr>
              <w:spacing w:line="276" w:lineRule="auto"/>
              <w:rPr>
                <w:rFonts w:eastAsia="Arial"/>
              </w:rPr>
            </w:pPr>
            <w:sdt>
              <w:sdtPr>
                <w:alias w:val="Nurodykite konkrečią dieną"/>
                <w:tag w:val="Nurodykite pradžios datą"/>
                <w:id w:val="-198323198"/>
                <w:placeholder>
                  <w:docPart w:val="AD8F430AEC7444B68A00058E7086549D"/>
                </w:placeholder>
                <w15:color w:val="FFCC99"/>
                <w:date>
                  <w:dateFormat w:val="yyyy 'm.' MMMM d 'd.'"/>
                  <w:lid w:val="lt-LT"/>
                  <w:storeMappedDataAs w:val="dateTime"/>
                  <w:calendar w:val="gregorian"/>
                </w:date>
              </w:sdtPr>
              <w:sdtEndPr/>
              <w:sdtContent>
                <w:r w:rsidR="002E1972">
                  <w:t>2023 gegužės 18 d.</w:t>
                </w:r>
              </w:sdtContent>
            </w:sdt>
          </w:p>
        </w:tc>
        <w:tc>
          <w:tcPr>
            <w:tcW w:w="5258" w:type="dxa"/>
            <w:gridSpan w:val="2"/>
          </w:tcPr>
          <w:p w14:paraId="2FE52C90" w14:textId="77777777" w:rsidR="002E1972" w:rsidRPr="0073329D" w:rsidRDefault="002E1972" w:rsidP="0026236C">
            <w:pPr>
              <w:spacing w:line="276" w:lineRule="auto"/>
              <w:rPr>
                <w:rFonts w:eastAsia="Arial"/>
              </w:rPr>
            </w:pPr>
            <w:r>
              <w:rPr>
                <w:rFonts w:eastAsia="Arial"/>
              </w:rPr>
              <w:t xml:space="preserve">Rekomenduojama svarstyti </w:t>
            </w:r>
            <w:proofErr w:type="spellStart"/>
            <w:r>
              <w:rPr>
                <w:rFonts w:eastAsia="Arial"/>
              </w:rPr>
              <w:t>rimegepanto</w:t>
            </w:r>
            <w:proofErr w:type="spellEnd"/>
            <w:r>
              <w:rPr>
                <w:rFonts w:eastAsia="Arial"/>
              </w:rPr>
              <w:t xml:space="preserve"> kompensavimą, jeigu bus pagerintas kainos ir efektyvumo santykis lyginant su kitais esamais prevencinio gydymo preparatais</w:t>
            </w:r>
          </w:p>
        </w:tc>
      </w:tr>
    </w:tbl>
    <w:p w14:paraId="2EB7FD31" w14:textId="4D2A8479" w:rsidR="007A2B68" w:rsidRPr="000203E1" w:rsidRDefault="007A2B68" w:rsidP="00E03C3F">
      <w:pPr>
        <w:pStyle w:val="ListParagraph"/>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309ABC27" w14:textId="47D80A9E" w:rsidR="00183C4A" w:rsidRDefault="00CC7832" w:rsidP="00183C4A">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461C1B87" w14:textId="77777777" w:rsidR="000E6841" w:rsidRPr="00183C4A" w:rsidRDefault="000E6841" w:rsidP="000E6841">
      <w:pPr>
        <w:pStyle w:val="ListParagraph"/>
        <w:tabs>
          <w:tab w:val="left" w:pos="567"/>
        </w:tabs>
        <w:rPr>
          <w:b/>
          <w:bCs/>
          <w:caps/>
        </w:rPr>
      </w:pPr>
    </w:p>
    <w:p w14:paraId="7F46C8CA" w14:textId="77777777" w:rsidR="00183C4A" w:rsidRDefault="00183C4A" w:rsidP="00183C4A">
      <w:pPr>
        <w:pStyle w:val="VVKT"/>
      </w:pPr>
      <w:r w:rsidRPr="00BA5B73">
        <w:t>Migrena yra ilgalaikė varginanti neurologinė liga, kuriai būdingi pasikartojantys pirminiai, vidutinio sunkumo ar sunkaus galvos skausmo epizodai, kartais lydimi vėmimo, fotofobijos ar fonofobijos, nerimo ir depresijos.</w:t>
      </w:r>
      <w:r>
        <w:t xml:space="preserve"> </w:t>
      </w:r>
      <w:r w:rsidRPr="00FE0E4C">
        <w:t xml:space="preserve">Lietuvoje, remiantis vyresnių kaip 18 metų amžiaus žmonių populiacija, galima apskaičiuoti, kad su migrena gyvena apie 400 tūkst. Maždaug 42 % jų liga yra diagnozuota ir 25 % skiriamas profilaktinis gydymas. </w:t>
      </w:r>
      <w:r w:rsidRPr="00BA5B73">
        <w:t>Kadangi migrena dažniausiai vargina produktyviausiu žmogaus amžiaus laikotarpiu, ji lemia reikšmingą produktyvumo netekimą</w:t>
      </w:r>
      <w:r>
        <w:t xml:space="preserve">. </w:t>
      </w:r>
    </w:p>
    <w:p w14:paraId="5991F933" w14:textId="76BBE096" w:rsidR="00183C4A" w:rsidRDefault="00183C4A" w:rsidP="00183C4A">
      <w:pPr>
        <w:pStyle w:val="VVKT"/>
        <w:rPr>
          <w:bCs/>
        </w:rPr>
      </w:pPr>
      <w:r w:rsidRPr="00BF29FB">
        <w:rPr>
          <w:bCs/>
        </w:rPr>
        <w:t>Ūmi</w:t>
      </w:r>
      <w:r w:rsidR="000E6841">
        <w:rPr>
          <w:bCs/>
        </w:rPr>
        <w:t>nės</w:t>
      </w:r>
      <w:r w:rsidRPr="00BF29FB">
        <w:rPr>
          <w:bCs/>
        </w:rPr>
        <w:t xml:space="preserve"> migrenos gydymo tikslas yra nutraukti galvos skausmo priepuolį, pasiekti kitų migrenos simptomų pagerėjimo bei su gydymu susiję minimalūs nepageidaujami poveikiai arba jų nebuvimas.</w:t>
      </w:r>
      <w:r>
        <w:rPr>
          <w:bCs/>
        </w:rPr>
        <w:t xml:space="preserve"> Europos galvos skausmų federacija 2021 m. konsensuse migrenos priepuolio gydymui rekomenduoja nesteroidinius vaistus nuo uždegimo (NVNU) ir paracetamolį kaip pirmo pasirinkimo gydymą. Šiam gydymui esant neefektyviam, rekomenduojama pereiti prie triptanų, nebent šie būtų kontraindikuotini. Jeigu triptanai yra neveiksmingi, nepaisant adekvataus gydymo periodo, netoleruojami arba </w:t>
      </w:r>
      <w:proofErr w:type="spellStart"/>
      <w:r>
        <w:rPr>
          <w:bCs/>
        </w:rPr>
        <w:t>kontraindikuotini</w:t>
      </w:r>
      <w:proofErr w:type="spellEnd"/>
      <w:r>
        <w:rPr>
          <w:bCs/>
        </w:rPr>
        <w:t xml:space="preserve">, rekomenduojama skirti </w:t>
      </w:r>
      <w:proofErr w:type="spellStart"/>
      <w:r>
        <w:rPr>
          <w:bCs/>
        </w:rPr>
        <w:t>ditanus</w:t>
      </w:r>
      <w:proofErr w:type="spellEnd"/>
      <w:r>
        <w:rPr>
          <w:bCs/>
        </w:rPr>
        <w:t xml:space="preserve"> arba </w:t>
      </w:r>
      <w:proofErr w:type="spellStart"/>
      <w:r>
        <w:rPr>
          <w:bCs/>
        </w:rPr>
        <w:t>gepantus</w:t>
      </w:r>
      <w:proofErr w:type="spellEnd"/>
      <w:r>
        <w:rPr>
          <w:bCs/>
        </w:rPr>
        <w:t xml:space="preserve">.  </w:t>
      </w:r>
    </w:p>
    <w:p w14:paraId="5011F145" w14:textId="531C4098" w:rsidR="00183C4A" w:rsidRDefault="00183C4A" w:rsidP="00183C4A">
      <w:pPr>
        <w:pStyle w:val="VVKT"/>
        <w:rPr>
          <w:bCs/>
        </w:rPr>
      </w:pPr>
      <w:r w:rsidRPr="00BF29FB">
        <w:rPr>
          <w:bCs/>
        </w:rPr>
        <w:t>Lietuvoje ūm</w:t>
      </w:r>
      <w:r w:rsidR="000E6841">
        <w:rPr>
          <w:bCs/>
        </w:rPr>
        <w:t>inio</w:t>
      </w:r>
      <w:r w:rsidRPr="00BF29FB">
        <w:rPr>
          <w:bCs/>
        </w:rPr>
        <w:t xml:space="preserve"> priepuolio metu skiriami nesteroidiniai priešuždegiminiai vaistai ir triptanai. Į kompensuojamųjų vaistų sąrašą įrašytus </w:t>
      </w:r>
      <w:proofErr w:type="spellStart"/>
      <w:r w:rsidRPr="00BF29FB">
        <w:rPr>
          <w:bCs/>
        </w:rPr>
        <w:t>triptanus</w:t>
      </w:r>
      <w:proofErr w:type="spellEnd"/>
      <w:r w:rsidRPr="00BF29FB">
        <w:rPr>
          <w:bCs/>
        </w:rPr>
        <w:t xml:space="preserve"> (</w:t>
      </w:r>
      <w:proofErr w:type="spellStart"/>
      <w:r w:rsidRPr="00BF29FB">
        <w:rPr>
          <w:bCs/>
        </w:rPr>
        <w:t>rizatriptanas</w:t>
      </w:r>
      <w:proofErr w:type="spellEnd"/>
      <w:r w:rsidRPr="00BF29FB">
        <w:rPr>
          <w:bCs/>
        </w:rPr>
        <w:t xml:space="preserve">, </w:t>
      </w:r>
      <w:proofErr w:type="spellStart"/>
      <w:r w:rsidRPr="00BF29FB">
        <w:rPr>
          <w:bCs/>
        </w:rPr>
        <w:t>zolmitriptanas</w:t>
      </w:r>
      <w:proofErr w:type="spellEnd"/>
      <w:r w:rsidRPr="00BF29FB">
        <w:rPr>
          <w:bCs/>
        </w:rPr>
        <w:t xml:space="preserve">, </w:t>
      </w:r>
      <w:proofErr w:type="spellStart"/>
      <w:r w:rsidRPr="00BF29FB">
        <w:rPr>
          <w:bCs/>
        </w:rPr>
        <w:t>sumatriptanas</w:t>
      </w:r>
      <w:proofErr w:type="spellEnd"/>
      <w:r w:rsidRPr="00BF29FB">
        <w:rPr>
          <w:bCs/>
        </w:rPr>
        <w:t xml:space="preserve"> ir </w:t>
      </w:r>
      <w:proofErr w:type="spellStart"/>
      <w:r w:rsidRPr="00BF29FB">
        <w:rPr>
          <w:bCs/>
        </w:rPr>
        <w:t>naratriptanas</w:t>
      </w:r>
      <w:proofErr w:type="spellEnd"/>
      <w:r w:rsidRPr="00BF29FB">
        <w:rPr>
          <w:bCs/>
        </w:rPr>
        <w:t xml:space="preserve">) pirmą kartą skiria ir išrašo gydytojas neurologas, vėliau gali išrašyti vaikų ligų, vidaus ligų ar šeimos gydytojas. Migrenos terapijos </w:t>
      </w:r>
      <w:r w:rsidR="000E6841">
        <w:rPr>
          <w:bCs/>
        </w:rPr>
        <w:t>gydymo veiksmingu</w:t>
      </w:r>
      <w:r w:rsidR="00A90D47">
        <w:rPr>
          <w:bCs/>
        </w:rPr>
        <w:t>m</w:t>
      </w:r>
      <w:r w:rsidR="000E6841">
        <w:rPr>
          <w:bCs/>
        </w:rPr>
        <w:t>o</w:t>
      </w:r>
      <w:r w:rsidRPr="00BF29FB">
        <w:rPr>
          <w:bCs/>
        </w:rPr>
        <w:t xml:space="preserve"> vertinimo pagrindinis rodiklis yra pacientų dalis, kuri nejaučia skausmo po 2 val. nuo vaistinio preparato pavartojimo. Standartinė triptanų dozė 42-76% pacientų sumažina skausmą per dvi valandas, o pastovus skausmo nuslopinimas per 2 val. pasiekiamas 18-50% pacientų. Ilgalaikis skausmo išnykimas per 24 val. pasiekiamas 18-33% pacientų</w:t>
      </w:r>
      <w:r>
        <w:rPr>
          <w:bCs/>
        </w:rPr>
        <w:t xml:space="preserve"> </w:t>
      </w:r>
      <w:r w:rsidRPr="00BF29FB">
        <w:rPr>
          <w:bCs/>
        </w:rPr>
        <w:t>Atkrytis pasireiškia 15-40% pacientų, vartojančių įvairius triptanus. Skaičiuojama, kad 15-25% pacientų, naudojančių tikslingą ūmios migrenos terapiją, nepasiekia tinkamos simptomų kontrolės</w:t>
      </w:r>
      <w:r>
        <w:rPr>
          <w:bCs/>
        </w:rPr>
        <w:t>, t</w:t>
      </w:r>
      <w:r w:rsidRPr="00BF29FB">
        <w:rPr>
          <w:bCs/>
        </w:rPr>
        <w:t xml:space="preserve">aip pat triptanai yra kontraindikuotini pacientams su koronarinių arterijų liga, </w:t>
      </w:r>
      <w:r>
        <w:rPr>
          <w:bCs/>
        </w:rPr>
        <w:t>kraujagyslių</w:t>
      </w:r>
      <w:r w:rsidRPr="00BF29FB">
        <w:rPr>
          <w:bCs/>
        </w:rPr>
        <w:t xml:space="preserve"> ligomis, nekontroliuojama hipertenzija. Didelė pacientų su migrena dalis turi kardiovaskulinių ligų arba kardiovaskulinių susirgimų rizikos faktorių.</w:t>
      </w:r>
    </w:p>
    <w:p w14:paraId="5B61B271" w14:textId="094916D9" w:rsidR="00183C4A" w:rsidRPr="00BF29FB" w:rsidRDefault="00183C4A" w:rsidP="00183C4A">
      <w:pPr>
        <w:pStyle w:val="VVKT"/>
        <w:rPr>
          <w:bCs/>
        </w:rPr>
      </w:pPr>
      <w:proofErr w:type="spellStart"/>
      <w:r w:rsidRPr="00BF29FB">
        <w:rPr>
          <w:bCs/>
        </w:rPr>
        <w:t>Rimegepantas</w:t>
      </w:r>
      <w:proofErr w:type="spellEnd"/>
      <w:r w:rsidRPr="00BF29FB">
        <w:rPr>
          <w:bCs/>
        </w:rPr>
        <w:t xml:space="preserve"> yra pirmas geriamas</w:t>
      </w:r>
      <w:r w:rsidR="000E6841">
        <w:rPr>
          <w:bCs/>
        </w:rPr>
        <w:t>is</w:t>
      </w:r>
      <w:r w:rsidRPr="00BF29FB">
        <w:rPr>
          <w:bCs/>
        </w:rPr>
        <w:t xml:space="preserve"> CGRP </w:t>
      </w:r>
      <w:r w:rsidR="000E6841" w:rsidRPr="00E02D9B">
        <w:t>(angl</w:t>
      </w:r>
      <w:r w:rsidR="000E6841" w:rsidRPr="00C925C3">
        <w:rPr>
          <w:i/>
        </w:rPr>
        <w:t xml:space="preserve">. </w:t>
      </w:r>
      <w:proofErr w:type="spellStart"/>
      <w:r w:rsidR="000E6841" w:rsidRPr="00C925C3">
        <w:rPr>
          <w:i/>
        </w:rPr>
        <w:t>Calcitonin</w:t>
      </w:r>
      <w:proofErr w:type="spellEnd"/>
      <w:r w:rsidR="000E6841" w:rsidRPr="00C925C3">
        <w:rPr>
          <w:i/>
        </w:rPr>
        <w:t xml:space="preserve"> gene-</w:t>
      </w:r>
      <w:proofErr w:type="spellStart"/>
      <w:r w:rsidR="000E6841" w:rsidRPr="00C925C3">
        <w:rPr>
          <w:i/>
        </w:rPr>
        <w:t>related</w:t>
      </w:r>
      <w:proofErr w:type="spellEnd"/>
      <w:r w:rsidR="000E6841" w:rsidRPr="00C925C3">
        <w:rPr>
          <w:i/>
        </w:rPr>
        <w:t xml:space="preserve"> peptide</w:t>
      </w:r>
      <w:r w:rsidR="000E6841">
        <w:rPr>
          <w:i/>
        </w:rPr>
        <w:t>, CGRP</w:t>
      </w:r>
      <w:r w:rsidR="000E6841" w:rsidRPr="00E02D9B">
        <w:t xml:space="preserve">) </w:t>
      </w:r>
      <w:r w:rsidRPr="00BF29FB">
        <w:rPr>
          <w:bCs/>
        </w:rPr>
        <w:t xml:space="preserve">antagonistas. Rimegepantas selektyviai su dideliu </w:t>
      </w:r>
      <w:proofErr w:type="spellStart"/>
      <w:r w:rsidRPr="00BF29FB">
        <w:rPr>
          <w:bCs/>
        </w:rPr>
        <w:t>afiniškumu</w:t>
      </w:r>
      <w:proofErr w:type="spellEnd"/>
      <w:r w:rsidRPr="00BF29FB">
        <w:rPr>
          <w:bCs/>
        </w:rPr>
        <w:t xml:space="preserve"> jungiasi su CDRP receptoriais ir veikia kaip CGRP antagonistas, blokuoja CGRP sukeltą skausmo signalą, blokuoja CGRP sukeltą </w:t>
      </w:r>
      <w:proofErr w:type="spellStart"/>
      <w:r w:rsidRPr="00BF29FB">
        <w:rPr>
          <w:bCs/>
        </w:rPr>
        <w:t>vazodilataciją</w:t>
      </w:r>
      <w:proofErr w:type="spellEnd"/>
      <w:r w:rsidRPr="00BF29FB">
        <w:rPr>
          <w:bCs/>
        </w:rPr>
        <w:t xml:space="preserve"> be aiškios </w:t>
      </w:r>
      <w:proofErr w:type="spellStart"/>
      <w:r w:rsidRPr="00BF29FB">
        <w:rPr>
          <w:bCs/>
        </w:rPr>
        <w:t>vazokonstrikcijos</w:t>
      </w:r>
      <w:proofErr w:type="spellEnd"/>
      <w:r w:rsidRPr="00BF29FB">
        <w:rPr>
          <w:bCs/>
        </w:rPr>
        <w:t xml:space="preserve">, stabdo </w:t>
      </w:r>
      <w:proofErr w:type="spellStart"/>
      <w:r w:rsidRPr="00BF29FB">
        <w:rPr>
          <w:bCs/>
        </w:rPr>
        <w:t>neurogeninį</w:t>
      </w:r>
      <w:proofErr w:type="spellEnd"/>
      <w:r w:rsidRPr="00BF29FB">
        <w:rPr>
          <w:bCs/>
        </w:rPr>
        <w:t xml:space="preserve"> uždegimą. Skirtingai nuo kitų CGRP antagonistų rimegepantas gali būti naudojamas ūmios migrenos gydymui ir profilaktiniam migrenos gydymui. </w:t>
      </w:r>
    </w:p>
    <w:p w14:paraId="4E0772BD" w14:textId="175CDD52" w:rsidR="00183C4A" w:rsidRPr="00517918" w:rsidRDefault="00183C4A" w:rsidP="00183C4A">
      <w:pPr>
        <w:pStyle w:val="VVKT"/>
        <w:rPr>
          <w:bCs/>
        </w:rPr>
      </w:pPr>
      <w:r w:rsidRPr="0066434B">
        <w:rPr>
          <w:bCs/>
        </w:rPr>
        <w:t>Klinikinis veiksmingumas vertintas remiantis t</w:t>
      </w:r>
      <w:r w:rsidR="00A90D47">
        <w:rPr>
          <w:bCs/>
        </w:rPr>
        <w:t xml:space="preserve">iesioginiu palyginimu su </w:t>
      </w:r>
      <w:proofErr w:type="spellStart"/>
      <w:r w:rsidR="00A90D47">
        <w:rPr>
          <w:bCs/>
        </w:rPr>
        <w:t>placebu</w:t>
      </w:r>
      <w:proofErr w:type="spellEnd"/>
      <w:r>
        <w:rPr>
          <w:bCs/>
        </w:rPr>
        <w:t>, tai yra tinkamas palyginamasis gydymas</w:t>
      </w:r>
      <w:r w:rsidRPr="0066434B">
        <w:rPr>
          <w:bCs/>
        </w:rPr>
        <w:t>.</w:t>
      </w:r>
    </w:p>
    <w:p w14:paraId="1588BEDD" w14:textId="77777777" w:rsidR="00A90D47" w:rsidRDefault="00A90D47" w:rsidP="00183C4A">
      <w:pPr>
        <w:pStyle w:val="VVKT"/>
        <w:rPr>
          <w:i/>
          <w:iCs/>
        </w:rPr>
      </w:pPr>
    </w:p>
    <w:p w14:paraId="0EC9A6C3" w14:textId="1DFD328B" w:rsidR="00183C4A" w:rsidRDefault="00183C4A" w:rsidP="00183C4A">
      <w:pPr>
        <w:pStyle w:val="VVKT"/>
      </w:pPr>
      <w:r>
        <w:rPr>
          <w:i/>
          <w:iCs/>
        </w:rPr>
        <w:t>Tiesioginis palyginimas</w:t>
      </w:r>
    </w:p>
    <w:p w14:paraId="690F421B" w14:textId="5AF2859B" w:rsidR="00183C4A" w:rsidRPr="000B5EE4" w:rsidRDefault="00183C4A" w:rsidP="00183C4A">
      <w:pPr>
        <w:pStyle w:val="VVKT"/>
      </w:pPr>
      <w:r w:rsidRPr="0066434B">
        <w:t>Tiesioginiame palyginime pateikt</w:t>
      </w:r>
      <w:r>
        <w:t>i</w:t>
      </w:r>
      <w:r w:rsidRPr="0066434B">
        <w:t xml:space="preserve"> atsitiktinių imčių, </w:t>
      </w:r>
      <w:proofErr w:type="spellStart"/>
      <w:r w:rsidRPr="0066434B">
        <w:t>daugiacentri</w:t>
      </w:r>
      <w:r>
        <w:t>ai</w:t>
      </w:r>
      <w:proofErr w:type="spellEnd"/>
      <w:r w:rsidRPr="0066434B">
        <w:t xml:space="preserve">, dvigubai </w:t>
      </w:r>
      <w:r w:rsidR="000E6841">
        <w:t>koduoti</w:t>
      </w:r>
      <w:r w:rsidRPr="0066434B">
        <w:t xml:space="preserve">, </w:t>
      </w:r>
      <w:proofErr w:type="spellStart"/>
      <w:r w:rsidRPr="0066434B">
        <w:t>placeb</w:t>
      </w:r>
      <w:r w:rsidR="000E6841">
        <w:t>u</w:t>
      </w:r>
      <w:proofErr w:type="spellEnd"/>
      <w:r w:rsidRPr="0066434B">
        <w:t xml:space="preserve"> kontroliuojam</w:t>
      </w:r>
      <w:r>
        <w:t>i</w:t>
      </w:r>
      <w:r w:rsidRPr="0066434B">
        <w:t xml:space="preserve"> 3-čios fazės</w:t>
      </w:r>
      <w:r>
        <w:t xml:space="preserve"> klinikiniai tyrimai. Tyrimo </w:t>
      </w:r>
      <w:r w:rsidRPr="0066434B">
        <w:t>BHV3000-301</w:t>
      </w:r>
      <w:r>
        <w:t xml:space="preserve"> populiacija </w:t>
      </w:r>
      <w:r w:rsidRPr="0066434B">
        <w:t>n=1084</w:t>
      </w:r>
      <w:r>
        <w:t xml:space="preserve">, </w:t>
      </w:r>
      <w:r w:rsidRPr="0066434B">
        <w:t>BHV3000-302</w:t>
      </w:r>
      <w:r>
        <w:t xml:space="preserve"> populiacija </w:t>
      </w:r>
      <w:r w:rsidRPr="0066434B">
        <w:t>n=1072</w:t>
      </w:r>
      <w:r>
        <w:t xml:space="preserve">, </w:t>
      </w:r>
      <w:r w:rsidRPr="0066434B">
        <w:t>BHV3000-303</w:t>
      </w:r>
      <w:r>
        <w:t xml:space="preserve"> populiacija </w:t>
      </w:r>
      <w:r w:rsidRPr="0066434B">
        <w:t>n=1351</w:t>
      </w:r>
      <w:r>
        <w:t xml:space="preserve">. Pacientai suskirstyti į rimegepanto ir placebo grupes santykiu 1:1. Pacientai priskirtą preparatą peroraliai, vartojant po liežuviu, turėjo suvartoti per artimiausią vidutinio ar didelio intensyvumo migrenos priepuolį. Tyrimas susidėjo iš atrankos periodo, aktyvaus gydymo periodo, per kurį tiriamieji galėjo panaudoti skirtą preparatą, fazės trukmė iki 45 d., ir gydymo pabaigos vizito 7 dienos po skirto preparato suvartojimo. Visų tyrimų populiacijos atitinka realią pacientų populiaciją. </w:t>
      </w:r>
      <w:r w:rsidRPr="0066434B">
        <w:t>BHV3000-30</w:t>
      </w:r>
      <w:r>
        <w:t xml:space="preserve">3 tyrimo pagrindinė sudėtinė vertinamoji baigtis buvo statistiškai reikšminga: po 2 valandų nuo preparato </w:t>
      </w:r>
      <w:r>
        <w:lastRenderedPageBreak/>
        <w:t xml:space="preserve">vartojimo 10,3% didesnė rimegepanto grupės dalis nejautė skausmo, lyginant su placebo ( p&lt;0,0001), 8% didesnė rimegepanto grupės dalis nejautė labiausiai varginančio simptomo (p=0,0009). Statistiškai reikšmingos buvo visos svarbiausios antrinės vertinamosios baigtys (p&lt;0,05): rimegepanto grupėje, lyginant su placebo, </w:t>
      </w:r>
      <w:r w:rsidRPr="00E513B1">
        <w:t>skausmas po 2 val. sumažėjo 16,1% daugiau pacientų</w:t>
      </w:r>
      <w:r>
        <w:t xml:space="preserve">, </w:t>
      </w:r>
      <w:r w:rsidRPr="00E513B1">
        <w:t>po 2 val. normaliai funkcionuoti gebėjo 12,3% daugiau pacientų</w:t>
      </w:r>
      <w:r>
        <w:t xml:space="preserve">, skausmo malšinimas 2-24 val. periodu išliko 20,1% daugiau pacientų, skausmo malšinimas 2-48 val. periodu išliko 16,9% daugiau pacientų, </w:t>
      </w:r>
      <w:r w:rsidRPr="00E513B1">
        <w:t>visiškas skausmo nebuvimas 2-24 val. periodu išliko 10,1 % daugiau pacientų</w:t>
      </w:r>
      <w:r>
        <w:t xml:space="preserve">, </w:t>
      </w:r>
      <w:r w:rsidRPr="00E513B1">
        <w:t>labiausiai varginantis simptomas neatsinaujino 2-24 val. periodu 9,3% daugiau pacientų</w:t>
      </w:r>
      <w:r>
        <w:t xml:space="preserve">, </w:t>
      </w:r>
      <w:r w:rsidRPr="00E513B1">
        <w:t>gebėjimas normaliai funkcionuoti 2-24 val. periodu išliko 12,7% daugiau pacientų</w:t>
      </w:r>
      <w:r>
        <w:t xml:space="preserve">, </w:t>
      </w:r>
      <w:r w:rsidRPr="00E513B1">
        <w:t>gebėjimas normaliai funkcionuoti 2-48 val. periodu išliko 10,6% daugiau pacientų</w:t>
      </w:r>
      <w:r>
        <w:t xml:space="preserve">, </w:t>
      </w:r>
      <w:r w:rsidRPr="00E513B1">
        <w:t>gelbstinčių medikamentų nereikėjo 15,0 % daugiau pacientų</w:t>
      </w:r>
      <w:r>
        <w:t xml:space="preserve">, </w:t>
      </w:r>
      <w:r w:rsidRPr="00E513B1">
        <w:t>skausmas po 2 val. sumažėjo 16,1% daugiau pacientų</w:t>
      </w:r>
      <w:r>
        <w:t xml:space="preserve">. </w:t>
      </w:r>
      <w:r w:rsidRPr="00E513B1">
        <w:t>BHV3000-302</w:t>
      </w:r>
      <w:r>
        <w:t xml:space="preserve"> tyrimo pagrindinė sudėtinė vertinamoji baigtis buvo statistiškai reikšminga: p</w:t>
      </w:r>
      <w:r w:rsidRPr="00E513B1">
        <w:t>o 2 valandų nuo preparato vartojimo 7,6% didesnė rimegepanto grupės dalis nejautė skausmo, lyginant su placebo (p&lt;0,001), 12,4% didesnė rimegepanto grupės dalis nejautė labiausiai varginančio simptomo (p&lt;0,001).</w:t>
      </w:r>
      <w:r>
        <w:t xml:space="preserve"> Statistiškai reikšmingos buvo visos svarbiausios antrinės vertinamosios baigtys (p&lt;0,05): rimegepanto grupėje, lyginant su placebo,</w:t>
      </w:r>
      <w:r w:rsidRPr="00E513B1">
        <w:t xml:space="preserve"> skausmas po 2 val. sumažėjo 15,3% daugiau pacientų, po 2 val. normaliai funkcionuoti gebėjo 9,2% daugiau pacientų, skausmo malšinimas 2-24 val. periodu išliko 16,1% daugiau pacientų, skausmo malšinimas 2-48 val. periodu išliko 13,7% daugiau pacientų, visiškas skausmo nebuvimas 2-24 val. periodu išliko 5,2 % daugiau pacientų, gelbstinčių medikamentų nereikėjo 16,0% daugiau pacientų, skausmas po 2 val. sumažėjo 15,3% daugiau pacientų.</w:t>
      </w:r>
      <w:r>
        <w:t xml:space="preserve"> </w:t>
      </w:r>
      <w:r w:rsidRPr="000B5EE4">
        <w:t>BHV3000-301</w:t>
      </w:r>
      <w:r>
        <w:t xml:space="preserve"> tyrimo pagrindinė sudėtinė vertinamoji baigtis buvo statistiškai reikšminga: p</w:t>
      </w:r>
      <w:r w:rsidRPr="000B5EE4">
        <w:t>o 2 valandų nuo preparato vartojimo 4,91% didesnė rimegepanto grupės dalis nejautė skausmo, lyginant su placebo (p=0,0298), 8,9% didesnė rimegepanto grupės dalis nejautė labiausiai varginančio simptomo (p=0,0016).</w:t>
      </w:r>
      <w:r>
        <w:t xml:space="preserve"> Statistiškai reikšmingos buvo visos svarbiausios antrinės vertinamosios baigtys (p&lt;0,05): rimegepanto grupėje, lyginant su placebo: </w:t>
      </w:r>
      <w:r w:rsidRPr="000B5EE4">
        <w:t>skausmas po 2 val. sumažėjo 10,3% daugiau pacientų, po 2 val. normaliai funkcionuoti gebėjo 11,5% daugiau pacientų, skausmo malšinimas 2-24 val. periodu išliko 10,9´% daugiau pacientų, skausmo malšinimas 2-48 val. periodu išliko 9,8% daugiau pacientų, visiškas skausmo nebuvimas 2-24 val. periodu išliko 5,9% daugiau pacientų, gelbstinčių medikamentų nereikėjo 11,3% daugiau pacientų, skausmas po 2 val. sumažėjo 10,3% daugiau pacientų.</w:t>
      </w:r>
    </w:p>
    <w:p w14:paraId="0967F9A7" w14:textId="77777777" w:rsidR="00183C4A" w:rsidRDefault="00183C4A" w:rsidP="00183C4A">
      <w:pPr>
        <w:pStyle w:val="VVKT"/>
      </w:pPr>
      <w:r>
        <w:t xml:space="preserve">Paraiškoje pateikta suminė klinikinių tyrimų </w:t>
      </w:r>
      <w:r w:rsidRPr="00DE35C0">
        <w:t>BHV3000-301, BHV3000-302 ir BHV3000-30</w:t>
      </w:r>
      <w:r>
        <w:t xml:space="preserve">3 analizė, vertinant gydymo efektyvumą pacientams, kurie ankščiau triptanų nevartojo, ir pacientams, kuriems gydymas 2 ir daugiau </w:t>
      </w:r>
      <w:proofErr w:type="spellStart"/>
      <w:r>
        <w:t>triptanais</w:t>
      </w:r>
      <w:proofErr w:type="spellEnd"/>
      <w:r>
        <w:t xml:space="preserve"> buvo neefektyvus.  Rimegepantas buvo efektyvesnis pacientams, kuriems ≥2 triptanai buvo neveiksmingi skausmo malšinime po 2 valandų (RS </w:t>
      </w:r>
      <w:r w:rsidRPr="00AF58E7">
        <w:t>0</w:t>
      </w:r>
      <w:r>
        <w:t>,</w:t>
      </w:r>
      <w:r w:rsidRPr="00AF58E7">
        <w:t>56 (</w:t>
      </w:r>
      <w:r>
        <w:t xml:space="preserve">95% PI </w:t>
      </w:r>
      <w:r w:rsidRPr="00AF58E7">
        <w:t>0</w:t>
      </w:r>
      <w:r>
        <w:t>,</w:t>
      </w:r>
      <w:r w:rsidRPr="00AF58E7">
        <w:t>39, 0</w:t>
      </w:r>
      <w:r>
        <w:t>,</w:t>
      </w:r>
      <w:r w:rsidRPr="00AF58E7">
        <w:t>82</w:t>
      </w:r>
      <w:r>
        <w:t xml:space="preserve">, p&lt;0,05) ir išliekančiam skausmo malšinime 2-48 valandų periodu (RS </w:t>
      </w:r>
      <w:r w:rsidRPr="00AF58E7">
        <w:t>0</w:t>
      </w:r>
      <w:r>
        <w:t>,</w:t>
      </w:r>
      <w:r w:rsidRPr="00AF58E7">
        <w:t>66 (</w:t>
      </w:r>
      <w:r>
        <w:t xml:space="preserve">95% PI </w:t>
      </w:r>
      <w:r w:rsidRPr="00AF58E7">
        <w:t>0</w:t>
      </w:r>
      <w:r>
        <w:t>,</w:t>
      </w:r>
      <w:r w:rsidRPr="00AF58E7">
        <w:t>47, 0.</w:t>
      </w:r>
      <w:r>
        <w:t>,</w:t>
      </w:r>
      <w:r w:rsidRPr="00AF58E7">
        <w:t>94</w:t>
      </w:r>
      <w:r>
        <w:t>, p&lt;0,05</w:t>
      </w:r>
      <w:r w:rsidRPr="00AF58E7">
        <w:t>)</w:t>
      </w:r>
      <w:r>
        <w:t xml:space="preserve">, lyginant su pacientais, kurie triptanų nėra vartoję. Visose kitose baigtyse </w:t>
      </w:r>
      <w:proofErr w:type="spellStart"/>
      <w:r>
        <w:t>rimegeptanas</w:t>
      </w:r>
      <w:proofErr w:type="spellEnd"/>
      <w:r>
        <w:t xml:space="preserve"> buvo statistiškai reikšmingai pranašesnis už placebo abejose pacientų pogrupiuose (p&lt;0,05), išskyrus s</w:t>
      </w:r>
      <w:r w:rsidRPr="00AF58E7">
        <w:t>kausmo atsinaujinim</w:t>
      </w:r>
      <w:r>
        <w:t>ą</w:t>
      </w:r>
      <w:r w:rsidRPr="00AF58E7">
        <w:t xml:space="preserve"> 2-48 valandos po preparato vartojimo</w:t>
      </w:r>
      <w:r>
        <w:t>, kuriame statistiškai reikšmingo skirtumo nebuvo nei viename pogrupyje. Pacientų, kuriems triptanai buvo kontraindikuotini dėl kardiovaskulinės rizikos, pogrupiai buvo labai nedideli (5-8 pacientai), todėl statistinių skaičiavimų rezultatai nepatikimi ir nevertinami.</w:t>
      </w:r>
    </w:p>
    <w:p w14:paraId="74E12819" w14:textId="77777777" w:rsidR="00183C4A" w:rsidRDefault="00183C4A" w:rsidP="00183C4A">
      <w:pPr>
        <w:tabs>
          <w:tab w:val="left" w:pos="284"/>
        </w:tabs>
        <w:rPr>
          <w:b/>
          <w:bCs/>
          <w:caps/>
        </w:rPr>
      </w:pPr>
    </w:p>
    <w:p w14:paraId="7CCC3C44" w14:textId="77777777" w:rsidR="00183C4A" w:rsidRPr="00387953" w:rsidRDefault="00183C4A" w:rsidP="00183C4A">
      <w:pPr>
        <w:tabs>
          <w:tab w:val="left" w:pos="492"/>
        </w:tabs>
        <w:spacing w:line="276" w:lineRule="auto"/>
        <w:jc w:val="both"/>
        <w:outlineLvl w:val="1"/>
        <w:rPr>
          <w:rFonts w:eastAsia="Arial"/>
          <w:bCs/>
          <w:i/>
          <w:iCs/>
        </w:rPr>
      </w:pPr>
      <w:r>
        <w:rPr>
          <w:rFonts w:eastAsia="Arial"/>
          <w:bCs/>
          <w:i/>
          <w:iCs/>
        </w:rPr>
        <w:t>Palyginamasis s</w:t>
      </w:r>
      <w:r w:rsidRPr="00387953">
        <w:rPr>
          <w:rFonts w:eastAsia="Arial"/>
          <w:bCs/>
          <w:i/>
          <w:iCs/>
        </w:rPr>
        <w:t>augumas</w:t>
      </w:r>
    </w:p>
    <w:p w14:paraId="42310034" w14:textId="77777777" w:rsidR="00183C4A" w:rsidRPr="00EA42A7" w:rsidRDefault="00183C4A" w:rsidP="00183C4A">
      <w:pPr>
        <w:pStyle w:val="VVKT"/>
      </w:pPr>
      <w:r w:rsidRPr="00EA42A7">
        <w:t xml:space="preserve">Rimegepanto saugumo rezultatai buvo aptarti EVA mokslinėje diskusijoje (EMA/CHMP/172260/2022) ir įtraukti į preparato charakteristikų santrauką, todėl šiame sveikatos technologijų vertinimo protokole bus aptariami trumpai. EVA mokslinėje diskusijoje rimegepantas </w:t>
      </w:r>
      <w:r w:rsidRPr="00EA42A7">
        <w:lastRenderedPageBreak/>
        <w:t xml:space="preserve">vertinamas kaip turintis palankų saugumo profilį. Dauguma NR buvo lengvo-vidutinio intensyvumo, nesusiję su tiriamuoju preparatu. Nei vieno NR dažnis nebuvo didesnis nei 2%. Nebuvo fiksuota </w:t>
      </w:r>
      <w:proofErr w:type="spellStart"/>
      <w:r w:rsidRPr="00EA42A7">
        <w:t>hiperjautrumo</w:t>
      </w:r>
      <w:proofErr w:type="spellEnd"/>
      <w:r w:rsidRPr="00EA42A7">
        <w:t xml:space="preserve"> </w:t>
      </w:r>
      <w:proofErr w:type="spellStart"/>
      <w:r w:rsidRPr="00EA42A7">
        <w:t>rimegepantui</w:t>
      </w:r>
      <w:proofErr w:type="spellEnd"/>
      <w:r w:rsidRPr="00EA42A7">
        <w:t xml:space="preserve"> reakcijų. Rimegepantą dėl NR nutraukė 2,7% pacientų. Mirčių </w:t>
      </w:r>
      <w:proofErr w:type="spellStart"/>
      <w:r w:rsidRPr="00EA42A7">
        <w:t>registuota</w:t>
      </w:r>
      <w:proofErr w:type="spellEnd"/>
      <w:r w:rsidRPr="00EA42A7">
        <w:t xml:space="preserve"> nebuvo.</w:t>
      </w:r>
    </w:p>
    <w:p w14:paraId="6CE19C56" w14:textId="77777777" w:rsidR="00183C4A" w:rsidRDefault="00183C4A" w:rsidP="00183C4A">
      <w:pPr>
        <w:tabs>
          <w:tab w:val="left" w:pos="284"/>
        </w:tabs>
      </w:pPr>
    </w:p>
    <w:p w14:paraId="26377A18" w14:textId="77777777" w:rsidR="00183C4A" w:rsidRPr="00387953" w:rsidRDefault="00183C4A" w:rsidP="00183C4A">
      <w:pPr>
        <w:spacing w:line="276" w:lineRule="auto"/>
        <w:jc w:val="both"/>
        <w:rPr>
          <w:rFonts w:eastAsia="Arial"/>
          <w:i/>
          <w:color w:val="000000" w:themeColor="text1"/>
        </w:rPr>
      </w:pPr>
      <w:r w:rsidRPr="00387953">
        <w:rPr>
          <w:rFonts w:eastAsia="Arial"/>
          <w:i/>
          <w:color w:val="000000" w:themeColor="text1"/>
        </w:rPr>
        <w:t>Privalumai ir trūkumai</w:t>
      </w:r>
    </w:p>
    <w:p w14:paraId="39539F18" w14:textId="77777777" w:rsidR="00183C4A" w:rsidRPr="001C4887" w:rsidRDefault="00183C4A" w:rsidP="00183C4A">
      <w:pPr>
        <w:pStyle w:val="VVKT"/>
      </w:pPr>
      <w:r w:rsidRPr="001C4887">
        <w:t>Jei vaistinis preparatas būtų įrašytas į kompensavimo sąrašus, gydymo šiuo vaistiniu preparatu taikymas klinikinėje praktikoje galėtų turėti privalumų ir trūkumų medicininėms paslaugoms ar pacientams.</w:t>
      </w:r>
    </w:p>
    <w:p w14:paraId="580B3448" w14:textId="77777777" w:rsidR="00183C4A" w:rsidRDefault="00183C4A" w:rsidP="00183C4A">
      <w:pPr>
        <w:pStyle w:val="VVKT"/>
        <w:rPr>
          <w:i/>
          <w:iCs/>
          <w:color w:val="000000" w:themeColor="text1"/>
        </w:rPr>
      </w:pPr>
      <w:r w:rsidRPr="001C4887">
        <w:rPr>
          <w:i/>
          <w:iCs/>
          <w:color w:val="000000" w:themeColor="text1"/>
        </w:rPr>
        <w:t>Privalumai.</w:t>
      </w:r>
      <w:r w:rsidRPr="001C4887">
        <w:rPr>
          <w:iCs/>
          <w:color w:val="000000" w:themeColor="text1"/>
        </w:rPr>
        <w:t xml:space="preserve"> Pacientams –</w:t>
      </w:r>
      <w:r w:rsidRPr="00FC4D49">
        <w:rPr>
          <w:iCs/>
          <w:color w:val="000000" w:themeColor="text1"/>
        </w:rPr>
        <w:t xml:space="preserve"> </w:t>
      </w:r>
      <w:r>
        <w:rPr>
          <w:iCs/>
          <w:color w:val="000000" w:themeColor="text1"/>
        </w:rPr>
        <w:t xml:space="preserve">didesnė migrenos priepuolių gydymo pasirinkimo galimybė, galimybė pasirinkti specifinį peroralinį preparatą pacientams, kuriems gydymas </w:t>
      </w:r>
      <w:proofErr w:type="spellStart"/>
      <w:r>
        <w:rPr>
          <w:iCs/>
          <w:color w:val="000000" w:themeColor="text1"/>
        </w:rPr>
        <w:t>triptanais</w:t>
      </w:r>
      <w:proofErr w:type="spellEnd"/>
      <w:r>
        <w:rPr>
          <w:iCs/>
          <w:color w:val="000000" w:themeColor="text1"/>
        </w:rPr>
        <w:t xml:space="preserve"> yra neefektyvus, netoleruojamas arba kontraindikuotinas. </w:t>
      </w:r>
      <w:r w:rsidRPr="00FC4D49">
        <w:rPr>
          <w:iCs/>
          <w:color w:val="000000" w:themeColor="text1"/>
        </w:rPr>
        <w:t xml:space="preserve">Medicinos paslaugoms – </w:t>
      </w:r>
      <w:r>
        <w:rPr>
          <w:iCs/>
          <w:color w:val="000000" w:themeColor="text1"/>
        </w:rPr>
        <w:t xml:space="preserve">didesnė migrenos priepuolių gydymo pasirinkimo galimybė. </w:t>
      </w:r>
    </w:p>
    <w:p w14:paraId="40E1A2D2" w14:textId="77777777" w:rsidR="00183C4A" w:rsidRPr="00517918" w:rsidRDefault="00183C4A" w:rsidP="00183C4A">
      <w:pPr>
        <w:pStyle w:val="VVKT"/>
      </w:pPr>
      <w:r w:rsidRPr="00FC6AEC">
        <w:rPr>
          <w:i/>
        </w:rPr>
        <w:t>Trūkumai</w:t>
      </w:r>
      <w:r w:rsidRPr="00FC4D49">
        <w:t>.</w:t>
      </w:r>
      <w:r w:rsidRPr="007C1987">
        <w:t xml:space="preserve"> Pacientams ir medicinos paslaugoms –  </w:t>
      </w:r>
      <w:r>
        <w:t>esminių trūkumų nėra.</w:t>
      </w:r>
    </w:p>
    <w:p w14:paraId="2B302503" w14:textId="77777777" w:rsidR="00183C4A" w:rsidRPr="0059771D" w:rsidRDefault="00183C4A" w:rsidP="00183C4A">
      <w:pPr>
        <w:pStyle w:val="VVKT"/>
      </w:pPr>
      <w:r>
        <w:t>Apibendrinant paraiškoje pateiktus duomenis daroma išvada</w:t>
      </w:r>
      <w:r w:rsidRPr="0059771D">
        <w:t xml:space="preserve">, kad </w:t>
      </w:r>
      <w:r>
        <w:t>rimegepantas</w:t>
      </w:r>
      <w:r w:rsidRPr="0059771D">
        <w:t xml:space="preserve"> yra </w:t>
      </w:r>
      <w:r>
        <w:t>didesnio</w:t>
      </w:r>
      <w:r w:rsidRPr="0059771D">
        <w:t xml:space="preserve"> palyginamojo </w:t>
      </w:r>
      <w:r>
        <w:t xml:space="preserve">efektyvumo gydant migrenos priepuolį, lyginant su įprastine klinikine praktika esant </w:t>
      </w:r>
      <w:r w:rsidRPr="00517918">
        <w:t xml:space="preserve">migrena (su aura ar be jos) sergantiems pacientams, kuriems gydymas bent </w:t>
      </w:r>
      <w:proofErr w:type="spellStart"/>
      <w:r w:rsidRPr="00517918">
        <w:t>dviems</w:t>
      </w:r>
      <w:proofErr w:type="spellEnd"/>
      <w:r w:rsidRPr="00517918">
        <w:t xml:space="preserve"> </w:t>
      </w:r>
      <w:proofErr w:type="spellStart"/>
      <w:r w:rsidRPr="00517918">
        <w:t>triptanais</w:t>
      </w:r>
      <w:proofErr w:type="spellEnd"/>
      <w:r w:rsidRPr="00517918">
        <w:t xml:space="preserve"> buvo neefektyvus ar kuriems gydymas </w:t>
      </w:r>
      <w:proofErr w:type="spellStart"/>
      <w:r w:rsidRPr="00517918">
        <w:t>triptanais</w:t>
      </w:r>
      <w:proofErr w:type="spellEnd"/>
      <w:r w:rsidRPr="00517918">
        <w:t xml:space="preserve"> </w:t>
      </w:r>
      <w:proofErr w:type="spellStart"/>
      <w:r w:rsidRPr="00517918">
        <w:t>kontraindikuotinas</w:t>
      </w:r>
      <w:proofErr w:type="spellEnd"/>
      <w:r w:rsidRPr="00517918">
        <w:t xml:space="preserve"> arba tokio gydymo netoleruoja. </w:t>
      </w:r>
      <w:r>
        <w:t xml:space="preserve">Rimegepanto klinikinis veiksmingumas vertinamas kaip </w:t>
      </w:r>
      <w:r w:rsidRPr="0059771D">
        <w:t xml:space="preserve">pagrindžiantis </w:t>
      </w:r>
      <w:r w:rsidRPr="00517918">
        <w:t>papildomos naudos pacientų sveikatai sukūrimą</w:t>
      </w:r>
      <w:r w:rsidRPr="0059771D">
        <w:t>, lyginant su įprasta klinikine praktika</w:t>
      </w:r>
      <w:r>
        <w:t>.</w:t>
      </w:r>
    </w:p>
    <w:p w14:paraId="25F89291" w14:textId="5C45C8FC" w:rsidR="00D4485B" w:rsidRPr="000203E1" w:rsidRDefault="00D4485B" w:rsidP="00A93AA6">
      <w:pPr>
        <w:pStyle w:val="ListParagraph"/>
        <w:tabs>
          <w:tab w:val="left" w:pos="426"/>
        </w:tabs>
        <w:ind w:left="0"/>
        <w:rPr>
          <w:b/>
          <w:bCs/>
          <w:caps/>
        </w:rPr>
      </w:pP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393F8494" w:rsidR="00C62B36" w:rsidRDefault="00C62B36" w:rsidP="00A93AA6">
      <w:pPr>
        <w:tabs>
          <w:tab w:val="left" w:pos="426"/>
        </w:tabs>
        <w:rPr>
          <w:b/>
          <w:bCs/>
          <w:caps/>
        </w:rPr>
      </w:pPr>
    </w:p>
    <w:p w14:paraId="0BE80A7A" w14:textId="77777777" w:rsidR="002E1972" w:rsidRDefault="002E1972" w:rsidP="002E1972">
      <w:pPr>
        <w:shd w:val="clear" w:color="auto" w:fill="FFFFFF"/>
        <w:spacing w:line="276" w:lineRule="auto"/>
        <w:ind w:firstLine="567"/>
        <w:rPr>
          <w:rFonts w:eastAsia="Arial"/>
        </w:rPr>
      </w:pPr>
      <w:r>
        <w:rPr>
          <w:rFonts w:eastAsia="Arial"/>
        </w:rPr>
        <w:t xml:space="preserve">Pateikta kaštų naudingumo analizė, </w:t>
      </w:r>
      <w:proofErr w:type="spellStart"/>
      <w:r>
        <w:rPr>
          <w:rFonts w:eastAsia="Arial"/>
        </w:rPr>
        <w:t>rimegepanto</w:t>
      </w:r>
      <w:proofErr w:type="spellEnd"/>
      <w:r>
        <w:rPr>
          <w:rFonts w:eastAsia="Arial"/>
        </w:rPr>
        <w:t xml:space="preserve"> kaštų naudingumą lyginant su BSC (geriausiu palaikomuoju gydymu), pacientams, sergantiems migrena ir kuriems buvo nepasiektas simptomų pagerėjimas po ne mažiau nei 2 </w:t>
      </w:r>
      <w:proofErr w:type="spellStart"/>
      <w:r>
        <w:rPr>
          <w:rFonts w:eastAsia="Arial"/>
        </w:rPr>
        <w:t>triptanų</w:t>
      </w:r>
      <w:proofErr w:type="spellEnd"/>
      <w:r>
        <w:rPr>
          <w:rFonts w:eastAsia="Arial"/>
        </w:rPr>
        <w:t xml:space="preserve"> vartojimo. Analizė atliekama iš PSDF </w:t>
      </w:r>
      <w:proofErr w:type="spellStart"/>
      <w:r>
        <w:rPr>
          <w:rFonts w:eastAsia="Arial"/>
        </w:rPr>
        <w:t>biuždeto</w:t>
      </w:r>
      <w:proofErr w:type="spellEnd"/>
      <w:r>
        <w:rPr>
          <w:rFonts w:eastAsia="Arial"/>
        </w:rPr>
        <w:t xml:space="preserve"> mokėtojo perspektyvos ir taikyta 20 metų laiko perspektyva. </w:t>
      </w:r>
    </w:p>
    <w:p w14:paraId="5FE69AB9" w14:textId="77777777" w:rsidR="002E1972" w:rsidRDefault="002E1972" w:rsidP="002E1972">
      <w:pPr>
        <w:shd w:val="clear" w:color="auto" w:fill="FFFFFF"/>
        <w:spacing w:line="276" w:lineRule="auto"/>
        <w:ind w:firstLine="567"/>
        <w:rPr>
          <w:rFonts w:eastAsia="Arial"/>
        </w:rPr>
      </w:pPr>
      <w:r>
        <w:rPr>
          <w:rFonts w:eastAsia="Arial"/>
        </w:rPr>
        <w:t>Ne visos Pareiškėjo analizėje taikytos prielaidos buvo pagrįstos ilgalaikiais klinikiniais duomenimis, todėl siekiant sumažinti neapibrėžtumą, Tarnyba koregavo kai kurių prielaidų taikymą analizėje:</w:t>
      </w:r>
    </w:p>
    <w:p w14:paraId="2CCA9216" w14:textId="77777777" w:rsidR="002E1972" w:rsidRPr="00CE71CC" w:rsidRDefault="002E1972" w:rsidP="002E1972">
      <w:pPr>
        <w:ind w:firstLine="720"/>
        <w:jc w:val="both"/>
      </w:pPr>
      <w:r>
        <w:rPr>
          <w:rFonts w:eastAsia="Arial"/>
        </w:rPr>
        <w:t>-</w:t>
      </w:r>
      <w:r w:rsidRPr="00CE71CC">
        <w:t xml:space="preserve"> </w:t>
      </w:r>
      <w:proofErr w:type="spellStart"/>
      <w:r w:rsidRPr="00CE71CC">
        <w:t>Placebo</w:t>
      </w:r>
      <w:proofErr w:type="spellEnd"/>
      <w:r w:rsidRPr="00CE71CC">
        <w:t xml:space="preserve"> poveikio dingimas po 12 mėn. modelyje. Tarnyba pagrindinio atvejo analizėje šios prielaidos atsisako, nes ji yra nepagrįsta ilgalaikių (trunkančių kelis metus) klinikinių tyrimų duomenimis;</w:t>
      </w:r>
    </w:p>
    <w:p w14:paraId="72531887" w14:textId="77777777" w:rsidR="002E1972" w:rsidRPr="00CE71CC" w:rsidRDefault="002E1972" w:rsidP="002E1972">
      <w:pPr>
        <w:ind w:firstLine="720"/>
        <w:jc w:val="both"/>
      </w:pPr>
      <w:r w:rsidRPr="00CE71CC">
        <w:t>- Kasmetinė gydymo nutraukimo prielaida: 9,7 proc. pacientų gydymą nutrauks kasmet. Tarnyba šios prielaidos pagrindinio atvejo analizėje netaiko, nes 9,7 proc. yra pagrįstas 52 sav. vartojimu – to pateis dažnio taikymas  20 metų laiko perspektyvoje yra laikomas neapibrėžtumu. Siekiant sumažinti neapibrėžtumą ir pateikti konservatyvų scenarijų, pagrindinio atvejo analizėje šios prielaidos netaikome;</w:t>
      </w:r>
    </w:p>
    <w:p w14:paraId="78E0D845" w14:textId="77777777" w:rsidR="002E1972" w:rsidRDefault="002E1972" w:rsidP="002E1972">
      <w:pPr>
        <w:ind w:firstLine="567"/>
        <w:jc w:val="both"/>
      </w:pPr>
      <w:r w:rsidRPr="00CE71CC">
        <w:t xml:space="preserve">- MMD dažnio mažėjimas </w:t>
      </w:r>
      <w:proofErr w:type="spellStart"/>
      <w:r w:rsidRPr="00CE71CC">
        <w:t>rimegepanto</w:t>
      </w:r>
      <w:proofErr w:type="spellEnd"/>
      <w:r w:rsidRPr="00CE71CC">
        <w:t xml:space="preserve"> grupės pacientams. Yra tikimybė, jog </w:t>
      </w:r>
      <w:proofErr w:type="spellStart"/>
      <w:r w:rsidRPr="00CE71CC">
        <w:t>rimegepanto</w:t>
      </w:r>
      <w:proofErr w:type="spellEnd"/>
      <w:r w:rsidRPr="00CE71CC">
        <w:t xml:space="preserve"> vartojimas gali sumažinti MMD dažnį (atsižvelgiant į vaisto registruotas indikacijas), tačiau siekiant sumažinti neapibrėžtumą ir pateikti konservatyvų scenarijų, šios prielaidos pagrindinio atvejo analizėje netaikome.</w:t>
      </w:r>
    </w:p>
    <w:p w14:paraId="64D5B830" w14:textId="0C4112A5" w:rsidR="002E1972" w:rsidRDefault="002E1972" w:rsidP="002E1972">
      <w:pPr>
        <w:ind w:firstLine="567"/>
        <w:jc w:val="both"/>
      </w:pPr>
      <w:r>
        <w:t xml:space="preserve">Tarnybai papildomai kilo ir kitų </w:t>
      </w:r>
      <w:proofErr w:type="spellStart"/>
      <w:r>
        <w:t>neaiškumų</w:t>
      </w:r>
      <w:proofErr w:type="spellEnd"/>
      <w:r>
        <w:t xml:space="preserve"> – nėra pilnai aišku ar </w:t>
      </w:r>
      <w:proofErr w:type="spellStart"/>
      <w:r>
        <w:t>Vo</w:t>
      </w:r>
      <w:proofErr w:type="spellEnd"/>
      <w:r>
        <w:t xml:space="preserve"> et al. Publikacijoje aprašytas ASPP poreikis </w:t>
      </w:r>
      <w:r w:rsidR="00C40AA8">
        <w:t>atitinka Lietuvos pacientų popu</w:t>
      </w:r>
      <w:r>
        <w:t>l</w:t>
      </w:r>
      <w:r w:rsidR="00C40AA8">
        <w:t>i</w:t>
      </w:r>
      <w:bookmarkStart w:id="0" w:name="_GoBack"/>
      <w:bookmarkEnd w:id="0"/>
      <w:r>
        <w:t xml:space="preserve">acijos poreikį, tačiau atsižvelgiant į tai, jog ASPP kaštai sudaro nedidelę dalį analizės rezultato, Tarnyba vertina, jog analizės rezultatą galime įvertinti ir taikant </w:t>
      </w:r>
      <w:proofErr w:type="spellStart"/>
      <w:r>
        <w:t>Vo</w:t>
      </w:r>
      <w:proofErr w:type="spellEnd"/>
      <w:r>
        <w:t xml:space="preserve"> et al. publikacijoje nurodytą ASPP poreikį.</w:t>
      </w:r>
    </w:p>
    <w:p w14:paraId="760803A4" w14:textId="77777777" w:rsidR="002E1972" w:rsidRDefault="002E1972" w:rsidP="002E1972">
      <w:pPr>
        <w:spacing w:line="280" w:lineRule="atLeast"/>
        <w:ind w:firstLine="567"/>
        <w:jc w:val="both"/>
        <w:rPr>
          <w:rFonts w:eastAsia="Arial"/>
        </w:rPr>
      </w:pPr>
      <w:r>
        <w:rPr>
          <w:rFonts w:eastAsia="Arial"/>
        </w:rPr>
        <w:t xml:space="preserve">Atsižvelgiant į tai, jog net taikant konservatyvias prielaidas, analizėje ICER neviršija referencinės kaštų naudingumo vertės, Tarnyba nesikreipė į Pareiškėją, prašydama papildomos </w:t>
      </w:r>
      <w:r>
        <w:rPr>
          <w:rFonts w:eastAsia="Arial"/>
        </w:rPr>
        <w:lastRenderedPageBreak/>
        <w:t xml:space="preserve">informacijos taikomų prielaidų pagrindimui, nes Tarnybai pakako Pareiškėjo pateiktos informacijos sprendimo priėmimui. Laikoma, jog </w:t>
      </w:r>
      <w:proofErr w:type="spellStart"/>
      <w:r>
        <w:rPr>
          <w:rFonts w:eastAsia="Arial"/>
        </w:rPr>
        <w:t>rimegepantas</w:t>
      </w:r>
      <w:proofErr w:type="spellEnd"/>
      <w:r>
        <w:rPr>
          <w:rFonts w:eastAsia="Arial"/>
        </w:rPr>
        <w:t xml:space="preserve"> yra kaštams naudingas migrenos priepuolių gydymui.</w:t>
      </w:r>
    </w:p>
    <w:p w14:paraId="54CDFB27" w14:textId="774F59B9" w:rsidR="002E1972" w:rsidRDefault="002E1972"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2E1972" w:rsidRPr="00D05364" w14:paraId="4E08C4C6" w14:textId="77777777" w:rsidTr="0026236C">
        <w:trPr>
          <w:trHeight w:val="364"/>
          <w:jc w:val="center"/>
        </w:trPr>
        <w:tc>
          <w:tcPr>
            <w:tcW w:w="9908" w:type="dxa"/>
            <w:gridSpan w:val="4"/>
            <w:tcBorders>
              <w:top w:val="single" w:sz="12" w:space="0" w:color="auto"/>
              <w:bottom w:val="single" w:sz="4" w:space="0" w:color="auto"/>
            </w:tcBorders>
            <w:vAlign w:val="center"/>
          </w:tcPr>
          <w:p w14:paraId="22D7DB67" w14:textId="77777777" w:rsidR="002E1972" w:rsidRPr="00D05364" w:rsidRDefault="002E1972" w:rsidP="0026236C">
            <w:pPr>
              <w:tabs>
                <w:tab w:val="left" w:pos="567"/>
              </w:tabs>
              <w:jc w:val="center"/>
              <w:rPr>
                <w:b/>
                <w:i/>
                <w:iCs/>
                <w:color w:val="00B050"/>
                <w:sz w:val="22"/>
                <w:szCs w:val="22"/>
                <w:lang w:eastAsia="lt-LT"/>
              </w:rPr>
            </w:pPr>
            <w:r w:rsidRPr="00D05364">
              <w:rPr>
                <w:b/>
                <w:lang w:eastAsia="lt-LT"/>
              </w:rPr>
              <w:t>Kaštai</w:t>
            </w:r>
          </w:p>
        </w:tc>
      </w:tr>
      <w:tr w:rsidR="002E1972" w:rsidRPr="00D05364" w14:paraId="515CAE6E" w14:textId="77777777" w:rsidTr="0026236C">
        <w:trPr>
          <w:jc w:val="center"/>
        </w:trPr>
        <w:tc>
          <w:tcPr>
            <w:tcW w:w="2697" w:type="dxa"/>
            <w:tcBorders>
              <w:top w:val="single" w:sz="4" w:space="0" w:color="auto"/>
              <w:bottom w:val="single" w:sz="4" w:space="0" w:color="auto"/>
            </w:tcBorders>
          </w:tcPr>
          <w:p w14:paraId="4171CF46" w14:textId="77777777" w:rsidR="002E1972" w:rsidRPr="00D05364" w:rsidRDefault="002E1972" w:rsidP="0026236C">
            <w:pPr>
              <w:tabs>
                <w:tab w:val="left" w:pos="567"/>
              </w:tabs>
              <w:jc w:val="both"/>
              <w:rPr>
                <w:color w:val="00B050"/>
                <w:lang w:eastAsia="lt-LT"/>
              </w:rPr>
            </w:pPr>
          </w:p>
        </w:tc>
        <w:tc>
          <w:tcPr>
            <w:tcW w:w="1613" w:type="dxa"/>
            <w:tcBorders>
              <w:top w:val="single" w:sz="4" w:space="0" w:color="auto"/>
              <w:bottom w:val="single" w:sz="4" w:space="0" w:color="auto"/>
            </w:tcBorders>
          </w:tcPr>
          <w:p w14:paraId="4629871F" w14:textId="77777777" w:rsidR="002E1972" w:rsidRPr="00D05364" w:rsidRDefault="002E1972" w:rsidP="0026236C">
            <w:pPr>
              <w:tabs>
                <w:tab w:val="left" w:pos="567"/>
              </w:tabs>
              <w:jc w:val="both"/>
              <w:rPr>
                <w:i/>
                <w:iCs/>
                <w:lang w:eastAsia="lt-LT"/>
              </w:rPr>
            </w:pPr>
            <w:proofErr w:type="spellStart"/>
            <w:r>
              <w:rPr>
                <w:i/>
                <w:iCs/>
                <w:lang w:eastAsia="lt-LT"/>
              </w:rPr>
              <w:t>Rimegepantas</w:t>
            </w:r>
            <w:proofErr w:type="spellEnd"/>
          </w:p>
        </w:tc>
        <w:tc>
          <w:tcPr>
            <w:tcW w:w="2019" w:type="dxa"/>
            <w:tcBorders>
              <w:top w:val="single" w:sz="4" w:space="0" w:color="auto"/>
              <w:bottom w:val="single" w:sz="4" w:space="0" w:color="auto"/>
            </w:tcBorders>
          </w:tcPr>
          <w:p w14:paraId="4231902C" w14:textId="77777777" w:rsidR="002E1972" w:rsidRPr="00D05364" w:rsidRDefault="002E1972" w:rsidP="0026236C">
            <w:pPr>
              <w:tabs>
                <w:tab w:val="left" w:pos="567"/>
              </w:tabs>
              <w:jc w:val="both"/>
              <w:rPr>
                <w:i/>
                <w:iCs/>
                <w:lang w:eastAsia="lt-LT"/>
              </w:rPr>
            </w:pPr>
            <w:r>
              <w:rPr>
                <w:i/>
                <w:iCs/>
                <w:lang w:eastAsia="lt-LT"/>
              </w:rPr>
              <w:t>BSC</w:t>
            </w:r>
          </w:p>
        </w:tc>
        <w:tc>
          <w:tcPr>
            <w:tcW w:w="3579" w:type="dxa"/>
            <w:tcBorders>
              <w:top w:val="single" w:sz="4" w:space="0" w:color="auto"/>
              <w:bottom w:val="single" w:sz="4" w:space="0" w:color="auto"/>
            </w:tcBorders>
          </w:tcPr>
          <w:p w14:paraId="0274AEA5" w14:textId="77777777" w:rsidR="002E1972" w:rsidRPr="00D05364" w:rsidRDefault="002E1972" w:rsidP="0026236C">
            <w:pPr>
              <w:tabs>
                <w:tab w:val="left" w:pos="567"/>
              </w:tabs>
              <w:jc w:val="both"/>
              <w:rPr>
                <w:i/>
                <w:lang w:eastAsia="lt-LT"/>
              </w:rPr>
            </w:pPr>
            <w:r w:rsidRPr="00D05364">
              <w:rPr>
                <w:i/>
                <w:lang w:eastAsia="lt-LT"/>
              </w:rPr>
              <w:t>Skirtumas</w:t>
            </w:r>
          </w:p>
        </w:tc>
      </w:tr>
      <w:tr w:rsidR="00C40AA8" w:rsidRPr="00D05364" w14:paraId="6B61B651" w14:textId="77777777" w:rsidTr="0026236C">
        <w:trPr>
          <w:jc w:val="center"/>
        </w:trPr>
        <w:tc>
          <w:tcPr>
            <w:tcW w:w="2697" w:type="dxa"/>
            <w:tcBorders>
              <w:top w:val="single" w:sz="4" w:space="0" w:color="auto"/>
              <w:bottom w:val="single" w:sz="4" w:space="0" w:color="auto"/>
            </w:tcBorders>
          </w:tcPr>
          <w:p w14:paraId="6B9C9E88" w14:textId="77777777" w:rsidR="00C40AA8" w:rsidRPr="00D05364" w:rsidRDefault="00C40AA8" w:rsidP="00C40AA8">
            <w:pPr>
              <w:tabs>
                <w:tab w:val="left" w:pos="567"/>
              </w:tabs>
              <w:jc w:val="both"/>
              <w:rPr>
                <w:iCs/>
                <w:color w:val="00B050"/>
                <w:lang w:eastAsia="lt-LT"/>
              </w:rPr>
            </w:pPr>
            <w:r w:rsidRPr="00D05364">
              <w:rPr>
                <w:iCs/>
                <w:color w:val="000000"/>
                <w:lang w:eastAsia="lt-LT"/>
              </w:rPr>
              <w:t>Gydymo kaštai</w:t>
            </w:r>
          </w:p>
        </w:tc>
        <w:tc>
          <w:tcPr>
            <w:tcW w:w="1613" w:type="dxa"/>
            <w:tcBorders>
              <w:top w:val="single" w:sz="4" w:space="0" w:color="auto"/>
              <w:bottom w:val="single" w:sz="4" w:space="0" w:color="auto"/>
            </w:tcBorders>
          </w:tcPr>
          <w:p w14:paraId="727ABFD0" w14:textId="05EA1FFB" w:rsidR="00C40AA8" w:rsidRPr="00D05364" w:rsidRDefault="00C40AA8" w:rsidP="00C40AA8">
            <w:pPr>
              <w:tabs>
                <w:tab w:val="left" w:pos="567"/>
              </w:tabs>
              <w:jc w:val="both"/>
              <w:rPr>
                <w:i/>
                <w:iCs/>
                <w:lang w:eastAsia="lt-LT"/>
              </w:rPr>
            </w:pPr>
            <w:r w:rsidRPr="00D81CE4">
              <w:rPr>
                <w:b/>
                <w:bCs/>
                <w:caps/>
              </w:rPr>
              <w:t>******</w:t>
            </w:r>
          </w:p>
        </w:tc>
        <w:tc>
          <w:tcPr>
            <w:tcW w:w="2019" w:type="dxa"/>
            <w:tcBorders>
              <w:top w:val="single" w:sz="4" w:space="0" w:color="auto"/>
              <w:bottom w:val="single" w:sz="4" w:space="0" w:color="auto"/>
            </w:tcBorders>
          </w:tcPr>
          <w:p w14:paraId="6A1D8ADE" w14:textId="706D062E" w:rsidR="00C40AA8" w:rsidRPr="00D05364" w:rsidRDefault="00C40AA8" w:rsidP="00C40AA8">
            <w:pPr>
              <w:tabs>
                <w:tab w:val="left" w:pos="567"/>
              </w:tabs>
              <w:jc w:val="both"/>
              <w:rPr>
                <w:i/>
                <w:iCs/>
                <w:lang w:eastAsia="lt-LT"/>
              </w:rPr>
            </w:pPr>
            <w:r w:rsidRPr="00D81CE4">
              <w:rPr>
                <w:b/>
                <w:bCs/>
                <w:caps/>
              </w:rPr>
              <w:t>******</w:t>
            </w:r>
          </w:p>
        </w:tc>
        <w:tc>
          <w:tcPr>
            <w:tcW w:w="3579" w:type="dxa"/>
            <w:tcBorders>
              <w:top w:val="single" w:sz="4" w:space="0" w:color="auto"/>
              <w:bottom w:val="single" w:sz="4" w:space="0" w:color="auto"/>
            </w:tcBorders>
          </w:tcPr>
          <w:p w14:paraId="0A654DAE" w14:textId="5A460D0F" w:rsidR="00C40AA8" w:rsidRPr="00D05364" w:rsidRDefault="00C40AA8" w:rsidP="00C40AA8">
            <w:pPr>
              <w:tabs>
                <w:tab w:val="left" w:pos="567"/>
              </w:tabs>
              <w:jc w:val="both"/>
              <w:rPr>
                <w:lang w:eastAsia="lt-LT"/>
              </w:rPr>
            </w:pPr>
            <w:r w:rsidRPr="00D81CE4">
              <w:rPr>
                <w:b/>
                <w:bCs/>
                <w:caps/>
              </w:rPr>
              <w:t>******</w:t>
            </w:r>
          </w:p>
        </w:tc>
      </w:tr>
      <w:tr w:rsidR="00C40AA8" w:rsidRPr="00D05364" w14:paraId="329D4FEA" w14:textId="77777777" w:rsidTr="0026236C">
        <w:trPr>
          <w:jc w:val="center"/>
        </w:trPr>
        <w:tc>
          <w:tcPr>
            <w:tcW w:w="2697" w:type="dxa"/>
            <w:tcBorders>
              <w:top w:val="single" w:sz="4" w:space="0" w:color="auto"/>
              <w:bottom w:val="single" w:sz="4" w:space="0" w:color="auto"/>
            </w:tcBorders>
          </w:tcPr>
          <w:p w14:paraId="1E9C44C7" w14:textId="77777777" w:rsidR="00C40AA8" w:rsidRPr="00D05364" w:rsidRDefault="00C40AA8" w:rsidP="00C40AA8">
            <w:pPr>
              <w:tabs>
                <w:tab w:val="left" w:pos="567"/>
              </w:tabs>
              <w:rPr>
                <w:iCs/>
                <w:color w:val="000000"/>
                <w:lang w:eastAsia="lt-LT"/>
              </w:rPr>
            </w:pPr>
            <w:r w:rsidRPr="00D05364">
              <w:rPr>
                <w:iCs/>
                <w:color w:val="000000"/>
                <w:lang w:eastAsia="lt-LT"/>
              </w:rPr>
              <w:t>Vaistinių preparatų įsigijimo kaštai</w:t>
            </w:r>
          </w:p>
        </w:tc>
        <w:tc>
          <w:tcPr>
            <w:tcW w:w="1613" w:type="dxa"/>
            <w:tcBorders>
              <w:top w:val="single" w:sz="4" w:space="0" w:color="auto"/>
              <w:bottom w:val="single" w:sz="4" w:space="0" w:color="auto"/>
            </w:tcBorders>
          </w:tcPr>
          <w:p w14:paraId="6C0749CD" w14:textId="15417234" w:rsidR="00C40AA8" w:rsidRPr="00D05364" w:rsidRDefault="00C40AA8" w:rsidP="00C40AA8">
            <w:pPr>
              <w:tabs>
                <w:tab w:val="left" w:pos="567"/>
              </w:tabs>
              <w:jc w:val="both"/>
              <w:rPr>
                <w:i/>
                <w:iCs/>
                <w:lang w:eastAsia="lt-LT"/>
              </w:rPr>
            </w:pPr>
            <w:r w:rsidRPr="00D81CE4">
              <w:rPr>
                <w:b/>
                <w:bCs/>
                <w:caps/>
              </w:rPr>
              <w:t>******</w:t>
            </w:r>
          </w:p>
        </w:tc>
        <w:tc>
          <w:tcPr>
            <w:tcW w:w="2019" w:type="dxa"/>
            <w:tcBorders>
              <w:top w:val="single" w:sz="4" w:space="0" w:color="auto"/>
              <w:bottom w:val="single" w:sz="4" w:space="0" w:color="auto"/>
            </w:tcBorders>
          </w:tcPr>
          <w:p w14:paraId="6EA7308F" w14:textId="21FBDDF6" w:rsidR="00C40AA8" w:rsidRPr="00D05364" w:rsidRDefault="00C40AA8" w:rsidP="00C40AA8">
            <w:pPr>
              <w:tabs>
                <w:tab w:val="left" w:pos="567"/>
              </w:tabs>
              <w:jc w:val="both"/>
              <w:rPr>
                <w:i/>
                <w:iCs/>
                <w:lang w:eastAsia="lt-LT"/>
              </w:rPr>
            </w:pPr>
            <w:r w:rsidRPr="00D81CE4">
              <w:rPr>
                <w:b/>
                <w:bCs/>
                <w:caps/>
              </w:rPr>
              <w:t>******</w:t>
            </w:r>
          </w:p>
        </w:tc>
        <w:tc>
          <w:tcPr>
            <w:tcW w:w="3579" w:type="dxa"/>
            <w:tcBorders>
              <w:top w:val="single" w:sz="4" w:space="0" w:color="auto"/>
              <w:bottom w:val="single" w:sz="4" w:space="0" w:color="auto"/>
            </w:tcBorders>
          </w:tcPr>
          <w:p w14:paraId="1EFEDE27" w14:textId="7919D018" w:rsidR="00C40AA8" w:rsidRPr="00D05364" w:rsidRDefault="00C40AA8" w:rsidP="00C40AA8">
            <w:pPr>
              <w:tabs>
                <w:tab w:val="left" w:pos="567"/>
              </w:tabs>
              <w:jc w:val="both"/>
              <w:rPr>
                <w:lang w:eastAsia="lt-LT"/>
              </w:rPr>
            </w:pPr>
            <w:r w:rsidRPr="00D81CE4">
              <w:rPr>
                <w:b/>
                <w:bCs/>
                <w:caps/>
              </w:rPr>
              <w:t>******</w:t>
            </w:r>
          </w:p>
        </w:tc>
      </w:tr>
      <w:tr w:rsidR="00C40AA8" w:rsidRPr="00D05364" w14:paraId="0DDFAD0A" w14:textId="77777777" w:rsidTr="0026236C">
        <w:trPr>
          <w:jc w:val="center"/>
        </w:trPr>
        <w:tc>
          <w:tcPr>
            <w:tcW w:w="2697" w:type="dxa"/>
            <w:tcBorders>
              <w:top w:val="single" w:sz="4" w:space="0" w:color="auto"/>
              <w:bottom w:val="single" w:sz="12" w:space="0" w:color="auto"/>
            </w:tcBorders>
          </w:tcPr>
          <w:p w14:paraId="580FA45D" w14:textId="77777777" w:rsidR="00C40AA8" w:rsidRPr="00D05364" w:rsidRDefault="00C40AA8" w:rsidP="00C40AA8">
            <w:pPr>
              <w:tabs>
                <w:tab w:val="left" w:pos="567"/>
              </w:tabs>
              <w:jc w:val="right"/>
              <w:rPr>
                <w:iCs/>
                <w:lang w:eastAsia="lt-LT"/>
              </w:rPr>
            </w:pPr>
            <w:r w:rsidRPr="00D05364">
              <w:rPr>
                <w:iCs/>
                <w:lang w:eastAsia="lt-LT"/>
              </w:rPr>
              <w:t>Kita</w:t>
            </w:r>
          </w:p>
        </w:tc>
        <w:tc>
          <w:tcPr>
            <w:tcW w:w="1613" w:type="dxa"/>
            <w:tcBorders>
              <w:top w:val="single" w:sz="4" w:space="0" w:color="auto"/>
              <w:bottom w:val="single" w:sz="12" w:space="0" w:color="auto"/>
            </w:tcBorders>
          </w:tcPr>
          <w:p w14:paraId="6B217440" w14:textId="0EB2E576" w:rsidR="00C40AA8" w:rsidRPr="00D05364" w:rsidRDefault="00C40AA8" w:rsidP="00C40AA8">
            <w:pPr>
              <w:tabs>
                <w:tab w:val="left" w:pos="567"/>
              </w:tabs>
              <w:jc w:val="both"/>
              <w:rPr>
                <w:i/>
                <w:iCs/>
                <w:lang w:eastAsia="lt-LT"/>
              </w:rPr>
            </w:pPr>
            <w:r w:rsidRPr="00D81CE4">
              <w:rPr>
                <w:b/>
                <w:bCs/>
                <w:caps/>
              </w:rPr>
              <w:t>******</w:t>
            </w:r>
          </w:p>
        </w:tc>
        <w:tc>
          <w:tcPr>
            <w:tcW w:w="2019" w:type="dxa"/>
            <w:tcBorders>
              <w:top w:val="single" w:sz="4" w:space="0" w:color="auto"/>
              <w:bottom w:val="single" w:sz="12" w:space="0" w:color="auto"/>
            </w:tcBorders>
          </w:tcPr>
          <w:p w14:paraId="7D75ADBD" w14:textId="5D411094" w:rsidR="00C40AA8" w:rsidRPr="00D05364" w:rsidRDefault="00C40AA8" w:rsidP="00C40AA8">
            <w:pPr>
              <w:tabs>
                <w:tab w:val="left" w:pos="567"/>
              </w:tabs>
              <w:jc w:val="both"/>
              <w:rPr>
                <w:i/>
                <w:iCs/>
                <w:lang w:eastAsia="lt-LT"/>
              </w:rPr>
            </w:pPr>
            <w:r w:rsidRPr="00D81CE4">
              <w:rPr>
                <w:b/>
                <w:bCs/>
                <w:caps/>
              </w:rPr>
              <w:t>******</w:t>
            </w:r>
          </w:p>
        </w:tc>
        <w:tc>
          <w:tcPr>
            <w:tcW w:w="3579" w:type="dxa"/>
            <w:tcBorders>
              <w:top w:val="single" w:sz="4" w:space="0" w:color="auto"/>
              <w:bottom w:val="single" w:sz="12" w:space="0" w:color="auto"/>
            </w:tcBorders>
          </w:tcPr>
          <w:p w14:paraId="26971A7B" w14:textId="3A4E1AE6" w:rsidR="00C40AA8" w:rsidRPr="00D05364" w:rsidRDefault="00C40AA8" w:rsidP="00C40AA8">
            <w:pPr>
              <w:tabs>
                <w:tab w:val="left" w:pos="567"/>
              </w:tabs>
              <w:jc w:val="both"/>
              <w:rPr>
                <w:i/>
                <w:iCs/>
                <w:lang w:eastAsia="lt-LT"/>
              </w:rPr>
            </w:pPr>
            <w:r w:rsidRPr="00D81CE4">
              <w:rPr>
                <w:b/>
                <w:bCs/>
                <w:caps/>
              </w:rPr>
              <w:t>******</w:t>
            </w:r>
          </w:p>
        </w:tc>
      </w:tr>
      <w:tr w:rsidR="002E1972" w:rsidRPr="00D05364" w14:paraId="25AA79C4" w14:textId="77777777" w:rsidTr="0026236C">
        <w:trPr>
          <w:jc w:val="center"/>
        </w:trPr>
        <w:tc>
          <w:tcPr>
            <w:tcW w:w="9908" w:type="dxa"/>
            <w:gridSpan w:val="4"/>
            <w:tcBorders>
              <w:top w:val="single" w:sz="12" w:space="0" w:color="auto"/>
              <w:bottom w:val="single" w:sz="4" w:space="0" w:color="auto"/>
            </w:tcBorders>
          </w:tcPr>
          <w:p w14:paraId="58FE0FA1" w14:textId="77777777" w:rsidR="002E1972" w:rsidRPr="00D05364" w:rsidRDefault="002E1972" w:rsidP="0026236C">
            <w:pPr>
              <w:tabs>
                <w:tab w:val="left" w:pos="567"/>
              </w:tabs>
              <w:jc w:val="center"/>
              <w:rPr>
                <w:iCs/>
                <w:lang w:eastAsia="lt-LT"/>
              </w:rPr>
            </w:pPr>
            <w:r w:rsidRPr="00D05364">
              <w:rPr>
                <w:lang w:eastAsia="lt-LT"/>
              </w:rPr>
              <w:t>Kokybiški gyvenimo metai (QALY)</w:t>
            </w:r>
          </w:p>
        </w:tc>
      </w:tr>
      <w:tr w:rsidR="00C40AA8" w:rsidRPr="00D05364" w14:paraId="734003AD" w14:textId="77777777" w:rsidTr="0026236C">
        <w:trPr>
          <w:jc w:val="center"/>
        </w:trPr>
        <w:tc>
          <w:tcPr>
            <w:tcW w:w="2697" w:type="dxa"/>
            <w:tcBorders>
              <w:top w:val="single" w:sz="4" w:space="0" w:color="auto"/>
              <w:bottom w:val="single" w:sz="4" w:space="0" w:color="auto"/>
            </w:tcBorders>
          </w:tcPr>
          <w:p w14:paraId="180E2BB9" w14:textId="77777777" w:rsidR="00C40AA8" w:rsidRPr="00D05364" w:rsidRDefault="00C40AA8" w:rsidP="00C40AA8">
            <w:pPr>
              <w:tabs>
                <w:tab w:val="left" w:pos="567"/>
              </w:tabs>
              <w:jc w:val="both"/>
              <w:rPr>
                <w:iCs/>
                <w:lang w:eastAsia="lt-LT"/>
              </w:rPr>
            </w:pPr>
            <w:proofErr w:type="spellStart"/>
            <w:r>
              <w:rPr>
                <w:iCs/>
                <w:lang w:eastAsia="lt-LT"/>
              </w:rPr>
              <w:t>Rimegepantas</w:t>
            </w:r>
            <w:proofErr w:type="spellEnd"/>
          </w:p>
        </w:tc>
        <w:tc>
          <w:tcPr>
            <w:tcW w:w="3632" w:type="dxa"/>
            <w:gridSpan w:val="2"/>
            <w:tcBorders>
              <w:top w:val="single" w:sz="4" w:space="0" w:color="auto"/>
              <w:bottom w:val="single" w:sz="4" w:space="0" w:color="auto"/>
            </w:tcBorders>
          </w:tcPr>
          <w:p w14:paraId="72B011AD" w14:textId="2A7EE9E2" w:rsidR="00C40AA8" w:rsidRPr="00D05364" w:rsidRDefault="00C40AA8" w:rsidP="00C40AA8">
            <w:pPr>
              <w:tabs>
                <w:tab w:val="left" w:pos="567"/>
              </w:tabs>
              <w:jc w:val="both"/>
              <w:rPr>
                <w:i/>
                <w:iCs/>
                <w:lang w:eastAsia="lt-LT"/>
              </w:rPr>
            </w:pPr>
            <w:r w:rsidRPr="005E1FDB">
              <w:rPr>
                <w:b/>
                <w:bCs/>
                <w:caps/>
              </w:rPr>
              <w:t>******</w:t>
            </w:r>
          </w:p>
        </w:tc>
        <w:tc>
          <w:tcPr>
            <w:tcW w:w="3579" w:type="dxa"/>
            <w:vMerge w:val="restart"/>
            <w:tcBorders>
              <w:top w:val="single" w:sz="4" w:space="0" w:color="auto"/>
            </w:tcBorders>
          </w:tcPr>
          <w:p w14:paraId="1C1F19B3" w14:textId="77777777" w:rsidR="00C40AA8" w:rsidRPr="00164D64" w:rsidRDefault="00C40AA8" w:rsidP="00C40AA8">
            <w:pPr>
              <w:tabs>
                <w:tab w:val="left" w:pos="426"/>
              </w:tabs>
              <w:rPr>
                <w:b/>
                <w:bCs/>
                <w:caps/>
              </w:rPr>
            </w:pPr>
            <w:r w:rsidRPr="00D05364">
              <w:rPr>
                <w:lang w:eastAsia="lt-LT"/>
              </w:rPr>
              <w:t xml:space="preserve">Skirtumas: </w:t>
            </w:r>
            <w:r>
              <w:rPr>
                <w:b/>
                <w:bCs/>
                <w:caps/>
              </w:rPr>
              <w:t>******</w:t>
            </w:r>
          </w:p>
          <w:p w14:paraId="67A2FFE6" w14:textId="79F737A8" w:rsidR="00C40AA8" w:rsidRPr="00D05364" w:rsidRDefault="00C40AA8" w:rsidP="00C40AA8">
            <w:pPr>
              <w:tabs>
                <w:tab w:val="left" w:pos="567"/>
              </w:tabs>
              <w:jc w:val="both"/>
              <w:rPr>
                <w:lang w:eastAsia="lt-LT"/>
              </w:rPr>
            </w:pPr>
          </w:p>
        </w:tc>
      </w:tr>
      <w:tr w:rsidR="00C40AA8" w:rsidRPr="00D05364" w14:paraId="4EBACB15" w14:textId="77777777" w:rsidTr="0026236C">
        <w:trPr>
          <w:jc w:val="center"/>
        </w:trPr>
        <w:tc>
          <w:tcPr>
            <w:tcW w:w="2697" w:type="dxa"/>
            <w:tcBorders>
              <w:top w:val="single" w:sz="4" w:space="0" w:color="auto"/>
              <w:bottom w:val="single" w:sz="12" w:space="0" w:color="auto"/>
            </w:tcBorders>
          </w:tcPr>
          <w:p w14:paraId="79D9FDFA" w14:textId="77777777" w:rsidR="00C40AA8" w:rsidRPr="00D05364" w:rsidRDefault="00C40AA8" w:rsidP="00C40AA8">
            <w:pPr>
              <w:tabs>
                <w:tab w:val="left" w:pos="567"/>
              </w:tabs>
              <w:jc w:val="both"/>
              <w:rPr>
                <w:iCs/>
                <w:lang w:eastAsia="lt-LT"/>
              </w:rPr>
            </w:pPr>
            <w:r>
              <w:rPr>
                <w:iCs/>
                <w:lang w:eastAsia="lt-LT"/>
              </w:rPr>
              <w:t>BSC</w:t>
            </w:r>
          </w:p>
        </w:tc>
        <w:tc>
          <w:tcPr>
            <w:tcW w:w="3632" w:type="dxa"/>
            <w:gridSpan w:val="2"/>
            <w:tcBorders>
              <w:top w:val="single" w:sz="4" w:space="0" w:color="auto"/>
              <w:bottom w:val="single" w:sz="12" w:space="0" w:color="auto"/>
            </w:tcBorders>
          </w:tcPr>
          <w:p w14:paraId="3AF16305" w14:textId="4C882E91" w:rsidR="00C40AA8" w:rsidRPr="00D05364" w:rsidRDefault="00C40AA8" w:rsidP="00C40AA8">
            <w:pPr>
              <w:tabs>
                <w:tab w:val="left" w:pos="567"/>
              </w:tabs>
              <w:jc w:val="both"/>
              <w:rPr>
                <w:i/>
                <w:iCs/>
                <w:lang w:eastAsia="lt-LT"/>
              </w:rPr>
            </w:pPr>
            <w:r w:rsidRPr="005E1FDB">
              <w:rPr>
                <w:b/>
                <w:bCs/>
                <w:caps/>
              </w:rPr>
              <w:t>******</w:t>
            </w:r>
          </w:p>
        </w:tc>
        <w:tc>
          <w:tcPr>
            <w:tcW w:w="3579" w:type="dxa"/>
            <w:vMerge/>
            <w:tcBorders>
              <w:bottom w:val="single" w:sz="12" w:space="0" w:color="auto"/>
            </w:tcBorders>
          </w:tcPr>
          <w:p w14:paraId="597092C1" w14:textId="77777777" w:rsidR="00C40AA8" w:rsidRPr="00D05364" w:rsidRDefault="00C40AA8" w:rsidP="00C40AA8">
            <w:pPr>
              <w:tabs>
                <w:tab w:val="left" w:pos="567"/>
              </w:tabs>
              <w:jc w:val="both"/>
              <w:rPr>
                <w:i/>
                <w:iCs/>
                <w:lang w:eastAsia="lt-LT"/>
              </w:rPr>
            </w:pPr>
          </w:p>
        </w:tc>
      </w:tr>
      <w:tr w:rsidR="002E1972" w:rsidRPr="00D05364" w14:paraId="7D34148E" w14:textId="77777777" w:rsidTr="0026236C">
        <w:trPr>
          <w:trHeight w:val="347"/>
          <w:jc w:val="center"/>
        </w:trPr>
        <w:tc>
          <w:tcPr>
            <w:tcW w:w="9908" w:type="dxa"/>
            <w:gridSpan w:val="4"/>
            <w:tcBorders>
              <w:top w:val="single" w:sz="12" w:space="0" w:color="auto"/>
            </w:tcBorders>
            <w:vAlign w:val="center"/>
          </w:tcPr>
          <w:p w14:paraId="6F0DBDB7" w14:textId="77777777" w:rsidR="002E1972" w:rsidRPr="00D05364" w:rsidRDefault="002E1972" w:rsidP="0026236C">
            <w:pPr>
              <w:tabs>
                <w:tab w:val="left" w:pos="567"/>
              </w:tabs>
              <w:jc w:val="center"/>
              <w:rPr>
                <w:b/>
                <w:bCs/>
                <w:sz w:val="26"/>
                <w:szCs w:val="26"/>
                <w:lang w:eastAsia="lt-LT"/>
              </w:rPr>
            </w:pPr>
            <w:r w:rsidRPr="00D05364">
              <w:rPr>
                <w:b/>
                <w:bCs/>
                <w:sz w:val="26"/>
                <w:szCs w:val="26"/>
                <w:lang w:eastAsia="lt-LT"/>
              </w:rPr>
              <w:t>Rezultatai</w:t>
            </w:r>
          </w:p>
        </w:tc>
      </w:tr>
      <w:tr w:rsidR="002E1972" w:rsidRPr="00D05364" w14:paraId="5AE98CD9" w14:textId="77777777" w:rsidTr="0026236C">
        <w:trPr>
          <w:jc w:val="center"/>
        </w:trPr>
        <w:tc>
          <w:tcPr>
            <w:tcW w:w="6329" w:type="dxa"/>
            <w:gridSpan w:val="3"/>
          </w:tcPr>
          <w:p w14:paraId="52058E2F" w14:textId="77777777" w:rsidR="002E1972" w:rsidRPr="00D05364" w:rsidRDefault="002E1972" w:rsidP="0026236C">
            <w:pPr>
              <w:tabs>
                <w:tab w:val="left" w:pos="567"/>
              </w:tabs>
              <w:jc w:val="right"/>
              <w:rPr>
                <w:iCs/>
                <w:lang w:eastAsia="lt-LT"/>
              </w:rPr>
            </w:pPr>
            <w:r w:rsidRPr="00D05364">
              <w:rPr>
                <w:iCs/>
                <w:lang w:eastAsia="lt-LT"/>
              </w:rPr>
              <w:t>ICER už QALY</w:t>
            </w:r>
          </w:p>
        </w:tc>
        <w:tc>
          <w:tcPr>
            <w:tcW w:w="3579" w:type="dxa"/>
          </w:tcPr>
          <w:p w14:paraId="3A2C91FE" w14:textId="67172D63" w:rsidR="002E1972" w:rsidRPr="00C40AA8" w:rsidRDefault="00C40AA8" w:rsidP="00C40AA8">
            <w:pPr>
              <w:tabs>
                <w:tab w:val="left" w:pos="426"/>
              </w:tabs>
              <w:rPr>
                <w:b/>
                <w:bCs/>
                <w:caps/>
              </w:rPr>
            </w:pPr>
            <w:r>
              <w:rPr>
                <w:b/>
                <w:bCs/>
                <w:caps/>
              </w:rPr>
              <w:t>******</w:t>
            </w:r>
            <w:r>
              <w:rPr>
                <w:b/>
                <w:bCs/>
                <w:caps/>
              </w:rPr>
              <w:t xml:space="preserve"> </w:t>
            </w:r>
            <w:proofErr w:type="spellStart"/>
            <w:r w:rsidR="002E1972">
              <w:rPr>
                <w:i/>
                <w:iCs/>
                <w:lang w:eastAsia="lt-LT"/>
              </w:rPr>
              <w:t>eur</w:t>
            </w:r>
            <w:proofErr w:type="spellEnd"/>
            <w:r w:rsidR="002E1972">
              <w:rPr>
                <w:i/>
                <w:iCs/>
                <w:lang w:eastAsia="lt-LT"/>
              </w:rPr>
              <w:t>/QALY</w:t>
            </w:r>
          </w:p>
        </w:tc>
      </w:tr>
      <w:tr w:rsidR="002E1972" w:rsidRPr="00D05364" w14:paraId="3FDBEB63" w14:textId="77777777" w:rsidTr="0026236C">
        <w:trPr>
          <w:jc w:val="center"/>
        </w:trPr>
        <w:tc>
          <w:tcPr>
            <w:tcW w:w="6329" w:type="dxa"/>
            <w:gridSpan w:val="3"/>
          </w:tcPr>
          <w:p w14:paraId="4CCD36ED" w14:textId="77777777" w:rsidR="002E1972" w:rsidRPr="00D05364" w:rsidRDefault="002E1972" w:rsidP="0026236C">
            <w:pPr>
              <w:tabs>
                <w:tab w:val="left" w:pos="567"/>
              </w:tabs>
              <w:jc w:val="right"/>
              <w:rPr>
                <w:iCs/>
                <w:lang w:eastAsia="lt-LT"/>
              </w:rPr>
            </w:pPr>
            <w:r w:rsidRPr="00D05364">
              <w:rPr>
                <w:iCs/>
                <w:lang w:eastAsia="lt-LT"/>
              </w:rPr>
              <w:t>Referencinė kaštų naudingumo vertė</w:t>
            </w:r>
          </w:p>
        </w:tc>
        <w:tc>
          <w:tcPr>
            <w:tcW w:w="3579" w:type="dxa"/>
          </w:tcPr>
          <w:p w14:paraId="77C0F09F" w14:textId="77777777" w:rsidR="002E1972" w:rsidRPr="00D05364" w:rsidRDefault="002E1972" w:rsidP="0026236C">
            <w:pPr>
              <w:tabs>
                <w:tab w:val="left" w:pos="567"/>
              </w:tabs>
              <w:jc w:val="both"/>
              <w:rPr>
                <w:i/>
                <w:iCs/>
                <w:lang w:eastAsia="lt-LT"/>
              </w:rPr>
            </w:pPr>
            <w:r w:rsidRPr="00FF1558">
              <w:rPr>
                <w:bCs/>
                <w:color w:val="000000"/>
                <w:lang w:eastAsia="lt-LT"/>
              </w:rPr>
              <w:t xml:space="preserve">71 406 </w:t>
            </w:r>
            <w:proofErr w:type="spellStart"/>
            <w:r w:rsidRPr="00FF1558">
              <w:rPr>
                <w:bCs/>
                <w:color w:val="000000"/>
                <w:lang w:eastAsia="lt-LT"/>
              </w:rPr>
              <w:t>eur</w:t>
            </w:r>
            <w:proofErr w:type="spellEnd"/>
            <w:r w:rsidRPr="00FF1558">
              <w:rPr>
                <w:bCs/>
                <w:color w:val="000000"/>
                <w:lang w:eastAsia="lt-LT"/>
              </w:rPr>
              <w:t>/QALY</w:t>
            </w:r>
          </w:p>
        </w:tc>
      </w:tr>
    </w:tbl>
    <w:p w14:paraId="5FC8C737" w14:textId="51D3885C"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 xml:space="preserve">angl. </w:t>
      </w:r>
      <w:proofErr w:type="spellStart"/>
      <w:r w:rsidR="00453862" w:rsidRPr="000203E1">
        <w:rPr>
          <w:i/>
          <w:sz w:val="20"/>
          <w:lang w:eastAsia="lt-LT"/>
        </w:rPr>
        <w:t>incremental</w:t>
      </w:r>
      <w:proofErr w:type="spellEnd"/>
      <w:r w:rsidR="00453862" w:rsidRPr="000203E1">
        <w:rPr>
          <w:i/>
          <w:sz w:val="20"/>
          <w:lang w:eastAsia="lt-LT"/>
        </w:rPr>
        <w:t xml:space="preserve"> </w:t>
      </w:r>
      <w:proofErr w:type="spellStart"/>
      <w:r w:rsidR="00453862" w:rsidRPr="000203E1">
        <w:rPr>
          <w:i/>
          <w:sz w:val="20"/>
          <w:lang w:eastAsia="lt-LT"/>
        </w:rPr>
        <w:t>cost-effectiveness</w:t>
      </w:r>
      <w:proofErr w:type="spellEnd"/>
      <w:r w:rsidR="00453862" w:rsidRPr="000203E1">
        <w:rPr>
          <w:i/>
          <w:sz w:val="20"/>
          <w:lang w:eastAsia="lt-LT"/>
        </w:rPr>
        <w:t xml:space="preserve"> </w:t>
      </w:r>
      <w:proofErr w:type="spellStart"/>
      <w:r w:rsidR="00453862" w:rsidRPr="000203E1">
        <w:rPr>
          <w:i/>
          <w:sz w:val="20"/>
          <w:lang w:eastAsia="lt-LT"/>
        </w:rPr>
        <w:t>ratio</w:t>
      </w:r>
      <w:proofErr w:type="spellEnd"/>
      <w:r w:rsidR="00453862" w:rsidRPr="000203E1">
        <w:rPr>
          <w:iCs/>
          <w:sz w:val="20"/>
          <w:lang w:eastAsia="lt-LT"/>
        </w:rPr>
        <w:t xml:space="preserve">) </w:t>
      </w:r>
      <w:proofErr w:type="spellStart"/>
      <w:r w:rsidR="00453862" w:rsidRPr="000203E1">
        <w:rPr>
          <w:iCs/>
          <w:sz w:val="20"/>
          <w:lang w:eastAsia="lt-LT"/>
        </w:rPr>
        <w:t>inkrementinis</w:t>
      </w:r>
      <w:proofErr w:type="spellEnd"/>
      <w:r w:rsidR="00453862" w:rsidRPr="000203E1">
        <w:rPr>
          <w:iCs/>
          <w:sz w:val="20"/>
          <w:lang w:eastAsia="lt-LT"/>
        </w:rPr>
        <w:t xml:space="preserve"> kaštų naudingumo koeficientas</w:t>
      </w:r>
      <w:r w:rsidR="002E1972">
        <w:rPr>
          <w:iCs/>
          <w:sz w:val="20"/>
          <w:lang w:eastAsia="lt-LT"/>
        </w:rPr>
        <w:t>;</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w:t>
      </w:r>
      <w:proofErr w:type="spellStart"/>
      <w:r w:rsidR="00453862" w:rsidRPr="000203E1">
        <w:rPr>
          <w:i/>
          <w:sz w:val="20"/>
          <w:lang w:eastAsia="lt-LT"/>
        </w:rPr>
        <w:t>quality</w:t>
      </w:r>
      <w:proofErr w:type="spellEnd"/>
      <w:r w:rsidR="00453862" w:rsidRPr="000203E1">
        <w:rPr>
          <w:i/>
          <w:sz w:val="20"/>
          <w:lang w:eastAsia="lt-LT"/>
        </w:rPr>
        <w:t xml:space="preserve"> </w:t>
      </w:r>
      <w:proofErr w:type="spellStart"/>
      <w:r w:rsidR="00453862" w:rsidRPr="000203E1">
        <w:rPr>
          <w:i/>
          <w:sz w:val="20"/>
          <w:lang w:eastAsia="lt-LT"/>
        </w:rPr>
        <w:t>adjusted</w:t>
      </w:r>
      <w:proofErr w:type="spellEnd"/>
      <w:r w:rsidR="00453862" w:rsidRPr="000203E1">
        <w:rPr>
          <w:i/>
          <w:sz w:val="20"/>
          <w:lang w:eastAsia="lt-LT"/>
        </w:rPr>
        <w:t xml:space="preserve"> </w:t>
      </w:r>
      <w:proofErr w:type="spellStart"/>
      <w:r w:rsidR="00453862" w:rsidRPr="000203E1">
        <w:rPr>
          <w:i/>
          <w:sz w:val="20"/>
          <w:lang w:eastAsia="lt-LT"/>
        </w:rPr>
        <w:t>life</w:t>
      </w:r>
      <w:proofErr w:type="spellEnd"/>
      <w:r w:rsidR="00453862" w:rsidRPr="000203E1">
        <w:rPr>
          <w:i/>
          <w:sz w:val="20"/>
          <w:lang w:eastAsia="lt-LT"/>
        </w:rPr>
        <w:t xml:space="preserve"> </w:t>
      </w:r>
      <w:proofErr w:type="spellStart"/>
      <w:r w:rsidR="00453862" w:rsidRPr="000203E1">
        <w:rPr>
          <w:i/>
          <w:sz w:val="20"/>
          <w:lang w:eastAsia="lt-LT"/>
        </w:rPr>
        <w:t>years</w:t>
      </w:r>
      <w:proofErr w:type="spellEnd"/>
      <w:r w:rsidR="00453862" w:rsidRPr="000203E1">
        <w:rPr>
          <w:i/>
          <w:sz w:val="20"/>
          <w:lang w:eastAsia="lt-LT"/>
        </w:rPr>
        <w:t xml:space="preserve">)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Pr="000203E1"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79BCFF40" w14:textId="1992DF4A" w:rsidR="00937907" w:rsidRPr="000203E1" w:rsidRDefault="00C40AA8"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6BFF5741" w:rsidR="00937907" w:rsidRPr="000203E1" w:rsidRDefault="00C40AA8"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ListParagraph"/>
        <w:numPr>
          <w:ilvl w:val="0"/>
          <w:numId w:val="12"/>
        </w:numPr>
        <w:tabs>
          <w:tab w:val="left" w:pos="567"/>
        </w:tabs>
        <w:ind w:hanging="720"/>
        <w:rPr>
          <w:b/>
          <w:bCs/>
          <w:caps/>
        </w:rPr>
      </w:pPr>
      <w:r w:rsidRPr="000203E1">
        <w:rPr>
          <w:b/>
          <w:bCs/>
          <w:caps/>
        </w:rPr>
        <w:t>Gydytojų organizacijų pateikti duomenys</w:t>
      </w:r>
    </w:p>
    <w:p w14:paraId="389A346C" w14:textId="17184B64" w:rsidR="00937907" w:rsidRPr="000203E1" w:rsidRDefault="00C40AA8"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534E43DA" w:rsidR="00662983" w:rsidRPr="000203E1" w:rsidRDefault="00C40AA8"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ListParagraph"/>
        <w:numPr>
          <w:ilvl w:val="0"/>
          <w:numId w:val="12"/>
        </w:numPr>
        <w:tabs>
          <w:tab w:val="left" w:pos="567"/>
        </w:tabs>
        <w:ind w:hanging="720"/>
        <w:rPr>
          <w:b/>
          <w:bCs/>
          <w:caps/>
        </w:rPr>
      </w:pPr>
      <w:r w:rsidRPr="000203E1">
        <w:rPr>
          <w:b/>
          <w:bCs/>
          <w:caps/>
        </w:rPr>
        <w:t xml:space="preserve">Išvada </w:t>
      </w:r>
    </w:p>
    <w:p w14:paraId="08D5B3B6" w14:textId="0ACBF964" w:rsidR="0061611B" w:rsidRPr="000203E1" w:rsidRDefault="0061611B" w:rsidP="0061611B">
      <w:pPr>
        <w:rPr>
          <w:i/>
          <w:szCs w:val="22"/>
        </w:rPr>
      </w:pPr>
    </w:p>
    <w:tbl>
      <w:tblPr>
        <w:tblStyle w:val="TableGrid"/>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70537872"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B13D65" w:rsidRPr="000203E1">
              <w:t xml:space="preserve"> 32.1. yra didesnis</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75BF8503" w:rsidR="00B13D65" w:rsidRPr="000203E1" w:rsidRDefault="00C40AA8" w:rsidP="004F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p>
        </w:tc>
        <w:tc>
          <w:tcPr>
            <w:tcW w:w="4814" w:type="dxa"/>
          </w:tcPr>
          <w:p w14:paraId="507828D9" w14:textId="7C9D6FE2"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39CAF416" w:rsidR="00662983"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2132C5F"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Klinikinis veiksmingumas</w:t>
            </w:r>
          </w:p>
        </w:tc>
      </w:tr>
      <w:tr w:rsidR="000203E1" w:rsidRPr="000203E1" w14:paraId="3C60570A" w14:textId="77777777" w:rsidTr="0061611B">
        <w:tc>
          <w:tcPr>
            <w:tcW w:w="4815" w:type="dxa"/>
          </w:tcPr>
          <w:p w14:paraId="6897B306" w14:textId="6CD60781"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C40AA8"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C40AA8"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4BB7065B"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2E1972">
                  <w:rPr>
                    <w:rStyle w:val="Style2"/>
                    <w:rFonts w:ascii="MS Gothic" w:eastAsia="MS Gothic" w:hAnsi="MS Gothic" w:hint="eastAsia"/>
                    <w:sz w:val="24"/>
                  </w:rPr>
                  <w:t>☒</w:t>
                </w:r>
              </w:sdtContent>
            </w:sdt>
            <w:r w:rsidR="00B13D65" w:rsidRPr="000203E1">
              <w:t xml:space="preserve"> 32.3. atitinka referencinę naudingumo vertę, taikant</w:t>
            </w:r>
            <w:r w:rsidR="00662983" w:rsidRPr="000203E1">
              <w:t xml:space="preserve">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0C5331B"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taikant </w:t>
            </w:r>
            <w:r w:rsidR="002E1972">
              <w:t>PGS</w:t>
            </w:r>
            <w:r w:rsidR="00B00959" w:rsidRPr="000203E1">
              <w:t>,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4D983807"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taikant</w:t>
            </w:r>
            <w:r w:rsidR="002E1972">
              <w:t xml:space="preserve"> PGS</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C40AA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ListParagraph"/>
        <w:ind w:left="426"/>
      </w:pPr>
    </w:p>
    <w:p w14:paraId="2359AB28" w14:textId="15048726" w:rsidR="004F3B2B" w:rsidRPr="000203E1" w:rsidRDefault="004F3B2B" w:rsidP="004F3B2B">
      <w:pPr>
        <w:jc w:val="both"/>
      </w:pPr>
      <w:r w:rsidRPr="000203E1">
        <w:t xml:space="preserve">Vadovaujantis </w:t>
      </w:r>
      <w:r w:rsidR="00F259FC" w:rsidRPr="000203E1">
        <w:t xml:space="preserve">Vaistinių preparatų ir medicinos pagalbos priemonių įrašymo į kompensavimo sąrašus ir jų keitimo tvarkos aprašo, patvirtinto </w:t>
      </w:r>
      <w:r w:rsidRPr="000203E1">
        <w:t>Lietuvos Respublikos sveikatos apsaugos ministro 2002 m. balandžio 5 d. įsakymu Nr. V-159 „Dėl vaistinių preparatų ir medicinos pagalbos priemonių įrašymo į kompensavimo sąrašus ir jų keitimo tvarkos aprašo patvirtinimo“</w:t>
      </w:r>
      <w:r w:rsidR="00F259FC" w:rsidRPr="000203E1">
        <w:t>,</w:t>
      </w:r>
      <w:r w:rsidRPr="000203E1">
        <w:t xml:space="preserve"> punktu</w:t>
      </w:r>
    </w:p>
    <w:p w14:paraId="452E5A41" w14:textId="51AE40D3" w:rsidR="004F3B2B" w:rsidRPr="000203E1"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03E1">
        <w:t xml:space="preserve">34.1. rekomenduojama </w:t>
      </w:r>
      <w:r w:rsidRPr="000203E1">
        <w:rPr>
          <w:i/>
        </w:rPr>
        <w:t xml:space="preserve">kompensuoti </w:t>
      </w:r>
      <w:r w:rsidRPr="000203E1">
        <w:t>vaistinį prepa</w:t>
      </w:r>
      <w:r w:rsidR="002E1972">
        <w:t xml:space="preserve">ratą pagal paraiškoje nurodytą </w:t>
      </w:r>
      <w:r w:rsidRPr="000203E1">
        <w:t>indikaciją</w:t>
      </w:r>
      <w:r w:rsidR="002E1972">
        <w:t xml:space="preserve"> </w:t>
      </w:r>
      <w:r w:rsidRPr="000203E1">
        <w:t>su skyrimo sąlygomis, taikant PGS, dėl didesnio palyginamojo efektyvumo ir gydymo sukuriamos papildomos naudos pacientų sveikatai, lyginant su įprasta klinikine praktika, ir atitikties referencinei naudingumo v</w:t>
      </w:r>
      <w:r w:rsidR="002E1972">
        <w:t>ertei.</w:t>
      </w:r>
    </w:p>
    <w:p w14:paraId="06BC01EE" w14:textId="644F4D76" w:rsidR="000723FF" w:rsidRPr="000203E1" w:rsidRDefault="000723FF" w:rsidP="00381024"/>
    <w:p w14:paraId="18B4292E" w14:textId="1AF2AE35" w:rsidR="000723FF" w:rsidRPr="000203E1" w:rsidRDefault="00CC09D4" w:rsidP="00CC09D4">
      <w:pPr>
        <w:tabs>
          <w:tab w:val="left" w:pos="567"/>
        </w:tabs>
        <w:ind w:left="567" w:hanging="567"/>
        <w:jc w:val="both"/>
        <w:rPr>
          <w:b/>
          <w:lang w:eastAsia="lt-LT"/>
        </w:rPr>
      </w:pPr>
      <w:r w:rsidRPr="000203E1">
        <w:rPr>
          <w:b/>
          <w:lang w:eastAsia="lt-LT"/>
        </w:rPr>
        <w:t>8.</w:t>
      </w:r>
      <w:r w:rsidRPr="000203E1">
        <w:rPr>
          <w:b/>
          <w:lang w:eastAsia="lt-LT"/>
        </w:rPr>
        <w:tab/>
      </w:r>
      <w:r w:rsidR="000723FF" w:rsidRPr="000203E1">
        <w:rPr>
          <w:b/>
          <w:lang w:eastAsia="lt-LT"/>
        </w:rPr>
        <w:t>SIŪLOMOS KOMPENSUOTI TERAPINĖS INDIKACIJOS IR SKYRIMO SĄLYGOS</w:t>
      </w:r>
    </w:p>
    <w:p w14:paraId="691340BB" w14:textId="77777777" w:rsidR="000723FF" w:rsidRPr="000203E1" w:rsidRDefault="000723FF" w:rsidP="000723FF">
      <w:pPr>
        <w:tabs>
          <w:tab w:val="left" w:pos="426"/>
        </w:tabs>
        <w:jc w:val="both"/>
        <w:rPr>
          <w:b/>
          <w:lang w:eastAsia="lt-LT"/>
        </w:rPr>
      </w:pPr>
    </w:p>
    <w:p w14:paraId="529C92C4" w14:textId="152E5FB4" w:rsidR="000723FF" w:rsidRPr="000203E1" w:rsidRDefault="000723FF" w:rsidP="00824B92">
      <w:pPr>
        <w:rPr>
          <w:b/>
          <w:lang w:eastAsia="lt-LT"/>
        </w:rPr>
      </w:pPr>
      <w:r w:rsidRPr="000203E1">
        <w:rPr>
          <w:b/>
          <w:lang w:eastAsia="lt-LT"/>
        </w:rPr>
        <w:t>Terapinės indikacijos</w:t>
      </w:r>
    </w:p>
    <w:p w14:paraId="5BB746DD" w14:textId="1F6DAD9E" w:rsidR="000723FF" w:rsidRPr="000203E1" w:rsidRDefault="00C40AA8"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rPr>
            <w:t>☒</w:t>
          </w:r>
        </w:sdtContent>
      </w:sdt>
      <w:r w:rsidR="000723FF" w:rsidRPr="000203E1">
        <w:t xml:space="preserve"> Siūloma kompensuoti Pareiškėjo teikiamą indikaciją be pakeitimų.</w:t>
      </w:r>
    </w:p>
    <w:p w14:paraId="21266813" w14:textId="36A35470" w:rsidR="000723FF" w:rsidRPr="000203E1" w:rsidRDefault="000723FF" w:rsidP="00824B92">
      <w:r w:rsidRPr="000203E1">
        <w:t xml:space="preserve"> </w:t>
      </w:r>
      <w:r w:rsidR="00183C4A" w:rsidRPr="003C5BFD">
        <w:rPr>
          <w:i/>
          <w:iCs/>
        </w:rPr>
        <w:t>VYDURA migrenos su aura arba be jos neatidėliotinam gydymui suaugusiesiems.</w:t>
      </w:r>
    </w:p>
    <w:p w14:paraId="597367EF" w14:textId="77777777" w:rsidR="000723FF" w:rsidRPr="000203E1" w:rsidRDefault="00C40AA8"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0203E1">
            <w:rPr>
              <w:rStyle w:val="Style2"/>
              <w:rFonts w:ascii="MS Gothic" w:eastAsia="MS Gothic" w:hAnsi="MS Gothic"/>
            </w:rPr>
            <w:t>☐</w:t>
          </w:r>
        </w:sdtContent>
      </w:sdt>
      <w:r w:rsidR="000723FF" w:rsidRPr="000203E1">
        <w:t xml:space="preserve"> Siūloma kompensuoti Pareiškėjo teikiamą indikaciją su pakeitimais.</w:t>
      </w:r>
    </w:p>
    <w:p w14:paraId="7DD65F7E" w14:textId="77777777" w:rsidR="000723FF" w:rsidRPr="000203E1" w:rsidRDefault="000723FF" w:rsidP="00824B92"/>
    <w:p w14:paraId="241A6E6B" w14:textId="77777777" w:rsidR="000723FF" w:rsidRPr="000203E1" w:rsidRDefault="000723FF" w:rsidP="00824B92">
      <w:pPr>
        <w:rPr>
          <w:b/>
        </w:rPr>
      </w:pPr>
      <w:r w:rsidRPr="000203E1">
        <w:rPr>
          <w:b/>
        </w:rPr>
        <w:t>Skyrimo sąlygos</w:t>
      </w:r>
    </w:p>
    <w:p w14:paraId="2A4B6542" w14:textId="65DB19EF" w:rsidR="000723FF" w:rsidRPr="000203E1" w:rsidRDefault="00C40AA8" w:rsidP="00824B92">
      <w:sdt>
        <w:sdtPr>
          <w:rPr>
            <w:rStyle w:val="Style2"/>
          </w:rPr>
          <w:id w:val="169305347"/>
          <w15:color w:val="FFCC00"/>
          <w14:checkbox>
            <w14:checked w14:val="0"/>
            <w14:checkedState w14:val="2612" w14:font="MS Gothic"/>
            <w14:uncheckedState w14:val="2610" w14:font="MS Gothic"/>
          </w14:checkbox>
        </w:sdtPr>
        <w:sdtEndPr>
          <w:rPr>
            <w:rStyle w:val="Style2"/>
          </w:rPr>
        </w:sdtEndPr>
        <w:sdtContent>
          <w:r w:rsidR="007A2B68" w:rsidRPr="000203E1">
            <w:rPr>
              <w:rStyle w:val="Style2"/>
              <w:rFonts w:ascii="MS Gothic" w:eastAsia="MS Gothic" w:hAnsi="MS Gothic" w:hint="eastAsia"/>
            </w:rPr>
            <w:t>☐</w:t>
          </w:r>
        </w:sdtContent>
      </w:sdt>
      <w:r w:rsidR="000723FF" w:rsidRPr="000203E1">
        <w:t xml:space="preserve"> Pareiškėjo siūlomos skyrimo sąlygos priimtinos. </w:t>
      </w:r>
    </w:p>
    <w:p w14:paraId="297867ED" w14:textId="2440F97C" w:rsidR="000723FF" w:rsidRPr="000203E1" w:rsidRDefault="00C40AA8" w:rsidP="00824B92">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183C4A">
            <w:rPr>
              <w:rStyle w:val="Style2"/>
              <w:rFonts w:ascii="MS Gothic" w:eastAsia="MS Gothic" w:hAnsi="MS Gothic" w:hint="eastAsia"/>
            </w:rPr>
            <w:t>☒</w:t>
          </w:r>
        </w:sdtContent>
      </w:sdt>
      <w:r w:rsidR="000723FF" w:rsidRPr="000203E1">
        <w:t xml:space="preserve"> Pareiškėjo siūlomos skyrimo sąlygos nepriimtinos. </w:t>
      </w:r>
    </w:p>
    <w:p w14:paraId="6BAFCD41" w14:textId="62D02928" w:rsidR="00183C4A" w:rsidRPr="007A2EDC" w:rsidRDefault="00183C4A" w:rsidP="00183C4A">
      <w:pPr>
        <w:pStyle w:val="NoSpacing"/>
        <w:rPr>
          <w:rFonts w:ascii="Times New Roman" w:hAnsi="Times New Roman"/>
          <w:i/>
          <w:iCs/>
          <w:sz w:val="24"/>
          <w:szCs w:val="24"/>
        </w:rPr>
      </w:pPr>
      <w:r w:rsidRPr="007A2EDC">
        <w:rPr>
          <w:rFonts w:ascii="Times New Roman" w:hAnsi="Times New Roman"/>
          <w:i/>
          <w:iCs/>
          <w:sz w:val="24"/>
          <w:szCs w:val="24"/>
        </w:rPr>
        <w:t>Rimegepantas skiriamas migrena (su aura ar be jos) sergantiems pacien</w:t>
      </w:r>
      <w:r w:rsidR="002E1972">
        <w:rPr>
          <w:rFonts w:ascii="Times New Roman" w:hAnsi="Times New Roman"/>
          <w:i/>
          <w:iCs/>
          <w:sz w:val="24"/>
          <w:szCs w:val="24"/>
        </w:rPr>
        <w:t>tams, kuriems gydymas bent dviem</w:t>
      </w:r>
      <w:r w:rsidRPr="007A2EDC">
        <w:rPr>
          <w:rFonts w:ascii="Times New Roman" w:hAnsi="Times New Roman"/>
          <w:i/>
          <w:iCs/>
          <w:sz w:val="24"/>
          <w:szCs w:val="24"/>
        </w:rPr>
        <w:t xml:space="preserve"> </w:t>
      </w:r>
      <w:proofErr w:type="spellStart"/>
      <w:r w:rsidRPr="007A2EDC">
        <w:rPr>
          <w:rFonts w:ascii="Times New Roman" w:hAnsi="Times New Roman"/>
          <w:i/>
          <w:iCs/>
          <w:sz w:val="24"/>
          <w:szCs w:val="24"/>
        </w:rPr>
        <w:t>triptanais</w:t>
      </w:r>
      <w:proofErr w:type="spellEnd"/>
      <w:r w:rsidRPr="007A2EDC">
        <w:rPr>
          <w:rFonts w:ascii="Times New Roman" w:hAnsi="Times New Roman"/>
          <w:i/>
          <w:iCs/>
          <w:sz w:val="24"/>
          <w:szCs w:val="24"/>
        </w:rPr>
        <w:t xml:space="preserve"> buvo ne</w:t>
      </w:r>
      <w:r w:rsidR="000E6841">
        <w:rPr>
          <w:rFonts w:ascii="Times New Roman" w:hAnsi="Times New Roman"/>
          <w:i/>
          <w:iCs/>
          <w:sz w:val="24"/>
          <w:szCs w:val="24"/>
        </w:rPr>
        <w:t xml:space="preserve">veiksmingas, netoleruojamas </w:t>
      </w:r>
      <w:r w:rsidRPr="007A2EDC">
        <w:rPr>
          <w:rFonts w:ascii="Times New Roman" w:hAnsi="Times New Roman"/>
          <w:i/>
          <w:iCs/>
          <w:sz w:val="24"/>
          <w:szCs w:val="24"/>
        </w:rPr>
        <w:t xml:space="preserve"> ar</w:t>
      </w:r>
      <w:r w:rsidR="000E6841">
        <w:rPr>
          <w:rFonts w:ascii="Times New Roman" w:hAnsi="Times New Roman"/>
          <w:i/>
          <w:iCs/>
          <w:sz w:val="24"/>
          <w:szCs w:val="24"/>
        </w:rPr>
        <w:t>ba negalimas dėl kontraindikacijų.</w:t>
      </w:r>
      <w:r w:rsidRPr="007A2EDC">
        <w:rPr>
          <w:rFonts w:ascii="Times New Roman" w:hAnsi="Times New Roman"/>
          <w:i/>
          <w:iCs/>
          <w:sz w:val="24"/>
          <w:szCs w:val="24"/>
        </w:rPr>
        <w:t xml:space="preserve"> Pirmą kartą skiria ir išrašo gydytojas neurologas, vėliau gali išrašyti vidaus ligų ar šeimos gydytojas.</w:t>
      </w:r>
    </w:p>
    <w:p w14:paraId="33B8DE04" w14:textId="77777777" w:rsidR="00283E59" w:rsidRDefault="00283E59" w:rsidP="00283E59">
      <w:pPr>
        <w:widowControl w:val="0"/>
        <w:tabs>
          <w:tab w:val="left" w:pos="1418"/>
        </w:tabs>
        <w:suppressAutoHyphens/>
        <w:spacing w:line="360" w:lineRule="atLeast"/>
        <w:jc w:val="center"/>
        <w:textAlignment w:val="center"/>
      </w:pPr>
      <w:r>
        <w:rPr>
          <w:color w:val="000000"/>
          <w:lang w:eastAsia="lt-LT"/>
        </w:rPr>
        <w:lastRenderedPageBreak/>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B5631" w14:textId="77777777" w:rsidR="003032C9" w:rsidRDefault="003032C9">
      <w:r>
        <w:separator/>
      </w:r>
    </w:p>
  </w:endnote>
  <w:endnote w:type="continuationSeparator" w:id="0">
    <w:p w14:paraId="6281780C" w14:textId="77777777" w:rsidR="003032C9" w:rsidRDefault="0030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EE2D" w14:textId="77777777" w:rsidR="00157B07" w:rsidRDefault="00157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80ED6" w14:textId="77777777" w:rsidR="00157B07" w:rsidRDefault="00157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D1CEF" w14:textId="77777777" w:rsidR="003032C9" w:rsidRDefault="003032C9">
      <w:r>
        <w:separator/>
      </w:r>
    </w:p>
  </w:footnote>
  <w:footnote w:type="continuationSeparator" w:id="0">
    <w:p w14:paraId="546111E0" w14:textId="77777777" w:rsidR="003032C9" w:rsidRDefault="0030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1FDBC40B"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0AA8">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7E5360"/>
    <w:multiLevelType w:val="hybridMultilevel"/>
    <w:tmpl w:val="7F94C8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8"/>
  </w:num>
  <w:num w:numId="5">
    <w:abstractNumId w:val="6"/>
  </w:num>
  <w:num w:numId="6">
    <w:abstractNumId w:val="5"/>
  </w:num>
  <w:num w:numId="7">
    <w:abstractNumId w:val="4"/>
  </w:num>
  <w:num w:numId="8">
    <w:abstractNumId w:val="12"/>
  </w:num>
  <w:num w:numId="9">
    <w:abstractNumId w:val="0"/>
  </w:num>
  <w:num w:numId="10">
    <w:abstractNumId w:val="10"/>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E6841"/>
    <w:rsid w:val="000F3540"/>
    <w:rsid w:val="00100491"/>
    <w:rsid w:val="00104E2E"/>
    <w:rsid w:val="00107287"/>
    <w:rsid w:val="00117406"/>
    <w:rsid w:val="00121EF0"/>
    <w:rsid w:val="00124A9E"/>
    <w:rsid w:val="00130703"/>
    <w:rsid w:val="0013153F"/>
    <w:rsid w:val="001408B8"/>
    <w:rsid w:val="001517E2"/>
    <w:rsid w:val="001521D9"/>
    <w:rsid w:val="001554E2"/>
    <w:rsid w:val="00157B07"/>
    <w:rsid w:val="00164146"/>
    <w:rsid w:val="00164D64"/>
    <w:rsid w:val="0017369C"/>
    <w:rsid w:val="00175D57"/>
    <w:rsid w:val="00180C39"/>
    <w:rsid w:val="00180D96"/>
    <w:rsid w:val="00183C4A"/>
    <w:rsid w:val="00184BD3"/>
    <w:rsid w:val="001921F3"/>
    <w:rsid w:val="001B3C5B"/>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1972"/>
    <w:rsid w:val="002E57AD"/>
    <w:rsid w:val="002E6F80"/>
    <w:rsid w:val="002F0E4F"/>
    <w:rsid w:val="002F1053"/>
    <w:rsid w:val="003032C9"/>
    <w:rsid w:val="00314816"/>
    <w:rsid w:val="00315E61"/>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4F7256"/>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27F3"/>
    <w:rsid w:val="007301CF"/>
    <w:rsid w:val="007316FB"/>
    <w:rsid w:val="00737E2D"/>
    <w:rsid w:val="007424D5"/>
    <w:rsid w:val="00750A88"/>
    <w:rsid w:val="007523DD"/>
    <w:rsid w:val="00757B7E"/>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0D47"/>
    <w:rsid w:val="00A91366"/>
    <w:rsid w:val="00A92F91"/>
    <w:rsid w:val="00A93AA6"/>
    <w:rsid w:val="00AA4E48"/>
    <w:rsid w:val="00AA6202"/>
    <w:rsid w:val="00AA7B57"/>
    <w:rsid w:val="00AB2806"/>
    <w:rsid w:val="00AC26FC"/>
    <w:rsid w:val="00AC4A9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0AA8"/>
    <w:rsid w:val="00C434EB"/>
    <w:rsid w:val="00C517D2"/>
    <w:rsid w:val="00C5772E"/>
    <w:rsid w:val="00C62B36"/>
    <w:rsid w:val="00C7012C"/>
    <w:rsid w:val="00C712EA"/>
    <w:rsid w:val="00CA217D"/>
    <w:rsid w:val="00CC09D4"/>
    <w:rsid w:val="00CC668D"/>
    <w:rsid w:val="00CC7832"/>
    <w:rsid w:val="00CD488E"/>
    <w:rsid w:val="00CF0C1C"/>
    <w:rsid w:val="00CF27FD"/>
    <w:rsid w:val="00CF5F12"/>
    <w:rsid w:val="00D00D8F"/>
    <w:rsid w:val="00D21F3A"/>
    <w:rsid w:val="00D23808"/>
    <w:rsid w:val="00D3016A"/>
    <w:rsid w:val="00D417D2"/>
    <w:rsid w:val="00D42960"/>
    <w:rsid w:val="00D43BD7"/>
    <w:rsid w:val="00D4485B"/>
    <w:rsid w:val="00D46CCD"/>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VVKT">
    <w:name w:val="VVKT"/>
    <w:basedOn w:val="Normal"/>
    <w:qFormat/>
    <w:rsid w:val="00183C4A"/>
    <w:pPr>
      <w:tabs>
        <w:tab w:val="left" w:pos="426"/>
      </w:tabs>
      <w:spacing w:line="276" w:lineRule="auto"/>
      <w:ind w:firstLine="567"/>
      <w:jc w:val="both"/>
    </w:pPr>
    <w:rPr>
      <w:rFonts w:eastAsia="Arial"/>
    </w:rPr>
  </w:style>
  <w:style w:type="paragraph" w:styleId="NormalWeb">
    <w:name w:val="Normal (Web)"/>
    <w:basedOn w:val="Normal"/>
    <w:uiPriority w:val="99"/>
    <w:semiHidden/>
    <w:unhideWhenUsed/>
    <w:rsid w:val="002E197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37C36A27E6EF468394B14EAA0446725D"/>
        <w:category>
          <w:name w:val="General"/>
          <w:gallery w:val="placeholder"/>
        </w:category>
        <w:types>
          <w:type w:val="bbPlcHdr"/>
        </w:types>
        <w:behaviors>
          <w:behavior w:val="content"/>
        </w:behaviors>
        <w:guid w:val="{CA49E8C8-5552-45B5-BBB1-708B92C495F2}"/>
      </w:docPartPr>
      <w:docPartBody>
        <w:p w:rsidR="00B32C56" w:rsidRDefault="00DD2257" w:rsidP="00DD2257">
          <w:pPr>
            <w:pStyle w:val="37C36A27E6EF468394B14EAA0446725D"/>
          </w:pPr>
          <w:r>
            <w:rPr>
              <w:rStyle w:val="PlaceholderText"/>
            </w:rPr>
            <w:t>Click here to enter a date.</w:t>
          </w:r>
        </w:p>
      </w:docPartBody>
    </w:docPart>
    <w:docPart>
      <w:docPartPr>
        <w:name w:val="BCCFC48D71104543B9B3FF3278B4AEEB"/>
        <w:category>
          <w:name w:val="General"/>
          <w:gallery w:val="placeholder"/>
        </w:category>
        <w:types>
          <w:type w:val="bbPlcHdr"/>
        </w:types>
        <w:behaviors>
          <w:behavior w:val="content"/>
        </w:behaviors>
        <w:guid w:val="{1C72ECD4-EB4C-46F4-A9D1-FED0269F132E}"/>
      </w:docPartPr>
      <w:docPartBody>
        <w:p w:rsidR="00B32C56" w:rsidRDefault="00DD2257" w:rsidP="00DD2257">
          <w:pPr>
            <w:pStyle w:val="BCCFC48D71104543B9B3FF3278B4AEEB"/>
          </w:pPr>
          <w:r>
            <w:rPr>
              <w:rStyle w:val="PlaceholderText"/>
            </w:rPr>
            <w:t>Click here to enter a date.</w:t>
          </w:r>
        </w:p>
      </w:docPartBody>
    </w:docPart>
    <w:docPart>
      <w:docPartPr>
        <w:name w:val="AD8F430AEC7444B68A00058E7086549D"/>
        <w:category>
          <w:name w:val="General"/>
          <w:gallery w:val="placeholder"/>
        </w:category>
        <w:types>
          <w:type w:val="bbPlcHdr"/>
        </w:types>
        <w:behaviors>
          <w:behavior w:val="content"/>
        </w:behaviors>
        <w:guid w:val="{BE0872CE-41E9-4EE4-AA03-D8DB2ADE079B}"/>
      </w:docPartPr>
      <w:docPartBody>
        <w:p w:rsidR="00B32C56" w:rsidRDefault="00DD2257" w:rsidP="00DD2257">
          <w:pPr>
            <w:pStyle w:val="AD8F430AEC7444B68A00058E7086549D"/>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937FE"/>
    <w:rsid w:val="000A559A"/>
    <w:rsid w:val="000D24D4"/>
    <w:rsid w:val="001C35A9"/>
    <w:rsid w:val="00237556"/>
    <w:rsid w:val="0039303B"/>
    <w:rsid w:val="004144A3"/>
    <w:rsid w:val="004160E7"/>
    <w:rsid w:val="004416C6"/>
    <w:rsid w:val="00456E96"/>
    <w:rsid w:val="004F5AB2"/>
    <w:rsid w:val="005074B9"/>
    <w:rsid w:val="005C62E5"/>
    <w:rsid w:val="005E40DD"/>
    <w:rsid w:val="007219C1"/>
    <w:rsid w:val="00753462"/>
    <w:rsid w:val="00772325"/>
    <w:rsid w:val="007A2FE0"/>
    <w:rsid w:val="007C6D1D"/>
    <w:rsid w:val="0090074D"/>
    <w:rsid w:val="009B3BF0"/>
    <w:rsid w:val="009D5E5E"/>
    <w:rsid w:val="009F1BB4"/>
    <w:rsid w:val="00A42801"/>
    <w:rsid w:val="00AB6ED4"/>
    <w:rsid w:val="00B14210"/>
    <w:rsid w:val="00B22ED6"/>
    <w:rsid w:val="00B23DC0"/>
    <w:rsid w:val="00B32C56"/>
    <w:rsid w:val="00B96656"/>
    <w:rsid w:val="00C2401D"/>
    <w:rsid w:val="00C250D7"/>
    <w:rsid w:val="00C53A68"/>
    <w:rsid w:val="00CA5BB4"/>
    <w:rsid w:val="00CB4BD1"/>
    <w:rsid w:val="00CD139C"/>
    <w:rsid w:val="00CE2DA9"/>
    <w:rsid w:val="00CE44BE"/>
    <w:rsid w:val="00D0142D"/>
    <w:rsid w:val="00D4356B"/>
    <w:rsid w:val="00D7162F"/>
    <w:rsid w:val="00DB4DB5"/>
    <w:rsid w:val="00DD2257"/>
    <w:rsid w:val="00DE4D10"/>
    <w:rsid w:val="00E44A86"/>
    <w:rsid w:val="00E522EB"/>
    <w:rsid w:val="00E60827"/>
    <w:rsid w:val="00E712AB"/>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D2257"/>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DD01831B4FB44D9ADBDF62239B9B5EF">
    <w:name w:val="9DD01831B4FB44D9ADBDF62239B9B5EF"/>
    <w:rsid w:val="00E60827"/>
  </w:style>
  <w:style w:type="paragraph" w:customStyle="1" w:styleId="37C36A27E6EF468394B14EAA0446725D">
    <w:name w:val="37C36A27E6EF468394B14EAA0446725D"/>
    <w:rsid w:val="00DD2257"/>
  </w:style>
  <w:style w:type="paragraph" w:customStyle="1" w:styleId="BCCFC48D71104543B9B3FF3278B4AEEB">
    <w:name w:val="BCCFC48D71104543B9B3FF3278B4AEEB"/>
    <w:rsid w:val="00DD2257"/>
  </w:style>
  <w:style w:type="paragraph" w:customStyle="1" w:styleId="AD8F430AEC7444B68A00058E7086549D">
    <w:name w:val="AD8F430AEC7444B68A00058E7086549D"/>
    <w:rsid w:val="00DD2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78CF-FEFE-431D-B59E-B327BFDD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2222</Words>
  <Characters>16177</Characters>
  <Application>Microsoft Office Word</Application>
  <DocSecurity>0</DocSecurity>
  <Lines>134</Lines>
  <Paragraphs>36</Paragraphs>
  <ScaleCrop>false</ScaleCrop>
  <Company/>
  <LinksUpToDate>false</LinksUpToDate>
  <CharactersWithSpaces>18363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2024-03-04T08:44:00Z</dcterms:created>
  <dcterms:modified xsi:type="dcterms:W3CDTF">2024-03-06T10:15:00Z</dcterms:modified>
</cp:coreProperties>
</file>