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5DACDF47" w14:textId="77777777" w:rsidR="00F0206B" w:rsidRPr="0073329D" w:rsidRDefault="00F0206B" w:rsidP="00F0206B">
      <w:pPr>
        <w:jc w:val="center"/>
        <w:rPr>
          <w:b/>
        </w:rPr>
      </w:pPr>
      <w:proofErr w:type="spellStart"/>
      <w:r>
        <w:rPr>
          <w:b/>
        </w:rPr>
        <w:t>Vydura</w:t>
      </w:r>
      <w:proofErr w:type="spellEnd"/>
      <w:r w:rsidRPr="0073329D">
        <w:rPr>
          <w:b/>
        </w:rPr>
        <w:t xml:space="preserve"> </w:t>
      </w:r>
      <w:r>
        <w:rPr>
          <w:b/>
        </w:rPr>
        <w:t>75 mg</w:t>
      </w:r>
      <w:r w:rsidRPr="0073329D">
        <w:rPr>
          <w:b/>
        </w:rPr>
        <w:t xml:space="preserve"> </w:t>
      </w:r>
      <w:r>
        <w:rPr>
          <w:b/>
        </w:rPr>
        <w:t>g</w:t>
      </w:r>
      <w:r w:rsidRPr="00441A59">
        <w:rPr>
          <w:b/>
        </w:rPr>
        <w:t xml:space="preserve">eriamasis </w:t>
      </w:r>
      <w:proofErr w:type="spellStart"/>
      <w:r w:rsidRPr="00441A59">
        <w:rPr>
          <w:b/>
        </w:rPr>
        <w:t>liofilizatas</w:t>
      </w:r>
      <w:proofErr w:type="spellEnd"/>
    </w:p>
    <w:p w14:paraId="4BFE86DA" w14:textId="77777777" w:rsidR="00F0206B" w:rsidRPr="0073329D" w:rsidRDefault="00F0206B" w:rsidP="00F0206B">
      <w:pPr>
        <w:jc w:val="center"/>
      </w:pPr>
    </w:p>
    <w:p w14:paraId="7E882DC9" w14:textId="77777777" w:rsidR="00F0206B" w:rsidRPr="0073329D" w:rsidRDefault="00F0206B" w:rsidP="00F0206B">
      <w:pPr>
        <w:jc w:val="center"/>
      </w:pPr>
      <w:r w:rsidRPr="0073329D">
        <w:t>(</w:t>
      </w:r>
      <w:proofErr w:type="spellStart"/>
      <w:r>
        <w:rPr>
          <w:b/>
        </w:rPr>
        <w:t>Rimegepantum</w:t>
      </w:r>
      <w:proofErr w:type="spellEnd"/>
      <w:r w:rsidRPr="0073329D">
        <w:t>)</w:t>
      </w:r>
    </w:p>
    <w:p w14:paraId="49517AFE" w14:textId="77777777" w:rsidR="00F0206B" w:rsidRPr="0073329D" w:rsidRDefault="00F0206B" w:rsidP="00F0206B">
      <w:pPr>
        <w:jc w:val="center"/>
      </w:pPr>
    </w:p>
    <w:p w14:paraId="5BC2EA5D" w14:textId="4CFD1CD0" w:rsidR="00937907" w:rsidRPr="000203E1" w:rsidRDefault="00F0206B" w:rsidP="00F0206B">
      <w:pPr>
        <w:jc w:val="center"/>
        <w:rPr>
          <w:b/>
        </w:rPr>
      </w:pPr>
      <w:r>
        <w:rPr>
          <w:b/>
        </w:rPr>
        <w:t>STV 129</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ListParagraph"/>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F0206B" w:rsidRPr="000203E1" w14:paraId="18A83EC2" w14:textId="77777777" w:rsidTr="00BE7489">
        <w:trPr>
          <w:trHeight w:val="538"/>
        </w:trPr>
        <w:tc>
          <w:tcPr>
            <w:tcW w:w="632" w:type="dxa"/>
          </w:tcPr>
          <w:p w14:paraId="0646FBEA" w14:textId="77777777" w:rsidR="00F0206B" w:rsidRPr="000203E1" w:rsidRDefault="00F0206B" w:rsidP="00F0206B">
            <w:pPr>
              <w:rPr>
                <w:rFonts w:eastAsia="Arial"/>
              </w:rPr>
            </w:pPr>
            <w:r w:rsidRPr="000203E1">
              <w:rPr>
                <w:rFonts w:eastAsia="Arial"/>
              </w:rPr>
              <w:t>1.1</w:t>
            </w:r>
          </w:p>
        </w:tc>
        <w:tc>
          <w:tcPr>
            <w:tcW w:w="3694" w:type="dxa"/>
          </w:tcPr>
          <w:p w14:paraId="6C3AE864" w14:textId="77777777" w:rsidR="00F0206B" w:rsidRPr="000203E1" w:rsidRDefault="00F0206B" w:rsidP="00F0206B">
            <w:pPr>
              <w:rPr>
                <w:rFonts w:eastAsia="Arial"/>
              </w:rPr>
            </w:pPr>
            <w:r w:rsidRPr="000203E1">
              <w:rPr>
                <w:rFonts w:eastAsia="Arial"/>
              </w:rPr>
              <w:t>Pareiškėjas</w:t>
            </w:r>
          </w:p>
          <w:p w14:paraId="2AF240DC" w14:textId="77777777" w:rsidR="00F0206B" w:rsidRPr="000203E1" w:rsidRDefault="00F0206B" w:rsidP="00F0206B">
            <w:pPr>
              <w:rPr>
                <w:rFonts w:eastAsia="Arial"/>
              </w:rPr>
            </w:pPr>
          </w:p>
        </w:tc>
        <w:tc>
          <w:tcPr>
            <w:tcW w:w="5167" w:type="dxa"/>
          </w:tcPr>
          <w:p w14:paraId="2AAF0D91" w14:textId="55DA2B67" w:rsidR="00F0206B" w:rsidRPr="000203E1" w:rsidRDefault="00F0206B" w:rsidP="00F0206B">
            <w:pPr>
              <w:rPr>
                <w:rFonts w:eastAsia="Arial"/>
              </w:rPr>
            </w:pPr>
            <w:proofErr w:type="spellStart"/>
            <w:r w:rsidRPr="00462CB3">
              <w:t>Pfizer</w:t>
            </w:r>
            <w:proofErr w:type="spellEnd"/>
            <w:r w:rsidRPr="00462CB3">
              <w:t xml:space="preserve"> </w:t>
            </w:r>
            <w:proofErr w:type="spellStart"/>
            <w:r w:rsidRPr="00462CB3">
              <w:t>Lu</w:t>
            </w:r>
            <w:r>
              <w:t>x</w:t>
            </w:r>
            <w:r w:rsidRPr="00326E71">
              <w:t>embourg</w:t>
            </w:r>
            <w:proofErr w:type="spellEnd"/>
            <w:r w:rsidRPr="00326E71">
              <w:t xml:space="preserve"> SARL filialas</w:t>
            </w:r>
          </w:p>
        </w:tc>
      </w:tr>
      <w:tr w:rsidR="00F0206B" w:rsidRPr="000203E1" w14:paraId="31998B0D" w14:textId="77777777" w:rsidTr="00BE7489">
        <w:trPr>
          <w:trHeight w:val="538"/>
        </w:trPr>
        <w:tc>
          <w:tcPr>
            <w:tcW w:w="632" w:type="dxa"/>
          </w:tcPr>
          <w:p w14:paraId="2005EC67" w14:textId="662300D0" w:rsidR="00F0206B" w:rsidRPr="000203E1" w:rsidRDefault="00F0206B" w:rsidP="00F0206B">
            <w:pPr>
              <w:rPr>
                <w:rFonts w:eastAsia="Arial"/>
              </w:rPr>
            </w:pPr>
            <w:r w:rsidRPr="000203E1">
              <w:rPr>
                <w:rFonts w:eastAsia="Arial"/>
              </w:rPr>
              <w:t>1.2</w:t>
            </w:r>
          </w:p>
        </w:tc>
        <w:tc>
          <w:tcPr>
            <w:tcW w:w="3694" w:type="dxa"/>
          </w:tcPr>
          <w:p w14:paraId="1E4AE3B1" w14:textId="77777777" w:rsidR="00F0206B" w:rsidRPr="000203E1" w:rsidRDefault="00F0206B" w:rsidP="00F0206B">
            <w:pPr>
              <w:rPr>
                <w:bCs/>
                <w:lang w:eastAsia="lt-LT"/>
              </w:rPr>
            </w:pPr>
            <w:r w:rsidRPr="000203E1">
              <w:rPr>
                <w:bCs/>
                <w:lang w:eastAsia="lt-LT"/>
              </w:rPr>
              <w:t xml:space="preserve">Registracijos data </w:t>
            </w:r>
          </w:p>
          <w:p w14:paraId="3A0DC096" w14:textId="77777777" w:rsidR="00F0206B" w:rsidRPr="000203E1" w:rsidRDefault="00F0206B" w:rsidP="00F0206B">
            <w:pPr>
              <w:rPr>
                <w:bCs/>
                <w:lang w:eastAsia="lt-LT"/>
              </w:rPr>
            </w:pPr>
          </w:p>
        </w:tc>
        <w:tc>
          <w:tcPr>
            <w:tcW w:w="5167" w:type="dxa"/>
          </w:tcPr>
          <w:p w14:paraId="3CA218AD" w14:textId="40CBEBFA" w:rsidR="00F0206B" w:rsidRPr="000203E1" w:rsidRDefault="002D0018" w:rsidP="00F0206B">
            <w:pPr>
              <w:rPr>
                <w:rStyle w:val="Style2"/>
              </w:rPr>
            </w:pPr>
            <w:sdt>
              <w:sdtPr>
                <w:rPr>
                  <w:sz w:val="32"/>
                </w:rPr>
                <w:alias w:val="Nurodykite konkrečią dieną"/>
                <w:tag w:val="Nurodykite pradžios datą"/>
                <w:id w:val="423238108"/>
                <w:placeholder>
                  <w:docPart w:val="404F01007D7774459D5EAB953E3F4569"/>
                </w:placeholder>
                <w15:color w:val="FFCC99"/>
                <w:date>
                  <w:dateFormat w:val="yyyy 'm.' MMMM d 'd.'"/>
                  <w:lid w:val="lt-LT"/>
                  <w:storeMappedDataAs w:val="dateTime"/>
                  <w:calendar w:val="gregorian"/>
                </w:date>
              </w:sdtPr>
              <w:sdtEndPr>
                <w:rPr>
                  <w:sz w:val="24"/>
                </w:rPr>
              </w:sdtEndPr>
              <w:sdtContent>
                <w:r w:rsidR="00F0206B" w:rsidRPr="00F0206B">
                  <w:t>2022 balandžio 25 d.</w:t>
                </w:r>
              </w:sdtContent>
            </w:sdt>
          </w:p>
        </w:tc>
      </w:tr>
      <w:tr w:rsidR="00F0206B" w:rsidRPr="000203E1" w14:paraId="15968AE1" w14:textId="77777777" w:rsidTr="00BE7489">
        <w:trPr>
          <w:trHeight w:val="1500"/>
        </w:trPr>
        <w:tc>
          <w:tcPr>
            <w:tcW w:w="632" w:type="dxa"/>
          </w:tcPr>
          <w:p w14:paraId="6A784245" w14:textId="1E461489" w:rsidR="00F0206B" w:rsidRPr="000203E1" w:rsidRDefault="00F0206B" w:rsidP="00F0206B">
            <w:pPr>
              <w:rPr>
                <w:rFonts w:eastAsia="Arial"/>
              </w:rPr>
            </w:pPr>
            <w:r w:rsidRPr="000203E1">
              <w:rPr>
                <w:rFonts w:eastAsia="Arial"/>
              </w:rPr>
              <w:t>1.3</w:t>
            </w:r>
          </w:p>
        </w:tc>
        <w:tc>
          <w:tcPr>
            <w:tcW w:w="3694" w:type="dxa"/>
          </w:tcPr>
          <w:p w14:paraId="22933506" w14:textId="77777777" w:rsidR="00F0206B" w:rsidRPr="000203E1" w:rsidRDefault="00F0206B" w:rsidP="00F0206B">
            <w:r w:rsidRPr="000203E1">
              <w:t xml:space="preserve">Paraiškos tipas </w:t>
            </w:r>
          </w:p>
          <w:p w14:paraId="0465E680" w14:textId="7F0A0714" w:rsidR="00F0206B" w:rsidRPr="000203E1" w:rsidRDefault="00F0206B" w:rsidP="00F0206B">
            <w:r w:rsidRPr="000203E1">
              <w:t xml:space="preserve">(pagal </w:t>
            </w:r>
            <w:r w:rsidRPr="000203E1">
              <w:rPr>
                <w:shd w:val="clear" w:color="auto" w:fill="FFFFFF"/>
              </w:rPr>
              <w:t>vaistinio preparato registracijos tipą, įtvirtintą</w:t>
            </w:r>
            <w:r w:rsidRPr="000203E1">
              <w:t xml:space="preserve"> Direktyvos 2001/83/EB </w:t>
            </w:r>
            <w:proofErr w:type="spellStart"/>
            <w:r w:rsidRPr="000203E1">
              <w:t>straipsiuose</w:t>
            </w:r>
            <w:proofErr w:type="spellEnd"/>
            <w:r w:rsidRPr="000203E1">
              <w:t>)</w:t>
            </w:r>
          </w:p>
          <w:p w14:paraId="77089D80" w14:textId="6681D72A" w:rsidR="00F0206B" w:rsidRPr="000203E1" w:rsidRDefault="00F0206B" w:rsidP="00F0206B">
            <w:pPr>
              <w:rPr>
                <w:bCs/>
                <w:lang w:eastAsia="lt-LT"/>
              </w:rPr>
            </w:pPr>
          </w:p>
        </w:tc>
        <w:tc>
          <w:tcPr>
            <w:tcW w:w="5167" w:type="dxa"/>
          </w:tcPr>
          <w:p w14:paraId="208F40EC" w14:textId="4CE0A55A" w:rsidR="00F0206B" w:rsidRPr="000203E1" w:rsidRDefault="002D0018" w:rsidP="00F0206B">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F0206B">
                  <w:rPr>
                    <w:rStyle w:val="Style2"/>
                    <w:rFonts w:ascii="MS Gothic" w:eastAsia="MS Gothic" w:hAnsi="MS Gothic" w:hint="eastAsia"/>
                    <w:sz w:val="22"/>
                    <w:szCs w:val="22"/>
                  </w:rPr>
                  <w:t>☒</w:t>
                </w:r>
              </w:sdtContent>
            </w:sdt>
            <w:r w:rsidR="00F0206B" w:rsidRPr="000203E1">
              <w:rPr>
                <w:sz w:val="22"/>
                <w:szCs w:val="22"/>
              </w:rPr>
              <w:t xml:space="preserve">8.3 str. (pilna byla, pagrįsta savais tyrimais) </w:t>
            </w:r>
          </w:p>
          <w:p w14:paraId="32BA564E" w14:textId="3FDA3E01" w:rsidR="00F0206B" w:rsidRPr="000203E1" w:rsidRDefault="002D0018" w:rsidP="00F0206B">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F0206B" w:rsidRPr="000203E1">
                  <w:rPr>
                    <w:rStyle w:val="Style2"/>
                    <w:rFonts w:ascii="Segoe UI Symbol" w:eastAsia="MS Gothic" w:hAnsi="Segoe UI Symbol" w:cs="Segoe UI Symbol"/>
                    <w:sz w:val="22"/>
                    <w:szCs w:val="22"/>
                  </w:rPr>
                  <w:t>☐</w:t>
                </w:r>
              </w:sdtContent>
            </w:sdt>
            <w:r w:rsidR="00F0206B" w:rsidRPr="000203E1">
              <w:rPr>
                <w:sz w:val="22"/>
                <w:szCs w:val="22"/>
              </w:rPr>
              <w:t xml:space="preserve">10 a str. (pripažintas medicininis vartojimas) </w:t>
            </w:r>
          </w:p>
          <w:p w14:paraId="318DCD7F" w14:textId="32333E53" w:rsidR="00F0206B" w:rsidRPr="000203E1" w:rsidRDefault="002D0018" w:rsidP="00F0206B">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F0206B" w:rsidRPr="000203E1">
                  <w:rPr>
                    <w:rStyle w:val="Style2"/>
                    <w:rFonts w:ascii="Segoe UI Symbol" w:eastAsia="MS Gothic" w:hAnsi="Segoe UI Symbol" w:cs="Segoe UI Symbol"/>
                    <w:sz w:val="22"/>
                    <w:szCs w:val="22"/>
                  </w:rPr>
                  <w:t>☐</w:t>
                </w:r>
              </w:sdtContent>
            </w:sdt>
            <w:r w:rsidR="00F0206B" w:rsidRPr="000203E1">
              <w:rPr>
                <w:sz w:val="22"/>
                <w:szCs w:val="22"/>
              </w:rPr>
              <w:t>10.1 str. (generinis)</w:t>
            </w:r>
          </w:p>
          <w:p w14:paraId="3B0A4F72" w14:textId="3F5FB073" w:rsidR="00F0206B" w:rsidRPr="000203E1" w:rsidRDefault="002D0018" w:rsidP="00F0206B">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F0206B" w:rsidRPr="000203E1">
                  <w:rPr>
                    <w:rStyle w:val="Style2"/>
                    <w:rFonts w:ascii="Segoe UI Symbol" w:eastAsia="MS Gothic" w:hAnsi="Segoe UI Symbol" w:cs="Segoe UI Symbol"/>
                    <w:sz w:val="22"/>
                    <w:szCs w:val="22"/>
                  </w:rPr>
                  <w:t>☐</w:t>
                </w:r>
              </w:sdtContent>
            </w:sdt>
            <w:r w:rsidR="00F0206B" w:rsidRPr="000203E1">
              <w:rPr>
                <w:sz w:val="22"/>
                <w:szCs w:val="22"/>
              </w:rPr>
              <w:t>10.3 str. (hibridinis)</w:t>
            </w:r>
          </w:p>
        </w:tc>
      </w:tr>
      <w:tr w:rsidR="00F0206B" w:rsidRPr="000203E1" w14:paraId="310E9662" w14:textId="77777777" w:rsidTr="00BE7489">
        <w:trPr>
          <w:trHeight w:val="1442"/>
        </w:trPr>
        <w:tc>
          <w:tcPr>
            <w:tcW w:w="632" w:type="dxa"/>
          </w:tcPr>
          <w:p w14:paraId="4B5A91A2" w14:textId="561B5E5F" w:rsidR="00F0206B" w:rsidRPr="000203E1" w:rsidRDefault="00F0206B" w:rsidP="00F0206B">
            <w:pPr>
              <w:rPr>
                <w:rFonts w:eastAsia="Arial"/>
              </w:rPr>
            </w:pPr>
            <w:r w:rsidRPr="000203E1">
              <w:rPr>
                <w:rFonts w:eastAsia="Arial"/>
              </w:rPr>
              <w:t>1.4</w:t>
            </w:r>
          </w:p>
        </w:tc>
        <w:tc>
          <w:tcPr>
            <w:tcW w:w="3694" w:type="dxa"/>
          </w:tcPr>
          <w:p w14:paraId="6C91E105" w14:textId="77777777" w:rsidR="00F0206B" w:rsidRPr="000203E1" w:rsidRDefault="00F0206B" w:rsidP="00F0206B">
            <w:pPr>
              <w:rPr>
                <w:bCs/>
                <w:lang w:eastAsia="lt-LT"/>
              </w:rPr>
            </w:pPr>
            <w:r w:rsidRPr="000203E1">
              <w:rPr>
                <w:bCs/>
                <w:lang w:eastAsia="lt-LT"/>
              </w:rPr>
              <w:t xml:space="preserve">Ar vaistinis preparatas įrašytas į Bendrijos retųjų vaistinių preparatų registrą? </w:t>
            </w:r>
          </w:p>
          <w:p w14:paraId="33726F9C" w14:textId="77777777" w:rsidR="00F0206B" w:rsidRPr="000203E1" w:rsidRDefault="00F0206B" w:rsidP="00F0206B">
            <w:pPr>
              <w:rPr>
                <w:bCs/>
                <w:i/>
                <w:lang w:eastAsia="lt-LT"/>
              </w:rPr>
            </w:pPr>
          </w:p>
          <w:p w14:paraId="483071A3" w14:textId="0F633FFC" w:rsidR="00F0206B" w:rsidRPr="000203E1" w:rsidRDefault="00F0206B" w:rsidP="00F0206B">
            <w:pPr>
              <w:rPr>
                <w:bCs/>
                <w:lang w:eastAsia="lt-LT"/>
              </w:rPr>
            </w:pPr>
            <w:r w:rsidRPr="000203E1">
              <w:rPr>
                <w:bCs/>
                <w:i/>
                <w:sz w:val="20"/>
                <w:lang w:eastAsia="lt-LT"/>
              </w:rPr>
              <w:t>Jei taip, nurodykite įrašymo datą ir numerį</w:t>
            </w:r>
          </w:p>
        </w:tc>
        <w:tc>
          <w:tcPr>
            <w:tcW w:w="5167" w:type="dxa"/>
          </w:tcPr>
          <w:p w14:paraId="05845C60" w14:textId="10CF4033" w:rsidR="00F0206B" w:rsidRPr="000203E1" w:rsidRDefault="002D0018" w:rsidP="00F0206B">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F0206B" w:rsidRPr="000203E1">
                  <w:rPr>
                    <w:rStyle w:val="Style2"/>
                    <w:rFonts w:ascii="MS Gothic" w:eastAsia="MS Gothic" w:hAnsi="MS Gothic" w:hint="eastAsia"/>
                    <w:sz w:val="24"/>
                  </w:rPr>
                  <w:t>☐</w:t>
                </w:r>
              </w:sdtContent>
            </w:sdt>
            <w:r w:rsidR="00F0206B" w:rsidRPr="000203E1">
              <w:t xml:space="preserve"> Taip</w:t>
            </w:r>
          </w:p>
          <w:p w14:paraId="41D88067" w14:textId="72B45912" w:rsidR="00F0206B" w:rsidRPr="000203E1" w:rsidRDefault="002D0018" w:rsidP="00F0206B">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F0206B">
                  <w:rPr>
                    <w:rStyle w:val="Style2"/>
                    <w:rFonts w:ascii="MS Gothic" w:eastAsia="MS Gothic" w:hAnsi="MS Gothic" w:hint="eastAsia"/>
                    <w:sz w:val="24"/>
                  </w:rPr>
                  <w:t>☒</w:t>
                </w:r>
              </w:sdtContent>
            </w:sdt>
            <w:r w:rsidR="00F0206B" w:rsidRPr="000203E1">
              <w:t xml:space="preserve"> Ne</w:t>
            </w:r>
          </w:p>
          <w:p w14:paraId="29C2CBBB" w14:textId="77777777" w:rsidR="00F0206B" w:rsidRPr="000203E1" w:rsidRDefault="002D0018" w:rsidP="00F0206B">
            <w:pPr>
              <w:rPr>
                <w:rFonts w:eastAsia="Arial"/>
              </w:rPr>
            </w:pPr>
            <w:sdt>
              <w:sdtPr>
                <w:alias w:val="Nurodykite konkrečią dieną"/>
                <w:tag w:val="Nurodykite pradžios datą"/>
                <w:id w:val="693498901"/>
                <w:placeholder>
                  <w:docPart w:val="CFF99CF6B7B68744A0618C98BAA302CC"/>
                </w:placeholder>
                <w:showingPlcHdr/>
                <w15:color w:val="FFCC99"/>
                <w:date w:fullDate="2022-05-18T00:00:00Z">
                  <w:dateFormat w:val="yyyy 'm.' MMMM d 'd.'"/>
                  <w:lid w:val="lt-LT"/>
                  <w:storeMappedDataAs w:val="dateTime"/>
                  <w:calendar w:val="gregorian"/>
                </w:date>
              </w:sdtPr>
              <w:sdtEndPr/>
              <w:sdtContent>
                <w:r w:rsidR="00F0206B" w:rsidRPr="000203E1">
                  <w:rPr>
                    <w:rStyle w:val="PlaceholderText"/>
                    <w:color w:val="auto"/>
                  </w:rPr>
                  <w:t>Click here to enter a date.</w:t>
                </w:r>
              </w:sdtContent>
            </w:sdt>
          </w:p>
        </w:tc>
      </w:tr>
      <w:tr w:rsidR="00F0206B" w:rsidRPr="000203E1" w14:paraId="7841E5F8" w14:textId="77777777" w:rsidTr="00BE7489">
        <w:trPr>
          <w:trHeight w:val="476"/>
        </w:trPr>
        <w:tc>
          <w:tcPr>
            <w:tcW w:w="632" w:type="dxa"/>
          </w:tcPr>
          <w:p w14:paraId="109D2861" w14:textId="73BF27DF" w:rsidR="00F0206B" w:rsidRPr="000203E1" w:rsidRDefault="00F0206B" w:rsidP="00F0206B">
            <w:pPr>
              <w:rPr>
                <w:rFonts w:eastAsia="Arial"/>
              </w:rPr>
            </w:pPr>
            <w:r w:rsidRPr="000203E1">
              <w:rPr>
                <w:rFonts w:eastAsia="Arial"/>
              </w:rPr>
              <w:t>1.5</w:t>
            </w:r>
          </w:p>
        </w:tc>
        <w:tc>
          <w:tcPr>
            <w:tcW w:w="3694" w:type="dxa"/>
          </w:tcPr>
          <w:p w14:paraId="7822D63E" w14:textId="68C38334" w:rsidR="00F0206B" w:rsidRPr="000203E1" w:rsidRDefault="00F0206B" w:rsidP="00F0206B">
            <w:pPr>
              <w:rPr>
                <w:bCs/>
                <w:lang w:eastAsia="lt-LT"/>
              </w:rPr>
            </w:pPr>
            <w:r w:rsidRPr="000203E1">
              <w:t>STV paraiškos pobūdis</w:t>
            </w:r>
          </w:p>
        </w:tc>
        <w:tc>
          <w:tcPr>
            <w:tcW w:w="5167" w:type="dxa"/>
          </w:tcPr>
          <w:p w14:paraId="403461B9" w14:textId="3C4A7981" w:rsidR="00F0206B" w:rsidRPr="000203E1" w:rsidRDefault="002D0018" w:rsidP="00F0206B">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F0206B">
                  <w:rPr>
                    <w:rStyle w:val="Style2"/>
                    <w:rFonts w:ascii="MS Gothic" w:eastAsia="MS Gothic" w:hAnsi="MS Gothic" w:hint="eastAsia"/>
                    <w:sz w:val="24"/>
                  </w:rPr>
                  <w:t>☒</w:t>
                </w:r>
              </w:sdtContent>
            </w:sdt>
            <w:r w:rsidR="00F0206B" w:rsidRPr="000203E1">
              <w:t xml:space="preserve"> Pilna paraiška</w:t>
            </w:r>
          </w:p>
          <w:p w14:paraId="6B8213E3" w14:textId="3495CDF4" w:rsidR="00F0206B" w:rsidRPr="000203E1" w:rsidRDefault="002D0018" w:rsidP="00F0206B">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F0206B" w:rsidRPr="000203E1">
                  <w:rPr>
                    <w:rStyle w:val="Style2"/>
                    <w:rFonts w:ascii="MS Gothic" w:eastAsia="MS Gothic" w:hAnsi="MS Gothic" w:hint="eastAsia"/>
                    <w:sz w:val="24"/>
                  </w:rPr>
                  <w:t>☐</w:t>
                </w:r>
              </w:sdtContent>
            </w:sdt>
            <w:r w:rsidR="00F0206B" w:rsidRPr="000203E1">
              <w:t xml:space="preserve"> Supaprastinta paraiška</w:t>
            </w:r>
          </w:p>
        </w:tc>
      </w:tr>
      <w:tr w:rsidR="00F0206B" w:rsidRPr="000203E1" w14:paraId="274D1DAF" w14:textId="77777777" w:rsidTr="00BE7489">
        <w:trPr>
          <w:trHeight w:val="1922"/>
        </w:trPr>
        <w:tc>
          <w:tcPr>
            <w:tcW w:w="632" w:type="dxa"/>
          </w:tcPr>
          <w:p w14:paraId="17ABF217" w14:textId="14AC00D7" w:rsidR="00F0206B" w:rsidRPr="000203E1" w:rsidRDefault="00F0206B" w:rsidP="00F0206B">
            <w:pPr>
              <w:rPr>
                <w:rFonts w:eastAsia="Arial"/>
              </w:rPr>
            </w:pPr>
            <w:r w:rsidRPr="000203E1">
              <w:rPr>
                <w:rFonts w:eastAsia="Arial"/>
              </w:rPr>
              <w:t>1.6</w:t>
            </w:r>
          </w:p>
        </w:tc>
        <w:tc>
          <w:tcPr>
            <w:tcW w:w="3694" w:type="dxa"/>
          </w:tcPr>
          <w:p w14:paraId="4D49DBF5" w14:textId="77777777" w:rsidR="00F0206B" w:rsidRPr="000203E1" w:rsidRDefault="00F0206B" w:rsidP="00F0206B">
            <w:pPr>
              <w:rPr>
                <w:bCs/>
                <w:lang w:eastAsia="lt-LT"/>
              </w:rPr>
            </w:pPr>
            <w:r w:rsidRPr="000203E1">
              <w:rPr>
                <w:bCs/>
                <w:lang w:eastAsia="lt-LT"/>
              </w:rPr>
              <w:t>Pareiškėjo teikiama (-</w:t>
            </w:r>
            <w:proofErr w:type="spellStart"/>
            <w:r w:rsidRPr="000203E1">
              <w:rPr>
                <w:bCs/>
                <w:lang w:eastAsia="lt-LT"/>
              </w:rPr>
              <w:t>os</w:t>
            </w:r>
            <w:proofErr w:type="spellEnd"/>
            <w:r w:rsidRPr="000203E1">
              <w:rPr>
                <w:bCs/>
                <w:lang w:eastAsia="lt-LT"/>
              </w:rPr>
              <w:t>) kompensuoti vaistinio preparato indikacija (-</w:t>
            </w:r>
            <w:proofErr w:type="spellStart"/>
            <w:r w:rsidRPr="000203E1">
              <w:rPr>
                <w:bCs/>
                <w:lang w:eastAsia="lt-LT"/>
              </w:rPr>
              <w:t>os</w:t>
            </w:r>
            <w:proofErr w:type="spellEnd"/>
            <w:r w:rsidRPr="000203E1">
              <w:rPr>
                <w:bCs/>
                <w:lang w:eastAsia="lt-LT"/>
              </w:rPr>
              <w:t>)</w:t>
            </w:r>
          </w:p>
          <w:p w14:paraId="6B4FEEC1" w14:textId="6A619694" w:rsidR="00F0206B" w:rsidRPr="000203E1" w:rsidRDefault="00F0206B" w:rsidP="00F0206B">
            <w:pPr>
              <w:rPr>
                <w:bCs/>
                <w:lang w:eastAsia="lt-LT"/>
              </w:rPr>
            </w:pPr>
            <w:r w:rsidRPr="000203E1">
              <w:rPr>
                <w:bCs/>
                <w:lang w:eastAsia="lt-LT"/>
              </w:rPr>
              <w:t>Kodas pagal TLK-10 AM</w:t>
            </w:r>
          </w:p>
        </w:tc>
        <w:tc>
          <w:tcPr>
            <w:tcW w:w="5167" w:type="dxa"/>
          </w:tcPr>
          <w:p w14:paraId="11FC2903" w14:textId="77777777" w:rsidR="00F0206B" w:rsidRPr="0073329D" w:rsidRDefault="00F0206B" w:rsidP="00F0206B">
            <w:pPr>
              <w:spacing w:after="120"/>
              <w:jc w:val="both"/>
            </w:pPr>
            <w:r w:rsidRPr="00441A59">
              <w:t>VYDURA skirtas</w:t>
            </w:r>
            <w:r>
              <w:t xml:space="preserve"> </w:t>
            </w:r>
            <w:r w:rsidRPr="00441A59">
              <w:t>epizodinės migrenos profilaktikai suaugusiesiems, kuriems būna bent 4 migrenos priepuoliai per mėnesį.</w:t>
            </w:r>
          </w:p>
          <w:p w14:paraId="13F7DFB0" w14:textId="296D59C5" w:rsidR="00F0206B" w:rsidRPr="000203E1" w:rsidRDefault="00F0206B" w:rsidP="00F0206B">
            <w:pPr>
              <w:pStyle w:val="ListParagraph"/>
              <w:spacing w:after="120"/>
              <w:ind w:left="0"/>
              <w:contextualSpacing w:val="0"/>
              <w:jc w:val="both"/>
            </w:pPr>
            <w:r>
              <w:t>G43</w:t>
            </w:r>
          </w:p>
        </w:tc>
      </w:tr>
      <w:tr w:rsidR="00F0206B" w:rsidRPr="000203E1" w14:paraId="2F79DC08" w14:textId="77777777" w:rsidTr="00BE7489">
        <w:trPr>
          <w:trHeight w:val="378"/>
        </w:trPr>
        <w:tc>
          <w:tcPr>
            <w:tcW w:w="632" w:type="dxa"/>
          </w:tcPr>
          <w:p w14:paraId="547885A2" w14:textId="2EE70237" w:rsidR="00F0206B" w:rsidRPr="000203E1" w:rsidRDefault="00F0206B" w:rsidP="00F0206B">
            <w:pPr>
              <w:rPr>
                <w:rFonts w:eastAsia="Arial"/>
              </w:rPr>
            </w:pPr>
            <w:r w:rsidRPr="000203E1">
              <w:rPr>
                <w:rFonts w:eastAsia="Arial"/>
              </w:rPr>
              <w:t>1.</w:t>
            </w:r>
            <w:r>
              <w:rPr>
                <w:rFonts w:eastAsia="Arial"/>
              </w:rPr>
              <w:t>7</w:t>
            </w:r>
          </w:p>
        </w:tc>
        <w:tc>
          <w:tcPr>
            <w:tcW w:w="3694" w:type="dxa"/>
          </w:tcPr>
          <w:p w14:paraId="2EAB877F" w14:textId="39A36941" w:rsidR="00F0206B" w:rsidRPr="000203E1" w:rsidRDefault="00F0206B" w:rsidP="00F0206B">
            <w:pPr>
              <w:rPr>
                <w:bCs/>
                <w:u w:val="single"/>
                <w:lang w:eastAsia="lt-LT"/>
              </w:rPr>
            </w:pPr>
            <w:r w:rsidRPr="000203E1">
              <w:rPr>
                <w:bCs/>
                <w:lang w:eastAsia="lt-LT"/>
              </w:rPr>
              <w:t xml:space="preserve">Pareiškėjo teikiamos skyrimo sąlygos </w:t>
            </w:r>
          </w:p>
        </w:tc>
        <w:tc>
          <w:tcPr>
            <w:tcW w:w="5167" w:type="dxa"/>
          </w:tcPr>
          <w:p w14:paraId="0579DF58" w14:textId="6C20BBE7" w:rsidR="00F0206B" w:rsidRPr="000203E1" w:rsidRDefault="00F0206B" w:rsidP="00F0206B">
            <w:r>
              <w:t>Neteikiamos</w:t>
            </w:r>
          </w:p>
        </w:tc>
      </w:tr>
      <w:tr w:rsidR="00F0206B" w:rsidRPr="000203E1" w14:paraId="3B125269" w14:textId="77777777" w:rsidTr="00BE7489">
        <w:trPr>
          <w:trHeight w:val="378"/>
        </w:trPr>
        <w:tc>
          <w:tcPr>
            <w:tcW w:w="632" w:type="dxa"/>
          </w:tcPr>
          <w:p w14:paraId="0058E11F" w14:textId="3C0D7626" w:rsidR="00F0206B" w:rsidRPr="000203E1" w:rsidRDefault="00F0206B" w:rsidP="00F0206B">
            <w:pPr>
              <w:rPr>
                <w:rFonts w:eastAsia="Arial"/>
              </w:rPr>
            </w:pPr>
            <w:r w:rsidRPr="000203E1">
              <w:rPr>
                <w:rFonts w:eastAsia="Arial"/>
              </w:rPr>
              <w:lastRenderedPageBreak/>
              <w:t>1.</w:t>
            </w:r>
            <w:r>
              <w:rPr>
                <w:rFonts w:eastAsia="Arial"/>
              </w:rPr>
              <w:t>8</w:t>
            </w:r>
          </w:p>
        </w:tc>
        <w:tc>
          <w:tcPr>
            <w:tcW w:w="3694" w:type="dxa"/>
          </w:tcPr>
          <w:p w14:paraId="738E1926" w14:textId="77777777" w:rsidR="00F0206B" w:rsidRPr="000203E1" w:rsidRDefault="00F0206B" w:rsidP="00F0206B">
            <w:pPr>
              <w:rPr>
                <w:bCs/>
                <w:lang w:eastAsia="lt-LT"/>
              </w:rPr>
            </w:pPr>
            <w:r w:rsidRPr="000203E1">
              <w:rPr>
                <w:bCs/>
                <w:lang w:eastAsia="lt-LT"/>
              </w:rPr>
              <w:t xml:space="preserve">Pareiškėjo teikiamas palyginamasis gydymas </w:t>
            </w:r>
          </w:p>
          <w:p w14:paraId="61EC5BBD" w14:textId="7A8BD8B4" w:rsidR="00F0206B" w:rsidRPr="000203E1" w:rsidRDefault="00F0206B" w:rsidP="00F0206B">
            <w:pPr>
              <w:rPr>
                <w:bCs/>
                <w:lang w:eastAsia="lt-LT"/>
              </w:rPr>
            </w:pPr>
          </w:p>
          <w:p w14:paraId="62057D94" w14:textId="77777777" w:rsidR="00F0206B" w:rsidRPr="000203E1" w:rsidRDefault="00F0206B" w:rsidP="00F0206B">
            <w:pPr>
              <w:rPr>
                <w:bCs/>
                <w:lang w:eastAsia="lt-LT"/>
              </w:rPr>
            </w:pPr>
          </w:p>
          <w:p w14:paraId="6CC1022E" w14:textId="2B6BCEE1" w:rsidR="00F0206B" w:rsidRPr="000203E1" w:rsidRDefault="00F0206B" w:rsidP="00F0206B">
            <w:pPr>
              <w:rPr>
                <w:bCs/>
                <w:lang w:eastAsia="lt-LT"/>
              </w:rPr>
            </w:pPr>
          </w:p>
        </w:tc>
        <w:tc>
          <w:tcPr>
            <w:tcW w:w="5167" w:type="dxa"/>
          </w:tcPr>
          <w:p w14:paraId="75D6407F" w14:textId="77777777" w:rsidR="00C925C3" w:rsidRDefault="002D0018" w:rsidP="00F0206B">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F0206B">
                  <w:rPr>
                    <w:rStyle w:val="Style2"/>
                    <w:rFonts w:ascii="MS Gothic" w:eastAsia="MS Gothic" w:hAnsi="MS Gothic" w:hint="eastAsia"/>
                    <w:sz w:val="24"/>
                  </w:rPr>
                  <w:t>☒</w:t>
                </w:r>
              </w:sdtContent>
            </w:sdt>
            <w:r w:rsidR="00F0206B" w:rsidRPr="000203E1">
              <w:t xml:space="preserve"> Tinkamas</w:t>
            </w:r>
          </w:p>
          <w:p w14:paraId="1A14DFFE" w14:textId="723130EF" w:rsidR="00C925C3" w:rsidRPr="00C925C3" w:rsidRDefault="00C925C3" w:rsidP="00F0206B">
            <w:r w:rsidRPr="00C925C3">
              <w:t>T</w:t>
            </w:r>
            <w:r w:rsidR="00F0206B" w:rsidRPr="00C925C3">
              <w:t>iesioginis</w:t>
            </w:r>
            <w:r w:rsidRPr="00C925C3">
              <w:t xml:space="preserve"> palyginimas</w:t>
            </w:r>
            <w:r w:rsidR="00F0206B" w:rsidRPr="00C925C3">
              <w:t xml:space="preserve"> – </w:t>
            </w:r>
            <w:proofErr w:type="spellStart"/>
            <w:r w:rsidR="00F0206B" w:rsidRPr="00C925C3">
              <w:t>placeb</w:t>
            </w:r>
            <w:r w:rsidRPr="00C925C3">
              <w:t>as</w:t>
            </w:r>
            <w:proofErr w:type="spellEnd"/>
          </w:p>
          <w:p w14:paraId="1F113AC0" w14:textId="23DDCC7B" w:rsidR="00F0206B" w:rsidRPr="000203E1" w:rsidRDefault="00F0206B" w:rsidP="00F0206B">
            <w:r w:rsidRPr="00C925C3">
              <w:t xml:space="preserve"> </w:t>
            </w:r>
            <w:r w:rsidR="00C925C3" w:rsidRPr="00C925C3">
              <w:t>N</w:t>
            </w:r>
            <w:r w:rsidRPr="00C925C3">
              <w:t>etiesioginis</w:t>
            </w:r>
            <w:r w:rsidR="00C925C3" w:rsidRPr="00C925C3">
              <w:t xml:space="preserve"> palyginimas</w:t>
            </w:r>
            <w:r w:rsidRPr="00C925C3">
              <w:t xml:space="preserve"> - </w:t>
            </w:r>
            <w:proofErr w:type="spellStart"/>
            <w:r w:rsidRPr="00C925C3">
              <w:t>erenumabas</w:t>
            </w:r>
            <w:proofErr w:type="spellEnd"/>
            <w:r w:rsidRPr="00C925C3">
              <w:t xml:space="preserve">, </w:t>
            </w:r>
            <w:proofErr w:type="spellStart"/>
            <w:r w:rsidRPr="00C925C3">
              <w:t>fremanezumabas</w:t>
            </w:r>
            <w:proofErr w:type="spellEnd"/>
            <w:r w:rsidRPr="00C925C3">
              <w:t>)</w:t>
            </w:r>
          </w:p>
          <w:p w14:paraId="41B44044" w14:textId="199BD9DF" w:rsidR="00F0206B" w:rsidRPr="000203E1" w:rsidRDefault="002D0018" w:rsidP="00F0206B">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F0206B" w:rsidRPr="000203E1">
                  <w:rPr>
                    <w:rStyle w:val="Style2"/>
                    <w:rFonts w:ascii="MS Gothic" w:eastAsia="MS Gothic" w:hAnsi="MS Gothic" w:hint="eastAsia"/>
                    <w:sz w:val="24"/>
                  </w:rPr>
                  <w:t>☐</w:t>
                </w:r>
              </w:sdtContent>
            </w:sdt>
            <w:r w:rsidR="00F0206B" w:rsidRPr="000203E1">
              <w:t xml:space="preserve"> Netinkama</w:t>
            </w:r>
          </w:p>
        </w:tc>
      </w:tr>
    </w:tbl>
    <w:p w14:paraId="108176F7" w14:textId="640C6F75" w:rsidR="00F70C9E" w:rsidRPr="000203E1" w:rsidRDefault="00F70C9E" w:rsidP="00E03C3F">
      <w:pPr>
        <w:pStyle w:val="ListParagraph"/>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543"/>
      </w:tblGrid>
      <w:tr w:rsidR="000203E1" w:rsidRPr="000203E1" w14:paraId="7E72828B" w14:textId="77777777" w:rsidTr="00BE7489">
        <w:trPr>
          <w:trHeight w:val="924"/>
        </w:trPr>
        <w:tc>
          <w:tcPr>
            <w:tcW w:w="2855" w:type="dxa"/>
          </w:tcPr>
          <w:p w14:paraId="253D1DD4" w14:textId="5B2616C0" w:rsidR="00F70C9E" w:rsidRPr="000203E1" w:rsidRDefault="00F70C9E" w:rsidP="00824B92">
            <w:pPr>
              <w:rPr>
                <w:rFonts w:eastAsia="Arial"/>
              </w:rPr>
            </w:pPr>
            <w:r w:rsidRPr="000203E1">
              <w:rPr>
                <w:rFonts w:eastAsia="Arial"/>
              </w:rPr>
              <w:t>ST</w:t>
            </w:r>
            <w:r w:rsidR="00DF583C" w:rsidRPr="000203E1">
              <w:rPr>
                <w:rFonts w:eastAsia="Arial"/>
              </w:rPr>
              <w:t>V</w:t>
            </w:r>
            <w:r w:rsidRPr="000203E1">
              <w:rPr>
                <w:rFonts w:eastAsia="Arial"/>
              </w:rPr>
              <w:t xml:space="preserve"> agentūros pavadinimas, šalis</w:t>
            </w:r>
          </w:p>
        </w:tc>
        <w:tc>
          <w:tcPr>
            <w:tcW w:w="1851" w:type="dxa"/>
          </w:tcPr>
          <w:p w14:paraId="34AE1EDD" w14:textId="77777777" w:rsidR="00F70C9E" w:rsidRPr="000203E1" w:rsidRDefault="00F70C9E" w:rsidP="00824B92">
            <w:pPr>
              <w:rPr>
                <w:rFonts w:eastAsia="Arial"/>
              </w:rPr>
            </w:pPr>
            <w:r w:rsidRPr="000203E1">
              <w:rPr>
                <w:rFonts w:eastAsia="Arial"/>
              </w:rPr>
              <w:t>STV vertinimas atliktas</w:t>
            </w:r>
          </w:p>
        </w:tc>
        <w:tc>
          <w:tcPr>
            <w:tcW w:w="2244" w:type="dxa"/>
          </w:tcPr>
          <w:p w14:paraId="16E2DDC1" w14:textId="77777777" w:rsidR="00F70C9E" w:rsidRPr="000203E1" w:rsidRDefault="00F70C9E" w:rsidP="00824B92">
            <w:pPr>
              <w:rPr>
                <w:rFonts w:eastAsia="Arial"/>
              </w:rPr>
            </w:pPr>
            <w:r w:rsidRPr="000203E1">
              <w:rPr>
                <w:rFonts w:eastAsia="Arial"/>
              </w:rPr>
              <w:t>Klinikinio vertinimo išvada</w:t>
            </w:r>
          </w:p>
        </w:tc>
        <w:tc>
          <w:tcPr>
            <w:tcW w:w="2543" w:type="dxa"/>
          </w:tcPr>
          <w:p w14:paraId="1861E3F2" w14:textId="74803B5B" w:rsidR="00F70C9E" w:rsidRPr="000203E1" w:rsidRDefault="00F70C9E" w:rsidP="00824B92">
            <w:pPr>
              <w:rPr>
                <w:rFonts w:eastAsia="Arial"/>
              </w:rPr>
            </w:pPr>
            <w:r w:rsidRPr="000203E1">
              <w:rPr>
                <w:rFonts w:eastAsia="Arial"/>
              </w:rPr>
              <w:t>Farmako</w:t>
            </w:r>
            <w:r w:rsidR="00CA217D" w:rsidRPr="000203E1">
              <w:rPr>
                <w:rFonts w:eastAsia="Arial"/>
              </w:rPr>
              <w:t>e</w:t>
            </w:r>
            <w:r w:rsidR="00476256" w:rsidRPr="000203E1">
              <w:rPr>
                <w:rFonts w:eastAsia="Arial"/>
              </w:rPr>
              <w:t>ko</w:t>
            </w:r>
            <w:r w:rsidRPr="000203E1">
              <w:rPr>
                <w:rFonts w:eastAsia="Arial"/>
              </w:rPr>
              <w:t>nominio vertinimo išvada</w:t>
            </w:r>
          </w:p>
        </w:tc>
      </w:tr>
      <w:tr w:rsidR="00F0206B" w:rsidRPr="000203E1" w14:paraId="129FA8F6" w14:textId="77777777" w:rsidTr="00BE7489">
        <w:trPr>
          <w:trHeight w:val="2267"/>
        </w:trPr>
        <w:tc>
          <w:tcPr>
            <w:tcW w:w="2855" w:type="dxa"/>
          </w:tcPr>
          <w:p w14:paraId="61BA3A48" w14:textId="77777777" w:rsidR="00F0206B" w:rsidRPr="0073329D" w:rsidRDefault="00F0206B" w:rsidP="00F0206B">
            <w:pPr>
              <w:autoSpaceDE w:val="0"/>
              <w:autoSpaceDN w:val="0"/>
              <w:adjustRightInd w:val="0"/>
              <w:rPr>
                <w:bCs/>
              </w:rPr>
            </w:pPr>
            <w:r w:rsidRPr="0073329D">
              <w:rPr>
                <w:bCs/>
              </w:rPr>
              <w:t>Nacionalinis sveikatos ir klinikinės kompetencijos institutas, Didžioji Britanija</w:t>
            </w:r>
          </w:p>
          <w:p w14:paraId="49C6520D" w14:textId="405AB732" w:rsidR="00F0206B" w:rsidRPr="000203E1" w:rsidRDefault="00F0206B" w:rsidP="00F0206B">
            <w:pPr>
              <w:rPr>
                <w:rFonts w:eastAsia="Arial"/>
                <w:lang w:val="en-GB"/>
              </w:rPr>
            </w:pPr>
            <w:r w:rsidRPr="0073329D">
              <w:rPr>
                <w:rFonts w:eastAsia="Arial"/>
              </w:rPr>
              <w:t xml:space="preserve">(angl. </w:t>
            </w:r>
            <w:proofErr w:type="spellStart"/>
            <w:r w:rsidRPr="0073329D">
              <w:rPr>
                <w:rFonts w:eastAsia="Arial"/>
                <w:i/>
              </w:rPr>
              <w:t>National</w:t>
            </w:r>
            <w:proofErr w:type="spellEnd"/>
            <w:r w:rsidRPr="0073329D">
              <w:rPr>
                <w:rFonts w:eastAsia="Arial"/>
                <w:i/>
              </w:rPr>
              <w:t xml:space="preserve"> Institute </w:t>
            </w:r>
            <w:proofErr w:type="spellStart"/>
            <w:r w:rsidRPr="0073329D">
              <w:rPr>
                <w:rFonts w:eastAsia="Arial"/>
                <w:i/>
              </w:rPr>
              <w:t>for</w:t>
            </w:r>
            <w:proofErr w:type="spellEnd"/>
            <w:r w:rsidRPr="0073329D">
              <w:rPr>
                <w:rFonts w:eastAsia="Arial"/>
                <w:i/>
              </w:rPr>
              <w:t xml:space="preserve"> </w:t>
            </w:r>
            <w:proofErr w:type="spellStart"/>
            <w:r w:rsidRPr="0073329D">
              <w:rPr>
                <w:rFonts w:eastAsia="Arial"/>
                <w:i/>
              </w:rPr>
              <w:t>Health</w:t>
            </w:r>
            <w:proofErr w:type="spellEnd"/>
            <w:r w:rsidRPr="0073329D">
              <w:rPr>
                <w:rFonts w:eastAsia="Arial"/>
                <w:i/>
              </w:rPr>
              <w:t xml:space="preserve"> </w:t>
            </w:r>
            <w:proofErr w:type="spellStart"/>
            <w:r w:rsidRPr="0073329D">
              <w:rPr>
                <w:rFonts w:eastAsia="Arial"/>
                <w:i/>
              </w:rPr>
              <w:t>and</w:t>
            </w:r>
            <w:proofErr w:type="spellEnd"/>
            <w:r w:rsidRPr="0073329D">
              <w:rPr>
                <w:rFonts w:eastAsia="Arial"/>
                <w:i/>
              </w:rPr>
              <w:t xml:space="preserve"> Care </w:t>
            </w:r>
            <w:proofErr w:type="spellStart"/>
            <w:r w:rsidRPr="0073329D">
              <w:rPr>
                <w:rFonts w:eastAsia="Arial"/>
                <w:i/>
              </w:rPr>
              <w:t>Excellence</w:t>
            </w:r>
            <w:proofErr w:type="spellEnd"/>
            <w:r w:rsidRPr="0073329D">
              <w:rPr>
                <w:rFonts w:eastAsia="Arial"/>
                <w:i/>
              </w:rPr>
              <w:t>, NICE</w:t>
            </w:r>
            <w:r w:rsidRPr="0073329D">
              <w:rPr>
                <w:rFonts w:eastAsia="Arial"/>
              </w:rPr>
              <w:t>)</w:t>
            </w:r>
          </w:p>
        </w:tc>
        <w:tc>
          <w:tcPr>
            <w:tcW w:w="1851" w:type="dxa"/>
          </w:tcPr>
          <w:p w14:paraId="7E125356" w14:textId="77777777" w:rsidR="00F0206B" w:rsidRPr="0073329D" w:rsidRDefault="002D0018" w:rsidP="00F0206B">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F0206B">
                  <w:rPr>
                    <w:rStyle w:val="Style2"/>
                    <w:rFonts w:ascii="MS Gothic" w:eastAsia="MS Gothic" w:hAnsi="MS Gothic" w:hint="eastAsia"/>
                  </w:rPr>
                  <w:t>☒</w:t>
                </w:r>
              </w:sdtContent>
            </w:sdt>
            <w:r w:rsidR="00F0206B" w:rsidRPr="0073329D">
              <w:t xml:space="preserve"> Taip</w:t>
            </w:r>
          </w:p>
          <w:p w14:paraId="201404E7" w14:textId="77777777" w:rsidR="00F0206B" w:rsidRPr="0073329D" w:rsidRDefault="002D0018" w:rsidP="00F0206B">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F0206B" w:rsidRPr="0073329D">
                  <w:rPr>
                    <w:rStyle w:val="Style2"/>
                    <w:rFonts w:ascii="MS Gothic" w:eastAsia="MS Gothic" w:hAnsi="MS Gothic" w:hint="eastAsia"/>
                  </w:rPr>
                  <w:t>☐</w:t>
                </w:r>
              </w:sdtContent>
            </w:sdt>
            <w:r w:rsidR="00F0206B" w:rsidRPr="0073329D">
              <w:t xml:space="preserve"> Ne</w:t>
            </w:r>
          </w:p>
          <w:p w14:paraId="7916359D" w14:textId="3B0CD2BB" w:rsidR="00F0206B" w:rsidRPr="000203E1" w:rsidRDefault="002D0018" w:rsidP="00F0206B">
            <w:pPr>
              <w:rPr>
                <w:rFonts w:eastAsia="Arial"/>
              </w:rPr>
            </w:pPr>
            <w:sdt>
              <w:sdtPr>
                <w:alias w:val="Nurodykite konkrečią dieną"/>
                <w:tag w:val="Nurodykite pradžios datą"/>
                <w:id w:val="922837954"/>
                <w:placeholder>
                  <w:docPart w:val="FEDA863C1B4F504589B9CD039FFDFE48"/>
                </w:placeholder>
                <w15:color w:val="FFCC99"/>
                <w:date>
                  <w:dateFormat w:val="yyyy 'm.' MMMM d 'd.'"/>
                  <w:lid w:val="lt-LT"/>
                  <w:storeMappedDataAs w:val="dateTime"/>
                  <w:calendar w:val="gregorian"/>
                </w:date>
              </w:sdtPr>
              <w:sdtEndPr/>
              <w:sdtContent>
                <w:r w:rsidR="00F0206B">
                  <w:t>2023 liepos  5 d.</w:t>
                </w:r>
              </w:sdtContent>
            </w:sdt>
          </w:p>
        </w:tc>
        <w:tc>
          <w:tcPr>
            <w:tcW w:w="2244" w:type="dxa"/>
          </w:tcPr>
          <w:p w14:paraId="6413D0ED" w14:textId="71A74AE1" w:rsidR="00F0206B" w:rsidRPr="000203E1" w:rsidRDefault="00F0206B" w:rsidP="00F0206B">
            <w:pPr>
              <w:rPr>
                <w:rFonts w:eastAsia="Arial"/>
              </w:rPr>
            </w:pPr>
            <w:r>
              <w:rPr>
                <w:rFonts w:eastAsia="Arial"/>
              </w:rPr>
              <w:t xml:space="preserve">Rimegepantas rekomenduojamas kaip epizodinės migrenos specifinio gydymo galimas pasirinkimas suaugusiems pacientams, kurie turi bent 4 ir ne daugiau  15 migrenos dienų per mėnesį, ir jeigu bet 3 kiti prevencinio gydymo metodai nesuveikė. Rekomenduojama nutraukti rimegepantą po 12 savaičių gydymo jeigu migrenos dažnis nesumažėja bent 50%. </w:t>
            </w:r>
          </w:p>
        </w:tc>
        <w:tc>
          <w:tcPr>
            <w:tcW w:w="2543" w:type="dxa"/>
          </w:tcPr>
          <w:p w14:paraId="67430EE7" w14:textId="4E4A0BAF" w:rsidR="00F0206B" w:rsidRPr="000203E1" w:rsidRDefault="00F0206B" w:rsidP="00F0206B">
            <w:pPr>
              <w:rPr>
                <w:rFonts w:eastAsia="Arial"/>
              </w:rPr>
            </w:pPr>
            <w:r>
              <w:rPr>
                <w:rFonts w:eastAsia="Arial"/>
              </w:rPr>
              <w:t xml:space="preserve"> </w:t>
            </w:r>
            <w:r w:rsidR="008C1E78">
              <w:rPr>
                <w:rFonts w:eastAsia="Arial"/>
              </w:rPr>
              <w:t xml:space="preserve">Laikoma, jog </w:t>
            </w:r>
            <w:proofErr w:type="spellStart"/>
            <w:r w:rsidR="008C1E78">
              <w:rPr>
                <w:rFonts w:eastAsia="Arial"/>
              </w:rPr>
              <w:t>rimegepantas</w:t>
            </w:r>
            <w:proofErr w:type="spellEnd"/>
            <w:r w:rsidR="008C1E78">
              <w:rPr>
                <w:rFonts w:eastAsia="Arial"/>
              </w:rPr>
              <w:t xml:space="preserve"> yra kaštams efektyvus.</w:t>
            </w:r>
          </w:p>
        </w:tc>
      </w:tr>
      <w:tr w:rsidR="008C1E78" w:rsidRPr="000203E1" w14:paraId="1CC31474" w14:textId="77777777" w:rsidTr="007A131A">
        <w:trPr>
          <w:trHeight w:val="1547"/>
        </w:trPr>
        <w:tc>
          <w:tcPr>
            <w:tcW w:w="2855" w:type="dxa"/>
          </w:tcPr>
          <w:p w14:paraId="782435BB" w14:textId="77777777" w:rsidR="008C1E78" w:rsidRPr="0073329D" w:rsidRDefault="008C1E78" w:rsidP="00F0206B">
            <w:pPr>
              <w:spacing w:line="276" w:lineRule="auto"/>
              <w:rPr>
                <w:rFonts w:eastAsia="Arial"/>
              </w:rPr>
            </w:pPr>
            <w:r w:rsidRPr="0073329D">
              <w:rPr>
                <w:rFonts w:eastAsia="Arial"/>
              </w:rPr>
              <w:t>Kanados sveikatos technologijų agentūra</w:t>
            </w:r>
          </w:p>
          <w:p w14:paraId="2C593A82" w14:textId="202E41BE" w:rsidR="008C1E78" w:rsidRPr="000203E1" w:rsidRDefault="008C1E78" w:rsidP="00F0206B">
            <w:pPr>
              <w:rPr>
                <w:rFonts w:eastAsia="Arial"/>
                <w:lang w:val="en-GB"/>
              </w:rPr>
            </w:pPr>
            <w:r w:rsidRPr="0073329D">
              <w:rPr>
                <w:rFonts w:eastAsia="Arial"/>
              </w:rPr>
              <w:t xml:space="preserve">(angl. </w:t>
            </w:r>
            <w:proofErr w:type="spellStart"/>
            <w:r w:rsidRPr="0073329D">
              <w:rPr>
                <w:rFonts w:eastAsia="Arial"/>
                <w:i/>
              </w:rPr>
              <w:t>Canadian</w:t>
            </w:r>
            <w:proofErr w:type="spellEnd"/>
            <w:r w:rsidRPr="0073329D">
              <w:rPr>
                <w:rFonts w:eastAsia="Arial"/>
                <w:i/>
              </w:rPr>
              <w:t xml:space="preserve"> </w:t>
            </w:r>
            <w:proofErr w:type="spellStart"/>
            <w:r w:rsidRPr="0073329D">
              <w:rPr>
                <w:rFonts w:eastAsia="Arial"/>
                <w:i/>
              </w:rPr>
              <w:t>health</w:t>
            </w:r>
            <w:proofErr w:type="spellEnd"/>
            <w:r w:rsidRPr="0073329D">
              <w:rPr>
                <w:rFonts w:eastAsia="Arial"/>
                <w:i/>
              </w:rPr>
              <w:t xml:space="preserve"> </w:t>
            </w:r>
            <w:proofErr w:type="spellStart"/>
            <w:r w:rsidRPr="0073329D">
              <w:rPr>
                <w:rFonts w:eastAsia="Arial"/>
                <w:i/>
              </w:rPr>
              <w:t>Technology</w:t>
            </w:r>
            <w:proofErr w:type="spellEnd"/>
            <w:r w:rsidRPr="0073329D">
              <w:rPr>
                <w:rFonts w:eastAsia="Arial"/>
                <w:i/>
              </w:rPr>
              <w:t xml:space="preserve"> </w:t>
            </w:r>
            <w:proofErr w:type="spellStart"/>
            <w:r w:rsidRPr="0073329D">
              <w:rPr>
                <w:rFonts w:eastAsia="Arial"/>
                <w:i/>
              </w:rPr>
              <w:t>Assessment</w:t>
            </w:r>
            <w:proofErr w:type="spellEnd"/>
            <w:r w:rsidRPr="0073329D">
              <w:rPr>
                <w:rFonts w:eastAsia="Arial"/>
                <w:i/>
              </w:rPr>
              <w:t xml:space="preserve"> </w:t>
            </w:r>
            <w:proofErr w:type="spellStart"/>
            <w:r w:rsidRPr="0073329D">
              <w:rPr>
                <w:rFonts w:eastAsia="Arial"/>
                <w:i/>
              </w:rPr>
              <w:t>agency</w:t>
            </w:r>
            <w:proofErr w:type="spellEnd"/>
            <w:r w:rsidRPr="0073329D">
              <w:rPr>
                <w:rFonts w:eastAsia="Arial"/>
                <w:i/>
              </w:rPr>
              <w:t>, CADTH</w:t>
            </w:r>
            <w:r w:rsidRPr="0073329D">
              <w:rPr>
                <w:rFonts w:eastAsia="Arial"/>
              </w:rPr>
              <w:t>)</w:t>
            </w:r>
          </w:p>
        </w:tc>
        <w:tc>
          <w:tcPr>
            <w:tcW w:w="1851" w:type="dxa"/>
          </w:tcPr>
          <w:p w14:paraId="0301561A" w14:textId="77777777" w:rsidR="008C1E78" w:rsidRPr="0073329D" w:rsidRDefault="002D0018" w:rsidP="00F0206B">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8C1E78" w:rsidRPr="0073329D">
                  <w:rPr>
                    <w:rStyle w:val="Style2"/>
                    <w:rFonts w:ascii="Segoe UI Symbol" w:eastAsia="MS Gothic" w:hAnsi="Segoe UI Symbol" w:cs="Segoe UI Symbol"/>
                  </w:rPr>
                  <w:t>☐</w:t>
                </w:r>
              </w:sdtContent>
            </w:sdt>
            <w:r w:rsidR="008C1E78" w:rsidRPr="0073329D">
              <w:t xml:space="preserve"> Taip</w:t>
            </w:r>
          </w:p>
          <w:p w14:paraId="6550D293" w14:textId="77777777" w:rsidR="008C1E78" w:rsidRPr="0073329D" w:rsidRDefault="002D0018" w:rsidP="00F0206B">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8C1E78">
                  <w:rPr>
                    <w:rStyle w:val="Style2"/>
                    <w:rFonts w:ascii="MS Gothic" w:eastAsia="MS Gothic" w:hAnsi="MS Gothic" w:hint="eastAsia"/>
                  </w:rPr>
                  <w:t>☒</w:t>
                </w:r>
              </w:sdtContent>
            </w:sdt>
            <w:r w:rsidR="008C1E78" w:rsidRPr="0073329D">
              <w:t xml:space="preserve"> Ne</w:t>
            </w:r>
          </w:p>
          <w:p w14:paraId="0C0988CC" w14:textId="68AB34E8" w:rsidR="008C1E78" w:rsidRPr="000203E1" w:rsidRDefault="002D0018" w:rsidP="00F0206B">
            <w:pPr>
              <w:rPr>
                <w:rFonts w:eastAsia="Arial"/>
              </w:rPr>
            </w:pPr>
            <w:sdt>
              <w:sdtPr>
                <w:alias w:val="Nurodykite konkrečią dieną"/>
                <w:tag w:val="Nurodykite pradžios datą"/>
                <w:id w:val="1072468416"/>
                <w:placeholder>
                  <w:docPart w:val="962B44B2CEFC41F0BABB5AC2988E6F34"/>
                </w:placeholder>
                <w:showingPlcHdr/>
                <w15:color w:val="FFCC99"/>
                <w:date w:fullDate="2022-05-18T00:00:00Z">
                  <w:dateFormat w:val="yyyy 'm.' MMMM d 'd.'"/>
                  <w:lid w:val="lt-LT"/>
                  <w:storeMappedDataAs w:val="dateTime"/>
                  <w:calendar w:val="gregorian"/>
                </w:date>
              </w:sdtPr>
              <w:sdtEndPr/>
              <w:sdtContent>
                <w:r w:rsidR="008C1E78" w:rsidRPr="0073329D">
                  <w:rPr>
                    <w:rStyle w:val="PlaceholderText"/>
                  </w:rPr>
                  <w:t>Click here to enter a date.</w:t>
                </w:r>
              </w:sdtContent>
            </w:sdt>
          </w:p>
        </w:tc>
        <w:tc>
          <w:tcPr>
            <w:tcW w:w="4787" w:type="dxa"/>
            <w:gridSpan w:val="2"/>
          </w:tcPr>
          <w:p w14:paraId="5C8CB330" w14:textId="2487F8C9" w:rsidR="008C1E78" w:rsidRPr="000203E1" w:rsidRDefault="008C1E78" w:rsidP="00F0206B">
            <w:pPr>
              <w:rPr>
                <w:rFonts w:eastAsia="Arial"/>
              </w:rPr>
            </w:pPr>
            <w:r>
              <w:rPr>
                <w:rFonts w:eastAsia="Arial"/>
              </w:rPr>
              <w:t>Pradėtas vertinimas 2023 rugpjūčio 30 d.</w:t>
            </w:r>
          </w:p>
        </w:tc>
      </w:tr>
      <w:tr w:rsidR="008C1E78" w:rsidRPr="000203E1" w14:paraId="21C94D47" w14:textId="77777777" w:rsidTr="002E4900">
        <w:trPr>
          <w:trHeight w:val="2160"/>
        </w:trPr>
        <w:tc>
          <w:tcPr>
            <w:tcW w:w="2855" w:type="dxa"/>
          </w:tcPr>
          <w:p w14:paraId="035771BC" w14:textId="77777777" w:rsidR="008C1E78" w:rsidRPr="0073329D" w:rsidRDefault="008C1E78" w:rsidP="00F0206B">
            <w:pPr>
              <w:spacing w:line="276" w:lineRule="auto"/>
              <w:rPr>
                <w:rFonts w:eastAsia="Arial"/>
              </w:rPr>
            </w:pPr>
            <w:r w:rsidRPr="0073329D">
              <w:rPr>
                <w:rFonts w:eastAsia="Arial"/>
              </w:rPr>
              <w:t xml:space="preserve">Nacionalinis </w:t>
            </w:r>
            <w:proofErr w:type="spellStart"/>
            <w:r w:rsidRPr="0073329D">
              <w:rPr>
                <w:rFonts w:eastAsia="Arial"/>
              </w:rPr>
              <w:t>farmakoekonomikos</w:t>
            </w:r>
            <w:proofErr w:type="spellEnd"/>
            <w:r w:rsidRPr="0073329D">
              <w:rPr>
                <w:rFonts w:eastAsia="Arial"/>
              </w:rPr>
              <w:t xml:space="preserve"> centras, Airija</w:t>
            </w:r>
          </w:p>
          <w:p w14:paraId="736F5072" w14:textId="4CB2DF36" w:rsidR="008C1E78" w:rsidRPr="000203E1" w:rsidRDefault="008C1E78" w:rsidP="00F0206B">
            <w:pPr>
              <w:rPr>
                <w:rFonts w:eastAsia="Arial"/>
              </w:rPr>
            </w:pPr>
            <w:r w:rsidRPr="0073329D">
              <w:rPr>
                <w:rFonts w:eastAsia="Arial"/>
              </w:rPr>
              <w:t>(angl.</w:t>
            </w:r>
            <w:r w:rsidRPr="0073329D">
              <w:rPr>
                <w:rFonts w:eastAsia="Arial"/>
                <w:i/>
              </w:rPr>
              <w:t xml:space="preserve"> </w:t>
            </w:r>
            <w:proofErr w:type="spellStart"/>
            <w:r w:rsidRPr="0073329D">
              <w:rPr>
                <w:rFonts w:eastAsia="Arial"/>
                <w:i/>
              </w:rPr>
              <w:t>National</w:t>
            </w:r>
            <w:proofErr w:type="spellEnd"/>
            <w:r w:rsidRPr="0073329D">
              <w:rPr>
                <w:rFonts w:eastAsia="Arial"/>
                <w:i/>
              </w:rPr>
              <w:t xml:space="preserve"> Centre </w:t>
            </w:r>
            <w:proofErr w:type="spellStart"/>
            <w:r w:rsidRPr="0073329D">
              <w:rPr>
                <w:rFonts w:eastAsia="Arial"/>
                <w:i/>
              </w:rPr>
              <w:t>for</w:t>
            </w:r>
            <w:proofErr w:type="spellEnd"/>
            <w:r w:rsidRPr="0073329D">
              <w:rPr>
                <w:rFonts w:eastAsia="Arial"/>
                <w:i/>
              </w:rPr>
              <w:t xml:space="preserve"> </w:t>
            </w:r>
            <w:proofErr w:type="spellStart"/>
            <w:r w:rsidRPr="0073329D">
              <w:rPr>
                <w:rFonts w:eastAsia="Arial"/>
                <w:i/>
              </w:rPr>
              <w:t>Pharmacoeconomics</w:t>
            </w:r>
            <w:proofErr w:type="spellEnd"/>
            <w:r w:rsidRPr="0073329D">
              <w:rPr>
                <w:rFonts w:eastAsia="Arial"/>
                <w:i/>
              </w:rPr>
              <w:t>, NCPE</w:t>
            </w:r>
            <w:r w:rsidRPr="0073329D">
              <w:rPr>
                <w:rFonts w:eastAsia="Arial"/>
              </w:rPr>
              <w:t>)</w:t>
            </w:r>
          </w:p>
        </w:tc>
        <w:tc>
          <w:tcPr>
            <w:tcW w:w="1851" w:type="dxa"/>
          </w:tcPr>
          <w:p w14:paraId="350FC420" w14:textId="77777777" w:rsidR="008C1E78" w:rsidRPr="0073329D" w:rsidRDefault="002D0018" w:rsidP="00F0206B">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8C1E78">
                  <w:rPr>
                    <w:rStyle w:val="Style2"/>
                    <w:rFonts w:ascii="MS Gothic" w:eastAsia="MS Gothic" w:hAnsi="MS Gothic" w:hint="eastAsia"/>
                  </w:rPr>
                  <w:t>☒</w:t>
                </w:r>
              </w:sdtContent>
            </w:sdt>
            <w:r w:rsidR="008C1E78" w:rsidRPr="0073329D">
              <w:t xml:space="preserve"> Taip</w:t>
            </w:r>
          </w:p>
          <w:p w14:paraId="38E3D6C4" w14:textId="77777777" w:rsidR="008C1E78" w:rsidRPr="0073329D" w:rsidRDefault="002D0018" w:rsidP="00F0206B">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8C1E78" w:rsidRPr="0073329D">
                  <w:rPr>
                    <w:rStyle w:val="Style2"/>
                    <w:rFonts w:ascii="Segoe UI Symbol" w:eastAsia="MS Gothic" w:hAnsi="Segoe UI Symbol" w:cs="Segoe UI Symbol"/>
                  </w:rPr>
                  <w:t>☐</w:t>
                </w:r>
              </w:sdtContent>
            </w:sdt>
            <w:r w:rsidR="008C1E78" w:rsidRPr="0073329D">
              <w:t xml:space="preserve"> Ne</w:t>
            </w:r>
          </w:p>
          <w:p w14:paraId="69AA1151" w14:textId="17B30090" w:rsidR="008C1E78" w:rsidRPr="000203E1" w:rsidRDefault="002D0018" w:rsidP="00F0206B">
            <w:pPr>
              <w:rPr>
                <w:rFonts w:eastAsia="Arial"/>
              </w:rPr>
            </w:pPr>
            <w:sdt>
              <w:sdtPr>
                <w:alias w:val="Nurodykite konkrečią dieną"/>
                <w:tag w:val="Nurodykite pradžios datą"/>
                <w:id w:val="-198323198"/>
                <w:placeholder>
                  <w:docPart w:val="B4A615845A3E45AF8AAF383F1877B9B1"/>
                </w:placeholder>
                <w15:color w:val="FFCC99"/>
                <w:date>
                  <w:dateFormat w:val="yyyy 'm.' MMMM d 'd.'"/>
                  <w:lid w:val="lt-LT"/>
                  <w:storeMappedDataAs w:val="dateTime"/>
                  <w:calendar w:val="gregorian"/>
                </w:date>
              </w:sdtPr>
              <w:sdtEndPr/>
              <w:sdtContent>
                <w:r w:rsidR="008C1E78">
                  <w:t>2023 gegužės 18 d.</w:t>
                </w:r>
              </w:sdtContent>
            </w:sdt>
          </w:p>
        </w:tc>
        <w:tc>
          <w:tcPr>
            <w:tcW w:w="4787" w:type="dxa"/>
            <w:gridSpan w:val="2"/>
          </w:tcPr>
          <w:p w14:paraId="60651AFD" w14:textId="70149C5A" w:rsidR="008C1E78" w:rsidRPr="000203E1" w:rsidRDefault="008C1E78" w:rsidP="00F0206B">
            <w:pPr>
              <w:rPr>
                <w:rFonts w:eastAsia="Arial"/>
              </w:rPr>
            </w:pPr>
            <w:r>
              <w:rPr>
                <w:rFonts w:eastAsia="Arial"/>
              </w:rPr>
              <w:t>Rekomenduojama svarstyti rimegepanto kompensavimą, jeigu bus pagerintas kainos ir efektyvumo santykis lyginant su kitais esamais prevencinio gydymo preparatais</w:t>
            </w:r>
          </w:p>
        </w:tc>
      </w:tr>
    </w:tbl>
    <w:p w14:paraId="2EB7FD31" w14:textId="4D2A8479" w:rsidR="007A2B68" w:rsidRPr="000203E1" w:rsidRDefault="007A2B68" w:rsidP="00E03C3F">
      <w:pPr>
        <w:pStyle w:val="ListParagraph"/>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4307D7C8" w14:textId="4381CFCC" w:rsidR="00F0206B" w:rsidRPr="00E02D9B" w:rsidRDefault="00CC7832" w:rsidP="00F0206B">
      <w:pPr>
        <w:pStyle w:val="ListParagraph"/>
        <w:numPr>
          <w:ilvl w:val="0"/>
          <w:numId w:val="12"/>
        </w:numPr>
        <w:tabs>
          <w:tab w:val="left" w:pos="567"/>
        </w:tabs>
        <w:ind w:hanging="720"/>
        <w:rPr>
          <w:b/>
          <w:bCs/>
          <w:caps/>
        </w:rPr>
      </w:pPr>
      <w:r w:rsidRPr="00E02D9B">
        <w:rPr>
          <w:b/>
          <w:bCs/>
          <w:caps/>
        </w:rPr>
        <w:lastRenderedPageBreak/>
        <w:t>Klinikinio vertinimo a</w:t>
      </w:r>
      <w:r w:rsidR="00D4485B" w:rsidRPr="00E02D9B">
        <w:rPr>
          <w:b/>
          <w:bCs/>
          <w:caps/>
        </w:rPr>
        <w:t>pibendrinimas</w:t>
      </w:r>
    </w:p>
    <w:p w14:paraId="660D9EF2" w14:textId="77777777" w:rsidR="008246AA" w:rsidRPr="00E02D9B" w:rsidRDefault="008246AA" w:rsidP="008246AA">
      <w:pPr>
        <w:pStyle w:val="ListParagraph"/>
        <w:tabs>
          <w:tab w:val="left" w:pos="567"/>
        </w:tabs>
        <w:rPr>
          <w:b/>
          <w:bCs/>
          <w:caps/>
        </w:rPr>
      </w:pPr>
    </w:p>
    <w:p w14:paraId="1EEDF777" w14:textId="77777777" w:rsidR="00F0206B" w:rsidRPr="00E02D9B" w:rsidRDefault="00F0206B" w:rsidP="00F0206B">
      <w:pPr>
        <w:pStyle w:val="VVKT"/>
      </w:pPr>
      <w:r w:rsidRPr="00E02D9B">
        <w:t xml:space="preserve">Migrena yra ilgalaikė varginanti neurologinė liga, kuriai būdingi pasikartojantys pirminiai, vidutinio sunkumo ar sunkaus galvos skausmo epizodai, kartais lydimi vėmimo, fotofobijos ar fonofobijos, nerimo ir depresijos. Lietuvoje, remiantis vyresnių kaip 18 metų amžiaus žmonių populiacija, galima apskaičiuoti, kad su migrena gyvena apie 400 tūkst. Maždaug 42 % jų liga yra diagnozuota ir 25 % skiriamas profilaktinis gydymas. Kadangi migrena dažniausiai vargina produktyviausiu žmogaus amžiaus laikotarpiu, ji lemia reikšmingą produktyvumo netekimą. </w:t>
      </w:r>
    </w:p>
    <w:p w14:paraId="2A3B589D" w14:textId="762BC4CE" w:rsidR="00F0206B" w:rsidRPr="00E02D9B" w:rsidRDefault="00F0206B" w:rsidP="00F0206B">
      <w:pPr>
        <w:pStyle w:val="VVKT"/>
      </w:pPr>
      <w:r w:rsidRPr="00E02D9B">
        <w:t>Priepuolių profilaktikai šiuo metu Lietuvoje yra kompensuojami CGRP (angl</w:t>
      </w:r>
      <w:r w:rsidRPr="00C925C3">
        <w:rPr>
          <w:i/>
        </w:rPr>
        <w:t xml:space="preserve">. </w:t>
      </w:r>
      <w:proofErr w:type="spellStart"/>
      <w:r w:rsidRPr="00C925C3">
        <w:rPr>
          <w:i/>
        </w:rPr>
        <w:t>Calcitonin</w:t>
      </w:r>
      <w:proofErr w:type="spellEnd"/>
      <w:r w:rsidRPr="00C925C3">
        <w:rPr>
          <w:i/>
        </w:rPr>
        <w:t xml:space="preserve"> gene-</w:t>
      </w:r>
      <w:proofErr w:type="spellStart"/>
      <w:r w:rsidRPr="00C925C3">
        <w:rPr>
          <w:i/>
        </w:rPr>
        <w:t>related</w:t>
      </w:r>
      <w:proofErr w:type="spellEnd"/>
      <w:r w:rsidRPr="00C925C3">
        <w:rPr>
          <w:i/>
        </w:rPr>
        <w:t xml:space="preserve"> peptide</w:t>
      </w:r>
      <w:r w:rsidRPr="00E02D9B">
        <w:t xml:space="preserve">) antagonistai </w:t>
      </w:r>
      <w:proofErr w:type="spellStart"/>
      <w:r w:rsidRPr="00E02D9B">
        <w:t>fremanezumabas</w:t>
      </w:r>
      <w:proofErr w:type="spellEnd"/>
      <w:r w:rsidRPr="00E02D9B">
        <w:t xml:space="preserve"> ir </w:t>
      </w:r>
      <w:proofErr w:type="spellStart"/>
      <w:r w:rsidRPr="00E02D9B">
        <w:t>erenumabas</w:t>
      </w:r>
      <w:proofErr w:type="spellEnd"/>
      <w:r w:rsidRPr="00E02D9B">
        <w:t xml:space="preserve">, kurie yra </w:t>
      </w:r>
      <w:r w:rsidR="00C925C3">
        <w:t>leidžiami po oda</w:t>
      </w:r>
      <w:r w:rsidRPr="00E02D9B">
        <w:t xml:space="preserve"> kas 1-3 mėnesius. Abu šie vaistiniai preparatai yra tinkami palyginamieji vaistiniai preparatai. </w:t>
      </w:r>
      <w:proofErr w:type="spellStart"/>
      <w:r w:rsidRPr="00E02D9B">
        <w:t>Rimegepantas</w:t>
      </w:r>
      <w:proofErr w:type="spellEnd"/>
      <w:r w:rsidRPr="00E02D9B">
        <w:t xml:space="preserve"> yra pirmas geriamas</w:t>
      </w:r>
      <w:r w:rsidR="00C925C3">
        <w:t>is</w:t>
      </w:r>
      <w:r w:rsidRPr="00E02D9B">
        <w:t xml:space="preserve"> CGRP antagonistas, vartojamas kas antrą parą. Rimegepanto pusinės eliminacijos laikas yra 11 valandų, kas yra trumpas laikotarpis lyginant su kitais CGRP antagonistais ir gali būti greitai nu</w:t>
      </w:r>
      <w:r w:rsidR="00C925C3">
        <w:t xml:space="preserve">traukiamas atsiradus nėštumui, padidėjusio </w:t>
      </w:r>
      <w:r w:rsidRPr="00E02D9B">
        <w:t xml:space="preserve">jautrumo reakcijoms ar sunkioms nepageidaujamoms reakcijoms. </w:t>
      </w:r>
    </w:p>
    <w:p w14:paraId="41C34458" w14:textId="77777777" w:rsidR="00F0206B" w:rsidRPr="00E02D9B" w:rsidRDefault="00F0206B" w:rsidP="00F0206B">
      <w:pPr>
        <w:pStyle w:val="VVKT"/>
      </w:pPr>
      <w:r w:rsidRPr="00E02D9B">
        <w:t>Rimegepantas skirtas vartoti per burną, jį reikia laikyti ant liežuvio arba po liežuviu. Jis susiskaidys burnoje ir jį galima vartoti neužsigeriant. Rekomenduojama dozė migrenos profilaktikai yra 75 mg rimegepanto, vartojama kas antrą parą.</w:t>
      </w:r>
    </w:p>
    <w:p w14:paraId="7B21BE7B" w14:textId="77777777" w:rsidR="00F0206B" w:rsidRPr="00E02D9B" w:rsidRDefault="00F0206B" w:rsidP="00F0206B">
      <w:pPr>
        <w:pStyle w:val="VVKT"/>
      </w:pPr>
    </w:p>
    <w:p w14:paraId="58955EB5" w14:textId="77777777" w:rsidR="00F0206B" w:rsidRPr="00E02D9B" w:rsidRDefault="00F0206B" w:rsidP="00F0206B">
      <w:pPr>
        <w:pStyle w:val="VVKT"/>
      </w:pPr>
      <w:r w:rsidRPr="00E02D9B">
        <w:rPr>
          <w:i/>
          <w:iCs/>
        </w:rPr>
        <w:t>Tiesioginis palyginimas</w:t>
      </w:r>
    </w:p>
    <w:p w14:paraId="755F207D" w14:textId="499486C3" w:rsidR="00F0206B" w:rsidRPr="00E02D9B" w:rsidRDefault="00F0206B" w:rsidP="00F0206B">
      <w:pPr>
        <w:pStyle w:val="VVKT"/>
      </w:pPr>
      <w:r w:rsidRPr="00E02D9B">
        <w:t xml:space="preserve">Tiesioginiame palyginime pateiktas daugiacentris, atsitiktinių imčių, dvigubai aklas, placebo kontroliuojamas 2/3 fazės tyrimas BHV3000-305, kuriame vertintas rimegeptano efektyvumas profilaktiniam epizodinės migrenos gydymui. Atsitiktinių imčių tyrimo trukmė buvo 12 savaičių, 52 savaičių atvira tyrimo fazė ir 8 savaičių saugumo stebėjimo fazė. Rimegepanto 75 mg grupėje buvo 370 pacientų ir 371 pacientas placebo grupėje. Pagrindiniai demografiniai rodikliai tarp pacientų grupių buvo pasiskirstę panašiai. Vidutinis tiriamųjų amžius buvo 41,3 m. rimegeptano grupėje, 41,1 m. placebo grupėje, abejose grupėse dauguma buvo moterys (81% ir 82% atitinkamai), lėtine migrena sirgo 21% ir 26% atitinkamai. Stebėjimo periodu vidutinis </w:t>
      </w:r>
      <w:r w:rsidR="00476BEA" w:rsidRPr="00E02D9B">
        <w:t xml:space="preserve">MMD skaičius </w:t>
      </w:r>
      <w:proofErr w:type="spellStart"/>
      <w:r w:rsidR="00476BEA" w:rsidRPr="00E02D9B">
        <w:t>rimegep</w:t>
      </w:r>
      <w:r w:rsidRPr="00E02D9B">
        <w:t>an</w:t>
      </w:r>
      <w:r w:rsidR="00476BEA" w:rsidRPr="00E02D9B">
        <w:t>t</w:t>
      </w:r>
      <w:r w:rsidRPr="00E02D9B">
        <w:t>o</w:t>
      </w:r>
      <w:proofErr w:type="spellEnd"/>
      <w:r w:rsidRPr="00E02D9B">
        <w:t xml:space="preserve"> grupėje buvo 10,3 d./mėn., placebo grupėje 9,9 d./mėn. Pagrindinė vertinamoji baigtis buvo MMD sumažėjimas nuo pradinio: rimegepantas sumažino MMD statistiškai reikšmingai 0,8 dienos daugiau negu placebo (4,3 vs 3.5, 95% PI (−1,46; −0,20), p=0,0099). Toliau pateikiamos svarbiausios antrinės vertinamosios baigtys. Pacientų dalis, kuriems vidutinio intensyvumo arba sunkių MD skaičius sumažėjo ≥50% 9-12 tyrimo savaitėmis, lyginant su pradiniu, buvo 7,6% didesnė rimegeptano grupėje, lyginant su placebo  (49% vs 41,5%, skirtumo 95% PI (0,2, 14,9), p=0,0438). Pacientų, gydytų rimegeptanu, vidutinis MMD sumažėjimas nuo pradinio per 1-12 tyrimo savaites buvo 3,6 dienos, tuo tarpu placebo gydytiems MMD vidutiniškai sumažėjo 2,7 d. (skirtumas -0,8 d., 95% PI (-1,34, -0,31), p=0,0017). Vidutinis dienų, kai buvo vartojami gelbstintys medikamentai (analgetikai ir kt.), skaičius,  per 9-12 tyrimo savaites rimegeptano grupėje (3,7 d.) nebuvo statistiškai reikšmingai mažesnis nei placebo grupėje (4,0 d., p=0,3868). Rimegeptano grupėje vidutinis MMD pokytis nuo pradinio per 1-4 tyrimo savaites buvo -2,9 dienos, tuo tarpu placebo grupėje -1,7 dienos (-1,2 d., 95% PI (-1,72; -0,61), p=0,0001). Gyvenimo kokybę, vertinant pagal </w:t>
      </w:r>
      <w:proofErr w:type="spellStart"/>
      <w:r w:rsidRPr="00E02D9B">
        <w:t>MSQoL</w:t>
      </w:r>
      <w:proofErr w:type="spellEnd"/>
      <w:r w:rsidRPr="00E02D9B">
        <w:t xml:space="preserve"> skalę 12 tyrimo savaitę, rimegeptano grupėje padidėjo 3,5 balo, statistiškai reikšmingai labiau, nei placebo grupėje (18,0 </w:t>
      </w:r>
      <w:r w:rsidRPr="00E02D9B">
        <w:rPr>
          <w:i/>
          <w:iCs/>
        </w:rPr>
        <w:t>vs</w:t>
      </w:r>
      <w:r w:rsidRPr="00E02D9B">
        <w:t xml:space="preserve"> 14,6, 95% PI (0,23;6,70), p=0,0358). Vertinant gyvenimo kokybę pagal MIDAS, reikšmingo skirtumo tarp grupių nebuvo. Klinikinis tyrimas BHV3000-305 buvo tęsiamas kaip atviros fazės tyrimas 52 savaites. Vidutinė gydymo rimegeptanu trukmė buvo 51,6 savaitės, vidutinė mėnesinė ekspozicija buvo 14,2 tabletės. 416 pacientų (62%) vartojo rimegepantą iki 12 mėnesių, 203 pacientai </w:t>
      </w:r>
      <w:r w:rsidRPr="00E02D9B">
        <w:lastRenderedPageBreak/>
        <w:t xml:space="preserve">(30%) vartojo rimegepantą iki 15 mėnesių. Atviros fazės metu vertinanti MMD pokytį, skirstant MMD pagal sunkumą (bendras skaičius, </w:t>
      </w:r>
      <w:proofErr w:type="spellStart"/>
      <w:r w:rsidRPr="00E02D9B">
        <w:t>vid</w:t>
      </w:r>
      <w:proofErr w:type="spellEnd"/>
      <w:r w:rsidRPr="00E02D9B">
        <w:t>. sunkumo ir sunkios), vertinant kas mėnesį, nustatyta, kad rimegepanto grupėje MMD didesnis sumažėjimas lyginant su placebo išlieka ilgą laiką.</w:t>
      </w:r>
    </w:p>
    <w:p w14:paraId="5D6E5A56" w14:textId="77777777" w:rsidR="00F0206B" w:rsidRPr="00E02D9B" w:rsidRDefault="00F0206B" w:rsidP="00F0206B">
      <w:pPr>
        <w:pStyle w:val="VVKT"/>
      </w:pPr>
    </w:p>
    <w:p w14:paraId="6D8C8A0E" w14:textId="77777777" w:rsidR="00F0206B" w:rsidRPr="00E02D9B" w:rsidRDefault="00F0206B" w:rsidP="00F0206B">
      <w:pPr>
        <w:pStyle w:val="VVKT"/>
        <w:ind w:firstLine="0"/>
      </w:pPr>
      <w:r w:rsidRPr="00E02D9B">
        <w:rPr>
          <w:i/>
          <w:iCs/>
        </w:rPr>
        <w:t>Netiesioginis palyginimas</w:t>
      </w:r>
    </w:p>
    <w:p w14:paraId="43991BBE" w14:textId="77777777" w:rsidR="00F0206B" w:rsidRDefault="00F0206B" w:rsidP="00F0206B">
      <w:pPr>
        <w:pStyle w:val="VVKT"/>
      </w:pPr>
      <w:r w:rsidRPr="00E02D9B">
        <w:t>Nesant tinkamo tiesioginio palyginimo su palyginamaisiais preparatais, atlikta netiesioginė palyginamoji analizė su erenumabu, fremanezumabu, galkanezumabu. Kadangi tinkami palyginamieji preparatai yra erenumabas ir fremanezumabas, aptariama tik NPA dalis, lyginanti rimegepantą su šiais preparatais. Bendra NPA įtrauktų klinikinių tyrimų imtis – 5874 pacientai. NPA populiacijos vidutinis amžius buvo 37,1 - 46,8 m. ribose, moterys sudarė 80,0 – 89,0% tiriamųjų, vidutinė migrenos trukmė buvo 11,2 – 24,3 m. Vidutinis pradinis MMD skaičius buvo 8,2 – 14,3 d. Tyrimų populiacija anksčiau vartoto prevencinio migrenos gydymo atžvilgiu buvo heterogeniška. Tarp tyrimų buvo reikšmingas placebo efektyvumo svyravimas nuo 8,6% iki 36,4%, todėl NPA buvo taikyta meta regresija siekiant sumažinti skirtumus tarp tyrimų dėl skirtingo atsako į placebo. Vertinamoji baigtis vidutinio MMD sumažėjimas ≥50% per 12 savaičių periodą. Visų NPA vertintų preparatų MMD sumažėjimas ≥50% nuo pradinio buvo statistiškai reikšmingas lyginant su placebo, ir nebuvo statistiškai reikšmingo skirtumo tarp palyginamųjų preparatų erenumabo, fremanezumabo ir rimegepanto. Atlikus jautrumo analizę, rezultatų statistinis reikšmingumas nepasikeitė, statistiškai reikšmingo skirtumo tarp palyginamųjų preparatų erenumabo, fremanezumabo ir rimegepanto nėra. Vertinant MMD pokytį nuo pradinio po 12 savaičių gydymo, nebuvo statistiškai reikšmingo skirtumo tarp palyginamųjų preparatų erenumabo, fremanezumabo ir rimegepanto.</w:t>
      </w:r>
    </w:p>
    <w:p w14:paraId="63CA2E26" w14:textId="77777777" w:rsidR="00F0206B" w:rsidRDefault="00F0206B" w:rsidP="00F0206B">
      <w:pPr>
        <w:pStyle w:val="VVKT"/>
        <w:ind w:firstLine="0"/>
      </w:pPr>
    </w:p>
    <w:p w14:paraId="5E5957BF" w14:textId="77777777" w:rsidR="00F0206B" w:rsidRPr="00387953" w:rsidRDefault="00F0206B" w:rsidP="00F0206B">
      <w:pPr>
        <w:tabs>
          <w:tab w:val="left" w:pos="492"/>
        </w:tabs>
        <w:spacing w:line="276" w:lineRule="auto"/>
        <w:jc w:val="both"/>
        <w:outlineLvl w:val="1"/>
        <w:rPr>
          <w:rFonts w:eastAsia="Arial"/>
          <w:bCs/>
          <w:i/>
          <w:iCs/>
        </w:rPr>
      </w:pPr>
      <w:r>
        <w:rPr>
          <w:rFonts w:eastAsia="Arial"/>
          <w:bCs/>
          <w:i/>
          <w:iCs/>
        </w:rPr>
        <w:t>Palyginamasis s</w:t>
      </w:r>
      <w:r w:rsidRPr="00387953">
        <w:rPr>
          <w:rFonts w:eastAsia="Arial"/>
          <w:bCs/>
          <w:i/>
          <w:iCs/>
        </w:rPr>
        <w:t>augumas</w:t>
      </w:r>
    </w:p>
    <w:p w14:paraId="24882277" w14:textId="77777777" w:rsidR="00F0206B" w:rsidRDefault="00F0206B" w:rsidP="00F0206B">
      <w:pPr>
        <w:pStyle w:val="VVKT"/>
      </w:pPr>
      <w:r w:rsidRPr="000A0639">
        <w:t>Rimegepanto saugumo rezultatai buvo aptarti EVA mokslinėje diskusijoje (EMA/CHMP/172260/2022) ir įtraukti į preparato charakteristikų santrauką, todėl šiame sveikatos technologijų vertinimo protokole bus aptariami trumpai. EVA mokslinėje diskusijoje rimegepantas vertinamas kaip turintis palankų saugumo profilį.</w:t>
      </w:r>
      <w:r>
        <w:t xml:space="preserve"> </w:t>
      </w:r>
      <w:r w:rsidRPr="000A0639">
        <w:t>Saugumo analizė atlikta remiantis klinikiniu tyrimu BHV3000-305. Saugumo analizės populiacija buvo 741 pacientas, 370 gydytų rimegepantu ir 341 gydytas placebo. 11% pacientų, gydytų rimegepantu, ir 9% gydytų placebo pasireiškė bent 1 su gydymų susijęs nepageidaujamas reiškinys (NR), dėl NR gydymą nutraukė 2% rimegepanto pacientų ir 1% placebo pacientų, dėl NR preparato infuzija buvo sustabdyta 1,9% ir 0,8% pacientų atitinkamai. Mirčių registruota nebuvo. Dauguma NR buvo nesunkūs ar vid</w:t>
      </w:r>
      <w:r>
        <w:t>utinio</w:t>
      </w:r>
      <w:r w:rsidRPr="000A0639">
        <w:t xml:space="preserve"> </w:t>
      </w:r>
      <w:r>
        <w:t>i</w:t>
      </w:r>
      <w:r w:rsidRPr="000A0639">
        <w:t>ntensyvumo, nesusiję su gydymu ir nereikalavo papildomo gydymo. Dažniausi (≥2%) NR buvo rimegeptano ir placebo grupėje buvo nazofaringitas (4% vs 2%), pykinimas (3% vs 1%), šlapimo takų infekcija (2% vs 2%) ir viršutinių kvėpavimo takų infekcija (2% vs 3%).</w:t>
      </w:r>
    </w:p>
    <w:p w14:paraId="159EEE2C" w14:textId="77777777" w:rsidR="00F0206B" w:rsidRPr="000A0639" w:rsidRDefault="00F0206B" w:rsidP="00F0206B">
      <w:pPr>
        <w:pStyle w:val="VVKT"/>
      </w:pPr>
    </w:p>
    <w:p w14:paraId="0D23D7A4" w14:textId="77777777" w:rsidR="00F0206B" w:rsidRPr="00387953" w:rsidRDefault="00F0206B" w:rsidP="00F0206B">
      <w:pPr>
        <w:spacing w:line="276" w:lineRule="auto"/>
        <w:jc w:val="both"/>
        <w:rPr>
          <w:rFonts w:eastAsia="Arial"/>
          <w:i/>
          <w:color w:val="000000" w:themeColor="text1"/>
        </w:rPr>
      </w:pPr>
      <w:r w:rsidRPr="00387953">
        <w:rPr>
          <w:rFonts w:eastAsia="Arial"/>
          <w:i/>
          <w:color w:val="000000" w:themeColor="text1"/>
        </w:rPr>
        <w:t>Privalumai ir trūkumai</w:t>
      </w:r>
    </w:p>
    <w:p w14:paraId="33147742" w14:textId="77777777" w:rsidR="00F0206B" w:rsidRPr="001C4887" w:rsidRDefault="00F0206B" w:rsidP="00F0206B">
      <w:pPr>
        <w:pStyle w:val="Protokolui"/>
        <w:rPr>
          <w:rFonts w:eastAsia="Arial"/>
          <w:sz w:val="24"/>
          <w:szCs w:val="24"/>
          <w:lang w:val="lt-LT"/>
        </w:rPr>
      </w:pPr>
      <w:r w:rsidRPr="001C4887">
        <w:rPr>
          <w:rFonts w:eastAsia="Arial"/>
          <w:sz w:val="24"/>
          <w:szCs w:val="24"/>
          <w:lang w:val="lt-LT"/>
        </w:rPr>
        <w:t>Jei vaistinis preparatas būtų įrašytas į kompensavimo sąrašus, gydymo šiuo vaistiniu preparatu taikymas klinikinėje praktikoje galėtų turėti privalumų ir trūkumų medicininėms paslaugoms ar pacientams.</w:t>
      </w:r>
    </w:p>
    <w:p w14:paraId="33300029" w14:textId="77777777" w:rsidR="00F0206B" w:rsidRDefault="00F0206B" w:rsidP="00F0206B">
      <w:pPr>
        <w:spacing w:line="276" w:lineRule="auto"/>
        <w:jc w:val="both"/>
        <w:rPr>
          <w:rFonts w:eastAsia="Arial"/>
          <w:i/>
          <w:iCs/>
          <w:color w:val="000000" w:themeColor="text1"/>
        </w:rPr>
      </w:pPr>
      <w:r w:rsidRPr="001C4887">
        <w:rPr>
          <w:rFonts w:eastAsia="Arial"/>
          <w:i/>
          <w:iCs/>
          <w:color w:val="000000" w:themeColor="text1"/>
        </w:rPr>
        <w:t>Privalumai.</w:t>
      </w:r>
      <w:r w:rsidRPr="001C4887">
        <w:rPr>
          <w:rFonts w:eastAsia="Arial"/>
          <w:iCs/>
          <w:color w:val="000000" w:themeColor="text1"/>
        </w:rPr>
        <w:t xml:space="preserve"> Pacientams –</w:t>
      </w:r>
      <w:r w:rsidRPr="00FC4D49">
        <w:rPr>
          <w:rFonts w:eastAsia="Arial"/>
          <w:iCs/>
          <w:color w:val="000000" w:themeColor="text1"/>
        </w:rPr>
        <w:t xml:space="preserve"> </w:t>
      </w:r>
      <w:r>
        <w:rPr>
          <w:rFonts w:eastAsia="Arial"/>
          <w:iCs/>
          <w:color w:val="000000" w:themeColor="text1"/>
        </w:rPr>
        <w:t xml:space="preserve">didesnė epizodinės migrenos prevencinio gydymo pasirinkimo galimybė, galimybė pasirinkti specifinį peroralinį preparatą, greito gydymo nutraukimo galimybė. </w:t>
      </w:r>
      <w:r w:rsidRPr="00FC4D49">
        <w:rPr>
          <w:rFonts w:eastAsia="Arial"/>
          <w:iCs/>
          <w:color w:val="000000" w:themeColor="text1"/>
        </w:rPr>
        <w:t xml:space="preserve">Medicinos paslaugoms – </w:t>
      </w:r>
      <w:r>
        <w:rPr>
          <w:rFonts w:eastAsia="Arial"/>
          <w:iCs/>
          <w:color w:val="000000" w:themeColor="text1"/>
        </w:rPr>
        <w:t xml:space="preserve">greito gydymo nutraukimo galimybė esant medicininėms indikacijoms. </w:t>
      </w:r>
    </w:p>
    <w:p w14:paraId="5382EEEC" w14:textId="77777777" w:rsidR="00F0206B" w:rsidRPr="00FC4D49" w:rsidRDefault="00F0206B" w:rsidP="00F0206B">
      <w:pPr>
        <w:spacing w:line="276" w:lineRule="auto"/>
        <w:jc w:val="both"/>
        <w:rPr>
          <w:rFonts w:eastAsia="Arial"/>
          <w:iCs/>
          <w:color w:val="000000" w:themeColor="text1"/>
        </w:rPr>
      </w:pPr>
      <w:r w:rsidRPr="00FC6AEC">
        <w:rPr>
          <w:rFonts w:eastAsia="Arial"/>
          <w:i/>
          <w:iCs/>
          <w:color w:val="000000" w:themeColor="text1"/>
        </w:rPr>
        <w:t>Trūkumai</w:t>
      </w:r>
      <w:r w:rsidRPr="00FC4D49">
        <w:rPr>
          <w:rFonts w:eastAsia="Arial"/>
          <w:iCs/>
          <w:color w:val="000000" w:themeColor="text1"/>
        </w:rPr>
        <w:t>.</w:t>
      </w:r>
      <w:r w:rsidRPr="007C1987">
        <w:rPr>
          <w:rFonts w:eastAsia="Arial"/>
          <w:iCs/>
          <w:color w:val="000000" w:themeColor="text1"/>
        </w:rPr>
        <w:t xml:space="preserve"> Pacientams ir medicinos paslaugoms –  </w:t>
      </w:r>
      <w:r>
        <w:rPr>
          <w:rFonts w:eastAsia="Arial"/>
          <w:iCs/>
          <w:color w:val="000000" w:themeColor="text1"/>
        </w:rPr>
        <w:t>esminių trūkumų nėra.</w:t>
      </w:r>
    </w:p>
    <w:p w14:paraId="6114BF41" w14:textId="77777777" w:rsidR="00F0206B" w:rsidRDefault="00F0206B" w:rsidP="00F0206B">
      <w:pPr>
        <w:pStyle w:val="VVKT"/>
        <w:ind w:firstLine="0"/>
      </w:pPr>
    </w:p>
    <w:p w14:paraId="73FA138D" w14:textId="77777777" w:rsidR="00F0206B" w:rsidRPr="0059771D" w:rsidRDefault="00F0206B" w:rsidP="00F0206B">
      <w:pPr>
        <w:pStyle w:val="VVKT"/>
      </w:pPr>
      <w:r>
        <w:lastRenderedPageBreak/>
        <w:t>Apibendrinant paraiškoje pateiktus duomenis ir nesant tiesioginio palyginimo su palyginamaisiais vaistiniais preparatais, daroma išvada</w:t>
      </w:r>
      <w:r w:rsidRPr="0059771D">
        <w:t xml:space="preserve">, kad </w:t>
      </w:r>
      <w:r>
        <w:t>rimegepantas</w:t>
      </w:r>
      <w:r w:rsidRPr="0059771D">
        <w:t xml:space="preserve"> yra </w:t>
      </w:r>
      <w:r>
        <w:t xml:space="preserve">iš esmės </w:t>
      </w:r>
      <w:r w:rsidRPr="0059771D">
        <w:t xml:space="preserve">nesiskiriančio palyginamojo </w:t>
      </w:r>
      <w:r>
        <w:t>efektyvumo</w:t>
      </w:r>
      <w:r w:rsidRPr="0059771D">
        <w:t xml:space="preserve"> </w:t>
      </w:r>
      <w:r>
        <w:t>nuo</w:t>
      </w:r>
      <w:r w:rsidRPr="0059771D">
        <w:t xml:space="preserve"> erenumab</w:t>
      </w:r>
      <w:r>
        <w:t>o</w:t>
      </w:r>
      <w:r w:rsidRPr="0059771D">
        <w:t xml:space="preserve"> ir fremanezumab</w:t>
      </w:r>
      <w:r>
        <w:t xml:space="preserve">o epizodinės migrenos prevencijai. Rimegepanto klinikinis veiksmingumas vertinamas kaip </w:t>
      </w:r>
      <w:r w:rsidRPr="0059771D">
        <w:t>pagrindžiantis nesiskiriančios naudos pacientų sveikatai sukūrimą, lyginant su įprasta klinikine praktika</w:t>
      </w:r>
      <w:r>
        <w:t>.</w:t>
      </w:r>
    </w:p>
    <w:p w14:paraId="7DE09EB5" w14:textId="69E9DD74" w:rsidR="00E03C3F" w:rsidRPr="000203E1" w:rsidRDefault="00CC7832" w:rsidP="00CC09D4">
      <w:pPr>
        <w:pStyle w:val="ListParagraph"/>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7D3E34AB" w14:textId="77777777" w:rsidR="008C1E78" w:rsidRDefault="008C1E78" w:rsidP="008C1E78">
      <w:pPr>
        <w:jc w:val="both"/>
        <w:rPr>
          <w:iCs/>
          <w:color w:val="000000" w:themeColor="text1"/>
          <w:lang w:eastAsia="lt-LT"/>
        </w:rPr>
      </w:pPr>
    </w:p>
    <w:p w14:paraId="31E4E797" w14:textId="67DBFB22" w:rsidR="008C1E78" w:rsidRPr="008C1E78" w:rsidRDefault="008C1E78" w:rsidP="008C1E78">
      <w:pPr>
        <w:ind w:firstLine="720"/>
        <w:jc w:val="both"/>
        <w:rPr>
          <w:iCs/>
          <w:color w:val="000000" w:themeColor="text1"/>
          <w:lang w:eastAsia="lt-LT"/>
        </w:rPr>
      </w:pPr>
      <w:r w:rsidRPr="008C1E78">
        <w:rPr>
          <w:iCs/>
          <w:color w:val="000000" w:themeColor="text1"/>
          <w:lang w:eastAsia="lt-LT"/>
        </w:rPr>
        <w:t xml:space="preserve">Pateikta kaštų mažinimo analizė, nagrinėjant vaistinių preparatų įsigijimo kaštus. </w:t>
      </w:r>
      <w:r w:rsidRPr="00A52097">
        <w:t>Tarnyba mano, jog pilnas STV yra nebūtinas sprendimo priėmimui ir sprendimą dėl vaistinio preparato kompensavimo galima priimti remiantis VLK atliekamu įt</w:t>
      </w:r>
      <w:r>
        <w:t xml:space="preserve">akos PSDF biudžetui skaičiavimu, vis dėlto, Tarnyba atliko analizę ir </w:t>
      </w:r>
      <w:r w:rsidRPr="008C1E78">
        <w:rPr>
          <w:iCs/>
          <w:color w:val="000000" w:themeColor="text1"/>
          <w:lang w:eastAsia="lt-LT"/>
        </w:rPr>
        <w:t xml:space="preserve">perskaičiavo analizės rezultatą. Gydymas </w:t>
      </w:r>
      <w:proofErr w:type="spellStart"/>
      <w:r w:rsidRPr="008C1E78">
        <w:rPr>
          <w:iCs/>
          <w:color w:val="000000" w:themeColor="text1"/>
          <w:lang w:eastAsia="lt-LT"/>
        </w:rPr>
        <w:t>rimegepantu</w:t>
      </w:r>
      <w:proofErr w:type="spellEnd"/>
      <w:r w:rsidRPr="008C1E78">
        <w:rPr>
          <w:iCs/>
          <w:color w:val="000000" w:themeColor="text1"/>
          <w:lang w:eastAsia="lt-LT"/>
        </w:rPr>
        <w:t xml:space="preserve"> yra pigesnė gydymo alternatyva, lyginant ir su terapija </w:t>
      </w:r>
      <w:proofErr w:type="spellStart"/>
      <w:r w:rsidRPr="008C1E78">
        <w:rPr>
          <w:iCs/>
          <w:color w:val="000000" w:themeColor="text1"/>
          <w:lang w:eastAsia="lt-LT"/>
        </w:rPr>
        <w:t>erenumabu</w:t>
      </w:r>
      <w:proofErr w:type="spellEnd"/>
      <w:r w:rsidRPr="008C1E78">
        <w:rPr>
          <w:iCs/>
          <w:color w:val="000000" w:themeColor="text1"/>
          <w:lang w:eastAsia="lt-LT"/>
        </w:rPr>
        <w:t xml:space="preserve">, ir su </w:t>
      </w:r>
      <w:proofErr w:type="spellStart"/>
      <w:r w:rsidRPr="008C1E78">
        <w:rPr>
          <w:iCs/>
          <w:color w:val="000000" w:themeColor="text1"/>
          <w:lang w:eastAsia="lt-LT"/>
        </w:rPr>
        <w:t>fremanezumabu</w:t>
      </w:r>
      <w:proofErr w:type="spellEnd"/>
      <w:r w:rsidRPr="008C1E78">
        <w:rPr>
          <w:iCs/>
          <w:color w:val="000000" w:themeColor="text1"/>
          <w:lang w:eastAsia="lt-LT"/>
        </w:rPr>
        <w:t>.</w:t>
      </w:r>
    </w:p>
    <w:p w14:paraId="1A900598" w14:textId="4826E5DF" w:rsidR="00C62B36" w:rsidRPr="00164D64" w:rsidRDefault="00C62B36"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TableGrid"/>
        <w:tblW w:w="976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6"/>
        <w:gridCol w:w="1576"/>
        <w:gridCol w:w="1430"/>
        <w:gridCol w:w="1430"/>
        <w:gridCol w:w="1923"/>
        <w:gridCol w:w="1951"/>
      </w:tblGrid>
      <w:tr w:rsidR="008C1E78" w:rsidRPr="0073329D" w14:paraId="3B365961" w14:textId="77777777" w:rsidTr="004F442A">
        <w:trPr>
          <w:trHeight w:val="364"/>
          <w:jc w:val="center"/>
        </w:trPr>
        <w:tc>
          <w:tcPr>
            <w:tcW w:w="9766" w:type="dxa"/>
            <w:gridSpan w:val="6"/>
            <w:tcBorders>
              <w:top w:val="single" w:sz="12" w:space="0" w:color="auto"/>
              <w:bottom w:val="single" w:sz="4" w:space="0" w:color="auto"/>
            </w:tcBorders>
            <w:vAlign w:val="center"/>
          </w:tcPr>
          <w:p w14:paraId="68B32243" w14:textId="77777777" w:rsidR="008C1E78" w:rsidRPr="0073329D" w:rsidRDefault="008C1E78" w:rsidP="004F442A">
            <w:pPr>
              <w:tabs>
                <w:tab w:val="left" w:pos="567"/>
              </w:tabs>
              <w:jc w:val="center"/>
              <w:rPr>
                <w:b/>
                <w:i/>
                <w:iCs/>
                <w:sz w:val="22"/>
                <w:szCs w:val="22"/>
                <w:lang w:eastAsia="lt-LT"/>
              </w:rPr>
            </w:pPr>
            <w:r w:rsidRPr="0073329D">
              <w:rPr>
                <w:b/>
                <w:lang w:eastAsia="lt-LT"/>
              </w:rPr>
              <w:t>Kaštai</w:t>
            </w:r>
          </w:p>
        </w:tc>
      </w:tr>
      <w:tr w:rsidR="008C1E78" w:rsidRPr="0073329D" w14:paraId="335A800C" w14:textId="77777777" w:rsidTr="002D0018">
        <w:trPr>
          <w:jc w:val="center"/>
        </w:trPr>
        <w:tc>
          <w:tcPr>
            <w:tcW w:w="1456" w:type="dxa"/>
            <w:tcBorders>
              <w:top w:val="single" w:sz="4" w:space="0" w:color="auto"/>
              <w:bottom w:val="single" w:sz="4" w:space="0" w:color="auto"/>
            </w:tcBorders>
          </w:tcPr>
          <w:p w14:paraId="2F0FAD70" w14:textId="77777777" w:rsidR="008C1E78" w:rsidRPr="0073329D" w:rsidRDefault="008C1E78" w:rsidP="004F442A">
            <w:pPr>
              <w:tabs>
                <w:tab w:val="left" w:pos="567"/>
              </w:tabs>
              <w:jc w:val="both"/>
              <w:rPr>
                <w:lang w:eastAsia="lt-LT"/>
              </w:rPr>
            </w:pPr>
          </w:p>
        </w:tc>
        <w:tc>
          <w:tcPr>
            <w:tcW w:w="1576" w:type="dxa"/>
            <w:tcBorders>
              <w:top w:val="single" w:sz="4" w:space="0" w:color="auto"/>
              <w:bottom w:val="single" w:sz="4" w:space="0" w:color="auto"/>
            </w:tcBorders>
          </w:tcPr>
          <w:p w14:paraId="077D7B4E" w14:textId="77777777" w:rsidR="008C1E78" w:rsidRPr="0073329D" w:rsidRDefault="008C1E78" w:rsidP="004F442A">
            <w:pPr>
              <w:tabs>
                <w:tab w:val="left" w:pos="567"/>
              </w:tabs>
              <w:jc w:val="both"/>
              <w:rPr>
                <w:i/>
                <w:iCs/>
                <w:lang w:eastAsia="lt-LT"/>
              </w:rPr>
            </w:pPr>
            <w:proofErr w:type="spellStart"/>
            <w:r>
              <w:rPr>
                <w:i/>
                <w:iCs/>
                <w:lang w:eastAsia="lt-LT"/>
              </w:rPr>
              <w:t>Rimegepantas</w:t>
            </w:r>
            <w:proofErr w:type="spellEnd"/>
          </w:p>
        </w:tc>
        <w:tc>
          <w:tcPr>
            <w:tcW w:w="1430" w:type="dxa"/>
            <w:tcBorders>
              <w:top w:val="single" w:sz="4" w:space="0" w:color="auto"/>
            </w:tcBorders>
          </w:tcPr>
          <w:p w14:paraId="73F01C1A" w14:textId="77777777" w:rsidR="008C1E78" w:rsidRPr="0073329D" w:rsidRDefault="008C1E78" w:rsidP="004F442A">
            <w:pPr>
              <w:tabs>
                <w:tab w:val="left" w:pos="567"/>
              </w:tabs>
              <w:jc w:val="both"/>
              <w:rPr>
                <w:i/>
                <w:lang w:eastAsia="lt-LT"/>
              </w:rPr>
            </w:pPr>
            <w:proofErr w:type="spellStart"/>
            <w:r>
              <w:rPr>
                <w:i/>
                <w:iCs/>
                <w:lang w:eastAsia="lt-LT"/>
              </w:rPr>
              <w:t>Erenumabas</w:t>
            </w:r>
            <w:proofErr w:type="spellEnd"/>
          </w:p>
        </w:tc>
        <w:tc>
          <w:tcPr>
            <w:tcW w:w="1430" w:type="dxa"/>
            <w:tcBorders>
              <w:top w:val="single" w:sz="4" w:space="0" w:color="auto"/>
            </w:tcBorders>
          </w:tcPr>
          <w:p w14:paraId="5D72F732" w14:textId="77777777" w:rsidR="008C1E78" w:rsidRPr="0073329D" w:rsidRDefault="008C1E78" w:rsidP="004F442A">
            <w:pPr>
              <w:tabs>
                <w:tab w:val="left" w:pos="567"/>
              </w:tabs>
              <w:jc w:val="both"/>
              <w:rPr>
                <w:i/>
                <w:lang w:eastAsia="lt-LT"/>
              </w:rPr>
            </w:pPr>
            <w:proofErr w:type="spellStart"/>
            <w:r>
              <w:rPr>
                <w:i/>
                <w:lang w:eastAsia="lt-LT"/>
              </w:rPr>
              <w:t>Erenumabas</w:t>
            </w:r>
            <w:proofErr w:type="spellEnd"/>
          </w:p>
        </w:tc>
        <w:tc>
          <w:tcPr>
            <w:tcW w:w="1923" w:type="dxa"/>
            <w:tcBorders>
              <w:top w:val="single" w:sz="4" w:space="0" w:color="auto"/>
            </w:tcBorders>
          </w:tcPr>
          <w:p w14:paraId="1E822CC8" w14:textId="77777777" w:rsidR="008C1E78" w:rsidRPr="0073329D" w:rsidRDefault="008C1E78" w:rsidP="004F442A">
            <w:pPr>
              <w:tabs>
                <w:tab w:val="left" w:pos="567"/>
              </w:tabs>
              <w:jc w:val="both"/>
              <w:rPr>
                <w:i/>
                <w:lang w:eastAsia="lt-LT"/>
              </w:rPr>
            </w:pPr>
            <w:proofErr w:type="spellStart"/>
            <w:r>
              <w:rPr>
                <w:i/>
                <w:lang w:eastAsia="lt-LT"/>
              </w:rPr>
              <w:t>Fremanezumabas</w:t>
            </w:r>
            <w:proofErr w:type="spellEnd"/>
          </w:p>
        </w:tc>
        <w:tc>
          <w:tcPr>
            <w:tcW w:w="1951" w:type="dxa"/>
            <w:tcBorders>
              <w:top w:val="single" w:sz="4" w:space="0" w:color="auto"/>
            </w:tcBorders>
          </w:tcPr>
          <w:p w14:paraId="02FCB28D" w14:textId="77777777" w:rsidR="008C1E78" w:rsidRPr="0073329D" w:rsidRDefault="008C1E78" w:rsidP="004F442A">
            <w:pPr>
              <w:tabs>
                <w:tab w:val="left" w:pos="567"/>
              </w:tabs>
              <w:jc w:val="both"/>
              <w:rPr>
                <w:i/>
                <w:lang w:eastAsia="lt-LT"/>
              </w:rPr>
            </w:pPr>
            <w:proofErr w:type="spellStart"/>
            <w:r>
              <w:rPr>
                <w:i/>
                <w:lang w:eastAsia="lt-LT"/>
              </w:rPr>
              <w:t>Fremanezumabas</w:t>
            </w:r>
            <w:proofErr w:type="spellEnd"/>
          </w:p>
        </w:tc>
      </w:tr>
      <w:tr w:rsidR="008C1E78" w:rsidRPr="0073329D" w14:paraId="1BB23423" w14:textId="77777777" w:rsidTr="002D0018">
        <w:trPr>
          <w:jc w:val="center"/>
        </w:trPr>
        <w:tc>
          <w:tcPr>
            <w:tcW w:w="1456" w:type="dxa"/>
            <w:tcBorders>
              <w:top w:val="single" w:sz="4" w:space="0" w:color="auto"/>
              <w:bottom w:val="single" w:sz="4" w:space="0" w:color="auto"/>
            </w:tcBorders>
          </w:tcPr>
          <w:p w14:paraId="31EF2860" w14:textId="77777777" w:rsidR="008C1E78" w:rsidRPr="00F356A8" w:rsidRDefault="008C1E78" w:rsidP="004F442A">
            <w:pPr>
              <w:tabs>
                <w:tab w:val="left" w:pos="567"/>
              </w:tabs>
              <w:jc w:val="right"/>
              <w:rPr>
                <w:i/>
                <w:lang w:eastAsia="lt-LT"/>
              </w:rPr>
            </w:pPr>
            <w:r w:rsidRPr="00F356A8">
              <w:rPr>
                <w:i/>
                <w:lang w:eastAsia="lt-LT"/>
              </w:rPr>
              <w:t>dozė</w:t>
            </w:r>
          </w:p>
        </w:tc>
        <w:tc>
          <w:tcPr>
            <w:tcW w:w="1576" w:type="dxa"/>
            <w:tcBorders>
              <w:top w:val="single" w:sz="4" w:space="0" w:color="auto"/>
              <w:bottom w:val="single" w:sz="4" w:space="0" w:color="auto"/>
            </w:tcBorders>
          </w:tcPr>
          <w:p w14:paraId="3EECB774" w14:textId="77777777" w:rsidR="008C1E78" w:rsidRDefault="008C1E78" w:rsidP="004F442A">
            <w:pPr>
              <w:tabs>
                <w:tab w:val="left" w:pos="567"/>
              </w:tabs>
              <w:jc w:val="both"/>
              <w:rPr>
                <w:i/>
                <w:iCs/>
                <w:lang w:eastAsia="lt-LT"/>
              </w:rPr>
            </w:pPr>
            <w:r>
              <w:rPr>
                <w:i/>
                <w:iCs/>
                <w:lang w:eastAsia="lt-LT"/>
              </w:rPr>
              <w:t>75 mg kas antrą dieną</w:t>
            </w:r>
          </w:p>
        </w:tc>
        <w:tc>
          <w:tcPr>
            <w:tcW w:w="1430" w:type="dxa"/>
            <w:tcBorders>
              <w:top w:val="single" w:sz="4" w:space="0" w:color="auto"/>
            </w:tcBorders>
          </w:tcPr>
          <w:p w14:paraId="1A46A90C" w14:textId="77777777" w:rsidR="008C1E78" w:rsidRDefault="008C1E78" w:rsidP="004F442A">
            <w:pPr>
              <w:tabs>
                <w:tab w:val="left" w:pos="567"/>
              </w:tabs>
              <w:jc w:val="both"/>
              <w:rPr>
                <w:i/>
                <w:iCs/>
                <w:lang w:eastAsia="lt-LT"/>
              </w:rPr>
            </w:pPr>
            <w:r>
              <w:rPr>
                <w:i/>
                <w:iCs/>
                <w:lang w:eastAsia="lt-LT"/>
              </w:rPr>
              <w:t>140 mg kas 4 sav.</w:t>
            </w:r>
          </w:p>
        </w:tc>
        <w:tc>
          <w:tcPr>
            <w:tcW w:w="1430" w:type="dxa"/>
            <w:tcBorders>
              <w:top w:val="single" w:sz="4" w:space="0" w:color="auto"/>
            </w:tcBorders>
          </w:tcPr>
          <w:p w14:paraId="23CFE4E9" w14:textId="77777777" w:rsidR="008C1E78" w:rsidRDefault="008C1E78" w:rsidP="004F442A">
            <w:pPr>
              <w:tabs>
                <w:tab w:val="left" w:pos="567"/>
              </w:tabs>
              <w:jc w:val="both"/>
              <w:rPr>
                <w:i/>
                <w:lang w:eastAsia="lt-LT"/>
              </w:rPr>
            </w:pPr>
            <w:r>
              <w:rPr>
                <w:i/>
                <w:lang w:eastAsia="lt-LT"/>
              </w:rPr>
              <w:t>70 mg kas 4 sav.</w:t>
            </w:r>
          </w:p>
        </w:tc>
        <w:tc>
          <w:tcPr>
            <w:tcW w:w="1923" w:type="dxa"/>
            <w:tcBorders>
              <w:top w:val="single" w:sz="4" w:space="0" w:color="auto"/>
            </w:tcBorders>
          </w:tcPr>
          <w:p w14:paraId="798D9748" w14:textId="77777777" w:rsidR="008C1E78" w:rsidRDefault="008C1E78" w:rsidP="004F442A">
            <w:pPr>
              <w:tabs>
                <w:tab w:val="left" w:pos="567"/>
              </w:tabs>
              <w:jc w:val="both"/>
              <w:rPr>
                <w:i/>
                <w:lang w:eastAsia="lt-LT"/>
              </w:rPr>
            </w:pPr>
            <w:r>
              <w:rPr>
                <w:i/>
                <w:lang w:eastAsia="lt-LT"/>
              </w:rPr>
              <w:t>225 mg kartą per mėnesį</w:t>
            </w:r>
          </w:p>
        </w:tc>
        <w:tc>
          <w:tcPr>
            <w:tcW w:w="1951" w:type="dxa"/>
            <w:tcBorders>
              <w:top w:val="single" w:sz="4" w:space="0" w:color="auto"/>
            </w:tcBorders>
          </w:tcPr>
          <w:p w14:paraId="47F1A0CA" w14:textId="77777777" w:rsidR="008C1E78" w:rsidRDefault="008C1E78" w:rsidP="004F442A">
            <w:pPr>
              <w:tabs>
                <w:tab w:val="left" w:pos="567"/>
              </w:tabs>
              <w:jc w:val="both"/>
              <w:rPr>
                <w:i/>
                <w:lang w:eastAsia="lt-LT"/>
              </w:rPr>
            </w:pPr>
            <w:r>
              <w:rPr>
                <w:i/>
                <w:lang w:eastAsia="lt-LT"/>
              </w:rPr>
              <w:t>675 mg kartą per 3 mėn.</w:t>
            </w:r>
          </w:p>
        </w:tc>
      </w:tr>
      <w:tr w:rsidR="002D0018" w:rsidRPr="0073329D" w14:paraId="7CF753B4" w14:textId="77777777" w:rsidTr="002D0018">
        <w:trPr>
          <w:jc w:val="center"/>
        </w:trPr>
        <w:tc>
          <w:tcPr>
            <w:tcW w:w="1456" w:type="dxa"/>
            <w:tcBorders>
              <w:top w:val="single" w:sz="4" w:space="0" w:color="auto"/>
              <w:bottom w:val="single" w:sz="4" w:space="0" w:color="auto"/>
            </w:tcBorders>
          </w:tcPr>
          <w:p w14:paraId="1E86D285" w14:textId="77777777" w:rsidR="002D0018" w:rsidRPr="0073329D" w:rsidRDefault="002D0018" w:rsidP="002D0018">
            <w:pPr>
              <w:tabs>
                <w:tab w:val="left" w:pos="567"/>
              </w:tabs>
              <w:rPr>
                <w:iCs/>
                <w:lang w:eastAsia="lt-LT"/>
              </w:rPr>
            </w:pPr>
            <w:bookmarkStart w:id="0" w:name="_GoBack" w:colFirst="1" w:colLast="5"/>
            <w:r w:rsidRPr="0073329D">
              <w:rPr>
                <w:iCs/>
                <w:lang w:eastAsia="lt-LT"/>
              </w:rPr>
              <w:t>Vaistinių preparatų įsigijimo kaštai</w:t>
            </w:r>
          </w:p>
        </w:tc>
        <w:tc>
          <w:tcPr>
            <w:tcW w:w="1576" w:type="dxa"/>
            <w:tcBorders>
              <w:top w:val="single" w:sz="4" w:space="0" w:color="auto"/>
              <w:bottom w:val="single" w:sz="4" w:space="0" w:color="auto"/>
            </w:tcBorders>
          </w:tcPr>
          <w:p w14:paraId="35470DD0" w14:textId="29E7D861" w:rsidR="002D0018" w:rsidRPr="0073329D" w:rsidRDefault="002D0018" w:rsidP="002D0018">
            <w:pPr>
              <w:tabs>
                <w:tab w:val="left" w:pos="567"/>
              </w:tabs>
              <w:jc w:val="both"/>
              <w:rPr>
                <w:i/>
                <w:iCs/>
                <w:lang w:eastAsia="lt-LT"/>
              </w:rPr>
            </w:pPr>
            <w:r w:rsidRPr="001F051E">
              <w:rPr>
                <w:bCs/>
                <w:i/>
                <w:caps/>
              </w:rPr>
              <w:t xml:space="preserve"> ******</w:t>
            </w:r>
          </w:p>
        </w:tc>
        <w:tc>
          <w:tcPr>
            <w:tcW w:w="1430" w:type="dxa"/>
          </w:tcPr>
          <w:p w14:paraId="01E9A1B5" w14:textId="527B1386" w:rsidR="002D0018" w:rsidRPr="0073329D" w:rsidRDefault="002D0018" w:rsidP="002D0018">
            <w:pPr>
              <w:tabs>
                <w:tab w:val="left" w:pos="567"/>
              </w:tabs>
              <w:jc w:val="both"/>
              <w:rPr>
                <w:lang w:eastAsia="lt-LT"/>
              </w:rPr>
            </w:pPr>
            <w:r w:rsidRPr="001F051E">
              <w:rPr>
                <w:bCs/>
                <w:i/>
                <w:caps/>
              </w:rPr>
              <w:t xml:space="preserve"> ******</w:t>
            </w:r>
          </w:p>
        </w:tc>
        <w:tc>
          <w:tcPr>
            <w:tcW w:w="1430" w:type="dxa"/>
          </w:tcPr>
          <w:p w14:paraId="7AED589E" w14:textId="0FA6E51E" w:rsidR="002D0018" w:rsidRPr="0073329D" w:rsidRDefault="002D0018" w:rsidP="002D0018">
            <w:pPr>
              <w:tabs>
                <w:tab w:val="left" w:pos="567"/>
              </w:tabs>
              <w:jc w:val="both"/>
              <w:rPr>
                <w:lang w:eastAsia="lt-LT"/>
              </w:rPr>
            </w:pPr>
            <w:r w:rsidRPr="001F051E">
              <w:rPr>
                <w:bCs/>
                <w:i/>
                <w:caps/>
              </w:rPr>
              <w:t xml:space="preserve"> ******</w:t>
            </w:r>
          </w:p>
        </w:tc>
        <w:tc>
          <w:tcPr>
            <w:tcW w:w="1923" w:type="dxa"/>
          </w:tcPr>
          <w:p w14:paraId="7E6DAA9F" w14:textId="76ED5D23" w:rsidR="002D0018" w:rsidRPr="0073329D" w:rsidRDefault="002D0018" w:rsidP="002D0018">
            <w:pPr>
              <w:tabs>
                <w:tab w:val="left" w:pos="567"/>
              </w:tabs>
              <w:jc w:val="both"/>
              <w:rPr>
                <w:lang w:eastAsia="lt-LT"/>
              </w:rPr>
            </w:pPr>
            <w:r w:rsidRPr="001F051E">
              <w:rPr>
                <w:bCs/>
                <w:i/>
                <w:caps/>
              </w:rPr>
              <w:t xml:space="preserve"> ******</w:t>
            </w:r>
          </w:p>
        </w:tc>
        <w:tc>
          <w:tcPr>
            <w:tcW w:w="1951" w:type="dxa"/>
          </w:tcPr>
          <w:p w14:paraId="50378508" w14:textId="040B7BB8" w:rsidR="002D0018" w:rsidRPr="0073329D" w:rsidRDefault="002D0018" w:rsidP="002D0018">
            <w:pPr>
              <w:tabs>
                <w:tab w:val="left" w:pos="567"/>
              </w:tabs>
              <w:jc w:val="both"/>
              <w:rPr>
                <w:lang w:eastAsia="lt-LT"/>
              </w:rPr>
            </w:pPr>
            <w:r w:rsidRPr="001F051E">
              <w:rPr>
                <w:bCs/>
                <w:i/>
                <w:caps/>
              </w:rPr>
              <w:t xml:space="preserve"> ******</w:t>
            </w:r>
          </w:p>
        </w:tc>
      </w:tr>
      <w:tr w:rsidR="002D0018" w:rsidRPr="0073329D" w14:paraId="1C744B61" w14:textId="77777777" w:rsidTr="002D0018">
        <w:trPr>
          <w:jc w:val="center"/>
        </w:trPr>
        <w:tc>
          <w:tcPr>
            <w:tcW w:w="1456" w:type="dxa"/>
            <w:tcBorders>
              <w:top w:val="single" w:sz="4" w:space="0" w:color="auto"/>
              <w:bottom w:val="single" w:sz="4" w:space="0" w:color="auto"/>
            </w:tcBorders>
          </w:tcPr>
          <w:p w14:paraId="37530B64" w14:textId="77777777" w:rsidR="002D0018" w:rsidRPr="00F356A8" w:rsidRDefault="002D0018" w:rsidP="002D0018">
            <w:pPr>
              <w:tabs>
                <w:tab w:val="left" w:pos="567"/>
              </w:tabs>
              <w:jc w:val="right"/>
              <w:rPr>
                <w:b/>
                <w:i/>
                <w:iCs/>
                <w:lang w:eastAsia="lt-LT"/>
              </w:rPr>
            </w:pPr>
            <w:r w:rsidRPr="00F356A8">
              <w:rPr>
                <w:b/>
                <w:i/>
                <w:iCs/>
                <w:lang w:eastAsia="lt-LT"/>
              </w:rPr>
              <w:t xml:space="preserve">Skirtumas su </w:t>
            </w:r>
            <w:proofErr w:type="spellStart"/>
            <w:r w:rsidRPr="00F356A8">
              <w:rPr>
                <w:b/>
                <w:i/>
                <w:iCs/>
                <w:lang w:eastAsia="lt-LT"/>
              </w:rPr>
              <w:t>rimegepanto</w:t>
            </w:r>
            <w:proofErr w:type="spellEnd"/>
            <w:r w:rsidRPr="00F356A8">
              <w:rPr>
                <w:b/>
                <w:i/>
                <w:iCs/>
                <w:lang w:eastAsia="lt-LT"/>
              </w:rPr>
              <w:t xml:space="preserve"> gydymo kaštais</w:t>
            </w:r>
          </w:p>
        </w:tc>
        <w:tc>
          <w:tcPr>
            <w:tcW w:w="1576" w:type="dxa"/>
            <w:tcBorders>
              <w:top w:val="single" w:sz="4" w:space="0" w:color="auto"/>
              <w:bottom w:val="single" w:sz="4" w:space="0" w:color="auto"/>
            </w:tcBorders>
          </w:tcPr>
          <w:p w14:paraId="07E8BD7E" w14:textId="3AB1A86B" w:rsidR="002D0018" w:rsidRDefault="002D0018" w:rsidP="002D0018">
            <w:pPr>
              <w:tabs>
                <w:tab w:val="left" w:pos="567"/>
              </w:tabs>
              <w:jc w:val="both"/>
              <w:rPr>
                <w:i/>
                <w:iCs/>
                <w:lang w:eastAsia="lt-LT"/>
              </w:rPr>
            </w:pPr>
            <w:r w:rsidRPr="001F051E">
              <w:rPr>
                <w:bCs/>
                <w:i/>
                <w:caps/>
              </w:rPr>
              <w:t xml:space="preserve"> ******</w:t>
            </w:r>
          </w:p>
        </w:tc>
        <w:tc>
          <w:tcPr>
            <w:tcW w:w="1430" w:type="dxa"/>
            <w:tcBorders>
              <w:bottom w:val="single" w:sz="4" w:space="0" w:color="auto"/>
            </w:tcBorders>
          </w:tcPr>
          <w:p w14:paraId="06BA4D2A" w14:textId="282DA8CE" w:rsidR="002D0018" w:rsidRPr="00F356A8" w:rsidRDefault="002D0018" w:rsidP="002D0018">
            <w:pPr>
              <w:tabs>
                <w:tab w:val="left" w:pos="567"/>
              </w:tabs>
              <w:jc w:val="both"/>
              <w:rPr>
                <w:b/>
                <w:lang w:eastAsia="lt-LT"/>
              </w:rPr>
            </w:pPr>
            <w:r w:rsidRPr="001F051E">
              <w:rPr>
                <w:bCs/>
                <w:i/>
                <w:caps/>
              </w:rPr>
              <w:t xml:space="preserve"> ******</w:t>
            </w:r>
          </w:p>
        </w:tc>
        <w:tc>
          <w:tcPr>
            <w:tcW w:w="1430" w:type="dxa"/>
            <w:tcBorders>
              <w:bottom w:val="single" w:sz="4" w:space="0" w:color="auto"/>
            </w:tcBorders>
          </w:tcPr>
          <w:p w14:paraId="342EF530" w14:textId="5C930C82" w:rsidR="002D0018" w:rsidRPr="00F356A8" w:rsidRDefault="002D0018" w:rsidP="002D0018">
            <w:pPr>
              <w:tabs>
                <w:tab w:val="left" w:pos="567"/>
              </w:tabs>
              <w:jc w:val="both"/>
              <w:rPr>
                <w:b/>
                <w:lang w:eastAsia="lt-LT"/>
              </w:rPr>
            </w:pPr>
            <w:r w:rsidRPr="001F051E">
              <w:rPr>
                <w:bCs/>
                <w:i/>
                <w:caps/>
              </w:rPr>
              <w:t xml:space="preserve"> ******</w:t>
            </w:r>
          </w:p>
        </w:tc>
        <w:tc>
          <w:tcPr>
            <w:tcW w:w="1923" w:type="dxa"/>
            <w:tcBorders>
              <w:bottom w:val="single" w:sz="4" w:space="0" w:color="auto"/>
            </w:tcBorders>
          </w:tcPr>
          <w:p w14:paraId="0880FD5F" w14:textId="24C12E81" w:rsidR="002D0018" w:rsidRPr="00F356A8" w:rsidRDefault="002D0018" w:rsidP="002D0018">
            <w:pPr>
              <w:tabs>
                <w:tab w:val="left" w:pos="567"/>
              </w:tabs>
              <w:jc w:val="both"/>
              <w:rPr>
                <w:b/>
                <w:lang w:eastAsia="lt-LT"/>
              </w:rPr>
            </w:pPr>
            <w:r w:rsidRPr="001F051E">
              <w:rPr>
                <w:bCs/>
                <w:i/>
                <w:caps/>
              </w:rPr>
              <w:t xml:space="preserve"> ******</w:t>
            </w:r>
          </w:p>
        </w:tc>
        <w:tc>
          <w:tcPr>
            <w:tcW w:w="1951" w:type="dxa"/>
            <w:tcBorders>
              <w:bottom w:val="single" w:sz="4" w:space="0" w:color="auto"/>
            </w:tcBorders>
          </w:tcPr>
          <w:p w14:paraId="5784CB33" w14:textId="61106404" w:rsidR="002D0018" w:rsidRPr="00F356A8" w:rsidRDefault="002D0018" w:rsidP="002D0018">
            <w:pPr>
              <w:tabs>
                <w:tab w:val="left" w:pos="567"/>
              </w:tabs>
              <w:jc w:val="both"/>
              <w:rPr>
                <w:b/>
                <w:lang w:eastAsia="lt-LT"/>
              </w:rPr>
            </w:pPr>
            <w:r w:rsidRPr="001F051E">
              <w:rPr>
                <w:bCs/>
                <w:i/>
                <w:caps/>
              </w:rPr>
              <w:t xml:space="preserve"> ******</w:t>
            </w:r>
          </w:p>
        </w:tc>
      </w:tr>
      <w:bookmarkEnd w:id="0"/>
    </w:tbl>
    <w:p w14:paraId="33875138" w14:textId="77777777" w:rsidR="0035172D" w:rsidRPr="000203E1" w:rsidRDefault="0035172D" w:rsidP="00A93AA6">
      <w:pPr>
        <w:tabs>
          <w:tab w:val="left" w:pos="426"/>
        </w:tabs>
        <w:rPr>
          <w:b/>
          <w:bCs/>
          <w:caps/>
        </w:rPr>
      </w:pPr>
    </w:p>
    <w:p w14:paraId="4FC424F9" w14:textId="4E767245" w:rsidR="00C62B36" w:rsidRPr="000203E1" w:rsidRDefault="00C62B36" w:rsidP="00CC09D4">
      <w:pPr>
        <w:pStyle w:val="ListParagraph"/>
        <w:numPr>
          <w:ilvl w:val="0"/>
          <w:numId w:val="12"/>
        </w:numPr>
        <w:tabs>
          <w:tab w:val="left" w:pos="567"/>
        </w:tabs>
        <w:ind w:hanging="720"/>
        <w:rPr>
          <w:b/>
          <w:bCs/>
          <w:caps/>
        </w:rPr>
      </w:pPr>
      <w:r w:rsidRPr="000203E1">
        <w:rPr>
          <w:b/>
          <w:bCs/>
          <w:caps/>
        </w:rPr>
        <w:t xml:space="preserve">Pacientų organizacijų pateikti duomenys </w:t>
      </w:r>
    </w:p>
    <w:p w14:paraId="79BCFF40" w14:textId="1992DF4A" w:rsidR="00937907" w:rsidRPr="000203E1" w:rsidRDefault="002D0018"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 Žr. priedą.</w:t>
      </w:r>
    </w:p>
    <w:p w14:paraId="62992180" w14:textId="5C1F5870" w:rsidR="00937907" w:rsidRPr="000203E1" w:rsidRDefault="002D0018"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A228AB">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937907">
      <w:pPr>
        <w:spacing w:after="120"/>
        <w:jc w:val="both"/>
      </w:pPr>
    </w:p>
    <w:p w14:paraId="3D3277FA" w14:textId="3CEEB2D2" w:rsidR="00C62B36" w:rsidRPr="000203E1" w:rsidRDefault="00C62B36" w:rsidP="00CC09D4">
      <w:pPr>
        <w:pStyle w:val="ListParagraph"/>
        <w:numPr>
          <w:ilvl w:val="0"/>
          <w:numId w:val="12"/>
        </w:numPr>
        <w:tabs>
          <w:tab w:val="left" w:pos="567"/>
        </w:tabs>
        <w:ind w:hanging="720"/>
        <w:rPr>
          <w:b/>
          <w:bCs/>
          <w:caps/>
        </w:rPr>
      </w:pPr>
      <w:r w:rsidRPr="000203E1">
        <w:rPr>
          <w:b/>
          <w:bCs/>
          <w:caps/>
        </w:rPr>
        <w:t>Gydytojų organizacijų pateikti duomenys</w:t>
      </w:r>
    </w:p>
    <w:p w14:paraId="389A346C" w14:textId="17184B64" w:rsidR="00937907" w:rsidRPr="000203E1" w:rsidRDefault="002D0018"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pateikta. </w:t>
      </w:r>
      <w:r w:rsidR="00662983" w:rsidRPr="000203E1">
        <w:t>Žr. priedą</w:t>
      </w:r>
      <w:r w:rsidR="00937907" w:rsidRPr="000203E1">
        <w:t>.</w:t>
      </w:r>
    </w:p>
    <w:p w14:paraId="5D8CC48C" w14:textId="7ACA271E" w:rsidR="00662983" w:rsidRPr="000203E1" w:rsidRDefault="002D0018"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A228AB">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ListParagraph"/>
        <w:numPr>
          <w:ilvl w:val="0"/>
          <w:numId w:val="12"/>
        </w:numPr>
        <w:tabs>
          <w:tab w:val="left" w:pos="567"/>
        </w:tabs>
        <w:ind w:hanging="720"/>
        <w:rPr>
          <w:b/>
          <w:bCs/>
          <w:caps/>
        </w:rPr>
      </w:pPr>
      <w:r w:rsidRPr="000203E1">
        <w:rPr>
          <w:b/>
          <w:bCs/>
          <w:caps/>
        </w:rPr>
        <w:t xml:space="preserve">Išvada </w:t>
      </w:r>
    </w:p>
    <w:p w14:paraId="08D5B3B6" w14:textId="5B1818ED" w:rsidR="0061611B" w:rsidRPr="000203E1" w:rsidRDefault="0061611B" w:rsidP="0061611B">
      <w:pPr>
        <w:rPr>
          <w:i/>
          <w:szCs w:val="22"/>
        </w:rPr>
      </w:pPr>
    </w:p>
    <w:tbl>
      <w:tblPr>
        <w:tblStyle w:val="TableGrid"/>
        <w:tblW w:w="0" w:type="auto"/>
        <w:tblLook w:val="04A0" w:firstRow="1" w:lastRow="0" w:firstColumn="1" w:lastColumn="0" w:noHBand="0" w:noVBand="1"/>
      </w:tblPr>
      <w:tblGrid>
        <w:gridCol w:w="4815"/>
        <w:gridCol w:w="4814"/>
      </w:tblGrid>
      <w:tr w:rsidR="000203E1" w:rsidRPr="000203E1" w14:paraId="25A2473E" w14:textId="77777777" w:rsidTr="00C16245">
        <w:trPr>
          <w:trHeight w:val="510"/>
        </w:trPr>
        <w:tc>
          <w:tcPr>
            <w:tcW w:w="4815" w:type="dxa"/>
            <w:vAlign w:val="center"/>
          </w:tcPr>
          <w:p w14:paraId="7EFE6941" w14:textId="23B8BB6D"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Rekomenduojama kompensuoti</w:t>
            </w:r>
          </w:p>
        </w:tc>
        <w:tc>
          <w:tcPr>
            <w:tcW w:w="4814" w:type="dxa"/>
            <w:vAlign w:val="center"/>
          </w:tcPr>
          <w:p w14:paraId="330A1A5E" w14:textId="19247DC1"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 xml:space="preserve">Rekomenduojama nekompensuoti </w:t>
            </w:r>
          </w:p>
        </w:tc>
      </w:tr>
      <w:tr w:rsidR="000203E1" w:rsidRPr="000203E1" w14:paraId="143A7356" w14:textId="77777777" w:rsidTr="00C16245">
        <w:trPr>
          <w:trHeight w:val="510"/>
        </w:trPr>
        <w:tc>
          <w:tcPr>
            <w:tcW w:w="9629" w:type="dxa"/>
            <w:gridSpan w:val="2"/>
            <w:vAlign w:val="center"/>
          </w:tcPr>
          <w:p w14:paraId="0AF5D6B4" w14:textId="6D8B6C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Palyginamasis efektyvumas</w:t>
            </w:r>
          </w:p>
        </w:tc>
      </w:tr>
      <w:tr w:rsidR="000203E1" w:rsidRPr="000203E1" w14:paraId="28A0C814" w14:textId="77777777" w:rsidTr="0061611B">
        <w:tc>
          <w:tcPr>
            <w:tcW w:w="4815" w:type="dxa"/>
          </w:tcPr>
          <w:p w14:paraId="216769B5" w14:textId="4C6450F4" w:rsidR="00B13D65"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32.1. yra didesnis</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36492A5E" w:rsidR="00B13D65" w:rsidRPr="000203E1" w:rsidRDefault="002D0018" w:rsidP="008C1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A228AB">
                  <w:rPr>
                    <w:rStyle w:val="Style2"/>
                    <w:rFonts w:ascii="MS Gothic" w:eastAsia="MS Gothic" w:hAnsi="MS Gothic" w:hint="eastAsia"/>
                    <w:sz w:val="24"/>
                  </w:rPr>
                  <w:t>☒</w:t>
                </w:r>
              </w:sdtContent>
            </w:sdt>
            <w:r w:rsidR="00B13D65" w:rsidRPr="000203E1">
              <w:t xml:space="preserve"> 32.1. iš esmės nesiskiria</w:t>
            </w:r>
          </w:p>
        </w:tc>
        <w:tc>
          <w:tcPr>
            <w:tcW w:w="4814" w:type="dxa"/>
          </w:tcPr>
          <w:p w14:paraId="507828D9" w14:textId="39F73A05" w:rsidR="00B13D65"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yra mažesnis</w:t>
            </w:r>
          </w:p>
          <w:p w14:paraId="7F95DEEC"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7C8978D" w:rsidR="00662983"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yra neįrodytas kaip toks pat</w:t>
            </w:r>
          </w:p>
          <w:p w14:paraId="35205E8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5BF4C127" w:rsidR="00B13D65"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0203E1">
                  <w:rPr>
                    <w:rStyle w:val="Style2"/>
                    <w:rFonts w:ascii="Segoe UI Symbol" w:eastAsia="MS Gothic" w:hAnsi="Segoe UI Symbol" w:cs="Segoe UI Symbol"/>
                    <w:sz w:val="24"/>
                  </w:rPr>
                  <w:t>☐</w:t>
                </w:r>
              </w:sdtContent>
            </w:sdt>
            <w:r w:rsidR="00662983" w:rsidRPr="000203E1">
              <w:t xml:space="preserve"> 33.1 </w:t>
            </w:r>
            <w:r w:rsidR="00B00959" w:rsidRPr="000203E1">
              <w:t xml:space="preserve">yra </w:t>
            </w:r>
            <w:r w:rsidR="008C1E78">
              <w:t>neįrodytas kaip didesnis</w:t>
            </w:r>
          </w:p>
          <w:p w14:paraId="512E653B"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pateikti duomenys apie palyginamąjį efektyvumą yra netinkami vertinti</w:t>
            </w:r>
          </w:p>
          <w:p w14:paraId="5DDAA96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61CC3FE" w14:textId="77777777" w:rsidTr="00C16245">
        <w:trPr>
          <w:trHeight w:val="510"/>
        </w:trPr>
        <w:tc>
          <w:tcPr>
            <w:tcW w:w="9629" w:type="dxa"/>
            <w:gridSpan w:val="2"/>
            <w:vAlign w:val="center"/>
          </w:tcPr>
          <w:p w14:paraId="1AB46894" w14:textId="3E765638"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lastRenderedPageBreak/>
              <w:t>Klinikinis veiksmingumas</w:t>
            </w:r>
          </w:p>
        </w:tc>
      </w:tr>
      <w:tr w:rsidR="000203E1" w:rsidRPr="000203E1" w14:paraId="3C60570A" w14:textId="77777777" w:rsidTr="0061611B">
        <w:tc>
          <w:tcPr>
            <w:tcW w:w="4815" w:type="dxa"/>
          </w:tcPr>
          <w:p w14:paraId="6897B306" w14:textId="70C15EA4" w:rsidR="00B13D65"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32.2. yra įvertintas kaip pagrindžiantis papildomos naudos pacientų sveikatai sukūrimą, lyginant su įprasta klinikine praktika</w:t>
            </w:r>
          </w:p>
          <w:p w14:paraId="71D5710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645E0563" w:rsidR="00B13D65"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A228AB">
                  <w:rPr>
                    <w:rStyle w:val="Style2"/>
                    <w:rFonts w:ascii="MS Gothic" w:eastAsia="MS Gothic" w:hAnsi="MS Gothic" w:hint="eastAsia"/>
                    <w:sz w:val="24"/>
                  </w:rPr>
                  <w:t>☒</w:t>
                </w:r>
              </w:sdtContent>
            </w:sdt>
            <w:r w:rsidR="00B13D65" w:rsidRPr="000203E1">
              <w:t xml:space="preserve"> 32.2. </w:t>
            </w:r>
            <w:r w:rsidR="00B00959" w:rsidRPr="000203E1">
              <w:t xml:space="preserve">yra </w:t>
            </w:r>
            <w:r w:rsidR="00B13D65" w:rsidRPr="000203E1">
              <w:t>įvertintas kaip pagrindžiantis nesiskiriančios naudos pacientų sveikatai sukūrimą, lyginant su įprasta klinikine praktika</w:t>
            </w:r>
          </w:p>
          <w:p w14:paraId="287AD233"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0203E1" w:rsidRDefault="002D0018"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yra įvertintas kaip nepagrindžiantis papildomos </w:t>
            </w:r>
            <w:r w:rsidR="00662983" w:rsidRPr="000203E1">
              <w:t>naudos pacientų sveikatai sukūrimo, lyginant su  įprasta klinikine praktika</w:t>
            </w:r>
          </w:p>
          <w:p w14:paraId="6C70BCFC" w14:textId="77777777" w:rsidR="00662983" w:rsidRPr="000203E1" w:rsidRDefault="00662983" w:rsidP="00BD1E5A">
            <w:pPr>
              <w:jc w:val="both"/>
            </w:pPr>
          </w:p>
          <w:p w14:paraId="0ADEC30D" w14:textId="1353964F" w:rsidR="00B13D65" w:rsidRPr="000203E1" w:rsidRDefault="002D0018"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0203E1">
                  <w:rPr>
                    <w:rStyle w:val="Style2"/>
                    <w:rFonts w:ascii="Segoe UI Symbol" w:eastAsia="MS Gothic" w:hAnsi="Segoe UI Symbol" w:cs="Segoe UI Symbol"/>
                    <w:sz w:val="24"/>
                  </w:rPr>
                  <w:t>☐</w:t>
                </w:r>
              </w:sdtContent>
            </w:sdt>
            <w:r w:rsidR="00B13D65" w:rsidRPr="000203E1">
              <w:t xml:space="preserve"> </w:t>
            </w:r>
            <w:r w:rsidR="00662983" w:rsidRPr="000203E1">
              <w:t xml:space="preserve">33.1. </w:t>
            </w:r>
            <w:r w:rsidR="00B00959" w:rsidRPr="000203E1">
              <w:t xml:space="preserve">yra įvertintas kaip nepagrindžiantis </w:t>
            </w:r>
            <w:r w:rsidR="00B13D65" w:rsidRPr="000203E1">
              <w:t>nesiskiriančios naudos pacientų sveikatai sukūrimo, lyginant su įprasta klinikine praktika</w:t>
            </w:r>
          </w:p>
          <w:p w14:paraId="1EED790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7982AA4D" w:rsidR="00B13D65"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0203E1">
                  <w:rPr>
                    <w:rStyle w:val="Style2"/>
                    <w:rFonts w:ascii="MS Gothic" w:eastAsia="MS Gothic" w:hAnsi="MS Gothic" w:hint="eastAsia"/>
                    <w:sz w:val="24"/>
                  </w:rPr>
                  <w:t>☐</w:t>
                </w:r>
              </w:sdtContent>
            </w:sdt>
            <w:r w:rsidR="00B13D65" w:rsidRPr="000203E1">
              <w:t xml:space="preserve"> 32.3. atitink</w:t>
            </w:r>
            <w:r w:rsidR="008C1E78">
              <w:t xml:space="preserve">a referencinę naudingumo vertę, </w:t>
            </w:r>
            <w:r w:rsidR="00B13D65" w:rsidRPr="000203E1">
              <w:t>taikant</w:t>
            </w:r>
            <w:r w:rsidR="00662983" w:rsidRPr="000203E1">
              <w:t xml:space="preserve"> PGS</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716339C9" w:rsidR="00B13D65"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1"/>
                  <w14:checkedState w14:val="2612" w14:font="MS Gothic"/>
                  <w14:uncheckedState w14:val="2610" w14:font="MS Gothic"/>
                </w14:checkbox>
              </w:sdtPr>
              <w:sdtEndPr>
                <w:rPr>
                  <w:rStyle w:val="Style2"/>
                </w:rPr>
              </w:sdtEndPr>
              <w:sdtContent>
                <w:r w:rsidR="008C1E78">
                  <w:rPr>
                    <w:rStyle w:val="Style2"/>
                    <w:rFonts w:ascii="MS Gothic" w:eastAsia="MS Gothic" w:hAnsi="MS Gothic" w:hint="eastAsia"/>
                    <w:sz w:val="24"/>
                  </w:rPr>
                  <w:t>☒</w:t>
                </w:r>
              </w:sdtContent>
            </w:sdt>
            <w:r w:rsidR="00B13D65" w:rsidRPr="000203E1">
              <w:t xml:space="preserve"> 32.3. gydymo juo kaštai yra mažesni ar tokie patys esant iš esmės nesiskiriančiam palyginamajam efektyvumui, taikant </w:t>
            </w:r>
            <w:r w:rsidR="008C1E78">
              <w:t>PGS</w:t>
            </w:r>
            <w:r w:rsidR="00B00959" w:rsidRPr="000203E1">
              <w:t>, lyginant su įprasta klinikine praktika</w:t>
            </w:r>
          </w:p>
          <w:p w14:paraId="25E4BD1E"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33.3. neatitinka referencinės naudingumo vertės Lietuvos Respublikoje</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0CCE8175" w:rsidR="00B13D65"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33.3. gydymo juo kaštai yra didesni esant iš esmės nesiskiriančiam palyginamajam efektyvumui, taikant</w:t>
            </w:r>
            <w:r w:rsidR="00662983" w:rsidRPr="000203E1">
              <w:t xml:space="preserve"> PGS</w:t>
            </w:r>
            <w:r w:rsidR="008C1E78">
              <w:t>,</w:t>
            </w:r>
            <w:r w:rsidR="00B00959" w:rsidRPr="000203E1">
              <w:t xml:space="preserve"> lyginant su įprasta klinikine praktika</w:t>
            </w:r>
          </w:p>
          <w:p w14:paraId="4A9C7D2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0203E1" w:rsidRDefault="002D001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33.3.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0203E1" w:rsidRDefault="004A3A61" w:rsidP="00381024"/>
    <w:p w14:paraId="1B85C083" w14:textId="77777777" w:rsidR="009E44AE" w:rsidRPr="000203E1" w:rsidRDefault="009E44AE" w:rsidP="00381024"/>
    <w:p w14:paraId="3B2D1F25" w14:textId="3A80E19F" w:rsidR="000001B0" w:rsidRPr="000203E1" w:rsidRDefault="000001B0" w:rsidP="00CC09D4">
      <w:pPr>
        <w:pStyle w:val="ListParagraph"/>
        <w:numPr>
          <w:ilvl w:val="0"/>
          <w:numId w:val="12"/>
        </w:numPr>
        <w:ind w:left="567" w:hanging="567"/>
      </w:pPr>
      <w:r w:rsidRPr="000203E1">
        <w:rPr>
          <w:b/>
        </w:rPr>
        <w:t>REKOME</w:t>
      </w:r>
      <w:r w:rsidR="00D83182" w:rsidRPr="000203E1">
        <w:rPr>
          <w:b/>
        </w:rPr>
        <w:t>N</w:t>
      </w:r>
      <w:r w:rsidRPr="000203E1">
        <w:rPr>
          <w:b/>
        </w:rPr>
        <w:t>DACIJA</w:t>
      </w:r>
    </w:p>
    <w:p w14:paraId="7D5C6700" w14:textId="77777777" w:rsidR="00D5470B" w:rsidRPr="000203E1" w:rsidRDefault="00D5470B" w:rsidP="00C712EA">
      <w:pPr>
        <w:pStyle w:val="ListParagraph"/>
        <w:ind w:left="426"/>
      </w:pPr>
    </w:p>
    <w:p w14:paraId="59D081A3" w14:textId="77777777" w:rsidR="00AF05F9" w:rsidRPr="0073329D" w:rsidRDefault="00AF05F9" w:rsidP="00AF05F9">
      <w:pPr>
        <w:jc w:val="both"/>
      </w:pPr>
      <w:r w:rsidRPr="0073329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453D3C61" w14:textId="56DE9CFA" w:rsidR="004F3B2B" w:rsidRPr="000203E1" w:rsidRDefault="00AF05F9" w:rsidP="00AF0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3329D">
        <w:t xml:space="preserve">34.3. </w:t>
      </w:r>
      <w:r w:rsidRPr="00C925C3">
        <w:rPr>
          <w:i/>
        </w:rPr>
        <w:t xml:space="preserve">kompensuoti </w:t>
      </w:r>
      <w:r w:rsidRPr="0073329D">
        <w:t xml:space="preserve">vaistinį preparatą pagal paraiškoje nurodytą </w:t>
      </w:r>
      <w:r>
        <w:t>indikaciją</w:t>
      </w:r>
      <w:r w:rsidRPr="0073329D">
        <w:t xml:space="preserve"> su skyrimo sąlygomis</w:t>
      </w:r>
      <w:r>
        <w:t xml:space="preserve">, </w:t>
      </w:r>
      <w:r w:rsidRPr="0073329D">
        <w:t>taikant PGS, dėl iš esmės nesiskiriančio gydymo efektyvumo ir sukuriamos naudos pacientų sveikatai, lyginant su įpra</w:t>
      </w:r>
      <w:r>
        <w:t>sta klinikine praktika, ir dėl mažesnių</w:t>
      </w:r>
      <w:r w:rsidRPr="0073329D">
        <w:t xml:space="preserve"> gydymo kaštų dydžio</w:t>
      </w:r>
      <w:r>
        <w:t>.</w:t>
      </w:r>
    </w:p>
    <w:p w14:paraId="59422C01" w14:textId="77777777" w:rsidR="004F3B2B" w:rsidRPr="000203E1"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BC01EE" w14:textId="44333E0B" w:rsidR="000723FF" w:rsidRPr="000203E1" w:rsidRDefault="000723FF" w:rsidP="00381024"/>
    <w:p w14:paraId="18B4292E" w14:textId="353906B3" w:rsidR="000723FF" w:rsidRPr="000203E1" w:rsidRDefault="00CC09D4" w:rsidP="00CC09D4">
      <w:pPr>
        <w:tabs>
          <w:tab w:val="left" w:pos="567"/>
        </w:tabs>
        <w:ind w:left="567" w:hanging="567"/>
        <w:jc w:val="both"/>
        <w:rPr>
          <w:b/>
          <w:lang w:eastAsia="lt-LT"/>
        </w:rPr>
      </w:pPr>
      <w:r w:rsidRPr="000203E1">
        <w:rPr>
          <w:b/>
          <w:lang w:eastAsia="lt-LT"/>
        </w:rPr>
        <w:t>8.</w:t>
      </w:r>
      <w:r w:rsidRPr="000203E1">
        <w:rPr>
          <w:b/>
          <w:lang w:eastAsia="lt-LT"/>
        </w:rPr>
        <w:tab/>
      </w:r>
      <w:r w:rsidR="000723FF" w:rsidRPr="000203E1">
        <w:rPr>
          <w:b/>
          <w:lang w:eastAsia="lt-LT"/>
        </w:rPr>
        <w:t>SIŪLOMOS KOMPENSUOTI TERAPINĖS INDIKACIJOS IR SKYRIMO SĄLYGOS</w:t>
      </w:r>
    </w:p>
    <w:p w14:paraId="691340BB" w14:textId="77777777" w:rsidR="000723FF" w:rsidRPr="000203E1" w:rsidRDefault="000723FF" w:rsidP="000723FF">
      <w:pPr>
        <w:tabs>
          <w:tab w:val="left" w:pos="426"/>
        </w:tabs>
        <w:jc w:val="both"/>
        <w:rPr>
          <w:b/>
          <w:lang w:eastAsia="lt-LT"/>
        </w:rPr>
      </w:pPr>
    </w:p>
    <w:p w14:paraId="529C92C4" w14:textId="152E5FB4" w:rsidR="000723FF" w:rsidRPr="000203E1" w:rsidRDefault="000723FF" w:rsidP="00824B92">
      <w:pPr>
        <w:rPr>
          <w:b/>
          <w:lang w:eastAsia="lt-LT"/>
        </w:rPr>
      </w:pPr>
      <w:r w:rsidRPr="000203E1">
        <w:rPr>
          <w:b/>
          <w:lang w:eastAsia="lt-LT"/>
        </w:rPr>
        <w:t>Terapinės indikacijos</w:t>
      </w:r>
    </w:p>
    <w:p w14:paraId="5BB746DD" w14:textId="23525AE2" w:rsidR="000723FF" w:rsidRPr="000203E1" w:rsidRDefault="002D0018"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A228AB">
            <w:rPr>
              <w:rStyle w:val="Style2"/>
              <w:rFonts w:ascii="MS Gothic" w:eastAsia="MS Gothic" w:hAnsi="MS Gothic" w:hint="eastAsia"/>
            </w:rPr>
            <w:t>☒</w:t>
          </w:r>
        </w:sdtContent>
      </w:sdt>
      <w:r w:rsidR="000723FF" w:rsidRPr="000203E1">
        <w:t xml:space="preserve"> Siūloma kompensuoti Pareiškėjo teikiamą indikaciją be pakeitimų.</w:t>
      </w:r>
    </w:p>
    <w:p w14:paraId="55F7B3BB" w14:textId="77777777" w:rsidR="00A228AB" w:rsidRPr="00C925C3" w:rsidRDefault="000723FF" w:rsidP="00A228AB">
      <w:pPr>
        <w:pStyle w:val="NoSpacing"/>
        <w:rPr>
          <w:rFonts w:ascii="Times New Roman" w:hAnsi="Times New Roman"/>
          <w:sz w:val="24"/>
          <w:szCs w:val="24"/>
        </w:rPr>
      </w:pPr>
      <w:r w:rsidRPr="00C925C3">
        <w:t xml:space="preserve"> </w:t>
      </w:r>
      <w:r w:rsidR="00A228AB" w:rsidRPr="00C925C3">
        <w:rPr>
          <w:rFonts w:ascii="Times New Roman" w:hAnsi="Times New Roman"/>
          <w:iCs/>
          <w:sz w:val="24"/>
          <w:szCs w:val="24"/>
        </w:rPr>
        <w:t>VYDURA skirtas epizodinės migrenos profilaktikai suaugusiesiems, kuriems būna bent 4 migrenos priepuoliai per mėnesį</w:t>
      </w:r>
      <w:r w:rsidR="00A228AB" w:rsidRPr="00C925C3">
        <w:rPr>
          <w:rFonts w:ascii="Times New Roman" w:hAnsi="Times New Roman"/>
          <w:sz w:val="24"/>
          <w:szCs w:val="24"/>
        </w:rPr>
        <w:t>.</w:t>
      </w:r>
    </w:p>
    <w:p w14:paraId="21266813" w14:textId="1AB6E3B4" w:rsidR="000723FF" w:rsidRPr="000203E1" w:rsidRDefault="000723FF" w:rsidP="00824B92"/>
    <w:p w14:paraId="597367EF" w14:textId="77777777" w:rsidR="000723FF" w:rsidRPr="000203E1" w:rsidRDefault="002D0018" w:rsidP="00824B92">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0723FF" w:rsidRPr="000203E1">
            <w:rPr>
              <w:rStyle w:val="Style2"/>
              <w:rFonts w:ascii="MS Gothic" w:eastAsia="MS Gothic" w:hAnsi="MS Gothic"/>
            </w:rPr>
            <w:t>☐</w:t>
          </w:r>
        </w:sdtContent>
      </w:sdt>
      <w:r w:rsidR="000723FF" w:rsidRPr="000203E1">
        <w:t xml:space="preserve"> Siūloma kompensuoti Pareiškėjo teikiamą indikaciją su pakeitimais.</w:t>
      </w:r>
    </w:p>
    <w:p w14:paraId="7DD65F7E" w14:textId="77777777" w:rsidR="000723FF" w:rsidRPr="000203E1" w:rsidRDefault="000723FF" w:rsidP="00824B92"/>
    <w:p w14:paraId="241A6E6B" w14:textId="77777777" w:rsidR="000723FF" w:rsidRPr="00B84A66" w:rsidRDefault="000723FF" w:rsidP="00824B92">
      <w:pPr>
        <w:rPr>
          <w:b/>
        </w:rPr>
      </w:pPr>
      <w:r w:rsidRPr="00B84A66">
        <w:rPr>
          <w:b/>
        </w:rPr>
        <w:lastRenderedPageBreak/>
        <w:t>Skyrimo sąlygos</w:t>
      </w:r>
    </w:p>
    <w:p w14:paraId="7F5F5031" w14:textId="593A43F3" w:rsidR="00C925C3" w:rsidRPr="00B84A66" w:rsidRDefault="00C925C3" w:rsidP="00A228AB">
      <w:pPr>
        <w:pStyle w:val="NoSpacing"/>
        <w:rPr>
          <w:rFonts w:ascii="Times New Roman" w:hAnsi="Times New Roman"/>
          <w:iCs/>
          <w:sz w:val="24"/>
          <w:szCs w:val="24"/>
        </w:rPr>
      </w:pPr>
      <w:r w:rsidRPr="00B84A66">
        <w:rPr>
          <w:rFonts w:ascii="Times New Roman" w:hAnsi="Times New Roman"/>
          <w:iCs/>
          <w:sz w:val="24"/>
          <w:szCs w:val="24"/>
        </w:rPr>
        <w:t>Pareiškėjas skyrimo sąlygų neteikia.</w:t>
      </w:r>
    </w:p>
    <w:p w14:paraId="00B532BD" w14:textId="77777777" w:rsidR="00457983" w:rsidRDefault="00457983" w:rsidP="00457983">
      <w:pPr>
        <w:pStyle w:val="NoSpacing"/>
        <w:rPr>
          <w:rFonts w:ascii="Times New Roman" w:hAnsi="Times New Roman"/>
          <w:iCs/>
          <w:sz w:val="24"/>
          <w:szCs w:val="24"/>
        </w:rPr>
      </w:pPr>
      <w:r>
        <w:rPr>
          <w:rFonts w:ascii="Times New Roman" w:hAnsi="Times New Roman"/>
          <w:iCs/>
          <w:sz w:val="24"/>
          <w:szCs w:val="24"/>
        </w:rPr>
        <w:t xml:space="preserve">Siūloma nustatyti tokias pačias skyrimo sąlygas kaip migrenos profilaktikai skirtų kompensuojamųjų vaistų </w:t>
      </w:r>
      <w:proofErr w:type="spellStart"/>
      <w:r>
        <w:rPr>
          <w:rFonts w:ascii="Times New Roman" w:hAnsi="Times New Roman"/>
        </w:rPr>
        <w:t>fremanezumabo</w:t>
      </w:r>
      <w:proofErr w:type="spellEnd"/>
      <w:r>
        <w:rPr>
          <w:rFonts w:ascii="Times New Roman" w:hAnsi="Times New Roman"/>
        </w:rPr>
        <w:t xml:space="preserve"> ir </w:t>
      </w:r>
      <w:proofErr w:type="spellStart"/>
      <w:r>
        <w:rPr>
          <w:rFonts w:ascii="Times New Roman" w:hAnsi="Times New Roman"/>
        </w:rPr>
        <w:t>erenumabo</w:t>
      </w:r>
      <w:proofErr w:type="spellEnd"/>
      <w:r>
        <w:rPr>
          <w:rFonts w:ascii="Times New Roman" w:hAnsi="Times New Roman"/>
        </w:rPr>
        <w:t>.</w:t>
      </w:r>
    </w:p>
    <w:p w14:paraId="2A4334E0" w14:textId="28301A4A" w:rsidR="00A228AB" w:rsidRPr="00C47FCC" w:rsidRDefault="00A228AB" w:rsidP="00A228AB">
      <w:pPr>
        <w:pStyle w:val="NoSpacing"/>
        <w:rPr>
          <w:rFonts w:ascii="Times New Roman" w:hAnsi="Times New Roman"/>
          <w:i/>
          <w:iCs/>
          <w:sz w:val="24"/>
          <w:szCs w:val="24"/>
        </w:rPr>
      </w:pPr>
    </w:p>
    <w:p w14:paraId="51BF12DB" w14:textId="77777777" w:rsidR="00A228AB" w:rsidRPr="000203E1" w:rsidRDefault="00A228AB" w:rsidP="00824B92"/>
    <w:p w14:paraId="7CDFF220" w14:textId="58191D98" w:rsidR="000723FF" w:rsidRPr="000203E1" w:rsidRDefault="000723FF" w:rsidP="00824B92">
      <w:pPr>
        <w:rPr>
          <w:b/>
        </w:rPr>
      </w:pPr>
    </w:p>
    <w:sectPr w:rsidR="000723FF" w:rsidRPr="000203E1"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E032D" w14:textId="77777777" w:rsidR="003A5239" w:rsidRDefault="003A5239">
      <w:r>
        <w:separator/>
      </w:r>
    </w:p>
  </w:endnote>
  <w:endnote w:type="continuationSeparator" w:id="0">
    <w:p w14:paraId="10297B28" w14:textId="77777777" w:rsidR="003A5239" w:rsidRDefault="003A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75A07" w14:textId="77777777" w:rsidR="00D67FBD" w:rsidRDefault="00D67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ED315" w14:textId="77777777" w:rsidR="00D67FBD" w:rsidRDefault="00D67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E1781" w14:textId="77777777" w:rsidR="003A5239" w:rsidRDefault="003A5239">
      <w:r>
        <w:separator/>
      </w:r>
    </w:p>
  </w:footnote>
  <w:footnote w:type="continuationSeparator" w:id="0">
    <w:p w14:paraId="4EC5FFF8" w14:textId="77777777" w:rsidR="003A5239" w:rsidRDefault="003A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008D99D9"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0018">
      <w:rPr>
        <w:rStyle w:val="PageNumber"/>
        <w:noProof/>
      </w:rPr>
      <w:t>7</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5"/>
  </w:num>
  <w:num w:numId="6">
    <w:abstractNumId w:val="4"/>
  </w:num>
  <w:num w:numId="7">
    <w:abstractNumId w:val="3"/>
  </w:num>
  <w:num w:numId="8">
    <w:abstractNumId w:val="11"/>
  </w:num>
  <w:num w:numId="9">
    <w:abstractNumId w:val="0"/>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203E1"/>
    <w:rsid w:val="0002686C"/>
    <w:rsid w:val="00031D0E"/>
    <w:rsid w:val="000337E6"/>
    <w:rsid w:val="0003398A"/>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64D64"/>
    <w:rsid w:val="0017369C"/>
    <w:rsid w:val="00175D57"/>
    <w:rsid w:val="00180C39"/>
    <w:rsid w:val="00180D96"/>
    <w:rsid w:val="00184BD3"/>
    <w:rsid w:val="001921F3"/>
    <w:rsid w:val="001B3C5B"/>
    <w:rsid w:val="001D5B91"/>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9E0"/>
    <w:rsid w:val="002C1BB1"/>
    <w:rsid w:val="002C2786"/>
    <w:rsid w:val="002C3A10"/>
    <w:rsid w:val="002C4A90"/>
    <w:rsid w:val="002C4ED5"/>
    <w:rsid w:val="002D0018"/>
    <w:rsid w:val="002D02EF"/>
    <w:rsid w:val="002E0702"/>
    <w:rsid w:val="002E57AD"/>
    <w:rsid w:val="002E6F80"/>
    <w:rsid w:val="002F0E4F"/>
    <w:rsid w:val="002F1053"/>
    <w:rsid w:val="002F2F85"/>
    <w:rsid w:val="00314816"/>
    <w:rsid w:val="00317B0E"/>
    <w:rsid w:val="00347FAA"/>
    <w:rsid w:val="0035172D"/>
    <w:rsid w:val="0036187D"/>
    <w:rsid w:val="00367EDB"/>
    <w:rsid w:val="00381024"/>
    <w:rsid w:val="00386307"/>
    <w:rsid w:val="003874DE"/>
    <w:rsid w:val="00393E9F"/>
    <w:rsid w:val="0039696E"/>
    <w:rsid w:val="003A5239"/>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57983"/>
    <w:rsid w:val="00461338"/>
    <w:rsid w:val="004677DB"/>
    <w:rsid w:val="00476256"/>
    <w:rsid w:val="00476BEA"/>
    <w:rsid w:val="0048630F"/>
    <w:rsid w:val="004947A1"/>
    <w:rsid w:val="0049482A"/>
    <w:rsid w:val="004979D3"/>
    <w:rsid w:val="004A00E7"/>
    <w:rsid w:val="004A3A61"/>
    <w:rsid w:val="004B59BA"/>
    <w:rsid w:val="004B5A03"/>
    <w:rsid w:val="004C263A"/>
    <w:rsid w:val="004D48A6"/>
    <w:rsid w:val="004D7B8F"/>
    <w:rsid w:val="004E1C7E"/>
    <w:rsid w:val="004E241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0304"/>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27F3"/>
    <w:rsid w:val="007301CF"/>
    <w:rsid w:val="007316FB"/>
    <w:rsid w:val="00737E2D"/>
    <w:rsid w:val="007424D5"/>
    <w:rsid w:val="00750A88"/>
    <w:rsid w:val="007523DD"/>
    <w:rsid w:val="00757B7E"/>
    <w:rsid w:val="00761F03"/>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6AA"/>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1E78"/>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8AB"/>
    <w:rsid w:val="00A22ADF"/>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C26FC"/>
    <w:rsid w:val="00AC4A99"/>
    <w:rsid w:val="00AC64D2"/>
    <w:rsid w:val="00AD02E7"/>
    <w:rsid w:val="00AE0FE8"/>
    <w:rsid w:val="00AF05F9"/>
    <w:rsid w:val="00AF60D5"/>
    <w:rsid w:val="00B00959"/>
    <w:rsid w:val="00B04415"/>
    <w:rsid w:val="00B06509"/>
    <w:rsid w:val="00B11D60"/>
    <w:rsid w:val="00B13D65"/>
    <w:rsid w:val="00B21805"/>
    <w:rsid w:val="00B3072E"/>
    <w:rsid w:val="00B36E15"/>
    <w:rsid w:val="00B37245"/>
    <w:rsid w:val="00B4017A"/>
    <w:rsid w:val="00B4468D"/>
    <w:rsid w:val="00B61F08"/>
    <w:rsid w:val="00B71C72"/>
    <w:rsid w:val="00B81E92"/>
    <w:rsid w:val="00B84A66"/>
    <w:rsid w:val="00B908D7"/>
    <w:rsid w:val="00B935E8"/>
    <w:rsid w:val="00B93B30"/>
    <w:rsid w:val="00B94CB5"/>
    <w:rsid w:val="00BA0DD9"/>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34EB"/>
    <w:rsid w:val="00C517D2"/>
    <w:rsid w:val="00C5772E"/>
    <w:rsid w:val="00C62B36"/>
    <w:rsid w:val="00C7012C"/>
    <w:rsid w:val="00C712EA"/>
    <w:rsid w:val="00C925C3"/>
    <w:rsid w:val="00CA217D"/>
    <w:rsid w:val="00CC09D4"/>
    <w:rsid w:val="00CC668D"/>
    <w:rsid w:val="00CC7832"/>
    <w:rsid w:val="00CD488E"/>
    <w:rsid w:val="00CF0C1C"/>
    <w:rsid w:val="00CF27FD"/>
    <w:rsid w:val="00CF5F12"/>
    <w:rsid w:val="00D00D8F"/>
    <w:rsid w:val="00D21F3A"/>
    <w:rsid w:val="00D23808"/>
    <w:rsid w:val="00D3016A"/>
    <w:rsid w:val="00D417D2"/>
    <w:rsid w:val="00D42960"/>
    <w:rsid w:val="00D43BD7"/>
    <w:rsid w:val="00D4485B"/>
    <w:rsid w:val="00D46CCD"/>
    <w:rsid w:val="00D4708D"/>
    <w:rsid w:val="00D4744C"/>
    <w:rsid w:val="00D521DE"/>
    <w:rsid w:val="00D5470B"/>
    <w:rsid w:val="00D63068"/>
    <w:rsid w:val="00D6498C"/>
    <w:rsid w:val="00D67FBD"/>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2D9B"/>
    <w:rsid w:val="00E03C3F"/>
    <w:rsid w:val="00E06FD7"/>
    <w:rsid w:val="00E07417"/>
    <w:rsid w:val="00E07D28"/>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A3370"/>
    <w:rsid w:val="00EB6FC5"/>
    <w:rsid w:val="00EC2356"/>
    <w:rsid w:val="00EC2582"/>
    <w:rsid w:val="00EC337C"/>
    <w:rsid w:val="00ED0CFF"/>
    <w:rsid w:val="00ED31D2"/>
    <w:rsid w:val="00EE0EAC"/>
    <w:rsid w:val="00EE3322"/>
    <w:rsid w:val="00EE33CB"/>
    <w:rsid w:val="00F0061A"/>
    <w:rsid w:val="00F0206B"/>
    <w:rsid w:val="00F02834"/>
    <w:rsid w:val="00F04EEB"/>
    <w:rsid w:val="00F05467"/>
    <w:rsid w:val="00F055D2"/>
    <w:rsid w:val="00F07CD7"/>
    <w:rsid w:val="00F127E9"/>
    <w:rsid w:val="00F14B5D"/>
    <w:rsid w:val="00F259FC"/>
    <w:rsid w:val="00F36972"/>
    <w:rsid w:val="00F42426"/>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customStyle="1" w:styleId="VVKT">
    <w:name w:val="VVKT"/>
    <w:basedOn w:val="Normal"/>
    <w:qFormat/>
    <w:rsid w:val="00F0206B"/>
    <w:pPr>
      <w:tabs>
        <w:tab w:val="left" w:pos="426"/>
      </w:tabs>
      <w:spacing w:line="276" w:lineRule="auto"/>
      <w:ind w:firstLine="567"/>
      <w:jc w:val="both"/>
    </w:pPr>
    <w:rPr>
      <w:rFonts w:eastAsia="Arial"/>
    </w:rPr>
  </w:style>
  <w:style w:type="character" w:customStyle="1" w:styleId="ProtokoluiChar">
    <w:name w:val="Protokolui Char"/>
    <w:link w:val="Protokolui"/>
    <w:locked/>
    <w:rsid w:val="00F0206B"/>
    <w:rPr>
      <w:lang w:val="x-none"/>
    </w:rPr>
  </w:style>
  <w:style w:type="paragraph" w:customStyle="1" w:styleId="Protokolui">
    <w:name w:val="Protokolui"/>
    <w:basedOn w:val="BodyText"/>
    <w:link w:val="ProtokoluiChar"/>
    <w:qFormat/>
    <w:rsid w:val="00F0206B"/>
    <w:pPr>
      <w:spacing w:after="0"/>
      <w:ind w:firstLine="432"/>
      <w:jc w:val="both"/>
    </w:pPr>
    <w:rPr>
      <w:sz w:val="20"/>
      <w:szCs w:val="20"/>
      <w:lang w:val="x-none" w:eastAsia="lt-LT"/>
    </w:rPr>
  </w:style>
  <w:style w:type="paragraph" w:styleId="BodyText">
    <w:name w:val="Body Text"/>
    <w:basedOn w:val="Normal"/>
    <w:link w:val="BodyTextChar"/>
    <w:semiHidden/>
    <w:unhideWhenUsed/>
    <w:rsid w:val="00F0206B"/>
    <w:pPr>
      <w:spacing w:after="120"/>
    </w:pPr>
  </w:style>
  <w:style w:type="character" w:customStyle="1" w:styleId="BodyTextChar">
    <w:name w:val="Body Text Char"/>
    <w:basedOn w:val="DefaultParagraphFont"/>
    <w:link w:val="BodyText"/>
    <w:semiHidden/>
    <w:rsid w:val="00F020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43551431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4F01007D7774459D5EAB953E3F4569"/>
        <w:category>
          <w:name w:val="General"/>
          <w:gallery w:val="placeholder"/>
        </w:category>
        <w:types>
          <w:type w:val="bbPlcHdr"/>
        </w:types>
        <w:behaviors>
          <w:behavior w:val="content"/>
        </w:behaviors>
        <w:guid w:val="{0E5F447C-745A-524E-897A-561FAE4481B1}"/>
      </w:docPartPr>
      <w:docPartBody>
        <w:p w:rsidR="00A64D15" w:rsidRDefault="00714066" w:rsidP="00714066">
          <w:pPr>
            <w:pStyle w:val="404F01007D7774459D5EAB953E3F4569"/>
          </w:pPr>
          <w:r>
            <w:rPr>
              <w:rStyle w:val="PlaceholderText"/>
            </w:rPr>
            <w:t>Click here to enter a date.</w:t>
          </w:r>
        </w:p>
      </w:docPartBody>
    </w:docPart>
    <w:docPart>
      <w:docPartPr>
        <w:name w:val="CFF99CF6B7B68744A0618C98BAA302CC"/>
        <w:category>
          <w:name w:val="General"/>
          <w:gallery w:val="placeholder"/>
        </w:category>
        <w:types>
          <w:type w:val="bbPlcHdr"/>
        </w:types>
        <w:behaviors>
          <w:behavior w:val="content"/>
        </w:behaviors>
        <w:guid w:val="{20F05F60-0CA7-AD4E-8B85-C4DC82C9411E}"/>
      </w:docPartPr>
      <w:docPartBody>
        <w:p w:rsidR="00A64D15" w:rsidRDefault="00714066" w:rsidP="00714066">
          <w:pPr>
            <w:pStyle w:val="CFF99CF6B7B68744A0618C98BAA302CC"/>
          </w:pPr>
          <w:r>
            <w:rPr>
              <w:rStyle w:val="PlaceholderText"/>
            </w:rPr>
            <w:t>Click here to enter a date.</w:t>
          </w:r>
        </w:p>
      </w:docPartBody>
    </w:docPart>
    <w:docPart>
      <w:docPartPr>
        <w:name w:val="FEDA863C1B4F504589B9CD039FFDFE48"/>
        <w:category>
          <w:name w:val="General"/>
          <w:gallery w:val="placeholder"/>
        </w:category>
        <w:types>
          <w:type w:val="bbPlcHdr"/>
        </w:types>
        <w:behaviors>
          <w:behavior w:val="content"/>
        </w:behaviors>
        <w:guid w:val="{0CC07342-6E04-6944-A996-72E3649CD5CE}"/>
      </w:docPartPr>
      <w:docPartBody>
        <w:p w:rsidR="00A64D15" w:rsidRDefault="00714066" w:rsidP="00714066">
          <w:pPr>
            <w:pStyle w:val="FEDA863C1B4F504589B9CD039FFDFE48"/>
          </w:pPr>
          <w:r>
            <w:rPr>
              <w:rStyle w:val="PlaceholderText"/>
            </w:rPr>
            <w:t>Click here to enter a date.</w:t>
          </w:r>
        </w:p>
      </w:docPartBody>
    </w:docPart>
    <w:docPart>
      <w:docPartPr>
        <w:name w:val="962B44B2CEFC41F0BABB5AC2988E6F34"/>
        <w:category>
          <w:name w:val="General"/>
          <w:gallery w:val="placeholder"/>
        </w:category>
        <w:types>
          <w:type w:val="bbPlcHdr"/>
        </w:types>
        <w:behaviors>
          <w:behavior w:val="content"/>
        </w:behaviors>
        <w:guid w:val="{FA758CDD-7973-43C8-9CA6-4A8393CDECEF}"/>
      </w:docPartPr>
      <w:docPartBody>
        <w:p w:rsidR="00B877BB" w:rsidRDefault="00A64D15" w:rsidP="00A64D15">
          <w:pPr>
            <w:pStyle w:val="962B44B2CEFC41F0BABB5AC2988E6F34"/>
          </w:pPr>
          <w:r>
            <w:rPr>
              <w:rStyle w:val="PlaceholderText"/>
            </w:rPr>
            <w:t>Click here to enter a date.</w:t>
          </w:r>
        </w:p>
      </w:docPartBody>
    </w:docPart>
    <w:docPart>
      <w:docPartPr>
        <w:name w:val="B4A615845A3E45AF8AAF383F1877B9B1"/>
        <w:category>
          <w:name w:val="General"/>
          <w:gallery w:val="placeholder"/>
        </w:category>
        <w:types>
          <w:type w:val="bbPlcHdr"/>
        </w:types>
        <w:behaviors>
          <w:behavior w:val="content"/>
        </w:behaviors>
        <w:guid w:val="{8610017A-320C-418F-BEA4-906E5DE02A45}"/>
      </w:docPartPr>
      <w:docPartBody>
        <w:p w:rsidR="00B877BB" w:rsidRDefault="00A64D15" w:rsidP="00A64D15">
          <w:pPr>
            <w:pStyle w:val="B4A615845A3E45AF8AAF383F1877B9B1"/>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937FE"/>
    <w:rsid w:val="000A559A"/>
    <w:rsid w:val="000D24D4"/>
    <w:rsid w:val="001C35A9"/>
    <w:rsid w:val="00237556"/>
    <w:rsid w:val="0039303B"/>
    <w:rsid w:val="004144A3"/>
    <w:rsid w:val="004160E7"/>
    <w:rsid w:val="004416C6"/>
    <w:rsid w:val="00456E96"/>
    <w:rsid w:val="004F5AB2"/>
    <w:rsid w:val="005074B9"/>
    <w:rsid w:val="005C62E5"/>
    <w:rsid w:val="005E40DD"/>
    <w:rsid w:val="00664DAC"/>
    <w:rsid w:val="00714066"/>
    <w:rsid w:val="007219C1"/>
    <w:rsid w:val="00753462"/>
    <w:rsid w:val="00772325"/>
    <w:rsid w:val="007A2FE0"/>
    <w:rsid w:val="007C6D1D"/>
    <w:rsid w:val="007D0AC3"/>
    <w:rsid w:val="0090074D"/>
    <w:rsid w:val="009137BB"/>
    <w:rsid w:val="009B3BF0"/>
    <w:rsid w:val="009D5E5E"/>
    <w:rsid w:val="009F1BB4"/>
    <w:rsid w:val="00A33EAB"/>
    <w:rsid w:val="00A64D15"/>
    <w:rsid w:val="00AB6ED4"/>
    <w:rsid w:val="00B14210"/>
    <w:rsid w:val="00B22ED6"/>
    <w:rsid w:val="00B23DC0"/>
    <w:rsid w:val="00B877BB"/>
    <w:rsid w:val="00B96656"/>
    <w:rsid w:val="00C2401D"/>
    <w:rsid w:val="00C250D7"/>
    <w:rsid w:val="00C53A68"/>
    <w:rsid w:val="00CA5BB4"/>
    <w:rsid w:val="00CB4BD1"/>
    <w:rsid w:val="00CD139C"/>
    <w:rsid w:val="00CE2DA9"/>
    <w:rsid w:val="00CE44BE"/>
    <w:rsid w:val="00D0142D"/>
    <w:rsid w:val="00D308D0"/>
    <w:rsid w:val="00D4356B"/>
    <w:rsid w:val="00D7162F"/>
    <w:rsid w:val="00DB4DB5"/>
    <w:rsid w:val="00DE4D10"/>
    <w:rsid w:val="00E44A86"/>
    <w:rsid w:val="00E522EB"/>
    <w:rsid w:val="00E60827"/>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64D15"/>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9DD01831B4FB44D9ADBDF62239B9B5EF">
    <w:name w:val="9DD01831B4FB44D9ADBDF62239B9B5EF"/>
    <w:rsid w:val="00E60827"/>
  </w:style>
  <w:style w:type="paragraph" w:customStyle="1" w:styleId="404F01007D7774459D5EAB953E3F4569">
    <w:name w:val="404F01007D7774459D5EAB953E3F4569"/>
    <w:rsid w:val="00714066"/>
    <w:pPr>
      <w:spacing w:after="0" w:line="240" w:lineRule="auto"/>
    </w:pPr>
    <w:rPr>
      <w:sz w:val="24"/>
      <w:szCs w:val="24"/>
      <w:lang w:eastAsia="en-GB"/>
    </w:rPr>
  </w:style>
  <w:style w:type="paragraph" w:customStyle="1" w:styleId="CFF99CF6B7B68744A0618C98BAA302CC">
    <w:name w:val="CFF99CF6B7B68744A0618C98BAA302CC"/>
    <w:rsid w:val="00714066"/>
    <w:pPr>
      <w:spacing w:after="0" w:line="240" w:lineRule="auto"/>
    </w:pPr>
    <w:rPr>
      <w:sz w:val="24"/>
      <w:szCs w:val="24"/>
      <w:lang w:eastAsia="en-GB"/>
    </w:rPr>
  </w:style>
  <w:style w:type="paragraph" w:customStyle="1" w:styleId="29178C43E04E3641802308733906E241">
    <w:name w:val="29178C43E04E3641802308733906E241"/>
    <w:rsid w:val="00714066"/>
    <w:pPr>
      <w:spacing w:after="0" w:line="240" w:lineRule="auto"/>
    </w:pPr>
    <w:rPr>
      <w:sz w:val="24"/>
      <w:szCs w:val="24"/>
      <w:lang w:eastAsia="en-GB"/>
    </w:rPr>
  </w:style>
  <w:style w:type="paragraph" w:customStyle="1" w:styleId="FEDA863C1B4F504589B9CD039FFDFE48">
    <w:name w:val="FEDA863C1B4F504589B9CD039FFDFE48"/>
    <w:rsid w:val="00714066"/>
    <w:pPr>
      <w:spacing w:after="0" w:line="240" w:lineRule="auto"/>
    </w:pPr>
    <w:rPr>
      <w:sz w:val="24"/>
      <w:szCs w:val="24"/>
      <w:lang w:eastAsia="en-GB"/>
    </w:rPr>
  </w:style>
  <w:style w:type="paragraph" w:customStyle="1" w:styleId="C59CEAC04A57AF49B6D771CC2312E3C4">
    <w:name w:val="C59CEAC04A57AF49B6D771CC2312E3C4"/>
    <w:rsid w:val="00714066"/>
    <w:pPr>
      <w:spacing w:after="0" w:line="240" w:lineRule="auto"/>
    </w:pPr>
    <w:rPr>
      <w:sz w:val="24"/>
      <w:szCs w:val="24"/>
      <w:lang w:eastAsia="en-GB"/>
    </w:rPr>
  </w:style>
  <w:style w:type="paragraph" w:customStyle="1" w:styleId="FD7F8E5C81043E459B7EB2ADD699EBB5">
    <w:name w:val="FD7F8E5C81043E459B7EB2ADD699EBB5"/>
    <w:rsid w:val="00714066"/>
    <w:pPr>
      <w:spacing w:after="0" w:line="240" w:lineRule="auto"/>
    </w:pPr>
    <w:rPr>
      <w:sz w:val="24"/>
      <w:szCs w:val="24"/>
      <w:lang w:eastAsia="en-GB"/>
    </w:rPr>
  </w:style>
  <w:style w:type="paragraph" w:customStyle="1" w:styleId="962B44B2CEFC41F0BABB5AC2988E6F34">
    <w:name w:val="962B44B2CEFC41F0BABB5AC2988E6F34"/>
    <w:rsid w:val="00A64D15"/>
  </w:style>
  <w:style w:type="paragraph" w:customStyle="1" w:styleId="B4A615845A3E45AF8AAF383F1877B9B1">
    <w:name w:val="B4A615845A3E45AF8AAF383F1877B9B1"/>
    <w:rsid w:val="00A64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E9BE-6AAD-46B7-ABCB-81E727B0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1825</Words>
  <Characters>12827</Characters>
  <Application>Microsoft Office Word</Application>
  <DocSecurity>0</DocSecurity>
  <Lines>106</Lines>
  <Paragraphs>29</Paragraphs>
  <ScaleCrop>false</ScaleCrop>
  <Company/>
  <LinksUpToDate>false</LinksUpToDate>
  <CharactersWithSpaces>14623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2024-03-04T07:30:00Z</dcterms:created>
  <dcterms:modified xsi:type="dcterms:W3CDTF">2024-03-06T10:12:00Z</dcterms:modified>
</cp:coreProperties>
</file>