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5535"/>
        <w:gridCol w:w="278"/>
        <w:gridCol w:w="279"/>
        <w:gridCol w:w="1538"/>
        <w:gridCol w:w="1898"/>
      </w:tblGrid>
      <w:tr w:rsidR="00EA2D1B" w:rsidRPr="00902A9F" w14:paraId="32D4BA9A" w14:textId="77777777" w:rsidTr="00532CD6">
        <w:trPr>
          <w:cantSplit/>
          <w:trHeight w:val="152"/>
          <w:jc w:val="center"/>
        </w:trPr>
        <w:tc>
          <w:tcPr>
            <w:tcW w:w="5535" w:type="dxa"/>
            <w:vMerge w:val="restart"/>
          </w:tcPr>
          <w:p w14:paraId="0AE961AB" w14:textId="77777777" w:rsidR="00EA2D1B" w:rsidRPr="00902A9F" w:rsidRDefault="00EA2D1B" w:rsidP="00532CD6">
            <w:r w:rsidRPr="00902A9F">
              <w:t>Lietuvos Respublikos Sveikatos apsaugos ministerijos</w:t>
            </w:r>
          </w:p>
          <w:p w14:paraId="3654A1D5" w14:textId="77777777" w:rsidR="00EA2D1B" w:rsidRPr="00902A9F" w:rsidRDefault="00EA2D1B" w:rsidP="00532CD6">
            <w:r>
              <w:t>V</w:t>
            </w:r>
            <w:r w:rsidRPr="00902A9F">
              <w:t>aistinių preparatų ir medicinos pagalbos priemonių kompensavimo komisijai</w:t>
            </w:r>
          </w:p>
          <w:p w14:paraId="67D13182" w14:textId="77777777" w:rsidR="00EA2D1B" w:rsidRDefault="00EA2D1B" w:rsidP="00532CD6">
            <w:r>
              <w:t xml:space="preserve">El. p. </w:t>
            </w:r>
            <w:hyperlink r:id="rId7" w:history="1">
              <w:r w:rsidRPr="00872B09">
                <w:rPr>
                  <w:rStyle w:val="Hipersaitas"/>
                </w:rPr>
                <w:t>ministerija@sam.lt</w:t>
              </w:r>
            </w:hyperlink>
            <w:r>
              <w:t xml:space="preserve"> </w:t>
            </w:r>
          </w:p>
          <w:p w14:paraId="4FB31AB6" w14:textId="77777777" w:rsidR="00EA2D1B" w:rsidRPr="003D412E" w:rsidRDefault="00EA2D1B" w:rsidP="00532CD6">
            <w:pPr>
              <w:rPr>
                <w:lang w:val="en-US"/>
              </w:rPr>
            </w:pPr>
          </w:p>
          <w:p w14:paraId="25149D59" w14:textId="77777777" w:rsidR="00EA2D1B" w:rsidRPr="00902A9F" w:rsidRDefault="00EA2D1B" w:rsidP="00532CD6">
            <w:r w:rsidRPr="00902A9F">
              <w:t xml:space="preserve"> </w:t>
            </w:r>
          </w:p>
        </w:tc>
        <w:tc>
          <w:tcPr>
            <w:tcW w:w="278" w:type="dxa"/>
          </w:tcPr>
          <w:p w14:paraId="22E52205" w14:textId="77777777" w:rsidR="00EA2D1B" w:rsidRPr="00902A9F" w:rsidRDefault="00EA2D1B" w:rsidP="00532CD6"/>
        </w:tc>
        <w:tc>
          <w:tcPr>
            <w:tcW w:w="279" w:type="dxa"/>
          </w:tcPr>
          <w:p w14:paraId="4B56E69E" w14:textId="77777777" w:rsidR="00EA2D1B" w:rsidRPr="00902A9F" w:rsidRDefault="00EA2D1B" w:rsidP="00532CD6">
            <w:pPr>
              <w:jc w:val="right"/>
            </w:pPr>
          </w:p>
        </w:tc>
        <w:tc>
          <w:tcPr>
            <w:tcW w:w="1538" w:type="dxa"/>
          </w:tcPr>
          <w:p w14:paraId="5FDA1C34" w14:textId="77777777" w:rsidR="00EA2D1B" w:rsidRPr="00902A9F" w:rsidRDefault="00EA2D1B" w:rsidP="00532CD6">
            <w:pPr>
              <w:jc w:val="right"/>
            </w:pPr>
          </w:p>
        </w:tc>
        <w:tc>
          <w:tcPr>
            <w:tcW w:w="1898" w:type="dxa"/>
            <w:hideMark/>
          </w:tcPr>
          <w:p w14:paraId="4D78EACE" w14:textId="77777777" w:rsidR="00EA2D1B" w:rsidRPr="00902A9F" w:rsidRDefault="00EA2D1B" w:rsidP="00532CD6"/>
        </w:tc>
      </w:tr>
      <w:tr w:rsidR="00EA2D1B" w:rsidRPr="00902A9F" w14:paraId="5717D2BA" w14:textId="77777777" w:rsidTr="00532CD6">
        <w:trPr>
          <w:cantSplit/>
          <w:trHeight w:val="450"/>
          <w:jc w:val="center"/>
        </w:trPr>
        <w:tc>
          <w:tcPr>
            <w:tcW w:w="5535" w:type="dxa"/>
            <w:vMerge/>
            <w:vAlign w:val="center"/>
            <w:hideMark/>
          </w:tcPr>
          <w:p w14:paraId="260770A7" w14:textId="77777777" w:rsidR="00EA2D1B" w:rsidRPr="00902A9F" w:rsidRDefault="00EA2D1B" w:rsidP="00532CD6"/>
        </w:tc>
        <w:tc>
          <w:tcPr>
            <w:tcW w:w="278" w:type="dxa"/>
            <w:vAlign w:val="center"/>
          </w:tcPr>
          <w:p w14:paraId="06796DD2" w14:textId="77777777" w:rsidR="00EA2D1B" w:rsidRPr="00902A9F" w:rsidRDefault="00EA2D1B" w:rsidP="00532CD6"/>
        </w:tc>
        <w:tc>
          <w:tcPr>
            <w:tcW w:w="279" w:type="dxa"/>
            <w:vAlign w:val="center"/>
            <w:hideMark/>
          </w:tcPr>
          <w:p w14:paraId="7B76B8C6" w14:textId="77777777" w:rsidR="00EA2D1B" w:rsidRPr="00902A9F" w:rsidRDefault="00EA2D1B" w:rsidP="00532CD6">
            <w:pPr>
              <w:jc w:val="center"/>
            </w:pPr>
          </w:p>
        </w:tc>
        <w:tc>
          <w:tcPr>
            <w:tcW w:w="1538" w:type="dxa"/>
            <w:vAlign w:val="center"/>
          </w:tcPr>
          <w:p w14:paraId="149B7992" w14:textId="77777777" w:rsidR="00EA2D1B" w:rsidRPr="00902A9F" w:rsidRDefault="00EA2D1B" w:rsidP="00532CD6"/>
        </w:tc>
        <w:tc>
          <w:tcPr>
            <w:tcW w:w="1898" w:type="dxa"/>
            <w:vAlign w:val="center"/>
            <w:hideMark/>
          </w:tcPr>
          <w:p w14:paraId="2B939069" w14:textId="77777777" w:rsidR="00EA2D1B" w:rsidRPr="00902A9F" w:rsidRDefault="00EA2D1B" w:rsidP="00532CD6">
            <w:r w:rsidRPr="00902A9F">
              <w:t>Nr.</w:t>
            </w:r>
            <w:r>
              <w:t xml:space="preserve"> </w:t>
            </w:r>
          </w:p>
        </w:tc>
      </w:tr>
      <w:tr w:rsidR="00EA2D1B" w:rsidRPr="00902A9F" w14:paraId="541C5629" w14:textId="77777777" w:rsidTr="00532CD6">
        <w:trPr>
          <w:cantSplit/>
          <w:trHeight w:val="791"/>
          <w:jc w:val="center"/>
        </w:trPr>
        <w:tc>
          <w:tcPr>
            <w:tcW w:w="5535" w:type="dxa"/>
            <w:vMerge/>
            <w:vAlign w:val="center"/>
          </w:tcPr>
          <w:p w14:paraId="47FC0775" w14:textId="77777777" w:rsidR="00EA2D1B" w:rsidRPr="00902A9F" w:rsidRDefault="00EA2D1B" w:rsidP="00532CD6"/>
        </w:tc>
        <w:tc>
          <w:tcPr>
            <w:tcW w:w="278" w:type="dxa"/>
            <w:vAlign w:val="center"/>
          </w:tcPr>
          <w:p w14:paraId="2AB6DDD6" w14:textId="77777777" w:rsidR="00EA2D1B" w:rsidRPr="00902A9F" w:rsidRDefault="00EA2D1B" w:rsidP="00532CD6"/>
        </w:tc>
        <w:tc>
          <w:tcPr>
            <w:tcW w:w="279" w:type="dxa"/>
            <w:vAlign w:val="center"/>
          </w:tcPr>
          <w:p w14:paraId="44691569" w14:textId="77777777" w:rsidR="00EA2D1B" w:rsidRPr="00902A9F" w:rsidRDefault="00EA2D1B" w:rsidP="00532CD6">
            <w:pPr>
              <w:jc w:val="right"/>
            </w:pPr>
            <w:r>
              <w:t>Į</w:t>
            </w:r>
          </w:p>
        </w:tc>
        <w:tc>
          <w:tcPr>
            <w:tcW w:w="1538" w:type="dxa"/>
            <w:vAlign w:val="center"/>
          </w:tcPr>
          <w:p w14:paraId="0E673F9B" w14:textId="6A607004" w:rsidR="00EA2D1B" w:rsidRPr="00902A9F" w:rsidRDefault="00EA2D1B" w:rsidP="00532CD6">
            <w:r w:rsidRPr="00B404DE">
              <w:t xml:space="preserve"> </w:t>
            </w:r>
            <w:r w:rsidR="00DD66E2" w:rsidRPr="00DD66E2">
              <w:t>2021-11-26</w:t>
            </w:r>
          </w:p>
        </w:tc>
        <w:tc>
          <w:tcPr>
            <w:tcW w:w="1898" w:type="dxa"/>
            <w:vAlign w:val="center"/>
          </w:tcPr>
          <w:p w14:paraId="29FFC459" w14:textId="77777777" w:rsidR="00EA2D1B" w:rsidRPr="00902A9F" w:rsidRDefault="00EA2D1B" w:rsidP="00532CD6">
            <w:r w:rsidRPr="00B404DE">
              <w:t xml:space="preserve">Nr. </w:t>
            </w:r>
          </w:p>
        </w:tc>
      </w:tr>
    </w:tbl>
    <w:p w14:paraId="5E2235D7" w14:textId="77777777" w:rsidR="00EA2D1B" w:rsidRPr="00484191" w:rsidRDefault="00EA2D1B" w:rsidP="00EA2D1B">
      <w:pPr>
        <w:jc w:val="both"/>
        <w:rPr>
          <w:b/>
        </w:rPr>
      </w:pPr>
    </w:p>
    <w:p w14:paraId="617855DD" w14:textId="77777777" w:rsidR="00EA2D1B" w:rsidRDefault="00EA2D1B" w:rsidP="00EA2D1B">
      <w:pPr>
        <w:jc w:val="both"/>
        <w:rPr>
          <w:b/>
        </w:rPr>
      </w:pPr>
      <w:r w:rsidRPr="00484191">
        <w:rPr>
          <w:b/>
        </w:rPr>
        <w:t>DĖL REKOMENDACIJOS LIETUVOS RESPUBLIKOS SVEIKATOS APSAUGOS MINISTERIJOS VAISTINIŲ PREPARATŲ IR MEDICINOS PAGALBOS PRIEMONIŲ KOMPENSAVIMO KOMISIJAI PATEIKIMO</w:t>
      </w:r>
    </w:p>
    <w:p w14:paraId="6082FA8A" w14:textId="77777777" w:rsidR="00EA2D1B" w:rsidRDefault="00EA2D1B" w:rsidP="00EA2D1B">
      <w:pPr>
        <w:jc w:val="both"/>
      </w:pPr>
    </w:p>
    <w:p w14:paraId="1BD2789F" w14:textId="513BF158" w:rsidR="00EA2D1B" w:rsidRDefault="00EA2D1B" w:rsidP="0057598B">
      <w:pPr>
        <w:widowControl w:val="0"/>
        <w:ind w:firstLine="720"/>
        <w:jc w:val="both"/>
        <w:rPr>
          <w:rFonts w:eastAsia="Arial Unicode MS"/>
        </w:rPr>
      </w:pPr>
      <w:r w:rsidRPr="00484191">
        <w:t>Valstybinės vaistų kontrolės tarnyb</w:t>
      </w:r>
      <w:r w:rsidR="0038480E">
        <w:t>a</w:t>
      </w:r>
      <w:r w:rsidRPr="00484191">
        <w:t xml:space="preserve"> </w:t>
      </w:r>
      <w:r w:rsidR="0038480E">
        <w:t xml:space="preserve">(toliau – Tarnyba) </w:t>
      </w:r>
      <w:r w:rsidRPr="00484191">
        <w:t xml:space="preserve">prie Lietuvos Respublikos sveikatos apsaugos ministerijos </w:t>
      </w:r>
      <w:r w:rsidR="000C3BDC">
        <w:t xml:space="preserve">įvertinusi pareiškėjo UAB </w:t>
      </w:r>
      <w:r w:rsidR="006C7E1A">
        <w:t>„</w:t>
      </w:r>
      <w:r w:rsidR="000C3BDC">
        <w:t>Nutricia Baltics</w:t>
      </w:r>
      <w:r w:rsidR="006C7E1A">
        <w:t>“</w:t>
      </w:r>
      <w:r w:rsidR="0038480E">
        <w:t xml:space="preserve"> (toliau – Pareiškėjas)</w:t>
      </w:r>
      <w:r w:rsidR="000C3BDC" w:rsidRPr="00484191" w:rsidDel="00DE055C">
        <w:t xml:space="preserve"> </w:t>
      </w:r>
      <w:r w:rsidR="000C3BDC">
        <w:t>pateikt</w:t>
      </w:r>
      <w:r w:rsidR="0038480E">
        <w:t xml:space="preserve">ą specialios medicininės paskirties </w:t>
      </w:r>
      <w:r w:rsidR="005E5558">
        <w:t xml:space="preserve">maisto </w:t>
      </w:r>
      <w:r w:rsidR="0038480E">
        <w:t>produkto</w:t>
      </w:r>
      <w:r w:rsidR="0038480E" w:rsidRPr="0077295E">
        <w:t xml:space="preserve"> </w:t>
      </w:r>
      <w:r w:rsidR="0038480E">
        <w:t>„</w:t>
      </w:r>
      <w:r w:rsidR="0038480E" w:rsidRPr="000F71D4">
        <w:t>PKU GMPro LQ</w:t>
      </w:r>
      <w:r w:rsidR="0038480E">
        <w:t xml:space="preserve"> 250 ml“ p</w:t>
      </w:r>
      <w:r w:rsidR="000C3BDC" w:rsidRPr="0057598B">
        <w:rPr>
          <w:bCs/>
        </w:rPr>
        <w:t>araišk</w:t>
      </w:r>
      <w:r w:rsidR="000C3BDC">
        <w:rPr>
          <w:bCs/>
        </w:rPr>
        <w:t xml:space="preserve">ą </w:t>
      </w:r>
      <w:r w:rsidR="000C3BDC" w:rsidRPr="000C3BDC">
        <w:rPr>
          <w:bCs/>
        </w:rPr>
        <w:t>įrašyti medicinos</w:t>
      </w:r>
      <w:r w:rsidR="000C3BDC">
        <w:rPr>
          <w:bCs/>
        </w:rPr>
        <w:t xml:space="preserve"> </w:t>
      </w:r>
      <w:r w:rsidR="000C3BDC" w:rsidRPr="0057598B">
        <w:rPr>
          <w:bCs/>
        </w:rPr>
        <w:t>pagalbos priemonę į kompensuojamųjų medicinos pagalbos priemonių sąrašą (</w:t>
      </w:r>
      <w:r w:rsidR="000C3BDC">
        <w:rPr>
          <w:bCs/>
        </w:rPr>
        <w:t xml:space="preserve">C </w:t>
      </w:r>
      <w:r w:rsidR="000C3BDC" w:rsidRPr="0057598B">
        <w:rPr>
          <w:bCs/>
        </w:rPr>
        <w:t>sąrašą)</w:t>
      </w:r>
      <w:r w:rsidR="0038480E">
        <w:rPr>
          <w:bCs/>
        </w:rPr>
        <w:t xml:space="preserve"> (toliau – Paraiška)</w:t>
      </w:r>
      <w:r w:rsidR="000C3BDC">
        <w:rPr>
          <w:bCs/>
        </w:rPr>
        <w:t xml:space="preserve">, </w:t>
      </w:r>
      <w:r w:rsidR="00DE055C">
        <w:t xml:space="preserve">teikia išvadą ir rekomendaciją Lietuvos </w:t>
      </w:r>
      <w:r w:rsidR="00DE055C" w:rsidRPr="00AF231B">
        <w:rPr>
          <w:color w:val="000000"/>
          <w:szCs w:val="16"/>
        </w:rPr>
        <w:t xml:space="preserve">Respublikos Sveikatos apsaugos ministerijos </w:t>
      </w:r>
      <w:r w:rsidRPr="00484191">
        <w:t>Vaistinių preparatų ir medicinos pagalbos p</w:t>
      </w:r>
      <w:r>
        <w:t>riemonių kompensavimo komisij</w:t>
      </w:r>
      <w:r w:rsidR="00DE055C">
        <w:t>ai</w:t>
      </w:r>
      <w:r w:rsidRPr="009E0C9D">
        <w:t xml:space="preserve"> </w:t>
      </w:r>
      <w:r w:rsidR="00DE055C">
        <w:rPr>
          <w:color w:val="000000"/>
          <w:szCs w:val="16"/>
        </w:rPr>
        <w:t>(toliau - Komisija)</w:t>
      </w:r>
      <w:r w:rsidR="0038480E">
        <w:rPr>
          <w:color w:val="000000"/>
          <w:szCs w:val="16"/>
        </w:rPr>
        <w:t>.</w:t>
      </w:r>
      <w:r w:rsidR="00DE055C">
        <w:rPr>
          <w:color w:val="000000"/>
          <w:szCs w:val="16"/>
        </w:rPr>
        <w:t xml:space="preserve"> </w:t>
      </w:r>
    </w:p>
    <w:p w14:paraId="7B73DE78" w14:textId="5EE676D9" w:rsidR="00BD4CD5" w:rsidRDefault="0038480E" w:rsidP="00EA2D1B">
      <w:pPr>
        <w:ind w:firstLine="993"/>
        <w:jc w:val="both"/>
      </w:pPr>
      <w:r>
        <w:t>Paraiškoje teikiamas specialios medicininės paskirties</w:t>
      </w:r>
      <w:r w:rsidR="005E5558">
        <w:t xml:space="preserve"> maisto</w:t>
      </w:r>
      <w:r>
        <w:t xml:space="preserve"> produktas</w:t>
      </w:r>
      <w:r w:rsidRPr="0077295E">
        <w:t xml:space="preserve"> </w:t>
      </w:r>
      <w:r w:rsidR="007D7557">
        <w:t xml:space="preserve">yra natūralaus skonio, maistiniu požiūriu nevisavertis maisto produktas, turintis mažą fenilalanino kiekį. Tai paruoštas vartoti </w:t>
      </w:r>
      <w:r w:rsidR="005E5558">
        <w:t xml:space="preserve">maisto </w:t>
      </w:r>
      <w:r w:rsidR="007D7557">
        <w:t>produktas, kurio sudėtyje yra glikomakropeptido (GMP), būtinų ir nepakeičiamų aminorūgščių, angliavandenių, riebalų (įskaitant dokozaheksaeno rūgštį (DHA) ir eikozapentaeno riebalų rūgštį (EPA)), vitaminų, mineralų ir mikroelementų.</w:t>
      </w:r>
      <w:r w:rsidR="00BD4CD5">
        <w:t xml:space="preserve"> </w:t>
      </w:r>
    </w:p>
    <w:p w14:paraId="746A223B" w14:textId="6B04E8DE" w:rsidR="00EA2D1B" w:rsidRDefault="000D74A7" w:rsidP="00EA2D1B">
      <w:pPr>
        <w:ind w:firstLine="993"/>
        <w:jc w:val="both"/>
        <w:rPr>
          <w:color w:val="000000"/>
        </w:rPr>
      </w:pPr>
      <w:r>
        <w:t>R</w:t>
      </w:r>
      <w:r w:rsidR="00EA2D1B">
        <w:t xml:space="preserve">emiantis </w:t>
      </w:r>
      <w:r w:rsidR="00EA2D1B">
        <w:rPr>
          <w:color w:val="000000"/>
        </w:rPr>
        <w:t xml:space="preserve">2000 m. spalio 6 d. LR Sveikatos apsaugos ministro įsakymu Nr. 529 „Dėl kompensuojamųjų medicinos pagalbos priemonių sąrašo (C sąrašo) patvirtinimo“, </w:t>
      </w:r>
      <w:r w:rsidR="00EA2D1B" w:rsidRPr="00EA2D1B">
        <w:rPr>
          <w:rFonts w:eastAsia="Arial Unicode MS"/>
        </w:rPr>
        <w:t>s</w:t>
      </w:r>
      <w:r w:rsidR="00EA2D1B" w:rsidRPr="00FE282A">
        <w:rPr>
          <w:rFonts w:eastAsia="Arial Unicode MS"/>
        </w:rPr>
        <w:t>pecialiosios paskirties maisto produktai, kurių sudėtyje yra sumažintas baltymų ir</w:t>
      </w:r>
      <w:r w:rsidR="00EA2D1B" w:rsidRPr="00EA2D1B">
        <w:rPr>
          <w:rFonts w:eastAsia="Arial Unicode MS"/>
        </w:rPr>
        <w:t xml:space="preserve"> </w:t>
      </w:r>
      <w:r w:rsidR="00EA2D1B" w:rsidRPr="00FE282A">
        <w:rPr>
          <w:rFonts w:eastAsia="Arial Unicode MS"/>
        </w:rPr>
        <w:t xml:space="preserve">fenilalanino </w:t>
      </w:r>
      <w:r w:rsidR="00EA2D1B" w:rsidRPr="00EA2D1B">
        <w:rPr>
          <w:rFonts w:eastAsia="Arial Unicode MS"/>
        </w:rPr>
        <w:t>kiekis yra kompensuojami fenilketonurija sergantiems pacientams.</w:t>
      </w:r>
    </w:p>
    <w:p w14:paraId="10F382E5" w14:textId="366672DA" w:rsidR="00EA2D1B" w:rsidRDefault="00EA2D1B" w:rsidP="00EA2D1B">
      <w:pPr>
        <w:ind w:firstLine="993"/>
        <w:jc w:val="both"/>
      </w:pPr>
      <w:r>
        <w:t>Tarnyba atkreipia dėmesį, kad vertinamos MPP skiriamosios savybės</w:t>
      </w:r>
      <w:r w:rsidR="00652FFD">
        <w:t>,</w:t>
      </w:r>
      <w:r>
        <w:t xml:space="preserve"> lyginant su alternatyviomis MPP, kurios šiuo metu yra kompensuojamos, yra </w:t>
      </w:r>
      <w:r w:rsidR="002D6ABF">
        <w:t>3</w:t>
      </w:r>
      <w:r>
        <w:t>:</w:t>
      </w:r>
    </w:p>
    <w:p w14:paraId="017FD766" w14:textId="5E6973F0" w:rsidR="00EA2D1B" w:rsidRDefault="00EA2D1B" w:rsidP="00EA2D1B">
      <w:pPr>
        <w:pStyle w:val="Sraopastraipa"/>
        <w:numPr>
          <w:ilvl w:val="0"/>
          <w:numId w:val="1"/>
        </w:numPr>
        <w:jc w:val="both"/>
      </w:pPr>
      <w:r>
        <w:t xml:space="preserve">Tai yra </w:t>
      </w:r>
      <w:r w:rsidR="0027324E" w:rsidRPr="0027324E">
        <w:t>iš</w:t>
      </w:r>
      <w:r w:rsidR="0027324E">
        <w:t xml:space="preserve"> </w:t>
      </w:r>
      <w:r w:rsidR="00652FFD" w:rsidRPr="0057598B">
        <w:rPr>
          <w:b/>
          <w:i/>
        </w:rPr>
        <w:t xml:space="preserve">natūralių </w:t>
      </w:r>
      <w:r w:rsidRPr="00EA2D1B">
        <w:rPr>
          <w:b/>
          <w:i/>
        </w:rPr>
        <w:t xml:space="preserve">baltymų </w:t>
      </w:r>
      <w:r w:rsidR="0027324E">
        <w:rPr>
          <w:b/>
          <w:i/>
        </w:rPr>
        <w:t>(kazeino) pagamintas produktas</w:t>
      </w:r>
      <w:r w:rsidRPr="00EA2D1B">
        <w:rPr>
          <w:b/>
          <w:i/>
        </w:rPr>
        <w:t xml:space="preserve">, kuriame yra </w:t>
      </w:r>
      <w:r w:rsidR="0027324E">
        <w:rPr>
          <w:b/>
          <w:i/>
        </w:rPr>
        <w:t>su</w:t>
      </w:r>
      <w:r w:rsidRPr="00EA2D1B">
        <w:rPr>
          <w:b/>
          <w:i/>
        </w:rPr>
        <w:t>maži</w:t>
      </w:r>
      <w:r w:rsidR="0027324E">
        <w:rPr>
          <w:b/>
          <w:i/>
        </w:rPr>
        <w:t>ntas</w:t>
      </w:r>
      <w:r w:rsidRPr="00EA2D1B">
        <w:rPr>
          <w:b/>
          <w:i/>
        </w:rPr>
        <w:t xml:space="preserve"> fenilalanino</w:t>
      </w:r>
      <w:r w:rsidR="0027324E">
        <w:rPr>
          <w:b/>
          <w:i/>
        </w:rPr>
        <w:t xml:space="preserve"> kiekis</w:t>
      </w:r>
      <w:r w:rsidR="0027324E" w:rsidRPr="0057598B">
        <w:rPr>
          <w:i/>
        </w:rPr>
        <w:t xml:space="preserve">. </w:t>
      </w:r>
    </w:p>
    <w:p w14:paraId="4725630B" w14:textId="7F38164B" w:rsidR="00EA2D1B" w:rsidRDefault="00EA2D1B" w:rsidP="00E97018">
      <w:pPr>
        <w:pStyle w:val="Sraopastraipa"/>
        <w:numPr>
          <w:ilvl w:val="0"/>
          <w:numId w:val="1"/>
        </w:numPr>
        <w:jc w:val="both"/>
      </w:pPr>
      <w:r>
        <w:t>Tai yra</w:t>
      </w:r>
      <w:r w:rsidRPr="00E97018">
        <w:rPr>
          <w:b/>
          <w:i/>
        </w:rPr>
        <w:t xml:space="preserve"> vartojimui </w:t>
      </w:r>
      <w:r w:rsidR="00E97018">
        <w:rPr>
          <w:b/>
          <w:i/>
        </w:rPr>
        <w:t xml:space="preserve">jau </w:t>
      </w:r>
      <w:r w:rsidRPr="00E97018">
        <w:rPr>
          <w:b/>
          <w:i/>
        </w:rPr>
        <w:t>paruoštas gėrimas</w:t>
      </w:r>
      <w:r>
        <w:t xml:space="preserve">, </w:t>
      </w:r>
      <w:r w:rsidR="0027324E">
        <w:t xml:space="preserve">tuo tarpu </w:t>
      </w:r>
      <w:r>
        <w:t xml:space="preserve">šiuo metu visi šiai indikacijai kompensuojami </w:t>
      </w:r>
      <w:r w:rsidR="00E97018">
        <w:t>produktai yra sausų produktų pavidal</w:t>
      </w:r>
      <w:r w:rsidR="0027324E">
        <w:t>u</w:t>
      </w:r>
      <w:r w:rsidR="00E97018">
        <w:t xml:space="preserve"> (miltai, pieno milteliai, kiaušinių pakaitalai).</w:t>
      </w:r>
    </w:p>
    <w:p w14:paraId="4F630989" w14:textId="21C7CCD4" w:rsidR="002D6ABF" w:rsidRDefault="002D6ABF" w:rsidP="00E97018">
      <w:pPr>
        <w:pStyle w:val="Sraopastraipa"/>
        <w:numPr>
          <w:ilvl w:val="0"/>
          <w:numId w:val="1"/>
        </w:numPr>
        <w:jc w:val="both"/>
      </w:pPr>
      <w:r>
        <w:t xml:space="preserve">Tai yra </w:t>
      </w:r>
      <w:r w:rsidRPr="006612AD">
        <w:rPr>
          <w:b/>
          <w:i/>
        </w:rPr>
        <w:t xml:space="preserve">produktas, </w:t>
      </w:r>
      <w:r w:rsidR="006612AD" w:rsidRPr="006612AD">
        <w:rPr>
          <w:b/>
          <w:i/>
        </w:rPr>
        <w:t>turintis</w:t>
      </w:r>
      <w:r w:rsidRPr="006612AD">
        <w:rPr>
          <w:b/>
          <w:i/>
        </w:rPr>
        <w:t xml:space="preserve"> geras skonio ir kvapo savybes</w:t>
      </w:r>
      <w:r w:rsidR="006612AD">
        <w:t xml:space="preserve"> (palyginus su alternatyviomis MPP)</w:t>
      </w:r>
      <w:r>
        <w:t>, dėl kurių pacientai</w:t>
      </w:r>
      <w:r w:rsidR="006612AD">
        <w:t xml:space="preserve"> (ypatingai vaikai)</w:t>
      </w:r>
      <w:r>
        <w:t xml:space="preserve"> </w:t>
      </w:r>
      <w:r w:rsidR="006612AD">
        <w:t>yra linkę geriau laikytis specialios dietos, kuri yra gyvybiškai svarbi fenilketonurija sergantiems žmonėms.</w:t>
      </w:r>
    </w:p>
    <w:p w14:paraId="71EF247A" w14:textId="77777777" w:rsidR="00743DDD" w:rsidRDefault="00743DDD" w:rsidP="006612AD">
      <w:pPr>
        <w:ind w:firstLine="993"/>
        <w:jc w:val="both"/>
      </w:pPr>
    </w:p>
    <w:p w14:paraId="24FE0863" w14:textId="3243E684" w:rsidR="00E97018" w:rsidRDefault="008B2962" w:rsidP="006612AD">
      <w:pPr>
        <w:ind w:firstLine="993"/>
        <w:jc w:val="both"/>
      </w:pPr>
      <w:r>
        <w:t>Vadovaujantis</w:t>
      </w:r>
      <w:r w:rsidRPr="002B375C">
        <w:t xml:space="preserve"> </w:t>
      </w:r>
      <w:r w:rsidR="00EA2D1B" w:rsidRPr="0077295E">
        <w:t xml:space="preserve">Lietuvos Respublikos </w:t>
      </w:r>
      <w:r w:rsidR="00EA2D1B">
        <w:t>s</w:t>
      </w:r>
      <w:r w:rsidR="00EA2D1B" w:rsidRPr="0077295E">
        <w:t xml:space="preserve">veikatos </w:t>
      </w:r>
      <w:r w:rsidR="00EA2D1B">
        <w:t>a</w:t>
      </w:r>
      <w:r w:rsidR="00EA2D1B" w:rsidRPr="0077295E">
        <w:t xml:space="preserve">psaugos </w:t>
      </w:r>
      <w:r w:rsidR="00EA2D1B">
        <w:t>m</w:t>
      </w:r>
      <w:r w:rsidR="00EA2D1B" w:rsidRPr="0077295E">
        <w:t>inistr</w:t>
      </w:r>
      <w:r w:rsidR="00EA2D1B">
        <w:t xml:space="preserve">o </w:t>
      </w:r>
      <w:r w:rsidR="00EA2D1B" w:rsidRPr="0077295E">
        <w:t xml:space="preserve">2009 m. spalio 23 d. </w:t>
      </w:r>
      <w:r w:rsidR="00EA2D1B">
        <w:t>N</w:t>
      </w:r>
      <w:r w:rsidR="00EA2D1B" w:rsidRPr="0077295E">
        <w:t xml:space="preserve">r. </w:t>
      </w:r>
      <w:r w:rsidR="00EA2D1B">
        <w:t>V</w:t>
      </w:r>
      <w:r w:rsidR="00EA2D1B" w:rsidRPr="0077295E">
        <w:t>-880</w:t>
      </w:r>
      <w:r w:rsidR="00EA2D1B">
        <w:t xml:space="preserve"> </w:t>
      </w:r>
      <w:r w:rsidR="00EA2D1B" w:rsidRPr="0077295E">
        <w:t>įsakym</w:t>
      </w:r>
      <w:r w:rsidR="00EA2D1B">
        <w:t>u „Dė</w:t>
      </w:r>
      <w:r w:rsidR="00EA2D1B" w:rsidRPr="0077295E">
        <w:t>l ambulatoriniam gydymui skirtų kompensuojamųjų medicinos pagalbos priemonių grupių ir šioms grupėms priskiriamų medicinos pagalbos priemonių jų bazinei kainai apskaičiuoti sąrašo patvirtinimo</w:t>
      </w:r>
      <w:r w:rsidR="00EA2D1B">
        <w:t>“ MPP priemonės yra grupuojamos pagal paskirtį.</w:t>
      </w:r>
      <w:r w:rsidR="006612AD">
        <w:t xml:space="preserve"> </w:t>
      </w:r>
      <w:r w:rsidR="00EA2D1B">
        <w:t xml:space="preserve">Vertinama MPP </w:t>
      </w:r>
      <w:r w:rsidR="002D6ABF">
        <w:t xml:space="preserve">galėtų </w:t>
      </w:r>
      <w:r w:rsidR="00EA2D1B">
        <w:t>būt</w:t>
      </w:r>
      <w:r w:rsidR="002D6ABF">
        <w:t>i</w:t>
      </w:r>
      <w:r w:rsidR="00EA2D1B">
        <w:t xml:space="preserve"> priskirta </w:t>
      </w:r>
      <w:r w:rsidR="004B4C64">
        <w:t xml:space="preserve">MPP grupei </w:t>
      </w:r>
      <w:r w:rsidR="00EA2D1B">
        <w:t>„</w:t>
      </w:r>
      <w:r w:rsidR="00E97018">
        <w:rPr>
          <w:color w:val="000000"/>
        </w:rPr>
        <w:t>Gydomajam maitinimui skirti specialiosios paskirties maisto produktai</w:t>
      </w:r>
      <w:r w:rsidR="00EA2D1B">
        <w:t>“</w:t>
      </w:r>
      <w:r w:rsidR="004B4C64">
        <w:t>.</w:t>
      </w:r>
      <w:r w:rsidR="00EC54E3">
        <w:t xml:space="preserve"> </w:t>
      </w:r>
      <w:r w:rsidR="004B4C64">
        <w:t>J</w:t>
      </w:r>
      <w:r w:rsidR="00E97018">
        <w:t xml:space="preserve">oje </w:t>
      </w:r>
      <w:r w:rsidR="004B4C64">
        <w:t xml:space="preserve">yra išskirtos tokios grupės: „miltai, pieno milteliai, kiaušinių pakaitalai, ryžiai, makaronai, pusryčių javainiai“, o </w:t>
      </w:r>
      <w:r w:rsidR="00E97018">
        <w:t xml:space="preserve">atskiros gėrimų </w:t>
      </w:r>
      <w:r w:rsidR="00E97018">
        <w:lastRenderedPageBreak/>
        <w:t>kategorijos</w:t>
      </w:r>
      <w:r w:rsidR="004B4C64">
        <w:t xml:space="preserve"> nėra.</w:t>
      </w:r>
      <w:r w:rsidR="00E47F04">
        <w:t xml:space="preserve"> </w:t>
      </w:r>
      <w:r w:rsidR="00EC54E3">
        <w:t xml:space="preserve">Kadangi </w:t>
      </w:r>
      <w:r w:rsidR="00E47F04">
        <w:t>visiškai Paraiškoje teikiamo specialios medicininės paskirties maisto produkto savybes atitinkančio pogrupio nėra</w:t>
      </w:r>
      <w:r w:rsidR="00EC54E3">
        <w:t>, tai</w:t>
      </w:r>
      <w:r w:rsidR="00E47F04">
        <w:t xml:space="preserve"> sudaro prielaidas netiksliam funkcinės vertės įvertinimui.</w:t>
      </w:r>
    </w:p>
    <w:p w14:paraId="32154544" w14:textId="3A8410AE" w:rsidR="00213535" w:rsidRDefault="00213535" w:rsidP="006612AD">
      <w:pPr>
        <w:ind w:firstLine="993"/>
        <w:jc w:val="both"/>
      </w:pPr>
      <w:r>
        <w:t>Tarnybos nuomone tam, kad būtų galima tiksliau vertinti gydomosios paskirties maisto produkto „</w:t>
      </w:r>
      <w:r w:rsidRPr="000F71D4">
        <w:t>PKU GMPro LQ</w:t>
      </w:r>
      <w:r>
        <w:t xml:space="preserve"> 250 ml“ funkcinę vertę, </w:t>
      </w:r>
      <w:r>
        <w:rPr>
          <w:color w:val="000000"/>
        </w:rPr>
        <w:t>būtų naudinga gydomajam maitinimui skirtų specialiosios paskirties maisto produktų</w:t>
      </w:r>
      <w:r>
        <w:t xml:space="preserve"> su sumažintu baltymų kiekiu ir sumažintu fenilalanino kiekiu grupėje išskirti naują kategoriją, pvz., gėrimai.</w:t>
      </w:r>
    </w:p>
    <w:p w14:paraId="066C00CF" w14:textId="52921B03" w:rsidR="008B2962" w:rsidRDefault="008B2962" w:rsidP="008B2962">
      <w:pPr>
        <w:ind w:firstLine="993"/>
        <w:jc w:val="both"/>
      </w:pPr>
      <w:r>
        <w:rPr>
          <w:szCs w:val="16"/>
        </w:rPr>
        <w:t>R</w:t>
      </w:r>
      <w:r w:rsidRPr="00AF1744">
        <w:rPr>
          <w:szCs w:val="16"/>
        </w:rPr>
        <w:t xml:space="preserve">emiantis </w:t>
      </w:r>
      <w:r w:rsidRPr="00AF1744">
        <w:t xml:space="preserve">Lietuvos Respublikos Sveikatos Apsaugos ministro įsakymu Nr. </w:t>
      </w:r>
      <w:r>
        <w:t xml:space="preserve">159 </w:t>
      </w:r>
      <w:r w:rsidRPr="00575C16">
        <w:t>„</w:t>
      </w:r>
      <w:r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>
        <w:t xml:space="preserve"> (toliau – Aprašas)</w:t>
      </w:r>
      <w:r w:rsidRPr="00575C16">
        <w:t xml:space="preserve"> </w:t>
      </w:r>
      <w:r w:rsidRPr="000C039F">
        <w:t>1</w:t>
      </w:r>
      <w:r w:rsidRPr="000C039F">
        <w:rPr>
          <w:vertAlign w:val="superscript"/>
        </w:rPr>
        <w:t xml:space="preserve"> </w:t>
      </w:r>
      <w:r w:rsidRPr="000C039F">
        <w:t>p</w:t>
      </w:r>
      <w:r>
        <w:t xml:space="preserve">riede išdėstyta medicinos pagalbos priemonių vertinimo schema Paraiškoje teikiamo specialios medicininės paskirties produkto funkcinė vertė įvertinta </w:t>
      </w:r>
      <w:r w:rsidR="00EC54E3">
        <w:t>7</w:t>
      </w:r>
      <w:r>
        <w:t xml:space="preserve"> bal</w:t>
      </w:r>
      <w:r w:rsidR="00EC54E3">
        <w:t>ais</w:t>
      </w:r>
      <w:r>
        <w:t xml:space="preserve"> (žr. 1 lentelę).</w:t>
      </w:r>
      <w:r w:rsidR="0057598B" w:rsidRPr="0077295E" w:rsidDel="0057598B">
        <w:t xml:space="preserve"> </w:t>
      </w:r>
    </w:p>
    <w:p w14:paraId="7867BA05" w14:textId="77777777" w:rsidR="008B2962" w:rsidRDefault="008B2962" w:rsidP="0057598B">
      <w:pPr>
        <w:ind w:firstLine="993"/>
        <w:jc w:val="both"/>
      </w:pPr>
    </w:p>
    <w:p w14:paraId="3E585431" w14:textId="48BCC2F8" w:rsidR="008B2962" w:rsidRDefault="008B2962" w:rsidP="008B2962">
      <w:pPr>
        <w:jc w:val="both"/>
      </w:pPr>
      <w:r>
        <w:t>1 lentelė. Medicininės paskirties produkto „</w:t>
      </w:r>
      <w:r w:rsidR="0057598B" w:rsidRPr="000F71D4">
        <w:t>PKU GMPro LQ</w:t>
      </w:r>
      <w:r w:rsidR="0057598B">
        <w:t xml:space="preserve"> 250 ml</w:t>
      </w:r>
      <w:r>
        <w:t>“ funkcinės vertės įvertinimas.</w:t>
      </w:r>
    </w:p>
    <w:p w14:paraId="5DA2B7BC" w14:textId="77777777" w:rsidR="008B2962" w:rsidRDefault="008B2962" w:rsidP="008B2962">
      <w:pPr>
        <w:jc w:val="both"/>
      </w:pPr>
    </w:p>
    <w:tbl>
      <w:tblPr>
        <w:tblStyle w:val="Lentelstinklelis"/>
        <w:tblW w:w="9188" w:type="dxa"/>
        <w:tblLook w:val="04A0" w:firstRow="1" w:lastRow="0" w:firstColumn="1" w:lastColumn="0" w:noHBand="0" w:noVBand="1"/>
      </w:tblPr>
      <w:tblGrid>
        <w:gridCol w:w="718"/>
        <w:gridCol w:w="5407"/>
        <w:gridCol w:w="3063"/>
      </w:tblGrid>
      <w:tr w:rsidR="008B2962" w14:paraId="295723EC" w14:textId="77777777" w:rsidTr="00C16FE6">
        <w:trPr>
          <w:trHeight w:val="573"/>
        </w:trPr>
        <w:tc>
          <w:tcPr>
            <w:tcW w:w="718" w:type="dxa"/>
          </w:tcPr>
          <w:p w14:paraId="466FA2A1" w14:textId="77777777" w:rsidR="008B2962" w:rsidRPr="00C16FE6" w:rsidRDefault="008B2962" w:rsidP="00C16FE6">
            <w:pPr>
              <w:jc w:val="both"/>
              <w:rPr>
                <w:b/>
              </w:rPr>
            </w:pPr>
            <w:r w:rsidRPr="00C16FE6">
              <w:rPr>
                <w:b/>
              </w:rPr>
              <w:t xml:space="preserve">Nr. </w:t>
            </w:r>
          </w:p>
        </w:tc>
        <w:tc>
          <w:tcPr>
            <w:tcW w:w="5407" w:type="dxa"/>
          </w:tcPr>
          <w:p w14:paraId="43BED394" w14:textId="77777777" w:rsidR="008B2962" w:rsidRPr="00C16FE6" w:rsidRDefault="008B2962" w:rsidP="00C16FE6">
            <w:pPr>
              <w:jc w:val="both"/>
              <w:rPr>
                <w:b/>
              </w:rPr>
            </w:pPr>
            <w:r w:rsidRPr="00C16FE6">
              <w:rPr>
                <w:b/>
              </w:rPr>
              <w:t>Funkcinės vertės kriterijai</w:t>
            </w:r>
          </w:p>
        </w:tc>
        <w:tc>
          <w:tcPr>
            <w:tcW w:w="3063" w:type="dxa"/>
          </w:tcPr>
          <w:p w14:paraId="0AC7AD7C" w14:textId="77777777" w:rsidR="008B2962" w:rsidRPr="00C16FE6" w:rsidRDefault="008B2962" w:rsidP="00C16FE6">
            <w:pPr>
              <w:jc w:val="both"/>
              <w:rPr>
                <w:b/>
              </w:rPr>
            </w:pPr>
            <w:r w:rsidRPr="00C16FE6">
              <w:rPr>
                <w:b/>
              </w:rPr>
              <w:t>Balai</w:t>
            </w:r>
          </w:p>
        </w:tc>
      </w:tr>
      <w:tr w:rsidR="008B2962" w14:paraId="46CE82E7" w14:textId="77777777" w:rsidTr="00C16FE6">
        <w:trPr>
          <w:trHeight w:val="347"/>
        </w:trPr>
        <w:tc>
          <w:tcPr>
            <w:tcW w:w="718" w:type="dxa"/>
          </w:tcPr>
          <w:p w14:paraId="0F09DF37" w14:textId="77777777" w:rsidR="008B2962" w:rsidRDefault="008B2962" w:rsidP="00C16FE6">
            <w:pPr>
              <w:jc w:val="both"/>
            </w:pPr>
            <w:r>
              <w:t>1.1</w:t>
            </w:r>
          </w:p>
        </w:tc>
        <w:tc>
          <w:tcPr>
            <w:tcW w:w="5407" w:type="dxa"/>
          </w:tcPr>
          <w:p w14:paraId="08C50997" w14:textId="0B9C0503" w:rsidR="008B2962" w:rsidRDefault="008B2962" w:rsidP="001600E7">
            <w:pPr>
              <w:jc w:val="both"/>
            </w:pPr>
            <w:r>
              <w:t>Ligos įtak</w:t>
            </w:r>
            <w:r w:rsidR="001600E7">
              <w:t>a</w:t>
            </w:r>
            <w:r>
              <w:t xml:space="preserve"> sveikatai</w:t>
            </w:r>
          </w:p>
        </w:tc>
        <w:tc>
          <w:tcPr>
            <w:tcW w:w="3063" w:type="dxa"/>
          </w:tcPr>
          <w:p w14:paraId="0A0D99B6" w14:textId="624E9357" w:rsidR="008B2962" w:rsidRDefault="006C69C3" w:rsidP="00C16FE6">
            <w:pPr>
              <w:jc w:val="both"/>
            </w:pPr>
            <w:r>
              <w:t>***</w:t>
            </w:r>
            <w:r w:rsidR="00EC54E3">
              <w:t xml:space="preserve"> balai</w:t>
            </w:r>
          </w:p>
        </w:tc>
      </w:tr>
      <w:tr w:rsidR="008B2962" w14:paraId="5F558319" w14:textId="77777777" w:rsidTr="00C16FE6">
        <w:trPr>
          <w:trHeight w:val="347"/>
        </w:trPr>
        <w:tc>
          <w:tcPr>
            <w:tcW w:w="718" w:type="dxa"/>
          </w:tcPr>
          <w:p w14:paraId="7B80C310" w14:textId="77777777" w:rsidR="008B2962" w:rsidRDefault="008B2962" w:rsidP="00C16FE6">
            <w:pPr>
              <w:jc w:val="both"/>
            </w:pPr>
            <w:r>
              <w:t>1.2</w:t>
            </w:r>
          </w:p>
        </w:tc>
        <w:tc>
          <w:tcPr>
            <w:tcW w:w="5407" w:type="dxa"/>
          </w:tcPr>
          <w:p w14:paraId="15C83347" w14:textId="0381EF20" w:rsidR="008B2962" w:rsidRDefault="001600E7" w:rsidP="00C16FE6">
            <w:pPr>
              <w:jc w:val="both"/>
            </w:pPr>
            <w:r>
              <w:t>Socialinė</w:t>
            </w:r>
            <w:r w:rsidR="008B2962">
              <w:t xml:space="preserve"> medicinos pagalbos priemonės svarba</w:t>
            </w:r>
          </w:p>
        </w:tc>
        <w:tc>
          <w:tcPr>
            <w:tcW w:w="3063" w:type="dxa"/>
          </w:tcPr>
          <w:p w14:paraId="3C63E503" w14:textId="6FB685AF" w:rsidR="008B2962" w:rsidRDefault="006C69C3" w:rsidP="00C16FE6">
            <w:pPr>
              <w:jc w:val="both"/>
            </w:pPr>
            <w:r>
              <w:t>***</w:t>
            </w:r>
            <w:r w:rsidR="00EC54E3">
              <w:t xml:space="preserve"> balai</w:t>
            </w:r>
          </w:p>
        </w:tc>
      </w:tr>
      <w:tr w:rsidR="008B2962" w14:paraId="28EAAC35" w14:textId="77777777" w:rsidTr="00C16FE6">
        <w:trPr>
          <w:trHeight w:val="367"/>
        </w:trPr>
        <w:tc>
          <w:tcPr>
            <w:tcW w:w="718" w:type="dxa"/>
          </w:tcPr>
          <w:p w14:paraId="6E933C35" w14:textId="77777777" w:rsidR="008B2962" w:rsidRDefault="008B2962" w:rsidP="00C16FE6">
            <w:pPr>
              <w:jc w:val="both"/>
            </w:pPr>
            <w:r>
              <w:t>1.3</w:t>
            </w:r>
          </w:p>
        </w:tc>
        <w:tc>
          <w:tcPr>
            <w:tcW w:w="5407" w:type="dxa"/>
          </w:tcPr>
          <w:p w14:paraId="2179AD33" w14:textId="7080983A" w:rsidR="008B2962" w:rsidRDefault="00EC54E3" w:rsidP="00C16FE6">
            <w:pPr>
              <w:jc w:val="both"/>
            </w:pPr>
            <w:r>
              <w:t>Galimybė pacientui naudoti alternatyvias medicinos pagalbos priemones</w:t>
            </w:r>
          </w:p>
        </w:tc>
        <w:tc>
          <w:tcPr>
            <w:tcW w:w="3063" w:type="dxa"/>
          </w:tcPr>
          <w:p w14:paraId="53F63F63" w14:textId="74613FF2" w:rsidR="008B2962" w:rsidRDefault="006C69C3" w:rsidP="00C16FE6">
            <w:pPr>
              <w:jc w:val="both"/>
            </w:pPr>
            <w:r>
              <w:t>***</w:t>
            </w:r>
            <w:r w:rsidR="00EC54E3">
              <w:t xml:space="preserve"> balas</w:t>
            </w:r>
          </w:p>
        </w:tc>
      </w:tr>
      <w:tr w:rsidR="008B2962" w14:paraId="40A43CF8" w14:textId="77777777" w:rsidTr="00C16FE6">
        <w:trPr>
          <w:trHeight w:val="347"/>
        </w:trPr>
        <w:tc>
          <w:tcPr>
            <w:tcW w:w="718" w:type="dxa"/>
          </w:tcPr>
          <w:p w14:paraId="4DDD2EAA" w14:textId="77777777" w:rsidR="008B2962" w:rsidRDefault="008B2962" w:rsidP="00C16FE6">
            <w:pPr>
              <w:jc w:val="both"/>
            </w:pPr>
            <w:r>
              <w:t>1.4</w:t>
            </w:r>
          </w:p>
        </w:tc>
        <w:tc>
          <w:tcPr>
            <w:tcW w:w="5407" w:type="dxa"/>
          </w:tcPr>
          <w:p w14:paraId="39541F8D" w14:textId="4C174E38" w:rsidR="008B2962" w:rsidRDefault="00EC54E3" w:rsidP="00C16FE6">
            <w:pPr>
              <w:jc w:val="both"/>
            </w:pPr>
            <w:r>
              <w:t>Medicinos pagalbos priemonių kaina</w:t>
            </w:r>
          </w:p>
        </w:tc>
        <w:tc>
          <w:tcPr>
            <w:tcW w:w="3063" w:type="dxa"/>
          </w:tcPr>
          <w:p w14:paraId="6B4B3E5C" w14:textId="75EB6E0C" w:rsidR="008B2962" w:rsidRDefault="006C69C3" w:rsidP="00C16FE6">
            <w:pPr>
              <w:jc w:val="both"/>
            </w:pPr>
            <w:r>
              <w:t>***</w:t>
            </w:r>
            <w:r w:rsidR="00EC54E3">
              <w:t xml:space="preserve"> balų</w:t>
            </w:r>
          </w:p>
        </w:tc>
      </w:tr>
      <w:tr w:rsidR="008B2962" w14:paraId="5AAF9597" w14:textId="77777777" w:rsidTr="00C16FE6">
        <w:trPr>
          <w:trHeight w:val="328"/>
        </w:trPr>
        <w:tc>
          <w:tcPr>
            <w:tcW w:w="718" w:type="dxa"/>
          </w:tcPr>
          <w:p w14:paraId="77C3BF25" w14:textId="77777777" w:rsidR="008B2962" w:rsidRDefault="008B2962" w:rsidP="00C16FE6">
            <w:pPr>
              <w:jc w:val="both"/>
            </w:pPr>
          </w:p>
        </w:tc>
        <w:tc>
          <w:tcPr>
            <w:tcW w:w="5407" w:type="dxa"/>
          </w:tcPr>
          <w:p w14:paraId="2B88F277" w14:textId="77777777" w:rsidR="008B2962" w:rsidRDefault="008B2962" w:rsidP="00C16FE6">
            <w:pPr>
              <w:jc w:val="right"/>
            </w:pPr>
            <w:r>
              <w:t>Viso:</w:t>
            </w:r>
          </w:p>
        </w:tc>
        <w:tc>
          <w:tcPr>
            <w:tcW w:w="3063" w:type="dxa"/>
          </w:tcPr>
          <w:p w14:paraId="3FCA9B2B" w14:textId="4509B904" w:rsidR="008B2962" w:rsidRDefault="00EC54E3" w:rsidP="00C16FE6">
            <w:pPr>
              <w:jc w:val="both"/>
            </w:pPr>
            <w:r>
              <w:t>7</w:t>
            </w:r>
          </w:p>
        </w:tc>
      </w:tr>
    </w:tbl>
    <w:p w14:paraId="2C4DFABE" w14:textId="7D240680" w:rsidR="007A144B" w:rsidRPr="006612AD" w:rsidRDefault="007A144B" w:rsidP="0057598B">
      <w:pPr>
        <w:jc w:val="both"/>
        <w:rPr>
          <w:color w:val="000000"/>
        </w:rPr>
      </w:pPr>
    </w:p>
    <w:p w14:paraId="4E571FC6" w14:textId="64210F2E" w:rsidR="005E5558" w:rsidRDefault="008B2962" w:rsidP="00E97018">
      <w:pPr>
        <w:ind w:firstLine="993"/>
        <w:jc w:val="both"/>
      </w:pPr>
      <w:r>
        <w:t xml:space="preserve">Pažymėtina, kad </w:t>
      </w:r>
      <w:r w:rsidR="00E97018">
        <w:t>vienintel</w:t>
      </w:r>
      <w:r w:rsidR="009D0559">
        <w:t>is</w:t>
      </w:r>
      <w:r w:rsidR="00E97018">
        <w:t xml:space="preserve"> </w:t>
      </w:r>
      <w:r w:rsidR="00EA2D1B">
        <w:t>kompensuojam</w:t>
      </w:r>
      <w:r w:rsidR="00E97018">
        <w:t>a</w:t>
      </w:r>
      <w:r w:rsidR="009D0559">
        <w:t>s</w:t>
      </w:r>
      <w:r w:rsidR="00EA2D1B">
        <w:t xml:space="preserve"> </w:t>
      </w:r>
      <w:r w:rsidR="009D0559">
        <w:t>medicininės paskirties maisto produktas</w:t>
      </w:r>
      <w:r w:rsidR="00E97018">
        <w:t xml:space="preserve">, </w:t>
      </w:r>
      <w:r w:rsidR="009D0559">
        <w:t xml:space="preserve">su </w:t>
      </w:r>
      <w:r w:rsidR="00E97018">
        <w:t>kuri</w:t>
      </w:r>
      <w:r w:rsidR="009D0559">
        <w:t>uo</w:t>
      </w:r>
      <w:r w:rsidR="00E97018">
        <w:t xml:space="preserve"> gal</w:t>
      </w:r>
      <w:r w:rsidR="009D0559">
        <w:t xml:space="preserve">ėjome palyginti galimybę vartoti alternatyvią priemonę </w:t>
      </w:r>
      <w:r w:rsidR="00E97018">
        <w:t>yra pieno milteliai „Milupa lp-drink“ (mažai</w:t>
      </w:r>
      <w:r w:rsidR="006612AD">
        <w:t xml:space="preserve"> </w:t>
      </w:r>
      <w:r w:rsidR="00E97018">
        <w:t xml:space="preserve">baltymų </w:t>
      </w:r>
      <w:r w:rsidR="006612AD">
        <w:t xml:space="preserve">ir fenilalanino </w:t>
      </w:r>
      <w:r w:rsidR="00E97018">
        <w:t>turintis produktas</w:t>
      </w:r>
      <w:r w:rsidR="009D0559">
        <w:t>). Tačiau toks palyginimas yra ne visai tinkamas, nes „Milupa lp-drink“ savybės šiek tiek skiriasi (</w:t>
      </w:r>
      <w:r w:rsidR="002D6ABF">
        <w:t xml:space="preserve">jis </w:t>
      </w:r>
      <w:r w:rsidR="00E97018">
        <w:t>nėra iš karto</w:t>
      </w:r>
      <w:r w:rsidR="002D6ABF">
        <w:t xml:space="preserve"> paruoštas</w:t>
      </w:r>
      <w:r w:rsidR="00E97018">
        <w:t xml:space="preserve"> vartojimui</w:t>
      </w:r>
      <w:r w:rsidR="009D0559">
        <w:t xml:space="preserve"> ir pagamintas iš sintetinių aminorūgščių </w:t>
      </w:r>
      <w:r w:rsidR="00E97018">
        <w:t>).</w:t>
      </w:r>
      <w:r w:rsidR="00EA2D1B">
        <w:t xml:space="preserve"> </w:t>
      </w:r>
      <w:r w:rsidR="009D0559">
        <w:t xml:space="preserve">Pabrėžtina, kad </w:t>
      </w:r>
      <w:r w:rsidR="005E5558">
        <w:t>š</w:t>
      </w:r>
      <w:r w:rsidR="00E97018">
        <w:t xml:space="preserve">iuo metu kompensuojami pieno milteliai </w:t>
      </w:r>
      <w:r w:rsidR="005E5558">
        <w:t xml:space="preserve">„Milupa lp-drink“ </w:t>
      </w:r>
      <w:r w:rsidR="00EA2D1B">
        <w:t xml:space="preserve">yra </w:t>
      </w:r>
      <w:r w:rsidR="005E5558">
        <w:t xml:space="preserve">ženkliai </w:t>
      </w:r>
      <w:r w:rsidR="00EA2D1B">
        <w:t>pigesn</w:t>
      </w:r>
      <w:r w:rsidR="00E97018">
        <w:t>i</w:t>
      </w:r>
      <w:r w:rsidR="00EA2D1B">
        <w:t xml:space="preserve"> nei vertinamas „</w:t>
      </w:r>
      <w:r w:rsidR="00E97018" w:rsidRPr="000F71D4">
        <w:t>PKU GMPro LQ</w:t>
      </w:r>
      <w:r w:rsidR="00E97018">
        <w:t xml:space="preserve"> 250 ml</w:t>
      </w:r>
      <w:r w:rsidR="00EA2D1B">
        <w:t>“</w:t>
      </w:r>
      <w:r w:rsidR="005E5558">
        <w:t xml:space="preserve"> ir dėl to Paraiškoje teikiamo specialios medicininės paskirties maisto produkto </w:t>
      </w:r>
      <w:r w:rsidR="00EA2D1B">
        <w:t>nustatyta funkcinė vertė</w:t>
      </w:r>
      <w:r w:rsidR="005E5558">
        <w:t xml:space="preserve"> </w:t>
      </w:r>
      <w:r w:rsidR="00EA2D1B">
        <w:t>nesiek</w:t>
      </w:r>
      <w:r w:rsidR="005E5558">
        <w:t>ia</w:t>
      </w:r>
      <w:r w:rsidR="00EA2D1B">
        <w:t xml:space="preserve"> </w:t>
      </w:r>
      <w:r w:rsidR="00EA2D1B" w:rsidRPr="003D412E">
        <w:t>9 bal</w:t>
      </w:r>
      <w:r w:rsidR="00EA2D1B">
        <w:t>ų</w:t>
      </w:r>
      <w:r w:rsidR="005E5558">
        <w:t xml:space="preserve">. </w:t>
      </w:r>
    </w:p>
    <w:p w14:paraId="26B033A9" w14:textId="0A1391BB" w:rsidR="00EA2D1B" w:rsidRPr="007156A1" w:rsidRDefault="00D858AE" w:rsidP="00E97018">
      <w:pPr>
        <w:ind w:firstLine="993"/>
        <w:jc w:val="both"/>
      </w:pPr>
      <w:r>
        <w:t xml:space="preserve">Atsižvelgiant į tai, kas </w:t>
      </w:r>
      <w:r w:rsidRPr="007156A1">
        <w:t xml:space="preserve">išdėstyta </w:t>
      </w:r>
      <w:r w:rsidR="00EA2D1B" w:rsidRPr="007156A1">
        <w:t xml:space="preserve">ir vadovaujantis </w:t>
      </w:r>
      <w:r w:rsidRPr="007156A1">
        <w:t xml:space="preserve">Aprašo 51 </w:t>
      </w:r>
      <w:r w:rsidR="00EA2D1B" w:rsidRPr="007156A1">
        <w:t xml:space="preserve">punktu </w:t>
      </w:r>
      <w:r w:rsidRPr="007156A1">
        <w:rPr>
          <w:color w:val="000000"/>
        </w:rPr>
        <w:t xml:space="preserve">specialios medicininės paskirties maisto produktas </w:t>
      </w:r>
      <w:r w:rsidR="00EA2D1B" w:rsidRPr="007156A1">
        <w:rPr>
          <w:b/>
        </w:rPr>
        <w:t>„</w:t>
      </w:r>
      <w:r w:rsidR="002D6ABF" w:rsidRPr="007156A1">
        <w:rPr>
          <w:b/>
        </w:rPr>
        <w:t>PKU GMPro LQ 250 ml</w:t>
      </w:r>
      <w:r w:rsidR="00EA2D1B" w:rsidRPr="007156A1">
        <w:rPr>
          <w:b/>
        </w:rPr>
        <w:t xml:space="preserve">“ </w:t>
      </w:r>
      <w:r w:rsidR="00EA2D1B" w:rsidRPr="007156A1">
        <w:rPr>
          <w:b/>
          <w:color w:val="000000"/>
        </w:rPr>
        <w:t>negal</w:t>
      </w:r>
      <w:r w:rsidRPr="007156A1">
        <w:rPr>
          <w:b/>
          <w:color w:val="000000"/>
        </w:rPr>
        <w:t>i</w:t>
      </w:r>
      <w:r w:rsidR="00EA2D1B" w:rsidRPr="007156A1">
        <w:rPr>
          <w:b/>
          <w:color w:val="000000"/>
        </w:rPr>
        <w:t xml:space="preserve"> būti į</w:t>
      </w:r>
      <w:r w:rsidRPr="007156A1">
        <w:rPr>
          <w:b/>
          <w:color w:val="000000"/>
        </w:rPr>
        <w:t>rašyta</w:t>
      </w:r>
      <w:r w:rsidR="0004662C" w:rsidRPr="007156A1">
        <w:rPr>
          <w:b/>
          <w:color w:val="000000"/>
        </w:rPr>
        <w:t>s</w:t>
      </w:r>
      <w:r w:rsidR="00EA2D1B" w:rsidRPr="007156A1">
        <w:rPr>
          <w:b/>
          <w:color w:val="000000"/>
        </w:rPr>
        <w:t xml:space="preserve"> į kompensuojamųjų medicinos pagalbos priemonių sąrašą (C sąrašą).</w:t>
      </w:r>
    </w:p>
    <w:p w14:paraId="321BD1D7" w14:textId="4D1F418C" w:rsidR="0038480E" w:rsidRDefault="0038480E" w:rsidP="00EA2D1B"/>
    <w:p w14:paraId="7A65A527" w14:textId="77777777" w:rsidR="0038480E" w:rsidRDefault="0038480E" w:rsidP="00EA2D1B"/>
    <w:p w14:paraId="118AFC9F" w14:textId="77777777" w:rsidR="007C702A" w:rsidRDefault="007C702A" w:rsidP="00EA2D1B">
      <w:r>
        <w:t xml:space="preserve">Vaistų registracijos skyriaus vedėja, </w:t>
      </w:r>
    </w:p>
    <w:p w14:paraId="7FFB28F0" w14:textId="638053E4" w:rsidR="001600E7" w:rsidRDefault="007C702A" w:rsidP="00EA2D1B">
      <w:r>
        <w:t>laikinai vykdanti v</w:t>
      </w:r>
      <w:r w:rsidR="00EA2D1B" w:rsidRPr="00B404DE">
        <w:t>iršinink</w:t>
      </w:r>
      <w:r>
        <w:t>o funkcijas</w:t>
      </w:r>
      <w:r w:rsidR="006612AD">
        <w:tab/>
      </w:r>
      <w:r>
        <w:tab/>
      </w:r>
      <w:r>
        <w:tab/>
      </w:r>
      <w:r>
        <w:tab/>
      </w:r>
      <w:r>
        <w:tab/>
        <w:t>Kristina Povilaitienė</w:t>
      </w:r>
    </w:p>
    <w:p w14:paraId="01415164" w14:textId="41DC28B8" w:rsidR="001600E7" w:rsidRDefault="001600E7" w:rsidP="00EA2D1B"/>
    <w:p w14:paraId="1105C76A" w14:textId="2D12E3E0" w:rsidR="00000000" w:rsidRPr="00B16CDD" w:rsidRDefault="00743DDD">
      <w:pPr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sectPr w:rsidR="00D94F1B" w:rsidRPr="00B16CDD" w:rsidSect="004D599B">
      <w:head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1309" w14:textId="77777777" w:rsidR="004D599B" w:rsidRDefault="004D599B" w:rsidP="00EA2D1B">
      <w:r>
        <w:separator/>
      </w:r>
    </w:p>
  </w:endnote>
  <w:endnote w:type="continuationSeparator" w:id="0">
    <w:p w14:paraId="2B588666" w14:textId="77777777" w:rsidR="004D599B" w:rsidRDefault="004D599B" w:rsidP="00EA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A5AE" w14:textId="77777777" w:rsidR="004D599B" w:rsidRDefault="004D599B" w:rsidP="00EA2D1B">
      <w:r>
        <w:separator/>
      </w:r>
    </w:p>
  </w:footnote>
  <w:footnote w:type="continuationSeparator" w:id="0">
    <w:p w14:paraId="385A05ED" w14:textId="77777777" w:rsidR="004D599B" w:rsidRDefault="004D599B" w:rsidP="00EA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EA2D1B" w14:paraId="328504AE" w14:textId="77777777" w:rsidTr="00EA2D1B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D8DA6D" w14:textId="77777777" w:rsidR="00EA2D1B" w:rsidRDefault="00EA2D1B" w:rsidP="00EA2D1B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4081F5" w14:textId="77777777" w:rsidR="00EA2D1B" w:rsidRDefault="00EA2D1B" w:rsidP="00EA2D1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C65F4E" w14:textId="77777777" w:rsidR="00EA2D1B" w:rsidRDefault="00EA2D1B" w:rsidP="00EA2D1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43223B" w14:textId="77777777" w:rsidR="00EA2D1B" w:rsidRDefault="00EA2D1B" w:rsidP="00EA2D1B">
          <w:pPr>
            <w:pStyle w:val="Antrat2"/>
            <w:jc w:val="right"/>
            <w:rPr>
              <w:sz w:val="24"/>
            </w:rPr>
          </w:pPr>
        </w:p>
      </w:tc>
    </w:tr>
  </w:tbl>
  <w:p w14:paraId="73782EAE" w14:textId="77777777" w:rsidR="00EA2D1B" w:rsidRDefault="00EA2D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7908"/>
    </w:tblGrid>
    <w:tr w:rsidR="00EA2D1B" w14:paraId="5269893D" w14:textId="77777777" w:rsidTr="00532CD6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7D4BC517" w14:textId="77777777" w:rsidR="00EA2D1B" w:rsidRDefault="00000000" w:rsidP="00EA2D1B">
          <w:pPr>
            <w:pStyle w:val="Porat"/>
            <w:tabs>
              <w:tab w:val="left" w:pos="720"/>
            </w:tabs>
          </w:pPr>
          <w:r>
            <w:object w:dxaOrig="1440" w:dyaOrig="1440" w14:anchorId="35C2BE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9264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7281" r:id="rId2"/>
            </w:object>
          </w:r>
          <w:r w:rsidR="00EA2D1B">
            <w:br w:type="page"/>
          </w:r>
          <w:r w:rsidR="00EA2D1B">
            <w:br w:type="page"/>
          </w:r>
          <w:r w:rsidR="00EA2D1B">
            <w:br w:type="page"/>
          </w:r>
          <w:r w:rsidR="00EA2D1B">
            <w:br w:type="page"/>
          </w:r>
        </w:p>
      </w:tc>
      <w:tc>
        <w:tcPr>
          <w:tcW w:w="79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D50D26" w14:textId="77777777" w:rsidR="00EA2D1B" w:rsidRDefault="00EA2D1B" w:rsidP="00EA2D1B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 kontrolės tarnyba</w:t>
          </w:r>
        </w:p>
        <w:p w14:paraId="2E664625" w14:textId="77777777" w:rsidR="00EA2D1B" w:rsidRDefault="00EA2D1B" w:rsidP="00EA2D1B">
          <w:pPr>
            <w:pStyle w:val="Antrat1"/>
          </w:pPr>
          <w:r>
            <w:t>Prie LIETUVOS RESPUBLIKOS</w:t>
          </w:r>
        </w:p>
        <w:p w14:paraId="249DBD07" w14:textId="77777777" w:rsidR="00EA2D1B" w:rsidRDefault="00EA2D1B" w:rsidP="00EA2D1B">
          <w:pPr>
            <w:pStyle w:val="Antrat1"/>
          </w:pPr>
          <w:r>
            <w:t>sveikatos apsaugos ministerijos</w:t>
          </w:r>
        </w:p>
      </w:tc>
    </w:tr>
  </w:tbl>
  <w:p w14:paraId="75C00044" w14:textId="77777777" w:rsidR="00EA2D1B" w:rsidRPr="00EA2D1B" w:rsidRDefault="00EA2D1B" w:rsidP="00EA2D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B0B55"/>
    <w:multiLevelType w:val="hybridMultilevel"/>
    <w:tmpl w:val="2D36CABA"/>
    <w:lvl w:ilvl="0" w:tplc="FFF61F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C2A1BD4"/>
    <w:multiLevelType w:val="hybridMultilevel"/>
    <w:tmpl w:val="BA4CAB44"/>
    <w:lvl w:ilvl="0" w:tplc="0464B1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78683674">
    <w:abstractNumId w:val="1"/>
  </w:num>
  <w:num w:numId="2" w16cid:durableId="174217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1B"/>
    <w:rsid w:val="00025E44"/>
    <w:rsid w:val="0004662C"/>
    <w:rsid w:val="00080DB9"/>
    <w:rsid w:val="00084B36"/>
    <w:rsid w:val="000A6F74"/>
    <w:rsid w:val="000C3BDC"/>
    <w:rsid w:val="000D345D"/>
    <w:rsid w:val="000D74A7"/>
    <w:rsid w:val="001137F1"/>
    <w:rsid w:val="00137884"/>
    <w:rsid w:val="00143EC7"/>
    <w:rsid w:val="001600E7"/>
    <w:rsid w:val="001A465F"/>
    <w:rsid w:val="001D516F"/>
    <w:rsid w:val="0020211A"/>
    <w:rsid w:val="00213535"/>
    <w:rsid w:val="0027324E"/>
    <w:rsid w:val="002A0C91"/>
    <w:rsid w:val="002A4216"/>
    <w:rsid w:val="002C0709"/>
    <w:rsid w:val="002D6ABF"/>
    <w:rsid w:val="0030743D"/>
    <w:rsid w:val="00312BC5"/>
    <w:rsid w:val="003607DF"/>
    <w:rsid w:val="0038441A"/>
    <w:rsid w:val="0038480E"/>
    <w:rsid w:val="004039B0"/>
    <w:rsid w:val="004B4C64"/>
    <w:rsid w:val="004C47BC"/>
    <w:rsid w:val="004D1F5A"/>
    <w:rsid w:val="004D599B"/>
    <w:rsid w:val="004E2B3F"/>
    <w:rsid w:val="00524CC4"/>
    <w:rsid w:val="00563FAC"/>
    <w:rsid w:val="0057598B"/>
    <w:rsid w:val="00595C48"/>
    <w:rsid w:val="005A7498"/>
    <w:rsid w:val="005E5558"/>
    <w:rsid w:val="00613362"/>
    <w:rsid w:val="00622897"/>
    <w:rsid w:val="00652FFD"/>
    <w:rsid w:val="006612AD"/>
    <w:rsid w:val="0069353A"/>
    <w:rsid w:val="006C6423"/>
    <w:rsid w:val="006C69C3"/>
    <w:rsid w:val="006C7E1A"/>
    <w:rsid w:val="006F64F1"/>
    <w:rsid w:val="006F7D17"/>
    <w:rsid w:val="007156A1"/>
    <w:rsid w:val="00743DDD"/>
    <w:rsid w:val="007A144B"/>
    <w:rsid w:val="007C702A"/>
    <w:rsid w:val="007D7557"/>
    <w:rsid w:val="007F376F"/>
    <w:rsid w:val="008079D5"/>
    <w:rsid w:val="00845AA8"/>
    <w:rsid w:val="00892F58"/>
    <w:rsid w:val="008B2962"/>
    <w:rsid w:val="0091634E"/>
    <w:rsid w:val="00954853"/>
    <w:rsid w:val="009D0559"/>
    <w:rsid w:val="009F06B7"/>
    <w:rsid w:val="00A72C58"/>
    <w:rsid w:val="00AF15D3"/>
    <w:rsid w:val="00B16CDD"/>
    <w:rsid w:val="00BD0490"/>
    <w:rsid w:val="00BD4CD5"/>
    <w:rsid w:val="00CD31AF"/>
    <w:rsid w:val="00CF7088"/>
    <w:rsid w:val="00D030A5"/>
    <w:rsid w:val="00D46E0B"/>
    <w:rsid w:val="00D858AE"/>
    <w:rsid w:val="00DD66E2"/>
    <w:rsid w:val="00DE055C"/>
    <w:rsid w:val="00DF2DB6"/>
    <w:rsid w:val="00E47F04"/>
    <w:rsid w:val="00E75EED"/>
    <w:rsid w:val="00E97018"/>
    <w:rsid w:val="00EA2D1B"/>
    <w:rsid w:val="00EC0FC7"/>
    <w:rsid w:val="00EC54E3"/>
    <w:rsid w:val="00F1719D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6C7B"/>
  <w14:defaultImageDpi w14:val="32767"/>
  <w15:chartTrackingRefBased/>
  <w15:docId w15:val="{1A62C216-B878-CC43-8174-25A46190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2D1B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A2D1B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EA2D1B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EA2D1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A2D1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D1B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nhideWhenUsed/>
    <w:rsid w:val="00EA2D1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A2D1B"/>
    <w:rPr>
      <w:rFonts w:ascii="Times New Roman" w:eastAsia="Times New Roman" w:hAnsi="Times New Roman" w:cs="Times New Roman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EA2D1B"/>
    <w:rPr>
      <w:rFonts w:ascii="Times New Roman" w:eastAsia="Times New Roman" w:hAnsi="Times New Roman" w:cs="Times New Roman"/>
      <w:b/>
      <w:bCs/>
      <w:caps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EA2D1B"/>
    <w:rPr>
      <w:rFonts w:ascii="Times New Roman" w:eastAsia="Times New Roman" w:hAnsi="Times New Roman" w:cs="Times New Roman"/>
      <w:b/>
      <w:bCs/>
      <w:cap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EA2D1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2F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2FF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32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32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324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32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324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BD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7598B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isterija@sa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3405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Lia</dc:creator>
  <cp:keywords/>
  <dc:description/>
  <cp:lastModifiedBy>Gintarė Žilvytė</cp:lastModifiedBy>
  <cp:revision>15</cp:revision>
  <dcterms:created xsi:type="dcterms:W3CDTF">2022-03-28T12:47:00Z</dcterms:created>
  <dcterms:modified xsi:type="dcterms:W3CDTF">2024-03-18T12:28:00Z</dcterms:modified>
</cp:coreProperties>
</file>