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A71C60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A71C60" w:rsidRDefault="00484191" w:rsidP="00875B9D">
            <w:pPr>
              <w:tabs>
                <w:tab w:val="left" w:pos="452"/>
              </w:tabs>
            </w:pPr>
            <w:r w:rsidRPr="00A71C60">
              <w:t>Lietuvos Respublikos Sveikatos apsaugos ministerijos</w:t>
            </w:r>
          </w:p>
          <w:p w14:paraId="6F042DAA" w14:textId="34919CA9" w:rsidR="00484191" w:rsidRPr="00A71C60" w:rsidRDefault="00484191">
            <w:r w:rsidRPr="00A71C60">
              <w:t>Vaistinių preparatų ir medicinos pagalbos priemonių kompensavimo komisijai</w:t>
            </w:r>
          </w:p>
          <w:p w14:paraId="0E58D729" w14:textId="6233BCDC" w:rsidR="00484191" w:rsidRPr="00A71C60" w:rsidRDefault="00484191">
            <w:r w:rsidRPr="00A71C60">
              <w:t xml:space="preserve">El. p. </w:t>
            </w:r>
            <w:hyperlink r:id="rId11" w:history="1">
              <w:r w:rsidR="002161E2" w:rsidRPr="00A71C60">
                <w:rPr>
                  <w:rStyle w:val="Hipersaitas"/>
                </w:rPr>
                <w:t>ministerija@sam.lt</w:t>
              </w:r>
            </w:hyperlink>
            <w:r w:rsidR="002161E2" w:rsidRPr="00A71C60">
              <w:t xml:space="preserve"> </w:t>
            </w:r>
          </w:p>
          <w:p w14:paraId="4B712B97" w14:textId="77777777" w:rsidR="00484191" w:rsidRPr="00A71C60" w:rsidRDefault="00484191"/>
          <w:p w14:paraId="1A2B14D0" w14:textId="77777777" w:rsidR="00526B7A" w:rsidRDefault="00526B7A" w:rsidP="00526B7A">
            <w:pPr>
              <w:pStyle w:val="Default"/>
            </w:pPr>
          </w:p>
          <w:p w14:paraId="0045D7C6" w14:textId="3B1EAB5A" w:rsidR="00526B7A" w:rsidRPr="009F10D6" w:rsidRDefault="00255A82" w:rsidP="009F10D6">
            <w:pPr>
              <w:pStyle w:val="prastasiniatinklio"/>
              <w:spacing w:before="0" w:beforeAutospacing="0" w:after="0" w:afterAutospacing="0"/>
              <w:rPr>
                <w:color w:val="0000FF"/>
                <w:u w:val="single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285" w:type="dxa"/>
          </w:tcPr>
          <w:p w14:paraId="12737FA8" w14:textId="77777777" w:rsidR="00484191" w:rsidRPr="00A71C60" w:rsidRDefault="00484191"/>
        </w:tc>
        <w:tc>
          <w:tcPr>
            <w:tcW w:w="286" w:type="dxa"/>
          </w:tcPr>
          <w:p w14:paraId="73F4FBE6" w14:textId="77777777" w:rsidR="00484191" w:rsidRPr="00A71C60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A71C60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A71C60" w:rsidRDefault="00484191"/>
        </w:tc>
      </w:tr>
      <w:tr w:rsidR="00484191" w:rsidRPr="00A71C60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A71C60" w:rsidRDefault="00484191"/>
        </w:tc>
        <w:tc>
          <w:tcPr>
            <w:tcW w:w="285" w:type="dxa"/>
            <w:vAlign w:val="center"/>
          </w:tcPr>
          <w:p w14:paraId="687AE32E" w14:textId="77777777" w:rsidR="00484191" w:rsidRPr="00A71C60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A71C60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1FFE094B" w:rsidR="00484191" w:rsidRPr="00A71C60" w:rsidRDefault="001E2D63" w:rsidP="00935249">
            <w:r>
              <w:t>2023-11-29</w:t>
            </w:r>
          </w:p>
        </w:tc>
        <w:tc>
          <w:tcPr>
            <w:tcW w:w="1941" w:type="dxa"/>
            <w:vAlign w:val="center"/>
            <w:hideMark/>
          </w:tcPr>
          <w:p w14:paraId="5FAD2F28" w14:textId="5533F197" w:rsidR="00484191" w:rsidRPr="00A71C60" w:rsidRDefault="00484191">
            <w:r w:rsidRPr="00A71C60">
              <w:t xml:space="preserve">Nr. </w:t>
            </w:r>
          </w:p>
        </w:tc>
      </w:tr>
      <w:tr w:rsidR="00862F7C" w:rsidRPr="00A71C60" w14:paraId="0D542FEF" w14:textId="77777777" w:rsidTr="009A30CD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00A41BCE" w14:textId="77777777" w:rsidR="00862F7C" w:rsidRPr="00A71C60" w:rsidRDefault="00862F7C" w:rsidP="00862F7C"/>
        </w:tc>
        <w:tc>
          <w:tcPr>
            <w:tcW w:w="285" w:type="dxa"/>
            <w:vAlign w:val="center"/>
          </w:tcPr>
          <w:p w14:paraId="32CB57B9" w14:textId="77777777" w:rsidR="00862F7C" w:rsidRPr="00A71C60" w:rsidRDefault="00862F7C" w:rsidP="00862F7C"/>
        </w:tc>
        <w:tc>
          <w:tcPr>
            <w:tcW w:w="286" w:type="dxa"/>
            <w:vAlign w:val="center"/>
          </w:tcPr>
          <w:p w14:paraId="3DF11C4A" w14:textId="3775158D" w:rsidR="00862F7C" w:rsidRPr="00A71C60" w:rsidRDefault="00862F7C" w:rsidP="00862F7C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65D71E2E" w14:textId="6223921B" w:rsidR="00862F7C" w:rsidRPr="00A71C60" w:rsidRDefault="00862F7C" w:rsidP="009C448D">
            <w:r w:rsidRPr="00A71C60">
              <w:t xml:space="preserve"> </w:t>
            </w:r>
          </w:p>
        </w:tc>
        <w:tc>
          <w:tcPr>
            <w:tcW w:w="1941" w:type="dxa"/>
            <w:vAlign w:val="center"/>
          </w:tcPr>
          <w:p w14:paraId="08ADC466" w14:textId="15DAD511" w:rsidR="00862F7C" w:rsidRPr="00A41A34" w:rsidRDefault="00862F7C" w:rsidP="00862F7C">
            <w:pPr>
              <w:rPr>
                <w:highlight w:val="yellow"/>
              </w:rPr>
            </w:pPr>
          </w:p>
        </w:tc>
      </w:tr>
    </w:tbl>
    <w:p w14:paraId="3D264F6E" w14:textId="37F0F9EF" w:rsidR="0025697F" w:rsidRPr="00A71C60" w:rsidRDefault="0025697F" w:rsidP="00484191">
      <w:pPr>
        <w:jc w:val="both"/>
        <w:rPr>
          <w:b/>
        </w:rPr>
      </w:pPr>
    </w:p>
    <w:p w14:paraId="32B11A45" w14:textId="42DF8A2F" w:rsidR="00484191" w:rsidRPr="00A71C60" w:rsidRDefault="00484191" w:rsidP="00484191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105E2D2E" w14:textId="77777777" w:rsidR="00654F7A" w:rsidRDefault="00654F7A" w:rsidP="009E0C9D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DF364F" w14:textId="299D3228" w:rsidR="00EA7283" w:rsidRPr="00AC0545" w:rsidRDefault="00654F7A" w:rsidP="00297518">
      <w:pPr>
        <w:pStyle w:val="prastasiniatinklio"/>
        <w:spacing w:before="0" w:beforeAutospacing="0" w:after="0" w:afterAutospacing="0" w:line="276" w:lineRule="auto"/>
        <w:ind w:firstLine="720"/>
        <w:jc w:val="both"/>
      </w:pPr>
      <w:r>
        <w:t>Valstybinė</w:t>
      </w:r>
      <w:r w:rsidRPr="007906D2">
        <w:t xml:space="preserve"> vaistų kontrol</w:t>
      </w:r>
      <w:r>
        <w:t>ės tarnyba</w:t>
      </w:r>
      <w:r w:rsidRPr="007906D2">
        <w:t xml:space="preserve"> prie Sveikatos apsaugos ministerijos</w:t>
      </w:r>
      <w:r>
        <w:t xml:space="preserve"> (toliau – Tarnyba)</w:t>
      </w:r>
      <w:r w:rsidRPr="007906D2">
        <w:t xml:space="preserve"> </w:t>
      </w:r>
      <w:r>
        <w:t>atliko</w:t>
      </w:r>
      <w:r w:rsidRPr="007906D2">
        <w:t xml:space="preserve"> </w:t>
      </w:r>
      <w:r w:rsidR="005E7884">
        <w:t>UAB „</w:t>
      </w:r>
      <w:proofErr w:type="spellStart"/>
      <w:r w:rsidR="00255A82">
        <w:t>Medfiles</w:t>
      </w:r>
      <w:proofErr w:type="spellEnd"/>
      <w:r w:rsidR="005E7884">
        <w:t>“</w:t>
      </w:r>
      <w:r>
        <w:t xml:space="preserve"> (toliau – P</w:t>
      </w:r>
      <w:r w:rsidRPr="007906D2">
        <w:t>areiškėjas)</w:t>
      </w:r>
      <w:r>
        <w:t xml:space="preserve"> paraiškos,</w:t>
      </w:r>
      <w:r w:rsidRPr="007906D2">
        <w:t xml:space="preserve"> įrašyti medicinos pagalbos priemonę</w:t>
      </w:r>
      <w:r>
        <w:t xml:space="preserve"> (toliau – MPP)</w:t>
      </w:r>
      <w:r w:rsidRPr="007906D2">
        <w:t xml:space="preserve">, </w:t>
      </w:r>
      <w:r w:rsidR="00B97C14" w:rsidRPr="00297518">
        <w:rPr>
          <w:iCs/>
        </w:rPr>
        <w:t>realaus laiko nuolatinė gliukozės stebėjimo sistema</w:t>
      </w:r>
      <w:r w:rsidR="00B97C14">
        <w:rPr>
          <w:i/>
          <w:iCs/>
        </w:rPr>
        <w:t xml:space="preserve"> </w:t>
      </w:r>
      <w:proofErr w:type="spellStart"/>
      <w:r w:rsidR="00B97C14">
        <w:rPr>
          <w:i/>
          <w:iCs/>
        </w:rPr>
        <w:t>Dexcom</w:t>
      </w:r>
      <w:proofErr w:type="spellEnd"/>
      <w:r w:rsidR="00B97C14">
        <w:rPr>
          <w:i/>
          <w:iCs/>
        </w:rPr>
        <w:t xml:space="preserve"> ONE</w:t>
      </w:r>
      <w:r w:rsidRPr="007906D2">
        <w:rPr>
          <w:bCs/>
          <w:i/>
          <w:iCs/>
        </w:rPr>
        <w:t>,</w:t>
      </w:r>
      <w:r w:rsidRPr="007906D2">
        <w:t xml:space="preserve"> į </w:t>
      </w:r>
      <w:r w:rsidR="005E7884">
        <w:t>kompensuojamųjų medicinos pagalbos priemonių sąrašą (C sąrašą),</w:t>
      </w:r>
      <w:r>
        <w:t xml:space="preserve"> </w:t>
      </w:r>
      <w:r w:rsidR="00B97C14">
        <w:t xml:space="preserve">siekiant išplėsti šiuo metu kompensuojamą indikaciją (1 tipo cukriniu diabetu sergantiems pacientams), įtraukiant </w:t>
      </w:r>
      <w:r w:rsidR="004D1ADF">
        <w:t>nėščiųjų diabetu sergančias pacientes (TLK-AM-10 kodas O24.4)</w:t>
      </w:r>
      <w:r w:rsidR="00B97C14">
        <w:t>.</w:t>
      </w:r>
    </w:p>
    <w:p w14:paraId="6F15F03B" w14:textId="04DC9F7D" w:rsidR="009E0C9D" w:rsidRDefault="00A41A34" w:rsidP="00297518">
      <w:pPr>
        <w:pStyle w:val="prastasiniatinklio"/>
        <w:spacing w:before="0" w:beforeAutospacing="0" w:after="0" w:afterAutospacing="0" w:line="276" w:lineRule="auto"/>
        <w:ind w:firstLine="720"/>
        <w:jc w:val="both"/>
      </w:pPr>
      <w:r>
        <w:t xml:space="preserve">Vadovaujantis </w:t>
      </w:r>
      <w:r w:rsidR="00021D32">
        <w:t>Lietuvos Respublikos sveikatos apsaugos ministro 2002 m. balandžio 5 d. įsakymo Nr. 159</w:t>
      </w:r>
      <w:r w:rsidR="00021D32" w:rsidRPr="00575C16">
        <w:t xml:space="preserve"> „</w:t>
      </w:r>
      <w:r w:rsidR="00021D32"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 w:rsidR="00021D32">
        <w:t xml:space="preserve"> (toliau – Įsakymas)</w:t>
      </w:r>
      <w:r w:rsidR="00021D32" w:rsidRPr="00575C16">
        <w:t xml:space="preserve"> </w:t>
      </w:r>
      <w:r w:rsidR="00021D32" w:rsidRPr="007112BA">
        <w:t>45</w:t>
      </w:r>
      <w:r w:rsidR="00021D32" w:rsidRPr="003559A8">
        <w:rPr>
          <w:vertAlign w:val="superscript"/>
        </w:rPr>
        <w:t xml:space="preserve"> </w:t>
      </w:r>
      <w:r w:rsidR="00021D32" w:rsidRPr="003559A8">
        <w:t>punkt</w:t>
      </w:r>
      <w:r w:rsidR="00021D32">
        <w:t>u, t</w:t>
      </w:r>
      <w:r w:rsidR="00484191" w:rsidRPr="00A71C60">
        <w:t xml:space="preserve">eikiame </w:t>
      </w:r>
      <w:r w:rsidR="00544A84" w:rsidRPr="00A71C60">
        <w:t>Lietuvos Respublikos sveikatos apsaugos ministerijos Vaistinių preparatų ir medicinos pagalbos priemonių kompensavimo komisijai</w:t>
      </w:r>
      <w:r w:rsidR="00544A84">
        <w:t xml:space="preserve"> ir Pareiškėjui</w:t>
      </w:r>
      <w:r w:rsidR="00544A84" w:rsidRPr="00A71C60">
        <w:t xml:space="preserve"> </w:t>
      </w:r>
      <w:r w:rsidR="00A00683" w:rsidRPr="00A71C60">
        <w:t xml:space="preserve">išvadas ir </w:t>
      </w:r>
      <w:r w:rsidR="00544A84">
        <w:t>rekomendaciją.</w:t>
      </w:r>
    </w:p>
    <w:p w14:paraId="5CC01E77" w14:textId="7FDE0EA2" w:rsidR="005E7884" w:rsidRDefault="005E7884" w:rsidP="00297518">
      <w:pPr>
        <w:pStyle w:val="prastasiniatinklio"/>
        <w:spacing w:before="0" w:beforeAutospacing="0" w:after="0" w:afterAutospacing="0" w:line="276" w:lineRule="auto"/>
        <w:ind w:firstLine="720"/>
        <w:jc w:val="both"/>
      </w:pPr>
      <w:r>
        <w:t xml:space="preserve">Pagal VLK atliktus skaičiavimus, </w:t>
      </w:r>
      <w:proofErr w:type="spellStart"/>
      <w:r w:rsidR="00EE2448">
        <w:rPr>
          <w:i/>
          <w:iCs/>
        </w:rPr>
        <w:t>Dexcom</w:t>
      </w:r>
      <w:proofErr w:type="spellEnd"/>
      <w:r w:rsidR="00EE2448">
        <w:rPr>
          <w:i/>
          <w:iCs/>
        </w:rPr>
        <w:t xml:space="preserve"> ONE </w:t>
      </w:r>
      <w:r w:rsidR="00EE2448">
        <w:rPr>
          <w:iCs/>
        </w:rPr>
        <w:t>sistemą galinčių gauti pacientų</w:t>
      </w:r>
      <w:r>
        <w:rPr>
          <w:iCs/>
        </w:rPr>
        <w:t xml:space="preserve"> skaičius pirmaisiais gydymo metais būtų </w:t>
      </w:r>
      <w:r w:rsidR="003A5CDB">
        <w:rPr>
          <w:iCs/>
        </w:rPr>
        <w:t>***</w:t>
      </w:r>
      <w:r>
        <w:rPr>
          <w:iCs/>
        </w:rPr>
        <w:t xml:space="preserve">, penktaisiais gydymo metais </w:t>
      </w:r>
      <w:r w:rsidR="003A5CDB">
        <w:rPr>
          <w:iCs/>
        </w:rPr>
        <w:t>***</w:t>
      </w:r>
      <w:r>
        <w:rPr>
          <w:iCs/>
        </w:rPr>
        <w:t xml:space="preserve"> pacientai. </w:t>
      </w:r>
    </w:p>
    <w:p w14:paraId="1BED826A" w14:textId="6375EA87" w:rsidR="005E7884" w:rsidRPr="005E7884" w:rsidRDefault="005E7884" w:rsidP="00297518">
      <w:pPr>
        <w:pStyle w:val="Default"/>
        <w:spacing w:line="276" w:lineRule="auto"/>
        <w:ind w:firstLine="720"/>
        <w:jc w:val="both"/>
        <w:rPr>
          <w:iCs/>
          <w:color w:val="auto"/>
        </w:rPr>
      </w:pPr>
      <w:r w:rsidRPr="005E7884">
        <w:rPr>
          <w:iCs/>
          <w:color w:val="auto"/>
        </w:rPr>
        <w:t xml:space="preserve">Pagal pareiškėjo pateiktą aprašą </w:t>
      </w:r>
      <w:r w:rsidR="00EE2448">
        <w:rPr>
          <w:iCs/>
          <w:color w:val="auto"/>
        </w:rPr>
        <w:t xml:space="preserve">VLK </w:t>
      </w:r>
      <w:r w:rsidRPr="005E7884">
        <w:rPr>
          <w:iCs/>
          <w:color w:val="auto"/>
        </w:rPr>
        <w:t xml:space="preserve">skaičiuoja, kad </w:t>
      </w:r>
      <w:r w:rsidR="004D1ADF" w:rsidRPr="004D1ADF">
        <w:rPr>
          <w:iCs/>
          <w:color w:val="auto"/>
        </w:rPr>
        <w:t xml:space="preserve">1 pacientės gydymo kaina, kai </w:t>
      </w:r>
      <w:proofErr w:type="spellStart"/>
      <w:r w:rsidR="004D1ADF" w:rsidRPr="004D1ADF">
        <w:rPr>
          <w:iCs/>
          <w:color w:val="auto"/>
        </w:rPr>
        <w:t>gestacinis</w:t>
      </w:r>
      <w:proofErr w:type="spellEnd"/>
      <w:r w:rsidR="004D1ADF" w:rsidRPr="004D1ADF">
        <w:rPr>
          <w:iCs/>
          <w:color w:val="auto"/>
        </w:rPr>
        <w:t xml:space="preserve"> </w:t>
      </w:r>
      <w:r w:rsidR="004D1ADF">
        <w:rPr>
          <w:iCs/>
          <w:color w:val="auto"/>
        </w:rPr>
        <w:t>diabetas</w:t>
      </w:r>
      <w:r w:rsidR="004D1ADF" w:rsidRPr="004D1ADF">
        <w:rPr>
          <w:iCs/>
          <w:color w:val="auto"/>
        </w:rPr>
        <w:t xml:space="preserve"> nustatomas 1 ir 2 trimestruose</w:t>
      </w:r>
      <w:r w:rsidR="004D1ADF">
        <w:rPr>
          <w:iCs/>
          <w:color w:val="auto"/>
        </w:rPr>
        <w:t xml:space="preserve"> būtų </w:t>
      </w:r>
      <w:r w:rsidR="003A5CDB">
        <w:rPr>
          <w:iCs/>
          <w:color w:val="auto"/>
        </w:rPr>
        <w:t>***</w:t>
      </w:r>
      <w:r w:rsidR="004D1ADF" w:rsidRPr="004D1ADF">
        <w:rPr>
          <w:iCs/>
          <w:color w:val="auto"/>
        </w:rPr>
        <w:t xml:space="preserve"> </w:t>
      </w:r>
      <w:r w:rsidR="00EE2448" w:rsidRPr="00A36453">
        <w:t>€</w:t>
      </w:r>
      <w:r w:rsidR="004D1ADF">
        <w:t xml:space="preserve">, o </w:t>
      </w:r>
      <w:r w:rsidR="004D1ADF" w:rsidRPr="004D1ADF">
        <w:t xml:space="preserve">1 pacientės gydymo kaina, kai </w:t>
      </w:r>
      <w:proofErr w:type="spellStart"/>
      <w:r w:rsidR="004D1ADF" w:rsidRPr="004D1ADF">
        <w:t>gestacinis</w:t>
      </w:r>
      <w:proofErr w:type="spellEnd"/>
      <w:r w:rsidR="004D1ADF">
        <w:t xml:space="preserve"> diabetas</w:t>
      </w:r>
      <w:r w:rsidR="004D1ADF" w:rsidRPr="004D1ADF">
        <w:t xml:space="preserve"> nustatomas 3 trimestre</w:t>
      </w:r>
      <w:r w:rsidR="004D1ADF">
        <w:t xml:space="preserve"> būtų </w:t>
      </w:r>
      <w:r w:rsidR="003A5CDB">
        <w:t>***</w:t>
      </w:r>
      <w:r w:rsidR="004D1ADF">
        <w:t xml:space="preserve"> </w:t>
      </w:r>
      <w:r w:rsidR="004D1ADF" w:rsidRPr="00A36453">
        <w:t>€</w:t>
      </w:r>
      <w:r w:rsidR="00EE2448">
        <w:t>.</w:t>
      </w:r>
    </w:p>
    <w:p w14:paraId="7252488B" w14:textId="34339706" w:rsidR="00EE2448" w:rsidRPr="00EE2448" w:rsidRDefault="001E0A8A" w:rsidP="00297518">
      <w:pPr>
        <w:pStyle w:val="prastasiniatinklio"/>
        <w:spacing w:before="0" w:beforeAutospacing="0" w:after="0" w:afterAutospacing="0" w:line="276" w:lineRule="auto"/>
        <w:ind w:firstLine="720"/>
        <w:jc w:val="both"/>
      </w:pPr>
      <w:r>
        <w:t>Atsižvelgiant į šią informaciją</w:t>
      </w:r>
      <w:r w:rsidRPr="00A36453">
        <w:t xml:space="preserve">, </w:t>
      </w:r>
      <w:r>
        <w:t>apskaiči</w:t>
      </w:r>
      <w:r w:rsidR="00FD2A7E">
        <w:t>uotos</w:t>
      </w:r>
      <w:r>
        <w:t xml:space="preserve"> prognozuojam</w:t>
      </w:r>
      <w:r w:rsidR="00FD2A7E">
        <w:t>os</w:t>
      </w:r>
      <w:r w:rsidRPr="00A36453">
        <w:t xml:space="preserve"> Fondo biudžeto išlaid</w:t>
      </w:r>
      <w:r w:rsidR="00FD2A7E">
        <w:t>os</w:t>
      </w:r>
      <w:r w:rsidR="005E7884">
        <w:t xml:space="preserve">, skiriant </w:t>
      </w:r>
      <w:proofErr w:type="spellStart"/>
      <w:r w:rsidR="00EE2448" w:rsidRPr="00297518">
        <w:rPr>
          <w:i/>
          <w:iCs/>
        </w:rPr>
        <w:t>Dexcom</w:t>
      </w:r>
      <w:proofErr w:type="spellEnd"/>
      <w:r w:rsidR="00EE2448" w:rsidRPr="00297518">
        <w:rPr>
          <w:i/>
          <w:iCs/>
        </w:rPr>
        <w:t xml:space="preserve"> ONE</w:t>
      </w:r>
      <w:r w:rsidR="00EE2448">
        <w:rPr>
          <w:iCs/>
        </w:rPr>
        <w:t xml:space="preserve"> nuolatinę gliukozės stebėjimo sistemą būtų </w:t>
      </w:r>
      <w:r w:rsidR="003A5CDB">
        <w:rPr>
          <w:iCs/>
        </w:rPr>
        <w:t>***</w:t>
      </w:r>
      <w:r w:rsidR="004D1ADF">
        <w:rPr>
          <w:iCs/>
        </w:rPr>
        <w:t xml:space="preserve"> </w:t>
      </w:r>
      <w:r w:rsidR="00EE2448" w:rsidRPr="00A36453">
        <w:t>€</w:t>
      </w:r>
      <w:r w:rsidR="00EE2448">
        <w:t xml:space="preserve"> pirmaisiais gydymo metais ir </w:t>
      </w:r>
      <w:r w:rsidR="003A5CDB">
        <w:t>***</w:t>
      </w:r>
      <w:r w:rsidR="004D1ADF">
        <w:t xml:space="preserve"> </w:t>
      </w:r>
      <w:r w:rsidR="00EE2448" w:rsidRPr="00A36453">
        <w:t>€</w:t>
      </w:r>
      <w:r w:rsidR="00EE2448">
        <w:t xml:space="preserve"> penktaisiais gydymo metais.</w:t>
      </w:r>
    </w:p>
    <w:p w14:paraId="7875769A" w14:textId="77777777" w:rsidR="001E0A8A" w:rsidRPr="00A36453" w:rsidRDefault="001E0A8A" w:rsidP="00297518">
      <w:pPr>
        <w:pStyle w:val="prastasiniatinklio"/>
        <w:spacing w:before="0" w:beforeAutospacing="0" w:after="0" w:afterAutospacing="0" w:line="276" w:lineRule="auto"/>
        <w:ind w:firstLine="1296"/>
        <w:jc w:val="both"/>
      </w:pPr>
    </w:p>
    <w:p w14:paraId="79E50E10" w14:textId="7D2EFEF2" w:rsidR="001E0A8A" w:rsidRDefault="001E0A8A" w:rsidP="00297518">
      <w:pPr>
        <w:pStyle w:val="prastasiniatinklio"/>
        <w:spacing w:before="0" w:beforeAutospacing="0" w:after="0" w:afterAutospacing="0" w:line="276" w:lineRule="auto"/>
        <w:rPr>
          <w:b/>
          <w:bCs/>
        </w:rPr>
      </w:pPr>
      <w:r w:rsidRPr="00A36453">
        <w:rPr>
          <w:b/>
          <w:bCs/>
        </w:rPr>
        <w:t>1 lentelė. Prognozuojamos Fondo biudžeto išlaidos.</w:t>
      </w:r>
    </w:p>
    <w:tbl>
      <w:tblPr>
        <w:tblStyle w:val="Lentelstinklelis"/>
        <w:tblW w:w="9522" w:type="dxa"/>
        <w:tblLook w:val="04A0" w:firstRow="1" w:lastRow="0" w:firstColumn="1" w:lastColumn="0" w:noHBand="0" w:noVBand="1"/>
      </w:tblPr>
      <w:tblGrid>
        <w:gridCol w:w="1938"/>
        <w:gridCol w:w="1938"/>
        <w:gridCol w:w="1839"/>
        <w:gridCol w:w="1839"/>
        <w:gridCol w:w="1968"/>
      </w:tblGrid>
      <w:tr w:rsidR="00EE2448" w14:paraId="015A67F1" w14:textId="77777777" w:rsidTr="00EE2448">
        <w:trPr>
          <w:trHeight w:val="134"/>
        </w:trPr>
        <w:tc>
          <w:tcPr>
            <w:tcW w:w="9522" w:type="dxa"/>
            <w:gridSpan w:val="5"/>
            <w:vAlign w:val="center"/>
            <w:hideMark/>
          </w:tcPr>
          <w:p w14:paraId="32304882" w14:textId="77777777" w:rsidR="00EE2448" w:rsidRDefault="00EE2448" w:rsidP="0029751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Prognozuojamos PSDF biudžeto išlaidos (Eur) pirmaisiais-penktaisiais kompensavimo metais</w:t>
            </w:r>
          </w:p>
        </w:tc>
      </w:tr>
      <w:tr w:rsidR="00EE2448" w14:paraId="38C3B68D" w14:textId="77777777" w:rsidTr="00EE2448">
        <w:trPr>
          <w:trHeight w:val="66"/>
        </w:trPr>
        <w:tc>
          <w:tcPr>
            <w:tcW w:w="1938" w:type="dxa"/>
            <w:vAlign w:val="center"/>
            <w:hideMark/>
          </w:tcPr>
          <w:p w14:paraId="04522B52" w14:textId="77777777" w:rsidR="00EE2448" w:rsidRDefault="00EE2448" w:rsidP="0029751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Pirmieji metai</w:t>
            </w:r>
          </w:p>
        </w:tc>
        <w:tc>
          <w:tcPr>
            <w:tcW w:w="1938" w:type="dxa"/>
            <w:vAlign w:val="center"/>
            <w:hideMark/>
          </w:tcPr>
          <w:p w14:paraId="5F54A70E" w14:textId="77777777" w:rsidR="00EE2448" w:rsidRDefault="00EE2448" w:rsidP="0029751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Antrieji metai</w:t>
            </w:r>
          </w:p>
        </w:tc>
        <w:tc>
          <w:tcPr>
            <w:tcW w:w="1839" w:type="dxa"/>
            <w:vAlign w:val="center"/>
            <w:hideMark/>
          </w:tcPr>
          <w:p w14:paraId="4D99A740" w14:textId="77777777" w:rsidR="00EE2448" w:rsidRDefault="00EE2448" w:rsidP="0029751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Tretieji metai</w:t>
            </w:r>
          </w:p>
        </w:tc>
        <w:tc>
          <w:tcPr>
            <w:tcW w:w="1839" w:type="dxa"/>
            <w:vAlign w:val="center"/>
            <w:hideMark/>
          </w:tcPr>
          <w:p w14:paraId="1AB210B4" w14:textId="77777777" w:rsidR="00EE2448" w:rsidRDefault="00EE2448" w:rsidP="0029751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Ketvirtieji metai</w:t>
            </w:r>
          </w:p>
        </w:tc>
        <w:tc>
          <w:tcPr>
            <w:tcW w:w="1966" w:type="dxa"/>
            <w:vAlign w:val="center"/>
            <w:hideMark/>
          </w:tcPr>
          <w:p w14:paraId="3C3783AF" w14:textId="77777777" w:rsidR="00EE2448" w:rsidRDefault="00EE2448" w:rsidP="0029751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Penktieji metai</w:t>
            </w:r>
          </w:p>
        </w:tc>
      </w:tr>
      <w:tr w:rsidR="00EE2448" w14:paraId="1598659F" w14:textId="77777777" w:rsidTr="00EE2448">
        <w:trPr>
          <w:trHeight w:val="317"/>
        </w:trPr>
        <w:tc>
          <w:tcPr>
            <w:tcW w:w="1938" w:type="dxa"/>
            <w:vMerge w:val="restart"/>
            <w:noWrap/>
            <w:vAlign w:val="center"/>
            <w:hideMark/>
          </w:tcPr>
          <w:p w14:paraId="473F213B" w14:textId="25437EFA" w:rsidR="00EE2448" w:rsidRDefault="003A5CDB" w:rsidP="0029751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938" w:type="dxa"/>
            <w:vMerge w:val="restart"/>
            <w:noWrap/>
            <w:vAlign w:val="center"/>
            <w:hideMark/>
          </w:tcPr>
          <w:p w14:paraId="5BEA9E63" w14:textId="4CCBFC20" w:rsidR="00EE2448" w:rsidRDefault="003A5CDB" w:rsidP="0029751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39" w:type="dxa"/>
            <w:vMerge w:val="restart"/>
            <w:noWrap/>
            <w:vAlign w:val="center"/>
            <w:hideMark/>
          </w:tcPr>
          <w:p w14:paraId="52CB2085" w14:textId="56830A3C" w:rsidR="00EE2448" w:rsidRDefault="003A5CDB" w:rsidP="0029751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39" w:type="dxa"/>
            <w:vMerge w:val="restart"/>
            <w:noWrap/>
            <w:vAlign w:val="center"/>
            <w:hideMark/>
          </w:tcPr>
          <w:p w14:paraId="55AB5F03" w14:textId="5C49733B" w:rsidR="00EE2448" w:rsidRDefault="003A5CDB" w:rsidP="0029751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  <w:r w:rsidR="004D1ADF">
              <w:rPr>
                <w:color w:val="000000"/>
              </w:rPr>
              <w:t xml:space="preserve"> </w:t>
            </w:r>
          </w:p>
        </w:tc>
        <w:tc>
          <w:tcPr>
            <w:tcW w:w="1966" w:type="dxa"/>
            <w:vMerge w:val="restart"/>
            <w:noWrap/>
            <w:vAlign w:val="center"/>
            <w:hideMark/>
          </w:tcPr>
          <w:p w14:paraId="2A68E7FC" w14:textId="381000EA" w:rsidR="00EE2448" w:rsidRDefault="003A5CDB" w:rsidP="0029751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</w:tr>
      <w:tr w:rsidR="00EE2448" w14:paraId="605E621D" w14:textId="77777777" w:rsidTr="00EE2448">
        <w:trPr>
          <w:trHeight w:val="286"/>
        </w:trPr>
        <w:tc>
          <w:tcPr>
            <w:tcW w:w="1938" w:type="dxa"/>
            <w:vMerge/>
            <w:vAlign w:val="center"/>
            <w:hideMark/>
          </w:tcPr>
          <w:p w14:paraId="127F4BA6" w14:textId="77777777" w:rsidR="00EE2448" w:rsidRDefault="00EE2448" w:rsidP="0029751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14:paraId="3885CC56" w14:textId="77777777" w:rsidR="00EE2448" w:rsidRDefault="00EE2448" w:rsidP="0029751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7FFCDF72" w14:textId="77777777" w:rsidR="00EE2448" w:rsidRDefault="00EE2448" w:rsidP="0029751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2315214F" w14:textId="77777777" w:rsidR="00EE2448" w:rsidRDefault="00EE2448" w:rsidP="0029751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14:paraId="7CABA824" w14:textId="77777777" w:rsidR="00EE2448" w:rsidRDefault="00EE2448" w:rsidP="00297518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4BF04C42" w14:textId="257B1036" w:rsidR="001E0A8A" w:rsidRDefault="001E0A8A" w:rsidP="00297518">
      <w:pPr>
        <w:spacing w:line="276" w:lineRule="auto"/>
        <w:jc w:val="both"/>
        <w:rPr>
          <w:rStyle w:val="clear3"/>
          <w:color w:val="000000"/>
        </w:rPr>
      </w:pPr>
    </w:p>
    <w:p w14:paraId="5B199F56" w14:textId="53B4A3A3" w:rsidR="001E0A8A" w:rsidRDefault="005E7884" w:rsidP="00297518">
      <w:pPr>
        <w:pStyle w:val="prastasiniatinklio"/>
        <w:spacing w:before="0" w:beforeAutospacing="0" w:after="0" w:afterAutospacing="0" w:line="276" w:lineRule="auto"/>
        <w:ind w:firstLine="720"/>
        <w:jc w:val="both"/>
      </w:pPr>
      <w:r>
        <w:rPr>
          <w:bCs/>
        </w:rPr>
        <w:t>VVKT</w:t>
      </w:r>
      <w:r w:rsidR="001C6F45" w:rsidRPr="005C7898">
        <w:t xml:space="preserve"> </w:t>
      </w:r>
      <w:r w:rsidR="009832FB">
        <w:t xml:space="preserve">vertinimu, </w:t>
      </w:r>
      <w:r w:rsidR="001C6F45" w:rsidRPr="005C7898">
        <w:t xml:space="preserve">nustatyta MPP funkcinė vertė </w:t>
      </w:r>
      <w:r>
        <w:t>–</w:t>
      </w:r>
      <w:r w:rsidR="00C53A21" w:rsidRPr="005C7898">
        <w:t xml:space="preserve"> </w:t>
      </w:r>
      <w:r w:rsidR="00EE2448">
        <w:t>7</w:t>
      </w:r>
      <w:r>
        <w:t xml:space="preserve"> </w:t>
      </w:r>
      <w:r w:rsidR="00C53A21" w:rsidRPr="005C7898">
        <w:t>bal</w:t>
      </w:r>
      <w:r w:rsidR="00D56BB0">
        <w:t>ai</w:t>
      </w:r>
      <w:r w:rsidR="009832FB">
        <w:t>.</w:t>
      </w:r>
      <w:r w:rsidR="00297518">
        <w:t xml:space="preserve"> Atskiri MPP funkcinės vertės įverčiai ir jų suma nurodyta lentelėje žemiau. </w:t>
      </w:r>
    </w:p>
    <w:p w14:paraId="32AD6D96" w14:textId="77777777" w:rsidR="00297518" w:rsidRPr="005E7884" w:rsidRDefault="00297518" w:rsidP="00297518">
      <w:pPr>
        <w:pStyle w:val="prastasiniatinklio"/>
        <w:spacing w:before="0" w:beforeAutospacing="0" w:after="0" w:afterAutospacing="0" w:line="276" w:lineRule="auto"/>
        <w:ind w:firstLine="720"/>
        <w:jc w:val="both"/>
      </w:pPr>
    </w:p>
    <w:p w14:paraId="6234294F" w14:textId="65AC3D21" w:rsidR="001E0A8A" w:rsidRPr="001E0A8A" w:rsidRDefault="001E0A8A" w:rsidP="00297518">
      <w:pPr>
        <w:pStyle w:val="prastasiniatinklio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>2</w:t>
      </w:r>
      <w:r w:rsidRPr="00A36453">
        <w:rPr>
          <w:b/>
          <w:bCs/>
        </w:rPr>
        <w:t xml:space="preserve"> lentelė. </w:t>
      </w:r>
      <w:r>
        <w:rPr>
          <w:b/>
          <w:bCs/>
        </w:rPr>
        <w:t>MPP funkcinės vertės kriterijai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E0A8A" w14:paraId="33069AF9" w14:textId="77777777" w:rsidTr="001E0A8A">
        <w:tc>
          <w:tcPr>
            <w:tcW w:w="8075" w:type="dxa"/>
          </w:tcPr>
          <w:p w14:paraId="1BCDFF4C" w14:textId="27E9052B" w:rsidR="001E0A8A" w:rsidRDefault="001E0A8A" w:rsidP="00297518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MPP funkcinės vertės kriterijai</w:t>
            </w:r>
          </w:p>
        </w:tc>
        <w:tc>
          <w:tcPr>
            <w:tcW w:w="1554" w:type="dxa"/>
          </w:tcPr>
          <w:p w14:paraId="48C7C613" w14:textId="7D0B8DA5" w:rsidR="001E0A8A" w:rsidRDefault="001E0A8A" w:rsidP="00297518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Balai</w:t>
            </w:r>
          </w:p>
        </w:tc>
      </w:tr>
      <w:tr w:rsidR="001E0A8A" w14:paraId="6988AFB2" w14:textId="77777777" w:rsidTr="001E0A8A">
        <w:tc>
          <w:tcPr>
            <w:tcW w:w="8075" w:type="dxa"/>
          </w:tcPr>
          <w:p w14:paraId="1F7414A8" w14:textId="10CF248D" w:rsidR="001E0A8A" w:rsidRDefault="001E0A8A" w:rsidP="00297518">
            <w:pPr>
              <w:pStyle w:val="prastasiniatinklio"/>
              <w:spacing w:before="0" w:beforeAutospacing="0" w:after="0" w:afterAutospacing="0" w:line="276" w:lineRule="auto"/>
              <w:jc w:val="both"/>
            </w:pPr>
            <w:r>
              <w:t>Ligos įtaka sveikatai</w:t>
            </w:r>
          </w:p>
        </w:tc>
        <w:tc>
          <w:tcPr>
            <w:tcW w:w="1554" w:type="dxa"/>
          </w:tcPr>
          <w:p w14:paraId="43492E79" w14:textId="3E6C22B0" w:rsidR="001E0A8A" w:rsidRDefault="003A5CDB" w:rsidP="00297518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***</w:t>
            </w:r>
          </w:p>
        </w:tc>
      </w:tr>
      <w:tr w:rsidR="001E0A8A" w14:paraId="6F8B4EE8" w14:textId="77777777" w:rsidTr="001E0A8A">
        <w:tc>
          <w:tcPr>
            <w:tcW w:w="8075" w:type="dxa"/>
          </w:tcPr>
          <w:p w14:paraId="3BC93467" w14:textId="732E0EC9" w:rsidR="001E0A8A" w:rsidRDefault="001E0A8A" w:rsidP="00297518">
            <w:pPr>
              <w:pStyle w:val="prastasiniatinklio"/>
              <w:spacing w:before="0" w:beforeAutospacing="0" w:after="0" w:afterAutospacing="0" w:line="276" w:lineRule="auto"/>
              <w:jc w:val="both"/>
            </w:pPr>
            <w:r>
              <w:t>Socialinė medicinos pagalbos priemonės svarba</w:t>
            </w:r>
          </w:p>
        </w:tc>
        <w:tc>
          <w:tcPr>
            <w:tcW w:w="1554" w:type="dxa"/>
          </w:tcPr>
          <w:p w14:paraId="30EC2D1C" w14:textId="0D3FAD33" w:rsidR="001E0A8A" w:rsidRDefault="003A5CDB" w:rsidP="00297518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***</w:t>
            </w:r>
          </w:p>
        </w:tc>
      </w:tr>
      <w:tr w:rsidR="001E0A8A" w14:paraId="035C00B8" w14:textId="77777777" w:rsidTr="001E0A8A">
        <w:tc>
          <w:tcPr>
            <w:tcW w:w="8075" w:type="dxa"/>
          </w:tcPr>
          <w:p w14:paraId="4E5EFBEA" w14:textId="42228BA4" w:rsidR="001E0A8A" w:rsidRDefault="005E7884" w:rsidP="00297518">
            <w:pPr>
              <w:pStyle w:val="prastasiniatinklio"/>
              <w:spacing w:before="0" w:beforeAutospacing="0" w:after="0" w:afterAutospacing="0" w:line="276" w:lineRule="auto"/>
              <w:jc w:val="both"/>
            </w:pPr>
            <w:r>
              <w:t>Galimybė pacientui naudoti alternatyvias MPP</w:t>
            </w:r>
          </w:p>
        </w:tc>
        <w:tc>
          <w:tcPr>
            <w:tcW w:w="1554" w:type="dxa"/>
          </w:tcPr>
          <w:p w14:paraId="2CF30D8F" w14:textId="7B9D110F" w:rsidR="001E0A8A" w:rsidRDefault="003A5CDB" w:rsidP="00297518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***</w:t>
            </w:r>
          </w:p>
        </w:tc>
      </w:tr>
      <w:tr w:rsidR="001E0A8A" w14:paraId="62C8BF57" w14:textId="77777777" w:rsidTr="001E0A8A">
        <w:tc>
          <w:tcPr>
            <w:tcW w:w="8075" w:type="dxa"/>
          </w:tcPr>
          <w:p w14:paraId="7B94372E" w14:textId="68C6312D" w:rsidR="001E0A8A" w:rsidRDefault="005E7884" w:rsidP="00297518">
            <w:pPr>
              <w:pStyle w:val="prastasiniatinklio"/>
              <w:spacing w:before="0" w:beforeAutospacing="0" w:after="0" w:afterAutospacing="0" w:line="276" w:lineRule="auto"/>
              <w:jc w:val="both"/>
            </w:pPr>
            <w:r>
              <w:t>MPP kaina</w:t>
            </w:r>
          </w:p>
        </w:tc>
        <w:tc>
          <w:tcPr>
            <w:tcW w:w="1554" w:type="dxa"/>
          </w:tcPr>
          <w:p w14:paraId="0015E397" w14:textId="1D7AF543" w:rsidR="001E0A8A" w:rsidRDefault="003A5CDB" w:rsidP="00297518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***</w:t>
            </w:r>
          </w:p>
        </w:tc>
      </w:tr>
      <w:tr w:rsidR="001E0A8A" w14:paraId="1F2DF7FE" w14:textId="77777777" w:rsidTr="001E0A8A">
        <w:tc>
          <w:tcPr>
            <w:tcW w:w="8075" w:type="dxa"/>
          </w:tcPr>
          <w:p w14:paraId="5EBA2F27" w14:textId="02E9956A" w:rsidR="001E0A8A" w:rsidRPr="001E0A8A" w:rsidRDefault="001E0A8A" w:rsidP="00297518">
            <w:pPr>
              <w:pStyle w:val="prastasiniatinklio"/>
              <w:spacing w:before="0" w:beforeAutospacing="0" w:after="0" w:afterAutospacing="0" w:line="276" w:lineRule="auto"/>
              <w:jc w:val="right"/>
              <w:rPr>
                <w:b/>
              </w:rPr>
            </w:pPr>
            <w:r w:rsidRPr="001E0A8A">
              <w:rPr>
                <w:b/>
              </w:rPr>
              <w:t>Iš viso</w:t>
            </w:r>
          </w:p>
        </w:tc>
        <w:tc>
          <w:tcPr>
            <w:tcW w:w="1554" w:type="dxa"/>
          </w:tcPr>
          <w:p w14:paraId="27AFD292" w14:textId="2DC21F06" w:rsidR="001E0A8A" w:rsidRDefault="00EE2448" w:rsidP="00297518">
            <w:pPr>
              <w:pStyle w:val="prastasiniatinklio"/>
              <w:spacing w:before="0" w:beforeAutospacing="0" w:after="0" w:afterAutospacing="0" w:line="276" w:lineRule="auto"/>
              <w:jc w:val="center"/>
            </w:pPr>
            <w:r>
              <w:t>7</w:t>
            </w:r>
          </w:p>
        </w:tc>
      </w:tr>
    </w:tbl>
    <w:p w14:paraId="6C963A83" w14:textId="77777777" w:rsidR="00297518" w:rsidRDefault="00297518" w:rsidP="00297518">
      <w:pPr>
        <w:pStyle w:val="prastasiniatinklio"/>
        <w:spacing w:before="0" w:beforeAutospacing="0" w:after="0" w:afterAutospacing="0" w:line="276" w:lineRule="auto"/>
        <w:jc w:val="both"/>
      </w:pPr>
    </w:p>
    <w:p w14:paraId="2177A88C" w14:textId="57082D60" w:rsidR="001C6F45" w:rsidRDefault="009832FB" w:rsidP="00297518">
      <w:pPr>
        <w:pStyle w:val="prastasiniatinklio"/>
        <w:spacing w:before="0" w:beforeAutospacing="0" w:after="0" w:afterAutospacing="0" w:line="276" w:lineRule="auto"/>
        <w:ind w:firstLine="720"/>
        <w:jc w:val="both"/>
        <w:rPr>
          <w:rFonts w:eastAsia="Arial Unicode MS"/>
          <w:b/>
        </w:rPr>
      </w:pPr>
      <w:r>
        <w:t>Tarnyb</w:t>
      </w:r>
      <w:r w:rsidR="00297518">
        <w:t xml:space="preserve">os </w:t>
      </w:r>
      <w:r>
        <w:t>vertin</w:t>
      </w:r>
      <w:r w:rsidR="00297518">
        <w:t>imu</w:t>
      </w:r>
      <w:r>
        <w:t xml:space="preserve"> atsižvelgiant į </w:t>
      </w:r>
      <w:r w:rsidR="00297518">
        <w:t>pirmiau</w:t>
      </w:r>
      <w:r>
        <w:t xml:space="preserve"> pateiktą informaciją ir atitiktį</w:t>
      </w:r>
      <w:r w:rsidR="00F057FE">
        <w:t xml:space="preserve"> </w:t>
      </w:r>
      <w:r w:rsidR="001C6F45" w:rsidRPr="005C7898">
        <w:t>Lietuvos Respublikos sveikatos apsaugos ministro 2002 m. balandžio 5 d. įsakymo Nr. 159 „Dėl Vaistinių preparatų ir medicinos pagalbos priemonių įrašymo į kompensavimo sąrašus ir jų keitimo tvarkos aprašo pa</w:t>
      </w:r>
      <w:r>
        <w:t>tvirtinimo“ 52 punkte įvardintiems kriterijams</w:t>
      </w:r>
      <w:r w:rsidR="001C6F45" w:rsidRPr="005C7898">
        <w:t xml:space="preserve">, </w:t>
      </w:r>
      <w:r w:rsidRPr="00A71C60">
        <w:t>MPP</w:t>
      </w:r>
      <w:r w:rsidR="001E0A8A" w:rsidRPr="001E0A8A">
        <w:rPr>
          <w:bCs/>
          <w:i/>
          <w:iCs/>
        </w:rPr>
        <w:t xml:space="preserve"> </w:t>
      </w:r>
      <w:proofErr w:type="spellStart"/>
      <w:r w:rsidR="00EE2448">
        <w:rPr>
          <w:i/>
          <w:iCs/>
        </w:rPr>
        <w:t>Dexcom</w:t>
      </w:r>
      <w:proofErr w:type="spellEnd"/>
      <w:r w:rsidR="00EE2448">
        <w:rPr>
          <w:i/>
          <w:iCs/>
        </w:rPr>
        <w:t xml:space="preserve"> ONE</w:t>
      </w:r>
      <w:r w:rsidR="005E7884">
        <w:rPr>
          <w:i/>
          <w:iCs/>
        </w:rPr>
        <w:t xml:space="preserve"> </w:t>
      </w:r>
      <w:r w:rsidR="001E0A8A">
        <w:rPr>
          <w:b/>
        </w:rPr>
        <w:t>ne</w:t>
      </w:r>
      <w:r w:rsidR="007A29A4" w:rsidRPr="00A71C60">
        <w:rPr>
          <w:b/>
        </w:rPr>
        <w:t>gali būti</w:t>
      </w:r>
      <w:r w:rsidR="007A29A4" w:rsidRPr="00A71C60">
        <w:t xml:space="preserve"> </w:t>
      </w:r>
      <w:r w:rsidR="007A29A4" w:rsidRPr="00A71C60">
        <w:rPr>
          <w:b/>
        </w:rPr>
        <w:t>įtraukt</w:t>
      </w:r>
      <w:r w:rsidR="005E7884">
        <w:rPr>
          <w:b/>
        </w:rPr>
        <w:t>a</w:t>
      </w:r>
      <w:r w:rsidR="007A29A4" w:rsidRPr="00A71C60">
        <w:rPr>
          <w:b/>
        </w:rPr>
        <w:t xml:space="preserve"> į </w:t>
      </w:r>
      <w:r w:rsidR="004D1ADF" w:rsidRPr="004D1ADF">
        <w:rPr>
          <w:b/>
        </w:rPr>
        <w:t>kompensuojamųjų medicinos pagalbos priemonių sąrašą (C sąrašą)</w:t>
      </w:r>
      <w:r w:rsidR="001E0A8A">
        <w:rPr>
          <w:rFonts w:eastAsia="Arial Unicode MS"/>
          <w:b/>
        </w:rPr>
        <w:t>, nes paga</w:t>
      </w:r>
      <w:r w:rsidR="005E7884">
        <w:rPr>
          <w:rFonts w:eastAsia="Arial Unicode MS"/>
          <w:b/>
        </w:rPr>
        <w:t>l</w:t>
      </w:r>
      <w:r w:rsidR="001E0A8A">
        <w:rPr>
          <w:rFonts w:eastAsia="Arial Unicode MS"/>
          <w:b/>
        </w:rPr>
        <w:t xml:space="preserve"> įvertintus funkcinės vertės kriterijus, </w:t>
      </w:r>
      <w:r w:rsidR="00297518" w:rsidRPr="00297518">
        <w:rPr>
          <w:b/>
          <w:iCs/>
        </w:rPr>
        <w:t xml:space="preserve">realaus laiko nuolatinės gliukozės stebėjimo </w:t>
      </w:r>
      <w:r w:rsidR="001E0A8A">
        <w:rPr>
          <w:rFonts w:eastAsia="Arial Unicode MS"/>
          <w:b/>
        </w:rPr>
        <w:t>sistem</w:t>
      </w:r>
      <w:r w:rsidR="005E7884">
        <w:rPr>
          <w:rFonts w:eastAsia="Arial Unicode MS"/>
          <w:b/>
        </w:rPr>
        <w:t>os</w:t>
      </w:r>
      <w:r w:rsidR="001E0A8A">
        <w:rPr>
          <w:rFonts w:eastAsia="Arial Unicode MS"/>
          <w:b/>
        </w:rPr>
        <w:t xml:space="preserve"> funkcinė vertė yra &lt;9 balų (</w:t>
      </w:r>
      <w:r w:rsidR="00EE2448">
        <w:rPr>
          <w:rFonts w:eastAsia="Arial Unicode MS"/>
          <w:b/>
        </w:rPr>
        <w:t>7</w:t>
      </w:r>
      <w:r w:rsidR="001E0A8A">
        <w:rPr>
          <w:rFonts w:eastAsia="Arial Unicode MS"/>
          <w:b/>
        </w:rPr>
        <w:t xml:space="preserve"> balai).</w:t>
      </w:r>
    </w:p>
    <w:p w14:paraId="18E2387B" w14:textId="77777777" w:rsidR="00A24E42" w:rsidRDefault="00A24E42" w:rsidP="00297518">
      <w:pPr>
        <w:spacing w:line="276" w:lineRule="auto"/>
        <w:ind w:firstLine="720"/>
        <w:jc w:val="both"/>
        <w:rPr>
          <w:i/>
          <w:color w:val="000000" w:themeColor="text1"/>
          <w:lang w:eastAsia="lt-LT"/>
        </w:rPr>
      </w:pPr>
    </w:p>
    <w:p w14:paraId="13D3C16B" w14:textId="1DD8953E" w:rsidR="00297518" w:rsidRPr="00297518" w:rsidRDefault="00297518" w:rsidP="00297518">
      <w:pPr>
        <w:spacing w:line="276" w:lineRule="auto"/>
        <w:ind w:firstLine="720"/>
        <w:jc w:val="both"/>
        <w:rPr>
          <w:i/>
          <w:color w:val="000000" w:themeColor="text1"/>
          <w:lang w:eastAsia="lt-LT"/>
        </w:rPr>
      </w:pPr>
      <w:r>
        <w:rPr>
          <w:i/>
          <w:color w:val="000000" w:themeColor="text1"/>
          <w:lang w:eastAsia="lt-LT"/>
        </w:rPr>
        <w:t>Papildomas k</w:t>
      </w:r>
      <w:r w:rsidRPr="00297518">
        <w:rPr>
          <w:i/>
          <w:color w:val="000000" w:themeColor="text1"/>
          <w:lang w:eastAsia="lt-LT"/>
        </w:rPr>
        <w:t>omentaras</w:t>
      </w:r>
    </w:p>
    <w:p w14:paraId="1A6D7F6F" w14:textId="031E6439" w:rsidR="009D439F" w:rsidRDefault="0075030E" w:rsidP="00297518">
      <w:pPr>
        <w:spacing w:line="276" w:lineRule="auto"/>
        <w:ind w:firstLine="720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N</w:t>
      </w:r>
      <w:r w:rsidR="009D439F">
        <w:rPr>
          <w:color w:val="000000" w:themeColor="text1"/>
          <w:lang w:eastAsia="lt-LT"/>
        </w:rPr>
        <w:t>ėščiųjų diabetas yra skirstomas į dieta koreguojamą nėščiųjų (</w:t>
      </w:r>
      <w:proofErr w:type="spellStart"/>
      <w:r w:rsidR="009D439F" w:rsidRPr="00A24E42">
        <w:rPr>
          <w:i/>
          <w:color w:val="000000" w:themeColor="text1"/>
          <w:lang w:eastAsia="lt-LT"/>
        </w:rPr>
        <w:t>gestacinį</w:t>
      </w:r>
      <w:proofErr w:type="spellEnd"/>
      <w:r w:rsidR="009D439F">
        <w:rPr>
          <w:color w:val="000000" w:themeColor="text1"/>
          <w:lang w:eastAsia="lt-LT"/>
        </w:rPr>
        <w:t>) dia</w:t>
      </w:r>
      <w:r w:rsidR="00A24E42">
        <w:rPr>
          <w:color w:val="000000" w:themeColor="text1"/>
          <w:lang w:eastAsia="lt-LT"/>
        </w:rPr>
        <w:t>b</w:t>
      </w:r>
      <w:r w:rsidR="009D439F">
        <w:rPr>
          <w:color w:val="000000" w:themeColor="text1"/>
          <w:lang w:eastAsia="lt-LT"/>
        </w:rPr>
        <w:t xml:space="preserve">etą </w:t>
      </w:r>
      <w:r w:rsidR="00A24E42">
        <w:rPr>
          <w:color w:val="000000" w:themeColor="text1"/>
          <w:lang w:eastAsia="lt-LT"/>
        </w:rPr>
        <w:t xml:space="preserve">bei </w:t>
      </w:r>
      <w:r w:rsidR="009D439F">
        <w:rPr>
          <w:color w:val="000000" w:themeColor="text1"/>
          <w:lang w:eastAsia="lt-LT"/>
        </w:rPr>
        <w:t xml:space="preserve">dieta ir insulinu koreguojamą nėščiųjų diabetą. </w:t>
      </w:r>
      <w:r w:rsidR="00A24E42">
        <w:rPr>
          <w:color w:val="000000" w:themeColor="text1"/>
          <w:lang w:eastAsia="lt-LT"/>
        </w:rPr>
        <w:t>Nėščiųjų diabetas, kaip perinatalinės rizikos veiksny</w:t>
      </w:r>
      <w:r>
        <w:rPr>
          <w:color w:val="000000" w:themeColor="text1"/>
          <w:lang w:eastAsia="lt-LT"/>
        </w:rPr>
        <w:t>s</w:t>
      </w:r>
      <w:r w:rsidR="00A24E42">
        <w:rPr>
          <w:color w:val="000000" w:themeColor="text1"/>
          <w:lang w:eastAsia="lt-LT"/>
        </w:rPr>
        <w:t xml:space="preserve"> yra gerai žinomas.  </w:t>
      </w:r>
    </w:p>
    <w:p w14:paraId="07C2FE50" w14:textId="0F31C0CA" w:rsidR="00B03E7C" w:rsidRDefault="0075030E" w:rsidP="00297518">
      <w:pPr>
        <w:spacing w:line="276" w:lineRule="auto"/>
        <w:ind w:firstLine="720"/>
        <w:jc w:val="both"/>
        <w:rPr>
          <w:color w:val="000000" w:themeColor="text1"/>
          <w:lang w:eastAsia="lt-LT"/>
        </w:rPr>
      </w:pPr>
      <w:r w:rsidRPr="00E72B60">
        <w:rPr>
          <w:color w:val="000000" w:themeColor="text1"/>
          <w:lang w:eastAsia="lt-LT"/>
        </w:rPr>
        <w:t>Remiantis literatūros duomenimis</w:t>
      </w:r>
      <w:r>
        <w:rPr>
          <w:color w:val="000000" w:themeColor="text1"/>
          <w:lang w:eastAsia="lt-LT"/>
        </w:rPr>
        <w:t xml:space="preserve">, </w:t>
      </w:r>
      <w:r w:rsidR="00733EAD" w:rsidRPr="00E72B60">
        <w:rPr>
          <w:color w:val="000000" w:themeColor="text1"/>
          <w:lang w:eastAsia="lt-LT"/>
        </w:rPr>
        <w:t>insulin</w:t>
      </w:r>
      <w:r w:rsidR="00A24E42">
        <w:rPr>
          <w:color w:val="000000" w:themeColor="text1"/>
          <w:lang w:eastAsia="lt-LT"/>
        </w:rPr>
        <w:t>u</w:t>
      </w:r>
      <w:r w:rsidR="00733EAD" w:rsidRPr="00E72B60">
        <w:rPr>
          <w:color w:val="000000" w:themeColor="text1"/>
          <w:lang w:eastAsia="lt-LT"/>
        </w:rPr>
        <w:t xml:space="preserve"> </w:t>
      </w:r>
      <w:r w:rsidR="00A24E42">
        <w:rPr>
          <w:color w:val="000000" w:themeColor="text1"/>
          <w:lang w:eastAsia="lt-LT"/>
        </w:rPr>
        <w:t>koreguojamu</w:t>
      </w:r>
      <w:r w:rsidR="00733EAD" w:rsidRPr="00E72B60">
        <w:rPr>
          <w:color w:val="000000" w:themeColor="text1"/>
          <w:lang w:eastAsia="lt-LT"/>
        </w:rPr>
        <w:t xml:space="preserve"> </w:t>
      </w:r>
      <w:r w:rsidR="00A24E42">
        <w:rPr>
          <w:color w:val="000000" w:themeColor="text1"/>
          <w:lang w:eastAsia="lt-LT"/>
        </w:rPr>
        <w:t>nėščiųjų</w:t>
      </w:r>
      <w:r w:rsidR="00733EAD" w:rsidRPr="00E72B60">
        <w:rPr>
          <w:color w:val="000000" w:themeColor="text1"/>
          <w:lang w:eastAsia="lt-LT"/>
        </w:rPr>
        <w:t xml:space="preserve"> diabetu </w:t>
      </w:r>
      <w:r w:rsidR="00195A1F" w:rsidRPr="00E72B60">
        <w:rPr>
          <w:color w:val="000000" w:themeColor="text1"/>
          <w:lang w:eastAsia="lt-LT"/>
        </w:rPr>
        <w:t>(I-</w:t>
      </w:r>
      <w:r w:rsidR="00A24E42">
        <w:rPr>
          <w:color w:val="000000" w:themeColor="text1"/>
          <w:lang w:eastAsia="lt-LT"/>
        </w:rPr>
        <w:t>N</w:t>
      </w:r>
      <w:r w:rsidR="00195A1F" w:rsidRPr="00E72B60">
        <w:rPr>
          <w:color w:val="000000" w:themeColor="text1"/>
          <w:lang w:eastAsia="lt-LT"/>
        </w:rPr>
        <w:t xml:space="preserve">D) </w:t>
      </w:r>
      <w:r w:rsidR="00733EAD" w:rsidRPr="00E72B60">
        <w:rPr>
          <w:color w:val="000000" w:themeColor="text1"/>
          <w:lang w:eastAsia="lt-LT"/>
        </w:rPr>
        <w:t>s</w:t>
      </w:r>
      <w:r w:rsidR="00412AE4">
        <w:rPr>
          <w:color w:val="000000" w:themeColor="text1"/>
          <w:lang w:eastAsia="lt-LT"/>
        </w:rPr>
        <w:t>irgusių</w:t>
      </w:r>
      <w:r w:rsidR="00733EAD" w:rsidRPr="00E72B60">
        <w:rPr>
          <w:color w:val="000000" w:themeColor="text1"/>
          <w:lang w:eastAsia="lt-LT"/>
        </w:rPr>
        <w:t xml:space="preserve"> moterų ir </w:t>
      </w:r>
      <w:r w:rsidR="00412AE4">
        <w:rPr>
          <w:color w:val="000000" w:themeColor="text1"/>
          <w:lang w:eastAsia="lt-LT"/>
        </w:rPr>
        <w:t>prieš</w:t>
      </w:r>
      <w:r w:rsidR="00733EAD" w:rsidRPr="00E72B60">
        <w:rPr>
          <w:color w:val="000000" w:themeColor="text1"/>
          <w:lang w:eastAsia="lt-LT"/>
        </w:rPr>
        <w:t xml:space="preserve"> nėštum</w:t>
      </w:r>
      <w:r w:rsidR="00412AE4">
        <w:rPr>
          <w:color w:val="000000" w:themeColor="text1"/>
          <w:lang w:eastAsia="lt-LT"/>
        </w:rPr>
        <w:t>ą</w:t>
      </w:r>
      <w:r w:rsidR="00733EAD" w:rsidRPr="00E72B60">
        <w:rPr>
          <w:color w:val="000000" w:themeColor="text1"/>
          <w:lang w:eastAsia="lt-LT"/>
        </w:rPr>
        <w:t xml:space="preserve"> insulin</w:t>
      </w:r>
      <w:r w:rsidR="00A24E42">
        <w:rPr>
          <w:color w:val="000000" w:themeColor="text1"/>
          <w:lang w:eastAsia="lt-LT"/>
        </w:rPr>
        <w:t>u koreguojamu</w:t>
      </w:r>
      <w:r w:rsidR="00733EAD" w:rsidRPr="00E72B60">
        <w:rPr>
          <w:color w:val="000000" w:themeColor="text1"/>
          <w:lang w:eastAsia="lt-LT"/>
        </w:rPr>
        <w:t xml:space="preserve"> diabetu </w:t>
      </w:r>
      <w:r w:rsidR="00341E5D" w:rsidRPr="00E72B60">
        <w:rPr>
          <w:color w:val="000000" w:themeColor="text1"/>
          <w:lang w:eastAsia="lt-LT"/>
        </w:rPr>
        <w:t>(I-P</w:t>
      </w:r>
      <w:r w:rsidR="00A24E42">
        <w:rPr>
          <w:color w:val="000000" w:themeColor="text1"/>
          <w:lang w:eastAsia="lt-LT"/>
        </w:rPr>
        <w:t>N</w:t>
      </w:r>
      <w:r w:rsidR="00341E5D" w:rsidRPr="00E72B60">
        <w:rPr>
          <w:color w:val="000000" w:themeColor="text1"/>
          <w:lang w:eastAsia="lt-LT"/>
        </w:rPr>
        <w:t xml:space="preserve">D) </w:t>
      </w:r>
      <w:r w:rsidR="00733EAD" w:rsidRPr="00E72B60">
        <w:rPr>
          <w:color w:val="000000" w:themeColor="text1"/>
          <w:lang w:eastAsia="lt-LT"/>
        </w:rPr>
        <w:t>s</w:t>
      </w:r>
      <w:r w:rsidR="00412AE4">
        <w:rPr>
          <w:color w:val="000000" w:themeColor="text1"/>
          <w:lang w:eastAsia="lt-LT"/>
        </w:rPr>
        <w:t>i</w:t>
      </w:r>
      <w:r w:rsidR="00733EAD" w:rsidRPr="00E72B60">
        <w:rPr>
          <w:color w:val="000000" w:themeColor="text1"/>
          <w:lang w:eastAsia="lt-LT"/>
        </w:rPr>
        <w:t>rg</w:t>
      </w:r>
      <w:r w:rsidR="00412AE4">
        <w:rPr>
          <w:color w:val="000000" w:themeColor="text1"/>
          <w:lang w:eastAsia="lt-LT"/>
        </w:rPr>
        <w:t>usių</w:t>
      </w:r>
      <w:r w:rsidR="00733EAD" w:rsidRPr="00E72B60">
        <w:rPr>
          <w:color w:val="000000" w:themeColor="text1"/>
          <w:lang w:eastAsia="lt-LT"/>
        </w:rPr>
        <w:t xml:space="preserve"> moterų gimdymo išeitys yra panašios.</w:t>
      </w:r>
      <w:r w:rsidR="00B94347">
        <w:rPr>
          <w:color w:val="000000" w:themeColor="text1"/>
          <w:lang w:eastAsia="lt-LT"/>
        </w:rPr>
        <w:t xml:space="preserve"> Tai patvirtina</w:t>
      </w:r>
      <w:r w:rsidR="00E72B60" w:rsidRPr="00E72B60">
        <w:rPr>
          <w:color w:val="000000" w:themeColor="text1"/>
          <w:lang w:eastAsia="lt-LT"/>
        </w:rPr>
        <w:t xml:space="preserve"> 2022 m. atlikto apžvalgin</w:t>
      </w:r>
      <w:r w:rsidR="00DC4214">
        <w:rPr>
          <w:color w:val="000000" w:themeColor="text1"/>
          <w:lang w:eastAsia="lt-LT"/>
        </w:rPr>
        <w:t>io</w:t>
      </w:r>
      <w:r w:rsidR="00E72B60" w:rsidRPr="00E72B60">
        <w:rPr>
          <w:color w:val="000000" w:themeColor="text1"/>
          <w:lang w:eastAsia="lt-LT"/>
        </w:rPr>
        <w:t xml:space="preserve"> </w:t>
      </w:r>
      <w:r w:rsidR="00DC4214">
        <w:rPr>
          <w:color w:val="000000" w:themeColor="text1"/>
          <w:lang w:eastAsia="lt-LT"/>
        </w:rPr>
        <w:t>tyrimo</w:t>
      </w:r>
      <w:r w:rsidR="00E72B60">
        <w:rPr>
          <w:color w:val="000000" w:themeColor="text1"/>
          <w:vertAlign w:val="superscript"/>
          <w:lang w:eastAsia="lt-LT"/>
        </w:rPr>
        <w:t>1</w:t>
      </w:r>
      <w:r w:rsidR="00412AE4">
        <w:rPr>
          <w:color w:val="000000" w:themeColor="text1"/>
          <w:lang w:eastAsia="lt-LT"/>
        </w:rPr>
        <w:t>, kurio tikslas buvo nustatyti</w:t>
      </w:r>
      <w:r w:rsidR="00E72B60" w:rsidRPr="00E72B60">
        <w:rPr>
          <w:color w:val="000000" w:themeColor="text1"/>
          <w:lang w:eastAsia="lt-LT"/>
        </w:rPr>
        <w:t xml:space="preserve"> </w:t>
      </w:r>
      <w:r w:rsidR="00412AE4">
        <w:rPr>
          <w:color w:val="000000" w:themeColor="text1"/>
          <w:lang w:eastAsia="lt-LT"/>
        </w:rPr>
        <w:t xml:space="preserve">skirtingais </w:t>
      </w:r>
      <w:r w:rsidR="00E72B60" w:rsidRPr="00E72B60">
        <w:rPr>
          <w:color w:val="000000" w:themeColor="text1"/>
          <w:lang w:eastAsia="lt-LT"/>
        </w:rPr>
        <w:t>diabet</w:t>
      </w:r>
      <w:r w:rsidR="00412AE4">
        <w:rPr>
          <w:color w:val="000000" w:themeColor="text1"/>
          <w:lang w:eastAsia="lt-LT"/>
        </w:rPr>
        <w:t>o tipais sirgusių moterų gimdymo išeičių skirtumus, duomen</w:t>
      </w:r>
      <w:r w:rsidR="00B94347">
        <w:rPr>
          <w:color w:val="000000" w:themeColor="text1"/>
          <w:lang w:eastAsia="lt-LT"/>
        </w:rPr>
        <w:t>ys.</w:t>
      </w:r>
      <w:r w:rsidR="00BF1755">
        <w:rPr>
          <w:color w:val="000000" w:themeColor="text1"/>
          <w:lang w:eastAsia="lt-LT"/>
        </w:rPr>
        <w:t xml:space="preserve"> </w:t>
      </w:r>
      <w:r w:rsidR="00B94347">
        <w:rPr>
          <w:color w:val="000000" w:themeColor="text1"/>
          <w:lang w:eastAsia="lt-LT"/>
        </w:rPr>
        <w:t>P</w:t>
      </w:r>
      <w:r w:rsidR="00BF1755">
        <w:rPr>
          <w:color w:val="000000" w:themeColor="text1"/>
          <w:lang w:eastAsia="lt-LT"/>
        </w:rPr>
        <w:t xml:space="preserve">alyginus </w:t>
      </w:r>
      <w:r w:rsidR="00B94347" w:rsidRPr="00E72B60">
        <w:rPr>
          <w:color w:val="000000" w:themeColor="text1"/>
          <w:lang w:eastAsia="lt-LT"/>
        </w:rPr>
        <w:t>I-</w:t>
      </w:r>
      <w:r w:rsidR="00A24E42">
        <w:rPr>
          <w:color w:val="000000" w:themeColor="text1"/>
          <w:lang w:eastAsia="lt-LT"/>
        </w:rPr>
        <w:t>N</w:t>
      </w:r>
      <w:r w:rsidR="00B94347" w:rsidRPr="00E72B60">
        <w:rPr>
          <w:color w:val="000000" w:themeColor="text1"/>
          <w:lang w:eastAsia="lt-LT"/>
        </w:rPr>
        <w:t>D</w:t>
      </w:r>
      <w:r w:rsidR="00B94347">
        <w:rPr>
          <w:color w:val="000000" w:themeColor="text1"/>
          <w:lang w:eastAsia="lt-LT"/>
        </w:rPr>
        <w:t xml:space="preserve"> ir </w:t>
      </w:r>
      <w:r w:rsidR="00B94347" w:rsidRPr="00E72B60">
        <w:rPr>
          <w:color w:val="000000" w:themeColor="text1"/>
          <w:lang w:eastAsia="lt-LT"/>
        </w:rPr>
        <w:t>I-P</w:t>
      </w:r>
      <w:r w:rsidR="00A24E42">
        <w:rPr>
          <w:color w:val="000000" w:themeColor="text1"/>
          <w:lang w:eastAsia="lt-LT"/>
        </w:rPr>
        <w:t>N</w:t>
      </w:r>
      <w:r w:rsidR="00B94347" w:rsidRPr="00E72B60">
        <w:rPr>
          <w:color w:val="000000" w:themeColor="text1"/>
          <w:lang w:eastAsia="lt-LT"/>
        </w:rPr>
        <w:t>D</w:t>
      </w:r>
      <w:r w:rsidR="00B94347">
        <w:rPr>
          <w:color w:val="000000" w:themeColor="text1"/>
          <w:lang w:eastAsia="lt-LT"/>
        </w:rPr>
        <w:t xml:space="preserve"> sergančių moterų gimdymo išeitis su </w:t>
      </w:r>
      <w:r w:rsidR="00BF1755">
        <w:rPr>
          <w:color w:val="000000" w:themeColor="text1"/>
          <w:lang w:eastAsia="lt-LT"/>
        </w:rPr>
        <w:t>diabetu nesergančių moterų gimdymo išeiti</w:t>
      </w:r>
      <w:r w:rsidR="00B94347">
        <w:rPr>
          <w:color w:val="000000" w:themeColor="text1"/>
          <w:lang w:eastAsia="lt-LT"/>
        </w:rPr>
        <w:t xml:space="preserve">mis nustatyta, kad </w:t>
      </w:r>
      <w:r w:rsidR="00625446" w:rsidRPr="00E72B60">
        <w:rPr>
          <w:color w:val="000000" w:themeColor="text1"/>
          <w:lang w:eastAsia="lt-LT"/>
        </w:rPr>
        <w:t>I-</w:t>
      </w:r>
      <w:r w:rsidR="00A24E42">
        <w:rPr>
          <w:color w:val="000000" w:themeColor="text1"/>
          <w:lang w:eastAsia="lt-LT"/>
        </w:rPr>
        <w:t>N</w:t>
      </w:r>
      <w:r w:rsidR="00625446" w:rsidRPr="00E72B60">
        <w:rPr>
          <w:color w:val="000000" w:themeColor="text1"/>
          <w:lang w:eastAsia="lt-LT"/>
        </w:rPr>
        <w:t>D</w:t>
      </w:r>
      <w:r w:rsidR="00733EAD" w:rsidRPr="00E72B60">
        <w:rPr>
          <w:color w:val="000000" w:themeColor="text1"/>
          <w:lang w:eastAsia="lt-LT"/>
        </w:rPr>
        <w:t xml:space="preserve"> sergančioms moterims tikimybė pagimdyti prieš laiką yra dide</w:t>
      </w:r>
      <w:r w:rsidR="00BF1755">
        <w:rPr>
          <w:color w:val="000000" w:themeColor="text1"/>
          <w:lang w:eastAsia="lt-LT"/>
        </w:rPr>
        <w:t xml:space="preserve">snė (taip pat </w:t>
      </w:r>
      <w:r w:rsidR="00733EAD" w:rsidRPr="00E72B60">
        <w:rPr>
          <w:color w:val="000000" w:themeColor="text1"/>
          <w:lang w:eastAsia="lt-LT"/>
        </w:rPr>
        <w:t xml:space="preserve">kaip ir </w:t>
      </w:r>
      <w:r w:rsidR="00625446" w:rsidRPr="00E72B60">
        <w:rPr>
          <w:color w:val="000000" w:themeColor="text1"/>
          <w:lang w:eastAsia="lt-LT"/>
        </w:rPr>
        <w:t>I-P</w:t>
      </w:r>
      <w:r w:rsidR="00A24E42">
        <w:rPr>
          <w:color w:val="000000" w:themeColor="text1"/>
          <w:lang w:eastAsia="lt-LT"/>
        </w:rPr>
        <w:t>N</w:t>
      </w:r>
      <w:r w:rsidR="00625446" w:rsidRPr="00E72B60">
        <w:rPr>
          <w:color w:val="000000" w:themeColor="text1"/>
          <w:lang w:eastAsia="lt-LT"/>
        </w:rPr>
        <w:t>D</w:t>
      </w:r>
      <w:r w:rsidR="00733EAD" w:rsidRPr="00E72B60">
        <w:rPr>
          <w:color w:val="000000" w:themeColor="text1"/>
          <w:lang w:eastAsia="lt-LT"/>
        </w:rPr>
        <w:t xml:space="preserve"> sergančioms moterims</w:t>
      </w:r>
      <w:r w:rsidR="00BF1755">
        <w:rPr>
          <w:color w:val="000000" w:themeColor="text1"/>
          <w:lang w:eastAsia="lt-LT"/>
        </w:rPr>
        <w:t>)</w:t>
      </w:r>
      <w:r w:rsidR="00B94347">
        <w:rPr>
          <w:color w:val="000000" w:themeColor="text1"/>
          <w:lang w:eastAsia="lt-LT"/>
        </w:rPr>
        <w:t xml:space="preserve"> (</w:t>
      </w:r>
      <w:r w:rsidR="00E72B60" w:rsidRPr="00E72B60">
        <w:rPr>
          <w:color w:val="000000" w:themeColor="text1"/>
          <w:lang w:eastAsia="lt-LT"/>
        </w:rPr>
        <w:t>I-</w:t>
      </w:r>
      <w:r w:rsidR="00A24E42">
        <w:rPr>
          <w:color w:val="000000" w:themeColor="text1"/>
          <w:lang w:eastAsia="lt-LT"/>
        </w:rPr>
        <w:t>N</w:t>
      </w:r>
      <w:r w:rsidR="00E72B60" w:rsidRPr="00E72B60">
        <w:rPr>
          <w:color w:val="000000" w:themeColor="text1"/>
          <w:lang w:eastAsia="lt-LT"/>
        </w:rPr>
        <w:t>D ir I-P</w:t>
      </w:r>
      <w:r w:rsidR="00A24E42">
        <w:rPr>
          <w:color w:val="000000" w:themeColor="text1"/>
          <w:lang w:eastAsia="lt-LT"/>
        </w:rPr>
        <w:t>N</w:t>
      </w:r>
      <w:r w:rsidR="00E72B60" w:rsidRPr="00E72B60">
        <w:rPr>
          <w:color w:val="000000" w:themeColor="text1"/>
          <w:lang w:eastAsia="lt-LT"/>
        </w:rPr>
        <w:t>D šansų santykis (OR) atitinkamai 2,87 ir 1,73</w:t>
      </w:r>
      <w:r w:rsidR="00B94347">
        <w:rPr>
          <w:color w:val="000000" w:themeColor="text1"/>
          <w:lang w:eastAsia="lt-LT"/>
        </w:rPr>
        <w:t>)</w:t>
      </w:r>
      <w:r w:rsidR="008B2B02">
        <w:rPr>
          <w:color w:val="000000" w:themeColor="text1"/>
          <w:lang w:eastAsia="lt-LT"/>
        </w:rPr>
        <w:t xml:space="preserve">; </w:t>
      </w:r>
      <w:r w:rsidR="00827C16" w:rsidRPr="00E72B60">
        <w:rPr>
          <w:color w:val="000000" w:themeColor="text1"/>
          <w:lang w:eastAsia="lt-LT"/>
        </w:rPr>
        <w:t>I-</w:t>
      </w:r>
      <w:r w:rsidR="00A24E42">
        <w:rPr>
          <w:color w:val="000000" w:themeColor="text1"/>
          <w:lang w:eastAsia="lt-LT"/>
        </w:rPr>
        <w:t>N</w:t>
      </w:r>
      <w:r w:rsidR="00827C16" w:rsidRPr="00E72B60">
        <w:rPr>
          <w:color w:val="000000" w:themeColor="text1"/>
          <w:lang w:eastAsia="lt-LT"/>
        </w:rPr>
        <w:t xml:space="preserve">D sergančioms moterims </w:t>
      </w:r>
      <w:r w:rsidR="008B2B02">
        <w:rPr>
          <w:color w:val="000000" w:themeColor="text1"/>
          <w:lang w:eastAsia="lt-LT"/>
        </w:rPr>
        <w:t xml:space="preserve">tikimybė </w:t>
      </w:r>
      <w:r w:rsidR="00195A1F" w:rsidRPr="00E72B60">
        <w:rPr>
          <w:color w:val="000000" w:themeColor="text1"/>
          <w:lang w:eastAsia="lt-LT"/>
        </w:rPr>
        <w:t xml:space="preserve">pagimdyti </w:t>
      </w:r>
      <w:proofErr w:type="spellStart"/>
      <w:r w:rsidR="00195A1F" w:rsidRPr="00E72B60">
        <w:rPr>
          <w:color w:val="000000" w:themeColor="text1"/>
          <w:lang w:eastAsia="lt-LT"/>
        </w:rPr>
        <w:t>makrosomišką</w:t>
      </w:r>
      <w:proofErr w:type="spellEnd"/>
      <w:r w:rsidR="00195A1F" w:rsidRPr="00E72B60">
        <w:rPr>
          <w:color w:val="000000" w:themeColor="text1"/>
          <w:lang w:eastAsia="lt-LT"/>
        </w:rPr>
        <w:t xml:space="preserve"> naujagimį </w:t>
      </w:r>
      <w:r w:rsidR="008B2B02" w:rsidRPr="00E72B60">
        <w:rPr>
          <w:color w:val="000000" w:themeColor="text1"/>
          <w:lang w:eastAsia="lt-LT"/>
        </w:rPr>
        <w:t>yra dide</w:t>
      </w:r>
      <w:r w:rsidR="008B2B02">
        <w:rPr>
          <w:color w:val="000000" w:themeColor="text1"/>
          <w:lang w:eastAsia="lt-LT"/>
        </w:rPr>
        <w:t xml:space="preserve">snė (taip pat </w:t>
      </w:r>
      <w:r w:rsidR="008B2B02" w:rsidRPr="00E72B60">
        <w:rPr>
          <w:color w:val="000000" w:themeColor="text1"/>
          <w:lang w:eastAsia="lt-LT"/>
        </w:rPr>
        <w:t>kaip ir I-P</w:t>
      </w:r>
      <w:r w:rsidR="00A24E42">
        <w:rPr>
          <w:color w:val="000000" w:themeColor="text1"/>
          <w:lang w:eastAsia="lt-LT"/>
        </w:rPr>
        <w:t>N</w:t>
      </w:r>
      <w:r w:rsidR="008B2B02" w:rsidRPr="00E72B60">
        <w:rPr>
          <w:color w:val="000000" w:themeColor="text1"/>
          <w:lang w:eastAsia="lt-LT"/>
        </w:rPr>
        <w:t>D sergančioms moterims</w:t>
      </w:r>
      <w:r w:rsidR="008B2B02">
        <w:rPr>
          <w:color w:val="000000" w:themeColor="text1"/>
          <w:lang w:eastAsia="lt-LT"/>
        </w:rPr>
        <w:t xml:space="preserve">) </w:t>
      </w:r>
      <w:r w:rsidR="00195A1F" w:rsidRPr="00E72B60">
        <w:rPr>
          <w:color w:val="000000" w:themeColor="text1"/>
          <w:lang w:eastAsia="lt-LT"/>
        </w:rPr>
        <w:t>(</w:t>
      </w:r>
      <w:r w:rsidR="00E72B60" w:rsidRPr="00E72B60">
        <w:rPr>
          <w:color w:val="000000" w:themeColor="text1"/>
          <w:lang w:eastAsia="lt-LT"/>
        </w:rPr>
        <w:t>OR atitinkamai 3,01 ir 1,96</w:t>
      </w:r>
      <w:r w:rsidR="00195A1F" w:rsidRPr="00E72B60">
        <w:rPr>
          <w:color w:val="000000" w:themeColor="text1"/>
          <w:lang w:eastAsia="lt-LT"/>
        </w:rPr>
        <w:t xml:space="preserve">). </w:t>
      </w:r>
    </w:p>
    <w:p w14:paraId="67CF88B0" w14:textId="190D0A4C" w:rsidR="00827C16" w:rsidRDefault="00827C16" w:rsidP="00297518">
      <w:pPr>
        <w:spacing w:line="276" w:lineRule="auto"/>
        <w:ind w:firstLine="720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Pažymėtina, kad r</w:t>
      </w:r>
      <w:r w:rsidRPr="00E72B60">
        <w:rPr>
          <w:color w:val="000000" w:themeColor="text1"/>
          <w:lang w:eastAsia="lt-LT"/>
        </w:rPr>
        <w:t xml:space="preserve">emiantis </w:t>
      </w:r>
      <w:r w:rsidR="00A24E42">
        <w:rPr>
          <w:color w:val="000000" w:themeColor="text1"/>
          <w:lang w:eastAsia="lt-LT"/>
        </w:rPr>
        <w:t>nėščiųjų</w:t>
      </w:r>
      <w:r w:rsidRPr="00E72B60">
        <w:rPr>
          <w:color w:val="000000" w:themeColor="text1"/>
          <w:lang w:eastAsia="lt-LT"/>
        </w:rPr>
        <w:t xml:space="preserve"> diabeto gydymo metodika, nėščiosios, kurioms nustatytas I-</w:t>
      </w:r>
      <w:r w:rsidR="00A24E42">
        <w:rPr>
          <w:color w:val="000000" w:themeColor="text1"/>
          <w:lang w:eastAsia="lt-LT"/>
        </w:rPr>
        <w:t>N</w:t>
      </w:r>
      <w:r w:rsidRPr="00E72B60">
        <w:rPr>
          <w:color w:val="000000" w:themeColor="text1"/>
          <w:lang w:eastAsia="lt-LT"/>
        </w:rPr>
        <w:t>D, gliukozės kiekį kraujyje turi matuotis mažiausiai 7-9 kartus per parą (įskaitant ir matavimą naktimis)</w:t>
      </w:r>
      <w:r w:rsidR="0075030E">
        <w:rPr>
          <w:color w:val="000000" w:themeColor="text1"/>
          <w:lang w:eastAsia="lt-LT"/>
        </w:rPr>
        <w:t>. B</w:t>
      </w:r>
      <w:r w:rsidRPr="00E72B60">
        <w:rPr>
          <w:color w:val="000000" w:themeColor="text1"/>
          <w:lang w:eastAsia="lt-LT"/>
        </w:rPr>
        <w:t>e to, I-</w:t>
      </w:r>
      <w:r w:rsidR="00A24E42">
        <w:rPr>
          <w:color w:val="000000" w:themeColor="text1"/>
          <w:lang w:eastAsia="lt-LT"/>
        </w:rPr>
        <w:t>N</w:t>
      </w:r>
      <w:r w:rsidRPr="00E72B60">
        <w:rPr>
          <w:color w:val="000000" w:themeColor="text1"/>
          <w:lang w:eastAsia="lt-LT"/>
        </w:rPr>
        <w:t xml:space="preserve">D yra susijęs su didesne hipoglikemijos ir hiperglikemijos rizika nėščiajai. Tuo tarpu moterys, kurioms diagnozuotas </w:t>
      </w:r>
      <w:r w:rsidR="0075030E">
        <w:rPr>
          <w:color w:val="000000" w:themeColor="text1"/>
          <w:lang w:eastAsia="lt-LT"/>
        </w:rPr>
        <w:t>dieta koreguojamas</w:t>
      </w:r>
      <w:r w:rsidRPr="00E72B60">
        <w:rPr>
          <w:color w:val="000000" w:themeColor="text1"/>
          <w:lang w:eastAsia="lt-LT"/>
        </w:rPr>
        <w:t xml:space="preserve"> </w:t>
      </w:r>
      <w:r w:rsidR="00A24E42">
        <w:rPr>
          <w:color w:val="000000" w:themeColor="text1"/>
          <w:lang w:eastAsia="lt-LT"/>
        </w:rPr>
        <w:t>nėščiųjų</w:t>
      </w:r>
      <w:r w:rsidRPr="00E72B60">
        <w:rPr>
          <w:color w:val="000000" w:themeColor="text1"/>
          <w:lang w:eastAsia="lt-LT"/>
        </w:rPr>
        <w:t xml:space="preserve"> diabetas, gliukozės kiekį kraujyje matuoja žymiai rečiau ir j</w:t>
      </w:r>
      <w:r w:rsidR="0075030E">
        <w:rPr>
          <w:color w:val="000000" w:themeColor="text1"/>
          <w:lang w:eastAsia="lt-LT"/>
        </w:rPr>
        <w:t>oms</w:t>
      </w:r>
      <w:r w:rsidRPr="00E72B60">
        <w:rPr>
          <w:color w:val="000000" w:themeColor="text1"/>
          <w:lang w:eastAsia="lt-LT"/>
        </w:rPr>
        <w:t xml:space="preserve"> </w:t>
      </w:r>
      <w:proofErr w:type="spellStart"/>
      <w:r w:rsidRPr="00E72B60">
        <w:rPr>
          <w:color w:val="000000" w:themeColor="text1"/>
          <w:lang w:eastAsia="lt-LT"/>
        </w:rPr>
        <w:t>hipoglikemijų</w:t>
      </w:r>
      <w:proofErr w:type="spellEnd"/>
      <w:r w:rsidRPr="00E72B60">
        <w:rPr>
          <w:color w:val="000000" w:themeColor="text1"/>
          <w:lang w:eastAsia="lt-LT"/>
        </w:rPr>
        <w:t xml:space="preserve"> ir hiperglikemijų rizika yra mažesnė. </w:t>
      </w:r>
    </w:p>
    <w:p w14:paraId="0E5B04D6" w14:textId="0BCC1333" w:rsidR="000D3390" w:rsidRPr="00E72B60" w:rsidRDefault="002A6861" w:rsidP="00297518">
      <w:pPr>
        <w:spacing w:line="276" w:lineRule="auto"/>
        <w:ind w:firstLine="851"/>
        <w:jc w:val="both"/>
        <w:rPr>
          <w:color w:val="000000" w:themeColor="text1"/>
          <w:lang w:eastAsia="lt-LT"/>
        </w:rPr>
      </w:pPr>
      <w:r w:rsidRPr="00E72B60">
        <w:rPr>
          <w:color w:val="000000" w:themeColor="text1"/>
          <w:lang w:eastAsia="lt-LT"/>
        </w:rPr>
        <w:t>Atsiž</w:t>
      </w:r>
      <w:r w:rsidR="00195A1F" w:rsidRPr="00E72B60">
        <w:rPr>
          <w:color w:val="000000" w:themeColor="text1"/>
          <w:lang w:eastAsia="lt-LT"/>
        </w:rPr>
        <w:t>v</w:t>
      </w:r>
      <w:r w:rsidRPr="00E72B60">
        <w:rPr>
          <w:color w:val="000000" w:themeColor="text1"/>
          <w:lang w:eastAsia="lt-LT"/>
        </w:rPr>
        <w:t>e</w:t>
      </w:r>
      <w:r w:rsidR="00195A1F" w:rsidRPr="00E72B60">
        <w:rPr>
          <w:color w:val="000000" w:themeColor="text1"/>
          <w:lang w:eastAsia="lt-LT"/>
        </w:rPr>
        <w:t>l</w:t>
      </w:r>
      <w:r w:rsidRPr="00E72B60">
        <w:rPr>
          <w:color w:val="000000" w:themeColor="text1"/>
          <w:lang w:eastAsia="lt-LT"/>
        </w:rPr>
        <w:t>giant</w:t>
      </w:r>
      <w:r w:rsidR="00497822" w:rsidRPr="00E72B60">
        <w:rPr>
          <w:color w:val="000000" w:themeColor="text1"/>
          <w:lang w:eastAsia="lt-LT"/>
        </w:rPr>
        <w:t xml:space="preserve"> į </w:t>
      </w:r>
      <w:r w:rsidRPr="00E72B60">
        <w:rPr>
          <w:color w:val="000000" w:themeColor="text1"/>
          <w:lang w:eastAsia="lt-LT"/>
        </w:rPr>
        <w:t xml:space="preserve">tai, kad </w:t>
      </w:r>
      <w:r w:rsidR="00827C16">
        <w:rPr>
          <w:color w:val="000000" w:themeColor="text1"/>
          <w:lang w:eastAsia="lt-LT"/>
        </w:rPr>
        <w:t xml:space="preserve">gimdymo išeičių požiūriu </w:t>
      </w:r>
      <w:r w:rsidR="00195A1F" w:rsidRPr="00E72B60">
        <w:rPr>
          <w:color w:val="000000" w:themeColor="text1"/>
          <w:lang w:eastAsia="lt-LT"/>
        </w:rPr>
        <w:t>I-</w:t>
      </w:r>
      <w:r w:rsidR="00A24E42">
        <w:rPr>
          <w:color w:val="000000" w:themeColor="text1"/>
          <w:lang w:eastAsia="lt-LT"/>
        </w:rPr>
        <w:t>N</w:t>
      </w:r>
      <w:r w:rsidR="00195A1F" w:rsidRPr="00E72B60">
        <w:rPr>
          <w:color w:val="000000" w:themeColor="text1"/>
          <w:lang w:eastAsia="lt-LT"/>
        </w:rPr>
        <w:t xml:space="preserve">D </w:t>
      </w:r>
      <w:r w:rsidR="008A4B67">
        <w:rPr>
          <w:color w:val="000000" w:themeColor="text1"/>
          <w:lang w:eastAsia="lt-LT"/>
        </w:rPr>
        <w:t xml:space="preserve">keliamos rizikos yra </w:t>
      </w:r>
      <w:r w:rsidR="00195A1F" w:rsidRPr="00E72B60">
        <w:rPr>
          <w:color w:val="000000" w:themeColor="text1"/>
          <w:lang w:eastAsia="lt-LT"/>
        </w:rPr>
        <w:t>panašios į I-P</w:t>
      </w:r>
      <w:r w:rsidR="00A24E42">
        <w:rPr>
          <w:color w:val="000000" w:themeColor="text1"/>
          <w:lang w:eastAsia="lt-LT"/>
        </w:rPr>
        <w:t>N</w:t>
      </w:r>
      <w:r w:rsidR="00195A1F" w:rsidRPr="00E72B60">
        <w:rPr>
          <w:color w:val="000000" w:themeColor="text1"/>
          <w:lang w:eastAsia="lt-LT"/>
        </w:rPr>
        <w:t xml:space="preserve">D </w:t>
      </w:r>
      <w:r w:rsidR="008A4B67">
        <w:rPr>
          <w:color w:val="000000" w:themeColor="text1"/>
          <w:lang w:eastAsia="lt-LT"/>
        </w:rPr>
        <w:t>keliamas rizikas</w:t>
      </w:r>
      <w:r w:rsidR="00B03E7C">
        <w:rPr>
          <w:color w:val="000000" w:themeColor="text1"/>
          <w:lang w:eastAsia="lt-LT"/>
        </w:rPr>
        <w:t xml:space="preserve"> </w:t>
      </w:r>
      <w:r w:rsidR="00827C16">
        <w:rPr>
          <w:color w:val="000000" w:themeColor="text1"/>
          <w:lang w:eastAsia="lt-LT"/>
        </w:rPr>
        <w:t>ir tai</w:t>
      </w:r>
      <w:r w:rsidR="00B03E7C">
        <w:rPr>
          <w:color w:val="000000" w:themeColor="text1"/>
          <w:lang w:eastAsia="lt-LT"/>
        </w:rPr>
        <w:t>, kad gydymas</w:t>
      </w:r>
      <w:r w:rsidR="00195A1F" w:rsidRPr="00E72B60">
        <w:rPr>
          <w:color w:val="000000" w:themeColor="text1"/>
          <w:lang w:eastAsia="lt-LT"/>
        </w:rPr>
        <w:t xml:space="preserve"> insulinu </w:t>
      </w:r>
      <w:r w:rsidR="00A24E42">
        <w:rPr>
          <w:color w:val="000000" w:themeColor="text1"/>
          <w:lang w:eastAsia="lt-LT"/>
        </w:rPr>
        <w:t>I-N</w:t>
      </w:r>
      <w:r w:rsidR="00B03E7C" w:rsidRPr="00E72B60">
        <w:rPr>
          <w:color w:val="000000" w:themeColor="text1"/>
          <w:lang w:eastAsia="lt-LT"/>
        </w:rPr>
        <w:t xml:space="preserve">D </w:t>
      </w:r>
      <w:r w:rsidR="00B03E7C">
        <w:rPr>
          <w:color w:val="000000" w:themeColor="text1"/>
          <w:lang w:eastAsia="lt-LT"/>
        </w:rPr>
        <w:t xml:space="preserve">sergančioms moterims </w:t>
      </w:r>
      <w:r w:rsidR="00195A1F" w:rsidRPr="00E72B60">
        <w:rPr>
          <w:color w:val="000000" w:themeColor="text1"/>
          <w:lang w:eastAsia="lt-LT"/>
        </w:rPr>
        <w:t xml:space="preserve">reikalauja tokios pat </w:t>
      </w:r>
      <w:proofErr w:type="spellStart"/>
      <w:r w:rsidR="00195A1F" w:rsidRPr="00E72B60">
        <w:rPr>
          <w:color w:val="000000" w:themeColor="text1"/>
          <w:lang w:eastAsia="lt-LT"/>
        </w:rPr>
        <w:t>glikemijos</w:t>
      </w:r>
      <w:proofErr w:type="spellEnd"/>
      <w:r w:rsidR="00195A1F" w:rsidRPr="00E72B60">
        <w:rPr>
          <w:color w:val="000000" w:themeColor="text1"/>
          <w:lang w:eastAsia="lt-LT"/>
        </w:rPr>
        <w:t xml:space="preserve"> stebėsenos kaip I-P</w:t>
      </w:r>
      <w:r w:rsidR="00A24E42">
        <w:rPr>
          <w:color w:val="000000" w:themeColor="text1"/>
          <w:lang w:eastAsia="lt-LT"/>
        </w:rPr>
        <w:t>N</w:t>
      </w:r>
      <w:r w:rsidR="00195A1F" w:rsidRPr="00E72B60">
        <w:rPr>
          <w:color w:val="000000" w:themeColor="text1"/>
          <w:lang w:eastAsia="lt-LT"/>
        </w:rPr>
        <w:t xml:space="preserve">D </w:t>
      </w:r>
      <w:r w:rsidR="00B03E7C">
        <w:rPr>
          <w:color w:val="000000" w:themeColor="text1"/>
          <w:lang w:eastAsia="lt-LT"/>
        </w:rPr>
        <w:t xml:space="preserve">sergančioms </w:t>
      </w:r>
      <w:r w:rsidR="00195A1F" w:rsidRPr="00E72B60">
        <w:rPr>
          <w:color w:val="000000" w:themeColor="text1"/>
          <w:lang w:eastAsia="lt-LT"/>
        </w:rPr>
        <w:t>moterims</w:t>
      </w:r>
      <w:r w:rsidR="00827C16">
        <w:rPr>
          <w:color w:val="000000" w:themeColor="text1"/>
          <w:lang w:eastAsia="lt-LT"/>
        </w:rPr>
        <w:t xml:space="preserve">, </w:t>
      </w:r>
      <w:r w:rsidR="00A24E42">
        <w:rPr>
          <w:color w:val="000000" w:themeColor="text1"/>
          <w:lang w:eastAsia="lt-LT"/>
        </w:rPr>
        <w:t>Tarnybos nuomone, I-N</w:t>
      </w:r>
      <w:r w:rsidR="00827C16" w:rsidRPr="00E72B60">
        <w:rPr>
          <w:color w:val="000000" w:themeColor="text1"/>
          <w:lang w:eastAsia="lt-LT"/>
        </w:rPr>
        <w:t xml:space="preserve">D sergančioms </w:t>
      </w:r>
      <w:r w:rsidR="00827C16" w:rsidRPr="00E72B60">
        <w:rPr>
          <w:color w:val="000000" w:themeColor="text1"/>
          <w:lang w:eastAsia="lt-LT"/>
        </w:rPr>
        <w:lastRenderedPageBreak/>
        <w:t>nėščiosioms turėtų būti prieinamos toki</w:t>
      </w:r>
      <w:r w:rsidR="00827C16">
        <w:rPr>
          <w:color w:val="000000" w:themeColor="text1"/>
          <w:lang w:eastAsia="lt-LT"/>
        </w:rPr>
        <w:t>o</w:t>
      </w:r>
      <w:r w:rsidR="00827C16" w:rsidRPr="00E72B60">
        <w:rPr>
          <w:color w:val="000000" w:themeColor="text1"/>
          <w:lang w:eastAsia="lt-LT"/>
        </w:rPr>
        <w:t xml:space="preserve">s pačios </w:t>
      </w:r>
      <w:proofErr w:type="spellStart"/>
      <w:r w:rsidR="00827C16" w:rsidRPr="00E72B60">
        <w:rPr>
          <w:color w:val="000000" w:themeColor="text1"/>
          <w:lang w:eastAsia="lt-LT"/>
        </w:rPr>
        <w:t>glikemijos</w:t>
      </w:r>
      <w:proofErr w:type="spellEnd"/>
      <w:r w:rsidR="00827C16" w:rsidRPr="00E72B60">
        <w:rPr>
          <w:color w:val="000000" w:themeColor="text1"/>
          <w:lang w:eastAsia="lt-LT"/>
        </w:rPr>
        <w:t xml:space="preserve"> stebėsenos priemonės kaip ir I-P</w:t>
      </w:r>
      <w:r w:rsidR="00A24E42">
        <w:rPr>
          <w:color w:val="000000" w:themeColor="text1"/>
          <w:lang w:eastAsia="lt-LT"/>
        </w:rPr>
        <w:t>N</w:t>
      </w:r>
      <w:r w:rsidR="00827C16" w:rsidRPr="00E72B60">
        <w:rPr>
          <w:color w:val="000000" w:themeColor="text1"/>
          <w:lang w:eastAsia="lt-LT"/>
        </w:rPr>
        <w:t>D sergančioms nėščiosioms</w:t>
      </w:r>
      <w:r w:rsidR="00827C16">
        <w:rPr>
          <w:color w:val="000000" w:themeColor="text1"/>
          <w:lang w:eastAsia="lt-LT"/>
        </w:rPr>
        <w:t>.</w:t>
      </w:r>
      <w:r w:rsidR="00297518">
        <w:rPr>
          <w:color w:val="000000" w:themeColor="text1"/>
          <w:lang w:eastAsia="lt-LT"/>
        </w:rPr>
        <w:t xml:space="preserve"> Todėl </w:t>
      </w:r>
      <w:r w:rsidR="00625446" w:rsidRPr="00B94347">
        <w:rPr>
          <w:color w:val="000000" w:themeColor="text1"/>
          <w:lang w:eastAsia="lt-LT"/>
        </w:rPr>
        <w:t>siūlo</w:t>
      </w:r>
      <w:r w:rsidR="0075030E">
        <w:rPr>
          <w:color w:val="000000" w:themeColor="text1"/>
          <w:lang w:eastAsia="lt-LT"/>
        </w:rPr>
        <w:t>me</w:t>
      </w:r>
      <w:r w:rsidR="00625446" w:rsidRPr="00B94347">
        <w:rPr>
          <w:color w:val="000000" w:themeColor="text1"/>
          <w:lang w:eastAsia="lt-LT"/>
        </w:rPr>
        <w:t xml:space="preserve"> </w:t>
      </w:r>
      <w:r w:rsidR="000775E4" w:rsidRPr="00B94347">
        <w:rPr>
          <w:color w:val="000000" w:themeColor="text1"/>
          <w:lang w:eastAsia="lt-LT"/>
        </w:rPr>
        <w:t>kompensavimo komisijai</w:t>
      </w:r>
      <w:r w:rsidR="000775E4" w:rsidRPr="00B03E7C">
        <w:rPr>
          <w:b/>
          <w:color w:val="000000" w:themeColor="text1"/>
          <w:lang w:eastAsia="lt-LT"/>
        </w:rPr>
        <w:t xml:space="preserve"> </w:t>
      </w:r>
      <w:r w:rsidR="00B03E7C">
        <w:rPr>
          <w:b/>
          <w:color w:val="000000" w:themeColor="text1"/>
          <w:lang w:eastAsia="lt-LT"/>
        </w:rPr>
        <w:t>ap</w:t>
      </w:r>
      <w:r w:rsidR="00625446" w:rsidRPr="00B03E7C">
        <w:rPr>
          <w:b/>
          <w:color w:val="000000" w:themeColor="text1"/>
          <w:lang w:eastAsia="lt-LT"/>
        </w:rPr>
        <w:t xml:space="preserve">svarstyti galimybę kompensuoti </w:t>
      </w:r>
      <w:r w:rsidR="00625446" w:rsidRPr="00297518">
        <w:rPr>
          <w:b/>
          <w:i/>
          <w:color w:val="000000" w:themeColor="text1"/>
          <w:lang w:eastAsia="lt-LT"/>
        </w:rPr>
        <w:t xml:space="preserve">MPP </w:t>
      </w:r>
      <w:proofErr w:type="spellStart"/>
      <w:r w:rsidR="00625446" w:rsidRPr="00297518">
        <w:rPr>
          <w:b/>
          <w:i/>
          <w:color w:val="000000" w:themeColor="text1"/>
          <w:lang w:eastAsia="lt-LT"/>
        </w:rPr>
        <w:t>Dexcom</w:t>
      </w:r>
      <w:proofErr w:type="spellEnd"/>
      <w:r w:rsidR="00625446" w:rsidRPr="00297518">
        <w:rPr>
          <w:b/>
          <w:i/>
          <w:color w:val="000000" w:themeColor="text1"/>
          <w:lang w:eastAsia="lt-LT"/>
        </w:rPr>
        <w:t xml:space="preserve"> ONE</w:t>
      </w:r>
      <w:r w:rsidR="00625446" w:rsidRPr="00B03E7C">
        <w:rPr>
          <w:b/>
          <w:color w:val="000000" w:themeColor="text1"/>
          <w:lang w:eastAsia="lt-LT"/>
        </w:rPr>
        <w:t xml:space="preserve"> insulin</w:t>
      </w:r>
      <w:r w:rsidR="00A24E42">
        <w:rPr>
          <w:b/>
          <w:color w:val="000000" w:themeColor="text1"/>
          <w:lang w:eastAsia="lt-LT"/>
        </w:rPr>
        <w:t>u</w:t>
      </w:r>
      <w:r w:rsidR="00625446" w:rsidRPr="00B03E7C">
        <w:rPr>
          <w:b/>
          <w:color w:val="000000" w:themeColor="text1"/>
          <w:lang w:eastAsia="lt-LT"/>
        </w:rPr>
        <w:t xml:space="preserve"> </w:t>
      </w:r>
      <w:r w:rsidR="00A24E42">
        <w:rPr>
          <w:b/>
          <w:color w:val="000000" w:themeColor="text1"/>
          <w:lang w:eastAsia="lt-LT"/>
        </w:rPr>
        <w:t>koreguojamu</w:t>
      </w:r>
      <w:r w:rsidR="00625446" w:rsidRPr="00B03E7C">
        <w:rPr>
          <w:b/>
          <w:color w:val="000000" w:themeColor="text1"/>
          <w:lang w:eastAsia="lt-LT"/>
        </w:rPr>
        <w:t xml:space="preserve"> </w:t>
      </w:r>
      <w:r w:rsidR="00A24E42">
        <w:rPr>
          <w:b/>
          <w:color w:val="000000" w:themeColor="text1"/>
          <w:lang w:eastAsia="lt-LT"/>
        </w:rPr>
        <w:t>nėščiųjų</w:t>
      </w:r>
      <w:r w:rsidR="00625446" w:rsidRPr="00B03E7C">
        <w:rPr>
          <w:b/>
          <w:color w:val="000000" w:themeColor="text1"/>
          <w:lang w:eastAsia="lt-LT"/>
        </w:rPr>
        <w:t xml:space="preserve"> diabetu sergančioms moterims (TLK-AM-10 kodas O24.42), </w:t>
      </w:r>
      <w:r w:rsidR="000D3390" w:rsidRPr="00B03E7C">
        <w:rPr>
          <w:b/>
          <w:color w:val="000000" w:themeColor="text1"/>
          <w:lang w:eastAsia="lt-LT"/>
        </w:rPr>
        <w:t xml:space="preserve">nepaisant </w:t>
      </w:r>
      <w:r w:rsidR="00625446" w:rsidRPr="00B03E7C">
        <w:rPr>
          <w:b/>
          <w:color w:val="000000" w:themeColor="text1"/>
          <w:lang w:eastAsia="lt-LT"/>
        </w:rPr>
        <w:t xml:space="preserve">mažesnio kaip 9 </w:t>
      </w:r>
      <w:r w:rsidR="00A24E42">
        <w:rPr>
          <w:b/>
          <w:color w:val="000000" w:themeColor="text1"/>
          <w:lang w:eastAsia="lt-LT"/>
        </w:rPr>
        <w:t xml:space="preserve">balų </w:t>
      </w:r>
      <w:r w:rsidR="000D3390" w:rsidRPr="00B03E7C">
        <w:rPr>
          <w:b/>
          <w:color w:val="000000" w:themeColor="text1"/>
          <w:lang w:eastAsia="lt-LT"/>
        </w:rPr>
        <w:t xml:space="preserve">MPP funkcinės vertės </w:t>
      </w:r>
      <w:r w:rsidR="00625446" w:rsidRPr="00B03E7C">
        <w:rPr>
          <w:b/>
          <w:color w:val="000000" w:themeColor="text1"/>
          <w:lang w:eastAsia="lt-LT"/>
        </w:rPr>
        <w:t>įverčio.</w:t>
      </w:r>
      <w:r w:rsidR="00E72B60" w:rsidRPr="00E72B60">
        <w:rPr>
          <w:color w:val="000000" w:themeColor="text1"/>
          <w:lang w:eastAsia="lt-LT"/>
        </w:rPr>
        <w:t xml:space="preserve"> </w:t>
      </w:r>
    </w:p>
    <w:p w14:paraId="13ACB0F7" w14:textId="630DAF39" w:rsidR="00883C96" w:rsidRDefault="00883C96" w:rsidP="00484191">
      <w:pPr>
        <w:jc w:val="both"/>
      </w:pPr>
    </w:p>
    <w:p w14:paraId="32121CAF" w14:textId="77777777" w:rsidR="001E2D63" w:rsidRPr="00A71C60" w:rsidRDefault="001E2D63" w:rsidP="00484191">
      <w:pPr>
        <w:jc w:val="both"/>
      </w:pPr>
    </w:p>
    <w:p w14:paraId="1F080017" w14:textId="10F838CB" w:rsidR="00883C96" w:rsidRPr="00A71C60" w:rsidRDefault="00883C96" w:rsidP="00484191">
      <w:pPr>
        <w:jc w:val="both"/>
      </w:pPr>
    </w:p>
    <w:p w14:paraId="1DA76D55" w14:textId="3B1A2873" w:rsidR="00883C96" w:rsidRPr="00A71C60" w:rsidRDefault="00883C96" w:rsidP="00484191">
      <w:pPr>
        <w:jc w:val="both"/>
      </w:pPr>
    </w:p>
    <w:p w14:paraId="45C83E36" w14:textId="77777777" w:rsidR="00297518" w:rsidRDefault="00297518" w:rsidP="00297518">
      <w:pPr>
        <w:ind w:left="-120"/>
        <w:jc w:val="both"/>
      </w:pPr>
      <w:r>
        <w:t>Viršininkas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Gytis Andrulionis</w:t>
      </w:r>
    </w:p>
    <w:p w14:paraId="758EA40F" w14:textId="7C38BCF2" w:rsidR="00883C96" w:rsidRPr="00A71C60" w:rsidRDefault="00883C96" w:rsidP="00484191">
      <w:pPr>
        <w:jc w:val="both"/>
      </w:pPr>
    </w:p>
    <w:p w14:paraId="656EFFCA" w14:textId="1AF8C9A4" w:rsidR="00883C96" w:rsidRDefault="00883C96" w:rsidP="00883C96">
      <w:pPr>
        <w:jc w:val="both"/>
      </w:pPr>
    </w:p>
    <w:p w14:paraId="555C5DD0" w14:textId="07F99682" w:rsidR="00297518" w:rsidRDefault="00297518" w:rsidP="00883C96">
      <w:pPr>
        <w:jc w:val="both"/>
      </w:pPr>
    </w:p>
    <w:p w14:paraId="0D0F9BEC" w14:textId="1D0DBE4D" w:rsidR="00297518" w:rsidRDefault="00297518" w:rsidP="00883C96">
      <w:pPr>
        <w:jc w:val="both"/>
      </w:pPr>
    </w:p>
    <w:p w14:paraId="334A5057" w14:textId="67684B6D" w:rsidR="00297518" w:rsidRDefault="00297518" w:rsidP="00883C96">
      <w:pPr>
        <w:jc w:val="both"/>
      </w:pPr>
    </w:p>
    <w:p w14:paraId="27227E9F" w14:textId="6F3BEC24" w:rsidR="00297518" w:rsidRDefault="00297518" w:rsidP="00883C96">
      <w:pPr>
        <w:jc w:val="both"/>
      </w:pPr>
    </w:p>
    <w:p w14:paraId="68DF18D0" w14:textId="34D7B4EB" w:rsidR="00297518" w:rsidRDefault="00297518" w:rsidP="00883C96">
      <w:pPr>
        <w:jc w:val="both"/>
      </w:pPr>
    </w:p>
    <w:p w14:paraId="5244610E" w14:textId="22C60404" w:rsidR="00297518" w:rsidRDefault="00297518" w:rsidP="00883C96">
      <w:pPr>
        <w:jc w:val="both"/>
      </w:pPr>
    </w:p>
    <w:p w14:paraId="2194CCEB" w14:textId="3F5B0B89" w:rsidR="00297518" w:rsidRDefault="00297518" w:rsidP="00883C96">
      <w:pPr>
        <w:jc w:val="both"/>
      </w:pPr>
    </w:p>
    <w:p w14:paraId="22D65153" w14:textId="5F80D12C" w:rsidR="00297518" w:rsidRDefault="00297518" w:rsidP="00883C96">
      <w:pPr>
        <w:jc w:val="both"/>
      </w:pPr>
    </w:p>
    <w:p w14:paraId="6BE57B98" w14:textId="5C8593A1" w:rsidR="00297518" w:rsidRDefault="00297518" w:rsidP="00883C96">
      <w:pPr>
        <w:jc w:val="both"/>
      </w:pPr>
    </w:p>
    <w:p w14:paraId="0B7D5EEF" w14:textId="1DF7E497" w:rsidR="00297518" w:rsidRDefault="00297518" w:rsidP="00883C96">
      <w:pPr>
        <w:jc w:val="both"/>
      </w:pPr>
    </w:p>
    <w:p w14:paraId="4A093CA3" w14:textId="3C9A286A" w:rsidR="00297518" w:rsidRDefault="00297518" w:rsidP="00883C96">
      <w:pPr>
        <w:jc w:val="both"/>
      </w:pPr>
    </w:p>
    <w:p w14:paraId="010D36A4" w14:textId="10AA2340" w:rsidR="00297518" w:rsidRDefault="00297518" w:rsidP="00883C96">
      <w:pPr>
        <w:jc w:val="both"/>
      </w:pPr>
    </w:p>
    <w:p w14:paraId="6A171B6D" w14:textId="059F424E" w:rsidR="00297518" w:rsidRDefault="00297518" w:rsidP="00883C96">
      <w:pPr>
        <w:jc w:val="both"/>
      </w:pPr>
    </w:p>
    <w:p w14:paraId="49BF550B" w14:textId="290DFA84" w:rsidR="00297518" w:rsidRDefault="00297518" w:rsidP="00883C96">
      <w:pPr>
        <w:jc w:val="both"/>
      </w:pPr>
    </w:p>
    <w:p w14:paraId="18505F90" w14:textId="57FFAB33" w:rsidR="00297518" w:rsidRDefault="00297518" w:rsidP="00883C96">
      <w:pPr>
        <w:jc w:val="both"/>
      </w:pPr>
    </w:p>
    <w:p w14:paraId="06579D5F" w14:textId="67EDAD07" w:rsidR="00297518" w:rsidRDefault="00297518" w:rsidP="00883C96">
      <w:pPr>
        <w:jc w:val="both"/>
      </w:pPr>
    </w:p>
    <w:p w14:paraId="2413C66D" w14:textId="505E6BAD" w:rsidR="00297518" w:rsidRDefault="00297518" w:rsidP="00883C96">
      <w:pPr>
        <w:jc w:val="both"/>
      </w:pPr>
    </w:p>
    <w:p w14:paraId="5155BB1E" w14:textId="3F32582F" w:rsidR="00297518" w:rsidRDefault="00297518" w:rsidP="00883C96">
      <w:pPr>
        <w:jc w:val="both"/>
      </w:pPr>
    </w:p>
    <w:p w14:paraId="096DE29D" w14:textId="55B52E87" w:rsidR="00297518" w:rsidRDefault="00297518" w:rsidP="00883C96">
      <w:pPr>
        <w:jc w:val="both"/>
      </w:pPr>
    </w:p>
    <w:p w14:paraId="22C6C6D7" w14:textId="04913A9D" w:rsidR="00297518" w:rsidRDefault="00297518" w:rsidP="00883C96">
      <w:pPr>
        <w:jc w:val="both"/>
      </w:pPr>
    </w:p>
    <w:p w14:paraId="5282568D" w14:textId="08046DA4" w:rsidR="00297518" w:rsidRDefault="00297518" w:rsidP="00883C96">
      <w:pPr>
        <w:jc w:val="both"/>
      </w:pPr>
    </w:p>
    <w:p w14:paraId="2CEED604" w14:textId="5508A494" w:rsidR="00297518" w:rsidRDefault="00297518" w:rsidP="00883C96">
      <w:pPr>
        <w:jc w:val="both"/>
      </w:pPr>
    </w:p>
    <w:p w14:paraId="479E94C9" w14:textId="07780F05" w:rsidR="00297518" w:rsidRDefault="00297518" w:rsidP="00883C96">
      <w:pPr>
        <w:jc w:val="both"/>
      </w:pPr>
    </w:p>
    <w:p w14:paraId="58E7C675" w14:textId="77777777" w:rsidR="001E2D63" w:rsidRDefault="001E2D63" w:rsidP="00883C96">
      <w:pPr>
        <w:jc w:val="both"/>
      </w:pPr>
    </w:p>
    <w:p w14:paraId="23E4DC54" w14:textId="263D856C" w:rsidR="00297518" w:rsidRDefault="00297518" w:rsidP="00883C96">
      <w:pPr>
        <w:jc w:val="both"/>
      </w:pPr>
    </w:p>
    <w:p w14:paraId="21344D1D" w14:textId="2BC815C8" w:rsidR="00297518" w:rsidRDefault="00297518" w:rsidP="00883C96">
      <w:pPr>
        <w:jc w:val="both"/>
      </w:pPr>
    </w:p>
    <w:p w14:paraId="35F86962" w14:textId="5A94DD35" w:rsidR="00297518" w:rsidRDefault="00297518" w:rsidP="00883C96">
      <w:pPr>
        <w:jc w:val="both"/>
      </w:pPr>
    </w:p>
    <w:p w14:paraId="1BF72ACC" w14:textId="25345FE1" w:rsidR="00297518" w:rsidRDefault="00297518" w:rsidP="00883C96">
      <w:pPr>
        <w:jc w:val="both"/>
      </w:pPr>
    </w:p>
    <w:p w14:paraId="654EF8E2" w14:textId="278EBBA1" w:rsidR="00297518" w:rsidRPr="0075030E" w:rsidRDefault="00297518" w:rsidP="00883C96">
      <w:pPr>
        <w:jc w:val="both"/>
        <w:rPr>
          <w:sz w:val="22"/>
        </w:rPr>
      </w:pPr>
    </w:p>
    <w:p w14:paraId="734A77CC" w14:textId="39AE528F" w:rsidR="00297518" w:rsidRPr="00F4599B" w:rsidRDefault="00297518" w:rsidP="00883C96">
      <w:pPr>
        <w:jc w:val="both"/>
        <w:rPr>
          <w:sz w:val="20"/>
        </w:rPr>
      </w:pPr>
    </w:p>
    <w:sectPr w:rsidR="00297518" w:rsidRPr="00F4599B" w:rsidSect="00F05AAF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93C1" w14:textId="77777777" w:rsidR="00F05AAF" w:rsidRDefault="00F05AAF">
      <w:r>
        <w:separator/>
      </w:r>
    </w:p>
  </w:endnote>
  <w:endnote w:type="continuationSeparator" w:id="0">
    <w:p w14:paraId="5B5D817D" w14:textId="77777777" w:rsidR="00F05AAF" w:rsidRDefault="00F0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6C6F877D" w:rsidR="00737E2D" w:rsidRDefault="00737E2D" w:rsidP="00245FC5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</w:t>
          </w:r>
          <w:r w:rsidR="00245FC5">
            <w:rPr>
              <w:sz w:val="18"/>
              <w:szCs w:val="18"/>
            </w:rPr>
            <w:t>Studentų g. 45</w:t>
          </w:r>
          <w:r>
            <w:rPr>
              <w:sz w:val="18"/>
              <w:szCs w:val="18"/>
            </w:rPr>
            <w:t>A, LT-</w:t>
          </w:r>
          <w:r w:rsidR="00245FC5">
            <w:rPr>
              <w:sz w:val="18"/>
              <w:szCs w:val="18"/>
            </w:rPr>
            <w:t>08107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D13BA" w14:textId="77777777" w:rsidR="00F05AAF" w:rsidRDefault="00F05AAF">
      <w:r>
        <w:separator/>
      </w:r>
    </w:p>
  </w:footnote>
  <w:footnote w:type="continuationSeparator" w:id="0">
    <w:p w14:paraId="55E277D9" w14:textId="77777777" w:rsidR="00F05AAF" w:rsidRDefault="00F0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278CF82C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5030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1932714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3EBC"/>
    <w:multiLevelType w:val="hybridMultilevel"/>
    <w:tmpl w:val="04B86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4E3389"/>
    <w:multiLevelType w:val="hybridMultilevel"/>
    <w:tmpl w:val="A364C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630F18"/>
    <w:multiLevelType w:val="hybridMultilevel"/>
    <w:tmpl w:val="6BBA4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071408">
    <w:abstractNumId w:val="4"/>
  </w:num>
  <w:num w:numId="2" w16cid:durableId="401817">
    <w:abstractNumId w:val="5"/>
  </w:num>
  <w:num w:numId="3" w16cid:durableId="134875487">
    <w:abstractNumId w:val="6"/>
  </w:num>
  <w:num w:numId="4" w16cid:durableId="1974142139">
    <w:abstractNumId w:val="2"/>
  </w:num>
  <w:num w:numId="5" w16cid:durableId="881400163">
    <w:abstractNumId w:val="0"/>
  </w:num>
  <w:num w:numId="6" w16cid:durableId="1453867338">
    <w:abstractNumId w:val="1"/>
  </w:num>
  <w:num w:numId="7" w16cid:durableId="1859390259">
    <w:abstractNumId w:val="7"/>
  </w:num>
  <w:num w:numId="8" w16cid:durableId="1356494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12EEA"/>
    <w:rsid w:val="00021D32"/>
    <w:rsid w:val="00031D0E"/>
    <w:rsid w:val="0003402E"/>
    <w:rsid w:val="00041EF5"/>
    <w:rsid w:val="00046678"/>
    <w:rsid w:val="000527B8"/>
    <w:rsid w:val="00054D24"/>
    <w:rsid w:val="00077480"/>
    <w:rsid w:val="000775E4"/>
    <w:rsid w:val="0008190F"/>
    <w:rsid w:val="00081D9C"/>
    <w:rsid w:val="00082907"/>
    <w:rsid w:val="0008378D"/>
    <w:rsid w:val="000C2CCE"/>
    <w:rsid w:val="000D3390"/>
    <w:rsid w:val="000D5038"/>
    <w:rsid w:val="000E29D4"/>
    <w:rsid w:val="000F3540"/>
    <w:rsid w:val="00107287"/>
    <w:rsid w:val="00117099"/>
    <w:rsid w:val="00121EF0"/>
    <w:rsid w:val="00124A9E"/>
    <w:rsid w:val="0013153F"/>
    <w:rsid w:val="001408B8"/>
    <w:rsid w:val="001521D9"/>
    <w:rsid w:val="001554E2"/>
    <w:rsid w:val="00163FE4"/>
    <w:rsid w:val="00164146"/>
    <w:rsid w:val="00180C39"/>
    <w:rsid w:val="0018222E"/>
    <w:rsid w:val="001921F3"/>
    <w:rsid w:val="00195A1F"/>
    <w:rsid w:val="001A6657"/>
    <w:rsid w:val="001B4194"/>
    <w:rsid w:val="001C6F45"/>
    <w:rsid w:val="001E0A8A"/>
    <w:rsid w:val="001E2D63"/>
    <w:rsid w:val="001F51F1"/>
    <w:rsid w:val="001F692A"/>
    <w:rsid w:val="00213471"/>
    <w:rsid w:val="00213AD3"/>
    <w:rsid w:val="00215906"/>
    <w:rsid w:val="002161E2"/>
    <w:rsid w:val="00220AAB"/>
    <w:rsid w:val="00221F7C"/>
    <w:rsid w:val="00245FC5"/>
    <w:rsid w:val="00251AAB"/>
    <w:rsid w:val="00253122"/>
    <w:rsid w:val="0025424F"/>
    <w:rsid w:val="00255A82"/>
    <w:rsid w:val="0025697F"/>
    <w:rsid w:val="00272428"/>
    <w:rsid w:val="00272948"/>
    <w:rsid w:val="002743BD"/>
    <w:rsid w:val="00282598"/>
    <w:rsid w:val="0028672F"/>
    <w:rsid w:val="00297518"/>
    <w:rsid w:val="002A3CEC"/>
    <w:rsid w:val="002A6861"/>
    <w:rsid w:val="002B375C"/>
    <w:rsid w:val="002B3CC1"/>
    <w:rsid w:val="002B3F30"/>
    <w:rsid w:val="002C3A10"/>
    <w:rsid w:val="002C4A90"/>
    <w:rsid w:val="002D02EF"/>
    <w:rsid w:val="002F1053"/>
    <w:rsid w:val="00301862"/>
    <w:rsid w:val="00341E5D"/>
    <w:rsid w:val="00344D4C"/>
    <w:rsid w:val="0036187D"/>
    <w:rsid w:val="00361ADC"/>
    <w:rsid w:val="003728B2"/>
    <w:rsid w:val="00384751"/>
    <w:rsid w:val="00385FD0"/>
    <w:rsid w:val="00386307"/>
    <w:rsid w:val="003A5CDB"/>
    <w:rsid w:val="003C3CE3"/>
    <w:rsid w:val="003C7257"/>
    <w:rsid w:val="003C7E35"/>
    <w:rsid w:val="003E2DC9"/>
    <w:rsid w:val="003E5DEF"/>
    <w:rsid w:val="0040622F"/>
    <w:rsid w:val="00412AE4"/>
    <w:rsid w:val="004217A0"/>
    <w:rsid w:val="00421D36"/>
    <w:rsid w:val="00423160"/>
    <w:rsid w:val="00453BF8"/>
    <w:rsid w:val="004569CD"/>
    <w:rsid w:val="00461338"/>
    <w:rsid w:val="004643CC"/>
    <w:rsid w:val="004654CC"/>
    <w:rsid w:val="0047454D"/>
    <w:rsid w:val="0048265D"/>
    <w:rsid w:val="00484191"/>
    <w:rsid w:val="00490E71"/>
    <w:rsid w:val="00493EEA"/>
    <w:rsid w:val="0049482A"/>
    <w:rsid w:val="00497822"/>
    <w:rsid w:val="004B04B6"/>
    <w:rsid w:val="004B59BA"/>
    <w:rsid w:val="004B6F94"/>
    <w:rsid w:val="004C0200"/>
    <w:rsid w:val="004C4C14"/>
    <w:rsid w:val="004D1610"/>
    <w:rsid w:val="004D1ADF"/>
    <w:rsid w:val="004D45DC"/>
    <w:rsid w:val="005005EF"/>
    <w:rsid w:val="005028AA"/>
    <w:rsid w:val="00505768"/>
    <w:rsid w:val="00526B7A"/>
    <w:rsid w:val="00535F96"/>
    <w:rsid w:val="00544A84"/>
    <w:rsid w:val="005476A4"/>
    <w:rsid w:val="005500C2"/>
    <w:rsid w:val="005601A4"/>
    <w:rsid w:val="00575777"/>
    <w:rsid w:val="00581788"/>
    <w:rsid w:val="00593031"/>
    <w:rsid w:val="005976CE"/>
    <w:rsid w:val="005A0D77"/>
    <w:rsid w:val="005A23D4"/>
    <w:rsid w:val="005A2D1E"/>
    <w:rsid w:val="005B0BBB"/>
    <w:rsid w:val="005B7814"/>
    <w:rsid w:val="005C493F"/>
    <w:rsid w:val="005C6BF7"/>
    <w:rsid w:val="005C7898"/>
    <w:rsid w:val="005D30E1"/>
    <w:rsid w:val="005D6555"/>
    <w:rsid w:val="005D7BDF"/>
    <w:rsid w:val="005D7DD3"/>
    <w:rsid w:val="005E3235"/>
    <w:rsid w:val="005E7884"/>
    <w:rsid w:val="00607B77"/>
    <w:rsid w:val="006166A8"/>
    <w:rsid w:val="00625446"/>
    <w:rsid w:val="00633B49"/>
    <w:rsid w:val="0064297F"/>
    <w:rsid w:val="006523F7"/>
    <w:rsid w:val="00654F7A"/>
    <w:rsid w:val="006579C6"/>
    <w:rsid w:val="0067132C"/>
    <w:rsid w:val="00674E0D"/>
    <w:rsid w:val="006811CF"/>
    <w:rsid w:val="006A1D72"/>
    <w:rsid w:val="006A38B6"/>
    <w:rsid w:val="006C1C3E"/>
    <w:rsid w:val="006C2B64"/>
    <w:rsid w:val="006C4C0E"/>
    <w:rsid w:val="006D38BA"/>
    <w:rsid w:val="006F1251"/>
    <w:rsid w:val="00703166"/>
    <w:rsid w:val="0070371B"/>
    <w:rsid w:val="00704A13"/>
    <w:rsid w:val="007112BA"/>
    <w:rsid w:val="007127F3"/>
    <w:rsid w:val="00715704"/>
    <w:rsid w:val="007316FB"/>
    <w:rsid w:val="00733BF6"/>
    <w:rsid w:val="00733EAD"/>
    <w:rsid w:val="00737E2D"/>
    <w:rsid w:val="007424D5"/>
    <w:rsid w:val="0075030E"/>
    <w:rsid w:val="00751A88"/>
    <w:rsid w:val="007523DD"/>
    <w:rsid w:val="00762187"/>
    <w:rsid w:val="0079794C"/>
    <w:rsid w:val="007A29A4"/>
    <w:rsid w:val="007B0DDA"/>
    <w:rsid w:val="007B1CEC"/>
    <w:rsid w:val="007B7850"/>
    <w:rsid w:val="007C5B41"/>
    <w:rsid w:val="007E0EA9"/>
    <w:rsid w:val="007F0DD5"/>
    <w:rsid w:val="007F1949"/>
    <w:rsid w:val="00806470"/>
    <w:rsid w:val="00827C16"/>
    <w:rsid w:val="008332BC"/>
    <w:rsid w:val="00833FEF"/>
    <w:rsid w:val="0083457E"/>
    <w:rsid w:val="008358D9"/>
    <w:rsid w:val="0085200C"/>
    <w:rsid w:val="00857C52"/>
    <w:rsid w:val="00857CE3"/>
    <w:rsid w:val="00862F7C"/>
    <w:rsid w:val="00870A8D"/>
    <w:rsid w:val="00870F22"/>
    <w:rsid w:val="00875A80"/>
    <w:rsid w:val="00875B9D"/>
    <w:rsid w:val="00880A67"/>
    <w:rsid w:val="00883C96"/>
    <w:rsid w:val="00885C5A"/>
    <w:rsid w:val="008A336B"/>
    <w:rsid w:val="008A3A98"/>
    <w:rsid w:val="008A4B67"/>
    <w:rsid w:val="008B0D63"/>
    <w:rsid w:val="008B2B02"/>
    <w:rsid w:val="008C3947"/>
    <w:rsid w:val="008D452C"/>
    <w:rsid w:val="008D4880"/>
    <w:rsid w:val="008D740B"/>
    <w:rsid w:val="008F2ED5"/>
    <w:rsid w:val="00900B54"/>
    <w:rsid w:val="00902A9F"/>
    <w:rsid w:val="0090541F"/>
    <w:rsid w:val="00920B69"/>
    <w:rsid w:val="009341BF"/>
    <w:rsid w:val="00935249"/>
    <w:rsid w:val="00941739"/>
    <w:rsid w:val="00951573"/>
    <w:rsid w:val="00954168"/>
    <w:rsid w:val="00956725"/>
    <w:rsid w:val="00957FF0"/>
    <w:rsid w:val="009628E0"/>
    <w:rsid w:val="00963003"/>
    <w:rsid w:val="00980A24"/>
    <w:rsid w:val="009832FB"/>
    <w:rsid w:val="009A1624"/>
    <w:rsid w:val="009A30CD"/>
    <w:rsid w:val="009B37DB"/>
    <w:rsid w:val="009C15A8"/>
    <w:rsid w:val="009C448D"/>
    <w:rsid w:val="009C7A8C"/>
    <w:rsid w:val="009D439F"/>
    <w:rsid w:val="009E0C9D"/>
    <w:rsid w:val="009E6CD6"/>
    <w:rsid w:val="009F10D6"/>
    <w:rsid w:val="00A00683"/>
    <w:rsid w:val="00A115F5"/>
    <w:rsid w:val="00A24E42"/>
    <w:rsid w:val="00A27008"/>
    <w:rsid w:val="00A30691"/>
    <w:rsid w:val="00A41A34"/>
    <w:rsid w:val="00A44A82"/>
    <w:rsid w:val="00A5553C"/>
    <w:rsid w:val="00A71C60"/>
    <w:rsid w:val="00A84C51"/>
    <w:rsid w:val="00A86F2B"/>
    <w:rsid w:val="00A91366"/>
    <w:rsid w:val="00A942B9"/>
    <w:rsid w:val="00AA517B"/>
    <w:rsid w:val="00AA6202"/>
    <w:rsid w:val="00AB0E7D"/>
    <w:rsid w:val="00AB6B6F"/>
    <w:rsid w:val="00AC30A4"/>
    <w:rsid w:val="00AC4A99"/>
    <w:rsid w:val="00AD2BA1"/>
    <w:rsid w:val="00AF60D5"/>
    <w:rsid w:val="00B03E7C"/>
    <w:rsid w:val="00B04415"/>
    <w:rsid w:val="00B11D60"/>
    <w:rsid w:val="00B13208"/>
    <w:rsid w:val="00B37245"/>
    <w:rsid w:val="00B65F9D"/>
    <w:rsid w:val="00B6677E"/>
    <w:rsid w:val="00B73023"/>
    <w:rsid w:val="00B86883"/>
    <w:rsid w:val="00B94347"/>
    <w:rsid w:val="00B97C14"/>
    <w:rsid w:val="00BA6BCA"/>
    <w:rsid w:val="00BC7CB2"/>
    <w:rsid w:val="00BD585E"/>
    <w:rsid w:val="00BD5AA8"/>
    <w:rsid w:val="00BE424E"/>
    <w:rsid w:val="00BF1755"/>
    <w:rsid w:val="00BF76DA"/>
    <w:rsid w:val="00C02E14"/>
    <w:rsid w:val="00C061C8"/>
    <w:rsid w:val="00C3795D"/>
    <w:rsid w:val="00C517D2"/>
    <w:rsid w:val="00C53A21"/>
    <w:rsid w:val="00C8466A"/>
    <w:rsid w:val="00CB528A"/>
    <w:rsid w:val="00CC6996"/>
    <w:rsid w:val="00CD1ABD"/>
    <w:rsid w:val="00CE35E5"/>
    <w:rsid w:val="00CE3AEA"/>
    <w:rsid w:val="00CE3D1C"/>
    <w:rsid w:val="00CE49EC"/>
    <w:rsid w:val="00CF4D65"/>
    <w:rsid w:val="00D23808"/>
    <w:rsid w:val="00D26A31"/>
    <w:rsid w:val="00D27736"/>
    <w:rsid w:val="00D56BB0"/>
    <w:rsid w:val="00D63068"/>
    <w:rsid w:val="00D7316E"/>
    <w:rsid w:val="00D767E5"/>
    <w:rsid w:val="00D828C7"/>
    <w:rsid w:val="00D8521E"/>
    <w:rsid w:val="00D91CF6"/>
    <w:rsid w:val="00DB1F64"/>
    <w:rsid w:val="00DB5961"/>
    <w:rsid w:val="00DC0FED"/>
    <w:rsid w:val="00DC2F53"/>
    <w:rsid w:val="00DC4214"/>
    <w:rsid w:val="00DC76C2"/>
    <w:rsid w:val="00DE2CE3"/>
    <w:rsid w:val="00DE7C0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2B60"/>
    <w:rsid w:val="00E73F09"/>
    <w:rsid w:val="00E76424"/>
    <w:rsid w:val="00E77EFB"/>
    <w:rsid w:val="00E82873"/>
    <w:rsid w:val="00E8756A"/>
    <w:rsid w:val="00EA7283"/>
    <w:rsid w:val="00EB14F2"/>
    <w:rsid w:val="00EB6BA2"/>
    <w:rsid w:val="00EC2356"/>
    <w:rsid w:val="00EC2582"/>
    <w:rsid w:val="00EC337C"/>
    <w:rsid w:val="00ED0CFF"/>
    <w:rsid w:val="00ED2E6B"/>
    <w:rsid w:val="00EE0EAC"/>
    <w:rsid w:val="00EE2448"/>
    <w:rsid w:val="00EF3E2B"/>
    <w:rsid w:val="00F0181A"/>
    <w:rsid w:val="00F057FE"/>
    <w:rsid w:val="00F05AAF"/>
    <w:rsid w:val="00F127E9"/>
    <w:rsid w:val="00F36972"/>
    <w:rsid w:val="00F42426"/>
    <w:rsid w:val="00F4599B"/>
    <w:rsid w:val="00F50666"/>
    <w:rsid w:val="00F83672"/>
    <w:rsid w:val="00F855D7"/>
    <w:rsid w:val="00F92748"/>
    <w:rsid w:val="00FB0D41"/>
    <w:rsid w:val="00FB2030"/>
    <w:rsid w:val="00FC4DB6"/>
    <w:rsid w:val="00FC630D"/>
    <w:rsid w:val="00FD2317"/>
    <w:rsid w:val="00FD2A7E"/>
    <w:rsid w:val="00FD3EDF"/>
    <w:rsid w:val="00FD46B9"/>
    <w:rsid w:val="00FD4B3E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526B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E0A8A"/>
    <w:rPr>
      <w:color w:val="605E5C"/>
      <w:shd w:val="clear" w:color="auto" w:fill="E1DFDD"/>
    </w:rPr>
  </w:style>
  <w:style w:type="character" w:customStyle="1" w:styleId="clear3">
    <w:name w:val="clear3"/>
    <w:basedOn w:val="Numatytasispastraiposriftas"/>
    <w:rsid w:val="001E0A8A"/>
  </w:style>
  <w:style w:type="paragraph" w:styleId="Pataisymai">
    <w:name w:val="Revision"/>
    <w:hidden/>
    <w:uiPriority w:val="99"/>
    <w:semiHidden/>
    <w:rsid w:val="00C061C8"/>
    <w:rPr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E72B60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7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nisterija@sa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10" ma:contentTypeDescription="Kurkite naują dokumentą." ma:contentTypeScope="" ma:versionID="e7968208d987ec736a7023c2e23d8435">
  <xsd:schema xmlns:xsd="http://www.w3.org/2001/XMLSchema" xmlns:xs="http://www.w3.org/2001/XMLSchema" xmlns:p="http://schemas.microsoft.com/office/2006/metadata/properties" xmlns:ns2="0cbfc325-95d3-4267-a4df-efb99666e73f" xmlns:ns3="58c78cca-ba62-460a-8b2d-a5f76cdde1ab" targetNamespace="http://schemas.microsoft.com/office/2006/metadata/properties" ma:root="true" ma:fieldsID="ba04c7a3afbdb0cfb00cbf5b17b34b6b" ns2:_="" ns3:_="">
    <xsd:import namespace="0cbfc325-95d3-4267-a4df-efb99666e73f"/>
    <xsd:import namespace="58c78cca-ba62-460a-8b2d-a5f76cdd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78cca-ba62-460a-8b2d-a5f76cdd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AFA0-A73D-4A1B-B023-39B06AF05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3ACD0-DBC5-4289-B1F6-9713207FC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60D91-AE67-40C2-97E7-10F9D93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58c78cca-ba62-460a-8b2d-a5f76cdd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E8E69-F324-478B-885A-7CD8906F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3452</Words>
  <Characters>1968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5410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2023-11-12T13:33:00Z</dcterms:created>
  <dcterms:modified xsi:type="dcterms:W3CDTF">2024-03-14T12:45:00Z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0x010100E3B67235628E7F46AF2BA15FF369754F</vt:lpwstr>
  </property>
</Properties>
</file>