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E5EB3" w14:textId="1955ADE3" w:rsidR="005F7602" w:rsidRDefault="005F7602" w:rsidP="002946C7">
      <w:pPr>
        <w:ind w:left="5529"/>
      </w:pPr>
    </w:p>
    <w:p w14:paraId="12FA4B9E" w14:textId="77777777" w:rsidR="001B3C5B" w:rsidRPr="00E33EFF" w:rsidRDefault="001B3C5B" w:rsidP="001B3C5B">
      <w:pPr>
        <w:ind w:left="6096"/>
      </w:pPr>
      <w:r w:rsidRPr="00E33EFF">
        <w:t>Forma patvirtinta</w:t>
      </w:r>
    </w:p>
    <w:p w14:paraId="7206970B" w14:textId="70E9BD2E" w:rsidR="004C263A" w:rsidRPr="00E33EFF" w:rsidRDefault="001B3C5B" w:rsidP="001B3C5B">
      <w:pPr>
        <w:ind w:left="6096"/>
      </w:pPr>
      <w:r w:rsidRPr="00E33EFF">
        <w:t>Valstybinės vaistų kontrolės tarnybos prie Lietuvos Respublikos sveikatos apsaugos ministerijos viršininko 2021 m</w:t>
      </w:r>
      <w:r w:rsidR="004C263A" w:rsidRPr="00E33EFF">
        <w:t xml:space="preserve">. lapkričio 12 </w:t>
      </w:r>
      <w:r w:rsidRPr="00E33EFF">
        <w:t>d. įsakymu Nr.</w:t>
      </w:r>
      <w:r w:rsidR="004C263A" w:rsidRPr="00E33EFF">
        <w:t xml:space="preserve"> (1.72E)1A-1418</w:t>
      </w:r>
    </w:p>
    <w:p w14:paraId="5B219AA6" w14:textId="520B9136" w:rsidR="001B3C5B" w:rsidRPr="00E33EFF" w:rsidRDefault="004C263A" w:rsidP="001B3C5B">
      <w:pPr>
        <w:ind w:left="6096"/>
      </w:pPr>
      <w:r w:rsidRPr="00E33EFF">
        <w:t>(Valstybinės vaistų kontrolės tarnybos prie Lietuvos Respublikos sveikatos apsaugos ministerijos viršininko 2022 m.                         d. įsakymo Nr.                    redakcija)</w:t>
      </w:r>
    </w:p>
    <w:p w14:paraId="3336BD74" w14:textId="77777777" w:rsidR="001B3C5B" w:rsidRPr="00E33EFF" w:rsidRDefault="001B3C5B" w:rsidP="00FA4169"/>
    <w:p w14:paraId="77AFB67E" w14:textId="16397257" w:rsidR="00613501" w:rsidRPr="00E33EFF" w:rsidRDefault="002F0E4F" w:rsidP="003B211A">
      <w:pPr>
        <w:jc w:val="center"/>
        <w:rPr>
          <w:b/>
          <w:bCs/>
          <w:caps/>
        </w:rPr>
      </w:pPr>
      <w:r w:rsidRPr="00E33EFF">
        <w:rPr>
          <w:b/>
        </w:rPr>
        <w:t xml:space="preserve">REKOMENDACIJA DĖL VAISTINIO PREPARATO </w:t>
      </w:r>
      <w:r w:rsidRPr="00E33EFF">
        <w:rPr>
          <w:b/>
          <w:bCs/>
          <w:caps/>
        </w:rPr>
        <w:t>Lietuvos Respublikos Sveikatos apsaugos ministerijos vaistinių preparatų ir medicinos pagalbos priemonių kompensavimo komisijai</w:t>
      </w:r>
    </w:p>
    <w:p w14:paraId="34E4395D" w14:textId="15FB10DF" w:rsidR="00B13D65" w:rsidRPr="00E33EFF" w:rsidRDefault="00B13D65" w:rsidP="003B211A">
      <w:pPr>
        <w:jc w:val="center"/>
        <w:rPr>
          <w:b/>
        </w:rPr>
      </w:pPr>
    </w:p>
    <w:p w14:paraId="2B1E3221" w14:textId="77777777" w:rsidR="00D95978" w:rsidRPr="00D05364" w:rsidRDefault="00D95978" w:rsidP="00D95978">
      <w:pPr>
        <w:jc w:val="center"/>
        <w:rPr>
          <w:b/>
        </w:rPr>
      </w:pPr>
      <w:proofErr w:type="spellStart"/>
      <w:r w:rsidRPr="005530F9">
        <w:rPr>
          <w:b/>
        </w:rPr>
        <w:t>Rinvoq</w:t>
      </w:r>
      <w:proofErr w:type="spellEnd"/>
      <w:r>
        <w:rPr>
          <w:b/>
        </w:rPr>
        <w:t>, 15/30/45 mg, p</w:t>
      </w:r>
      <w:r w:rsidRPr="005530F9">
        <w:rPr>
          <w:b/>
        </w:rPr>
        <w:t>ailginto atpalaidavimo tabletės</w:t>
      </w:r>
    </w:p>
    <w:p w14:paraId="4075E3D8" w14:textId="77777777" w:rsidR="00D95978" w:rsidRPr="00D05364" w:rsidRDefault="00D95978" w:rsidP="00D95978">
      <w:pPr>
        <w:jc w:val="center"/>
      </w:pPr>
    </w:p>
    <w:p w14:paraId="05B2B6BB" w14:textId="77777777" w:rsidR="00D95978" w:rsidRPr="005530F9" w:rsidRDefault="00D95978" w:rsidP="00D95978">
      <w:pPr>
        <w:jc w:val="center"/>
        <w:rPr>
          <w:b/>
          <w:bCs/>
        </w:rPr>
      </w:pPr>
      <w:proofErr w:type="spellStart"/>
      <w:r w:rsidRPr="005530F9">
        <w:rPr>
          <w:b/>
          <w:bCs/>
        </w:rPr>
        <w:t>Upadacitinibum</w:t>
      </w:r>
      <w:proofErr w:type="spellEnd"/>
    </w:p>
    <w:p w14:paraId="3418CE92" w14:textId="77777777" w:rsidR="00D95978" w:rsidRPr="00D05364" w:rsidRDefault="00D95978" w:rsidP="00D95978">
      <w:pPr>
        <w:jc w:val="center"/>
      </w:pPr>
    </w:p>
    <w:p w14:paraId="36B97814" w14:textId="77777777" w:rsidR="00D95978" w:rsidRPr="00D05364" w:rsidRDefault="00D95978" w:rsidP="00D95978">
      <w:pPr>
        <w:jc w:val="center"/>
        <w:rPr>
          <w:b/>
        </w:rPr>
      </w:pPr>
      <w:r>
        <w:rPr>
          <w:b/>
        </w:rPr>
        <w:t>STV-150</w:t>
      </w:r>
    </w:p>
    <w:p w14:paraId="5BC2EA5D" w14:textId="45A77B4A" w:rsidR="00937907" w:rsidRPr="00E33EFF" w:rsidRDefault="00937907" w:rsidP="00D95978">
      <w:pPr>
        <w:rPr>
          <w:b/>
        </w:rPr>
      </w:pPr>
    </w:p>
    <w:p w14:paraId="453197C8" w14:textId="77777777" w:rsidR="00D4708D" w:rsidRPr="00E33EFF" w:rsidRDefault="00D4708D" w:rsidP="003B211A">
      <w:pPr>
        <w:jc w:val="center"/>
        <w:rPr>
          <w:b/>
        </w:rPr>
      </w:pPr>
    </w:p>
    <w:p w14:paraId="78C89D1C" w14:textId="0DEFFAA5" w:rsidR="00D4485B" w:rsidRPr="00E33EFF" w:rsidRDefault="00B13D65" w:rsidP="00CC09D4">
      <w:pPr>
        <w:pStyle w:val="Sraopastraipa"/>
        <w:numPr>
          <w:ilvl w:val="0"/>
          <w:numId w:val="12"/>
        </w:numPr>
        <w:tabs>
          <w:tab w:val="left" w:pos="567"/>
        </w:tabs>
        <w:ind w:left="567" w:hanging="567"/>
        <w:rPr>
          <w:b/>
          <w:bCs/>
          <w:caps/>
        </w:rPr>
      </w:pPr>
      <w:r w:rsidRPr="00E33EFF">
        <w:rPr>
          <w:b/>
          <w:bCs/>
          <w:caps/>
        </w:rPr>
        <w:t>Bendroji dalis</w:t>
      </w:r>
    </w:p>
    <w:p w14:paraId="04A7C7A7" w14:textId="77777777" w:rsidR="00B13D65" w:rsidRPr="00E33EFF" w:rsidRDefault="00B13D65" w:rsidP="00E03C3F">
      <w:pPr>
        <w:pStyle w:val="Sraopastraipa"/>
        <w:tabs>
          <w:tab w:val="left" w:pos="284"/>
        </w:tabs>
        <w:ind w:left="0"/>
        <w:rPr>
          <w:b/>
          <w:bCs/>
          <w:caps/>
        </w:rPr>
      </w:pPr>
    </w:p>
    <w:tbl>
      <w:tblPr>
        <w:tblStyle w:val="Lentelstinklelis"/>
        <w:tblW w:w="9493" w:type="dxa"/>
        <w:tblLook w:val="04A0" w:firstRow="1" w:lastRow="0" w:firstColumn="1" w:lastColumn="0" w:noHBand="0" w:noVBand="1"/>
      </w:tblPr>
      <w:tblGrid>
        <w:gridCol w:w="632"/>
        <w:gridCol w:w="3694"/>
        <w:gridCol w:w="5167"/>
      </w:tblGrid>
      <w:tr w:rsidR="00B13D65" w:rsidRPr="00E33EFF" w14:paraId="18A83EC2" w14:textId="77777777" w:rsidTr="00BE7489">
        <w:trPr>
          <w:trHeight w:val="538"/>
        </w:trPr>
        <w:tc>
          <w:tcPr>
            <w:tcW w:w="632" w:type="dxa"/>
          </w:tcPr>
          <w:p w14:paraId="0646FBEA" w14:textId="77777777" w:rsidR="00B13D65" w:rsidRPr="00E33EFF" w:rsidRDefault="00B13D65" w:rsidP="00824B92">
            <w:pPr>
              <w:rPr>
                <w:rFonts w:eastAsia="Arial"/>
              </w:rPr>
            </w:pPr>
            <w:r w:rsidRPr="00E33EFF">
              <w:rPr>
                <w:rFonts w:eastAsia="Arial"/>
              </w:rPr>
              <w:t>1.1</w:t>
            </w:r>
          </w:p>
        </w:tc>
        <w:tc>
          <w:tcPr>
            <w:tcW w:w="3694" w:type="dxa"/>
          </w:tcPr>
          <w:p w14:paraId="6C3AE864" w14:textId="77777777" w:rsidR="00B13D65" w:rsidRPr="00E33EFF" w:rsidRDefault="00B13D65" w:rsidP="00824B92">
            <w:pPr>
              <w:rPr>
                <w:rFonts w:eastAsia="Arial"/>
              </w:rPr>
            </w:pPr>
            <w:r w:rsidRPr="00E33EFF">
              <w:rPr>
                <w:rFonts w:eastAsia="Arial"/>
              </w:rPr>
              <w:t>Pareiškėjas</w:t>
            </w:r>
          </w:p>
          <w:p w14:paraId="2AF240DC" w14:textId="77777777" w:rsidR="00B13D65" w:rsidRPr="00E33EFF" w:rsidRDefault="00B13D65" w:rsidP="00824B92">
            <w:pPr>
              <w:rPr>
                <w:rFonts w:eastAsia="Arial"/>
              </w:rPr>
            </w:pPr>
          </w:p>
        </w:tc>
        <w:tc>
          <w:tcPr>
            <w:tcW w:w="5167" w:type="dxa"/>
          </w:tcPr>
          <w:p w14:paraId="2AAF0D91" w14:textId="565D9BDB" w:rsidR="00B13D65" w:rsidRPr="00E33EFF" w:rsidRDefault="00D95978" w:rsidP="00824B92">
            <w:pPr>
              <w:rPr>
                <w:rFonts w:eastAsia="Arial"/>
              </w:rPr>
            </w:pPr>
            <w:r w:rsidRPr="00064E75">
              <w:t>UAB „</w:t>
            </w:r>
            <w:proofErr w:type="spellStart"/>
            <w:r w:rsidRPr="00064E75">
              <w:t>AbbVie</w:t>
            </w:r>
            <w:proofErr w:type="spellEnd"/>
            <w:r w:rsidRPr="00064E75">
              <w:t>“</w:t>
            </w:r>
          </w:p>
        </w:tc>
      </w:tr>
      <w:tr w:rsidR="00B13D65" w:rsidRPr="00E33EFF" w14:paraId="31998B0D" w14:textId="77777777" w:rsidTr="00BE7489">
        <w:trPr>
          <w:trHeight w:val="538"/>
        </w:trPr>
        <w:tc>
          <w:tcPr>
            <w:tcW w:w="632" w:type="dxa"/>
          </w:tcPr>
          <w:p w14:paraId="2005EC67" w14:textId="662300D0" w:rsidR="00B13D65" w:rsidRPr="00E33EFF" w:rsidRDefault="002E0702" w:rsidP="00824B92">
            <w:pPr>
              <w:rPr>
                <w:rFonts w:eastAsia="Arial"/>
              </w:rPr>
            </w:pPr>
            <w:r w:rsidRPr="00E33EFF">
              <w:rPr>
                <w:rFonts w:eastAsia="Arial"/>
              </w:rPr>
              <w:t>1.2</w:t>
            </w:r>
          </w:p>
        </w:tc>
        <w:tc>
          <w:tcPr>
            <w:tcW w:w="3694" w:type="dxa"/>
          </w:tcPr>
          <w:p w14:paraId="1E4AE3B1" w14:textId="77777777" w:rsidR="00B13D65" w:rsidRPr="00E33EFF" w:rsidRDefault="00B13D65" w:rsidP="00824B92">
            <w:pPr>
              <w:rPr>
                <w:bCs/>
                <w:color w:val="000000"/>
                <w:lang w:eastAsia="lt-LT"/>
              </w:rPr>
            </w:pPr>
            <w:r w:rsidRPr="00E33EFF">
              <w:rPr>
                <w:bCs/>
                <w:color w:val="000000"/>
                <w:lang w:eastAsia="lt-LT"/>
              </w:rPr>
              <w:t xml:space="preserve">Registracijos data </w:t>
            </w:r>
          </w:p>
          <w:p w14:paraId="3A0DC096" w14:textId="77777777" w:rsidR="00B13D65" w:rsidRPr="00E33EFF" w:rsidRDefault="00B13D65" w:rsidP="00824B92">
            <w:pPr>
              <w:rPr>
                <w:bCs/>
                <w:color w:val="000000"/>
                <w:lang w:eastAsia="lt-LT"/>
              </w:rPr>
            </w:pPr>
          </w:p>
        </w:tc>
        <w:tc>
          <w:tcPr>
            <w:tcW w:w="5167" w:type="dxa"/>
          </w:tcPr>
          <w:p w14:paraId="3CA218AD" w14:textId="336ABD01" w:rsidR="00B13D65" w:rsidRPr="00E33EFF" w:rsidRDefault="00D95978" w:rsidP="00824B92">
            <w:pPr>
              <w:rPr>
                <w:rStyle w:val="Style2"/>
              </w:rPr>
            </w:pPr>
            <w:r w:rsidRPr="00064E75">
              <w:t xml:space="preserve">2019 m. </w:t>
            </w:r>
            <w:proofErr w:type="spellStart"/>
            <w:r w:rsidRPr="00064E75">
              <w:t>gruodžio</w:t>
            </w:r>
            <w:proofErr w:type="spellEnd"/>
            <w:r w:rsidRPr="00064E75">
              <w:t xml:space="preserve"> 16 d.</w:t>
            </w:r>
          </w:p>
        </w:tc>
      </w:tr>
      <w:tr w:rsidR="00B13D65" w:rsidRPr="00E33EFF" w14:paraId="15968AE1" w14:textId="77777777" w:rsidTr="00BE7489">
        <w:trPr>
          <w:trHeight w:val="1500"/>
        </w:trPr>
        <w:tc>
          <w:tcPr>
            <w:tcW w:w="632" w:type="dxa"/>
          </w:tcPr>
          <w:p w14:paraId="6A784245" w14:textId="1E461489" w:rsidR="00B13D65" w:rsidRPr="00E33EFF" w:rsidRDefault="002E0702" w:rsidP="00824B92">
            <w:pPr>
              <w:rPr>
                <w:rFonts w:eastAsia="Arial"/>
              </w:rPr>
            </w:pPr>
            <w:r w:rsidRPr="00E33EFF">
              <w:rPr>
                <w:rFonts w:eastAsia="Arial"/>
              </w:rPr>
              <w:t>1.3</w:t>
            </w:r>
          </w:p>
        </w:tc>
        <w:tc>
          <w:tcPr>
            <w:tcW w:w="3694" w:type="dxa"/>
          </w:tcPr>
          <w:p w14:paraId="22933506" w14:textId="77777777" w:rsidR="00B13D65" w:rsidRPr="00E33EFF" w:rsidRDefault="00B13D65" w:rsidP="00824B92">
            <w:r w:rsidRPr="00E33EFF">
              <w:t xml:space="preserve">Paraiškos tipas </w:t>
            </w:r>
          </w:p>
          <w:p w14:paraId="0465E680" w14:textId="7F0A0714" w:rsidR="00B13D65" w:rsidRPr="00E33EFF" w:rsidRDefault="00B13D65" w:rsidP="00824B92">
            <w:r w:rsidRPr="00E33EFF">
              <w:t>(</w:t>
            </w:r>
            <w:r w:rsidR="00695CD3" w:rsidRPr="00E33EFF">
              <w:t xml:space="preserve">pagal </w:t>
            </w:r>
            <w:r w:rsidR="0039696E" w:rsidRPr="00E33EFF">
              <w:rPr>
                <w:color w:val="333333"/>
                <w:shd w:val="clear" w:color="auto" w:fill="FFFFFF"/>
              </w:rPr>
              <w:t>vaistinio preparato registracijos tipą, įtvirtintą</w:t>
            </w:r>
            <w:r w:rsidR="0039696E" w:rsidRPr="00E33EFF">
              <w:t xml:space="preserve"> </w:t>
            </w:r>
            <w:r w:rsidRPr="00E33EFF">
              <w:t>Direktyv</w:t>
            </w:r>
            <w:r w:rsidR="00695CD3" w:rsidRPr="00E33EFF">
              <w:t>os</w:t>
            </w:r>
            <w:r w:rsidRPr="00E33EFF">
              <w:t xml:space="preserve"> 2001/83/EB</w:t>
            </w:r>
            <w:r w:rsidR="00695CD3" w:rsidRPr="00E33EFF">
              <w:t xml:space="preserve"> </w:t>
            </w:r>
            <w:proofErr w:type="spellStart"/>
            <w:r w:rsidR="00695CD3" w:rsidRPr="00E33EFF">
              <w:t>straips</w:t>
            </w:r>
            <w:r w:rsidR="0039696E" w:rsidRPr="00E33EFF">
              <w:t>iuose</w:t>
            </w:r>
            <w:proofErr w:type="spellEnd"/>
            <w:r w:rsidRPr="00E33EFF">
              <w:t>)</w:t>
            </w:r>
          </w:p>
          <w:p w14:paraId="77089D80" w14:textId="6681D72A" w:rsidR="00B13D65" w:rsidRPr="00E33EFF" w:rsidRDefault="00B13D65" w:rsidP="00824B92">
            <w:pPr>
              <w:rPr>
                <w:bCs/>
                <w:color w:val="000000"/>
                <w:lang w:eastAsia="lt-LT"/>
              </w:rPr>
            </w:pPr>
          </w:p>
        </w:tc>
        <w:tc>
          <w:tcPr>
            <w:tcW w:w="5167" w:type="dxa"/>
          </w:tcPr>
          <w:p w14:paraId="208F40EC" w14:textId="2F4EA9C5" w:rsidR="00B13D65" w:rsidRPr="00E33EFF" w:rsidRDefault="00000000" w:rsidP="00824B92">
            <w:pPr>
              <w:rPr>
                <w:sz w:val="22"/>
                <w:szCs w:val="22"/>
              </w:rPr>
            </w:pPr>
            <w:sdt>
              <w:sdtPr>
                <w:rPr>
                  <w:rStyle w:val="Style2"/>
                  <w:sz w:val="22"/>
                  <w:szCs w:val="22"/>
                </w:rPr>
                <w:id w:val="526292078"/>
                <w15:color w:val="FFCC00"/>
                <w14:checkbox>
                  <w14:checked w14:val="1"/>
                  <w14:checkedState w14:val="2612" w14:font="MS Gothic"/>
                  <w14:uncheckedState w14:val="2610" w14:font="MS Gothic"/>
                </w14:checkbox>
              </w:sdtPr>
              <w:sdtContent>
                <w:r w:rsidR="003D1877">
                  <w:rPr>
                    <w:rStyle w:val="Style2"/>
                    <w:rFonts w:ascii="MS Gothic" w:eastAsia="MS Gothic" w:hAnsi="MS Gothic" w:hint="eastAsia"/>
                    <w:sz w:val="22"/>
                    <w:szCs w:val="22"/>
                  </w:rPr>
                  <w:t>☒</w:t>
                </w:r>
              </w:sdtContent>
            </w:sdt>
            <w:r w:rsidR="00B13D65" w:rsidRPr="00E33EFF">
              <w:rPr>
                <w:sz w:val="22"/>
                <w:szCs w:val="22"/>
              </w:rPr>
              <w:t xml:space="preserve">8.3 str. (pilna byla, pagrįsta savais tyrimais) </w:t>
            </w:r>
          </w:p>
          <w:p w14:paraId="32BA564E" w14:textId="3FDA3E01" w:rsidR="00B13D65" w:rsidRPr="00E33EFF" w:rsidRDefault="00000000" w:rsidP="00824B92">
            <w:pPr>
              <w:rPr>
                <w:sz w:val="22"/>
                <w:szCs w:val="22"/>
              </w:rPr>
            </w:pPr>
            <w:sdt>
              <w:sdtPr>
                <w:rPr>
                  <w:rStyle w:val="Style2"/>
                  <w:sz w:val="22"/>
                  <w:szCs w:val="22"/>
                </w:rPr>
                <w:id w:val="-1497953736"/>
                <w15:color w:val="FFCC00"/>
                <w14:checkbox>
                  <w14:checked w14:val="0"/>
                  <w14:checkedState w14:val="2612" w14:font="MS Gothic"/>
                  <w14:uncheckedState w14:val="2610" w14:font="MS Gothic"/>
                </w14:checkbox>
              </w:sdtPr>
              <w:sdtContent>
                <w:r w:rsidR="00CC7832" w:rsidRPr="00E33EFF">
                  <w:rPr>
                    <w:rStyle w:val="Style2"/>
                    <w:rFonts w:ascii="Segoe UI Symbol" w:eastAsia="MS Gothic" w:hAnsi="Segoe UI Symbol" w:cs="Segoe UI Symbol"/>
                    <w:sz w:val="22"/>
                    <w:szCs w:val="22"/>
                  </w:rPr>
                  <w:t>☐</w:t>
                </w:r>
              </w:sdtContent>
            </w:sdt>
            <w:r w:rsidR="00B13D65" w:rsidRPr="00E33EFF">
              <w:rPr>
                <w:sz w:val="22"/>
                <w:szCs w:val="22"/>
              </w:rPr>
              <w:t xml:space="preserve">10 a str. (pripažintas medicininis vartojimas) </w:t>
            </w:r>
          </w:p>
          <w:p w14:paraId="318DCD7F" w14:textId="32333E53" w:rsidR="00B13D65" w:rsidRPr="00E33EFF" w:rsidRDefault="00000000" w:rsidP="00824B92">
            <w:pPr>
              <w:rPr>
                <w:sz w:val="22"/>
                <w:szCs w:val="22"/>
              </w:rPr>
            </w:pPr>
            <w:sdt>
              <w:sdtPr>
                <w:rPr>
                  <w:rStyle w:val="Style2"/>
                  <w:sz w:val="22"/>
                  <w:szCs w:val="22"/>
                </w:rPr>
                <w:id w:val="204142496"/>
                <w15:color w:val="FFCC00"/>
                <w14:checkbox>
                  <w14:checked w14:val="0"/>
                  <w14:checkedState w14:val="2612" w14:font="MS Gothic"/>
                  <w14:uncheckedState w14:val="2610" w14:font="MS Gothic"/>
                </w14:checkbox>
              </w:sdtPr>
              <w:sdtContent>
                <w:r w:rsidR="00CC7832" w:rsidRPr="00E33EFF">
                  <w:rPr>
                    <w:rStyle w:val="Style2"/>
                    <w:rFonts w:ascii="Segoe UI Symbol" w:eastAsia="MS Gothic" w:hAnsi="Segoe UI Symbol" w:cs="Segoe UI Symbol"/>
                    <w:sz w:val="22"/>
                    <w:szCs w:val="22"/>
                  </w:rPr>
                  <w:t>☐</w:t>
                </w:r>
              </w:sdtContent>
            </w:sdt>
            <w:r w:rsidR="00B13D65" w:rsidRPr="00E33EFF">
              <w:rPr>
                <w:sz w:val="22"/>
                <w:szCs w:val="22"/>
              </w:rPr>
              <w:t>10.1 str. (</w:t>
            </w:r>
            <w:proofErr w:type="spellStart"/>
            <w:r w:rsidR="00B13D65" w:rsidRPr="00E33EFF">
              <w:rPr>
                <w:sz w:val="22"/>
                <w:szCs w:val="22"/>
              </w:rPr>
              <w:t>generinis</w:t>
            </w:r>
            <w:proofErr w:type="spellEnd"/>
            <w:r w:rsidR="00B13D65" w:rsidRPr="00E33EFF">
              <w:rPr>
                <w:sz w:val="22"/>
                <w:szCs w:val="22"/>
              </w:rPr>
              <w:t>)</w:t>
            </w:r>
          </w:p>
          <w:p w14:paraId="3B0A4F72" w14:textId="3F5FB073" w:rsidR="00B13D65" w:rsidRPr="00E33EFF" w:rsidRDefault="00000000" w:rsidP="00824B92">
            <w:pPr>
              <w:rPr>
                <w:rStyle w:val="Style2"/>
                <w:sz w:val="24"/>
              </w:rPr>
            </w:pPr>
            <w:sdt>
              <w:sdtPr>
                <w:rPr>
                  <w:rStyle w:val="Style2"/>
                  <w:sz w:val="22"/>
                  <w:szCs w:val="22"/>
                </w:rPr>
                <w:id w:val="820305101"/>
                <w15:color w:val="FFCC00"/>
                <w14:checkbox>
                  <w14:checked w14:val="0"/>
                  <w14:checkedState w14:val="2612" w14:font="MS Gothic"/>
                  <w14:uncheckedState w14:val="2610" w14:font="MS Gothic"/>
                </w14:checkbox>
              </w:sdtPr>
              <w:sdtContent>
                <w:r w:rsidR="00CC7832" w:rsidRPr="00E33EFF">
                  <w:rPr>
                    <w:rStyle w:val="Style2"/>
                    <w:rFonts w:ascii="Segoe UI Symbol" w:eastAsia="MS Gothic" w:hAnsi="Segoe UI Symbol" w:cs="Segoe UI Symbol"/>
                    <w:sz w:val="22"/>
                    <w:szCs w:val="22"/>
                  </w:rPr>
                  <w:t>☐</w:t>
                </w:r>
              </w:sdtContent>
            </w:sdt>
            <w:r w:rsidR="00B13D65" w:rsidRPr="00E33EFF">
              <w:rPr>
                <w:sz w:val="22"/>
                <w:szCs w:val="22"/>
              </w:rPr>
              <w:t>10.3 str. (hibridinis)</w:t>
            </w:r>
          </w:p>
        </w:tc>
      </w:tr>
      <w:tr w:rsidR="00B13D65" w:rsidRPr="00E33EFF" w14:paraId="310E9662" w14:textId="77777777" w:rsidTr="00D95978">
        <w:trPr>
          <w:trHeight w:val="1080"/>
        </w:trPr>
        <w:tc>
          <w:tcPr>
            <w:tcW w:w="632" w:type="dxa"/>
          </w:tcPr>
          <w:p w14:paraId="4B5A91A2" w14:textId="561B5E5F" w:rsidR="00B13D65" w:rsidRPr="00E33EFF" w:rsidRDefault="00B13D65" w:rsidP="00824B92">
            <w:pPr>
              <w:rPr>
                <w:rFonts w:eastAsia="Arial"/>
              </w:rPr>
            </w:pPr>
            <w:r w:rsidRPr="00E33EFF">
              <w:rPr>
                <w:rFonts w:eastAsia="Arial"/>
              </w:rPr>
              <w:t>1.</w:t>
            </w:r>
            <w:r w:rsidR="002E0702" w:rsidRPr="00E33EFF">
              <w:rPr>
                <w:rFonts w:eastAsia="Arial"/>
              </w:rPr>
              <w:t>4</w:t>
            </w:r>
          </w:p>
        </w:tc>
        <w:tc>
          <w:tcPr>
            <w:tcW w:w="3694" w:type="dxa"/>
          </w:tcPr>
          <w:p w14:paraId="483071A3" w14:textId="4609B59E" w:rsidR="00B13D65" w:rsidRPr="00E33EFF" w:rsidRDefault="00B13D65" w:rsidP="00824B92">
            <w:pPr>
              <w:rPr>
                <w:bCs/>
                <w:color w:val="000000"/>
                <w:lang w:eastAsia="lt-LT"/>
              </w:rPr>
            </w:pPr>
            <w:r w:rsidRPr="00E33EFF">
              <w:rPr>
                <w:bCs/>
                <w:color w:val="000000"/>
                <w:lang w:eastAsia="lt-LT"/>
              </w:rPr>
              <w:t xml:space="preserve">Ar vaistinis preparatas įrašytas į Bendrijos retųjų vaistinių preparatų registrą? </w:t>
            </w:r>
          </w:p>
        </w:tc>
        <w:tc>
          <w:tcPr>
            <w:tcW w:w="5167" w:type="dxa"/>
          </w:tcPr>
          <w:p w14:paraId="05845C60" w14:textId="10CF4033" w:rsidR="00B13D65" w:rsidRPr="00E33EFF" w:rsidRDefault="00000000" w:rsidP="00824B92">
            <w:sdt>
              <w:sdtPr>
                <w:rPr>
                  <w:rStyle w:val="Style2"/>
                  <w:sz w:val="24"/>
                </w:rPr>
                <w:id w:val="2024432173"/>
                <w15:color w:val="FFCC00"/>
                <w14:checkbox>
                  <w14:checked w14:val="0"/>
                  <w14:checkedState w14:val="2612" w14:font="MS Gothic"/>
                  <w14:uncheckedState w14:val="2610" w14:font="MS Gothic"/>
                </w14:checkbox>
              </w:sdtPr>
              <w:sdtContent>
                <w:r w:rsidR="00D417D2" w:rsidRPr="00E33EFF">
                  <w:rPr>
                    <w:rStyle w:val="Style2"/>
                    <w:rFonts w:ascii="MS Gothic" w:eastAsia="MS Gothic" w:hAnsi="MS Gothic" w:hint="eastAsia"/>
                    <w:sz w:val="24"/>
                  </w:rPr>
                  <w:t>☐</w:t>
                </w:r>
              </w:sdtContent>
            </w:sdt>
            <w:r w:rsidR="00B13D65" w:rsidRPr="00E33EFF">
              <w:t xml:space="preserve"> Taip</w:t>
            </w:r>
          </w:p>
          <w:p w14:paraId="41D88067" w14:textId="50A2D786" w:rsidR="00B13D65" w:rsidRPr="00E33EFF" w:rsidRDefault="00000000" w:rsidP="00824B92">
            <w:sdt>
              <w:sdtPr>
                <w:rPr>
                  <w:rStyle w:val="Style2"/>
                  <w:sz w:val="24"/>
                </w:rPr>
                <w:id w:val="-970507926"/>
                <w15:color w:val="FFCC00"/>
                <w14:checkbox>
                  <w14:checked w14:val="1"/>
                  <w14:checkedState w14:val="2612" w14:font="MS Gothic"/>
                  <w14:uncheckedState w14:val="2610" w14:font="MS Gothic"/>
                </w14:checkbox>
              </w:sdtPr>
              <w:sdtContent>
                <w:r w:rsidR="003D1877">
                  <w:rPr>
                    <w:rStyle w:val="Style2"/>
                    <w:rFonts w:ascii="MS Gothic" w:eastAsia="MS Gothic" w:hAnsi="MS Gothic" w:hint="eastAsia"/>
                    <w:sz w:val="24"/>
                  </w:rPr>
                  <w:t>☒</w:t>
                </w:r>
              </w:sdtContent>
            </w:sdt>
            <w:r w:rsidR="00B13D65" w:rsidRPr="00E33EFF">
              <w:t xml:space="preserve"> Ne</w:t>
            </w:r>
          </w:p>
          <w:p w14:paraId="29C2CBBB" w14:textId="17AEF07D" w:rsidR="00B13D65" w:rsidRPr="00E33EFF" w:rsidRDefault="00B13D65" w:rsidP="00824B92">
            <w:pPr>
              <w:rPr>
                <w:rFonts w:eastAsia="Arial"/>
              </w:rPr>
            </w:pPr>
          </w:p>
        </w:tc>
      </w:tr>
      <w:tr w:rsidR="00D417D2" w:rsidRPr="00E33EFF" w14:paraId="7841E5F8" w14:textId="77777777" w:rsidTr="00BE7489">
        <w:trPr>
          <w:trHeight w:val="476"/>
        </w:trPr>
        <w:tc>
          <w:tcPr>
            <w:tcW w:w="632" w:type="dxa"/>
          </w:tcPr>
          <w:p w14:paraId="109D2861" w14:textId="73BF27DF" w:rsidR="00D417D2" w:rsidRPr="00E33EFF" w:rsidRDefault="00D417D2" w:rsidP="00824B92">
            <w:pPr>
              <w:rPr>
                <w:rFonts w:eastAsia="Arial"/>
              </w:rPr>
            </w:pPr>
            <w:r w:rsidRPr="00E33EFF">
              <w:rPr>
                <w:rFonts w:eastAsia="Arial"/>
              </w:rPr>
              <w:t>1.5</w:t>
            </w:r>
          </w:p>
        </w:tc>
        <w:tc>
          <w:tcPr>
            <w:tcW w:w="3694" w:type="dxa"/>
          </w:tcPr>
          <w:p w14:paraId="7822D63E" w14:textId="68C38334" w:rsidR="00D417D2" w:rsidRPr="00E33EFF" w:rsidRDefault="00D417D2" w:rsidP="00824B92">
            <w:pPr>
              <w:rPr>
                <w:bCs/>
                <w:color w:val="000000"/>
                <w:lang w:eastAsia="lt-LT"/>
              </w:rPr>
            </w:pPr>
            <w:r w:rsidRPr="00E33EFF">
              <w:t>STV paraiškos pobūdis</w:t>
            </w:r>
          </w:p>
        </w:tc>
        <w:tc>
          <w:tcPr>
            <w:tcW w:w="5167" w:type="dxa"/>
          </w:tcPr>
          <w:p w14:paraId="403461B9" w14:textId="68A37216" w:rsidR="00D417D2" w:rsidRPr="00E33EFF" w:rsidRDefault="00000000" w:rsidP="00824B92">
            <w:sdt>
              <w:sdtPr>
                <w:rPr>
                  <w:rStyle w:val="Style2"/>
                  <w:sz w:val="24"/>
                </w:rPr>
                <w:id w:val="-468433535"/>
                <w15:color w:val="FFCC00"/>
                <w14:checkbox>
                  <w14:checked w14:val="1"/>
                  <w14:checkedState w14:val="2612" w14:font="MS Gothic"/>
                  <w14:uncheckedState w14:val="2610" w14:font="MS Gothic"/>
                </w14:checkbox>
              </w:sdtPr>
              <w:sdtContent>
                <w:r w:rsidR="003D1877">
                  <w:rPr>
                    <w:rStyle w:val="Style2"/>
                    <w:rFonts w:ascii="MS Gothic" w:eastAsia="MS Gothic" w:hAnsi="MS Gothic" w:hint="eastAsia"/>
                    <w:sz w:val="24"/>
                  </w:rPr>
                  <w:t>☒</w:t>
                </w:r>
              </w:sdtContent>
            </w:sdt>
            <w:r w:rsidR="00D417D2" w:rsidRPr="00E33EFF">
              <w:t xml:space="preserve"> Pilna paraiška</w:t>
            </w:r>
          </w:p>
          <w:p w14:paraId="6B8213E3" w14:textId="3495CDF4" w:rsidR="00D417D2" w:rsidRPr="00E33EFF" w:rsidRDefault="00000000" w:rsidP="00824B92">
            <w:sdt>
              <w:sdtPr>
                <w:rPr>
                  <w:rStyle w:val="Style2"/>
                  <w:sz w:val="24"/>
                </w:rPr>
                <w:id w:val="-1489014904"/>
                <w15:color w:val="FFCC00"/>
                <w14:checkbox>
                  <w14:checked w14:val="0"/>
                  <w14:checkedState w14:val="2612" w14:font="MS Gothic"/>
                  <w14:uncheckedState w14:val="2610" w14:font="MS Gothic"/>
                </w14:checkbox>
              </w:sdtPr>
              <w:sdtContent>
                <w:r w:rsidR="00D417D2" w:rsidRPr="00E33EFF">
                  <w:rPr>
                    <w:rStyle w:val="Style2"/>
                    <w:rFonts w:ascii="MS Gothic" w:eastAsia="MS Gothic" w:hAnsi="MS Gothic" w:hint="eastAsia"/>
                    <w:sz w:val="24"/>
                  </w:rPr>
                  <w:t>☐</w:t>
                </w:r>
              </w:sdtContent>
            </w:sdt>
            <w:r w:rsidR="00D417D2" w:rsidRPr="00E33EFF">
              <w:t xml:space="preserve"> Supaprastinta paraiška</w:t>
            </w:r>
          </w:p>
        </w:tc>
      </w:tr>
      <w:tr w:rsidR="00B13D65" w:rsidRPr="00E33EFF" w14:paraId="274D1DAF" w14:textId="77777777" w:rsidTr="00BE7489">
        <w:trPr>
          <w:trHeight w:val="1922"/>
        </w:trPr>
        <w:tc>
          <w:tcPr>
            <w:tcW w:w="632" w:type="dxa"/>
          </w:tcPr>
          <w:p w14:paraId="17ABF217" w14:textId="14AC00D7" w:rsidR="00B13D65" w:rsidRPr="00E33EFF" w:rsidRDefault="00B13D65" w:rsidP="00824B92">
            <w:pPr>
              <w:rPr>
                <w:rFonts w:eastAsia="Arial"/>
              </w:rPr>
            </w:pPr>
            <w:r w:rsidRPr="00E33EFF">
              <w:rPr>
                <w:rFonts w:eastAsia="Arial"/>
              </w:rPr>
              <w:t>1.</w:t>
            </w:r>
            <w:r w:rsidR="00D417D2" w:rsidRPr="00E33EFF">
              <w:rPr>
                <w:rFonts w:eastAsia="Arial"/>
              </w:rPr>
              <w:t>6</w:t>
            </w:r>
          </w:p>
        </w:tc>
        <w:tc>
          <w:tcPr>
            <w:tcW w:w="3694" w:type="dxa"/>
          </w:tcPr>
          <w:p w14:paraId="4D49DBF5" w14:textId="77777777" w:rsidR="007656B2" w:rsidRPr="00E33EFF" w:rsidRDefault="00DE4484" w:rsidP="00824B92">
            <w:pPr>
              <w:rPr>
                <w:bCs/>
                <w:color w:val="000000"/>
                <w:lang w:eastAsia="lt-LT"/>
              </w:rPr>
            </w:pPr>
            <w:r w:rsidRPr="00E33EFF">
              <w:rPr>
                <w:bCs/>
                <w:color w:val="000000"/>
                <w:lang w:eastAsia="lt-LT"/>
              </w:rPr>
              <w:t>Par</w:t>
            </w:r>
            <w:r w:rsidR="007656B2" w:rsidRPr="00E33EFF">
              <w:rPr>
                <w:bCs/>
                <w:color w:val="000000"/>
                <w:lang w:eastAsia="lt-LT"/>
              </w:rPr>
              <w:t>eiškėjo t</w:t>
            </w:r>
            <w:r w:rsidR="00B13D65" w:rsidRPr="00E33EFF">
              <w:rPr>
                <w:bCs/>
                <w:color w:val="000000"/>
                <w:lang w:eastAsia="lt-LT"/>
              </w:rPr>
              <w:t>eikiama (-</w:t>
            </w:r>
            <w:proofErr w:type="spellStart"/>
            <w:r w:rsidR="00B13D65" w:rsidRPr="00E33EFF">
              <w:rPr>
                <w:bCs/>
                <w:color w:val="000000"/>
                <w:lang w:eastAsia="lt-LT"/>
              </w:rPr>
              <w:t>os</w:t>
            </w:r>
            <w:proofErr w:type="spellEnd"/>
            <w:r w:rsidR="00B13D65" w:rsidRPr="00E33EFF">
              <w:rPr>
                <w:bCs/>
                <w:color w:val="000000"/>
                <w:lang w:eastAsia="lt-LT"/>
              </w:rPr>
              <w:t>) kompensuoti vaistinio preparato indikacija (-</w:t>
            </w:r>
            <w:proofErr w:type="spellStart"/>
            <w:r w:rsidR="00B13D65" w:rsidRPr="00E33EFF">
              <w:rPr>
                <w:bCs/>
                <w:color w:val="000000"/>
                <w:lang w:eastAsia="lt-LT"/>
              </w:rPr>
              <w:t>os</w:t>
            </w:r>
            <w:proofErr w:type="spellEnd"/>
            <w:r w:rsidR="00B13D65" w:rsidRPr="00E33EFF">
              <w:rPr>
                <w:bCs/>
                <w:color w:val="000000"/>
                <w:lang w:eastAsia="lt-LT"/>
              </w:rPr>
              <w:t>)</w:t>
            </w:r>
          </w:p>
          <w:p w14:paraId="3FB07EE5" w14:textId="77777777" w:rsidR="00AE1322" w:rsidRDefault="00AE1322" w:rsidP="00824B92">
            <w:pPr>
              <w:rPr>
                <w:bCs/>
                <w:color w:val="000000"/>
                <w:lang w:eastAsia="lt-LT"/>
              </w:rPr>
            </w:pPr>
          </w:p>
          <w:p w14:paraId="3A6B054C" w14:textId="77777777" w:rsidR="00AE1322" w:rsidRDefault="00AE1322" w:rsidP="00824B92">
            <w:pPr>
              <w:rPr>
                <w:bCs/>
                <w:color w:val="000000"/>
                <w:lang w:eastAsia="lt-LT"/>
              </w:rPr>
            </w:pPr>
          </w:p>
          <w:p w14:paraId="6B4FEEC1" w14:textId="378668B0" w:rsidR="00B13D65" w:rsidRPr="00E33EFF" w:rsidRDefault="007656B2" w:rsidP="00824B92">
            <w:pPr>
              <w:rPr>
                <w:bCs/>
                <w:color w:val="000000"/>
                <w:lang w:eastAsia="lt-LT"/>
              </w:rPr>
            </w:pPr>
            <w:r w:rsidRPr="00E33EFF">
              <w:rPr>
                <w:bCs/>
                <w:color w:val="000000"/>
                <w:lang w:eastAsia="lt-LT"/>
              </w:rPr>
              <w:t>K</w:t>
            </w:r>
            <w:r w:rsidR="00B13D65" w:rsidRPr="00E33EFF">
              <w:rPr>
                <w:bCs/>
                <w:color w:val="000000"/>
                <w:lang w:eastAsia="lt-LT"/>
              </w:rPr>
              <w:t>odas</w:t>
            </w:r>
            <w:r w:rsidRPr="00E33EFF">
              <w:rPr>
                <w:bCs/>
                <w:color w:val="000000"/>
                <w:lang w:eastAsia="lt-LT"/>
              </w:rPr>
              <w:t xml:space="preserve"> pagal TLK-10 AM</w:t>
            </w:r>
          </w:p>
        </w:tc>
        <w:tc>
          <w:tcPr>
            <w:tcW w:w="5167" w:type="dxa"/>
          </w:tcPr>
          <w:p w14:paraId="34585A5B" w14:textId="77777777" w:rsidR="00D95978" w:rsidRPr="00D05364" w:rsidRDefault="00D95978" w:rsidP="00D95978">
            <w:pPr>
              <w:pStyle w:val="Sraopastraipa"/>
              <w:spacing w:after="120"/>
              <w:ind w:left="0"/>
              <w:contextualSpacing w:val="0"/>
              <w:jc w:val="both"/>
            </w:pPr>
            <w:r w:rsidRPr="005530F9">
              <w:t>RINVOQ skirtas vidutinio sunkumo arba sunkios aktyvios Krono ligos gydymui suaugusiesiems, kurių atsakas į įprastą gydymą arba gydymą biologiniu vaistiniu preparatu buvo nepakankamas, buvo prarastas arba kurie minėtų gydymo būdų netoleravo.</w:t>
            </w:r>
          </w:p>
          <w:p w14:paraId="13F7DFB0" w14:textId="3C8F157F" w:rsidR="00B13D65" w:rsidRPr="00E33EFF" w:rsidRDefault="00D95978" w:rsidP="00D95978">
            <w:pPr>
              <w:pStyle w:val="Sraopastraipa"/>
              <w:spacing w:after="120" w:line="276" w:lineRule="auto"/>
              <w:ind w:left="0"/>
              <w:contextualSpacing w:val="0"/>
              <w:jc w:val="both"/>
            </w:pPr>
            <w:r w:rsidRPr="005530F9">
              <w:rPr>
                <w:color w:val="000000"/>
                <w:lang w:eastAsia="lt-LT"/>
              </w:rPr>
              <w:t>TLK-10 AM: K5</w:t>
            </w:r>
            <w:r>
              <w:rPr>
                <w:color w:val="000000"/>
                <w:lang w:eastAsia="lt-LT"/>
              </w:rPr>
              <w:t>0</w:t>
            </w:r>
          </w:p>
        </w:tc>
      </w:tr>
      <w:tr w:rsidR="00B13D65" w:rsidRPr="00E33EFF" w14:paraId="2F79DC08" w14:textId="77777777" w:rsidTr="00BE7489">
        <w:trPr>
          <w:trHeight w:val="378"/>
        </w:trPr>
        <w:tc>
          <w:tcPr>
            <w:tcW w:w="632" w:type="dxa"/>
          </w:tcPr>
          <w:p w14:paraId="547885A2" w14:textId="08AA8055" w:rsidR="00B13D65" w:rsidRPr="00E33EFF" w:rsidRDefault="00B13D65" w:rsidP="00824B92">
            <w:pPr>
              <w:rPr>
                <w:rFonts w:eastAsia="Arial"/>
              </w:rPr>
            </w:pPr>
            <w:r w:rsidRPr="00E33EFF">
              <w:rPr>
                <w:rFonts w:eastAsia="Arial"/>
              </w:rPr>
              <w:t>1.</w:t>
            </w:r>
            <w:r w:rsidR="002E0702" w:rsidRPr="00E33EFF">
              <w:rPr>
                <w:rFonts w:eastAsia="Arial"/>
              </w:rPr>
              <w:t>6</w:t>
            </w:r>
          </w:p>
        </w:tc>
        <w:tc>
          <w:tcPr>
            <w:tcW w:w="3694" w:type="dxa"/>
          </w:tcPr>
          <w:p w14:paraId="2EAB877F" w14:textId="39A36941" w:rsidR="00B13D65" w:rsidRPr="00E33EFF" w:rsidRDefault="007656B2" w:rsidP="00824B92">
            <w:pPr>
              <w:rPr>
                <w:bCs/>
                <w:color w:val="000000"/>
                <w:u w:val="single"/>
                <w:lang w:eastAsia="lt-LT"/>
              </w:rPr>
            </w:pPr>
            <w:r w:rsidRPr="00E33EFF">
              <w:rPr>
                <w:bCs/>
                <w:color w:val="000000"/>
                <w:lang w:eastAsia="lt-LT"/>
              </w:rPr>
              <w:t>Pareiškėjo t</w:t>
            </w:r>
            <w:r w:rsidR="00B13D65" w:rsidRPr="00E33EFF">
              <w:rPr>
                <w:bCs/>
                <w:color w:val="000000"/>
                <w:lang w:eastAsia="lt-LT"/>
              </w:rPr>
              <w:t>eikiamos skyrimo sąlygos</w:t>
            </w:r>
            <w:r w:rsidR="005B3756" w:rsidRPr="00E33EFF">
              <w:rPr>
                <w:bCs/>
                <w:color w:val="000000"/>
                <w:lang w:eastAsia="lt-LT"/>
              </w:rPr>
              <w:t xml:space="preserve"> </w:t>
            </w:r>
          </w:p>
        </w:tc>
        <w:tc>
          <w:tcPr>
            <w:tcW w:w="5167" w:type="dxa"/>
          </w:tcPr>
          <w:p w14:paraId="0579DF58" w14:textId="4B155348" w:rsidR="00B13D65" w:rsidRPr="00E33EFF" w:rsidRDefault="0047414A" w:rsidP="00824B92">
            <w:r>
              <w:t>Neteikiamos</w:t>
            </w:r>
          </w:p>
        </w:tc>
      </w:tr>
      <w:tr w:rsidR="00B13D65" w:rsidRPr="00E33EFF" w14:paraId="3B125269" w14:textId="77777777" w:rsidTr="00BE7489">
        <w:trPr>
          <w:trHeight w:val="378"/>
        </w:trPr>
        <w:tc>
          <w:tcPr>
            <w:tcW w:w="632" w:type="dxa"/>
          </w:tcPr>
          <w:p w14:paraId="0058E11F" w14:textId="77777777" w:rsidR="00B13D65" w:rsidRPr="00E33EFF" w:rsidRDefault="00B13D65" w:rsidP="00824B92">
            <w:pPr>
              <w:rPr>
                <w:rFonts w:eastAsia="Arial"/>
              </w:rPr>
            </w:pPr>
            <w:r w:rsidRPr="00E33EFF">
              <w:rPr>
                <w:rFonts w:eastAsia="Arial"/>
              </w:rPr>
              <w:lastRenderedPageBreak/>
              <w:t>1.7</w:t>
            </w:r>
          </w:p>
        </w:tc>
        <w:tc>
          <w:tcPr>
            <w:tcW w:w="3694" w:type="dxa"/>
          </w:tcPr>
          <w:p w14:paraId="61EC5BBD" w14:textId="341FA71C" w:rsidR="009F4D66" w:rsidRPr="00E33EFF" w:rsidRDefault="007656B2" w:rsidP="00824B92">
            <w:pPr>
              <w:rPr>
                <w:bCs/>
                <w:color w:val="000000"/>
                <w:lang w:eastAsia="lt-LT"/>
              </w:rPr>
            </w:pPr>
            <w:r w:rsidRPr="00E33EFF">
              <w:rPr>
                <w:bCs/>
                <w:color w:val="000000"/>
                <w:lang w:eastAsia="lt-LT"/>
              </w:rPr>
              <w:t>Pareiškėjo teikiamas p</w:t>
            </w:r>
            <w:r w:rsidR="00B13D65" w:rsidRPr="00E33EFF">
              <w:rPr>
                <w:bCs/>
                <w:color w:val="000000"/>
                <w:lang w:eastAsia="lt-LT"/>
              </w:rPr>
              <w:t>alyginamasis</w:t>
            </w:r>
            <w:r w:rsidR="005B3756" w:rsidRPr="00E33EFF">
              <w:rPr>
                <w:bCs/>
                <w:color w:val="000000"/>
                <w:lang w:eastAsia="lt-LT"/>
              </w:rPr>
              <w:t xml:space="preserve"> </w:t>
            </w:r>
            <w:r w:rsidR="00B13D65" w:rsidRPr="00E33EFF">
              <w:rPr>
                <w:bCs/>
                <w:color w:val="000000"/>
                <w:lang w:eastAsia="lt-LT"/>
              </w:rPr>
              <w:t>gydymas</w:t>
            </w:r>
            <w:r w:rsidR="0047414A">
              <w:rPr>
                <w:bCs/>
                <w:color w:val="000000"/>
                <w:lang w:eastAsia="lt-LT"/>
              </w:rPr>
              <w:t>:</w:t>
            </w:r>
            <w:r w:rsidR="00B13D65" w:rsidRPr="00E33EFF">
              <w:rPr>
                <w:bCs/>
                <w:color w:val="000000"/>
                <w:lang w:eastAsia="lt-LT"/>
              </w:rPr>
              <w:t xml:space="preserve"> </w:t>
            </w:r>
          </w:p>
          <w:p w14:paraId="62057D94" w14:textId="77777777" w:rsidR="00413F24" w:rsidRPr="00E33EFF" w:rsidRDefault="00413F24" w:rsidP="00824B92">
            <w:pPr>
              <w:rPr>
                <w:bCs/>
                <w:color w:val="000000"/>
                <w:lang w:eastAsia="lt-LT"/>
              </w:rPr>
            </w:pPr>
          </w:p>
          <w:p w14:paraId="6CC1022E" w14:textId="2B6BCEE1" w:rsidR="009F4D66" w:rsidRPr="00E33EFF" w:rsidRDefault="009F4D66" w:rsidP="00824B92">
            <w:pPr>
              <w:rPr>
                <w:bCs/>
                <w:color w:val="000000"/>
                <w:lang w:eastAsia="lt-LT"/>
              </w:rPr>
            </w:pPr>
          </w:p>
        </w:tc>
        <w:tc>
          <w:tcPr>
            <w:tcW w:w="5167" w:type="dxa"/>
          </w:tcPr>
          <w:p w14:paraId="7C483176" w14:textId="4101311F" w:rsidR="00D95978" w:rsidRDefault="00D95978" w:rsidP="00D95978">
            <w:r>
              <w:rPr>
                <w:rFonts w:ascii="Segoe UI Symbol" w:hAnsi="Segoe UI Symbol" w:cs="Segoe UI Symbol"/>
              </w:rPr>
              <w:t>☒</w:t>
            </w:r>
            <w:r>
              <w:t xml:space="preserve"> Tinkamas (tiesioginis – placebo, netiesioginis -</w:t>
            </w:r>
            <w:proofErr w:type="spellStart"/>
            <w:r>
              <w:t>ustekinumabas</w:t>
            </w:r>
            <w:proofErr w:type="spellEnd"/>
            <w:r>
              <w:t>)</w:t>
            </w:r>
          </w:p>
          <w:p w14:paraId="41B44044" w14:textId="789E7A6B" w:rsidR="00B13D65" w:rsidRPr="00E33EFF" w:rsidRDefault="00D95978" w:rsidP="00D95978">
            <w:r>
              <w:rPr>
                <w:rFonts w:ascii="Segoe UI Symbol" w:hAnsi="Segoe UI Symbol" w:cs="Segoe UI Symbol"/>
              </w:rPr>
              <w:t>☐</w:t>
            </w:r>
            <w:r>
              <w:t xml:space="preserve"> Netinkama</w:t>
            </w:r>
          </w:p>
        </w:tc>
      </w:tr>
    </w:tbl>
    <w:p w14:paraId="108176F7" w14:textId="640C6F75" w:rsidR="00F70C9E" w:rsidRPr="00E33EFF" w:rsidRDefault="00F70C9E" w:rsidP="00E03C3F">
      <w:pPr>
        <w:pStyle w:val="Sraopastraipa"/>
        <w:tabs>
          <w:tab w:val="left" w:pos="426"/>
        </w:tabs>
        <w:ind w:left="0"/>
        <w:rPr>
          <w:b/>
          <w:bCs/>
          <w:caps/>
        </w:rPr>
      </w:pPr>
    </w:p>
    <w:p w14:paraId="2871CA7F" w14:textId="2370BDDB" w:rsidR="00F70C9E" w:rsidRPr="00E33EFF" w:rsidRDefault="00F70C9E" w:rsidP="00880A44">
      <w:pPr>
        <w:spacing w:line="276" w:lineRule="auto"/>
        <w:jc w:val="both"/>
        <w:rPr>
          <w:rFonts w:eastAsia="Arial"/>
          <w:b/>
        </w:rPr>
      </w:pPr>
      <w:r w:rsidRPr="00E33EFF">
        <w:rPr>
          <w:rFonts w:eastAsia="Arial"/>
          <w:b/>
        </w:rPr>
        <w:t xml:space="preserve">1.8 Kitų </w:t>
      </w:r>
      <w:r w:rsidR="00DF583C" w:rsidRPr="00E33EFF">
        <w:rPr>
          <w:rFonts w:eastAsia="Arial"/>
          <w:b/>
        </w:rPr>
        <w:t xml:space="preserve">valstybių </w:t>
      </w:r>
      <w:r w:rsidRPr="00E33EFF">
        <w:rPr>
          <w:rFonts w:eastAsia="Arial"/>
          <w:b/>
        </w:rPr>
        <w:t xml:space="preserve">atsakingų institucijų atlikto </w:t>
      </w:r>
      <w:r w:rsidR="00DF583C" w:rsidRPr="00E33EFF">
        <w:rPr>
          <w:rFonts w:eastAsia="Arial"/>
          <w:b/>
        </w:rPr>
        <w:t>Sveikatos technologijų vertinimo (toliau – STV)</w:t>
      </w:r>
      <w:r w:rsidRPr="00E33EFF">
        <w:rPr>
          <w:rFonts w:eastAsia="Arial"/>
          <w:b/>
        </w:rPr>
        <w:t xml:space="preserve"> išvados</w:t>
      </w:r>
    </w:p>
    <w:p w14:paraId="30721FDD" w14:textId="77777777" w:rsidR="00F70C9E" w:rsidRPr="00E33EFF" w:rsidRDefault="00F70C9E" w:rsidP="00F70C9E">
      <w:pPr>
        <w:spacing w:line="276" w:lineRule="auto"/>
        <w:rPr>
          <w:rFonts w:eastAsia="Arial"/>
        </w:rPr>
      </w:pPr>
    </w:p>
    <w:tbl>
      <w:tblPr>
        <w:tblStyle w:val="Lentelstinklelis"/>
        <w:tblW w:w="0" w:type="auto"/>
        <w:tblLook w:val="04A0" w:firstRow="1" w:lastRow="0" w:firstColumn="1" w:lastColumn="0" w:noHBand="0" w:noVBand="1"/>
      </w:tblPr>
      <w:tblGrid>
        <w:gridCol w:w="2855"/>
        <w:gridCol w:w="1851"/>
        <w:gridCol w:w="2244"/>
        <w:gridCol w:w="2543"/>
      </w:tblGrid>
      <w:tr w:rsidR="00F70C9E" w:rsidRPr="00E33EFF" w14:paraId="7E72828B" w14:textId="77777777" w:rsidTr="00BE7489">
        <w:trPr>
          <w:trHeight w:val="924"/>
        </w:trPr>
        <w:tc>
          <w:tcPr>
            <w:tcW w:w="2855" w:type="dxa"/>
          </w:tcPr>
          <w:p w14:paraId="253D1DD4" w14:textId="5B2616C0" w:rsidR="00F70C9E" w:rsidRPr="00E33EFF" w:rsidRDefault="00F70C9E" w:rsidP="00824B92">
            <w:pPr>
              <w:rPr>
                <w:rFonts w:eastAsia="Arial"/>
              </w:rPr>
            </w:pPr>
            <w:r w:rsidRPr="00E33EFF">
              <w:rPr>
                <w:rFonts w:eastAsia="Arial"/>
              </w:rPr>
              <w:t>ST</w:t>
            </w:r>
            <w:r w:rsidR="00DF583C" w:rsidRPr="00E33EFF">
              <w:rPr>
                <w:rFonts w:eastAsia="Arial"/>
              </w:rPr>
              <w:t>V</w:t>
            </w:r>
            <w:r w:rsidRPr="00E33EFF">
              <w:rPr>
                <w:rFonts w:eastAsia="Arial"/>
              </w:rPr>
              <w:t xml:space="preserve"> agentūros pavadinimas, šalis</w:t>
            </w:r>
          </w:p>
        </w:tc>
        <w:tc>
          <w:tcPr>
            <w:tcW w:w="1851" w:type="dxa"/>
          </w:tcPr>
          <w:p w14:paraId="34AE1EDD" w14:textId="77777777" w:rsidR="00F70C9E" w:rsidRPr="00E33EFF" w:rsidRDefault="00F70C9E" w:rsidP="00824B92">
            <w:pPr>
              <w:rPr>
                <w:rFonts w:eastAsia="Arial"/>
              </w:rPr>
            </w:pPr>
            <w:r w:rsidRPr="00E33EFF">
              <w:rPr>
                <w:rFonts w:eastAsia="Arial"/>
              </w:rPr>
              <w:t>STV vertinimas atliktas</w:t>
            </w:r>
          </w:p>
        </w:tc>
        <w:tc>
          <w:tcPr>
            <w:tcW w:w="2244" w:type="dxa"/>
          </w:tcPr>
          <w:p w14:paraId="16E2DDC1" w14:textId="77777777" w:rsidR="00F70C9E" w:rsidRPr="00E33EFF" w:rsidRDefault="00F70C9E" w:rsidP="00824B92">
            <w:pPr>
              <w:rPr>
                <w:rFonts w:eastAsia="Arial"/>
              </w:rPr>
            </w:pPr>
            <w:r w:rsidRPr="00E33EFF">
              <w:rPr>
                <w:rFonts w:eastAsia="Arial"/>
              </w:rPr>
              <w:t>Klinikinio vertinimo išvada</w:t>
            </w:r>
          </w:p>
        </w:tc>
        <w:tc>
          <w:tcPr>
            <w:tcW w:w="2543" w:type="dxa"/>
          </w:tcPr>
          <w:p w14:paraId="1861E3F2" w14:textId="74803B5B" w:rsidR="00F70C9E" w:rsidRPr="00E33EFF" w:rsidRDefault="00F70C9E" w:rsidP="00824B92">
            <w:pPr>
              <w:rPr>
                <w:rFonts w:eastAsia="Arial"/>
              </w:rPr>
            </w:pPr>
            <w:proofErr w:type="spellStart"/>
            <w:r w:rsidRPr="00E33EFF">
              <w:rPr>
                <w:rFonts w:eastAsia="Arial"/>
              </w:rPr>
              <w:t>Farmako</w:t>
            </w:r>
            <w:r w:rsidR="00CA217D" w:rsidRPr="00E33EFF">
              <w:rPr>
                <w:rFonts w:eastAsia="Arial"/>
              </w:rPr>
              <w:t>e</w:t>
            </w:r>
            <w:r w:rsidR="00476256" w:rsidRPr="00E33EFF">
              <w:rPr>
                <w:rFonts w:eastAsia="Arial"/>
              </w:rPr>
              <w:t>ko</w:t>
            </w:r>
            <w:r w:rsidRPr="00E33EFF">
              <w:rPr>
                <w:rFonts w:eastAsia="Arial"/>
              </w:rPr>
              <w:t>nominio</w:t>
            </w:r>
            <w:proofErr w:type="spellEnd"/>
            <w:r w:rsidRPr="00E33EFF">
              <w:rPr>
                <w:rFonts w:eastAsia="Arial"/>
              </w:rPr>
              <w:t xml:space="preserve"> vertinimo išvada</w:t>
            </w:r>
          </w:p>
        </w:tc>
      </w:tr>
      <w:tr w:rsidR="00D95978" w:rsidRPr="00E33EFF" w14:paraId="129FA8F6" w14:textId="77777777" w:rsidTr="00BE7489">
        <w:trPr>
          <w:trHeight w:val="2267"/>
        </w:trPr>
        <w:tc>
          <w:tcPr>
            <w:tcW w:w="2855" w:type="dxa"/>
          </w:tcPr>
          <w:p w14:paraId="5558645E" w14:textId="77777777" w:rsidR="00D95978" w:rsidRPr="00D05364" w:rsidRDefault="00D95978" w:rsidP="00D95978">
            <w:pPr>
              <w:autoSpaceDE w:val="0"/>
              <w:autoSpaceDN w:val="0"/>
              <w:adjustRightInd w:val="0"/>
              <w:rPr>
                <w:bCs/>
              </w:rPr>
            </w:pPr>
            <w:r w:rsidRPr="00D05364">
              <w:rPr>
                <w:bCs/>
              </w:rPr>
              <w:t>Nacionalinis sveikatos ir klinikinės kompetencijos institutas, Didžioji Britanija</w:t>
            </w:r>
          </w:p>
          <w:p w14:paraId="49C6520D" w14:textId="3B0F5573" w:rsidR="00D95978" w:rsidRPr="00E33EFF" w:rsidRDefault="00D95978" w:rsidP="00D95978">
            <w:pPr>
              <w:rPr>
                <w:rFonts w:eastAsia="Arial"/>
                <w:lang w:val="en-GB"/>
              </w:rPr>
            </w:pPr>
            <w:r w:rsidRPr="00D05364">
              <w:rPr>
                <w:rFonts w:eastAsia="Arial"/>
              </w:rPr>
              <w:t xml:space="preserve">(angl. </w:t>
            </w:r>
            <w:proofErr w:type="spellStart"/>
            <w:r w:rsidRPr="00D05364">
              <w:rPr>
                <w:rFonts w:eastAsia="Arial"/>
                <w:i/>
              </w:rPr>
              <w:t>National</w:t>
            </w:r>
            <w:proofErr w:type="spellEnd"/>
            <w:r w:rsidRPr="00D05364">
              <w:rPr>
                <w:rFonts w:eastAsia="Arial"/>
                <w:i/>
              </w:rPr>
              <w:t xml:space="preserve"> Institute </w:t>
            </w:r>
            <w:proofErr w:type="spellStart"/>
            <w:r w:rsidRPr="00D05364">
              <w:rPr>
                <w:rFonts w:eastAsia="Arial"/>
                <w:i/>
              </w:rPr>
              <w:t>for</w:t>
            </w:r>
            <w:proofErr w:type="spellEnd"/>
            <w:r w:rsidRPr="00D05364">
              <w:rPr>
                <w:rFonts w:eastAsia="Arial"/>
                <w:i/>
              </w:rPr>
              <w:t xml:space="preserve"> </w:t>
            </w:r>
            <w:proofErr w:type="spellStart"/>
            <w:r w:rsidRPr="00D05364">
              <w:rPr>
                <w:rFonts w:eastAsia="Arial"/>
                <w:i/>
              </w:rPr>
              <w:t>Health</w:t>
            </w:r>
            <w:proofErr w:type="spellEnd"/>
            <w:r w:rsidRPr="00D05364">
              <w:rPr>
                <w:rFonts w:eastAsia="Arial"/>
                <w:i/>
              </w:rPr>
              <w:t xml:space="preserve"> </w:t>
            </w:r>
            <w:proofErr w:type="spellStart"/>
            <w:r w:rsidRPr="00D05364">
              <w:rPr>
                <w:rFonts w:eastAsia="Arial"/>
                <w:i/>
              </w:rPr>
              <w:t>and</w:t>
            </w:r>
            <w:proofErr w:type="spellEnd"/>
            <w:r w:rsidRPr="00D05364">
              <w:rPr>
                <w:rFonts w:eastAsia="Arial"/>
                <w:i/>
              </w:rPr>
              <w:t xml:space="preserve"> Care </w:t>
            </w:r>
            <w:proofErr w:type="spellStart"/>
            <w:r w:rsidRPr="00D05364">
              <w:rPr>
                <w:rFonts w:eastAsia="Arial"/>
                <w:i/>
              </w:rPr>
              <w:t>Excellence</w:t>
            </w:r>
            <w:proofErr w:type="spellEnd"/>
            <w:r w:rsidRPr="00D05364">
              <w:rPr>
                <w:rFonts w:eastAsia="Arial"/>
                <w:i/>
              </w:rPr>
              <w:t>, NICE</w:t>
            </w:r>
            <w:r w:rsidRPr="00D05364">
              <w:rPr>
                <w:rFonts w:eastAsia="Arial"/>
              </w:rPr>
              <w:t>)</w:t>
            </w:r>
          </w:p>
        </w:tc>
        <w:tc>
          <w:tcPr>
            <w:tcW w:w="1851" w:type="dxa"/>
          </w:tcPr>
          <w:p w14:paraId="0493E443" w14:textId="77777777" w:rsidR="00D95978" w:rsidRPr="00D05364" w:rsidRDefault="00000000" w:rsidP="00D95978">
            <w:sdt>
              <w:sdtPr>
                <w:rPr>
                  <w:rStyle w:val="Style2"/>
                </w:rPr>
                <w:id w:val="1558205022"/>
                <w15:color w:val="FFCC00"/>
                <w14:checkbox>
                  <w14:checked w14:val="1"/>
                  <w14:checkedState w14:val="2612" w14:font="MS Gothic"/>
                  <w14:uncheckedState w14:val="2610" w14:font="MS Gothic"/>
                </w14:checkbox>
              </w:sdtPr>
              <w:sdtContent>
                <w:r w:rsidR="00D95978">
                  <w:rPr>
                    <w:rStyle w:val="Style2"/>
                    <w:rFonts w:ascii="MS Gothic" w:eastAsia="MS Gothic" w:hAnsi="MS Gothic" w:hint="eastAsia"/>
                  </w:rPr>
                  <w:t>☒</w:t>
                </w:r>
              </w:sdtContent>
            </w:sdt>
            <w:r w:rsidR="00D95978" w:rsidRPr="00D05364">
              <w:t xml:space="preserve"> Taip</w:t>
            </w:r>
          </w:p>
          <w:p w14:paraId="38A8800F" w14:textId="77777777" w:rsidR="00D95978" w:rsidRPr="00D05364" w:rsidRDefault="00000000" w:rsidP="00D95978">
            <w:sdt>
              <w:sdtPr>
                <w:rPr>
                  <w:rStyle w:val="Style2"/>
                </w:rPr>
                <w:id w:val="866029625"/>
                <w15:color w:val="FFCC00"/>
                <w14:checkbox>
                  <w14:checked w14:val="0"/>
                  <w14:checkedState w14:val="2612" w14:font="MS Gothic"/>
                  <w14:uncheckedState w14:val="2610" w14:font="MS Gothic"/>
                </w14:checkbox>
              </w:sdtPr>
              <w:sdtContent>
                <w:r w:rsidR="00D95978" w:rsidRPr="00D05364">
                  <w:rPr>
                    <w:rStyle w:val="Style2"/>
                    <w:rFonts w:ascii="MS Gothic" w:eastAsia="MS Gothic" w:hAnsi="MS Gothic" w:hint="eastAsia"/>
                  </w:rPr>
                  <w:t>☐</w:t>
                </w:r>
              </w:sdtContent>
            </w:sdt>
            <w:r w:rsidR="00D95978" w:rsidRPr="00D05364">
              <w:t xml:space="preserve"> Ne</w:t>
            </w:r>
          </w:p>
          <w:p w14:paraId="7916359D" w14:textId="33458F40" w:rsidR="00D95978" w:rsidRPr="00E33EFF" w:rsidRDefault="00D95978" w:rsidP="00D95978">
            <w:pPr>
              <w:rPr>
                <w:rFonts w:eastAsia="Arial"/>
              </w:rPr>
            </w:pPr>
            <w:r>
              <w:rPr>
                <w:rFonts w:eastAsia="Arial"/>
                <w:lang w:val="en-US"/>
              </w:rPr>
              <w:t>2023 01 04</w:t>
            </w:r>
          </w:p>
        </w:tc>
        <w:tc>
          <w:tcPr>
            <w:tcW w:w="2244" w:type="dxa"/>
          </w:tcPr>
          <w:p w14:paraId="6413D0ED" w14:textId="0E954EE3" w:rsidR="00D95978" w:rsidRPr="00E33EFF" w:rsidRDefault="00D95978" w:rsidP="00D95978">
            <w:pPr>
              <w:rPr>
                <w:rFonts w:eastAsia="Arial"/>
              </w:rPr>
            </w:pPr>
            <w:proofErr w:type="spellStart"/>
            <w:r>
              <w:rPr>
                <w:rFonts w:eastAsia="Arial"/>
              </w:rPr>
              <w:t>Upadacitinibas</w:t>
            </w:r>
            <w:proofErr w:type="spellEnd"/>
            <w:r>
              <w:rPr>
                <w:rFonts w:eastAsia="Arial"/>
              </w:rPr>
              <w:t xml:space="preserve"> skiriamas vidutinio aktyvumo ir aktyvia Krono liga </w:t>
            </w:r>
            <w:proofErr w:type="spellStart"/>
            <w:r>
              <w:rPr>
                <w:rFonts w:eastAsia="Arial"/>
              </w:rPr>
              <w:t>sergamtiems</w:t>
            </w:r>
            <w:proofErr w:type="spellEnd"/>
            <w:r>
              <w:rPr>
                <w:rFonts w:eastAsia="Arial"/>
              </w:rPr>
              <w:t xml:space="preserve"> pacientams, kai anksčiau taikytas gydymas biologinės terapijos medikamentais buvo neefektyvus. </w:t>
            </w:r>
          </w:p>
        </w:tc>
        <w:tc>
          <w:tcPr>
            <w:tcW w:w="2543" w:type="dxa"/>
          </w:tcPr>
          <w:p w14:paraId="67430EE7" w14:textId="11001CA1" w:rsidR="00D95978" w:rsidRPr="00E33EFF" w:rsidRDefault="00D95978" w:rsidP="00D95978">
            <w:pPr>
              <w:rPr>
                <w:rFonts w:eastAsia="Arial"/>
              </w:rPr>
            </w:pPr>
            <w:r w:rsidRPr="009643AB">
              <w:rPr>
                <w:rFonts w:eastAsia="Arial"/>
              </w:rPr>
              <w:t>Rekomenduojama kompensuoti sumažinus kainą</w:t>
            </w:r>
            <w:r>
              <w:rPr>
                <w:rFonts w:eastAsia="Arial"/>
              </w:rPr>
              <w:t>.</w:t>
            </w:r>
          </w:p>
        </w:tc>
      </w:tr>
      <w:tr w:rsidR="00D95978" w:rsidRPr="00E33EFF" w14:paraId="1CC31474" w14:textId="77777777" w:rsidTr="00BE7489">
        <w:trPr>
          <w:trHeight w:val="1547"/>
        </w:trPr>
        <w:tc>
          <w:tcPr>
            <w:tcW w:w="2855" w:type="dxa"/>
          </w:tcPr>
          <w:p w14:paraId="42E27EAB" w14:textId="77777777" w:rsidR="00D95978" w:rsidRPr="00D05364" w:rsidRDefault="00D95978" w:rsidP="00D95978">
            <w:pPr>
              <w:spacing w:line="276" w:lineRule="auto"/>
              <w:rPr>
                <w:rFonts w:eastAsia="Arial"/>
              </w:rPr>
            </w:pPr>
            <w:r w:rsidRPr="00D05364">
              <w:rPr>
                <w:rFonts w:eastAsia="Arial"/>
              </w:rPr>
              <w:t>Kanados sveikatos technologijų agentūra</w:t>
            </w:r>
          </w:p>
          <w:p w14:paraId="2C593A82" w14:textId="0622310E" w:rsidR="00D95978" w:rsidRPr="00E33EFF" w:rsidRDefault="00D95978" w:rsidP="00D95978">
            <w:pPr>
              <w:rPr>
                <w:rFonts w:eastAsia="Arial"/>
                <w:lang w:val="en-GB"/>
              </w:rPr>
            </w:pPr>
            <w:r w:rsidRPr="00D05364">
              <w:rPr>
                <w:rFonts w:eastAsia="Arial"/>
              </w:rPr>
              <w:t xml:space="preserve">(angl. </w:t>
            </w:r>
            <w:proofErr w:type="spellStart"/>
            <w:r w:rsidRPr="00D05364">
              <w:rPr>
                <w:rFonts w:eastAsia="Arial"/>
                <w:i/>
              </w:rPr>
              <w:t>Canadian</w:t>
            </w:r>
            <w:proofErr w:type="spellEnd"/>
            <w:r w:rsidRPr="00D05364">
              <w:rPr>
                <w:rFonts w:eastAsia="Arial"/>
                <w:i/>
              </w:rPr>
              <w:t xml:space="preserve"> </w:t>
            </w:r>
            <w:proofErr w:type="spellStart"/>
            <w:r w:rsidRPr="00D05364">
              <w:rPr>
                <w:rFonts w:eastAsia="Arial"/>
                <w:i/>
              </w:rPr>
              <w:t>health</w:t>
            </w:r>
            <w:proofErr w:type="spellEnd"/>
            <w:r w:rsidRPr="00D05364">
              <w:rPr>
                <w:rFonts w:eastAsia="Arial"/>
                <w:i/>
              </w:rPr>
              <w:t xml:space="preserve"> </w:t>
            </w:r>
            <w:proofErr w:type="spellStart"/>
            <w:r w:rsidRPr="00D05364">
              <w:rPr>
                <w:rFonts w:eastAsia="Arial"/>
                <w:i/>
              </w:rPr>
              <w:t>Technology</w:t>
            </w:r>
            <w:proofErr w:type="spellEnd"/>
            <w:r w:rsidRPr="00D05364">
              <w:rPr>
                <w:rFonts w:eastAsia="Arial"/>
                <w:i/>
              </w:rPr>
              <w:t xml:space="preserve"> </w:t>
            </w:r>
            <w:proofErr w:type="spellStart"/>
            <w:r w:rsidRPr="00D05364">
              <w:rPr>
                <w:rFonts w:eastAsia="Arial"/>
                <w:i/>
              </w:rPr>
              <w:t>Assessment</w:t>
            </w:r>
            <w:proofErr w:type="spellEnd"/>
            <w:r w:rsidRPr="00D05364">
              <w:rPr>
                <w:rFonts w:eastAsia="Arial"/>
                <w:i/>
              </w:rPr>
              <w:t xml:space="preserve"> </w:t>
            </w:r>
            <w:proofErr w:type="spellStart"/>
            <w:r w:rsidRPr="00D05364">
              <w:rPr>
                <w:rFonts w:eastAsia="Arial"/>
                <w:i/>
              </w:rPr>
              <w:t>agency</w:t>
            </w:r>
            <w:proofErr w:type="spellEnd"/>
            <w:r w:rsidRPr="00D05364">
              <w:rPr>
                <w:rFonts w:eastAsia="Arial"/>
                <w:i/>
              </w:rPr>
              <w:t>, CADTH</w:t>
            </w:r>
            <w:r w:rsidRPr="00D05364">
              <w:rPr>
                <w:rFonts w:eastAsia="Arial"/>
              </w:rPr>
              <w:t>)</w:t>
            </w:r>
          </w:p>
        </w:tc>
        <w:tc>
          <w:tcPr>
            <w:tcW w:w="1851" w:type="dxa"/>
          </w:tcPr>
          <w:p w14:paraId="3DBF12C8" w14:textId="77777777" w:rsidR="00D95978" w:rsidRPr="00D05364" w:rsidRDefault="00000000" w:rsidP="00D95978">
            <w:sdt>
              <w:sdtPr>
                <w:rPr>
                  <w:rStyle w:val="Style2"/>
                </w:rPr>
                <w:id w:val="-372539057"/>
                <w15:color w:val="FFCC00"/>
                <w14:checkbox>
                  <w14:checked w14:val="1"/>
                  <w14:checkedState w14:val="2612" w14:font="MS Gothic"/>
                  <w14:uncheckedState w14:val="2610" w14:font="MS Gothic"/>
                </w14:checkbox>
              </w:sdtPr>
              <w:sdtContent>
                <w:r w:rsidR="00D95978">
                  <w:rPr>
                    <w:rStyle w:val="Style2"/>
                    <w:rFonts w:ascii="MS Gothic" w:eastAsia="MS Gothic" w:hAnsi="MS Gothic" w:hint="eastAsia"/>
                  </w:rPr>
                  <w:t>☒</w:t>
                </w:r>
              </w:sdtContent>
            </w:sdt>
            <w:r w:rsidR="00D95978" w:rsidRPr="00D05364">
              <w:t xml:space="preserve"> Taip</w:t>
            </w:r>
          </w:p>
          <w:p w14:paraId="6640530D" w14:textId="77777777" w:rsidR="00D95978" w:rsidRPr="00D05364" w:rsidRDefault="00000000" w:rsidP="00D95978">
            <w:sdt>
              <w:sdtPr>
                <w:rPr>
                  <w:rStyle w:val="Style2"/>
                </w:rPr>
                <w:id w:val="594442222"/>
                <w15:color w:val="FFCC00"/>
                <w14:checkbox>
                  <w14:checked w14:val="0"/>
                  <w14:checkedState w14:val="2612" w14:font="MS Gothic"/>
                  <w14:uncheckedState w14:val="2610" w14:font="MS Gothic"/>
                </w14:checkbox>
              </w:sdtPr>
              <w:sdtContent>
                <w:r w:rsidR="00D95978" w:rsidRPr="00D05364">
                  <w:rPr>
                    <w:rStyle w:val="Style2"/>
                    <w:rFonts w:ascii="Segoe UI Symbol" w:eastAsia="MS Gothic" w:hAnsi="Segoe UI Symbol" w:cs="Segoe UI Symbol"/>
                  </w:rPr>
                  <w:t>☐</w:t>
                </w:r>
              </w:sdtContent>
            </w:sdt>
            <w:r w:rsidR="00D95978" w:rsidRPr="00D05364">
              <w:t xml:space="preserve"> Ne</w:t>
            </w:r>
          </w:p>
          <w:p w14:paraId="0C0988CC" w14:textId="4CBF161A" w:rsidR="00D95978" w:rsidRPr="00E33EFF" w:rsidRDefault="00D95978" w:rsidP="00D95978">
            <w:pPr>
              <w:rPr>
                <w:rFonts w:eastAsia="Arial"/>
              </w:rPr>
            </w:pPr>
            <w:r>
              <w:rPr>
                <w:rFonts w:eastAsia="Arial"/>
                <w:lang w:val="en-US"/>
              </w:rPr>
              <w:t>2023 01 14</w:t>
            </w:r>
          </w:p>
        </w:tc>
        <w:tc>
          <w:tcPr>
            <w:tcW w:w="2244" w:type="dxa"/>
          </w:tcPr>
          <w:p w14:paraId="64D1B800" w14:textId="59BFD15D" w:rsidR="00D95978" w:rsidRPr="00E33EFF" w:rsidRDefault="00D95978" w:rsidP="00D95978">
            <w:pPr>
              <w:rPr>
                <w:rFonts w:eastAsia="Arial"/>
              </w:rPr>
            </w:pPr>
            <w:proofErr w:type="spellStart"/>
            <w:r>
              <w:rPr>
                <w:rFonts w:eastAsia="Arial"/>
              </w:rPr>
              <w:t>Upadacitinibas</w:t>
            </w:r>
            <w:proofErr w:type="spellEnd"/>
            <w:r>
              <w:rPr>
                <w:rFonts w:eastAsia="Arial"/>
              </w:rPr>
              <w:t xml:space="preserve"> skiriamas vidutinio aktyvumo ir aktyvia Krono liga </w:t>
            </w:r>
            <w:proofErr w:type="spellStart"/>
            <w:r>
              <w:rPr>
                <w:rFonts w:eastAsia="Arial"/>
              </w:rPr>
              <w:t>sergamtiems</w:t>
            </w:r>
            <w:proofErr w:type="spellEnd"/>
            <w:r>
              <w:rPr>
                <w:rFonts w:eastAsia="Arial"/>
              </w:rPr>
              <w:t xml:space="preserve"> pacientams, kai anksčiau taikytas gydymas biologinės terapijos medikamentais buvo neefektyvus.</w:t>
            </w:r>
          </w:p>
        </w:tc>
        <w:tc>
          <w:tcPr>
            <w:tcW w:w="2543" w:type="dxa"/>
          </w:tcPr>
          <w:p w14:paraId="5C8CB330" w14:textId="2ECFC889" w:rsidR="00D95978" w:rsidRPr="00E33EFF" w:rsidRDefault="00D95978" w:rsidP="00D95978">
            <w:pPr>
              <w:rPr>
                <w:rFonts w:eastAsia="Arial"/>
              </w:rPr>
            </w:pPr>
            <w:r w:rsidRPr="009643AB">
              <w:rPr>
                <w:rFonts w:eastAsia="Arial"/>
              </w:rPr>
              <w:t>Rekomenduojama kompensuoti sumažinus kainą</w:t>
            </w:r>
            <w:r>
              <w:rPr>
                <w:rFonts w:eastAsia="Arial"/>
              </w:rPr>
              <w:t>.</w:t>
            </w:r>
          </w:p>
        </w:tc>
      </w:tr>
      <w:tr w:rsidR="00D95978" w:rsidRPr="00E33EFF" w14:paraId="21C94D47" w14:textId="77777777" w:rsidTr="00BE7489">
        <w:trPr>
          <w:trHeight w:val="2160"/>
        </w:trPr>
        <w:tc>
          <w:tcPr>
            <w:tcW w:w="2855" w:type="dxa"/>
          </w:tcPr>
          <w:p w14:paraId="45DBEC5E" w14:textId="77777777" w:rsidR="00D95978" w:rsidRPr="00D05364" w:rsidRDefault="00D95978" w:rsidP="00D95978">
            <w:pPr>
              <w:spacing w:line="276" w:lineRule="auto"/>
              <w:rPr>
                <w:rFonts w:eastAsia="Arial"/>
              </w:rPr>
            </w:pPr>
            <w:r w:rsidRPr="00D05364">
              <w:rPr>
                <w:rFonts w:eastAsia="Arial"/>
              </w:rPr>
              <w:t xml:space="preserve">Nacionalinis </w:t>
            </w:r>
            <w:proofErr w:type="spellStart"/>
            <w:r w:rsidRPr="00D05364">
              <w:rPr>
                <w:rFonts w:eastAsia="Arial"/>
              </w:rPr>
              <w:t>farmakoekonomikos</w:t>
            </w:r>
            <w:proofErr w:type="spellEnd"/>
            <w:r w:rsidRPr="00D05364">
              <w:rPr>
                <w:rFonts w:eastAsia="Arial"/>
              </w:rPr>
              <w:t xml:space="preserve"> centras, Airija</w:t>
            </w:r>
          </w:p>
          <w:p w14:paraId="736F5072" w14:textId="2107AD30" w:rsidR="00D95978" w:rsidRPr="00E33EFF" w:rsidRDefault="00D95978" w:rsidP="00D95978">
            <w:pPr>
              <w:rPr>
                <w:rFonts w:eastAsia="Arial"/>
              </w:rPr>
            </w:pPr>
            <w:r w:rsidRPr="00D05364">
              <w:rPr>
                <w:rFonts w:eastAsia="Arial"/>
              </w:rPr>
              <w:t>(angl.</w:t>
            </w:r>
            <w:r w:rsidRPr="00D05364">
              <w:rPr>
                <w:rFonts w:eastAsia="Arial"/>
                <w:i/>
              </w:rPr>
              <w:t xml:space="preserve"> </w:t>
            </w:r>
            <w:proofErr w:type="spellStart"/>
            <w:r w:rsidRPr="00D05364">
              <w:rPr>
                <w:rFonts w:eastAsia="Arial"/>
                <w:i/>
              </w:rPr>
              <w:t>National</w:t>
            </w:r>
            <w:proofErr w:type="spellEnd"/>
            <w:r w:rsidRPr="00D05364">
              <w:rPr>
                <w:rFonts w:eastAsia="Arial"/>
                <w:i/>
              </w:rPr>
              <w:t xml:space="preserve"> Centre </w:t>
            </w:r>
            <w:proofErr w:type="spellStart"/>
            <w:r w:rsidRPr="00D05364">
              <w:rPr>
                <w:rFonts w:eastAsia="Arial"/>
                <w:i/>
              </w:rPr>
              <w:t>for</w:t>
            </w:r>
            <w:proofErr w:type="spellEnd"/>
            <w:r w:rsidRPr="00D05364">
              <w:rPr>
                <w:rFonts w:eastAsia="Arial"/>
                <w:i/>
              </w:rPr>
              <w:t xml:space="preserve"> </w:t>
            </w:r>
            <w:proofErr w:type="spellStart"/>
            <w:r w:rsidRPr="00D05364">
              <w:rPr>
                <w:rFonts w:eastAsia="Arial"/>
                <w:i/>
              </w:rPr>
              <w:t>Pharmacoeconomics</w:t>
            </w:r>
            <w:proofErr w:type="spellEnd"/>
            <w:r w:rsidRPr="00D05364">
              <w:rPr>
                <w:rFonts w:eastAsia="Arial"/>
                <w:i/>
              </w:rPr>
              <w:t>, NCPE</w:t>
            </w:r>
            <w:r w:rsidRPr="00D05364">
              <w:rPr>
                <w:rFonts w:eastAsia="Arial"/>
              </w:rPr>
              <w:t>)</w:t>
            </w:r>
          </w:p>
        </w:tc>
        <w:tc>
          <w:tcPr>
            <w:tcW w:w="1851" w:type="dxa"/>
          </w:tcPr>
          <w:p w14:paraId="15FDFDC6" w14:textId="77777777" w:rsidR="00D95978" w:rsidRPr="00D05364" w:rsidRDefault="00000000" w:rsidP="00D95978">
            <w:sdt>
              <w:sdtPr>
                <w:rPr>
                  <w:rStyle w:val="Style2"/>
                </w:rPr>
                <w:id w:val="-1888403732"/>
                <w15:color w:val="FFCC00"/>
                <w14:checkbox>
                  <w14:checked w14:val="0"/>
                  <w14:checkedState w14:val="2612" w14:font="MS Gothic"/>
                  <w14:uncheckedState w14:val="2610" w14:font="MS Gothic"/>
                </w14:checkbox>
              </w:sdtPr>
              <w:sdtContent>
                <w:r w:rsidR="00D95978" w:rsidRPr="00D05364">
                  <w:rPr>
                    <w:rStyle w:val="Style2"/>
                    <w:rFonts w:ascii="Segoe UI Symbol" w:eastAsia="MS Gothic" w:hAnsi="Segoe UI Symbol" w:cs="Segoe UI Symbol"/>
                  </w:rPr>
                  <w:t>☐</w:t>
                </w:r>
              </w:sdtContent>
            </w:sdt>
            <w:r w:rsidR="00D95978" w:rsidRPr="00D05364">
              <w:t xml:space="preserve"> Taip</w:t>
            </w:r>
          </w:p>
          <w:p w14:paraId="4BFD42C9" w14:textId="77777777" w:rsidR="00D95978" w:rsidRPr="00D05364" w:rsidRDefault="00000000" w:rsidP="00D95978">
            <w:sdt>
              <w:sdtPr>
                <w:rPr>
                  <w:rStyle w:val="Style2"/>
                </w:rPr>
                <w:id w:val="1092201793"/>
                <w15:color w:val="FFCC00"/>
                <w14:checkbox>
                  <w14:checked w14:val="1"/>
                  <w14:checkedState w14:val="2612" w14:font="MS Gothic"/>
                  <w14:uncheckedState w14:val="2610" w14:font="MS Gothic"/>
                </w14:checkbox>
              </w:sdtPr>
              <w:sdtContent>
                <w:r w:rsidR="00D95978">
                  <w:rPr>
                    <w:rStyle w:val="Style2"/>
                    <w:rFonts w:ascii="MS Gothic" w:eastAsia="MS Gothic" w:hAnsi="MS Gothic" w:hint="eastAsia"/>
                  </w:rPr>
                  <w:t>☒</w:t>
                </w:r>
              </w:sdtContent>
            </w:sdt>
            <w:r w:rsidR="00D95978" w:rsidRPr="00D05364">
              <w:t xml:space="preserve"> Ne</w:t>
            </w:r>
          </w:p>
          <w:p w14:paraId="69AA1151" w14:textId="3E8BD883" w:rsidR="00D95978" w:rsidRPr="00E33EFF" w:rsidRDefault="00D95978" w:rsidP="00D95978">
            <w:pPr>
              <w:rPr>
                <w:rFonts w:eastAsia="Arial"/>
              </w:rPr>
            </w:pPr>
          </w:p>
        </w:tc>
        <w:tc>
          <w:tcPr>
            <w:tcW w:w="2244" w:type="dxa"/>
          </w:tcPr>
          <w:p w14:paraId="3C67423E" w14:textId="77777777" w:rsidR="00D95978" w:rsidRPr="00E33EFF" w:rsidRDefault="00D95978" w:rsidP="00D95978">
            <w:pPr>
              <w:rPr>
                <w:rFonts w:eastAsia="Arial"/>
              </w:rPr>
            </w:pPr>
          </w:p>
        </w:tc>
        <w:tc>
          <w:tcPr>
            <w:tcW w:w="2543" w:type="dxa"/>
          </w:tcPr>
          <w:p w14:paraId="60651AFD" w14:textId="4DF7F927" w:rsidR="00D95978" w:rsidRPr="00E33EFF" w:rsidRDefault="00D95978" w:rsidP="00D95978">
            <w:pPr>
              <w:rPr>
                <w:rFonts w:eastAsia="Arial"/>
              </w:rPr>
            </w:pPr>
            <w:r>
              <w:rPr>
                <w:rFonts w:eastAsia="Arial"/>
              </w:rPr>
              <w:t>Pagal pasiūlytą kainą detalus vertinimas neatliktas.</w:t>
            </w:r>
          </w:p>
        </w:tc>
      </w:tr>
    </w:tbl>
    <w:p w14:paraId="2EB7FD31" w14:textId="4D2A8479" w:rsidR="007A2B68" w:rsidRDefault="007A2B68" w:rsidP="00E03C3F">
      <w:pPr>
        <w:pStyle w:val="Sraopastraipa"/>
        <w:tabs>
          <w:tab w:val="left" w:pos="426"/>
        </w:tabs>
        <w:ind w:left="0"/>
        <w:rPr>
          <w:b/>
          <w:bCs/>
          <w:caps/>
        </w:rPr>
      </w:pPr>
    </w:p>
    <w:p w14:paraId="73290081" w14:textId="77777777" w:rsidR="007A2B68" w:rsidRDefault="007A2B68">
      <w:pPr>
        <w:rPr>
          <w:b/>
          <w:bCs/>
          <w:caps/>
        </w:rPr>
      </w:pPr>
      <w:r>
        <w:rPr>
          <w:b/>
          <w:bCs/>
          <w:caps/>
        </w:rPr>
        <w:br w:type="page"/>
      </w:r>
    </w:p>
    <w:p w14:paraId="5055E8A8" w14:textId="471A9757" w:rsidR="002E6F80" w:rsidRPr="00E33EFF" w:rsidRDefault="00CC7832" w:rsidP="00CC09D4">
      <w:pPr>
        <w:pStyle w:val="Sraopastraipa"/>
        <w:numPr>
          <w:ilvl w:val="0"/>
          <w:numId w:val="12"/>
        </w:numPr>
        <w:tabs>
          <w:tab w:val="left" w:pos="567"/>
        </w:tabs>
        <w:ind w:hanging="720"/>
        <w:rPr>
          <w:b/>
          <w:bCs/>
          <w:caps/>
        </w:rPr>
      </w:pPr>
      <w:r w:rsidRPr="00E33EFF">
        <w:rPr>
          <w:b/>
          <w:bCs/>
          <w:caps/>
        </w:rPr>
        <w:lastRenderedPageBreak/>
        <w:t>Klinikinio vertinimo a</w:t>
      </w:r>
      <w:r w:rsidR="00D4485B" w:rsidRPr="00E33EFF">
        <w:rPr>
          <w:b/>
          <w:bCs/>
          <w:caps/>
        </w:rPr>
        <w:t>pibendrinimas</w:t>
      </w:r>
    </w:p>
    <w:p w14:paraId="6DEA6FA7" w14:textId="77777777" w:rsidR="00D95978" w:rsidRDefault="00D95978" w:rsidP="00D95978">
      <w:pPr>
        <w:tabs>
          <w:tab w:val="left" w:pos="426"/>
        </w:tabs>
        <w:spacing w:line="276" w:lineRule="auto"/>
        <w:jc w:val="both"/>
        <w:rPr>
          <w:rFonts w:eastAsia="Arial"/>
          <w:color w:val="000000" w:themeColor="text1"/>
        </w:rPr>
      </w:pPr>
    </w:p>
    <w:p w14:paraId="1A8C2BC7" w14:textId="55CA572C" w:rsidR="00D95978" w:rsidRDefault="00D95978" w:rsidP="00D95978">
      <w:pPr>
        <w:tabs>
          <w:tab w:val="left" w:pos="426"/>
        </w:tabs>
        <w:spacing w:line="276" w:lineRule="auto"/>
        <w:jc w:val="both"/>
        <w:rPr>
          <w:rFonts w:eastAsia="Arial"/>
          <w:color w:val="000000" w:themeColor="text1"/>
        </w:rPr>
      </w:pPr>
      <w:r>
        <w:rPr>
          <w:rFonts w:eastAsia="Arial"/>
          <w:color w:val="000000" w:themeColor="text1"/>
        </w:rPr>
        <w:tab/>
      </w:r>
      <w:r w:rsidRPr="00144B73">
        <w:rPr>
          <w:rFonts w:eastAsia="Arial"/>
          <w:color w:val="000000" w:themeColor="text1"/>
        </w:rPr>
        <w:t xml:space="preserve">Krono liga (KL) yra lėtinė, progresuojanti, </w:t>
      </w:r>
      <w:proofErr w:type="spellStart"/>
      <w:r w:rsidRPr="00144B73">
        <w:rPr>
          <w:rFonts w:eastAsia="Arial"/>
          <w:color w:val="000000" w:themeColor="text1"/>
        </w:rPr>
        <w:t>recidyvuojanti</w:t>
      </w:r>
      <w:proofErr w:type="spellEnd"/>
      <w:r>
        <w:rPr>
          <w:rFonts w:eastAsia="Arial"/>
          <w:color w:val="000000" w:themeColor="text1"/>
        </w:rPr>
        <w:t xml:space="preserve"> žarnyno</w:t>
      </w:r>
      <w:r w:rsidRPr="00144B73">
        <w:rPr>
          <w:rFonts w:eastAsia="Arial"/>
          <w:color w:val="000000" w:themeColor="text1"/>
        </w:rPr>
        <w:t xml:space="preserve"> </w:t>
      </w:r>
      <w:r>
        <w:rPr>
          <w:rFonts w:eastAsia="Arial"/>
          <w:color w:val="000000" w:themeColor="text1"/>
        </w:rPr>
        <w:t>uždegiminė liga, kuriai būdingas t</w:t>
      </w:r>
      <w:r w:rsidRPr="005617F1">
        <w:rPr>
          <w:rFonts w:eastAsia="Arial"/>
          <w:color w:val="000000" w:themeColor="text1"/>
        </w:rPr>
        <w:t xml:space="preserve">ransmuralus </w:t>
      </w:r>
      <w:r>
        <w:rPr>
          <w:rFonts w:eastAsia="Arial"/>
          <w:color w:val="000000" w:themeColor="text1"/>
        </w:rPr>
        <w:t xml:space="preserve">žarnos </w:t>
      </w:r>
      <w:r w:rsidRPr="005617F1">
        <w:rPr>
          <w:rFonts w:eastAsia="Arial"/>
          <w:color w:val="000000" w:themeColor="text1"/>
        </w:rPr>
        <w:t>uždegimas</w:t>
      </w:r>
      <w:r>
        <w:rPr>
          <w:rFonts w:eastAsia="Arial"/>
          <w:color w:val="000000" w:themeColor="text1"/>
        </w:rPr>
        <w:t xml:space="preserve">. </w:t>
      </w:r>
      <w:r w:rsidRPr="00F114E9">
        <w:rPr>
          <w:rFonts w:eastAsia="Arial"/>
          <w:color w:val="000000" w:themeColor="text1"/>
        </w:rPr>
        <w:t>Krono liga dažniausiai pasireiškia jauno amžiaus asmenims (pikas – 20–40 m.),</w:t>
      </w:r>
      <w:r>
        <w:rPr>
          <w:rFonts w:eastAsia="Arial"/>
          <w:color w:val="000000" w:themeColor="text1"/>
        </w:rPr>
        <w:t xml:space="preserve"> </w:t>
      </w:r>
      <w:r w:rsidRPr="00F114E9">
        <w:rPr>
          <w:rFonts w:eastAsia="Arial"/>
          <w:color w:val="000000" w:themeColor="text1"/>
        </w:rPr>
        <w:t xml:space="preserve">vienodai dažnai vyrams ir moterims. </w:t>
      </w:r>
      <w:r w:rsidRPr="00A21952">
        <w:rPr>
          <w:rFonts w:eastAsia="Arial"/>
          <w:color w:val="000000" w:themeColor="text1"/>
        </w:rPr>
        <w:t>Antra sergamumo banga yra vyresniame amžiuje (50–80 m.). Pastebėta, kas susirgus jauname amžiuje, liga yra aktyvesnė, agresyvesnė.</w:t>
      </w:r>
      <w:r>
        <w:rPr>
          <w:rFonts w:eastAsia="Arial"/>
          <w:color w:val="000000" w:themeColor="text1"/>
        </w:rPr>
        <w:t xml:space="preserve"> </w:t>
      </w:r>
      <w:r w:rsidRPr="00F114E9">
        <w:rPr>
          <w:rFonts w:eastAsia="Arial"/>
          <w:color w:val="000000" w:themeColor="text1"/>
        </w:rPr>
        <w:t>Didžiausias sergamumas yra išsivysčiusiose šalyse</w:t>
      </w:r>
      <w:r>
        <w:rPr>
          <w:rFonts w:eastAsia="Arial"/>
          <w:color w:val="000000" w:themeColor="text1"/>
        </w:rPr>
        <w:t xml:space="preserve">, </w:t>
      </w:r>
      <w:r w:rsidRPr="00F114E9">
        <w:rPr>
          <w:rFonts w:eastAsia="Arial"/>
          <w:color w:val="000000" w:themeColor="text1"/>
        </w:rPr>
        <w:t>tačiau sparčiai besivystančiose šalyse, pastebimas ryškus sergamumo Krono liga didėjimas</w:t>
      </w:r>
      <w:r>
        <w:rPr>
          <w:rFonts w:eastAsia="Arial"/>
          <w:color w:val="000000" w:themeColor="text1"/>
        </w:rPr>
        <w:t xml:space="preserve">. </w:t>
      </w:r>
      <w:r w:rsidRPr="00F114E9">
        <w:rPr>
          <w:rFonts w:eastAsia="Arial"/>
          <w:color w:val="000000" w:themeColor="text1"/>
        </w:rPr>
        <w:t>Lietuvoje sergamumas Krono liga padidėjo nuo 0,9 100 tūkstančių gyventojų 2007 m. iki 2,1 2018 m.</w:t>
      </w:r>
      <w:r>
        <w:rPr>
          <w:rFonts w:eastAsia="Arial"/>
          <w:color w:val="000000" w:themeColor="text1"/>
        </w:rPr>
        <w:t xml:space="preserve"> </w:t>
      </w:r>
      <w:r w:rsidRPr="00ED60D9">
        <w:rPr>
          <w:rFonts w:eastAsia="Arial"/>
          <w:color w:val="000000" w:themeColor="text1"/>
        </w:rPr>
        <w:t xml:space="preserve">Ši liga yra lėtinė, pacientai gydomi visą gyvenimą. </w:t>
      </w:r>
      <w:r>
        <w:rPr>
          <w:rFonts w:eastAsia="MS Mincho"/>
        </w:rPr>
        <w:t>Pagrindinis gydymo tikslas yra ilgalaikė klinikinė, endoskopinė ir histologinė remisija, įgalinanti išvengti visų įmanomų Krono ligos komplikacijų, chirurginių intervencijų, hospitalizacijos bei užtikrinanti optimalią gyvenimo kokybę ir įprastą darbingumą.</w:t>
      </w:r>
      <w:r w:rsidRPr="00ED60D9">
        <w:rPr>
          <w:rFonts w:eastAsia="Arial"/>
          <w:color w:val="000000" w:themeColor="text1"/>
        </w:rPr>
        <w:t xml:space="preserve"> Pagrindinis gydymo metodas – imunosupresiniai vaistai, tačiau komplikacijoms gydyti dažnai prireikia chirurginio gydymo.</w:t>
      </w:r>
    </w:p>
    <w:p w14:paraId="0E7841C5" w14:textId="77777777" w:rsidR="00D95978" w:rsidRPr="004C7AFC" w:rsidRDefault="00D95978" w:rsidP="00D95978">
      <w:pPr>
        <w:tabs>
          <w:tab w:val="left" w:pos="426"/>
        </w:tabs>
        <w:spacing w:line="276" w:lineRule="auto"/>
        <w:jc w:val="both"/>
        <w:rPr>
          <w:rFonts w:eastAsia="Arial"/>
          <w:color w:val="000000" w:themeColor="text1"/>
        </w:rPr>
      </w:pPr>
      <w:r>
        <w:rPr>
          <w:rFonts w:eastAsia="Arial"/>
          <w:color w:val="000000" w:themeColor="text1"/>
        </w:rPr>
        <w:tab/>
      </w:r>
      <w:r>
        <w:rPr>
          <w:rFonts w:eastAsia="MS Mincho"/>
        </w:rPr>
        <w:t xml:space="preserve">Siekiant ligos remisijos, </w:t>
      </w:r>
      <w:r w:rsidRPr="00EE6E62">
        <w:rPr>
          <w:rFonts w:eastAsia="MS Mincho"/>
        </w:rPr>
        <w:t xml:space="preserve">Krono ligos paūmėjimas gydomas geriamuoju </w:t>
      </w:r>
      <w:proofErr w:type="spellStart"/>
      <w:r w:rsidRPr="00EE6E62">
        <w:rPr>
          <w:rFonts w:eastAsia="MS Mincho"/>
        </w:rPr>
        <w:t>mesalazinu</w:t>
      </w:r>
      <w:proofErr w:type="spellEnd"/>
      <w:r>
        <w:rPr>
          <w:rFonts w:eastAsia="MS Mincho"/>
        </w:rPr>
        <w:t>, g</w:t>
      </w:r>
      <w:r w:rsidRPr="00EE6E62">
        <w:rPr>
          <w:rFonts w:eastAsia="MS Mincho"/>
        </w:rPr>
        <w:t xml:space="preserve">eriamaisiais </w:t>
      </w:r>
      <w:proofErr w:type="spellStart"/>
      <w:r w:rsidRPr="00EE6E62">
        <w:rPr>
          <w:rFonts w:eastAsia="MS Mincho"/>
        </w:rPr>
        <w:t>g</w:t>
      </w:r>
      <w:r w:rsidRPr="00EE6E62">
        <w:t>liukokortikoidais</w:t>
      </w:r>
      <w:proofErr w:type="spellEnd"/>
      <w:r>
        <w:t xml:space="preserve">, </w:t>
      </w:r>
      <w:proofErr w:type="spellStart"/>
      <w:r>
        <w:rPr>
          <w:rFonts w:eastAsia="MS Mincho"/>
        </w:rPr>
        <w:t>azatioprinu</w:t>
      </w:r>
      <w:proofErr w:type="spellEnd"/>
      <w:r>
        <w:rPr>
          <w:rFonts w:eastAsia="MS Mincho"/>
        </w:rPr>
        <w:t xml:space="preserve">. Kai </w:t>
      </w:r>
      <w:r w:rsidRPr="00EE6E62">
        <w:t xml:space="preserve">sergant aktyvia vidutine ar sunkia </w:t>
      </w:r>
      <w:r>
        <w:t xml:space="preserve">KL </w:t>
      </w:r>
      <w:r w:rsidRPr="00EE6E62">
        <w:t xml:space="preserve">gydymas steroidais ir (ar) </w:t>
      </w:r>
      <w:proofErr w:type="spellStart"/>
      <w:r w:rsidRPr="00EE6E62">
        <w:t>imunomoduliatoriais</w:t>
      </w:r>
      <w:proofErr w:type="spellEnd"/>
      <w:r w:rsidRPr="00EE6E62">
        <w:t xml:space="preserve"> yra neveiksmingas 3 mėnesius</w:t>
      </w:r>
      <w:r>
        <w:t xml:space="preserve">, skiriama </w:t>
      </w:r>
      <w:r w:rsidRPr="00C30EEF">
        <w:t xml:space="preserve">pirmos eilės biologinė terapija </w:t>
      </w:r>
      <w:r w:rsidRPr="00C30EEF">
        <w:rPr>
          <w:rFonts w:eastAsia="MS Mincho"/>
        </w:rPr>
        <w:t>na</w:t>
      </w:r>
      <w:r w:rsidRPr="00C30EEF">
        <w:t xml:space="preserve">vikų nekrozės faktoriaus α (TNFα) inhibitoriais </w:t>
      </w:r>
      <w:r w:rsidRPr="00C30EEF">
        <w:rPr>
          <w:color w:val="000000"/>
        </w:rPr>
        <w:t xml:space="preserve">ar </w:t>
      </w:r>
      <w:proofErr w:type="spellStart"/>
      <w:r w:rsidRPr="00C30EEF">
        <w:rPr>
          <w:color w:val="000000"/>
        </w:rPr>
        <w:t>vedolizumabu</w:t>
      </w:r>
      <w:proofErr w:type="spellEnd"/>
      <w:r w:rsidRPr="00C30EEF">
        <w:t>.</w:t>
      </w:r>
      <w:r w:rsidRPr="00FE612B">
        <w:t xml:space="preserve"> </w:t>
      </w:r>
      <w:r>
        <w:t xml:space="preserve">Jei gydymas TNFα inhibitoriais </w:t>
      </w:r>
      <w:r>
        <w:rPr>
          <w:color w:val="000000"/>
        </w:rPr>
        <w:t xml:space="preserve">ar </w:t>
      </w:r>
      <w:proofErr w:type="spellStart"/>
      <w:r>
        <w:rPr>
          <w:color w:val="000000"/>
        </w:rPr>
        <w:t>vedolizumabu</w:t>
      </w:r>
      <w:proofErr w:type="spellEnd"/>
      <w:r>
        <w:t xml:space="preserve"> mažiausiai 3 mėnesius yra neveiksmingas ar liga </w:t>
      </w:r>
      <w:proofErr w:type="spellStart"/>
      <w:r>
        <w:t>recidyvuoja</w:t>
      </w:r>
      <w:proofErr w:type="spellEnd"/>
      <w:r>
        <w:t xml:space="preserve">, taip pat jei atsiranda pašalinių poveikių ar kitų kontraindikacijų, sprendžiama dėl jo dozės ir skyrimo dažnumo koregavimo arba dėl vaisto keitimo kitu </w:t>
      </w:r>
      <w:r w:rsidRPr="00C30EEF">
        <w:t>TNFα inhibitoriumi, kurio metinė gydymo kaina mažiausia,</w:t>
      </w:r>
      <w:r w:rsidRPr="00C30EEF">
        <w:rPr>
          <w:color w:val="000000"/>
        </w:rPr>
        <w:t xml:space="preserve"> </w:t>
      </w:r>
      <w:proofErr w:type="spellStart"/>
      <w:r w:rsidRPr="00C30EEF">
        <w:rPr>
          <w:color w:val="000000"/>
        </w:rPr>
        <w:t>vedolizumabu</w:t>
      </w:r>
      <w:proofErr w:type="spellEnd"/>
      <w:r w:rsidRPr="00C30EEF">
        <w:rPr>
          <w:color w:val="000000"/>
        </w:rPr>
        <w:t xml:space="preserve"> ar </w:t>
      </w:r>
      <w:proofErr w:type="spellStart"/>
      <w:r w:rsidRPr="00C30EEF">
        <w:rPr>
          <w:color w:val="000000"/>
        </w:rPr>
        <w:t>ustekinumabu</w:t>
      </w:r>
      <w:proofErr w:type="spellEnd"/>
      <w:r w:rsidRPr="00C30EEF">
        <w:rPr>
          <w:color w:val="000000"/>
        </w:rPr>
        <w:t xml:space="preserve"> (antraeilis biologinis vaistas). </w:t>
      </w:r>
      <w:r>
        <w:t xml:space="preserve"> </w:t>
      </w:r>
    </w:p>
    <w:p w14:paraId="367FD931" w14:textId="77777777" w:rsidR="00D95978" w:rsidRDefault="00D95978" w:rsidP="00D95978">
      <w:pPr>
        <w:tabs>
          <w:tab w:val="left" w:pos="284"/>
        </w:tabs>
        <w:spacing w:line="276" w:lineRule="auto"/>
        <w:jc w:val="both"/>
        <w:rPr>
          <w:rFonts w:eastAsia="Arial"/>
          <w:iCs/>
        </w:rPr>
      </w:pPr>
      <w:r>
        <w:tab/>
      </w:r>
      <w:r w:rsidRPr="00D64F9A">
        <w:rPr>
          <w:rFonts w:eastAsia="Arial"/>
          <w:iCs/>
        </w:rPr>
        <w:t xml:space="preserve">Tarnyba, išnagrinėjusi vaistinio preparato paraiškos įrašyti vaistinį preparatą į kompensavimo sąrašus klinikinę dalį, padarė išvadą, kad </w:t>
      </w:r>
      <w:r>
        <w:rPr>
          <w:rFonts w:eastAsia="Arial"/>
          <w:iCs/>
        </w:rPr>
        <w:t xml:space="preserve">kai Krono ligos gydymui yra reikalingas </w:t>
      </w:r>
      <w:r>
        <w:t xml:space="preserve">gydymas antraeiliu biologinės terapijos medikamentu </w:t>
      </w:r>
      <w:r w:rsidRPr="00D64F9A">
        <w:rPr>
          <w:rFonts w:eastAsia="Arial"/>
          <w:iCs/>
        </w:rPr>
        <w:t>tinkamas palyginamasis gydymas</w:t>
      </w:r>
      <w:r>
        <w:rPr>
          <w:rFonts w:eastAsia="Arial"/>
          <w:iCs/>
        </w:rPr>
        <w:t xml:space="preserve"> </w:t>
      </w:r>
      <w:r w:rsidRPr="00D64F9A">
        <w:rPr>
          <w:rFonts w:eastAsia="Arial"/>
          <w:iCs/>
        </w:rPr>
        <w:t>yra</w:t>
      </w:r>
      <w:r>
        <w:rPr>
          <w:rFonts w:eastAsia="Arial"/>
          <w:iCs/>
        </w:rPr>
        <w:t xml:space="preserve"> </w:t>
      </w:r>
      <w:proofErr w:type="spellStart"/>
      <w:r>
        <w:rPr>
          <w:rFonts w:eastAsia="Arial"/>
          <w:iCs/>
        </w:rPr>
        <w:t>ustekinumabas</w:t>
      </w:r>
      <w:proofErr w:type="spellEnd"/>
      <w:r>
        <w:rPr>
          <w:rFonts w:eastAsia="Arial"/>
          <w:iCs/>
        </w:rPr>
        <w:t>.</w:t>
      </w:r>
    </w:p>
    <w:p w14:paraId="61BBF03C" w14:textId="77777777" w:rsidR="00D95978" w:rsidRPr="00D64F9A" w:rsidRDefault="00D95978" w:rsidP="00D95978">
      <w:pPr>
        <w:tabs>
          <w:tab w:val="left" w:pos="284"/>
        </w:tabs>
        <w:spacing w:line="280" w:lineRule="atLeast"/>
        <w:jc w:val="both"/>
        <w:rPr>
          <w:rFonts w:eastAsia="Arial"/>
          <w:iCs/>
        </w:rPr>
      </w:pPr>
    </w:p>
    <w:p w14:paraId="01FC19EC" w14:textId="77777777" w:rsidR="00D95978" w:rsidRDefault="00D95978" w:rsidP="00D95978">
      <w:pPr>
        <w:tabs>
          <w:tab w:val="left" w:pos="284"/>
        </w:tabs>
        <w:spacing w:line="276" w:lineRule="auto"/>
        <w:rPr>
          <w:rFonts w:eastAsia="Arial"/>
          <w:i/>
        </w:rPr>
      </w:pPr>
      <w:r w:rsidRPr="00351456">
        <w:rPr>
          <w:rFonts w:eastAsia="Arial"/>
          <w:i/>
        </w:rPr>
        <w:t>Tiesioginis palyginimas</w:t>
      </w:r>
    </w:p>
    <w:p w14:paraId="3F7B2A55" w14:textId="77777777" w:rsidR="00D95978" w:rsidRDefault="00D95978" w:rsidP="00D95978">
      <w:pPr>
        <w:tabs>
          <w:tab w:val="left" w:pos="426"/>
        </w:tabs>
        <w:spacing w:line="276" w:lineRule="auto"/>
        <w:jc w:val="both"/>
        <w:rPr>
          <w:rFonts w:eastAsia="Arial"/>
          <w:bCs/>
        </w:rPr>
      </w:pPr>
      <w:r>
        <w:rPr>
          <w:rFonts w:eastAsia="Arial"/>
          <w:bCs/>
        </w:rPr>
        <w:tab/>
        <w:t xml:space="preserve">Pareiškėjas vertinimui </w:t>
      </w:r>
      <w:r w:rsidRPr="005C2C95">
        <w:rPr>
          <w:rFonts w:eastAsia="Arial"/>
          <w:bCs/>
        </w:rPr>
        <w:t>pateikė</w:t>
      </w:r>
      <w:r>
        <w:rPr>
          <w:rFonts w:eastAsia="Arial"/>
          <w:bCs/>
        </w:rPr>
        <w:t xml:space="preserve"> du indukcijos tyrimus </w:t>
      </w:r>
      <w:r w:rsidRPr="00923173">
        <w:rPr>
          <w:rFonts w:eastAsia="Arial"/>
          <w:bCs/>
        </w:rPr>
        <w:t>U-EXCEED</w:t>
      </w:r>
      <w:r>
        <w:rPr>
          <w:rFonts w:eastAsia="Arial"/>
          <w:bCs/>
        </w:rPr>
        <w:t xml:space="preserve"> ir </w:t>
      </w:r>
      <w:r w:rsidRPr="00923173">
        <w:rPr>
          <w:rFonts w:eastAsia="Arial"/>
          <w:bCs/>
        </w:rPr>
        <w:t>U-EXCEL</w:t>
      </w:r>
      <w:r>
        <w:rPr>
          <w:rFonts w:eastAsia="Arial"/>
          <w:bCs/>
        </w:rPr>
        <w:t xml:space="preserve"> ir vieną palaikomojo gydymo tyrimą </w:t>
      </w:r>
      <w:r w:rsidRPr="00923173">
        <w:rPr>
          <w:rFonts w:eastAsia="Arial"/>
          <w:bCs/>
        </w:rPr>
        <w:t>U-ENDURE</w:t>
      </w:r>
      <w:r>
        <w:rPr>
          <w:rFonts w:eastAsia="Arial"/>
          <w:bCs/>
        </w:rPr>
        <w:t>. Pateikti tyrimai buvo atsitiktinių imčių</w:t>
      </w:r>
      <w:r w:rsidRPr="005C2C95">
        <w:rPr>
          <w:rFonts w:eastAsia="Arial"/>
          <w:bCs/>
        </w:rPr>
        <w:t>, dvigubai koduot</w:t>
      </w:r>
      <w:r>
        <w:rPr>
          <w:rFonts w:eastAsia="Arial"/>
          <w:bCs/>
        </w:rPr>
        <w:t>i</w:t>
      </w:r>
      <w:r w:rsidRPr="005C2C95">
        <w:rPr>
          <w:rFonts w:eastAsia="Arial"/>
          <w:bCs/>
        </w:rPr>
        <w:t>, placebu kontroliuojam</w:t>
      </w:r>
      <w:r>
        <w:rPr>
          <w:rFonts w:eastAsia="Arial"/>
          <w:bCs/>
        </w:rPr>
        <w:t>i, III klinikinės fazės. Indukcijos tyrimuose vidutinio sunkumo ir sunkia Krono liga</w:t>
      </w:r>
      <w:r w:rsidRPr="00B3674B">
        <w:rPr>
          <w:rFonts w:eastAsia="Arial"/>
          <w:bCs/>
        </w:rPr>
        <w:t xml:space="preserve"> </w:t>
      </w:r>
      <w:r>
        <w:rPr>
          <w:rFonts w:eastAsia="Arial"/>
          <w:bCs/>
        </w:rPr>
        <w:t xml:space="preserve">sergantiems pacientams, kuriems įprastinis gydymas arba gydymas biologinės terapijos </w:t>
      </w:r>
      <w:proofErr w:type="spellStart"/>
      <w:r>
        <w:rPr>
          <w:rFonts w:eastAsia="Arial"/>
          <w:bCs/>
        </w:rPr>
        <w:t>medikametais</w:t>
      </w:r>
      <w:proofErr w:type="spellEnd"/>
      <w:r>
        <w:rPr>
          <w:rFonts w:eastAsia="Arial"/>
          <w:bCs/>
        </w:rPr>
        <w:t xml:space="preserve"> buvo neveiksmingas, buvo skiriamas </w:t>
      </w:r>
      <w:proofErr w:type="spellStart"/>
      <w:r>
        <w:rPr>
          <w:rFonts w:eastAsia="Arial"/>
          <w:bCs/>
        </w:rPr>
        <w:t>upadacitinibas</w:t>
      </w:r>
      <w:proofErr w:type="spellEnd"/>
      <w:r>
        <w:rPr>
          <w:rFonts w:eastAsia="Arial"/>
          <w:bCs/>
        </w:rPr>
        <w:t xml:space="preserve"> </w:t>
      </w:r>
      <w:r w:rsidRPr="00B3674B">
        <w:rPr>
          <w:rFonts w:eastAsia="Arial"/>
          <w:bCs/>
        </w:rPr>
        <w:t>4</w:t>
      </w:r>
      <w:r>
        <w:rPr>
          <w:rFonts w:eastAsia="Arial"/>
          <w:bCs/>
        </w:rPr>
        <w:t xml:space="preserve">5 mg. U-EXCEED tyrime įtraukti tik pacientai, kuriems anksčiau taikyta biologinė terapija buvo neefektyvi, o U-EXCEL tyrime </w:t>
      </w:r>
      <w:r w:rsidRPr="00B342E0">
        <w:rPr>
          <w:rFonts w:eastAsia="Arial"/>
          <w:bCs/>
        </w:rPr>
        <w:t>44</w:t>
      </w:r>
      <w:r>
        <w:rPr>
          <w:rFonts w:eastAsia="Arial"/>
          <w:bCs/>
        </w:rPr>
        <w:t xml:space="preserve">,3 proc. pacientų anksčiau vartojo biologinę terapiją, tačiau nepatyrė klinikinio atsako. Į palaikomojo gydymo tyrimą įtraukti pacientai per </w:t>
      </w:r>
      <w:r w:rsidRPr="00B3674B">
        <w:rPr>
          <w:rFonts w:eastAsia="Arial"/>
          <w:bCs/>
        </w:rPr>
        <w:t>12 sav</w:t>
      </w:r>
      <w:r>
        <w:rPr>
          <w:rFonts w:eastAsia="Arial"/>
          <w:bCs/>
        </w:rPr>
        <w:t xml:space="preserve">aičių patyrę atsaką indukcijos tyrimuose. Palaikomojo gydymo tyrime pacientai buvo gydomi </w:t>
      </w:r>
      <w:proofErr w:type="spellStart"/>
      <w:r>
        <w:rPr>
          <w:rFonts w:eastAsia="Arial"/>
          <w:bCs/>
        </w:rPr>
        <w:t>upadacitinibu</w:t>
      </w:r>
      <w:proofErr w:type="spellEnd"/>
      <w:r>
        <w:rPr>
          <w:rFonts w:eastAsia="Arial"/>
          <w:bCs/>
        </w:rPr>
        <w:t xml:space="preserve"> 15 arba 30 mg 52 savaites. </w:t>
      </w:r>
    </w:p>
    <w:p w14:paraId="6F62BA7C" w14:textId="77777777" w:rsidR="00182BEC" w:rsidRDefault="00D95978" w:rsidP="00182BEC">
      <w:pPr>
        <w:tabs>
          <w:tab w:val="left" w:pos="426"/>
        </w:tabs>
        <w:spacing w:line="276" w:lineRule="auto"/>
        <w:jc w:val="both"/>
        <w:rPr>
          <w:rFonts w:eastAsia="Arial"/>
          <w:iCs/>
          <w:color w:val="000000" w:themeColor="text1"/>
        </w:rPr>
      </w:pPr>
      <w:r>
        <w:rPr>
          <w:rFonts w:eastAsia="Arial"/>
          <w:bCs/>
        </w:rPr>
        <w:tab/>
      </w:r>
      <w:r w:rsidR="00182BEC">
        <w:rPr>
          <w:rFonts w:eastAsia="Arial"/>
          <w:bCs/>
        </w:rPr>
        <w:t>Vertinant indukcijos tyrimų sudėtinę pirminę baigtį, klinikinę remisiją pagal paciento praneštas baigtis U-EXCEED tyrime pasiekė</w:t>
      </w:r>
      <w:bookmarkStart w:id="0" w:name="OLE_LINK1"/>
      <w:bookmarkStart w:id="1" w:name="OLE_LINK2"/>
      <w:r w:rsidR="00182BEC">
        <w:rPr>
          <w:rFonts w:eastAsia="Arial"/>
          <w:iCs/>
          <w:color w:val="000000" w:themeColor="text1"/>
        </w:rPr>
        <w:t xml:space="preserve"> 25,9 proc. daugiau pacientų, gydytų </w:t>
      </w:r>
      <w:proofErr w:type="spellStart"/>
      <w:r w:rsidR="00182BEC">
        <w:rPr>
          <w:rFonts w:eastAsia="Arial"/>
          <w:iCs/>
          <w:color w:val="000000" w:themeColor="text1"/>
        </w:rPr>
        <w:t>upadacitinibu</w:t>
      </w:r>
      <w:proofErr w:type="spellEnd"/>
      <w:r w:rsidR="00182BEC">
        <w:rPr>
          <w:rFonts w:eastAsia="Arial"/>
          <w:iCs/>
          <w:color w:val="000000" w:themeColor="text1"/>
        </w:rPr>
        <w:t xml:space="preserve"> (</w:t>
      </w:r>
      <w:r w:rsidR="00182BEC" w:rsidRPr="00C565E2">
        <w:rPr>
          <w:rFonts w:eastAsia="Arial"/>
          <w:iCs/>
          <w:color w:val="000000" w:themeColor="text1"/>
        </w:rPr>
        <w:t xml:space="preserve">39,8 proc. </w:t>
      </w:r>
      <w:r w:rsidR="00182BEC">
        <w:rPr>
          <w:rFonts w:eastAsia="Arial"/>
          <w:iCs/>
          <w:color w:val="000000" w:themeColor="text1"/>
        </w:rPr>
        <w:t xml:space="preserve">ir </w:t>
      </w:r>
      <w:r w:rsidR="00182BEC" w:rsidRPr="00C565E2">
        <w:rPr>
          <w:rFonts w:eastAsia="Arial"/>
          <w:iCs/>
          <w:color w:val="000000" w:themeColor="text1"/>
        </w:rPr>
        <w:t>1</w:t>
      </w:r>
      <w:r w:rsidR="00182BEC">
        <w:rPr>
          <w:rFonts w:eastAsia="Arial"/>
          <w:iCs/>
          <w:color w:val="000000" w:themeColor="text1"/>
        </w:rPr>
        <w:t>4 proc. atitinkamai, [9</w:t>
      </w:r>
      <w:r w:rsidR="00182BEC">
        <w:rPr>
          <w:rFonts w:eastAsia="Arial"/>
          <w:iCs/>
          <w:color w:val="000000" w:themeColor="text1"/>
          <w:lang w:val="en-US"/>
        </w:rPr>
        <w:t xml:space="preserve">5 proc. </w:t>
      </w:r>
      <w:proofErr w:type="spellStart"/>
      <w:r w:rsidR="00182BEC">
        <w:rPr>
          <w:rFonts w:eastAsia="Arial"/>
          <w:iCs/>
          <w:color w:val="000000" w:themeColor="text1"/>
          <w:lang w:val="en-US"/>
        </w:rPr>
        <w:t>pasikliautinasis</w:t>
      </w:r>
      <w:proofErr w:type="spellEnd"/>
      <w:r w:rsidR="00182BEC">
        <w:rPr>
          <w:rFonts w:eastAsia="Arial"/>
          <w:iCs/>
          <w:color w:val="000000" w:themeColor="text1"/>
          <w:lang w:val="en-US"/>
        </w:rPr>
        <w:t xml:space="preserve"> </w:t>
      </w:r>
      <w:proofErr w:type="spellStart"/>
      <w:r w:rsidR="00182BEC">
        <w:rPr>
          <w:rFonts w:eastAsia="Arial"/>
          <w:iCs/>
          <w:color w:val="000000" w:themeColor="text1"/>
          <w:lang w:val="en-US"/>
        </w:rPr>
        <w:t>intervalas</w:t>
      </w:r>
      <w:proofErr w:type="spellEnd"/>
      <w:r w:rsidR="00182BEC">
        <w:rPr>
          <w:rFonts w:eastAsia="Arial"/>
          <w:iCs/>
          <w:color w:val="000000" w:themeColor="text1"/>
          <w:lang w:val="en-US"/>
        </w:rPr>
        <w:t xml:space="preserve"> (PI) </w:t>
      </w:r>
      <w:r w:rsidR="00182BEC">
        <w:rPr>
          <w:rFonts w:eastAsia="Arial"/>
          <w:iCs/>
          <w:color w:val="000000" w:themeColor="text1"/>
        </w:rPr>
        <w:t>18,7- 33,1], p&lt;0,0001), endoskopinį atsaką – 31,</w:t>
      </w:r>
      <w:r w:rsidR="00182BEC" w:rsidRPr="007E640C">
        <w:rPr>
          <w:rFonts w:eastAsia="Arial"/>
          <w:iCs/>
          <w:color w:val="000000" w:themeColor="text1"/>
        </w:rPr>
        <w:t>2</w:t>
      </w:r>
      <w:r w:rsidR="00182BEC">
        <w:rPr>
          <w:rFonts w:eastAsia="Arial"/>
          <w:iCs/>
          <w:color w:val="000000" w:themeColor="text1"/>
        </w:rPr>
        <w:t xml:space="preserve"> proc. daugiau </w:t>
      </w:r>
      <w:r w:rsidR="00182BEC" w:rsidRPr="007E640C">
        <w:rPr>
          <w:rFonts w:eastAsia="Arial"/>
          <w:iCs/>
          <w:color w:val="000000" w:themeColor="text1"/>
        </w:rPr>
        <w:t xml:space="preserve"> </w:t>
      </w:r>
      <w:r w:rsidR="00182BEC">
        <w:rPr>
          <w:rFonts w:eastAsia="Arial"/>
          <w:iCs/>
          <w:color w:val="000000" w:themeColor="text1"/>
        </w:rPr>
        <w:t xml:space="preserve">(atitinkamai </w:t>
      </w:r>
      <w:r w:rsidR="00182BEC" w:rsidRPr="003438FD">
        <w:rPr>
          <w:rFonts w:eastAsia="Arial"/>
          <w:iCs/>
          <w:color w:val="000000" w:themeColor="text1"/>
        </w:rPr>
        <w:t>34,6 proc. ir 3,5 proc.</w:t>
      </w:r>
      <w:r w:rsidR="00182BEC">
        <w:rPr>
          <w:rFonts w:eastAsia="Arial"/>
          <w:iCs/>
          <w:color w:val="000000" w:themeColor="text1"/>
        </w:rPr>
        <w:t>, [95 proc. PI 25,5-37,</w:t>
      </w:r>
      <w:r w:rsidR="00182BEC" w:rsidRPr="007E640C">
        <w:rPr>
          <w:rFonts w:eastAsia="Arial"/>
          <w:iCs/>
          <w:color w:val="000000" w:themeColor="text1"/>
        </w:rPr>
        <w:t>0</w:t>
      </w:r>
      <w:r w:rsidR="00182BEC">
        <w:rPr>
          <w:rFonts w:eastAsia="Arial"/>
          <w:iCs/>
          <w:color w:val="000000" w:themeColor="text1"/>
        </w:rPr>
        <w:t>], p&lt;0,0001</w:t>
      </w:r>
      <w:r w:rsidR="00182BEC" w:rsidRPr="007E640C">
        <w:rPr>
          <w:rFonts w:eastAsia="Arial"/>
          <w:iCs/>
          <w:color w:val="000000" w:themeColor="text1"/>
        </w:rPr>
        <w:t>)</w:t>
      </w:r>
      <w:r w:rsidR="00182BEC">
        <w:rPr>
          <w:rFonts w:eastAsia="Arial"/>
          <w:iCs/>
          <w:color w:val="000000" w:themeColor="text1"/>
        </w:rPr>
        <w:t xml:space="preserve">. </w:t>
      </w:r>
      <w:bookmarkEnd w:id="0"/>
      <w:bookmarkEnd w:id="1"/>
      <w:r w:rsidR="00182BEC">
        <w:rPr>
          <w:rFonts w:eastAsia="Arial"/>
          <w:iCs/>
          <w:color w:val="000000" w:themeColor="text1"/>
        </w:rPr>
        <w:t xml:space="preserve">U-EXCEL tyrime, pacientų, kuriems anksčiau taikytas gydymas biologinės terapijos medikamentais buvo neveiksmingas, pogrupyje klinikinį atsaką pasiekė </w:t>
      </w:r>
      <w:r w:rsidR="00182BEC" w:rsidRPr="00D64F9A">
        <w:rPr>
          <w:rFonts w:eastAsia="Arial"/>
          <w:iCs/>
          <w:color w:val="000000" w:themeColor="text1"/>
        </w:rPr>
        <w:t xml:space="preserve">46,8 proc. </w:t>
      </w:r>
      <w:proofErr w:type="spellStart"/>
      <w:r w:rsidR="00182BEC" w:rsidRPr="00D64F9A">
        <w:rPr>
          <w:rFonts w:eastAsia="Arial"/>
          <w:iCs/>
          <w:color w:val="000000" w:themeColor="text1"/>
        </w:rPr>
        <w:t>upadacitinibu</w:t>
      </w:r>
      <w:proofErr w:type="spellEnd"/>
      <w:r w:rsidR="00182BEC" w:rsidRPr="00D64F9A">
        <w:rPr>
          <w:rFonts w:eastAsia="Arial"/>
          <w:iCs/>
          <w:color w:val="000000" w:themeColor="text1"/>
        </w:rPr>
        <w:t xml:space="preserve"> ir 14,8 proc. placebu</w:t>
      </w:r>
      <w:r w:rsidR="00182BEC">
        <w:rPr>
          <w:rFonts w:eastAsia="Arial"/>
          <w:iCs/>
          <w:color w:val="000000" w:themeColor="text1"/>
        </w:rPr>
        <w:t xml:space="preserve"> gydytų pacientų,</w:t>
      </w:r>
      <w:r w:rsidR="00182BEC" w:rsidRPr="00D64F9A">
        <w:rPr>
          <w:rFonts w:eastAsia="Arial"/>
          <w:iCs/>
          <w:color w:val="000000" w:themeColor="text1"/>
        </w:rPr>
        <w:t xml:space="preserve"> </w:t>
      </w:r>
      <w:r w:rsidR="00182BEC">
        <w:rPr>
          <w:rFonts w:eastAsia="Arial"/>
          <w:iCs/>
          <w:color w:val="000000" w:themeColor="text1"/>
        </w:rPr>
        <w:t>e</w:t>
      </w:r>
      <w:r w:rsidR="00182BEC" w:rsidRPr="00D64F9A">
        <w:rPr>
          <w:rFonts w:eastAsia="Arial"/>
          <w:iCs/>
          <w:color w:val="000000" w:themeColor="text1"/>
        </w:rPr>
        <w:t>ndoskopinį pagerėjimą – a</w:t>
      </w:r>
      <w:r w:rsidR="00182BEC">
        <w:rPr>
          <w:rFonts w:eastAsia="Arial"/>
          <w:iCs/>
          <w:color w:val="000000" w:themeColor="text1"/>
        </w:rPr>
        <w:t xml:space="preserve">titinkamai 37,9 proc. ir 9 proc. Palaikomojo gydymo tyrime U-ENDURE tyrime, pacientų, kuriems anksčiau taikytas gydymas biologinės terapijos medikamentais buvo neveiksmingas, pogrupyje </w:t>
      </w:r>
      <w:r w:rsidR="00182BEC" w:rsidRPr="009937DD">
        <w:rPr>
          <w:rFonts w:eastAsia="Arial"/>
          <w:iCs/>
          <w:color w:val="000000" w:themeColor="text1"/>
        </w:rPr>
        <w:t xml:space="preserve">klinikinę remisiją pagal paciento praneštas baigtis pasiekė 42,5 proc. </w:t>
      </w:r>
      <w:proofErr w:type="spellStart"/>
      <w:r w:rsidR="00182BEC" w:rsidRPr="009937DD">
        <w:rPr>
          <w:rFonts w:eastAsia="Arial"/>
          <w:iCs/>
          <w:color w:val="000000" w:themeColor="text1"/>
        </w:rPr>
        <w:t>upadacitinibu</w:t>
      </w:r>
      <w:proofErr w:type="spellEnd"/>
      <w:r w:rsidR="00182BEC" w:rsidRPr="009937DD">
        <w:rPr>
          <w:rFonts w:eastAsia="Arial"/>
          <w:iCs/>
          <w:color w:val="000000" w:themeColor="text1"/>
        </w:rPr>
        <w:t xml:space="preserve"> 30 mg bei 32,3 proc. </w:t>
      </w:r>
      <w:proofErr w:type="spellStart"/>
      <w:r w:rsidR="00182BEC" w:rsidRPr="009937DD">
        <w:rPr>
          <w:rFonts w:eastAsia="Arial"/>
          <w:iCs/>
          <w:color w:val="000000" w:themeColor="text1"/>
        </w:rPr>
        <w:t>upadacitinibu</w:t>
      </w:r>
      <w:proofErr w:type="spellEnd"/>
      <w:r w:rsidR="00182BEC" w:rsidRPr="009937DD">
        <w:rPr>
          <w:rFonts w:eastAsia="Arial"/>
          <w:iCs/>
          <w:color w:val="000000" w:themeColor="text1"/>
        </w:rPr>
        <w:t xml:space="preserve"> 15 mg gydytų pacientų</w:t>
      </w:r>
      <w:r w:rsidR="00182BEC">
        <w:rPr>
          <w:rFonts w:eastAsia="Arial"/>
          <w:iCs/>
          <w:color w:val="000000" w:themeColor="text1"/>
        </w:rPr>
        <w:t xml:space="preserve">, </w:t>
      </w:r>
      <w:r w:rsidR="00182BEC" w:rsidRPr="009937DD">
        <w:rPr>
          <w:rFonts w:eastAsia="Arial"/>
          <w:iCs/>
          <w:color w:val="000000" w:themeColor="text1"/>
        </w:rPr>
        <w:t>8,7 proc. – placebu</w:t>
      </w:r>
      <w:r w:rsidR="00182BEC">
        <w:rPr>
          <w:rFonts w:eastAsia="Arial"/>
          <w:iCs/>
          <w:color w:val="000000" w:themeColor="text1"/>
        </w:rPr>
        <w:t>, o e</w:t>
      </w:r>
      <w:r w:rsidR="00182BEC" w:rsidRPr="009937DD">
        <w:rPr>
          <w:rFonts w:eastAsia="Arial"/>
          <w:iCs/>
          <w:color w:val="000000" w:themeColor="text1"/>
        </w:rPr>
        <w:t>ndoskopinį pagerėjimą – atitinkamai 38</w:t>
      </w:r>
      <w:r w:rsidR="00182BEC">
        <w:rPr>
          <w:rFonts w:eastAsia="Arial"/>
          <w:iCs/>
          <w:color w:val="000000" w:themeColor="text1"/>
        </w:rPr>
        <w:t xml:space="preserve">,9 proc., 23,2 proc. ir 4 proc. pacientų. Pagal </w:t>
      </w:r>
      <w:r w:rsidR="00182BEC">
        <w:rPr>
          <w:rFonts w:eastAsia="Arial"/>
          <w:iCs/>
          <w:color w:val="000000" w:themeColor="text1"/>
        </w:rPr>
        <w:lastRenderedPageBreak/>
        <w:t xml:space="preserve">tyrime vertintas antrines baigtis – KLAI balą, endoskopinę remisiją, klinikinę </w:t>
      </w:r>
      <w:r w:rsidR="00182BEC" w:rsidRPr="00640B14">
        <w:rPr>
          <w:rFonts w:eastAsia="Arial"/>
          <w:iCs/>
          <w:color w:val="000000" w:themeColor="text1"/>
        </w:rPr>
        <w:t xml:space="preserve">remisiją </w:t>
      </w:r>
      <w:r w:rsidR="00182BEC">
        <w:rPr>
          <w:rFonts w:eastAsia="Arial"/>
          <w:iCs/>
          <w:color w:val="000000" w:themeColor="text1"/>
        </w:rPr>
        <w:t xml:space="preserve">be kortikosteroidų poreikio, KLAI balo sumažėjimą bent </w:t>
      </w:r>
      <w:r w:rsidR="00182BEC" w:rsidRPr="009937DD">
        <w:rPr>
          <w:rFonts w:eastAsia="Arial"/>
          <w:iCs/>
          <w:color w:val="000000" w:themeColor="text1"/>
        </w:rPr>
        <w:t>100 ba</w:t>
      </w:r>
      <w:r w:rsidR="00182BEC">
        <w:rPr>
          <w:rFonts w:eastAsia="Arial"/>
          <w:iCs/>
          <w:color w:val="000000" w:themeColor="text1"/>
        </w:rPr>
        <w:t xml:space="preserve">lų - tiek indukcijos, tiek palaikomojo gydymo tyrimuose </w:t>
      </w:r>
      <w:proofErr w:type="spellStart"/>
      <w:r w:rsidR="00182BEC">
        <w:rPr>
          <w:rFonts w:eastAsia="Arial"/>
          <w:iCs/>
          <w:color w:val="000000" w:themeColor="text1"/>
        </w:rPr>
        <w:t>upadacitinibas</w:t>
      </w:r>
      <w:proofErr w:type="spellEnd"/>
      <w:r w:rsidR="00182BEC">
        <w:rPr>
          <w:rFonts w:eastAsia="Arial"/>
          <w:iCs/>
          <w:color w:val="000000" w:themeColor="text1"/>
        </w:rPr>
        <w:t xml:space="preserve"> buvo reikšmingai pranašesnis nei gydymas placebu. </w:t>
      </w:r>
    </w:p>
    <w:p w14:paraId="5A264243" w14:textId="22A00168" w:rsidR="00D95978" w:rsidRDefault="00D95978" w:rsidP="00D95978">
      <w:pPr>
        <w:tabs>
          <w:tab w:val="left" w:pos="426"/>
        </w:tabs>
        <w:spacing w:line="276" w:lineRule="auto"/>
        <w:jc w:val="both"/>
        <w:rPr>
          <w:rFonts w:eastAsia="Arial"/>
          <w:iCs/>
          <w:color w:val="000000" w:themeColor="text1"/>
        </w:rPr>
      </w:pPr>
      <w:r>
        <w:rPr>
          <w:rFonts w:eastAsia="Arial"/>
          <w:iCs/>
          <w:color w:val="000000" w:themeColor="text1"/>
        </w:rPr>
        <w:tab/>
      </w:r>
      <w:r w:rsidRPr="009937DD">
        <w:rPr>
          <w:rFonts w:eastAsia="Arial"/>
          <w:iCs/>
          <w:color w:val="000000" w:themeColor="text1"/>
        </w:rPr>
        <w:t xml:space="preserve">Vertinant saugumo profilį, nepageidaujamų reiškinių dažnis tarp </w:t>
      </w:r>
      <w:proofErr w:type="spellStart"/>
      <w:r>
        <w:rPr>
          <w:rFonts w:eastAsia="Arial"/>
          <w:iCs/>
          <w:color w:val="000000" w:themeColor="text1"/>
        </w:rPr>
        <w:t>upadacitinibo</w:t>
      </w:r>
      <w:proofErr w:type="spellEnd"/>
      <w:r w:rsidRPr="009937DD">
        <w:rPr>
          <w:rFonts w:eastAsia="Arial"/>
          <w:iCs/>
          <w:color w:val="000000" w:themeColor="text1"/>
        </w:rPr>
        <w:t xml:space="preserve"> ir </w:t>
      </w:r>
      <w:r>
        <w:rPr>
          <w:rFonts w:eastAsia="Arial"/>
          <w:iCs/>
          <w:color w:val="000000" w:themeColor="text1"/>
        </w:rPr>
        <w:t>placebo</w:t>
      </w:r>
      <w:r w:rsidRPr="009937DD">
        <w:rPr>
          <w:rFonts w:eastAsia="Arial"/>
          <w:iCs/>
          <w:color w:val="000000" w:themeColor="text1"/>
        </w:rPr>
        <w:t xml:space="preserve"> grupių</w:t>
      </w:r>
      <w:r>
        <w:rPr>
          <w:rFonts w:eastAsia="Arial"/>
          <w:iCs/>
          <w:color w:val="000000" w:themeColor="text1"/>
        </w:rPr>
        <w:t xml:space="preserve"> reikšmingai</w:t>
      </w:r>
      <w:r w:rsidRPr="009937DD">
        <w:rPr>
          <w:rFonts w:eastAsia="Arial"/>
          <w:iCs/>
          <w:color w:val="000000" w:themeColor="text1"/>
        </w:rPr>
        <w:t xml:space="preserve"> nesiskyrė. Naujų, vaistinio preparato charakteristikų santraukoje nenurodytų nepageidaujamų reiškinių nenustatyta.</w:t>
      </w:r>
      <w:r>
        <w:rPr>
          <w:rFonts w:eastAsia="Arial"/>
          <w:iCs/>
          <w:color w:val="000000" w:themeColor="text1"/>
        </w:rPr>
        <w:t xml:space="preserve"> </w:t>
      </w:r>
    </w:p>
    <w:p w14:paraId="08C8DE2F" w14:textId="77777777" w:rsidR="00D95978" w:rsidRDefault="00D95978" w:rsidP="00D95978">
      <w:pPr>
        <w:tabs>
          <w:tab w:val="left" w:pos="426"/>
        </w:tabs>
        <w:spacing w:line="276" w:lineRule="auto"/>
        <w:jc w:val="both"/>
        <w:rPr>
          <w:rFonts w:eastAsia="Arial"/>
          <w:iCs/>
          <w:color w:val="000000" w:themeColor="text1"/>
        </w:rPr>
      </w:pPr>
      <w:r>
        <w:rPr>
          <w:rFonts w:eastAsia="Arial"/>
          <w:iCs/>
          <w:color w:val="000000" w:themeColor="text1"/>
        </w:rPr>
        <w:tab/>
      </w:r>
    </w:p>
    <w:p w14:paraId="1D005C63" w14:textId="77777777" w:rsidR="00D95978" w:rsidRPr="009937DD" w:rsidRDefault="00D95978" w:rsidP="00D95978">
      <w:pPr>
        <w:tabs>
          <w:tab w:val="left" w:pos="426"/>
        </w:tabs>
        <w:spacing w:line="276" w:lineRule="auto"/>
        <w:jc w:val="both"/>
        <w:rPr>
          <w:rFonts w:eastAsia="Arial"/>
          <w:i/>
          <w:color w:val="000000" w:themeColor="text1"/>
        </w:rPr>
      </w:pPr>
      <w:r w:rsidRPr="009937DD">
        <w:rPr>
          <w:rFonts w:eastAsia="Arial"/>
          <w:i/>
          <w:color w:val="000000" w:themeColor="text1"/>
        </w:rPr>
        <w:t>Netiesiogini</w:t>
      </w:r>
      <w:r>
        <w:rPr>
          <w:rFonts w:eastAsia="Arial"/>
          <w:i/>
          <w:color w:val="000000" w:themeColor="text1"/>
        </w:rPr>
        <w:t>s palyginimas</w:t>
      </w:r>
    </w:p>
    <w:p w14:paraId="31E4F4FE" w14:textId="77777777" w:rsidR="00D95978" w:rsidRDefault="00D95978" w:rsidP="00D95978">
      <w:pPr>
        <w:tabs>
          <w:tab w:val="left" w:pos="426"/>
        </w:tabs>
        <w:spacing w:line="276" w:lineRule="auto"/>
        <w:jc w:val="both"/>
      </w:pPr>
      <w:r>
        <w:rPr>
          <w:rFonts w:eastAsia="Arial"/>
          <w:iCs/>
          <w:color w:val="000000" w:themeColor="text1"/>
        </w:rPr>
        <w:t xml:space="preserve"> </w:t>
      </w:r>
      <w:r>
        <w:rPr>
          <w:rFonts w:eastAsia="Arial"/>
          <w:iCs/>
          <w:color w:val="000000" w:themeColor="text1"/>
        </w:rPr>
        <w:tab/>
      </w:r>
      <w:r w:rsidRPr="008C4BED">
        <w:rPr>
          <w:rFonts w:eastAsia="Arial"/>
          <w:iCs/>
          <w:color w:val="000000" w:themeColor="text1"/>
        </w:rPr>
        <w:t xml:space="preserve">Netiesioginio palyginimo </w:t>
      </w:r>
      <w:r>
        <w:rPr>
          <w:rFonts w:eastAsia="Arial"/>
          <w:iCs/>
          <w:color w:val="000000" w:themeColor="text1"/>
        </w:rPr>
        <w:t>tinklinėje meta-</w:t>
      </w:r>
      <w:r w:rsidRPr="008C4BED">
        <w:rPr>
          <w:rFonts w:eastAsia="Arial"/>
          <w:iCs/>
          <w:color w:val="000000" w:themeColor="text1"/>
        </w:rPr>
        <w:t>analizėje,</w:t>
      </w:r>
      <w:r>
        <w:rPr>
          <w:rFonts w:eastAsia="Arial"/>
          <w:iCs/>
          <w:color w:val="000000" w:themeColor="text1"/>
        </w:rPr>
        <w:t xml:space="preserve"> Lietuvos klinikinei praktikai</w:t>
      </w:r>
      <w:r w:rsidRPr="008C4BED">
        <w:rPr>
          <w:rFonts w:eastAsia="Arial"/>
          <w:iCs/>
          <w:color w:val="000000" w:themeColor="text1"/>
        </w:rPr>
        <w:t xml:space="preserve"> </w:t>
      </w:r>
      <w:r>
        <w:rPr>
          <w:rFonts w:eastAsia="Arial"/>
          <w:iCs/>
          <w:color w:val="000000" w:themeColor="text1"/>
        </w:rPr>
        <w:t xml:space="preserve">aktualūs tyrimai analizavę </w:t>
      </w:r>
      <w:proofErr w:type="spellStart"/>
      <w:r>
        <w:rPr>
          <w:rFonts w:eastAsia="Arial"/>
          <w:iCs/>
          <w:color w:val="000000" w:themeColor="text1"/>
        </w:rPr>
        <w:t>ustekinumabo</w:t>
      </w:r>
      <w:proofErr w:type="spellEnd"/>
      <w:r>
        <w:rPr>
          <w:rFonts w:eastAsia="Arial"/>
          <w:iCs/>
          <w:color w:val="000000" w:themeColor="text1"/>
        </w:rPr>
        <w:t xml:space="preserve"> (IM-UNITI, UNITI </w:t>
      </w:r>
      <w:r w:rsidRPr="008C4BED">
        <w:rPr>
          <w:rFonts w:eastAsia="Arial"/>
          <w:iCs/>
          <w:color w:val="000000" w:themeColor="text1"/>
        </w:rPr>
        <w:t>1</w:t>
      </w:r>
      <w:r>
        <w:rPr>
          <w:rFonts w:eastAsia="Arial"/>
          <w:iCs/>
          <w:color w:val="000000" w:themeColor="text1"/>
        </w:rPr>
        <w:t xml:space="preserve">, UNITI 2) ir </w:t>
      </w:r>
      <w:proofErr w:type="spellStart"/>
      <w:r>
        <w:rPr>
          <w:rFonts w:eastAsia="Arial"/>
          <w:iCs/>
          <w:color w:val="000000" w:themeColor="text1"/>
        </w:rPr>
        <w:t>upadacitinibo</w:t>
      </w:r>
      <w:proofErr w:type="spellEnd"/>
      <w:r>
        <w:rPr>
          <w:rFonts w:eastAsia="Arial"/>
          <w:iCs/>
          <w:color w:val="000000" w:themeColor="text1"/>
        </w:rPr>
        <w:t xml:space="preserve"> (</w:t>
      </w:r>
      <w:r>
        <w:rPr>
          <w:rFonts w:eastAsia="Arial"/>
          <w:bCs/>
        </w:rPr>
        <w:t>U-EXCEED, U-EXCEL, U-ENDURE</w:t>
      </w:r>
      <w:r>
        <w:rPr>
          <w:rFonts w:eastAsia="Arial"/>
          <w:iCs/>
          <w:color w:val="000000" w:themeColor="text1"/>
        </w:rPr>
        <w:t xml:space="preserve">) efektyvumą. Vertinant klinikinę remisiją pagal KLAI balą indukcijos tyrimuose </w:t>
      </w:r>
      <w:r>
        <w:rPr>
          <w:rFonts w:eastAsia="Arial"/>
          <w:bCs/>
        </w:rPr>
        <w:t xml:space="preserve">pacientų, kuriems anksčiau taikytas gydymas biologinės terapijos medikamentais buvo neefektyvus pogrupyje, vartojant </w:t>
      </w:r>
      <w:proofErr w:type="spellStart"/>
      <w:r>
        <w:rPr>
          <w:rFonts w:eastAsia="Arial"/>
          <w:bCs/>
        </w:rPr>
        <w:t>upadacitinibą</w:t>
      </w:r>
      <w:proofErr w:type="spellEnd"/>
      <w:r>
        <w:rPr>
          <w:rFonts w:eastAsia="Arial"/>
          <w:bCs/>
        </w:rPr>
        <w:t xml:space="preserve"> remisijos pasiekimo tikimybė buvo </w:t>
      </w:r>
      <w:r w:rsidRPr="00C53F21">
        <w:rPr>
          <w:rFonts w:eastAsia="Arial"/>
          <w:bCs/>
        </w:rPr>
        <w:t>23 proc. (</w:t>
      </w:r>
      <w:r>
        <w:rPr>
          <w:rFonts w:eastAsia="Arial"/>
          <w:bCs/>
        </w:rPr>
        <w:t>[</w:t>
      </w:r>
      <w:r w:rsidRPr="00C53F21">
        <w:rPr>
          <w:rFonts w:eastAsia="Arial"/>
          <w:bCs/>
        </w:rPr>
        <w:t>95 proc. PI 0,12 – 0,36</w:t>
      </w:r>
      <w:r>
        <w:rPr>
          <w:rFonts w:eastAsia="Arial"/>
          <w:bCs/>
        </w:rPr>
        <w:t>]</w:t>
      </w:r>
      <w:r w:rsidRPr="00C53F21">
        <w:rPr>
          <w:rFonts w:eastAsia="Arial"/>
          <w:bCs/>
        </w:rPr>
        <w:t>)</w:t>
      </w:r>
      <w:r>
        <w:rPr>
          <w:rFonts w:eastAsia="Arial"/>
          <w:bCs/>
        </w:rPr>
        <w:t xml:space="preserve">, o KLAI balo sumažėjimo </w:t>
      </w:r>
      <w:r w:rsidRPr="00C53F21">
        <w:rPr>
          <w:rFonts w:eastAsia="Arial"/>
          <w:bCs/>
        </w:rPr>
        <w:t xml:space="preserve">100 </w:t>
      </w:r>
      <w:r>
        <w:rPr>
          <w:rFonts w:eastAsia="Arial"/>
          <w:bCs/>
        </w:rPr>
        <w:t xml:space="preserve">balų – </w:t>
      </w:r>
      <w:r w:rsidRPr="00C53F21">
        <w:rPr>
          <w:rFonts w:eastAsia="Arial"/>
          <w:bCs/>
        </w:rPr>
        <w:t>31 proc. (</w:t>
      </w:r>
      <w:r>
        <w:rPr>
          <w:rFonts w:eastAsia="Arial"/>
          <w:bCs/>
        </w:rPr>
        <w:t>[</w:t>
      </w:r>
      <w:r w:rsidRPr="00C53F21">
        <w:rPr>
          <w:rFonts w:eastAsia="Arial"/>
          <w:bCs/>
        </w:rPr>
        <w:t>95 proc. PI 0,13 – 0,51</w:t>
      </w:r>
      <w:r>
        <w:rPr>
          <w:rFonts w:eastAsia="Arial"/>
          <w:bCs/>
        </w:rPr>
        <w:t>]</w:t>
      </w:r>
      <w:r w:rsidRPr="00C53F21">
        <w:rPr>
          <w:rFonts w:eastAsia="Arial"/>
          <w:bCs/>
        </w:rPr>
        <w:t xml:space="preserve">) </w:t>
      </w:r>
      <w:r>
        <w:rPr>
          <w:rFonts w:eastAsia="Arial"/>
          <w:bCs/>
        </w:rPr>
        <w:t xml:space="preserve">didesnė nei vartojant placebo. </w:t>
      </w:r>
      <w:proofErr w:type="spellStart"/>
      <w:r>
        <w:rPr>
          <w:rFonts w:eastAsia="Arial"/>
          <w:bCs/>
        </w:rPr>
        <w:t>Ustekinumabo</w:t>
      </w:r>
      <w:proofErr w:type="spellEnd"/>
      <w:r>
        <w:rPr>
          <w:rFonts w:eastAsia="Arial"/>
          <w:bCs/>
        </w:rPr>
        <w:t xml:space="preserve"> vartojimas nebuvo susijęs su reikšmingai didesne remisijos ar KLAI balo sumažėjimo </w:t>
      </w:r>
      <w:r w:rsidRPr="00C53F21">
        <w:rPr>
          <w:rFonts w:eastAsia="Arial"/>
          <w:bCs/>
        </w:rPr>
        <w:t>1</w:t>
      </w:r>
      <w:r>
        <w:rPr>
          <w:rFonts w:eastAsia="Arial"/>
          <w:bCs/>
        </w:rPr>
        <w:t xml:space="preserve">00 balu tikimybe lyginant su placebo vartojimu. Šiame pogrupyje endoskopinės remisijos pasiekimo tikimybė buvo </w:t>
      </w:r>
      <w:r w:rsidRPr="00C53F21">
        <w:rPr>
          <w:rFonts w:eastAsia="Arial"/>
          <w:bCs/>
        </w:rPr>
        <w:t>12 proc. (</w:t>
      </w:r>
      <w:r>
        <w:rPr>
          <w:rFonts w:eastAsia="Arial"/>
          <w:bCs/>
        </w:rPr>
        <w:t>[</w:t>
      </w:r>
      <w:r w:rsidRPr="00C53F21">
        <w:rPr>
          <w:rFonts w:eastAsia="Arial"/>
          <w:bCs/>
        </w:rPr>
        <w:t>95 proc. PI 0,05 – 0,13</w:t>
      </w:r>
      <w:r>
        <w:rPr>
          <w:rFonts w:eastAsia="Arial"/>
          <w:bCs/>
        </w:rPr>
        <w:t>]</w:t>
      </w:r>
      <w:r w:rsidRPr="00C53F21">
        <w:rPr>
          <w:rFonts w:eastAsia="Arial"/>
          <w:bCs/>
        </w:rPr>
        <w:t xml:space="preserve">), o endoskopinio atsako </w:t>
      </w:r>
      <w:r>
        <w:rPr>
          <w:rFonts w:eastAsia="Arial"/>
          <w:bCs/>
        </w:rPr>
        <w:t>-</w:t>
      </w:r>
      <w:r w:rsidRPr="00C53F21">
        <w:rPr>
          <w:rFonts w:eastAsia="Arial"/>
          <w:bCs/>
        </w:rPr>
        <w:t xml:space="preserve"> 32 proc. (</w:t>
      </w:r>
      <w:r>
        <w:rPr>
          <w:rFonts w:eastAsia="Arial"/>
          <w:bCs/>
        </w:rPr>
        <w:t>[</w:t>
      </w:r>
      <w:r w:rsidRPr="00C53F21">
        <w:rPr>
          <w:rFonts w:eastAsia="Arial"/>
          <w:bCs/>
        </w:rPr>
        <w:t>95 proc. PI 0,26 – 0,38</w:t>
      </w:r>
      <w:r>
        <w:rPr>
          <w:rFonts w:eastAsia="Arial"/>
          <w:bCs/>
        </w:rPr>
        <w:t>]</w:t>
      </w:r>
      <w:r w:rsidRPr="00C53F21">
        <w:rPr>
          <w:rFonts w:eastAsia="Arial"/>
          <w:bCs/>
        </w:rPr>
        <w:t>)  didesnė nei vartojant placebo</w:t>
      </w:r>
      <w:r>
        <w:rPr>
          <w:rFonts w:eastAsia="Arial"/>
          <w:bCs/>
        </w:rPr>
        <w:t xml:space="preserve">. </w:t>
      </w:r>
      <w:r w:rsidRPr="00C53F21">
        <w:rPr>
          <w:rFonts w:eastAsia="Arial"/>
          <w:bCs/>
        </w:rPr>
        <w:t xml:space="preserve">Vartojant </w:t>
      </w:r>
      <w:proofErr w:type="spellStart"/>
      <w:r w:rsidRPr="00C53F21">
        <w:rPr>
          <w:rFonts w:eastAsia="Arial"/>
          <w:bCs/>
        </w:rPr>
        <w:t>ustekinumabą</w:t>
      </w:r>
      <w:proofErr w:type="spellEnd"/>
      <w:r w:rsidRPr="00C53F21">
        <w:rPr>
          <w:rFonts w:eastAsia="Arial"/>
          <w:bCs/>
        </w:rPr>
        <w:t xml:space="preserve"> tikimybė pasiekti endoskopinį atsaką buvo 12 proc. (</w:t>
      </w:r>
      <w:r>
        <w:rPr>
          <w:rFonts w:eastAsia="Arial"/>
          <w:bCs/>
        </w:rPr>
        <w:t>[</w:t>
      </w:r>
      <w:r w:rsidRPr="00C53F21">
        <w:rPr>
          <w:rFonts w:eastAsia="Arial"/>
          <w:bCs/>
        </w:rPr>
        <w:t>95 proc. PI 0,03 – 0,22</w:t>
      </w:r>
      <w:r>
        <w:rPr>
          <w:rFonts w:eastAsia="Arial"/>
          <w:bCs/>
        </w:rPr>
        <w:t>]</w:t>
      </w:r>
      <w:r w:rsidRPr="00C53F21">
        <w:rPr>
          <w:rFonts w:eastAsia="Arial"/>
          <w:bCs/>
        </w:rPr>
        <w:t>) didesnė nei vartojant placebo</w:t>
      </w:r>
      <w:r>
        <w:rPr>
          <w:rFonts w:eastAsia="Arial"/>
          <w:bCs/>
        </w:rPr>
        <w:t xml:space="preserve">, o endoskopinės remisijos tikimybė nesiskyrė nuo gydymo placebu. Palaikomojo gydymo tyrimuose pacientų, kuriems anksčiau taikytas gydymas biologinės terapijos medikamentais buvo neefektyvus pogrupyje, klinikinės remisijos tikimybė vartojant </w:t>
      </w:r>
      <w:proofErr w:type="spellStart"/>
      <w:r w:rsidRPr="00C53F21">
        <w:rPr>
          <w:rFonts w:eastAsia="Arial"/>
          <w:bCs/>
        </w:rPr>
        <w:t>upadacitinibą</w:t>
      </w:r>
      <w:proofErr w:type="spellEnd"/>
      <w:r w:rsidRPr="00C53F21">
        <w:rPr>
          <w:rFonts w:eastAsia="Arial"/>
          <w:bCs/>
        </w:rPr>
        <w:t xml:space="preserve"> 30 mg buvo 35 proc. (</w:t>
      </w:r>
      <w:r>
        <w:rPr>
          <w:rFonts w:eastAsia="Arial"/>
          <w:bCs/>
        </w:rPr>
        <w:t>[</w:t>
      </w:r>
      <w:r w:rsidRPr="00C53F21">
        <w:rPr>
          <w:rFonts w:eastAsia="Arial"/>
          <w:bCs/>
        </w:rPr>
        <w:t>95 proc. PI 0,24– 0,46</w:t>
      </w:r>
      <w:r>
        <w:rPr>
          <w:rFonts w:eastAsia="Arial"/>
          <w:bCs/>
        </w:rPr>
        <w:t>]</w:t>
      </w:r>
      <w:r w:rsidRPr="00C53F21">
        <w:rPr>
          <w:rFonts w:eastAsia="Arial"/>
          <w:bCs/>
        </w:rPr>
        <w:t xml:space="preserve">), </w:t>
      </w:r>
      <w:proofErr w:type="spellStart"/>
      <w:r w:rsidRPr="00C53F21">
        <w:rPr>
          <w:rFonts w:eastAsia="Arial"/>
          <w:bCs/>
        </w:rPr>
        <w:t>upadacitinibą</w:t>
      </w:r>
      <w:proofErr w:type="spellEnd"/>
      <w:r w:rsidRPr="00C53F21">
        <w:rPr>
          <w:rFonts w:eastAsia="Arial"/>
          <w:bCs/>
        </w:rPr>
        <w:t xml:space="preserve"> </w:t>
      </w:r>
      <w:r w:rsidRPr="00C53F21">
        <w:rPr>
          <w:rFonts w:eastAsia="Arial"/>
          <w:bCs/>
          <w:lang w:val="en-US"/>
        </w:rPr>
        <w:t>15 mg – 21 proc. (</w:t>
      </w:r>
      <w:r>
        <w:rPr>
          <w:rFonts w:eastAsia="Arial"/>
          <w:bCs/>
          <w:lang w:val="en-US"/>
        </w:rPr>
        <w:t>[</w:t>
      </w:r>
      <w:r w:rsidRPr="00C53F21">
        <w:rPr>
          <w:rFonts w:eastAsia="Arial"/>
          <w:bCs/>
        </w:rPr>
        <w:t>95 proc. PI 0,10– 0,32</w:t>
      </w:r>
      <w:r>
        <w:rPr>
          <w:rFonts w:eastAsia="Arial"/>
          <w:bCs/>
        </w:rPr>
        <w:t>]</w:t>
      </w:r>
      <w:r w:rsidRPr="00C53F21">
        <w:rPr>
          <w:rFonts w:eastAsia="Arial"/>
          <w:bCs/>
        </w:rPr>
        <w:t xml:space="preserve">) didesnė nei vartojant placebo. </w:t>
      </w:r>
      <w:proofErr w:type="spellStart"/>
      <w:r w:rsidRPr="00C53F21">
        <w:rPr>
          <w:rFonts w:eastAsia="Arial"/>
          <w:bCs/>
        </w:rPr>
        <w:t>Ustekinumabo</w:t>
      </w:r>
      <w:proofErr w:type="spellEnd"/>
      <w:r w:rsidRPr="00C53F21">
        <w:rPr>
          <w:rFonts w:eastAsia="Arial"/>
          <w:bCs/>
        </w:rPr>
        <w:t xml:space="preserve"> vartojimas kas nebuvo susijęs su reikšmingai didesne klinikinės remisijos tikimybe lyginant su placebo vartojimu.</w:t>
      </w:r>
      <w:r w:rsidRPr="00520AD7">
        <w:t xml:space="preserve"> </w:t>
      </w:r>
    </w:p>
    <w:p w14:paraId="37978280" w14:textId="77777777" w:rsidR="00D95978" w:rsidRPr="00C53F21" w:rsidRDefault="00D95978" w:rsidP="00D95978">
      <w:pPr>
        <w:tabs>
          <w:tab w:val="left" w:pos="426"/>
        </w:tabs>
        <w:spacing w:line="276" w:lineRule="auto"/>
        <w:jc w:val="both"/>
        <w:rPr>
          <w:rFonts w:eastAsia="Arial"/>
          <w:bCs/>
        </w:rPr>
      </w:pPr>
      <w:r>
        <w:tab/>
      </w:r>
      <w:r w:rsidRPr="00520AD7">
        <w:rPr>
          <w:rFonts w:eastAsia="Arial"/>
          <w:bCs/>
        </w:rPr>
        <w:t xml:space="preserve">Tinklinėje meta-analizėje </w:t>
      </w:r>
      <w:proofErr w:type="spellStart"/>
      <w:r w:rsidRPr="00520AD7">
        <w:rPr>
          <w:rFonts w:eastAsia="Arial"/>
          <w:bCs/>
        </w:rPr>
        <w:t>upadacitinibo</w:t>
      </w:r>
      <w:proofErr w:type="spellEnd"/>
      <w:r w:rsidRPr="00520AD7">
        <w:rPr>
          <w:rFonts w:eastAsia="Arial"/>
          <w:bCs/>
        </w:rPr>
        <w:t xml:space="preserve"> rezultatai buvo panašaus arba didesnio efektyvumo nei šiuo metu klinikinėje praktikoje naudojamo </w:t>
      </w:r>
      <w:proofErr w:type="spellStart"/>
      <w:r w:rsidRPr="00520AD7">
        <w:rPr>
          <w:rFonts w:eastAsia="Arial"/>
          <w:bCs/>
        </w:rPr>
        <w:t>ustekinumabo</w:t>
      </w:r>
      <w:proofErr w:type="spellEnd"/>
      <w:r w:rsidRPr="00520AD7">
        <w:rPr>
          <w:rFonts w:eastAsia="Arial"/>
          <w:bCs/>
        </w:rPr>
        <w:t>. Atsižvelgiant į tinklinę meta-analizę įtrauktų tyrimų metodologinius skirtumus ir sugretinamo pobūdžio analizę (kai rezultatai pateikiami sulyginant vaistinių preparatų efektyvumą su placebu), analizės rezultatai vertinami kaip pakankami pagrįsti iš esmės nesiskiriantį efektyvumą ir veiksmingumą lyginant su  įprasta klinikine praktika.</w:t>
      </w:r>
    </w:p>
    <w:p w14:paraId="4A763441" w14:textId="77777777" w:rsidR="00D95978" w:rsidRDefault="00D95978" w:rsidP="00D95978">
      <w:pPr>
        <w:tabs>
          <w:tab w:val="left" w:pos="426"/>
        </w:tabs>
        <w:spacing w:line="276" w:lineRule="auto"/>
        <w:jc w:val="both"/>
        <w:rPr>
          <w:rFonts w:eastAsia="Arial"/>
          <w:bCs/>
          <w:iCs/>
          <w:color w:val="000000" w:themeColor="text1"/>
        </w:rPr>
      </w:pPr>
      <w:r w:rsidRPr="00C53F21">
        <w:rPr>
          <w:rFonts w:eastAsia="Arial"/>
          <w:bCs/>
          <w:iCs/>
          <w:color w:val="000000" w:themeColor="text1"/>
        </w:rPr>
        <w:tab/>
        <w:t xml:space="preserve"> </w:t>
      </w:r>
      <w:r w:rsidRPr="00003C2A">
        <w:rPr>
          <w:rFonts w:eastAsia="Arial"/>
          <w:bCs/>
          <w:iCs/>
          <w:color w:val="000000" w:themeColor="text1"/>
        </w:rPr>
        <w:t>Vertinant saugumo profilį,</w:t>
      </w:r>
      <w:r>
        <w:rPr>
          <w:rFonts w:eastAsia="Arial"/>
          <w:bCs/>
          <w:iCs/>
          <w:color w:val="000000" w:themeColor="text1"/>
        </w:rPr>
        <w:t xml:space="preserve"> </w:t>
      </w:r>
      <w:proofErr w:type="spellStart"/>
      <w:r>
        <w:rPr>
          <w:rFonts w:eastAsia="Arial"/>
          <w:bCs/>
          <w:iCs/>
          <w:color w:val="000000" w:themeColor="text1"/>
        </w:rPr>
        <w:t>upadacitinibo</w:t>
      </w:r>
      <w:proofErr w:type="spellEnd"/>
      <w:r>
        <w:rPr>
          <w:rFonts w:eastAsia="Arial"/>
          <w:bCs/>
          <w:iCs/>
          <w:color w:val="000000" w:themeColor="text1"/>
        </w:rPr>
        <w:t xml:space="preserve"> ir </w:t>
      </w:r>
      <w:proofErr w:type="spellStart"/>
      <w:r>
        <w:rPr>
          <w:rFonts w:eastAsia="Arial"/>
          <w:bCs/>
          <w:iCs/>
          <w:color w:val="000000" w:themeColor="text1"/>
        </w:rPr>
        <w:t>ustekinumabo</w:t>
      </w:r>
      <w:proofErr w:type="spellEnd"/>
      <w:r>
        <w:rPr>
          <w:rFonts w:eastAsia="Arial"/>
          <w:bCs/>
          <w:iCs/>
          <w:color w:val="000000" w:themeColor="text1"/>
        </w:rPr>
        <w:t xml:space="preserve"> indukcijos ir palaikomojo gydymo tyrimuose NR, sunkių NR, nutraukimo dėl NR ir sunkių infekcijų dažnis buvo panašus ir reikšmingai nesiskyrė nuo placebo grupės. </w:t>
      </w:r>
    </w:p>
    <w:p w14:paraId="33BF6D97" w14:textId="77777777" w:rsidR="00D95978" w:rsidRDefault="00D95978" w:rsidP="00D95978">
      <w:pPr>
        <w:tabs>
          <w:tab w:val="left" w:pos="426"/>
        </w:tabs>
        <w:spacing w:line="276" w:lineRule="auto"/>
        <w:jc w:val="both"/>
        <w:rPr>
          <w:rFonts w:eastAsia="Arial"/>
          <w:bCs/>
          <w:iCs/>
          <w:color w:val="000000" w:themeColor="text1"/>
        </w:rPr>
      </w:pPr>
    </w:p>
    <w:p w14:paraId="51DC1ABD" w14:textId="77777777" w:rsidR="00D95978" w:rsidRPr="00C30EEF" w:rsidRDefault="00D95978" w:rsidP="00D95978">
      <w:pPr>
        <w:tabs>
          <w:tab w:val="left" w:pos="426"/>
        </w:tabs>
        <w:spacing w:line="276" w:lineRule="auto"/>
        <w:jc w:val="both"/>
        <w:rPr>
          <w:rFonts w:eastAsia="Arial"/>
          <w:bCs/>
          <w:i/>
          <w:color w:val="000000" w:themeColor="text1"/>
        </w:rPr>
      </w:pPr>
      <w:r w:rsidRPr="00C30EEF">
        <w:rPr>
          <w:rFonts w:eastAsia="Arial"/>
          <w:bCs/>
          <w:i/>
          <w:color w:val="000000" w:themeColor="text1"/>
        </w:rPr>
        <w:t>Privalumai ir trūkumai</w:t>
      </w:r>
    </w:p>
    <w:p w14:paraId="03FA992F" w14:textId="77777777" w:rsidR="00D95978" w:rsidRPr="00C30EEF" w:rsidRDefault="00D95978" w:rsidP="00D95978">
      <w:pPr>
        <w:tabs>
          <w:tab w:val="left" w:pos="426"/>
        </w:tabs>
        <w:spacing w:line="276" w:lineRule="auto"/>
        <w:jc w:val="both"/>
        <w:rPr>
          <w:rFonts w:eastAsia="Arial"/>
          <w:bCs/>
          <w:iCs/>
          <w:color w:val="000000" w:themeColor="text1"/>
        </w:rPr>
      </w:pPr>
      <w:r w:rsidRPr="00C30EEF">
        <w:rPr>
          <w:rFonts w:eastAsia="Arial"/>
          <w:bCs/>
          <w:iCs/>
          <w:color w:val="000000" w:themeColor="text1"/>
        </w:rPr>
        <w:tab/>
        <w:t>Jei vaistinis preparatas būtų įrašytas į kompensavimo sąrašus, gydymo šiuo vaistiniu preparatu taikymas klinikinėje praktikoje galėtų turėti privalumų ir trūkumų medicininėms paslaugoms ar pacientams.</w:t>
      </w:r>
    </w:p>
    <w:p w14:paraId="3FD34F5B" w14:textId="77777777" w:rsidR="00D95978" w:rsidRDefault="00D95978" w:rsidP="00D95978">
      <w:pPr>
        <w:tabs>
          <w:tab w:val="left" w:pos="426"/>
        </w:tabs>
        <w:spacing w:line="276" w:lineRule="auto"/>
        <w:jc w:val="both"/>
        <w:rPr>
          <w:rFonts w:eastAsia="Arial"/>
          <w:bCs/>
          <w:iCs/>
          <w:color w:val="000000" w:themeColor="text1"/>
        </w:rPr>
      </w:pPr>
      <w:r>
        <w:rPr>
          <w:rFonts w:eastAsia="Arial"/>
          <w:bCs/>
          <w:iCs/>
          <w:color w:val="000000" w:themeColor="text1"/>
        </w:rPr>
        <w:tab/>
      </w:r>
      <w:r w:rsidRPr="00C30EEF">
        <w:rPr>
          <w:rFonts w:eastAsia="Arial"/>
          <w:b/>
          <w:iCs/>
          <w:color w:val="000000" w:themeColor="text1"/>
        </w:rPr>
        <w:t xml:space="preserve">Privalumai. </w:t>
      </w:r>
      <w:r w:rsidRPr="00C30EEF">
        <w:rPr>
          <w:rFonts w:eastAsia="Arial"/>
          <w:bCs/>
          <w:iCs/>
          <w:color w:val="000000" w:themeColor="text1"/>
        </w:rPr>
        <w:t>Pacientams –</w:t>
      </w:r>
      <w:r>
        <w:rPr>
          <w:rFonts w:eastAsia="Arial"/>
          <w:bCs/>
          <w:iCs/>
          <w:color w:val="000000" w:themeColor="text1"/>
        </w:rPr>
        <w:t xml:space="preserve"> </w:t>
      </w:r>
      <w:proofErr w:type="spellStart"/>
      <w:r>
        <w:rPr>
          <w:rFonts w:eastAsia="Arial"/>
          <w:bCs/>
          <w:iCs/>
          <w:color w:val="000000" w:themeColor="text1"/>
        </w:rPr>
        <w:t>upadacitinibas</w:t>
      </w:r>
      <w:proofErr w:type="spellEnd"/>
      <w:r>
        <w:rPr>
          <w:rFonts w:eastAsia="Arial"/>
          <w:bCs/>
          <w:iCs/>
          <w:color w:val="000000" w:themeColor="text1"/>
        </w:rPr>
        <w:t xml:space="preserve"> yra pirmasis biologinis vaistas geriamąja </w:t>
      </w:r>
      <w:proofErr w:type="spellStart"/>
      <w:r>
        <w:rPr>
          <w:rFonts w:eastAsia="Arial"/>
          <w:bCs/>
          <w:iCs/>
          <w:color w:val="000000" w:themeColor="text1"/>
        </w:rPr>
        <w:t>tabletine</w:t>
      </w:r>
      <w:proofErr w:type="spellEnd"/>
      <w:r>
        <w:rPr>
          <w:rFonts w:eastAsia="Arial"/>
          <w:bCs/>
          <w:iCs/>
          <w:color w:val="000000" w:themeColor="text1"/>
        </w:rPr>
        <w:t xml:space="preserve"> forma. </w:t>
      </w:r>
    </w:p>
    <w:p w14:paraId="28982123" w14:textId="77777777" w:rsidR="00D95978" w:rsidRDefault="00D95978" w:rsidP="00D95978">
      <w:pPr>
        <w:tabs>
          <w:tab w:val="left" w:pos="426"/>
        </w:tabs>
        <w:spacing w:line="276" w:lineRule="auto"/>
        <w:jc w:val="both"/>
        <w:rPr>
          <w:rFonts w:eastAsia="Arial"/>
          <w:bCs/>
          <w:iCs/>
          <w:color w:val="000000" w:themeColor="text1"/>
        </w:rPr>
      </w:pPr>
      <w:r>
        <w:rPr>
          <w:rFonts w:eastAsia="Arial"/>
          <w:bCs/>
          <w:iCs/>
          <w:color w:val="000000" w:themeColor="text1"/>
        </w:rPr>
        <w:tab/>
      </w:r>
      <w:r w:rsidRPr="004B20A9">
        <w:rPr>
          <w:rFonts w:eastAsia="Arial"/>
          <w:b/>
          <w:iCs/>
          <w:color w:val="000000" w:themeColor="text1"/>
        </w:rPr>
        <w:t>Trūkumai</w:t>
      </w:r>
      <w:r>
        <w:rPr>
          <w:rFonts w:eastAsia="Arial"/>
          <w:bCs/>
          <w:iCs/>
          <w:color w:val="000000" w:themeColor="text1"/>
        </w:rPr>
        <w:t xml:space="preserve">. </w:t>
      </w:r>
      <w:r w:rsidRPr="00C30EEF">
        <w:rPr>
          <w:rFonts w:eastAsia="Arial"/>
          <w:bCs/>
          <w:iCs/>
          <w:color w:val="000000" w:themeColor="text1"/>
        </w:rPr>
        <w:t xml:space="preserve">Pacientams vartojantiems </w:t>
      </w:r>
      <w:proofErr w:type="spellStart"/>
      <w:r w:rsidRPr="00C30EEF">
        <w:rPr>
          <w:rFonts w:eastAsia="Arial"/>
          <w:bCs/>
          <w:iCs/>
          <w:color w:val="000000" w:themeColor="text1"/>
        </w:rPr>
        <w:t>Rinvoq</w:t>
      </w:r>
      <w:proofErr w:type="spellEnd"/>
      <w:r w:rsidRPr="00C30EEF">
        <w:rPr>
          <w:rFonts w:eastAsia="Arial"/>
          <w:bCs/>
          <w:iCs/>
          <w:color w:val="000000" w:themeColor="text1"/>
        </w:rPr>
        <w:t xml:space="preserve"> reikalingas pastovus laboratorinių tyrimų rodmenų nenormalumų stebėjimas ir suvaldymas</w:t>
      </w:r>
      <w:r>
        <w:rPr>
          <w:rFonts w:eastAsia="Arial"/>
          <w:bCs/>
          <w:iCs/>
          <w:color w:val="000000" w:themeColor="text1"/>
        </w:rPr>
        <w:t xml:space="preserve"> dėl kurių g</w:t>
      </w:r>
      <w:r w:rsidRPr="00C30EEF">
        <w:rPr>
          <w:rFonts w:eastAsia="Arial"/>
          <w:bCs/>
          <w:iCs/>
          <w:color w:val="000000" w:themeColor="text1"/>
        </w:rPr>
        <w:t>ali reikėti laikinai nutraukti vaistinio preparato vartojimą. Jeigu pacientui išsivysto sunki infekcija, gydymą reikia laikinai nutraukti, kol infekcija bus suvaldyta.</w:t>
      </w:r>
    </w:p>
    <w:p w14:paraId="6F3C15B3" w14:textId="77777777" w:rsidR="00D95978" w:rsidRPr="00C30EEF" w:rsidRDefault="00D95978" w:rsidP="00D95978">
      <w:pPr>
        <w:tabs>
          <w:tab w:val="left" w:pos="426"/>
        </w:tabs>
        <w:spacing w:line="276" w:lineRule="auto"/>
        <w:jc w:val="both"/>
        <w:rPr>
          <w:rFonts w:eastAsia="Arial"/>
          <w:bCs/>
          <w:iCs/>
          <w:color w:val="000000" w:themeColor="text1"/>
        </w:rPr>
      </w:pPr>
      <w:r>
        <w:rPr>
          <w:rFonts w:eastAsia="Arial"/>
          <w:bCs/>
          <w:iCs/>
          <w:color w:val="000000" w:themeColor="text1"/>
        </w:rPr>
        <w:tab/>
        <w:t xml:space="preserve">Medicinos paslaugoms - </w:t>
      </w:r>
      <w:r w:rsidRPr="00C30EEF">
        <w:rPr>
          <w:rFonts w:eastAsia="Arial"/>
          <w:bCs/>
          <w:iCs/>
          <w:color w:val="000000" w:themeColor="text1"/>
        </w:rPr>
        <w:t xml:space="preserve">padidėjęs infekcijų stebėsenos poreikis dėl </w:t>
      </w:r>
      <w:proofErr w:type="spellStart"/>
      <w:r w:rsidRPr="00C30EEF">
        <w:rPr>
          <w:rFonts w:eastAsia="Arial"/>
          <w:bCs/>
          <w:iCs/>
          <w:color w:val="000000" w:themeColor="text1"/>
        </w:rPr>
        <w:t>imunosupresijos</w:t>
      </w:r>
      <w:proofErr w:type="spellEnd"/>
      <w:r w:rsidRPr="00C30EEF">
        <w:rPr>
          <w:rFonts w:eastAsia="Arial"/>
          <w:bCs/>
          <w:iCs/>
          <w:color w:val="000000" w:themeColor="text1"/>
        </w:rPr>
        <w:t xml:space="preserve">, vartojant </w:t>
      </w:r>
      <w:proofErr w:type="spellStart"/>
      <w:r>
        <w:rPr>
          <w:rFonts w:eastAsia="Arial"/>
          <w:bCs/>
          <w:iCs/>
          <w:color w:val="000000" w:themeColor="text1"/>
        </w:rPr>
        <w:t>upadacitinibą</w:t>
      </w:r>
      <w:proofErr w:type="spellEnd"/>
      <w:r>
        <w:rPr>
          <w:rFonts w:eastAsia="Arial"/>
          <w:bCs/>
          <w:iCs/>
          <w:color w:val="000000" w:themeColor="text1"/>
        </w:rPr>
        <w:t xml:space="preserve">. </w:t>
      </w:r>
    </w:p>
    <w:p w14:paraId="6F1979FF" w14:textId="77777777" w:rsidR="00D95978" w:rsidRPr="00C30EEF" w:rsidRDefault="00D95978" w:rsidP="00D95978">
      <w:pPr>
        <w:tabs>
          <w:tab w:val="left" w:pos="426"/>
        </w:tabs>
        <w:spacing w:line="276" w:lineRule="auto"/>
        <w:jc w:val="both"/>
        <w:rPr>
          <w:rFonts w:eastAsia="Arial"/>
          <w:bCs/>
          <w:iCs/>
          <w:color w:val="000000" w:themeColor="text1"/>
        </w:rPr>
      </w:pPr>
      <w:r>
        <w:rPr>
          <w:rFonts w:eastAsia="Arial"/>
          <w:bCs/>
          <w:iCs/>
          <w:color w:val="000000" w:themeColor="text1"/>
        </w:rPr>
        <w:lastRenderedPageBreak/>
        <w:tab/>
      </w:r>
      <w:r w:rsidRPr="004B20A9">
        <w:rPr>
          <w:rFonts w:eastAsia="Arial"/>
          <w:b/>
          <w:iCs/>
          <w:color w:val="000000" w:themeColor="text1"/>
        </w:rPr>
        <w:t>Praktinės problemos pacientui ar jo globėjui</w:t>
      </w:r>
      <w:r>
        <w:rPr>
          <w:rFonts w:eastAsia="Arial"/>
          <w:bCs/>
          <w:iCs/>
          <w:color w:val="000000" w:themeColor="text1"/>
        </w:rPr>
        <w:t>.</w:t>
      </w:r>
      <w:r w:rsidRPr="00C30EEF">
        <w:rPr>
          <w:rFonts w:eastAsia="Arial"/>
          <w:bCs/>
          <w:iCs/>
          <w:color w:val="000000" w:themeColor="text1"/>
        </w:rPr>
        <w:t xml:space="preserve"> </w:t>
      </w:r>
      <w:r>
        <w:rPr>
          <w:rFonts w:eastAsia="Arial"/>
          <w:bCs/>
          <w:iCs/>
          <w:color w:val="000000" w:themeColor="text1"/>
        </w:rPr>
        <w:t>P</w:t>
      </w:r>
      <w:r w:rsidRPr="00C30EEF">
        <w:rPr>
          <w:rFonts w:eastAsia="Arial"/>
          <w:bCs/>
          <w:iCs/>
          <w:color w:val="000000" w:themeColor="text1"/>
        </w:rPr>
        <w:t>astovus laboratorinių tyrimų rodmenų nenormalumų stebėjimas ir suvaldymas poreikis, sukelia papildomą naštą pacientui ir jo globėjams dėl papildomo poreikio vykti į gydymo įstaigą</w:t>
      </w:r>
      <w:r>
        <w:rPr>
          <w:rFonts w:eastAsia="Arial"/>
          <w:bCs/>
          <w:iCs/>
          <w:color w:val="000000" w:themeColor="text1"/>
        </w:rPr>
        <w:t xml:space="preserve">. </w:t>
      </w:r>
    </w:p>
    <w:p w14:paraId="3F6A2326" w14:textId="77777777" w:rsidR="00D95978" w:rsidRDefault="00D95978" w:rsidP="00D95978">
      <w:pPr>
        <w:tabs>
          <w:tab w:val="left" w:pos="426"/>
        </w:tabs>
        <w:spacing w:line="276" w:lineRule="auto"/>
        <w:jc w:val="both"/>
        <w:rPr>
          <w:rFonts w:eastAsia="Arial"/>
          <w:bCs/>
          <w:iCs/>
          <w:color w:val="000000" w:themeColor="text1"/>
        </w:rPr>
      </w:pPr>
      <w:r>
        <w:rPr>
          <w:rFonts w:eastAsia="Arial"/>
          <w:b/>
          <w:iCs/>
          <w:color w:val="000000" w:themeColor="text1"/>
        </w:rPr>
        <w:tab/>
      </w:r>
      <w:r w:rsidRPr="004B20A9">
        <w:rPr>
          <w:rFonts w:eastAsia="Arial"/>
          <w:b/>
          <w:iCs/>
          <w:color w:val="000000" w:themeColor="text1"/>
        </w:rPr>
        <w:t>Pasekmės teikiamoms paslaugoms</w:t>
      </w:r>
      <w:r>
        <w:rPr>
          <w:rFonts w:eastAsia="Arial"/>
          <w:b/>
          <w:iCs/>
          <w:color w:val="000000" w:themeColor="text1"/>
        </w:rPr>
        <w:t>.</w:t>
      </w:r>
      <w:r w:rsidRPr="00C30EEF">
        <w:rPr>
          <w:rFonts w:eastAsia="Arial"/>
          <w:bCs/>
          <w:iCs/>
          <w:color w:val="000000" w:themeColor="text1"/>
        </w:rPr>
        <w:t xml:space="preserve"> </w:t>
      </w:r>
      <w:r>
        <w:rPr>
          <w:rFonts w:eastAsia="Arial"/>
          <w:bCs/>
          <w:iCs/>
          <w:color w:val="000000" w:themeColor="text1"/>
        </w:rPr>
        <w:t>Ne</w:t>
      </w:r>
      <w:r w:rsidRPr="00C30EEF">
        <w:rPr>
          <w:rFonts w:eastAsia="Arial"/>
          <w:bCs/>
          <w:iCs/>
          <w:color w:val="000000" w:themeColor="text1"/>
        </w:rPr>
        <w:t>būtų, gydymas nereikalautų pokyčių organizaciniame gydymo įgyvendinimo lygmenyje.</w:t>
      </w:r>
    </w:p>
    <w:p w14:paraId="65D337DA" w14:textId="77777777" w:rsidR="00D95978" w:rsidRPr="00C30EEF" w:rsidRDefault="00D95978" w:rsidP="00D95978">
      <w:pPr>
        <w:tabs>
          <w:tab w:val="left" w:pos="426"/>
        </w:tabs>
        <w:spacing w:line="276" w:lineRule="auto"/>
        <w:jc w:val="both"/>
        <w:rPr>
          <w:rFonts w:eastAsia="Arial"/>
          <w:bCs/>
          <w:iCs/>
          <w:color w:val="000000" w:themeColor="text1"/>
        </w:rPr>
      </w:pPr>
    </w:p>
    <w:p w14:paraId="7312983C" w14:textId="77777777" w:rsidR="00D95978" w:rsidRPr="00C53F21" w:rsidRDefault="00D95978" w:rsidP="00D95978">
      <w:pPr>
        <w:tabs>
          <w:tab w:val="left" w:pos="426"/>
        </w:tabs>
        <w:spacing w:line="276" w:lineRule="auto"/>
        <w:jc w:val="both"/>
        <w:rPr>
          <w:rFonts w:eastAsia="Arial"/>
          <w:bCs/>
          <w:iCs/>
          <w:color w:val="000000" w:themeColor="text1"/>
        </w:rPr>
      </w:pPr>
      <w:r w:rsidRPr="00C30EEF">
        <w:rPr>
          <w:rFonts w:eastAsia="Arial"/>
          <w:bCs/>
          <w:iCs/>
          <w:color w:val="000000" w:themeColor="text1"/>
        </w:rPr>
        <w:tab/>
      </w:r>
      <w:r>
        <w:rPr>
          <w:rFonts w:eastAsia="Arial"/>
          <w:bCs/>
          <w:iCs/>
          <w:color w:val="000000" w:themeColor="text1"/>
        </w:rPr>
        <w:t xml:space="preserve">Apibendrinant, </w:t>
      </w:r>
      <w:proofErr w:type="spellStart"/>
      <w:r>
        <w:rPr>
          <w:rFonts w:eastAsia="Arial"/>
          <w:bCs/>
          <w:iCs/>
          <w:color w:val="000000" w:themeColor="text1"/>
        </w:rPr>
        <w:t>upadacitinibo</w:t>
      </w:r>
      <w:proofErr w:type="spellEnd"/>
      <w:r w:rsidRPr="00C30EEF">
        <w:rPr>
          <w:rFonts w:eastAsia="Arial"/>
          <w:bCs/>
          <w:iCs/>
          <w:color w:val="000000" w:themeColor="text1"/>
        </w:rPr>
        <w:t xml:space="preserve"> klinikinis veiksmingumas registruotos terapinės</w:t>
      </w:r>
      <w:r>
        <w:rPr>
          <w:rFonts w:eastAsia="Arial"/>
          <w:bCs/>
          <w:iCs/>
          <w:color w:val="000000" w:themeColor="text1"/>
        </w:rPr>
        <w:t xml:space="preserve"> </w:t>
      </w:r>
      <w:r w:rsidRPr="00C30EEF">
        <w:rPr>
          <w:rFonts w:eastAsia="Arial"/>
          <w:bCs/>
          <w:iCs/>
          <w:color w:val="000000" w:themeColor="text1"/>
        </w:rPr>
        <w:t xml:space="preserve">indikacijos atžvilgiu Tarnybai abejonių nekelia. Kadangi </w:t>
      </w:r>
      <w:proofErr w:type="spellStart"/>
      <w:r>
        <w:rPr>
          <w:rFonts w:eastAsia="Arial"/>
          <w:bCs/>
          <w:iCs/>
          <w:color w:val="000000" w:themeColor="text1"/>
        </w:rPr>
        <w:t>upadacitinibo</w:t>
      </w:r>
      <w:proofErr w:type="spellEnd"/>
      <w:r w:rsidRPr="00C30EEF">
        <w:rPr>
          <w:rFonts w:eastAsia="Arial"/>
          <w:bCs/>
          <w:iCs/>
          <w:color w:val="000000" w:themeColor="text1"/>
        </w:rPr>
        <w:t xml:space="preserve"> ir </w:t>
      </w:r>
      <w:proofErr w:type="spellStart"/>
      <w:r>
        <w:rPr>
          <w:rFonts w:eastAsia="Arial"/>
          <w:bCs/>
          <w:iCs/>
          <w:color w:val="000000" w:themeColor="text1"/>
        </w:rPr>
        <w:t>ustekinumabo</w:t>
      </w:r>
      <w:proofErr w:type="spellEnd"/>
      <w:r w:rsidRPr="00C30EEF">
        <w:rPr>
          <w:rFonts w:eastAsia="Arial"/>
          <w:bCs/>
          <w:iCs/>
          <w:color w:val="000000" w:themeColor="text1"/>
        </w:rPr>
        <w:t xml:space="preserve"> klinikinis veiksmingumas ir saugumas pagrįstas netiesioginio palyginimo duomenimis, o tiesioginio palyginimo su </w:t>
      </w:r>
      <w:proofErr w:type="spellStart"/>
      <w:r>
        <w:rPr>
          <w:rFonts w:eastAsia="Arial"/>
          <w:bCs/>
          <w:iCs/>
          <w:color w:val="000000" w:themeColor="text1"/>
        </w:rPr>
        <w:t>ustekinumabu</w:t>
      </w:r>
      <w:proofErr w:type="spellEnd"/>
      <w:r w:rsidRPr="00C30EEF">
        <w:rPr>
          <w:rFonts w:eastAsia="Arial"/>
          <w:bCs/>
          <w:iCs/>
          <w:color w:val="000000" w:themeColor="text1"/>
        </w:rPr>
        <w:t xml:space="preserve"> duomenų nepateikta, klinikinio vertinimo išvada apibrėžta kaip “nesiskiriančios naudos pacientų sveikatos sukūrimą, lyginant su įprastą klinikine praktika“.</w:t>
      </w:r>
    </w:p>
    <w:p w14:paraId="25F89291" w14:textId="5C45C8FC" w:rsidR="00D4485B" w:rsidRPr="00E33EFF" w:rsidRDefault="00D4485B" w:rsidP="00A93AA6">
      <w:pPr>
        <w:pStyle w:val="Sraopastraipa"/>
        <w:tabs>
          <w:tab w:val="left" w:pos="426"/>
        </w:tabs>
        <w:ind w:left="0"/>
        <w:rPr>
          <w:b/>
          <w:bCs/>
          <w:caps/>
        </w:rPr>
      </w:pPr>
    </w:p>
    <w:p w14:paraId="7DE09EB5" w14:textId="69E9DD74" w:rsidR="00E03C3F" w:rsidRPr="00E33EFF" w:rsidRDefault="00CC7832" w:rsidP="00CC09D4">
      <w:pPr>
        <w:pStyle w:val="Sraopastraipa"/>
        <w:numPr>
          <w:ilvl w:val="0"/>
          <w:numId w:val="12"/>
        </w:numPr>
        <w:tabs>
          <w:tab w:val="left" w:pos="567"/>
        </w:tabs>
        <w:ind w:hanging="720"/>
        <w:rPr>
          <w:b/>
          <w:bCs/>
          <w:caps/>
        </w:rPr>
      </w:pPr>
      <w:r w:rsidRPr="00E33EFF">
        <w:rPr>
          <w:b/>
          <w:bCs/>
          <w:caps/>
        </w:rPr>
        <w:t xml:space="preserve">ekonominio vertinimo </w:t>
      </w:r>
      <w:r w:rsidR="002F0E4F" w:rsidRPr="00E33EFF">
        <w:rPr>
          <w:b/>
          <w:bCs/>
          <w:caps/>
        </w:rPr>
        <w:t>apibendrinimas</w:t>
      </w:r>
    </w:p>
    <w:p w14:paraId="1A900598" w14:textId="4826E5DF" w:rsidR="00C62B36" w:rsidRPr="00E33EFF" w:rsidRDefault="00C62B36" w:rsidP="00A93AA6">
      <w:pPr>
        <w:tabs>
          <w:tab w:val="left" w:pos="426"/>
        </w:tabs>
        <w:rPr>
          <w:b/>
          <w:bCs/>
          <w:caps/>
        </w:rPr>
      </w:pPr>
    </w:p>
    <w:p w14:paraId="174D84D7" w14:textId="2A98EE7C" w:rsidR="0035172D" w:rsidRPr="00E33EFF" w:rsidRDefault="0035172D" w:rsidP="00A93AA6">
      <w:pPr>
        <w:tabs>
          <w:tab w:val="left" w:pos="426"/>
        </w:tabs>
        <w:rPr>
          <w:b/>
          <w:lang w:eastAsia="lt-LT"/>
        </w:rPr>
      </w:pPr>
      <w:r w:rsidRPr="00E33EFF">
        <w:rPr>
          <w:b/>
          <w:lang w:eastAsia="lt-LT"/>
        </w:rPr>
        <w:t>Ekonominės analizės rezultatas</w:t>
      </w:r>
    </w:p>
    <w:p w14:paraId="4801D227" w14:textId="77777777" w:rsidR="009E44AE" w:rsidRDefault="009E44AE" w:rsidP="00A93AA6">
      <w:pPr>
        <w:tabs>
          <w:tab w:val="left" w:pos="426"/>
        </w:tabs>
        <w:rPr>
          <w:b/>
          <w:lang w:eastAsia="lt-LT"/>
        </w:rPr>
      </w:pPr>
    </w:p>
    <w:p w14:paraId="52D14047" w14:textId="2ED034FC" w:rsidR="009A6E6B" w:rsidRPr="00B7408C" w:rsidRDefault="009A6E6B" w:rsidP="009A6E6B">
      <w:pPr>
        <w:tabs>
          <w:tab w:val="left" w:pos="567"/>
        </w:tabs>
        <w:jc w:val="both"/>
        <w:rPr>
          <w:bCs/>
          <w:lang w:eastAsia="lt-LT"/>
        </w:rPr>
      </w:pPr>
      <w:r>
        <w:rPr>
          <w:bCs/>
          <w:color w:val="000000"/>
          <w:lang w:eastAsia="lt-LT"/>
        </w:rPr>
        <w:tab/>
        <w:t xml:space="preserve">Pateikiamas Tarnybos atliktas ekonominės analizės rezultato perskaičiavimas remiantis VLK prielaida, </w:t>
      </w:r>
      <w:r w:rsidRPr="00495C58">
        <w:rPr>
          <w:bCs/>
          <w:color w:val="000000"/>
          <w:lang w:eastAsia="lt-LT"/>
        </w:rPr>
        <w:t xml:space="preserve">kad </w:t>
      </w:r>
      <w:r w:rsidRPr="00495C58">
        <w:rPr>
          <w:bCs/>
        </w:rPr>
        <w:t xml:space="preserve">36 proc. pacientų </w:t>
      </w:r>
      <w:proofErr w:type="spellStart"/>
      <w:r w:rsidRPr="00495C58">
        <w:rPr>
          <w:bCs/>
        </w:rPr>
        <w:t>Stelara</w:t>
      </w:r>
      <w:proofErr w:type="spellEnd"/>
      <w:r w:rsidRPr="00495C58">
        <w:rPr>
          <w:bCs/>
        </w:rPr>
        <w:t xml:space="preserve">  (</w:t>
      </w:r>
      <w:proofErr w:type="spellStart"/>
      <w:r w:rsidRPr="00495C58">
        <w:rPr>
          <w:bCs/>
        </w:rPr>
        <w:t>ustekinumabas</w:t>
      </w:r>
      <w:proofErr w:type="spellEnd"/>
      <w:r w:rsidRPr="00495C58">
        <w:rPr>
          <w:bCs/>
        </w:rPr>
        <w:t>) būtų skiriamas kas 12 sav., 64 proc. pacientų – kas 8 sav.</w:t>
      </w:r>
      <w:r>
        <w:rPr>
          <w:bCs/>
        </w:rPr>
        <w:t xml:space="preserve"> Pareiškėjas rezultatų skaičiavime taikė prielaidą, kad </w:t>
      </w:r>
      <w:r w:rsidRPr="00B7408C">
        <w:rPr>
          <w:bCs/>
          <w:iCs/>
        </w:rPr>
        <w:t xml:space="preserve">10 proc. </w:t>
      </w:r>
      <w:r w:rsidRPr="00F151F7">
        <w:rPr>
          <w:iCs/>
        </w:rPr>
        <w:t>pac</w:t>
      </w:r>
      <w:r>
        <w:rPr>
          <w:iCs/>
        </w:rPr>
        <w:t xml:space="preserve">ientų palaikomąją </w:t>
      </w:r>
      <w:proofErr w:type="spellStart"/>
      <w:r>
        <w:rPr>
          <w:iCs/>
        </w:rPr>
        <w:t>s</w:t>
      </w:r>
      <w:r w:rsidRPr="006A54BF">
        <w:rPr>
          <w:iCs/>
        </w:rPr>
        <w:t>telara</w:t>
      </w:r>
      <w:proofErr w:type="spellEnd"/>
      <w:r>
        <w:rPr>
          <w:iCs/>
        </w:rPr>
        <w:t xml:space="preserve"> (</w:t>
      </w:r>
      <w:proofErr w:type="spellStart"/>
      <w:r>
        <w:rPr>
          <w:iCs/>
        </w:rPr>
        <w:t>ustekinumabo</w:t>
      </w:r>
      <w:proofErr w:type="spellEnd"/>
      <w:r>
        <w:rPr>
          <w:iCs/>
        </w:rPr>
        <w:t>)</w:t>
      </w:r>
      <w:r w:rsidRPr="006A54BF">
        <w:rPr>
          <w:iCs/>
        </w:rPr>
        <w:t xml:space="preserve"> dozę vartoja kas </w:t>
      </w:r>
      <w:r w:rsidRPr="00B7408C">
        <w:rPr>
          <w:bCs/>
          <w:iCs/>
        </w:rPr>
        <w:t>12 savaičių, 90 proc.</w:t>
      </w:r>
      <w:r w:rsidRPr="006A54BF">
        <w:rPr>
          <w:iCs/>
        </w:rPr>
        <w:t xml:space="preserve"> </w:t>
      </w:r>
      <w:proofErr w:type="spellStart"/>
      <w:r>
        <w:rPr>
          <w:iCs/>
        </w:rPr>
        <w:t>stelara</w:t>
      </w:r>
      <w:proofErr w:type="spellEnd"/>
      <w:r>
        <w:rPr>
          <w:iCs/>
        </w:rPr>
        <w:t xml:space="preserve"> (</w:t>
      </w:r>
      <w:proofErr w:type="spellStart"/>
      <w:r>
        <w:rPr>
          <w:iCs/>
        </w:rPr>
        <w:t>ustekinumabo</w:t>
      </w:r>
      <w:proofErr w:type="spellEnd"/>
      <w:r>
        <w:rPr>
          <w:iCs/>
        </w:rPr>
        <w:t xml:space="preserve">) </w:t>
      </w:r>
      <w:r w:rsidRPr="006A54BF">
        <w:rPr>
          <w:iCs/>
        </w:rPr>
        <w:t xml:space="preserve">dozę gauna kas </w:t>
      </w:r>
      <w:r w:rsidRPr="00B7408C">
        <w:rPr>
          <w:bCs/>
          <w:iCs/>
        </w:rPr>
        <w:t>8 savaites</w:t>
      </w:r>
      <w:r>
        <w:rPr>
          <w:bCs/>
          <w:iCs/>
        </w:rPr>
        <w:t xml:space="preserve">. Net Tarnybai taikant konservatyvesnę prielaidą gautas palankus analizės rezultatas –  gydymas </w:t>
      </w:r>
      <w:proofErr w:type="spellStart"/>
      <w:r>
        <w:rPr>
          <w:bCs/>
          <w:iCs/>
        </w:rPr>
        <w:t>upadacitinibu</w:t>
      </w:r>
      <w:proofErr w:type="spellEnd"/>
      <w:r>
        <w:rPr>
          <w:bCs/>
          <w:iCs/>
        </w:rPr>
        <w:t xml:space="preserve"> yra pigesnis.</w:t>
      </w:r>
    </w:p>
    <w:p w14:paraId="01A93134" w14:textId="77777777" w:rsidR="009A6E6B" w:rsidRDefault="009A6E6B" w:rsidP="009A6E6B">
      <w:pPr>
        <w:tabs>
          <w:tab w:val="left" w:pos="567"/>
        </w:tabs>
        <w:jc w:val="both"/>
      </w:pPr>
      <w:r>
        <w:tab/>
      </w:r>
    </w:p>
    <w:p w14:paraId="52FC97DE" w14:textId="1D341F0E" w:rsidR="009A6E6B" w:rsidRPr="004B3A1F" w:rsidRDefault="009A6E6B" w:rsidP="009A6E6B">
      <w:pPr>
        <w:tabs>
          <w:tab w:val="left" w:pos="567"/>
        </w:tabs>
        <w:jc w:val="both"/>
        <w:rPr>
          <w:i/>
          <w:iCs/>
          <w:color w:val="000000" w:themeColor="text1"/>
          <w:lang w:eastAsia="lt-LT"/>
        </w:rPr>
      </w:pPr>
      <w:r>
        <w:rPr>
          <w:i/>
          <w:iCs/>
          <w:color w:val="000000" w:themeColor="text1"/>
          <w:lang w:eastAsia="lt-LT"/>
        </w:rPr>
        <w:tab/>
      </w:r>
      <w:r w:rsidRPr="004B3A1F">
        <w:rPr>
          <w:iCs/>
          <w:color w:val="000000" w:themeColor="text1"/>
          <w:lang w:eastAsia="lt-LT"/>
        </w:rPr>
        <w:t xml:space="preserve">Atlikus kaštų </w:t>
      </w:r>
      <w:r>
        <w:rPr>
          <w:iCs/>
          <w:color w:val="000000" w:themeColor="text1"/>
          <w:lang w:eastAsia="lt-LT"/>
        </w:rPr>
        <w:t xml:space="preserve">mažinimo </w:t>
      </w:r>
      <w:r w:rsidRPr="004B3A1F">
        <w:rPr>
          <w:iCs/>
          <w:color w:val="000000" w:themeColor="text1"/>
          <w:lang w:eastAsia="lt-LT"/>
        </w:rPr>
        <w:t xml:space="preserve">analizę, bendrųjų kaštų skirtumas yra – </w:t>
      </w:r>
      <w:r w:rsidR="0009221A">
        <w:rPr>
          <w:iCs/>
          <w:color w:val="000000" w:themeColor="text1"/>
          <w:lang w:eastAsia="lt-LT"/>
        </w:rPr>
        <w:t xml:space="preserve">*** </w:t>
      </w:r>
      <w:proofErr w:type="spellStart"/>
      <w:r w:rsidRPr="004B3A1F">
        <w:rPr>
          <w:iCs/>
          <w:color w:val="000000" w:themeColor="text1"/>
          <w:lang w:eastAsia="lt-LT"/>
        </w:rPr>
        <w:t>eur</w:t>
      </w:r>
      <w:proofErr w:type="spellEnd"/>
      <w:r w:rsidRPr="004B3A1F">
        <w:rPr>
          <w:iCs/>
          <w:color w:val="000000" w:themeColor="text1"/>
          <w:lang w:eastAsia="lt-LT"/>
        </w:rPr>
        <w:t xml:space="preserve"> arba </w:t>
      </w:r>
      <w:r w:rsidR="0009221A">
        <w:rPr>
          <w:iCs/>
          <w:color w:val="000000" w:themeColor="text1"/>
          <w:lang w:eastAsia="lt-LT"/>
        </w:rPr>
        <w:t>***</w:t>
      </w:r>
      <w:r w:rsidRPr="004C7AFC">
        <w:rPr>
          <w:iCs/>
          <w:color w:val="000000" w:themeColor="text1"/>
          <w:lang w:eastAsia="lt-LT"/>
        </w:rPr>
        <w:t xml:space="preserve"> proc. </w:t>
      </w:r>
      <w:proofErr w:type="spellStart"/>
      <w:r w:rsidRPr="004B3A1F">
        <w:rPr>
          <w:iCs/>
          <w:color w:val="000000" w:themeColor="text1"/>
          <w:lang w:val="en-US" w:eastAsia="lt-LT"/>
        </w:rPr>
        <w:t>Gydymas</w:t>
      </w:r>
      <w:proofErr w:type="spellEnd"/>
      <w:r w:rsidRPr="004B3A1F">
        <w:rPr>
          <w:iCs/>
          <w:color w:val="000000" w:themeColor="text1"/>
          <w:lang w:val="en-US" w:eastAsia="lt-LT"/>
        </w:rPr>
        <w:t xml:space="preserve"> </w:t>
      </w:r>
      <w:proofErr w:type="spellStart"/>
      <w:r w:rsidRPr="004B3A1F">
        <w:rPr>
          <w:iCs/>
          <w:color w:val="000000" w:themeColor="text1"/>
          <w:lang w:val="en-US" w:eastAsia="lt-LT"/>
        </w:rPr>
        <w:t>Rinvoq</w:t>
      </w:r>
      <w:proofErr w:type="spellEnd"/>
      <w:r w:rsidRPr="004B3A1F">
        <w:rPr>
          <w:iCs/>
          <w:color w:val="000000" w:themeColor="text1"/>
          <w:lang w:val="en-US" w:eastAsia="lt-LT"/>
        </w:rPr>
        <w:t xml:space="preserve"> (</w:t>
      </w:r>
      <w:proofErr w:type="spellStart"/>
      <w:r w:rsidRPr="004B3A1F">
        <w:rPr>
          <w:iCs/>
          <w:color w:val="000000" w:themeColor="text1"/>
          <w:lang w:val="en-US" w:eastAsia="lt-LT"/>
        </w:rPr>
        <w:t>upadacitinibu</w:t>
      </w:r>
      <w:proofErr w:type="spellEnd"/>
      <w:r w:rsidRPr="004B3A1F">
        <w:rPr>
          <w:iCs/>
          <w:color w:val="000000" w:themeColor="text1"/>
          <w:lang w:val="en-US" w:eastAsia="lt-LT"/>
        </w:rPr>
        <w:t xml:space="preserve">) </w:t>
      </w:r>
      <w:proofErr w:type="spellStart"/>
      <w:r w:rsidRPr="004B3A1F">
        <w:rPr>
          <w:iCs/>
          <w:color w:val="000000" w:themeColor="text1"/>
          <w:lang w:val="en-US" w:eastAsia="lt-LT"/>
        </w:rPr>
        <w:t>yra</w:t>
      </w:r>
      <w:proofErr w:type="spellEnd"/>
      <w:r w:rsidRPr="004B3A1F">
        <w:rPr>
          <w:iCs/>
          <w:color w:val="000000" w:themeColor="text1"/>
          <w:lang w:val="en-US" w:eastAsia="lt-LT"/>
        </w:rPr>
        <w:t xml:space="preserve"> </w:t>
      </w:r>
      <w:proofErr w:type="spellStart"/>
      <w:r w:rsidRPr="004B3A1F">
        <w:rPr>
          <w:iCs/>
          <w:color w:val="000000" w:themeColor="text1"/>
          <w:lang w:val="en-US" w:eastAsia="lt-LT"/>
        </w:rPr>
        <w:t>pigesnis</w:t>
      </w:r>
      <w:proofErr w:type="spellEnd"/>
      <w:r w:rsidRPr="004B3A1F">
        <w:rPr>
          <w:iCs/>
          <w:color w:val="000000" w:themeColor="text1"/>
          <w:lang w:val="en-US" w:eastAsia="lt-LT"/>
        </w:rPr>
        <w:t>.</w:t>
      </w:r>
    </w:p>
    <w:p w14:paraId="03E96001" w14:textId="77777777" w:rsidR="009A6E6B" w:rsidRPr="00E33EFF" w:rsidRDefault="009A6E6B" w:rsidP="00A93AA6">
      <w:pPr>
        <w:tabs>
          <w:tab w:val="left" w:pos="426"/>
        </w:tabs>
        <w:rPr>
          <w:b/>
          <w:lang w:eastAsia="lt-LT"/>
        </w:rPr>
      </w:pPr>
    </w:p>
    <w:tbl>
      <w:tblPr>
        <w:tblStyle w:val="Lentelstinklelis"/>
        <w:tblW w:w="9908"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677"/>
        <w:gridCol w:w="1696"/>
        <w:gridCol w:w="2012"/>
        <w:gridCol w:w="3523"/>
      </w:tblGrid>
      <w:tr w:rsidR="00255630" w:rsidRPr="00D05364" w14:paraId="2B9E84A5" w14:textId="77777777" w:rsidTr="00E40C3D">
        <w:trPr>
          <w:trHeight w:val="364"/>
          <w:jc w:val="center"/>
        </w:trPr>
        <w:tc>
          <w:tcPr>
            <w:tcW w:w="9908" w:type="dxa"/>
            <w:gridSpan w:val="4"/>
            <w:tcBorders>
              <w:top w:val="single" w:sz="12" w:space="0" w:color="auto"/>
              <w:bottom w:val="single" w:sz="4" w:space="0" w:color="auto"/>
            </w:tcBorders>
            <w:vAlign w:val="center"/>
          </w:tcPr>
          <w:p w14:paraId="6E7F7AFF" w14:textId="77777777" w:rsidR="00255630" w:rsidRPr="00D05364" w:rsidRDefault="00255630" w:rsidP="00E40C3D">
            <w:pPr>
              <w:tabs>
                <w:tab w:val="left" w:pos="567"/>
              </w:tabs>
              <w:jc w:val="center"/>
              <w:rPr>
                <w:b/>
                <w:i/>
                <w:iCs/>
                <w:color w:val="00B050"/>
                <w:sz w:val="22"/>
                <w:szCs w:val="22"/>
                <w:lang w:eastAsia="lt-LT"/>
              </w:rPr>
            </w:pPr>
            <w:r w:rsidRPr="00D05364">
              <w:rPr>
                <w:b/>
                <w:lang w:eastAsia="lt-LT"/>
              </w:rPr>
              <w:t>Kaštai</w:t>
            </w:r>
          </w:p>
        </w:tc>
      </w:tr>
      <w:tr w:rsidR="00255630" w:rsidRPr="00D05364" w14:paraId="518F9070" w14:textId="77777777" w:rsidTr="00255630">
        <w:trPr>
          <w:jc w:val="center"/>
        </w:trPr>
        <w:tc>
          <w:tcPr>
            <w:tcW w:w="2677" w:type="dxa"/>
            <w:tcBorders>
              <w:top w:val="single" w:sz="4" w:space="0" w:color="auto"/>
              <w:bottom w:val="single" w:sz="4" w:space="0" w:color="auto"/>
            </w:tcBorders>
          </w:tcPr>
          <w:p w14:paraId="7B537917" w14:textId="77777777" w:rsidR="00255630" w:rsidRPr="00D05364" w:rsidRDefault="00255630" w:rsidP="00E40C3D">
            <w:pPr>
              <w:tabs>
                <w:tab w:val="left" w:pos="567"/>
              </w:tabs>
              <w:jc w:val="both"/>
              <w:rPr>
                <w:color w:val="00B050"/>
                <w:lang w:eastAsia="lt-LT"/>
              </w:rPr>
            </w:pPr>
          </w:p>
        </w:tc>
        <w:tc>
          <w:tcPr>
            <w:tcW w:w="1696" w:type="dxa"/>
            <w:tcBorders>
              <w:top w:val="single" w:sz="4" w:space="0" w:color="auto"/>
              <w:bottom w:val="single" w:sz="4" w:space="0" w:color="auto"/>
            </w:tcBorders>
          </w:tcPr>
          <w:p w14:paraId="4C596EAD" w14:textId="77777777" w:rsidR="00255630" w:rsidRPr="00D05364" w:rsidRDefault="00255630" w:rsidP="00E40C3D">
            <w:pPr>
              <w:tabs>
                <w:tab w:val="left" w:pos="567"/>
              </w:tabs>
              <w:jc w:val="both"/>
              <w:rPr>
                <w:i/>
                <w:iCs/>
                <w:lang w:eastAsia="lt-LT"/>
              </w:rPr>
            </w:pPr>
            <w:proofErr w:type="spellStart"/>
            <w:r>
              <w:rPr>
                <w:i/>
                <w:iCs/>
                <w:lang w:eastAsia="lt-LT"/>
              </w:rPr>
              <w:t>Upadacitinibas</w:t>
            </w:r>
            <w:proofErr w:type="spellEnd"/>
          </w:p>
        </w:tc>
        <w:tc>
          <w:tcPr>
            <w:tcW w:w="2012" w:type="dxa"/>
            <w:tcBorders>
              <w:top w:val="single" w:sz="4" w:space="0" w:color="auto"/>
              <w:bottom w:val="single" w:sz="4" w:space="0" w:color="auto"/>
            </w:tcBorders>
          </w:tcPr>
          <w:p w14:paraId="1DF7BE7D" w14:textId="77777777" w:rsidR="00255630" w:rsidRPr="00F151F7" w:rsidRDefault="00255630" w:rsidP="00E40C3D">
            <w:pPr>
              <w:tabs>
                <w:tab w:val="left" w:pos="567"/>
              </w:tabs>
              <w:jc w:val="both"/>
              <w:rPr>
                <w:i/>
                <w:iCs/>
                <w:lang w:eastAsia="lt-LT"/>
              </w:rPr>
            </w:pPr>
            <w:proofErr w:type="spellStart"/>
            <w:r w:rsidRPr="00F151F7">
              <w:rPr>
                <w:i/>
                <w:iCs/>
                <w:lang w:eastAsia="lt-LT"/>
              </w:rPr>
              <w:t>Ustekinumabas</w:t>
            </w:r>
            <w:proofErr w:type="spellEnd"/>
          </w:p>
        </w:tc>
        <w:tc>
          <w:tcPr>
            <w:tcW w:w="3523" w:type="dxa"/>
            <w:tcBorders>
              <w:top w:val="single" w:sz="4" w:space="0" w:color="auto"/>
              <w:bottom w:val="single" w:sz="4" w:space="0" w:color="auto"/>
            </w:tcBorders>
          </w:tcPr>
          <w:p w14:paraId="44537A81" w14:textId="77777777" w:rsidR="00255630" w:rsidRPr="00D05364" w:rsidRDefault="00255630" w:rsidP="00E40C3D">
            <w:pPr>
              <w:tabs>
                <w:tab w:val="left" w:pos="567"/>
              </w:tabs>
              <w:jc w:val="both"/>
              <w:rPr>
                <w:i/>
                <w:lang w:eastAsia="lt-LT"/>
              </w:rPr>
            </w:pPr>
            <w:r w:rsidRPr="00D05364">
              <w:rPr>
                <w:i/>
                <w:lang w:eastAsia="lt-LT"/>
              </w:rPr>
              <w:t>Skirtumas</w:t>
            </w:r>
          </w:p>
        </w:tc>
      </w:tr>
      <w:tr w:rsidR="00255630" w:rsidRPr="00D05364" w14:paraId="53F52DFF" w14:textId="77777777" w:rsidTr="00255630">
        <w:trPr>
          <w:jc w:val="center"/>
        </w:trPr>
        <w:tc>
          <w:tcPr>
            <w:tcW w:w="2677" w:type="dxa"/>
            <w:tcBorders>
              <w:top w:val="single" w:sz="4" w:space="0" w:color="auto"/>
              <w:bottom w:val="single" w:sz="4" w:space="0" w:color="auto"/>
            </w:tcBorders>
          </w:tcPr>
          <w:p w14:paraId="0BA4EFE8" w14:textId="77777777" w:rsidR="00255630" w:rsidRPr="00D05364" w:rsidRDefault="00255630" w:rsidP="00E40C3D">
            <w:pPr>
              <w:tabs>
                <w:tab w:val="left" w:pos="567"/>
              </w:tabs>
              <w:rPr>
                <w:iCs/>
                <w:color w:val="000000"/>
                <w:lang w:eastAsia="lt-LT"/>
              </w:rPr>
            </w:pPr>
            <w:r w:rsidRPr="00D05364">
              <w:rPr>
                <w:iCs/>
                <w:color w:val="000000"/>
                <w:lang w:eastAsia="lt-LT"/>
              </w:rPr>
              <w:t>Vaistinių preparatų įsigijimo kaštai</w:t>
            </w:r>
          </w:p>
        </w:tc>
        <w:tc>
          <w:tcPr>
            <w:tcW w:w="1696" w:type="dxa"/>
            <w:tcBorders>
              <w:top w:val="single" w:sz="4" w:space="0" w:color="auto"/>
              <w:bottom w:val="single" w:sz="4" w:space="0" w:color="auto"/>
            </w:tcBorders>
          </w:tcPr>
          <w:p w14:paraId="51945B3E" w14:textId="312773E2" w:rsidR="00255630" w:rsidRPr="00D05364" w:rsidRDefault="0009221A" w:rsidP="00E40C3D">
            <w:pPr>
              <w:tabs>
                <w:tab w:val="left" w:pos="567"/>
              </w:tabs>
              <w:jc w:val="both"/>
              <w:rPr>
                <w:i/>
                <w:iCs/>
                <w:lang w:eastAsia="lt-LT"/>
              </w:rPr>
            </w:pPr>
            <w:r>
              <w:rPr>
                <w:i/>
                <w:iCs/>
                <w:lang w:eastAsia="lt-LT"/>
              </w:rPr>
              <w:t>***</w:t>
            </w:r>
            <w:r w:rsidR="00255630">
              <w:rPr>
                <w:i/>
                <w:iCs/>
                <w:lang w:eastAsia="lt-LT"/>
              </w:rPr>
              <w:t xml:space="preserve"> </w:t>
            </w:r>
            <w:proofErr w:type="spellStart"/>
            <w:r w:rsidR="00255630">
              <w:rPr>
                <w:i/>
                <w:iCs/>
                <w:lang w:eastAsia="lt-LT"/>
              </w:rPr>
              <w:t>eur</w:t>
            </w:r>
            <w:proofErr w:type="spellEnd"/>
          </w:p>
        </w:tc>
        <w:tc>
          <w:tcPr>
            <w:tcW w:w="2012" w:type="dxa"/>
            <w:tcBorders>
              <w:top w:val="single" w:sz="4" w:space="0" w:color="auto"/>
              <w:bottom w:val="single" w:sz="4" w:space="0" w:color="auto"/>
            </w:tcBorders>
          </w:tcPr>
          <w:p w14:paraId="437D29B2" w14:textId="32C6C259" w:rsidR="00255630" w:rsidRPr="00D05364" w:rsidRDefault="0009221A" w:rsidP="00E40C3D">
            <w:pPr>
              <w:tabs>
                <w:tab w:val="left" w:pos="567"/>
              </w:tabs>
              <w:jc w:val="both"/>
              <w:rPr>
                <w:i/>
                <w:iCs/>
                <w:lang w:eastAsia="lt-LT"/>
              </w:rPr>
            </w:pPr>
            <w:r>
              <w:rPr>
                <w:i/>
                <w:iCs/>
                <w:lang w:eastAsia="lt-LT"/>
              </w:rPr>
              <w:t>***</w:t>
            </w:r>
            <w:r w:rsidR="00255630">
              <w:rPr>
                <w:i/>
                <w:iCs/>
                <w:lang w:eastAsia="lt-LT"/>
              </w:rPr>
              <w:t xml:space="preserve"> </w:t>
            </w:r>
            <w:proofErr w:type="spellStart"/>
            <w:r w:rsidR="00255630">
              <w:rPr>
                <w:i/>
                <w:iCs/>
                <w:lang w:eastAsia="lt-LT"/>
              </w:rPr>
              <w:t>eur</w:t>
            </w:r>
            <w:proofErr w:type="spellEnd"/>
          </w:p>
        </w:tc>
        <w:tc>
          <w:tcPr>
            <w:tcW w:w="3523" w:type="dxa"/>
            <w:tcBorders>
              <w:top w:val="single" w:sz="4" w:space="0" w:color="auto"/>
              <w:bottom w:val="single" w:sz="4" w:space="0" w:color="auto"/>
            </w:tcBorders>
          </w:tcPr>
          <w:p w14:paraId="33B57924" w14:textId="4F81DDAE" w:rsidR="00255630" w:rsidRPr="00D96C33" w:rsidRDefault="0009221A" w:rsidP="00E40C3D">
            <w:pPr>
              <w:tabs>
                <w:tab w:val="left" w:pos="567"/>
              </w:tabs>
              <w:jc w:val="both"/>
              <w:rPr>
                <w:lang w:eastAsia="lt-LT"/>
              </w:rPr>
            </w:pPr>
            <w:r>
              <w:rPr>
                <w:lang w:eastAsia="lt-LT"/>
              </w:rPr>
              <w:t>***</w:t>
            </w:r>
            <w:r w:rsidR="00255630" w:rsidRPr="00D96C33">
              <w:rPr>
                <w:i/>
                <w:iCs/>
                <w:lang w:eastAsia="lt-LT"/>
              </w:rPr>
              <w:t xml:space="preserve"> </w:t>
            </w:r>
            <w:proofErr w:type="spellStart"/>
            <w:r w:rsidR="00255630" w:rsidRPr="00D96C33">
              <w:rPr>
                <w:i/>
                <w:iCs/>
                <w:lang w:eastAsia="lt-LT"/>
              </w:rPr>
              <w:t>eur</w:t>
            </w:r>
            <w:proofErr w:type="spellEnd"/>
          </w:p>
        </w:tc>
      </w:tr>
      <w:tr w:rsidR="00255630" w:rsidRPr="00D05364" w14:paraId="2335C7BD" w14:textId="77777777" w:rsidTr="00255630">
        <w:trPr>
          <w:jc w:val="center"/>
        </w:trPr>
        <w:tc>
          <w:tcPr>
            <w:tcW w:w="2677" w:type="dxa"/>
            <w:tcBorders>
              <w:top w:val="single" w:sz="4" w:space="0" w:color="auto"/>
              <w:bottom w:val="single" w:sz="4" w:space="0" w:color="auto"/>
            </w:tcBorders>
          </w:tcPr>
          <w:p w14:paraId="7FF27A42" w14:textId="77777777" w:rsidR="00255630" w:rsidRPr="00D05364" w:rsidRDefault="00255630" w:rsidP="00E40C3D">
            <w:pPr>
              <w:tabs>
                <w:tab w:val="left" w:pos="567"/>
              </w:tabs>
              <w:jc w:val="both"/>
              <w:rPr>
                <w:iCs/>
                <w:color w:val="00B050"/>
                <w:lang w:eastAsia="lt-LT"/>
              </w:rPr>
            </w:pPr>
            <w:r w:rsidRPr="00D05364">
              <w:rPr>
                <w:iCs/>
                <w:color w:val="000000"/>
                <w:lang w:eastAsia="lt-LT"/>
              </w:rPr>
              <w:t>Nepageidaujamų reiškinių valdymo kaštai</w:t>
            </w:r>
          </w:p>
        </w:tc>
        <w:tc>
          <w:tcPr>
            <w:tcW w:w="1696" w:type="dxa"/>
            <w:tcBorders>
              <w:top w:val="single" w:sz="4" w:space="0" w:color="auto"/>
              <w:bottom w:val="single" w:sz="4" w:space="0" w:color="auto"/>
            </w:tcBorders>
          </w:tcPr>
          <w:p w14:paraId="14492207" w14:textId="1F4F5DFB" w:rsidR="00255630" w:rsidRPr="00CC5CF0" w:rsidRDefault="0009221A" w:rsidP="00E40C3D">
            <w:pPr>
              <w:tabs>
                <w:tab w:val="left" w:pos="567"/>
              </w:tabs>
              <w:jc w:val="both"/>
              <w:rPr>
                <w:i/>
                <w:iCs/>
                <w:lang w:val="en-US" w:eastAsia="lt-LT"/>
              </w:rPr>
            </w:pPr>
            <w:r>
              <w:rPr>
                <w:i/>
                <w:iCs/>
                <w:lang w:val="en-US" w:eastAsia="lt-LT"/>
              </w:rPr>
              <w:t>***</w:t>
            </w:r>
            <w:r w:rsidR="00255630">
              <w:rPr>
                <w:i/>
                <w:iCs/>
                <w:lang w:val="en-US" w:eastAsia="lt-LT"/>
              </w:rPr>
              <w:t xml:space="preserve"> </w:t>
            </w:r>
            <w:proofErr w:type="spellStart"/>
            <w:r w:rsidR="00255630">
              <w:rPr>
                <w:i/>
                <w:iCs/>
                <w:lang w:val="en-US" w:eastAsia="lt-LT"/>
              </w:rPr>
              <w:t>eur</w:t>
            </w:r>
            <w:proofErr w:type="spellEnd"/>
          </w:p>
        </w:tc>
        <w:tc>
          <w:tcPr>
            <w:tcW w:w="2012" w:type="dxa"/>
            <w:tcBorders>
              <w:top w:val="single" w:sz="4" w:space="0" w:color="auto"/>
              <w:bottom w:val="single" w:sz="4" w:space="0" w:color="auto"/>
            </w:tcBorders>
          </w:tcPr>
          <w:p w14:paraId="54AB1752" w14:textId="7838F275" w:rsidR="00255630" w:rsidRPr="00D05364" w:rsidRDefault="0009221A" w:rsidP="00E40C3D">
            <w:pPr>
              <w:tabs>
                <w:tab w:val="left" w:pos="567"/>
              </w:tabs>
              <w:jc w:val="both"/>
              <w:rPr>
                <w:i/>
                <w:iCs/>
                <w:lang w:eastAsia="lt-LT"/>
              </w:rPr>
            </w:pPr>
            <w:r>
              <w:rPr>
                <w:i/>
                <w:iCs/>
                <w:lang w:eastAsia="lt-LT"/>
              </w:rPr>
              <w:t>***</w:t>
            </w:r>
            <w:r w:rsidR="00255630">
              <w:rPr>
                <w:i/>
                <w:iCs/>
                <w:lang w:eastAsia="lt-LT"/>
              </w:rPr>
              <w:t xml:space="preserve"> </w:t>
            </w:r>
            <w:proofErr w:type="spellStart"/>
            <w:r w:rsidR="00255630">
              <w:rPr>
                <w:i/>
                <w:iCs/>
                <w:lang w:eastAsia="lt-LT"/>
              </w:rPr>
              <w:t>eur</w:t>
            </w:r>
            <w:proofErr w:type="spellEnd"/>
          </w:p>
        </w:tc>
        <w:tc>
          <w:tcPr>
            <w:tcW w:w="3523" w:type="dxa"/>
            <w:tcBorders>
              <w:top w:val="single" w:sz="4" w:space="0" w:color="auto"/>
              <w:bottom w:val="single" w:sz="4" w:space="0" w:color="auto"/>
            </w:tcBorders>
          </w:tcPr>
          <w:p w14:paraId="42AA8825" w14:textId="11A83B4A" w:rsidR="00255630" w:rsidRPr="00D05364" w:rsidRDefault="0009221A" w:rsidP="00E40C3D">
            <w:pPr>
              <w:tabs>
                <w:tab w:val="left" w:pos="567"/>
              </w:tabs>
              <w:jc w:val="both"/>
              <w:rPr>
                <w:i/>
                <w:iCs/>
                <w:lang w:eastAsia="lt-LT"/>
              </w:rPr>
            </w:pPr>
            <w:r>
              <w:rPr>
                <w:i/>
                <w:iCs/>
                <w:lang w:eastAsia="lt-LT"/>
              </w:rPr>
              <w:t>***</w:t>
            </w:r>
            <w:r w:rsidR="00255630">
              <w:rPr>
                <w:i/>
                <w:iCs/>
                <w:lang w:eastAsia="lt-LT"/>
              </w:rPr>
              <w:t xml:space="preserve"> </w:t>
            </w:r>
            <w:proofErr w:type="spellStart"/>
            <w:r w:rsidR="00255630">
              <w:rPr>
                <w:i/>
                <w:iCs/>
                <w:lang w:eastAsia="lt-LT"/>
              </w:rPr>
              <w:t>eur</w:t>
            </w:r>
            <w:proofErr w:type="spellEnd"/>
          </w:p>
        </w:tc>
      </w:tr>
      <w:tr w:rsidR="00255630" w:rsidRPr="00D05364" w14:paraId="5A4C8995" w14:textId="77777777" w:rsidTr="00255630">
        <w:trPr>
          <w:jc w:val="center"/>
        </w:trPr>
        <w:tc>
          <w:tcPr>
            <w:tcW w:w="2677" w:type="dxa"/>
            <w:tcBorders>
              <w:top w:val="single" w:sz="4" w:space="0" w:color="auto"/>
              <w:bottom w:val="single" w:sz="4" w:space="0" w:color="auto"/>
            </w:tcBorders>
          </w:tcPr>
          <w:p w14:paraId="613C5E66" w14:textId="77777777" w:rsidR="00255630" w:rsidRPr="00D05364" w:rsidRDefault="00255630" w:rsidP="00E40C3D">
            <w:pPr>
              <w:tabs>
                <w:tab w:val="left" w:pos="567"/>
              </w:tabs>
              <w:rPr>
                <w:iCs/>
                <w:color w:val="000000"/>
                <w:lang w:eastAsia="lt-LT"/>
              </w:rPr>
            </w:pPr>
            <w:r w:rsidRPr="00D05364">
              <w:rPr>
                <w:iCs/>
                <w:color w:val="000000"/>
                <w:lang w:eastAsia="lt-LT"/>
              </w:rPr>
              <w:t>Vaistų administravimo ir stebėsenos kaštai</w:t>
            </w:r>
          </w:p>
        </w:tc>
        <w:tc>
          <w:tcPr>
            <w:tcW w:w="1696" w:type="dxa"/>
            <w:tcBorders>
              <w:top w:val="single" w:sz="4" w:space="0" w:color="auto"/>
              <w:bottom w:val="single" w:sz="4" w:space="0" w:color="auto"/>
            </w:tcBorders>
          </w:tcPr>
          <w:p w14:paraId="63FE467E" w14:textId="2F6173B3" w:rsidR="00255630" w:rsidRPr="00D05364" w:rsidRDefault="0009221A" w:rsidP="00E40C3D">
            <w:pPr>
              <w:tabs>
                <w:tab w:val="left" w:pos="567"/>
              </w:tabs>
              <w:jc w:val="both"/>
              <w:rPr>
                <w:i/>
                <w:iCs/>
                <w:lang w:eastAsia="lt-LT"/>
              </w:rPr>
            </w:pPr>
            <w:r>
              <w:rPr>
                <w:i/>
                <w:iCs/>
                <w:lang w:eastAsia="lt-LT"/>
              </w:rPr>
              <w:t>***</w:t>
            </w:r>
            <w:r w:rsidR="00255630">
              <w:rPr>
                <w:i/>
                <w:iCs/>
                <w:lang w:eastAsia="lt-LT"/>
              </w:rPr>
              <w:t xml:space="preserve"> </w:t>
            </w:r>
            <w:proofErr w:type="spellStart"/>
            <w:r w:rsidR="00255630">
              <w:rPr>
                <w:i/>
                <w:iCs/>
                <w:lang w:eastAsia="lt-LT"/>
              </w:rPr>
              <w:t>eur</w:t>
            </w:r>
            <w:proofErr w:type="spellEnd"/>
          </w:p>
        </w:tc>
        <w:tc>
          <w:tcPr>
            <w:tcW w:w="2012" w:type="dxa"/>
            <w:tcBorders>
              <w:top w:val="single" w:sz="4" w:space="0" w:color="auto"/>
              <w:bottom w:val="single" w:sz="4" w:space="0" w:color="auto"/>
            </w:tcBorders>
          </w:tcPr>
          <w:p w14:paraId="2CE34F01" w14:textId="2FECDCF2" w:rsidR="00255630" w:rsidRPr="00D05364" w:rsidRDefault="0009221A" w:rsidP="00E40C3D">
            <w:pPr>
              <w:tabs>
                <w:tab w:val="left" w:pos="567"/>
              </w:tabs>
              <w:jc w:val="both"/>
              <w:rPr>
                <w:i/>
                <w:iCs/>
                <w:lang w:eastAsia="lt-LT"/>
              </w:rPr>
            </w:pPr>
            <w:r>
              <w:rPr>
                <w:i/>
                <w:iCs/>
                <w:lang w:eastAsia="lt-LT"/>
              </w:rPr>
              <w:t>***</w:t>
            </w:r>
            <w:r w:rsidR="00255630">
              <w:rPr>
                <w:i/>
                <w:iCs/>
                <w:lang w:eastAsia="lt-LT"/>
              </w:rPr>
              <w:t xml:space="preserve"> </w:t>
            </w:r>
            <w:proofErr w:type="spellStart"/>
            <w:r w:rsidR="00255630">
              <w:rPr>
                <w:i/>
                <w:iCs/>
                <w:lang w:eastAsia="lt-LT"/>
              </w:rPr>
              <w:t>eur</w:t>
            </w:r>
            <w:proofErr w:type="spellEnd"/>
          </w:p>
        </w:tc>
        <w:tc>
          <w:tcPr>
            <w:tcW w:w="3523" w:type="dxa"/>
            <w:tcBorders>
              <w:top w:val="single" w:sz="4" w:space="0" w:color="auto"/>
              <w:bottom w:val="single" w:sz="4" w:space="0" w:color="auto"/>
            </w:tcBorders>
          </w:tcPr>
          <w:p w14:paraId="275A9D2D" w14:textId="01DAEA70" w:rsidR="00255630" w:rsidRPr="00D05364" w:rsidRDefault="00255630" w:rsidP="00E40C3D">
            <w:pPr>
              <w:tabs>
                <w:tab w:val="left" w:pos="567"/>
              </w:tabs>
              <w:jc w:val="both"/>
              <w:rPr>
                <w:i/>
                <w:iCs/>
                <w:lang w:eastAsia="lt-LT"/>
              </w:rPr>
            </w:pPr>
            <w:r>
              <w:rPr>
                <w:i/>
                <w:iCs/>
                <w:lang w:eastAsia="lt-LT"/>
              </w:rPr>
              <w:t xml:space="preserve"> </w:t>
            </w:r>
            <w:r w:rsidR="0009221A">
              <w:rPr>
                <w:i/>
                <w:iCs/>
                <w:lang w:eastAsia="lt-LT"/>
              </w:rPr>
              <w:t>***</w:t>
            </w:r>
            <w:r>
              <w:rPr>
                <w:i/>
                <w:iCs/>
                <w:lang w:eastAsia="lt-LT"/>
              </w:rPr>
              <w:t xml:space="preserve"> </w:t>
            </w:r>
            <w:proofErr w:type="spellStart"/>
            <w:r>
              <w:rPr>
                <w:i/>
                <w:iCs/>
                <w:lang w:eastAsia="lt-LT"/>
              </w:rPr>
              <w:t>eur</w:t>
            </w:r>
            <w:proofErr w:type="spellEnd"/>
          </w:p>
        </w:tc>
      </w:tr>
      <w:tr w:rsidR="00255630" w:rsidRPr="00D05364" w14:paraId="65781AEA" w14:textId="77777777" w:rsidTr="00255630">
        <w:trPr>
          <w:jc w:val="center"/>
        </w:trPr>
        <w:tc>
          <w:tcPr>
            <w:tcW w:w="2677" w:type="dxa"/>
            <w:tcBorders>
              <w:top w:val="single" w:sz="4" w:space="0" w:color="auto"/>
              <w:bottom w:val="single" w:sz="12" w:space="0" w:color="auto"/>
            </w:tcBorders>
          </w:tcPr>
          <w:p w14:paraId="454708D9" w14:textId="77777777" w:rsidR="00255630" w:rsidRPr="00D05364" w:rsidRDefault="00255630" w:rsidP="00E40C3D">
            <w:pPr>
              <w:tabs>
                <w:tab w:val="left" w:pos="567"/>
              </w:tabs>
              <w:jc w:val="right"/>
              <w:rPr>
                <w:iCs/>
                <w:lang w:eastAsia="lt-LT"/>
              </w:rPr>
            </w:pPr>
            <w:r>
              <w:rPr>
                <w:iCs/>
                <w:lang w:eastAsia="lt-LT"/>
              </w:rPr>
              <w:t>Viso:</w:t>
            </w:r>
          </w:p>
        </w:tc>
        <w:tc>
          <w:tcPr>
            <w:tcW w:w="1696" w:type="dxa"/>
            <w:tcBorders>
              <w:top w:val="single" w:sz="4" w:space="0" w:color="auto"/>
              <w:bottom w:val="single" w:sz="12" w:space="0" w:color="auto"/>
            </w:tcBorders>
          </w:tcPr>
          <w:p w14:paraId="512B4000" w14:textId="2726F43B" w:rsidR="00255630" w:rsidRPr="00D05364" w:rsidRDefault="0009221A" w:rsidP="00E40C3D">
            <w:pPr>
              <w:tabs>
                <w:tab w:val="left" w:pos="567"/>
              </w:tabs>
              <w:jc w:val="both"/>
              <w:rPr>
                <w:i/>
                <w:iCs/>
                <w:lang w:eastAsia="lt-LT"/>
              </w:rPr>
            </w:pPr>
            <w:r>
              <w:rPr>
                <w:i/>
                <w:iCs/>
                <w:lang w:eastAsia="lt-LT"/>
              </w:rPr>
              <w:t>***</w:t>
            </w:r>
            <w:r w:rsidR="00255630">
              <w:rPr>
                <w:i/>
                <w:iCs/>
                <w:lang w:eastAsia="lt-LT"/>
              </w:rPr>
              <w:t xml:space="preserve"> </w:t>
            </w:r>
            <w:proofErr w:type="spellStart"/>
            <w:r w:rsidR="00255630">
              <w:rPr>
                <w:i/>
                <w:iCs/>
                <w:lang w:eastAsia="lt-LT"/>
              </w:rPr>
              <w:t>eur</w:t>
            </w:r>
            <w:proofErr w:type="spellEnd"/>
          </w:p>
        </w:tc>
        <w:tc>
          <w:tcPr>
            <w:tcW w:w="2012" w:type="dxa"/>
            <w:tcBorders>
              <w:top w:val="single" w:sz="4" w:space="0" w:color="auto"/>
              <w:bottom w:val="single" w:sz="12" w:space="0" w:color="auto"/>
            </w:tcBorders>
          </w:tcPr>
          <w:p w14:paraId="034331AC" w14:textId="29C26BCB" w:rsidR="00255630" w:rsidRPr="00D05364" w:rsidRDefault="0009221A" w:rsidP="00E40C3D">
            <w:pPr>
              <w:tabs>
                <w:tab w:val="left" w:pos="567"/>
              </w:tabs>
              <w:jc w:val="both"/>
              <w:rPr>
                <w:i/>
                <w:iCs/>
                <w:lang w:eastAsia="lt-LT"/>
              </w:rPr>
            </w:pPr>
            <w:r>
              <w:rPr>
                <w:i/>
                <w:iCs/>
                <w:lang w:eastAsia="lt-LT"/>
              </w:rPr>
              <w:t>***</w:t>
            </w:r>
            <w:r w:rsidR="00255630">
              <w:rPr>
                <w:i/>
                <w:iCs/>
                <w:lang w:eastAsia="lt-LT"/>
              </w:rPr>
              <w:t xml:space="preserve"> </w:t>
            </w:r>
            <w:proofErr w:type="spellStart"/>
            <w:r w:rsidR="00255630">
              <w:rPr>
                <w:i/>
                <w:iCs/>
                <w:lang w:eastAsia="lt-LT"/>
              </w:rPr>
              <w:t>eur</w:t>
            </w:r>
            <w:proofErr w:type="spellEnd"/>
          </w:p>
        </w:tc>
        <w:tc>
          <w:tcPr>
            <w:tcW w:w="3523" w:type="dxa"/>
            <w:tcBorders>
              <w:top w:val="single" w:sz="4" w:space="0" w:color="auto"/>
              <w:bottom w:val="single" w:sz="12" w:space="0" w:color="auto"/>
            </w:tcBorders>
          </w:tcPr>
          <w:p w14:paraId="43D535A7" w14:textId="720F4624" w:rsidR="00255630" w:rsidRPr="00D05364" w:rsidRDefault="0009221A" w:rsidP="00E40C3D">
            <w:pPr>
              <w:tabs>
                <w:tab w:val="left" w:pos="567"/>
              </w:tabs>
              <w:jc w:val="both"/>
              <w:rPr>
                <w:i/>
                <w:iCs/>
                <w:lang w:eastAsia="lt-LT"/>
              </w:rPr>
            </w:pPr>
            <w:r>
              <w:rPr>
                <w:i/>
                <w:iCs/>
                <w:lang w:eastAsia="lt-LT"/>
              </w:rPr>
              <w:t>***</w:t>
            </w:r>
            <w:r w:rsidR="00255630">
              <w:rPr>
                <w:i/>
                <w:iCs/>
                <w:lang w:eastAsia="lt-LT"/>
              </w:rPr>
              <w:t xml:space="preserve"> </w:t>
            </w:r>
            <w:proofErr w:type="spellStart"/>
            <w:r w:rsidR="00255630">
              <w:rPr>
                <w:i/>
                <w:iCs/>
                <w:lang w:eastAsia="lt-LT"/>
              </w:rPr>
              <w:t>eur</w:t>
            </w:r>
            <w:proofErr w:type="spellEnd"/>
          </w:p>
        </w:tc>
      </w:tr>
      <w:tr w:rsidR="00255630" w:rsidRPr="00D05364" w14:paraId="571FE7DD" w14:textId="77777777" w:rsidTr="00E40C3D">
        <w:trPr>
          <w:trHeight w:val="347"/>
          <w:jc w:val="center"/>
        </w:trPr>
        <w:tc>
          <w:tcPr>
            <w:tcW w:w="9908" w:type="dxa"/>
            <w:gridSpan w:val="4"/>
            <w:tcBorders>
              <w:top w:val="single" w:sz="12" w:space="0" w:color="auto"/>
            </w:tcBorders>
            <w:vAlign w:val="center"/>
          </w:tcPr>
          <w:p w14:paraId="4BAD6C48" w14:textId="77777777" w:rsidR="00255630" w:rsidRPr="00D05364" w:rsidRDefault="00255630" w:rsidP="00E40C3D">
            <w:pPr>
              <w:tabs>
                <w:tab w:val="left" w:pos="567"/>
              </w:tabs>
              <w:jc w:val="center"/>
              <w:rPr>
                <w:b/>
                <w:bCs/>
                <w:sz w:val="26"/>
                <w:szCs w:val="26"/>
                <w:lang w:eastAsia="lt-LT"/>
              </w:rPr>
            </w:pPr>
            <w:r w:rsidRPr="00D05364">
              <w:rPr>
                <w:b/>
                <w:bCs/>
                <w:sz w:val="26"/>
                <w:szCs w:val="26"/>
                <w:lang w:eastAsia="lt-LT"/>
              </w:rPr>
              <w:t>Rezultatai</w:t>
            </w:r>
          </w:p>
        </w:tc>
      </w:tr>
      <w:tr w:rsidR="00255630" w:rsidRPr="00D05364" w14:paraId="5E45B905" w14:textId="77777777" w:rsidTr="00255630">
        <w:trPr>
          <w:jc w:val="center"/>
        </w:trPr>
        <w:tc>
          <w:tcPr>
            <w:tcW w:w="6385" w:type="dxa"/>
            <w:gridSpan w:val="3"/>
            <w:tcBorders>
              <w:bottom w:val="single" w:sz="4" w:space="0" w:color="auto"/>
            </w:tcBorders>
          </w:tcPr>
          <w:p w14:paraId="7E0EDDBA" w14:textId="77777777" w:rsidR="00255630" w:rsidRPr="00D05364" w:rsidRDefault="00255630" w:rsidP="00E40C3D">
            <w:pPr>
              <w:tabs>
                <w:tab w:val="left" w:pos="567"/>
              </w:tabs>
              <w:jc w:val="right"/>
              <w:rPr>
                <w:iCs/>
                <w:lang w:eastAsia="lt-LT"/>
              </w:rPr>
            </w:pPr>
            <w:r>
              <w:rPr>
                <w:iCs/>
                <w:lang w:eastAsia="lt-LT"/>
              </w:rPr>
              <w:t>Kaštų skirtumas</w:t>
            </w:r>
          </w:p>
        </w:tc>
        <w:tc>
          <w:tcPr>
            <w:tcW w:w="3523" w:type="dxa"/>
            <w:tcBorders>
              <w:bottom w:val="single" w:sz="4" w:space="0" w:color="auto"/>
            </w:tcBorders>
          </w:tcPr>
          <w:p w14:paraId="1B5D1D9C" w14:textId="2237505E" w:rsidR="00255630" w:rsidRPr="00D05364" w:rsidRDefault="00255630" w:rsidP="00E40C3D">
            <w:pPr>
              <w:tabs>
                <w:tab w:val="left" w:pos="567"/>
              </w:tabs>
              <w:jc w:val="both"/>
              <w:rPr>
                <w:i/>
                <w:iCs/>
                <w:lang w:eastAsia="lt-LT"/>
              </w:rPr>
            </w:pPr>
            <w:r>
              <w:rPr>
                <w:i/>
                <w:iCs/>
                <w:lang w:eastAsia="lt-LT"/>
              </w:rPr>
              <w:t xml:space="preserve"> </w:t>
            </w:r>
            <w:r w:rsidR="0009221A">
              <w:rPr>
                <w:i/>
                <w:iCs/>
                <w:lang w:eastAsia="lt-LT"/>
              </w:rPr>
              <w:t>***</w:t>
            </w:r>
            <w:r>
              <w:rPr>
                <w:i/>
                <w:iCs/>
                <w:lang w:eastAsia="lt-LT"/>
              </w:rPr>
              <w:t xml:space="preserve"> </w:t>
            </w:r>
            <w:proofErr w:type="spellStart"/>
            <w:r>
              <w:rPr>
                <w:i/>
                <w:iCs/>
                <w:lang w:eastAsia="lt-LT"/>
              </w:rPr>
              <w:t>eur</w:t>
            </w:r>
            <w:proofErr w:type="spellEnd"/>
          </w:p>
        </w:tc>
      </w:tr>
    </w:tbl>
    <w:p w14:paraId="33875138" w14:textId="77777777" w:rsidR="0035172D" w:rsidRPr="00E33EFF" w:rsidRDefault="0035172D" w:rsidP="00A93AA6">
      <w:pPr>
        <w:tabs>
          <w:tab w:val="left" w:pos="426"/>
        </w:tabs>
        <w:rPr>
          <w:b/>
          <w:bCs/>
          <w:caps/>
        </w:rPr>
      </w:pPr>
    </w:p>
    <w:p w14:paraId="4FC424F9" w14:textId="4E767245" w:rsidR="00C62B36" w:rsidRPr="00E33EFF" w:rsidRDefault="00C62B36" w:rsidP="00CC09D4">
      <w:pPr>
        <w:pStyle w:val="Sraopastraipa"/>
        <w:numPr>
          <w:ilvl w:val="0"/>
          <w:numId w:val="12"/>
        </w:numPr>
        <w:tabs>
          <w:tab w:val="left" w:pos="567"/>
        </w:tabs>
        <w:ind w:hanging="720"/>
        <w:rPr>
          <w:b/>
          <w:bCs/>
          <w:caps/>
        </w:rPr>
      </w:pPr>
      <w:r w:rsidRPr="00E33EFF">
        <w:rPr>
          <w:b/>
          <w:bCs/>
          <w:caps/>
        </w:rPr>
        <w:t xml:space="preserve">Pacientų organizacijų pateikti duomenys </w:t>
      </w:r>
    </w:p>
    <w:p w14:paraId="79BCFF40" w14:textId="1992DF4A" w:rsidR="00937907" w:rsidRPr="00E33EFF" w:rsidRDefault="00000000" w:rsidP="00937907">
      <w:pPr>
        <w:spacing w:after="120"/>
        <w:jc w:val="both"/>
      </w:pPr>
      <w:sdt>
        <w:sdtPr>
          <w:rPr>
            <w:rStyle w:val="Style2"/>
            <w:rFonts w:ascii="MS Gothic" w:eastAsia="MS Gothic" w:hAnsi="MS Gothic"/>
            <w:sz w:val="24"/>
          </w:rPr>
          <w:id w:val="1150014178"/>
          <w15:color w:val="FFCC00"/>
          <w14:checkbox>
            <w14:checked w14:val="0"/>
            <w14:checkedState w14:val="2612" w14:font="MS Gothic"/>
            <w14:uncheckedState w14:val="2610" w14:font="MS Gothic"/>
          </w14:checkbox>
        </w:sdtPr>
        <w:sdtContent>
          <w:r w:rsidR="00937907" w:rsidRPr="00E33EFF">
            <w:rPr>
              <w:rStyle w:val="Style2"/>
              <w:rFonts w:ascii="MS Gothic" w:eastAsia="MS Gothic" w:hAnsi="MS Gothic" w:hint="eastAsia"/>
              <w:sz w:val="24"/>
            </w:rPr>
            <w:t>☐</w:t>
          </w:r>
        </w:sdtContent>
      </w:sdt>
      <w:r w:rsidR="00937907" w:rsidRPr="00E33EFF">
        <w:t xml:space="preserve"> Pacientų organizacijos pozicija pateikta. Žr. priedą.</w:t>
      </w:r>
    </w:p>
    <w:p w14:paraId="62992180" w14:textId="5D9C5A3F" w:rsidR="00937907" w:rsidRPr="00E33EFF" w:rsidRDefault="00000000" w:rsidP="00937907">
      <w:pPr>
        <w:spacing w:after="120"/>
        <w:jc w:val="both"/>
      </w:pPr>
      <w:sdt>
        <w:sdtPr>
          <w:rPr>
            <w:rStyle w:val="Style2"/>
            <w:rFonts w:ascii="MS Gothic" w:eastAsia="MS Gothic" w:hAnsi="MS Gothic"/>
            <w:sz w:val="24"/>
          </w:rPr>
          <w:id w:val="-1545513810"/>
          <w15:color w:val="FFCC00"/>
          <w14:checkbox>
            <w14:checked w14:val="1"/>
            <w14:checkedState w14:val="2612" w14:font="MS Gothic"/>
            <w14:uncheckedState w14:val="2610" w14:font="MS Gothic"/>
          </w14:checkbox>
        </w:sdtPr>
        <w:sdtContent>
          <w:r w:rsidR="00D95978">
            <w:rPr>
              <w:rStyle w:val="Style2"/>
              <w:rFonts w:ascii="MS Gothic" w:eastAsia="MS Gothic" w:hAnsi="MS Gothic" w:hint="eastAsia"/>
              <w:sz w:val="24"/>
            </w:rPr>
            <w:t>☒</w:t>
          </w:r>
        </w:sdtContent>
      </w:sdt>
      <w:r w:rsidR="00937907" w:rsidRPr="00E33EFF">
        <w:t xml:space="preserve"> Pacientų organizacijos pozicija </w:t>
      </w:r>
      <w:r w:rsidR="00880A44" w:rsidRPr="00E33EFF">
        <w:t>ne</w:t>
      </w:r>
      <w:r w:rsidR="00937907" w:rsidRPr="00E33EFF">
        <w:t>pateikta.</w:t>
      </w:r>
    </w:p>
    <w:p w14:paraId="03E73D82" w14:textId="77777777" w:rsidR="00D417D2" w:rsidRPr="00E33EFF" w:rsidRDefault="00D417D2" w:rsidP="00937907">
      <w:pPr>
        <w:spacing w:after="120"/>
        <w:jc w:val="both"/>
      </w:pPr>
    </w:p>
    <w:p w14:paraId="3D3277FA" w14:textId="3CEEB2D2" w:rsidR="00C62B36" w:rsidRPr="00E33EFF" w:rsidRDefault="00C62B36" w:rsidP="00CC09D4">
      <w:pPr>
        <w:pStyle w:val="Sraopastraipa"/>
        <w:numPr>
          <w:ilvl w:val="0"/>
          <w:numId w:val="12"/>
        </w:numPr>
        <w:tabs>
          <w:tab w:val="left" w:pos="567"/>
        </w:tabs>
        <w:ind w:hanging="720"/>
        <w:rPr>
          <w:b/>
          <w:bCs/>
          <w:caps/>
        </w:rPr>
      </w:pPr>
      <w:r w:rsidRPr="00E33EFF">
        <w:rPr>
          <w:b/>
          <w:bCs/>
          <w:caps/>
        </w:rPr>
        <w:t>Gydytojų organizacijų pateikti duomenys</w:t>
      </w:r>
    </w:p>
    <w:p w14:paraId="389A346C" w14:textId="17184B64" w:rsidR="00937907" w:rsidRPr="00E33EFF" w:rsidRDefault="00000000" w:rsidP="00662983">
      <w:pPr>
        <w:spacing w:after="120"/>
        <w:jc w:val="both"/>
      </w:pPr>
      <w:sdt>
        <w:sdtPr>
          <w:rPr>
            <w:rStyle w:val="Style2"/>
            <w:rFonts w:ascii="MS Gothic" w:eastAsia="MS Gothic" w:hAnsi="MS Gothic"/>
            <w:sz w:val="24"/>
          </w:rPr>
          <w:id w:val="1613862788"/>
          <w15:color w:val="FFCC00"/>
          <w14:checkbox>
            <w14:checked w14:val="0"/>
            <w14:checkedState w14:val="2612" w14:font="MS Gothic"/>
            <w14:uncheckedState w14:val="2610" w14:font="MS Gothic"/>
          </w14:checkbox>
        </w:sdtPr>
        <w:sdtContent>
          <w:r w:rsidR="00937907" w:rsidRPr="00E33EFF">
            <w:rPr>
              <w:rStyle w:val="Style2"/>
              <w:rFonts w:ascii="MS Gothic" w:eastAsia="MS Gothic" w:hAnsi="MS Gothic" w:hint="eastAsia"/>
              <w:sz w:val="24"/>
            </w:rPr>
            <w:t>☐</w:t>
          </w:r>
        </w:sdtContent>
      </w:sdt>
      <w:r w:rsidR="00662983" w:rsidRPr="00E33EFF">
        <w:t xml:space="preserve"> </w:t>
      </w:r>
      <w:r w:rsidR="00937907" w:rsidRPr="00E33EFF">
        <w:t xml:space="preserve">Gydytojų specialistų organizacijos pozicija pateikta. </w:t>
      </w:r>
      <w:r w:rsidR="00662983" w:rsidRPr="00E33EFF">
        <w:t>Žr. priedą</w:t>
      </w:r>
      <w:r w:rsidR="00937907" w:rsidRPr="00E33EFF">
        <w:t>.</w:t>
      </w:r>
    </w:p>
    <w:p w14:paraId="5D8CC48C" w14:textId="516B4E33" w:rsidR="00662983" w:rsidRPr="00E33EFF" w:rsidRDefault="00000000" w:rsidP="00662983">
      <w:pPr>
        <w:spacing w:after="120"/>
        <w:jc w:val="both"/>
      </w:pPr>
      <w:sdt>
        <w:sdtPr>
          <w:rPr>
            <w:rStyle w:val="Style2"/>
            <w:rFonts w:ascii="MS Gothic" w:eastAsia="MS Gothic" w:hAnsi="MS Gothic"/>
            <w:sz w:val="24"/>
          </w:rPr>
          <w:id w:val="-41988141"/>
          <w15:color w:val="FFCC00"/>
          <w14:checkbox>
            <w14:checked w14:val="1"/>
            <w14:checkedState w14:val="2612" w14:font="MS Gothic"/>
            <w14:uncheckedState w14:val="2610" w14:font="MS Gothic"/>
          </w14:checkbox>
        </w:sdtPr>
        <w:sdtContent>
          <w:r w:rsidR="00B51FBC">
            <w:rPr>
              <w:rStyle w:val="Style2"/>
              <w:rFonts w:ascii="MS Gothic" w:eastAsia="MS Gothic" w:hAnsi="MS Gothic" w:hint="eastAsia"/>
              <w:sz w:val="24"/>
            </w:rPr>
            <w:t>☒</w:t>
          </w:r>
        </w:sdtContent>
      </w:sdt>
      <w:r w:rsidR="00662983" w:rsidRPr="00E33EFF">
        <w:t xml:space="preserve"> </w:t>
      </w:r>
      <w:r w:rsidR="00937907" w:rsidRPr="00E33EFF">
        <w:t xml:space="preserve">Gydytojų specialistų organizacijos pozicija </w:t>
      </w:r>
      <w:r w:rsidR="00880A44" w:rsidRPr="00E33EFF">
        <w:t>ne</w:t>
      </w:r>
      <w:r w:rsidR="00937907" w:rsidRPr="00E33EFF">
        <w:t>pateikta.</w:t>
      </w:r>
    </w:p>
    <w:p w14:paraId="3701D46A" w14:textId="77777777" w:rsidR="00A042B9" w:rsidRPr="00E33EFF" w:rsidRDefault="00A042B9" w:rsidP="00662983">
      <w:pPr>
        <w:spacing w:after="120"/>
        <w:jc w:val="both"/>
      </w:pPr>
    </w:p>
    <w:p w14:paraId="78F23ECB" w14:textId="23A3A002" w:rsidR="002F0E4F" w:rsidRPr="00E33EFF" w:rsidRDefault="002F0E4F" w:rsidP="00CC09D4">
      <w:pPr>
        <w:pStyle w:val="Sraopastraipa"/>
        <w:numPr>
          <w:ilvl w:val="0"/>
          <w:numId w:val="12"/>
        </w:numPr>
        <w:tabs>
          <w:tab w:val="left" w:pos="567"/>
        </w:tabs>
        <w:ind w:hanging="720"/>
        <w:rPr>
          <w:b/>
          <w:bCs/>
          <w:caps/>
        </w:rPr>
      </w:pPr>
      <w:r w:rsidRPr="00E33EFF">
        <w:rPr>
          <w:b/>
          <w:bCs/>
          <w:caps/>
        </w:rPr>
        <w:lastRenderedPageBreak/>
        <w:t xml:space="preserve">Išvada </w:t>
      </w:r>
    </w:p>
    <w:p w14:paraId="30069D85" w14:textId="77777777" w:rsidR="0061611B" w:rsidRPr="00BF3927" w:rsidRDefault="0061611B" w:rsidP="0061611B">
      <w:pPr>
        <w:ind w:left="360"/>
        <w:rPr>
          <w:i/>
          <w:color w:val="000000" w:themeColor="text1"/>
          <w:szCs w:val="22"/>
        </w:rPr>
      </w:pPr>
    </w:p>
    <w:p w14:paraId="08D5B3B6" w14:textId="1CA3D75E" w:rsidR="0061611B" w:rsidRPr="00CC36AC" w:rsidRDefault="0061611B" w:rsidP="0061611B">
      <w:pPr>
        <w:rPr>
          <w:iCs/>
          <w:color w:val="00B050"/>
          <w:szCs w:val="22"/>
        </w:rPr>
      </w:pPr>
    </w:p>
    <w:tbl>
      <w:tblPr>
        <w:tblStyle w:val="Lentelstinklelis"/>
        <w:tblW w:w="0" w:type="auto"/>
        <w:tblLook w:val="04A0" w:firstRow="1" w:lastRow="0" w:firstColumn="1" w:lastColumn="0" w:noHBand="0" w:noVBand="1"/>
      </w:tblPr>
      <w:tblGrid>
        <w:gridCol w:w="4815"/>
        <w:gridCol w:w="4814"/>
      </w:tblGrid>
      <w:tr w:rsidR="00B13D65" w:rsidRPr="00E33EFF" w14:paraId="25A2473E" w14:textId="77777777" w:rsidTr="00C16245">
        <w:trPr>
          <w:trHeight w:val="510"/>
        </w:trPr>
        <w:tc>
          <w:tcPr>
            <w:tcW w:w="4815" w:type="dxa"/>
            <w:vAlign w:val="center"/>
          </w:tcPr>
          <w:p w14:paraId="7EFE6941" w14:textId="23B8BB6D" w:rsidR="00B13D65"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E33EFF">
              <w:rPr>
                <w:rStyle w:val="Style2"/>
                <w:rFonts w:eastAsia="MS Gothic"/>
                <w:b/>
                <w:bCs/>
                <w:sz w:val="24"/>
              </w:rPr>
              <w:t>Rekomenduojama kompensuoti</w:t>
            </w:r>
          </w:p>
        </w:tc>
        <w:tc>
          <w:tcPr>
            <w:tcW w:w="4814" w:type="dxa"/>
            <w:vAlign w:val="center"/>
          </w:tcPr>
          <w:p w14:paraId="330A1A5E" w14:textId="19247DC1" w:rsidR="00B13D65"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E33EFF">
              <w:rPr>
                <w:rStyle w:val="Style2"/>
                <w:rFonts w:eastAsia="MS Gothic"/>
                <w:b/>
                <w:bCs/>
                <w:sz w:val="24"/>
              </w:rPr>
              <w:t xml:space="preserve">Rekomenduojama nekompensuoti </w:t>
            </w:r>
          </w:p>
        </w:tc>
      </w:tr>
      <w:tr w:rsidR="00B13D65" w:rsidRPr="00E33EFF" w14:paraId="143A7356" w14:textId="77777777" w:rsidTr="00C16245">
        <w:trPr>
          <w:trHeight w:val="510"/>
        </w:trPr>
        <w:tc>
          <w:tcPr>
            <w:tcW w:w="9629" w:type="dxa"/>
            <w:gridSpan w:val="2"/>
            <w:vAlign w:val="center"/>
          </w:tcPr>
          <w:p w14:paraId="0AF5D6B4" w14:textId="6D8B6C59" w:rsidR="00B13D65" w:rsidRPr="00E33EFF"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E33EFF">
              <w:rPr>
                <w:rStyle w:val="Style2"/>
                <w:rFonts w:eastAsia="MS Gothic"/>
                <w:b/>
                <w:bCs/>
                <w:sz w:val="24"/>
              </w:rPr>
              <w:t>Palyginamasis efektyvumas</w:t>
            </w:r>
          </w:p>
        </w:tc>
      </w:tr>
      <w:tr w:rsidR="00B13D65" w:rsidRPr="00E33EFF" w14:paraId="28A0C814" w14:textId="77777777" w:rsidTr="0061611B">
        <w:tc>
          <w:tcPr>
            <w:tcW w:w="4815" w:type="dxa"/>
          </w:tcPr>
          <w:p w14:paraId="216769B5" w14:textId="144FEB07"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97324644"/>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32.1. yra didesnis</w:t>
            </w:r>
            <w:r w:rsidR="00B00959" w:rsidRPr="00E33EFF">
              <w:t>, lyginant su įprasta klinikine praktika</w:t>
            </w:r>
          </w:p>
          <w:p w14:paraId="3B48F372"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F18D4" w14:textId="49623C4E" w:rsidR="00B13D65" w:rsidRPr="00E33EFF" w:rsidRDefault="00000000" w:rsidP="00662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4"/>
              </w:rPr>
            </w:pPr>
            <w:sdt>
              <w:sdtPr>
                <w:rPr>
                  <w:rStyle w:val="Style2"/>
                  <w:sz w:val="24"/>
                </w:rPr>
                <w:id w:val="418297090"/>
                <w15:color w:val="FFCC00"/>
                <w14:checkbox>
                  <w14:checked w14:val="1"/>
                  <w14:checkedState w14:val="2612" w14:font="MS Gothic"/>
                  <w14:uncheckedState w14:val="2610" w14:font="MS Gothic"/>
                </w14:checkbox>
              </w:sdtPr>
              <w:sdtContent>
                <w:r w:rsidR="00B51FBC">
                  <w:rPr>
                    <w:rStyle w:val="Style2"/>
                    <w:rFonts w:ascii="MS Gothic" w:eastAsia="MS Gothic" w:hAnsi="MS Gothic" w:hint="eastAsia"/>
                    <w:sz w:val="24"/>
                  </w:rPr>
                  <w:t>☒</w:t>
                </w:r>
              </w:sdtContent>
            </w:sdt>
            <w:r w:rsidR="00B13D65" w:rsidRPr="00E33EFF">
              <w:t xml:space="preserve"> 32.1. iš esmės nesiskiria</w:t>
            </w:r>
            <w:r w:rsidR="00B00959" w:rsidRPr="00E33EFF">
              <w:t>, lyginant su įprasta klinikine praktika</w:t>
            </w:r>
          </w:p>
        </w:tc>
        <w:tc>
          <w:tcPr>
            <w:tcW w:w="4814" w:type="dxa"/>
          </w:tcPr>
          <w:p w14:paraId="507828D9" w14:textId="10556E28"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724755596"/>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33.1. yra mažesnis</w:t>
            </w:r>
            <w:r w:rsidR="00B00959" w:rsidRPr="00E33EFF">
              <w:t>, lyginant su įprasta klinikine praktika</w:t>
            </w:r>
          </w:p>
          <w:p w14:paraId="7F95DEEC"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80682B8" w14:textId="1A29EA3B" w:rsidR="00662983"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62168479"/>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33.1. yra neįrodytas kaip toks pat</w:t>
            </w:r>
            <w:r w:rsidR="00B00959" w:rsidRPr="00E33EFF">
              <w:t>, lyginant su įprasta klinikine praktika</w:t>
            </w:r>
          </w:p>
          <w:p w14:paraId="35205E85"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CC3F0A3" w14:textId="6D563DC8"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57960180"/>
                <w15:color w:val="FFCC00"/>
                <w14:checkbox>
                  <w14:checked w14:val="0"/>
                  <w14:checkedState w14:val="2612" w14:font="MS Gothic"/>
                  <w14:uncheckedState w14:val="2610" w14:font="MS Gothic"/>
                </w14:checkbox>
              </w:sdtPr>
              <w:sdtContent>
                <w:r w:rsidR="00662983" w:rsidRPr="00E33EFF">
                  <w:rPr>
                    <w:rStyle w:val="Style2"/>
                    <w:rFonts w:ascii="Segoe UI Symbol" w:eastAsia="MS Gothic" w:hAnsi="Segoe UI Symbol" w:cs="Segoe UI Symbol"/>
                    <w:sz w:val="24"/>
                  </w:rPr>
                  <w:t>☐</w:t>
                </w:r>
              </w:sdtContent>
            </w:sdt>
            <w:r w:rsidR="00662983" w:rsidRPr="00E33EFF">
              <w:t xml:space="preserve"> 33.1 </w:t>
            </w:r>
            <w:r w:rsidR="00B00959" w:rsidRPr="00E33EFF">
              <w:t xml:space="preserve">yra </w:t>
            </w:r>
            <w:r w:rsidR="00B13D65" w:rsidRPr="00E33EFF">
              <w:t>neįrodytas kaip didesnis</w:t>
            </w:r>
            <w:r w:rsidR="00B00959" w:rsidRPr="00E33EFF">
              <w:t>, lyginant su įprasta klinikine praktika</w:t>
            </w:r>
          </w:p>
          <w:p w14:paraId="512E653B"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3F374F4" w14:textId="77777777"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69842114"/>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33.1. pateikti duomenys apie palyginamąjį efektyvumą yra netinkami vertinti</w:t>
            </w:r>
          </w:p>
          <w:p w14:paraId="5DDAA961"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B13D65" w:rsidRPr="00E33EFF" w14:paraId="161CC3FE" w14:textId="77777777" w:rsidTr="00C16245">
        <w:trPr>
          <w:trHeight w:val="510"/>
        </w:trPr>
        <w:tc>
          <w:tcPr>
            <w:tcW w:w="9629" w:type="dxa"/>
            <w:gridSpan w:val="2"/>
            <w:vAlign w:val="center"/>
          </w:tcPr>
          <w:p w14:paraId="1AB46894" w14:textId="3E765638" w:rsidR="00B13D65" w:rsidRPr="00E33EFF"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E33EFF">
              <w:rPr>
                <w:rStyle w:val="Style2"/>
                <w:rFonts w:eastAsia="MS Gothic"/>
                <w:b/>
                <w:bCs/>
                <w:sz w:val="24"/>
              </w:rPr>
              <w:t>Klinikinis veiksmingumas</w:t>
            </w:r>
          </w:p>
        </w:tc>
      </w:tr>
      <w:tr w:rsidR="00B13D65" w:rsidRPr="00E33EFF" w14:paraId="3C60570A" w14:textId="77777777" w:rsidTr="0061611B">
        <w:tc>
          <w:tcPr>
            <w:tcW w:w="4815" w:type="dxa"/>
          </w:tcPr>
          <w:p w14:paraId="6897B306" w14:textId="70C15EA4"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481080007"/>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32.2. yra įvertintas kaip pagrindžiantis papildomos naudos pacientų sveikatai sukūrimą, lyginant su įprasta klinikine praktika</w:t>
            </w:r>
          </w:p>
          <w:p w14:paraId="71D57105"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EBBDF86" w14:textId="6B56BB26"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862061586"/>
                <w15:color w:val="FFCC00"/>
                <w14:checkbox>
                  <w14:checked w14:val="1"/>
                  <w14:checkedState w14:val="2612" w14:font="MS Gothic"/>
                  <w14:uncheckedState w14:val="2610" w14:font="MS Gothic"/>
                </w14:checkbox>
              </w:sdtPr>
              <w:sdtContent>
                <w:r w:rsidR="00255630">
                  <w:rPr>
                    <w:rStyle w:val="Style2"/>
                    <w:rFonts w:ascii="MS Gothic" w:eastAsia="MS Gothic" w:hAnsi="MS Gothic" w:hint="eastAsia"/>
                    <w:sz w:val="24"/>
                  </w:rPr>
                  <w:t>☒</w:t>
                </w:r>
              </w:sdtContent>
            </w:sdt>
            <w:r w:rsidR="00B13D65" w:rsidRPr="00E33EFF">
              <w:t xml:space="preserve"> 32.2. </w:t>
            </w:r>
            <w:r w:rsidR="00B00959" w:rsidRPr="00E33EFF">
              <w:t xml:space="preserve">yra </w:t>
            </w:r>
            <w:r w:rsidR="00B13D65" w:rsidRPr="00E33EFF">
              <w:t>įvertintas kaip pagrindžiantis nesiskiriančios naudos pacientų sveikatai sukūrimą, lyginant su įprasta klinikine praktika</w:t>
            </w:r>
          </w:p>
          <w:p w14:paraId="287AD233"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814" w:type="dxa"/>
          </w:tcPr>
          <w:p w14:paraId="74A2DECF" w14:textId="682BFC3B" w:rsidR="00662983" w:rsidRPr="00E33EFF" w:rsidRDefault="00000000" w:rsidP="00662983">
            <w:pPr>
              <w:jc w:val="both"/>
            </w:pPr>
            <w:sdt>
              <w:sdtPr>
                <w:rPr>
                  <w:rStyle w:val="Style2"/>
                  <w:sz w:val="24"/>
                </w:rPr>
                <w:id w:val="-1034573056"/>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33.1. yra įvertintas kaip nepagrindžiantis papildomos </w:t>
            </w:r>
            <w:r w:rsidR="00662983" w:rsidRPr="00E33EFF">
              <w:t>naudos pacientų sveikatai sukūrimo, lyginant su  įprasta klinikine praktika</w:t>
            </w:r>
          </w:p>
          <w:p w14:paraId="6C70BCFC" w14:textId="77777777" w:rsidR="00662983" w:rsidRPr="00E33EFF" w:rsidRDefault="00662983" w:rsidP="00BD1E5A">
            <w:pPr>
              <w:jc w:val="both"/>
            </w:pPr>
          </w:p>
          <w:p w14:paraId="0ADEC30D" w14:textId="1353964F" w:rsidR="00B13D65" w:rsidRPr="00E33EFF" w:rsidRDefault="00000000" w:rsidP="00BD1E5A">
            <w:pPr>
              <w:jc w:val="both"/>
            </w:pPr>
            <w:sdt>
              <w:sdtPr>
                <w:rPr>
                  <w:rStyle w:val="Style2"/>
                  <w:sz w:val="24"/>
                </w:rPr>
                <w:id w:val="1289549109"/>
                <w15:color w:val="FFCC00"/>
                <w14:checkbox>
                  <w14:checked w14:val="0"/>
                  <w14:checkedState w14:val="2612" w14:font="MS Gothic"/>
                  <w14:uncheckedState w14:val="2610" w14:font="MS Gothic"/>
                </w14:checkbox>
              </w:sdtPr>
              <w:sdtContent>
                <w:r w:rsidR="00662983" w:rsidRPr="00E33EFF">
                  <w:rPr>
                    <w:rStyle w:val="Style2"/>
                    <w:rFonts w:ascii="Segoe UI Symbol" w:eastAsia="MS Gothic" w:hAnsi="Segoe UI Symbol" w:cs="Segoe UI Symbol"/>
                    <w:sz w:val="24"/>
                  </w:rPr>
                  <w:t>☐</w:t>
                </w:r>
              </w:sdtContent>
            </w:sdt>
            <w:r w:rsidR="00B13D65" w:rsidRPr="00E33EFF">
              <w:t xml:space="preserve"> </w:t>
            </w:r>
            <w:r w:rsidR="00662983" w:rsidRPr="00E33EFF">
              <w:t xml:space="preserve">33.1. </w:t>
            </w:r>
            <w:r w:rsidR="00B00959" w:rsidRPr="00E33EFF">
              <w:t xml:space="preserve">yra įvertintas kaip nepagrindžiantis </w:t>
            </w:r>
            <w:r w:rsidR="00B13D65" w:rsidRPr="00E33EFF">
              <w:t>nesiskiriančios naudos pacientų sveikatai sukūrimo, lyginant su įprasta klinikine praktika</w:t>
            </w:r>
          </w:p>
          <w:p w14:paraId="1EED7901"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7E672"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B13D65" w:rsidRPr="00E33EFF" w14:paraId="1C75AE76" w14:textId="77777777" w:rsidTr="00C16245">
        <w:trPr>
          <w:trHeight w:val="510"/>
        </w:trPr>
        <w:tc>
          <w:tcPr>
            <w:tcW w:w="9629" w:type="dxa"/>
            <w:gridSpan w:val="2"/>
            <w:vAlign w:val="center"/>
          </w:tcPr>
          <w:p w14:paraId="0247EDAD" w14:textId="7FBBB759" w:rsidR="00B13D65" w:rsidRPr="00E33EFF"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E33EFF">
              <w:rPr>
                <w:rStyle w:val="Style2"/>
                <w:rFonts w:eastAsia="MS Gothic"/>
                <w:b/>
                <w:bCs/>
                <w:sz w:val="24"/>
              </w:rPr>
              <w:t>Kaštų naudingumas</w:t>
            </w:r>
          </w:p>
        </w:tc>
      </w:tr>
      <w:tr w:rsidR="00B13D65" w:rsidRPr="00E33EFF" w14:paraId="7091A05B" w14:textId="77777777" w:rsidTr="0061611B">
        <w:tc>
          <w:tcPr>
            <w:tcW w:w="4815" w:type="dxa"/>
          </w:tcPr>
          <w:p w14:paraId="69B2A994" w14:textId="6D9E466C"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975984416"/>
                <w15:color w:val="FFCC00"/>
                <w14:checkbox>
                  <w14:checked w14:val="0"/>
                  <w14:checkedState w14:val="2612" w14:font="MS Gothic"/>
                  <w14:uncheckedState w14:val="2610" w14:font="MS Gothic"/>
                </w14:checkbox>
              </w:sdtPr>
              <w:sdtContent>
                <w:r w:rsidR="00A06DBB" w:rsidRPr="00E33EFF">
                  <w:rPr>
                    <w:rStyle w:val="Style2"/>
                    <w:rFonts w:ascii="MS Gothic" w:eastAsia="MS Gothic" w:hAnsi="MS Gothic" w:hint="eastAsia"/>
                    <w:sz w:val="24"/>
                  </w:rPr>
                  <w:t>☐</w:t>
                </w:r>
              </w:sdtContent>
            </w:sdt>
            <w:r w:rsidR="00B13D65" w:rsidRPr="00E33EFF">
              <w:t xml:space="preserve"> 32.3. atitinka referencinę naudingumo vertę</w:t>
            </w:r>
          </w:p>
          <w:p w14:paraId="3F76F153"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062072E7" w14:textId="08D6F778"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sdt>
              <w:sdtPr>
                <w:rPr>
                  <w:rStyle w:val="Style2"/>
                  <w:sz w:val="24"/>
                </w:rPr>
                <w:id w:val="-1308081728"/>
                <w15:color w:val="FFCC00"/>
                <w14:checkbox>
                  <w14:checked w14:val="1"/>
                  <w14:checkedState w14:val="2612" w14:font="MS Gothic"/>
                  <w14:uncheckedState w14:val="2610" w14:font="MS Gothic"/>
                </w14:checkbox>
              </w:sdtPr>
              <w:sdtContent>
                <w:r w:rsidR="00255630">
                  <w:rPr>
                    <w:rStyle w:val="Style2"/>
                    <w:rFonts w:ascii="MS Gothic" w:eastAsia="MS Gothic" w:hAnsi="MS Gothic" w:hint="eastAsia"/>
                    <w:sz w:val="24"/>
                  </w:rPr>
                  <w:t>☒</w:t>
                </w:r>
              </w:sdtContent>
            </w:sdt>
            <w:r w:rsidR="00B13D65" w:rsidRPr="00E33EFF">
              <w:t xml:space="preserve"> 32.3. gydymo juo kaštai yra mažesni ar tokie patys esant iš esmės nesiskiriančiam palyginamajam efektyvumui, taikant </w:t>
            </w:r>
            <w:r w:rsidR="00662983" w:rsidRPr="00E33EFF">
              <w:t>PGS</w:t>
            </w:r>
            <w:r w:rsidR="00B00959" w:rsidRPr="00E33EFF">
              <w:t>, lyginant su įprasta klinikine praktika</w:t>
            </w:r>
          </w:p>
          <w:p w14:paraId="25E4BD1E"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814" w:type="dxa"/>
          </w:tcPr>
          <w:p w14:paraId="53380063" w14:textId="5EB8488A"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65405113"/>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33.3. neatitinka referencinės naudingumo vertės Lietuvos Respublikoje</w:t>
            </w:r>
          </w:p>
          <w:p w14:paraId="229ED51A"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673C3A9" w14:textId="4DA243AB"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sdt>
              <w:sdtPr>
                <w:rPr>
                  <w:rStyle w:val="Style2"/>
                  <w:sz w:val="24"/>
                </w:rPr>
                <w:id w:val="-1135473618"/>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33.3. gydymo juo kaštai yra didesni esant iš esmės nesiskiriančiam palyginamajam efektyvumui, </w:t>
            </w:r>
            <w:r w:rsidR="00B00959" w:rsidRPr="00E33EFF">
              <w:t>lyginant su įprasta klinikine praktika</w:t>
            </w:r>
          </w:p>
          <w:p w14:paraId="4A9C7D2A"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226013D" w14:textId="4020B1AC"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08360022"/>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33.3. pateikti duomenys apie kaštų na</w:t>
            </w:r>
            <w:r w:rsidR="00662983" w:rsidRPr="00E33EFF">
              <w:t>udingumą yra netinkami vertinti</w:t>
            </w:r>
          </w:p>
          <w:p w14:paraId="470A48A4"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bl>
    <w:p w14:paraId="65ACA3C5" w14:textId="76C604A1" w:rsidR="004A3A61" w:rsidRPr="00E33EFF" w:rsidRDefault="004A3A61" w:rsidP="00381024"/>
    <w:p w14:paraId="29A90384" w14:textId="4772D5ED" w:rsidR="004A3A61" w:rsidRPr="00E33EFF" w:rsidRDefault="004A3A61" w:rsidP="00381024"/>
    <w:p w14:paraId="1B85C083" w14:textId="77777777" w:rsidR="009E44AE" w:rsidRPr="00E33EFF" w:rsidRDefault="009E44AE" w:rsidP="00381024"/>
    <w:p w14:paraId="3B2D1F25" w14:textId="3A80E19F" w:rsidR="000001B0" w:rsidRPr="00E33EFF" w:rsidRDefault="000001B0" w:rsidP="00CC09D4">
      <w:pPr>
        <w:pStyle w:val="Sraopastraipa"/>
        <w:numPr>
          <w:ilvl w:val="0"/>
          <w:numId w:val="12"/>
        </w:numPr>
        <w:ind w:left="567" w:hanging="567"/>
      </w:pPr>
      <w:r w:rsidRPr="00E33EFF">
        <w:rPr>
          <w:b/>
        </w:rPr>
        <w:t>REKOME</w:t>
      </w:r>
      <w:r w:rsidR="00D83182" w:rsidRPr="00E33EFF">
        <w:rPr>
          <w:b/>
        </w:rPr>
        <w:t>N</w:t>
      </w:r>
      <w:r w:rsidRPr="00E33EFF">
        <w:rPr>
          <w:b/>
        </w:rPr>
        <w:t>DACIJA</w:t>
      </w:r>
    </w:p>
    <w:p w14:paraId="7D5C6700" w14:textId="77777777" w:rsidR="00D5470B" w:rsidRPr="00E33EFF" w:rsidRDefault="00D5470B" w:rsidP="00C712EA">
      <w:pPr>
        <w:pStyle w:val="Sraopastraipa"/>
        <w:ind w:left="426"/>
      </w:pPr>
    </w:p>
    <w:p w14:paraId="447385CB" w14:textId="77777777" w:rsidR="00B51FBC" w:rsidRPr="00E33EFF" w:rsidRDefault="00B51FBC" w:rsidP="00B51FBC">
      <w:pPr>
        <w:jc w:val="both"/>
      </w:pPr>
      <w:r w:rsidRPr="00E33EFF">
        <w:t xml:space="preserve">Vadovaujantis </w:t>
      </w:r>
      <w:r>
        <w:t>V</w:t>
      </w:r>
      <w:r w:rsidRPr="00E33EFF">
        <w:t>aistinių preparatų ir medicinos pagalbos priemonių įrašymo į kompensavimo sąrašus ir jų keitimo tvarkos aprašo</w:t>
      </w:r>
      <w:r>
        <w:t>, patvirtinto</w:t>
      </w:r>
      <w:r w:rsidRPr="00E33EFF">
        <w:t xml:space="preserve"> Lietuvos Respublikos sveikatos apsaugos ministro 2002 m. </w:t>
      </w:r>
      <w:r w:rsidRPr="00E33EFF">
        <w:lastRenderedPageBreak/>
        <w:t>balandžio 5 d. įsakymu Nr. V-159 „Dėl vaistinių preparatų ir medicinos pagalbos priemonių įrašymo į kompensavimo sąrašus ir jų keitimo tvarkos aprašo patvirtinimo“</w:t>
      </w:r>
      <w:r>
        <w:t>,</w:t>
      </w:r>
      <w:r w:rsidRPr="00E33EFF">
        <w:t xml:space="preserve"> punktu</w:t>
      </w:r>
    </w:p>
    <w:p w14:paraId="1EE08B33" w14:textId="77777777" w:rsidR="00B51FBC" w:rsidRPr="00E33EFF" w:rsidRDefault="00B51FBC" w:rsidP="00B51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748DDD3" w14:textId="77777777" w:rsidR="00B51FBC" w:rsidRPr="00520AD7" w:rsidRDefault="00B51FBC" w:rsidP="00B51FBC">
      <w:pPr>
        <w:spacing w:line="276" w:lineRule="auto"/>
        <w:jc w:val="both"/>
        <w:rPr>
          <w:rFonts w:eastAsia="MS Mincho"/>
          <w:color w:val="000000"/>
        </w:rPr>
      </w:pPr>
      <w:r w:rsidRPr="00E33EFF">
        <w:t xml:space="preserve">34.3. </w:t>
      </w:r>
      <w:r w:rsidRPr="001B63DC">
        <w:rPr>
          <w:i/>
        </w:rPr>
        <w:t>kompensuoti</w:t>
      </w:r>
      <w:r w:rsidRPr="00E33EFF">
        <w:t xml:space="preserve"> vaistinį preparatą pagal paraiškoje nurodytą indikaciją </w:t>
      </w:r>
      <w:r w:rsidRPr="00520AD7">
        <w:t>su skyrimo sąlygomis</w:t>
      </w:r>
      <w:r w:rsidRPr="00E33EFF">
        <w:t>, taikant PGS, dėl iš esmės nesiskiriančio gydymo efektyvumo ir sukuriamos naudos pacientų sveikatai, lyginant su įprasta klinikine praktika, ir dėl mažesnių gydymo kaštų dydžio (kaštų minimizavimas).</w:t>
      </w:r>
    </w:p>
    <w:p w14:paraId="06BC01EE" w14:textId="44333E0B" w:rsidR="000723FF" w:rsidRPr="00E33EFF" w:rsidRDefault="000723FF" w:rsidP="00381024"/>
    <w:p w14:paraId="18B4292E" w14:textId="7AE1A9BB" w:rsidR="000723FF" w:rsidRPr="00E33EFF" w:rsidRDefault="00CC09D4" w:rsidP="00CC09D4">
      <w:pPr>
        <w:tabs>
          <w:tab w:val="left" w:pos="567"/>
        </w:tabs>
        <w:ind w:left="567" w:hanging="567"/>
        <w:jc w:val="both"/>
        <w:rPr>
          <w:b/>
          <w:color w:val="000000"/>
          <w:lang w:eastAsia="lt-LT"/>
        </w:rPr>
      </w:pPr>
      <w:r>
        <w:rPr>
          <w:b/>
          <w:color w:val="000000"/>
          <w:lang w:eastAsia="lt-LT"/>
        </w:rPr>
        <w:t>8.</w:t>
      </w:r>
      <w:r>
        <w:rPr>
          <w:b/>
          <w:color w:val="000000"/>
          <w:lang w:eastAsia="lt-LT"/>
        </w:rPr>
        <w:tab/>
      </w:r>
      <w:r w:rsidR="000723FF" w:rsidRPr="00E33EFF">
        <w:rPr>
          <w:b/>
          <w:color w:val="000000"/>
          <w:lang w:eastAsia="lt-LT"/>
        </w:rPr>
        <w:t>SIŪLOMOS KOMPENSUOTI TERAPINĖS INDIKACIJOS IR SKYRIMO SĄLYGOS&gt;</w:t>
      </w:r>
    </w:p>
    <w:p w14:paraId="691340BB" w14:textId="77777777" w:rsidR="000723FF" w:rsidRPr="00E33EFF" w:rsidRDefault="000723FF" w:rsidP="000723FF">
      <w:pPr>
        <w:tabs>
          <w:tab w:val="left" w:pos="426"/>
        </w:tabs>
        <w:jc w:val="both"/>
        <w:rPr>
          <w:b/>
          <w:color w:val="000000"/>
          <w:lang w:eastAsia="lt-LT"/>
        </w:rPr>
      </w:pPr>
    </w:p>
    <w:p w14:paraId="529C92C4" w14:textId="152E5FB4" w:rsidR="000723FF" w:rsidRPr="00DC5BAC" w:rsidRDefault="000723FF" w:rsidP="00824B92">
      <w:pPr>
        <w:rPr>
          <w:b/>
          <w:lang w:eastAsia="lt-LT"/>
        </w:rPr>
      </w:pPr>
      <w:r w:rsidRPr="00DC5BAC">
        <w:rPr>
          <w:b/>
          <w:lang w:eastAsia="lt-LT"/>
        </w:rPr>
        <w:t>Terapinės indikacijos</w:t>
      </w:r>
    </w:p>
    <w:p w14:paraId="5BB746DD" w14:textId="39D8E605" w:rsidR="000723FF" w:rsidRPr="00E33EFF" w:rsidRDefault="00000000" w:rsidP="00824B92">
      <w:sdt>
        <w:sdtPr>
          <w:rPr>
            <w:rStyle w:val="Style2"/>
          </w:rPr>
          <w:id w:val="1146316688"/>
          <w15:color w:val="FFCC00"/>
          <w14:checkbox>
            <w14:checked w14:val="1"/>
            <w14:checkedState w14:val="2612" w14:font="MS Gothic"/>
            <w14:uncheckedState w14:val="2610" w14:font="MS Gothic"/>
          </w14:checkbox>
        </w:sdtPr>
        <w:sdtContent>
          <w:r w:rsidR="00B51FBC">
            <w:rPr>
              <w:rStyle w:val="Style2"/>
              <w:rFonts w:ascii="MS Gothic" w:eastAsia="MS Gothic" w:hAnsi="MS Gothic" w:hint="eastAsia"/>
            </w:rPr>
            <w:t>☒</w:t>
          </w:r>
        </w:sdtContent>
      </w:sdt>
      <w:r w:rsidR="000723FF" w:rsidRPr="00E33EFF">
        <w:t xml:space="preserve"> Siūloma kompensuoti Pareiškėjo teikiamą indikaciją be pakeitimų.</w:t>
      </w:r>
    </w:p>
    <w:p w14:paraId="21266813" w14:textId="7C5689CC" w:rsidR="000723FF" w:rsidRPr="00E33EFF" w:rsidRDefault="00B51FBC" w:rsidP="00B51FBC">
      <w:pPr>
        <w:pStyle w:val="Sraopastraipa"/>
        <w:spacing w:after="120" w:line="276" w:lineRule="auto"/>
        <w:ind w:left="0"/>
        <w:contextualSpacing w:val="0"/>
        <w:jc w:val="both"/>
      </w:pPr>
      <w:r w:rsidRPr="005530F9">
        <w:t>RINVOQ skirtas vidutinio sunkumo arba sunkios aktyvios Krono ligos gydymui suaugusiesiems, kurių atsakas į įprastą gydymą arba gydymą biologiniu vaistiniu preparatu buvo nepakankamas, buvo prarastas arba kurie minėtų gydymo būdų netoleravo.</w:t>
      </w:r>
    </w:p>
    <w:p w14:paraId="597367EF" w14:textId="77777777" w:rsidR="000723FF" w:rsidRPr="00E33EFF" w:rsidRDefault="00000000" w:rsidP="00824B92">
      <w:sdt>
        <w:sdtPr>
          <w:rPr>
            <w:rStyle w:val="Style2"/>
          </w:rPr>
          <w:id w:val="1467245146"/>
          <w15:color w:val="FFCC00"/>
          <w14:checkbox>
            <w14:checked w14:val="0"/>
            <w14:checkedState w14:val="2612" w14:font="MS Gothic"/>
            <w14:uncheckedState w14:val="2610" w14:font="MS Gothic"/>
          </w14:checkbox>
        </w:sdtPr>
        <w:sdtContent>
          <w:r w:rsidR="000723FF" w:rsidRPr="00E33EFF">
            <w:rPr>
              <w:rStyle w:val="Style2"/>
              <w:rFonts w:ascii="MS Gothic" w:eastAsia="MS Gothic" w:hAnsi="MS Gothic"/>
            </w:rPr>
            <w:t>☐</w:t>
          </w:r>
        </w:sdtContent>
      </w:sdt>
      <w:r w:rsidR="000723FF" w:rsidRPr="00E33EFF">
        <w:t xml:space="preserve"> Siūloma kompensuoti Pareiškėjo teikiamą indikaciją su pakeitimais.</w:t>
      </w:r>
    </w:p>
    <w:p w14:paraId="7DD65F7E" w14:textId="77777777" w:rsidR="000723FF" w:rsidRPr="00E33EFF" w:rsidRDefault="000723FF" w:rsidP="00824B92"/>
    <w:p w14:paraId="241A6E6B" w14:textId="77777777" w:rsidR="000723FF" w:rsidRPr="00E33EFF" w:rsidRDefault="000723FF" w:rsidP="00824B92">
      <w:pPr>
        <w:rPr>
          <w:b/>
        </w:rPr>
      </w:pPr>
      <w:r w:rsidRPr="00E33EFF">
        <w:rPr>
          <w:b/>
        </w:rPr>
        <w:t>Skyrimo sąlygos</w:t>
      </w:r>
    </w:p>
    <w:p w14:paraId="7CDFF220" w14:textId="357A5D8C" w:rsidR="000723FF" w:rsidRPr="000723FF" w:rsidRDefault="004B4899" w:rsidP="00824B92">
      <w:pPr>
        <w:rPr>
          <w:b/>
        </w:rPr>
      </w:pPr>
      <w:r>
        <w:rPr>
          <w:rStyle w:val="ui-provider"/>
        </w:rPr>
        <w:t>Skiriamas pacientams, kuri</w:t>
      </w:r>
      <w:r w:rsidR="001B63DC">
        <w:rPr>
          <w:rStyle w:val="ui-provider"/>
        </w:rPr>
        <w:t>ų</w:t>
      </w:r>
      <w:r>
        <w:rPr>
          <w:rStyle w:val="ui-provider"/>
        </w:rPr>
        <w:t xml:space="preserve"> atsakas į gydymą </w:t>
      </w:r>
      <w:r w:rsidRPr="001B63DC">
        <w:rPr>
          <w:rStyle w:val="ui-provider"/>
          <w:i/>
        </w:rPr>
        <w:t>pirmos eilės</w:t>
      </w:r>
      <w:r>
        <w:rPr>
          <w:rStyle w:val="ui-provider"/>
        </w:rPr>
        <w:t xml:space="preserve"> biologin</w:t>
      </w:r>
      <w:r w:rsidR="001B63DC">
        <w:rPr>
          <w:rStyle w:val="ui-provider"/>
        </w:rPr>
        <w:t>iu vaistiniu preparatu</w:t>
      </w:r>
      <w:r>
        <w:rPr>
          <w:rStyle w:val="ui-provider"/>
        </w:rPr>
        <w:t xml:space="preserve"> buvo nepakankamas, </w:t>
      </w:r>
      <w:r w:rsidR="001B63DC" w:rsidRPr="005530F9">
        <w:t xml:space="preserve">buvo prarastas </w:t>
      </w:r>
      <w:r>
        <w:rPr>
          <w:rStyle w:val="ui-provider"/>
        </w:rPr>
        <w:t xml:space="preserve">arba gydymas </w:t>
      </w:r>
      <w:r w:rsidR="001B63DC">
        <w:rPr>
          <w:rStyle w:val="ui-provider"/>
        </w:rPr>
        <w:t xml:space="preserve">pirmos eilės </w:t>
      </w:r>
      <w:r w:rsidR="001B63DC" w:rsidRPr="005530F9">
        <w:t xml:space="preserve">biologiniu vaistiniu preparatu </w:t>
      </w:r>
      <w:r w:rsidR="001B63DC">
        <w:rPr>
          <w:rStyle w:val="ui-provider"/>
        </w:rPr>
        <w:t>negalimas ar</w:t>
      </w:r>
      <w:r>
        <w:rPr>
          <w:rStyle w:val="ui-provider"/>
        </w:rPr>
        <w:t xml:space="preserve"> netoleruojamas.</w:t>
      </w:r>
    </w:p>
    <w:sectPr w:rsidR="000723FF" w:rsidRPr="000723FF" w:rsidSect="004E6662">
      <w:headerReference w:type="even" r:id="rId7"/>
      <w:headerReference w:type="default" r:id="rId8"/>
      <w:headerReference w:type="first" r:id="rId9"/>
      <w:footerReference w:type="first" r:id="rId10"/>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60CC6" w14:textId="77777777" w:rsidR="004E6662" w:rsidRDefault="004E6662">
      <w:r>
        <w:separator/>
      </w:r>
    </w:p>
  </w:endnote>
  <w:endnote w:type="continuationSeparator" w:id="0">
    <w:p w14:paraId="173A58B2" w14:textId="77777777" w:rsidR="004E6662" w:rsidRDefault="004E6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D3368" w14:textId="77777777" w:rsidR="00347FAA" w:rsidRDefault="00347FAA">
    <w:pPr>
      <w:pStyle w:val="Porat"/>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816E1" w14:textId="77777777" w:rsidR="004E6662" w:rsidRDefault="004E6662">
      <w:r>
        <w:separator/>
      </w:r>
    </w:p>
  </w:footnote>
  <w:footnote w:type="continuationSeparator" w:id="0">
    <w:p w14:paraId="5FA4D5AC" w14:textId="77777777" w:rsidR="004E6662" w:rsidRDefault="004E66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86FB2" w14:textId="77777777" w:rsidR="00347FAA" w:rsidRDefault="00347F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E81DB01" w14:textId="77777777" w:rsidR="00347FAA" w:rsidRDefault="00347FA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BD5F9" w14:textId="11CA7248" w:rsidR="00347FAA" w:rsidRDefault="00347F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B63DC">
      <w:rPr>
        <w:rStyle w:val="Puslapionumeris"/>
        <w:noProof/>
      </w:rPr>
      <w:t>7</w:t>
    </w:r>
    <w:r>
      <w:rPr>
        <w:rStyle w:val="Puslapionumeris"/>
      </w:rPr>
      <w:fldChar w:fldCharType="end"/>
    </w:r>
  </w:p>
  <w:p w14:paraId="13EC872E" w14:textId="77777777" w:rsidR="00347FAA" w:rsidRDefault="00347FA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E1C8F" w14:textId="77777777" w:rsidR="00347FAA" w:rsidRDefault="00347FAA" w:rsidP="00FD793C">
    <w:pPr>
      <w:pStyle w:val="Antrats"/>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AD2E58"/>
    <w:multiLevelType w:val="hybridMultilevel"/>
    <w:tmpl w:val="F6943F7A"/>
    <w:lvl w:ilvl="0" w:tplc="AB64BC8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4"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6"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9"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1798238">
    <w:abstractNumId w:val="6"/>
  </w:num>
  <w:num w:numId="2" w16cid:durableId="836119043">
    <w:abstractNumId w:val="1"/>
  </w:num>
  <w:num w:numId="3" w16cid:durableId="1111975538">
    <w:abstractNumId w:val="8"/>
  </w:num>
  <w:num w:numId="4" w16cid:durableId="1645355441">
    <w:abstractNumId w:val="7"/>
  </w:num>
  <w:num w:numId="5" w16cid:durableId="242380831">
    <w:abstractNumId w:val="5"/>
  </w:num>
  <w:num w:numId="6" w16cid:durableId="1974938845">
    <w:abstractNumId w:val="4"/>
  </w:num>
  <w:num w:numId="7" w16cid:durableId="1725372015">
    <w:abstractNumId w:val="3"/>
  </w:num>
  <w:num w:numId="8" w16cid:durableId="47001421">
    <w:abstractNumId w:val="11"/>
  </w:num>
  <w:num w:numId="9" w16cid:durableId="971906318">
    <w:abstractNumId w:val="0"/>
  </w:num>
  <w:num w:numId="10" w16cid:durableId="321783275">
    <w:abstractNumId w:val="9"/>
  </w:num>
  <w:num w:numId="11" w16cid:durableId="235164528">
    <w:abstractNumId w:val="10"/>
  </w:num>
  <w:num w:numId="12" w16cid:durableId="14951043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E7"/>
    <w:rsid w:val="000001B0"/>
    <w:rsid w:val="00003F5B"/>
    <w:rsid w:val="000114DD"/>
    <w:rsid w:val="000136F7"/>
    <w:rsid w:val="0002686C"/>
    <w:rsid w:val="00031D0E"/>
    <w:rsid w:val="000337E6"/>
    <w:rsid w:val="0003402E"/>
    <w:rsid w:val="00034EAE"/>
    <w:rsid w:val="00042924"/>
    <w:rsid w:val="00053975"/>
    <w:rsid w:val="00057A2B"/>
    <w:rsid w:val="000606BE"/>
    <w:rsid w:val="000723FF"/>
    <w:rsid w:val="000736B8"/>
    <w:rsid w:val="0008190F"/>
    <w:rsid w:val="00081D9C"/>
    <w:rsid w:val="00082907"/>
    <w:rsid w:val="0008378D"/>
    <w:rsid w:val="000908A5"/>
    <w:rsid w:val="0009221A"/>
    <w:rsid w:val="00092805"/>
    <w:rsid w:val="000C454C"/>
    <w:rsid w:val="000D5038"/>
    <w:rsid w:val="000E29D4"/>
    <w:rsid w:val="000F3540"/>
    <w:rsid w:val="00100491"/>
    <w:rsid w:val="00104E2E"/>
    <w:rsid w:val="00107287"/>
    <w:rsid w:val="00117406"/>
    <w:rsid w:val="00121EF0"/>
    <w:rsid w:val="00124A9E"/>
    <w:rsid w:val="00130703"/>
    <w:rsid w:val="0013153F"/>
    <w:rsid w:val="001408B8"/>
    <w:rsid w:val="001517E2"/>
    <w:rsid w:val="001521D9"/>
    <w:rsid w:val="001554E2"/>
    <w:rsid w:val="00164146"/>
    <w:rsid w:val="00165C93"/>
    <w:rsid w:val="0017369C"/>
    <w:rsid w:val="00175D57"/>
    <w:rsid w:val="00180C39"/>
    <w:rsid w:val="00180D96"/>
    <w:rsid w:val="00182BEC"/>
    <w:rsid w:val="00184BD3"/>
    <w:rsid w:val="001921F3"/>
    <w:rsid w:val="001B3C5B"/>
    <w:rsid w:val="001B63DC"/>
    <w:rsid w:val="001D746F"/>
    <w:rsid w:val="001E4BBB"/>
    <w:rsid w:val="001E6304"/>
    <w:rsid w:val="0020381E"/>
    <w:rsid w:val="00213471"/>
    <w:rsid w:val="00215906"/>
    <w:rsid w:val="00241CD8"/>
    <w:rsid w:val="00244B09"/>
    <w:rsid w:val="002519CB"/>
    <w:rsid w:val="00255630"/>
    <w:rsid w:val="0025697F"/>
    <w:rsid w:val="00260258"/>
    <w:rsid w:val="0026588E"/>
    <w:rsid w:val="00272428"/>
    <w:rsid w:val="00272948"/>
    <w:rsid w:val="00292392"/>
    <w:rsid w:val="002946C7"/>
    <w:rsid w:val="002B3CC1"/>
    <w:rsid w:val="002C09E0"/>
    <w:rsid w:val="002C1BB1"/>
    <w:rsid w:val="002C2786"/>
    <w:rsid w:val="002C3A10"/>
    <w:rsid w:val="002C4A90"/>
    <w:rsid w:val="002C4ED5"/>
    <w:rsid w:val="002D02EF"/>
    <w:rsid w:val="002E0702"/>
    <w:rsid w:val="002E4D07"/>
    <w:rsid w:val="002E57AD"/>
    <w:rsid w:val="002E6F80"/>
    <w:rsid w:val="002F0E4F"/>
    <w:rsid w:val="002F1053"/>
    <w:rsid w:val="00317B0E"/>
    <w:rsid w:val="00347FAA"/>
    <w:rsid w:val="0035172D"/>
    <w:rsid w:val="0036187D"/>
    <w:rsid w:val="00367EDB"/>
    <w:rsid w:val="00381024"/>
    <w:rsid w:val="00386307"/>
    <w:rsid w:val="003874DE"/>
    <w:rsid w:val="00393E9F"/>
    <w:rsid w:val="0039696E"/>
    <w:rsid w:val="003B211A"/>
    <w:rsid w:val="003C141F"/>
    <w:rsid w:val="003C6B0E"/>
    <w:rsid w:val="003C7257"/>
    <w:rsid w:val="003C7E35"/>
    <w:rsid w:val="003D1877"/>
    <w:rsid w:val="003D1E99"/>
    <w:rsid w:val="003D6208"/>
    <w:rsid w:val="00404E8A"/>
    <w:rsid w:val="0040622F"/>
    <w:rsid w:val="00413F24"/>
    <w:rsid w:val="00422853"/>
    <w:rsid w:val="00423160"/>
    <w:rsid w:val="00453862"/>
    <w:rsid w:val="0045469B"/>
    <w:rsid w:val="00461338"/>
    <w:rsid w:val="004677DB"/>
    <w:rsid w:val="0047414A"/>
    <w:rsid w:val="00476256"/>
    <w:rsid w:val="0048630F"/>
    <w:rsid w:val="004947A1"/>
    <w:rsid w:val="0049482A"/>
    <w:rsid w:val="004979D3"/>
    <w:rsid w:val="004A00E7"/>
    <w:rsid w:val="004A3A61"/>
    <w:rsid w:val="004B205D"/>
    <w:rsid w:val="004B4899"/>
    <w:rsid w:val="004B59BA"/>
    <w:rsid w:val="004B5A03"/>
    <w:rsid w:val="004C263A"/>
    <w:rsid w:val="004D48A6"/>
    <w:rsid w:val="004D7B8F"/>
    <w:rsid w:val="004E6458"/>
    <w:rsid w:val="004E6662"/>
    <w:rsid w:val="004E6E7D"/>
    <w:rsid w:val="004F1AAC"/>
    <w:rsid w:val="004F1AE2"/>
    <w:rsid w:val="004F34F0"/>
    <w:rsid w:val="004F3B2B"/>
    <w:rsid w:val="004F6050"/>
    <w:rsid w:val="005005EF"/>
    <w:rsid w:val="005123C2"/>
    <w:rsid w:val="0052144B"/>
    <w:rsid w:val="00524066"/>
    <w:rsid w:val="00534E11"/>
    <w:rsid w:val="005378D8"/>
    <w:rsid w:val="005400D9"/>
    <w:rsid w:val="005476A4"/>
    <w:rsid w:val="0055019B"/>
    <w:rsid w:val="00556E63"/>
    <w:rsid w:val="005601A4"/>
    <w:rsid w:val="00566DBB"/>
    <w:rsid w:val="005767DB"/>
    <w:rsid w:val="005815E6"/>
    <w:rsid w:val="0058712F"/>
    <w:rsid w:val="005976CE"/>
    <w:rsid w:val="005A23D4"/>
    <w:rsid w:val="005A2D1E"/>
    <w:rsid w:val="005B3756"/>
    <w:rsid w:val="005C493F"/>
    <w:rsid w:val="005C6BF7"/>
    <w:rsid w:val="005C71BF"/>
    <w:rsid w:val="005D002C"/>
    <w:rsid w:val="005D30E1"/>
    <w:rsid w:val="005D6555"/>
    <w:rsid w:val="005D7BDF"/>
    <w:rsid w:val="005E4870"/>
    <w:rsid w:val="005F71D9"/>
    <w:rsid w:val="005F7602"/>
    <w:rsid w:val="006031C8"/>
    <w:rsid w:val="006062BE"/>
    <w:rsid w:val="00613143"/>
    <w:rsid w:val="00613501"/>
    <w:rsid w:val="0061611B"/>
    <w:rsid w:val="006166A8"/>
    <w:rsid w:val="006174A1"/>
    <w:rsid w:val="00621D6C"/>
    <w:rsid w:val="00633B49"/>
    <w:rsid w:val="0064297F"/>
    <w:rsid w:val="00645102"/>
    <w:rsid w:val="00646CF3"/>
    <w:rsid w:val="00653D11"/>
    <w:rsid w:val="00662983"/>
    <w:rsid w:val="006834D3"/>
    <w:rsid w:val="00692625"/>
    <w:rsid w:val="00695CD3"/>
    <w:rsid w:val="006A38B6"/>
    <w:rsid w:val="006B1987"/>
    <w:rsid w:val="006B5B71"/>
    <w:rsid w:val="006B6CB0"/>
    <w:rsid w:val="006C0296"/>
    <w:rsid w:val="006C2B64"/>
    <w:rsid w:val="006D4C85"/>
    <w:rsid w:val="006D66AC"/>
    <w:rsid w:val="006E33F6"/>
    <w:rsid w:val="006F1251"/>
    <w:rsid w:val="006F1C23"/>
    <w:rsid w:val="00702C18"/>
    <w:rsid w:val="00703166"/>
    <w:rsid w:val="007127F3"/>
    <w:rsid w:val="007301CF"/>
    <w:rsid w:val="007316FB"/>
    <w:rsid w:val="007374D0"/>
    <w:rsid w:val="00737E2D"/>
    <w:rsid w:val="007424D5"/>
    <w:rsid w:val="00750A88"/>
    <w:rsid w:val="007523DD"/>
    <w:rsid w:val="00757B7E"/>
    <w:rsid w:val="007656B2"/>
    <w:rsid w:val="0077016F"/>
    <w:rsid w:val="007713AD"/>
    <w:rsid w:val="00772BDC"/>
    <w:rsid w:val="00795DC5"/>
    <w:rsid w:val="00797153"/>
    <w:rsid w:val="007A21F7"/>
    <w:rsid w:val="007A2B68"/>
    <w:rsid w:val="007B0DDA"/>
    <w:rsid w:val="007C7519"/>
    <w:rsid w:val="007D3347"/>
    <w:rsid w:val="007E5466"/>
    <w:rsid w:val="007F1949"/>
    <w:rsid w:val="007F2592"/>
    <w:rsid w:val="00800A08"/>
    <w:rsid w:val="00817A84"/>
    <w:rsid w:val="008225A4"/>
    <w:rsid w:val="00824B92"/>
    <w:rsid w:val="00826D5E"/>
    <w:rsid w:val="00832013"/>
    <w:rsid w:val="00832DB7"/>
    <w:rsid w:val="00834732"/>
    <w:rsid w:val="0085200C"/>
    <w:rsid w:val="00857C52"/>
    <w:rsid w:val="00860D5F"/>
    <w:rsid w:val="00880A44"/>
    <w:rsid w:val="0088345E"/>
    <w:rsid w:val="0088656F"/>
    <w:rsid w:val="00891EF6"/>
    <w:rsid w:val="008A0303"/>
    <w:rsid w:val="008A5FDD"/>
    <w:rsid w:val="008C3947"/>
    <w:rsid w:val="008E473B"/>
    <w:rsid w:val="008E51A6"/>
    <w:rsid w:val="008E7329"/>
    <w:rsid w:val="008F2ED5"/>
    <w:rsid w:val="0092297E"/>
    <w:rsid w:val="00923651"/>
    <w:rsid w:val="00927B56"/>
    <w:rsid w:val="009341BF"/>
    <w:rsid w:val="00937907"/>
    <w:rsid w:val="00941739"/>
    <w:rsid w:val="00943E06"/>
    <w:rsid w:val="00951573"/>
    <w:rsid w:val="00963003"/>
    <w:rsid w:val="009641A4"/>
    <w:rsid w:val="00966EEF"/>
    <w:rsid w:val="00971B28"/>
    <w:rsid w:val="00983471"/>
    <w:rsid w:val="009909AB"/>
    <w:rsid w:val="009A6E6B"/>
    <w:rsid w:val="009B37DB"/>
    <w:rsid w:val="009C7A8C"/>
    <w:rsid w:val="009D23F9"/>
    <w:rsid w:val="009D4FA8"/>
    <w:rsid w:val="009E44AE"/>
    <w:rsid w:val="009E6CD6"/>
    <w:rsid w:val="009F4D66"/>
    <w:rsid w:val="00A00C3C"/>
    <w:rsid w:val="00A01091"/>
    <w:rsid w:val="00A042B9"/>
    <w:rsid w:val="00A06DBB"/>
    <w:rsid w:val="00A22ADF"/>
    <w:rsid w:val="00A31E86"/>
    <w:rsid w:val="00A54D87"/>
    <w:rsid w:val="00A5553C"/>
    <w:rsid w:val="00A701C9"/>
    <w:rsid w:val="00A81785"/>
    <w:rsid w:val="00A84803"/>
    <w:rsid w:val="00A84C51"/>
    <w:rsid w:val="00A86F2B"/>
    <w:rsid w:val="00A91366"/>
    <w:rsid w:val="00A93AA6"/>
    <w:rsid w:val="00AA4E48"/>
    <w:rsid w:val="00AA6202"/>
    <w:rsid w:val="00AA7B57"/>
    <w:rsid w:val="00AC26FC"/>
    <w:rsid w:val="00AC4A99"/>
    <w:rsid w:val="00AC64D2"/>
    <w:rsid w:val="00AD02E7"/>
    <w:rsid w:val="00AE0FE8"/>
    <w:rsid w:val="00AE1322"/>
    <w:rsid w:val="00AF60D5"/>
    <w:rsid w:val="00B00959"/>
    <w:rsid w:val="00B04415"/>
    <w:rsid w:val="00B06509"/>
    <w:rsid w:val="00B11D60"/>
    <w:rsid w:val="00B13D65"/>
    <w:rsid w:val="00B21805"/>
    <w:rsid w:val="00B3072E"/>
    <w:rsid w:val="00B36E15"/>
    <w:rsid w:val="00B37245"/>
    <w:rsid w:val="00B4017A"/>
    <w:rsid w:val="00B4468D"/>
    <w:rsid w:val="00B51FBC"/>
    <w:rsid w:val="00B71C72"/>
    <w:rsid w:val="00B81E92"/>
    <w:rsid w:val="00B908D7"/>
    <w:rsid w:val="00B915AB"/>
    <w:rsid w:val="00B935E8"/>
    <w:rsid w:val="00B93B30"/>
    <w:rsid w:val="00B94CB5"/>
    <w:rsid w:val="00BA0DD9"/>
    <w:rsid w:val="00BA5DBC"/>
    <w:rsid w:val="00BB6312"/>
    <w:rsid w:val="00BC4D06"/>
    <w:rsid w:val="00BD585E"/>
    <w:rsid w:val="00BD6919"/>
    <w:rsid w:val="00BE1EA7"/>
    <w:rsid w:val="00BE7489"/>
    <w:rsid w:val="00BF2E0D"/>
    <w:rsid w:val="00BF3927"/>
    <w:rsid w:val="00BF3F8B"/>
    <w:rsid w:val="00BF76DA"/>
    <w:rsid w:val="00C07C7B"/>
    <w:rsid w:val="00C16245"/>
    <w:rsid w:val="00C22DC5"/>
    <w:rsid w:val="00C24479"/>
    <w:rsid w:val="00C273F2"/>
    <w:rsid w:val="00C37B53"/>
    <w:rsid w:val="00C517D2"/>
    <w:rsid w:val="00C5772E"/>
    <w:rsid w:val="00C62B36"/>
    <w:rsid w:val="00C7012C"/>
    <w:rsid w:val="00C712EA"/>
    <w:rsid w:val="00CA217D"/>
    <w:rsid w:val="00CC09D4"/>
    <w:rsid w:val="00CC36AC"/>
    <w:rsid w:val="00CC668D"/>
    <w:rsid w:val="00CC7832"/>
    <w:rsid w:val="00CF0C1C"/>
    <w:rsid w:val="00CF27FD"/>
    <w:rsid w:val="00CF5F12"/>
    <w:rsid w:val="00D00D8F"/>
    <w:rsid w:val="00D21F3A"/>
    <w:rsid w:val="00D23808"/>
    <w:rsid w:val="00D3016A"/>
    <w:rsid w:val="00D417D2"/>
    <w:rsid w:val="00D42960"/>
    <w:rsid w:val="00D43BD7"/>
    <w:rsid w:val="00D4485B"/>
    <w:rsid w:val="00D4708D"/>
    <w:rsid w:val="00D4744C"/>
    <w:rsid w:val="00D521DE"/>
    <w:rsid w:val="00D5470B"/>
    <w:rsid w:val="00D63068"/>
    <w:rsid w:val="00D6498C"/>
    <w:rsid w:val="00D76A70"/>
    <w:rsid w:val="00D83182"/>
    <w:rsid w:val="00D8521E"/>
    <w:rsid w:val="00D9291C"/>
    <w:rsid w:val="00D93A97"/>
    <w:rsid w:val="00D95978"/>
    <w:rsid w:val="00DB1F64"/>
    <w:rsid w:val="00DC2F53"/>
    <w:rsid w:val="00DC5BAC"/>
    <w:rsid w:val="00DC6816"/>
    <w:rsid w:val="00DC76C2"/>
    <w:rsid w:val="00DD1CF2"/>
    <w:rsid w:val="00DE4484"/>
    <w:rsid w:val="00DF41B7"/>
    <w:rsid w:val="00DF4A4A"/>
    <w:rsid w:val="00DF583C"/>
    <w:rsid w:val="00E03C3F"/>
    <w:rsid w:val="00E06FD7"/>
    <w:rsid w:val="00E07417"/>
    <w:rsid w:val="00E228E8"/>
    <w:rsid w:val="00E24D45"/>
    <w:rsid w:val="00E313CE"/>
    <w:rsid w:val="00E33DB8"/>
    <w:rsid w:val="00E33EFF"/>
    <w:rsid w:val="00E34387"/>
    <w:rsid w:val="00E348BA"/>
    <w:rsid w:val="00E369FE"/>
    <w:rsid w:val="00E37C6F"/>
    <w:rsid w:val="00E475F8"/>
    <w:rsid w:val="00E5102E"/>
    <w:rsid w:val="00E5721C"/>
    <w:rsid w:val="00E619C6"/>
    <w:rsid w:val="00E745A1"/>
    <w:rsid w:val="00E75DAD"/>
    <w:rsid w:val="00E81529"/>
    <w:rsid w:val="00E83A13"/>
    <w:rsid w:val="00EB6FC5"/>
    <w:rsid w:val="00EC2356"/>
    <w:rsid w:val="00EC2582"/>
    <w:rsid w:val="00EC337C"/>
    <w:rsid w:val="00ED0CFF"/>
    <w:rsid w:val="00ED31D2"/>
    <w:rsid w:val="00EE0EAC"/>
    <w:rsid w:val="00EE3322"/>
    <w:rsid w:val="00EE33CB"/>
    <w:rsid w:val="00F0061A"/>
    <w:rsid w:val="00F02834"/>
    <w:rsid w:val="00F04EEB"/>
    <w:rsid w:val="00F05467"/>
    <w:rsid w:val="00F055D2"/>
    <w:rsid w:val="00F07CD7"/>
    <w:rsid w:val="00F127E9"/>
    <w:rsid w:val="00F14B5D"/>
    <w:rsid w:val="00F259FC"/>
    <w:rsid w:val="00F36972"/>
    <w:rsid w:val="00F42426"/>
    <w:rsid w:val="00F456BC"/>
    <w:rsid w:val="00F50666"/>
    <w:rsid w:val="00F70C9E"/>
    <w:rsid w:val="00F74A74"/>
    <w:rsid w:val="00F7572C"/>
    <w:rsid w:val="00F8382C"/>
    <w:rsid w:val="00F855D7"/>
    <w:rsid w:val="00F92035"/>
    <w:rsid w:val="00F92748"/>
    <w:rsid w:val="00FA4169"/>
    <w:rsid w:val="00FB0D41"/>
    <w:rsid w:val="00FB2030"/>
    <w:rsid w:val="00FD0E46"/>
    <w:rsid w:val="00FD1CF2"/>
    <w:rsid w:val="00FD3EDF"/>
    <w:rsid w:val="00FD793C"/>
    <w:rsid w:val="00FE0FD5"/>
    <w:rsid w:val="00FE20E6"/>
    <w:rsid w:val="00FE3E3B"/>
    <w:rsid w:val="00FF4032"/>
    <w:rsid w:val="00FF6469"/>
    <w:rsid w:val="00FF7E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FE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81529"/>
    <w:rPr>
      <w:sz w:val="24"/>
      <w:szCs w:val="24"/>
      <w:lang w:eastAsia="en-US"/>
    </w:rPr>
  </w:style>
  <w:style w:type="paragraph" w:styleId="Antrat1">
    <w:name w:val="heading 1"/>
    <w:basedOn w:val="prastasis"/>
    <w:next w:val="prastasis"/>
    <w:qFormat/>
    <w:rsid w:val="00A84C51"/>
    <w:pPr>
      <w:keepNext/>
      <w:jc w:val="center"/>
      <w:outlineLvl w:val="0"/>
    </w:pPr>
    <w:rPr>
      <w:b/>
      <w:bCs/>
      <w:caps/>
    </w:rPr>
  </w:style>
  <w:style w:type="paragraph" w:styleId="Antrat2">
    <w:name w:val="heading 2"/>
    <w:basedOn w:val="prastasis"/>
    <w:next w:val="prastasis"/>
    <w:qFormat/>
    <w:rsid w:val="00A84C51"/>
    <w:pPr>
      <w:keepNext/>
      <w:jc w:val="center"/>
      <w:outlineLvl w:val="1"/>
    </w:pPr>
    <w:rPr>
      <w:b/>
      <w:bCs/>
      <w:caps/>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A84C51"/>
    <w:pPr>
      <w:tabs>
        <w:tab w:val="center" w:pos="4986"/>
        <w:tab w:val="right" w:pos="9972"/>
      </w:tabs>
    </w:pPr>
  </w:style>
  <w:style w:type="paragraph" w:styleId="Porat">
    <w:name w:val="footer"/>
    <w:basedOn w:val="prastasis"/>
    <w:link w:val="PoratDiagrama"/>
    <w:rsid w:val="00A84C51"/>
    <w:pPr>
      <w:tabs>
        <w:tab w:val="center" w:pos="4986"/>
        <w:tab w:val="right" w:pos="9972"/>
      </w:tabs>
    </w:pPr>
  </w:style>
  <w:style w:type="character" w:styleId="Puslapionumeris">
    <w:name w:val="page number"/>
    <w:basedOn w:val="Numatytasispastraiposriftas"/>
    <w:rsid w:val="00A84C51"/>
  </w:style>
  <w:style w:type="character" w:styleId="Hipersaitas">
    <w:name w:val="Hyperlink"/>
    <w:basedOn w:val="Numatytasispastraiposriftas"/>
    <w:rsid w:val="00A84C51"/>
    <w:rPr>
      <w:color w:val="0000FF"/>
      <w:u w:val="single"/>
    </w:rPr>
  </w:style>
  <w:style w:type="paragraph" w:styleId="Debesliotekstas">
    <w:name w:val="Balloon Text"/>
    <w:basedOn w:val="prastasis"/>
    <w:semiHidden/>
    <w:rsid w:val="00EC2356"/>
    <w:rPr>
      <w:rFonts w:ascii="Tahoma" w:hAnsi="Tahoma" w:cs="Tahoma"/>
      <w:sz w:val="16"/>
      <w:szCs w:val="16"/>
    </w:rPr>
  </w:style>
  <w:style w:type="character" w:customStyle="1" w:styleId="PoratDiagrama">
    <w:name w:val="Poraštė Diagrama"/>
    <w:basedOn w:val="Numatytasispastraiposriftas"/>
    <w:link w:val="Porat"/>
    <w:rsid w:val="00737E2D"/>
    <w:rPr>
      <w:sz w:val="24"/>
      <w:szCs w:val="24"/>
      <w:lang w:eastAsia="en-US"/>
    </w:rPr>
  </w:style>
  <w:style w:type="character" w:customStyle="1" w:styleId="Neapdorotaspaminjimas1">
    <w:name w:val="Neapdorotas paminėjimas1"/>
    <w:basedOn w:val="Numatytasispastraiposriftas"/>
    <w:uiPriority w:val="99"/>
    <w:semiHidden/>
    <w:unhideWhenUsed/>
    <w:rsid w:val="00A31E86"/>
    <w:rPr>
      <w:color w:val="605E5C"/>
      <w:shd w:val="clear" w:color="auto" w:fill="E1DFDD"/>
    </w:rPr>
  </w:style>
  <w:style w:type="character" w:styleId="Perirtashipersaitas">
    <w:name w:val="FollowedHyperlink"/>
    <w:basedOn w:val="Numatytasispastraiposriftas"/>
    <w:semiHidden/>
    <w:unhideWhenUsed/>
    <w:rsid w:val="00A31E86"/>
    <w:rPr>
      <w:color w:val="800080" w:themeColor="followedHyperlink"/>
      <w:u w:val="single"/>
    </w:rPr>
  </w:style>
  <w:style w:type="table" w:styleId="Lentelstinklelis">
    <w:name w:val="Table Grid"/>
    <w:basedOn w:val="prastojilentel"/>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C7012C"/>
    <w:rPr>
      <w:sz w:val="16"/>
      <w:szCs w:val="16"/>
    </w:rPr>
  </w:style>
  <w:style w:type="paragraph" w:styleId="Komentarotekstas">
    <w:name w:val="annotation text"/>
    <w:basedOn w:val="prastasis"/>
    <w:link w:val="KomentarotekstasDiagrama"/>
    <w:unhideWhenUsed/>
    <w:rsid w:val="00C7012C"/>
    <w:rPr>
      <w:sz w:val="20"/>
      <w:szCs w:val="20"/>
    </w:rPr>
  </w:style>
  <w:style w:type="character" w:customStyle="1" w:styleId="KomentarotekstasDiagrama">
    <w:name w:val="Komentaro tekstas Diagrama"/>
    <w:basedOn w:val="Numatytasispastraiposriftas"/>
    <w:link w:val="Komentarotekstas"/>
    <w:rsid w:val="00C7012C"/>
    <w:rPr>
      <w:lang w:eastAsia="en-US"/>
    </w:rPr>
  </w:style>
  <w:style w:type="paragraph" w:styleId="Komentarotema">
    <w:name w:val="annotation subject"/>
    <w:basedOn w:val="Komentarotekstas"/>
    <w:next w:val="Komentarotekstas"/>
    <w:link w:val="KomentarotemaDiagrama"/>
    <w:semiHidden/>
    <w:unhideWhenUsed/>
    <w:rsid w:val="00C7012C"/>
    <w:rPr>
      <w:b/>
      <w:bCs/>
    </w:rPr>
  </w:style>
  <w:style w:type="character" w:customStyle="1" w:styleId="KomentarotemaDiagrama">
    <w:name w:val="Komentaro tema Diagrama"/>
    <w:basedOn w:val="KomentarotekstasDiagrama"/>
    <w:link w:val="Komentarotema"/>
    <w:semiHidden/>
    <w:rsid w:val="00C7012C"/>
    <w:rPr>
      <w:b/>
      <w:bCs/>
      <w:lang w:eastAsia="en-US"/>
    </w:rPr>
  </w:style>
  <w:style w:type="paragraph" w:styleId="Sraopastraipa">
    <w:name w:val="List Paragraph"/>
    <w:aliases w:val="Summary Bullets,Bullet 1,Bullet1,Bullet List,Section 5,List Paragraph CCT minutes,Table Legend,Bullets Points,Use Case List Paragraph,List Paragraph1,Body Bullet,Table Number Paragraph,Colorful List - Accent 11,List Paragraph 1,Ref,B1"/>
    <w:basedOn w:val="prastasis"/>
    <w:link w:val="SraopastraipaDiagrama"/>
    <w:uiPriority w:val="34"/>
    <w:qFormat/>
    <w:rsid w:val="00104E2E"/>
    <w:pPr>
      <w:ind w:left="720"/>
      <w:contextualSpacing/>
    </w:pPr>
  </w:style>
  <w:style w:type="character" w:customStyle="1" w:styleId="Style2">
    <w:name w:val="Style2"/>
    <w:basedOn w:val="Numatytasispastraiposriftas"/>
    <w:uiPriority w:val="1"/>
    <w:rsid w:val="00D6498C"/>
    <w:rPr>
      <w:sz w:val="32"/>
    </w:rPr>
  </w:style>
  <w:style w:type="character" w:styleId="Vietosrezervavimoenklotekstas">
    <w:name w:val="Placeholder Text"/>
    <w:basedOn w:val="Numatytasispastraiposriftas"/>
    <w:uiPriority w:val="99"/>
    <w:rsid w:val="00B13D65"/>
    <w:rPr>
      <w:color w:val="808080"/>
    </w:rPr>
  </w:style>
  <w:style w:type="paragraph" w:styleId="Betarp">
    <w:name w:val="No Spacing"/>
    <w:uiPriority w:val="1"/>
    <w:qFormat/>
    <w:rsid w:val="00B13D65"/>
    <w:rPr>
      <w:rFonts w:ascii="Calibri" w:eastAsia="Calibri" w:hAnsi="Calibri"/>
      <w:sz w:val="22"/>
      <w:szCs w:val="22"/>
      <w:lang w:eastAsia="en-US"/>
    </w:rPr>
  </w:style>
  <w:style w:type="table" w:customStyle="1" w:styleId="Lentelstinklelis1">
    <w:name w:val="Lentelės tinklelis1"/>
    <w:basedOn w:val="prastojilentel"/>
    <w:next w:val="Lentelstinklelis"/>
    <w:rsid w:val="009E44A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76256"/>
    <w:rPr>
      <w:sz w:val="24"/>
      <w:szCs w:val="24"/>
      <w:lang w:eastAsia="en-US"/>
    </w:rPr>
  </w:style>
  <w:style w:type="character" w:customStyle="1" w:styleId="SraopastraipaDiagrama">
    <w:name w:val="Sąrašo pastraipa Diagrama"/>
    <w:aliases w:val="Summary Bullets Diagrama,Bullet 1 Diagrama,Bullet1 Diagrama,Bullet List Diagrama,Section 5 Diagrama,List Paragraph CCT minutes Diagrama,Table Legend Diagrama,Bullets Points Diagrama,Use Case List Paragraph Diagrama,Ref Diagrama"/>
    <w:basedOn w:val="Numatytasispastraiposriftas"/>
    <w:link w:val="Sraopastraipa"/>
    <w:uiPriority w:val="34"/>
    <w:rsid w:val="003D1877"/>
    <w:rPr>
      <w:sz w:val="24"/>
      <w:szCs w:val="24"/>
      <w:lang w:eastAsia="en-US"/>
    </w:rPr>
  </w:style>
  <w:style w:type="character" w:customStyle="1" w:styleId="ui-provider">
    <w:name w:val="ui-provider"/>
    <w:basedOn w:val="Numatytasispastraiposriftas"/>
    <w:rsid w:val="004B48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8802146">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9938</Words>
  <Characters>5666</Characters>
  <Application>Microsoft Office Word</Application>
  <DocSecurity>0</DocSecurity>
  <Lines>47</Lines>
  <Paragraphs>31</Paragraphs>
  <ScaleCrop>false</ScaleCrop>
  <Company/>
  <LinksUpToDate>false</LinksUpToDate>
  <CharactersWithSpaces>15573</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2024-04-04T20:15:00Z</dcterms:created>
  <dcterms:modified xsi:type="dcterms:W3CDTF">2024-04-11T07:44:00Z</dcterms:modified>
</cp:coreProperties>
</file>