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975C" w14:textId="77777777" w:rsidR="003D3228" w:rsidRPr="00753ABA" w:rsidRDefault="003D3228" w:rsidP="003D3228">
      <w:pPr>
        <w:ind w:left="5529"/>
      </w:pPr>
    </w:p>
    <w:p w14:paraId="154365D6" w14:textId="77777777" w:rsidR="003D3228" w:rsidRPr="00753ABA" w:rsidRDefault="003D3228" w:rsidP="003D3228">
      <w:pPr>
        <w:ind w:left="6096"/>
      </w:pPr>
      <w:r w:rsidRPr="00753ABA">
        <w:t>Forma patvirtinta</w:t>
      </w:r>
    </w:p>
    <w:p w14:paraId="55A68C2C" w14:textId="77777777" w:rsidR="003D3228" w:rsidRPr="00753ABA" w:rsidRDefault="003D3228" w:rsidP="003D3228">
      <w:pPr>
        <w:ind w:left="6096"/>
      </w:pPr>
      <w:r w:rsidRPr="00753ABA">
        <w:t>Valstybinės vaistų kontrolės tarnybos prie Lietuvos Respublikos sveikatos apsaugos ministerijos viršininko 2021 m. lapkričio 12 d. įsakymu Nr. (1.72E)1A-1418</w:t>
      </w:r>
    </w:p>
    <w:p w14:paraId="715C4E1F" w14:textId="77777777" w:rsidR="003D3228" w:rsidRPr="00753ABA" w:rsidRDefault="003D3228" w:rsidP="003D3228">
      <w:pPr>
        <w:ind w:left="6096"/>
      </w:pPr>
      <w:r w:rsidRPr="00753ABA">
        <w:t>(Valstybinės vaistų kontrolės tarnybos prie Lietuvos Respublikos sveikatos apsaugos ministerijos viršininko 2022 m.                         d. įsakymo Nr.                    redakcija)</w:t>
      </w:r>
    </w:p>
    <w:p w14:paraId="7D2DE8CE" w14:textId="77777777" w:rsidR="003D3228" w:rsidRPr="00753ABA" w:rsidRDefault="003D3228" w:rsidP="003D3228"/>
    <w:p w14:paraId="65491641" w14:textId="77777777" w:rsidR="003D3228" w:rsidRPr="00753ABA" w:rsidRDefault="003D3228" w:rsidP="003D3228"/>
    <w:p w14:paraId="3FE79959" w14:textId="77777777" w:rsidR="003D3228" w:rsidRPr="00753ABA" w:rsidRDefault="003D3228" w:rsidP="003D3228">
      <w:pPr>
        <w:jc w:val="center"/>
        <w:rPr>
          <w:b/>
          <w:bCs/>
          <w:caps/>
        </w:rPr>
      </w:pPr>
      <w:r w:rsidRPr="00753ABA">
        <w:rPr>
          <w:b/>
        </w:rPr>
        <w:t xml:space="preserve">REKOMENDACIJA DĖL VAISTINIO PREPARATO </w:t>
      </w:r>
      <w:r w:rsidRPr="00753ABA">
        <w:rPr>
          <w:b/>
          <w:bCs/>
          <w:caps/>
        </w:rPr>
        <w:t>Lietuvos Respublikos Sveikatos apsaugos ministerijos vaistinių preparatų ir medicinos pagalbos priemonių kompensavimo komisijai</w:t>
      </w:r>
    </w:p>
    <w:p w14:paraId="32F2CE17" w14:textId="77777777" w:rsidR="003D3228" w:rsidRPr="00753ABA" w:rsidRDefault="003D3228" w:rsidP="003D3228">
      <w:pPr>
        <w:jc w:val="center"/>
        <w:rPr>
          <w:b/>
        </w:rPr>
      </w:pPr>
    </w:p>
    <w:p w14:paraId="20B16E22" w14:textId="4121B77D" w:rsidR="00C87FFC" w:rsidRPr="00753ABA" w:rsidRDefault="00C87FFC" w:rsidP="00C87FFC">
      <w:pPr>
        <w:jc w:val="center"/>
        <w:rPr>
          <w:b/>
        </w:rPr>
      </w:pPr>
      <w:r w:rsidRPr="00753ABA">
        <w:rPr>
          <w:b/>
        </w:rPr>
        <w:t>Xeljanz, 5 mg ir 10 mg, plėvele dengtos tabletės</w:t>
      </w:r>
    </w:p>
    <w:p w14:paraId="1E8726A5" w14:textId="75DFAB09" w:rsidR="00881DF5" w:rsidRPr="00753ABA" w:rsidRDefault="00881DF5" w:rsidP="00881DF5">
      <w:pPr>
        <w:jc w:val="center"/>
      </w:pPr>
    </w:p>
    <w:p w14:paraId="41E25A36" w14:textId="77777777" w:rsidR="00881DF5" w:rsidRPr="00AD6CE2" w:rsidRDefault="00881DF5" w:rsidP="00881DF5">
      <w:pPr>
        <w:jc w:val="center"/>
      </w:pPr>
      <w:r w:rsidRPr="00AD6CE2">
        <w:t>(</w:t>
      </w:r>
      <w:r w:rsidRPr="00AD6CE2">
        <w:rPr>
          <w:rFonts w:eastAsiaTheme="minorHAnsi"/>
          <w:b/>
          <w:bCs/>
          <w:iCs/>
          <w:color w:val="000000"/>
        </w:rPr>
        <w:t>Tofacitinibas</w:t>
      </w:r>
      <w:r w:rsidRPr="00AD6CE2">
        <w:t xml:space="preserve">) </w:t>
      </w:r>
    </w:p>
    <w:p w14:paraId="23ABB464" w14:textId="77777777" w:rsidR="00881DF5" w:rsidRPr="00AD6CE2" w:rsidRDefault="00881DF5" w:rsidP="00881DF5">
      <w:pPr>
        <w:jc w:val="center"/>
      </w:pPr>
    </w:p>
    <w:p w14:paraId="0D3433F4" w14:textId="77777777" w:rsidR="00881DF5" w:rsidRPr="00753ABA" w:rsidRDefault="00881DF5" w:rsidP="00881DF5">
      <w:pPr>
        <w:jc w:val="center"/>
        <w:rPr>
          <w:b/>
        </w:rPr>
      </w:pPr>
      <w:r w:rsidRPr="00753ABA">
        <w:rPr>
          <w:b/>
        </w:rPr>
        <w:t>STV-105</w:t>
      </w:r>
    </w:p>
    <w:p w14:paraId="1C3D5BED" w14:textId="77777777" w:rsidR="003D3228" w:rsidRPr="00753ABA" w:rsidRDefault="003D3228" w:rsidP="003D3228">
      <w:pPr>
        <w:jc w:val="center"/>
        <w:rPr>
          <w:b/>
        </w:rPr>
      </w:pPr>
    </w:p>
    <w:p w14:paraId="78FC4FDD" w14:textId="77777777" w:rsidR="003D3228" w:rsidRPr="00753ABA" w:rsidRDefault="003D3228" w:rsidP="003D3228">
      <w:pPr>
        <w:jc w:val="center"/>
        <w:rPr>
          <w:b/>
        </w:rPr>
      </w:pPr>
    </w:p>
    <w:p w14:paraId="0290B70B" w14:textId="77777777" w:rsidR="003D3228" w:rsidRPr="00753ABA" w:rsidRDefault="003D3228" w:rsidP="003D3228">
      <w:pPr>
        <w:pStyle w:val="Sraopastraipa"/>
        <w:numPr>
          <w:ilvl w:val="0"/>
          <w:numId w:val="1"/>
        </w:numPr>
        <w:tabs>
          <w:tab w:val="left" w:pos="567"/>
        </w:tabs>
        <w:ind w:left="567" w:hanging="567"/>
        <w:rPr>
          <w:b/>
          <w:bCs/>
          <w:caps/>
        </w:rPr>
      </w:pPr>
      <w:r w:rsidRPr="00753ABA">
        <w:rPr>
          <w:b/>
          <w:bCs/>
          <w:caps/>
        </w:rPr>
        <w:t>Bendroji dalis</w:t>
      </w:r>
    </w:p>
    <w:p w14:paraId="04CAC7E3" w14:textId="77777777" w:rsidR="003D3228" w:rsidRPr="00753ABA" w:rsidRDefault="003D3228" w:rsidP="003D3228">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881DF5" w:rsidRPr="00CE43C2" w14:paraId="2027F97B" w14:textId="77777777" w:rsidTr="000A2C78">
        <w:trPr>
          <w:trHeight w:val="314"/>
        </w:trPr>
        <w:tc>
          <w:tcPr>
            <w:tcW w:w="632" w:type="dxa"/>
          </w:tcPr>
          <w:p w14:paraId="72630D5B" w14:textId="11E641A1" w:rsidR="00881DF5" w:rsidRPr="00CE43C2" w:rsidRDefault="00881DF5" w:rsidP="00881DF5">
            <w:pPr>
              <w:rPr>
                <w:rFonts w:eastAsia="Arial"/>
                <w:sz w:val="24"/>
                <w:szCs w:val="24"/>
              </w:rPr>
            </w:pPr>
            <w:r w:rsidRPr="00CE43C2">
              <w:rPr>
                <w:rFonts w:eastAsia="Arial"/>
                <w:sz w:val="24"/>
                <w:szCs w:val="24"/>
              </w:rPr>
              <w:t>1.1</w:t>
            </w:r>
          </w:p>
        </w:tc>
        <w:tc>
          <w:tcPr>
            <w:tcW w:w="3694" w:type="dxa"/>
          </w:tcPr>
          <w:p w14:paraId="5D044E3D" w14:textId="7876F33D" w:rsidR="00881DF5" w:rsidRPr="00CE43C2" w:rsidRDefault="00881DF5" w:rsidP="00881DF5">
            <w:pPr>
              <w:rPr>
                <w:rFonts w:eastAsia="Arial"/>
                <w:sz w:val="24"/>
                <w:szCs w:val="24"/>
              </w:rPr>
            </w:pPr>
            <w:r w:rsidRPr="00CE43C2">
              <w:rPr>
                <w:bCs/>
                <w:color w:val="000000"/>
                <w:sz w:val="24"/>
                <w:szCs w:val="24"/>
                <w:lang w:eastAsia="lt-LT"/>
              </w:rPr>
              <w:t>Pareiškėjas</w:t>
            </w:r>
          </w:p>
        </w:tc>
        <w:tc>
          <w:tcPr>
            <w:tcW w:w="5167" w:type="dxa"/>
          </w:tcPr>
          <w:p w14:paraId="093A6456" w14:textId="6C4FE2E0" w:rsidR="00881DF5" w:rsidRPr="00CE43C2" w:rsidRDefault="00881DF5" w:rsidP="00881DF5">
            <w:pPr>
              <w:rPr>
                <w:sz w:val="24"/>
                <w:szCs w:val="24"/>
              </w:rPr>
            </w:pPr>
            <w:r w:rsidRPr="00CE43C2">
              <w:rPr>
                <w:rFonts w:eastAsia="Arial"/>
                <w:sz w:val="24"/>
                <w:szCs w:val="24"/>
              </w:rPr>
              <w:t>Pfizer Europe MA EEIG</w:t>
            </w:r>
          </w:p>
        </w:tc>
      </w:tr>
      <w:tr w:rsidR="00881DF5" w:rsidRPr="00CE43C2" w14:paraId="7D20B29B" w14:textId="77777777" w:rsidTr="000A2C78">
        <w:trPr>
          <w:trHeight w:val="156"/>
        </w:trPr>
        <w:tc>
          <w:tcPr>
            <w:tcW w:w="632" w:type="dxa"/>
          </w:tcPr>
          <w:p w14:paraId="389AAD0A" w14:textId="061ACA9E" w:rsidR="00881DF5" w:rsidRPr="00CE43C2" w:rsidRDefault="00881DF5" w:rsidP="00881DF5">
            <w:pPr>
              <w:rPr>
                <w:rFonts w:eastAsia="Arial"/>
                <w:sz w:val="24"/>
                <w:szCs w:val="24"/>
              </w:rPr>
            </w:pPr>
            <w:r w:rsidRPr="00CE43C2">
              <w:rPr>
                <w:rFonts w:eastAsia="Arial"/>
                <w:sz w:val="24"/>
                <w:szCs w:val="24"/>
              </w:rPr>
              <w:t>1.2</w:t>
            </w:r>
          </w:p>
        </w:tc>
        <w:tc>
          <w:tcPr>
            <w:tcW w:w="3694" w:type="dxa"/>
          </w:tcPr>
          <w:p w14:paraId="27C6E66B" w14:textId="77777777" w:rsidR="00881DF5" w:rsidRPr="00CE43C2" w:rsidRDefault="00881DF5" w:rsidP="00881DF5">
            <w:pPr>
              <w:tabs>
                <w:tab w:val="left" w:pos="284"/>
              </w:tabs>
              <w:spacing w:line="280" w:lineRule="atLeast"/>
              <w:rPr>
                <w:bCs/>
                <w:color w:val="000000"/>
                <w:sz w:val="24"/>
                <w:szCs w:val="24"/>
                <w:lang w:eastAsia="lt-LT"/>
              </w:rPr>
            </w:pPr>
            <w:r w:rsidRPr="00CE43C2">
              <w:rPr>
                <w:bCs/>
                <w:color w:val="000000"/>
                <w:sz w:val="24"/>
                <w:szCs w:val="24"/>
                <w:lang w:eastAsia="lt-LT"/>
              </w:rPr>
              <w:t>Registracijos data (EVA)</w:t>
            </w:r>
          </w:p>
          <w:p w14:paraId="20ED2BCE" w14:textId="4CDBCFFC" w:rsidR="00881DF5" w:rsidRPr="00CE43C2" w:rsidRDefault="00881DF5" w:rsidP="00881DF5">
            <w:pPr>
              <w:rPr>
                <w:bCs/>
                <w:color w:val="000000"/>
                <w:sz w:val="24"/>
                <w:szCs w:val="24"/>
                <w:lang w:eastAsia="lt-LT"/>
              </w:rPr>
            </w:pPr>
          </w:p>
        </w:tc>
        <w:tc>
          <w:tcPr>
            <w:tcW w:w="5167" w:type="dxa"/>
          </w:tcPr>
          <w:p w14:paraId="45B64924" w14:textId="6681DD75" w:rsidR="00881DF5" w:rsidRPr="00CE43C2" w:rsidRDefault="00000000" w:rsidP="00881DF5">
            <w:pPr>
              <w:rPr>
                <w:rStyle w:val="Style2"/>
                <w:sz w:val="24"/>
                <w:szCs w:val="24"/>
                <w:lang w:eastAsia="en-US"/>
              </w:rPr>
            </w:pPr>
            <w:sdt>
              <w:sdtPr>
                <w:rPr>
                  <w:color w:val="333333"/>
                  <w:sz w:val="32"/>
                  <w:shd w:val="clear" w:color="auto" w:fill="FFFFFF"/>
                </w:rPr>
                <w:alias w:val="Nurodykite konkrečią dieną"/>
                <w:tag w:val="Nurodykite pradžios datą"/>
                <w:id w:val="423238108"/>
                <w:placeholder>
                  <w:docPart w:val="DE149555F64062448E7BC2A49717F664"/>
                </w:placeholder>
                <w15:color w:val="FFCC99"/>
                <w:date w:fullDate="2017-03-22T00:00:00Z">
                  <w:dateFormat w:val="yyyy 'm.' MMMM d 'd.'"/>
                  <w:lid w:val="lt-LT"/>
                  <w:storeMappedDataAs w:val="dateTime"/>
                  <w:calendar w:val="gregorian"/>
                </w:date>
              </w:sdtPr>
              <w:sdtContent>
                <w:r w:rsidR="00881DF5" w:rsidRPr="00CE43C2">
                  <w:rPr>
                    <w:color w:val="333333"/>
                    <w:sz w:val="24"/>
                    <w:szCs w:val="24"/>
                    <w:shd w:val="clear" w:color="auto" w:fill="FFFFFF"/>
                  </w:rPr>
                  <w:t>2017 m. kovo 22 d.</w:t>
                </w:r>
              </w:sdtContent>
            </w:sdt>
          </w:p>
        </w:tc>
      </w:tr>
      <w:tr w:rsidR="00881DF5" w:rsidRPr="00CE43C2" w14:paraId="5984B186" w14:textId="77777777" w:rsidTr="000A2C78">
        <w:trPr>
          <w:trHeight w:val="1500"/>
        </w:trPr>
        <w:tc>
          <w:tcPr>
            <w:tcW w:w="632" w:type="dxa"/>
          </w:tcPr>
          <w:p w14:paraId="6A70DDEA" w14:textId="1DDAB0CA" w:rsidR="00881DF5" w:rsidRPr="00CE43C2" w:rsidRDefault="00881DF5" w:rsidP="00881DF5">
            <w:pPr>
              <w:rPr>
                <w:rFonts w:eastAsia="Arial"/>
                <w:sz w:val="24"/>
                <w:szCs w:val="24"/>
              </w:rPr>
            </w:pPr>
            <w:r w:rsidRPr="00CE43C2">
              <w:rPr>
                <w:rFonts w:eastAsia="Arial"/>
                <w:sz w:val="24"/>
                <w:szCs w:val="24"/>
              </w:rPr>
              <w:t>1.3</w:t>
            </w:r>
          </w:p>
        </w:tc>
        <w:tc>
          <w:tcPr>
            <w:tcW w:w="3694" w:type="dxa"/>
          </w:tcPr>
          <w:p w14:paraId="69BCF43F" w14:textId="77777777" w:rsidR="00881DF5" w:rsidRPr="00CE43C2" w:rsidRDefault="00881DF5" w:rsidP="00881DF5">
            <w:pPr>
              <w:pStyle w:val="Betarp"/>
              <w:rPr>
                <w:rFonts w:ascii="Times New Roman" w:hAnsi="Times New Roman"/>
                <w:sz w:val="24"/>
                <w:szCs w:val="24"/>
              </w:rPr>
            </w:pPr>
            <w:r w:rsidRPr="00CE43C2">
              <w:rPr>
                <w:rFonts w:ascii="Times New Roman" w:hAnsi="Times New Roman"/>
                <w:sz w:val="24"/>
                <w:szCs w:val="24"/>
              </w:rPr>
              <w:t xml:space="preserve">Paraiškos tipas </w:t>
            </w:r>
          </w:p>
          <w:p w14:paraId="10F2FDF0" w14:textId="77777777" w:rsidR="00881DF5" w:rsidRPr="00CE43C2" w:rsidRDefault="00881DF5" w:rsidP="00881DF5">
            <w:pPr>
              <w:rPr>
                <w:sz w:val="24"/>
                <w:szCs w:val="24"/>
              </w:rPr>
            </w:pPr>
            <w:r w:rsidRPr="00CE43C2">
              <w:rPr>
                <w:sz w:val="24"/>
                <w:szCs w:val="24"/>
              </w:rPr>
              <w:t xml:space="preserve">(pagal </w:t>
            </w:r>
            <w:r w:rsidRPr="00CE43C2">
              <w:rPr>
                <w:sz w:val="24"/>
                <w:szCs w:val="24"/>
                <w:shd w:val="clear" w:color="auto" w:fill="FFFFFF"/>
              </w:rPr>
              <w:t>vaistinio preparato registracijos tipą, įtvirtintą</w:t>
            </w:r>
            <w:r w:rsidRPr="00CE43C2">
              <w:rPr>
                <w:sz w:val="24"/>
                <w:szCs w:val="24"/>
              </w:rPr>
              <w:t xml:space="preserve"> Direktyvos 2001/83/EB straipsniuose)</w:t>
            </w:r>
          </w:p>
          <w:p w14:paraId="64EBE234" w14:textId="77777777" w:rsidR="00881DF5" w:rsidRPr="00CE43C2" w:rsidRDefault="00881DF5" w:rsidP="00881DF5">
            <w:pPr>
              <w:rPr>
                <w:bCs/>
                <w:color w:val="000000"/>
                <w:sz w:val="24"/>
                <w:szCs w:val="24"/>
                <w:lang w:eastAsia="lt-LT"/>
              </w:rPr>
            </w:pPr>
          </w:p>
        </w:tc>
        <w:tc>
          <w:tcPr>
            <w:tcW w:w="5167" w:type="dxa"/>
          </w:tcPr>
          <w:p w14:paraId="2F6D46B8" w14:textId="77777777" w:rsidR="00881DF5" w:rsidRPr="00CE43C2" w:rsidRDefault="00000000" w:rsidP="00881DF5">
            <w:pPr>
              <w:rPr>
                <w:sz w:val="24"/>
                <w:szCs w:val="24"/>
              </w:rPr>
            </w:pPr>
            <w:sdt>
              <w:sdtPr>
                <w:rPr>
                  <w:rStyle w:val="Style2"/>
                  <w:sz w:val="24"/>
                </w:rPr>
                <w:id w:val="-366596377"/>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8.3 str. (pilna byla, pagrįsta savais tyrimais) </w:t>
            </w:r>
          </w:p>
          <w:p w14:paraId="0E3ECE66" w14:textId="77777777" w:rsidR="00881DF5" w:rsidRPr="00CE43C2" w:rsidRDefault="00000000" w:rsidP="00881DF5">
            <w:pPr>
              <w:rPr>
                <w:sz w:val="24"/>
                <w:szCs w:val="24"/>
              </w:rPr>
            </w:pPr>
            <w:sdt>
              <w:sdtPr>
                <w:rPr>
                  <w:rStyle w:val="Style2"/>
                  <w:sz w:val="24"/>
                </w:rPr>
                <w:id w:val="675462298"/>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 a str. (pripažintas medicininis vartojimas) </w:t>
            </w:r>
          </w:p>
          <w:p w14:paraId="1A80D275" w14:textId="77777777" w:rsidR="00881DF5" w:rsidRPr="00CE43C2" w:rsidRDefault="00000000" w:rsidP="00881DF5">
            <w:pPr>
              <w:rPr>
                <w:sz w:val="24"/>
                <w:szCs w:val="24"/>
              </w:rPr>
            </w:pPr>
            <w:sdt>
              <w:sdtPr>
                <w:rPr>
                  <w:rStyle w:val="Style2"/>
                  <w:sz w:val="24"/>
                </w:rPr>
                <w:id w:val="-129043589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10.1 str. (generinis)</w:t>
            </w:r>
          </w:p>
          <w:p w14:paraId="55E8A813" w14:textId="5B169D35" w:rsidR="00881DF5" w:rsidRPr="00CE43C2" w:rsidRDefault="00000000" w:rsidP="00881DF5">
            <w:pPr>
              <w:rPr>
                <w:rStyle w:val="Style2"/>
                <w:sz w:val="24"/>
                <w:szCs w:val="24"/>
              </w:rPr>
            </w:pPr>
            <w:sdt>
              <w:sdtPr>
                <w:rPr>
                  <w:rStyle w:val="Style2"/>
                  <w:sz w:val="24"/>
                </w:rPr>
                <w:id w:val="-12454503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10.3 str. (hibridinis)</w:t>
            </w:r>
          </w:p>
        </w:tc>
      </w:tr>
      <w:tr w:rsidR="00881DF5" w:rsidRPr="00CE43C2" w14:paraId="0B4151E1" w14:textId="77777777" w:rsidTr="000A2C78">
        <w:trPr>
          <w:trHeight w:val="1035"/>
        </w:trPr>
        <w:tc>
          <w:tcPr>
            <w:tcW w:w="632" w:type="dxa"/>
          </w:tcPr>
          <w:p w14:paraId="529B4C9A" w14:textId="61F7480D" w:rsidR="00881DF5" w:rsidRPr="00CE43C2" w:rsidRDefault="00881DF5" w:rsidP="00881DF5">
            <w:pPr>
              <w:rPr>
                <w:rFonts w:eastAsia="Arial"/>
                <w:sz w:val="24"/>
                <w:szCs w:val="24"/>
              </w:rPr>
            </w:pPr>
            <w:r w:rsidRPr="00CE43C2">
              <w:rPr>
                <w:rFonts w:eastAsia="Arial"/>
                <w:sz w:val="24"/>
                <w:szCs w:val="24"/>
              </w:rPr>
              <w:t>1.4</w:t>
            </w:r>
          </w:p>
        </w:tc>
        <w:tc>
          <w:tcPr>
            <w:tcW w:w="3694" w:type="dxa"/>
          </w:tcPr>
          <w:p w14:paraId="59447A01" w14:textId="77777777" w:rsidR="00881DF5" w:rsidRPr="00CE43C2" w:rsidRDefault="00881DF5" w:rsidP="00881DF5">
            <w:pPr>
              <w:tabs>
                <w:tab w:val="left" w:pos="284"/>
              </w:tabs>
              <w:spacing w:line="280" w:lineRule="atLeast"/>
              <w:rPr>
                <w:bCs/>
                <w:color w:val="000000"/>
                <w:sz w:val="24"/>
                <w:szCs w:val="24"/>
                <w:lang w:eastAsia="lt-LT"/>
              </w:rPr>
            </w:pPr>
            <w:r w:rsidRPr="00CE43C2">
              <w:rPr>
                <w:bCs/>
                <w:color w:val="000000"/>
                <w:sz w:val="24"/>
                <w:szCs w:val="24"/>
                <w:lang w:eastAsia="lt-LT"/>
              </w:rPr>
              <w:t>Ar vaistinis preparatas įrašytas į Bendrijos retųjų vaistinių preparatų registrą?</w:t>
            </w:r>
          </w:p>
          <w:p w14:paraId="33095760" w14:textId="77777777" w:rsidR="00881DF5" w:rsidRPr="00CE43C2" w:rsidRDefault="00881DF5" w:rsidP="00881DF5">
            <w:pPr>
              <w:tabs>
                <w:tab w:val="left" w:pos="284"/>
              </w:tabs>
              <w:spacing w:line="280" w:lineRule="atLeast"/>
              <w:rPr>
                <w:bCs/>
                <w:i/>
                <w:color w:val="000000"/>
                <w:sz w:val="24"/>
                <w:szCs w:val="24"/>
                <w:lang w:eastAsia="lt-LT"/>
              </w:rPr>
            </w:pPr>
          </w:p>
          <w:p w14:paraId="2AD69181" w14:textId="6694105C" w:rsidR="00881DF5" w:rsidRPr="00CE43C2" w:rsidRDefault="00881DF5" w:rsidP="00881DF5">
            <w:pPr>
              <w:rPr>
                <w:bCs/>
                <w:color w:val="000000"/>
                <w:sz w:val="24"/>
                <w:szCs w:val="24"/>
                <w:lang w:eastAsia="lt-LT"/>
              </w:rPr>
            </w:pPr>
          </w:p>
        </w:tc>
        <w:tc>
          <w:tcPr>
            <w:tcW w:w="5167" w:type="dxa"/>
          </w:tcPr>
          <w:p w14:paraId="5B9D0628" w14:textId="77777777" w:rsidR="00881DF5" w:rsidRPr="00CE43C2" w:rsidRDefault="00000000" w:rsidP="00881DF5">
            <w:pPr>
              <w:rPr>
                <w:sz w:val="24"/>
                <w:szCs w:val="24"/>
              </w:rPr>
            </w:pPr>
            <w:sdt>
              <w:sdtPr>
                <w:rPr>
                  <w:rStyle w:val="Style2"/>
                  <w:sz w:val="24"/>
                </w:rPr>
                <w:id w:val="2024432173"/>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Taip</w:t>
            </w:r>
          </w:p>
          <w:p w14:paraId="3202149C" w14:textId="77777777" w:rsidR="00881DF5" w:rsidRPr="00CE43C2" w:rsidRDefault="00000000" w:rsidP="00881DF5">
            <w:pPr>
              <w:rPr>
                <w:sz w:val="24"/>
                <w:szCs w:val="24"/>
              </w:rPr>
            </w:pPr>
            <w:sdt>
              <w:sdtPr>
                <w:rPr>
                  <w:rStyle w:val="Style2"/>
                  <w:sz w:val="24"/>
                </w:rPr>
                <w:id w:val="-970507926"/>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Ne</w:t>
            </w:r>
          </w:p>
          <w:p w14:paraId="1862396A" w14:textId="701A3FFB" w:rsidR="00881DF5" w:rsidRPr="00CE43C2" w:rsidRDefault="00881DF5" w:rsidP="00CE43C2">
            <w:pPr>
              <w:jc w:val="both"/>
              <w:rPr>
                <w:rFonts w:eastAsia="Arial"/>
              </w:rPr>
            </w:pPr>
          </w:p>
        </w:tc>
      </w:tr>
      <w:tr w:rsidR="003D3228" w:rsidRPr="00CE43C2" w14:paraId="33E77BB2" w14:textId="77777777" w:rsidTr="000A2C78">
        <w:trPr>
          <w:trHeight w:val="476"/>
        </w:trPr>
        <w:tc>
          <w:tcPr>
            <w:tcW w:w="632" w:type="dxa"/>
          </w:tcPr>
          <w:p w14:paraId="63EEEB52" w14:textId="77777777" w:rsidR="003D3228" w:rsidRPr="00CE43C2" w:rsidRDefault="003D3228" w:rsidP="000A2C78">
            <w:pPr>
              <w:rPr>
                <w:rFonts w:eastAsia="Arial"/>
                <w:sz w:val="24"/>
                <w:szCs w:val="24"/>
              </w:rPr>
            </w:pPr>
            <w:r w:rsidRPr="00CE43C2">
              <w:rPr>
                <w:rFonts w:eastAsia="Arial"/>
                <w:sz w:val="24"/>
                <w:szCs w:val="24"/>
              </w:rPr>
              <w:t>1.5</w:t>
            </w:r>
          </w:p>
        </w:tc>
        <w:tc>
          <w:tcPr>
            <w:tcW w:w="3694" w:type="dxa"/>
          </w:tcPr>
          <w:p w14:paraId="5FC686AC" w14:textId="77777777" w:rsidR="003D3228" w:rsidRPr="00CE43C2" w:rsidRDefault="003D3228" w:rsidP="000A2C78">
            <w:pPr>
              <w:rPr>
                <w:bCs/>
                <w:color w:val="000000"/>
                <w:sz w:val="24"/>
                <w:szCs w:val="24"/>
                <w:lang w:eastAsia="lt-LT"/>
              </w:rPr>
            </w:pPr>
            <w:r w:rsidRPr="00CE43C2">
              <w:rPr>
                <w:sz w:val="24"/>
                <w:szCs w:val="24"/>
              </w:rPr>
              <w:t>STV paraiškos pobūdis</w:t>
            </w:r>
          </w:p>
        </w:tc>
        <w:tc>
          <w:tcPr>
            <w:tcW w:w="5167" w:type="dxa"/>
          </w:tcPr>
          <w:p w14:paraId="5E29652D" w14:textId="77777777" w:rsidR="003D3228" w:rsidRPr="00CE43C2" w:rsidRDefault="00000000" w:rsidP="000A2C78">
            <w:pPr>
              <w:rPr>
                <w:sz w:val="24"/>
                <w:szCs w:val="24"/>
              </w:rPr>
            </w:pPr>
            <w:sdt>
              <w:sdtPr>
                <w:rPr>
                  <w:rStyle w:val="Style2"/>
                  <w:sz w:val="24"/>
                </w:rPr>
                <w:id w:val="-468433535"/>
                <w15:color w:val="FFCC00"/>
                <w14:checkbox>
                  <w14:checked w14:val="1"/>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Pilna paraiška</w:t>
            </w:r>
          </w:p>
          <w:p w14:paraId="751B5060" w14:textId="77777777" w:rsidR="003D3228" w:rsidRPr="00CE43C2" w:rsidRDefault="00000000" w:rsidP="000A2C78">
            <w:pPr>
              <w:rPr>
                <w:sz w:val="24"/>
                <w:szCs w:val="24"/>
              </w:rPr>
            </w:pPr>
            <w:sdt>
              <w:sdtPr>
                <w:rPr>
                  <w:rStyle w:val="Style2"/>
                  <w:sz w:val="24"/>
                </w:rPr>
                <w:id w:val="-1489014904"/>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Supaprastinta paraiška</w:t>
            </w:r>
          </w:p>
        </w:tc>
      </w:tr>
      <w:tr w:rsidR="003D3228" w:rsidRPr="00CE43C2" w14:paraId="3FC8027D" w14:textId="77777777" w:rsidTr="000A2C78">
        <w:trPr>
          <w:trHeight w:val="1545"/>
        </w:trPr>
        <w:tc>
          <w:tcPr>
            <w:tcW w:w="632" w:type="dxa"/>
          </w:tcPr>
          <w:p w14:paraId="52812937" w14:textId="77777777" w:rsidR="003D3228" w:rsidRPr="00CE43C2" w:rsidRDefault="003D3228" w:rsidP="000A2C78">
            <w:pPr>
              <w:rPr>
                <w:rFonts w:eastAsia="Arial"/>
                <w:sz w:val="24"/>
                <w:szCs w:val="24"/>
              </w:rPr>
            </w:pPr>
            <w:r w:rsidRPr="00CE43C2">
              <w:rPr>
                <w:rFonts w:eastAsia="Arial"/>
                <w:sz w:val="24"/>
                <w:szCs w:val="24"/>
              </w:rPr>
              <w:t>1.6</w:t>
            </w:r>
          </w:p>
        </w:tc>
        <w:tc>
          <w:tcPr>
            <w:tcW w:w="3694" w:type="dxa"/>
          </w:tcPr>
          <w:p w14:paraId="4016FCBF" w14:textId="77777777" w:rsidR="003D3228" w:rsidRPr="00CE43C2" w:rsidRDefault="003D3228" w:rsidP="000A2C78">
            <w:pPr>
              <w:rPr>
                <w:bCs/>
                <w:color w:val="000000"/>
                <w:sz w:val="24"/>
                <w:szCs w:val="24"/>
                <w:lang w:eastAsia="lt-LT"/>
              </w:rPr>
            </w:pPr>
            <w:r w:rsidRPr="00CE43C2">
              <w:rPr>
                <w:bCs/>
                <w:color w:val="000000"/>
                <w:sz w:val="24"/>
                <w:szCs w:val="24"/>
                <w:lang w:eastAsia="lt-LT"/>
              </w:rPr>
              <w:t>Pareiškėjo teikiama (-os) kompensuoti vaistinio preparato indikacija (-os)</w:t>
            </w:r>
          </w:p>
          <w:p w14:paraId="4CEAF617" w14:textId="77777777" w:rsidR="003D3228" w:rsidRPr="00CE43C2" w:rsidRDefault="003D3228" w:rsidP="000A2C78">
            <w:pPr>
              <w:rPr>
                <w:bCs/>
                <w:color w:val="000000"/>
                <w:sz w:val="24"/>
                <w:szCs w:val="24"/>
                <w:lang w:eastAsia="lt-LT"/>
              </w:rPr>
            </w:pPr>
          </w:p>
          <w:p w14:paraId="6CEFADDD" w14:textId="77777777" w:rsidR="003D3228" w:rsidRPr="00CE43C2" w:rsidRDefault="003D3228" w:rsidP="000A2C78">
            <w:pPr>
              <w:rPr>
                <w:bCs/>
                <w:color w:val="000000"/>
                <w:sz w:val="24"/>
                <w:szCs w:val="24"/>
                <w:lang w:eastAsia="lt-LT"/>
              </w:rPr>
            </w:pPr>
          </w:p>
          <w:p w14:paraId="41EDEB80" w14:textId="77777777" w:rsidR="003D3228" w:rsidRPr="00CE43C2" w:rsidRDefault="003D3228" w:rsidP="000A2C78">
            <w:pPr>
              <w:rPr>
                <w:bCs/>
                <w:color w:val="000000"/>
                <w:sz w:val="24"/>
                <w:szCs w:val="24"/>
                <w:lang w:eastAsia="lt-LT"/>
              </w:rPr>
            </w:pPr>
            <w:r w:rsidRPr="00CE43C2">
              <w:rPr>
                <w:bCs/>
                <w:color w:val="000000"/>
                <w:sz w:val="24"/>
                <w:szCs w:val="24"/>
                <w:lang w:eastAsia="lt-LT"/>
              </w:rPr>
              <w:t>Kodas pagal TLK-10 AM</w:t>
            </w:r>
          </w:p>
        </w:tc>
        <w:tc>
          <w:tcPr>
            <w:tcW w:w="5167" w:type="dxa"/>
          </w:tcPr>
          <w:p w14:paraId="45E1CADF" w14:textId="77777777" w:rsidR="00881DF5" w:rsidRPr="00CE43C2" w:rsidRDefault="00881DF5" w:rsidP="00881DF5">
            <w:pPr>
              <w:pStyle w:val="Sraopastraipa"/>
              <w:spacing w:after="120"/>
              <w:ind w:left="0"/>
              <w:contextualSpacing w:val="0"/>
              <w:jc w:val="both"/>
              <w:rPr>
                <w:sz w:val="24"/>
                <w:szCs w:val="24"/>
              </w:rPr>
            </w:pPr>
            <w:r w:rsidRPr="00CE43C2">
              <w:rPr>
                <w:sz w:val="24"/>
                <w:szCs w:val="24"/>
              </w:rPr>
              <w:t>Jaunatvinis idiopatinis artritas</w:t>
            </w:r>
          </w:p>
          <w:p w14:paraId="02309F70" w14:textId="77777777" w:rsidR="00881DF5" w:rsidRPr="00CE43C2" w:rsidRDefault="00881DF5" w:rsidP="00881DF5">
            <w:pPr>
              <w:pStyle w:val="Sraopastraipa"/>
              <w:spacing w:after="120"/>
              <w:ind w:left="0"/>
              <w:contextualSpacing w:val="0"/>
              <w:jc w:val="both"/>
              <w:rPr>
                <w:sz w:val="24"/>
                <w:szCs w:val="24"/>
              </w:rPr>
            </w:pPr>
            <w:r w:rsidRPr="00CE43C2">
              <w:rPr>
                <w:rFonts w:eastAsiaTheme="minorHAnsi"/>
                <w:color w:val="000000"/>
                <w:sz w:val="24"/>
                <w:szCs w:val="24"/>
                <w:lang w:eastAsia="lt-LT"/>
              </w:rPr>
              <w:t>M08</w:t>
            </w:r>
          </w:p>
          <w:p w14:paraId="74A6D861" w14:textId="3B5EC755" w:rsidR="003D3228" w:rsidRPr="00CE43C2" w:rsidRDefault="003D3228" w:rsidP="000A2C78">
            <w:pPr>
              <w:pStyle w:val="Sraopastraipa"/>
              <w:spacing w:after="120"/>
              <w:ind w:left="0"/>
              <w:contextualSpacing w:val="0"/>
              <w:jc w:val="both"/>
              <w:rPr>
                <w:sz w:val="24"/>
                <w:szCs w:val="24"/>
              </w:rPr>
            </w:pPr>
          </w:p>
        </w:tc>
      </w:tr>
      <w:tr w:rsidR="003D3228" w:rsidRPr="00CE43C2" w14:paraId="09EA0A53" w14:textId="77777777" w:rsidTr="000A2C78">
        <w:trPr>
          <w:trHeight w:val="378"/>
        </w:trPr>
        <w:tc>
          <w:tcPr>
            <w:tcW w:w="632" w:type="dxa"/>
          </w:tcPr>
          <w:p w14:paraId="77145BFC" w14:textId="77777777" w:rsidR="003D3228" w:rsidRPr="00CE43C2" w:rsidRDefault="003D3228" w:rsidP="000A2C78">
            <w:pPr>
              <w:rPr>
                <w:rFonts w:eastAsia="Arial"/>
                <w:sz w:val="24"/>
                <w:szCs w:val="24"/>
              </w:rPr>
            </w:pPr>
            <w:r w:rsidRPr="00CE43C2">
              <w:rPr>
                <w:rFonts w:eastAsia="Arial"/>
                <w:sz w:val="24"/>
                <w:szCs w:val="24"/>
              </w:rPr>
              <w:t>1.6</w:t>
            </w:r>
          </w:p>
        </w:tc>
        <w:tc>
          <w:tcPr>
            <w:tcW w:w="3694" w:type="dxa"/>
          </w:tcPr>
          <w:p w14:paraId="6319C5EF" w14:textId="77777777" w:rsidR="003D3228" w:rsidRPr="00CE43C2" w:rsidRDefault="003D3228" w:rsidP="000A2C78">
            <w:pPr>
              <w:rPr>
                <w:bCs/>
                <w:color w:val="000000"/>
                <w:sz w:val="24"/>
                <w:szCs w:val="24"/>
                <w:u w:val="single"/>
                <w:lang w:eastAsia="lt-LT"/>
              </w:rPr>
            </w:pPr>
            <w:r w:rsidRPr="00CE43C2">
              <w:rPr>
                <w:color w:val="000000"/>
                <w:sz w:val="24"/>
                <w:szCs w:val="24"/>
                <w:lang w:eastAsia="lt-LT"/>
              </w:rPr>
              <w:t>Pareiškėjo teikiamos skyrimo sąlygos</w:t>
            </w:r>
            <w:r w:rsidRPr="00CE43C2">
              <w:rPr>
                <w:bCs/>
                <w:color w:val="000000"/>
                <w:sz w:val="24"/>
                <w:szCs w:val="24"/>
                <w:lang w:eastAsia="lt-LT"/>
              </w:rPr>
              <w:t xml:space="preserve"> </w:t>
            </w:r>
          </w:p>
        </w:tc>
        <w:tc>
          <w:tcPr>
            <w:tcW w:w="5167" w:type="dxa"/>
          </w:tcPr>
          <w:p w14:paraId="5AA5E0C9" w14:textId="77777777" w:rsidR="00881DF5" w:rsidRPr="00CE43C2" w:rsidRDefault="00881DF5" w:rsidP="00CE43C2">
            <w:pPr>
              <w:jc w:val="both"/>
              <w:rPr>
                <w:color w:val="000000"/>
                <w:sz w:val="24"/>
                <w:szCs w:val="24"/>
              </w:rPr>
            </w:pPr>
            <w:r w:rsidRPr="00CE43C2">
              <w:rPr>
                <w:color w:val="000000"/>
                <w:sz w:val="24"/>
                <w:szCs w:val="24"/>
              </w:rPr>
              <w:t xml:space="preserve">Tofacitinibas skiriamas aktyviam jaunatviniam idiopatiniam poliartritui (poliartritui esant </w:t>
            </w:r>
            <w:r w:rsidRPr="00CE43C2">
              <w:rPr>
                <w:color w:val="000000"/>
                <w:sz w:val="24"/>
                <w:szCs w:val="24"/>
              </w:rPr>
              <w:lastRenderedPageBreak/>
              <w:t>reumatoidiniam faktoriui [RF+] arba jo nesant [RF–] ir išplitusiam oligoartritui) bei jaunatviniam psoriaziniam artritui (PsA) gydyti 2 metų amžiaus ir vyresniems pacientams, kurių atsakas į ankstesnį gydymą LMV buvo nepakankamas.</w:t>
            </w:r>
          </w:p>
          <w:p w14:paraId="6ECB5789" w14:textId="12A18CDE" w:rsidR="003D3228" w:rsidRPr="00CE43C2" w:rsidRDefault="003D3228" w:rsidP="00024176">
            <w:pPr>
              <w:jc w:val="both"/>
              <w:rPr>
                <w:sz w:val="24"/>
                <w:szCs w:val="24"/>
              </w:rPr>
            </w:pPr>
          </w:p>
        </w:tc>
      </w:tr>
      <w:tr w:rsidR="003D3228" w:rsidRPr="00CE43C2" w14:paraId="5EE66732" w14:textId="77777777" w:rsidTr="000A2C78">
        <w:trPr>
          <w:trHeight w:val="378"/>
        </w:trPr>
        <w:tc>
          <w:tcPr>
            <w:tcW w:w="632" w:type="dxa"/>
          </w:tcPr>
          <w:p w14:paraId="729AC6D3" w14:textId="77777777" w:rsidR="003D3228" w:rsidRPr="00CE43C2" w:rsidRDefault="003D3228" w:rsidP="000A2C78">
            <w:pPr>
              <w:rPr>
                <w:rFonts w:eastAsia="Arial"/>
                <w:sz w:val="24"/>
                <w:szCs w:val="24"/>
              </w:rPr>
            </w:pPr>
            <w:r w:rsidRPr="00CE43C2">
              <w:rPr>
                <w:rFonts w:eastAsia="Arial"/>
                <w:sz w:val="24"/>
                <w:szCs w:val="24"/>
              </w:rPr>
              <w:lastRenderedPageBreak/>
              <w:t>1.7</w:t>
            </w:r>
          </w:p>
        </w:tc>
        <w:tc>
          <w:tcPr>
            <w:tcW w:w="3694" w:type="dxa"/>
          </w:tcPr>
          <w:p w14:paraId="36CA8118" w14:textId="4E486002" w:rsidR="003D3228" w:rsidRPr="00CE43C2" w:rsidRDefault="003D3228" w:rsidP="000A2C78">
            <w:pPr>
              <w:rPr>
                <w:bCs/>
                <w:color w:val="000000"/>
                <w:sz w:val="24"/>
                <w:szCs w:val="24"/>
                <w:lang w:eastAsia="lt-LT"/>
              </w:rPr>
            </w:pPr>
            <w:r w:rsidRPr="00CE43C2">
              <w:rPr>
                <w:bCs/>
                <w:color w:val="000000"/>
                <w:sz w:val="24"/>
                <w:szCs w:val="24"/>
                <w:lang w:eastAsia="lt-LT"/>
              </w:rPr>
              <w:t xml:space="preserve">Pareiškėjo teikiamas palyginamasis gydymas </w:t>
            </w:r>
          </w:p>
          <w:p w14:paraId="2216A2BC" w14:textId="7D165C73" w:rsidR="003D3228" w:rsidRPr="00CE43C2" w:rsidRDefault="003D3228" w:rsidP="00685CA7">
            <w:pPr>
              <w:rPr>
                <w:bCs/>
                <w:color w:val="000000"/>
                <w:sz w:val="24"/>
                <w:szCs w:val="24"/>
                <w:lang w:eastAsia="lt-LT"/>
              </w:rPr>
            </w:pPr>
            <w:r w:rsidRPr="00CE43C2">
              <w:rPr>
                <w:bCs/>
                <w:color w:val="000000"/>
                <w:sz w:val="24"/>
                <w:szCs w:val="24"/>
                <w:lang w:eastAsia="lt-LT"/>
              </w:rPr>
              <w:t>Tiesioginis palyginimas su</w:t>
            </w:r>
            <w:r w:rsidR="00881DF5" w:rsidRPr="00CE43C2">
              <w:rPr>
                <w:bCs/>
                <w:color w:val="000000"/>
                <w:sz w:val="24"/>
                <w:szCs w:val="24"/>
                <w:lang w:eastAsia="lt-LT"/>
              </w:rPr>
              <w:t xml:space="preserve"> tocilizumabu ir adalimumabu.</w:t>
            </w:r>
          </w:p>
          <w:p w14:paraId="3835E9C2" w14:textId="3BDB478B" w:rsidR="003D3228" w:rsidRPr="00CE43C2" w:rsidRDefault="003D3228" w:rsidP="000A2C78">
            <w:pPr>
              <w:rPr>
                <w:bCs/>
                <w:color w:val="000000"/>
                <w:sz w:val="24"/>
                <w:szCs w:val="24"/>
                <w:lang w:eastAsia="lt-LT"/>
              </w:rPr>
            </w:pPr>
          </w:p>
          <w:p w14:paraId="665481F3" w14:textId="77777777" w:rsidR="00685CA7" w:rsidRPr="00CE43C2" w:rsidRDefault="00685CA7" w:rsidP="000A2C78">
            <w:pPr>
              <w:rPr>
                <w:bCs/>
                <w:color w:val="000000"/>
                <w:sz w:val="24"/>
                <w:szCs w:val="24"/>
                <w:lang w:eastAsia="lt-LT"/>
              </w:rPr>
            </w:pPr>
          </w:p>
          <w:p w14:paraId="596DB7D3" w14:textId="1A457135" w:rsidR="00685CA7" w:rsidRPr="00CE43C2" w:rsidRDefault="00685CA7" w:rsidP="000A2C78">
            <w:pPr>
              <w:rPr>
                <w:bCs/>
                <w:color w:val="000000"/>
                <w:sz w:val="24"/>
                <w:szCs w:val="24"/>
                <w:lang w:eastAsia="lt-LT"/>
              </w:rPr>
            </w:pPr>
          </w:p>
        </w:tc>
        <w:tc>
          <w:tcPr>
            <w:tcW w:w="5167" w:type="dxa"/>
          </w:tcPr>
          <w:p w14:paraId="262A3260" w14:textId="77777777" w:rsidR="00685CA7" w:rsidRPr="00CE43C2" w:rsidRDefault="00685CA7" w:rsidP="000A2C78">
            <w:pPr>
              <w:rPr>
                <w:rStyle w:val="Style2"/>
                <w:sz w:val="24"/>
                <w:szCs w:val="24"/>
              </w:rPr>
            </w:pPr>
          </w:p>
          <w:p w14:paraId="6131F5F6" w14:textId="7DAF04AA" w:rsidR="003D3228" w:rsidRPr="00CE43C2" w:rsidRDefault="00000000" w:rsidP="000A2C78">
            <w:pPr>
              <w:rPr>
                <w:sz w:val="24"/>
                <w:szCs w:val="24"/>
              </w:rPr>
            </w:pPr>
            <w:sdt>
              <w:sdtPr>
                <w:rPr>
                  <w:rStyle w:val="Style2"/>
                  <w:sz w:val="24"/>
                </w:rPr>
                <w:id w:val="1480955706"/>
                <w15:color w:val="FFCC00"/>
                <w14:checkbox>
                  <w14:checked w14:val="1"/>
                  <w14:checkedState w14:val="2612" w14:font="MS Gothic"/>
                  <w14:uncheckedState w14:val="2610" w14:font="MS Gothic"/>
                </w14:checkbox>
              </w:sdtPr>
              <w:sdtContent>
                <w:r w:rsidR="00024176" w:rsidRPr="00CE43C2">
                  <w:rPr>
                    <w:rStyle w:val="Style2"/>
                    <w:rFonts w:ascii="Segoe UI Symbol" w:eastAsia="MS Gothic" w:hAnsi="Segoe UI Symbol" w:cs="Segoe UI Symbol"/>
                    <w:sz w:val="24"/>
                    <w:szCs w:val="24"/>
                  </w:rPr>
                  <w:t>☒</w:t>
                </w:r>
              </w:sdtContent>
            </w:sdt>
            <w:r w:rsidR="003D3228" w:rsidRPr="00CE43C2">
              <w:rPr>
                <w:sz w:val="24"/>
                <w:szCs w:val="24"/>
              </w:rPr>
              <w:t xml:space="preserve"> Tinkamas</w:t>
            </w:r>
          </w:p>
          <w:p w14:paraId="29988CE6" w14:textId="0DA551F2" w:rsidR="00685CA7" w:rsidRPr="00CE43C2" w:rsidRDefault="00000000" w:rsidP="000A2C78">
            <w:pPr>
              <w:rPr>
                <w:sz w:val="24"/>
                <w:szCs w:val="24"/>
              </w:rPr>
            </w:pPr>
            <w:sdt>
              <w:sdtPr>
                <w:rPr>
                  <w:rStyle w:val="Style2"/>
                  <w:sz w:val="24"/>
                </w:rPr>
                <w:id w:val="-352420698"/>
                <w15:color w:val="FFCC00"/>
                <w14:checkbox>
                  <w14:checked w14:val="0"/>
                  <w14:checkedState w14:val="2612" w14:font="MS Gothic"/>
                  <w14:uncheckedState w14:val="2610" w14:font="MS Gothic"/>
                </w14:checkbox>
              </w:sdtPr>
              <w:sdtContent>
                <w:r w:rsidR="00024176" w:rsidRPr="00CE43C2">
                  <w:rPr>
                    <w:rStyle w:val="Style2"/>
                    <w:rFonts w:ascii="Segoe UI Symbol" w:eastAsia="MS Gothic" w:hAnsi="Segoe UI Symbol" w:cs="Segoe UI Symbol"/>
                    <w:sz w:val="24"/>
                    <w:szCs w:val="24"/>
                  </w:rPr>
                  <w:t>☐</w:t>
                </w:r>
              </w:sdtContent>
            </w:sdt>
            <w:r w:rsidR="003D3228" w:rsidRPr="00CE43C2">
              <w:rPr>
                <w:sz w:val="24"/>
                <w:szCs w:val="24"/>
              </w:rPr>
              <w:t xml:space="preserve"> Netinkamas</w:t>
            </w:r>
          </w:p>
          <w:p w14:paraId="4F936132" w14:textId="77777777" w:rsidR="007A4532" w:rsidRPr="00CE43C2" w:rsidRDefault="007A4532" w:rsidP="000A2C78">
            <w:pPr>
              <w:rPr>
                <w:sz w:val="24"/>
                <w:szCs w:val="24"/>
              </w:rPr>
            </w:pPr>
          </w:p>
          <w:p w14:paraId="54B5D62D" w14:textId="15CE6229" w:rsidR="00685CA7" w:rsidRPr="00CE43C2" w:rsidRDefault="00685CA7" w:rsidP="00024176">
            <w:pPr>
              <w:rPr>
                <w:sz w:val="24"/>
                <w:szCs w:val="24"/>
              </w:rPr>
            </w:pPr>
          </w:p>
        </w:tc>
      </w:tr>
    </w:tbl>
    <w:p w14:paraId="4811C3C1" w14:textId="77777777" w:rsidR="003D3228" w:rsidRPr="00753ABA" w:rsidRDefault="003D3228" w:rsidP="003D3228">
      <w:pPr>
        <w:pStyle w:val="Sraopastraipa"/>
        <w:tabs>
          <w:tab w:val="left" w:pos="426"/>
        </w:tabs>
        <w:ind w:left="0"/>
        <w:rPr>
          <w:b/>
          <w:bCs/>
          <w:caps/>
        </w:rPr>
      </w:pPr>
    </w:p>
    <w:p w14:paraId="6C8F8DBD" w14:textId="77777777" w:rsidR="003D3228" w:rsidRPr="00753ABA" w:rsidRDefault="003D3228" w:rsidP="003D3228">
      <w:pPr>
        <w:spacing w:line="276" w:lineRule="auto"/>
        <w:jc w:val="both"/>
        <w:rPr>
          <w:rFonts w:eastAsia="Arial"/>
          <w:b/>
        </w:rPr>
      </w:pPr>
      <w:r w:rsidRPr="00753ABA">
        <w:rPr>
          <w:rFonts w:eastAsia="Arial"/>
          <w:b/>
        </w:rPr>
        <w:t>1.8 Kitų valstybių atsakingų institucijų atlikto Sveikatos technologijų vertinimo (toliau – STV) išvados</w:t>
      </w:r>
    </w:p>
    <w:p w14:paraId="5A3D8890" w14:textId="77777777" w:rsidR="003D3228" w:rsidRPr="00753ABA" w:rsidRDefault="003D3228" w:rsidP="003D3228">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881DF5" w:rsidRPr="00CE43C2" w14:paraId="0B0BE111" w14:textId="77777777" w:rsidTr="003422EC">
        <w:trPr>
          <w:trHeight w:val="924"/>
        </w:trPr>
        <w:tc>
          <w:tcPr>
            <w:tcW w:w="2927" w:type="dxa"/>
          </w:tcPr>
          <w:p w14:paraId="589BAC82" w14:textId="0C1E40EC" w:rsidR="00881DF5" w:rsidRPr="00CE43C2" w:rsidRDefault="00881DF5" w:rsidP="00881DF5">
            <w:pPr>
              <w:spacing w:line="276" w:lineRule="auto"/>
              <w:rPr>
                <w:rFonts w:eastAsia="Arial"/>
                <w:sz w:val="22"/>
                <w:szCs w:val="22"/>
              </w:rPr>
            </w:pPr>
            <w:r w:rsidRPr="00CE43C2">
              <w:rPr>
                <w:rFonts w:eastAsia="Arial"/>
                <w:sz w:val="22"/>
                <w:szCs w:val="22"/>
              </w:rPr>
              <w:t>STV agentūros pavadinimas, šalis</w:t>
            </w:r>
          </w:p>
        </w:tc>
        <w:tc>
          <w:tcPr>
            <w:tcW w:w="1915" w:type="dxa"/>
          </w:tcPr>
          <w:p w14:paraId="6735D9FB" w14:textId="388145BC" w:rsidR="00881DF5" w:rsidRPr="00CE43C2" w:rsidRDefault="00881DF5" w:rsidP="00881DF5">
            <w:pPr>
              <w:spacing w:line="276" w:lineRule="auto"/>
              <w:rPr>
                <w:rFonts w:eastAsia="Arial"/>
                <w:sz w:val="22"/>
                <w:szCs w:val="22"/>
              </w:rPr>
            </w:pPr>
            <w:r w:rsidRPr="00CE43C2">
              <w:rPr>
                <w:rFonts w:eastAsia="Arial"/>
                <w:sz w:val="22"/>
                <w:szCs w:val="22"/>
              </w:rPr>
              <w:t>STV vertinimas atliktas</w:t>
            </w:r>
          </w:p>
        </w:tc>
        <w:tc>
          <w:tcPr>
            <w:tcW w:w="2351" w:type="dxa"/>
          </w:tcPr>
          <w:p w14:paraId="17F85B76" w14:textId="59B1DB59" w:rsidR="00881DF5" w:rsidRPr="00CE43C2" w:rsidRDefault="00881DF5" w:rsidP="00881DF5">
            <w:pPr>
              <w:spacing w:line="276" w:lineRule="auto"/>
              <w:rPr>
                <w:rFonts w:eastAsia="Arial"/>
                <w:sz w:val="22"/>
                <w:szCs w:val="22"/>
              </w:rPr>
            </w:pPr>
            <w:r w:rsidRPr="00CE43C2">
              <w:rPr>
                <w:rFonts w:eastAsia="Arial"/>
                <w:sz w:val="22"/>
                <w:szCs w:val="22"/>
              </w:rPr>
              <w:t>Klinikinio vertinimo išvada</w:t>
            </w:r>
          </w:p>
        </w:tc>
        <w:tc>
          <w:tcPr>
            <w:tcW w:w="2725" w:type="dxa"/>
          </w:tcPr>
          <w:p w14:paraId="2DD97936" w14:textId="7AE1E06C" w:rsidR="00881DF5" w:rsidRPr="00CE43C2" w:rsidRDefault="00881DF5" w:rsidP="00881DF5">
            <w:pPr>
              <w:spacing w:line="276" w:lineRule="auto"/>
              <w:rPr>
                <w:rFonts w:eastAsia="Arial"/>
                <w:sz w:val="22"/>
                <w:szCs w:val="22"/>
              </w:rPr>
            </w:pPr>
            <w:r w:rsidRPr="00CE43C2">
              <w:rPr>
                <w:rFonts w:eastAsia="Arial"/>
                <w:sz w:val="22"/>
                <w:szCs w:val="22"/>
              </w:rPr>
              <w:t>Farmakoekonominio vertinimo išvada</w:t>
            </w:r>
          </w:p>
        </w:tc>
      </w:tr>
      <w:tr w:rsidR="00881DF5" w:rsidRPr="00CE43C2" w14:paraId="74EF13A8" w14:textId="77777777" w:rsidTr="003422EC">
        <w:trPr>
          <w:trHeight w:val="1765"/>
        </w:trPr>
        <w:tc>
          <w:tcPr>
            <w:tcW w:w="2927" w:type="dxa"/>
          </w:tcPr>
          <w:p w14:paraId="28DA7CE2" w14:textId="77777777" w:rsidR="00881DF5" w:rsidRPr="00CE43C2" w:rsidRDefault="00881DF5" w:rsidP="00881DF5">
            <w:pPr>
              <w:autoSpaceDE w:val="0"/>
              <w:autoSpaceDN w:val="0"/>
              <w:adjustRightInd w:val="0"/>
              <w:rPr>
                <w:bCs/>
                <w:sz w:val="22"/>
                <w:szCs w:val="22"/>
              </w:rPr>
            </w:pPr>
            <w:r w:rsidRPr="00CE43C2">
              <w:rPr>
                <w:bCs/>
                <w:sz w:val="22"/>
                <w:szCs w:val="22"/>
              </w:rPr>
              <w:t>Nacionalinis sveikatos ir klinikinės kompetencijos institutas, Didžioji Britanija</w:t>
            </w:r>
          </w:p>
          <w:p w14:paraId="01CE179D" w14:textId="60F5ADAF" w:rsidR="00881DF5" w:rsidRPr="00CE43C2" w:rsidRDefault="00881DF5" w:rsidP="00881DF5">
            <w:pPr>
              <w:spacing w:line="276" w:lineRule="auto"/>
              <w:rPr>
                <w:rFonts w:eastAsia="Arial"/>
                <w:sz w:val="22"/>
                <w:szCs w:val="22"/>
              </w:rPr>
            </w:pPr>
            <w:r w:rsidRPr="00CE43C2">
              <w:rPr>
                <w:rFonts w:eastAsia="Arial"/>
                <w:sz w:val="22"/>
                <w:szCs w:val="22"/>
              </w:rPr>
              <w:t xml:space="preserve">(angl. </w:t>
            </w:r>
            <w:r w:rsidRPr="00CE43C2">
              <w:rPr>
                <w:rFonts w:eastAsia="Arial"/>
                <w:i/>
                <w:sz w:val="22"/>
                <w:szCs w:val="22"/>
              </w:rPr>
              <w:t>National Institute for Health and Care Excellence, NICE</w:t>
            </w:r>
            <w:r w:rsidRPr="00CE43C2">
              <w:rPr>
                <w:rFonts w:eastAsia="Arial"/>
                <w:sz w:val="22"/>
                <w:szCs w:val="22"/>
              </w:rPr>
              <w:t>)</w:t>
            </w:r>
          </w:p>
        </w:tc>
        <w:tc>
          <w:tcPr>
            <w:tcW w:w="1915" w:type="dxa"/>
          </w:tcPr>
          <w:p w14:paraId="5E927891" w14:textId="77777777" w:rsidR="00881DF5" w:rsidRPr="00CE43C2" w:rsidRDefault="00000000" w:rsidP="00881DF5">
            <w:pPr>
              <w:rPr>
                <w:sz w:val="22"/>
                <w:szCs w:val="22"/>
              </w:rPr>
            </w:pPr>
            <w:sdt>
              <w:sdtPr>
                <w:rPr>
                  <w:rStyle w:val="Style2"/>
                  <w:sz w:val="22"/>
                  <w:szCs w:val="22"/>
                </w:rPr>
                <w:id w:val="1558205022"/>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Taip</w:t>
            </w:r>
          </w:p>
          <w:p w14:paraId="34284B16" w14:textId="77777777" w:rsidR="00881DF5" w:rsidRPr="00CE43C2" w:rsidRDefault="00000000" w:rsidP="00881DF5">
            <w:pPr>
              <w:rPr>
                <w:sz w:val="22"/>
                <w:szCs w:val="22"/>
              </w:rPr>
            </w:pPr>
            <w:sdt>
              <w:sdtPr>
                <w:rPr>
                  <w:rStyle w:val="Style2"/>
                  <w:sz w:val="22"/>
                  <w:szCs w:val="22"/>
                </w:rPr>
                <w:id w:val="866029625"/>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Ne</w:t>
            </w:r>
          </w:p>
          <w:p w14:paraId="5061810F" w14:textId="08D560DD" w:rsidR="00881DF5" w:rsidRPr="00CE43C2" w:rsidRDefault="00000000" w:rsidP="00881DF5">
            <w:pPr>
              <w:rPr>
                <w:rFonts w:eastAsia="Arial"/>
                <w:sz w:val="22"/>
                <w:szCs w:val="22"/>
              </w:rPr>
            </w:pPr>
            <w:sdt>
              <w:sdtPr>
                <w:rPr>
                  <w:sz w:val="22"/>
                  <w:szCs w:val="22"/>
                </w:rPr>
                <w:alias w:val="Nurodykite konkrečią dieną"/>
                <w:tag w:val="Nurodykite pradžios datą"/>
                <w:id w:val="922837954"/>
                <w:placeholder>
                  <w:docPart w:val="735D04F0EC74144299B752362135FD7E"/>
                </w:placeholder>
                <w15:color w:val="FFCC99"/>
                <w:date>
                  <w:dateFormat w:val="yyyy 'm.' MMMM d 'd.'"/>
                  <w:lid w:val="lt-LT"/>
                  <w:storeMappedDataAs w:val="dateTime"/>
                  <w:calendar w:val="gregorian"/>
                </w:date>
              </w:sdtPr>
              <w:sdtContent>
                <w:r w:rsidR="00881DF5" w:rsidRPr="00CE43C2">
                  <w:rPr>
                    <w:sz w:val="22"/>
                    <w:szCs w:val="22"/>
                  </w:rPr>
                  <w:t>2021 m. spalio 20 d.</w:t>
                </w:r>
              </w:sdtContent>
            </w:sdt>
          </w:p>
        </w:tc>
        <w:tc>
          <w:tcPr>
            <w:tcW w:w="2351" w:type="dxa"/>
          </w:tcPr>
          <w:p w14:paraId="6AD060F4" w14:textId="77777777" w:rsidR="00881DF5" w:rsidRPr="00CE43C2" w:rsidRDefault="00881DF5" w:rsidP="00881DF5">
            <w:pPr>
              <w:spacing w:line="276" w:lineRule="auto"/>
              <w:rPr>
                <w:rFonts w:eastAsia="Arial"/>
                <w:sz w:val="22"/>
                <w:szCs w:val="22"/>
              </w:rPr>
            </w:pPr>
            <w:r w:rsidRPr="00CE43C2">
              <w:rPr>
                <w:rFonts w:eastAsia="Arial"/>
                <w:sz w:val="22"/>
                <w:szCs w:val="22"/>
              </w:rPr>
              <w:t>Tofacitinibas rekomenduojamas kaip alternatyva aktyviam jaunatviniam idiopatiniam poliartritui (JIA; reumatoidinio faktoriaus teigiamas arba neigiamas poliartritas ir išplėstinis oligoartritas) ir jaunatviniam psoriaziniam artritui gydyti 2 metų ir vyresniems žmonėms. Taip yra, jei jų būklė netinkamai reagavo į ankstesnį gydymą ligą modifikuojančiais antireumatiniais vaistais (DMARD) ir tik tada, jei:</w:t>
            </w:r>
          </w:p>
          <w:p w14:paraId="57245318" w14:textId="77777777" w:rsidR="00881DF5" w:rsidRPr="00CE43C2" w:rsidRDefault="00881DF5" w:rsidP="00881DF5">
            <w:pPr>
              <w:pStyle w:val="Sraopastraipa"/>
              <w:numPr>
                <w:ilvl w:val="0"/>
                <w:numId w:val="10"/>
              </w:numPr>
              <w:spacing w:line="276" w:lineRule="auto"/>
              <w:rPr>
                <w:rFonts w:eastAsia="Arial"/>
                <w:sz w:val="22"/>
                <w:szCs w:val="22"/>
              </w:rPr>
            </w:pPr>
            <w:r w:rsidRPr="00CE43C2">
              <w:rPr>
                <w:rFonts w:eastAsia="Arial"/>
                <w:sz w:val="22"/>
                <w:szCs w:val="22"/>
              </w:rPr>
              <w:t xml:space="preserve">naviko nekrozės faktoriaus (TNF) alfa inhibitorius netinka arba nepakankamai gerai </w:t>
            </w:r>
            <w:r w:rsidRPr="00CE43C2">
              <w:rPr>
                <w:rFonts w:eastAsia="Arial"/>
                <w:sz w:val="22"/>
                <w:szCs w:val="22"/>
              </w:rPr>
              <w:lastRenderedPageBreak/>
              <w:t>kontroliuoja būklę ir</w:t>
            </w:r>
          </w:p>
          <w:p w14:paraId="2794B3A2" w14:textId="77777777" w:rsidR="00881DF5" w:rsidRPr="00CE43C2" w:rsidRDefault="00881DF5" w:rsidP="00881DF5">
            <w:pPr>
              <w:pStyle w:val="Sraopastraipa"/>
              <w:numPr>
                <w:ilvl w:val="0"/>
                <w:numId w:val="10"/>
              </w:numPr>
              <w:spacing w:line="276" w:lineRule="auto"/>
              <w:rPr>
                <w:rFonts w:eastAsia="Arial"/>
                <w:sz w:val="22"/>
                <w:szCs w:val="22"/>
              </w:rPr>
            </w:pPr>
            <w:r w:rsidRPr="00CE43C2">
              <w:rPr>
                <w:rFonts w:eastAsia="Arial"/>
                <w:sz w:val="22"/>
                <w:szCs w:val="22"/>
              </w:rPr>
              <w:t>bendrovė tiekia tofacitinibą pagal komercinį susitarimą.</w:t>
            </w:r>
          </w:p>
          <w:p w14:paraId="0EBC279E" w14:textId="77777777" w:rsidR="00881DF5" w:rsidRPr="00CE43C2" w:rsidRDefault="00881DF5" w:rsidP="00881DF5">
            <w:pPr>
              <w:spacing w:line="276" w:lineRule="auto"/>
              <w:rPr>
                <w:rFonts w:eastAsia="Arial"/>
                <w:sz w:val="22"/>
                <w:szCs w:val="22"/>
              </w:rPr>
            </w:pPr>
          </w:p>
          <w:p w14:paraId="4F09F8D0" w14:textId="6348A31A" w:rsidR="00881DF5" w:rsidRPr="00CE43C2" w:rsidRDefault="00881DF5" w:rsidP="00881DF5">
            <w:pPr>
              <w:spacing w:line="276" w:lineRule="auto"/>
              <w:rPr>
                <w:rFonts w:eastAsia="Arial"/>
                <w:sz w:val="22"/>
                <w:szCs w:val="22"/>
              </w:rPr>
            </w:pPr>
            <w:r w:rsidRPr="00CE43C2">
              <w:rPr>
                <w:rFonts w:eastAsia="Arial"/>
                <w:sz w:val="22"/>
                <w:szCs w:val="22"/>
              </w:rPr>
              <w:t>Tofacitinibą galima vartoti kartu su metotreksatu arba kaip monoterapiją, kai metotreksatas netoleruojamas arba jei tolesnis gydymas metotreksatu yra netinkamas.</w:t>
            </w:r>
          </w:p>
        </w:tc>
        <w:tc>
          <w:tcPr>
            <w:tcW w:w="2725" w:type="dxa"/>
          </w:tcPr>
          <w:p w14:paraId="4C9B17DB" w14:textId="77777777" w:rsidR="00881DF5" w:rsidRPr="00CE43C2" w:rsidRDefault="00881DF5" w:rsidP="00881DF5">
            <w:pPr>
              <w:spacing w:line="276" w:lineRule="auto"/>
              <w:rPr>
                <w:rFonts w:eastAsia="Arial"/>
                <w:sz w:val="22"/>
                <w:szCs w:val="22"/>
              </w:rPr>
            </w:pPr>
          </w:p>
        </w:tc>
      </w:tr>
      <w:tr w:rsidR="00881DF5" w:rsidRPr="00CE43C2" w14:paraId="227F3C81" w14:textId="77777777" w:rsidTr="003422EC">
        <w:trPr>
          <w:trHeight w:val="1547"/>
        </w:trPr>
        <w:tc>
          <w:tcPr>
            <w:tcW w:w="2927" w:type="dxa"/>
          </w:tcPr>
          <w:p w14:paraId="1E72F9DB" w14:textId="77777777" w:rsidR="00881DF5" w:rsidRPr="00CE43C2" w:rsidRDefault="00881DF5" w:rsidP="00881DF5">
            <w:pPr>
              <w:spacing w:line="276" w:lineRule="auto"/>
              <w:rPr>
                <w:rFonts w:eastAsia="Arial"/>
                <w:sz w:val="22"/>
                <w:szCs w:val="22"/>
              </w:rPr>
            </w:pPr>
            <w:r w:rsidRPr="00CE43C2">
              <w:rPr>
                <w:rFonts w:eastAsia="Arial"/>
                <w:sz w:val="22"/>
                <w:szCs w:val="22"/>
              </w:rPr>
              <w:t>Nacionalinis farmakoekonomikos centras, Airija</w:t>
            </w:r>
          </w:p>
          <w:p w14:paraId="200317AF" w14:textId="3BE815E9" w:rsidR="00881DF5" w:rsidRPr="00CE43C2" w:rsidRDefault="00881DF5" w:rsidP="00881DF5">
            <w:pPr>
              <w:spacing w:line="276" w:lineRule="auto"/>
              <w:rPr>
                <w:rFonts w:eastAsia="Arial"/>
                <w:sz w:val="22"/>
                <w:szCs w:val="22"/>
              </w:rPr>
            </w:pPr>
            <w:r w:rsidRPr="00CE43C2">
              <w:rPr>
                <w:rFonts w:eastAsia="Arial"/>
                <w:sz w:val="22"/>
                <w:szCs w:val="22"/>
              </w:rPr>
              <w:t>(angl.</w:t>
            </w:r>
            <w:r w:rsidRPr="00CE43C2">
              <w:rPr>
                <w:rFonts w:eastAsia="Arial"/>
                <w:i/>
                <w:sz w:val="22"/>
                <w:szCs w:val="22"/>
              </w:rPr>
              <w:t xml:space="preserve"> National Centre for Pharmacoeconomics, NCPE</w:t>
            </w:r>
            <w:r w:rsidRPr="00CE43C2">
              <w:rPr>
                <w:rFonts w:eastAsia="Arial"/>
                <w:sz w:val="22"/>
                <w:szCs w:val="22"/>
              </w:rPr>
              <w:t>)</w:t>
            </w:r>
          </w:p>
        </w:tc>
        <w:tc>
          <w:tcPr>
            <w:tcW w:w="1915" w:type="dxa"/>
          </w:tcPr>
          <w:p w14:paraId="410588E1" w14:textId="77777777" w:rsidR="00881DF5" w:rsidRPr="00CE43C2" w:rsidRDefault="00000000" w:rsidP="00881DF5">
            <w:pPr>
              <w:rPr>
                <w:sz w:val="22"/>
                <w:szCs w:val="22"/>
              </w:rPr>
            </w:pPr>
            <w:sdt>
              <w:sdtPr>
                <w:rPr>
                  <w:rStyle w:val="Style2"/>
                  <w:sz w:val="22"/>
                  <w:szCs w:val="22"/>
                </w:rPr>
                <w:id w:val="892474039"/>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Taip</w:t>
            </w:r>
          </w:p>
          <w:p w14:paraId="0C60E3ED" w14:textId="77777777" w:rsidR="00881DF5" w:rsidRPr="00CE43C2" w:rsidRDefault="00000000" w:rsidP="00881DF5">
            <w:pPr>
              <w:rPr>
                <w:sz w:val="22"/>
                <w:szCs w:val="22"/>
              </w:rPr>
            </w:pPr>
            <w:sdt>
              <w:sdtPr>
                <w:rPr>
                  <w:rStyle w:val="Style2"/>
                  <w:sz w:val="22"/>
                  <w:szCs w:val="22"/>
                </w:rPr>
                <w:id w:val="995310824"/>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Ne</w:t>
            </w:r>
          </w:p>
          <w:p w14:paraId="78AC5C13" w14:textId="7C14B9CF" w:rsidR="00881DF5" w:rsidRPr="00CE43C2" w:rsidRDefault="00000000" w:rsidP="00881DF5">
            <w:pPr>
              <w:spacing w:line="276" w:lineRule="auto"/>
              <w:rPr>
                <w:rFonts w:eastAsia="Arial"/>
                <w:sz w:val="22"/>
                <w:szCs w:val="22"/>
              </w:rPr>
            </w:pPr>
            <w:sdt>
              <w:sdtPr>
                <w:rPr>
                  <w:sz w:val="22"/>
                  <w:szCs w:val="22"/>
                </w:rPr>
                <w:alias w:val="Nurodykite konkrečią dieną"/>
                <w:tag w:val="Nurodykite pradžios datą"/>
                <w:id w:val="-622082866"/>
                <w:placeholder>
                  <w:docPart w:val="F3376ADBCDD7294591F227E9B59522BE"/>
                </w:placeholder>
                <w15:color w:val="FFCC99"/>
                <w:date>
                  <w:dateFormat w:val="yyyy 'm.' MMMM d 'd.'"/>
                  <w:lid w:val="lt-LT"/>
                  <w:storeMappedDataAs w:val="dateTime"/>
                  <w:calendar w:val="gregorian"/>
                </w:date>
              </w:sdtPr>
              <w:sdtContent>
                <w:r w:rsidR="00881DF5" w:rsidRPr="00CE43C2">
                  <w:rPr>
                    <w:sz w:val="22"/>
                    <w:szCs w:val="22"/>
                  </w:rPr>
                  <w:t>2021 m. rugsėjo 8 d.</w:t>
                </w:r>
              </w:sdtContent>
            </w:sdt>
          </w:p>
        </w:tc>
        <w:tc>
          <w:tcPr>
            <w:tcW w:w="2351" w:type="dxa"/>
          </w:tcPr>
          <w:p w14:paraId="0C8C5CD1" w14:textId="39312EEE" w:rsidR="00881DF5" w:rsidRPr="00CE43C2" w:rsidRDefault="00881DF5" w:rsidP="00881DF5">
            <w:pPr>
              <w:spacing w:line="276" w:lineRule="auto"/>
              <w:rPr>
                <w:rFonts w:eastAsia="Arial"/>
                <w:sz w:val="22"/>
                <w:szCs w:val="22"/>
              </w:rPr>
            </w:pPr>
            <w:r w:rsidRPr="00CE43C2">
              <w:rPr>
                <w:rFonts w:eastAsia="Arial"/>
                <w:sz w:val="22"/>
                <w:szCs w:val="22"/>
              </w:rPr>
              <w:t>Tofacitinibas skirtas aktyviam jaunatviniam idiopatiniam poliartritui (teigiamas ar neigiamas reumatoidinio faktoriaus poliartritas ir išplėstinis oligoartritas) ir jaunatviniam psoriaziniam artritui gydyti 2 metų ir vyresniems pacientams, kurių atsakas į ankstesnį gydymą DMARD buvo nepakankamas. Tofacitinibą galima skirti kartu su metotreksatu (MTX) arba monoterapija, jei netoleruojate MTX arba jei tęsti gydymą MTX netinka.</w:t>
            </w:r>
          </w:p>
        </w:tc>
        <w:tc>
          <w:tcPr>
            <w:tcW w:w="2725" w:type="dxa"/>
          </w:tcPr>
          <w:p w14:paraId="7FD17B97" w14:textId="77777777" w:rsidR="00881DF5" w:rsidRPr="00CE43C2" w:rsidRDefault="00881DF5" w:rsidP="00881DF5">
            <w:pPr>
              <w:spacing w:line="276" w:lineRule="auto"/>
              <w:rPr>
                <w:rFonts w:eastAsia="Arial"/>
                <w:sz w:val="22"/>
                <w:szCs w:val="22"/>
              </w:rPr>
            </w:pPr>
          </w:p>
        </w:tc>
      </w:tr>
      <w:tr w:rsidR="00881DF5" w:rsidRPr="00CE43C2" w14:paraId="65CD04B8" w14:textId="77777777" w:rsidTr="003422EC">
        <w:trPr>
          <w:trHeight w:val="1927"/>
        </w:trPr>
        <w:tc>
          <w:tcPr>
            <w:tcW w:w="2927" w:type="dxa"/>
          </w:tcPr>
          <w:p w14:paraId="3839A9C4" w14:textId="77777777" w:rsidR="00881DF5" w:rsidRPr="00CE43C2" w:rsidRDefault="00881DF5" w:rsidP="00881DF5">
            <w:pPr>
              <w:spacing w:line="276" w:lineRule="auto"/>
              <w:rPr>
                <w:rFonts w:eastAsia="Arial"/>
                <w:sz w:val="22"/>
                <w:szCs w:val="22"/>
              </w:rPr>
            </w:pPr>
            <w:r w:rsidRPr="00CE43C2">
              <w:rPr>
                <w:rFonts w:eastAsia="Arial"/>
                <w:sz w:val="22"/>
                <w:szCs w:val="22"/>
              </w:rPr>
              <w:t>Kanados sveikatos technologijų agentūra</w:t>
            </w:r>
          </w:p>
          <w:p w14:paraId="025245EF" w14:textId="1732950E" w:rsidR="00881DF5" w:rsidRPr="00CE43C2" w:rsidRDefault="00881DF5" w:rsidP="00881DF5">
            <w:pPr>
              <w:spacing w:line="276" w:lineRule="auto"/>
              <w:rPr>
                <w:rFonts w:eastAsia="Arial"/>
                <w:sz w:val="22"/>
                <w:szCs w:val="22"/>
              </w:rPr>
            </w:pPr>
            <w:r w:rsidRPr="00CE43C2">
              <w:rPr>
                <w:rFonts w:eastAsia="Arial"/>
                <w:sz w:val="22"/>
                <w:szCs w:val="22"/>
              </w:rPr>
              <w:t xml:space="preserve">(angl. </w:t>
            </w:r>
            <w:r w:rsidRPr="00CE43C2">
              <w:rPr>
                <w:rFonts w:eastAsia="Arial"/>
                <w:i/>
                <w:sz w:val="22"/>
                <w:szCs w:val="22"/>
              </w:rPr>
              <w:t>Canadian health Technology Assessment agency, CADTH</w:t>
            </w:r>
            <w:r w:rsidRPr="00CE43C2">
              <w:rPr>
                <w:rFonts w:eastAsia="Arial"/>
                <w:sz w:val="22"/>
                <w:szCs w:val="22"/>
              </w:rPr>
              <w:t>)</w:t>
            </w:r>
          </w:p>
        </w:tc>
        <w:tc>
          <w:tcPr>
            <w:tcW w:w="1915" w:type="dxa"/>
          </w:tcPr>
          <w:p w14:paraId="3E2A54C9" w14:textId="77777777" w:rsidR="00881DF5" w:rsidRPr="00CE43C2" w:rsidRDefault="00000000" w:rsidP="00881DF5">
            <w:pPr>
              <w:rPr>
                <w:sz w:val="22"/>
                <w:szCs w:val="22"/>
              </w:rPr>
            </w:pPr>
            <w:sdt>
              <w:sdtPr>
                <w:rPr>
                  <w:rStyle w:val="Style2"/>
                  <w:sz w:val="22"/>
                  <w:szCs w:val="22"/>
                </w:rPr>
                <w:id w:val="-122636650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Taip</w:t>
            </w:r>
          </w:p>
          <w:p w14:paraId="79037A88" w14:textId="77777777" w:rsidR="00881DF5" w:rsidRPr="00CE43C2" w:rsidRDefault="00000000" w:rsidP="00881DF5">
            <w:pPr>
              <w:rPr>
                <w:sz w:val="22"/>
                <w:szCs w:val="22"/>
              </w:rPr>
            </w:pPr>
            <w:sdt>
              <w:sdtPr>
                <w:rPr>
                  <w:rStyle w:val="Style2"/>
                  <w:sz w:val="22"/>
                  <w:szCs w:val="22"/>
                </w:rPr>
                <w:id w:val="1131516837"/>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2"/>
                    <w:szCs w:val="22"/>
                  </w:rPr>
                  <w:t>☒</w:t>
                </w:r>
              </w:sdtContent>
            </w:sdt>
            <w:r w:rsidR="00881DF5" w:rsidRPr="00CE43C2">
              <w:rPr>
                <w:sz w:val="22"/>
                <w:szCs w:val="22"/>
              </w:rPr>
              <w:t xml:space="preserve"> Ne</w:t>
            </w:r>
          </w:p>
          <w:p w14:paraId="4235A60D" w14:textId="0A8CED31" w:rsidR="00881DF5" w:rsidRPr="00CE43C2" w:rsidRDefault="00881DF5" w:rsidP="00881DF5">
            <w:pPr>
              <w:spacing w:line="276" w:lineRule="auto"/>
              <w:rPr>
                <w:rFonts w:eastAsia="Arial"/>
                <w:sz w:val="22"/>
                <w:szCs w:val="22"/>
              </w:rPr>
            </w:pPr>
          </w:p>
        </w:tc>
        <w:tc>
          <w:tcPr>
            <w:tcW w:w="2351" w:type="dxa"/>
          </w:tcPr>
          <w:p w14:paraId="1F301F82" w14:textId="77777777" w:rsidR="00881DF5" w:rsidRPr="00CE43C2" w:rsidRDefault="00881DF5" w:rsidP="00881DF5">
            <w:pPr>
              <w:spacing w:line="276" w:lineRule="auto"/>
              <w:rPr>
                <w:rFonts w:eastAsia="Arial"/>
                <w:sz w:val="22"/>
                <w:szCs w:val="22"/>
              </w:rPr>
            </w:pPr>
          </w:p>
        </w:tc>
        <w:tc>
          <w:tcPr>
            <w:tcW w:w="2725" w:type="dxa"/>
          </w:tcPr>
          <w:p w14:paraId="14358F74" w14:textId="77777777" w:rsidR="00881DF5" w:rsidRPr="00CE43C2" w:rsidRDefault="00881DF5" w:rsidP="00881DF5">
            <w:pPr>
              <w:spacing w:line="276" w:lineRule="auto"/>
              <w:rPr>
                <w:rFonts w:eastAsia="Arial"/>
                <w:sz w:val="22"/>
                <w:szCs w:val="22"/>
              </w:rPr>
            </w:pPr>
          </w:p>
        </w:tc>
      </w:tr>
    </w:tbl>
    <w:p w14:paraId="107F0534" w14:textId="18B9327A" w:rsidR="003D3228" w:rsidRPr="00753ABA" w:rsidRDefault="003D3228" w:rsidP="003D3228">
      <w:pPr>
        <w:pStyle w:val="Sraopastraipa"/>
        <w:tabs>
          <w:tab w:val="left" w:pos="426"/>
        </w:tabs>
        <w:ind w:left="0"/>
        <w:rPr>
          <w:b/>
          <w:bCs/>
          <w:caps/>
        </w:rPr>
      </w:pPr>
    </w:p>
    <w:p w14:paraId="13D22EF1" w14:textId="77777777" w:rsidR="00685CA7" w:rsidRPr="00753ABA" w:rsidRDefault="00685CA7" w:rsidP="003D3228">
      <w:pPr>
        <w:pStyle w:val="Sraopastraipa"/>
        <w:tabs>
          <w:tab w:val="left" w:pos="426"/>
        </w:tabs>
        <w:ind w:left="0"/>
        <w:rPr>
          <w:b/>
          <w:bCs/>
          <w:caps/>
        </w:rPr>
      </w:pPr>
    </w:p>
    <w:p w14:paraId="73F763BE" w14:textId="77777777" w:rsidR="003D3228" w:rsidRPr="00753ABA" w:rsidRDefault="003D3228" w:rsidP="003D3228">
      <w:pPr>
        <w:pStyle w:val="Sraopastraipa"/>
        <w:numPr>
          <w:ilvl w:val="0"/>
          <w:numId w:val="1"/>
        </w:numPr>
        <w:rPr>
          <w:b/>
          <w:bCs/>
          <w:caps/>
        </w:rPr>
      </w:pPr>
      <w:r w:rsidRPr="00753ABA">
        <w:rPr>
          <w:b/>
          <w:bCs/>
          <w:caps/>
        </w:rPr>
        <w:t>Klinikinio vertinimo apibendrinimas</w:t>
      </w:r>
    </w:p>
    <w:p w14:paraId="649E8B3B" w14:textId="77777777" w:rsidR="00881DF5" w:rsidRPr="00753ABA" w:rsidRDefault="00881DF5" w:rsidP="00881DF5">
      <w:pPr>
        <w:tabs>
          <w:tab w:val="left" w:pos="284"/>
        </w:tabs>
        <w:spacing w:line="280" w:lineRule="atLeast"/>
        <w:rPr>
          <w:rFonts w:eastAsia="Arial"/>
          <w:i/>
        </w:rPr>
      </w:pPr>
    </w:p>
    <w:p w14:paraId="3150410F" w14:textId="77777777" w:rsidR="00881DF5" w:rsidRPr="00753ABA" w:rsidRDefault="00881DF5" w:rsidP="00881DF5">
      <w:pPr>
        <w:autoSpaceDE w:val="0"/>
        <w:autoSpaceDN w:val="0"/>
        <w:adjustRightInd w:val="0"/>
        <w:spacing w:line="276" w:lineRule="auto"/>
        <w:ind w:firstLine="645"/>
        <w:jc w:val="both"/>
        <w:rPr>
          <w:rFonts w:eastAsia="Calibri"/>
          <w:color w:val="000000"/>
        </w:rPr>
      </w:pPr>
      <w:r w:rsidRPr="00753ABA">
        <w:rPr>
          <w:rFonts w:eastAsia="Calibri"/>
        </w:rPr>
        <w:lastRenderedPageBreak/>
        <w:t xml:space="preserve">Jaunatvinis (juvenilinis) idiopatinis artritas (JIA) (TLK 10 AM kodas M08) – tai lėtinė, autoimuninė, uždegiminė reumatinė sąnarių liga, kuri prasideda vaikystėje ar paauglystėje ir gali tęstis visą gyvenimą, apibrėžiama kaip nežinomos etiologijos persistuojantis artritas, </w:t>
      </w:r>
      <w:r w:rsidRPr="00753ABA">
        <w:rPr>
          <w:rFonts w:eastAsia="Calibri"/>
          <w:color w:val="000000"/>
        </w:rPr>
        <w:t xml:space="preserve">prasidedantis vaikams iki 16 metų ir trunkantis ilgiau kaip 3 mėnesius. </w:t>
      </w:r>
    </w:p>
    <w:p w14:paraId="6EDCA221" w14:textId="77777777" w:rsidR="00881DF5" w:rsidRPr="00753ABA" w:rsidRDefault="00881DF5" w:rsidP="00881DF5">
      <w:pPr>
        <w:spacing w:line="276" w:lineRule="auto"/>
        <w:ind w:firstLine="645"/>
        <w:jc w:val="both"/>
        <w:rPr>
          <w:rFonts w:eastAsia="Calibri"/>
          <w:color w:val="000000"/>
        </w:rPr>
      </w:pPr>
      <w:r w:rsidRPr="00753ABA">
        <w:rPr>
          <w:rFonts w:eastAsia="Calibri"/>
          <w:color w:val="000000"/>
        </w:rPr>
        <w:t xml:space="preserve">Ligos diagnozė nustatoma atmetus kitas galimas artrito priežastis. JIA būdingas pažeistų sąnarių uždegimu, kas sukelia skausmą, patinimą, sustingimą ir riboja judėjimą. JIA apima heterogeninę grupę būklių, kurioms būdingas lėtinis artritas. JIA sukelianti priežastis yra nežinoma. </w:t>
      </w:r>
    </w:p>
    <w:p w14:paraId="2144C958" w14:textId="3145D070" w:rsidR="00881DF5" w:rsidRPr="00753ABA" w:rsidRDefault="00881DF5" w:rsidP="00881DF5">
      <w:pPr>
        <w:spacing w:line="276" w:lineRule="auto"/>
        <w:ind w:firstLine="645"/>
        <w:jc w:val="both"/>
        <w:rPr>
          <w:rFonts w:eastAsia="Calibri"/>
        </w:rPr>
      </w:pPr>
      <w:r w:rsidRPr="00753ABA">
        <w:rPr>
          <w:color w:val="000000"/>
        </w:rPr>
        <w:t>Pagal Tarptautinės reumotologijos asocijacijos (</w:t>
      </w:r>
      <w:r w:rsidRPr="00753ABA">
        <w:rPr>
          <w:i/>
          <w:color w:val="000000"/>
        </w:rPr>
        <w:t>ang</w:t>
      </w:r>
      <w:r w:rsidR="00AD6CE2">
        <w:rPr>
          <w:i/>
          <w:color w:val="000000"/>
        </w:rPr>
        <w:t>l</w:t>
      </w:r>
      <w:r w:rsidRPr="00753ABA">
        <w:rPr>
          <w:i/>
          <w:color w:val="000000"/>
        </w:rPr>
        <w:t>. International League of Associations for Rheumatology, ILAR</w:t>
      </w:r>
      <w:r w:rsidRPr="00753ABA">
        <w:rPr>
          <w:color w:val="000000"/>
        </w:rPr>
        <w:t xml:space="preserve">) klasifikaciją skiriami JIA tipai: </w:t>
      </w:r>
      <w:r w:rsidRPr="00753ABA">
        <w:t>s</w:t>
      </w:r>
      <w:r w:rsidRPr="00753ABA">
        <w:rPr>
          <w:rFonts w:eastAsia="Calibri"/>
        </w:rPr>
        <w:t>isteminis artritas (sJIA), oligoartritas, RF neigiamas poliartritas (pJIA RF-), RF teigiamas poliartritas (pJIA RF+), psoriazinis JIA, su entezitu susijęs artritas, nediferencijuotas artritas.</w:t>
      </w:r>
    </w:p>
    <w:p w14:paraId="66ED0A76" w14:textId="77777777" w:rsidR="00881DF5" w:rsidRPr="00753ABA" w:rsidRDefault="00881DF5" w:rsidP="00881DF5">
      <w:pPr>
        <w:spacing w:line="276" w:lineRule="auto"/>
        <w:ind w:firstLine="645"/>
        <w:jc w:val="both"/>
        <w:rPr>
          <w:rFonts w:eastAsia="Calibri"/>
        </w:rPr>
      </w:pPr>
      <w:r w:rsidRPr="00753ABA">
        <w:rPr>
          <w:rFonts w:eastAsia="Calibri"/>
        </w:rPr>
        <w:t>Oligoartritas yra dažniausia JIA forma, pasireiškia iki 50% visų JIA, sJIA sudaro iki 15% atvejų, poliartritai sudaro iki 30%, didesnė jų dalis yra RF neigiami, psoriazinis JIA ir su entezitu susijęs artritas pasireiškia 5-10% pacientų. Duomenys apie skirtingų JIA formų paplitimą nėra homogeniški skirtinguose regionuose.</w:t>
      </w:r>
    </w:p>
    <w:p w14:paraId="2EB73460" w14:textId="07E50657" w:rsidR="00881DF5" w:rsidRPr="00753ABA" w:rsidRDefault="00881DF5" w:rsidP="00881DF5">
      <w:pPr>
        <w:spacing w:line="276" w:lineRule="auto"/>
        <w:ind w:firstLine="645"/>
        <w:jc w:val="both"/>
        <w:rPr>
          <w:color w:val="000000"/>
        </w:rPr>
      </w:pPr>
      <w:r w:rsidRPr="00753ABA">
        <w:rPr>
          <w:color w:val="000000"/>
        </w:rPr>
        <w:t>pJIA pasižymi labiau refrakt</w:t>
      </w:r>
      <w:r w:rsidR="00753ABA">
        <w:rPr>
          <w:color w:val="000000"/>
        </w:rPr>
        <w:t>e</w:t>
      </w:r>
      <w:r w:rsidRPr="00753ABA">
        <w:rPr>
          <w:color w:val="000000"/>
        </w:rPr>
        <w:t>rine ligos eiga, dėl ko didėja sąnarių pažeidimo rizika su blogesnėmis funkcinėmis išeitimis ir sumažėjusia gyvenimo kokybe. Pastebėta panašumų tarp oligoartrito ir poliartrito (RF-).</w:t>
      </w:r>
    </w:p>
    <w:p w14:paraId="456102BE" w14:textId="77777777" w:rsidR="00881DF5" w:rsidRPr="00753ABA" w:rsidRDefault="00881DF5" w:rsidP="00881DF5">
      <w:pPr>
        <w:spacing w:line="276" w:lineRule="auto"/>
        <w:ind w:firstLine="645"/>
        <w:jc w:val="both"/>
        <w:rPr>
          <w:color w:val="000000"/>
        </w:rPr>
      </w:pPr>
      <w:r w:rsidRPr="00753ABA">
        <w:t>Remiantis 2017 m. rugpjūčio 30 d. SAM įsakymu V-1015 „</w:t>
      </w:r>
      <w:r w:rsidRPr="00753ABA">
        <w:rPr>
          <w:rFonts w:eastAsia="Calibri"/>
        </w:rPr>
        <w:t>Dėl Jaunatvinio (juvenilinio) artrito gydymo vaistais, kurių įsigijimo išlaidos apmokamos Privalomojo sveikatos draudimo fondo biudžeto lėšomis, tvarkos aprašo patvirtinimo“</w:t>
      </w:r>
      <w:r w:rsidRPr="00753ABA">
        <w:t xml:space="preserve"> </w:t>
      </w:r>
      <w:r w:rsidRPr="00753ABA">
        <w:rPr>
          <w:color w:val="000000"/>
        </w:rPr>
        <w:t xml:space="preserve">Lietuvoje jaunatvinio (juvenilinio) artrito gydymas </w:t>
      </w:r>
      <w:r w:rsidRPr="00753ABA">
        <w:rPr>
          <w:rFonts w:eastAsia="Calibri"/>
        </w:rPr>
        <w:t xml:space="preserve">pradedamas nesteroidiniais vaistais nuo uždegimo (NVNU), gliukokortikosteroidais (GKK) ir (ar) intrasąnarinėmis GKK injekcijomis. Gydymas tradiciniais sintetiniais ligą modifikuojančiais vaistais (tsLMV) turi būti pradėtas iš karto nustačius diagnozę, įvertinus blogos prognozės kriterijus, parenkamas kiekvienam pacientui individualiai. Pirmaeiliai vaistai yra metotreksatas (MTX) arba kitas tsLMV –  sulfasalazinas (SFL), leflunamidas (LEF). </w:t>
      </w:r>
      <w:r w:rsidRPr="00753ABA">
        <w:rPr>
          <w:color w:val="000000"/>
        </w:rPr>
        <w:t>Jeigu gydant tsLMV gydymo tikslas nepasiekiamas per 3–6 mėnesius, arba pastebimas ligos pablogėjimas ir (ar) yra nepalankios prognozės veiksnių, reikia skirti biologinių ligą modifikuojančių vaistų (toliau – bLMV). Kartu gali būti tęsiamas gydymas NVNU, GKK ir tsLMV (dažniausiai MTX). Jei pacientas netoleruoja gydymo MTX, TNFα blokatorius ar kitas bLMV gali būti skiriamas be jo.</w:t>
      </w:r>
    </w:p>
    <w:p w14:paraId="35B311E2" w14:textId="77777777" w:rsidR="00881DF5" w:rsidRPr="00753ABA" w:rsidRDefault="00881DF5" w:rsidP="00881DF5">
      <w:pPr>
        <w:spacing w:line="276" w:lineRule="auto"/>
        <w:ind w:firstLine="645"/>
        <w:jc w:val="both"/>
        <w:rPr>
          <w:color w:val="000000"/>
        </w:rPr>
      </w:pPr>
      <w:r w:rsidRPr="00753ABA">
        <w:rPr>
          <w:rFonts w:eastAsia="Calibri"/>
          <w:bCs/>
        </w:rPr>
        <w:t>K</w:t>
      </w:r>
      <w:r w:rsidRPr="00753ABA">
        <w:rPr>
          <w:rFonts w:eastAsia="Calibri"/>
        </w:rPr>
        <w:t>eisti vieną TNF</w:t>
      </w:r>
      <w:r w:rsidRPr="00753ABA">
        <w:rPr>
          <w:rFonts w:eastAsia="Calibri"/>
          <w:bCs/>
        </w:rPr>
        <w:t>α</w:t>
      </w:r>
      <w:r w:rsidRPr="00753ABA">
        <w:rPr>
          <w:rFonts w:eastAsia="Calibri"/>
        </w:rPr>
        <w:t xml:space="preserve"> blokatorių kitu rekomenduojama tiems pacientams, kuriems po 4 mėnesių gydymo TNF</w:t>
      </w:r>
      <w:r w:rsidRPr="00753ABA">
        <w:rPr>
          <w:rFonts w:eastAsia="Calibri"/>
          <w:bCs/>
        </w:rPr>
        <w:t>α</w:t>
      </w:r>
      <w:r w:rsidRPr="00753ABA">
        <w:rPr>
          <w:rFonts w:eastAsia="Calibri"/>
        </w:rPr>
        <w:t xml:space="preserve"> blokatoriumi išlieka vidutinis ar didelis ligos aktyvumas, nepriklausomai nuo blogos prognozės požymių. </w:t>
      </w:r>
      <w:r w:rsidRPr="00753ABA">
        <w:rPr>
          <w:color w:val="000000"/>
        </w:rPr>
        <w:t xml:space="preserve">Etanerceptas skiriamas daugiausiai tik tęstiniam gydymui. Adalimumabas (anti-TNF) dažniausiai skiriamas pradedant JIA gydymą, biopanašių preparatų prieinamumas didina adalimumabo prieinamumą (mažesnė kaina, rekomenduojama pagal vaistų eilę). Tocilizumabas skiriamas kaip kitą veikimo mechanizmą, lyginant su anti-TNF, turintis vaistas JIA gydymui. </w:t>
      </w:r>
    </w:p>
    <w:p w14:paraId="31C1E34B" w14:textId="77777777" w:rsidR="00881DF5" w:rsidRPr="00753ABA" w:rsidRDefault="00881DF5" w:rsidP="00881DF5">
      <w:pPr>
        <w:pStyle w:val="Sraopastraipa"/>
        <w:spacing w:line="276" w:lineRule="auto"/>
        <w:jc w:val="both"/>
        <w:rPr>
          <w:color w:val="000000"/>
        </w:rPr>
      </w:pPr>
      <w:r w:rsidRPr="00753ABA">
        <w:rPr>
          <w:color w:val="000000"/>
        </w:rPr>
        <w:t>Pareiškėjas kaip palyginamąjį gydymą pasirinko adalimumabą ir tocilizumabą.</w:t>
      </w:r>
    </w:p>
    <w:p w14:paraId="76398611" w14:textId="77777777" w:rsidR="00881DF5" w:rsidRPr="00753ABA" w:rsidRDefault="00881DF5" w:rsidP="00881DF5">
      <w:pPr>
        <w:ind w:firstLine="645"/>
        <w:jc w:val="both"/>
        <w:rPr>
          <w:color w:val="000000" w:themeColor="text1"/>
        </w:rPr>
      </w:pPr>
      <w:r w:rsidRPr="00753ABA">
        <w:rPr>
          <w:color w:val="000000"/>
        </w:rPr>
        <w:t>Naujausiuose</w:t>
      </w:r>
      <w:r w:rsidRPr="00753ABA">
        <w:rPr>
          <w:color w:val="000000" w:themeColor="text1"/>
        </w:rPr>
        <w:t xml:space="preserve"> Amerikos reumatologų draugijos (angl. </w:t>
      </w:r>
      <w:r w:rsidRPr="00753ABA">
        <w:rPr>
          <w:i/>
          <w:color w:val="000000" w:themeColor="text1"/>
        </w:rPr>
        <w:t xml:space="preserve">American College of Rheumatology, 2019, 2021) </w:t>
      </w:r>
      <w:r w:rsidRPr="00753ABA">
        <w:rPr>
          <w:color w:val="000000" w:themeColor="text1"/>
        </w:rPr>
        <w:t>ir</w:t>
      </w:r>
      <w:r w:rsidRPr="00753ABA">
        <w:rPr>
          <w:i/>
          <w:color w:val="000000" w:themeColor="text1"/>
        </w:rPr>
        <w:t xml:space="preserve"> </w:t>
      </w:r>
      <w:r w:rsidRPr="00753ABA">
        <w:rPr>
          <w:color w:val="000000" w:themeColor="text1"/>
        </w:rPr>
        <w:t xml:space="preserve">Jungtinės Karalystės Nacionalinio sveikatos ir priežiūros tyrimų instituto (angl. </w:t>
      </w:r>
      <w:r w:rsidRPr="00753ABA">
        <w:rPr>
          <w:i/>
          <w:color w:val="000000" w:themeColor="text1"/>
        </w:rPr>
        <w:t>National Institute for Health and Care Research, NICE)</w:t>
      </w:r>
      <w:r w:rsidRPr="00753ABA">
        <w:rPr>
          <w:color w:val="000000" w:themeColor="text1"/>
        </w:rPr>
        <w:t xml:space="preserve"> JIA gydymo rekomendacijose nėra nurodyta, kad JAK inhibitoriai (šiuo atveju tofacitinibas) turėtų būti skiriami anksčiau nei šiuo metu patvirtinti ir kompensuojami TNF alfa inhibitoriai (adalimumabas, entanerceptas):</w:t>
      </w:r>
    </w:p>
    <w:p w14:paraId="17D92181" w14:textId="77777777" w:rsidR="00881DF5" w:rsidRPr="00753ABA" w:rsidRDefault="00881DF5" w:rsidP="00881DF5">
      <w:pPr>
        <w:pStyle w:val="Sraopastraipa"/>
        <w:numPr>
          <w:ilvl w:val="0"/>
          <w:numId w:val="12"/>
        </w:numPr>
        <w:jc w:val="both"/>
        <w:rPr>
          <w:color w:val="000000" w:themeColor="text1"/>
        </w:rPr>
      </w:pPr>
      <w:r w:rsidRPr="00753ABA">
        <w:rPr>
          <w:color w:val="000000" w:themeColor="text1"/>
        </w:rPr>
        <w:t xml:space="preserve">Amerikos reumatologų draugijos </w:t>
      </w:r>
      <w:r w:rsidRPr="00753ABA">
        <w:rPr>
          <w:i/>
          <w:color w:val="000000" w:themeColor="text1"/>
        </w:rPr>
        <w:t xml:space="preserve"> </w:t>
      </w:r>
      <w:r w:rsidRPr="00753ABA">
        <w:rPr>
          <w:color w:val="000000" w:themeColor="text1"/>
        </w:rPr>
        <w:t>rekomendacijose minima, kad JAK inhibitoriai gali tapti naudingais papildant esamą JIA gydymą. Tačiau šiuo metu pirmos eilės biologinės terapijos vaistais išlieka adalimumabas, entanerceptas, tocilizumabas.</w:t>
      </w:r>
    </w:p>
    <w:p w14:paraId="7FE717EB" w14:textId="77777777" w:rsidR="00881DF5" w:rsidRPr="00753ABA" w:rsidRDefault="00881DF5" w:rsidP="00881DF5">
      <w:pPr>
        <w:pStyle w:val="Sraopastraipa"/>
        <w:numPr>
          <w:ilvl w:val="0"/>
          <w:numId w:val="12"/>
        </w:numPr>
        <w:jc w:val="both"/>
        <w:rPr>
          <w:color w:val="000000" w:themeColor="text1"/>
        </w:rPr>
      </w:pPr>
      <w:r w:rsidRPr="00753ABA">
        <w:rPr>
          <w:color w:val="000000" w:themeColor="text1"/>
        </w:rPr>
        <w:lastRenderedPageBreak/>
        <w:t>NICE pateiktose rekomendacijose taip pat minima, kad JAK inhibitoriai yra gydymo alternatyva pacientams, kuriems gydymas TNF alfa inhibitoriais yra netinkamas arba neveiksmingas.</w:t>
      </w:r>
    </w:p>
    <w:p w14:paraId="5F8D8C34" w14:textId="77777777" w:rsidR="00881DF5" w:rsidRPr="00753ABA" w:rsidRDefault="00881DF5" w:rsidP="00881DF5">
      <w:pPr>
        <w:spacing w:line="276" w:lineRule="auto"/>
        <w:ind w:firstLine="709"/>
        <w:jc w:val="both"/>
        <w:rPr>
          <w:rFonts w:eastAsia="Calibri"/>
          <w:bCs/>
        </w:rPr>
      </w:pPr>
      <w:r w:rsidRPr="00753ABA">
        <w:rPr>
          <w:bCs/>
          <w:lang w:eastAsia="lt-LT"/>
        </w:rPr>
        <w:t xml:space="preserve">Pareiškėjo yra pateikta informacija, kad </w:t>
      </w:r>
      <w:r w:rsidRPr="00753ABA">
        <w:rPr>
          <w:rFonts w:eastAsia="Calibri"/>
          <w:bCs/>
        </w:rPr>
        <w:t>tofacitinibo tiesioginio palyginimo su kitais bLMV nėra. Todėl atliktas netiesioginis tofacitinibo efektyvumo ir saugumo palyginimas su pasirinktais palyginamaisias gydymais. Atlikus sisteminę literatūros analizę (SLR) buvo nustatyti trys tinkami klinikiniai tyrimai, o jų paskelbti duomenys buvo panaudoti atliekant netiesioginio palyginimo tyrimą (ITC analizę).</w:t>
      </w:r>
    </w:p>
    <w:p w14:paraId="54488E37" w14:textId="77777777" w:rsidR="00881DF5" w:rsidRPr="00753ABA" w:rsidRDefault="00881DF5" w:rsidP="00881DF5">
      <w:pPr>
        <w:tabs>
          <w:tab w:val="left" w:pos="426"/>
        </w:tabs>
        <w:spacing w:line="276" w:lineRule="auto"/>
        <w:jc w:val="both"/>
        <w:rPr>
          <w:rFonts w:eastAsia="Arial"/>
        </w:rPr>
      </w:pPr>
      <w:r w:rsidRPr="00753ABA">
        <w:rPr>
          <w:color w:val="000000"/>
        </w:rPr>
        <w:tab/>
      </w:r>
      <w:r w:rsidRPr="00753ABA">
        <w:rPr>
          <w:color w:val="000000"/>
        </w:rPr>
        <w:tab/>
        <w:t xml:space="preserve">Remiantis pateiktu netiesioginiu palyginimu, nebuvo nustatyta statistiškai reikšmingų skirtumų tarp tofacitinibo, adalimumabo ir tofacitinibo, pagal pagrindines ir antrines vertinamąsias baigtis. </w:t>
      </w:r>
      <w:r w:rsidRPr="00753ABA">
        <w:rPr>
          <w:rFonts w:eastAsia="Arial"/>
        </w:rPr>
        <w:t>Vartojant tofacitinibą ligos paūmėjimo rizika buvo panaši kaip ir su abiem lyginamiesiems preparatams (RR taško įverčio diapazonas: 0,97–1,04). Statistiškai reikšmingų gydymo skirtumų tarp palyginamųjų dėl ACR Pedi 30, 50 ir 70 atsako kriterijų taip pat nenustatyta.</w:t>
      </w:r>
    </w:p>
    <w:p w14:paraId="7E84C053" w14:textId="77777777" w:rsidR="00881DF5" w:rsidRPr="00753ABA" w:rsidRDefault="00881DF5" w:rsidP="00881DF5">
      <w:pPr>
        <w:tabs>
          <w:tab w:val="left" w:pos="426"/>
        </w:tabs>
        <w:spacing w:line="276" w:lineRule="auto"/>
        <w:jc w:val="both"/>
        <w:rPr>
          <w:rFonts w:eastAsia="Arial"/>
        </w:rPr>
      </w:pPr>
      <w:r w:rsidRPr="00753ABA">
        <w:rPr>
          <w:rFonts w:eastAsia="Arial"/>
        </w:rPr>
        <w:tab/>
      </w:r>
      <w:r w:rsidRPr="00753ABA">
        <w:rPr>
          <w:rFonts w:eastAsia="Arial"/>
        </w:rPr>
        <w:tab/>
        <w:t xml:space="preserve">Nors netiesioginiame palyginime pateiktuose tyrimuose pagrindinės pacientų charakteristikos buvo tapačios: intervencijos trukmė, pacientų lytis, reumatoidinio faktoriaus tyrimo vertės, ligos trukmė iki tyrimo. Įvertinus tyrimus buvo pastebėti keli </w:t>
      </w:r>
      <w:r w:rsidRPr="00753ABA">
        <w:rPr>
          <w:rFonts w:eastAsia="Arial"/>
          <w:u w:val="single"/>
        </w:rPr>
        <w:t>neatitikimai</w:t>
      </w:r>
      <w:r w:rsidRPr="00753ABA">
        <w:rPr>
          <w:rFonts w:eastAsia="Arial"/>
        </w:rPr>
        <w:t>:</w:t>
      </w:r>
    </w:p>
    <w:p w14:paraId="45D32304" w14:textId="77777777" w:rsidR="00881DF5" w:rsidRPr="00753ABA" w:rsidRDefault="00881DF5" w:rsidP="00881DF5">
      <w:pPr>
        <w:pStyle w:val="Sraopastraipa"/>
        <w:numPr>
          <w:ilvl w:val="0"/>
          <w:numId w:val="11"/>
        </w:numPr>
        <w:tabs>
          <w:tab w:val="left" w:pos="426"/>
        </w:tabs>
        <w:spacing w:line="276" w:lineRule="auto"/>
        <w:jc w:val="both"/>
        <w:rPr>
          <w:rFonts w:eastAsia="Arial"/>
        </w:rPr>
      </w:pPr>
      <w:r w:rsidRPr="00753ABA">
        <w:rPr>
          <w:rFonts w:eastAsia="Arial"/>
        </w:rPr>
        <w:t xml:space="preserve">Ankstesnis gydymas biologiniais LMV: maždaug trečdalis pacientų anksčiau buvo gydomi bLMV tofacitinibo ir tocilizumabo tyrimuose. Tačiau adalimumabo tyrime ankstesnis bLMV vartojimas buvo atmetimo kriterijus. </w:t>
      </w:r>
    </w:p>
    <w:p w14:paraId="4FF33BD3" w14:textId="77777777" w:rsidR="00881DF5" w:rsidRPr="00753ABA" w:rsidRDefault="00881DF5" w:rsidP="00881DF5">
      <w:pPr>
        <w:pStyle w:val="Sraopastraipa"/>
        <w:numPr>
          <w:ilvl w:val="0"/>
          <w:numId w:val="11"/>
        </w:numPr>
        <w:tabs>
          <w:tab w:val="left" w:pos="426"/>
        </w:tabs>
        <w:spacing w:line="276" w:lineRule="auto"/>
        <w:jc w:val="both"/>
        <w:rPr>
          <w:rFonts w:eastAsia="Arial"/>
        </w:rPr>
      </w:pPr>
      <w:r w:rsidRPr="00753ABA">
        <w:rPr>
          <w:rFonts w:eastAsia="Arial"/>
        </w:rPr>
        <w:t>Metotreksato vartojimas: visi tyrimai leido tyrimo metu vartoti metotreksatą. Tofacitinibo tyrimo metu metotreksatą vartojusių pacientų dalis buvo 65,9 %, o adalimumabo tyrime 100 % visų pacientų vartojo metotreksatą.</w:t>
      </w:r>
    </w:p>
    <w:p w14:paraId="734BEB2C" w14:textId="77777777" w:rsidR="00881DF5" w:rsidRPr="00753ABA" w:rsidRDefault="00881DF5" w:rsidP="00881DF5">
      <w:pPr>
        <w:autoSpaceDE w:val="0"/>
        <w:autoSpaceDN w:val="0"/>
        <w:adjustRightInd w:val="0"/>
        <w:spacing w:line="276" w:lineRule="auto"/>
        <w:ind w:firstLine="567"/>
        <w:jc w:val="both"/>
      </w:pPr>
      <w:r w:rsidRPr="00753ABA">
        <w:t xml:space="preserve">Įvertinus visą pateiktą informaciją, netiesioginį palyginamąjį tyrimą, naujausias gydymo gaires bei klinikinę situaciją Lietuvoje, galima daryti išvadą, kad tofacitinibo klinikinis veiksmingumas, gydant pacientus, sergančius JIA, kurie prieš tai buvo gavę gydymą bLMV, palyginus su tocilizumabu nesiskiria. Tačiau dėl netiesioginiame palyginamajame tyrime nustatytų neatitikimų (apie trečdalis pacientų tofacitinibo grupėje buvo gavę gydymą bLMV, o adalimumabą vartoję pacientai negalėjo gauti gydymo bLMV) ir remiantis naujausiomis gydymo gairėmis, negalima daryti išvados, kad tofacitinibo veiksmingumas yra nesiskiriantis palyginus su adalimumabo veiksmingumu pacientams, kurie serga JIA ir kurie prieš tai buvo gavę gydymą LMV. </w:t>
      </w:r>
    </w:p>
    <w:p w14:paraId="276A917F" w14:textId="7552D4E9" w:rsidR="00881DF5" w:rsidRPr="00753ABA" w:rsidRDefault="001032E3" w:rsidP="001032E3">
      <w:pPr>
        <w:spacing w:line="276" w:lineRule="auto"/>
        <w:ind w:firstLine="567"/>
        <w:rPr>
          <w:color w:val="000000"/>
        </w:rPr>
      </w:pPr>
      <w:r>
        <w:rPr>
          <w:rFonts w:eastAsia="Arial"/>
        </w:rPr>
        <w:t>Apibendrinant pirmiau nurodytą</w:t>
      </w:r>
      <w:r w:rsidR="00EB41DB" w:rsidRPr="00753ABA">
        <w:rPr>
          <w:rFonts w:eastAsia="Arial"/>
        </w:rPr>
        <w:t xml:space="preserve"> informaciją, </w:t>
      </w:r>
      <w:r>
        <w:rPr>
          <w:rFonts w:eastAsia="Arial"/>
        </w:rPr>
        <w:t xml:space="preserve">pareiškėjo teikiamos skyrimo sąlygos yra nepriimtinos, nes tofacitinibas skirtinas teikiamos kompensavimui populiacijos </w:t>
      </w:r>
      <w:r w:rsidR="00881DF5" w:rsidRPr="00753ABA">
        <w:rPr>
          <w:color w:val="000000" w:themeColor="text1"/>
        </w:rPr>
        <w:t xml:space="preserve">pacientams, kurių atsakas į ankstesnį gydymą </w:t>
      </w:r>
      <w:r w:rsidR="00881DF5" w:rsidRPr="00753ABA">
        <w:rPr>
          <w:i/>
          <w:color w:val="000000" w:themeColor="text1"/>
        </w:rPr>
        <w:t>biologiniais</w:t>
      </w:r>
      <w:r w:rsidR="00881DF5" w:rsidRPr="00753ABA">
        <w:rPr>
          <w:color w:val="000000" w:themeColor="text1"/>
        </w:rPr>
        <w:t xml:space="preserve"> LMV buvo nepakankamas.</w:t>
      </w:r>
    </w:p>
    <w:p w14:paraId="33471A50" w14:textId="77777777" w:rsidR="003D3228" w:rsidRPr="00753ABA" w:rsidRDefault="003D3228" w:rsidP="003D32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49C93293"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ekonominio vertinimo apibendrinimas</w:t>
      </w:r>
    </w:p>
    <w:p w14:paraId="46A5FE21" w14:textId="77777777" w:rsidR="003D3228" w:rsidRPr="00753ABA" w:rsidRDefault="003D3228" w:rsidP="003D3228">
      <w:pPr>
        <w:tabs>
          <w:tab w:val="left" w:pos="426"/>
        </w:tabs>
        <w:rPr>
          <w:i/>
          <w:sz w:val="22"/>
          <w:szCs w:val="22"/>
        </w:rPr>
      </w:pPr>
    </w:p>
    <w:p w14:paraId="2E3C016A" w14:textId="767440CE" w:rsidR="00CE43C2" w:rsidRDefault="00615244" w:rsidP="00CE43C2">
      <w:pPr>
        <w:tabs>
          <w:tab w:val="left" w:pos="360"/>
        </w:tabs>
        <w:spacing w:line="276" w:lineRule="auto"/>
        <w:jc w:val="both"/>
        <w:rPr>
          <w:lang w:eastAsia="lt-LT"/>
        </w:rPr>
      </w:pPr>
      <w:r>
        <w:rPr>
          <w:color w:val="000000"/>
          <w:lang w:val="en-GB"/>
        </w:rPr>
        <w:tab/>
      </w:r>
      <w:r w:rsidR="00CE43C2" w:rsidRPr="005A496A">
        <w:rPr>
          <w:color w:val="000000"/>
          <w:lang w:val="en-GB"/>
        </w:rPr>
        <w:t>Tofacitinibas skiriamas aktyviam jaunatviniam idiopatiniam poliartritui (poliartritui esant reumatoidiniam faktoriui [RF+] arba jo nesant [RF–] ir išplitusiam oligoartritui) bei jaunatviniam psoriaziniam artritui (PsA) gydyti 2 metų amžiaus ir vyresniems pacientams, kurių atsakas į ankstesnį gydymą LMV buvo nepakankamas.</w:t>
      </w:r>
      <w:r w:rsidR="00CE43C2">
        <w:rPr>
          <w:iCs/>
          <w:lang w:eastAsia="lt-LT"/>
        </w:rPr>
        <w:t xml:space="preserve"> Pareiškėjas ekonominės analizės įprastinėje atvejo analizėje pateikia vaistinių preparatų įsigijimo ir skyrimo kaštus vienerių metų laikotarpiu 11 m. ir 16 m. amžiaus pacientams bei suminius 11-18 m. amžiaus pacientų kaštus. Tarnyba atkreipia dėmesį, kad e</w:t>
      </w:r>
      <w:r w:rsidR="00CE43C2">
        <w:rPr>
          <w:lang w:eastAsia="lt-LT"/>
        </w:rPr>
        <w:t>konominę analizę (kaštų mažinimą, KMA) Pareiškėjas teikia indikacijai nuo 2-18 m. amžiaus pacientams</w:t>
      </w:r>
      <w:r w:rsidR="00CE43C2">
        <w:t xml:space="preserve">. </w:t>
      </w:r>
      <w:r w:rsidR="00CE43C2" w:rsidRPr="008B355B">
        <w:rPr>
          <w:lang w:eastAsia="lt-LT"/>
        </w:rPr>
        <w:t>Tarnyba vertina, kad ekonominės analizės rezultatų vertinimas pacientams nuo 11</w:t>
      </w:r>
      <w:r w:rsidR="00CE43C2">
        <w:rPr>
          <w:lang w:eastAsia="lt-LT"/>
        </w:rPr>
        <w:t>-18</w:t>
      </w:r>
      <w:r w:rsidR="00CE43C2" w:rsidRPr="008B355B">
        <w:rPr>
          <w:lang w:eastAsia="lt-LT"/>
        </w:rPr>
        <w:t xml:space="preserve"> m.</w:t>
      </w:r>
      <w:r w:rsidR="00CE43C2">
        <w:rPr>
          <w:lang w:eastAsia="lt-LT"/>
        </w:rPr>
        <w:t xml:space="preserve"> (bei pavieniai 11 ir 16 m. vertinimai)</w:t>
      </w:r>
      <w:r w:rsidR="00CE43C2" w:rsidRPr="008B355B">
        <w:rPr>
          <w:lang w:eastAsia="lt-LT"/>
        </w:rPr>
        <w:t xml:space="preserve"> neatitinka kompensavimui teikiamos indikacijos populiacijos bei sergamumo pasiskirstymo pagal amžių JA Lietuvoje</w:t>
      </w:r>
      <w:r w:rsidR="00CE43C2">
        <w:rPr>
          <w:lang w:eastAsia="lt-LT"/>
        </w:rPr>
        <w:t>.</w:t>
      </w:r>
      <w:r w:rsidR="00CE43C2">
        <w:t xml:space="preserve"> Kadangi, tofacitinibo klinikiniame tyrime </w:t>
      </w:r>
      <w:r w:rsidR="00CE43C2">
        <w:lastRenderedPageBreak/>
        <w:t>(A3921104) pacientai pasiskirstė: 12-18 m. 61.8%, 6-≤12 m. 28.4% ir 2-≤6 m. 9.8% ir pagal Higienos instituto duomenis (2020 m.) atitinka Lietuvos epidemiologinius duomenis, Tarnyba</w:t>
      </w:r>
      <w:r w:rsidR="00CE43C2" w:rsidRPr="008B355B">
        <w:rPr>
          <w:lang w:eastAsia="lt-LT"/>
        </w:rPr>
        <w:t xml:space="preserve"> įprast</w:t>
      </w:r>
      <w:r w:rsidR="00CE43C2">
        <w:rPr>
          <w:lang w:eastAsia="lt-LT"/>
        </w:rPr>
        <w:t xml:space="preserve">inėje atvejo analizėje vertina kaštus </w:t>
      </w:r>
      <w:r w:rsidR="00CE43C2" w:rsidRPr="008B355B">
        <w:rPr>
          <w:lang w:eastAsia="lt-LT"/>
        </w:rPr>
        <w:t xml:space="preserve">2-18 m. amžiaus pacientams, apskaičiuojant kaip svertinį vidurkį </w:t>
      </w:r>
      <w:r w:rsidR="00CE43C2">
        <w:rPr>
          <w:lang w:eastAsia="lt-LT"/>
        </w:rPr>
        <w:t>pagal</w:t>
      </w:r>
      <w:r w:rsidR="00CE43C2" w:rsidRPr="008B355B">
        <w:rPr>
          <w:lang w:eastAsia="lt-LT"/>
        </w:rPr>
        <w:t xml:space="preserve"> </w:t>
      </w:r>
      <w:r w:rsidR="00CE43C2">
        <w:rPr>
          <w:lang w:eastAsia="lt-LT"/>
        </w:rPr>
        <w:t xml:space="preserve">pacientų amžiaus pasiskirstymą </w:t>
      </w:r>
      <w:r w:rsidR="00CE43C2" w:rsidRPr="008B355B">
        <w:rPr>
          <w:lang w:eastAsia="lt-LT"/>
        </w:rPr>
        <w:t>(</w:t>
      </w:r>
      <w:r w:rsidR="00CE43C2" w:rsidRPr="008B355B">
        <w:t>12-18 m. 61.8%, 6-≤12 m. 28.4% ir 2-≤6 m. 9.8%</w:t>
      </w:r>
      <w:r w:rsidR="00CE43C2" w:rsidRPr="008B355B">
        <w:rPr>
          <w:lang w:eastAsia="lt-LT"/>
        </w:rPr>
        <w:t xml:space="preserve">). </w:t>
      </w:r>
      <w:r w:rsidR="00CE43C2">
        <w:rPr>
          <w:lang w:eastAsia="lt-LT"/>
        </w:rPr>
        <w:t xml:space="preserve">Atsižvelgiant, kad realus pacientų amžius (ir svoris), kurių gydymui būtų skiriamas tofacitinibas, Lietuvoje nėra žinomas (o KMA rezultatui esminės įtakos turi pacientų amžius/svoris dėl vaistų dozavimo), Tarnyba taip pat atlieka įprastinės atvejo analizės supaprastintą kaštų palyginimą, kai atsižvelgiant į pagrindinio tofacitinibo klinikinio tyrimo duomenis, kuriais remiantis vidutinis pacientų amžius – 11,9 m. ir </w:t>
      </w:r>
      <w:r w:rsidR="00CE43C2" w:rsidRPr="00FD55B5">
        <w:rPr>
          <w:lang w:eastAsia="lt-LT"/>
        </w:rPr>
        <w:t>atliekamas vienerių metų vaistinių preparatų įsigijimo ir skyrimo kaštų palyginimas pacientams, kurių amžius 11-12 m. (VLK taikomas scenarijus apskaičiuojant PSDF biudžeto įtaką</w:t>
      </w:r>
      <w:r w:rsidR="00CE43C2">
        <w:rPr>
          <w:lang w:eastAsia="lt-LT"/>
        </w:rPr>
        <w:t xml:space="preserve">). </w:t>
      </w:r>
    </w:p>
    <w:p w14:paraId="4F0EFA67" w14:textId="54667CF1" w:rsidR="00CE43C2" w:rsidRPr="00E31E0B" w:rsidRDefault="00CE43C2" w:rsidP="00CE43C2">
      <w:pPr>
        <w:tabs>
          <w:tab w:val="left" w:pos="360"/>
        </w:tabs>
        <w:spacing w:line="276" w:lineRule="auto"/>
        <w:jc w:val="both"/>
        <w:rPr>
          <w:iCs/>
          <w:lang w:eastAsia="lt-LT"/>
        </w:rPr>
      </w:pPr>
      <w:r>
        <w:rPr>
          <w:lang w:eastAsia="lt-LT"/>
        </w:rPr>
        <w:tab/>
        <w:t xml:space="preserve">Ekonominė analizė atliekama tofacitinibo kaštus lyginant su Lietuvoje JIA gydymui kompensuojamu ir antroje gydymo eilėje </w:t>
      </w:r>
      <w:r>
        <w:rPr>
          <w:bCs/>
          <w:color w:val="000000"/>
        </w:rPr>
        <w:t>(</w:t>
      </w:r>
      <w:r w:rsidRPr="003E6663">
        <w:rPr>
          <w:bCs/>
          <w:color w:val="000000"/>
        </w:rPr>
        <w:t xml:space="preserve">po </w:t>
      </w:r>
      <w:r>
        <w:rPr>
          <w:bCs/>
          <w:color w:val="000000"/>
        </w:rPr>
        <w:t xml:space="preserve">anksčiau </w:t>
      </w:r>
      <w:r w:rsidRPr="003E6663">
        <w:rPr>
          <w:bCs/>
          <w:color w:val="000000"/>
        </w:rPr>
        <w:t>taikyto gydymo bLMV</w:t>
      </w:r>
      <w:r>
        <w:rPr>
          <w:bCs/>
          <w:color w:val="000000"/>
        </w:rPr>
        <w:t>)</w:t>
      </w:r>
      <w:r>
        <w:rPr>
          <w:lang w:eastAsia="lt-LT"/>
        </w:rPr>
        <w:t xml:space="preserve"> skiriamu tocilizumabu (sutampa indikacija ir skyrimo sąlygos, </w:t>
      </w:r>
      <w:r w:rsidRPr="00A07652">
        <w:rPr>
          <w:bCs/>
          <w:i/>
          <w:color w:val="000000"/>
        </w:rPr>
        <w:t>plačiau aprašyta klinikinėje dalyje</w:t>
      </w:r>
      <w:r>
        <w:rPr>
          <w:lang w:eastAsia="lt-LT"/>
        </w:rPr>
        <w:t>).</w:t>
      </w:r>
      <w:r>
        <w:rPr>
          <w:iCs/>
          <w:lang w:eastAsia="lt-LT"/>
        </w:rPr>
        <w:t xml:space="preserve"> </w:t>
      </w:r>
      <w:r w:rsidRPr="008B355B">
        <w:rPr>
          <w:lang w:eastAsia="lt-LT"/>
        </w:rPr>
        <w:t xml:space="preserve">Atsižvelgiant, kad vaistinių preparatų įsigijimo ir skyrimo kaštai pirmaisiais ir sekančiais metais nesiskirs, vertinama, kad nėra tikslinga taikyti ilgalaikės perspektyvos ir KMA įtraukiami kaštai vienerių metų laikotarpiu. </w:t>
      </w:r>
      <w:r w:rsidRPr="00F80340">
        <w:rPr>
          <w:lang w:eastAsia="lt-LT"/>
        </w:rPr>
        <w:t>Apskaičiuojant dozės poreikį remiamasi Pareiškėjo pateiktais duomenimis apie Lietuvos pacientų svorį pagal amžių (tyrimas Lietuvoje), vaistinių preparatų charakteristikose nurodyta dozavimo informacija ir konfidencialiomis palyginamųjų kainomis su PGS (VLK duomenys).</w:t>
      </w:r>
      <w:r>
        <w:rPr>
          <w:iCs/>
          <w:lang w:eastAsia="lt-LT"/>
        </w:rPr>
        <w:t xml:space="preserve"> </w:t>
      </w:r>
      <w:r>
        <w:rPr>
          <w:rFonts w:eastAsia="Arial"/>
        </w:rPr>
        <w:t xml:space="preserve">Tofacitinibo klinikinio veiksmingumo palyginimui su tocilizumabu Pareiškėjas pateikia netiesioginio palyginimo analizę. Atsižvelgiant, kad pagal klinikinius duomenis vertinama, jog  tofacitinibo ir tocilizumabo sveikatai sukuriama nauda yra panaši, ekonominėje analizėje ICER (ir QALYS) nėra vertinami, laikomasi prielaidos, kad gydymo (sveikatos būklių) kaštai yra panašūs ir ekonominėje analizėje yra įtraukiami tik skirtumus lemiantys kaštai: vaistinių preparatų įsigijimo ir su tocilizumabo skyrimo forma susiję – skyrimo kaštai. </w:t>
      </w:r>
      <w:r w:rsidRPr="00E31E0B">
        <w:rPr>
          <w:iCs/>
          <w:lang w:eastAsia="lt-LT"/>
        </w:rPr>
        <w:t>Kiti kaštai analizėje neįtraukiami, taikant prielaidas, kad skirtumų tarp pal</w:t>
      </w:r>
      <w:r w:rsidR="005D6F7A">
        <w:rPr>
          <w:iCs/>
          <w:lang w:eastAsia="lt-LT"/>
        </w:rPr>
        <w:t>yginamųjų patiriamų kaštų nėra (</w:t>
      </w:r>
      <w:r w:rsidR="005D6F7A" w:rsidRPr="005D6F7A">
        <w:rPr>
          <w:i/>
          <w:iCs/>
          <w:lang w:eastAsia="lt-LT"/>
        </w:rPr>
        <w:t>plačiau aprašyta vertinimo protokole</w:t>
      </w:r>
      <w:r w:rsidR="005D6F7A">
        <w:rPr>
          <w:iCs/>
          <w:lang w:eastAsia="lt-LT"/>
        </w:rPr>
        <w:t>)</w:t>
      </w:r>
      <w:r w:rsidRPr="00E31E0B">
        <w:rPr>
          <w:iCs/>
          <w:lang w:eastAsia="lt-LT"/>
        </w:rPr>
        <w:t>.</w:t>
      </w:r>
    </w:p>
    <w:p w14:paraId="386D9D5B" w14:textId="1D4F03F3" w:rsidR="00CE43C2" w:rsidRPr="001032E3" w:rsidRDefault="00CE43C2" w:rsidP="00CE43C2">
      <w:pPr>
        <w:shd w:val="clear" w:color="auto" w:fill="FFFFFF"/>
        <w:spacing w:line="276" w:lineRule="auto"/>
        <w:rPr>
          <w:i/>
          <w:iCs/>
          <w:lang w:eastAsia="lt-LT"/>
        </w:rPr>
      </w:pPr>
    </w:p>
    <w:p w14:paraId="6D8EF136" w14:textId="77777777" w:rsidR="00615244" w:rsidRDefault="00615244" w:rsidP="00615244">
      <w:pPr>
        <w:shd w:val="clear" w:color="auto" w:fill="FFFFFF"/>
        <w:spacing w:line="276" w:lineRule="auto"/>
        <w:jc w:val="center"/>
        <w:rPr>
          <w:b/>
          <w:iCs/>
          <w:lang w:eastAsia="lt-LT"/>
        </w:rPr>
      </w:pPr>
      <w:r w:rsidRPr="00615244">
        <w:rPr>
          <w:b/>
          <w:iCs/>
          <w:lang w:eastAsia="lt-LT"/>
        </w:rPr>
        <w:t xml:space="preserve">Pagrindinis ekonominės analizės rezultatas </w:t>
      </w:r>
    </w:p>
    <w:p w14:paraId="0588020B" w14:textId="4605F4D9" w:rsidR="00CE43C2" w:rsidRPr="00E94588" w:rsidRDefault="00615244" w:rsidP="00615244">
      <w:pPr>
        <w:shd w:val="clear" w:color="auto" w:fill="FFFFFF"/>
        <w:spacing w:line="276" w:lineRule="auto"/>
        <w:jc w:val="center"/>
        <w:rPr>
          <w:b/>
          <w:i/>
          <w:iCs/>
          <w:lang w:eastAsia="lt-LT"/>
        </w:rPr>
      </w:pPr>
      <w:r w:rsidRPr="00E94588">
        <w:rPr>
          <w:b/>
          <w:i/>
          <w:iCs/>
          <w:lang w:eastAsia="lt-LT"/>
        </w:rPr>
        <w:t>(vaistinių preparatų įsigijimo ir skyrimo kaštai vienerių metų laikotarpiu)</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38"/>
        <w:gridCol w:w="2754"/>
        <w:gridCol w:w="2484"/>
      </w:tblGrid>
      <w:tr w:rsidR="00615244" w:rsidRPr="00FC3F09" w14:paraId="538CF9A5" w14:textId="77777777" w:rsidTr="00615244">
        <w:trPr>
          <w:trHeight w:val="291"/>
          <w:jc w:val="center"/>
        </w:trPr>
        <w:tc>
          <w:tcPr>
            <w:tcW w:w="2306" w:type="dxa"/>
            <w:shd w:val="clear" w:color="auto" w:fill="auto"/>
            <w:noWrap/>
            <w:vAlign w:val="bottom"/>
          </w:tcPr>
          <w:p w14:paraId="0AAF134D" w14:textId="2158EAE0" w:rsidR="00615244" w:rsidRPr="00B73885" w:rsidRDefault="00615244" w:rsidP="006F7456">
            <w:pPr>
              <w:jc w:val="center"/>
              <w:rPr>
                <w:b/>
                <w:lang w:eastAsia="lt-LT"/>
              </w:rPr>
            </w:pPr>
          </w:p>
        </w:tc>
        <w:tc>
          <w:tcPr>
            <w:tcW w:w="1838" w:type="dxa"/>
            <w:vAlign w:val="center"/>
          </w:tcPr>
          <w:p w14:paraId="600683F6" w14:textId="5AFE62CC" w:rsidR="00615244" w:rsidRPr="00C61318" w:rsidRDefault="00615244" w:rsidP="006F7456">
            <w:pPr>
              <w:jc w:val="center"/>
              <w:rPr>
                <w:color w:val="000000"/>
              </w:rPr>
            </w:pPr>
            <w:r w:rsidRPr="00B73885">
              <w:rPr>
                <w:b/>
                <w:lang w:eastAsia="lt-LT"/>
              </w:rPr>
              <w:t>Tofacitinibas</w:t>
            </w:r>
          </w:p>
        </w:tc>
        <w:tc>
          <w:tcPr>
            <w:tcW w:w="2754" w:type="dxa"/>
            <w:vAlign w:val="center"/>
          </w:tcPr>
          <w:p w14:paraId="75016163" w14:textId="3EB8704C" w:rsidR="00615244" w:rsidRPr="00C61318" w:rsidRDefault="00615244" w:rsidP="006F7456">
            <w:pPr>
              <w:jc w:val="center"/>
              <w:rPr>
                <w:color w:val="000000"/>
              </w:rPr>
            </w:pPr>
            <w:r w:rsidRPr="00B73885">
              <w:rPr>
                <w:b/>
                <w:lang w:eastAsia="lt-LT"/>
              </w:rPr>
              <w:t>Tocilizumabas</w:t>
            </w:r>
          </w:p>
        </w:tc>
        <w:tc>
          <w:tcPr>
            <w:tcW w:w="2484" w:type="dxa"/>
            <w:vAlign w:val="center"/>
          </w:tcPr>
          <w:p w14:paraId="5101F7D1" w14:textId="4284F052" w:rsidR="00615244" w:rsidRPr="00B73885" w:rsidRDefault="00615244" w:rsidP="006F7456">
            <w:pPr>
              <w:jc w:val="center"/>
              <w:rPr>
                <w:b/>
                <w:color w:val="000000"/>
              </w:rPr>
            </w:pPr>
            <w:r>
              <w:rPr>
                <w:b/>
                <w:color w:val="000000"/>
              </w:rPr>
              <w:t>Skirtumas</w:t>
            </w:r>
          </w:p>
        </w:tc>
      </w:tr>
      <w:tr w:rsidR="00615244" w:rsidRPr="00FC3F09" w14:paraId="4F432B82" w14:textId="77777777" w:rsidTr="00615244">
        <w:trPr>
          <w:trHeight w:val="291"/>
          <w:jc w:val="center"/>
        </w:trPr>
        <w:tc>
          <w:tcPr>
            <w:tcW w:w="2306" w:type="dxa"/>
            <w:shd w:val="clear" w:color="auto" w:fill="auto"/>
            <w:noWrap/>
            <w:vAlign w:val="bottom"/>
          </w:tcPr>
          <w:p w14:paraId="12BAFECF" w14:textId="361A48FE" w:rsidR="00615244" w:rsidRPr="00615244" w:rsidRDefault="00615244" w:rsidP="00615244">
            <w:pPr>
              <w:pStyle w:val="Sraopastraipa"/>
              <w:numPr>
                <w:ilvl w:val="0"/>
                <w:numId w:val="15"/>
              </w:numPr>
              <w:ind w:left="245" w:hanging="270"/>
              <w:rPr>
                <w:lang w:eastAsia="lt-LT"/>
              </w:rPr>
            </w:pPr>
            <w:r w:rsidRPr="00615244">
              <w:rPr>
                <w:lang w:eastAsia="lt-LT"/>
              </w:rPr>
              <w:t xml:space="preserve">metodas: </w:t>
            </w:r>
          </w:p>
          <w:p w14:paraId="1D10BC7F" w14:textId="7C94BA4B" w:rsidR="00615244" w:rsidRPr="00615244" w:rsidRDefault="00615244" w:rsidP="00615244">
            <w:pPr>
              <w:rPr>
                <w:lang w:eastAsia="lt-LT"/>
              </w:rPr>
            </w:pPr>
            <w:r w:rsidRPr="00615244">
              <w:rPr>
                <w:lang w:eastAsia="lt-LT"/>
              </w:rPr>
              <w:t>Įprastinė KMA</w:t>
            </w:r>
          </w:p>
        </w:tc>
        <w:tc>
          <w:tcPr>
            <w:tcW w:w="1838" w:type="dxa"/>
            <w:vAlign w:val="center"/>
          </w:tcPr>
          <w:p w14:paraId="1E738BA8" w14:textId="00C700AD" w:rsidR="00615244" w:rsidRPr="00373004" w:rsidRDefault="007B231E" w:rsidP="00CE43C2">
            <w:pPr>
              <w:jc w:val="center"/>
              <w:rPr>
                <w:color w:val="000000"/>
                <w:u w:val="single"/>
              </w:rPr>
            </w:pPr>
            <w:r>
              <w:rPr>
                <w:bCs/>
                <w:color w:val="000000"/>
                <w:highlight w:val="yellow"/>
                <w:u w:val="single"/>
                <w:lang w:eastAsia="lt-LT"/>
              </w:rPr>
              <w:t>***</w:t>
            </w:r>
            <w:r w:rsidR="00615244" w:rsidRPr="00362289">
              <w:rPr>
                <w:bCs/>
                <w:color w:val="000000"/>
                <w:highlight w:val="yellow"/>
                <w:u w:val="single"/>
                <w:lang w:eastAsia="lt-LT"/>
              </w:rPr>
              <w:t xml:space="preserve"> Eur.</w:t>
            </w:r>
          </w:p>
        </w:tc>
        <w:tc>
          <w:tcPr>
            <w:tcW w:w="2754" w:type="dxa"/>
            <w:vAlign w:val="center"/>
          </w:tcPr>
          <w:p w14:paraId="51C15FCE" w14:textId="38BFCA4D" w:rsidR="00615244" w:rsidRPr="00615244" w:rsidRDefault="007A3DB9" w:rsidP="00CE43C2">
            <w:pPr>
              <w:jc w:val="center"/>
              <w:rPr>
                <w:color w:val="000000"/>
              </w:rPr>
            </w:pPr>
            <w:r w:rsidRPr="00FA7DDC">
              <w:rPr>
                <w:bCs/>
                <w:highlight w:val="red"/>
                <w:lang w:val="en-US" w:eastAsia="lt-LT"/>
              </w:rPr>
              <w:t>***</w:t>
            </w:r>
            <w:r>
              <w:rPr>
                <w:bCs/>
                <w:lang w:val="en-US" w:eastAsia="lt-LT"/>
              </w:rPr>
              <w:t xml:space="preserve"> </w:t>
            </w:r>
            <w:r w:rsidR="00615244" w:rsidRPr="00615244">
              <w:rPr>
                <w:bCs/>
                <w:color w:val="000000"/>
                <w:lang w:eastAsia="lt-LT"/>
              </w:rPr>
              <w:t>Eur.</w:t>
            </w:r>
          </w:p>
        </w:tc>
        <w:tc>
          <w:tcPr>
            <w:tcW w:w="2484" w:type="dxa"/>
            <w:vAlign w:val="center"/>
          </w:tcPr>
          <w:p w14:paraId="420B9A61" w14:textId="405982BE" w:rsidR="00615244" w:rsidRPr="00615244" w:rsidRDefault="007A3DB9" w:rsidP="00CE43C2">
            <w:pPr>
              <w:jc w:val="center"/>
              <w:rPr>
                <w:color w:val="000000"/>
              </w:rPr>
            </w:pPr>
            <w:r w:rsidRPr="00FA7DDC">
              <w:rPr>
                <w:bCs/>
                <w:highlight w:val="red"/>
                <w:lang w:val="en-US" w:eastAsia="lt-LT"/>
              </w:rPr>
              <w:t>***</w:t>
            </w:r>
            <w:r>
              <w:rPr>
                <w:bCs/>
                <w:lang w:val="en-US" w:eastAsia="lt-LT"/>
              </w:rPr>
              <w:t xml:space="preserve"> </w:t>
            </w:r>
            <w:r w:rsidR="00615244" w:rsidRPr="00615244">
              <w:rPr>
                <w:color w:val="000000"/>
              </w:rPr>
              <w:t>Eur.</w:t>
            </w:r>
          </w:p>
          <w:p w14:paraId="02854F63" w14:textId="1B5A1682" w:rsidR="00615244" w:rsidRPr="008A32DC" w:rsidRDefault="00615244" w:rsidP="00CE43C2">
            <w:pPr>
              <w:jc w:val="center"/>
              <w:rPr>
                <w:i/>
                <w:color w:val="000000"/>
                <w:u w:val="single"/>
              </w:rPr>
            </w:pPr>
            <w:r w:rsidRPr="00362289">
              <w:rPr>
                <w:i/>
                <w:highlight w:val="yellow"/>
                <w:u w:val="single"/>
              </w:rPr>
              <w:t>(</w:t>
            </w:r>
            <w:r w:rsidR="007B231E">
              <w:rPr>
                <w:i/>
                <w:highlight w:val="yellow"/>
                <w:u w:val="single"/>
                <w:lang w:val="en-US"/>
              </w:rPr>
              <w:t>**</w:t>
            </w:r>
            <w:r w:rsidRPr="00362289">
              <w:rPr>
                <w:i/>
                <w:highlight w:val="yellow"/>
                <w:u w:val="single"/>
                <w:lang w:val="en-US"/>
              </w:rPr>
              <w:t>proc.)</w:t>
            </w:r>
          </w:p>
        </w:tc>
      </w:tr>
      <w:tr w:rsidR="00615244" w:rsidRPr="00FC3F09" w14:paraId="2EE32C6E" w14:textId="77777777" w:rsidTr="00615244">
        <w:trPr>
          <w:trHeight w:val="291"/>
          <w:jc w:val="center"/>
        </w:trPr>
        <w:tc>
          <w:tcPr>
            <w:tcW w:w="2306" w:type="dxa"/>
            <w:shd w:val="clear" w:color="auto" w:fill="auto"/>
            <w:noWrap/>
            <w:vAlign w:val="bottom"/>
          </w:tcPr>
          <w:p w14:paraId="7D786948" w14:textId="673C4E41" w:rsidR="00615244" w:rsidRPr="00615244" w:rsidRDefault="00615244" w:rsidP="00615244">
            <w:pPr>
              <w:rPr>
                <w:lang w:eastAsia="lt-LT"/>
              </w:rPr>
            </w:pPr>
            <w:r w:rsidRPr="00615244">
              <w:rPr>
                <w:lang w:eastAsia="lt-LT"/>
              </w:rPr>
              <w:t>2) metodas: Supaprastinta KMA</w:t>
            </w:r>
          </w:p>
        </w:tc>
        <w:tc>
          <w:tcPr>
            <w:tcW w:w="1838" w:type="dxa"/>
            <w:vAlign w:val="center"/>
          </w:tcPr>
          <w:p w14:paraId="37AB521F" w14:textId="75187C4A" w:rsidR="00615244" w:rsidRPr="00373004" w:rsidRDefault="007B231E" w:rsidP="00CE43C2">
            <w:pPr>
              <w:jc w:val="center"/>
              <w:rPr>
                <w:color w:val="000000"/>
                <w:u w:val="single"/>
              </w:rPr>
            </w:pPr>
            <w:r>
              <w:rPr>
                <w:bCs/>
                <w:highlight w:val="yellow"/>
                <w:u w:val="single"/>
              </w:rPr>
              <w:t>***</w:t>
            </w:r>
            <w:r w:rsidR="00615244" w:rsidRPr="00362289">
              <w:rPr>
                <w:bCs/>
                <w:highlight w:val="yellow"/>
                <w:u w:val="single"/>
              </w:rPr>
              <w:t xml:space="preserve"> Eur.</w:t>
            </w:r>
          </w:p>
        </w:tc>
        <w:tc>
          <w:tcPr>
            <w:tcW w:w="2754" w:type="dxa"/>
            <w:vAlign w:val="center"/>
          </w:tcPr>
          <w:p w14:paraId="2055CC25" w14:textId="738B5131" w:rsidR="00615244" w:rsidRPr="00615244" w:rsidRDefault="007A3DB9" w:rsidP="00CE43C2">
            <w:pPr>
              <w:jc w:val="center"/>
              <w:rPr>
                <w:color w:val="000000"/>
              </w:rPr>
            </w:pPr>
            <w:r w:rsidRPr="00FA7DDC">
              <w:rPr>
                <w:bCs/>
                <w:highlight w:val="red"/>
                <w:lang w:val="en-US" w:eastAsia="lt-LT"/>
              </w:rPr>
              <w:t>***</w:t>
            </w:r>
            <w:r>
              <w:rPr>
                <w:bCs/>
                <w:lang w:val="en-US" w:eastAsia="lt-LT"/>
              </w:rPr>
              <w:t xml:space="preserve"> </w:t>
            </w:r>
            <w:r w:rsidR="00615244" w:rsidRPr="00615244">
              <w:t xml:space="preserve">Eur. </w:t>
            </w:r>
          </w:p>
          <w:p w14:paraId="427A4A60" w14:textId="3D55D193" w:rsidR="00615244" w:rsidRPr="00615244" w:rsidRDefault="00615244" w:rsidP="00CE43C2">
            <w:pPr>
              <w:jc w:val="center"/>
              <w:rPr>
                <w:color w:val="000000"/>
              </w:rPr>
            </w:pPr>
          </w:p>
        </w:tc>
        <w:tc>
          <w:tcPr>
            <w:tcW w:w="2484" w:type="dxa"/>
            <w:vAlign w:val="center"/>
          </w:tcPr>
          <w:p w14:paraId="1FF1B18E" w14:textId="143069D2" w:rsidR="00615244" w:rsidRPr="00615244" w:rsidRDefault="007A3DB9" w:rsidP="00CE43C2">
            <w:pPr>
              <w:jc w:val="center"/>
              <w:rPr>
                <w:color w:val="000000"/>
              </w:rPr>
            </w:pPr>
            <w:r w:rsidRPr="00FA7DDC">
              <w:rPr>
                <w:bCs/>
                <w:highlight w:val="red"/>
                <w:lang w:val="en-US" w:eastAsia="lt-LT"/>
              </w:rPr>
              <w:t>***</w:t>
            </w:r>
            <w:r>
              <w:rPr>
                <w:bCs/>
                <w:lang w:val="en-US" w:eastAsia="lt-LT"/>
              </w:rPr>
              <w:t xml:space="preserve"> </w:t>
            </w:r>
            <w:r w:rsidR="00615244" w:rsidRPr="00615244">
              <w:rPr>
                <w:color w:val="000000"/>
              </w:rPr>
              <w:t>Eur.</w:t>
            </w:r>
          </w:p>
          <w:p w14:paraId="688419EB" w14:textId="64B16BD1" w:rsidR="00615244" w:rsidRPr="008A32DC" w:rsidRDefault="00615244" w:rsidP="00CE43C2">
            <w:pPr>
              <w:jc w:val="center"/>
              <w:rPr>
                <w:i/>
                <w:color w:val="000000"/>
                <w:u w:val="single"/>
              </w:rPr>
            </w:pPr>
            <w:r w:rsidRPr="00362289">
              <w:rPr>
                <w:i/>
                <w:color w:val="000000"/>
                <w:highlight w:val="yellow"/>
                <w:u w:val="single"/>
              </w:rPr>
              <w:t>(</w:t>
            </w:r>
            <w:r w:rsidR="007B231E">
              <w:rPr>
                <w:i/>
                <w:color w:val="000000"/>
                <w:highlight w:val="yellow"/>
                <w:u w:val="single"/>
              </w:rPr>
              <w:t>***</w:t>
            </w:r>
            <w:r w:rsidRPr="00362289">
              <w:rPr>
                <w:i/>
                <w:color w:val="000000"/>
                <w:highlight w:val="yellow"/>
                <w:u w:val="single"/>
              </w:rPr>
              <w:t xml:space="preserve"> proc.)</w:t>
            </w:r>
          </w:p>
        </w:tc>
      </w:tr>
    </w:tbl>
    <w:p w14:paraId="2CD0EF59" w14:textId="12E84FCC" w:rsidR="00CE43C2" w:rsidRPr="00AD6CE2" w:rsidRDefault="005D6F7A" w:rsidP="005D6F7A">
      <w:pPr>
        <w:shd w:val="clear" w:color="auto" w:fill="FFFFFF"/>
        <w:spacing w:line="276" w:lineRule="auto"/>
        <w:jc w:val="both"/>
        <w:rPr>
          <w:i/>
          <w:iCs/>
          <w:sz w:val="20"/>
          <w:szCs w:val="20"/>
          <w:lang w:eastAsia="lt-LT"/>
        </w:rPr>
      </w:pPr>
      <w:r w:rsidRPr="00AD6CE2">
        <w:rPr>
          <w:sz w:val="20"/>
          <w:szCs w:val="20"/>
          <w:lang w:val="en-US" w:eastAsia="lt-LT"/>
        </w:rPr>
        <w:t>*</w:t>
      </w:r>
      <w:r w:rsidRPr="00AD6CE2">
        <w:rPr>
          <w:sz w:val="20"/>
          <w:szCs w:val="20"/>
          <w:lang w:eastAsia="lt-LT"/>
        </w:rPr>
        <w:t xml:space="preserve">(1) kai skaičiuojami metiniai 2-18 m. amžiaus pacientų gydymo kaštai pagal svertinį vidurkį </w:t>
      </w:r>
      <w:r w:rsidRPr="00AD6CE2">
        <w:rPr>
          <w:sz w:val="20"/>
          <w:szCs w:val="20"/>
        </w:rPr>
        <w:t xml:space="preserve"> </w:t>
      </w:r>
      <w:r w:rsidRPr="00AD6CE2">
        <w:rPr>
          <w:sz w:val="20"/>
          <w:szCs w:val="20"/>
          <w:lang w:eastAsia="lt-LT"/>
        </w:rPr>
        <w:t>priklausomai nuo pacientų amžiaus pasiskirstymo (</w:t>
      </w:r>
      <w:r w:rsidRPr="00AD6CE2">
        <w:rPr>
          <w:sz w:val="20"/>
          <w:szCs w:val="20"/>
        </w:rPr>
        <w:t>12-18 m. 61.8%, 6-≤12 m. 28.4% ir 2-≤6 m. 9.8%)</w:t>
      </w:r>
      <w:r w:rsidRPr="00AD6CE2">
        <w:rPr>
          <w:sz w:val="20"/>
          <w:szCs w:val="20"/>
          <w:lang w:eastAsia="lt-LT"/>
        </w:rPr>
        <w:t>, bei (2) kai atsižvelgiama į pagrindinio tofacitinibo klinikinio tyrimo duomenis, kuriais remiantis vidutinis pacientų amžius – 11,9 m. (svoris – 40 kg), (plačiau aprašyta protokole).</w:t>
      </w:r>
    </w:p>
    <w:p w14:paraId="3D8115CC" w14:textId="064BC131" w:rsidR="00CE43C2" w:rsidRPr="00AD6CE2" w:rsidRDefault="00CE43C2" w:rsidP="00CE43C2">
      <w:pPr>
        <w:shd w:val="clear" w:color="auto" w:fill="FFFFFF"/>
        <w:spacing w:line="276" w:lineRule="auto"/>
        <w:rPr>
          <w:i/>
          <w:iCs/>
          <w:lang w:eastAsia="lt-LT"/>
        </w:rPr>
      </w:pPr>
    </w:p>
    <w:p w14:paraId="603A7C4E" w14:textId="3E943B91" w:rsidR="00CE43C2" w:rsidRPr="004D25EF" w:rsidRDefault="00CE43C2" w:rsidP="00CE43C2">
      <w:pPr>
        <w:shd w:val="clear" w:color="auto" w:fill="FFFFFF"/>
        <w:spacing w:line="276" w:lineRule="auto"/>
        <w:ind w:firstLine="720"/>
        <w:jc w:val="both"/>
        <w:rPr>
          <w:b/>
          <w:color w:val="000000"/>
          <w:lang w:eastAsia="lt-LT"/>
        </w:rPr>
      </w:pPr>
      <w:r w:rsidRPr="00AD6CE2">
        <w:rPr>
          <w:lang w:eastAsia="lt-LT"/>
        </w:rPr>
        <w:t xml:space="preserve">Apibendrinant įprastinės atvejo analizės rezultatus, taikant tofacitinibo (teikiama Pareiškėjo) </w:t>
      </w:r>
      <w:r w:rsidRPr="0048077C">
        <w:rPr>
          <w:lang w:eastAsia="lt-LT"/>
        </w:rPr>
        <w:t xml:space="preserve">bei tocilizumabo konfidencialią kainą su nuolaida, </w:t>
      </w:r>
      <w:r w:rsidRPr="00167531">
        <w:rPr>
          <w:lang w:eastAsia="lt-LT"/>
        </w:rPr>
        <w:t>apskaičiuoti tofacitinibo kaštai yra didesni</w:t>
      </w:r>
      <w:r>
        <w:rPr>
          <w:lang w:eastAsia="lt-LT"/>
        </w:rPr>
        <w:t xml:space="preserve"> pagal abu apskaičiavimo metodus: (1) kai skaičiuojami</w:t>
      </w:r>
      <w:r w:rsidRPr="00167531">
        <w:rPr>
          <w:lang w:eastAsia="lt-LT"/>
        </w:rPr>
        <w:t xml:space="preserve"> </w:t>
      </w:r>
      <w:r w:rsidRPr="0048077C">
        <w:rPr>
          <w:lang w:eastAsia="lt-LT"/>
        </w:rPr>
        <w:t>metiniai 2-18 m. amžiaus pacientų gydymo kaštai</w:t>
      </w:r>
      <w:r>
        <w:rPr>
          <w:lang w:eastAsia="lt-LT"/>
        </w:rPr>
        <w:t xml:space="preserve"> pagal svertinį vidurkį priklausomai nuo pacientų amžiaus pasiskirstymo, bei</w:t>
      </w:r>
      <w:r w:rsidRPr="0048077C">
        <w:rPr>
          <w:lang w:eastAsia="lt-LT"/>
        </w:rPr>
        <w:t xml:space="preserve"> </w:t>
      </w:r>
      <w:r>
        <w:rPr>
          <w:lang w:eastAsia="lt-LT"/>
        </w:rPr>
        <w:t xml:space="preserve">(2) kai </w:t>
      </w:r>
      <w:r w:rsidRPr="00167531">
        <w:rPr>
          <w:lang w:eastAsia="lt-LT"/>
        </w:rPr>
        <w:t xml:space="preserve">atsižvelgiama į pagrindinio tofacitinibo klinikinio tyrimo duomenis, kuriais remiantis vidutinis pacientų amžius – 11,9 m. (svoris – 40 kg) </w:t>
      </w:r>
      <w:r w:rsidRPr="00F14F51">
        <w:rPr>
          <w:color w:val="000000"/>
          <w:lang w:eastAsia="lt-LT"/>
        </w:rPr>
        <w:t>ir</w:t>
      </w:r>
      <w:r>
        <w:rPr>
          <w:b/>
          <w:color w:val="000000"/>
          <w:lang w:eastAsia="lt-LT"/>
        </w:rPr>
        <w:t xml:space="preserve"> </w:t>
      </w:r>
      <w:r w:rsidRPr="0048077C">
        <w:rPr>
          <w:color w:val="000000"/>
        </w:rPr>
        <w:t>kaštų mažinimas yra nepasiekiamas</w:t>
      </w:r>
      <w:r>
        <w:rPr>
          <w:color w:val="000000"/>
        </w:rPr>
        <w:t xml:space="preserve"> </w:t>
      </w:r>
      <w:r w:rsidRPr="00167531">
        <w:rPr>
          <w:lang w:eastAsia="lt-LT"/>
        </w:rPr>
        <w:t>(</w:t>
      </w:r>
      <w:r>
        <w:rPr>
          <w:lang w:eastAsia="lt-LT"/>
        </w:rPr>
        <w:t>tofacitinibo kaštai didesni atitinkamai</w:t>
      </w:r>
      <w:r>
        <w:rPr>
          <w:color w:val="000000"/>
        </w:rPr>
        <w:t xml:space="preserve"> </w:t>
      </w:r>
      <w:r w:rsidR="007A3DB9" w:rsidRPr="00FA7DDC">
        <w:rPr>
          <w:bCs/>
          <w:highlight w:val="red"/>
          <w:lang w:val="en-US" w:eastAsia="lt-LT"/>
        </w:rPr>
        <w:t>***</w:t>
      </w:r>
      <w:r w:rsidR="007A3DB9">
        <w:rPr>
          <w:bCs/>
          <w:lang w:val="en-US" w:eastAsia="lt-LT"/>
        </w:rPr>
        <w:t xml:space="preserve"> </w:t>
      </w:r>
      <w:r>
        <w:rPr>
          <w:color w:val="000000"/>
        </w:rPr>
        <w:t xml:space="preserve">ir </w:t>
      </w:r>
      <w:r w:rsidR="007A3DB9" w:rsidRPr="00FA7DDC">
        <w:rPr>
          <w:bCs/>
          <w:highlight w:val="red"/>
          <w:lang w:val="en-US" w:eastAsia="lt-LT"/>
        </w:rPr>
        <w:t>***</w:t>
      </w:r>
      <w:r w:rsidR="007A3DB9">
        <w:rPr>
          <w:bCs/>
          <w:lang w:val="en-US" w:eastAsia="lt-LT"/>
        </w:rPr>
        <w:t xml:space="preserve"> </w:t>
      </w:r>
      <w:r w:rsidRPr="00F14F51">
        <w:rPr>
          <w:color w:val="000000"/>
          <w:lang w:eastAsia="lt-LT"/>
        </w:rPr>
        <w:t>Eur.)</w:t>
      </w:r>
      <w:r w:rsidRPr="00F14F51">
        <w:rPr>
          <w:color w:val="000000"/>
        </w:rPr>
        <w:t>.</w:t>
      </w:r>
      <w:r>
        <w:rPr>
          <w:color w:val="000000"/>
        </w:rPr>
        <w:t xml:space="preserve"> </w:t>
      </w:r>
      <w:r w:rsidRPr="007A3DB9">
        <w:rPr>
          <w:b/>
          <w:i/>
        </w:rPr>
        <w:t xml:space="preserve">Siekiant kaštų mažinimo, pagal gautus kaštų analizės rezultatus tofacitinibą lyginant su tocilizumabu, </w:t>
      </w:r>
      <w:r w:rsidRPr="007A3DB9">
        <w:rPr>
          <w:b/>
          <w:i/>
          <w:lang w:val="en-US"/>
        </w:rPr>
        <w:t xml:space="preserve">tofacitinibo kaštus reikalinga sumažinti </w:t>
      </w:r>
      <w:r w:rsidR="007B231E">
        <w:rPr>
          <w:b/>
          <w:i/>
          <w:highlight w:val="yellow"/>
          <w:u w:val="single"/>
          <w:lang w:val="en-US"/>
        </w:rPr>
        <w:t>***</w:t>
      </w:r>
      <w:r w:rsidRPr="00362289">
        <w:rPr>
          <w:b/>
          <w:i/>
          <w:highlight w:val="yellow"/>
          <w:u w:val="single"/>
          <w:lang w:val="en-US"/>
        </w:rPr>
        <w:t xml:space="preserve"> proc.</w:t>
      </w:r>
    </w:p>
    <w:p w14:paraId="7EB0E373" w14:textId="05CB6AB8" w:rsidR="003D3228" w:rsidRPr="00753ABA" w:rsidRDefault="003D3228" w:rsidP="00685CA7">
      <w:pPr>
        <w:tabs>
          <w:tab w:val="left" w:pos="567"/>
        </w:tabs>
        <w:spacing w:line="276" w:lineRule="auto"/>
        <w:ind w:firstLine="432"/>
        <w:rPr>
          <w:b/>
          <w:bCs/>
          <w:caps/>
        </w:rPr>
      </w:pPr>
    </w:p>
    <w:p w14:paraId="6312BA19" w14:textId="77777777" w:rsidR="003D3228" w:rsidRPr="00753ABA" w:rsidRDefault="003D3228" w:rsidP="003D3228">
      <w:pPr>
        <w:tabs>
          <w:tab w:val="left" w:pos="426"/>
        </w:tabs>
        <w:rPr>
          <w:b/>
          <w:bCs/>
          <w:caps/>
        </w:rPr>
      </w:pPr>
    </w:p>
    <w:p w14:paraId="607A2CB8"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 xml:space="preserve">Pacientų organizacijų pateikti duomenys </w:t>
      </w:r>
    </w:p>
    <w:p w14:paraId="4A126E4D" w14:textId="67D7BBBA" w:rsidR="003D3228" w:rsidRPr="00753ABA" w:rsidRDefault="00000000" w:rsidP="003D3228">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685CA7" w:rsidRPr="00753ABA">
            <w:rPr>
              <w:rStyle w:val="Style2"/>
              <w:rFonts w:ascii="MS Gothic" w:eastAsia="MS Gothic" w:hAnsi="MS Gothic"/>
            </w:rPr>
            <w:t>☐</w:t>
          </w:r>
        </w:sdtContent>
      </w:sdt>
      <w:r w:rsidR="003D3228" w:rsidRPr="00753ABA">
        <w:t xml:space="preserve"> Pacientų organizacijos pozicija pateikta. Žr. priedą.</w:t>
      </w:r>
    </w:p>
    <w:p w14:paraId="401E698C" w14:textId="2F9DAC79" w:rsidR="003D3228" w:rsidRPr="00753ABA" w:rsidRDefault="00000000" w:rsidP="003D3228">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024CC4" w:rsidRPr="00753ABA">
            <w:rPr>
              <w:rStyle w:val="Style2"/>
              <w:rFonts w:ascii="MS Gothic" w:eastAsia="MS Gothic" w:hAnsi="MS Gothic"/>
            </w:rPr>
            <w:t>☒</w:t>
          </w:r>
        </w:sdtContent>
      </w:sdt>
      <w:r w:rsidR="003D3228" w:rsidRPr="00753ABA">
        <w:t xml:space="preserve"> Pacientų organizacijos pozicija nepateikta.</w:t>
      </w:r>
    </w:p>
    <w:p w14:paraId="69C3F713" w14:textId="77777777" w:rsidR="003D3228" w:rsidRPr="00753ABA" w:rsidRDefault="003D3228" w:rsidP="003D3228">
      <w:pPr>
        <w:spacing w:after="120"/>
        <w:jc w:val="both"/>
      </w:pPr>
    </w:p>
    <w:p w14:paraId="1DEA7E3A"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Gydytojų organizacijų pateikti duomenys</w:t>
      </w:r>
    </w:p>
    <w:p w14:paraId="47F9473E" w14:textId="22F14186" w:rsidR="003D3228" w:rsidRPr="00753ABA" w:rsidRDefault="00000000" w:rsidP="003D3228">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685CA7" w:rsidRPr="00753ABA">
            <w:rPr>
              <w:rStyle w:val="Style2"/>
              <w:rFonts w:ascii="MS Gothic" w:eastAsia="MS Gothic" w:hAnsi="MS Gothic"/>
            </w:rPr>
            <w:t>☐</w:t>
          </w:r>
        </w:sdtContent>
      </w:sdt>
      <w:r w:rsidR="003D3228" w:rsidRPr="00753ABA">
        <w:t xml:space="preserve"> Gydytojų specialistų organizacijos pozicija pateikta. </w:t>
      </w:r>
    </w:p>
    <w:p w14:paraId="412EFD00" w14:textId="4EEE7BB1" w:rsidR="003D3228" w:rsidRPr="00753ABA" w:rsidRDefault="00000000" w:rsidP="003D3228">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024CC4" w:rsidRPr="00753ABA">
            <w:rPr>
              <w:rStyle w:val="Style2"/>
              <w:rFonts w:ascii="MS Gothic" w:eastAsia="MS Gothic" w:hAnsi="MS Gothic"/>
            </w:rPr>
            <w:t>☒</w:t>
          </w:r>
        </w:sdtContent>
      </w:sdt>
      <w:r w:rsidR="003D3228" w:rsidRPr="00753ABA">
        <w:t xml:space="preserve"> Gydytojų specialistų organizacijos pozicija nepateikta.</w:t>
      </w:r>
    </w:p>
    <w:p w14:paraId="42ACBCEB" w14:textId="77777777" w:rsidR="003D3228" w:rsidRPr="00753ABA" w:rsidRDefault="003D3228" w:rsidP="003D3228">
      <w:pPr>
        <w:spacing w:after="120"/>
        <w:jc w:val="both"/>
      </w:pPr>
    </w:p>
    <w:p w14:paraId="77D86DFE"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 xml:space="preserve">Išvada </w:t>
      </w:r>
    </w:p>
    <w:p w14:paraId="45009552" w14:textId="77777777" w:rsidR="003D3228" w:rsidRPr="00753ABA" w:rsidRDefault="003D3228" w:rsidP="003D3228">
      <w:pPr>
        <w:rPr>
          <w:i/>
          <w:color w:val="00B050"/>
          <w:szCs w:val="22"/>
        </w:rPr>
      </w:pPr>
    </w:p>
    <w:tbl>
      <w:tblPr>
        <w:tblStyle w:val="Lentelstinklelis"/>
        <w:tblW w:w="9918" w:type="dxa"/>
        <w:jc w:val="center"/>
        <w:tblLook w:val="04A0" w:firstRow="1" w:lastRow="0" w:firstColumn="1" w:lastColumn="0" w:noHBand="0" w:noVBand="1"/>
      </w:tblPr>
      <w:tblGrid>
        <w:gridCol w:w="4815"/>
        <w:gridCol w:w="71"/>
        <w:gridCol w:w="5032"/>
      </w:tblGrid>
      <w:tr w:rsidR="00685CA7" w:rsidRPr="00CE43C2" w14:paraId="0E6FBC72" w14:textId="77777777" w:rsidTr="000A2C78">
        <w:trPr>
          <w:trHeight w:val="532"/>
          <w:jc w:val="center"/>
        </w:trPr>
        <w:tc>
          <w:tcPr>
            <w:tcW w:w="4886" w:type="dxa"/>
            <w:gridSpan w:val="2"/>
            <w:vAlign w:val="center"/>
          </w:tcPr>
          <w:p w14:paraId="65253F50"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Rekomenduojama kompensuoti</w:t>
            </w:r>
          </w:p>
        </w:tc>
        <w:tc>
          <w:tcPr>
            <w:tcW w:w="5032" w:type="dxa"/>
            <w:vAlign w:val="center"/>
          </w:tcPr>
          <w:p w14:paraId="60FABE9F"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Rekomenduojama nekompensuoti</w:t>
            </w:r>
          </w:p>
        </w:tc>
      </w:tr>
      <w:tr w:rsidR="00685CA7" w:rsidRPr="00CE43C2" w14:paraId="797C11E2" w14:textId="77777777" w:rsidTr="000A2C78">
        <w:trPr>
          <w:trHeight w:val="494"/>
          <w:jc w:val="center"/>
        </w:trPr>
        <w:tc>
          <w:tcPr>
            <w:tcW w:w="9918" w:type="dxa"/>
            <w:gridSpan w:val="3"/>
            <w:vAlign w:val="center"/>
          </w:tcPr>
          <w:p w14:paraId="6F9D1D5B"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Palyginamasis efektyvumas</w:t>
            </w:r>
          </w:p>
        </w:tc>
      </w:tr>
      <w:tr w:rsidR="00685CA7" w:rsidRPr="00CE43C2" w14:paraId="1A099485" w14:textId="77777777" w:rsidTr="000A2C78">
        <w:trPr>
          <w:trHeight w:val="1546"/>
          <w:jc w:val="center"/>
        </w:trPr>
        <w:tc>
          <w:tcPr>
            <w:tcW w:w="4886" w:type="dxa"/>
            <w:gridSpan w:val="2"/>
          </w:tcPr>
          <w:p w14:paraId="27C7059C" w14:textId="7CE940E4"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53974781"/>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32.1. yra didesnis</w:t>
            </w:r>
          </w:p>
          <w:p w14:paraId="192F0AEA"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CC2734C" w14:textId="007200A0"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2042735340"/>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32.1. iš esmės nesiskiria</w:t>
            </w:r>
          </w:p>
        </w:tc>
        <w:tc>
          <w:tcPr>
            <w:tcW w:w="5032" w:type="dxa"/>
          </w:tcPr>
          <w:p w14:paraId="0ACDFE9C"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223253010"/>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mažesnis</w:t>
            </w:r>
          </w:p>
          <w:p w14:paraId="1BAD4B8A"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237AEB1"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0856797"/>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neįrodytas kaip toks pat</w:t>
            </w:r>
          </w:p>
          <w:p w14:paraId="0D35BA09"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12E96CD"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085991623"/>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neįrodytas kaip didesnis</w:t>
            </w:r>
          </w:p>
          <w:p w14:paraId="535C24C4"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0FB5B6E"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908262085"/>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pateikti duomenys apie palyginamąjį efektyvumą yra netinkami vertinti</w:t>
            </w:r>
          </w:p>
          <w:p w14:paraId="15EF57D7"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685CA7" w:rsidRPr="00CE43C2" w14:paraId="40FF2887" w14:textId="77777777" w:rsidTr="000A2C78">
        <w:trPr>
          <w:trHeight w:val="485"/>
          <w:jc w:val="center"/>
        </w:trPr>
        <w:tc>
          <w:tcPr>
            <w:tcW w:w="9918" w:type="dxa"/>
            <w:gridSpan w:val="3"/>
            <w:vAlign w:val="center"/>
          </w:tcPr>
          <w:p w14:paraId="7C937BBE"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Klinikinis veiksmingumas</w:t>
            </w:r>
          </w:p>
        </w:tc>
      </w:tr>
      <w:tr w:rsidR="00685CA7" w:rsidRPr="00CE43C2" w14:paraId="626180B2" w14:textId="77777777" w:rsidTr="000A2C78">
        <w:trPr>
          <w:jc w:val="center"/>
        </w:trPr>
        <w:tc>
          <w:tcPr>
            <w:tcW w:w="4886" w:type="dxa"/>
            <w:gridSpan w:val="2"/>
          </w:tcPr>
          <w:p w14:paraId="17C28A4D" w14:textId="6DFCCF3A"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12716412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32.2. yra įvertintas kaip pagrindžiantis papildomos naudos pacientų sveikatai sukūrimą</w:t>
            </w:r>
          </w:p>
          <w:p w14:paraId="1D407BD9"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DDBFF6F" w14:textId="18B773ED"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8182463"/>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32.2. yra įvertintas kaip pagrindžiantis nesiskiriančios naudos pacientų sveikatai sukūrimą</w:t>
            </w:r>
          </w:p>
          <w:p w14:paraId="0BE329BB"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032" w:type="dxa"/>
          </w:tcPr>
          <w:p w14:paraId="24C4ADB2" w14:textId="77777777" w:rsidR="00685CA7" w:rsidRPr="00CE43C2" w:rsidRDefault="00000000" w:rsidP="000A2C78">
            <w:pPr>
              <w:jc w:val="both"/>
              <w:rPr>
                <w:sz w:val="24"/>
                <w:szCs w:val="24"/>
              </w:rPr>
            </w:pPr>
            <w:sdt>
              <w:sdtPr>
                <w:rPr>
                  <w:rStyle w:val="Style2"/>
                  <w:sz w:val="24"/>
                </w:rPr>
                <w:id w:val="90213628"/>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įvertintas kaip nepagrindžiantis papildomos naudos pacientų sveikatai sukūrimo</w:t>
            </w:r>
          </w:p>
          <w:p w14:paraId="28485970" w14:textId="77777777" w:rsidR="00685CA7" w:rsidRPr="00CE43C2" w:rsidRDefault="00685CA7" w:rsidP="000A2C78">
            <w:pPr>
              <w:jc w:val="both"/>
              <w:rPr>
                <w:sz w:val="24"/>
                <w:szCs w:val="24"/>
              </w:rPr>
            </w:pPr>
          </w:p>
          <w:p w14:paraId="7A9BD402" w14:textId="77777777" w:rsidR="00685CA7" w:rsidRPr="00CE43C2" w:rsidRDefault="00000000" w:rsidP="000A2C78">
            <w:pPr>
              <w:jc w:val="both"/>
              <w:rPr>
                <w:sz w:val="24"/>
                <w:szCs w:val="24"/>
              </w:rPr>
            </w:pPr>
            <w:sdt>
              <w:sdtPr>
                <w:rPr>
                  <w:rStyle w:val="Style2"/>
                  <w:sz w:val="24"/>
                </w:rPr>
                <w:id w:val="47114242"/>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įvertintas kaip nepagrindžiantis nesiskiriančios naudos pacientų sveikatai sukūrimo</w:t>
            </w:r>
          </w:p>
          <w:p w14:paraId="47214504"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D3228" w:rsidRPr="00CE43C2" w14:paraId="38FE3D8A" w14:textId="77777777" w:rsidTr="00685CA7">
        <w:tblPrEx>
          <w:jc w:val="left"/>
        </w:tblPrEx>
        <w:trPr>
          <w:trHeight w:val="510"/>
        </w:trPr>
        <w:tc>
          <w:tcPr>
            <w:tcW w:w="9918" w:type="dxa"/>
            <w:gridSpan w:val="3"/>
            <w:vAlign w:val="center"/>
          </w:tcPr>
          <w:p w14:paraId="20B41E61"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Kaštų naudingumas</w:t>
            </w:r>
          </w:p>
        </w:tc>
      </w:tr>
      <w:tr w:rsidR="003D3228" w:rsidRPr="00CE43C2" w14:paraId="21B53462" w14:textId="77777777" w:rsidTr="00685CA7">
        <w:tblPrEx>
          <w:jc w:val="left"/>
        </w:tblPrEx>
        <w:tc>
          <w:tcPr>
            <w:tcW w:w="4815" w:type="dxa"/>
          </w:tcPr>
          <w:p w14:paraId="0C8BA9DB"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32.3. atitinka referencinę naudingumo vertę</w:t>
            </w:r>
          </w:p>
          <w:p w14:paraId="64FFFE6A"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BD009C4" w14:textId="506328B1"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308081728"/>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3D3228" w:rsidRPr="00CE43C2">
              <w:rPr>
                <w:sz w:val="24"/>
                <w:szCs w:val="24"/>
              </w:rPr>
              <w:t xml:space="preserve"> 32.3. gydymo juo kaštai yra mažesni ar tokie patys esant iš esmės nesiskiriančiam palyginamajam efektyvumui, lyginant su įprasta klinikine praktika</w:t>
            </w:r>
          </w:p>
          <w:p w14:paraId="07137534"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103" w:type="dxa"/>
            <w:gridSpan w:val="2"/>
          </w:tcPr>
          <w:p w14:paraId="10840CEE"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33.3. neatitinka referencinės naudingumo vertės Lietuvos Respublikoje</w:t>
            </w:r>
          </w:p>
          <w:p w14:paraId="34F0D36A"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5EB51E4" w14:textId="5A0BFD43"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135473618"/>
                <w15:color w:val="FFCC00"/>
                <w14:checkbox>
                  <w14:checked w14:val="1"/>
                  <w14:checkedState w14:val="2612" w14:font="MS Gothic"/>
                  <w14:uncheckedState w14:val="2610" w14:font="MS Gothic"/>
                </w14:checkbox>
              </w:sdtPr>
              <w:sdtContent>
                <w:r w:rsidR="00CE43C2">
                  <w:rPr>
                    <w:rStyle w:val="Style2"/>
                    <w:rFonts w:ascii="MS Gothic" w:eastAsia="MS Gothic" w:hAnsi="MS Gothic" w:hint="eastAsia"/>
                    <w:sz w:val="24"/>
                    <w:szCs w:val="24"/>
                  </w:rPr>
                  <w:t>☒</w:t>
                </w:r>
              </w:sdtContent>
            </w:sdt>
            <w:r w:rsidR="003D3228" w:rsidRPr="00CE43C2">
              <w:rPr>
                <w:sz w:val="24"/>
                <w:szCs w:val="24"/>
              </w:rPr>
              <w:t xml:space="preserve"> 33.3. gydymo juo kaštai yra didesni esant iš esmės nesiskiriančiam palyginamajam efektyvumui, lyginant su įprasta klinikine praktika</w:t>
            </w:r>
          </w:p>
          <w:p w14:paraId="7FB15D22"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4EE23A"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33.3. pateikti duomenys apie kaštų naudingumą yra netinkami vertinti</w:t>
            </w:r>
          </w:p>
          <w:p w14:paraId="3749B518"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bl>
    <w:p w14:paraId="3FA76533" w14:textId="77777777" w:rsidR="003D3228" w:rsidRPr="00753ABA" w:rsidRDefault="003D3228" w:rsidP="003D3228"/>
    <w:p w14:paraId="13E227F4" w14:textId="77777777" w:rsidR="003D3228" w:rsidRPr="00753ABA" w:rsidRDefault="003D3228" w:rsidP="003D3228"/>
    <w:p w14:paraId="6623679F" w14:textId="77777777" w:rsidR="003D3228" w:rsidRPr="00753ABA" w:rsidRDefault="003D3228" w:rsidP="003D3228">
      <w:pPr>
        <w:pStyle w:val="Sraopastraipa"/>
        <w:numPr>
          <w:ilvl w:val="0"/>
          <w:numId w:val="1"/>
        </w:numPr>
        <w:ind w:left="567" w:hanging="567"/>
      </w:pPr>
      <w:r w:rsidRPr="00753ABA">
        <w:rPr>
          <w:b/>
        </w:rPr>
        <w:t>REKOMENDACIJA</w:t>
      </w:r>
    </w:p>
    <w:p w14:paraId="774B3080" w14:textId="77777777" w:rsidR="003D3228" w:rsidRPr="00753ABA" w:rsidRDefault="003D3228" w:rsidP="003D3228"/>
    <w:p w14:paraId="134C1409" w14:textId="77777777" w:rsidR="00615244" w:rsidRDefault="00615244" w:rsidP="00615244">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23BE98C4" w14:textId="77777777" w:rsidR="00BA11CA" w:rsidRDefault="00615244" w:rsidP="00BA11CA">
      <w:pPr>
        <w:jc w:val="both"/>
      </w:pPr>
      <w:r>
        <w:rPr>
          <w:color w:val="000000"/>
        </w:rPr>
        <w:t>34.4.</w:t>
      </w:r>
      <w:r>
        <w:rPr>
          <w:color w:val="000000" w:themeColor="text1"/>
        </w:rPr>
        <w:t xml:space="preserve"> </w:t>
      </w:r>
      <w:r w:rsidRPr="00513C05">
        <w:t xml:space="preserve">rekomenduojama </w:t>
      </w:r>
      <w:r w:rsidRPr="001C4A38">
        <w:rPr>
          <w:i/>
        </w:rPr>
        <w:t>ne</w:t>
      </w:r>
      <w:r w:rsidRPr="00432D48">
        <w:rPr>
          <w:i/>
        </w:rPr>
        <w:t xml:space="preserve">kompensuoti </w:t>
      </w:r>
      <w:r>
        <w:t>vaistinio preparato</w:t>
      </w:r>
      <w:r w:rsidRPr="00513C05">
        <w:t xml:space="preserve"> pagal paraiškoje nurodytą </w:t>
      </w:r>
      <w:r w:rsidRPr="008B649B">
        <w:t xml:space="preserve">indikaciją </w:t>
      </w:r>
      <w:r>
        <w:rPr>
          <w:lang w:val="en-US"/>
        </w:rPr>
        <w:t xml:space="preserve">su </w:t>
      </w:r>
      <w:r>
        <w:t xml:space="preserve">skyrimo sąlygomis, taikant PGS, </w:t>
      </w:r>
      <w:r w:rsidRPr="008B649B">
        <w:t>dėl</w:t>
      </w:r>
      <w:r w:rsidR="001032E3">
        <w:t xml:space="preserve"> vertinimo išvadų nurodytų</w:t>
      </w:r>
      <w:r w:rsidR="00BA11CA">
        <w:t xml:space="preserve"> 33.3 papunktyje (žr. 6 skyrių)</w:t>
      </w:r>
      <w:r w:rsidRPr="008B649B">
        <w:t xml:space="preserve"> </w:t>
      </w:r>
      <w:r w:rsidR="00BA11CA" w:rsidRPr="00E33EFF">
        <w:t xml:space="preserve">neatitikties </w:t>
      </w:r>
      <w:r w:rsidR="00BA11CA" w:rsidRPr="003D6208">
        <w:t>34.3 papunktyje išdėstytoms sąlygoms</w:t>
      </w:r>
      <w:r w:rsidR="00BA11CA">
        <w:t>.</w:t>
      </w:r>
      <w:r w:rsidR="00BA11CA" w:rsidRPr="003D6208">
        <w:t xml:space="preserve"> </w:t>
      </w:r>
    </w:p>
    <w:p w14:paraId="68A94D39" w14:textId="4513CD7A" w:rsidR="00615244" w:rsidRPr="00B351ED" w:rsidRDefault="00615244" w:rsidP="00615244">
      <w:pPr>
        <w:spacing w:line="276" w:lineRule="auto"/>
        <w:jc w:val="both"/>
        <w:rPr>
          <w:color w:val="000000" w:themeColor="text1"/>
        </w:rPr>
      </w:pPr>
    </w:p>
    <w:p w14:paraId="6DFBB571" w14:textId="77777777" w:rsidR="00A05E7F" w:rsidRDefault="00A05E7F"/>
    <w:sectPr w:rsidR="00A05E7F" w:rsidSect="00BA4297">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1568" w14:textId="77777777" w:rsidR="00BA4297" w:rsidRDefault="00BA4297">
      <w:r>
        <w:separator/>
      </w:r>
    </w:p>
  </w:endnote>
  <w:endnote w:type="continuationSeparator" w:id="0">
    <w:p w14:paraId="7563EE89" w14:textId="77777777" w:rsidR="00BA4297" w:rsidRDefault="00BA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72E8" w14:textId="77777777" w:rsidR="00A05E7F" w:rsidRDefault="00A05E7F">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09B8" w14:textId="77777777" w:rsidR="00BA4297" w:rsidRDefault="00BA4297">
      <w:r>
        <w:separator/>
      </w:r>
    </w:p>
  </w:footnote>
  <w:footnote w:type="continuationSeparator" w:id="0">
    <w:p w14:paraId="4573D3A6" w14:textId="77777777" w:rsidR="00BA4297" w:rsidRDefault="00BA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8303" w14:textId="77777777" w:rsidR="00A05E7F"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A6B7CC" w14:textId="77777777" w:rsidR="00A05E7F" w:rsidRDefault="00A05E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A29A" w14:textId="767B8AE0" w:rsidR="00A05E7F"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3DB9">
      <w:rPr>
        <w:rStyle w:val="Puslapionumeris"/>
        <w:noProof/>
      </w:rPr>
      <w:t>5</w:t>
    </w:r>
    <w:r>
      <w:rPr>
        <w:rStyle w:val="Puslapionumeris"/>
      </w:rPr>
      <w:fldChar w:fldCharType="end"/>
    </w:r>
  </w:p>
  <w:p w14:paraId="52CEE408" w14:textId="77777777" w:rsidR="00A05E7F" w:rsidRDefault="00A05E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BF78" w14:textId="77777777" w:rsidR="00A05E7F" w:rsidRDefault="00A05E7F"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49E4"/>
    <w:multiLevelType w:val="hybridMultilevel"/>
    <w:tmpl w:val="8E748C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0A3773"/>
    <w:multiLevelType w:val="hybridMultilevel"/>
    <w:tmpl w:val="E01A00CC"/>
    <w:lvl w:ilvl="0" w:tplc="9A82F144">
      <w:start w:val="1"/>
      <w:numFmt w:val="bullet"/>
      <w:lvlText w:val=""/>
      <w:lvlJc w:val="left"/>
      <w:pPr>
        <w:ind w:left="2498" w:hanging="360"/>
      </w:pPr>
      <w:rPr>
        <w:rFonts w:ascii="Symbol" w:hAnsi="Symbol" w:hint="default"/>
        <w:strike w:val="0"/>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 w15:restartNumberingAfterBreak="0">
    <w:nsid w:val="296E21F7"/>
    <w:multiLevelType w:val="hybridMultilevel"/>
    <w:tmpl w:val="F780B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15C10"/>
    <w:multiLevelType w:val="hybridMultilevel"/>
    <w:tmpl w:val="58B4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D3529"/>
    <w:multiLevelType w:val="hybridMultilevel"/>
    <w:tmpl w:val="4A3A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A6BFC"/>
    <w:multiLevelType w:val="hybridMultilevel"/>
    <w:tmpl w:val="1946FD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FD4BA4"/>
    <w:multiLevelType w:val="hybridMultilevel"/>
    <w:tmpl w:val="4140A2FC"/>
    <w:lvl w:ilvl="0" w:tplc="D59AF96C">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59380CB9"/>
    <w:multiLevelType w:val="hybridMultilevel"/>
    <w:tmpl w:val="946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D5B5C"/>
    <w:multiLevelType w:val="hybridMultilevel"/>
    <w:tmpl w:val="3A1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B733C"/>
    <w:multiLevelType w:val="hybridMultilevel"/>
    <w:tmpl w:val="11A67B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5F63C08"/>
    <w:multiLevelType w:val="hybridMultilevel"/>
    <w:tmpl w:val="5A946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461750">
    <w:abstractNumId w:val="2"/>
  </w:num>
  <w:num w:numId="2" w16cid:durableId="166793651">
    <w:abstractNumId w:val="11"/>
  </w:num>
  <w:num w:numId="3" w16cid:durableId="968710087">
    <w:abstractNumId w:val="0"/>
  </w:num>
  <w:num w:numId="4" w16cid:durableId="2089493551">
    <w:abstractNumId w:val="9"/>
  </w:num>
  <w:num w:numId="5" w16cid:durableId="1980071818">
    <w:abstractNumId w:val="5"/>
  </w:num>
  <w:num w:numId="6" w16cid:durableId="1237285489">
    <w:abstractNumId w:val="13"/>
  </w:num>
  <w:num w:numId="7" w16cid:durableId="1997755950">
    <w:abstractNumId w:val="8"/>
  </w:num>
  <w:num w:numId="8" w16cid:durableId="1072196167">
    <w:abstractNumId w:val="10"/>
  </w:num>
  <w:num w:numId="9" w16cid:durableId="404303663">
    <w:abstractNumId w:val="3"/>
  </w:num>
  <w:num w:numId="10" w16cid:durableId="1419332220">
    <w:abstractNumId w:val="12"/>
  </w:num>
  <w:num w:numId="11" w16cid:durableId="529420626">
    <w:abstractNumId w:val="6"/>
  </w:num>
  <w:num w:numId="12" w16cid:durableId="1242450681">
    <w:abstractNumId w:val="14"/>
  </w:num>
  <w:num w:numId="13" w16cid:durableId="1704748265">
    <w:abstractNumId w:val="1"/>
  </w:num>
  <w:num w:numId="14" w16cid:durableId="243925083">
    <w:abstractNumId w:val="7"/>
  </w:num>
  <w:num w:numId="15" w16cid:durableId="110102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28"/>
    <w:rsid w:val="00024176"/>
    <w:rsid w:val="00024CC4"/>
    <w:rsid w:val="00025E44"/>
    <w:rsid w:val="00080DB9"/>
    <w:rsid w:val="000D345D"/>
    <w:rsid w:val="000F59C6"/>
    <w:rsid w:val="001032E3"/>
    <w:rsid w:val="001137F1"/>
    <w:rsid w:val="00197042"/>
    <w:rsid w:val="001A465F"/>
    <w:rsid w:val="001C3896"/>
    <w:rsid w:val="001D20C6"/>
    <w:rsid w:val="001D516F"/>
    <w:rsid w:val="001E6923"/>
    <w:rsid w:val="002953FC"/>
    <w:rsid w:val="002A0C91"/>
    <w:rsid w:val="002A4216"/>
    <w:rsid w:val="002C0709"/>
    <w:rsid w:val="0030743D"/>
    <w:rsid w:val="00312BC5"/>
    <w:rsid w:val="003607DF"/>
    <w:rsid w:val="00362289"/>
    <w:rsid w:val="00373004"/>
    <w:rsid w:val="0038441A"/>
    <w:rsid w:val="003A3136"/>
    <w:rsid w:val="003C32CC"/>
    <w:rsid w:val="003D3228"/>
    <w:rsid w:val="004039B0"/>
    <w:rsid w:val="00470B48"/>
    <w:rsid w:val="004C47BC"/>
    <w:rsid w:val="004D1F5A"/>
    <w:rsid w:val="004E2B3F"/>
    <w:rsid w:val="005343B1"/>
    <w:rsid w:val="00563FAC"/>
    <w:rsid w:val="00595C48"/>
    <w:rsid w:val="005D6F7A"/>
    <w:rsid w:val="00613362"/>
    <w:rsid w:val="00615244"/>
    <w:rsid w:val="00622897"/>
    <w:rsid w:val="00652902"/>
    <w:rsid w:val="00685CA7"/>
    <w:rsid w:val="00690070"/>
    <w:rsid w:val="006A1333"/>
    <w:rsid w:val="006A50E8"/>
    <w:rsid w:val="006C6423"/>
    <w:rsid w:val="006F64F1"/>
    <w:rsid w:val="006F7769"/>
    <w:rsid w:val="006F7D17"/>
    <w:rsid w:val="00753ABA"/>
    <w:rsid w:val="007A3DB9"/>
    <w:rsid w:val="007A4532"/>
    <w:rsid w:val="007B231E"/>
    <w:rsid w:val="007B3F58"/>
    <w:rsid w:val="007D62AA"/>
    <w:rsid w:val="007F376F"/>
    <w:rsid w:val="0080114F"/>
    <w:rsid w:val="008141A6"/>
    <w:rsid w:val="00881DF5"/>
    <w:rsid w:val="00892F58"/>
    <w:rsid w:val="008A32DC"/>
    <w:rsid w:val="0091634E"/>
    <w:rsid w:val="00953939"/>
    <w:rsid w:val="00954853"/>
    <w:rsid w:val="009E5698"/>
    <w:rsid w:val="009F06B7"/>
    <w:rsid w:val="00A05E7F"/>
    <w:rsid w:val="00A260B3"/>
    <w:rsid w:val="00A72C58"/>
    <w:rsid w:val="00AD6CE2"/>
    <w:rsid w:val="00AF15D3"/>
    <w:rsid w:val="00BA11CA"/>
    <w:rsid w:val="00BA4297"/>
    <w:rsid w:val="00BF1325"/>
    <w:rsid w:val="00C16CE2"/>
    <w:rsid w:val="00C266B2"/>
    <w:rsid w:val="00C87FFC"/>
    <w:rsid w:val="00CE43C2"/>
    <w:rsid w:val="00CF7088"/>
    <w:rsid w:val="00D030A5"/>
    <w:rsid w:val="00D05CAA"/>
    <w:rsid w:val="00D46E0B"/>
    <w:rsid w:val="00DB6B58"/>
    <w:rsid w:val="00DE0D1A"/>
    <w:rsid w:val="00DF2DB6"/>
    <w:rsid w:val="00E75EED"/>
    <w:rsid w:val="00E94588"/>
    <w:rsid w:val="00EB41DB"/>
    <w:rsid w:val="00EC0FC7"/>
    <w:rsid w:val="00F1618A"/>
    <w:rsid w:val="00F7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F77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228"/>
    <w:rPr>
      <w:rFonts w:ascii="Times New Roman" w:eastAsia="Times New Roman" w:hAnsi="Times New Roman" w:cs="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D3228"/>
    <w:pPr>
      <w:tabs>
        <w:tab w:val="center" w:pos="4986"/>
        <w:tab w:val="right" w:pos="9972"/>
      </w:tabs>
    </w:pPr>
    <w:rPr>
      <w:lang w:eastAsia="en-US"/>
    </w:rPr>
  </w:style>
  <w:style w:type="character" w:customStyle="1" w:styleId="AntratsDiagrama">
    <w:name w:val="Antraštės Diagrama"/>
    <w:basedOn w:val="Numatytasispastraiposriftas"/>
    <w:link w:val="Antrats"/>
    <w:rsid w:val="003D3228"/>
    <w:rPr>
      <w:rFonts w:ascii="Times New Roman" w:eastAsia="Times New Roman" w:hAnsi="Times New Roman" w:cs="Times New Roman"/>
      <w:lang w:val="lt-LT"/>
    </w:rPr>
  </w:style>
  <w:style w:type="paragraph" w:styleId="Porat">
    <w:name w:val="footer"/>
    <w:basedOn w:val="prastasis"/>
    <w:link w:val="PoratDiagrama"/>
    <w:uiPriority w:val="99"/>
    <w:rsid w:val="003D3228"/>
    <w:pPr>
      <w:tabs>
        <w:tab w:val="center" w:pos="4986"/>
        <w:tab w:val="right" w:pos="9972"/>
      </w:tabs>
    </w:pPr>
    <w:rPr>
      <w:lang w:eastAsia="en-US"/>
    </w:rPr>
  </w:style>
  <w:style w:type="character" w:customStyle="1" w:styleId="PoratDiagrama">
    <w:name w:val="Poraštė Diagrama"/>
    <w:basedOn w:val="Numatytasispastraiposriftas"/>
    <w:link w:val="Porat"/>
    <w:uiPriority w:val="99"/>
    <w:rsid w:val="003D3228"/>
    <w:rPr>
      <w:rFonts w:ascii="Times New Roman" w:eastAsia="Times New Roman" w:hAnsi="Times New Roman" w:cs="Times New Roman"/>
      <w:lang w:val="lt-LT"/>
    </w:rPr>
  </w:style>
  <w:style w:type="character" w:styleId="Puslapionumeris">
    <w:name w:val="page number"/>
    <w:basedOn w:val="Numatytasispastraiposriftas"/>
    <w:rsid w:val="003D3228"/>
  </w:style>
  <w:style w:type="table" w:styleId="Lentelstinklelis">
    <w:name w:val="Table Grid"/>
    <w:aliases w:val="Summary box,Dossier Table"/>
    <w:basedOn w:val="prastojilentel"/>
    <w:uiPriority w:val="59"/>
    <w:rsid w:val="003D322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3D3228"/>
    <w:pPr>
      <w:ind w:left="720"/>
      <w:contextualSpacing/>
    </w:pPr>
    <w:rPr>
      <w:lang w:eastAsia="en-US"/>
    </w:rPr>
  </w:style>
  <w:style w:type="character" w:customStyle="1" w:styleId="Style2">
    <w:name w:val="Style2"/>
    <w:basedOn w:val="Numatytasispastraiposriftas"/>
    <w:uiPriority w:val="1"/>
    <w:rsid w:val="003D3228"/>
    <w:rPr>
      <w:sz w:val="32"/>
    </w:rPr>
  </w:style>
  <w:style w:type="character" w:styleId="Emfaz">
    <w:name w:val="Emphasis"/>
    <w:basedOn w:val="Numatytasispastraiposriftas"/>
    <w:qFormat/>
    <w:rsid w:val="003D3228"/>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3D3228"/>
    <w:rPr>
      <w:rFonts w:ascii="Times New Roman" w:eastAsia="Times New Roman" w:hAnsi="Times New Roman" w:cs="Times New Roman"/>
      <w:lang w:val="lt-LT"/>
    </w:rPr>
  </w:style>
  <w:style w:type="character" w:customStyle="1" w:styleId="y2iqfc">
    <w:name w:val="y2iqfc"/>
    <w:basedOn w:val="Numatytasispastraiposriftas"/>
    <w:rsid w:val="003D3228"/>
  </w:style>
  <w:style w:type="paragraph" w:customStyle="1" w:styleId="Tekstas">
    <w:name w:val="Tekstas"/>
    <w:basedOn w:val="prastasis"/>
    <w:link w:val="TekstasChar"/>
    <w:qFormat/>
    <w:rsid w:val="003D3228"/>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3D3228"/>
    <w:pPr>
      <w:keepNext/>
      <w:spacing w:after="60"/>
      <w:jc w:val="both"/>
    </w:pPr>
    <w:rPr>
      <w:bCs/>
      <w:color w:val="2F5496"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3D3228"/>
    <w:rPr>
      <w:rFonts w:ascii="Times New Roman" w:eastAsia="Times New Roman" w:hAnsi="Times New Roman" w:cs="Times New Roman"/>
      <w:bCs/>
      <w:color w:val="2F5496" w:themeColor="accent1" w:themeShade="BF"/>
      <w:sz w:val="23"/>
      <w:szCs w:val="18"/>
      <w:lang w:val="lt-LT" w:eastAsia="lt-LT"/>
    </w:rPr>
  </w:style>
  <w:style w:type="paragraph" w:customStyle="1" w:styleId="VVKT">
    <w:name w:val="VVKT"/>
    <w:link w:val="VVKTChar"/>
    <w:qFormat/>
    <w:rsid w:val="003D3228"/>
    <w:pPr>
      <w:widowControl w:val="0"/>
      <w:spacing w:after="60" w:line="276" w:lineRule="auto"/>
      <w:ind w:firstLine="576"/>
    </w:pPr>
    <w:rPr>
      <w:rFonts w:ascii="Times New Roman" w:eastAsia="Times New Roman" w:hAnsi="Times New Roman" w:cs="Times New Roman"/>
      <w:szCs w:val="20"/>
      <w:lang w:val="lt-LT"/>
    </w:rPr>
  </w:style>
  <w:style w:type="character" w:customStyle="1" w:styleId="VVKTChar">
    <w:name w:val="VVKT Char"/>
    <w:link w:val="VVKT"/>
    <w:rsid w:val="003D3228"/>
    <w:rPr>
      <w:rFonts w:ascii="Times New Roman" w:eastAsia="Times New Roman" w:hAnsi="Times New Roman" w:cs="Times New Roman"/>
      <w:szCs w:val="20"/>
      <w:lang w:val="lt-LT"/>
    </w:rPr>
  </w:style>
  <w:style w:type="character" w:styleId="Vietosrezervavimoenklotekstas">
    <w:name w:val="Placeholder Text"/>
    <w:basedOn w:val="Numatytasispastraiposriftas"/>
    <w:uiPriority w:val="99"/>
    <w:rsid w:val="00685CA7"/>
    <w:rPr>
      <w:color w:val="808080"/>
    </w:rPr>
  </w:style>
  <w:style w:type="character" w:styleId="Komentaronuoroda">
    <w:name w:val="annotation reference"/>
    <w:basedOn w:val="Numatytasispastraiposriftas"/>
    <w:uiPriority w:val="99"/>
    <w:semiHidden/>
    <w:unhideWhenUsed/>
    <w:rsid w:val="007A4532"/>
    <w:rPr>
      <w:sz w:val="16"/>
      <w:szCs w:val="16"/>
    </w:rPr>
  </w:style>
  <w:style w:type="paragraph" w:styleId="Komentarotekstas">
    <w:name w:val="annotation text"/>
    <w:basedOn w:val="prastasis"/>
    <w:link w:val="KomentarotekstasDiagrama"/>
    <w:uiPriority w:val="99"/>
    <w:semiHidden/>
    <w:unhideWhenUsed/>
    <w:rsid w:val="007A4532"/>
    <w:rPr>
      <w:sz w:val="20"/>
      <w:szCs w:val="20"/>
    </w:rPr>
  </w:style>
  <w:style w:type="character" w:customStyle="1" w:styleId="KomentarotekstasDiagrama">
    <w:name w:val="Komentaro tekstas Diagrama"/>
    <w:basedOn w:val="Numatytasispastraiposriftas"/>
    <w:link w:val="Komentarotekstas"/>
    <w:uiPriority w:val="99"/>
    <w:semiHidden/>
    <w:rsid w:val="007A4532"/>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uiPriority w:val="99"/>
    <w:semiHidden/>
    <w:unhideWhenUsed/>
    <w:rsid w:val="007A4532"/>
    <w:rPr>
      <w:b/>
      <w:bCs/>
    </w:rPr>
  </w:style>
  <w:style w:type="character" w:customStyle="1" w:styleId="KomentarotemaDiagrama">
    <w:name w:val="Komentaro tema Diagrama"/>
    <w:basedOn w:val="KomentarotekstasDiagrama"/>
    <w:link w:val="Komentarotema"/>
    <w:uiPriority w:val="99"/>
    <w:semiHidden/>
    <w:rsid w:val="007A4532"/>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semiHidden/>
    <w:unhideWhenUsed/>
    <w:rsid w:val="002953FC"/>
    <w:rPr>
      <w:sz w:val="18"/>
      <w:szCs w:val="18"/>
    </w:rPr>
  </w:style>
  <w:style w:type="character" w:customStyle="1" w:styleId="DebesliotekstasDiagrama">
    <w:name w:val="Debesėlio tekstas Diagrama"/>
    <w:basedOn w:val="Numatytasispastraiposriftas"/>
    <w:link w:val="Debesliotekstas"/>
    <w:semiHidden/>
    <w:rsid w:val="002953FC"/>
    <w:rPr>
      <w:rFonts w:ascii="Times New Roman" w:eastAsia="Times New Roman" w:hAnsi="Times New Roman" w:cs="Times New Roman"/>
      <w:sz w:val="18"/>
      <w:szCs w:val="18"/>
      <w:lang w:val="lt-LT" w:eastAsia="en-GB"/>
    </w:rPr>
  </w:style>
  <w:style w:type="character" w:customStyle="1" w:styleId="TekstasChar">
    <w:name w:val="Tekstas Char"/>
    <w:link w:val="Tekstas"/>
    <w:rsid w:val="00024176"/>
    <w:rPr>
      <w:rFonts w:ascii="Times New Roman" w:eastAsia="Times New Roman" w:hAnsi="Times New Roman" w:cs="Times New Roman"/>
      <w:lang w:val="lt-LT" w:eastAsia="lt-LT"/>
    </w:rPr>
  </w:style>
  <w:style w:type="paragraph" w:styleId="Betarp">
    <w:name w:val="No Spacing"/>
    <w:uiPriority w:val="1"/>
    <w:qFormat/>
    <w:rsid w:val="00EB41DB"/>
    <w:rPr>
      <w:rFonts w:ascii="Calibri" w:eastAsia="Calibri" w:hAnsi="Calibri"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49555F64062448E7BC2A49717F664"/>
        <w:category>
          <w:name w:val="General"/>
          <w:gallery w:val="placeholder"/>
        </w:category>
        <w:types>
          <w:type w:val="bbPlcHdr"/>
        </w:types>
        <w:behaviors>
          <w:behavior w:val="content"/>
        </w:behaviors>
        <w:guid w:val="{E4AE6F73-E590-BB4A-8575-1CC4AD80D968}"/>
      </w:docPartPr>
      <w:docPartBody>
        <w:p w:rsidR="001526E2" w:rsidRDefault="00580E0B" w:rsidP="00580E0B">
          <w:pPr>
            <w:pStyle w:val="DE149555F64062448E7BC2A49717F664"/>
          </w:pPr>
          <w:r>
            <w:rPr>
              <w:rStyle w:val="Vietosrezervavimoenklotekstas"/>
            </w:rPr>
            <w:t>Click here to enter a date.</w:t>
          </w:r>
        </w:p>
      </w:docPartBody>
    </w:docPart>
    <w:docPart>
      <w:docPartPr>
        <w:name w:val="735D04F0EC74144299B752362135FD7E"/>
        <w:category>
          <w:name w:val="General"/>
          <w:gallery w:val="placeholder"/>
        </w:category>
        <w:types>
          <w:type w:val="bbPlcHdr"/>
        </w:types>
        <w:behaviors>
          <w:behavior w:val="content"/>
        </w:behaviors>
        <w:guid w:val="{A2FDFAC9-6006-5640-9EA0-30BFB8D41A3E}"/>
      </w:docPartPr>
      <w:docPartBody>
        <w:p w:rsidR="001526E2" w:rsidRDefault="00580E0B" w:rsidP="00580E0B">
          <w:pPr>
            <w:pStyle w:val="735D04F0EC74144299B752362135FD7E"/>
          </w:pPr>
          <w:r>
            <w:rPr>
              <w:rStyle w:val="Vietosrezervavimoenklotekstas"/>
            </w:rPr>
            <w:t>Click here to enter a date.</w:t>
          </w:r>
        </w:p>
      </w:docPartBody>
    </w:docPart>
    <w:docPart>
      <w:docPartPr>
        <w:name w:val="F3376ADBCDD7294591F227E9B59522BE"/>
        <w:category>
          <w:name w:val="General"/>
          <w:gallery w:val="placeholder"/>
        </w:category>
        <w:types>
          <w:type w:val="bbPlcHdr"/>
        </w:types>
        <w:behaviors>
          <w:behavior w:val="content"/>
        </w:behaviors>
        <w:guid w:val="{8614E54B-856D-2641-BAC8-F10ADE89634A}"/>
      </w:docPartPr>
      <w:docPartBody>
        <w:p w:rsidR="001526E2" w:rsidRDefault="00580E0B" w:rsidP="00580E0B">
          <w:pPr>
            <w:pStyle w:val="F3376ADBCDD7294591F227E9B59522B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67"/>
    <w:rsid w:val="000E2767"/>
    <w:rsid w:val="001526E2"/>
    <w:rsid w:val="00165754"/>
    <w:rsid w:val="00430695"/>
    <w:rsid w:val="00580E0B"/>
    <w:rsid w:val="005B433E"/>
    <w:rsid w:val="00754376"/>
    <w:rsid w:val="00782AD8"/>
    <w:rsid w:val="008559BF"/>
    <w:rsid w:val="008E12F4"/>
    <w:rsid w:val="009A17C5"/>
    <w:rsid w:val="00A93F2C"/>
    <w:rsid w:val="00AE36F2"/>
    <w:rsid w:val="00B14550"/>
    <w:rsid w:val="00B4070C"/>
    <w:rsid w:val="00B505A9"/>
    <w:rsid w:val="00B719F0"/>
    <w:rsid w:val="00CB60CD"/>
    <w:rsid w:val="00E22E7A"/>
    <w:rsid w:val="00E34660"/>
    <w:rsid w:val="00F20544"/>
    <w:rsid w:val="00FD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80E0B"/>
    <w:rPr>
      <w:color w:val="808080"/>
    </w:rPr>
  </w:style>
  <w:style w:type="paragraph" w:customStyle="1" w:styleId="DE149555F64062448E7BC2A49717F664">
    <w:name w:val="DE149555F64062448E7BC2A49717F664"/>
    <w:rsid w:val="00580E0B"/>
  </w:style>
  <w:style w:type="paragraph" w:customStyle="1" w:styleId="735D04F0EC74144299B752362135FD7E">
    <w:name w:val="735D04F0EC74144299B752362135FD7E"/>
    <w:rsid w:val="00580E0B"/>
  </w:style>
  <w:style w:type="paragraph" w:customStyle="1" w:styleId="F3376ADBCDD7294591F227E9B59522BE">
    <w:name w:val="F3376ADBCDD7294591F227E9B59522BE"/>
    <w:rsid w:val="00580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11072</Words>
  <Characters>6312</Characters>
  <Application>Microsoft Office Word</Application>
  <DocSecurity>0</DocSecurity>
  <Lines>52</Lines>
  <Paragraphs>34</Paragraphs>
  <ScaleCrop>false</ScaleCrop>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2024-04-04T09:47:00Z</dcterms:created>
  <dcterms:modified xsi:type="dcterms:W3CDTF">2024-04-04T14:11:00Z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2024-04-04T05:28:33Z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f1d7453d-29cb-427b-806e-9c7dd6dfa979</vt:lpwstr>
  </property>
  <property fmtid="{D5CDD505-2E9C-101B-9397-08002B2CF9AE}" pid="8" name="MSIP_Label_fa6f01b5-c24b-4fa8-8e8f-cee31f47fe31_ContentBits">
    <vt:lpwstr>0</vt:lpwstr>
  </property>
</Properties>
</file>