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FF590B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2020-0</w:t>
      </w:r>
      <w:r w:rsidR="00E377AA">
        <w:rPr>
          <w:rStyle w:val="Hyperlink"/>
          <w:color w:val="auto"/>
          <w:sz w:val="22"/>
          <w:szCs w:val="22"/>
          <w:u w:val="none"/>
        </w:rPr>
        <w:t>4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E377AA">
        <w:rPr>
          <w:rStyle w:val="Hyperlink"/>
          <w:color w:val="auto"/>
          <w:sz w:val="22"/>
          <w:szCs w:val="22"/>
          <w:u w:val="none"/>
        </w:rPr>
        <w:t>27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E377AA">
        <w:rPr>
          <w:sz w:val="22"/>
          <w:szCs w:val="22"/>
        </w:rPr>
        <w:t>4</w:t>
      </w:r>
      <w:r w:rsidR="00F943B0">
        <w:rPr>
          <w:sz w:val="22"/>
          <w:szCs w:val="22"/>
        </w:rPr>
        <w:t xml:space="preserve"> (reg. data </w:t>
      </w:r>
      <w:r w:rsidR="00894C25">
        <w:rPr>
          <w:sz w:val="22"/>
          <w:szCs w:val="22"/>
        </w:rPr>
        <w:t>2020</w:t>
      </w:r>
      <w:r w:rsidR="008474F7">
        <w:rPr>
          <w:sz w:val="22"/>
          <w:szCs w:val="22"/>
        </w:rPr>
        <w:t>-</w:t>
      </w:r>
      <w:r w:rsidR="00FF590B">
        <w:rPr>
          <w:sz w:val="22"/>
          <w:szCs w:val="22"/>
        </w:rPr>
        <w:t>0</w:t>
      </w:r>
      <w:r w:rsidR="00E377AA">
        <w:rPr>
          <w:sz w:val="22"/>
          <w:szCs w:val="22"/>
        </w:rPr>
        <w:t>5</w:t>
      </w:r>
      <w:r w:rsidR="00FF590B">
        <w:rPr>
          <w:sz w:val="22"/>
          <w:szCs w:val="22"/>
        </w:rPr>
        <w:t>-0</w:t>
      </w:r>
      <w:r w:rsidR="00E377AA">
        <w:rPr>
          <w:sz w:val="22"/>
          <w:szCs w:val="22"/>
        </w:rPr>
        <w:t>4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</w:t>
      </w:r>
      <w:r w:rsidR="00FF590B">
        <w:rPr>
          <w:b/>
          <w:bCs/>
          <w:sz w:val="22"/>
          <w:szCs w:val="22"/>
        </w:rPr>
        <w:t>IUOS</w:t>
      </w:r>
      <w:r w:rsidR="00060C49">
        <w:rPr>
          <w:b/>
          <w:bCs/>
          <w:sz w:val="22"/>
          <w:szCs w:val="22"/>
        </w:rPr>
        <w:t xml:space="preserve"> VAISTIN</w:t>
      </w:r>
      <w:r w:rsidR="001351BE">
        <w:rPr>
          <w:b/>
          <w:bCs/>
          <w:sz w:val="22"/>
          <w:szCs w:val="22"/>
        </w:rPr>
        <w:t>I</w:t>
      </w:r>
      <w:r w:rsidR="00FF590B">
        <w:rPr>
          <w:b/>
          <w:bCs/>
          <w:sz w:val="22"/>
          <w:szCs w:val="22"/>
        </w:rPr>
        <w:t>US</w:t>
      </w:r>
      <w:r w:rsidR="00060C49">
        <w:rPr>
          <w:b/>
          <w:bCs/>
          <w:sz w:val="22"/>
          <w:szCs w:val="22"/>
        </w:rPr>
        <w:t xml:space="preserve"> PREPARAT</w:t>
      </w:r>
      <w:r w:rsidR="00FF590B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>:</w:t>
      </w: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666"/>
        <w:gridCol w:w="2213"/>
        <w:gridCol w:w="1721"/>
        <w:gridCol w:w="1431"/>
        <w:gridCol w:w="3641"/>
        <w:gridCol w:w="1709"/>
        <w:gridCol w:w="856"/>
      </w:tblGrid>
      <w:tr w:rsidR="00E377AA" w:rsidRPr="000A24BA" w:rsidTr="00E377AA">
        <w:trPr>
          <w:tblHeader/>
        </w:trPr>
        <w:tc>
          <w:tcPr>
            <w:tcW w:w="194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Eil.</w:t>
            </w:r>
            <w:r w:rsidRPr="000A24BA">
              <w:rPr>
                <w:bCs/>
                <w:kern w:val="28"/>
              </w:rPr>
              <w:br/>
              <w:t>Nr.</w:t>
            </w:r>
          </w:p>
        </w:tc>
        <w:tc>
          <w:tcPr>
            <w:tcW w:w="900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Vaisto pavadinimas, stiprumas, farmacinė forma, ATC kodas</w:t>
            </w:r>
          </w:p>
          <w:p w:rsidR="00E377AA" w:rsidRPr="000A24BA" w:rsidRDefault="00E377AA" w:rsidP="00E377AA">
            <w:pPr>
              <w:rPr>
                <w:kern w:val="28"/>
              </w:rPr>
            </w:pPr>
          </w:p>
        </w:tc>
        <w:tc>
          <w:tcPr>
            <w:tcW w:w="747" w:type="pct"/>
            <w:vAlign w:val="center"/>
          </w:tcPr>
          <w:p w:rsidR="00E377AA" w:rsidRPr="000A24BA" w:rsidRDefault="00E377AA" w:rsidP="00E377AA">
            <w:pPr>
              <w:rPr>
                <w:kern w:val="28"/>
              </w:rPr>
            </w:pPr>
            <w:r w:rsidRPr="000A24BA">
              <w:rPr>
                <w:bCs/>
                <w:kern w:val="28"/>
              </w:rPr>
              <w:t>Sudėtis</w:t>
            </w:r>
          </w:p>
        </w:tc>
        <w:tc>
          <w:tcPr>
            <w:tcW w:w="581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Registruotojas</w:t>
            </w:r>
          </w:p>
        </w:tc>
        <w:tc>
          <w:tcPr>
            <w:tcW w:w="483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Paraiškos teisinis pagrindas</w:t>
            </w:r>
          </w:p>
        </w:tc>
        <w:tc>
          <w:tcPr>
            <w:tcW w:w="1229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E377AA" w:rsidRPr="000A24BA" w:rsidRDefault="00E377AA" w:rsidP="00E377AA">
            <w:pPr>
              <w:ind w:right="180"/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Rp. / ne Rp.</w:t>
            </w:r>
          </w:p>
        </w:tc>
      </w:tr>
      <w:tr w:rsidR="00E377AA" w:rsidRPr="000A24BA" w:rsidTr="00E377AA">
        <w:trPr>
          <w:trHeight w:val="2286"/>
        </w:trPr>
        <w:tc>
          <w:tcPr>
            <w:tcW w:w="194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1.</w:t>
            </w:r>
          </w:p>
        </w:tc>
        <w:tc>
          <w:tcPr>
            <w:tcW w:w="900" w:type="pct"/>
          </w:tcPr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24BA">
              <w:rPr>
                <w:rFonts w:eastAsia="Calibri"/>
                <w:color w:val="212121"/>
                <w:shd w:val="clear" w:color="auto" w:fill="FFFFFF"/>
              </w:rPr>
              <w:t>Omeprazole Siromed</w:t>
            </w:r>
            <w:r w:rsidRPr="000A24BA">
              <w:rPr>
                <w:rFonts w:eastAsia="Calibri"/>
              </w:rPr>
              <w:t xml:space="preserve"> 20 mg skrandyje neirios kietosios kapsulės</w:t>
            </w:r>
          </w:p>
          <w:p w:rsidR="00E377AA" w:rsidRPr="000A24BA" w:rsidRDefault="00E377AA" w:rsidP="00E377A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0A24BA">
              <w:rPr>
                <w:kern w:val="28"/>
              </w:rPr>
              <w:t>A02BC01</w:t>
            </w:r>
          </w:p>
        </w:tc>
        <w:tc>
          <w:tcPr>
            <w:tcW w:w="747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kern w:val="28"/>
              </w:rPr>
            </w:pPr>
            <w:r w:rsidRPr="000A24BA">
              <w:rPr>
                <w:kern w:val="28"/>
              </w:rPr>
              <w:t xml:space="preserve">Kiekvienoje skrandyje neirioje kietojoje kapsulėje yra 20 mg omeprazolo. </w:t>
            </w:r>
          </w:p>
          <w:p w:rsidR="00E377AA" w:rsidRPr="000A24BA" w:rsidRDefault="00E377AA" w:rsidP="00E377AA">
            <w:pPr>
              <w:rPr>
                <w:lang w:eastAsia="lt-LT"/>
              </w:rPr>
            </w:pPr>
          </w:p>
        </w:tc>
        <w:tc>
          <w:tcPr>
            <w:tcW w:w="581" w:type="pct"/>
          </w:tcPr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A24BA">
              <w:rPr>
                <w:rFonts w:eastAsia="Calibri"/>
              </w:rPr>
              <w:t>UAB „NVT“,</w:t>
            </w:r>
          </w:p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A24BA">
              <w:rPr>
                <w:rFonts w:eastAsia="Calibri"/>
              </w:rPr>
              <w:t xml:space="preserve"> Lietuva</w:t>
            </w:r>
          </w:p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7AA" w:rsidRPr="000A24BA" w:rsidRDefault="00E377AA" w:rsidP="00E377AA">
            <w:pPr>
              <w:rPr>
                <w:rFonts w:eastAsia="Calibri"/>
                <w:kern w:val="28"/>
              </w:rPr>
            </w:pPr>
          </w:p>
        </w:tc>
        <w:tc>
          <w:tcPr>
            <w:tcW w:w="483" w:type="pct"/>
          </w:tcPr>
          <w:p w:rsidR="00E377AA" w:rsidRPr="000A24BA" w:rsidRDefault="00E377AA" w:rsidP="00E377AA">
            <w:pPr>
              <w:rPr>
                <w:rFonts w:eastAsia="Calibri"/>
              </w:rPr>
            </w:pPr>
            <w:r w:rsidRPr="000A24BA">
              <w:rPr>
                <w:rFonts w:eastAsia="Calibri"/>
              </w:rPr>
              <w:t>10.1 str. (generinis)</w:t>
            </w:r>
          </w:p>
          <w:p w:rsidR="00E377AA" w:rsidRPr="000A24BA" w:rsidRDefault="00E377AA" w:rsidP="00E377AA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29" w:type="pct"/>
          </w:tcPr>
          <w:p w:rsidR="00E377AA" w:rsidRPr="000A24BA" w:rsidRDefault="00E377AA" w:rsidP="00E377AA">
            <w:pPr>
              <w:rPr>
                <w:kern w:val="28"/>
                <w:szCs w:val="20"/>
              </w:rPr>
            </w:pPr>
            <w:r w:rsidRPr="000A24BA">
              <w:rPr>
                <w:color w:val="212121"/>
                <w:kern w:val="28"/>
                <w:szCs w:val="20"/>
                <w:shd w:val="clear" w:color="auto" w:fill="FFFFFF"/>
              </w:rPr>
              <w:t>Suaugusių žmonių gastroezofaginio refliukso simptomų (pvz., rėmens, rūgšties atpylimo) trumpalaikis gydymas.</w:t>
            </w:r>
          </w:p>
          <w:p w:rsidR="00E377AA" w:rsidRPr="000A24BA" w:rsidRDefault="00E377AA" w:rsidP="00E377AA">
            <w:pPr>
              <w:widowControl w:val="0"/>
              <w:tabs>
                <w:tab w:val="left" w:pos="0"/>
                <w:tab w:val="left" w:pos="567"/>
                <w:tab w:val="left" w:pos="806"/>
                <w:tab w:val="left" w:pos="807"/>
              </w:tabs>
              <w:autoSpaceDE w:val="0"/>
              <w:autoSpaceDN w:val="0"/>
              <w:rPr>
                <w:kern w:val="28"/>
              </w:rPr>
            </w:pPr>
          </w:p>
        </w:tc>
        <w:tc>
          <w:tcPr>
            <w:tcW w:w="577" w:type="pct"/>
          </w:tcPr>
          <w:p w:rsidR="00E377AA" w:rsidRPr="000A24BA" w:rsidRDefault="00E377AA" w:rsidP="00E377AA">
            <w:pPr>
              <w:autoSpaceDE w:val="0"/>
              <w:autoSpaceDN w:val="0"/>
              <w:adjustRightInd w:val="0"/>
              <w:contextualSpacing/>
            </w:pPr>
            <w:r w:rsidRPr="000A24BA">
              <w:t xml:space="preserve">Lizdinė plokštelė </w:t>
            </w:r>
          </w:p>
          <w:p w:rsidR="00E377AA" w:rsidRPr="000A24BA" w:rsidRDefault="00E377AA" w:rsidP="00E377AA">
            <w:pPr>
              <w:autoSpaceDE w:val="0"/>
              <w:autoSpaceDN w:val="0"/>
              <w:adjustRightInd w:val="0"/>
              <w:contextualSpacing/>
              <w:rPr>
                <w:kern w:val="28"/>
              </w:rPr>
            </w:pPr>
            <w:r w:rsidRPr="000A24BA">
              <w:t xml:space="preserve">N7, </w:t>
            </w:r>
            <w:r w:rsidR="00F2090A">
              <w:t xml:space="preserve">N10, </w:t>
            </w:r>
            <w:r w:rsidRPr="000A24BA">
              <w:t xml:space="preserve">N14. </w:t>
            </w:r>
          </w:p>
          <w:p w:rsidR="00E377AA" w:rsidRPr="000A24BA" w:rsidRDefault="00E377AA" w:rsidP="00E377AA">
            <w:pPr>
              <w:autoSpaceDE w:val="0"/>
              <w:autoSpaceDN w:val="0"/>
              <w:adjustRightInd w:val="0"/>
              <w:contextualSpacing/>
            </w:pPr>
            <w:r w:rsidRPr="000A24BA">
              <w:t>Talpyklė N7, N10, N14</w:t>
            </w:r>
          </w:p>
          <w:p w:rsidR="00E377AA" w:rsidRPr="000A24BA" w:rsidRDefault="00E377AA" w:rsidP="00E377AA">
            <w:pPr>
              <w:rPr>
                <w:kern w:val="28"/>
              </w:rPr>
            </w:pPr>
          </w:p>
        </w:tc>
        <w:tc>
          <w:tcPr>
            <w:tcW w:w="289" w:type="pct"/>
          </w:tcPr>
          <w:p w:rsidR="00E377AA" w:rsidRPr="000A24BA" w:rsidRDefault="00E377AA" w:rsidP="00E377AA">
            <w:pPr>
              <w:rPr>
                <w:kern w:val="28"/>
              </w:rPr>
            </w:pPr>
            <w:r w:rsidRPr="000A24BA">
              <w:rPr>
                <w:kern w:val="28"/>
              </w:rPr>
              <w:t>NeRp.</w:t>
            </w:r>
          </w:p>
          <w:p w:rsidR="00E377AA" w:rsidRPr="000A24BA" w:rsidRDefault="00E377AA" w:rsidP="00E377AA">
            <w:pPr>
              <w:rPr>
                <w:kern w:val="28"/>
              </w:rPr>
            </w:pPr>
          </w:p>
          <w:p w:rsidR="00E377AA" w:rsidRPr="000A24BA" w:rsidRDefault="00E377AA" w:rsidP="00E377AA">
            <w:pPr>
              <w:rPr>
                <w:kern w:val="28"/>
              </w:rPr>
            </w:pPr>
          </w:p>
        </w:tc>
      </w:tr>
      <w:tr w:rsidR="000B70B9" w:rsidRPr="000A24BA" w:rsidTr="00E377AA">
        <w:tc>
          <w:tcPr>
            <w:tcW w:w="194" w:type="pct"/>
          </w:tcPr>
          <w:p w:rsidR="000B70B9" w:rsidRPr="000A24BA" w:rsidRDefault="000B70B9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2.</w:t>
            </w:r>
          </w:p>
        </w:tc>
        <w:tc>
          <w:tcPr>
            <w:tcW w:w="900" w:type="pct"/>
          </w:tcPr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24BA">
              <w:rPr>
                <w:rFonts w:eastAsia="Calibri"/>
                <w:color w:val="212121"/>
                <w:shd w:val="clear" w:color="auto" w:fill="FFFFFF"/>
              </w:rPr>
              <w:t>Omeprazole Siromed</w:t>
            </w:r>
            <w:r w:rsidRPr="000A24BA">
              <w:rPr>
                <w:rFonts w:eastAsia="Calibri"/>
              </w:rPr>
              <w:t xml:space="preserve"> 20 mg skrandyje neirios kietosios kapsulės</w:t>
            </w: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24BA">
              <w:rPr>
                <w:rFonts w:eastAsia="Calibri"/>
              </w:rPr>
              <w:t>A02BC01</w:t>
            </w:r>
          </w:p>
        </w:tc>
        <w:tc>
          <w:tcPr>
            <w:tcW w:w="747" w:type="pct"/>
          </w:tcPr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C0C0C0"/>
              </w:rPr>
            </w:pPr>
            <w:r w:rsidRPr="000A24BA">
              <w:rPr>
                <w:rFonts w:eastAsia="Calibri"/>
              </w:rPr>
              <w:t xml:space="preserve">Kiekvienoje skrandyje neirioje kietojoje kapsulėje yra 20 mg omeprazolo. </w:t>
            </w:r>
          </w:p>
          <w:p w:rsidR="000B70B9" w:rsidRPr="000A24BA" w:rsidRDefault="000B70B9" w:rsidP="00E377AA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81" w:type="pct"/>
          </w:tcPr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A24BA">
              <w:rPr>
                <w:rFonts w:eastAsia="Calibri"/>
              </w:rPr>
              <w:t>UAB „NVT“,</w:t>
            </w: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A24BA">
              <w:rPr>
                <w:rFonts w:eastAsia="Calibri"/>
              </w:rPr>
              <w:t xml:space="preserve"> Lietuva</w:t>
            </w: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3" w:type="pct"/>
          </w:tcPr>
          <w:p w:rsidR="000B70B9" w:rsidRPr="000A24BA" w:rsidRDefault="000B70B9" w:rsidP="00E377AA">
            <w:pPr>
              <w:rPr>
                <w:rFonts w:eastAsia="Calibri"/>
              </w:rPr>
            </w:pPr>
            <w:r w:rsidRPr="000A24BA">
              <w:rPr>
                <w:rFonts w:eastAsia="Calibri"/>
              </w:rPr>
              <w:t>10.1 str. (generinis)</w:t>
            </w:r>
          </w:p>
          <w:p w:rsidR="000B70B9" w:rsidRPr="000A24BA" w:rsidRDefault="000B70B9" w:rsidP="00E377AA">
            <w:pPr>
              <w:rPr>
                <w:rFonts w:eastAsia="Calibri"/>
              </w:rPr>
            </w:pPr>
          </w:p>
        </w:tc>
        <w:tc>
          <w:tcPr>
            <w:tcW w:w="1229" w:type="pct"/>
            <w:vMerge w:val="restart"/>
          </w:tcPr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0A24BA">
              <w:rPr>
                <w:rFonts w:eastAsia="Calibri"/>
                <w:i/>
                <w:color w:val="212121"/>
                <w:shd w:val="clear" w:color="auto" w:fill="FFFFFF"/>
              </w:rPr>
              <w:t>Suaugusiesiems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Dvylikapirštės žarnos opų gydymas.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Dvylikapirštės žarnos opų atkryčio</w:t>
            </w:r>
            <w:r w:rsidRPr="000A24BA">
              <w:rPr>
                <w:spacing w:val="-1"/>
                <w:kern w:val="28"/>
                <w:szCs w:val="20"/>
              </w:rPr>
              <w:t xml:space="preserve"> </w:t>
            </w:r>
            <w:r w:rsidRPr="000A24BA">
              <w:rPr>
                <w:kern w:val="28"/>
                <w:szCs w:val="20"/>
              </w:rPr>
              <w:t>profilaktika.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Skrandžio opų</w:t>
            </w:r>
            <w:r w:rsidRPr="000A24BA">
              <w:rPr>
                <w:spacing w:val="-1"/>
                <w:kern w:val="28"/>
                <w:szCs w:val="20"/>
              </w:rPr>
              <w:t xml:space="preserve"> </w:t>
            </w:r>
            <w:r w:rsidRPr="000A24BA">
              <w:rPr>
                <w:kern w:val="28"/>
                <w:szCs w:val="20"/>
              </w:rPr>
              <w:t>gydymas.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Skrandžio opų atkryčio</w:t>
            </w:r>
            <w:r w:rsidRPr="000A24BA">
              <w:rPr>
                <w:spacing w:val="-1"/>
                <w:kern w:val="28"/>
                <w:szCs w:val="20"/>
              </w:rPr>
              <w:t xml:space="preserve"> </w:t>
            </w:r>
            <w:r w:rsidRPr="000A24BA">
              <w:rPr>
                <w:kern w:val="28"/>
                <w:szCs w:val="20"/>
              </w:rPr>
              <w:t>profilaktika.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i/>
                <w:kern w:val="28"/>
              </w:rPr>
              <w:t>Helicobacter pylori</w:t>
            </w:r>
            <w:r w:rsidRPr="000A24BA">
              <w:rPr>
                <w:kern w:val="28"/>
              </w:rPr>
              <w:t xml:space="preserve"> (</w:t>
            </w:r>
            <w:r w:rsidRPr="000A24BA">
              <w:rPr>
                <w:i/>
                <w:kern w:val="28"/>
              </w:rPr>
              <w:t>H. pylori</w:t>
            </w:r>
            <w:r w:rsidRPr="000A24BA">
              <w:rPr>
                <w:kern w:val="28"/>
              </w:rPr>
              <w:t xml:space="preserve">) išnaikinimas, derinant su tinkamais antibiotikais, pacientams, sergantiems pepsine opa. 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kern w:val="28"/>
              </w:rPr>
              <w:t xml:space="preserve">Su </w:t>
            </w:r>
            <w:r w:rsidRPr="000A24BA">
              <w:rPr>
                <w:kern w:val="28"/>
                <w:lang w:eastAsia="lt-LT"/>
              </w:rPr>
              <w:t>nesteroidinių vaistinių preparatų</w:t>
            </w:r>
            <w:r w:rsidRPr="000A24BA">
              <w:rPr>
                <w:kern w:val="28"/>
              </w:rPr>
              <w:t xml:space="preserve"> nuo uždegimo </w:t>
            </w:r>
            <w:r w:rsidRPr="000A24BA">
              <w:rPr>
                <w:kern w:val="28"/>
                <w:lang w:eastAsia="lt-LT"/>
              </w:rPr>
              <w:t xml:space="preserve">(NVPNU) vartojimu </w:t>
            </w:r>
            <w:r w:rsidRPr="000A24BA">
              <w:rPr>
                <w:kern w:val="28"/>
              </w:rPr>
              <w:t>susijusių dvylikapirštės žarnos ir skrandžio opų gydymas.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kern w:val="28"/>
              </w:rPr>
              <w:t xml:space="preserve">Su </w:t>
            </w:r>
            <w:r w:rsidRPr="000A24BA">
              <w:rPr>
                <w:kern w:val="28"/>
                <w:lang w:eastAsia="lt-LT"/>
              </w:rPr>
              <w:t>nesteroidinių vaistinių preparatų</w:t>
            </w:r>
            <w:r w:rsidRPr="000A24BA">
              <w:rPr>
                <w:kern w:val="28"/>
              </w:rPr>
              <w:t xml:space="preserve"> nuo uždegimo </w:t>
            </w:r>
            <w:r w:rsidRPr="000A24BA">
              <w:rPr>
                <w:kern w:val="28"/>
                <w:lang w:eastAsia="lt-LT"/>
              </w:rPr>
              <w:t xml:space="preserve">vartojimu </w:t>
            </w:r>
            <w:r w:rsidRPr="000A24BA">
              <w:rPr>
                <w:kern w:val="28"/>
              </w:rPr>
              <w:t>susijusių dvylikapirštės žarnos ir skrandžio opų profilaktika pacientams, kuriems yra padidėjusi opų atsiradimo rizika.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kern w:val="28"/>
              </w:rPr>
              <w:t>Refliuksinio ezofagito gydymas.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kern w:val="28"/>
                <w:lang w:eastAsia="lt-LT"/>
              </w:rPr>
              <w:t xml:space="preserve">Pacientų, išgijusių nuo </w:t>
            </w:r>
            <w:r w:rsidRPr="000A24BA">
              <w:rPr>
                <w:color w:val="000000"/>
                <w:kern w:val="28"/>
              </w:rPr>
              <w:t xml:space="preserve">refliuksinio </w:t>
            </w:r>
            <w:r w:rsidRPr="000A24BA">
              <w:rPr>
                <w:kern w:val="28"/>
              </w:rPr>
              <w:t>ezofagito</w:t>
            </w:r>
            <w:r w:rsidRPr="000A24BA">
              <w:rPr>
                <w:kern w:val="28"/>
                <w:lang w:eastAsia="lt-LT"/>
              </w:rPr>
              <w:t>, ilgalaikis palaikomasis gydymas.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kern w:val="28"/>
              </w:rPr>
              <w:t>Simptominis gastroezofaginio refliukso ligos gydymas.</w:t>
            </w:r>
          </w:p>
          <w:p w:rsidR="000B70B9" w:rsidRPr="000A24BA" w:rsidRDefault="000B70B9" w:rsidP="00E377AA">
            <w:pPr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0A24BA">
              <w:rPr>
                <w:kern w:val="28"/>
              </w:rPr>
              <w:t>Colingerio-Elisono (Zollinger-Ellison) sindromo gydymas.</w:t>
            </w: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0A24BA">
              <w:rPr>
                <w:rFonts w:eastAsia="Calibri"/>
                <w:i/>
              </w:rPr>
              <w:t>Vaikų populiacija</w:t>
            </w: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  <w:p w:rsidR="000B70B9" w:rsidRPr="000A24BA" w:rsidRDefault="000B70B9" w:rsidP="00E377AA">
            <w:pPr>
              <w:tabs>
                <w:tab w:val="left" w:pos="567"/>
              </w:tabs>
              <w:rPr>
                <w:i/>
                <w:kern w:val="28"/>
                <w:szCs w:val="20"/>
              </w:rPr>
            </w:pPr>
            <w:r w:rsidRPr="000A24BA">
              <w:rPr>
                <w:i/>
                <w:kern w:val="28"/>
                <w:szCs w:val="20"/>
              </w:rPr>
              <w:t>Vyresniems kaip 1 metų vaikams, kurių svoris ≥ 10 kg: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Refliuksinio ezofagito</w:t>
            </w:r>
            <w:r w:rsidRPr="000A24BA">
              <w:rPr>
                <w:spacing w:val="-3"/>
                <w:kern w:val="28"/>
                <w:szCs w:val="20"/>
              </w:rPr>
              <w:t xml:space="preserve"> </w:t>
            </w:r>
            <w:r w:rsidRPr="000A24BA">
              <w:rPr>
                <w:kern w:val="28"/>
                <w:szCs w:val="20"/>
              </w:rPr>
              <w:t>gydymas.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Rėmens ir rūgščių regurgitacijos simptominis gydymas, sergant gastroezofaginio refliukso liga.</w:t>
            </w:r>
          </w:p>
          <w:p w:rsidR="000B70B9" w:rsidRPr="000A24BA" w:rsidRDefault="000B70B9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B70B9" w:rsidRPr="000A24BA" w:rsidRDefault="000B70B9" w:rsidP="00E377AA">
            <w:pPr>
              <w:widowControl w:val="0"/>
              <w:numPr>
                <w:ilvl w:val="12"/>
                <w:numId w:val="18"/>
              </w:numPr>
              <w:tabs>
                <w:tab w:val="clear" w:pos="360"/>
                <w:tab w:val="left" w:pos="0"/>
                <w:tab w:val="left" w:pos="567"/>
              </w:tabs>
              <w:autoSpaceDE w:val="0"/>
              <w:autoSpaceDN w:val="0"/>
              <w:rPr>
                <w:i/>
                <w:kern w:val="28"/>
                <w:szCs w:val="20"/>
              </w:rPr>
            </w:pPr>
            <w:r w:rsidRPr="000A24BA">
              <w:rPr>
                <w:i/>
                <w:kern w:val="28"/>
                <w:szCs w:val="20"/>
              </w:rPr>
              <w:t>Vyresniems kaip 4 metų vaikams ir paaugliams</w:t>
            </w:r>
          </w:p>
          <w:p w:rsidR="000B70B9" w:rsidRPr="000A24BA" w:rsidRDefault="000B70B9" w:rsidP="00E377A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rPr>
                <w:kern w:val="28"/>
                <w:szCs w:val="20"/>
              </w:rPr>
            </w:pPr>
            <w:r w:rsidRPr="000A24BA">
              <w:rPr>
                <w:i/>
                <w:iCs/>
                <w:kern w:val="28"/>
                <w:szCs w:val="20"/>
              </w:rPr>
              <w:t>H. pylori</w:t>
            </w:r>
            <w:r w:rsidRPr="000A24BA">
              <w:rPr>
                <w:kern w:val="28"/>
                <w:szCs w:val="20"/>
              </w:rPr>
              <w:t xml:space="preserve"> sukeltos dvylikapirštės žarnos opos gydymas, derinant su antibiotikais.</w:t>
            </w:r>
          </w:p>
          <w:p w:rsidR="000B70B9" w:rsidRPr="000A24BA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212121"/>
                <w:kern w:val="28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Suaugusių žmonių gastroezofaginio refliukso simptomų (pvz., rėmens, rūgšties atpylimo) trumpalaikis gydymas.</w:t>
            </w:r>
          </w:p>
        </w:tc>
        <w:tc>
          <w:tcPr>
            <w:tcW w:w="577" w:type="pct"/>
          </w:tcPr>
          <w:p w:rsidR="000B70B9" w:rsidRPr="000A24BA" w:rsidRDefault="000B70B9" w:rsidP="00E377AA">
            <w:pPr>
              <w:autoSpaceDE w:val="0"/>
              <w:autoSpaceDN w:val="0"/>
              <w:adjustRightInd w:val="0"/>
              <w:contextualSpacing/>
            </w:pPr>
            <w:r w:rsidRPr="000A24BA">
              <w:t xml:space="preserve">Lizdinė plokštelė </w:t>
            </w:r>
          </w:p>
          <w:p w:rsidR="000B70B9" w:rsidRPr="000A24BA" w:rsidRDefault="000B70B9" w:rsidP="00E377AA">
            <w:pPr>
              <w:autoSpaceDE w:val="0"/>
              <w:autoSpaceDN w:val="0"/>
              <w:adjustRightInd w:val="0"/>
              <w:contextualSpacing/>
            </w:pPr>
            <w:r w:rsidRPr="000A24BA">
              <w:t>N28, N30</w:t>
            </w:r>
          </w:p>
          <w:p w:rsidR="000B70B9" w:rsidRPr="000A24BA" w:rsidRDefault="000B70B9" w:rsidP="00E377AA">
            <w:pPr>
              <w:autoSpaceDE w:val="0"/>
              <w:autoSpaceDN w:val="0"/>
              <w:adjustRightInd w:val="0"/>
              <w:contextualSpacing/>
            </w:pPr>
            <w:r w:rsidRPr="000A24BA">
              <w:rPr>
                <w:kern w:val="28"/>
              </w:rPr>
              <w:t>Talpyklė N28, N30</w:t>
            </w:r>
          </w:p>
        </w:tc>
        <w:tc>
          <w:tcPr>
            <w:tcW w:w="289" w:type="pct"/>
          </w:tcPr>
          <w:p w:rsidR="000B70B9" w:rsidRPr="000A24BA" w:rsidRDefault="000B70B9" w:rsidP="00E377AA">
            <w:pPr>
              <w:rPr>
                <w:kern w:val="28"/>
              </w:rPr>
            </w:pPr>
            <w:r w:rsidRPr="000A24BA">
              <w:rPr>
                <w:kern w:val="28"/>
              </w:rPr>
              <w:t>Rp.</w:t>
            </w:r>
          </w:p>
        </w:tc>
      </w:tr>
      <w:tr w:rsidR="000B70B9" w:rsidRPr="00BB3D67" w:rsidTr="000B70B9">
        <w:trPr>
          <w:trHeight w:val="139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jc w:val="center"/>
              <w:rPr>
                <w:kern w:val="28"/>
              </w:rPr>
            </w:pPr>
            <w:r w:rsidRPr="000B70B9">
              <w:rPr>
                <w:kern w:val="2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Omeprazole Nord 10 mg skrandyje neirios kietosios kapsulės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A02BC01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Kiekvienoje skrandyje neirioje kietojoje kapsulėje yra 10 mg omeprazolo.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UAB „INTELI GENERICS NORD“ ,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Lietuva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70B9" w:rsidRPr="000B70B9" w:rsidRDefault="000B70B9" w:rsidP="000B70B9">
            <w:pPr>
              <w:rPr>
                <w:rFonts w:eastAsia="Calibri"/>
              </w:rPr>
            </w:pPr>
            <w:r w:rsidRPr="000B70B9">
              <w:rPr>
                <w:rFonts w:eastAsia="Calibri"/>
              </w:rPr>
              <w:t>10.1 str. (generinis)</w:t>
            </w:r>
          </w:p>
          <w:p w:rsidR="000B70B9" w:rsidRPr="000B70B9" w:rsidRDefault="000B70B9" w:rsidP="000B70B9">
            <w:pPr>
              <w:rPr>
                <w:rFonts w:eastAsia="Calibri"/>
              </w:rPr>
            </w:pPr>
          </w:p>
        </w:tc>
        <w:tc>
          <w:tcPr>
            <w:tcW w:w="1229" w:type="pct"/>
            <w:vMerge/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color w:val="212121"/>
                <w:shd w:val="clear" w:color="auto" w:fill="FFFFFF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Lizdinė plokštelė N7, N14, N28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Talpyklė N7, N14, N28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kern w:val="28"/>
              </w:rPr>
            </w:pPr>
            <w:r w:rsidRPr="000B70B9">
              <w:rPr>
                <w:kern w:val="28"/>
              </w:rPr>
              <w:t>NeRp..</w:t>
            </w:r>
          </w:p>
        </w:tc>
      </w:tr>
      <w:tr w:rsidR="000B70B9" w:rsidRPr="00BB3D67" w:rsidTr="000B70B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Omeprazole Nord 20 mg skrandyje neirios kietosios kapsulės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A02BC01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Kiekvienoje skrandyje neirioje kietojoje kapsulėje yra 20 mg omeprazolo.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70B9" w:rsidRPr="000B70B9" w:rsidRDefault="000B70B9" w:rsidP="000B70B9">
            <w:pPr>
              <w:rPr>
                <w:rFonts w:eastAsia="Calibri"/>
              </w:rPr>
            </w:pPr>
          </w:p>
        </w:tc>
        <w:tc>
          <w:tcPr>
            <w:tcW w:w="1229" w:type="pct"/>
            <w:vMerge/>
            <w:tcBorders>
              <w:bottom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i/>
                <w:color w:val="212121"/>
                <w:shd w:val="clear" w:color="auto" w:fill="FFFFFF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Lizdinė plokštelė N7, N14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Talpyklė N7, N14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kern w:val="28"/>
              </w:rPr>
            </w:pPr>
          </w:p>
        </w:tc>
      </w:tr>
      <w:tr w:rsidR="000B70B9" w:rsidRPr="00BB3D67" w:rsidTr="000B70B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jc w:val="center"/>
              <w:rPr>
                <w:kern w:val="28"/>
              </w:rPr>
            </w:pPr>
            <w:r w:rsidRPr="000B70B9">
              <w:rPr>
                <w:kern w:val="28"/>
              </w:rPr>
              <w:t>4.</w:t>
            </w:r>
          </w:p>
          <w:p w:rsidR="000B70B9" w:rsidRPr="000B70B9" w:rsidRDefault="000B70B9" w:rsidP="000B70B9">
            <w:pPr>
              <w:jc w:val="center"/>
              <w:rPr>
                <w:kern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Omeprazole Nord 10 mg skrandyje neirios kietosios kapsulės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A02BC01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Kiekvienoje skrandyje neirioje kietojoje kapsulėje yra 10 mg omeprazolo.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UAB „INTELI GENERICS NORD“ ,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Lietuva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rFonts w:eastAsia="Calibri"/>
              </w:rPr>
            </w:pPr>
            <w:r w:rsidRPr="000B70B9">
              <w:rPr>
                <w:rFonts w:eastAsia="Calibri"/>
              </w:rPr>
              <w:t>10.1 str. (generinis)</w:t>
            </w:r>
          </w:p>
          <w:p w:rsidR="000B70B9" w:rsidRPr="000B70B9" w:rsidRDefault="000B70B9" w:rsidP="000B70B9">
            <w:pPr>
              <w:rPr>
                <w:rFonts w:eastAsia="Calibri"/>
              </w:rPr>
            </w:pP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  <w:i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i/>
                <w:color w:val="212121"/>
                <w:shd w:val="clear" w:color="auto" w:fill="FFFFFF"/>
              </w:rPr>
              <w:t>Suaugusiesiems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5"/>
                <w:tab w:val="left" w:pos="807"/>
              </w:tabs>
              <w:autoSpaceDE w:val="0"/>
              <w:autoSpaceDN w:val="0"/>
              <w:ind w:left="0" w:firstLine="0"/>
              <w:contextualSpacing w:val="0"/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Dvylikapirštės žarnos opų gydymas.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contextualSpacing w:val="0"/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Dvylikapirštės žarnos opų atkryčio profilaktika.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contextualSpacing w:val="0"/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Skrandžio opų gydymas.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806"/>
                <w:tab w:val="left" w:pos="807"/>
              </w:tabs>
              <w:autoSpaceDE w:val="0"/>
              <w:autoSpaceDN w:val="0"/>
              <w:ind w:left="0" w:firstLine="0"/>
              <w:contextualSpacing w:val="0"/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Skrandžio opų atkryčio profilaktika.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i/>
                <w:color w:val="212121"/>
                <w:kern w:val="0"/>
                <w:shd w:val="clear" w:color="auto" w:fill="FFFFFF"/>
                <w:lang w:val="lt-LT"/>
              </w:rPr>
              <w:t>Helicobacter pylori (H. pylori)</w:t>
            </w: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 xml:space="preserve"> išnaikinimas, derinant su tinkamais antibiotikais, pacientams, sergantiems pepsine opa. 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Su nesteroidinių vaistinių preparatų nuo uždegimo (NVPNU) vartojimu susijusių dvylikapirštės žarnos ir skrandžio opų gydymas.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Su nesteroidinių vaistinių preparatų nuo uždegimo vartojimu susijusių dvylikapirštės žarnos ir skrandžio opų profilaktika pacientams, kuriems yra padidėjusi opų atsiradimo rizika.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Refliuksinio ezofagito gydymas.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Pacientų, išgijusių nuo refliuksinio ezofagito, ilgalaikis palaikomasis gydymas.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Simptominis gastroezofaginio refliukso ligos gydymas.</w:t>
            </w:r>
          </w:p>
          <w:p w:rsidR="000B70B9" w:rsidRPr="000B70B9" w:rsidRDefault="000B70B9" w:rsidP="000B70B9">
            <w:pPr>
              <w:pStyle w:val="Sraopastraipa1"/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ind w:left="0" w:firstLine="0"/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</w:pP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Colingerio-Elisono (</w:t>
            </w:r>
            <w:r w:rsidRPr="000B70B9">
              <w:rPr>
                <w:rStyle w:val="resultoftext"/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Zollinger</w:t>
            </w:r>
            <w:r w:rsidRPr="000B70B9">
              <w:rPr>
                <w:rFonts w:eastAsia="Calibri"/>
                <w:color w:val="212121"/>
                <w:kern w:val="0"/>
                <w:shd w:val="clear" w:color="auto" w:fill="FFFFFF"/>
                <w:lang w:val="lt-LT"/>
              </w:rPr>
              <w:t>-Ellison) sindromo gydymas.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  <w:color w:val="212121"/>
                <w:shd w:val="clear" w:color="auto" w:fill="FFFFFF"/>
              </w:rPr>
            </w:pP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  <w:i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i/>
                <w:color w:val="212121"/>
                <w:shd w:val="clear" w:color="auto" w:fill="FFFFFF"/>
              </w:rPr>
              <w:t>Vaikų populiacija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  <w:color w:val="212121"/>
                <w:shd w:val="clear" w:color="auto" w:fill="FFFFFF"/>
              </w:rPr>
            </w:pP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i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i/>
                <w:color w:val="212121"/>
                <w:shd w:val="clear" w:color="auto" w:fill="FFFFFF"/>
              </w:rPr>
              <w:t>Vyresniems kaip 1 metų vaikams, kurių svoris ≥ 10 kg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ind w:left="0" w:firstLine="0"/>
              <w:contextualSpacing w:val="0"/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Refliuksinio ezofagito gydymas.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ind w:left="0" w:firstLine="0"/>
              <w:contextualSpacing w:val="0"/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Rėmens ir rūgščių regurgitacijos simptominis gydymas, sergant gastroezofaginio refliukso liga.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  <w:color w:val="212121"/>
                <w:shd w:val="clear" w:color="auto" w:fill="FFFFFF"/>
              </w:rPr>
            </w:pP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12"/>
                <w:numId w:val="18"/>
              </w:numPr>
              <w:tabs>
                <w:tab w:val="clear" w:pos="360"/>
                <w:tab w:val="left" w:pos="0"/>
                <w:tab w:val="left" w:pos="567"/>
              </w:tabs>
              <w:autoSpaceDE w:val="0"/>
              <w:autoSpaceDN w:val="0"/>
              <w:ind w:left="0"/>
              <w:contextualSpacing w:val="0"/>
              <w:rPr>
                <w:rFonts w:ascii="Times New Roman" w:eastAsia="Calibri" w:hAnsi="Times New Roman"/>
                <w:i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</w:pPr>
            <w:r w:rsidRPr="000B70B9">
              <w:rPr>
                <w:rFonts w:ascii="Times New Roman" w:eastAsia="Calibri" w:hAnsi="Times New Roman"/>
                <w:i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Vyresniems kaip 4 metų vaikams ir paaugliams</w:t>
            </w:r>
          </w:p>
          <w:p w:rsidR="000B70B9" w:rsidRPr="000B70B9" w:rsidRDefault="000B70B9" w:rsidP="000B70B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567"/>
              </w:tabs>
              <w:autoSpaceDE w:val="0"/>
              <w:autoSpaceDN w:val="0"/>
              <w:ind w:left="0" w:firstLine="0"/>
              <w:contextualSpacing w:val="0"/>
              <w:rPr>
                <w:rFonts w:eastAsia="Calibri"/>
                <w:i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  <w:r w:rsidRPr="000B70B9">
              <w:rPr>
                <w:rFonts w:ascii="Times New Roman" w:eastAsia="Calibri" w:hAnsi="Times New Roman"/>
                <w:color w:val="212121"/>
                <w:sz w:val="24"/>
                <w:szCs w:val="24"/>
                <w:shd w:val="clear" w:color="auto" w:fill="FFFFFF"/>
                <w:lang w:val="lt-LT" w:eastAsia="en-US"/>
              </w:rPr>
              <w:t>H. pylori sukeltos dvylikapirštės žarnos opos gydymas, derinant su antibiotikais.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 xml:space="preserve">Lizdinė plokštelė N98 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Talpyklė N98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kern w:val="28"/>
              </w:rPr>
            </w:pPr>
            <w:r w:rsidRPr="000B70B9">
              <w:rPr>
                <w:kern w:val="28"/>
              </w:rPr>
              <w:t>Rp.</w:t>
            </w:r>
          </w:p>
          <w:p w:rsidR="000B70B9" w:rsidRPr="000B70B9" w:rsidRDefault="000B70B9" w:rsidP="000B70B9">
            <w:pPr>
              <w:rPr>
                <w:kern w:val="28"/>
              </w:rPr>
            </w:pPr>
          </w:p>
        </w:tc>
      </w:tr>
      <w:tr w:rsidR="000B70B9" w:rsidRPr="00BB3D67" w:rsidTr="000B70B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Omeprazole Nord 20 mg skrandyje neirios kietosios kapsulės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A02BC01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Kiekvienoje skrandyje neirioje kietojoje kapsulėje yra 20 mg omeprazolo.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rFonts w:eastAsia="Calibri"/>
              </w:rPr>
            </w:pPr>
          </w:p>
        </w:tc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  <w:i/>
                <w:color w:val="212121"/>
                <w:shd w:val="clear" w:color="auto" w:fill="FFFFFF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 xml:space="preserve">Lizdinė plokštelė N28, N98 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Talpyklė N28, N98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kern w:val="28"/>
              </w:rPr>
            </w:pPr>
          </w:p>
        </w:tc>
      </w:tr>
      <w:tr w:rsidR="000B70B9" w:rsidRPr="00BB3D67" w:rsidTr="000B70B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Omeprazole Nord 40 mg skrandyje neirios kietosios kapsulės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212121"/>
                <w:shd w:val="clear" w:color="auto" w:fill="FFFFFF"/>
              </w:rPr>
            </w:pPr>
            <w:r w:rsidRPr="000B70B9">
              <w:rPr>
                <w:rFonts w:eastAsia="Calibri"/>
                <w:color w:val="212121"/>
                <w:shd w:val="clear" w:color="auto" w:fill="FFFFFF"/>
              </w:rPr>
              <w:t>A02BC01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B70B9">
              <w:rPr>
                <w:rFonts w:eastAsia="Calibri"/>
              </w:rPr>
              <w:t>Kiekvienoje skrandyje neirioje kietojoje kapsulėje yra 40 mg omeprazolo.</w:t>
            </w:r>
          </w:p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rFonts w:eastAsia="Calibri"/>
              </w:rPr>
            </w:pPr>
          </w:p>
        </w:tc>
        <w:tc>
          <w:tcPr>
            <w:tcW w:w="1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i/>
                <w:color w:val="212121"/>
                <w:shd w:val="clear" w:color="auto" w:fill="FFFFFF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Lizdinė plokštelė N7, N14, N28, N98</w:t>
            </w:r>
          </w:p>
          <w:p w:rsidR="000B70B9" w:rsidRPr="000B70B9" w:rsidRDefault="000B70B9" w:rsidP="000B70B9">
            <w:pPr>
              <w:autoSpaceDE w:val="0"/>
              <w:autoSpaceDN w:val="0"/>
              <w:adjustRightInd w:val="0"/>
              <w:contextualSpacing/>
            </w:pPr>
            <w:r w:rsidRPr="000B70B9">
              <w:t>Talpyklė N7, N14, N28, N98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0B70B9" w:rsidRDefault="000B70B9" w:rsidP="000B70B9">
            <w:pPr>
              <w:rPr>
                <w:kern w:val="28"/>
              </w:rPr>
            </w:pPr>
          </w:p>
        </w:tc>
      </w:tr>
    </w:tbl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 xml:space="preserve">REGISTRUOTI </w:t>
      </w:r>
      <w:r w:rsidR="00FF590B">
        <w:rPr>
          <w:b/>
          <w:bCs/>
          <w:sz w:val="22"/>
          <w:szCs w:val="22"/>
        </w:rPr>
        <w:t>ŠIUOS VAISTINIS</w:t>
      </w:r>
      <w:r w:rsidR="001351BE">
        <w:rPr>
          <w:b/>
          <w:bCs/>
          <w:sz w:val="22"/>
          <w:szCs w:val="22"/>
        </w:rPr>
        <w:t xml:space="preserve"> PREPARAT</w:t>
      </w:r>
      <w:r w:rsidR="00FF590B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59"/>
        <w:gridCol w:w="2174"/>
        <w:gridCol w:w="1709"/>
        <w:gridCol w:w="1283"/>
        <w:gridCol w:w="3842"/>
        <w:gridCol w:w="1709"/>
        <w:gridCol w:w="856"/>
      </w:tblGrid>
      <w:tr w:rsidR="00E377AA" w:rsidRPr="000A24BA" w:rsidTr="00E377AA">
        <w:trPr>
          <w:tblHeader/>
        </w:trPr>
        <w:tc>
          <w:tcPr>
            <w:tcW w:w="263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Eil.</w:t>
            </w:r>
            <w:r w:rsidRPr="000A24BA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Vaisto pavadinimas, stiprumas, farmacinė forma, ATC kodas</w:t>
            </w:r>
          </w:p>
          <w:p w:rsidR="00E377AA" w:rsidRPr="000A24BA" w:rsidRDefault="00E377AA" w:rsidP="00E377AA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E377AA" w:rsidRPr="000A24BA" w:rsidRDefault="00E377AA" w:rsidP="00E377AA">
            <w:pPr>
              <w:rPr>
                <w:kern w:val="28"/>
              </w:rPr>
            </w:pPr>
            <w:r w:rsidRPr="000A24BA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E377AA" w:rsidRPr="000A24BA" w:rsidRDefault="00E377AA" w:rsidP="00E377AA">
            <w:pPr>
              <w:ind w:right="180"/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E377AA" w:rsidRPr="000A24BA" w:rsidRDefault="00E377AA" w:rsidP="00E377AA">
            <w:pPr>
              <w:rPr>
                <w:bCs/>
                <w:kern w:val="28"/>
              </w:rPr>
            </w:pPr>
            <w:r w:rsidRPr="000A24BA">
              <w:rPr>
                <w:bCs/>
                <w:kern w:val="28"/>
              </w:rPr>
              <w:t>Rp. / ne Rp.</w:t>
            </w:r>
          </w:p>
        </w:tc>
      </w:tr>
      <w:tr w:rsidR="00E377AA" w:rsidRPr="000A24BA" w:rsidTr="00E377AA">
        <w:trPr>
          <w:trHeight w:val="3815"/>
        </w:trPr>
        <w:tc>
          <w:tcPr>
            <w:tcW w:w="263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>
              <w:rPr>
                <w:kern w:val="28"/>
                <w:lang w:val="en-US"/>
              </w:rPr>
              <w:t>1</w:t>
            </w:r>
            <w:r w:rsidRPr="000A24BA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E377AA" w:rsidRPr="000A24BA" w:rsidRDefault="00E377AA" w:rsidP="00E377AA">
            <w:pPr>
              <w:jc w:val="both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Acetilsalicilo rūgštis Stirol 325 mg tabletės</w:t>
            </w:r>
          </w:p>
          <w:p w:rsidR="00E377AA" w:rsidRPr="000A24BA" w:rsidRDefault="00E377AA" w:rsidP="00E377AA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0A24BA">
              <w:rPr>
                <w:kern w:val="28"/>
                <w:szCs w:val="20"/>
              </w:rPr>
              <w:t>N02BA01</w:t>
            </w:r>
          </w:p>
        </w:tc>
        <w:tc>
          <w:tcPr>
            <w:tcW w:w="734" w:type="pct"/>
          </w:tcPr>
          <w:p w:rsidR="00E377AA" w:rsidRPr="000A24BA" w:rsidRDefault="00E377AA" w:rsidP="00E377AA">
            <w:pPr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</w:rPr>
              <w:t>Kiekvienoje tabletėje yra 325 mg acetilsalicilo rūgšties.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0A24BA">
              <w:rPr>
                <w:noProof/>
                <w:lang w:eastAsia="zh-CN"/>
              </w:rPr>
              <w:t>Stirolbiofarm Baltikum SIA,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0A24BA">
              <w:rPr>
                <w:noProof/>
                <w:lang w:eastAsia="zh-CN"/>
              </w:rPr>
              <w:t>Latvija</w:t>
            </w:r>
          </w:p>
          <w:p w:rsidR="00E377AA" w:rsidRPr="000A24BA" w:rsidRDefault="00E377AA" w:rsidP="00E377AA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</w:tcPr>
          <w:p w:rsidR="00E377AA" w:rsidRPr="000A24BA" w:rsidRDefault="00E377AA" w:rsidP="00E377AA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  <w:r w:rsidRPr="000A24BA">
              <w:rPr>
                <w:rFonts w:eastAsia="Calibri"/>
                <w:kern w:val="28"/>
                <w:szCs w:val="20"/>
                <w:lang w:val="en-GB"/>
              </w:rPr>
              <w:t>10a str.-</w:t>
            </w:r>
          </w:p>
          <w:p w:rsidR="00E377AA" w:rsidRPr="000A24BA" w:rsidRDefault="00E377AA" w:rsidP="00E377AA">
            <w:pPr>
              <w:ind w:left="-108"/>
              <w:jc w:val="center"/>
              <w:rPr>
                <w:kern w:val="28"/>
              </w:rPr>
            </w:pPr>
            <w:r w:rsidRPr="000A24BA">
              <w:rPr>
                <w:rFonts w:eastAsia="Calibri"/>
                <w:kern w:val="28"/>
                <w:szCs w:val="20"/>
                <w:lang w:val="en-GB"/>
              </w:rPr>
              <w:t xml:space="preserve">(pripažintas medicininis vartojimas) </w:t>
            </w:r>
          </w:p>
        </w:tc>
        <w:tc>
          <w:tcPr>
            <w:tcW w:w="1297" w:type="pct"/>
          </w:tcPr>
          <w:p w:rsidR="00E377AA" w:rsidRPr="000A24BA" w:rsidRDefault="00E377AA" w:rsidP="00E377AA">
            <w:pPr>
              <w:tabs>
                <w:tab w:val="left" w:pos="0"/>
                <w:tab w:val="left" w:pos="567"/>
              </w:tabs>
              <w:rPr>
                <w:rFonts w:eastAsia="SimSun"/>
                <w:lang w:eastAsia="zh-CN"/>
              </w:rPr>
            </w:pPr>
            <w:r w:rsidRPr="000A24BA">
              <w:rPr>
                <w:rFonts w:eastAsia="SimSun"/>
                <w:lang w:eastAsia="zh-CN"/>
              </w:rPr>
              <w:t>Simptominis silpno arba vidutinio stiprumo skausmo ir (arba) karščiavimo malšinimas.</w:t>
            </w:r>
          </w:p>
          <w:p w:rsidR="00E377AA" w:rsidRPr="000A24BA" w:rsidRDefault="00E377AA" w:rsidP="00E377AA">
            <w:pPr>
              <w:rPr>
                <w:kern w:val="28"/>
              </w:rPr>
            </w:pPr>
          </w:p>
        </w:tc>
        <w:tc>
          <w:tcPr>
            <w:tcW w:w="577" w:type="pct"/>
          </w:tcPr>
          <w:p w:rsidR="00E377AA" w:rsidRPr="000A24BA" w:rsidRDefault="00E377AA" w:rsidP="004C54BD">
            <w:pPr>
              <w:rPr>
                <w:kern w:val="28"/>
              </w:rPr>
            </w:pPr>
            <w:r w:rsidRPr="000A24BA">
              <w:rPr>
                <w:rFonts w:eastAsia="Calibri"/>
                <w:kern w:val="28"/>
                <w:szCs w:val="20"/>
                <w:lang w:val="en-GB"/>
              </w:rPr>
              <w:t>Lizdinė plokštelė N10, N</w:t>
            </w:r>
            <w:r w:rsidR="004C54BD">
              <w:rPr>
                <w:rFonts w:eastAsia="Calibri"/>
                <w:kern w:val="28"/>
                <w:szCs w:val="20"/>
                <w:lang w:val="en-GB"/>
              </w:rPr>
              <w:t>12</w:t>
            </w:r>
          </w:p>
        </w:tc>
        <w:tc>
          <w:tcPr>
            <w:tcW w:w="289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NeRp.</w:t>
            </w:r>
          </w:p>
          <w:p w:rsidR="00E377AA" w:rsidRPr="000A24BA" w:rsidRDefault="00E377AA" w:rsidP="00E377AA">
            <w:pPr>
              <w:jc w:val="center"/>
              <w:rPr>
                <w:kern w:val="28"/>
              </w:rPr>
            </w:pPr>
          </w:p>
          <w:p w:rsidR="00E377AA" w:rsidRPr="000A24BA" w:rsidRDefault="00E377AA" w:rsidP="00E377AA">
            <w:pPr>
              <w:jc w:val="center"/>
              <w:rPr>
                <w:kern w:val="28"/>
              </w:rPr>
            </w:pPr>
          </w:p>
        </w:tc>
      </w:tr>
      <w:tr w:rsidR="00E377AA" w:rsidRPr="000A24BA" w:rsidTr="00E377AA">
        <w:trPr>
          <w:trHeight w:val="3815"/>
        </w:trPr>
        <w:tc>
          <w:tcPr>
            <w:tcW w:w="263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0A24BA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E377AA" w:rsidRPr="000A24BA" w:rsidRDefault="00E377AA" w:rsidP="00E377AA">
            <w:pPr>
              <w:tabs>
                <w:tab w:val="left" w:pos="567"/>
              </w:tabs>
              <w:jc w:val="both"/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Laros honey&amp;lemon 2 mg/0,6 mg/1,2 mg kietosios pastilės</w:t>
            </w:r>
          </w:p>
          <w:p w:rsidR="00E377AA" w:rsidRPr="000A24BA" w:rsidRDefault="00E377AA" w:rsidP="00E377AA">
            <w:pPr>
              <w:jc w:val="both"/>
              <w:rPr>
                <w:kern w:val="28"/>
                <w:szCs w:val="20"/>
              </w:rPr>
            </w:pPr>
            <w:r w:rsidRPr="000A24BA">
              <w:rPr>
                <w:kern w:val="28"/>
                <w:szCs w:val="20"/>
                <w:lang w:val="en-GB"/>
              </w:rPr>
              <w:t>R02AA20</w:t>
            </w:r>
          </w:p>
        </w:tc>
        <w:tc>
          <w:tcPr>
            <w:tcW w:w="734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Kiekvienoje kietojoje pastilėje yra 2 mg lidokaino hidrochlorido, 0,6 mg amilmetakrezolio, 1,2 mg 2,4-dichlorbenzilo alkoholio.</w:t>
            </w:r>
          </w:p>
          <w:p w:rsidR="00E377AA" w:rsidRPr="000A24BA" w:rsidRDefault="00E377AA" w:rsidP="00E377AA">
            <w:pPr>
              <w:rPr>
                <w:kern w:val="28"/>
                <w:szCs w:val="20"/>
              </w:rPr>
            </w:pPr>
          </w:p>
        </w:tc>
        <w:tc>
          <w:tcPr>
            <w:tcW w:w="577" w:type="pct"/>
          </w:tcPr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 xml:space="preserve">SIA Ingen Pharma, </w:t>
            </w:r>
          </w:p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Latvija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noProof/>
                <w:lang w:eastAsia="zh-CN"/>
              </w:rPr>
            </w:pPr>
          </w:p>
        </w:tc>
        <w:tc>
          <w:tcPr>
            <w:tcW w:w="433" w:type="pct"/>
          </w:tcPr>
          <w:p w:rsidR="00E377AA" w:rsidRPr="000A24BA" w:rsidRDefault="00E377AA" w:rsidP="00E377AA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  <w:r w:rsidRPr="000A24BA">
              <w:rPr>
                <w:rFonts w:eastAsia="Calibri"/>
                <w:kern w:val="28"/>
                <w:szCs w:val="20"/>
                <w:lang w:val="en-GB"/>
              </w:rPr>
              <w:t>10 str. 3 d. (hibridinis)</w:t>
            </w:r>
          </w:p>
        </w:tc>
        <w:tc>
          <w:tcPr>
            <w:tcW w:w="1297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Lokalus simptominis burnos ir ryklės uždegimo gydymas bei stipraus ryklės skausmo malšinimas.</w:t>
            </w:r>
          </w:p>
          <w:p w:rsidR="00E377AA" w:rsidRPr="000A24BA" w:rsidRDefault="00E377AA" w:rsidP="00E377AA">
            <w:pPr>
              <w:tabs>
                <w:tab w:val="left" w:pos="0"/>
                <w:tab w:val="left" w:pos="567"/>
              </w:tabs>
              <w:rPr>
                <w:rFonts w:eastAsia="SimSun"/>
                <w:lang w:eastAsia="zh-CN"/>
              </w:rPr>
            </w:pPr>
          </w:p>
        </w:tc>
        <w:tc>
          <w:tcPr>
            <w:tcW w:w="577" w:type="pct"/>
          </w:tcPr>
          <w:p w:rsidR="00E377AA" w:rsidRPr="000A24BA" w:rsidRDefault="00E377AA" w:rsidP="00E377AA">
            <w:pPr>
              <w:rPr>
                <w:rFonts w:eastAsia="Calibri"/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Lizdinė plokštelė, N24</w:t>
            </w:r>
          </w:p>
        </w:tc>
        <w:tc>
          <w:tcPr>
            <w:tcW w:w="289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NeRp.</w:t>
            </w:r>
          </w:p>
        </w:tc>
      </w:tr>
      <w:tr w:rsidR="00E377AA" w:rsidRPr="000A24BA" w:rsidTr="00E377AA">
        <w:trPr>
          <w:trHeight w:val="3815"/>
        </w:trPr>
        <w:tc>
          <w:tcPr>
            <w:tcW w:w="263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3</w:t>
            </w:r>
            <w:r w:rsidRPr="000A24BA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Laros mint 2 mg/0,6 mg/1,2 mg kietosios pastilės</w:t>
            </w:r>
          </w:p>
          <w:p w:rsidR="00E377AA" w:rsidRPr="000A24BA" w:rsidRDefault="00E377AA" w:rsidP="00E377AA">
            <w:pPr>
              <w:jc w:val="both"/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R02AA20</w:t>
            </w:r>
          </w:p>
          <w:p w:rsidR="00E377AA" w:rsidRPr="000A24BA" w:rsidRDefault="00E377AA" w:rsidP="00E377AA">
            <w:pPr>
              <w:jc w:val="both"/>
              <w:rPr>
                <w:kern w:val="28"/>
                <w:szCs w:val="20"/>
              </w:rPr>
            </w:pPr>
          </w:p>
        </w:tc>
        <w:tc>
          <w:tcPr>
            <w:tcW w:w="734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Kiekvienoje kietojoje pastilėje yra 2 mg lidokaino hidrochlorido, 0,6 mg amilmetakrezolio, 1,2 mg 2,4-dichlorbenzilo alkoholio.</w:t>
            </w:r>
          </w:p>
          <w:p w:rsidR="00E377AA" w:rsidRPr="000A24BA" w:rsidRDefault="00E377AA" w:rsidP="00E377AA">
            <w:pPr>
              <w:rPr>
                <w:kern w:val="28"/>
                <w:szCs w:val="20"/>
              </w:rPr>
            </w:pPr>
          </w:p>
        </w:tc>
        <w:tc>
          <w:tcPr>
            <w:tcW w:w="577" w:type="pct"/>
          </w:tcPr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 xml:space="preserve">SIA Ingen Pharma, </w:t>
            </w:r>
          </w:p>
          <w:p w:rsidR="00E377AA" w:rsidRPr="000A24BA" w:rsidRDefault="00E377AA" w:rsidP="00E377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Latvija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noProof/>
                <w:lang w:eastAsia="zh-CN"/>
              </w:rPr>
            </w:pPr>
          </w:p>
        </w:tc>
        <w:tc>
          <w:tcPr>
            <w:tcW w:w="433" w:type="pct"/>
          </w:tcPr>
          <w:p w:rsidR="00E377AA" w:rsidRPr="000A24BA" w:rsidRDefault="00E377AA" w:rsidP="00E377AA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  <w:r w:rsidRPr="000A24BA">
              <w:rPr>
                <w:rFonts w:eastAsia="Calibri"/>
                <w:kern w:val="28"/>
                <w:szCs w:val="20"/>
                <w:lang w:val="en-GB"/>
              </w:rPr>
              <w:t>10 str. 3 d. (hibridinis)</w:t>
            </w:r>
          </w:p>
        </w:tc>
        <w:tc>
          <w:tcPr>
            <w:tcW w:w="1297" w:type="pct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Lokalus simptominis burnos ir ryklės uždegimo gydymas bei stipraus ryklės skausmo malšinimas.</w:t>
            </w:r>
          </w:p>
          <w:p w:rsidR="00E377AA" w:rsidRPr="000A24BA" w:rsidRDefault="00E377AA" w:rsidP="00E377AA">
            <w:pPr>
              <w:tabs>
                <w:tab w:val="left" w:pos="0"/>
                <w:tab w:val="left" w:pos="567"/>
              </w:tabs>
              <w:rPr>
                <w:rFonts w:eastAsia="SimSun"/>
                <w:lang w:eastAsia="zh-CN"/>
              </w:rPr>
            </w:pPr>
          </w:p>
        </w:tc>
        <w:tc>
          <w:tcPr>
            <w:tcW w:w="577" w:type="pct"/>
          </w:tcPr>
          <w:p w:rsidR="00E377AA" w:rsidRPr="000A24BA" w:rsidRDefault="00E377AA" w:rsidP="00E377AA">
            <w:pPr>
              <w:rPr>
                <w:rFonts w:eastAsia="Calibri"/>
                <w:kern w:val="28"/>
                <w:szCs w:val="20"/>
                <w:lang w:val="en-GB"/>
              </w:rPr>
            </w:pPr>
            <w:r w:rsidRPr="000A24BA">
              <w:rPr>
                <w:kern w:val="28"/>
                <w:szCs w:val="20"/>
                <w:lang w:val="en-GB"/>
              </w:rPr>
              <w:t>Lizdinė plokštelė, N24</w:t>
            </w:r>
          </w:p>
        </w:tc>
        <w:tc>
          <w:tcPr>
            <w:tcW w:w="289" w:type="pct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NeRp.</w:t>
            </w: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FF590B">
          <w:pgSz w:w="16838" w:h="11906" w:orient="landscape"/>
          <w:pgMar w:top="1701" w:right="962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2977"/>
        <w:gridCol w:w="2155"/>
        <w:gridCol w:w="1531"/>
        <w:gridCol w:w="1673"/>
        <w:gridCol w:w="17"/>
        <w:gridCol w:w="22"/>
      </w:tblGrid>
      <w:tr w:rsidR="00E377AA" w:rsidRPr="000A24BA" w:rsidTr="00E377AA">
        <w:trPr>
          <w:gridAfter w:val="2"/>
          <w:wAfter w:w="39" w:type="dxa"/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Eil.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Paraiškos Nr.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Skelbimui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Registruotojas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Keitimo tipas (-ai)</w:t>
            </w:r>
          </w:p>
        </w:tc>
      </w:tr>
      <w:tr w:rsidR="00E377AA" w:rsidRPr="000A24BA" w:rsidTr="00E377AA">
        <w:trPr>
          <w:trHeight w:val="108"/>
        </w:trPr>
        <w:tc>
          <w:tcPr>
            <w:tcW w:w="10105" w:type="dxa"/>
            <w:gridSpan w:val="8"/>
          </w:tcPr>
          <w:p w:rsidR="00E377AA" w:rsidRPr="00E377AA" w:rsidRDefault="00E377AA" w:rsidP="00E377AA">
            <w:pPr>
              <w:jc w:val="center"/>
              <w:rPr>
                <w:b/>
                <w:i/>
                <w:kern w:val="28"/>
              </w:rPr>
            </w:pPr>
            <w:r w:rsidRPr="00E377AA">
              <w:rPr>
                <w:b/>
                <w:i/>
                <w:kern w:val="28"/>
              </w:rPr>
              <w:t>Kokybiniai keitimai</w:t>
            </w:r>
          </w:p>
        </w:tc>
      </w:tr>
      <w:tr w:rsidR="00E377AA" w:rsidRPr="000A24BA" w:rsidTr="00E377AA">
        <w:trPr>
          <w:gridAfter w:val="2"/>
          <w:wAfter w:w="39" w:type="dxa"/>
          <w:trHeight w:val="1261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KR-4575</w:t>
            </w:r>
          </w:p>
        </w:tc>
        <w:tc>
          <w:tcPr>
            <w:tcW w:w="2977" w:type="dxa"/>
          </w:tcPr>
          <w:p w:rsidR="00E377AA" w:rsidRPr="000A24BA" w:rsidRDefault="00E377AA" w:rsidP="00E377AA">
            <w:pPr>
              <w:tabs>
                <w:tab w:val="left" w:pos="567"/>
              </w:tabs>
              <w:rPr>
                <w:lang w:eastAsia="lt-LT"/>
              </w:rPr>
            </w:pPr>
            <w:r w:rsidRPr="000A24BA">
              <w:rPr>
                <w:lang w:eastAsia="lt-LT"/>
              </w:rPr>
              <w:t>AGAPURIN 20 mg/ml injekcinis ar infuzinis tirpalas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lang w:eastAsia="lt-LT"/>
              </w:rPr>
            </w:pPr>
          </w:p>
          <w:p w:rsidR="00E377AA" w:rsidRPr="000A24BA" w:rsidRDefault="00E377AA" w:rsidP="00E377AA">
            <w:pPr>
              <w:tabs>
                <w:tab w:val="left" w:pos="567"/>
              </w:tabs>
            </w:pPr>
            <w:r w:rsidRPr="000A24BA">
              <w:rPr>
                <w:lang w:eastAsia="lt-LT"/>
              </w:rPr>
              <w:t>(pentoksifilinas)</w:t>
            </w:r>
          </w:p>
        </w:tc>
        <w:tc>
          <w:tcPr>
            <w:tcW w:w="2155" w:type="dxa"/>
          </w:tcPr>
          <w:p w:rsidR="00E377AA" w:rsidRPr="000A24BA" w:rsidRDefault="00E377AA" w:rsidP="00E377AA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2"/>
            </w:pPr>
            <w:r w:rsidRPr="000A24BA">
              <w:rPr>
                <w:bCs/>
              </w:rPr>
              <w:t xml:space="preserve">Gatavo produkto specifikacijos ir tyrimo  metodo  keitimas. </w:t>
            </w:r>
          </w:p>
        </w:tc>
        <w:tc>
          <w:tcPr>
            <w:tcW w:w="1531" w:type="dxa"/>
          </w:tcPr>
          <w:p w:rsidR="00E377AA" w:rsidRPr="000A24BA" w:rsidRDefault="00E377AA" w:rsidP="00E377AA">
            <w:pPr>
              <w:rPr>
                <w:shd w:val="clear" w:color="auto" w:fill="FFFFFF"/>
              </w:rPr>
            </w:pPr>
            <w:r w:rsidRPr="000A24BA">
              <w:rPr>
                <w:shd w:val="clear" w:color="auto" w:fill="FFFFFF"/>
              </w:rPr>
              <w:t>Zentiva a. s.,</w:t>
            </w:r>
          </w:p>
          <w:p w:rsidR="00E377AA" w:rsidRPr="000A24BA" w:rsidRDefault="00E377AA" w:rsidP="00E377AA">
            <w:r w:rsidRPr="000A24BA">
              <w:rPr>
                <w:bCs/>
                <w:shd w:val="clear" w:color="auto" w:fill="FFFFFF"/>
              </w:rPr>
              <w:t>Slovakija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</w:pPr>
            <w:r w:rsidRPr="000A24BA">
              <w:t>II/B.II.d.2.(c)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  <w:trHeight w:val="2962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KR-2577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t>BISEPTOL 20 mg/100 mg tabletės</w:t>
            </w:r>
          </w:p>
          <w:p w:rsidR="00E377AA" w:rsidRPr="000A24BA" w:rsidRDefault="00E377AA" w:rsidP="00E377AA">
            <w:r w:rsidRPr="000A24BA">
              <w:t>BISEPTOL 80 mg/400 mg tabletės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rPr>
                <w:rFonts w:eastAsia="Batang"/>
                <w:noProof/>
              </w:rPr>
              <w:t>(</w:t>
            </w:r>
            <w:r w:rsidRPr="000A24BA">
              <w:t xml:space="preserve">trimetoprimas, sulfametoksazolas) </w:t>
            </w:r>
          </w:p>
          <w:p w:rsidR="00E377AA" w:rsidRPr="000A24BA" w:rsidRDefault="00E377AA" w:rsidP="00E377AA">
            <w:pPr>
              <w:rPr>
                <w:rFonts w:eastAsia="Batang"/>
                <w:noProof/>
              </w:rPr>
            </w:pP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Galutinio produkto sudėties keitimas PCS 2, 4.4,6.1 sk., PL, PŽ keitimas.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r w:rsidRPr="000A24BA">
              <w:rPr>
                <w:bCs/>
              </w:rPr>
              <w:t xml:space="preserve">Galutinio produkto gamybos  proceso keitimas. </w:t>
            </w:r>
            <w:r w:rsidRPr="000A24BA">
              <w:t xml:space="preserve"> 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rPr>
                <w:bCs/>
              </w:rPr>
              <w:t xml:space="preserve">Galutinio produkto specifikacijos  keitimas. 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>Adamed Pharma S.A.,</w:t>
            </w:r>
          </w:p>
          <w:p w:rsidR="00E377AA" w:rsidRPr="000A24BA" w:rsidRDefault="00E377AA" w:rsidP="00E377AA">
            <w:r w:rsidRPr="000A24BA">
              <w:t>Lenkija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II/G</w:t>
            </w:r>
          </w:p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B.II.a.3(b2)</w:t>
            </w: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B.II.b.3(a)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B.II.d.1(z)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KR-2579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t>BISEPTOL 160 mg/800 mg tabletės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(trimetoprimas, sulfametoksazolas)</w:t>
            </w:r>
          </w:p>
          <w:p w:rsidR="00E377AA" w:rsidRPr="000A24BA" w:rsidRDefault="00E377AA" w:rsidP="00E377AA">
            <w:pPr>
              <w:rPr>
                <w:shd w:val="clear" w:color="auto" w:fill="F5F5F5"/>
              </w:rPr>
            </w:pP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rPr>
                <w:bCs/>
              </w:rPr>
            </w:pPr>
            <w:r w:rsidRPr="000A24BA">
              <w:rPr>
                <w:bCs/>
              </w:rPr>
              <w:t>Galutinio produkto sudėties keitimas. PCS 2, 4.4, 6.1 sk., PL, PŽ keitimas.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r w:rsidRPr="000A24BA">
              <w:rPr>
                <w:bCs/>
              </w:rPr>
              <w:t xml:space="preserve">Galutinio produkto gamybos ir  proceso kontrolės keitimas. </w:t>
            </w:r>
            <w:r w:rsidRPr="000A24BA">
              <w:t xml:space="preserve"> 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rPr>
                <w:bCs/>
              </w:rPr>
              <w:t xml:space="preserve">Galutinio produkto specifikacijos  keitimas. 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>Adamed Pharma S.A.,</w:t>
            </w:r>
          </w:p>
          <w:p w:rsidR="00E377AA" w:rsidRPr="000A24BA" w:rsidRDefault="00E377AA" w:rsidP="00E377AA">
            <w:r w:rsidRPr="000A24BA">
              <w:t>Lenkija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II/G</w:t>
            </w:r>
          </w:p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B.II.a.3(b2)</w:t>
            </w: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B.II.b.3(a)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B.II.b.5(z)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B.II.d.1(z)</w:t>
            </w: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KR-4422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t>BISEPTOL 80 mg/16 mg/ml koncentratas infuziniam tirpalui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rPr>
                <w:rFonts w:eastAsia="Batang"/>
                <w:noProof/>
              </w:rPr>
              <w:t>(</w:t>
            </w:r>
            <w:r w:rsidRPr="000A24BA">
              <w:t xml:space="preserve">sulfametoksazolas, trimetoprimas) </w:t>
            </w:r>
          </w:p>
          <w:p w:rsidR="00E377AA" w:rsidRPr="000A24BA" w:rsidRDefault="00E377AA" w:rsidP="00E377AA"/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Galutinio produkto sudėties keitimas PCS 2, 4.4, 6.1 sk., PL, PŽ keitimas.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r w:rsidRPr="000A24BA">
              <w:rPr>
                <w:bCs/>
              </w:rPr>
              <w:t xml:space="preserve">Galutinio produkto gamybos  ir proceso kontrolės keitimas. </w:t>
            </w:r>
            <w:r w:rsidRPr="000A24BA">
              <w:t xml:space="preserve"> 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>
            <w:r w:rsidRPr="000A24BA">
              <w:t>Galutinio produkto gamintojo įteisinimas. II sk. ir PL keitimas.</w:t>
            </w:r>
          </w:p>
          <w:p w:rsidR="00E377AA" w:rsidRPr="000A24BA" w:rsidRDefault="00E377AA" w:rsidP="00E377AA"/>
          <w:p w:rsidR="00E377AA" w:rsidRPr="000A24BA" w:rsidRDefault="00E377AA" w:rsidP="00E377AA">
            <w:pPr>
              <w:rPr>
                <w:bCs/>
              </w:rPr>
            </w:pPr>
            <w:r w:rsidRPr="000A24BA">
              <w:rPr>
                <w:bCs/>
              </w:rPr>
              <w:t>Galutinio produkto specifikacijos  keitimas.</w:t>
            </w:r>
          </w:p>
          <w:p w:rsidR="00E377AA" w:rsidRPr="000A24BA" w:rsidRDefault="00E377AA" w:rsidP="00E377AA">
            <w:pPr>
              <w:rPr>
                <w:bCs/>
              </w:rPr>
            </w:pPr>
          </w:p>
          <w:p w:rsidR="00E377AA" w:rsidRPr="000A24BA" w:rsidRDefault="00E377AA" w:rsidP="00E377AA">
            <w:r w:rsidRPr="000A24BA">
              <w:t>Galutinio parodukto analizės procedūrų keitimas.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Galutinio produkto tinkamumo laiko keitimas. PCS 6.3, 6.4 sk. PŽ ir PL.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>Warszawskie Zaklady Farmaceutyczne Polfa S.A.,</w:t>
            </w:r>
          </w:p>
          <w:p w:rsidR="00E377AA" w:rsidRPr="000A24BA" w:rsidRDefault="00E377AA" w:rsidP="00E377AA">
            <w:r w:rsidRPr="000A24BA">
              <w:t>Lenkija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II/G</w:t>
            </w:r>
          </w:p>
          <w:p w:rsidR="00E377AA" w:rsidRPr="000A24BA" w:rsidRDefault="00E377AA" w:rsidP="00E377AA">
            <w:pPr>
              <w:jc w:val="center"/>
            </w:pPr>
            <w:r w:rsidRPr="000A24BA">
              <w:rPr>
                <w:bCs/>
              </w:rPr>
              <w:t>B.II.a.3(b2)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B.II.b.3(b) B.II.b.3(a) B.II.b.3(z)  B.II.b.5(z) B.II.b.5(b) B.II.b.4(a)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B.II.b.1(a)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B.II.b.1(z)  B.II.b.2(c2)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B.II.d.1(z)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B.II.d.2(d)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B.II.f.1(a) B.II.f.1(d)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/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KR-4522</w:t>
            </w:r>
          </w:p>
        </w:tc>
        <w:tc>
          <w:tcPr>
            <w:tcW w:w="2977" w:type="dxa"/>
          </w:tcPr>
          <w:p w:rsidR="00E377AA" w:rsidRPr="000A24BA" w:rsidRDefault="00E377AA" w:rsidP="00E377AA">
            <w:pPr>
              <w:tabs>
                <w:tab w:val="left" w:pos="540"/>
              </w:tabs>
              <w:rPr>
                <w:lang w:eastAsia="lt-LT"/>
              </w:rPr>
            </w:pPr>
            <w:r w:rsidRPr="000A24BA">
              <w:rPr>
                <w:lang w:eastAsia="lt-LT"/>
              </w:rPr>
              <w:t>Iopamiro 300 mg/ml injekcinis tirpalas</w:t>
            </w:r>
          </w:p>
          <w:p w:rsidR="00E377AA" w:rsidRPr="000A24BA" w:rsidRDefault="00E377AA" w:rsidP="00E377AA">
            <w:pPr>
              <w:tabs>
                <w:tab w:val="left" w:pos="540"/>
              </w:tabs>
              <w:rPr>
                <w:lang w:eastAsia="lt-LT"/>
              </w:rPr>
            </w:pPr>
            <w:r w:rsidRPr="000A24BA">
              <w:rPr>
                <w:lang w:eastAsia="lt-LT"/>
              </w:rPr>
              <w:t>Iopamiro 370 mg/ml injekcinis tirpalas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  <w:p w:rsidR="00E377AA" w:rsidRPr="000A24BA" w:rsidRDefault="00E377AA" w:rsidP="00E377AA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0A24BA">
              <w:t>(jopamidolis)</w:t>
            </w: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Gatavo produkto pakuotės dydžio keitimas. PCS 6.5 ir 8 sk., PŽ ir PLkeitimas.</w:t>
            </w:r>
          </w:p>
        </w:tc>
        <w:tc>
          <w:tcPr>
            <w:tcW w:w="1531" w:type="dxa"/>
          </w:tcPr>
          <w:p w:rsidR="00E377AA" w:rsidRPr="000A24BA" w:rsidRDefault="00E377AA" w:rsidP="00E377AA">
            <w:pPr>
              <w:rPr>
                <w:lang w:eastAsia="lt-LT"/>
              </w:rPr>
            </w:pPr>
            <w:r w:rsidRPr="000A24BA">
              <w:rPr>
                <w:lang w:eastAsia="lt-LT"/>
              </w:rPr>
              <w:t>Bracco Imaging S.p.A,</w:t>
            </w:r>
          </w:p>
          <w:p w:rsidR="00E377AA" w:rsidRPr="000A24BA" w:rsidRDefault="00E377AA" w:rsidP="00E377AA">
            <w:pPr>
              <w:rPr>
                <w:lang w:eastAsia="lt-LT"/>
              </w:rPr>
            </w:pPr>
            <w:r w:rsidRPr="000A24BA">
              <w:rPr>
                <w:lang w:eastAsia="lt-LT"/>
              </w:rPr>
              <w:t>Italija</w:t>
            </w:r>
          </w:p>
          <w:p w:rsidR="00E377AA" w:rsidRPr="000A24BA" w:rsidRDefault="00E377AA" w:rsidP="00E377AA">
            <w:pPr>
              <w:rPr>
                <w:shd w:val="clear" w:color="auto" w:fill="F5F5F5"/>
              </w:rPr>
            </w:pP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</w:pPr>
            <w:r w:rsidRPr="000A24BA">
              <w:t>II/B.II.e.5(c)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KR-3792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rPr>
                <w:noProof/>
              </w:rPr>
              <w:t>Olfen Depotabs 75 mg pailginto atpalaidavimo tabletės</w:t>
            </w:r>
          </w:p>
          <w:p w:rsidR="00E377AA" w:rsidRPr="000A24BA" w:rsidRDefault="00E377AA" w:rsidP="00E377AA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  <w:p w:rsidR="00E377AA" w:rsidRPr="000A24BA" w:rsidRDefault="00E377AA" w:rsidP="00E377AA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0A24BA">
              <w:rPr>
                <w:noProof/>
              </w:rPr>
              <w:t>(diklofenako natrio druska)</w:t>
            </w: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Gatavo produkto specifikacijos keitimas.</w:t>
            </w:r>
          </w:p>
        </w:tc>
        <w:tc>
          <w:tcPr>
            <w:tcW w:w="1531" w:type="dxa"/>
            <w:shd w:val="clear" w:color="auto" w:fill="auto"/>
          </w:tcPr>
          <w:p w:rsidR="00E377AA" w:rsidRPr="000A24BA" w:rsidRDefault="00E377AA" w:rsidP="00E377AA">
            <w:pPr>
              <w:rPr>
                <w:b/>
              </w:rPr>
            </w:pPr>
            <w:r w:rsidRPr="000A24BA">
              <w:t>Teva B.V.</w:t>
            </w:r>
            <w:r w:rsidRPr="000A24BA">
              <w:rPr>
                <w:b/>
              </w:rPr>
              <w:t>,</w:t>
            </w:r>
          </w:p>
          <w:p w:rsidR="00E377AA" w:rsidRPr="000A24BA" w:rsidRDefault="00E377AA" w:rsidP="00E377AA">
            <w:r w:rsidRPr="000A24BA">
              <w:t>Nyderlandai</w:t>
            </w:r>
          </w:p>
          <w:p w:rsidR="00E377AA" w:rsidRPr="000A24BA" w:rsidRDefault="00E377AA" w:rsidP="00E377AA">
            <w:pPr>
              <w:rPr>
                <w:b/>
              </w:rPr>
            </w:pPr>
          </w:p>
          <w:p w:rsidR="00E377AA" w:rsidRPr="000A24BA" w:rsidRDefault="00E377AA" w:rsidP="00E377AA">
            <w:pPr>
              <w:rPr>
                <w:shd w:val="clear" w:color="auto" w:fill="F5F5F5"/>
              </w:rPr>
            </w:pP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</w:pPr>
            <w:r w:rsidRPr="000A24BA">
              <w:t>II/G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B.II.d.1(e)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B.II.d.1(i)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KR-0027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t>Otinum 200 mg/g ausų lašai (tirpalas)</w:t>
            </w:r>
          </w:p>
          <w:p w:rsidR="00E377AA" w:rsidRPr="000A24BA" w:rsidRDefault="00E377AA" w:rsidP="00E377AA"/>
          <w:p w:rsidR="00E377AA" w:rsidRPr="000A24BA" w:rsidRDefault="00E377AA" w:rsidP="00E377AA">
            <w:pPr>
              <w:rPr>
                <w:shd w:val="clear" w:color="auto" w:fill="F5F5F5"/>
              </w:rPr>
            </w:pPr>
            <w:r w:rsidRPr="000A24BA">
              <w:t>(cholino salicilatas)</w:t>
            </w: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</w:pPr>
            <w:r w:rsidRPr="000A24BA">
              <w:rPr>
                <w:bCs/>
                <w:caps/>
              </w:rPr>
              <w:t>V</w:t>
            </w:r>
            <w:r w:rsidRPr="000A24BA">
              <w:rPr>
                <w:bCs/>
              </w:rPr>
              <w:t>eikliosios medžiagos gamybos bylos atnaujinimas.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 xml:space="preserve">SIA Meda Pharma, </w:t>
            </w:r>
          </w:p>
          <w:p w:rsidR="00E377AA" w:rsidRPr="000A24BA" w:rsidRDefault="00E377AA" w:rsidP="00E377AA">
            <w:pPr>
              <w:rPr>
                <w:b/>
              </w:rPr>
            </w:pPr>
            <w:r w:rsidRPr="000A24BA">
              <w:t>Latvija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II/B.I.(z)</w:t>
            </w:r>
          </w:p>
          <w:p w:rsidR="00E377AA" w:rsidRPr="000A24BA" w:rsidRDefault="00E377AA" w:rsidP="00E377AA">
            <w:pPr>
              <w:rPr>
                <w:bCs/>
              </w:rPr>
            </w:pPr>
          </w:p>
          <w:p w:rsidR="00E377AA" w:rsidRPr="000A24BA" w:rsidRDefault="00E377AA" w:rsidP="00E377AA"/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KR-4432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t xml:space="preserve">PREDIZOLON RICHTER 5 mg tabletės </w:t>
            </w:r>
          </w:p>
          <w:p w:rsidR="00E377AA" w:rsidRPr="000A24BA" w:rsidRDefault="00E377AA" w:rsidP="00E377AA"/>
          <w:p w:rsidR="00E377AA" w:rsidRPr="000A24BA" w:rsidRDefault="00E377AA" w:rsidP="00E377AA">
            <w:pPr>
              <w:rPr>
                <w:shd w:val="clear" w:color="auto" w:fill="F5F5F5"/>
              </w:rPr>
            </w:pPr>
            <w:r w:rsidRPr="000A24BA">
              <w:t>(prednizolonas)</w:t>
            </w: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Galutinio produkto specifikacijos keitimas.</w:t>
            </w:r>
          </w:p>
          <w:p w:rsidR="00E377AA" w:rsidRPr="000A24BA" w:rsidRDefault="00E377AA" w:rsidP="00E377AA"/>
        </w:tc>
        <w:tc>
          <w:tcPr>
            <w:tcW w:w="1531" w:type="dxa"/>
          </w:tcPr>
          <w:p w:rsidR="00E377AA" w:rsidRPr="000A24BA" w:rsidRDefault="00E377AA" w:rsidP="00E377AA">
            <w:r w:rsidRPr="000A24BA">
              <w:t xml:space="preserve">Gedeon Richter Plc, </w:t>
            </w:r>
          </w:p>
          <w:p w:rsidR="00E377AA" w:rsidRPr="000A24BA" w:rsidRDefault="00E377AA" w:rsidP="00E377AA">
            <w:pPr>
              <w:rPr>
                <w:b/>
              </w:rPr>
            </w:pPr>
            <w:r w:rsidRPr="000A24BA">
              <w:t>Vengrija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II/B.II.d.1.e</w:t>
            </w: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  <w:trHeight w:val="4263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KR-2563</w:t>
            </w:r>
          </w:p>
        </w:tc>
        <w:tc>
          <w:tcPr>
            <w:tcW w:w="2977" w:type="dxa"/>
          </w:tcPr>
          <w:p w:rsidR="00E377AA" w:rsidRPr="000A24BA" w:rsidRDefault="00E377AA" w:rsidP="00E377AA">
            <w:r w:rsidRPr="000A24BA">
              <w:t>Prefemin 20 mg plėvele dengtos tabletės</w:t>
            </w:r>
          </w:p>
          <w:p w:rsidR="00E377AA" w:rsidRPr="000A24BA" w:rsidRDefault="00E377AA" w:rsidP="00E377AA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  <w:p w:rsidR="00E377AA" w:rsidRPr="000A24BA" w:rsidRDefault="00E377AA" w:rsidP="00E377AA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  <w:r w:rsidRPr="000A24BA">
              <w:rPr>
                <w:snapToGrid w:val="0"/>
              </w:rPr>
              <w:t>(tikrųjų skaistminių vaisių sausasis ekstraktas)</w:t>
            </w:r>
          </w:p>
          <w:p w:rsidR="00E377AA" w:rsidRPr="000A24BA" w:rsidRDefault="00E377AA" w:rsidP="00E377AA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Naujo veikliosios medžiagos tikrųjų skaistminių vaisių geografinio šaltinio įteisinimas.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Veikliosios medžiagos gamybos proceso keitimas.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Veikliosios medžiagos gamybos ir proceso kontrolės  keitimas.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 xml:space="preserve">Sirowa Vilnius, UAB, </w:t>
            </w:r>
          </w:p>
          <w:p w:rsidR="00E377AA" w:rsidRPr="000A24BA" w:rsidRDefault="00E377AA" w:rsidP="00E377AA">
            <w:r w:rsidRPr="000A24BA">
              <w:t>Lietuva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</w:pPr>
            <w:r w:rsidRPr="000A24BA">
              <w:t>II/G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B.I.a.2(d)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B.I.a.2(a)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B.I.a.4(a)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B.I.a.4(b)</w:t>
            </w: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  <w:trHeight w:val="1417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KR-2265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</w:tc>
        <w:tc>
          <w:tcPr>
            <w:tcW w:w="2977" w:type="dxa"/>
          </w:tcPr>
          <w:p w:rsidR="00E377AA" w:rsidRPr="000A24BA" w:rsidRDefault="00E377AA" w:rsidP="00E377AA">
            <w:r w:rsidRPr="000A24BA">
              <w:t xml:space="preserve">Radirex 513,5 mg tabletės 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(rabarbarų šaknų milteliai)</w:t>
            </w:r>
          </w:p>
        </w:tc>
        <w:tc>
          <w:tcPr>
            <w:tcW w:w="2155" w:type="dxa"/>
          </w:tcPr>
          <w:p w:rsidR="00E377AA" w:rsidRPr="000A24BA" w:rsidRDefault="00E377AA" w:rsidP="00E377AA">
            <w:pPr>
              <w:keepNext/>
              <w:outlineLvl w:val="0"/>
            </w:pPr>
            <w:r w:rsidRPr="000A24BA">
              <w:rPr>
                <w:bCs/>
              </w:rPr>
              <w:t xml:space="preserve">Galutinio produkto specifikacijos keitimas. 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>Wroclawskie Zaklady Zielarskie „Herbapol“ S.A, Lenkija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bCs/>
              </w:rPr>
            </w:pPr>
            <w:r w:rsidRPr="000A24BA">
              <w:rPr>
                <w:bCs/>
              </w:rPr>
              <w:t>II/B.II.d.1.e</w:t>
            </w:r>
          </w:p>
          <w:p w:rsidR="00E377AA" w:rsidRPr="000A24BA" w:rsidRDefault="00E377AA" w:rsidP="00E377AA">
            <w:pPr>
              <w:jc w:val="center"/>
              <w:rPr>
                <w:bCs/>
              </w:rPr>
            </w:pPr>
          </w:p>
          <w:p w:rsidR="00E377AA" w:rsidRPr="000A24BA" w:rsidRDefault="00E377AA" w:rsidP="00E377AA">
            <w:pPr>
              <w:jc w:val="center"/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KR-3313</w:t>
            </w:r>
          </w:p>
        </w:tc>
        <w:tc>
          <w:tcPr>
            <w:tcW w:w="2977" w:type="dxa"/>
          </w:tcPr>
          <w:p w:rsidR="00E377AA" w:rsidRPr="000A24BA" w:rsidRDefault="00E377AA" w:rsidP="00E377AA">
            <w:pPr>
              <w:rPr>
                <w:lang w:eastAsia="lt-LT"/>
              </w:rPr>
            </w:pPr>
            <w:r w:rsidRPr="000A24BA">
              <w:rPr>
                <w:lang w:eastAsia="lt-LT"/>
              </w:rPr>
              <w:t xml:space="preserve">Rytmonorm 150 mg plėvele dengtos tabletės </w:t>
            </w:r>
          </w:p>
          <w:p w:rsidR="00E377AA" w:rsidRPr="000A24BA" w:rsidRDefault="00E377AA" w:rsidP="00E377AA">
            <w:pPr>
              <w:rPr>
                <w:lang w:eastAsia="lt-LT"/>
              </w:rPr>
            </w:pPr>
          </w:p>
          <w:p w:rsidR="00E377AA" w:rsidRPr="000A24BA" w:rsidRDefault="00E377AA" w:rsidP="00E377AA">
            <w:pPr>
              <w:rPr>
                <w:lang w:eastAsia="lt-LT"/>
              </w:rPr>
            </w:pPr>
            <w:r w:rsidRPr="000A24BA">
              <w:rPr>
                <w:lang w:eastAsia="lt-LT"/>
              </w:rPr>
              <w:t>Rytmonorm 300 mg plėvele dengtos tablet</w:t>
            </w:r>
          </w:p>
          <w:p w:rsidR="00E377AA" w:rsidRPr="000A24BA" w:rsidRDefault="00E377AA" w:rsidP="00E377AA">
            <w:pPr>
              <w:rPr>
                <w:lang w:eastAsia="lt-LT"/>
              </w:rPr>
            </w:pPr>
          </w:p>
          <w:p w:rsidR="00E377AA" w:rsidRPr="000A24BA" w:rsidRDefault="00E377AA" w:rsidP="00E377AA">
            <w:pPr>
              <w:rPr>
                <w:lang w:eastAsia="lt-LT"/>
              </w:rPr>
            </w:pPr>
            <w:r w:rsidRPr="000A24BA">
              <w:rPr>
                <w:lang w:eastAsia="lt-LT"/>
              </w:rPr>
              <w:t>(propafenonas)</w:t>
            </w:r>
          </w:p>
        </w:tc>
        <w:tc>
          <w:tcPr>
            <w:tcW w:w="2155" w:type="dxa"/>
          </w:tcPr>
          <w:p w:rsidR="00E377AA" w:rsidRPr="000A24BA" w:rsidRDefault="00E377AA" w:rsidP="00E377AA">
            <w:r w:rsidRPr="000A24BA">
              <w:t>Galutinio  produkto sudėties keitimas. PCS 6.1 sk., PL keitimas.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Galutinio produkto gamintojo keitimas.</w:t>
            </w:r>
          </w:p>
          <w:p w:rsidR="00E377AA" w:rsidRPr="000A24BA" w:rsidRDefault="00E377AA" w:rsidP="00E377AA">
            <w:r w:rsidRPr="000A24BA">
              <w:t>II sk. ir PL keitimas.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>
            <w:r w:rsidRPr="000A24BA">
              <w:t>Galutinio produkto gamybos keitimas</w:t>
            </w:r>
          </w:p>
        </w:tc>
        <w:tc>
          <w:tcPr>
            <w:tcW w:w="1531" w:type="dxa"/>
          </w:tcPr>
          <w:p w:rsidR="00E377AA" w:rsidRPr="000A24BA" w:rsidRDefault="00E377AA" w:rsidP="00E377AA">
            <w:r w:rsidRPr="000A24BA">
              <w:t xml:space="preserve">BGP Products SIA, </w:t>
            </w:r>
          </w:p>
          <w:p w:rsidR="00E377AA" w:rsidRPr="000A24BA" w:rsidRDefault="00E377AA" w:rsidP="00E377AA">
            <w:r w:rsidRPr="000A24BA">
              <w:t xml:space="preserve">Latvija </w:t>
            </w:r>
          </w:p>
          <w:p w:rsidR="00E377AA" w:rsidRPr="000A24BA" w:rsidRDefault="00E377AA" w:rsidP="00E377AA"/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</w:pPr>
            <w:r w:rsidRPr="000A24BA">
              <w:t>II/G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B.II.a.3(z)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B.II.b.1(a)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B.II.b.1(b)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B.II.b.1(e)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B.II.b.2(a)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B.II.b.2(c2)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  <w:r w:rsidRPr="000A24BA">
              <w:t>B.II.b.4(z)</w:t>
            </w:r>
          </w:p>
          <w:p w:rsidR="00E377AA" w:rsidRPr="000A24BA" w:rsidRDefault="00E377AA" w:rsidP="00E377AA">
            <w:pPr>
              <w:jc w:val="center"/>
            </w:pPr>
            <w:r w:rsidRPr="000A24BA">
              <w:t>B.II.b.3(a)</w:t>
            </w:r>
          </w:p>
        </w:tc>
      </w:tr>
      <w:tr w:rsidR="00E377AA" w:rsidRPr="000A24BA" w:rsidTr="00E377AA">
        <w:trPr>
          <w:gridAfter w:val="1"/>
          <w:wAfter w:w="22" w:type="dxa"/>
        </w:trPr>
        <w:tc>
          <w:tcPr>
            <w:tcW w:w="10083" w:type="dxa"/>
            <w:gridSpan w:val="7"/>
            <w:tcBorders>
              <w:bottom w:val="single" w:sz="4" w:space="0" w:color="auto"/>
            </w:tcBorders>
          </w:tcPr>
          <w:p w:rsidR="00E377AA" w:rsidRPr="00E377AA" w:rsidRDefault="00E377AA" w:rsidP="00E377AA">
            <w:pPr>
              <w:jc w:val="center"/>
              <w:rPr>
                <w:b/>
                <w:i/>
              </w:rPr>
            </w:pPr>
            <w:r w:rsidRPr="00E377AA">
              <w:rPr>
                <w:b/>
                <w:i/>
              </w:rPr>
              <w:t>Klinikiniai keitimai</w:t>
            </w: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KR-01</w:t>
            </w:r>
            <w:r w:rsidRPr="000A24BA">
              <w:rPr>
                <w:lang w:val="en-US"/>
              </w:rPr>
              <w:t>37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outlineLvl w:val="0"/>
              <w:rPr>
                <w:bCs/>
              </w:rPr>
            </w:pPr>
            <w:r w:rsidRPr="000A24BA">
              <w:rPr>
                <w:bCs/>
              </w:rPr>
              <w:t>ACC Long 600 mg šnypščiosios tabletės</w:t>
            </w:r>
          </w:p>
          <w:p w:rsidR="00E377AA" w:rsidRPr="000A24BA" w:rsidRDefault="00E377AA" w:rsidP="00E377AA">
            <w:pPr>
              <w:outlineLvl w:val="0"/>
            </w:pPr>
          </w:p>
          <w:p w:rsidR="00E377AA" w:rsidRPr="000A24BA" w:rsidRDefault="00E377AA" w:rsidP="00E377AA">
            <w:pPr>
              <w:outlineLvl w:val="0"/>
            </w:pPr>
            <w:r w:rsidRPr="000A24BA">
              <w:t>(acetilcisteinas)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</w:t>
            </w:r>
            <w:r w:rsidRPr="000A24BA">
              <w:rPr>
                <w:lang w:val="en-US"/>
              </w:rPr>
              <w:t>4</w:t>
            </w:r>
            <w:r w:rsidRPr="000A24BA">
              <w:t>, PL 2 sk. keitimai. RPP Šablono atnaujinimas.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jc w:val="both"/>
            </w:pPr>
            <w:r w:rsidRPr="000A24BA">
              <w:t>Sandoz d.d.,</w:t>
            </w:r>
          </w:p>
          <w:p w:rsidR="00E377AA" w:rsidRPr="000A24BA" w:rsidRDefault="00E377AA" w:rsidP="00E377AA">
            <w:pPr>
              <w:jc w:val="both"/>
            </w:pPr>
            <w:r w:rsidRPr="000A24BA">
              <w:t>Slovėnija</w:t>
            </w:r>
          </w:p>
          <w:p w:rsidR="00E377AA" w:rsidRPr="000A24BA" w:rsidRDefault="00E377AA" w:rsidP="00E377AA"/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KR-01</w:t>
            </w:r>
            <w:r w:rsidRPr="000A24BA">
              <w:rPr>
                <w:lang w:val="en-US"/>
              </w:rPr>
              <w:t>39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keepNext/>
              <w:outlineLvl w:val="0"/>
            </w:pPr>
            <w:r w:rsidRPr="000A24BA">
              <w:rPr>
                <w:bCs/>
              </w:rPr>
              <w:t>ACC 100 mg šnypščiosios tabletės</w:t>
            </w:r>
          </w:p>
          <w:p w:rsidR="00E377AA" w:rsidRPr="000A24BA" w:rsidRDefault="00E377AA" w:rsidP="00E377AA">
            <w:pPr>
              <w:keepNext/>
              <w:outlineLvl w:val="0"/>
            </w:pPr>
            <w:r w:rsidRPr="000A24BA">
              <w:rPr>
                <w:bCs/>
              </w:rPr>
              <w:t>ACC 200 mg šnypščiosios tabletės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ACC 100 mg milteliai geriamajam tirpalui</w:t>
            </w:r>
          </w:p>
          <w:p w:rsidR="00E377AA" w:rsidRPr="000A24BA" w:rsidRDefault="00E377AA" w:rsidP="00E377AA">
            <w:pPr>
              <w:keepNext/>
              <w:outlineLvl w:val="0"/>
              <w:rPr>
                <w:bCs/>
              </w:rPr>
            </w:pPr>
            <w:r w:rsidRPr="000A24BA">
              <w:rPr>
                <w:bCs/>
              </w:rPr>
              <w:t>ACC 200 mg milteliai geriamajam tirpalui</w:t>
            </w:r>
          </w:p>
          <w:p w:rsidR="00E377AA" w:rsidRPr="000A24BA" w:rsidRDefault="00E377AA" w:rsidP="00E377AA"/>
          <w:p w:rsidR="00E377AA" w:rsidRPr="000A24BA" w:rsidRDefault="00E377AA" w:rsidP="00E377AA">
            <w:pPr>
              <w:outlineLvl w:val="0"/>
            </w:pPr>
            <w:r w:rsidRPr="000A24BA">
              <w:t>(acetilcisteinas)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</w:t>
            </w:r>
            <w:r w:rsidRPr="000A24BA">
              <w:rPr>
                <w:lang w:val="en-US"/>
              </w:rPr>
              <w:t>4</w:t>
            </w:r>
            <w:r w:rsidRPr="000A24BA">
              <w:t>, PL 2 sk. keitimai. RPP šablono atnaujinimas.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jc w:val="both"/>
            </w:pPr>
            <w:r w:rsidRPr="000A24BA">
              <w:t>Sandoz d.d.</w:t>
            </w:r>
          </w:p>
          <w:p w:rsidR="00E377AA" w:rsidRPr="000A24BA" w:rsidRDefault="00E377AA" w:rsidP="00E377AA">
            <w:pPr>
              <w:jc w:val="both"/>
            </w:pPr>
            <w:r w:rsidRPr="000A24BA">
              <w:t>Slovėnija</w:t>
            </w:r>
          </w:p>
          <w:p w:rsidR="00E377AA" w:rsidRPr="000A24BA" w:rsidRDefault="00E377AA" w:rsidP="00E377AA"/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KR-1961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DEPAKINE CHRONO 300 mg modifikuoto atpalaidavimo tabletės; DEPAKINE CHRONO 500 mg modifikuoto atpalaidavimo tabletės; DEPAKINE Chronosphere 250 mg modifikuoto atpalaidavimo granulės; DEPAKINE Chronosphere 500 mg modifikuoto atpalaidavimo granulės; DEPAKINE Chronosphere 750 mg modifikuoto atpalaidavimo granulės; DEPAKINE Chronosphere 1000 mg modifikuoto atpalaidavimo granulės; Depakine 57,64 mg/ml sirupas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(natrio valproatas)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RPP nesikeičia.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UAB „SANOFI-AVENTIS LIETUVA“,</w:t>
            </w:r>
          </w:p>
          <w:p w:rsidR="00E377AA" w:rsidRPr="000A24BA" w:rsidRDefault="00E377AA" w:rsidP="00E377AA">
            <w:r w:rsidRPr="000A24BA">
              <w:t>Lietuva</w:t>
            </w:r>
          </w:p>
          <w:p w:rsidR="00E377AA" w:rsidRPr="000A24BA" w:rsidRDefault="00E377AA" w:rsidP="00E377AA">
            <w:pPr>
              <w:rPr>
                <w:lang w:val="es-E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II/C.I.11(b)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KR-2214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Depakine 57,64 mg/ml sirupas; DEPAKINE CHRONO 300 mg modifikuoto atpalaidavimo tabletės; DEPAKINE CHRONO 500 mg modifikuoto atpalaidavimo tabletės; DEPAKINE Chronosphere 250 mg modifikuoto atpalaidavimo granulės; DEPAKINE Chronosphere 500 mg modifikuoto atpalaidavimo granulės; DEPAKINE Chronosphere 750 mg modifikuoto atpalaidavimo granulės; DEPAKINE Chronosphere 1000 mg modifikuoto atpalaidavimo granulės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(natrio valproatas)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Keičiama PSC 4.6 sk., PL 2 sk.</w:t>
            </w:r>
          </w:p>
          <w:p w:rsidR="00E377AA" w:rsidRPr="000A24BA" w:rsidRDefault="00E377AA" w:rsidP="00E377AA"/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UAB „SANOFI-AVENTIS LIETUVA“,</w:t>
            </w:r>
          </w:p>
          <w:p w:rsidR="00E377AA" w:rsidRPr="000A24BA" w:rsidRDefault="00E377AA" w:rsidP="00E377AA">
            <w:r w:rsidRPr="000A24BA">
              <w:t>Lietuva</w:t>
            </w:r>
          </w:p>
          <w:p w:rsidR="00E377AA" w:rsidRPr="000A24BA" w:rsidRDefault="00E377AA" w:rsidP="00E377AA">
            <w:pPr>
              <w:rPr>
                <w:lang w:val="es-E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KR-2220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Depakine 57,64 mg/ml sirupas; DEPAKINE CHRONO 300 mg modifikuoto atpalaidavimo tabletės; DEPAKINE CHRONO 500 mg modifikuoto atpalaidavimo tabletės; DEPAKINE Chronosphere 250 mg modifikuoto atpalaidavimo granulės; DEPAKINE Chronosphere 500 mg modifikuoto atpalaidavimo granulės; DEPAKINE Chronosphere 750 mg modifikuoto atpalaidavimo granulės; DEPAKINE Chronosphere 1000 mg modifikuoto atpalaidavimo granulės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(natrio valproatas)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Keičiama PSC 4.6, 5.3 sk.</w:t>
            </w:r>
          </w:p>
          <w:p w:rsidR="00E377AA" w:rsidRPr="000A24BA" w:rsidRDefault="00E377AA" w:rsidP="00E377AA"/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UAB „SANOFI-AVENTIS LIETUVA“,</w:t>
            </w:r>
          </w:p>
          <w:p w:rsidR="00E377AA" w:rsidRPr="000A24BA" w:rsidRDefault="00E377AA" w:rsidP="00E377AA">
            <w:r w:rsidRPr="000A24BA">
              <w:t>Lietuva</w:t>
            </w:r>
          </w:p>
          <w:p w:rsidR="00E377AA" w:rsidRPr="000A24BA" w:rsidRDefault="00E377AA" w:rsidP="00E377AA">
            <w:pPr>
              <w:rPr>
                <w:lang w:val="es-E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KR-1965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Convulex 50 mg/ml sirupas ; Convulex 300 mg/ml geriamasis tirpalas; Convulex 150 mg skrandyje neirios minkštosios kapsulės; Convulex 300 mg skrandyje neirios minkštosios kapsulės ; Convulex 500 mg skrandyje neirios minkštosios kapsulės; Convulex retard 300 mg pailginto atpalaidavimo tabletės; Convulex retard 500 mg pailginto atpalaidavimo tabletės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(natrio valproatas)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RPP nesikeičia.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G.L. Pharma GmbH,</w:t>
            </w:r>
          </w:p>
          <w:p w:rsidR="00E377AA" w:rsidRPr="000A24BA" w:rsidRDefault="00E377AA" w:rsidP="00E377AA">
            <w:r w:rsidRPr="000A24BA">
              <w:t>Austrija</w:t>
            </w:r>
          </w:p>
          <w:p w:rsidR="00E377AA" w:rsidRPr="000A24BA" w:rsidRDefault="00E377AA" w:rsidP="00E377AA">
            <w:pPr>
              <w:rPr>
                <w:lang w:val="es-E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II/C.I.11(b)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KR-3278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ind w:left="426" w:hanging="426"/>
            </w:pPr>
            <w:r w:rsidRPr="000A24BA">
              <w:t>Naklofen 50 mg žvakutės</w:t>
            </w:r>
          </w:p>
          <w:p w:rsidR="00E377AA" w:rsidRPr="000A24BA" w:rsidRDefault="00E377AA" w:rsidP="00E377AA">
            <w:pPr>
              <w:ind w:left="426" w:hanging="426"/>
            </w:pPr>
          </w:p>
          <w:p w:rsidR="00E377AA" w:rsidRPr="000A24BA" w:rsidRDefault="00E377AA" w:rsidP="00E377AA">
            <w:pPr>
              <w:ind w:left="44" w:hanging="44"/>
            </w:pPr>
            <w:r w:rsidRPr="000A24BA">
              <w:t xml:space="preserve">(diklofenako natrio </w:t>
            </w:r>
            <w:r>
              <w:t>d</w:t>
            </w:r>
            <w:r w:rsidRPr="000A24BA">
              <w:t>ruska)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4.4, 4.5sk., PL 2sk. keitimai.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rPr>
                <w:lang w:val="es-ES"/>
              </w:rPr>
            </w:pPr>
            <w:r w:rsidRPr="000A24BA">
              <w:rPr>
                <w:lang w:val="es-ES"/>
              </w:rPr>
              <w:t xml:space="preserve">KRKA, d.d., Novo mesto, </w:t>
            </w:r>
          </w:p>
          <w:p w:rsidR="00E377AA" w:rsidRPr="000A24BA" w:rsidRDefault="00E377AA" w:rsidP="00E377AA">
            <w:pPr>
              <w:rPr>
                <w:rFonts w:eastAsia="Calibri"/>
              </w:rPr>
            </w:pPr>
            <w:r w:rsidRPr="000A24BA">
              <w:rPr>
                <w:lang w:val="es-ES"/>
              </w:rPr>
              <w:t>Slovėnija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rPr>
                <w:lang w:val="en-US"/>
              </w:rPr>
            </w:pPr>
            <w:r w:rsidRPr="000A24BA">
              <w:t>KR-</w:t>
            </w:r>
            <w:r w:rsidRPr="000A24BA">
              <w:rPr>
                <w:lang w:val="en-US"/>
              </w:rPr>
              <w:t>3279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 xml:space="preserve">Naklofen 75mg/3ml injekcinis tirpalas </w:t>
            </w:r>
          </w:p>
          <w:p w:rsidR="00E377AA" w:rsidRPr="000A24BA" w:rsidRDefault="00E377AA" w:rsidP="00E377AA">
            <w:pPr>
              <w:ind w:left="426" w:hanging="426"/>
              <w:jc w:val="both"/>
            </w:pPr>
          </w:p>
          <w:p w:rsidR="00E377AA" w:rsidRPr="000A24BA" w:rsidRDefault="00E377AA" w:rsidP="00E377AA">
            <w:pPr>
              <w:ind w:left="426" w:hanging="426"/>
              <w:jc w:val="both"/>
            </w:pPr>
            <w:r w:rsidRPr="000A24BA">
              <w:t>(diklofenako natrio druska)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4.4, 4.5sk., PL 2sk. keitimai.</w:t>
            </w:r>
          </w:p>
          <w:p w:rsidR="00E377AA" w:rsidRPr="000A24BA" w:rsidRDefault="00E377AA" w:rsidP="00E377AA"/>
          <w:p w:rsidR="00E377AA" w:rsidRPr="000A24BA" w:rsidRDefault="00E377AA" w:rsidP="00E377AA"/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rPr>
                <w:lang w:val="es-ES"/>
              </w:rPr>
            </w:pPr>
            <w:r w:rsidRPr="000A24BA">
              <w:rPr>
                <w:lang w:val="es-ES"/>
              </w:rPr>
              <w:t xml:space="preserve">KRKA, d.d., Novo mesto, </w:t>
            </w:r>
          </w:p>
          <w:p w:rsidR="00E377AA" w:rsidRPr="000A24BA" w:rsidRDefault="00E377AA" w:rsidP="00E377AA">
            <w:pPr>
              <w:ind w:left="540" w:hanging="540"/>
              <w:jc w:val="both"/>
              <w:rPr>
                <w:rFonts w:eastAsia="Calibri"/>
              </w:rPr>
            </w:pPr>
            <w:r w:rsidRPr="000A24BA">
              <w:rPr>
                <w:lang w:val="es-ES"/>
              </w:rPr>
              <w:t>Slovėnija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rPr>
                <w:lang w:val="en-US"/>
              </w:rPr>
            </w:pPr>
            <w:r w:rsidRPr="000A24BA">
              <w:t>KR-</w:t>
            </w:r>
            <w:r w:rsidRPr="000A24BA">
              <w:rPr>
                <w:lang w:val="en-US"/>
              </w:rPr>
              <w:t>3280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</w:pPr>
            <w:r w:rsidRPr="000A24BA">
              <w:t>Naklofen SR 100 mg pailginto atpalaidavimo tabletės</w:t>
            </w:r>
          </w:p>
          <w:p w:rsidR="00E377AA" w:rsidRPr="000A24BA" w:rsidRDefault="00E377AA" w:rsidP="00E377AA">
            <w:pPr>
              <w:ind w:left="426" w:hanging="426"/>
            </w:pPr>
          </w:p>
          <w:p w:rsidR="00E377AA" w:rsidRPr="000A24BA" w:rsidRDefault="00E377AA" w:rsidP="00E377AA">
            <w:pPr>
              <w:ind w:left="426" w:hanging="426"/>
            </w:pPr>
            <w:r w:rsidRPr="000A24BA">
              <w:t>(diklofenako natrio druska)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4.4, 4.5sk., PL 2sk. keitimai.</w:t>
            </w:r>
          </w:p>
          <w:p w:rsidR="00E377AA" w:rsidRPr="000A24BA" w:rsidRDefault="00E377AA" w:rsidP="00E377AA"/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rPr>
                <w:lang w:val="es-ES"/>
              </w:rPr>
            </w:pPr>
            <w:r w:rsidRPr="000A24BA">
              <w:rPr>
                <w:lang w:val="es-ES"/>
              </w:rPr>
              <w:t xml:space="preserve">KRKA, d.d., Novo mesto, </w:t>
            </w:r>
          </w:p>
          <w:p w:rsidR="00E377AA" w:rsidRPr="000A24BA" w:rsidRDefault="00E377AA" w:rsidP="00E377AA">
            <w:pPr>
              <w:ind w:left="540" w:hanging="540"/>
              <w:jc w:val="both"/>
              <w:rPr>
                <w:rFonts w:eastAsia="Calibri"/>
              </w:rPr>
            </w:pPr>
            <w:r w:rsidRPr="000A24BA">
              <w:rPr>
                <w:lang w:val="es-ES"/>
              </w:rPr>
              <w:t>Slovėnija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KR-0573</w:t>
            </w:r>
          </w:p>
          <w:p w:rsidR="00E377AA" w:rsidRPr="000A24BA" w:rsidRDefault="00E377AA" w:rsidP="00E377A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rPr>
                <w:rFonts w:eastAsia="Calibri"/>
              </w:rPr>
              <w:t>nicorette freshfruit 2 mg vaistinė kramtomoji guma</w:t>
            </w:r>
          </w:p>
          <w:p w:rsidR="00E377AA" w:rsidRPr="000A24BA" w:rsidRDefault="00E377AA" w:rsidP="00E377AA">
            <w:pPr>
              <w:rPr>
                <w:rFonts w:eastAsia="Calibri"/>
              </w:rPr>
            </w:pPr>
            <w:r w:rsidRPr="000A24BA">
              <w:rPr>
                <w:rFonts w:eastAsia="Calibri"/>
              </w:rPr>
              <w:t>nicorette freshfruit 4 mg vaistinė kramtomoji guma</w:t>
            </w:r>
          </w:p>
          <w:p w:rsidR="00E377AA" w:rsidRPr="000A24BA" w:rsidRDefault="00E377AA" w:rsidP="00E377AA"/>
          <w:p w:rsidR="00E377AA" w:rsidRPr="000A24BA" w:rsidRDefault="00E377AA" w:rsidP="00E377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0A24BA">
              <w:rPr>
                <w:kern w:val="28"/>
              </w:rPr>
              <w:t>(</w:t>
            </w:r>
            <w:r w:rsidRPr="000A24BA">
              <w:t>nikotino rezinatas</w:t>
            </w:r>
            <w:r w:rsidRPr="000A24BA">
              <w:rPr>
                <w:kern w:val="28"/>
                <w:lang w:eastAsia="en-GB"/>
              </w:rPr>
              <w:t>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 4.2; 4.4; 4.6;  4.8; 4.9; 5.1 sk. ir PL 2, 3 sk. informacijos keitimas.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ind w:left="540" w:hanging="540"/>
              <w:jc w:val="both"/>
            </w:pPr>
            <w:r w:rsidRPr="000A24BA">
              <w:rPr>
                <w:rFonts w:eastAsia="Calibri"/>
              </w:rPr>
              <w:t>McNeil AB,</w:t>
            </w:r>
          </w:p>
          <w:p w:rsidR="00E377AA" w:rsidRPr="000A24BA" w:rsidRDefault="00E377AA" w:rsidP="00E377AA">
            <w:pPr>
              <w:jc w:val="both"/>
            </w:pPr>
            <w:r w:rsidRPr="000A24BA">
              <w:rPr>
                <w:rFonts w:eastAsia="Calibri"/>
              </w:rPr>
              <w:t>Švedija</w:t>
            </w:r>
          </w:p>
          <w:p w:rsidR="00E377AA" w:rsidRPr="000A24BA" w:rsidRDefault="00E377AA" w:rsidP="00E377AA">
            <w:pPr>
              <w:suppressAutoHyphens/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  <w:r w:rsidRPr="000A24BA">
              <w:rPr>
                <w:shd w:val="clear" w:color="auto" w:fill="FFFFFF"/>
              </w:rPr>
              <w:t>II/C.I.4</w:t>
            </w:r>
          </w:p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</w:p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KR-3829</w:t>
            </w:r>
          </w:p>
          <w:p w:rsidR="00E377AA" w:rsidRPr="000A24BA" w:rsidRDefault="00E377AA" w:rsidP="00E377A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rPr>
                <w:rFonts w:eastAsia="Calibri"/>
              </w:rPr>
              <w:t>nicorette freshmint 2 mg vaistinė kramtomoji guma</w:t>
            </w:r>
          </w:p>
          <w:p w:rsidR="00E377AA" w:rsidRPr="000A24BA" w:rsidRDefault="00E377AA" w:rsidP="00E377AA">
            <w:pPr>
              <w:rPr>
                <w:rFonts w:eastAsia="Calibri"/>
              </w:rPr>
            </w:pPr>
            <w:r w:rsidRPr="000A24BA">
              <w:rPr>
                <w:rFonts w:eastAsia="Calibri"/>
              </w:rPr>
              <w:t>nicorette freshmint 4 mg vaistinė kramtomoji guma</w:t>
            </w:r>
          </w:p>
          <w:p w:rsidR="00E377AA" w:rsidRPr="000A24BA" w:rsidRDefault="00E377AA" w:rsidP="00E377AA"/>
          <w:p w:rsidR="00E377AA" w:rsidRPr="000A24BA" w:rsidRDefault="00E377AA" w:rsidP="00E377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0A24BA">
              <w:rPr>
                <w:kern w:val="28"/>
              </w:rPr>
              <w:t>(</w:t>
            </w:r>
            <w:r w:rsidRPr="000A24BA">
              <w:t>nikotino rezinatas</w:t>
            </w:r>
            <w:r w:rsidRPr="000A24BA">
              <w:rPr>
                <w:kern w:val="28"/>
                <w:lang w:eastAsia="en-GB"/>
              </w:rPr>
              <w:t>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 4.2; 4.4; 4.6;  4.8; 4.9; 5.1 sk. ir PL 2, 3 sk. informacijos keitimas.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ind w:left="540" w:hanging="540"/>
              <w:jc w:val="both"/>
            </w:pPr>
            <w:r w:rsidRPr="000A24BA">
              <w:rPr>
                <w:rFonts w:eastAsia="Calibri"/>
              </w:rPr>
              <w:t>McNeil AB,</w:t>
            </w:r>
          </w:p>
          <w:p w:rsidR="00E377AA" w:rsidRPr="000A24BA" w:rsidRDefault="00E377AA" w:rsidP="00E377AA">
            <w:pPr>
              <w:jc w:val="both"/>
            </w:pPr>
            <w:r w:rsidRPr="000A24BA">
              <w:rPr>
                <w:rFonts w:eastAsia="Calibri"/>
              </w:rPr>
              <w:t>Švedija</w:t>
            </w:r>
          </w:p>
          <w:p w:rsidR="00E377AA" w:rsidRPr="000A24BA" w:rsidRDefault="00E377AA" w:rsidP="00E377AA">
            <w:pPr>
              <w:suppressAutoHyphens/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  <w:r w:rsidRPr="000A24BA">
              <w:rPr>
                <w:shd w:val="clear" w:color="auto" w:fill="FFFFFF"/>
              </w:rPr>
              <w:t>II/C.I.4</w:t>
            </w:r>
          </w:p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</w:p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</w:p>
          <w:p w:rsidR="00E377AA" w:rsidRPr="000A24BA" w:rsidRDefault="00E377AA" w:rsidP="00E377AA">
            <w:pPr>
              <w:jc w:val="center"/>
              <w:rPr>
                <w:shd w:val="clear" w:color="auto" w:fill="FFFFFF"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KR-4687</w:t>
            </w:r>
          </w:p>
        </w:tc>
        <w:tc>
          <w:tcPr>
            <w:tcW w:w="2977" w:type="dxa"/>
          </w:tcPr>
          <w:p w:rsidR="00E377AA" w:rsidRPr="000A24BA" w:rsidRDefault="00E377AA" w:rsidP="00E377AA">
            <w:pPr>
              <w:rPr>
                <w:bCs/>
              </w:rPr>
            </w:pPr>
            <w:r w:rsidRPr="000A24BA">
              <w:rPr>
                <w:bCs/>
              </w:rPr>
              <w:t>NO-SPA 40 mg/2 ml injekcinis tirpalas</w:t>
            </w:r>
          </w:p>
          <w:p w:rsidR="00E377AA" w:rsidRPr="000A24BA" w:rsidRDefault="00E377AA" w:rsidP="00E377AA">
            <w:pPr>
              <w:rPr>
                <w:bCs/>
              </w:rPr>
            </w:pPr>
            <w:r w:rsidRPr="000A24BA">
              <w:rPr>
                <w:bCs/>
              </w:rPr>
              <w:t>NO-SPA 40 mg plėvele dengtos tabletės</w:t>
            </w:r>
          </w:p>
          <w:p w:rsidR="00E377AA" w:rsidRPr="000A24BA" w:rsidRDefault="00E377AA" w:rsidP="00E377AA">
            <w:pPr>
              <w:rPr>
                <w:bCs/>
              </w:rPr>
            </w:pPr>
            <w:r w:rsidRPr="000A24BA">
              <w:rPr>
                <w:bCs/>
              </w:rPr>
              <w:t>NO-SPA 40 mg tabletės</w:t>
            </w:r>
          </w:p>
          <w:p w:rsidR="00E377AA" w:rsidRPr="000A24BA" w:rsidRDefault="00E377AA" w:rsidP="00E377AA">
            <w:pPr>
              <w:rPr>
                <w:rFonts w:eastAsia="MS Mincho"/>
                <w:bCs/>
              </w:rPr>
            </w:pPr>
            <w:r w:rsidRPr="000A24BA">
              <w:rPr>
                <w:rFonts w:eastAsia="MS Mincho"/>
                <w:bCs/>
              </w:rPr>
              <w:t>NO-SPA forte 80 mg plėvele dengtos tabletės</w:t>
            </w:r>
          </w:p>
          <w:p w:rsidR="00E377AA" w:rsidRPr="000A24BA" w:rsidRDefault="00E377AA" w:rsidP="00E377AA">
            <w:pPr>
              <w:rPr>
                <w:rFonts w:eastAsia="MS Mincho"/>
                <w:bCs/>
              </w:rPr>
            </w:pPr>
            <w:r w:rsidRPr="000A24BA">
              <w:rPr>
                <w:rFonts w:eastAsia="MS Mincho"/>
                <w:bCs/>
              </w:rPr>
              <w:t>NO-SPA forte 80 mg tabletės</w:t>
            </w:r>
          </w:p>
          <w:p w:rsidR="00E377AA" w:rsidRPr="000A24BA" w:rsidRDefault="00E377AA" w:rsidP="00E377AA">
            <w:pPr>
              <w:rPr>
                <w:rFonts w:eastAsia="MS Mincho"/>
                <w:bCs/>
              </w:rPr>
            </w:pPr>
          </w:p>
          <w:p w:rsidR="00E377AA" w:rsidRPr="000A24BA" w:rsidRDefault="00E377AA" w:rsidP="00E377AA">
            <w:r w:rsidRPr="000A24BA">
              <w:t>(drotaverino hidrochloridas)</w:t>
            </w:r>
          </w:p>
        </w:tc>
        <w:tc>
          <w:tcPr>
            <w:tcW w:w="2155" w:type="dxa"/>
          </w:tcPr>
          <w:p w:rsidR="00E377AA" w:rsidRPr="000A24BA" w:rsidRDefault="00E377AA" w:rsidP="00E377AA">
            <w:r w:rsidRPr="000A24BA">
              <w:t xml:space="preserve">PCS 4.1, 4.2, 4.4, 4.6, 4.8, 5.2, 5.3 ir atitinkami PL sk. </w:t>
            </w:r>
          </w:p>
        </w:tc>
        <w:tc>
          <w:tcPr>
            <w:tcW w:w="1531" w:type="dxa"/>
          </w:tcPr>
          <w:p w:rsidR="00E377AA" w:rsidRPr="000A24BA" w:rsidRDefault="00E377AA" w:rsidP="00E377AA">
            <w:pPr>
              <w:rPr>
                <w:noProof/>
              </w:rPr>
            </w:pPr>
            <w:r w:rsidRPr="000A24BA">
              <w:rPr>
                <w:noProof/>
              </w:rPr>
              <w:t>UAB „SANOFI-AVENTIS LIETUVA“,</w:t>
            </w:r>
          </w:p>
          <w:p w:rsidR="00E377AA" w:rsidRPr="000A24BA" w:rsidRDefault="00E377AA" w:rsidP="00E377AA">
            <w:pPr>
              <w:contextualSpacing/>
            </w:pPr>
            <w:r w:rsidRPr="000A24BA">
              <w:rPr>
                <w:noProof/>
              </w:rPr>
              <w:t>Lietuva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KR-4568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widowControl w:val="0"/>
              <w:outlineLvl w:val="0"/>
              <w:rPr>
                <w:bCs/>
                <w:iCs/>
              </w:rPr>
            </w:pPr>
            <w:r w:rsidRPr="000A24BA">
              <w:rPr>
                <w:bCs/>
                <w:iCs/>
              </w:rPr>
              <w:t>Tisercin 25 mg plėvele dengtos tabletės</w:t>
            </w:r>
          </w:p>
          <w:p w:rsidR="00E377AA" w:rsidRPr="000A24BA" w:rsidRDefault="00E377AA" w:rsidP="00E377AA">
            <w:pPr>
              <w:ind w:left="426" w:hanging="426"/>
            </w:pPr>
          </w:p>
          <w:p w:rsidR="00E377AA" w:rsidRPr="000A24BA" w:rsidRDefault="00E377AA" w:rsidP="00E377AA">
            <w:pPr>
              <w:ind w:left="426" w:hanging="426"/>
            </w:pPr>
            <w:r w:rsidRPr="000A24BA">
              <w:t>(levomepromazinas)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4.3, 4.4, 4.5, 4.6, 4.8 sk., PL 2-4sk. keitimai.</w:t>
            </w:r>
          </w:p>
          <w:p w:rsidR="00E377AA" w:rsidRPr="000A24BA" w:rsidRDefault="00E377AA" w:rsidP="00E377AA"/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spacing w:line="276" w:lineRule="auto"/>
            </w:pPr>
            <w:r w:rsidRPr="000A24BA">
              <w:t xml:space="preserve">EGIS Pharmaceuticals PLC, </w:t>
            </w:r>
          </w:p>
          <w:p w:rsidR="00E377AA" w:rsidRPr="000A24BA" w:rsidRDefault="00E377AA" w:rsidP="00E377AA">
            <w:pPr>
              <w:spacing w:line="276" w:lineRule="auto"/>
            </w:pPr>
            <w:r w:rsidRPr="000A24BA">
              <w:t>Vengrija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KR-4567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widowControl w:val="0"/>
              <w:outlineLvl w:val="0"/>
              <w:rPr>
                <w:bCs/>
                <w:iCs/>
              </w:rPr>
            </w:pPr>
            <w:r w:rsidRPr="000A24BA">
              <w:rPr>
                <w:bCs/>
                <w:iCs/>
              </w:rPr>
              <w:t>Tisercin 25 mg/ml injekcinis ar infuzinis tirpalas</w:t>
            </w:r>
          </w:p>
          <w:p w:rsidR="00E377AA" w:rsidRPr="000A24BA" w:rsidRDefault="00E377AA" w:rsidP="00E377AA">
            <w:pPr>
              <w:ind w:left="426" w:hanging="426"/>
            </w:pPr>
            <w:r w:rsidRPr="000A24BA">
              <w:t>(levomepromazinas)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r w:rsidRPr="000A24BA">
              <w:t>PCS 4.3, 4.4, 4.5, 4.6, 4.8 sk., PL 2-4sk. keitimai.</w:t>
            </w:r>
          </w:p>
          <w:p w:rsidR="00E377AA" w:rsidRPr="000A24BA" w:rsidRDefault="00E377AA" w:rsidP="00E377AA"/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377AA" w:rsidRPr="000A24BA" w:rsidRDefault="00E377AA" w:rsidP="00E377AA">
            <w:pPr>
              <w:spacing w:line="276" w:lineRule="auto"/>
            </w:pPr>
            <w:r w:rsidRPr="000A24BA">
              <w:t xml:space="preserve">EGIS Pharmaceuticals PLC, </w:t>
            </w:r>
          </w:p>
          <w:p w:rsidR="00E377AA" w:rsidRPr="000A24BA" w:rsidRDefault="00E377AA" w:rsidP="00E377AA">
            <w:pPr>
              <w:spacing w:line="276" w:lineRule="auto"/>
            </w:pPr>
            <w:r w:rsidRPr="000A24BA">
              <w:t>Vengrija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377AA" w:rsidRPr="000A24BA" w:rsidRDefault="00E377AA" w:rsidP="00E377AA">
            <w:pPr>
              <w:jc w:val="center"/>
              <w:rPr>
                <w:noProof/>
              </w:rPr>
            </w:pPr>
            <w:r w:rsidRPr="000A24BA">
              <w:rPr>
                <w:noProof/>
              </w:rPr>
              <w:t>II/ C.I.4</w:t>
            </w: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  <w:p w:rsidR="00E377AA" w:rsidRPr="000A24BA" w:rsidRDefault="00E377AA" w:rsidP="00E377AA">
            <w:pPr>
              <w:jc w:val="center"/>
              <w:rPr>
                <w:noProof/>
              </w:rPr>
            </w:pPr>
          </w:p>
        </w:tc>
      </w:tr>
      <w:tr w:rsidR="00E377AA" w:rsidRPr="000A24BA" w:rsidTr="00E377AA">
        <w:trPr>
          <w:gridAfter w:val="2"/>
          <w:wAfter w:w="39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numPr>
                <w:ilvl w:val="0"/>
                <w:numId w:val="19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992" w:type="dxa"/>
          </w:tcPr>
          <w:p w:rsidR="00E377AA" w:rsidRPr="000A24BA" w:rsidRDefault="00E377AA" w:rsidP="00E377AA">
            <w:pPr>
              <w:jc w:val="center"/>
            </w:pPr>
            <w:r w:rsidRPr="000A24BA">
              <w:t>KR-1048</w:t>
            </w:r>
          </w:p>
          <w:p w:rsidR="00E377AA" w:rsidRPr="000A24BA" w:rsidRDefault="00E377AA" w:rsidP="00E377AA"/>
          <w:p w:rsidR="00E377AA" w:rsidRPr="000A24BA" w:rsidRDefault="00E377AA" w:rsidP="00E377AA"/>
        </w:tc>
        <w:tc>
          <w:tcPr>
            <w:tcW w:w="2977" w:type="dxa"/>
          </w:tcPr>
          <w:p w:rsidR="00E377AA" w:rsidRPr="000A24BA" w:rsidRDefault="00E377AA" w:rsidP="00E377AA">
            <w:pPr>
              <w:shd w:val="clear" w:color="auto" w:fill="FFFFFF"/>
              <w:rPr>
                <w:bCs/>
                <w:spacing w:val="-2"/>
              </w:rPr>
            </w:pPr>
            <w:r w:rsidRPr="000A24BA">
              <w:rPr>
                <w:bCs/>
                <w:spacing w:val="-2"/>
              </w:rPr>
              <w:t>Tranxene 5 mg kietosios kapsulės</w:t>
            </w:r>
          </w:p>
          <w:p w:rsidR="00E377AA" w:rsidRPr="000A24BA" w:rsidRDefault="00E377AA" w:rsidP="00E377AA">
            <w:pPr>
              <w:shd w:val="clear" w:color="auto" w:fill="FFFFFF"/>
              <w:rPr>
                <w:bCs/>
                <w:spacing w:val="-2"/>
              </w:rPr>
            </w:pPr>
            <w:r w:rsidRPr="000A24BA">
              <w:rPr>
                <w:bCs/>
                <w:spacing w:val="-2"/>
              </w:rPr>
              <w:t>Tranxene 10 mg kietosios kapsulės</w:t>
            </w:r>
          </w:p>
          <w:p w:rsidR="00E377AA" w:rsidRPr="000A24BA" w:rsidRDefault="00E377AA" w:rsidP="00E377A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E377AA" w:rsidRPr="000A24BA" w:rsidRDefault="00E377AA" w:rsidP="00E377A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0A24BA">
              <w:rPr>
                <w:lang w:eastAsia="hu-HU"/>
              </w:rPr>
              <w:t>(dikalio klorazepatas)</w:t>
            </w:r>
          </w:p>
        </w:tc>
        <w:tc>
          <w:tcPr>
            <w:tcW w:w="2155" w:type="dxa"/>
          </w:tcPr>
          <w:p w:rsidR="00E377AA" w:rsidRPr="000A24BA" w:rsidRDefault="00E377AA" w:rsidP="00E377AA">
            <w:r w:rsidRPr="000A24BA">
              <w:t>Keičiama PCS  4.6 sk., PL 2 sk.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</w:tc>
        <w:tc>
          <w:tcPr>
            <w:tcW w:w="1531" w:type="dxa"/>
          </w:tcPr>
          <w:p w:rsidR="00E377AA" w:rsidRPr="000A24BA" w:rsidRDefault="00E377AA" w:rsidP="00E377AA">
            <w:pPr>
              <w:tabs>
                <w:tab w:val="left" w:pos="567"/>
              </w:tabs>
            </w:pPr>
            <w:r w:rsidRPr="000A24BA">
              <w:t>UAB „SANOFI-AVENTIS LIETUVA“,</w:t>
            </w:r>
          </w:p>
          <w:p w:rsidR="00E377AA" w:rsidRPr="000A24BA" w:rsidRDefault="00E377AA" w:rsidP="00E377AA">
            <w:pPr>
              <w:tabs>
                <w:tab w:val="left" w:pos="567"/>
              </w:tabs>
            </w:pPr>
            <w:r w:rsidRPr="000A24BA">
              <w:t>Lietuva</w:t>
            </w:r>
          </w:p>
        </w:tc>
        <w:tc>
          <w:tcPr>
            <w:tcW w:w="1673" w:type="dxa"/>
          </w:tcPr>
          <w:p w:rsidR="00E377AA" w:rsidRPr="000A24BA" w:rsidRDefault="00E377AA" w:rsidP="00E377AA">
            <w:pPr>
              <w:jc w:val="center"/>
            </w:pPr>
            <w:r w:rsidRPr="000A24BA">
              <w:t>II/C.I.4</w:t>
            </w: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  <w:p w:rsidR="00E377AA" w:rsidRPr="000A24BA" w:rsidRDefault="00E377AA" w:rsidP="00E377AA">
            <w:pPr>
              <w:jc w:val="center"/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E377AA" w:rsidRPr="00AD7CA3" w:rsidRDefault="00E377AA" w:rsidP="00E377AA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 xml:space="preserve">SIŪLYTI </w:t>
      </w:r>
      <w:r>
        <w:rPr>
          <w:b/>
          <w:bCs/>
          <w:sz w:val="22"/>
          <w:szCs w:val="22"/>
        </w:rPr>
        <w:t>NE</w:t>
      </w:r>
      <w:r w:rsidRPr="00AD7CA3">
        <w:rPr>
          <w:b/>
          <w:bCs/>
          <w:sz w:val="22"/>
          <w:szCs w:val="22"/>
        </w:rPr>
        <w:t>TVIRTINTI ŠI</w:t>
      </w:r>
      <w:r>
        <w:rPr>
          <w:b/>
          <w:bCs/>
          <w:sz w:val="22"/>
          <w:szCs w:val="22"/>
        </w:rPr>
        <w:t>Ų</w:t>
      </w:r>
      <w:r w:rsidRPr="00AD7CA3">
        <w:rPr>
          <w:b/>
          <w:bCs/>
          <w:sz w:val="22"/>
          <w:szCs w:val="22"/>
        </w:rPr>
        <w:t xml:space="preserve"> VAISTINI</w:t>
      </w:r>
      <w:r>
        <w:rPr>
          <w:b/>
          <w:bCs/>
          <w:sz w:val="22"/>
          <w:szCs w:val="22"/>
        </w:rPr>
        <w:t>Ų</w:t>
      </w:r>
      <w:r w:rsidRPr="00AD7CA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PREPARATŲ II TIPO REGLAMENTINIŲ KEITIMŲ</w:t>
      </w:r>
      <w:r w:rsidRPr="00AD7CA3">
        <w:rPr>
          <w:b/>
          <w:bCs/>
          <w:sz w:val="22"/>
          <w:szCs w:val="22"/>
        </w:rPr>
        <w:t>:</w:t>
      </w:r>
    </w:p>
    <w:p w:rsidR="002D7C30" w:rsidRDefault="002D7C30" w:rsidP="001351BE">
      <w:pPr>
        <w:pStyle w:val="ListParagraph"/>
        <w:ind w:left="360"/>
        <w:jc w:val="both"/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2977"/>
        <w:gridCol w:w="2126"/>
        <w:gridCol w:w="1560"/>
        <w:gridCol w:w="1559"/>
      </w:tblGrid>
      <w:tr w:rsidR="00E377AA" w:rsidRPr="000A24BA" w:rsidTr="001163AD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Eil.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Paraiškos Nr.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Skelbimui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77AA" w:rsidRPr="000A24BA" w:rsidRDefault="00E377AA" w:rsidP="00E377AA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Keitimo tipas (-ai)</w:t>
            </w:r>
          </w:p>
        </w:tc>
      </w:tr>
      <w:tr w:rsidR="00E377AA" w:rsidRPr="000A24BA" w:rsidTr="001163AD">
        <w:trPr>
          <w:trHeight w:val="1512"/>
        </w:trPr>
        <w:tc>
          <w:tcPr>
            <w:tcW w:w="738" w:type="dxa"/>
            <w:tcBorders>
              <w:bottom w:val="single" w:sz="4" w:space="0" w:color="auto"/>
            </w:tcBorders>
          </w:tcPr>
          <w:p w:rsidR="00E377AA" w:rsidRPr="000A24BA" w:rsidRDefault="00E377AA" w:rsidP="00E377AA">
            <w:pPr>
              <w:ind w:left="142"/>
              <w:jc w:val="center"/>
              <w:rPr>
                <w:kern w:val="28"/>
              </w:rPr>
            </w:pPr>
            <w:r>
              <w:rPr>
                <w:kern w:val="28"/>
              </w:rPr>
              <w:t>1.</w:t>
            </w:r>
          </w:p>
        </w:tc>
        <w:tc>
          <w:tcPr>
            <w:tcW w:w="992" w:type="dxa"/>
          </w:tcPr>
          <w:p w:rsidR="00E377AA" w:rsidRPr="000A24BA" w:rsidRDefault="00E377AA" w:rsidP="00E377AA">
            <w:r w:rsidRPr="000A24BA">
              <w:t>KR-2085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</w:tc>
        <w:tc>
          <w:tcPr>
            <w:tcW w:w="2977" w:type="dxa"/>
          </w:tcPr>
          <w:p w:rsidR="00E377AA" w:rsidRPr="000A24BA" w:rsidRDefault="00E377AA" w:rsidP="00E377AA">
            <w:r w:rsidRPr="000A24BA">
              <w:t>TVINGESTIN 400 mg plėvele dengtos tabletės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(ibuprofenas)</w:t>
            </w:r>
          </w:p>
          <w:p w:rsidR="00E377AA" w:rsidRPr="000A24BA" w:rsidRDefault="00E377AA" w:rsidP="00E377AA">
            <w:pPr>
              <w:jc w:val="center"/>
            </w:pPr>
          </w:p>
        </w:tc>
        <w:tc>
          <w:tcPr>
            <w:tcW w:w="2126" w:type="dxa"/>
          </w:tcPr>
          <w:p w:rsidR="00E377AA" w:rsidRPr="000A24BA" w:rsidRDefault="00E377AA" w:rsidP="00E377AA">
            <w:pPr>
              <w:rPr>
                <w:bCs/>
              </w:rPr>
            </w:pPr>
            <w:r w:rsidRPr="000A24BA">
              <w:rPr>
                <w:bCs/>
              </w:rPr>
              <w:t>Galutinio produkto gamintojo keitimas.</w:t>
            </w:r>
          </w:p>
          <w:p w:rsidR="00E377AA" w:rsidRPr="000A24BA" w:rsidRDefault="00E377AA" w:rsidP="00E377AA">
            <w:pPr>
              <w:rPr>
                <w:bCs/>
              </w:rPr>
            </w:pPr>
          </w:p>
          <w:p w:rsidR="00E377AA" w:rsidRPr="000A24BA" w:rsidRDefault="00E377AA" w:rsidP="00E377AA">
            <w:pPr>
              <w:rPr>
                <w:bCs/>
              </w:rPr>
            </w:pPr>
          </w:p>
          <w:p w:rsidR="00E377AA" w:rsidRPr="000A24BA" w:rsidRDefault="00E377AA" w:rsidP="00E377AA">
            <w:pPr>
              <w:rPr>
                <w:bCs/>
              </w:rPr>
            </w:pPr>
          </w:p>
          <w:p w:rsidR="001163AD" w:rsidRDefault="001163AD" w:rsidP="00E377AA">
            <w:pPr>
              <w:rPr>
                <w:bCs/>
              </w:rPr>
            </w:pPr>
          </w:p>
          <w:p w:rsidR="00E377AA" w:rsidRPr="000A24BA" w:rsidRDefault="00E377AA" w:rsidP="00E377AA">
            <w:r w:rsidRPr="000A24BA">
              <w:rPr>
                <w:bCs/>
              </w:rPr>
              <w:t xml:space="preserve">Galutinio produkto sudėties ir išvaizdos keitimas. PCS 3, 4.4 ir 6.1 sk., PŽ, PL keitimas. </w:t>
            </w:r>
            <w:r w:rsidRPr="000A24BA">
              <w:t xml:space="preserve"> 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rPr>
                <w:bCs/>
              </w:rPr>
              <w:t xml:space="preserve">Galutinio produkto pakuotės  keitimas. PCS 6.5 sk., PŽ, PL keitimas. 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 xml:space="preserve">Galutinio produkto tinkamumo laiko keitimas. </w:t>
            </w:r>
          </w:p>
          <w:p w:rsidR="00E377AA" w:rsidRPr="000A24BA" w:rsidRDefault="00E377AA" w:rsidP="00E377AA">
            <w:pPr>
              <w:rPr>
                <w:u w:val="single"/>
              </w:rPr>
            </w:pPr>
          </w:p>
          <w:p w:rsidR="00E377AA" w:rsidRPr="000A24BA" w:rsidRDefault="00E377AA" w:rsidP="00E377AA">
            <w:r w:rsidRPr="000A24BA">
              <w:t>Veikliosios medžiagos gamintojo išbraukimas.</w:t>
            </w:r>
          </w:p>
        </w:tc>
        <w:tc>
          <w:tcPr>
            <w:tcW w:w="1560" w:type="dxa"/>
          </w:tcPr>
          <w:p w:rsidR="00E377AA" w:rsidRPr="000A24BA" w:rsidRDefault="00E377AA" w:rsidP="00E377AA">
            <w:r w:rsidRPr="000A24BA">
              <w:t xml:space="preserve">Corpus Medica UAB, </w:t>
            </w:r>
          </w:p>
          <w:p w:rsidR="00E377AA" w:rsidRPr="000A24BA" w:rsidRDefault="00E377AA" w:rsidP="00E377AA">
            <w:r w:rsidRPr="000A24BA">
              <w:t>Lietuva</w:t>
            </w:r>
          </w:p>
        </w:tc>
        <w:tc>
          <w:tcPr>
            <w:tcW w:w="1559" w:type="dxa"/>
          </w:tcPr>
          <w:p w:rsidR="00E377AA" w:rsidRPr="000A24BA" w:rsidRDefault="00E377AA" w:rsidP="00E377AA">
            <w:r w:rsidRPr="000A24BA">
              <w:t>II/G B.II.b.1(a); B.II.b.1(b); B.II.b.1(z); B.II.b.2(a).</w:t>
            </w:r>
          </w:p>
          <w:p w:rsidR="00E377AA" w:rsidRPr="000A24BA" w:rsidRDefault="00E377AA" w:rsidP="00E377AA"/>
          <w:p w:rsidR="00E377AA" w:rsidRPr="000A24BA" w:rsidRDefault="00E377AA" w:rsidP="00E377AA">
            <w:r w:rsidRPr="000A24BA">
              <w:t>B.II.a.2(a); B.II.a.3(b1);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>
            <w:r w:rsidRPr="000A24BA">
              <w:t>B.II.e.1(b1);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>
            <w:r w:rsidRPr="000A24BA">
              <w:t>B.II.f.1.(d)</w:t>
            </w:r>
          </w:p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/>
          <w:p w:rsidR="00E377AA" w:rsidRPr="000A24BA" w:rsidRDefault="00E377AA" w:rsidP="00E377AA">
            <w:r w:rsidRPr="000A24BA">
              <w:t>A7</w:t>
            </w:r>
          </w:p>
          <w:p w:rsidR="00E377AA" w:rsidRPr="000A24BA" w:rsidRDefault="00E377AA" w:rsidP="00E377AA"/>
          <w:p w:rsidR="00E377AA" w:rsidRPr="000A24BA" w:rsidRDefault="00E377AA" w:rsidP="00E377AA"/>
        </w:tc>
      </w:tr>
      <w:tr w:rsidR="001163AD" w:rsidRPr="000A24BA" w:rsidTr="001163AD">
        <w:trPr>
          <w:trHeight w:val="1898"/>
        </w:trPr>
        <w:tc>
          <w:tcPr>
            <w:tcW w:w="738" w:type="dxa"/>
            <w:vMerge w:val="restart"/>
            <w:tcBorders>
              <w:right w:val="single" w:sz="4" w:space="0" w:color="auto"/>
            </w:tcBorders>
          </w:tcPr>
          <w:p w:rsidR="001163AD" w:rsidRPr="000A24BA" w:rsidRDefault="001163AD" w:rsidP="001163AD">
            <w:pPr>
              <w:ind w:left="142"/>
              <w:jc w:val="center"/>
              <w:rPr>
                <w:kern w:val="28"/>
              </w:rPr>
            </w:pPr>
            <w:r>
              <w:rPr>
                <w:kern w:val="28"/>
                <w:lang w:val="en-US"/>
              </w:rPr>
              <w:t>2</w:t>
            </w:r>
            <w:r w:rsidRPr="000A24BA">
              <w:rPr>
                <w:kern w:val="28"/>
              </w:rPr>
              <w:t>.</w:t>
            </w:r>
          </w:p>
        </w:tc>
        <w:tc>
          <w:tcPr>
            <w:tcW w:w="992" w:type="dxa"/>
            <w:vMerge w:val="restart"/>
          </w:tcPr>
          <w:p w:rsidR="001163AD" w:rsidRPr="000A24BA" w:rsidRDefault="001163AD" w:rsidP="001163AD">
            <w:pPr>
              <w:jc w:val="center"/>
            </w:pPr>
            <w:r w:rsidRPr="000A24BA">
              <w:t>KR-3899</w:t>
            </w:r>
          </w:p>
        </w:tc>
        <w:tc>
          <w:tcPr>
            <w:tcW w:w="2977" w:type="dxa"/>
          </w:tcPr>
          <w:p w:rsidR="001163AD" w:rsidRPr="000A24BA" w:rsidRDefault="001163AD" w:rsidP="001163AD">
            <w:pPr>
              <w:rPr>
                <w:bCs/>
              </w:rPr>
            </w:pPr>
            <w:r w:rsidRPr="000A24BA">
              <w:rPr>
                <w:bCs/>
              </w:rPr>
              <w:t>MAGNE B</w:t>
            </w:r>
            <w:r w:rsidRPr="000A24BA">
              <w:rPr>
                <w:bCs/>
                <w:vertAlign w:val="subscript"/>
              </w:rPr>
              <w:t>6</w:t>
            </w:r>
            <w:r w:rsidRPr="000A24BA">
              <w:rPr>
                <w:bCs/>
              </w:rPr>
              <w:t xml:space="preserve"> 470 mg/5 mg dengtos tabletės</w:t>
            </w:r>
          </w:p>
          <w:p w:rsidR="001163AD" w:rsidRPr="000A24BA" w:rsidRDefault="001163AD" w:rsidP="001163AD">
            <w:pPr>
              <w:rPr>
                <w:bCs/>
              </w:rPr>
            </w:pPr>
          </w:p>
          <w:p w:rsidR="001163AD" w:rsidRPr="000A24BA" w:rsidRDefault="001163AD" w:rsidP="001163AD">
            <w:r w:rsidRPr="000A24BA">
              <w:t xml:space="preserve">(magnio laktatas dihidratas, piridoksino hidrochloridas) </w:t>
            </w:r>
          </w:p>
          <w:p w:rsidR="001163AD" w:rsidRPr="000A24BA" w:rsidRDefault="001163AD" w:rsidP="001163AD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3AD" w:rsidRPr="000A24BA" w:rsidRDefault="001163AD" w:rsidP="001163AD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0A24BA">
              <w:rPr>
                <w:lang w:val="hu-HU"/>
              </w:rPr>
              <w:t>PCS 5.1 sk. ir PL 2, 3,4 sk. informacijos keitimas.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3AD" w:rsidRPr="000A24BA" w:rsidRDefault="001163AD" w:rsidP="001163AD">
            <w:pPr>
              <w:rPr>
                <w:b/>
              </w:rPr>
            </w:pPr>
            <w:r w:rsidRPr="000A24BA">
              <w:t>UAB „SANOFI-AVENTIS LIETUVA“,</w:t>
            </w:r>
          </w:p>
          <w:p w:rsidR="001163AD" w:rsidRPr="000A24BA" w:rsidRDefault="001163AD" w:rsidP="001163AD">
            <w:pPr>
              <w:rPr>
                <w:iCs/>
              </w:rPr>
            </w:pPr>
            <w:r w:rsidRPr="000A24BA">
              <w:rPr>
                <w:iCs/>
              </w:rPr>
              <w:t>Lietuva</w:t>
            </w:r>
          </w:p>
          <w:p w:rsidR="001163AD" w:rsidRPr="000A24BA" w:rsidRDefault="001163AD" w:rsidP="001163AD">
            <w:pPr>
              <w:tabs>
                <w:tab w:val="left" w:pos="567"/>
                <w:tab w:val="left" w:pos="1080"/>
              </w:tabs>
              <w:suppressAutoHyphens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63AD" w:rsidRPr="000A24BA" w:rsidRDefault="001163AD" w:rsidP="001163AD">
            <w:pPr>
              <w:jc w:val="center"/>
              <w:rPr>
                <w:noProof/>
              </w:rPr>
            </w:pPr>
            <w:r w:rsidRPr="000A24BA">
              <w:rPr>
                <w:rFonts w:eastAsia="Calibri"/>
              </w:rPr>
              <w:t>II/C.I.6(a)</w:t>
            </w:r>
          </w:p>
          <w:p w:rsidR="001163AD" w:rsidRPr="000A24BA" w:rsidRDefault="001163AD" w:rsidP="001163AD">
            <w:pPr>
              <w:jc w:val="center"/>
              <w:rPr>
                <w:noProof/>
              </w:rPr>
            </w:pPr>
          </w:p>
          <w:p w:rsidR="001163AD" w:rsidRPr="000A24BA" w:rsidRDefault="001163AD" w:rsidP="001163AD">
            <w:pPr>
              <w:jc w:val="center"/>
              <w:rPr>
                <w:noProof/>
              </w:rPr>
            </w:pPr>
          </w:p>
          <w:p w:rsidR="001163AD" w:rsidRPr="000A24BA" w:rsidRDefault="001163AD" w:rsidP="001163AD">
            <w:pPr>
              <w:jc w:val="center"/>
              <w:rPr>
                <w:noProof/>
              </w:rPr>
            </w:pPr>
          </w:p>
          <w:p w:rsidR="001163AD" w:rsidRPr="000A24BA" w:rsidRDefault="001163AD" w:rsidP="001163AD">
            <w:pPr>
              <w:rPr>
                <w:noProof/>
              </w:rPr>
            </w:pPr>
          </w:p>
          <w:p w:rsidR="001163AD" w:rsidRPr="000A24BA" w:rsidRDefault="001163AD" w:rsidP="001163AD"/>
        </w:tc>
      </w:tr>
      <w:tr w:rsidR="001163AD" w:rsidRPr="000A24BA" w:rsidTr="001163AD">
        <w:trPr>
          <w:trHeight w:val="1897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1163AD" w:rsidRPr="000A24BA" w:rsidRDefault="001163AD" w:rsidP="001163AD">
            <w:pPr>
              <w:numPr>
                <w:ilvl w:val="0"/>
                <w:numId w:val="7"/>
              </w:numPr>
              <w:jc w:val="center"/>
              <w:rPr>
                <w:kern w:val="28"/>
              </w:rPr>
            </w:pPr>
          </w:p>
        </w:tc>
        <w:tc>
          <w:tcPr>
            <w:tcW w:w="992" w:type="dxa"/>
            <w:vMerge/>
          </w:tcPr>
          <w:p w:rsidR="001163AD" w:rsidRPr="000A24BA" w:rsidRDefault="001163AD" w:rsidP="001163AD">
            <w:pPr>
              <w:jc w:val="center"/>
            </w:pPr>
          </w:p>
        </w:tc>
        <w:tc>
          <w:tcPr>
            <w:tcW w:w="2977" w:type="dxa"/>
          </w:tcPr>
          <w:p w:rsidR="001163AD" w:rsidRPr="000A24BA" w:rsidRDefault="001163AD" w:rsidP="001163AD">
            <w:pPr>
              <w:rPr>
                <w:bCs/>
              </w:rPr>
            </w:pPr>
            <w:r w:rsidRPr="000A24BA">
              <w:rPr>
                <w:bCs/>
              </w:rPr>
              <w:t>MAGNE B</w:t>
            </w:r>
            <w:r w:rsidRPr="000A24BA">
              <w:rPr>
                <w:bCs/>
                <w:vertAlign w:val="subscript"/>
              </w:rPr>
              <w:t>6</w:t>
            </w:r>
            <w:r w:rsidRPr="000A24BA">
              <w:rPr>
                <w:bCs/>
              </w:rPr>
              <w:t xml:space="preserve"> geriamasis tirpalas</w:t>
            </w:r>
          </w:p>
          <w:p w:rsidR="001163AD" w:rsidRPr="000A24BA" w:rsidRDefault="001163AD" w:rsidP="001163AD">
            <w:pPr>
              <w:rPr>
                <w:bCs/>
              </w:rPr>
            </w:pPr>
          </w:p>
          <w:p w:rsidR="001163AD" w:rsidRPr="000A24BA" w:rsidRDefault="001163AD" w:rsidP="001163AD">
            <w:pPr>
              <w:rPr>
                <w:bCs/>
              </w:rPr>
            </w:pPr>
            <w:r w:rsidRPr="000A24BA">
              <w:t>(magnio laktatas dihidratas, magnio pidolatas, piridoksino hidrochloridas)</w:t>
            </w:r>
          </w:p>
        </w:tc>
        <w:tc>
          <w:tcPr>
            <w:tcW w:w="2126" w:type="dxa"/>
            <w:vMerge/>
          </w:tcPr>
          <w:p w:rsidR="001163AD" w:rsidRPr="000A24BA" w:rsidRDefault="001163AD" w:rsidP="001163AD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1560" w:type="dxa"/>
            <w:vMerge/>
          </w:tcPr>
          <w:p w:rsidR="001163AD" w:rsidRPr="000A24BA" w:rsidRDefault="001163AD" w:rsidP="001163AD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1559" w:type="dxa"/>
            <w:vMerge/>
          </w:tcPr>
          <w:p w:rsidR="001163AD" w:rsidRPr="000A24BA" w:rsidRDefault="001163AD" w:rsidP="001163AD"/>
        </w:tc>
      </w:tr>
    </w:tbl>
    <w:p w:rsidR="001351BE" w:rsidRDefault="001351BE" w:rsidP="001351BE">
      <w:pPr>
        <w:pStyle w:val="ListParagraph"/>
        <w:ind w:left="360"/>
        <w:jc w:val="both"/>
      </w:pPr>
    </w:p>
    <w:p w:rsidR="001163AD" w:rsidRPr="00AD7CA3" w:rsidRDefault="001163AD" w:rsidP="001163A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 xml:space="preserve">SIŪLYTI </w:t>
      </w:r>
      <w:r>
        <w:rPr>
          <w:b/>
          <w:bCs/>
          <w:sz w:val="22"/>
          <w:szCs w:val="22"/>
        </w:rPr>
        <w:t>NE</w:t>
      </w:r>
      <w:r w:rsidRPr="00AD7CA3">
        <w:rPr>
          <w:b/>
          <w:bCs/>
          <w:sz w:val="22"/>
          <w:szCs w:val="22"/>
        </w:rPr>
        <w:t>TVIRTINTI ŠI</w:t>
      </w:r>
      <w:r>
        <w:rPr>
          <w:b/>
          <w:bCs/>
          <w:sz w:val="22"/>
          <w:szCs w:val="22"/>
        </w:rPr>
        <w:t>O</w:t>
      </w:r>
      <w:r w:rsidRPr="00AD7CA3">
        <w:rPr>
          <w:b/>
          <w:bCs/>
          <w:sz w:val="22"/>
          <w:szCs w:val="22"/>
        </w:rPr>
        <w:t xml:space="preserve"> VAISTINI</w:t>
      </w:r>
      <w:r>
        <w:rPr>
          <w:b/>
          <w:bCs/>
          <w:sz w:val="22"/>
          <w:szCs w:val="22"/>
        </w:rPr>
        <w:t>O</w:t>
      </w:r>
      <w:r w:rsidRPr="00AD7CA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PREPARATO KLASIFIKACIJOS KEITIMO</w:t>
      </w:r>
      <w:r w:rsidRPr="00AD7CA3">
        <w:rPr>
          <w:b/>
          <w:bCs/>
          <w:sz w:val="22"/>
          <w:szCs w:val="22"/>
        </w:rPr>
        <w:t>:</w:t>
      </w:r>
    </w:p>
    <w:p w:rsidR="001163AD" w:rsidRDefault="001163AD" w:rsidP="000F2FE1">
      <w:pPr>
        <w:jc w:val="both"/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2977"/>
        <w:gridCol w:w="2126"/>
        <w:gridCol w:w="1560"/>
        <w:gridCol w:w="1559"/>
      </w:tblGrid>
      <w:tr w:rsidR="001163AD" w:rsidRPr="000A24BA" w:rsidTr="001163AD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Eil.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Paraiškos Nr.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Skelbimui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Keitimo tipas (-ai)</w:t>
            </w:r>
          </w:p>
        </w:tc>
      </w:tr>
      <w:tr w:rsidR="001163AD" w:rsidRPr="000A24BA" w:rsidTr="001163AD">
        <w:tc>
          <w:tcPr>
            <w:tcW w:w="738" w:type="dxa"/>
            <w:tcBorders>
              <w:right w:val="single" w:sz="4" w:space="0" w:color="auto"/>
            </w:tcBorders>
          </w:tcPr>
          <w:p w:rsidR="001163AD" w:rsidRPr="000A24BA" w:rsidRDefault="001163AD" w:rsidP="000B70B9">
            <w:pPr>
              <w:jc w:val="center"/>
              <w:rPr>
                <w:kern w:val="28"/>
              </w:rPr>
            </w:pPr>
            <w:r w:rsidRPr="000A24BA">
              <w:rPr>
                <w:kern w:val="28"/>
              </w:rPr>
              <w:t>1.</w:t>
            </w:r>
          </w:p>
        </w:tc>
        <w:tc>
          <w:tcPr>
            <w:tcW w:w="992" w:type="dxa"/>
          </w:tcPr>
          <w:p w:rsidR="001163AD" w:rsidRPr="000A24BA" w:rsidRDefault="001163AD" w:rsidP="000B70B9">
            <w:pPr>
              <w:jc w:val="center"/>
            </w:pPr>
            <w:r w:rsidRPr="000A24BA">
              <w:t>KR-4173</w:t>
            </w:r>
          </w:p>
        </w:tc>
        <w:tc>
          <w:tcPr>
            <w:tcW w:w="2977" w:type="dxa"/>
          </w:tcPr>
          <w:p w:rsidR="001163AD" w:rsidRPr="000A24BA" w:rsidRDefault="001163AD" w:rsidP="000B70B9">
            <w:pPr>
              <w:tabs>
                <w:tab w:val="left" w:pos="567"/>
              </w:tabs>
              <w:rPr>
                <w:snapToGrid w:val="0"/>
              </w:rPr>
            </w:pPr>
            <w:r w:rsidRPr="000A24BA">
              <w:rPr>
                <w:snapToGrid w:val="0"/>
              </w:rPr>
              <w:t>Diflazon 150 mg plėvele kietosios kapsulės</w:t>
            </w:r>
          </w:p>
          <w:p w:rsidR="001163AD" w:rsidRPr="000A24BA" w:rsidRDefault="001163AD" w:rsidP="000B70B9"/>
          <w:p w:rsidR="001163AD" w:rsidRPr="000A24BA" w:rsidRDefault="001163AD" w:rsidP="000B70B9">
            <w:pPr>
              <w:rPr>
                <w:bCs/>
              </w:rPr>
            </w:pPr>
            <w:r w:rsidRPr="000A24BA">
              <w:t>(flukonazolas)</w:t>
            </w:r>
          </w:p>
        </w:tc>
        <w:tc>
          <w:tcPr>
            <w:tcW w:w="2126" w:type="dxa"/>
          </w:tcPr>
          <w:p w:rsidR="001163AD" w:rsidRPr="000A24BA" w:rsidRDefault="001163AD" w:rsidP="000B70B9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0A24BA">
              <w:rPr>
                <w:lang w:eastAsia="lt-LT"/>
              </w:rPr>
              <w:t>Vaistinio preparato klasifikacijos keitimas iš receptinio į nereceptinį.</w:t>
            </w:r>
          </w:p>
          <w:p w:rsidR="001163AD" w:rsidRPr="000A24BA" w:rsidRDefault="001163AD" w:rsidP="000B70B9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1163AD" w:rsidRPr="000A24BA" w:rsidRDefault="001163AD" w:rsidP="000B70B9">
            <w:pPr>
              <w:autoSpaceDE w:val="0"/>
              <w:autoSpaceDN w:val="0"/>
              <w:adjustRightInd w:val="0"/>
              <w:rPr>
                <w:u w:val="single"/>
                <w:lang w:eastAsia="lt-LT"/>
              </w:rPr>
            </w:pPr>
            <w:r w:rsidRPr="000A24BA">
              <w:rPr>
                <w:u w:val="single"/>
                <w:lang w:eastAsia="lt-LT"/>
              </w:rPr>
              <w:t>Pakuotė</w:t>
            </w:r>
          </w:p>
          <w:p w:rsidR="001163AD" w:rsidRPr="000A24BA" w:rsidRDefault="001163AD" w:rsidP="000B70B9">
            <w:pPr>
              <w:widowControl w:val="0"/>
              <w:autoSpaceDE w:val="0"/>
              <w:autoSpaceDN w:val="0"/>
              <w:adjustRightInd w:val="0"/>
              <w:rPr>
                <w:bCs/>
                <w:lang w:eastAsia="hu-HU"/>
              </w:rPr>
            </w:pPr>
            <w:r w:rsidRPr="000A24BA">
              <w:rPr>
                <w:lang w:eastAsia="lt-LT"/>
              </w:rPr>
              <w:t xml:space="preserve">Lizdinė plokštelė N1 </w:t>
            </w:r>
          </w:p>
          <w:p w:rsidR="001163AD" w:rsidRPr="000A24BA" w:rsidRDefault="001163AD" w:rsidP="000B70B9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1163AD" w:rsidRPr="000A24BA" w:rsidRDefault="001163AD" w:rsidP="000B70B9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1560" w:type="dxa"/>
          </w:tcPr>
          <w:p w:rsidR="001163AD" w:rsidRPr="000A24BA" w:rsidRDefault="001163AD" w:rsidP="000B70B9">
            <w:pPr>
              <w:widowControl w:val="0"/>
            </w:pPr>
            <w:r w:rsidRPr="000A24BA">
              <w:t>KRKA, d.d., Novo mesto,</w:t>
            </w:r>
          </w:p>
          <w:p w:rsidR="001163AD" w:rsidRPr="000A24BA" w:rsidRDefault="001163AD" w:rsidP="000B70B9">
            <w:pPr>
              <w:widowControl w:val="0"/>
            </w:pPr>
            <w:r w:rsidRPr="000A24BA">
              <w:t>Slovėnija</w:t>
            </w:r>
          </w:p>
          <w:p w:rsidR="001163AD" w:rsidRPr="000A24BA" w:rsidRDefault="001163AD" w:rsidP="000B70B9">
            <w:pPr>
              <w:tabs>
                <w:tab w:val="left" w:pos="567"/>
                <w:tab w:val="left" w:pos="1080"/>
              </w:tabs>
              <w:suppressAutoHyphens/>
            </w:pPr>
          </w:p>
        </w:tc>
        <w:tc>
          <w:tcPr>
            <w:tcW w:w="1559" w:type="dxa"/>
          </w:tcPr>
          <w:p w:rsidR="001163AD" w:rsidRPr="000A24BA" w:rsidRDefault="001163AD" w:rsidP="000B70B9">
            <w:r w:rsidRPr="000A24BA">
              <w:t>Klasifikacijos keitimas.</w:t>
            </w:r>
          </w:p>
          <w:p w:rsidR="001163AD" w:rsidRPr="000A24BA" w:rsidRDefault="001163AD" w:rsidP="000B70B9"/>
          <w:p w:rsidR="001163AD" w:rsidRPr="000A24BA" w:rsidRDefault="001163AD" w:rsidP="000B70B9"/>
        </w:tc>
      </w:tr>
    </w:tbl>
    <w:p w:rsidR="001163AD" w:rsidRDefault="001163AD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1351BE">
        <w:t>pirmininkas</w:t>
      </w:r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1351BE">
        <w:t>Prof</w:t>
      </w:r>
      <w:r w:rsidR="00DA3AEB">
        <w:t xml:space="preserve">. </w:t>
      </w:r>
      <w:r w:rsidR="001351BE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CD" w:rsidRDefault="000F47CD" w:rsidP="002D7C30">
      <w:r>
        <w:separator/>
      </w:r>
    </w:p>
  </w:endnote>
  <w:endnote w:type="continuationSeparator" w:id="0">
    <w:p w:rsidR="000F47CD" w:rsidRDefault="000F47CD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CD" w:rsidRDefault="000F47CD" w:rsidP="002D7C30">
      <w:r>
        <w:separator/>
      </w:r>
    </w:p>
  </w:footnote>
  <w:footnote w:type="continuationSeparator" w:id="0">
    <w:p w:rsidR="000F47CD" w:rsidRDefault="000F47CD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E364CB"/>
    <w:multiLevelType w:val="hybridMultilevel"/>
    <w:tmpl w:val="F890765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65E6"/>
    <w:multiLevelType w:val="hybridMultilevel"/>
    <w:tmpl w:val="05DE88F8"/>
    <w:lvl w:ilvl="0" w:tplc="0868BEEE">
      <w:numFmt w:val="bullet"/>
      <w:lvlText w:val=""/>
      <w:lvlJc w:val="left"/>
      <w:pPr>
        <w:ind w:left="806" w:hanging="56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823AE">
      <w:numFmt w:val="bullet"/>
      <w:lvlText w:val=""/>
      <w:lvlJc w:val="left"/>
      <w:pPr>
        <w:ind w:left="1166" w:hanging="153"/>
      </w:pPr>
      <w:rPr>
        <w:rFonts w:ascii="Symbol" w:eastAsia="Symbol" w:hAnsi="Symbol" w:cs="Symbol" w:hint="default"/>
        <w:w w:val="99"/>
        <w:sz w:val="22"/>
        <w:szCs w:val="22"/>
      </w:rPr>
    </w:lvl>
    <w:lvl w:ilvl="2" w:tplc="26A4D2E0">
      <w:numFmt w:val="bullet"/>
      <w:lvlText w:val="•"/>
      <w:lvlJc w:val="left"/>
      <w:pPr>
        <w:ind w:left="1340" w:hanging="153"/>
      </w:pPr>
      <w:rPr>
        <w:rFonts w:hint="default"/>
      </w:rPr>
    </w:lvl>
    <w:lvl w:ilvl="3" w:tplc="6B7A819C">
      <w:numFmt w:val="bullet"/>
      <w:lvlText w:val="•"/>
      <w:lvlJc w:val="left"/>
      <w:pPr>
        <w:ind w:left="2365" w:hanging="153"/>
      </w:pPr>
      <w:rPr>
        <w:rFonts w:hint="default"/>
      </w:rPr>
    </w:lvl>
    <w:lvl w:ilvl="4" w:tplc="AA10B0DC">
      <w:numFmt w:val="bullet"/>
      <w:lvlText w:val="•"/>
      <w:lvlJc w:val="left"/>
      <w:pPr>
        <w:ind w:left="3390" w:hanging="153"/>
      </w:pPr>
      <w:rPr>
        <w:rFonts w:hint="default"/>
      </w:rPr>
    </w:lvl>
    <w:lvl w:ilvl="5" w:tplc="656698DC">
      <w:numFmt w:val="bullet"/>
      <w:lvlText w:val="•"/>
      <w:lvlJc w:val="left"/>
      <w:pPr>
        <w:ind w:left="4415" w:hanging="153"/>
      </w:pPr>
      <w:rPr>
        <w:rFonts w:hint="default"/>
      </w:rPr>
    </w:lvl>
    <w:lvl w:ilvl="6" w:tplc="D46E1CDC">
      <w:numFmt w:val="bullet"/>
      <w:lvlText w:val="•"/>
      <w:lvlJc w:val="left"/>
      <w:pPr>
        <w:ind w:left="5440" w:hanging="153"/>
      </w:pPr>
      <w:rPr>
        <w:rFonts w:hint="default"/>
      </w:rPr>
    </w:lvl>
    <w:lvl w:ilvl="7" w:tplc="664496A4">
      <w:numFmt w:val="bullet"/>
      <w:lvlText w:val="•"/>
      <w:lvlJc w:val="left"/>
      <w:pPr>
        <w:ind w:left="6465" w:hanging="153"/>
      </w:pPr>
      <w:rPr>
        <w:rFonts w:hint="default"/>
      </w:rPr>
    </w:lvl>
    <w:lvl w:ilvl="8" w:tplc="75188D9C">
      <w:numFmt w:val="bullet"/>
      <w:lvlText w:val="•"/>
      <w:lvlJc w:val="left"/>
      <w:pPr>
        <w:ind w:left="7490" w:hanging="153"/>
      </w:pPr>
      <w:rPr>
        <w:rFonts w:hint="default"/>
      </w:rPr>
    </w:lvl>
  </w:abstractNum>
  <w:abstractNum w:abstractNumId="7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9" w15:restartNumberingAfterBreak="0">
    <w:nsid w:val="27F34167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21E88"/>
    <w:multiLevelType w:val="hybridMultilevel"/>
    <w:tmpl w:val="22A2230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504B23B6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096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7" w15:restartNumberingAfterBreak="0">
    <w:nsid w:val="6FB36BF9"/>
    <w:multiLevelType w:val="multilevel"/>
    <w:tmpl w:val="01600132"/>
    <w:lvl w:ilvl="0">
      <w:start w:val="1"/>
      <w:numFmt w:val="bullet"/>
      <w:lvlText w:val=""/>
      <w:lvlJc w:val="left"/>
      <w:pPr>
        <w:ind w:left="900" w:hanging="562"/>
      </w:pPr>
      <w:rPr>
        <w:rFonts w:ascii="Wingdings" w:hAnsi="Wingdings" w:hint="default"/>
        <w:b w:val="0"/>
        <w:w w:val="100"/>
        <w:position w:val="-6"/>
        <w:sz w:val="22"/>
      </w:rPr>
    </w:lvl>
    <w:lvl w:ilvl="1">
      <w:numFmt w:val="bullet"/>
      <w:lvlText w:val="•"/>
      <w:lvlJc w:val="left"/>
      <w:pPr>
        <w:ind w:left="1794" w:hanging="562"/>
      </w:pPr>
    </w:lvl>
    <w:lvl w:ilvl="2">
      <w:numFmt w:val="bullet"/>
      <w:lvlText w:val="•"/>
      <w:lvlJc w:val="left"/>
      <w:pPr>
        <w:ind w:left="2689" w:hanging="562"/>
      </w:pPr>
    </w:lvl>
    <w:lvl w:ilvl="3">
      <w:numFmt w:val="bullet"/>
      <w:lvlText w:val="•"/>
      <w:lvlJc w:val="left"/>
      <w:pPr>
        <w:ind w:left="3583" w:hanging="562"/>
      </w:pPr>
    </w:lvl>
    <w:lvl w:ilvl="4">
      <w:numFmt w:val="bullet"/>
      <w:lvlText w:val="•"/>
      <w:lvlJc w:val="left"/>
      <w:pPr>
        <w:ind w:left="4478" w:hanging="562"/>
      </w:pPr>
    </w:lvl>
    <w:lvl w:ilvl="5">
      <w:numFmt w:val="bullet"/>
      <w:lvlText w:val="•"/>
      <w:lvlJc w:val="left"/>
      <w:pPr>
        <w:ind w:left="5373" w:hanging="562"/>
      </w:pPr>
    </w:lvl>
    <w:lvl w:ilvl="6">
      <w:numFmt w:val="bullet"/>
      <w:lvlText w:val="•"/>
      <w:lvlJc w:val="left"/>
      <w:pPr>
        <w:ind w:left="6267" w:hanging="562"/>
      </w:pPr>
    </w:lvl>
    <w:lvl w:ilvl="7">
      <w:numFmt w:val="bullet"/>
      <w:lvlText w:val="•"/>
      <w:lvlJc w:val="left"/>
      <w:pPr>
        <w:ind w:left="7162" w:hanging="562"/>
      </w:pPr>
    </w:lvl>
    <w:lvl w:ilvl="8">
      <w:numFmt w:val="bullet"/>
      <w:lvlText w:val="•"/>
      <w:lvlJc w:val="left"/>
      <w:pPr>
        <w:ind w:left="8057" w:hanging="562"/>
      </w:pPr>
    </w:lvl>
  </w:abstractNum>
  <w:abstractNum w:abstractNumId="18" w15:restartNumberingAfterBreak="0">
    <w:nsid w:val="7BDE34D5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6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  <w:num w:numId="13">
    <w:abstractNumId w:val="18"/>
  </w:num>
  <w:num w:numId="14">
    <w:abstractNumId w:val="13"/>
  </w:num>
  <w:num w:numId="15">
    <w:abstractNumId w:val="4"/>
  </w:num>
  <w:num w:numId="16">
    <w:abstractNumId w:val="17"/>
  </w:num>
  <w:num w:numId="17">
    <w:abstractNumId w:val="14"/>
  </w:num>
  <w:num w:numId="18">
    <w:abstractNumId w:val="6"/>
  </w:num>
  <w:num w:numId="1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628F0"/>
    <w:rsid w:val="000B70B9"/>
    <w:rsid w:val="000F2FE1"/>
    <w:rsid w:val="000F47CD"/>
    <w:rsid w:val="0010591C"/>
    <w:rsid w:val="001163AD"/>
    <w:rsid w:val="00117450"/>
    <w:rsid w:val="001351BE"/>
    <w:rsid w:val="001D5A70"/>
    <w:rsid w:val="002D0287"/>
    <w:rsid w:val="002D7C30"/>
    <w:rsid w:val="002E3A8D"/>
    <w:rsid w:val="003A1569"/>
    <w:rsid w:val="0045250A"/>
    <w:rsid w:val="004C54BD"/>
    <w:rsid w:val="004D708E"/>
    <w:rsid w:val="0051033C"/>
    <w:rsid w:val="005174AF"/>
    <w:rsid w:val="00541A26"/>
    <w:rsid w:val="005E3AF2"/>
    <w:rsid w:val="00633264"/>
    <w:rsid w:val="006713ED"/>
    <w:rsid w:val="006C164F"/>
    <w:rsid w:val="008474F7"/>
    <w:rsid w:val="0089236C"/>
    <w:rsid w:val="00894C25"/>
    <w:rsid w:val="00976E33"/>
    <w:rsid w:val="0098424E"/>
    <w:rsid w:val="00A630D8"/>
    <w:rsid w:val="00AA1926"/>
    <w:rsid w:val="00AD7CA3"/>
    <w:rsid w:val="00B27C86"/>
    <w:rsid w:val="00B8078A"/>
    <w:rsid w:val="00BB200C"/>
    <w:rsid w:val="00C65616"/>
    <w:rsid w:val="00C91EFF"/>
    <w:rsid w:val="00CF0BD2"/>
    <w:rsid w:val="00CF4116"/>
    <w:rsid w:val="00D31EAF"/>
    <w:rsid w:val="00D470E3"/>
    <w:rsid w:val="00DA3AEB"/>
    <w:rsid w:val="00E377AA"/>
    <w:rsid w:val="00E83F55"/>
    <w:rsid w:val="00E915A9"/>
    <w:rsid w:val="00EA2DEF"/>
    <w:rsid w:val="00EC3316"/>
    <w:rsid w:val="00F04B72"/>
    <w:rsid w:val="00F2090A"/>
    <w:rsid w:val="00F41F56"/>
    <w:rsid w:val="00F943B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05DB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  <w:style w:type="paragraph" w:customStyle="1" w:styleId="Sraopastraipa1">
    <w:name w:val="Sąrašo pastraipa1"/>
    <w:basedOn w:val="Normal"/>
    <w:uiPriority w:val="99"/>
    <w:qFormat/>
    <w:rsid w:val="000B70B9"/>
    <w:pPr>
      <w:ind w:left="720"/>
      <w:contextualSpacing/>
    </w:pPr>
    <w:rPr>
      <w:kern w:val="28"/>
      <w:lang w:val="en-GB"/>
    </w:rPr>
  </w:style>
  <w:style w:type="character" w:customStyle="1" w:styleId="resultoftext">
    <w:name w:val="resultoftext"/>
    <w:basedOn w:val="DefaultParagraphFont"/>
    <w:rsid w:val="000B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79F9-D6F3-4D19-95BC-E7B6223E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9801</Words>
  <Characters>5587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6</cp:revision>
  <dcterms:created xsi:type="dcterms:W3CDTF">2020-04-09T19:10:00Z</dcterms:created>
  <dcterms:modified xsi:type="dcterms:W3CDTF">2020-05-22T07:50:00Z</dcterms:modified>
</cp:coreProperties>
</file>