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FB110B" w:rsidRDefault="005F7602" w:rsidP="002946C7">
      <w:pPr>
        <w:ind w:left="5529"/>
        <w:rPr>
          <w:lang w:val="en-US"/>
        </w:rPr>
      </w:pPr>
    </w:p>
    <w:p w14:paraId="12FA4B9E" w14:textId="77777777" w:rsidR="001B3C5B" w:rsidRPr="00D71EAE" w:rsidRDefault="001B3C5B" w:rsidP="001B3C5B">
      <w:pPr>
        <w:ind w:left="6096"/>
      </w:pPr>
      <w:r w:rsidRPr="00D71EAE">
        <w:t>Forma patvirtinta</w:t>
      </w:r>
    </w:p>
    <w:p w14:paraId="7206970B" w14:textId="70E9BD2E" w:rsidR="004C263A" w:rsidRPr="00D71EAE" w:rsidRDefault="001B3C5B" w:rsidP="001B3C5B">
      <w:pPr>
        <w:ind w:left="6096"/>
      </w:pPr>
      <w:r w:rsidRPr="00D71EAE">
        <w:t>Valstybinės vaistų kontrolės tarnybos prie Lietuvos Respublikos sveikatos apsaugos ministerijos viršininko 2021 m</w:t>
      </w:r>
      <w:r w:rsidR="004C263A" w:rsidRPr="00D71EAE">
        <w:t xml:space="preserve">. lapkričio 12 </w:t>
      </w:r>
      <w:r w:rsidRPr="00D71EAE">
        <w:t>d. įsakymu Nr.</w:t>
      </w:r>
      <w:r w:rsidR="004C263A" w:rsidRPr="00D71EAE">
        <w:t xml:space="preserve"> (1.72E)1A-1418</w:t>
      </w:r>
    </w:p>
    <w:p w14:paraId="5B219AA6" w14:textId="520B9136" w:rsidR="001B3C5B" w:rsidRPr="00D71EAE" w:rsidRDefault="004C263A" w:rsidP="001B3C5B">
      <w:pPr>
        <w:ind w:left="6096"/>
      </w:pPr>
      <w:r w:rsidRPr="00D71EAE">
        <w:t>(Valstybinės vaistų kontrolės tarnybos prie Lietuvos Respublikos sveikatos apsaugos ministerijos viršininko 2022 m.                         d. įsakymo Nr.                    redakcija)</w:t>
      </w:r>
    </w:p>
    <w:p w14:paraId="3336BD74" w14:textId="77777777" w:rsidR="001B3C5B" w:rsidRPr="00D71EAE" w:rsidRDefault="001B3C5B" w:rsidP="00FA4169"/>
    <w:p w14:paraId="77AFB67E" w14:textId="16397257" w:rsidR="00613501" w:rsidRPr="00D71EAE" w:rsidRDefault="002F0E4F" w:rsidP="003B211A">
      <w:pPr>
        <w:jc w:val="center"/>
        <w:rPr>
          <w:b/>
          <w:bCs/>
          <w:caps/>
        </w:rPr>
      </w:pPr>
      <w:r w:rsidRPr="00D71EAE">
        <w:rPr>
          <w:b/>
        </w:rPr>
        <w:t xml:space="preserve">REKOMENDACIJA DĖL VAISTINIO PREPARATO </w:t>
      </w:r>
      <w:r w:rsidRPr="00D71EAE">
        <w:rPr>
          <w:b/>
          <w:bCs/>
          <w:caps/>
        </w:rPr>
        <w:t>Lietuvos Respublikos Sveikatos apsaugos ministerijos vaistinių preparatų ir medicinos pagalbos priemonių kompensavimo komisijai</w:t>
      </w:r>
    </w:p>
    <w:p w14:paraId="34E4395D" w14:textId="15FB10DF" w:rsidR="00B13D65" w:rsidRPr="00D71EAE" w:rsidRDefault="00B13D65" w:rsidP="003B211A">
      <w:pPr>
        <w:jc w:val="center"/>
        <w:rPr>
          <w:b/>
        </w:rPr>
      </w:pPr>
    </w:p>
    <w:p w14:paraId="2A9B9AEA" w14:textId="5503A46C" w:rsidR="006D537C" w:rsidRPr="00D71EAE" w:rsidRDefault="006D537C" w:rsidP="006D537C">
      <w:pPr>
        <w:jc w:val="center"/>
        <w:rPr>
          <w:b/>
        </w:rPr>
      </w:pPr>
      <w:r w:rsidRPr="00D71EAE">
        <w:rPr>
          <w:b/>
        </w:rPr>
        <w:t>Enhertu 100 mg milteliai infuzinio tirpalo koncentratui</w:t>
      </w:r>
    </w:p>
    <w:p w14:paraId="2E92CACA" w14:textId="77777777" w:rsidR="006D537C" w:rsidRPr="00D71EAE" w:rsidRDefault="006D537C" w:rsidP="006D537C">
      <w:pPr>
        <w:jc w:val="center"/>
      </w:pPr>
    </w:p>
    <w:p w14:paraId="507A81AC" w14:textId="77777777" w:rsidR="006D537C" w:rsidRPr="00D71EAE" w:rsidRDefault="006D537C" w:rsidP="006D537C">
      <w:pPr>
        <w:jc w:val="center"/>
      </w:pPr>
      <w:r w:rsidRPr="00D71EAE">
        <w:t>(Trastuzumabas derukstekanas)</w:t>
      </w:r>
    </w:p>
    <w:p w14:paraId="06CD789B" w14:textId="6CF8C714" w:rsidR="006D537C" w:rsidRPr="00D71EAE" w:rsidRDefault="004C41C4" w:rsidP="006D537C">
      <w:pPr>
        <w:jc w:val="center"/>
      </w:pPr>
      <w:r w:rsidRPr="00D71EAE">
        <w:t xml:space="preserve"> </w:t>
      </w:r>
    </w:p>
    <w:p w14:paraId="139892FA" w14:textId="67B68C25" w:rsidR="006D537C" w:rsidRPr="00D71EAE" w:rsidRDefault="006D537C" w:rsidP="006D537C">
      <w:pPr>
        <w:jc w:val="center"/>
        <w:rPr>
          <w:b/>
        </w:rPr>
      </w:pPr>
      <w:r w:rsidRPr="00D71EAE">
        <w:rPr>
          <w:b/>
        </w:rPr>
        <w:t>Paraiškos numeris STV</w:t>
      </w:r>
      <w:r w:rsidR="009F4EA0" w:rsidRPr="00D71EAE">
        <w:rPr>
          <w:b/>
        </w:rPr>
        <w:t>-</w:t>
      </w:r>
      <w:r w:rsidRPr="00D71EAE">
        <w:rPr>
          <w:b/>
        </w:rPr>
        <w:t>80</w:t>
      </w:r>
    </w:p>
    <w:p w14:paraId="5BC2EA5D" w14:textId="45A77B4A" w:rsidR="00937907" w:rsidRPr="00D71EAE" w:rsidRDefault="00937907" w:rsidP="00DA7A4B">
      <w:pPr>
        <w:rPr>
          <w:b/>
        </w:rPr>
      </w:pPr>
    </w:p>
    <w:p w14:paraId="453197C8" w14:textId="77777777" w:rsidR="00D4708D" w:rsidRPr="00D71EAE" w:rsidRDefault="00D4708D" w:rsidP="003B211A">
      <w:pPr>
        <w:jc w:val="center"/>
        <w:rPr>
          <w:b/>
        </w:rPr>
      </w:pPr>
    </w:p>
    <w:p w14:paraId="78C89D1C" w14:textId="0DEFFAA5" w:rsidR="00D4485B" w:rsidRPr="00D71EAE" w:rsidRDefault="00B13D65" w:rsidP="00CC09D4">
      <w:pPr>
        <w:pStyle w:val="Sraopastraipa"/>
        <w:numPr>
          <w:ilvl w:val="0"/>
          <w:numId w:val="12"/>
        </w:numPr>
        <w:tabs>
          <w:tab w:val="left" w:pos="567"/>
        </w:tabs>
        <w:ind w:left="567" w:hanging="567"/>
        <w:rPr>
          <w:b/>
          <w:bCs/>
          <w:caps/>
        </w:rPr>
      </w:pPr>
      <w:r w:rsidRPr="00D71EAE">
        <w:rPr>
          <w:b/>
          <w:bCs/>
          <w:caps/>
        </w:rPr>
        <w:t>Bendroji dalis</w:t>
      </w:r>
    </w:p>
    <w:p w14:paraId="04A7C7A7" w14:textId="77777777" w:rsidR="00B13D65" w:rsidRPr="00D71EAE"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D71EAE" w:rsidRPr="00D71EAE" w14:paraId="18A83EC2" w14:textId="77777777" w:rsidTr="00BE7489">
        <w:trPr>
          <w:trHeight w:val="538"/>
        </w:trPr>
        <w:tc>
          <w:tcPr>
            <w:tcW w:w="632" w:type="dxa"/>
          </w:tcPr>
          <w:p w14:paraId="0646FBEA" w14:textId="77777777" w:rsidR="00B13D65" w:rsidRPr="00D71EAE" w:rsidRDefault="00B13D65" w:rsidP="00824B92">
            <w:pPr>
              <w:rPr>
                <w:rFonts w:eastAsia="Arial"/>
              </w:rPr>
            </w:pPr>
            <w:r w:rsidRPr="00D71EAE">
              <w:rPr>
                <w:rFonts w:eastAsia="Arial"/>
              </w:rPr>
              <w:t>1.1</w:t>
            </w:r>
          </w:p>
        </w:tc>
        <w:tc>
          <w:tcPr>
            <w:tcW w:w="3694" w:type="dxa"/>
          </w:tcPr>
          <w:p w14:paraId="6C3AE864" w14:textId="77777777" w:rsidR="00B13D65" w:rsidRPr="00D71EAE" w:rsidRDefault="00B13D65" w:rsidP="00824B92">
            <w:pPr>
              <w:rPr>
                <w:rFonts w:eastAsia="Arial"/>
              </w:rPr>
            </w:pPr>
            <w:r w:rsidRPr="00D71EAE">
              <w:rPr>
                <w:rFonts w:eastAsia="Arial"/>
              </w:rPr>
              <w:t>Pareiškėjas</w:t>
            </w:r>
          </w:p>
          <w:p w14:paraId="2AF240DC" w14:textId="77777777" w:rsidR="00B13D65" w:rsidRPr="00D71EAE" w:rsidRDefault="00B13D65" w:rsidP="00824B92">
            <w:pPr>
              <w:rPr>
                <w:rFonts w:eastAsia="Arial"/>
              </w:rPr>
            </w:pPr>
          </w:p>
        </w:tc>
        <w:tc>
          <w:tcPr>
            <w:tcW w:w="5167" w:type="dxa"/>
          </w:tcPr>
          <w:p w14:paraId="2AAF0D91" w14:textId="41419FA2" w:rsidR="00B13D65" w:rsidRPr="00D71EAE" w:rsidRDefault="004640B6" w:rsidP="00824B92">
            <w:pPr>
              <w:rPr>
                <w:rFonts w:eastAsia="Arial"/>
              </w:rPr>
            </w:pPr>
            <w:r w:rsidRPr="00D71EAE">
              <w:t>UAB „AstraZeneca Lietuva“</w:t>
            </w:r>
          </w:p>
        </w:tc>
      </w:tr>
      <w:tr w:rsidR="00D71EAE" w:rsidRPr="00D71EAE" w14:paraId="31998B0D" w14:textId="77777777" w:rsidTr="00BE7489">
        <w:trPr>
          <w:trHeight w:val="538"/>
        </w:trPr>
        <w:tc>
          <w:tcPr>
            <w:tcW w:w="632" w:type="dxa"/>
          </w:tcPr>
          <w:p w14:paraId="2005EC67" w14:textId="662300D0" w:rsidR="00B13D65" w:rsidRPr="00D71EAE" w:rsidRDefault="002E0702" w:rsidP="00824B92">
            <w:pPr>
              <w:rPr>
                <w:rFonts w:eastAsia="Arial"/>
              </w:rPr>
            </w:pPr>
            <w:r w:rsidRPr="00D71EAE">
              <w:rPr>
                <w:rFonts w:eastAsia="Arial"/>
              </w:rPr>
              <w:t>1.2</w:t>
            </w:r>
          </w:p>
        </w:tc>
        <w:tc>
          <w:tcPr>
            <w:tcW w:w="3694" w:type="dxa"/>
          </w:tcPr>
          <w:p w14:paraId="1E4AE3B1" w14:textId="77777777" w:rsidR="00B13D65" w:rsidRPr="00D71EAE" w:rsidRDefault="00B13D65" w:rsidP="00824B92">
            <w:pPr>
              <w:rPr>
                <w:bCs/>
                <w:lang w:eastAsia="lt-LT"/>
              </w:rPr>
            </w:pPr>
            <w:r w:rsidRPr="00D71EAE">
              <w:rPr>
                <w:bCs/>
                <w:lang w:eastAsia="lt-LT"/>
              </w:rPr>
              <w:t xml:space="preserve">Registracijos data </w:t>
            </w:r>
          </w:p>
          <w:p w14:paraId="3A0DC096" w14:textId="77777777" w:rsidR="00B13D65" w:rsidRPr="00D71EAE" w:rsidRDefault="00B13D65" w:rsidP="00824B92">
            <w:pPr>
              <w:rPr>
                <w:bCs/>
                <w:lang w:eastAsia="lt-LT"/>
              </w:rPr>
            </w:pPr>
          </w:p>
        </w:tc>
        <w:tc>
          <w:tcPr>
            <w:tcW w:w="5167" w:type="dxa"/>
          </w:tcPr>
          <w:p w14:paraId="3CA218AD" w14:textId="284A95CF" w:rsidR="00B13D65" w:rsidRPr="00D71EAE" w:rsidRDefault="00000000" w:rsidP="00824B92">
            <w:pPr>
              <w:rPr>
                <w:rStyle w:val="Style2"/>
              </w:rPr>
            </w:pPr>
            <w:sdt>
              <w:sdtPr>
                <w:rPr>
                  <w:sz w:val="32"/>
                </w:rPr>
                <w:alias w:val="Nurodykite konkrečią dieną"/>
                <w:tag w:val="Nurodykite pradžios datą"/>
                <w:id w:val="423238108"/>
                <w:placeholder>
                  <w:docPart w:val="0A1DCC42A2974C359888226B925C8FF8"/>
                </w:placeholder>
                <w15:color w:val="FFCC99"/>
                <w:date w:fullDate="2021-01-18T00:00:00Z">
                  <w:dateFormat w:val="yyyy 'm.' MMMM d 'd.'"/>
                  <w:lid w:val="lt-LT"/>
                  <w:storeMappedDataAs w:val="dateTime"/>
                  <w:calendar w:val="gregorian"/>
                </w:date>
              </w:sdtPr>
              <w:sdtEndPr>
                <w:rPr>
                  <w:sz w:val="24"/>
                </w:rPr>
              </w:sdtEndPr>
              <w:sdtContent>
                <w:r w:rsidR="004640B6" w:rsidRPr="00D71EAE">
                  <w:t>2021 m. sausio 18 d.</w:t>
                </w:r>
              </w:sdtContent>
            </w:sdt>
          </w:p>
        </w:tc>
      </w:tr>
      <w:tr w:rsidR="00D71EAE" w:rsidRPr="00D71EAE" w14:paraId="15968AE1" w14:textId="77777777" w:rsidTr="00BE7489">
        <w:trPr>
          <w:trHeight w:val="1500"/>
        </w:trPr>
        <w:tc>
          <w:tcPr>
            <w:tcW w:w="632" w:type="dxa"/>
          </w:tcPr>
          <w:p w14:paraId="6A784245" w14:textId="1E461489" w:rsidR="00B13D65" w:rsidRPr="00D71EAE" w:rsidRDefault="002E0702" w:rsidP="00824B92">
            <w:pPr>
              <w:rPr>
                <w:rFonts w:eastAsia="Arial"/>
              </w:rPr>
            </w:pPr>
            <w:r w:rsidRPr="00D71EAE">
              <w:rPr>
                <w:rFonts w:eastAsia="Arial"/>
              </w:rPr>
              <w:t>1.3</w:t>
            </w:r>
          </w:p>
        </w:tc>
        <w:tc>
          <w:tcPr>
            <w:tcW w:w="3694" w:type="dxa"/>
          </w:tcPr>
          <w:p w14:paraId="22933506" w14:textId="77777777" w:rsidR="00B13D65" w:rsidRPr="00D71EAE" w:rsidRDefault="00B13D65" w:rsidP="00824B92">
            <w:r w:rsidRPr="00D71EAE">
              <w:t xml:space="preserve">Paraiškos tipas </w:t>
            </w:r>
          </w:p>
          <w:p w14:paraId="0465E680" w14:textId="7F0A0714" w:rsidR="00B13D65" w:rsidRPr="00D71EAE" w:rsidRDefault="00B13D65" w:rsidP="00824B92">
            <w:r w:rsidRPr="00D71EAE">
              <w:t>(</w:t>
            </w:r>
            <w:r w:rsidR="00695CD3" w:rsidRPr="00D71EAE">
              <w:t xml:space="preserve">pagal </w:t>
            </w:r>
            <w:r w:rsidR="0039696E" w:rsidRPr="00D71EAE">
              <w:rPr>
                <w:shd w:val="clear" w:color="auto" w:fill="FFFFFF"/>
              </w:rPr>
              <w:t>vaistinio preparato registracijos tipą, įtvirtintą</w:t>
            </w:r>
            <w:r w:rsidR="0039696E" w:rsidRPr="00D71EAE">
              <w:t xml:space="preserve"> </w:t>
            </w:r>
            <w:r w:rsidRPr="00D71EAE">
              <w:t>Direktyv</w:t>
            </w:r>
            <w:r w:rsidR="00695CD3" w:rsidRPr="00D71EAE">
              <w:t>os</w:t>
            </w:r>
            <w:r w:rsidRPr="00D71EAE">
              <w:t xml:space="preserve"> 2001/83/EB</w:t>
            </w:r>
            <w:r w:rsidR="00695CD3" w:rsidRPr="00D71EAE">
              <w:t xml:space="preserve"> straips</w:t>
            </w:r>
            <w:r w:rsidR="0039696E" w:rsidRPr="00D71EAE">
              <w:t>iuose</w:t>
            </w:r>
            <w:r w:rsidRPr="00D71EAE">
              <w:t>)</w:t>
            </w:r>
          </w:p>
          <w:p w14:paraId="77089D80" w14:textId="6681D72A" w:rsidR="00B13D65" w:rsidRPr="00D71EAE" w:rsidRDefault="00B13D65" w:rsidP="00824B92">
            <w:pPr>
              <w:rPr>
                <w:bCs/>
                <w:lang w:eastAsia="lt-LT"/>
              </w:rPr>
            </w:pPr>
          </w:p>
        </w:tc>
        <w:tc>
          <w:tcPr>
            <w:tcW w:w="5167" w:type="dxa"/>
          </w:tcPr>
          <w:p w14:paraId="208F40EC" w14:textId="2F4EA9C5" w:rsidR="00B13D65" w:rsidRPr="00D71EAE"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sidRPr="00D71EAE">
                  <w:rPr>
                    <w:rStyle w:val="Style2"/>
                    <w:rFonts w:ascii="MS Gothic" w:eastAsia="MS Gothic" w:hAnsi="MS Gothic" w:hint="eastAsia"/>
                    <w:sz w:val="22"/>
                    <w:szCs w:val="22"/>
                  </w:rPr>
                  <w:t>☒</w:t>
                </w:r>
              </w:sdtContent>
            </w:sdt>
            <w:r w:rsidR="00B13D65" w:rsidRPr="00D71EAE">
              <w:rPr>
                <w:sz w:val="22"/>
                <w:szCs w:val="22"/>
              </w:rPr>
              <w:t xml:space="preserve">8.3 str. (pilna byla, pagrįsta savais tyrimais) </w:t>
            </w:r>
          </w:p>
          <w:p w14:paraId="32BA564E" w14:textId="3FDA3E01" w:rsidR="00B13D65" w:rsidRPr="00D71EAE"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D71EAE">
                  <w:rPr>
                    <w:rStyle w:val="Style2"/>
                    <w:rFonts w:ascii="Segoe UI Symbol" w:eastAsia="MS Gothic" w:hAnsi="Segoe UI Symbol" w:cs="Segoe UI Symbol"/>
                    <w:sz w:val="22"/>
                    <w:szCs w:val="22"/>
                  </w:rPr>
                  <w:t>☐</w:t>
                </w:r>
              </w:sdtContent>
            </w:sdt>
            <w:r w:rsidR="00B13D65" w:rsidRPr="00D71EAE">
              <w:rPr>
                <w:sz w:val="22"/>
                <w:szCs w:val="22"/>
              </w:rPr>
              <w:t xml:space="preserve">10 a str. (pripažintas medicininis vartojimas) </w:t>
            </w:r>
          </w:p>
          <w:p w14:paraId="318DCD7F" w14:textId="32333E53" w:rsidR="00B13D65" w:rsidRPr="00D71EAE"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D71EAE">
                  <w:rPr>
                    <w:rStyle w:val="Style2"/>
                    <w:rFonts w:ascii="Segoe UI Symbol" w:eastAsia="MS Gothic" w:hAnsi="Segoe UI Symbol" w:cs="Segoe UI Symbol"/>
                    <w:sz w:val="22"/>
                    <w:szCs w:val="22"/>
                  </w:rPr>
                  <w:t>☐</w:t>
                </w:r>
              </w:sdtContent>
            </w:sdt>
            <w:r w:rsidR="00B13D65" w:rsidRPr="00D71EAE">
              <w:rPr>
                <w:sz w:val="22"/>
                <w:szCs w:val="22"/>
              </w:rPr>
              <w:t>10.1 str. (generinis)</w:t>
            </w:r>
          </w:p>
          <w:p w14:paraId="3B0A4F72" w14:textId="3F5FB073" w:rsidR="00B13D65" w:rsidRPr="00D71EAE"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D71EAE">
                  <w:rPr>
                    <w:rStyle w:val="Style2"/>
                    <w:rFonts w:ascii="Segoe UI Symbol" w:eastAsia="MS Gothic" w:hAnsi="Segoe UI Symbol" w:cs="Segoe UI Symbol"/>
                    <w:sz w:val="22"/>
                    <w:szCs w:val="22"/>
                  </w:rPr>
                  <w:t>☐</w:t>
                </w:r>
              </w:sdtContent>
            </w:sdt>
            <w:r w:rsidR="00B13D65" w:rsidRPr="00D71EAE">
              <w:rPr>
                <w:sz w:val="22"/>
                <w:szCs w:val="22"/>
              </w:rPr>
              <w:t>10.3 str. (hibridinis)</w:t>
            </w:r>
          </w:p>
        </w:tc>
      </w:tr>
      <w:tr w:rsidR="00D71EAE" w:rsidRPr="00D71EAE" w14:paraId="310E9662" w14:textId="77777777" w:rsidTr="00BE7489">
        <w:trPr>
          <w:trHeight w:val="1442"/>
        </w:trPr>
        <w:tc>
          <w:tcPr>
            <w:tcW w:w="632" w:type="dxa"/>
          </w:tcPr>
          <w:p w14:paraId="4B5A91A2" w14:textId="561B5E5F" w:rsidR="00B13D65" w:rsidRPr="00D71EAE" w:rsidRDefault="00B13D65" w:rsidP="00824B92">
            <w:pPr>
              <w:rPr>
                <w:rFonts w:eastAsia="Arial"/>
              </w:rPr>
            </w:pPr>
            <w:r w:rsidRPr="00D71EAE">
              <w:rPr>
                <w:rFonts w:eastAsia="Arial"/>
              </w:rPr>
              <w:t>1.</w:t>
            </w:r>
            <w:r w:rsidR="002E0702" w:rsidRPr="00D71EAE">
              <w:rPr>
                <w:rFonts w:eastAsia="Arial"/>
              </w:rPr>
              <w:t>4</w:t>
            </w:r>
          </w:p>
        </w:tc>
        <w:tc>
          <w:tcPr>
            <w:tcW w:w="3694" w:type="dxa"/>
          </w:tcPr>
          <w:p w14:paraId="6C91E105" w14:textId="77777777" w:rsidR="00B13D65" w:rsidRPr="00D71EAE" w:rsidRDefault="00B13D65" w:rsidP="00824B92">
            <w:pPr>
              <w:rPr>
                <w:bCs/>
                <w:lang w:eastAsia="lt-LT"/>
              </w:rPr>
            </w:pPr>
            <w:r w:rsidRPr="00D71EAE">
              <w:rPr>
                <w:bCs/>
                <w:lang w:eastAsia="lt-LT"/>
              </w:rPr>
              <w:t xml:space="preserve">Ar vaistinis preparatas įrašytas į Bendrijos retųjų vaistinių preparatų registrą? </w:t>
            </w:r>
          </w:p>
          <w:p w14:paraId="483071A3" w14:textId="2FEB27F0" w:rsidR="00B13D65" w:rsidRPr="00D71EAE" w:rsidRDefault="00B13D65" w:rsidP="00824B92">
            <w:pPr>
              <w:rPr>
                <w:bCs/>
                <w:lang w:eastAsia="lt-LT"/>
              </w:rPr>
            </w:pPr>
          </w:p>
        </w:tc>
        <w:tc>
          <w:tcPr>
            <w:tcW w:w="5167" w:type="dxa"/>
          </w:tcPr>
          <w:p w14:paraId="05845C60" w14:textId="10CF4033" w:rsidR="00B13D65" w:rsidRPr="00D71EAE"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D71EAE">
                  <w:rPr>
                    <w:rStyle w:val="Style2"/>
                    <w:rFonts w:ascii="MS Gothic" w:eastAsia="MS Gothic" w:hAnsi="MS Gothic" w:hint="eastAsia"/>
                    <w:sz w:val="24"/>
                  </w:rPr>
                  <w:t>☐</w:t>
                </w:r>
              </w:sdtContent>
            </w:sdt>
            <w:r w:rsidR="00B13D65" w:rsidRPr="00D71EAE">
              <w:t xml:space="preserve"> Taip</w:t>
            </w:r>
          </w:p>
          <w:p w14:paraId="41D88067" w14:textId="50A2D786" w:rsidR="00B13D65" w:rsidRPr="00D71EAE"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sidRPr="00D71EAE">
                  <w:rPr>
                    <w:rStyle w:val="Style2"/>
                    <w:rFonts w:ascii="MS Gothic" w:eastAsia="MS Gothic" w:hAnsi="MS Gothic" w:hint="eastAsia"/>
                    <w:sz w:val="24"/>
                  </w:rPr>
                  <w:t>☒</w:t>
                </w:r>
              </w:sdtContent>
            </w:sdt>
            <w:r w:rsidR="00B13D65" w:rsidRPr="00D71EAE">
              <w:t xml:space="preserve"> Ne</w:t>
            </w:r>
          </w:p>
          <w:p w14:paraId="29C2CBBB" w14:textId="77777777" w:rsidR="00B13D65" w:rsidRPr="00D71EAE"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D71EAE">
                  <w:rPr>
                    <w:rStyle w:val="Vietosrezervavimoenklotekstas"/>
                    <w:color w:val="auto"/>
                  </w:rPr>
                  <w:t>Click here to enter a date.</w:t>
                </w:r>
              </w:sdtContent>
            </w:sdt>
          </w:p>
        </w:tc>
      </w:tr>
      <w:tr w:rsidR="00D71EAE" w:rsidRPr="00D71EAE" w14:paraId="7841E5F8" w14:textId="77777777" w:rsidTr="00BE7489">
        <w:trPr>
          <w:trHeight w:val="476"/>
        </w:trPr>
        <w:tc>
          <w:tcPr>
            <w:tcW w:w="632" w:type="dxa"/>
          </w:tcPr>
          <w:p w14:paraId="109D2861" w14:textId="73BF27DF" w:rsidR="00D417D2" w:rsidRPr="00D71EAE" w:rsidRDefault="00D417D2" w:rsidP="00824B92">
            <w:pPr>
              <w:rPr>
                <w:rFonts w:eastAsia="Arial"/>
              </w:rPr>
            </w:pPr>
            <w:r w:rsidRPr="00D71EAE">
              <w:rPr>
                <w:rFonts w:eastAsia="Arial"/>
              </w:rPr>
              <w:t>1.5</w:t>
            </w:r>
          </w:p>
        </w:tc>
        <w:tc>
          <w:tcPr>
            <w:tcW w:w="3694" w:type="dxa"/>
          </w:tcPr>
          <w:p w14:paraId="7822D63E" w14:textId="68C38334" w:rsidR="00D417D2" w:rsidRPr="00D71EAE" w:rsidRDefault="00D417D2" w:rsidP="00824B92">
            <w:pPr>
              <w:rPr>
                <w:bCs/>
                <w:lang w:eastAsia="lt-LT"/>
              </w:rPr>
            </w:pPr>
            <w:r w:rsidRPr="00D71EAE">
              <w:t>STV paraiškos pobūdis</w:t>
            </w:r>
          </w:p>
        </w:tc>
        <w:tc>
          <w:tcPr>
            <w:tcW w:w="5167" w:type="dxa"/>
          </w:tcPr>
          <w:p w14:paraId="403461B9" w14:textId="68A37216" w:rsidR="00D417D2" w:rsidRPr="00D71EAE"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sidRPr="00D71EAE">
                  <w:rPr>
                    <w:rStyle w:val="Style2"/>
                    <w:rFonts w:ascii="MS Gothic" w:eastAsia="MS Gothic" w:hAnsi="MS Gothic" w:hint="eastAsia"/>
                    <w:sz w:val="24"/>
                  </w:rPr>
                  <w:t>☒</w:t>
                </w:r>
              </w:sdtContent>
            </w:sdt>
            <w:r w:rsidR="00D417D2" w:rsidRPr="00D71EAE">
              <w:t xml:space="preserve"> Pilna paraiška</w:t>
            </w:r>
          </w:p>
          <w:p w14:paraId="6B8213E3" w14:textId="3495CDF4" w:rsidR="00D417D2" w:rsidRPr="00D71EAE"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D71EAE">
                  <w:rPr>
                    <w:rStyle w:val="Style2"/>
                    <w:rFonts w:ascii="MS Gothic" w:eastAsia="MS Gothic" w:hAnsi="MS Gothic" w:hint="eastAsia"/>
                    <w:sz w:val="24"/>
                  </w:rPr>
                  <w:t>☐</w:t>
                </w:r>
              </w:sdtContent>
            </w:sdt>
            <w:r w:rsidR="00D417D2" w:rsidRPr="00D71EAE">
              <w:t xml:space="preserve"> Supaprastinta paraiška</w:t>
            </w:r>
          </w:p>
        </w:tc>
      </w:tr>
      <w:tr w:rsidR="00D71EAE" w:rsidRPr="00D71EAE" w14:paraId="274D1DAF" w14:textId="77777777" w:rsidTr="00766852">
        <w:trPr>
          <w:trHeight w:val="4101"/>
        </w:trPr>
        <w:tc>
          <w:tcPr>
            <w:tcW w:w="632" w:type="dxa"/>
          </w:tcPr>
          <w:p w14:paraId="17ABF217" w14:textId="14AC00D7" w:rsidR="00B13D65" w:rsidRPr="00D71EAE" w:rsidRDefault="00B13D65" w:rsidP="00824B92">
            <w:pPr>
              <w:rPr>
                <w:rFonts w:eastAsia="Arial"/>
              </w:rPr>
            </w:pPr>
            <w:r w:rsidRPr="00D71EAE">
              <w:rPr>
                <w:rFonts w:eastAsia="Arial"/>
              </w:rPr>
              <w:lastRenderedPageBreak/>
              <w:t>1.</w:t>
            </w:r>
            <w:r w:rsidR="00D417D2" w:rsidRPr="00D71EAE">
              <w:rPr>
                <w:rFonts w:eastAsia="Arial"/>
              </w:rPr>
              <w:t>6</w:t>
            </w:r>
          </w:p>
        </w:tc>
        <w:tc>
          <w:tcPr>
            <w:tcW w:w="3694" w:type="dxa"/>
          </w:tcPr>
          <w:p w14:paraId="4D49DBF5" w14:textId="77777777" w:rsidR="007656B2" w:rsidRPr="00D71EAE" w:rsidRDefault="00DE4484" w:rsidP="00824B92">
            <w:pPr>
              <w:rPr>
                <w:bCs/>
                <w:lang w:eastAsia="lt-LT"/>
              </w:rPr>
            </w:pPr>
            <w:r w:rsidRPr="00D71EAE">
              <w:rPr>
                <w:bCs/>
                <w:lang w:eastAsia="lt-LT"/>
              </w:rPr>
              <w:t>Par</w:t>
            </w:r>
            <w:r w:rsidR="007656B2" w:rsidRPr="00D71EAE">
              <w:rPr>
                <w:bCs/>
                <w:lang w:eastAsia="lt-LT"/>
              </w:rPr>
              <w:t>eiškėjo t</w:t>
            </w:r>
            <w:r w:rsidR="00B13D65" w:rsidRPr="00D71EAE">
              <w:rPr>
                <w:bCs/>
                <w:lang w:eastAsia="lt-LT"/>
              </w:rPr>
              <w:t>eikiama (-os) kompensuoti vaistinio preparato indikacija (-os)</w:t>
            </w:r>
          </w:p>
          <w:p w14:paraId="3FB07EE5" w14:textId="39AB446B" w:rsidR="00AE1322" w:rsidRPr="00D71EAE" w:rsidRDefault="00AE1322" w:rsidP="00824B92">
            <w:pPr>
              <w:rPr>
                <w:bCs/>
                <w:lang w:eastAsia="lt-LT"/>
              </w:rPr>
            </w:pPr>
          </w:p>
          <w:p w14:paraId="7A6C9F2C" w14:textId="6725AEFB" w:rsidR="00D970E4" w:rsidRPr="00D71EAE" w:rsidRDefault="00D970E4" w:rsidP="00824B92">
            <w:pPr>
              <w:rPr>
                <w:bCs/>
                <w:lang w:eastAsia="lt-LT"/>
              </w:rPr>
            </w:pPr>
          </w:p>
          <w:p w14:paraId="2BB6BD0F" w14:textId="16E59951" w:rsidR="00D970E4" w:rsidRPr="00D71EAE" w:rsidRDefault="00D970E4" w:rsidP="00824B92">
            <w:pPr>
              <w:rPr>
                <w:bCs/>
                <w:lang w:eastAsia="lt-LT"/>
              </w:rPr>
            </w:pPr>
          </w:p>
          <w:p w14:paraId="01377C9D" w14:textId="7EBC2898" w:rsidR="00D970E4" w:rsidRPr="00D71EAE" w:rsidRDefault="00D970E4" w:rsidP="00824B92">
            <w:pPr>
              <w:rPr>
                <w:bCs/>
                <w:lang w:eastAsia="lt-LT"/>
              </w:rPr>
            </w:pPr>
          </w:p>
          <w:p w14:paraId="136E50EC" w14:textId="09E9D927" w:rsidR="00D970E4" w:rsidRPr="00D71EAE" w:rsidRDefault="00D970E4" w:rsidP="00824B92">
            <w:pPr>
              <w:rPr>
                <w:bCs/>
                <w:lang w:eastAsia="lt-LT"/>
              </w:rPr>
            </w:pPr>
          </w:p>
          <w:p w14:paraId="6B3C527B" w14:textId="202D84A5" w:rsidR="00D970E4" w:rsidRPr="00D71EAE" w:rsidRDefault="00D970E4" w:rsidP="00824B92">
            <w:pPr>
              <w:rPr>
                <w:bCs/>
                <w:lang w:eastAsia="lt-LT"/>
              </w:rPr>
            </w:pPr>
          </w:p>
          <w:p w14:paraId="0D46828A" w14:textId="39583DB6" w:rsidR="00D970E4" w:rsidRPr="00D71EAE" w:rsidRDefault="00D970E4" w:rsidP="00824B92">
            <w:pPr>
              <w:rPr>
                <w:bCs/>
                <w:lang w:eastAsia="lt-LT"/>
              </w:rPr>
            </w:pPr>
          </w:p>
          <w:p w14:paraId="09443FF8" w14:textId="4D0006A9" w:rsidR="00D970E4" w:rsidRPr="00D71EAE" w:rsidRDefault="00D970E4" w:rsidP="00824B92">
            <w:pPr>
              <w:rPr>
                <w:bCs/>
                <w:lang w:eastAsia="lt-LT"/>
              </w:rPr>
            </w:pPr>
          </w:p>
          <w:p w14:paraId="150C5C6F" w14:textId="77777777" w:rsidR="00D970E4" w:rsidRPr="00D71EAE" w:rsidRDefault="00D970E4" w:rsidP="00824B92">
            <w:pPr>
              <w:rPr>
                <w:bCs/>
                <w:lang w:eastAsia="lt-LT"/>
              </w:rPr>
            </w:pPr>
          </w:p>
          <w:p w14:paraId="3A6B054C" w14:textId="77777777" w:rsidR="00AE1322" w:rsidRPr="00D71EAE" w:rsidRDefault="00AE1322" w:rsidP="00824B92">
            <w:pPr>
              <w:rPr>
                <w:bCs/>
                <w:lang w:eastAsia="lt-LT"/>
              </w:rPr>
            </w:pPr>
          </w:p>
          <w:p w14:paraId="6B4FEEC1" w14:textId="378668B0" w:rsidR="00B13D65" w:rsidRPr="00D71EAE" w:rsidRDefault="007656B2" w:rsidP="00824B92">
            <w:pPr>
              <w:rPr>
                <w:bCs/>
                <w:lang w:eastAsia="lt-LT"/>
              </w:rPr>
            </w:pPr>
            <w:r w:rsidRPr="00D71EAE">
              <w:rPr>
                <w:bCs/>
                <w:lang w:eastAsia="lt-LT"/>
              </w:rPr>
              <w:t>K</w:t>
            </w:r>
            <w:r w:rsidR="00B13D65" w:rsidRPr="00D71EAE">
              <w:rPr>
                <w:bCs/>
                <w:lang w:eastAsia="lt-LT"/>
              </w:rPr>
              <w:t>odas</w:t>
            </w:r>
            <w:r w:rsidRPr="00D71EAE">
              <w:rPr>
                <w:bCs/>
                <w:lang w:eastAsia="lt-LT"/>
              </w:rPr>
              <w:t xml:space="preserve"> pagal TLK-10 AM</w:t>
            </w:r>
          </w:p>
        </w:tc>
        <w:tc>
          <w:tcPr>
            <w:tcW w:w="5167" w:type="dxa"/>
          </w:tcPr>
          <w:p w14:paraId="23931AB5" w14:textId="77777777" w:rsidR="006663AB" w:rsidRPr="00D71EAE" w:rsidRDefault="006663AB" w:rsidP="006663AB">
            <w:pPr>
              <w:pStyle w:val="Sraopastraipa"/>
              <w:spacing w:after="120"/>
              <w:ind w:left="0"/>
              <w:contextualSpacing w:val="0"/>
              <w:jc w:val="both"/>
              <w:rPr>
                <w:rFonts w:asciiTheme="majorBidi" w:hAnsiTheme="majorBidi" w:cstheme="majorBidi"/>
              </w:rPr>
            </w:pPr>
            <w:r w:rsidRPr="00D71EAE">
              <w:rPr>
                <w:rFonts w:asciiTheme="majorBidi" w:hAnsiTheme="majorBidi" w:cstheme="majorBidi"/>
              </w:rPr>
              <w:t>Enhertu monoterapija skirta pacientams, kuriems jau taikyti du arba daugiau prieš HER2 nukreipti gydymo režimai. Tai yra dalis registruotos indikacijos:</w:t>
            </w:r>
          </w:p>
          <w:p w14:paraId="7387C431" w14:textId="77777777" w:rsidR="006663AB" w:rsidRPr="00D71EAE" w:rsidRDefault="006663AB" w:rsidP="006663AB">
            <w:pPr>
              <w:spacing w:after="120"/>
              <w:jc w:val="both"/>
            </w:pPr>
            <w:r w:rsidRPr="00D71EAE">
              <w:t>HER2 teigiamas krūties vėžys:</w:t>
            </w:r>
          </w:p>
          <w:p w14:paraId="21D2683E" w14:textId="77777777" w:rsidR="00B13D65" w:rsidRPr="00D71EAE" w:rsidRDefault="006663AB" w:rsidP="006663AB">
            <w:pPr>
              <w:spacing w:after="120"/>
              <w:jc w:val="both"/>
            </w:pPr>
            <w:r w:rsidRPr="00D71EAE">
              <w:t>Enhertu monoterapija skirta nerezekuotinu arba metastazavusiu žmogaus epidermio augimo faktoriaus receptoriaus 2 (angl. human epidermal grow factor receptor 2, toliau - HER2) teigiamu krūties vėžiu sergančių suaugusių pacientų, kuriems jau taikytas vienas arba daugiau prieš HER2 nukreiptų gydymo režimų, gydymui.</w:t>
            </w:r>
          </w:p>
          <w:p w14:paraId="13F7DFB0" w14:textId="3CE53252" w:rsidR="006663AB" w:rsidRPr="00D71EAE" w:rsidRDefault="006663AB" w:rsidP="006663AB">
            <w:pPr>
              <w:spacing w:after="120"/>
              <w:jc w:val="both"/>
            </w:pPr>
            <w:r w:rsidRPr="00D71EAE">
              <w:t>C.50</w:t>
            </w:r>
          </w:p>
        </w:tc>
      </w:tr>
      <w:tr w:rsidR="00D71EAE" w:rsidRPr="00D71EAE" w14:paraId="2F79DC08" w14:textId="77777777" w:rsidTr="00BE7489">
        <w:trPr>
          <w:trHeight w:val="378"/>
        </w:trPr>
        <w:tc>
          <w:tcPr>
            <w:tcW w:w="632" w:type="dxa"/>
          </w:tcPr>
          <w:p w14:paraId="547885A2" w14:textId="08AA8055" w:rsidR="00B13D65" w:rsidRPr="00D71EAE" w:rsidRDefault="00B13D65" w:rsidP="00824B92">
            <w:pPr>
              <w:rPr>
                <w:rFonts w:eastAsia="Arial"/>
              </w:rPr>
            </w:pPr>
            <w:r w:rsidRPr="00D71EAE">
              <w:rPr>
                <w:rFonts w:eastAsia="Arial"/>
              </w:rPr>
              <w:t>1.</w:t>
            </w:r>
            <w:r w:rsidR="002E0702" w:rsidRPr="00D71EAE">
              <w:rPr>
                <w:rFonts w:eastAsia="Arial"/>
              </w:rPr>
              <w:t>6</w:t>
            </w:r>
          </w:p>
        </w:tc>
        <w:tc>
          <w:tcPr>
            <w:tcW w:w="3694" w:type="dxa"/>
          </w:tcPr>
          <w:p w14:paraId="2EAB877F" w14:textId="39A36941" w:rsidR="00B13D65" w:rsidRPr="00D71EAE" w:rsidRDefault="007656B2" w:rsidP="00824B92">
            <w:pPr>
              <w:rPr>
                <w:bCs/>
                <w:u w:val="single"/>
                <w:lang w:eastAsia="lt-LT"/>
              </w:rPr>
            </w:pPr>
            <w:r w:rsidRPr="00D71EAE">
              <w:rPr>
                <w:bCs/>
                <w:lang w:eastAsia="lt-LT"/>
              </w:rPr>
              <w:t>Pareiškėjo t</w:t>
            </w:r>
            <w:r w:rsidR="00B13D65" w:rsidRPr="00D71EAE">
              <w:rPr>
                <w:bCs/>
                <w:lang w:eastAsia="lt-LT"/>
              </w:rPr>
              <w:t>eikiamos skyrimo sąlygos</w:t>
            </w:r>
            <w:r w:rsidR="005B3756" w:rsidRPr="00D71EAE">
              <w:rPr>
                <w:bCs/>
                <w:lang w:eastAsia="lt-LT"/>
              </w:rPr>
              <w:t xml:space="preserve"> </w:t>
            </w:r>
          </w:p>
        </w:tc>
        <w:tc>
          <w:tcPr>
            <w:tcW w:w="5167" w:type="dxa"/>
          </w:tcPr>
          <w:p w14:paraId="027AB367" w14:textId="77777777" w:rsidR="006663AB" w:rsidRPr="00D71EAE" w:rsidRDefault="006663AB" w:rsidP="00766852">
            <w:pPr>
              <w:jc w:val="both"/>
              <w:rPr>
                <w:rFonts w:asciiTheme="majorBidi" w:hAnsiTheme="majorBidi" w:cstheme="majorBidi"/>
              </w:rPr>
            </w:pPr>
            <w:r w:rsidRPr="00D71EAE">
              <w:rPr>
                <w:rFonts w:asciiTheme="majorBidi" w:hAnsiTheme="majorBidi" w:cstheme="majorBidi"/>
              </w:rPr>
              <w:t>Enhertu monoterapija skirta pacientams, kuriems jau taikyti du arba daugiau prieš HER2 nukreipti gydymo režimai.</w:t>
            </w:r>
          </w:p>
          <w:p w14:paraId="0579DF58" w14:textId="38412014" w:rsidR="00B13D65" w:rsidRPr="00D71EAE" w:rsidRDefault="006663AB" w:rsidP="00766852">
            <w:pPr>
              <w:jc w:val="both"/>
            </w:pPr>
            <w:r w:rsidRPr="00D71EAE">
              <w:rPr>
                <w:rFonts w:asciiTheme="majorBidi" w:hAnsiTheme="majorBidi" w:cstheme="majorBidi"/>
              </w:rPr>
              <w:t>Enhertu turi skirti gydytojas, jis turi būti vartojamas prižiūrint sveikatos priežiūros specialistui, turinčiam gydymo priešvėžiniais vaistiniais preparatais patirties. Kad nebūtų suklysta dėl vaistinio preparato, svarbu patikrinti flakonų etiketes, užtikrinant, kad vaistinis preparatas, kurį ketinama ruošti ir lašinti, yra Enhertu (trastuzumabas derukstekanas), o ne trastuzumabas arba trastuzumabas emtanzinas.</w:t>
            </w:r>
          </w:p>
        </w:tc>
      </w:tr>
      <w:tr w:rsidR="00B13D65" w:rsidRPr="00D71EAE" w14:paraId="3B125269" w14:textId="77777777" w:rsidTr="00BE7489">
        <w:trPr>
          <w:trHeight w:val="378"/>
        </w:trPr>
        <w:tc>
          <w:tcPr>
            <w:tcW w:w="632" w:type="dxa"/>
          </w:tcPr>
          <w:p w14:paraId="0058E11F" w14:textId="77777777" w:rsidR="00B13D65" w:rsidRPr="00D71EAE" w:rsidRDefault="00B13D65" w:rsidP="00824B92">
            <w:pPr>
              <w:rPr>
                <w:rFonts w:eastAsia="Arial"/>
              </w:rPr>
            </w:pPr>
            <w:r w:rsidRPr="00D71EAE">
              <w:rPr>
                <w:rFonts w:eastAsia="Arial"/>
              </w:rPr>
              <w:t>1.7</w:t>
            </w:r>
          </w:p>
        </w:tc>
        <w:tc>
          <w:tcPr>
            <w:tcW w:w="3694" w:type="dxa"/>
          </w:tcPr>
          <w:p w14:paraId="738E1926" w14:textId="50A9DC79" w:rsidR="00B13D65" w:rsidRPr="00D71EAE" w:rsidRDefault="007656B2" w:rsidP="00824B92">
            <w:pPr>
              <w:rPr>
                <w:bCs/>
                <w:lang w:eastAsia="lt-LT"/>
              </w:rPr>
            </w:pPr>
            <w:r w:rsidRPr="00D71EAE">
              <w:rPr>
                <w:bCs/>
                <w:lang w:eastAsia="lt-LT"/>
              </w:rPr>
              <w:t>Pareiškėjo teikiamas p</w:t>
            </w:r>
            <w:r w:rsidR="00B13D65" w:rsidRPr="00D71EAE">
              <w:rPr>
                <w:bCs/>
                <w:lang w:eastAsia="lt-LT"/>
              </w:rPr>
              <w:t>alyginamasis</w:t>
            </w:r>
            <w:r w:rsidR="005B3756" w:rsidRPr="00D71EAE">
              <w:rPr>
                <w:bCs/>
                <w:lang w:eastAsia="lt-LT"/>
              </w:rPr>
              <w:t xml:space="preserve"> </w:t>
            </w:r>
            <w:r w:rsidR="00B13D65" w:rsidRPr="00D71EAE">
              <w:rPr>
                <w:bCs/>
                <w:lang w:eastAsia="lt-LT"/>
              </w:rPr>
              <w:t>gydymas</w:t>
            </w:r>
            <w:r w:rsidR="0047414A" w:rsidRPr="00D71EAE">
              <w:rPr>
                <w:bCs/>
                <w:lang w:eastAsia="lt-LT"/>
              </w:rPr>
              <w:t>:</w:t>
            </w:r>
            <w:r w:rsidR="00B13D65" w:rsidRPr="00D71EAE">
              <w:rPr>
                <w:bCs/>
                <w:lang w:eastAsia="lt-LT"/>
              </w:rPr>
              <w:t xml:space="preserve"> </w:t>
            </w:r>
          </w:p>
          <w:p w14:paraId="1F7BF92F" w14:textId="6E3AE3A9" w:rsidR="007C7519" w:rsidRPr="00D71EAE" w:rsidRDefault="007C7519" w:rsidP="00824B92">
            <w:pPr>
              <w:rPr>
                <w:bCs/>
                <w:i/>
                <w:lang w:eastAsia="lt-LT"/>
              </w:rPr>
            </w:pPr>
            <w:r w:rsidRPr="00D71EAE">
              <w:rPr>
                <w:bCs/>
                <w:i/>
                <w:lang w:eastAsia="lt-LT"/>
              </w:rPr>
              <w:t>Tiesioginis</w:t>
            </w:r>
          </w:p>
          <w:p w14:paraId="643CC07B" w14:textId="2D7C9848" w:rsidR="00D970E4" w:rsidRPr="00D71EAE" w:rsidRDefault="00D970E4" w:rsidP="00824B92">
            <w:pPr>
              <w:rPr>
                <w:bCs/>
                <w:i/>
                <w:lang w:eastAsia="lt-LT"/>
              </w:rPr>
            </w:pPr>
          </w:p>
          <w:p w14:paraId="1FEACC56" w14:textId="0E2E44A3" w:rsidR="00D970E4" w:rsidRPr="00D71EAE" w:rsidRDefault="00D970E4" w:rsidP="00824B92">
            <w:pPr>
              <w:rPr>
                <w:bCs/>
                <w:i/>
                <w:lang w:eastAsia="lt-LT"/>
              </w:rPr>
            </w:pPr>
          </w:p>
          <w:p w14:paraId="200BD3DE" w14:textId="12603D6A" w:rsidR="00D970E4" w:rsidRPr="00D71EAE" w:rsidRDefault="00D970E4" w:rsidP="00824B92">
            <w:pPr>
              <w:rPr>
                <w:bCs/>
                <w:i/>
                <w:lang w:eastAsia="lt-LT"/>
              </w:rPr>
            </w:pPr>
            <w:r w:rsidRPr="00D71EAE">
              <w:rPr>
                <w:bCs/>
                <w:i/>
                <w:lang w:eastAsia="lt-LT"/>
              </w:rPr>
              <w:t>Netiesioginis</w:t>
            </w:r>
          </w:p>
          <w:p w14:paraId="62057D94" w14:textId="77777777" w:rsidR="00413F24" w:rsidRPr="00D71EAE" w:rsidRDefault="00413F24" w:rsidP="00824B92">
            <w:pPr>
              <w:rPr>
                <w:bCs/>
                <w:lang w:eastAsia="lt-LT"/>
              </w:rPr>
            </w:pPr>
          </w:p>
          <w:p w14:paraId="6CC1022E" w14:textId="2B6BCEE1" w:rsidR="009F4D66" w:rsidRPr="00D71EAE" w:rsidRDefault="009F4D66" w:rsidP="00824B92">
            <w:pPr>
              <w:rPr>
                <w:bCs/>
                <w:lang w:eastAsia="lt-LT"/>
              </w:rPr>
            </w:pPr>
          </w:p>
        </w:tc>
        <w:tc>
          <w:tcPr>
            <w:tcW w:w="5167" w:type="dxa"/>
          </w:tcPr>
          <w:p w14:paraId="3E389C70" w14:textId="22AFFC76" w:rsidR="0047414A" w:rsidRPr="00D71EAE" w:rsidRDefault="0047414A" w:rsidP="00824B92">
            <w:pPr>
              <w:rPr>
                <w:rStyle w:val="Style2"/>
                <w:sz w:val="24"/>
              </w:rPr>
            </w:pPr>
          </w:p>
          <w:p w14:paraId="0AC43073" w14:textId="77777777" w:rsidR="00D970E4" w:rsidRPr="00D71EAE" w:rsidRDefault="00D970E4" w:rsidP="00D970E4"/>
          <w:p w14:paraId="2383573D" w14:textId="4C10AB2B" w:rsidR="00D970E4" w:rsidRPr="00D71EAE" w:rsidRDefault="00000000" w:rsidP="00D970E4">
            <w:sdt>
              <w:sdtPr>
                <w:rPr>
                  <w:rStyle w:val="Style2"/>
                  <w:sz w:val="24"/>
                </w:rPr>
                <w:id w:val="-439376113"/>
                <w15:color w:val="FFCC00"/>
                <w14:checkbox>
                  <w14:checked w14:val="0"/>
                  <w14:checkedState w14:val="2612" w14:font="MS Gothic"/>
                  <w14:uncheckedState w14:val="2610" w14:font="MS Gothic"/>
                </w14:checkbox>
              </w:sdtPr>
              <w:sdtContent>
                <w:r w:rsidR="004640B6" w:rsidRPr="00D71EAE">
                  <w:rPr>
                    <w:rStyle w:val="Style2"/>
                    <w:rFonts w:ascii="MS Gothic" w:eastAsia="MS Gothic" w:hAnsi="MS Gothic" w:hint="eastAsia"/>
                    <w:sz w:val="24"/>
                  </w:rPr>
                  <w:t>☐</w:t>
                </w:r>
              </w:sdtContent>
            </w:sdt>
            <w:r w:rsidR="00D970E4" w:rsidRPr="00D71EAE">
              <w:t xml:space="preserve"> Tinkamas</w:t>
            </w:r>
          </w:p>
          <w:p w14:paraId="5474EFC4" w14:textId="00B68021" w:rsidR="0047414A" w:rsidRPr="00D71EAE" w:rsidRDefault="00000000" w:rsidP="00D970E4">
            <w:pPr>
              <w:rPr>
                <w:rStyle w:val="Style2"/>
                <w:sz w:val="24"/>
              </w:rPr>
            </w:pPr>
            <w:sdt>
              <w:sdtPr>
                <w:rPr>
                  <w:rStyle w:val="Style2"/>
                  <w:sz w:val="24"/>
                </w:rPr>
                <w:id w:val="991603600"/>
                <w15:color w:val="FFCC00"/>
                <w14:checkbox>
                  <w14:checked w14:val="1"/>
                  <w14:checkedState w14:val="2612" w14:font="MS Gothic"/>
                  <w14:uncheckedState w14:val="2610" w14:font="MS Gothic"/>
                </w14:checkbox>
              </w:sdtPr>
              <w:sdtContent>
                <w:r w:rsidR="00D970E4" w:rsidRPr="00D71EAE">
                  <w:rPr>
                    <w:rStyle w:val="Style2"/>
                    <w:rFonts w:ascii="MS Gothic" w:eastAsia="MS Gothic" w:hAnsi="MS Gothic" w:hint="eastAsia"/>
                    <w:sz w:val="24"/>
                  </w:rPr>
                  <w:t>☒</w:t>
                </w:r>
              </w:sdtContent>
            </w:sdt>
            <w:r w:rsidR="00D970E4" w:rsidRPr="00D71EAE">
              <w:t xml:space="preserve"> Netinkamas</w:t>
            </w:r>
          </w:p>
          <w:p w14:paraId="5481FC83" w14:textId="77777777" w:rsidR="007C7519" w:rsidRPr="00D71EAE" w:rsidRDefault="007C7519" w:rsidP="00824B92">
            <w:pPr>
              <w:rPr>
                <w:rStyle w:val="Style2"/>
                <w:sz w:val="24"/>
              </w:rPr>
            </w:pPr>
          </w:p>
          <w:p w14:paraId="66741CBF" w14:textId="03099B04" w:rsidR="0047414A" w:rsidRPr="00D71EAE" w:rsidRDefault="00000000" w:rsidP="0047414A">
            <w:sdt>
              <w:sdtPr>
                <w:rPr>
                  <w:rStyle w:val="Style2"/>
                  <w:sz w:val="24"/>
                </w:rPr>
                <w:id w:val="-834302966"/>
                <w15:color w:val="FFCC00"/>
                <w14:checkbox>
                  <w14:checked w14:val="1"/>
                  <w14:checkedState w14:val="2612" w14:font="MS Gothic"/>
                  <w14:uncheckedState w14:val="2610" w14:font="MS Gothic"/>
                </w14:checkbox>
              </w:sdtPr>
              <w:sdtContent>
                <w:r w:rsidR="0047414A" w:rsidRPr="00D71EAE">
                  <w:rPr>
                    <w:rStyle w:val="Style2"/>
                    <w:rFonts w:ascii="MS Gothic" w:eastAsia="MS Gothic" w:hAnsi="MS Gothic" w:hint="eastAsia"/>
                    <w:sz w:val="24"/>
                  </w:rPr>
                  <w:t>☒</w:t>
                </w:r>
              </w:sdtContent>
            </w:sdt>
            <w:r w:rsidR="0047414A" w:rsidRPr="00D71EAE">
              <w:t xml:space="preserve"> Tinkamas</w:t>
            </w:r>
          </w:p>
          <w:p w14:paraId="41B44044" w14:textId="2E013ACA" w:rsidR="00B13D65" w:rsidRPr="00D71EAE"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D970E4" w:rsidRPr="00D71EAE">
                  <w:rPr>
                    <w:rStyle w:val="Style2"/>
                    <w:rFonts w:ascii="MS Gothic" w:eastAsia="MS Gothic" w:hAnsi="MS Gothic" w:hint="eastAsia"/>
                    <w:sz w:val="24"/>
                  </w:rPr>
                  <w:t>☐</w:t>
                </w:r>
              </w:sdtContent>
            </w:sdt>
            <w:r w:rsidR="009F4D66" w:rsidRPr="00D71EAE">
              <w:t xml:space="preserve"> Netinkama</w:t>
            </w:r>
            <w:r w:rsidR="0047414A" w:rsidRPr="00D71EAE">
              <w:t>s</w:t>
            </w:r>
          </w:p>
        </w:tc>
      </w:tr>
    </w:tbl>
    <w:p w14:paraId="108176F7" w14:textId="640C6F75" w:rsidR="00F70C9E" w:rsidRPr="00D71EAE" w:rsidRDefault="00F70C9E" w:rsidP="00E03C3F">
      <w:pPr>
        <w:pStyle w:val="Sraopastraipa"/>
        <w:tabs>
          <w:tab w:val="left" w:pos="426"/>
        </w:tabs>
        <w:ind w:left="0"/>
        <w:rPr>
          <w:b/>
          <w:bCs/>
          <w:caps/>
        </w:rPr>
      </w:pPr>
    </w:p>
    <w:p w14:paraId="2871CA7F" w14:textId="2370BDDB" w:rsidR="00F70C9E" w:rsidRPr="00D71EAE" w:rsidRDefault="00F70C9E" w:rsidP="00880A44">
      <w:pPr>
        <w:spacing w:line="276" w:lineRule="auto"/>
        <w:jc w:val="both"/>
        <w:rPr>
          <w:rFonts w:eastAsia="Arial"/>
          <w:b/>
        </w:rPr>
      </w:pPr>
      <w:r w:rsidRPr="00D71EAE">
        <w:rPr>
          <w:rFonts w:eastAsia="Arial"/>
          <w:b/>
        </w:rPr>
        <w:t xml:space="preserve">1.8 Kitų </w:t>
      </w:r>
      <w:r w:rsidR="00DF583C" w:rsidRPr="00D71EAE">
        <w:rPr>
          <w:rFonts w:eastAsia="Arial"/>
          <w:b/>
        </w:rPr>
        <w:t xml:space="preserve">valstybių </w:t>
      </w:r>
      <w:r w:rsidRPr="00D71EAE">
        <w:rPr>
          <w:rFonts w:eastAsia="Arial"/>
          <w:b/>
        </w:rPr>
        <w:t xml:space="preserve">atsakingų institucijų atlikto </w:t>
      </w:r>
      <w:r w:rsidR="00DF583C" w:rsidRPr="00D71EAE">
        <w:rPr>
          <w:rFonts w:eastAsia="Arial"/>
          <w:b/>
        </w:rPr>
        <w:t>Sveikatos technologijų vertinimo (toliau – STV)</w:t>
      </w:r>
      <w:r w:rsidRPr="00D71EAE">
        <w:rPr>
          <w:rFonts w:eastAsia="Arial"/>
          <w:b/>
        </w:rPr>
        <w:t xml:space="preserve"> išvados</w:t>
      </w:r>
    </w:p>
    <w:p w14:paraId="30721FDD" w14:textId="77777777" w:rsidR="00F70C9E" w:rsidRPr="00D71EAE"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547"/>
        <w:gridCol w:w="2159"/>
        <w:gridCol w:w="2244"/>
        <w:gridCol w:w="2543"/>
      </w:tblGrid>
      <w:tr w:rsidR="00D71EAE" w:rsidRPr="00D71EAE" w14:paraId="7E72828B" w14:textId="77777777" w:rsidTr="00D31311">
        <w:trPr>
          <w:trHeight w:val="924"/>
        </w:trPr>
        <w:tc>
          <w:tcPr>
            <w:tcW w:w="2547" w:type="dxa"/>
          </w:tcPr>
          <w:p w14:paraId="253D1DD4" w14:textId="5B2616C0" w:rsidR="00F70C9E" w:rsidRPr="00D71EAE" w:rsidRDefault="00F70C9E" w:rsidP="00824B92">
            <w:pPr>
              <w:rPr>
                <w:rFonts w:eastAsia="Arial"/>
              </w:rPr>
            </w:pPr>
            <w:r w:rsidRPr="00D71EAE">
              <w:rPr>
                <w:rFonts w:eastAsia="Arial"/>
              </w:rPr>
              <w:t>ST</w:t>
            </w:r>
            <w:r w:rsidR="00DF583C" w:rsidRPr="00D71EAE">
              <w:rPr>
                <w:rFonts w:eastAsia="Arial"/>
              </w:rPr>
              <w:t>V</w:t>
            </w:r>
            <w:r w:rsidRPr="00D71EAE">
              <w:rPr>
                <w:rFonts w:eastAsia="Arial"/>
              </w:rPr>
              <w:t xml:space="preserve"> agentūros pavadinimas, šalis</w:t>
            </w:r>
          </w:p>
        </w:tc>
        <w:tc>
          <w:tcPr>
            <w:tcW w:w="2159" w:type="dxa"/>
          </w:tcPr>
          <w:p w14:paraId="34AE1EDD" w14:textId="77777777" w:rsidR="00F70C9E" w:rsidRPr="00D71EAE" w:rsidRDefault="00F70C9E" w:rsidP="00824B92">
            <w:pPr>
              <w:rPr>
                <w:rFonts w:eastAsia="Arial"/>
              </w:rPr>
            </w:pPr>
            <w:r w:rsidRPr="00D71EAE">
              <w:rPr>
                <w:rFonts w:eastAsia="Arial"/>
              </w:rPr>
              <w:t>STV vertinimas atliktas</w:t>
            </w:r>
          </w:p>
        </w:tc>
        <w:tc>
          <w:tcPr>
            <w:tcW w:w="2244" w:type="dxa"/>
          </w:tcPr>
          <w:p w14:paraId="16E2DDC1" w14:textId="77777777" w:rsidR="00F70C9E" w:rsidRPr="00D71EAE" w:rsidRDefault="00F70C9E" w:rsidP="00824B92">
            <w:pPr>
              <w:rPr>
                <w:rFonts w:eastAsia="Arial"/>
              </w:rPr>
            </w:pPr>
            <w:r w:rsidRPr="00D71EAE">
              <w:rPr>
                <w:rFonts w:eastAsia="Arial"/>
              </w:rPr>
              <w:t>Klinikinio vertinimo išvada</w:t>
            </w:r>
          </w:p>
        </w:tc>
        <w:tc>
          <w:tcPr>
            <w:tcW w:w="2543" w:type="dxa"/>
          </w:tcPr>
          <w:p w14:paraId="1861E3F2" w14:textId="74803B5B" w:rsidR="00F70C9E" w:rsidRPr="00D71EAE" w:rsidRDefault="00F70C9E" w:rsidP="00824B92">
            <w:pPr>
              <w:rPr>
                <w:rFonts w:eastAsia="Arial"/>
              </w:rPr>
            </w:pPr>
            <w:r w:rsidRPr="00D71EAE">
              <w:rPr>
                <w:rFonts w:eastAsia="Arial"/>
              </w:rPr>
              <w:t>Farmako</w:t>
            </w:r>
            <w:r w:rsidR="00CA217D" w:rsidRPr="00D71EAE">
              <w:rPr>
                <w:rFonts w:eastAsia="Arial"/>
              </w:rPr>
              <w:t>e</w:t>
            </w:r>
            <w:r w:rsidR="00476256" w:rsidRPr="00D71EAE">
              <w:rPr>
                <w:rFonts w:eastAsia="Arial"/>
              </w:rPr>
              <w:t>ko</w:t>
            </w:r>
            <w:r w:rsidRPr="00D71EAE">
              <w:rPr>
                <w:rFonts w:eastAsia="Arial"/>
              </w:rPr>
              <w:t>nominio vertinimo išvada</w:t>
            </w:r>
          </w:p>
        </w:tc>
      </w:tr>
      <w:tr w:rsidR="00D71EAE" w:rsidRPr="00D71EAE" w14:paraId="129FA8F6" w14:textId="77777777" w:rsidTr="00D31311">
        <w:trPr>
          <w:trHeight w:val="2267"/>
        </w:trPr>
        <w:tc>
          <w:tcPr>
            <w:tcW w:w="2547" w:type="dxa"/>
          </w:tcPr>
          <w:p w14:paraId="0A070137" w14:textId="77777777" w:rsidR="007974DE" w:rsidRPr="00D71EAE" w:rsidRDefault="007974DE" w:rsidP="00824B92">
            <w:pPr>
              <w:rPr>
                <w:bCs/>
              </w:rPr>
            </w:pPr>
            <w:r w:rsidRPr="00D71EAE">
              <w:rPr>
                <w:bCs/>
              </w:rPr>
              <w:t>Nacionalinis sveikatos ir klinikinės kompetencijos institutas, Didžioji Britanija</w:t>
            </w:r>
          </w:p>
          <w:p w14:paraId="49C6520D" w14:textId="77777777" w:rsidR="007974DE" w:rsidRPr="00D71EAE" w:rsidRDefault="007974DE" w:rsidP="00824B92">
            <w:pPr>
              <w:rPr>
                <w:rFonts w:eastAsia="Arial"/>
                <w:lang w:val="en-GB"/>
              </w:rPr>
            </w:pPr>
            <w:r w:rsidRPr="00D71EAE">
              <w:rPr>
                <w:rFonts w:eastAsia="Arial"/>
                <w:lang w:val="en-GB"/>
              </w:rPr>
              <w:t xml:space="preserve">(angl. </w:t>
            </w:r>
            <w:r w:rsidRPr="00D71EAE">
              <w:rPr>
                <w:rFonts w:eastAsia="Arial"/>
                <w:i/>
                <w:lang w:val="en-GB"/>
              </w:rPr>
              <w:t>National Institute for Health and Care  Excellence, NICE</w:t>
            </w:r>
            <w:r w:rsidRPr="00D71EAE">
              <w:rPr>
                <w:rFonts w:eastAsia="Arial"/>
                <w:lang w:val="en-GB"/>
              </w:rPr>
              <w:t>)</w:t>
            </w:r>
          </w:p>
        </w:tc>
        <w:tc>
          <w:tcPr>
            <w:tcW w:w="2159" w:type="dxa"/>
          </w:tcPr>
          <w:p w14:paraId="5846A9F8" w14:textId="5ACFB625" w:rsidR="007974DE" w:rsidRPr="00D71EAE" w:rsidRDefault="00000000" w:rsidP="00824B92">
            <w:sdt>
              <w:sdtPr>
                <w:rPr>
                  <w:rStyle w:val="Style2"/>
                  <w:sz w:val="24"/>
                </w:rPr>
                <w:id w:val="1558205022"/>
                <w15:color w:val="FFCC00"/>
                <w14:checkbox>
                  <w14:checked w14:val="1"/>
                  <w14:checkedState w14:val="2612" w14:font="MS Gothic"/>
                  <w14:uncheckedState w14:val="2610" w14:font="MS Gothic"/>
                </w14:checkbox>
              </w:sdtPr>
              <w:sdtContent>
                <w:r w:rsidR="007974DE" w:rsidRPr="00D71EAE">
                  <w:rPr>
                    <w:rStyle w:val="Style2"/>
                    <w:rFonts w:ascii="MS Gothic" w:eastAsia="MS Gothic" w:hAnsi="MS Gothic" w:hint="eastAsia"/>
                    <w:sz w:val="24"/>
                  </w:rPr>
                  <w:t>☒</w:t>
                </w:r>
              </w:sdtContent>
            </w:sdt>
            <w:r w:rsidR="007974DE" w:rsidRPr="00D71EAE">
              <w:t xml:space="preserve"> Taip</w:t>
            </w:r>
          </w:p>
          <w:p w14:paraId="29F3627E" w14:textId="77777777" w:rsidR="007974DE" w:rsidRPr="00D71EAE" w:rsidRDefault="00000000" w:rsidP="00824B92">
            <w:sdt>
              <w:sdtPr>
                <w:rPr>
                  <w:rStyle w:val="Style2"/>
                  <w:sz w:val="24"/>
                </w:rPr>
                <w:id w:val="866029625"/>
                <w15:color w:val="FFCC00"/>
                <w14:checkbox>
                  <w14:checked w14:val="0"/>
                  <w14:checkedState w14:val="2612" w14:font="MS Gothic"/>
                  <w14:uncheckedState w14:val="2610" w14:font="MS Gothic"/>
                </w14:checkbox>
              </w:sdtPr>
              <w:sdtContent>
                <w:r w:rsidR="007974DE" w:rsidRPr="00D71EAE">
                  <w:rPr>
                    <w:rStyle w:val="Style2"/>
                    <w:rFonts w:ascii="Segoe UI Symbol" w:eastAsia="MS Gothic" w:hAnsi="Segoe UI Symbol" w:cs="Segoe UI Symbol"/>
                    <w:sz w:val="24"/>
                  </w:rPr>
                  <w:t>☐</w:t>
                </w:r>
              </w:sdtContent>
            </w:sdt>
            <w:r w:rsidR="007974DE" w:rsidRPr="00D71EAE">
              <w:t xml:space="preserve"> Ne</w:t>
            </w:r>
          </w:p>
          <w:p w14:paraId="7916359D" w14:textId="7456F0E7" w:rsidR="007974DE" w:rsidRPr="00D71EAE" w:rsidRDefault="00000000" w:rsidP="00824B92">
            <w:pPr>
              <w:rPr>
                <w:rFonts w:eastAsia="Arial"/>
              </w:rPr>
            </w:pPr>
            <w:sdt>
              <w:sdtPr>
                <w:alias w:val="Nurodykite konkrečią dieną"/>
                <w:tag w:val="Nurodykite pradžios datą"/>
                <w:id w:val="922837954"/>
                <w:placeholder>
                  <w:docPart w:val="9D08F94C2EF64F08A979945C0EB819A5"/>
                </w:placeholder>
                <w15:color w:val="FFCC99"/>
                <w:date w:fullDate="2021-05-26T00:00:00Z">
                  <w:dateFormat w:val="yyyy 'm.' MMMM d 'd.'"/>
                  <w:lid w:val="lt-LT"/>
                  <w:storeMappedDataAs w:val="dateTime"/>
                  <w:calendar w:val="gregorian"/>
                </w:date>
              </w:sdtPr>
              <w:sdtContent>
                <w:r w:rsidR="007974DE" w:rsidRPr="00D71EAE">
                  <w:t>2021 m. gegužės 26 d.</w:t>
                </w:r>
              </w:sdtContent>
            </w:sdt>
          </w:p>
        </w:tc>
        <w:tc>
          <w:tcPr>
            <w:tcW w:w="4787" w:type="dxa"/>
            <w:gridSpan w:val="2"/>
          </w:tcPr>
          <w:p w14:paraId="114669C7" w14:textId="75FA9A04" w:rsidR="007974DE" w:rsidRPr="00D71EAE" w:rsidRDefault="007974DE" w:rsidP="007974DE">
            <w:pPr>
              <w:jc w:val="both"/>
              <w:rPr>
                <w:rFonts w:asciiTheme="majorBidi" w:hAnsiTheme="majorBidi" w:cstheme="majorBidi"/>
              </w:rPr>
            </w:pPr>
            <w:r w:rsidRPr="00D71EAE">
              <w:rPr>
                <w:rFonts w:eastAsia="Arial"/>
              </w:rPr>
              <w:t xml:space="preserve">Trastuzumabas derukstekanas rekomenduojama kompensuoti iš Vėžio vaistų fondo kaip gydymo pasirinkimą pacientams </w:t>
            </w:r>
            <w:r w:rsidRPr="00D71EAE">
              <w:rPr>
                <w:rFonts w:asciiTheme="majorBidi" w:hAnsiTheme="majorBidi" w:cstheme="majorBidi"/>
              </w:rPr>
              <w:t>kuriems jau taikyti du arba daugiau prieš HER2 nukreipti gydymo režimai esant metastazavusiaam krūties vėžiui.</w:t>
            </w:r>
          </w:p>
          <w:p w14:paraId="29F38FA1" w14:textId="4964A33A" w:rsidR="007974DE" w:rsidRPr="00D71EAE" w:rsidRDefault="007974DE" w:rsidP="007974DE">
            <w:pPr>
              <w:jc w:val="both"/>
              <w:rPr>
                <w:rFonts w:asciiTheme="majorBidi" w:hAnsiTheme="majorBidi" w:cstheme="majorBidi"/>
              </w:rPr>
            </w:pPr>
            <w:r w:rsidRPr="00D71EAE">
              <w:rPr>
                <w:rFonts w:asciiTheme="majorBidi" w:hAnsiTheme="majorBidi" w:cstheme="majorBidi"/>
              </w:rPr>
              <w:t>Rekomenduojamas, jei pareiškėjas pasirašys sutartį pagal numatytas komercines sąlygas</w:t>
            </w:r>
          </w:p>
          <w:p w14:paraId="67430EE7" w14:textId="3078A297" w:rsidR="007974DE" w:rsidRPr="00D71EAE" w:rsidRDefault="007974DE" w:rsidP="007974DE">
            <w:pPr>
              <w:rPr>
                <w:rFonts w:eastAsia="Arial"/>
              </w:rPr>
            </w:pPr>
          </w:p>
        </w:tc>
      </w:tr>
      <w:tr w:rsidR="00D71EAE" w:rsidRPr="00D71EAE" w14:paraId="1CC31474" w14:textId="77777777" w:rsidTr="00D31311">
        <w:trPr>
          <w:trHeight w:val="1547"/>
        </w:trPr>
        <w:tc>
          <w:tcPr>
            <w:tcW w:w="2547" w:type="dxa"/>
          </w:tcPr>
          <w:p w14:paraId="12218E35" w14:textId="77777777" w:rsidR="007E7A06" w:rsidRPr="00D71EAE" w:rsidRDefault="007E7A06" w:rsidP="00824B92">
            <w:pPr>
              <w:rPr>
                <w:rFonts w:eastAsia="Arial"/>
                <w:lang w:val="en-GB"/>
              </w:rPr>
            </w:pPr>
            <w:r w:rsidRPr="00D71EAE">
              <w:rPr>
                <w:rFonts w:eastAsia="Arial"/>
                <w:lang w:val="en-GB"/>
              </w:rPr>
              <w:lastRenderedPageBreak/>
              <w:t>Kanados sveikatos technologijų agentūra</w:t>
            </w:r>
          </w:p>
          <w:p w14:paraId="2C593A82" w14:textId="77777777" w:rsidR="007E7A06" w:rsidRPr="00D71EAE" w:rsidRDefault="007E7A06" w:rsidP="00824B92">
            <w:pPr>
              <w:rPr>
                <w:rFonts w:eastAsia="Arial"/>
                <w:lang w:val="en-GB"/>
              </w:rPr>
            </w:pPr>
            <w:r w:rsidRPr="00D71EAE">
              <w:rPr>
                <w:rFonts w:eastAsia="Arial"/>
                <w:lang w:val="en-GB"/>
              </w:rPr>
              <w:t xml:space="preserve">(angl. </w:t>
            </w:r>
            <w:r w:rsidRPr="00D71EAE">
              <w:rPr>
                <w:rFonts w:eastAsia="Arial"/>
                <w:i/>
                <w:lang w:val="en-GB"/>
              </w:rPr>
              <w:t>Canadian health Technology Assessment agency, CADTH</w:t>
            </w:r>
            <w:r w:rsidRPr="00D71EAE">
              <w:rPr>
                <w:rFonts w:eastAsia="Arial"/>
                <w:lang w:val="en-GB"/>
              </w:rPr>
              <w:t>)</w:t>
            </w:r>
          </w:p>
        </w:tc>
        <w:tc>
          <w:tcPr>
            <w:tcW w:w="2159" w:type="dxa"/>
          </w:tcPr>
          <w:p w14:paraId="762649FE" w14:textId="1F98CA95" w:rsidR="007E7A06" w:rsidRPr="00D71EAE" w:rsidRDefault="00000000" w:rsidP="00824B92">
            <w:sdt>
              <w:sdtPr>
                <w:rPr>
                  <w:rStyle w:val="Style2"/>
                  <w:sz w:val="24"/>
                </w:rPr>
                <w:id w:val="-372539057"/>
                <w15:color w:val="FFCC00"/>
                <w14:checkbox>
                  <w14:checked w14:val="1"/>
                  <w14:checkedState w14:val="2612" w14:font="MS Gothic"/>
                  <w14:uncheckedState w14:val="2610" w14:font="MS Gothic"/>
                </w14:checkbox>
              </w:sdtPr>
              <w:sdtContent>
                <w:r w:rsidR="007E7A06" w:rsidRPr="00D71EAE">
                  <w:rPr>
                    <w:rStyle w:val="Style2"/>
                    <w:rFonts w:ascii="MS Gothic" w:eastAsia="MS Gothic" w:hAnsi="MS Gothic" w:hint="eastAsia"/>
                    <w:sz w:val="24"/>
                  </w:rPr>
                  <w:t>☒</w:t>
                </w:r>
              </w:sdtContent>
            </w:sdt>
            <w:r w:rsidR="007E7A06" w:rsidRPr="00D71EAE">
              <w:t xml:space="preserve"> Taip</w:t>
            </w:r>
          </w:p>
          <w:p w14:paraId="35F17B07" w14:textId="77777777" w:rsidR="007E7A06" w:rsidRPr="00D71EAE" w:rsidRDefault="00000000" w:rsidP="00824B92">
            <w:sdt>
              <w:sdtPr>
                <w:rPr>
                  <w:rStyle w:val="Style2"/>
                  <w:sz w:val="24"/>
                </w:rPr>
                <w:id w:val="594442222"/>
                <w15:color w:val="FFCC00"/>
                <w14:checkbox>
                  <w14:checked w14:val="0"/>
                  <w14:checkedState w14:val="2612" w14:font="MS Gothic"/>
                  <w14:uncheckedState w14:val="2610" w14:font="MS Gothic"/>
                </w14:checkbox>
              </w:sdtPr>
              <w:sdtContent>
                <w:r w:rsidR="007E7A06" w:rsidRPr="00D71EAE">
                  <w:rPr>
                    <w:rStyle w:val="Style2"/>
                    <w:rFonts w:ascii="Segoe UI Symbol" w:eastAsia="MS Gothic" w:hAnsi="Segoe UI Symbol" w:cs="Segoe UI Symbol"/>
                    <w:sz w:val="24"/>
                  </w:rPr>
                  <w:t>☐</w:t>
                </w:r>
              </w:sdtContent>
            </w:sdt>
            <w:r w:rsidR="007E7A06" w:rsidRPr="00D71EAE">
              <w:t xml:space="preserve"> Ne</w:t>
            </w:r>
          </w:p>
          <w:p w14:paraId="0C0988CC" w14:textId="1A10FD20" w:rsidR="007E7A06" w:rsidRPr="00D71EAE" w:rsidRDefault="00000000" w:rsidP="00824B92">
            <w:pPr>
              <w:rPr>
                <w:rFonts w:eastAsia="Arial"/>
              </w:rPr>
            </w:pPr>
            <w:sdt>
              <w:sdtPr>
                <w:alias w:val="Nurodykite konkrečią dieną"/>
                <w:tag w:val="Nurodykite pradžios datą"/>
                <w:id w:val="1072468416"/>
                <w:placeholder>
                  <w:docPart w:val="8FFA9639B8DD48EEA1CC140A0BAA4B4D"/>
                </w:placeholder>
                <w15:color w:val="FFCC99"/>
                <w:date w:fullDate="2022-09-28T00:00:00Z">
                  <w:dateFormat w:val="yyyy 'm.' MMMM d 'd.'"/>
                  <w:lid w:val="lt-LT"/>
                  <w:storeMappedDataAs w:val="dateTime"/>
                  <w:calendar w:val="gregorian"/>
                </w:date>
              </w:sdtPr>
              <w:sdtContent>
                <w:r w:rsidR="007E7A06" w:rsidRPr="00D71EAE">
                  <w:t>2022 m. rugsėjo 28 d.</w:t>
                </w:r>
              </w:sdtContent>
            </w:sdt>
          </w:p>
        </w:tc>
        <w:tc>
          <w:tcPr>
            <w:tcW w:w="4787" w:type="dxa"/>
            <w:gridSpan w:val="2"/>
          </w:tcPr>
          <w:p w14:paraId="6226C5A1" w14:textId="465FC06C" w:rsidR="00DA1C77" w:rsidRPr="00D71EAE" w:rsidRDefault="007E7A06" w:rsidP="00D31311">
            <w:pPr>
              <w:jc w:val="both"/>
              <w:rPr>
                <w:rFonts w:eastAsia="Arial"/>
              </w:rPr>
            </w:pPr>
            <w:r w:rsidRPr="00D71EAE">
              <w:rPr>
                <w:rFonts w:eastAsia="Arial"/>
              </w:rPr>
              <w:t xml:space="preserve">Rekomenduojama kompensuoti gydymui </w:t>
            </w:r>
            <w:r w:rsidR="006663AB" w:rsidRPr="00D71EAE">
              <w:rPr>
                <w:rFonts w:eastAsia="Arial"/>
              </w:rPr>
              <w:t xml:space="preserve">suaugusiems </w:t>
            </w:r>
            <w:r w:rsidRPr="00D71EAE">
              <w:rPr>
                <w:rFonts w:eastAsia="Arial"/>
              </w:rPr>
              <w:t xml:space="preserve">pacientus, kuriems </w:t>
            </w:r>
            <w:r w:rsidR="00DA1C77" w:rsidRPr="00D71EAE">
              <w:rPr>
                <w:rFonts w:eastAsia="Arial"/>
              </w:rPr>
              <w:t>yra nerezek</w:t>
            </w:r>
            <w:r w:rsidR="00FB110B">
              <w:rPr>
                <w:rFonts w:eastAsia="Arial"/>
              </w:rPr>
              <w:t>u</w:t>
            </w:r>
            <w:r w:rsidR="006663AB" w:rsidRPr="00D71EAE">
              <w:rPr>
                <w:rFonts w:eastAsia="Arial"/>
              </w:rPr>
              <w:t xml:space="preserve">otinas </w:t>
            </w:r>
            <w:r w:rsidR="00DA1C77" w:rsidRPr="00D71EAE">
              <w:rPr>
                <w:rFonts w:eastAsia="Arial"/>
              </w:rPr>
              <w:t>arba metastazavęs krūties vėžys ir kurie pri</w:t>
            </w:r>
            <w:r w:rsidR="00502730" w:rsidRPr="00D71EAE">
              <w:rPr>
                <w:rFonts w:eastAsia="Arial"/>
              </w:rPr>
              <w:t>e</w:t>
            </w:r>
            <w:r w:rsidR="00DA1C77" w:rsidRPr="00D71EAE">
              <w:rPr>
                <w:rFonts w:eastAsia="Arial"/>
              </w:rPr>
              <w:t xml:space="preserve">š tai buvo gydomi prieš HER2 gydymo režimu dėl metastazvusio krūties vėžio </w:t>
            </w:r>
            <w:r w:rsidR="00502730" w:rsidRPr="00D71EAE">
              <w:rPr>
                <w:rFonts w:eastAsia="Arial"/>
              </w:rPr>
              <w:t>arba liga progresavo taikant neo-/adjuvantinę terapiją arba per pirmus 6 mėnesių po jos.</w:t>
            </w:r>
          </w:p>
          <w:p w14:paraId="5C8CB330" w14:textId="7E3875E4" w:rsidR="007E7A06" w:rsidRPr="00D71EAE" w:rsidRDefault="007E7A06" w:rsidP="007E7A06">
            <w:pPr>
              <w:rPr>
                <w:rFonts w:eastAsia="Arial"/>
              </w:rPr>
            </w:pPr>
          </w:p>
        </w:tc>
      </w:tr>
      <w:tr w:rsidR="00D31311" w:rsidRPr="00D71EAE" w14:paraId="21C94D47" w14:textId="77777777" w:rsidTr="00405E6D">
        <w:trPr>
          <w:trHeight w:val="2160"/>
        </w:trPr>
        <w:tc>
          <w:tcPr>
            <w:tcW w:w="2547" w:type="dxa"/>
          </w:tcPr>
          <w:p w14:paraId="02F45BB8" w14:textId="77777777" w:rsidR="00D31311" w:rsidRPr="00D71EAE" w:rsidRDefault="00D31311" w:rsidP="00824B92">
            <w:pPr>
              <w:rPr>
                <w:rFonts w:eastAsia="Arial"/>
              </w:rPr>
            </w:pPr>
            <w:r w:rsidRPr="00D71EAE">
              <w:rPr>
                <w:rFonts w:eastAsia="Arial"/>
              </w:rPr>
              <w:t>Nacionalinis farmakoekonomikos centras, Airija</w:t>
            </w:r>
          </w:p>
          <w:p w14:paraId="736F5072" w14:textId="77777777" w:rsidR="00D31311" w:rsidRPr="00D71EAE" w:rsidRDefault="00D31311" w:rsidP="00824B92">
            <w:pPr>
              <w:rPr>
                <w:rFonts w:eastAsia="Arial"/>
              </w:rPr>
            </w:pPr>
            <w:r w:rsidRPr="00D71EAE">
              <w:rPr>
                <w:rFonts w:eastAsia="Arial"/>
              </w:rPr>
              <w:t>(angl.</w:t>
            </w:r>
            <w:r w:rsidRPr="00D71EAE">
              <w:rPr>
                <w:rFonts w:eastAsia="Arial"/>
                <w:i/>
              </w:rPr>
              <w:t xml:space="preserve"> National Centre for Pharmacoeconomics, NCPE</w:t>
            </w:r>
            <w:r w:rsidRPr="00D71EAE">
              <w:rPr>
                <w:rFonts w:eastAsia="Arial"/>
              </w:rPr>
              <w:t>)</w:t>
            </w:r>
          </w:p>
        </w:tc>
        <w:tc>
          <w:tcPr>
            <w:tcW w:w="2159" w:type="dxa"/>
          </w:tcPr>
          <w:p w14:paraId="106E24DF" w14:textId="77777777" w:rsidR="00D31311" w:rsidRPr="00D71EAE" w:rsidRDefault="00000000" w:rsidP="00824B92">
            <w:sdt>
              <w:sdtPr>
                <w:rPr>
                  <w:rStyle w:val="Style2"/>
                  <w:sz w:val="24"/>
                </w:rPr>
                <w:id w:val="-1888403732"/>
                <w15:color w:val="FFCC00"/>
                <w14:checkbox>
                  <w14:checked w14:val="0"/>
                  <w14:checkedState w14:val="2612" w14:font="MS Gothic"/>
                  <w14:uncheckedState w14:val="2610" w14:font="MS Gothic"/>
                </w14:checkbox>
              </w:sdtPr>
              <w:sdtContent>
                <w:r w:rsidR="00D31311" w:rsidRPr="00D71EAE">
                  <w:rPr>
                    <w:rStyle w:val="Style2"/>
                    <w:rFonts w:ascii="Segoe UI Symbol" w:eastAsia="MS Gothic" w:hAnsi="Segoe UI Symbol" w:cs="Segoe UI Symbol"/>
                    <w:sz w:val="24"/>
                  </w:rPr>
                  <w:t>☐</w:t>
                </w:r>
              </w:sdtContent>
            </w:sdt>
            <w:r w:rsidR="00D31311" w:rsidRPr="00D71EAE">
              <w:t xml:space="preserve"> Taip</w:t>
            </w:r>
          </w:p>
          <w:p w14:paraId="6C89485D" w14:textId="2CE906A6" w:rsidR="00D31311" w:rsidRPr="00D71EAE" w:rsidRDefault="00000000" w:rsidP="00824B92">
            <w:sdt>
              <w:sdtPr>
                <w:rPr>
                  <w:rStyle w:val="Style2"/>
                  <w:sz w:val="24"/>
                </w:rPr>
                <w:id w:val="1092201793"/>
                <w15:color w:val="FFCC00"/>
                <w14:checkbox>
                  <w14:checked w14:val="1"/>
                  <w14:checkedState w14:val="2612" w14:font="MS Gothic"/>
                  <w14:uncheckedState w14:val="2610" w14:font="MS Gothic"/>
                </w14:checkbox>
              </w:sdtPr>
              <w:sdtContent>
                <w:r w:rsidR="00D34830" w:rsidRPr="00D71EAE">
                  <w:rPr>
                    <w:rStyle w:val="Style2"/>
                    <w:rFonts w:ascii="MS Gothic" w:eastAsia="MS Gothic" w:hAnsi="MS Gothic" w:hint="eastAsia"/>
                    <w:sz w:val="24"/>
                  </w:rPr>
                  <w:t>☒</w:t>
                </w:r>
              </w:sdtContent>
            </w:sdt>
            <w:r w:rsidR="00D31311" w:rsidRPr="00D71EAE">
              <w:t xml:space="preserve"> Ne</w:t>
            </w:r>
          </w:p>
          <w:p w14:paraId="69AA1151" w14:textId="77777777" w:rsidR="00D31311" w:rsidRPr="00D71EAE" w:rsidRDefault="00000000" w:rsidP="00824B92">
            <w:pPr>
              <w:rPr>
                <w:rFonts w:eastAsia="Arial"/>
              </w:rPr>
            </w:pPr>
            <w:sdt>
              <w:sdtPr>
                <w:alias w:val="Nurodykite konkrečią dieną"/>
                <w:tag w:val="Nurodykite pradžios datą"/>
                <w:id w:val="-198323198"/>
                <w:placeholder>
                  <w:docPart w:val="324CF87CBA3A4C45A5DE32C6C8E63681"/>
                </w:placeholder>
                <w:showingPlcHdr/>
                <w15:color w:val="FFCC99"/>
                <w:date w:fullDate="2022-05-18T00:00:00Z">
                  <w:dateFormat w:val="yyyy 'm.' MMMM d 'd.'"/>
                  <w:lid w:val="lt-LT"/>
                  <w:storeMappedDataAs w:val="dateTime"/>
                  <w:calendar w:val="gregorian"/>
                </w:date>
              </w:sdtPr>
              <w:sdtContent>
                <w:r w:rsidR="00D31311" w:rsidRPr="00D71EAE">
                  <w:rPr>
                    <w:rStyle w:val="Vietosrezervavimoenklotekstas"/>
                    <w:color w:val="auto"/>
                  </w:rPr>
                  <w:t>Click here to enter a date.</w:t>
                </w:r>
              </w:sdtContent>
            </w:sdt>
          </w:p>
        </w:tc>
        <w:tc>
          <w:tcPr>
            <w:tcW w:w="4787" w:type="dxa"/>
            <w:gridSpan w:val="2"/>
          </w:tcPr>
          <w:p w14:paraId="60651AFD" w14:textId="6060B818" w:rsidR="00D31311" w:rsidRPr="00D71EAE" w:rsidRDefault="00D31311" w:rsidP="00824B92">
            <w:pPr>
              <w:rPr>
                <w:rFonts w:eastAsia="Arial"/>
              </w:rPr>
            </w:pPr>
            <w:r w:rsidRPr="00D71EAE">
              <w:rPr>
                <w:rFonts w:eastAsia="Arial"/>
              </w:rPr>
              <w:t>Vyksta vertinimas</w:t>
            </w:r>
          </w:p>
        </w:tc>
      </w:tr>
    </w:tbl>
    <w:p w14:paraId="2EB7FD31" w14:textId="4D2A8479" w:rsidR="007A2B68" w:rsidRPr="00D71EAE" w:rsidRDefault="007A2B68" w:rsidP="00E03C3F">
      <w:pPr>
        <w:pStyle w:val="Sraopastraipa"/>
        <w:tabs>
          <w:tab w:val="left" w:pos="426"/>
        </w:tabs>
        <w:ind w:left="0"/>
        <w:rPr>
          <w:b/>
          <w:bCs/>
          <w:caps/>
        </w:rPr>
      </w:pPr>
    </w:p>
    <w:p w14:paraId="5055E8A8" w14:textId="33A5FC9A" w:rsidR="002E6F80" w:rsidRPr="00D71EAE" w:rsidRDefault="00CC7832" w:rsidP="007402CA">
      <w:pPr>
        <w:rPr>
          <w:b/>
          <w:bCs/>
          <w:caps/>
        </w:rPr>
      </w:pPr>
      <w:r w:rsidRPr="00D71EAE">
        <w:rPr>
          <w:b/>
          <w:bCs/>
          <w:caps/>
        </w:rPr>
        <w:t>Klinikinio vertinimo a</w:t>
      </w:r>
      <w:r w:rsidR="00D4485B" w:rsidRPr="00D71EAE">
        <w:rPr>
          <w:b/>
          <w:bCs/>
          <w:caps/>
        </w:rPr>
        <w:t>pibendrinimas</w:t>
      </w:r>
    </w:p>
    <w:p w14:paraId="15E8CBF4" w14:textId="04FF4312" w:rsidR="008B6418" w:rsidRPr="00D71EAE" w:rsidRDefault="008B6418" w:rsidP="008B6418">
      <w:pPr>
        <w:tabs>
          <w:tab w:val="left" w:pos="567"/>
        </w:tabs>
        <w:rPr>
          <w:b/>
          <w:bCs/>
          <w:caps/>
        </w:rPr>
      </w:pPr>
    </w:p>
    <w:p w14:paraId="6672ED8D" w14:textId="4001A4E4" w:rsidR="008B6418" w:rsidRPr="00D71EAE" w:rsidRDefault="008B6418" w:rsidP="002D0A6E">
      <w:pPr>
        <w:spacing w:line="276" w:lineRule="auto"/>
        <w:ind w:firstLine="567"/>
        <w:jc w:val="both"/>
        <w:rPr>
          <w:rFonts w:eastAsia="Calibri"/>
        </w:rPr>
      </w:pPr>
      <w:r w:rsidRPr="00D71EAE">
        <w:rPr>
          <w:rFonts w:eastAsia="Arial"/>
        </w:rPr>
        <w:t>Lietuvoje, nustačius pacientams m</w:t>
      </w:r>
      <w:r w:rsidRPr="00D71EAE">
        <w:t xml:space="preserve">etastazavusį krūties vėžį su didele HER2 raiška nepriklausomai nuo hormonų receptorių </w:t>
      </w:r>
      <w:r w:rsidR="0012241C" w:rsidRPr="00D71EAE">
        <w:t>buvimo</w:t>
      </w:r>
      <w:r w:rsidRPr="00D71EAE">
        <w:t xml:space="preserve"> piktybinėse ląstelėse, gali būti skiriamas gydymas, taikant įvairias chemoterapijos schemas. Tačiau šių schemų taikymas priklauso nuo prieš tai vartojamo gydymo. Remiantis </w:t>
      </w:r>
      <w:r w:rsidR="0012241C" w:rsidRPr="00D71EAE">
        <w:rPr>
          <w:bCs/>
          <w:szCs w:val="27"/>
        </w:rPr>
        <w:t xml:space="preserve">Lietuvos Respublikos sveikatos apsaugos ministro įsakymu </w:t>
      </w:r>
      <w:r w:rsidR="0012241C" w:rsidRPr="00223A23">
        <w:rPr>
          <w:bCs/>
          <w:szCs w:val="27"/>
        </w:rPr>
        <w:t xml:space="preserve">„Dėl kompensuojamųjų vaistų sąrašų patvirtinimo“ </w:t>
      </w:r>
      <w:r w:rsidR="0012241C" w:rsidRPr="00223A23">
        <w:rPr>
          <w:szCs w:val="27"/>
        </w:rPr>
        <w:t>2000 m. sausio 28 d. Nr. 49 (</w:t>
      </w:r>
      <w:r w:rsidRPr="00223A23">
        <w:t xml:space="preserve">toliau - A sąrašas) bei </w:t>
      </w:r>
      <w:r w:rsidR="002D0A6E" w:rsidRPr="00223A23">
        <w:rPr>
          <w:lang w:eastAsia="lt-LT"/>
        </w:rPr>
        <w:t>Lietuvos Respublikos sveikatos apsaugos ministro įsakymu „Dė</w:t>
      </w:r>
      <w:r w:rsidR="002D0A6E" w:rsidRPr="00223A23">
        <w:rPr>
          <w:bCs/>
          <w:lang w:eastAsia="lt-LT"/>
        </w:rPr>
        <w:t xml:space="preserve">l krūties piktybinio naviko ambulatorinio gydymo kompensuojamaisiais vaistais tvarkos aprašo patvirtinimo“ </w:t>
      </w:r>
      <w:r w:rsidR="002D0A6E" w:rsidRPr="00223A23">
        <w:rPr>
          <w:lang w:eastAsia="lt-LT"/>
        </w:rPr>
        <w:t>2011 m. liepos 22 d. Nr. V-713 (toliau – krūties vėžio gydymo aprašas</w:t>
      </w:r>
      <w:r w:rsidRPr="00223A23">
        <w:t xml:space="preserve">) pacientėms, </w:t>
      </w:r>
      <w:r w:rsidRPr="00223A23">
        <w:rPr>
          <w:rFonts w:eastAsia="Calibri"/>
        </w:rPr>
        <w:t>sergantiems HER2 teigiamu (toliau</w:t>
      </w:r>
      <w:r w:rsidRPr="00D71EAE">
        <w:rPr>
          <w:rFonts w:eastAsia="Calibri"/>
        </w:rPr>
        <w:t xml:space="preserve"> </w:t>
      </w:r>
      <w:r w:rsidR="002D0A6E" w:rsidRPr="00D71EAE">
        <w:rPr>
          <w:rFonts w:eastAsia="Calibri"/>
        </w:rPr>
        <w:t xml:space="preserve">- </w:t>
      </w:r>
      <w:r w:rsidRPr="00D71EAE">
        <w:rPr>
          <w:rFonts w:eastAsia="Calibri"/>
        </w:rPr>
        <w:t>HER2</w:t>
      </w:r>
      <w:r w:rsidR="002D0A6E" w:rsidRPr="00D71EAE">
        <w:rPr>
          <w:rFonts w:eastAsia="Calibri"/>
        </w:rPr>
        <w:t>+</w:t>
      </w:r>
      <w:r w:rsidRPr="00D71EAE">
        <w:rPr>
          <w:rFonts w:eastAsia="Calibri"/>
        </w:rPr>
        <w:t>) metastazavusiu ar vietiškai atsinaujinusiu nerezekuotinu krūties vėžiu, kuriems dar nėra taikyta metastazavusios ligos į HER2</w:t>
      </w:r>
      <w:r w:rsidR="002D0A6E" w:rsidRPr="00D71EAE">
        <w:rPr>
          <w:rFonts w:eastAsia="Calibri"/>
        </w:rPr>
        <w:t>+</w:t>
      </w:r>
      <w:r w:rsidRPr="00D71EAE">
        <w:rPr>
          <w:rFonts w:eastAsia="Calibri"/>
        </w:rPr>
        <w:t xml:space="preserve"> nukreipta terapija ar chemoterapija, </w:t>
      </w:r>
      <w:r w:rsidRPr="00D71EAE">
        <w:t xml:space="preserve">pirmiausiai gali būti skyrimas </w:t>
      </w:r>
      <w:r w:rsidRPr="00D71EAE">
        <w:rPr>
          <w:rFonts w:eastAsia="Calibri"/>
          <w:i/>
        </w:rPr>
        <w:t xml:space="preserve">pertuzumabo ir trastuzumabo derinys kartu su </w:t>
      </w:r>
      <w:r w:rsidRPr="00D71EAE">
        <w:rPr>
          <w:rFonts w:eastAsia="Calibri"/>
        </w:rPr>
        <w:t>docetakseliu. Atsiradus ligos progresavimui, gali būti taikoma monoterapija ado-trastuzumabu emtansinu (</w:t>
      </w:r>
      <w:r w:rsidR="002D0A6E" w:rsidRPr="00D71EAE">
        <w:rPr>
          <w:rFonts w:eastAsia="Calibri"/>
        </w:rPr>
        <w:t xml:space="preserve">toliau - </w:t>
      </w:r>
      <w:r w:rsidRPr="00D71EAE">
        <w:rPr>
          <w:rFonts w:eastAsia="Calibri"/>
        </w:rPr>
        <w:t xml:space="preserve">T-DM1): </w:t>
      </w:r>
      <w:r w:rsidRPr="00D71EAE">
        <w:rPr>
          <w:rFonts w:eastAsia="Calibri"/>
          <w:i/>
        </w:rPr>
        <w:t>„pirmaeiliam metastazavusiam vėžiui gydyti</w:t>
      </w:r>
      <w:r w:rsidRPr="00D71EAE">
        <w:rPr>
          <w:rFonts w:eastAsia="Calibri"/>
        </w:rPr>
        <w:t>“ (A sąrašas). Vėliau, remiantis krūties vėžio gydymo Aprašu, ligai progresuojant, tikėtina skiriami trastuzumabas kartu su kapecitabinu arba lapatinibas kartu su kapecitabinu. Nors šie du deriniai gali būti taikomi gydant metastazavusį arba atsinaujinusį krūties vėžį nustačius didelę HER2 receptoriaus raišką ar HER2 geno ekspresiją Lietuvoje, remiantis Europos medicinos onkologijos rekomendacijomis, jie gali būti taikomi, jei kiti gydymo pasirinkimai nėra prieinami arba nepakankamai efektyvūs. Tačiau, a</w:t>
      </w:r>
      <w:r w:rsidRPr="00D71EAE">
        <w:rPr>
          <w:rFonts w:eastAsia="Arial"/>
        </w:rPr>
        <w:t xml:space="preserve">tsižvelgiant į </w:t>
      </w:r>
      <w:r w:rsidR="00695C26">
        <w:rPr>
          <w:rFonts w:eastAsia="Arial"/>
        </w:rPr>
        <w:t>***</w:t>
      </w:r>
      <w:r w:rsidRPr="00D71EAE">
        <w:rPr>
          <w:rFonts w:eastAsia="Arial"/>
        </w:rPr>
        <w:t xml:space="preserve"> bei vadovaujantis Lietuvos Respublikos sveikatos apsaugos ministro 2002 m. balandžio 5 d. įsakymu Nr. V-159 „Dėl vaistinių preparatų ir medicinos pagalbos priemonių įrašymo į kompensavimo sąrašus ir jų keitimo tvarkos aprašo patvirtinimo“ 21 punktu bei 116-119 punktais, nustatyta, kad palyginamasis gydymas, monoterapija kapecitabinu, pateiktas netiesioginio palyginimo analizėje, yra tinkamas, nes atitinka įprastinę klinikinę praktiką Lietuvoje, taip pat kai kuriais atvejais gali būti skiriamas vinorelbinas vietoje kapecitabino.</w:t>
      </w:r>
    </w:p>
    <w:p w14:paraId="6210170F" w14:textId="56463CAE" w:rsidR="008B6418" w:rsidRPr="00D71EAE" w:rsidRDefault="008B6418" w:rsidP="002D0A6E">
      <w:pPr>
        <w:widowControl w:val="0"/>
        <w:suppressAutoHyphens/>
        <w:spacing w:line="276" w:lineRule="auto"/>
        <w:ind w:firstLine="567"/>
        <w:jc w:val="both"/>
        <w:rPr>
          <w:rFonts w:eastAsia="Calibri"/>
        </w:rPr>
      </w:pPr>
      <w:r w:rsidRPr="00D71EAE">
        <w:rPr>
          <w:rFonts w:eastAsia="Calibri"/>
        </w:rPr>
        <w:t>Pažymėtina, kad šiuo metu Lietuvoje antros eilės gydymui šiai pacientų populiacijai skiriama monoterapija T-DM1. Jei gydymas T-DM1 neefektyvus</w:t>
      </w:r>
      <w:r w:rsidR="002D0A6E" w:rsidRPr="00D71EAE">
        <w:rPr>
          <w:rFonts w:eastAsia="Calibri"/>
        </w:rPr>
        <w:t>,</w:t>
      </w:r>
      <w:r w:rsidRPr="00D71EAE">
        <w:rPr>
          <w:rFonts w:eastAsia="Calibri"/>
        </w:rPr>
        <w:t xml:space="preserve"> </w:t>
      </w:r>
      <w:r w:rsidR="00C613F9" w:rsidRPr="00D71EAE">
        <w:rPr>
          <w:rFonts w:eastAsia="Calibri"/>
        </w:rPr>
        <w:t>pacientams</w:t>
      </w:r>
      <w:r w:rsidRPr="00D71EAE">
        <w:rPr>
          <w:rFonts w:eastAsia="Calibri"/>
        </w:rPr>
        <w:t xml:space="preserve"> gali būti skiriamas eribulinas kaip 4 eilės gydymas.</w:t>
      </w:r>
    </w:p>
    <w:p w14:paraId="3634A910" w14:textId="20417D86" w:rsidR="008B6418" w:rsidRPr="00D71EAE" w:rsidRDefault="008B6418" w:rsidP="008B6418">
      <w:pPr>
        <w:tabs>
          <w:tab w:val="left" w:pos="426"/>
        </w:tabs>
        <w:spacing w:line="276" w:lineRule="auto"/>
        <w:jc w:val="both"/>
        <w:rPr>
          <w:lang w:eastAsia="lt-LT"/>
        </w:rPr>
      </w:pPr>
      <w:r w:rsidRPr="00D71EAE">
        <w:rPr>
          <w:rFonts w:eastAsia="Arial"/>
        </w:rPr>
        <w:tab/>
      </w:r>
      <w:r w:rsidRPr="00D71EAE">
        <w:rPr>
          <w:lang w:eastAsia="lt-LT"/>
        </w:rPr>
        <w:t>Klini</w:t>
      </w:r>
      <w:r w:rsidR="00185CBE">
        <w:rPr>
          <w:lang w:eastAsia="lt-LT"/>
        </w:rPr>
        <w:t>ki</w:t>
      </w:r>
      <w:r w:rsidRPr="00D71EAE">
        <w:rPr>
          <w:lang w:eastAsia="lt-LT"/>
        </w:rPr>
        <w:t xml:space="preserve">nis vertinimas grindžiamas klinikinio tyrimo DESTINY-Breast02 duomenimis, kurie atspindi pacientų populiaciją ir jo gydymo poreikį Lietuvoje. O šio tyrimo gauti rezultatai rodo, kad </w:t>
      </w:r>
      <w:r w:rsidRPr="00D71EAE">
        <w:rPr>
          <w:lang w:eastAsia="lt-LT"/>
        </w:rPr>
        <w:lastRenderedPageBreak/>
        <w:t>metastazavusio nerezikuotinio KV esant HER2</w:t>
      </w:r>
      <w:r w:rsidRPr="00D71EAE">
        <w:rPr>
          <w:vertAlign w:val="superscript"/>
          <w:lang w:eastAsia="lt-LT"/>
        </w:rPr>
        <w:t>+</w:t>
      </w:r>
      <w:r w:rsidRPr="00D71EAE">
        <w:rPr>
          <w:lang w:eastAsia="lt-LT"/>
        </w:rPr>
        <w:t xml:space="preserve"> raiškai gydymas trastuzumabu derukstekanu gali būti pakankamai efektyvus. </w:t>
      </w:r>
    </w:p>
    <w:p w14:paraId="451A8928" w14:textId="77777777" w:rsidR="00C21971" w:rsidRDefault="00C21971" w:rsidP="008B6418">
      <w:pPr>
        <w:tabs>
          <w:tab w:val="left" w:pos="426"/>
        </w:tabs>
        <w:spacing w:line="276" w:lineRule="auto"/>
        <w:jc w:val="both"/>
        <w:rPr>
          <w:i/>
          <w:lang w:eastAsia="lt-LT"/>
        </w:rPr>
      </w:pPr>
    </w:p>
    <w:p w14:paraId="1D46A807" w14:textId="685CA45E" w:rsidR="008B6418" w:rsidRPr="00D71EAE" w:rsidRDefault="008B6418" w:rsidP="008B6418">
      <w:pPr>
        <w:tabs>
          <w:tab w:val="left" w:pos="426"/>
        </w:tabs>
        <w:spacing w:line="276" w:lineRule="auto"/>
        <w:jc w:val="both"/>
        <w:rPr>
          <w:i/>
          <w:lang w:eastAsia="lt-LT"/>
        </w:rPr>
      </w:pPr>
      <w:r w:rsidRPr="00D71EAE">
        <w:rPr>
          <w:i/>
          <w:lang w:eastAsia="lt-LT"/>
        </w:rPr>
        <w:t>Tiesioginis palyginimas</w:t>
      </w:r>
    </w:p>
    <w:p w14:paraId="3AA8C685" w14:textId="0EB54087" w:rsidR="008B6418" w:rsidRPr="00D71EAE" w:rsidRDefault="008B6418" w:rsidP="002D0A6E">
      <w:pPr>
        <w:suppressAutoHyphens/>
        <w:spacing w:line="276" w:lineRule="auto"/>
        <w:ind w:firstLine="426"/>
        <w:jc w:val="both"/>
      </w:pPr>
      <w:r w:rsidRPr="00D71EAE">
        <w:rPr>
          <w:rFonts w:eastAsia="Arial"/>
        </w:rPr>
        <w:t>DESTINY-Breast02 yra III fazės, atsitiktinių imčių, atviras, aktyvai kontroliuojamas tiesioginio palyginimo, daugiacentris tyrimas, kuriame dalyvavo 608 pacientai. Palyginamasis gydymas – tyrėjo pasirinktas gydymas: kapecitabinas (1250 mg/m</w:t>
      </w:r>
      <w:r w:rsidRPr="00D71EAE">
        <w:rPr>
          <w:rFonts w:eastAsia="Arial"/>
          <w:vertAlign w:val="superscript"/>
        </w:rPr>
        <w:t>2</w:t>
      </w:r>
      <w:r w:rsidRPr="00D71EAE">
        <w:rPr>
          <w:rFonts w:eastAsia="Arial"/>
        </w:rPr>
        <w:t xml:space="preserve"> per burną/dieną nuo 1 ik 14 dienos)  ir trastuzumabas (8 mg/kg per intraveninę infuziją pirmą dieną, paskui 6 mg/d 1 kartą/dieną) arba lapatinibas (1250 mg per burną 1 kartą/dieną nuo 11 iki 21 dienos) ir kapecitabinas (1000 mg/m</w:t>
      </w:r>
      <w:r w:rsidRPr="00D71EAE">
        <w:rPr>
          <w:rFonts w:eastAsia="Arial"/>
          <w:vertAlign w:val="superscript"/>
        </w:rPr>
        <w:t>2</w:t>
      </w:r>
      <w:r w:rsidRPr="00D71EAE">
        <w:rPr>
          <w:rFonts w:eastAsia="Arial"/>
        </w:rPr>
        <w:t xml:space="preserve">), abiejų gydymo režimų kursas kartojamas kas 3 savaitę </w:t>
      </w:r>
      <w:r w:rsidRPr="00D71EAE">
        <w:t xml:space="preserve">iki ligai progresuojant ar gydymo netoleruojant trastuzumabo iki ligos progresijos, šio gydymo režimo kursas kartojamas kas 3 savaitę. Atsižvelgiant įprastinę praktiką Lietuvoje bei klinikinio tyrimo duomenis (t.y. 45 proc. pacientų tyrėjo pasirinkto grupėje vartojo kapecitabino ir trastuzumabo derinį) palyginamasis gydymas </w:t>
      </w:r>
      <w:r w:rsidRPr="00D71EAE">
        <w:rPr>
          <w:i/>
        </w:rPr>
        <w:t>kapecitabinu ir trastuzubu</w:t>
      </w:r>
      <w:r w:rsidRPr="00D71EAE">
        <w:t xml:space="preserve"> laikomas tinkamas.</w:t>
      </w:r>
    </w:p>
    <w:p w14:paraId="7271A146" w14:textId="77777777" w:rsidR="00C21971" w:rsidRDefault="00C21971" w:rsidP="00C21971">
      <w:pPr>
        <w:suppressAutoHyphens/>
        <w:spacing w:line="276" w:lineRule="auto"/>
        <w:jc w:val="both"/>
      </w:pPr>
    </w:p>
    <w:p w14:paraId="77D4BC12" w14:textId="4F686182" w:rsidR="008B6418" w:rsidRPr="00D71EAE" w:rsidRDefault="008B6418" w:rsidP="00C21971">
      <w:pPr>
        <w:suppressAutoHyphens/>
        <w:spacing w:line="276" w:lineRule="auto"/>
        <w:jc w:val="both"/>
        <w:rPr>
          <w:i/>
        </w:rPr>
      </w:pPr>
      <w:r w:rsidRPr="00D71EAE">
        <w:rPr>
          <w:i/>
        </w:rPr>
        <w:t xml:space="preserve">Pirminė </w:t>
      </w:r>
      <w:r w:rsidR="00D71EAE" w:rsidRPr="00D71EAE">
        <w:rPr>
          <w:i/>
        </w:rPr>
        <w:t xml:space="preserve">vertinamoji </w:t>
      </w:r>
      <w:r w:rsidRPr="00D71EAE">
        <w:rPr>
          <w:i/>
        </w:rPr>
        <w:t>baigtis</w:t>
      </w:r>
    </w:p>
    <w:p w14:paraId="374003FD" w14:textId="1AEDAF81" w:rsidR="008B6418" w:rsidRPr="00D71EAE" w:rsidRDefault="008B6418" w:rsidP="002D0A6E">
      <w:pPr>
        <w:suppressAutoHyphens/>
        <w:spacing w:line="276" w:lineRule="auto"/>
        <w:ind w:firstLine="567"/>
        <w:jc w:val="both"/>
      </w:pPr>
      <w:r w:rsidRPr="00D71EAE">
        <w:t xml:space="preserve">Duomenų analizė atlikta praėjus 18 mėnesiams nuo paskutinio paciento įtraukimo į klinikinį tyrimą. Analizės rezultatai parodė, kad pacientai gydomi trastuzumabu derukstekanu išgyvenamumo be ligos progresavimo (IBLP) </w:t>
      </w:r>
      <w:r w:rsidRPr="00D71EAE">
        <w:rPr>
          <w:u w:val="single"/>
        </w:rPr>
        <w:t>mediana buvo beveik 11 mėnesių ilgesnė palyginus</w:t>
      </w:r>
      <w:r w:rsidRPr="00D71EAE">
        <w:t xml:space="preserve"> su palyginamuoju gydymu: </w:t>
      </w:r>
      <w:r w:rsidRPr="00D71EAE">
        <w:rPr>
          <w:u w:val="single"/>
        </w:rPr>
        <w:t>17,8 mėn. ir 6,9 mėn., atitinkami</w:t>
      </w:r>
      <w:r w:rsidRPr="00D71EAE">
        <w:t xml:space="preserve">. Šis skirtumas buvo statistiškai reikšmingas </w:t>
      </w:r>
      <w:r w:rsidRPr="00D71EAE">
        <w:rPr>
          <w:u w:val="single"/>
        </w:rPr>
        <w:t>(RS</w:t>
      </w:r>
      <w:r w:rsidRPr="00D71EAE">
        <w:rPr>
          <w:u w:val="single"/>
          <w:lang w:val="en-GB"/>
        </w:rPr>
        <w:t>=0,36; 95 proc. PI: 0</w:t>
      </w:r>
      <w:r w:rsidRPr="00D71EAE">
        <w:rPr>
          <w:u w:val="single"/>
        </w:rPr>
        <w:t>,28-0,45; P&lt;0,0001)</w:t>
      </w:r>
      <w:r w:rsidRPr="00D71EAE">
        <w:t>. Pažymėtina, kad IBLP medianos trukmė (6,9 mė</w:t>
      </w:r>
      <w:r w:rsidR="00993FB5" w:rsidRPr="00D71EAE">
        <w:t>n</w:t>
      </w:r>
      <w:r w:rsidRPr="00D71EAE">
        <w:t xml:space="preserve">.) tyrėjo pasirinkto gydymo grupėje atitiko kitų tyrimų  rezultatus, kuriuose buvo vartojami kapecitabino ir lapatinibo gydymo režimai. Ilgesnis palyginamasis IBLP gydant trastuzumabu derukstekanu taip pat buvo nustatytas iš anksto numatytuose pogrupiuose, vertinant pagal hormonų receptorių statusą prieš taikomą gydymą pertuzumabu bei smegenų matastazių buvimą prieš pradedant tyrimo gydymą. Pažymėtina, kad IBLP vertintas nepriklausomo peržiūros komiteto buvo pirminė baigtis. </w:t>
      </w:r>
    </w:p>
    <w:p w14:paraId="21D2E700" w14:textId="77777777" w:rsidR="00C21971" w:rsidRDefault="00C21971" w:rsidP="00C21971">
      <w:pPr>
        <w:suppressAutoHyphens/>
        <w:spacing w:line="276" w:lineRule="auto"/>
        <w:jc w:val="both"/>
        <w:rPr>
          <w:i/>
        </w:rPr>
      </w:pPr>
    </w:p>
    <w:p w14:paraId="2DE5C7B8" w14:textId="3C3D96E7" w:rsidR="008B6418" w:rsidRPr="00D71EAE" w:rsidRDefault="008B6418" w:rsidP="00C21971">
      <w:pPr>
        <w:suppressAutoHyphens/>
        <w:spacing w:line="276" w:lineRule="auto"/>
        <w:jc w:val="both"/>
        <w:rPr>
          <w:i/>
        </w:rPr>
      </w:pPr>
      <w:r w:rsidRPr="00D71EAE">
        <w:rPr>
          <w:i/>
        </w:rPr>
        <w:t xml:space="preserve">Antrinės </w:t>
      </w:r>
      <w:r w:rsidR="00D71EAE" w:rsidRPr="00D71EAE">
        <w:rPr>
          <w:i/>
        </w:rPr>
        <w:t xml:space="preserve">vertinamosios </w:t>
      </w:r>
      <w:r w:rsidRPr="00D71EAE">
        <w:rPr>
          <w:i/>
        </w:rPr>
        <w:t>baigtys</w:t>
      </w:r>
    </w:p>
    <w:p w14:paraId="632BAA45" w14:textId="425AF748" w:rsidR="008B6418" w:rsidRPr="00D71EAE" w:rsidRDefault="008B6418" w:rsidP="002D0A6E">
      <w:pPr>
        <w:suppressAutoHyphens/>
        <w:spacing w:line="276" w:lineRule="auto"/>
        <w:ind w:firstLine="567"/>
        <w:jc w:val="both"/>
      </w:pPr>
      <w:r w:rsidRPr="00D71EAE">
        <w:t>Bendras išgyvenamumas (BI) buvo pagrindinė antrinė</w:t>
      </w:r>
      <w:r w:rsidR="002D0A6E" w:rsidRPr="00D71EAE">
        <w:t xml:space="preserve"> vertinamoji</w:t>
      </w:r>
      <w:r w:rsidRPr="00D71EAE">
        <w:t xml:space="preserve"> baigtis. BI mediana taip pat buvo ilgesnė. Palyginamoji analizė parodė, kad BI gydant trasuzumabu derukstekanu buvo kiek statistiškai, teik kliniškai reikšmingai geresnis, palyginus su tyrėjo pasirinktu gydymu. Rizikos santykis (RS) buvo </w:t>
      </w:r>
      <w:r w:rsidRPr="00D71EAE">
        <w:rPr>
          <w:u w:val="single"/>
        </w:rPr>
        <w:t>0,66 (95 proc. PI: 0,5-0,86; p=0,0021).</w:t>
      </w:r>
      <w:r w:rsidRPr="00D71EAE">
        <w:t xml:space="preserve"> Pažymėtina, kad statistiniam reikšmingumui įrodyti numatyta p reikšmė  turėjo būti 0,004. Bendro išgyvenamumo palyginamųjų grupių kreivės išskyrė jau po 6 gydymo mėnesių</w:t>
      </w:r>
      <w:r w:rsidRPr="00D71EAE">
        <w:rPr>
          <w:u w:val="single"/>
        </w:rPr>
        <w:t>, absoliutus skirtumas tarp BI medianų buvo 12,7 mėnesiai trastuzumabo naudai proc. pasiekus 12 mėnesių stebėjimo taško</w:t>
      </w:r>
      <w:r w:rsidRPr="00D71EAE">
        <w:t>. Patvirtintas objektyvus ats</w:t>
      </w:r>
      <w:r w:rsidR="00664EAE">
        <w:t>a</w:t>
      </w:r>
      <w:r w:rsidRPr="00D71EAE">
        <w:t xml:space="preserve">kas į gydymą buvo statiškai reikšmingai geresnis, kas atsispindėjo vertinant IBLP abejose grupėse. Gydymo nutraukimo dažnis buvo mažesnis trastuzumabo derukstekano grupėje (77 proc.), palyginus su tyrėjo pasirinko gydymo grupėje (97 proc.). Dauguma gydymo nutraukimo atvejų buvo susijusi su ligos progresavimu, tačiau pacientai trastuzumabo derukstekano grupėje buvo gydomi ilgiau. Pacientai, kuriems buvo nustatyta ligos progresija, iš gydytojo pasirinkto gydymo grupės galėjo pradėti gydymą trastuzumabu derukstekanu.  </w:t>
      </w:r>
    </w:p>
    <w:p w14:paraId="1D2FFD66" w14:textId="7693B75C" w:rsidR="008B6418" w:rsidRPr="00D71EAE" w:rsidRDefault="008B6418" w:rsidP="008B6418">
      <w:pPr>
        <w:suppressAutoHyphens/>
        <w:spacing w:line="276" w:lineRule="auto"/>
        <w:ind w:firstLine="720"/>
        <w:jc w:val="both"/>
      </w:pPr>
      <w:r w:rsidRPr="00D71EAE">
        <w:t>Nepageidaujamų reiškinių vertinimas abejose grupėse parodė, kad pacientai dažnai vartojo anti</w:t>
      </w:r>
      <w:r w:rsidR="002D0A6E" w:rsidRPr="00D71EAE">
        <w:t>emetikus</w:t>
      </w:r>
      <w:r w:rsidRPr="00D71EAE">
        <w:t xml:space="preserve"> dėl kartotinių pykinimo ir vėmimo simptomų. Pažymėtina, kad trastuzumabo derukstekano grupėje vis dėl to nepaisant anti</w:t>
      </w:r>
      <w:r w:rsidR="006B3C78" w:rsidRPr="00D71EAE">
        <w:t>e</w:t>
      </w:r>
      <w:r w:rsidRPr="00D71EAE">
        <w:t>metikų vartojimą, apie 20 proc. pacientų vis tiek pasireiškė pykinimo simptomai ir 7 proc. pacientų – vėmimas. Todėl ankstyva šiuo reiškinių  profilaktika skiriant trastuzumabo durekstekano rekome</w:t>
      </w:r>
      <w:r w:rsidR="006B3C78" w:rsidRPr="00D71EAE">
        <w:t>n</w:t>
      </w:r>
      <w:r w:rsidRPr="00D71EAE">
        <w:t xml:space="preserve">duojama. Intersticinė plaučių liga – didelės </w:t>
      </w:r>
      <w:r w:rsidRPr="00D71EAE">
        <w:lastRenderedPageBreak/>
        <w:t>rizikos NR, kuris gali pasireikšti vartojant trastuzumabą derukstekaną. Remiantis tyrimo duomenimis, 5 sunkumo laipsnio susirgimas buvo &lt;1 proc. (2 pacientai). Atidus pacientų stebėjimas rekomenduojamas dėl ankstyvo simptomų nustatymo ir gydymo kortikosterodais.</w:t>
      </w:r>
    </w:p>
    <w:p w14:paraId="5518EDD9" w14:textId="55ACBABD" w:rsidR="008B6418" w:rsidRPr="00D71EAE" w:rsidRDefault="008B6418" w:rsidP="008B6418">
      <w:pPr>
        <w:suppressAutoHyphens/>
        <w:spacing w:line="276" w:lineRule="auto"/>
        <w:ind w:firstLine="720"/>
        <w:jc w:val="both"/>
      </w:pPr>
      <w:r w:rsidRPr="00D71EAE">
        <w:t>Apibendrinant, palyginamasis efektyvumas trastuzumabo derukstekano yra geresnis palyginus su gydymu kapecitabinu ir trastuzumabu, todėl tikėtina didesnė klinikinė nauda pasirinktai pacientų populiacijai (t.y. pacientai, sergantys progresuojančiu neoperabiliu HER2</w:t>
      </w:r>
      <w:r w:rsidR="006B3C78" w:rsidRPr="00D71EAE">
        <w:t>+</w:t>
      </w:r>
      <w:r w:rsidRPr="00D71EAE">
        <w:t xml:space="preserve"> krūties vėžiu).</w:t>
      </w:r>
    </w:p>
    <w:p w14:paraId="386975B9" w14:textId="77777777" w:rsidR="008B6418" w:rsidRPr="00D71EAE" w:rsidRDefault="008B6418" w:rsidP="008B6418">
      <w:pPr>
        <w:suppressAutoHyphens/>
        <w:spacing w:line="276" w:lineRule="auto"/>
        <w:ind w:firstLine="720"/>
        <w:jc w:val="both"/>
      </w:pPr>
    </w:p>
    <w:p w14:paraId="40D61685" w14:textId="77777777" w:rsidR="008B6418" w:rsidRPr="00D71EAE" w:rsidRDefault="008B6418" w:rsidP="006B3C78">
      <w:pPr>
        <w:tabs>
          <w:tab w:val="left" w:pos="426"/>
        </w:tabs>
        <w:spacing w:line="276" w:lineRule="auto"/>
        <w:jc w:val="both"/>
        <w:rPr>
          <w:i/>
          <w:lang w:eastAsia="lt-LT"/>
        </w:rPr>
      </w:pPr>
      <w:r w:rsidRPr="00D71EAE">
        <w:rPr>
          <w:i/>
          <w:lang w:eastAsia="lt-LT"/>
        </w:rPr>
        <w:t>Netiesioginis palyginimas</w:t>
      </w:r>
    </w:p>
    <w:p w14:paraId="702ABDC3" w14:textId="587DC5C3" w:rsidR="008B6418" w:rsidRPr="00D71EAE" w:rsidRDefault="008B6418" w:rsidP="008B6418">
      <w:pPr>
        <w:spacing w:line="276" w:lineRule="auto"/>
        <w:ind w:firstLine="720"/>
        <w:jc w:val="both"/>
        <w:rPr>
          <w:rFonts w:eastAsia="Arial"/>
        </w:rPr>
      </w:pPr>
      <w:r w:rsidRPr="00D71EAE">
        <w:rPr>
          <w:rFonts w:eastAsia="Arial"/>
        </w:rPr>
        <w:t>Tinklinė meta-analizėje</w:t>
      </w:r>
      <w:r w:rsidR="006B3C78" w:rsidRPr="00D71EAE">
        <w:rPr>
          <w:rFonts w:eastAsia="Arial"/>
        </w:rPr>
        <w:t xml:space="preserve"> (TMA) </w:t>
      </w:r>
      <w:r w:rsidRPr="00D71EAE">
        <w:rPr>
          <w:rFonts w:eastAsia="Arial"/>
        </w:rPr>
        <w:t>buvo vertinam</w:t>
      </w:r>
      <w:r w:rsidR="00335314" w:rsidRPr="00D71EAE">
        <w:rPr>
          <w:rFonts w:eastAsia="Arial"/>
        </w:rPr>
        <w:t>os pagrindinės efektyvumo vertinamosios baigty</w:t>
      </w:r>
      <w:r w:rsidRPr="00D71EAE">
        <w:rPr>
          <w:rFonts w:eastAsia="Arial"/>
        </w:rPr>
        <w:t xml:space="preserve">s: išgyvenamumas be ligos progresavimo bei bendras išgyvenamumas. Analizėje pateiktų terapijų efektyvumas palyginamasis efektyvumas buvo vertinimas naudojant </w:t>
      </w:r>
      <w:r w:rsidRPr="00D71EAE">
        <w:rPr>
          <w:rFonts w:eastAsia="Arial"/>
          <w:i/>
        </w:rPr>
        <w:t>log-</w:t>
      </w:r>
      <w:r w:rsidRPr="00D71EAE">
        <w:rPr>
          <w:rFonts w:eastAsia="Arial"/>
        </w:rPr>
        <w:t xml:space="preserve"> </w:t>
      </w:r>
      <w:r w:rsidR="006B3C78" w:rsidRPr="00D71EAE">
        <w:rPr>
          <w:rFonts w:eastAsia="Arial"/>
        </w:rPr>
        <w:t>rizikos</w:t>
      </w:r>
      <w:r w:rsidRPr="00D71EAE">
        <w:rPr>
          <w:rFonts w:eastAsia="Arial"/>
        </w:rPr>
        <w:t xml:space="preserve"> santykio skalę su tiesinės regresijos struktūra, naudojant įprastą tikimybę su tapatybės ryšiu. MAIC analizės rezultatai pateikti kaip žvalgomieji.</w:t>
      </w:r>
    </w:p>
    <w:p w14:paraId="32BECCB0" w14:textId="6482C9A7" w:rsidR="008B6418" w:rsidRPr="00D71EAE" w:rsidRDefault="008B6418" w:rsidP="008B6418">
      <w:pPr>
        <w:spacing w:line="276" w:lineRule="auto"/>
        <w:ind w:firstLine="720"/>
        <w:jc w:val="both"/>
        <w:rPr>
          <w:rFonts w:asciiTheme="majorBidi" w:hAnsiTheme="majorBidi" w:cstheme="majorBidi"/>
        </w:rPr>
      </w:pPr>
      <w:r w:rsidRPr="00D71EAE">
        <w:rPr>
          <w:rFonts w:eastAsia="Arial"/>
        </w:rPr>
        <w:t xml:space="preserve">Susietas klinikinių tyrimų tinklas naudojamas </w:t>
      </w:r>
      <w:r w:rsidR="006B3C78" w:rsidRPr="00D71EAE">
        <w:rPr>
          <w:rFonts w:eastAsia="Arial"/>
        </w:rPr>
        <w:t>TMA</w:t>
      </w:r>
      <w:r w:rsidRPr="00D71EAE">
        <w:rPr>
          <w:rFonts w:eastAsia="Arial"/>
        </w:rPr>
        <w:t xml:space="preserve"> </w:t>
      </w:r>
      <w:r w:rsidRPr="00D71EAE">
        <w:rPr>
          <w:rFonts w:asciiTheme="majorBidi" w:hAnsiTheme="majorBidi" w:cstheme="majorBidi"/>
        </w:rPr>
        <w:t xml:space="preserve">apėmė klinikinius tyrimus tikslinėje pacientų populiacijoje su atezolizumabu, </w:t>
      </w:r>
      <w:r w:rsidR="006B3C78" w:rsidRPr="00D71EAE">
        <w:rPr>
          <w:rFonts w:asciiTheme="majorBidi" w:hAnsiTheme="majorBidi" w:cstheme="majorBidi"/>
        </w:rPr>
        <w:t>k</w:t>
      </w:r>
      <w:r w:rsidRPr="00D71EAE">
        <w:rPr>
          <w:rFonts w:asciiTheme="majorBidi" w:hAnsiTheme="majorBidi" w:cstheme="majorBidi"/>
        </w:rPr>
        <w:t>apecitabin</w:t>
      </w:r>
      <w:r w:rsidR="006B3C78" w:rsidRPr="00D71EAE">
        <w:rPr>
          <w:rFonts w:asciiTheme="majorBidi" w:hAnsiTheme="majorBidi" w:cstheme="majorBidi"/>
        </w:rPr>
        <w:t>u</w:t>
      </w:r>
      <w:r w:rsidRPr="00D71EAE">
        <w:rPr>
          <w:rFonts w:asciiTheme="majorBidi" w:hAnsiTheme="majorBidi" w:cstheme="majorBidi"/>
        </w:rPr>
        <w:t xml:space="preserve"> (CAP), lapatinib</w:t>
      </w:r>
      <w:r w:rsidR="006B3C78" w:rsidRPr="00D71EAE">
        <w:rPr>
          <w:rFonts w:asciiTheme="majorBidi" w:hAnsiTheme="majorBidi" w:cstheme="majorBidi"/>
        </w:rPr>
        <w:t>u</w:t>
      </w:r>
      <w:r w:rsidRPr="00D71EAE">
        <w:rPr>
          <w:rFonts w:asciiTheme="majorBidi" w:hAnsiTheme="majorBidi" w:cstheme="majorBidi"/>
        </w:rPr>
        <w:t xml:space="preserve"> (LAP); margetu</w:t>
      </w:r>
      <w:r w:rsidR="006B3C78" w:rsidRPr="00D71EAE">
        <w:rPr>
          <w:rFonts w:asciiTheme="majorBidi" w:hAnsiTheme="majorBidi" w:cstheme="majorBidi"/>
        </w:rPr>
        <w:t>ksi</w:t>
      </w:r>
      <w:r w:rsidRPr="00D71EAE">
        <w:rPr>
          <w:rFonts w:asciiTheme="majorBidi" w:hAnsiTheme="majorBidi" w:cstheme="majorBidi"/>
        </w:rPr>
        <w:t>mab</w:t>
      </w:r>
      <w:r w:rsidR="006B3C78" w:rsidRPr="00D71EAE">
        <w:rPr>
          <w:rFonts w:asciiTheme="majorBidi" w:hAnsiTheme="majorBidi" w:cstheme="majorBidi"/>
        </w:rPr>
        <w:t>u</w:t>
      </w:r>
      <w:r w:rsidRPr="00D71EAE">
        <w:rPr>
          <w:rFonts w:asciiTheme="majorBidi" w:hAnsiTheme="majorBidi" w:cstheme="majorBidi"/>
        </w:rPr>
        <w:t xml:space="preserve"> (MAR); neratinibu (NER); gydytojo gydymo pasirinkimu (GGP, angl. PCC); p</w:t>
      </w:r>
      <w:r w:rsidR="006B3C78" w:rsidRPr="00D71EAE">
        <w:rPr>
          <w:rFonts w:asciiTheme="majorBidi" w:hAnsiTheme="majorBidi" w:cstheme="majorBidi"/>
        </w:rPr>
        <w:t>i</w:t>
      </w:r>
      <w:r w:rsidRPr="00D71EAE">
        <w:rPr>
          <w:rFonts w:asciiTheme="majorBidi" w:hAnsiTheme="majorBidi" w:cstheme="majorBidi"/>
        </w:rPr>
        <w:t>rotinibu (PYR); trastuzumabu emtansinu (T-DM1); trastuzumabu deruxtecanu (T-DXd); tukatinibu (TUC); trastuzumabu (TZB). Tačiau atsižvelgiant į įprastinę klinikinę praktik</w:t>
      </w:r>
      <w:r w:rsidR="006B3C78" w:rsidRPr="00D71EAE">
        <w:rPr>
          <w:rFonts w:asciiTheme="majorBidi" w:hAnsiTheme="majorBidi" w:cstheme="majorBidi"/>
        </w:rPr>
        <w:t>ą Lietuvoje, ypatingas dėm</w:t>
      </w:r>
      <w:r w:rsidR="00D71EAE" w:rsidRPr="00D71EAE">
        <w:rPr>
          <w:rFonts w:asciiTheme="majorBidi" w:hAnsiTheme="majorBidi" w:cstheme="majorBidi"/>
        </w:rPr>
        <w:t>e</w:t>
      </w:r>
      <w:r w:rsidR="006B3C78" w:rsidRPr="00D71EAE">
        <w:rPr>
          <w:rFonts w:asciiTheme="majorBidi" w:hAnsiTheme="majorBidi" w:cstheme="majorBidi"/>
        </w:rPr>
        <w:t>sy</w:t>
      </w:r>
      <w:r w:rsidRPr="00D71EAE">
        <w:rPr>
          <w:rFonts w:asciiTheme="majorBidi" w:hAnsiTheme="majorBidi" w:cstheme="majorBidi"/>
        </w:rPr>
        <w:t>s vertinimo metu buvo skirtas monoterapijai kapecitabinu.</w:t>
      </w:r>
    </w:p>
    <w:p w14:paraId="5CBF56AD" w14:textId="57DDB151" w:rsidR="008B6418" w:rsidRPr="00D71EAE" w:rsidRDefault="008B6418" w:rsidP="008B6418">
      <w:pPr>
        <w:spacing w:line="276" w:lineRule="auto"/>
        <w:ind w:firstLine="720"/>
        <w:jc w:val="both"/>
        <w:rPr>
          <w:rFonts w:eastAsia="Arial"/>
        </w:rPr>
      </w:pPr>
      <w:r w:rsidRPr="00D71EAE">
        <w:rPr>
          <w:rFonts w:eastAsia="Arial"/>
        </w:rPr>
        <w:t xml:space="preserve">Remiantis netiesioginio palyginimo rezultatais, gydymas T-DXd rodo geresnius IBLP rezultatus, kurie taip pat atsispindi geresnius BI rezultatus, palyginus su gydymu kapecitabinu ir vinorelbino. Palyginus su kapecitabinu, gydymas T-DXd mažina  </w:t>
      </w:r>
      <w:r w:rsidR="00E44004" w:rsidRPr="002E59E0">
        <w:rPr>
          <w:rFonts w:eastAsia="Arial"/>
        </w:rPr>
        <w:t>***</w:t>
      </w:r>
      <w:r w:rsidRPr="002E59E0">
        <w:rPr>
          <w:rFonts w:eastAsia="Arial"/>
        </w:rPr>
        <w:t>. IBLP įvykių tikimybė (RS=</w:t>
      </w:r>
      <w:r w:rsidR="00E44004" w:rsidRPr="002E59E0">
        <w:rPr>
          <w:rFonts w:eastAsia="Arial"/>
        </w:rPr>
        <w:t>***</w:t>
      </w:r>
      <w:r w:rsidRPr="002E59E0">
        <w:rPr>
          <w:rFonts w:eastAsia="Arial"/>
        </w:rPr>
        <w:t xml:space="preserve">) ir </w:t>
      </w:r>
      <w:r w:rsidR="00E44004" w:rsidRPr="002E59E0">
        <w:rPr>
          <w:rFonts w:eastAsia="Arial"/>
        </w:rPr>
        <w:t>***</w:t>
      </w:r>
      <w:r w:rsidRPr="002E59E0">
        <w:rPr>
          <w:rFonts w:eastAsia="Arial"/>
        </w:rPr>
        <w:t>. BI įvykių tikimybė (RS</w:t>
      </w:r>
      <w:r w:rsidRPr="002E59E0">
        <w:rPr>
          <w:rFonts w:eastAsia="Arial"/>
          <w:lang w:val="en-GB"/>
        </w:rPr>
        <w:t>=</w:t>
      </w:r>
      <w:r w:rsidR="002E59E0" w:rsidRPr="002E59E0">
        <w:rPr>
          <w:rFonts w:eastAsia="Arial"/>
          <w:lang w:val="en-GB"/>
        </w:rPr>
        <w:t>***</w:t>
      </w:r>
      <w:r w:rsidRPr="002E59E0">
        <w:rPr>
          <w:rFonts w:eastAsia="Arial"/>
          <w:lang w:val="en-US"/>
        </w:rPr>
        <w:t>)</w:t>
      </w:r>
      <w:r w:rsidRPr="002E59E0">
        <w:rPr>
          <w:rFonts w:eastAsia="Arial"/>
        </w:rPr>
        <w:t>. Palyginus su vin</w:t>
      </w:r>
      <w:r w:rsidR="006B3C78" w:rsidRPr="002E59E0">
        <w:rPr>
          <w:rFonts w:eastAsia="Arial"/>
        </w:rPr>
        <w:t xml:space="preserve">orelbinu, gydymas T-DXd mažina </w:t>
      </w:r>
      <w:r w:rsidR="002E59E0" w:rsidRPr="002E59E0">
        <w:rPr>
          <w:rFonts w:eastAsia="Arial"/>
        </w:rPr>
        <w:t>***</w:t>
      </w:r>
      <w:r w:rsidRPr="002E59E0">
        <w:rPr>
          <w:rFonts w:eastAsia="Arial"/>
        </w:rPr>
        <w:t>. IBLP įvykių tikimybė (RS=</w:t>
      </w:r>
      <w:r w:rsidR="002E59E0" w:rsidRPr="002E59E0">
        <w:rPr>
          <w:rFonts w:eastAsia="Arial"/>
        </w:rPr>
        <w:t>***</w:t>
      </w:r>
      <w:r w:rsidRPr="002E59E0">
        <w:rPr>
          <w:rFonts w:eastAsia="Arial"/>
        </w:rPr>
        <w:t xml:space="preserve">) ir </w:t>
      </w:r>
      <w:r w:rsidR="002E59E0" w:rsidRPr="002E59E0">
        <w:rPr>
          <w:rFonts w:eastAsia="Arial"/>
        </w:rPr>
        <w:t>***</w:t>
      </w:r>
      <w:r w:rsidRPr="002E59E0">
        <w:rPr>
          <w:rFonts w:eastAsia="Arial"/>
        </w:rPr>
        <w:t>. BI įvykių tikimybė (RS=</w:t>
      </w:r>
      <w:r w:rsidR="002E59E0" w:rsidRPr="002E59E0">
        <w:rPr>
          <w:rFonts w:eastAsia="Arial"/>
        </w:rPr>
        <w:t>***</w:t>
      </w:r>
      <w:r w:rsidRPr="002E59E0">
        <w:rPr>
          <w:rFonts w:eastAsia="Arial"/>
        </w:rPr>
        <w:t>).</w:t>
      </w:r>
    </w:p>
    <w:p w14:paraId="336D036A" w14:textId="3DD43002" w:rsidR="008B6418" w:rsidRPr="00D71EAE" w:rsidRDefault="008B6418" w:rsidP="008B6418">
      <w:pPr>
        <w:spacing w:line="276" w:lineRule="auto"/>
        <w:ind w:firstLine="720"/>
        <w:jc w:val="both"/>
        <w:rPr>
          <w:rFonts w:eastAsia="Arial"/>
        </w:rPr>
      </w:pPr>
      <w:r w:rsidRPr="00D71EAE">
        <w:rPr>
          <w:rFonts w:eastAsia="Arial"/>
        </w:rPr>
        <w:t>Nors pacientų charakteristikos iš atri</w:t>
      </w:r>
      <w:r w:rsidR="000B6F71" w:rsidRPr="00D71EAE">
        <w:rPr>
          <w:rFonts w:eastAsia="Arial"/>
        </w:rPr>
        <w:t>n</w:t>
      </w:r>
      <w:r w:rsidRPr="00D71EAE">
        <w:rPr>
          <w:rFonts w:eastAsia="Arial"/>
        </w:rPr>
        <w:t>ktų tinklinei met</w:t>
      </w:r>
      <w:r w:rsidR="000B6F71" w:rsidRPr="00D71EAE">
        <w:rPr>
          <w:rFonts w:eastAsia="Arial"/>
        </w:rPr>
        <w:t>a</w:t>
      </w:r>
      <w:r w:rsidRPr="00D71EAE">
        <w:rPr>
          <w:rFonts w:eastAsia="Arial"/>
        </w:rPr>
        <w:t xml:space="preserve">-analizei tyrimų galimai skiriasi dėl taikomų terapijų skaičiaus bei </w:t>
      </w:r>
      <w:r w:rsidR="00D71EAE" w:rsidRPr="00D71EAE">
        <w:rPr>
          <w:rFonts w:eastAsia="Arial"/>
        </w:rPr>
        <w:t xml:space="preserve">smegenų metastazių buvimo ar </w:t>
      </w:r>
      <w:r w:rsidRPr="00D71EAE">
        <w:rPr>
          <w:rFonts w:eastAsia="Arial"/>
        </w:rPr>
        <w:t>nebuvimo prieš pradedant klinikinius tyrimus, pateiktas netiesioginis palyginimas nuosekliai rodo, T-DXd gydymas tikėtina yra veiksmingesnis, palyginus su įprastine klinikine praktika Lietuvoje. Remiantis pateikta analize, gydant T-DXd tikėtina reikšmingai mažėja ligos progresavim</w:t>
      </w:r>
      <w:r w:rsidR="00D71EAE" w:rsidRPr="00D71EAE">
        <w:rPr>
          <w:rFonts w:eastAsia="Arial"/>
        </w:rPr>
        <w:t>o rizika bei didėja bendras išgy</w:t>
      </w:r>
      <w:r w:rsidRPr="00D71EAE">
        <w:rPr>
          <w:rFonts w:eastAsia="Arial"/>
        </w:rPr>
        <w:t>venamumas palyginus su kitais gydymo pasirinkimais, įskaitant monoterapiją kapecitabinu arba vinorelbinu.</w:t>
      </w:r>
    </w:p>
    <w:p w14:paraId="4FBCA9C2" w14:textId="77777777" w:rsidR="008B6418" w:rsidRPr="00D71EAE" w:rsidRDefault="008B6418" w:rsidP="008B6418">
      <w:pPr>
        <w:tabs>
          <w:tab w:val="left" w:pos="567"/>
        </w:tabs>
        <w:rPr>
          <w:b/>
          <w:bCs/>
          <w:caps/>
        </w:rPr>
      </w:pPr>
    </w:p>
    <w:p w14:paraId="25F89291" w14:textId="5C45C8FC" w:rsidR="00D4485B" w:rsidRPr="00D71EAE" w:rsidRDefault="00D4485B" w:rsidP="00A93AA6">
      <w:pPr>
        <w:pStyle w:val="Sraopastraipa"/>
        <w:tabs>
          <w:tab w:val="left" w:pos="426"/>
        </w:tabs>
        <w:ind w:left="0"/>
        <w:rPr>
          <w:b/>
          <w:bCs/>
          <w:caps/>
        </w:rPr>
      </w:pPr>
    </w:p>
    <w:p w14:paraId="7DE09EB5" w14:textId="69E9DD74" w:rsidR="00E03C3F" w:rsidRPr="00D71EAE" w:rsidRDefault="00CC7832" w:rsidP="00CC09D4">
      <w:pPr>
        <w:pStyle w:val="Sraopastraipa"/>
        <w:numPr>
          <w:ilvl w:val="0"/>
          <w:numId w:val="12"/>
        </w:numPr>
        <w:tabs>
          <w:tab w:val="left" w:pos="567"/>
        </w:tabs>
        <w:ind w:hanging="720"/>
        <w:rPr>
          <w:b/>
          <w:bCs/>
          <w:caps/>
        </w:rPr>
      </w:pPr>
      <w:r w:rsidRPr="00D71EAE">
        <w:rPr>
          <w:b/>
          <w:bCs/>
          <w:caps/>
        </w:rPr>
        <w:t xml:space="preserve">ekonominio vertinimo </w:t>
      </w:r>
      <w:r w:rsidR="002F0E4F" w:rsidRPr="00D71EAE">
        <w:rPr>
          <w:b/>
          <w:bCs/>
          <w:caps/>
        </w:rPr>
        <w:t>apibendrinimas</w:t>
      </w:r>
    </w:p>
    <w:p w14:paraId="2FC05D7E" w14:textId="43CA31A2" w:rsidR="002E6F80" w:rsidRPr="00D71EAE" w:rsidRDefault="002E6F80" w:rsidP="002E6F80">
      <w:pPr>
        <w:tabs>
          <w:tab w:val="left" w:pos="284"/>
        </w:tabs>
        <w:rPr>
          <w:i/>
          <w:sz w:val="22"/>
          <w:szCs w:val="22"/>
        </w:rPr>
      </w:pPr>
    </w:p>
    <w:p w14:paraId="700AE92F" w14:textId="4C7C1FB8" w:rsidR="00DA7A4B" w:rsidRPr="00D71EAE" w:rsidRDefault="00DA7A4B" w:rsidP="002D7AF0">
      <w:pPr>
        <w:tabs>
          <w:tab w:val="left" w:pos="284"/>
        </w:tabs>
        <w:spacing w:line="276" w:lineRule="auto"/>
        <w:ind w:firstLine="576"/>
        <w:rPr>
          <w:iCs/>
        </w:rPr>
      </w:pPr>
      <w:r w:rsidRPr="00D71EAE">
        <w:rPr>
          <w:iCs/>
        </w:rPr>
        <w:t>Pareiškėjas ekonominiam vertinimui pateikė kaštų naudingumo analizę, į kurią įtraukti pacientai atitinka kompensacijai teikiamas terapines indikacijas.</w:t>
      </w:r>
    </w:p>
    <w:p w14:paraId="7C79A187" w14:textId="6DA0B0E0" w:rsidR="00DA7A4B" w:rsidRPr="00D71EAE" w:rsidRDefault="00DA7A4B" w:rsidP="002D7AF0">
      <w:pPr>
        <w:tabs>
          <w:tab w:val="left" w:pos="284"/>
        </w:tabs>
        <w:spacing w:line="276" w:lineRule="auto"/>
        <w:ind w:firstLine="576"/>
        <w:rPr>
          <w:iCs/>
        </w:rPr>
      </w:pPr>
      <w:r w:rsidRPr="00D71EAE">
        <w:rPr>
          <w:iCs/>
        </w:rPr>
        <w:t>Ekonominėje analizėje nagrinėjama populiacija atitinka klinikinio tyrimo DESTINY-Breast02 klinikinio tyrimo nagrinėjamą pacientų populiaciją – suaugusieji pacientai, sergantys nerezekuotinu arba metastazavusiu žmogaus epidermio augimo faktoriaus receptoriaus 2 (angl. human epidermal grow factor receptor 2, toliau - HER2) teigiamu krūties vėžiu, kuriems jau taikytas vienas arba daugiau prieš HER2 nukreiptų gydymo režimų, gydymui. Atsižvelgiant į tai, kad nurodyta populiacija klinikiniame tyrime turėjo būti prieš tai gydoma trastuzumabo emtansinu, Lietuvos klinikinėje praktikoje tai atitinka pareiškėjo siūlomą skyrimo sąlygą, kad nagrinėjamai pacientų populiacijai turėjo būti taikomi du arba daugiau prie HER2 nukreipti gydymo rėžimai.</w:t>
      </w:r>
    </w:p>
    <w:p w14:paraId="49B16432" w14:textId="671A3B42" w:rsidR="00DA7A4B" w:rsidRPr="00D71EAE" w:rsidRDefault="00DA7A4B" w:rsidP="002D7AF0">
      <w:pPr>
        <w:tabs>
          <w:tab w:val="left" w:pos="284"/>
        </w:tabs>
        <w:spacing w:line="276" w:lineRule="auto"/>
        <w:ind w:firstLine="576"/>
        <w:rPr>
          <w:iCs/>
        </w:rPr>
      </w:pPr>
      <w:r w:rsidRPr="00D71EAE">
        <w:rPr>
          <w:iCs/>
        </w:rPr>
        <w:lastRenderedPageBreak/>
        <w:t xml:space="preserve">Ekonominėje analizėje pateiktas palyginamasis gydymas atitinka įprastą Lietuvos Respublikos klinikinę praktiką ir </w:t>
      </w:r>
      <w:r w:rsidRPr="00D71EAE">
        <w:rPr>
          <w:rFonts w:eastAsia="Arial"/>
        </w:rPr>
        <w:t>klinikinio paraiškos vertinimo dalyje pateiktą palyginamąjį gydymą.</w:t>
      </w:r>
      <w:r w:rsidRPr="00D71EAE">
        <w:rPr>
          <w:iCs/>
        </w:rPr>
        <w:t xml:space="preserve"> Tinkamas palyginamasis gydymas Lietuvos klinikinėje praktikoje yra gydymas kapecitabinu.</w:t>
      </w:r>
    </w:p>
    <w:p w14:paraId="16DD2B06" w14:textId="77777777" w:rsidR="00DA7A4B" w:rsidRPr="00D71EAE" w:rsidRDefault="00DA7A4B" w:rsidP="002D7AF0">
      <w:pPr>
        <w:pStyle w:val="VVKT"/>
      </w:pPr>
      <w:r w:rsidRPr="00D71EAE">
        <w:t xml:space="preserve">Ekonominėje analizėje taikomi modeliavimo metodai. Kartu su ekonomine analize pateiktas ekonominio modelis, parengtas Microsoft Excel® programa ir skirtas įvertinti trastuzumabo derukstekano kaštų naudingumui gydant </w:t>
      </w:r>
      <w:bookmarkStart w:id="0" w:name="_Hlk146492234"/>
      <w:r w:rsidRPr="00D71EAE">
        <w:t>sergančiuosius nerezekuotinu arba metastazavusiu HER2 teigiamu krūties vėžiu, kuriems jau taikyti du arba daugiau prieš HER2 nukreiptų gydymo režimų, gydymui.</w:t>
      </w:r>
    </w:p>
    <w:bookmarkEnd w:id="0"/>
    <w:p w14:paraId="3DC84E3C" w14:textId="77777777" w:rsidR="00DA7A4B" w:rsidRPr="00D71EAE" w:rsidRDefault="00DA7A4B" w:rsidP="002D7AF0">
      <w:pPr>
        <w:pStyle w:val="VVKT"/>
      </w:pPr>
      <w:r w:rsidRPr="00D71EAE">
        <w:t xml:space="preserve">Pateiktas ekonominis modelis yra išskaidyto išgyvenamumo (angl. </w:t>
      </w:r>
      <w:r w:rsidRPr="00D71EAE">
        <w:rPr>
          <w:i/>
        </w:rPr>
        <w:t>partitioned survival</w:t>
      </w:r>
      <w:r w:rsidRPr="00D71EAE">
        <w:t>) modelis, kuriame modeliuojamos 4 sveikatos būklės:</w:t>
      </w:r>
    </w:p>
    <w:p w14:paraId="486E3175" w14:textId="77777777" w:rsidR="00DA7A4B" w:rsidRPr="00D71EAE" w:rsidRDefault="00DA7A4B" w:rsidP="002D7AF0">
      <w:pPr>
        <w:pStyle w:val="Sraopastraipa"/>
        <w:numPr>
          <w:ilvl w:val="0"/>
          <w:numId w:val="13"/>
        </w:numPr>
        <w:spacing w:line="276" w:lineRule="auto"/>
        <w:ind w:left="0" w:firstLine="576"/>
        <w:jc w:val="both"/>
        <w:rPr>
          <w:lang w:eastAsia="lt-LT"/>
        </w:rPr>
      </w:pPr>
      <w:r w:rsidRPr="00D71EAE">
        <w:rPr>
          <w:lang w:eastAsia="lt-LT"/>
        </w:rPr>
        <w:t xml:space="preserve">Būklė iki ligos progresavimo taikant gydymą (angl. </w:t>
      </w:r>
      <w:r w:rsidRPr="00D71EAE">
        <w:rPr>
          <w:i/>
          <w:iCs/>
          <w:lang w:eastAsia="lt-LT"/>
        </w:rPr>
        <w:t>progression-free, on treatment</w:t>
      </w:r>
      <w:r w:rsidRPr="00D71EAE">
        <w:rPr>
          <w:lang w:eastAsia="lt-LT"/>
        </w:rPr>
        <w:t>)</w:t>
      </w:r>
    </w:p>
    <w:p w14:paraId="466C314A" w14:textId="77777777" w:rsidR="00DA7A4B" w:rsidRPr="00D71EAE" w:rsidRDefault="00DA7A4B" w:rsidP="002D7AF0">
      <w:pPr>
        <w:pStyle w:val="Sraopastraipa"/>
        <w:numPr>
          <w:ilvl w:val="0"/>
          <w:numId w:val="13"/>
        </w:numPr>
        <w:spacing w:line="276" w:lineRule="auto"/>
        <w:ind w:left="0" w:firstLine="576"/>
        <w:jc w:val="both"/>
        <w:rPr>
          <w:lang w:eastAsia="lt-LT"/>
        </w:rPr>
      </w:pPr>
      <w:r w:rsidRPr="00D71EAE">
        <w:rPr>
          <w:lang w:eastAsia="lt-LT"/>
        </w:rPr>
        <w:t xml:space="preserve">Būklė iki ligos progresavimo nutraukus gydymą (angl. </w:t>
      </w:r>
      <w:r w:rsidRPr="00D71EAE">
        <w:rPr>
          <w:i/>
          <w:iCs/>
          <w:lang w:eastAsia="lt-LT"/>
        </w:rPr>
        <w:t>progression-free, off treatment</w:t>
      </w:r>
      <w:r w:rsidRPr="00D71EAE">
        <w:rPr>
          <w:lang w:eastAsia="lt-LT"/>
        </w:rPr>
        <w:t>)</w:t>
      </w:r>
    </w:p>
    <w:p w14:paraId="3FABD147" w14:textId="77777777" w:rsidR="00DA7A4B" w:rsidRPr="00D71EAE" w:rsidRDefault="00DA7A4B" w:rsidP="002D7AF0">
      <w:pPr>
        <w:pStyle w:val="Sraopastraipa"/>
        <w:numPr>
          <w:ilvl w:val="0"/>
          <w:numId w:val="13"/>
        </w:numPr>
        <w:spacing w:line="276" w:lineRule="auto"/>
        <w:ind w:left="0" w:firstLine="576"/>
        <w:rPr>
          <w:lang w:eastAsia="lt-LT"/>
        </w:rPr>
      </w:pPr>
      <w:r w:rsidRPr="00D71EAE">
        <w:rPr>
          <w:lang w:eastAsia="lt-LT"/>
        </w:rPr>
        <w:t xml:space="preserve">Progresuojančios ligos būklė (angl. </w:t>
      </w:r>
      <w:r w:rsidRPr="00D71EAE">
        <w:rPr>
          <w:i/>
          <w:iCs/>
          <w:lang w:eastAsia="lt-LT"/>
        </w:rPr>
        <w:t>progressed disease</w:t>
      </w:r>
      <w:r w:rsidRPr="00D71EAE">
        <w:rPr>
          <w:lang w:eastAsia="lt-LT"/>
        </w:rPr>
        <w:t>)</w:t>
      </w:r>
    </w:p>
    <w:p w14:paraId="3D887220" w14:textId="77777777" w:rsidR="00DA7A4B" w:rsidRPr="00D71EAE" w:rsidRDefault="00DA7A4B" w:rsidP="002D7AF0">
      <w:pPr>
        <w:pStyle w:val="Sraopastraipa"/>
        <w:numPr>
          <w:ilvl w:val="0"/>
          <w:numId w:val="13"/>
        </w:numPr>
        <w:spacing w:line="276" w:lineRule="auto"/>
        <w:ind w:left="0" w:firstLine="576"/>
        <w:jc w:val="both"/>
        <w:rPr>
          <w:lang w:eastAsia="lt-LT"/>
        </w:rPr>
      </w:pPr>
      <w:r w:rsidRPr="00D71EAE">
        <w:rPr>
          <w:lang w:eastAsia="lt-LT"/>
        </w:rPr>
        <w:t xml:space="preserve">Mirtis. </w:t>
      </w:r>
    </w:p>
    <w:p w14:paraId="47DE0DDF" w14:textId="4B087978" w:rsidR="00DA7A4B" w:rsidRPr="00D71EAE" w:rsidRDefault="00DA7A4B" w:rsidP="002D7AF0">
      <w:pPr>
        <w:spacing w:line="276" w:lineRule="auto"/>
        <w:ind w:firstLine="576"/>
        <w:jc w:val="both"/>
        <w:rPr>
          <w:lang w:eastAsia="lt-LT"/>
        </w:rPr>
      </w:pPr>
      <w:r w:rsidRPr="00D71EAE">
        <w:rPr>
          <w:lang w:eastAsia="lt-LT"/>
        </w:rPr>
        <w:t>Analizės struktūra yra tinkama trastuzumabo derukstekano kaštų naudingumui įvertinti gydant sergančiuosius nerezekuotinu arba metastazavusiu HER2 teigiamu krūties vėžiu, kuriems jau taikyti du arba daugiau prieš HER2 nukreiptų gydymo režimų.</w:t>
      </w:r>
    </w:p>
    <w:p w14:paraId="28CAEC1F" w14:textId="2365BB3C" w:rsidR="00DA7A4B" w:rsidRPr="00D71EAE" w:rsidRDefault="00DA7A4B" w:rsidP="002D7AF0">
      <w:pPr>
        <w:spacing w:line="276" w:lineRule="auto"/>
        <w:ind w:firstLine="576"/>
        <w:jc w:val="both"/>
      </w:pPr>
      <w:r w:rsidRPr="00D71EAE">
        <w:t>Pagrindinis klinikinių įrodymų šaltinis ekonominėje analizėje yra klinikinis tyrimas DESTINY-Breast02 - 3 fazės, atsitiktinių imčių, daugiacentris, atviras, veikliuoju vaistiniu preparatu kontroliuojamas tyrimas, į kurį buvo įtraukti pacientai, sergantys HER2 teigiamu, neoperabiliu arba metastazavusiu krūties vėžiu, kurie buvo atsparūs ankstesniam gydymui T-DM1 arba gydymas buvo neveiksmingas. Ekonominėje analizėje buvo naudojami DESTINY-Breast02 klinikinio tyrimo BI, IBLP, gydymo trukmės vertinamųjų baigčių duomenys. Atsižvelgiant į Lietuvoje prieinamą palyginamąjį gydymą, buvo būtina atlikti netiesioginį palyginimą su Lietuvoje prieinamu gydymu – gydymu kapecitabinu. Siekiant atlikti palyginimą su klinikinėje praktikoje taikomomis chemoterapijos schemomis buvo atlikta sisteminė literatūros apžvalga (SLR) ir netiesioginiai vaistų palyginimai (NMA ir unanchored MAIC).</w:t>
      </w:r>
    </w:p>
    <w:p w14:paraId="4C1717B7" w14:textId="6D6A2028" w:rsidR="00DA7A4B" w:rsidRPr="00D71EAE" w:rsidRDefault="00DA7A4B" w:rsidP="002D7AF0">
      <w:pPr>
        <w:pStyle w:val="VVKT"/>
      </w:pPr>
      <w:r w:rsidRPr="00D71EAE">
        <w:t xml:space="preserve">Analizė atlikta iš PSDF biudžeto perspektyvos, įtraukti tiesiogiai su sveikatos sistema susiję kaštai. Tai atitinka teisės aktuose nustatytus paraiškos rengimo taisyklių reikalavimus. Analizėje taikoma </w:t>
      </w:r>
      <w:r w:rsidR="0030507E">
        <w:t>***</w:t>
      </w:r>
      <w:r w:rsidRPr="00D71EAE">
        <w:t xml:space="preserve"> metų (viso gyvenimo) laiko perspektyva. Pasirinkta laiko perspektyva yra tinkama, nes, atsižvelgiant į vidutinį tiriamųjų amžių klinikiniame tyrime DESTINY-Breast02, iš esmės apima visus patiriamus kaštus ir sukuriamą naudą sveikatai. </w:t>
      </w:r>
    </w:p>
    <w:p w14:paraId="76250F08" w14:textId="2CF5B600" w:rsidR="00DA7A4B" w:rsidRPr="00D71EAE" w:rsidRDefault="00DA7A4B" w:rsidP="002D7AF0">
      <w:pPr>
        <w:pStyle w:val="VVKT"/>
      </w:pPr>
      <w:r w:rsidRPr="00D71EAE">
        <w:tab/>
        <w:t>Poveikis sveikatai analizėje vertinamas apskaičiuojant kokybiškus gyvenimo metus (QALYs). Apskaičiuojant QALY buvo naudojamos gyvenimo kokybės koeficientų reikšmės, gautos atlikus DESTINY-Breast02 klinikinį tyrimą, kurį atliekant buvo pildomas EQ-5D-5L klausimynas.</w:t>
      </w:r>
    </w:p>
    <w:p w14:paraId="79C83BA6" w14:textId="62EDA5FD" w:rsidR="00DA7A4B" w:rsidRPr="00D71EAE" w:rsidRDefault="00DA7A4B" w:rsidP="002D7AF0">
      <w:pPr>
        <w:pStyle w:val="VVKT"/>
      </w:pPr>
      <w:r w:rsidRPr="00D71EAE">
        <w:t>Į ekonominę analizę įtraukiami vaistinių preparatų įsigijimo, nepageidaujamų reiškinių valdymo, vaistinių preparatų administravimo (suleidimo), sveikatos priežiūros paslaugų kaštai.</w:t>
      </w:r>
    </w:p>
    <w:p w14:paraId="362F3300" w14:textId="6213557E" w:rsidR="00DA7A4B" w:rsidRPr="00D71EAE" w:rsidRDefault="00DA7A4B" w:rsidP="002D7AF0">
      <w:pPr>
        <w:pStyle w:val="VVKT"/>
      </w:pPr>
      <w:r w:rsidRPr="00D71EAE">
        <w:t xml:space="preserve">Tarnyba, perskaičiuodama ekonominės analizės rezultatus atliko tam tikrus ekstrapoliavimo metodų pakeitimus pagrindinio atvejo analizėje – šie pakeitimai detalizuoti vertinimo protokolo 15.1 skyriuje. Nustatytas ligos naštos dydis patenka į sunkios ligos naštos dydžio rėžius </w:t>
      </w:r>
      <w:r w:rsidRPr="00EB4742">
        <w:t xml:space="preserve">(5 BVP), taikoma referencinė kaštų naudingumo vertė yra </w:t>
      </w:r>
      <w:r w:rsidR="007656D8">
        <w:t>***</w:t>
      </w:r>
      <w:r w:rsidRPr="00EB4742">
        <w:t xml:space="preserve"> Eur/QALY. Ekonominės analiz</w:t>
      </w:r>
      <w:r w:rsidRPr="00D71EAE">
        <w:t xml:space="preserve">ės rezultatas rodo, kad inkrementinė kaštų naudingumo vertė viršija referencinę kaštų naudingumo vertę. </w:t>
      </w:r>
    </w:p>
    <w:p w14:paraId="61BD9135" w14:textId="2E47F469" w:rsidR="00DA7A4B" w:rsidRPr="00D71EAE" w:rsidRDefault="00DA7A4B" w:rsidP="002D7AF0">
      <w:pPr>
        <w:spacing w:line="276" w:lineRule="auto"/>
        <w:ind w:firstLine="576"/>
        <w:jc w:val="both"/>
        <w:rPr>
          <w:lang w:eastAsia="lt-LT"/>
        </w:rPr>
      </w:pPr>
      <w:r w:rsidRPr="00D71EAE">
        <w:t xml:space="preserve">Esminis ekonominės analizės trūkumas yra </w:t>
      </w:r>
      <w:r w:rsidR="009A42D8">
        <w:t>***</w:t>
      </w:r>
      <w:r w:rsidRPr="00D71EAE">
        <w:t xml:space="preserve"> gautų duomenų taikymas apskaičiuojant papildomai sukuriamą naudą sveikatai. </w:t>
      </w:r>
      <w:r w:rsidRPr="00D71EAE">
        <w:rPr>
          <w:lang w:eastAsia="lt-LT"/>
        </w:rPr>
        <w:t>Priežasčių abejoti Enhertu pranašumu prieš kapecitabiną nėra</w:t>
      </w:r>
      <w:r w:rsidRPr="00D71EAE">
        <w:t>, t</w:t>
      </w:r>
      <w:r w:rsidRPr="00D71EAE">
        <w:rPr>
          <w:lang w:eastAsia="lt-LT"/>
        </w:rPr>
        <w:t>ačiau kiekybiškai šį pranašumo skirtumą įvertinti ekonominėje analizėje yra sudėtinga.</w:t>
      </w:r>
      <w:r w:rsidRPr="00D71EAE">
        <w:t xml:space="preserve"> </w:t>
      </w:r>
      <w:r w:rsidRPr="00D71EAE">
        <w:rPr>
          <w:lang w:eastAsia="lt-LT"/>
        </w:rPr>
        <w:t xml:space="preserve">Pažymėtina, </w:t>
      </w:r>
      <w:r w:rsidRPr="00D71EAE">
        <w:rPr>
          <w:lang w:eastAsia="lt-LT"/>
        </w:rPr>
        <w:lastRenderedPageBreak/>
        <w:t xml:space="preserve">kad Destiny-Breast02 ir Cameron 2008/2010, klinikinių tyrimų, naudotų atliekant netiesioginį palyginimą, pacientų charakteristikos šiek tiek skiriasi (pvz., dėl prieš tai taikytų terapijų skaičiaus), todėl šio palyginimo metu gautų rizikos santykių taikymas ekonominėje analizėje gali lemti reikšmingą analizės neapibrėžtumą. Taip pat pažymėtina, kad naudojami rizikos santykiai pasižymi santykinai plačiais pasikliautinaisiais intervalais, o atlikus jautrumo analizę matyti itin didelė šio neapibrėžtumo įtaka analizės rezultatui. Tarnyba </w:t>
      </w:r>
      <w:r w:rsidR="00C003DA" w:rsidRPr="00D71EAE">
        <w:rPr>
          <w:lang w:eastAsia="lt-LT"/>
        </w:rPr>
        <w:t xml:space="preserve">negali apskaičiuoti patikimo inkrementinės kaštų naudingumo vertės rezultato, todėl papildomai kliaujasi tikimybinės jautrumo analizės rezultatais, kuri rodo, kad yra </w:t>
      </w:r>
      <w:r w:rsidR="009A42D8" w:rsidRPr="002A30AF">
        <w:rPr>
          <w:lang w:eastAsia="lt-LT"/>
        </w:rPr>
        <w:t>***</w:t>
      </w:r>
      <w:r w:rsidR="00C003DA" w:rsidRPr="00D71EAE">
        <w:rPr>
          <w:lang w:eastAsia="lt-LT"/>
        </w:rPr>
        <w:t xml:space="preserve"> tikimybė, kad Enhertu kaštų naudingumas yra priimtinas. Siūlymas Vaistinių preparatų ir medicinos pagalbos priemonių kompensavimo komisijai dėl Enhertu kainos, dėl kurios siūloma derėtis, paremtas Tarnybos atlikta tikimybine jautrumo analize keičiant Enhertu kainos kintamojo reikšmę. Nustatyta, </w:t>
      </w:r>
      <w:r w:rsidR="00C003DA" w:rsidRPr="00BC5FD8">
        <w:rPr>
          <w:lang w:eastAsia="lt-LT"/>
        </w:rPr>
        <w:t xml:space="preserve">kad </w:t>
      </w:r>
      <w:r w:rsidR="00B9130D">
        <w:rPr>
          <w:lang w:eastAsia="lt-LT"/>
        </w:rPr>
        <w:t>***</w:t>
      </w:r>
      <w:r w:rsidR="00C003DA" w:rsidRPr="00D71EAE">
        <w:rPr>
          <w:lang w:eastAsia="lt-LT"/>
        </w:rPr>
        <w:t xml:space="preserve"> tikimybė, kad Enhertu kaštų naudingumas yra priimtinas siekia </w:t>
      </w:r>
      <w:r w:rsidR="0072211E">
        <w:rPr>
          <w:lang w:eastAsia="lt-LT"/>
        </w:rPr>
        <w:t>***.</w:t>
      </w:r>
      <w:r w:rsidR="00C003DA" w:rsidRPr="00D71EAE">
        <w:rPr>
          <w:lang w:eastAsia="lt-LT"/>
        </w:rPr>
        <w:t xml:space="preserve"> Ši tikimybė remiantis kitų šalių agentūrų patirtimi dažnu atveju yra priimtina priimant sprendimus dėl vaistų kompensavimo. </w:t>
      </w:r>
    </w:p>
    <w:p w14:paraId="0BF39125" w14:textId="77777777" w:rsidR="00DA7A4B" w:rsidRPr="00D71EAE" w:rsidRDefault="00DA7A4B" w:rsidP="002E6F80">
      <w:pPr>
        <w:tabs>
          <w:tab w:val="left" w:pos="284"/>
        </w:tabs>
        <w:rPr>
          <w:bCs/>
          <w:i/>
          <w:caps/>
          <w:sz w:val="22"/>
          <w:szCs w:val="22"/>
        </w:rPr>
      </w:pPr>
    </w:p>
    <w:p w14:paraId="1A900598" w14:textId="4826E5DF" w:rsidR="00C62B36" w:rsidRPr="00D71EAE" w:rsidRDefault="00C62B36" w:rsidP="00A93AA6">
      <w:pPr>
        <w:tabs>
          <w:tab w:val="left" w:pos="426"/>
        </w:tabs>
        <w:rPr>
          <w:b/>
          <w:bCs/>
          <w:caps/>
        </w:rPr>
      </w:pPr>
    </w:p>
    <w:p w14:paraId="174D84D7" w14:textId="2A98EE7C" w:rsidR="0035172D" w:rsidRPr="00D71EAE" w:rsidRDefault="0035172D" w:rsidP="00A93AA6">
      <w:pPr>
        <w:tabs>
          <w:tab w:val="left" w:pos="426"/>
        </w:tabs>
        <w:rPr>
          <w:b/>
          <w:lang w:eastAsia="lt-LT"/>
        </w:rPr>
      </w:pPr>
      <w:r w:rsidRPr="00D71EAE">
        <w:rPr>
          <w:b/>
          <w:lang w:eastAsia="lt-LT"/>
        </w:rPr>
        <w:t>Ekonominės analizės rezultatas</w:t>
      </w:r>
    </w:p>
    <w:p w14:paraId="4801D227" w14:textId="77777777" w:rsidR="009E44AE" w:rsidRPr="00D71EAE"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D71EAE" w:rsidRPr="00D71EAE"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D71EAE" w:rsidRDefault="009E44AE" w:rsidP="009E44AE">
            <w:pPr>
              <w:tabs>
                <w:tab w:val="left" w:pos="567"/>
              </w:tabs>
              <w:jc w:val="center"/>
              <w:rPr>
                <w:b/>
                <w:bCs/>
                <w:sz w:val="26"/>
                <w:szCs w:val="26"/>
                <w:lang w:eastAsia="lt-LT"/>
              </w:rPr>
            </w:pPr>
            <w:r w:rsidRPr="00D71EAE">
              <w:rPr>
                <w:b/>
                <w:bCs/>
                <w:sz w:val="26"/>
                <w:szCs w:val="26"/>
                <w:lang w:eastAsia="lt-LT"/>
              </w:rPr>
              <w:t>Rezultatai</w:t>
            </w:r>
          </w:p>
        </w:tc>
      </w:tr>
      <w:tr w:rsidR="00D71EAE" w:rsidRPr="00D71EAE" w14:paraId="319AF392" w14:textId="77777777" w:rsidTr="00BE7489">
        <w:trPr>
          <w:trHeight w:val="267"/>
          <w:jc w:val="center"/>
        </w:trPr>
        <w:tc>
          <w:tcPr>
            <w:tcW w:w="6200" w:type="dxa"/>
            <w:tcBorders>
              <w:left w:val="single" w:sz="4" w:space="0" w:color="auto"/>
            </w:tcBorders>
          </w:tcPr>
          <w:p w14:paraId="44CD8D27" w14:textId="27245A0B" w:rsidR="00BA5DBC" w:rsidRPr="00D71EAE" w:rsidRDefault="00BA5DBC" w:rsidP="00BA5DBC">
            <w:pPr>
              <w:tabs>
                <w:tab w:val="left" w:pos="567"/>
              </w:tabs>
              <w:jc w:val="right"/>
              <w:rPr>
                <w:iCs/>
                <w:lang w:eastAsia="lt-LT"/>
              </w:rPr>
            </w:pPr>
            <w:r w:rsidRPr="00D71EAE">
              <w:rPr>
                <w:iCs/>
                <w:lang w:eastAsia="lt-LT"/>
              </w:rPr>
              <w:t>Kaštų skirtumas</w:t>
            </w:r>
          </w:p>
        </w:tc>
        <w:tc>
          <w:tcPr>
            <w:tcW w:w="3238" w:type="dxa"/>
            <w:tcBorders>
              <w:right w:val="single" w:sz="4" w:space="0" w:color="auto"/>
            </w:tcBorders>
          </w:tcPr>
          <w:p w14:paraId="1CACF0B4" w14:textId="1FD3F2E8" w:rsidR="00BA5DBC" w:rsidRPr="00D71EAE" w:rsidRDefault="0072211E" w:rsidP="00BA5DBC">
            <w:pPr>
              <w:tabs>
                <w:tab w:val="left" w:pos="567"/>
              </w:tabs>
              <w:jc w:val="both"/>
              <w:rPr>
                <w:i/>
                <w:iCs/>
                <w:lang w:eastAsia="lt-LT"/>
              </w:rPr>
            </w:pPr>
            <w:r>
              <w:rPr>
                <w:i/>
                <w:iCs/>
                <w:lang w:eastAsia="lt-LT"/>
              </w:rPr>
              <w:t>***</w:t>
            </w:r>
          </w:p>
        </w:tc>
      </w:tr>
      <w:tr w:rsidR="00D71EAE" w:rsidRPr="00D71EAE" w14:paraId="49F818A3" w14:textId="77777777" w:rsidTr="0072211E">
        <w:trPr>
          <w:trHeight w:val="267"/>
          <w:jc w:val="center"/>
        </w:trPr>
        <w:tc>
          <w:tcPr>
            <w:tcW w:w="6200" w:type="dxa"/>
            <w:tcBorders>
              <w:left w:val="single" w:sz="4" w:space="0" w:color="auto"/>
            </w:tcBorders>
          </w:tcPr>
          <w:p w14:paraId="021DB925" w14:textId="389F1BF5" w:rsidR="00BA5DBC" w:rsidRPr="00D71EAE" w:rsidRDefault="00BA5DBC" w:rsidP="00BA5DBC">
            <w:pPr>
              <w:tabs>
                <w:tab w:val="left" w:pos="567"/>
              </w:tabs>
              <w:jc w:val="right"/>
              <w:rPr>
                <w:iCs/>
                <w:lang w:eastAsia="lt-LT"/>
              </w:rPr>
            </w:pPr>
            <w:r w:rsidRPr="00D71EAE">
              <w:rPr>
                <w:iCs/>
                <w:lang w:eastAsia="lt-LT"/>
              </w:rPr>
              <w:t>Papildomi gyvenimo metai (LY)</w:t>
            </w:r>
          </w:p>
        </w:tc>
        <w:tc>
          <w:tcPr>
            <w:tcW w:w="3238" w:type="dxa"/>
            <w:tcBorders>
              <w:right w:val="single" w:sz="4" w:space="0" w:color="auto"/>
            </w:tcBorders>
            <w:shd w:val="clear" w:color="auto" w:fill="FFFFFF" w:themeFill="background1"/>
          </w:tcPr>
          <w:p w14:paraId="4954817B" w14:textId="7E291F5F" w:rsidR="00BA5DBC" w:rsidRPr="0072211E" w:rsidRDefault="0072211E" w:rsidP="00BA5DBC">
            <w:pPr>
              <w:tabs>
                <w:tab w:val="left" w:pos="567"/>
              </w:tabs>
              <w:jc w:val="both"/>
              <w:rPr>
                <w:i/>
                <w:iCs/>
                <w:lang w:eastAsia="lt-LT"/>
              </w:rPr>
            </w:pPr>
            <w:r w:rsidRPr="0072211E">
              <w:rPr>
                <w:i/>
                <w:iCs/>
                <w:lang w:eastAsia="lt-LT"/>
              </w:rPr>
              <w:t>***</w:t>
            </w:r>
          </w:p>
        </w:tc>
      </w:tr>
      <w:tr w:rsidR="00D71EAE" w:rsidRPr="00D71EAE" w14:paraId="20ADA742" w14:textId="77777777" w:rsidTr="0072211E">
        <w:trPr>
          <w:trHeight w:val="267"/>
          <w:jc w:val="center"/>
        </w:trPr>
        <w:tc>
          <w:tcPr>
            <w:tcW w:w="6200" w:type="dxa"/>
            <w:tcBorders>
              <w:left w:val="single" w:sz="4" w:space="0" w:color="auto"/>
            </w:tcBorders>
          </w:tcPr>
          <w:p w14:paraId="0F567576" w14:textId="2606A2E9" w:rsidR="00BA5DBC" w:rsidRPr="00D71EAE" w:rsidRDefault="0058712F" w:rsidP="00BA5DBC">
            <w:pPr>
              <w:tabs>
                <w:tab w:val="left" w:pos="567"/>
              </w:tabs>
              <w:jc w:val="right"/>
              <w:rPr>
                <w:iCs/>
                <w:lang w:eastAsia="lt-LT"/>
              </w:rPr>
            </w:pPr>
            <w:r w:rsidRPr="00D71EAE">
              <w:rPr>
                <w:iCs/>
                <w:lang w:eastAsia="lt-LT"/>
              </w:rPr>
              <w:t>Papildomi k</w:t>
            </w:r>
            <w:r w:rsidR="00BA5DBC" w:rsidRPr="00D71EAE">
              <w:rPr>
                <w:iCs/>
                <w:lang w:eastAsia="lt-LT"/>
              </w:rPr>
              <w:t>okybiški gyvenimo metai (QALY)</w:t>
            </w:r>
          </w:p>
        </w:tc>
        <w:tc>
          <w:tcPr>
            <w:tcW w:w="3238" w:type="dxa"/>
            <w:tcBorders>
              <w:right w:val="single" w:sz="4" w:space="0" w:color="auto"/>
            </w:tcBorders>
            <w:shd w:val="clear" w:color="auto" w:fill="FFFFFF" w:themeFill="background1"/>
          </w:tcPr>
          <w:p w14:paraId="02E4DAE1" w14:textId="3F86ADE9" w:rsidR="00BA5DBC" w:rsidRPr="0072211E" w:rsidRDefault="0072211E" w:rsidP="00BA5DBC">
            <w:pPr>
              <w:tabs>
                <w:tab w:val="left" w:pos="567"/>
              </w:tabs>
              <w:jc w:val="both"/>
              <w:rPr>
                <w:i/>
                <w:iCs/>
                <w:lang w:eastAsia="lt-LT"/>
              </w:rPr>
            </w:pPr>
            <w:r w:rsidRPr="0072211E">
              <w:rPr>
                <w:i/>
                <w:iCs/>
                <w:lang w:eastAsia="lt-LT"/>
              </w:rPr>
              <w:t>***</w:t>
            </w:r>
          </w:p>
        </w:tc>
      </w:tr>
      <w:tr w:rsidR="00D71EAE" w:rsidRPr="00D71EAE" w14:paraId="1FADA2B3" w14:textId="77777777" w:rsidTr="0072211E">
        <w:trPr>
          <w:trHeight w:val="267"/>
          <w:jc w:val="center"/>
        </w:trPr>
        <w:tc>
          <w:tcPr>
            <w:tcW w:w="6200" w:type="dxa"/>
            <w:tcBorders>
              <w:left w:val="single" w:sz="4" w:space="0" w:color="auto"/>
            </w:tcBorders>
          </w:tcPr>
          <w:p w14:paraId="13E089E8" w14:textId="0BCEB339" w:rsidR="00BA5DBC" w:rsidRPr="00D71EAE" w:rsidRDefault="00BA5DBC" w:rsidP="009E44AE">
            <w:pPr>
              <w:tabs>
                <w:tab w:val="left" w:pos="567"/>
              </w:tabs>
              <w:jc w:val="right"/>
              <w:rPr>
                <w:iCs/>
                <w:lang w:eastAsia="lt-LT"/>
              </w:rPr>
            </w:pPr>
            <w:r w:rsidRPr="00D71EAE">
              <w:rPr>
                <w:iCs/>
                <w:lang w:eastAsia="lt-LT"/>
              </w:rPr>
              <w:t>ICER už LY</w:t>
            </w:r>
          </w:p>
        </w:tc>
        <w:tc>
          <w:tcPr>
            <w:tcW w:w="3238" w:type="dxa"/>
            <w:tcBorders>
              <w:right w:val="single" w:sz="4" w:space="0" w:color="auto"/>
            </w:tcBorders>
            <w:shd w:val="clear" w:color="auto" w:fill="FFFFFF" w:themeFill="background1"/>
          </w:tcPr>
          <w:p w14:paraId="2817448D" w14:textId="3EE551F5" w:rsidR="00BA5DBC" w:rsidRPr="0072211E" w:rsidRDefault="0072211E" w:rsidP="009E44AE">
            <w:pPr>
              <w:tabs>
                <w:tab w:val="left" w:pos="567"/>
              </w:tabs>
              <w:jc w:val="both"/>
              <w:rPr>
                <w:i/>
                <w:iCs/>
                <w:lang w:eastAsia="lt-LT"/>
              </w:rPr>
            </w:pPr>
            <w:r w:rsidRPr="0072211E">
              <w:rPr>
                <w:i/>
                <w:iCs/>
                <w:lang w:eastAsia="lt-LT"/>
              </w:rPr>
              <w:t>***</w:t>
            </w:r>
          </w:p>
        </w:tc>
      </w:tr>
      <w:tr w:rsidR="00D71EAE" w:rsidRPr="00D71EAE" w14:paraId="250DE960" w14:textId="77777777" w:rsidTr="0072211E">
        <w:trPr>
          <w:trHeight w:val="267"/>
          <w:jc w:val="center"/>
        </w:trPr>
        <w:tc>
          <w:tcPr>
            <w:tcW w:w="6200" w:type="dxa"/>
            <w:tcBorders>
              <w:left w:val="single" w:sz="4" w:space="0" w:color="auto"/>
            </w:tcBorders>
          </w:tcPr>
          <w:p w14:paraId="207EFB23" w14:textId="77777777" w:rsidR="009E44AE" w:rsidRPr="00D71EAE" w:rsidRDefault="009E44AE" w:rsidP="009E44AE">
            <w:pPr>
              <w:tabs>
                <w:tab w:val="left" w:pos="567"/>
              </w:tabs>
              <w:jc w:val="right"/>
              <w:rPr>
                <w:iCs/>
                <w:lang w:eastAsia="lt-LT"/>
              </w:rPr>
            </w:pPr>
            <w:r w:rsidRPr="00D71EAE">
              <w:rPr>
                <w:iCs/>
                <w:lang w:eastAsia="lt-LT"/>
              </w:rPr>
              <w:t>ICER už QALY</w:t>
            </w:r>
          </w:p>
        </w:tc>
        <w:tc>
          <w:tcPr>
            <w:tcW w:w="3238" w:type="dxa"/>
            <w:tcBorders>
              <w:right w:val="single" w:sz="4" w:space="0" w:color="auto"/>
            </w:tcBorders>
            <w:shd w:val="clear" w:color="auto" w:fill="FFFFFF" w:themeFill="background1"/>
          </w:tcPr>
          <w:p w14:paraId="4275320D" w14:textId="5514797B" w:rsidR="009E44AE" w:rsidRPr="0072211E" w:rsidRDefault="0072211E" w:rsidP="009E44AE">
            <w:pPr>
              <w:tabs>
                <w:tab w:val="left" w:pos="567"/>
              </w:tabs>
              <w:jc w:val="both"/>
              <w:rPr>
                <w:i/>
                <w:iCs/>
                <w:lang w:eastAsia="lt-LT"/>
              </w:rPr>
            </w:pPr>
            <w:r w:rsidRPr="0072211E">
              <w:rPr>
                <w:i/>
                <w:iCs/>
                <w:lang w:eastAsia="lt-LT"/>
              </w:rPr>
              <w:t>***</w:t>
            </w:r>
          </w:p>
        </w:tc>
      </w:tr>
      <w:tr w:rsidR="00D71EAE" w:rsidRPr="00D71EAE"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D71EAE" w:rsidRDefault="009E44AE" w:rsidP="009E44AE">
            <w:pPr>
              <w:tabs>
                <w:tab w:val="left" w:pos="567"/>
              </w:tabs>
              <w:jc w:val="right"/>
              <w:rPr>
                <w:iCs/>
                <w:lang w:eastAsia="lt-LT"/>
              </w:rPr>
            </w:pPr>
            <w:r w:rsidRPr="00D71EAE">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0DAC8084" w:rsidR="009E44AE" w:rsidRPr="00502CA8" w:rsidRDefault="007656D8" w:rsidP="009E44AE">
            <w:pPr>
              <w:tabs>
                <w:tab w:val="left" w:pos="567"/>
              </w:tabs>
              <w:jc w:val="both"/>
              <w:rPr>
                <w:i/>
                <w:iCs/>
                <w:lang w:eastAsia="lt-LT"/>
              </w:rPr>
            </w:pPr>
            <w:r>
              <w:rPr>
                <w:i/>
                <w:iCs/>
                <w:lang w:eastAsia="lt-LT"/>
              </w:rPr>
              <w:t>***</w:t>
            </w:r>
          </w:p>
        </w:tc>
      </w:tr>
    </w:tbl>
    <w:p w14:paraId="5FC8C737" w14:textId="4136B7F4" w:rsidR="0035172D" w:rsidRPr="00D71EAE" w:rsidRDefault="00E5102E" w:rsidP="0035172D">
      <w:pPr>
        <w:tabs>
          <w:tab w:val="left" w:pos="567"/>
        </w:tabs>
        <w:jc w:val="both"/>
        <w:rPr>
          <w:iCs/>
          <w:sz w:val="20"/>
          <w:lang w:eastAsia="lt-LT"/>
        </w:rPr>
      </w:pPr>
      <w:r w:rsidRPr="00D71EAE">
        <w:rPr>
          <w:iCs/>
          <w:sz w:val="20"/>
          <w:lang w:eastAsia="lt-LT"/>
        </w:rPr>
        <w:t xml:space="preserve">ICER </w:t>
      </w:r>
      <w:r w:rsidR="00453862" w:rsidRPr="00D71EAE">
        <w:rPr>
          <w:iCs/>
          <w:sz w:val="20"/>
          <w:lang w:eastAsia="lt-LT"/>
        </w:rPr>
        <w:t>– (</w:t>
      </w:r>
      <w:r w:rsidR="00453862" w:rsidRPr="00D71EAE">
        <w:rPr>
          <w:i/>
          <w:sz w:val="20"/>
          <w:lang w:eastAsia="lt-LT"/>
        </w:rPr>
        <w:t>angl. incremental cost-effectiveness ratio</w:t>
      </w:r>
      <w:r w:rsidR="00453862" w:rsidRPr="00D71EAE">
        <w:rPr>
          <w:iCs/>
          <w:sz w:val="20"/>
          <w:lang w:eastAsia="lt-LT"/>
        </w:rPr>
        <w:t>) inkrementinis kaštų naudingumo koeficientas</w:t>
      </w:r>
      <w:r w:rsidRPr="00D71EAE">
        <w:rPr>
          <w:iCs/>
          <w:sz w:val="20"/>
          <w:lang w:eastAsia="lt-LT"/>
        </w:rPr>
        <w:t>; LY –</w:t>
      </w:r>
      <w:r w:rsidR="00453862" w:rsidRPr="00D71EAE">
        <w:rPr>
          <w:iCs/>
          <w:sz w:val="20"/>
          <w:lang w:eastAsia="lt-LT"/>
        </w:rPr>
        <w:t xml:space="preserve"> (</w:t>
      </w:r>
      <w:r w:rsidR="00453862" w:rsidRPr="00D71EAE">
        <w:rPr>
          <w:i/>
          <w:sz w:val="20"/>
          <w:lang w:eastAsia="lt-LT"/>
        </w:rPr>
        <w:t>angl. life years</w:t>
      </w:r>
      <w:r w:rsidR="00453862" w:rsidRPr="00D71EAE">
        <w:rPr>
          <w:iCs/>
          <w:sz w:val="20"/>
          <w:lang w:eastAsia="lt-LT"/>
        </w:rPr>
        <w:t>) gyvenimo metai</w:t>
      </w:r>
      <w:r w:rsidRPr="00D71EAE">
        <w:rPr>
          <w:iCs/>
          <w:sz w:val="20"/>
          <w:lang w:eastAsia="lt-LT"/>
        </w:rPr>
        <w:t xml:space="preserve">; QALY- </w:t>
      </w:r>
      <w:r w:rsidR="00453862" w:rsidRPr="00D71EAE">
        <w:rPr>
          <w:iCs/>
          <w:sz w:val="20"/>
          <w:lang w:eastAsia="lt-LT"/>
        </w:rPr>
        <w:t>(</w:t>
      </w:r>
      <w:r w:rsidR="00453862" w:rsidRPr="00D71EAE">
        <w:rPr>
          <w:i/>
          <w:sz w:val="20"/>
          <w:lang w:eastAsia="lt-LT"/>
        </w:rPr>
        <w:t xml:space="preserve">angl. quality adjusted life years) </w:t>
      </w:r>
      <w:r w:rsidR="00453862" w:rsidRPr="00D71EAE">
        <w:rPr>
          <w:iCs/>
          <w:sz w:val="20"/>
          <w:lang w:eastAsia="lt-LT"/>
        </w:rPr>
        <w:t>kokybiški gyvenimo metai.</w:t>
      </w:r>
    </w:p>
    <w:p w14:paraId="33875138" w14:textId="77777777" w:rsidR="0035172D" w:rsidRPr="00D71EAE" w:rsidRDefault="0035172D" w:rsidP="00A93AA6">
      <w:pPr>
        <w:tabs>
          <w:tab w:val="left" w:pos="426"/>
        </w:tabs>
        <w:rPr>
          <w:b/>
          <w:bCs/>
          <w:caps/>
        </w:rPr>
      </w:pPr>
    </w:p>
    <w:p w14:paraId="4FC424F9" w14:textId="4E767245" w:rsidR="00C62B36" w:rsidRPr="00D71EAE" w:rsidRDefault="00C62B36" w:rsidP="00CC09D4">
      <w:pPr>
        <w:pStyle w:val="Sraopastraipa"/>
        <w:numPr>
          <w:ilvl w:val="0"/>
          <w:numId w:val="12"/>
        </w:numPr>
        <w:tabs>
          <w:tab w:val="left" w:pos="567"/>
        </w:tabs>
        <w:ind w:hanging="720"/>
        <w:rPr>
          <w:b/>
          <w:bCs/>
          <w:caps/>
        </w:rPr>
      </w:pPr>
      <w:r w:rsidRPr="00D71EAE">
        <w:rPr>
          <w:b/>
          <w:bCs/>
          <w:caps/>
        </w:rPr>
        <w:t xml:space="preserve">Pacientų organizacijų pateikti duomenys </w:t>
      </w:r>
    </w:p>
    <w:p w14:paraId="79BCFF40" w14:textId="6E22AB9E" w:rsidR="00937907" w:rsidRPr="00D71EAE"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0319C9" w:rsidRPr="00D71EAE">
            <w:rPr>
              <w:rStyle w:val="Style2"/>
              <w:rFonts w:ascii="MS Gothic" w:eastAsia="MS Gothic" w:hAnsi="MS Gothic" w:hint="eastAsia"/>
              <w:sz w:val="24"/>
            </w:rPr>
            <w:t>☒</w:t>
          </w:r>
        </w:sdtContent>
      </w:sdt>
      <w:r w:rsidR="00937907" w:rsidRPr="00D71EAE">
        <w:t xml:space="preserve"> Pacientų organizacijos pozicija pateikta. Žr. priedą.</w:t>
      </w:r>
    </w:p>
    <w:p w14:paraId="62992180" w14:textId="2531D5E3" w:rsidR="00937907" w:rsidRPr="00D71EAE" w:rsidRDefault="00000000"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Content>
          <w:r w:rsidR="00937907" w:rsidRPr="00D71EAE">
            <w:rPr>
              <w:rStyle w:val="Style2"/>
              <w:rFonts w:ascii="MS Gothic" w:eastAsia="MS Gothic" w:hAnsi="MS Gothic" w:hint="eastAsia"/>
              <w:sz w:val="24"/>
            </w:rPr>
            <w:t>☐</w:t>
          </w:r>
        </w:sdtContent>
      </w:sdt>
      <w:r w:rsidR="00937907" w:rsidRPr="00D71EAE">
        <w:t xml:space="preserve"> Pacientų organizacijos pozicija </w:t>
      </w:r>
      <w:r w:rsidR="00880A44" w:rsidRPr="00D71EAE">
        <w:t>ne</w:t>
      </w:r>
      <w:r w:rsidR="00937907" w:rsidRPr="00D71EAE">
        <w:t>pateikta.</w:t>
      </w:r>
    </w:p>
    <w:p w14:paraId="03E73D82" w14:textId="77777777" w:rsidR="00D417D2" w:rsidRPr="00D71EAE" w:rsidRDefault="00D417D2" w:rsidP="00937907">
      <w:pPr>
        <w:spacing w:after="120"/>
        <w:jc w:val="both"/>
      </w:pPr>
    </w:p>
    <w:p w14:paraId="3D3277FA" w14:textId="3CEEB2D2" w:rsidR="00C62B36" w:rsidRPr="00D71EAE" w:rsidRDefault="00C62B36" w:rsidP="00CC09D4">
      <w:pPr>
        <w:pStyle w:val="Sraopastraipa"/>
        <w:numPr>
          <w:ilvl w:val="0"/>
          <w:numId w:val="12"/>
        </w:numPr>
        <w:tabs>
          <w:tab w:val="left" w:pos="567"/>
        </w:tabs>
        <w:ind w:hanging="720"/>
        <w:rPr>
          <w:b/>
          <w:bCs/>
          <w:caps/>
        </w:rPr>
      </w:pPr>
      <w:r w:rsidRPr="00D71EAE">
        <w:rPr>
          <w:b/>
          <w:bCs/>
          <w:caps/>
        </w:rPr>
        <w:t>Gydytojų organizacijų pateikti duomenys</w:t>
      </w:r>
    </w:p>
    <w:p w14:paraId="389A346C" w14:textId="29A6ABE3" w:rsidR="00937907" w:rsidRPr="00D71EAE"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0319C9" w:rsidRPr="00D71EAE">
            <w:rPr>
              <w:rStyle w:val="Style2"/>
              <w:rFonts w:ascii="MS Gothic" w:eastAsia="MS Gothic" w:hAnsi="MS Gothic" w:hint="eastAsia"/>
              <w:sz w:val="24"/>
            </w:rPr>
            <w:t>☒</w:t>
          </w:r>
        </w:sdtContent>
      </w:sdt>
      <w:r w:rsidR="00662983" w:rsidRPr="00D71EAE">
        <w:t xml:space="preserve"> </w:t>
      </w:r>
      <w:r w:rsidR="00937907" w:rsidRPr="00D71EAE">
        <w:t xml:space="preserve">Gydytojų specialistų organizacijos pozicija pateikta. </w:t>
      </w:r>
      <w:r w:rsidR="00662983" w:rsidRPr="00D71EAE">
        <w:t>Žr. priedą</w:t>
      </w:r>
      <w:r w:rsidR="00937907" w:rsidRPr="00D71EAE">
        <w:t>.</w:t>
      </w:r>
    </w:p>
    <w:p w14:paraId="5D8CC48C" w14:textId="79D50821" w:rsidR="00662983" w:rsidRPr="00D71EAE"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0319C9" w:rsidRPr="00D71EAE">
            <w:rPr>
              <w:rStyle w:val="Style2"/>
              <w:rFonts w:ascii="MS Gothic" w:eastAsia="MS Gothic" w:hAnsi="MS Gothic" w:hint="eastAsia"/>
              <w:sz w:val="24"/>
            </w:rPr>
            <w:t>☐</w:t>
          </w:r>
        </w:sdtContent>
      </w:sdt>
      <w:r w:rsidR="00662983" w:rsidRPr="00D71EAE">
        <w:t xml:space="preserve"> </w:t>
      </w:r>
      <w:r w:rsidR="00937907" w:rsidRPr="00D71EAE">
        <w:t xml:space="preserve">Gydytojų specialistų organizacijos pozicija </w:t>
      </w:r>
      <w:r w:rsidR="00880A44" w:rsidRPr="00D71EAE">
        <w:t>ne</w:t>
      </w:r>
      <w:r w:rsidR="00937907" w:rsidRPr="00D71EAE">
        <w:t>pateikta.</w:t>
      </w:r>
    </w:p>
    <w:p w14:paraId="3701D46A" w14:textId="77777777" w:rsidR="00A042B9" w:rsidRPr="00D71EAE" w:rsidRDefault="00A042B9" w:rsidP="00662983">
      <w:pPr>
        <w:spacing w:after="120"/>
        <w:jc w:val="both"/>
      </w:pPr>
    </w:p>
    <w:p w14:paraId="17D5B090" w14:textId="77777777" w:rsidR="002D7AF0" w:rsidRPr="00D71EAE" w:rsidRDefault="002D7AF0" w:rsidP="00662983">
      <w:pPr>
        <w:spacing w:after="120"/>
        <w:jc w:val="both"/>
      </w:pPr>
    </w:p>
    <w:p w14:paraId="59E82F23" w14:textId="77777777" w:rsidR="002D7AF0" w:rsidRPr="00D71EAE" w:rsidRDefault="002D7AF0" w:rsidP="00662983">
      <w:pPr>
        <w:spacing w:after="120"/>
        <w:jc w:val="both"/>
      </w:pPr>
    </w:p>
    <w:p w14:paraId="332DB94B" w14:textId="77777777" w:rsidR="002D7AF0" w:rsidRPr="00D71EAE" w:rsidRDefault="002D7AF0" w:rsidP="00662983">
      <w:pPr>
        <w:spacing w:after="120"/>
        <w:jc w:val="both"/>
      </w:pPr>
    </w:p>
    <w:p w14:paraId="7CD583C0" w14:textId="77777777" w:rsidR="002D7AF0" w:rsidRPr="00D71EAE" w:rsidRDefault="002D7AF0" w:rsidP="00662983">
      <w:pPr>
        <w:spacing w:after="120"/>
        <w:jc w:val="both"/>
      </w:pPr>
    </w:p>
    <w:p w14:paraId="0B53784B" w14:textId="77777777" w:rsidR="002D7AF0" w:rsidRPr="00D71EAE" w:rsidRDefault="002D7AF0" w:rsidP="00662983">
      <w:pPr>
        <w:spacing w:after="120"/>
        <w:jc w:val="both"/>
      </w:pPr>
    </w:p>
    <w:p w14:paraId="0C769490" w14:textId="77777777" w:rsidR="002D7AF0" w:rsidRPr="00D71EAE" w:rsidRDefault="002D7AF0" w:rsidP="00662983">
      <w:pPr>
        <w:spacing w:after="120"/>
        <w:jc w:val="both"/>
      </w:pPr>
    </w:p>
    <w:p w14:paraId="4FBD5C94" w14:textId="77777777" w:rsidR="002D7AF0" w:rsidRPr="00D71EAE" w:rsidRDefault="002D7AF0" w:rsidP="00662983">
      <w:pPr>
        <w:spacing w:after="120"/>
        <w:jc w:val="both"/>
      </w:pPr>
    </w:p>
    <w:p w14:paraId="3580FE7E" w14:textId="77777777" w:rsidR="002D7AF0" w:rsidRPr="00D71EAE" w:rsidRDefault="002D7AF0" w:rsidP="00662983">
      <w:pPr>
        <w:spacing w:after="120"/>
        <w:jc w:val="both"/>
      </w:pPr>
    </w:p>
    <w:p w14:paraId="78F23ECB" w14:textId="23A3A002" w:rsidR="002F0E4F" w:rsidRPr="00D71EAE" w:rsidRDefault="002F0E4F" w:rsidP="00CC09D4">
      <w:pPr>
        <w:pStyle w:val="Sraopastraipa"/>
        <w:numPr>
          <w:ilvl w:val="0"/>
          <w:numId w:val="12"/>
        </w:numPr>
        <w:tabs>
          <w:tab w:val="left" w:pos="567"/>
        </w:tabs>
        <w:ind w:hanging="720"/>
        <w:rPr>
          <w:b/>
          <w:bCs/>
          <w:caps/>
        </w:rPr>
      </w:pPr>
      <w:r w:rsidRPr="00D71EAE">
        <w:rPr>
          <w:b/>
          <w:bCs/>
          <w:caps/>
        </w:rPr>
        <w:t xml:space="preserve">Išvada </w:t>
      </w:r>
    </w:p>
    <w:p w14:paraId="4958A31E" w14:textId="46724737" w:rsidR="00BD18D3" w:rsidRPr="00D71EAE" w:rsidRDefault="00BD18D3" w:rsidP="0061611B">
      <w:pPr>
        <w:rPr>
          <w:i/>
          <w:szCs w:val="22"/>
        </w:rPr>
      </w:pPr>
    </w:p>
    <w:tbl>
      <w:tblPr>
        <w:tblStyle w:val="Lentelstinklelis"/>
        <w:tblW w:w="0" w:type="auto"/>
        <w:tblLook w:val="04A0" w:firstRow="1" w:lastRow="0" w:firstColumn="1" w:lastColumn="0" w:noHBand="0" w:noVBand="1"/>
      </w:tblPr>
      <w:tblGrid>
        <w:gridCol w:w="4815"/>
        <w:gridCol w:w="4814"/>
      </w:tblGrid>
      <w:tr w:rsidR="00D71EAE" w:rsidRPr="00D71EAE" w14:paraId="25A2473E" w14:textId="77777777" w:rsidTr="00C16245">
        <w:trPr>
          <w:trHeight w:val="510"/>
        </w:trPr>
        <w:tc>
          <w:tcPr>
            <w:tcW w:w="4815" w:type="dxa"/>
            <w:vAlign w:val="center"/>
          </w:tcPr>
          <w:p w14:paraId="7EFE6941" w14:textId="23B8BB6D" w:rsidR="00B13D65" w:rsidRPr="00D71E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D71EAE">
              <w:rPr>
                <w:rStyle w:val="Style2"/>
                <w:rFonts w:eastAsia="MS Gothic"/>
                <w:b/>
                <w:bCs/>
                <w:sz w:val="24"/>
              </w:rPr>
              <w:t>Rekomenduojama kompensuoti</w:t>
            </w:r>
          </w:p>
        </w:tc>
        <w:tc>
          <w:tcPr>
            <w:tcW w:w="4814" w:type="dxa"/>
            <w:vAlign w:val="center"/>
          </w:tcPr>
          <w:p w14:paraId="330A1A5E" w14:textId="19247DC1" w:rsidR="00B13D65" w:rsidRPr="00D71E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D71EAE">
              <w:rPr>
                <w:rStyle w:val="Style2"/>
                <w:rFonts w:eastAsia="MS Gothic"/>
                <w:b/>
                <w:bCs/>
                <w:sz w:val="24"/>
              </w:rPr>
              <w:t xml:space="preserve">Rekomenduojama nekompensuoti </w:t>
            </w:r>
          </w:p>
        </w:tc>
      </w:tr>
      <w:tr w:rsidR="00D71EAE" w:rsidRPr="00D71EAE" w14:paraId="143A7356" w14:textId="77777777" w:rsidTr="00C16245">
        <w:trPr>
          <w:trHeight w:val="510"/>
        </w:trPr>
        <w:tc>
          <w:tcPr>
            <w:tcW w:w="9629" w:type="dxa"/>
            <w:gridSpan w:val="2"/>
            <w:vAlign w:val="center"/>
          </w:tcPr>
          <w:p w14:paraId="0AF5D6B4" w14:textId="6D8B6C59" w:rsidR="00B13D65" w:rsidRPr="00D71EAE"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D71EAE">
              <w:rPr>
                <w:rStyle w:val="Style2"/>
                <w:rFonts w:eastAsia="MS Gothic"/>
                <w:b/>
                <w:bCs/>
                <w:sz w:val="24"/>
              </w:rPr>
              <w:t>Palyginamasis efektyvumas</w:t>
            </w:r>
          </w:p>
        </w:tc>
      </w:tr>
      <w:tr w:rsidR="00D71EAE" w:rsidRPr="00D71EAE" w14:paraId="28A0C814" w14:textId="77777777" w:rsidTr="0061611B">
        <w:tc>
          <w:tcPr>
            <w:tcW w:w="4815" w:type="dxa"/>
          </w:tcPr>
          <w:p w14:paraId="216769B5" w14:textId="144667EC" w:rsidR="00B13D65" w:rsidRPr="00D71E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495122" w:rsidRPr="00D71EAE">
                  <w:rPr>
                    <w:rStyle w:val="Style2"/>
                    <w:rFonts w:ascii="MS Gothic" w:eastAsia="MS Gothic" w:hAnsi="MS Gothic" w:hint="eastAsia"/>
                    <w:sz w:val="24"/>
                  </w:rPr>
                  <w:t>☒</w:t>
                </w:r>
              </w:sdtContent>
            </w:sdt>
            <w:r w:rsidR="00B13D65" w:rsidRPr="00D71EAE">
              <w:t xml:space="preserve"> 32.1. yra didesnis</w:t>
            </w:r>
            <w:r w:rsidR="00B00959" w:rsidRPr="00D71EAE">
              <w:t>, lyginant su įprasta klinikine praktika</w:t>
            </w:r>
          </w:p>
          <w:p w14:paraId="3B48F372" w14:textId="77777777" w:rsidR="00662983" w:rsidRPr="00D71E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D71EAE"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D71EAE">
                  <w:rPr>
                    <w:rStyle w:val="Style2"/>
                    <w:rFonts w:ascii="Segoe UI Symbol" w:eastAsia="MS Gothic" w:hAnsi="Segoe UI Symbol" w:cs="Segoe UI Symbol"/>
                    <w:sz w:val="24"/>
                  </w:rPr>
                  <w:t>☐</w:t>
                </w:r>
              </w:sdtContent>
            </w:sdt>
            <w:r w:rsidR="00B13D65" w:rsidRPr="00D71EAE">
              <w:t xml:space="preserve"> 32.1. iš esmės nesiskiria</w:t>
            </w:r>
            <w:r w:rsidR="00B00959" w:rsidRPr="00D71EAE">
              <w:t>, lyginant su įprasta klinikine praktika</w:t>
            </w:r>
          </w:p>
        </w:tc>
        <w:tc>
          <w:tcPr>
            <w:tcW w:w="4814" w:type="dxa"/>
          </w:tcPr>
          <w:p w14:paraId="507828D9" w14:textId="10556E28" w:rsidR="00B13D65" w:rsidRPr="00D71E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D71EAE">
                  <w:rPr>
                    <w:rStyle w:val="Style2"/>
                    <w:rFonts w:ascii="Segoe UI Symbol" w:eastAsia="MS Gothic" w:hAnsi="Segoe UI Symbol" w:cs="Segoe UI Symbol"/>
                    <w:sz w:val="24"/>
                  </w:rPr>
                  <w:t>☐</w:t>
                </w:r>
              </w:sdtContent>
            </w:sdt>
            <w:r w:rsidR="00B13D65" w:rsidRPr="00D71EAE">
              <w:t xml:space="preserve"> 33.1. yra mažesnis</w:t>
            </w:r>
            <w:r w:rsidR="00B00959" w:rsidRPr="00D71EAE">
              <w:t>, lyginant su įprasta klinikine praktika</w:t>
            </w:r>
          </w:p>
          <w:p w14:paraId="7F95DEEC" w14:textId="77777777" w:rsidR="00662983" w:rsidRPr="00D71E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D71E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D71EAE">
                  <w:rPr>
                    <w:rStyle w:val="Style2"/>
                    <w:rFonts w:ascii="Segoe UI Symbol" w:eastAsia="MS Gothic" w:hAnsi="Segoe UI Symbol" w:cs="Segoe UI Symbol"/>
                    <w:sz w:val="24"/>
                  </w:rPr>
                  <w:t>☐</w:t>
                </w:r>
              </w:sdtContent>
            </w:sdt>
            <w:r w:rsidR="00B13D65" w:rsidRPr="00D71EAE">
              <w:t xml:space="preserve"> 33.1. yra neįrodytas kaip toks pat</w:t>
            </w:r>
            <w:r w:rsidR="00B00959" w:rsidRPr="00D71EAE">
              <w:t>, lyginant su įprasta klinikine praktika</w:t>
            </w:r>
          </w:p>
          <w:p w14:paraId="35205E85" w14:textId="77777777" w:rsidR="00662983" w:rsidRPr="00D71E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D71E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D71EAE">
                  <w:rPr>
                    <w:rStyle w:val="Style2"/>
                    <w:rFonts w:ascii="Segoe UI Symbol" w:eastAsia="MS Gothic" w:hAnsi="Segoe UI Symbol" w:cs="Segoe UI Symbol"/>
                    <w:sz w:val="24"/>
                  </w:rPr>
                  <w:t>☐</w:t>
                </w:r>
              </w:sdtContent>
            </w:sdt>
            <w:r w:rsidR="00662983" w:rsidRPr="00D71EAE">
              <w:t xml:space="preserve"> 33.1 </w:t>
            </w:r>
            <w:r w:rsidR="00B00959" w:rsidRPr="00D71EAE">
              <w:t xml:space="preserve">yra </w:t>
            </w:r>
            <w:r w:rsidR="00B13D65" w:rsidRPr="00D71EAE">
              <w:t>neįrodytas kaip didesnis</w:t>
            </w:r>
            <w:r w:rsidR="00B00959" w:rsidRPr="00D71EAE">
              <w:t>, lyginant su įprasta klinikine praktika</w:t>
            </w:r>
          </w:p>
          <w:p w14:paraId="512E653B" w14:textId="77777777" w:rsidR="00662983" w:rsidRPr="00D71E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D71E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D71EAE">
                  <w:rPr>
                    <w:rStyle w:val="Style2"/>
                    <w:rFonts w:ascii="Segoe UI Symbol" w:eastAsia="MS Gothic" w:hAnsi="Segoe UI Symbol" w:cs="Segoe UI Symbol"/>
                    <w:sz w:val="24"/>
                  </w:rPr>
                  <w:t>☐</w:t>
                </w:r>
              </w:sdtContent>
            </w:sdt>
            <w:r w:rsidR="00B13D65" w:rsidRPr="00D71EAE">
              <w:t xml:space="preserve"> 33.1. pateikti duomenys apie palyginamąjį efektyvumą yra netinkami vertinti</w:t>
            </w:r>
          </w:p>
          <w:p w14:paraId="5DDAA961" w14:textId="77777777" w:rsidR="00B13D65" w:rsidRPr="00D71EAE"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D71EAE" w:rsidRPr="00D71EAE" w14:paraId="161CC3FE" w14:textId="77777777" w:rsidTr="00C16245">
        <w:trPr>
          <w:trHeight w:val="510"/>
        </w:trPr>
        <w:tc>
          <w:tcPr>
            <w:tcW w:w="9629" w:type="dxa"/>
            <w:gridSpan w:val="2"/>
            <w:vAlign w:val="center"/>
          </w:tcPr>
          <w:p w14:paraId="1AB46894" w14:textId="3E765638" w:rsidR="00B13D65" w:rsidRPr="00D71EAE"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D71EAE">
              <w:rPr>
                <w:rStyle w:val="Style2"/>
                <w:rFonts w:eastAsia="MS Gothic"/>
                <w:b/>
                <w:bCs/>
                <w:sz w:val="24"/>
              </w:rPr>
              <w:t>Klinikinis veiksmingumas</w:t>
            </w:r>
          </w:p>
        </w:tc>
      </w:tr>
      <w:tr w:rsidR="00D71EAE" w:rsidRPr="00D71EAE" w14:paraId="3C60570A" w14:textId="77777777" w:rsidTr="0061611B">
        <w:tc>
          <w:tcPr>
            <w:tcW w:w="4815" w:type="dxa"/>
          </w:tcPr>
          <w:p w14:paraId="6897B306" w14:textId="2E2D4577" w:rsidR="00B13D65" w:rsidRPr="00D71E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495122" w:rsidRPr="00D71EAE">
                  <w:rPr>
                    <w:rStyle w:val="Style2"/>
                    <w:rFonts w:ascii="MS Gothic" w:eastAsia="MS Gothic" w:hAnsi="MS Gothic" w:hint="eastAsia"/>
                    <w:sz w:val="24"/>
                  </w:rPr>
                  <w:t>☒</w:t>
                </w:r>
              </w:sdtContent>
            </w:sdt>
            <w:r w:rsidR="00B13D65" w:rsidRPr="00D71EAE">
              <w:t xml:space="preserve"> 32.2. yra įvertintas kaip pagrindžiantis papildomos naudos pacientų sveikatai sukūrimą, lyginant su įprasta klinikine praktika</w:t>
            </w:r>
          </w:p>
          <w:p w14:paraId="71D57105" w14:textId="77777777" w:rsidR="00662983" w:rsidRPr="00D71E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D71E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D71EAE">
                  <w:rPr>
                    <w:rStyle w:val="Style2"/>
                    <w:rFonts w:ascii="Segoe UI Symbol" w:eastAsia="MS Gothic" w:hAnsi="Segoe UI Symbol" w:cs="Segoe UI Symbol"/>
                    <w:sz w:val="24"/>
                  </w:rPr>
                  <w:t>☐</w:t>
                </w:r>
              </w:sdtContent>
            </w:sdt>
            <w:r w:rsidR="00B13D65" w:rsidRPr="00D71EAE">
              <w:t xml:space="preserve"> 32.2. </w:t>
            </w:r>
            <w:r w:rsidR="00B00959" w:rsidRPr="00D71EAE">
              <w:t xml:space="preserve">yra </w:t>
            </w:r>
            <w:r w:rsidR="00B13D65" w:rsidRPr="00D71EAE">
              <w:t>įvertintas kaip pagrindžiantis nesiskiriančios naudos pacientų sveikatai sukūrimą, lyginant su įprasta klinikine praktika</w:t>
            </w:r>
          </w:p>
          <w:p w14:paraId="287AD233" w14:textId="77777777" w:rsidR="00B13D65" w:rsidRPr="00D71EAE"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D71EAE"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D71EAE">
                  <w:rPr>
                    <w:rStyle w:val="Style2"/>
                    <w:rFonts w:ascii="Segoe UI Symbol" w:eastAsia="MS Gothic" w:hAnsi="Segoe UI Symbol" w:cs="Segoe UI Symbol"/>
                    <w:sz w:val="24"/>
                  </w:rPr>
                  <w:t>☐</w:t>
                </w:r>
              </w:sdtContent>
            </w:sdt>
            <w:r w:rsidR="00B13D65" w:rsidRPr="00D71EAE">
              <w:t xml:space="preserve"> 33.1. yra įvertintas kaip nepagrindžiantis papildomos </w:t>
            </w:r>
            <w:r w:rsidR="00662983" w:rsidRPr="00D71EAE">
              <w:t>naudos pacientų sveikatai sukūrimo, lyginant su  įprasta klinikine praktika</w:t>
            </w:r>
          </w:p>
          <w:p w14:paraId="6C70BCFC" w14:textId="77777777" w:rsidR="00662983" w:rsidRPr="00D71EAE" w:rsidRDefault="00662983" w:rsidP="00BD1E5A">
            <w:pPr>
              <w:jc w:val="both"/>
            </w:pPr>
          </w:p>
          <w:p w14:paraId="0ADEC30D" w14:textId="1353964F" w:rsidR="00B13D65" w:rsidRPr="00D71EAE"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D71EAE">
                  <w:rPr>
                    <w:rStyle w:val="Style2"/>
                    <w:rFonts w:ascii="Segoe UI Symbol" w:eastAsia="MS Gothic" w:hAnsi="Segoe UI Symbol" w:cs="Segoe UI Symbol"/>
                    <w:sz w:val="24"/>
                  </w:rPr>
                  <w:t>☐</w:t>
                </w:r>
              </w:sdtContent>
            </w:sdt>
            <w:r w:rsidR="00B13D65" w:rsidRPr="00D71EAE">
              <w:t xml:space="preserve"> </w:t>
            </w:r>
            <w:r w:rsidR="00662983" w:rsidRPr="00D71EAE">
              <w:t xml:space="preserve">33.1. </w:t>
            </w:r>
            <w:r w:rsidR="00B00959" w:rsidRPr="00D71EAE">
              <w:t xml:space="preserve">yra įvertintas kaip nepagrindžiantis </w:t>
            </w:r>
            <w:r w:rsidR="00B13D65" w:rsidRPr="00D71EAE">
              <w:t>nesiskiriančios naudos pacientų sveikatai sukūrimo, lyginant su įprasta klinikine praktika</w:t>
            </w:r>
          </w:p>
          <w:p w14:paraId="1EED7901" w14:textId="77777777" w:rsidR="00B13D65" w:rsidRPr="00D71EAE"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D71EAE"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D71EAE" w:rsidRPr="00D71EAE" w14:paraId="1C75AE76" w14:textId="77777777" w:rsidTr="00C16245">
        <w:trPr>
          <w:trHeight w:val="510"/>
        </w:trPr>
        <w:tc>
          <w:tcPr>
            <w:tcW w:w="9629" w:type="dxa"/>
            <w:gridSpan w:val="2"/>
            <w:vAlign w:val="center"/>
          </w:tcPr>
          <w:p w14:paraId="0247EDAD" w14:textId="7FBBB759" w:rsidR="00B13D65" w:rsidRPr="00D71EAE"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D71EAE">
              <w:rPr>
                <w:rStyle w:val="Style2"/>
                <w:rFonts w:eastAsia="MS Gothic"/>
                <w:b/>
                <w:bCs/>
                <w:sz w:val="24"/>
              </w:rPr>
              <w:t>Kaštų naudingumas</w:t>
            </w:r>
          </w:p>
        </w:tc>
      </w:tr>
      <w:tr w:rsidR="00D71EAE" w:rsidRPr="00D71EAE" w14:paraId="7091A05B" w14:textId="77777777" w:rsidTr="0061611B">
        <w:tc>
          <w:tcPr>
            <w:tcW w:w="4815" w:type="dxa"/>
          </w:tcPr>
          <w:p w14:paraId="69B2A994" w14:textId="2EA8E33D" w:rsidR="00B13D65" w:rsidRPr="00D71E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D71EAE">
                  <w:rPr>
                    <w:rStyle w:val="Style2"/>
                    <w:rFonts w:ascii="MS Gothic" w:eastAsia="MS Gothic" w:hAnsi="MS Gothic" w:hint="eastAsia"/>
                    <w:sz w:val="24"/>
                  </w:rPr>
                  <w:t>☐</w:t>
                </w:r>
              </w:sdtContent>
            </w:sdt>
            <w:r w:rsidR="00B13D65" w:rsidRPr="00D71EAE">
              <w:t xml:space="preserve"> 32.3. atitinka referencinę naudingumo vertę, </w:t>
            </w:r>
          </w:p>
          <w:p w14:paraId="3F76F153" w14:textId="77777777" w:rsidR="00662983" w:rsidRPr="00D71E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4C4369E0" w:rsidR="00B13D65" w:rsidRPr="00D71E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Content>
                <w:r w:rsidR="00B13D65" w:rsidRPr="00D71EAE">
                  <w:rPr>
                    <w:rStyle w:val="Style2"/>
                    <w:rFonts w:ascii="Segoe UI Symbol" w:eastAsia="MS Gothic" w:hAnsi="Segoe UI Symbol" w:cs="Segoe UI Symbol"/>
                    <w:sz w:val="24"/>
                  </w:rPr>
                  <w:t>☐</w:t>
                </w:r>
              </w:sdtContent>
            </w:sdt>
            <w:r w:rsidR="00B13D65" w:rsidRPr="00D71EAE">
              <w:t xml:space="preserve"> 32.3. gydymo juo kaštai yra mažesni ar tokie patys esant iš esmės nesiskiriančiam palyginamajam efektyvumui, </w:t>
            </w:r>
            <w:r w:rsidR="00B00959" w:rsidRPr="00D71EAE">
              <w:t>lyginant su įprasta klinikine praktika</w:t>
            </w:r>
          </w:p>
          <w:p w14:paraId="25E4BD1E" w14:textId="77777777" w:rsidR="00B13D65" w:rsidRPr="00D71EAE"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64EF52AB" w:rsidR="00B13D65" w:rsidRPr="00D71E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2D7AF0" w:rsidRPr="00D71EAE">
                  <w:rPr>
                    <w:rStyle w:val="Style2"/>
                    <w:rFonts w:ascii="MS Gothic" w:eastAsia="MS Gothic" w:hAnsi="MS Gothic" w:hint="eastAsia"/>
                    <w:sz w:val="24"/>
                  </w:rPr>
                  <w:t>☒</w:t>
                </w:r>
              </w:sdtContent>
            </w:sdt>
            <w:r w:rsidR="00B13D65" w:rsidRPr="00D71EAE">
              <w:t xml:space="preserve"> 33.3. neatitinka referencinės naudingumo vertės Lietuvos Respublikoje</w:t>
            </w:r>
          </w:p>
          <w:p w14:paraId="229ED51A" w14:textId="77777777" w:rsidR="00662983" w:rsidRPr="00D71E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12E4601" w:rsidR="00B13D65" w:rsidRPr="00D71E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Content>
                <w:r w:rsidR="00B13D65" w:rsidRPr="00D71EAE">
                  <w:rPr>
                    <w:rStyle w:val="Style2"/>
                    <w:rFonts w:ascii="Segoe UI Symbol" w:eastAsia="MS Gothic" w:hAnsi="Segoe UI Symbol" w:cs="Segoe UI Symbol"/>
                    <w:sz w:val="24"/>
                  </w:rPr>
                  <w:t>☐</w:t>
                </w:r>
              </w:sdtContent>
            </w:sdt>
            <w:r w:rsidR="00B13D65" w:rsidRPr="00D71EAE">
              <w:t xml:space="preserve"> 33.3. gydymo juo kaštai yra didesni esant iš esmės nesiskiriančiam palyginamajam efektyvumui,</w:t>
            </w:r>
            <w:r w:rsidR="00B00959" w:rsidRPr="00D71EAE">
              <w:t xml:space="preserve"> lyginant su įprasta klinikine praktika</w:t>
            </w:r>
          </w:p>
          <w:p w14:paraId="4A9C7D2A" w14:textId="77777777" w:rsidR="00662983" w:rsidRPr="00D71EAE"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D71EAE"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D71EAE">
                  <w:rPr>
                    <w:rStyle w:val="Style2"/>
                    <w:rFonts w:ascii="Segoe UI Symbol" w:eastAsia="MS Gothic" w:hAnsi="Segoe UI Symbol" w:cs="Segoe UI Symbol"/>
                    <w:sz w:val="24"/>
                  </w:rPr>
                  <w:t>☐</w:t>
                </w:r>
              </w:sdtContent>
            </w:sdt>
            <w:r w:rsidR="00B13D65" w:rsidRPr="00D71EAE">
              <w:t xml:space="preserve"> 33.3. pateikti duomenys apie kaštų na</w:t>
            </w:r>
            <w:r w:rsidR="00662983" w:rsidRPr="00D71EAE">
              <w:t>udingumą yra netinkami vertinti</w:t>
            </w:r>
          </w:p>
          <w:p w14:paraId="470A48A4" w14:textId="77777777" w:rsidR="00B13D65" w:rsidRPr="00D71EAE"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7D5C6700" w14:textId="77777777" w:rsidR="00D5470B" w:rsidRPr="00D71EAE" w:rsidRDefault="00D5470B" w:rsidP="00C712EA">
      <w:pPr>
        <w:pStyle w:val="Sraopastraipa"/>
        <w:ind w:left="426"/>
      </w:pPr>
    </w:p>
    <w:p w14:paraId="1EBA6B92" w14:textId="77777777" w:rsidR="002D7AF0" w:rsidRPr="00D71EAE" w:rsidRDefault="002D7AF0" w:rsidP="004F3B2B">
      <w:pPr>
        <w:rPr>
          <w:i/>
        </w:rPr>
      </w:pPr>
    </w:p>
    <w:p w14:paraId="2088BF1C" w14:textId="36C5B7CC" w:rsidR="002D7AF0" w:rsidRPr="00D71EAE" w:rsidRDefault="002D7AF0" w:rsidP="002D7AF0">
      <w:pPr>
        <w:pStyle w:val="Sraopastraipa"/>
        <w:numPr>
          <w:ilvl w:val="0"/>
          <w:numId w:val="12"/>
        </w:numPr>
        <w:rPr>
          <w:i/>
        </w:rPr>
      </w:pPr>
      <w:r w:rsidRPr="00D71EAE">
        <w:rPr>
          <w:b/>
          <w:bCs/>
          <w:caps/>
        </w:rPr>
        <w:t>Rekomendacija</w:t>
      </w:r>
    </w:p>
    <w:p w14:paraId="77708E64" w14:textId="77777777" w:rsidR="002D7AF0" w:rsidRPr="00D71EAE" w:rsidRDefault="002D7AF0" w:rsidP="004F3B2B">
      <w:pPr>
        <w:rPr>
          <w:i/>
        </w:rPr>
      </w:pPr>
    </w:p>
    <w:p w14:paraId="6B3B11AE" w14:textId="0F48A55D" w:rsidR="002D7AF0" w:rsidRPr="00D71EAE" w:rsidRDefault="002D7AF0" w:rsidP="00D742E3">
      <w:pPr>
        <w:spacing w:line="276" w:lineRule="auto"/>
        <w:ind w:firstLine="720"/>
        <w:jc w:val="both"/>
      </w:pPr>
      <w:r w:rsidRPr="00D71EAE">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34.4. rekomenduojama </w:t>
      </w:r>
      <w:r w:rsidRPr="00D71EAE">
        <w:rPr>
          <w:b/>
          <w:bCs/>
          <w:i/>
        </w:rPr>
        <w:t>nekompensuoti</w:t>
      </w:r>
      <w:r w:rsidRPr="00D71EAE">
        <w:rPr>
          <w:i/>
        </w:rPr>
        <w:t xml:space="preserve"> </w:t>
      </w:r>
      <w:r w:rsidRPr="00D71EAE">
        <w:t xml:space="preserve">vaistinio preparato pagal paraiškoje nurodytą indikaciją be skyrimo </w:t>
      </w:r>
      <w:r w:rsidRPr="00D71EAE">
        <w:lastRenderedPageBreak/>
        <w:t>sąlygų, netaikant PGS dėl vertinimo išvadų, nurodytų 33.3 papunktyje (žr. 8 ir 17 skyrius), neatitikties 34.1 papunktyje išdėstytoms sąlygoms.</w:t>
      </w:r>
    </w:p>
    <w:p w14:paraId="54222D15" w14:textId="77777777" w:rsidR="002D7AF0" w:rsidRPr="00D71EAE" w:rsidRDefault="002D7AF0" w:rsidP="00D742E3">
      <w:pPr>
        <w:spacing w:line="276" w:lineRule="auto"/>
        <w:jc w:val="both"/>
      </w:pPr>
    </w:p>
    <w:p w14:paraId="3E28559F" w14:textId="77777777" w:rsidR="002D7AF0" w:rsidRPr="00D71EAE" w:rsidRDefault="002D7AF0" w:rsidP="00D742E3">
      <w:pPr>
        <w:spacing w:line="276" w:lineRule="auto"/>
        <w:jc w:val="both"/>
        <w:rPr>
          <w:b/>
          <w:bCs/>
        </w:rPr>
      </w:pPr>
      <w:r w:rsidRPr="00D71EAE">
        <w:rPr>
          <w:b/>
          <w:bCs/>
        </w:rPr>
        <w:t>Papildomos pastabos ir pasiūlymai</w:t>
      </w:r>
    </w:p>
    <w:p w14:paraId="2C698A2E" w14:textId="77777777" w:rsidR="002D7AF0" w:rsidRPr="00D71EAE" w:rsidRDefault="002D7AF0" w:rsidP="00D742E3">
      <w:pPr>
        <w:spacing w:line="276" w:lineRule="auto"/>
        <w:jc w:val="both"/>
        <w:rPr>
          <w:b/>
          <w:bCs/>
        </w:rPr>
      </w:pPr>
    </w:p>
    <w:p w14:paraId="67E6E33F" w14:textId="5F83FA94" w:rsidR="002D7AF0" w:rsidRPr="00D71EAE" w:rsidRDefault="002D7AF0" w:rsidP="00D742E3">
      <w:pPr>
        <w:spacing w:line="276" w:lineRule="auto"/>
        <w:ind w:firstLine="720"/>
        <w:jc w:val="both"/>
      </w:pPr>
      <w:r w:rsidRPr="00D71EAE">
        <w:t>Atsižvelgiant į tai, kad trastuzumabo derukstekano klinikinis veiksmingumas yra įvertintas kaip pagrindžiantis papildomos naudos pacientų sveikatai sukūrimą, lyginant su įprasta klinikine praktika gydant sergančiuosius nerezekuotinu arba metastazavusiu HER2 teigiamu krūties vėžiu sergan</w:t>
      </w:r>
      <w:r w:rsidR="00D71EAE">
        <w:t>tiems</w:t>
      </w:r>
      <w:r w:rsidRPr="00D71EAE">
        <w:t xml:space="preserve"> suaugusi</w:t>
      </w:r>
      <w:r w:rsidR="00D71EAE">
        <w:t>ems</w:t>
      </w:r>
      <w:r w:rsidRPr="00D71EAE">
        <w:t xml:space="preserve"> pacient</w:t>
      </w:r>
      <w:r w:rsidR="00D71EAE">
        <w:t>ams</w:t>
      </w:r>
      <w:r w:rsidRPr="00D71EAE">
        <w:t xml:space="preserve">, kuriems jau taikytas vienas arba daugiau prieš HER2 nukreiptų gydymo režimų, gydymui Tarnyba, vadovaudamasi Lietuvos Respublikos sveikatos apsaugos ministro 2002 m. balandžio 5 d. įsakymu Nr. 159 „Dėl Vaistinių preparatų ir medicinos pagalbos priemonių įrašymo į kompensavimo sąrašus ir jų keitimo tvarkos aprašo patvirtinimo“ 35 punktu, siūlo kompensuoti vaistinį preparatą trastuzumabo derukstekaną su sąlyga, jog kaštų naudingumas bus pagerintas </w:t>
      </w:r>
      <w:r w:rsidR="00E85FDD">
        <w:t>***</w:t>
      </w:r>
      <w:r w:rsidRPr="00D71EAE">
        <w:t xml:space="preserve">. Tarnyba, atsižvelgdama į </w:t>
      </w:r>
      <w:r w:rsidR="00E85FDD">
        <w:t>***</w:t>
      </w:r>
      <w:r w:rsidRPr="00D71EAE">
        <w:t xml:space="preserve">, siūlo </w:t>
      </w:r>
      <w:r w:rsidR="00E85FDD" w:rsidRPr="00E85FDD">
        <w:t>***</w:t>
      </w:r>
      <w:r w:rsidRPr="00E85FDD">
        <w:t>,</w:t>
      </w:r>
      <w:r w:rsidRPr="00D71EAE">
        <w:t xml:space="preserve"> kad trastuzumabo derukstekano kaštų naudingumas neviršija referencinės kaštų naudingumo vertės. </w:t>
      </w:r>
    </w:p>
    <w:p w14:paraId="40300616" w14:textId="77777777" w:rsidR="002D7AF0" w:rsidRPr="00D71EAE" w:rsidRDefault="002D7AF0" w:rsidP="004F3B2B">
      <w:pPr>
        <w:rPr>
          <w:i/>
        </w:rPr>
      </w:pPr>
    </w:p>
    <w:p w14:paraId="29CA82A1" w14:textId="77777777" w:rsidR="002D7AF0" w:rsidRPr="00D71EAE" w:rsidRDefault="002D7AF0" w:rsidP="004F3B2B">
      <w:pPr>
        <w:rPr>
          <w:i/>
        </w:rPr>
      </w:pPr>
    </w:p>
    <w:p w14:paraId="18B4292E" w14:textId="3F8F23FC" w:rsidR="000723FF" w:rsidRPr="00D71EAE" w:rsidRDefault="00CC09D4" w:rsidP="002D7AF0">
      <w:pPr>
        <w:tabs>
          <w:tab w:val="left" w:pos="567"/>
        </w:tabs>
        <w:jc w:val="both"/>
        <w:rPr>
          <w:b/>
          <w:lang w:eastAsia="lt-LT"/>
        </w:rPr>
      </w:pPr>
      <w:r w:rsidRPr="00D71EAE">
        <w:rPr>
          <w:b/>
          <w:lang w:eastAsia="lt-LT"/>
        </w:rPr>
        <w:t>8.</w:t>
      </w:r>
      <w:r w:rsidRPr="00D71EAE">
        <w:rPr>
          <w:b/>
          <w:lang w:eastAsia="lt-LT"/>
        </w:rPr>
        <w:tab/>
      </w:r>
      <w:r w:rsidR="000723FF" w:rsidRPr="00D71EAE">
        <w:rPr>
          <w:b/>
          <w:lang w:eastAsia="lt-LT"/>
        </w:rPr>
        <w:t>SIŪLOMOS KOMPENSUOTI TERAPINĖS INDIKACIJOS IR SKYRIMO SĄLYGOS</w:t>
      </w:r>
      <w:r w:rsidR="00D742E3" w:rsidRPr="00D71EAE">
        <w:rPr>
          <w:b/>
          <w:lang w:eastAsia="lt-LT"/>
        </w:rPr>
        <w:t xml:space="preserve"> (JEI BŪTŲ PRIIMTAS SPRENDIMAS KOMPENSUOTI)</w:t>
      </w:r>
    </w:p>
    <w:p w14:paraId="691340BB" w14:textId="77777777" w:rsidR="000723FF" w:rsidRPr="00D71EAE" w:rsidRDefault="000723FF" w:rsidP="000723FF">
      <w:pPr>
        <w:tabs>
          <w:tab w:val="left" w:pos="426"/>
        </w:tabs>
        <w:jc w:val="both"/>
        <w:rPr>
          <w:b/>
          <w:lang w:eastAsia="lt-LT"/>
        </w:rPr>
      </w:pPr>
    </w:p>
    <w:p w14:paraId="6B20CA60" w14:textId="77777777" w:rsidR="00D742E3" w:rsidRPr="00D71EAE" w:rsidRDefault="00D742E3" w:rsidP="00D742E3">
      <w:pPr>
        <w:pStyle w:val="Betarp"/>
        <w:rPr>
          <w:rFonts w:ascii="Times New Roman" w:hAnsi="Times New Roman"/>
          <w:b/>
          <w:sz w:val="24"/>
          <w:szCs w:val="24"/>
          <w:lang w:eastAsia="lt-LT"/>
        </w:rPr>
      </w:pPr>
      <w:r w:rsidRPr="00D71EAE">
        <w:rPr>
          <w:rFonts w:ascii="Times New Roman" w:hAnsi="Times New Roman"/>
          <w:b/>
          <w:sz w:val="24"/>
          <w:szCs w:val="24"/>
          <w:lang w:eastAsia="lt-LT"/>
        </w:rPr>
        <w:t>Terapinės indikacijos</w:t>
      </w:r>
    </w:p>
    <w:p w14:paraId="6400A322" w14:textId="77777777" w:rsidR="00D742E3" w:rsidRPr="00D71EAE" w:rsidRDefault="00000000" w:rsidP="00D742E3">
      <w:pPr>
        <w:pStyle w:val="Betarp"/>
        <w:rPr>
          <w:rFonts w:ascii="Times New Roman" w:hAnsi="Times New Roman"/>
          <w:sz w:val="24"/>
          <w:szCs w:val="24"/>
        </w:rPr>
      </w:pPr>
      <w:sdt>
        <w:sdtPr>
          <w:rPr>
            <w:rStyle w:val="Style2"/>
            <w:rFonts w:ascii="Times New Roman" w:hAnsi="Times New Roman"/>
            <w:sz w:val="24"/>
            <w:szCs w:val="24"/>
          </w:rPr>
          <w:id w:val="1146316688"/>
          <w15:color w:val="FFCC00"/>
          <w14:checkbox>
            <w14:checked w14:val="0"/>
            <w14:checkedState w14:val="2612" w14:font="MS Gothic"/>
            <w14:uncheckedState w14:val="2610" w14:font="MS Gothic"/>
          </w14:checkbox>
        </w:sdtPr>
        <w:sdtContent>
          <w:r w:rsidR="00D742E3" w:rsidRPr="00D71EAE">
            <w:rPr>
              <w:rStyle w:val="Style2"/>
              <w:rFonts w:ascii="MS Gothic" w:eastAsia="MS Gothic" w:hAnsi="MS Gothic" w:hint="eastAsia"/>
              <w:sz w:val="24"/>
              <w:szCs w:val="24"/>
            </w:rPr>
            <w:t>☐</w:t>
          </w:r>
        </w:sdtContent>
      </w:sdt>
      <w:r w:rsidR="00D742E3" w:rsidRPr="00D71EAE">
        <w:rPr>
          <w:rFonts w:ascii="Times New Roman" w:hAnsi="Times New Roman"/>
          <w:sz w:val="24"/>
          <w:szCs w:val="24"/>
        </w:rPr>
        <w:t xml:space="preserve"> Siūloma kompensuoti Pareiškėjo teikiamą indikaciją be pakeitimų</w:t>
      </w:r>
    </w:p>
    <w:p w14:paraId="077F3CAD" w14:textId="77777777" w:rsidR="00D742E3" w:rsidRPr="00D71EAE" w:rsidRDefault="00D742E3" w:rsidP="00D742E3">
      <w:pPr>
        <w:pStyle w:val="Betarp"/>
        <w:rPr>
          <w:rFonts w:ascii="Times New Roman" w:hAnsi="Times New Roman"/>
          <w:sz w:val="24"/>
          <w:szCs w:val="24"/>
        </w:rPr>
      </w:pPr>
      <w:r w:rsidRPr="00D71EAE">
        <w:rPr>
          <w:rFonts w:ascii="Times New Roman" w:hAnsi="Times New Roman"/>
          <w:sz w:val="24"/>
          <w:szCs w:val="24"/>
        </w:rPr>
        <w:t xml:space="preserve"> </w:t>
      </w:r>
    </w:p>
    <w:p w14:paraId="37476CD9" w14:textId="77777777" w:rsidR="00D742E3" w:rsidRPr="00D71EAE" w:rsidRDefault="00000000" w:rsidP="00D742E3">
      <w:pPr>
        <w:pStyle w:val="Betarp"/>
        <w:rPr>
          <w:rFonts w:ascii="Times New Roman" w:hAnsi="Times New Roman"/>
          <w:sz w:val="24"/>
          <w:szCs w:val="24"/>
        </w:rPr>
      </w:pPr>
      <w:sdt>
        <w:sdtPr>
          <w:rPr>
            <w:rStyle w:val="Style2"/>
            <w:rFonts w:ascii="Times New Roman" w:hAnsi="Times New Roman"/>
            <w:sz w:val="24"/>
            <w:szCs w:val="24"/>
          </w:rPr>
          <w:id w:val="1467245146"/>
          <w15:color w:val="FFCC00"/>
          <w14:checkbox>
            <w14:checked w14:val="1"/>
            <w14:checkedState w14:val="2612" w14:font="MS Gothic"/>
            <w14:uncheckedState w14:val="2610" w14:font="MS Gothic"/>
          </w14:checkbox>
        </w:sdtPr>
        <w:sdtContent>
          <w:r w:rsidR="00D742E3" w:rsidRPr="00D71EAE">
            <w:rPr>
              <w:rStyle w:val="Style2"/>
              <w:rFonts w:ascii="MS Gothic" w:eastAsia="MS Gothic" w:hAnsi="MS Gothic" w:hint="eastAsia"/>
              <w:sz w:val="24"/>
              <w:szCs w:val="24"/>
            </w:rPr>
            <w:t>☒</w:t>
          </w:r>
        </w:sdtContent>
      </w:sdt>
      <w:r w:rsidR="00D742E3" w:rsidRPr="00D71EAE">
        <w:rPr>
          <w:rFonts w:ascii="Times New Roman" w:hAnsi="Times New Roman"/>
          <w:sz w:val="24"/>
          <w:szCs w:val="24"/>
        </w:rPr>
        <w:t xml:space="preserve"> Siūloma kompensuoti Pareiškėjo teikiamą indikaciją su pakeitimais.</w:t>
      </w:r>
    </w:p>
    <w:p w14:paraId="4A279CEB" w14:textId="77777777" w:rsidR="00D742E3" w:rsidRPr="00D71EAE" w:rsidRDefault="00D742E3" w:rsidP="00D742E3">
      <w:pPr>
        <w:pStyle w:val="Betarp"/>
        <w:rPr>
          <w:rFonts w:ascii="Times New Roman" w:hAnsi="Times New Roman"/>
          <w:sz w:val="24"/>
          <w:szCs w:val="24"/>
        </w:rPr>
      </w:pPr>
    </w:p>
    <w:p w14:paraId="6CBBC646" w14:textId="77777777" w:rsidR="00D742E3" w:rsidRPr="00D71EAE" w:rsidRDefault="00D742E3" w:rsidP="00D742E3">
      <w:pPr>
        <w:pStyle w:val="Betarp"/>
        <w:rPr>
          <w:rFonts w:ascii="Times New Roman" w:hAnsi="Times New Roman"/>
          <w:sz w:val="24"/>
          <w:szCs w:val="24"/>
        </w:rPr>
      </w:pPr>
      <w:r w:rsidRPr="00D71EAE">
        <w:rPr>
          <w:rFonts w:ascii="Times New Roman" w:hAnsi="Times New Roman"/>
          <w:sz w:val="24"/>
          <w:szCs w:val="24"/>
        </w:rPr>
        <w:t>Monoterapija trastuzumabu derukstekanu skirta pacientams, kuriems jau taikyti du arba daugiau prieš HER2 nukreipti gydymo režimai.</w:t>
      </w:r>
    </w:p>
    <w:p w14:paraId="7AB262A3" w14:textId="77777777" w:rsidR="00D742E3" w:rsidRPr="00D71EAE" w:rsidRDefault="00D742E3" w:rsidP="00D742E3">
      <w:pPr>
        <w:pStyle w:val="Betarp"/>
        <w:rPr>
          <w:rFonts w:ascii="Times New Roman" w:hAnsi="Times New Roman"/>
          <w:sz w:val="24"/>
          <w:szCs w:val="24"/>
        </w:rPr>
      </w:pPr>
    </w:p>
    <w:p w14:paraId="3681DB02" w14:textId="2EBBB737" w:rsidR="00D742E3" w:rsidRPr="00D71EAE" w:rsidRDefault="00D742E3" w:rsidP="00D742E3">
      <w:pPr>
        <w:pStyle w:val="Betarp"/>
        <w:rPr>
          <w:rFonts w:ascii="Times New Roman" w:hAnsi="Times New Roman"/>
          <w:b/>
          <w:sz w:val="24"/>
          <w:szCs w:val="24"/>
        </w:rPr>
      </w:pPr>
      <w:r w:rsidRPr="00D71EAE">
        <w:rPr>
          <w:rFonts w:ascii="Times New Roman" w:hAnsi="Times New Roman"/>
          <w:b/>
          <w:sz w:val="24"/>
          <w:szCs w:val="24"/>
        </w:rPr>
        <w:t>Skyrimo sąlygos</w:t>
      </w:r>
    </w:p>
    <w:p w14:paraId="2C40E623" w14:textId="77777777" w:rsidR="00D742E3" w:rsidRPr="00D71EAE" w:rsidRDefault="00000000" w:rsidP="00D742E3">
      <w:pPr>
        <w:pStyle w:val="Betarp"/>
        <w:rPr>
          <w:rFonts w:ascii="Times New Roman" w:hAnsi="Times New Roman"/>
          <w:sz w:val="24"/>
          <w:szCs w:val="24"/>
        </w:rPr>
      </w:pPr>
      <w:sdt>
        <w:sdtPr>
          <w:rPr>
            <w:rStyle w:val="Style2"/>
            <w:rFonts w:ascii="Times New Roman" w:hAnsi="Times New Roman"/>
            <w:sz w:val="24"/>
            <w:szCs w:val="24"/>
          </w:rPr>
          <w:id w:val="169305347"/>
          <w15:color w:val="FFCC00"/>
          <w14:checkbox>
            <w14:checked w14:val="0"/>
            <w14:checkedState w14:val="2612" w14:font="MS Gothic"/>
            <w14:uncheckedState w14:val="2610" w14:font="MS Gothic"/>
          </w14:checkbox>
        </w:sdtPr>
        <w:sdtContent>
          <w:r w:rsidR="00D742E3" w:rsidRPr="00D71EAE">
            <w:rPr>
              <w:rStyle w:val="Style2"/>
              <w:rFonts w:ascii="Segoe UI Symbol" w:eastAsia="MS Gothic" w:hAnsi="Segoe UI Symbol" w:cs="Segoe UI Symbol"/>
              <w:sz w:val="24"/>
              <w:szCs w:val="24"/>
            </w:rPr>
            <w:t>☐</w:t>
          </w:r>
        </w:sdtContent>
      </w:sdt>
      <w:r w:rsidR="00D742E3" w:rsidRPr="00D71EAE">
        <w:rPr>
          <w:rFonts w:ascii="Times New Roman" w:hAnsi="Times New Roman"/>
          <w:sz w:val="24"/>
          <w:szCs w:val="24"/>
        </w:rPr>
        <w:t xml:space="preserve"> Pareiškėjo siūlomos skyrimo sąlygos priimtinos. </w:t>
      </w:r>
    </w:p>
    <w:p w14:paraId="303A14D2" w14:textId="77777777" w:rsidR="00D742E3" w:rsidRPr="00D71EAE" w:rsidRDefault="00D742E3" w:rsidP="00D742E3">
      <w:pPr>
        <w:pStyle w:val="Betarp"/>
        <w:rPr>
          <w:rFonts w:ascii="Times New Roman" w:hAnsi="Times New Roman"/>
          <w:sz w:val="24"/>
          <w:szCs w:val="24"/>
        </w:rPr>
      </w:pPr>
    </w:p>
    <w:p w14:paraId="60BA21C5" w14:textId="77777777" w:rsidR="00D742E3" w:rsidRPr="00D71EAE" w:rsidRDefault="00000000" w:rsidP="00D742E3">
      <w:pPr>
        <w:pStyle w:val="Betarp"/>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Content>
          <w:r w:rsidR="00D742E3" w:rsidRPr="00D71EAE">
            <w:rPr>
              <w:rStyle w:val="Style2"/>
              <w:rFonts w:ascii="MS Gothic" w:eastAsia="MS Gothic" w:hAnsi="MS Gothic" w:hint="eastAsia"/>
              <w:sz w:val="24"/>
              <w:szCs w:val="24"/>
            </w:rPr>
            <w:t>☒</w:t>
          </w:r>
        </w:sdtContent>
      </w:sdt>
      <w:r w:rsidR="00D742E3" w:rsidRPr="00D71EAE">
        <w:rPr>
          <w:rFonts w:ascii="Times New Roman" w:hAnsi="Times New Roman"/>
          <w:sz w:val="24"/>
          <w:szCs w:val="24"/>
        </w:rPr>
        <w:t xml:space="preserve"> Pareiškėjo siūlomos skyrimo sąlygos nepriimtinos. </w:t>
      </w:r>
    </w:p>
    <w:p w14:paraId="5FAE5CC7" w14:textId="1AAD1780" w:rsidR="00D742E3" w:rsidRDefault="00D71EAE" w:rsidP="00D742E3">
      <w:pPr>
        <w:pStyle w:val="Betarp"/>
        <w:rPr>
          <w:rFonts w:ascii="Times New Roman" w:hAnsi="Times New Roman"/>
          <w:sz w:val="24"/>
          <w:szCs w:val="24"/>
        </w:rPr>
      </w:pPr>
      <w:r>
        <w:rPr>
          <w:rFonts w:ascii="Times New Roman" w:hAnsi="Times New Roman"/>
          <w:sz w:val="24"/>
          <w:szCs w:val="24"/>
        </w:rPr>
        <w:t xml:space="preserve">Siūlomos </w:t>
      </w:r>
      <w:r w:rsidR="00D70B73">
        <w:rPr>
          <w:rFonts w:ascii="Times New Roman" w:hAnsi="Times New Roman"/>
          <w:sz w:val="24"/>
          <w:szCs w:val="24"/>
        </w:rPr>
        <w:t xml:space="preserve">tokio </w:t>
      </w:r>
      <w:r>
        <w:rPr>
          <w:rFonts w:ascii="Times New Roman" w:hAnsi="Times New Roman"/>
          <w:sz w:val="24"/>
          <w:szCs w:val="24"/>
        </w:rPr>
        <w:t>skyrimo sąlygos</w:t>
      </w:r>
      <w:r w:rsidR="00D70B73">
        <w:rPr>
          <w:rFonts w:ascii="Times New Roman" w:hAnsi="Times New Roman"/>
          <w:sz w:val="24"/>
          <w:szCs w:val="24"/>
        </w:rPr>
        <w:t>.</w:t>
      </w:r>
    </w:p>
    <w:p w14:paraId="7D6B3D7F" w14:textId="77777777" w:rsidR="00D70B73" w:rsidRPr="00D71EAE" w:rsidRDefault="00D70B73" w:rsidP="00D742E3">
      <w:pPr>
        <w:pStyle w:val="Betarp"/>
        <w:rPr>
          <w:rFonts w:ascii="Times New Roman" w:hAnsi="Times New Roman"/>
          <w:sz w:val="24"/>
          <w:szCs w:val="24"/>
        </w:rPr>
      </w:pPr>
    </w:p>
    <w:p w14:paraId="7AC00581" w14:textId="03F40DE9" w:rsidR="00927B93" w:rsidRPr="0081781B" w:rsidRDefault="00927B93" w:rsidP="00927B93">
      <w:pPr>
        <w:pStyle w:val="Betarp"/>
        <w:spacing w:line="276" w:lineRule="auto"/>
        <w:ind w:firstLine="720"/>
        <w:jc w:val="both"/>
        <w:rPr>
          <w:rFonts w:ascii="Times New Roman" w:hAnsi="Times New Roman"/>
          <w:sz w:val="32"/>
          <w:szCs w:val="24"/>
        </w:rPr>
      </w:pPr>
      <w:r w:rsidRPr="00FE505F">
        <w:rPr>
          <w:rFonts w:ascii="Times New Roman" w:hAnsi="Times New Roman"/>
          <w:sz w:val="24"/>
          <w:szCs w:val="24"/>
        </w:rPr>
        <w:t>Trastuzumabas derukstekanas</w:t>
      </w:r>
      <w:r w:rsidRPr="00BC15E6">
        <w:rPr>
          <w:rFonts w:ascii="Times New Roman" w:hAnsi="Times New Roman"/>
          <w:sz w:val="24"/>
          <w:szCs w:val="24"/>
        </w:rPr>
        <w:t xml:space="preserve"> </w:t>
      </w:r>
      <w:r>
        <w:rPr>
          <w:rFonts w:ascii="Times New Roman" w:hAnsi="Times New Roman"/>
          <w:sz w:val="24"/>
          <w:szCs w:val="24"/>
        </w:rPr>
        <w:t xml:space="preserve">monoterapijai </w:t>
      </w:r>
      <w:r w:rsidRPr="0081781B">
        <w:rPr>
          <w:rFonts w:ascii="Times New Roman" w:hAnsi="Times New Roman"/>
          <w:sz w:val="24"/>
          <w:szCs w:val="24"/>
        </w:rPr>
        <w:t>skiriamas</w:t>
      </w:r>
      <w:r w:rsidRPr="0081781B">
        <w:rPr>
          <w:rFonts w:ascii="Times New Roman" w:hAnsi="Times New Roman"/>
          <w:strike/>
          <w:sz w:val="24"/>
          <w:szCs w:val="24"/>
        </w:rPr>
        <w:t xml:space="preserve"> </w:t>
      </w:r>
      <w:r w:rsidRPr="00BC15E6">
        <w:rPr>
          <w:rFonts w:ascii="Times New Roman" w:hAnsi="Times New Roman"/>
          <w:sz w:val="24"/>
          <w:szCs w:val="24"/>
        </w:rPr>
        <w:t>metastazavusiu nerezikuotinu HER2 teigiamu krūties vėžiu sergantiems pacientams,</w:t>
      </w:r>
      <w:r>
        <w:rPr>
          <w:rFonts w:ascii="Times New Roman" w:hAnsi="Times New Roman"/>
          <w:sz w:val="24"/>
          <w:szCs w:val="24"/>
        </w:rPr>
        <w:t xml:space="preserve"> kurių liga progresavo </w:t>
      </w:r>
      <w:r w:rsidR="000C343C">
        <w:rPr>
          <w:rFonts w:ascii="Times New Roman" w:hAnsi="Times New Roman"/>
          <w:sz w:val="24"/>
          <w:szCs w:val="24"/>
        </w:rPr>
        <w:t xml:space="preserve">po gydymo </w:t>
      </w:r>
      <w:r>
        <w:rPr>
          <w:rFonts w:ascii="Times New Roman" w:hAnsi="Times New Roman"/>
          <w:sz w:val="24"/>
          <w:szCs w:val="24"/>
        </w:rPr>
        <w:t xml:space="preserve">dviem </w:t>
      </w:r>
      <w:r w:rsidRPr="0081781B">
        <w:rPr>
          <w:rFonts w:ascii="Times New Roman" w:hAnsi="Times New Roman"/>
          <w:sz w:val="24"/>
        </w:rPr>
        <w:t>arba daugiau prieš HER2 raišką nukreipt</w:t>
      </w:r>
      <w:r w:rsidR="000C343C">
        <w:rPr>
          <w:rFonts w:ascii="Times New Roman" w:hAnsi="Times New Roman"/>
          <w:sz w:val="24"/>
        </w:rPr>
        <w:t>ų</w:t>
      </w:r>
      <w:r>
        <w:rPr>
          <w:rFonts w:ascii="Times New Roman" w:hAnsi="Times New Roman"/>
          <w:sz w:val="24"/>
        </w:rPr>
        <w:t xml:space="preserve"> </w:t>
      </w:r>
      <w:r w:rsidRPr="0081781B">
        <w:rPr>
          <w:rFonts w:ascii="Times New Roman" w:hAnsi="Times New Roman"/>
          <w:sz w:val="24"/>
        </w:rPr>
        <w:t>gydymo režim</w:t>
      </w:r>
      <w:r w:rsidR="000C343C">
        <w:rPr>
          <w:rFonts w:ascii="Times New Roman" w:hAnsi="Times New Roman"/>
          <w:sz w:val="24"/>
        </w:rPr>
        <w:t>ų</w:t>
      </w:r>
      <w:r>
        <w:rPr>
          <w:rFonts w:ascii="Times New Roman" w:hAnsi="Times New Roman"/>
          <w:sz w:val="24"/>
        </w:rPr>
        <w:t xml:space="preserve">. </w:t>
      </w:r>
    </w:p>
    <w:p w14:paraId="61CFB053" w14:textId="77777777" w:rsidR="00927B93" w:rsidRDefault="00927B93" w:rsidP="00ED027E">
      <w:pPr>
        <w:pStyle w:val="Betarp"/>
        <w:spacing w:line="276" w:lineRule="auto"/>
        <w:ind w:firstLine="720"/>
        <w:jc w:val="both"/>
        <w:rPr>
          <w:rFonts w:ascii="Times New Roman" w:hAnsi="Times New Roman"/>
          <w:sz w:val="24"/>
          <w:szCs w:val="24"/>
        </w:rPr>
      </w:pPr>
    </w:p>
    <w:sectPr w:rsidR="00927B93" w:rsidSect="005D30E1">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B7234" w14:textId="77777777" w:rsidR="00470FD3" w:rsidRDefault="00470FD3">
      <w:r>
        <w:separator/>
      </w:r>
    </w:p>
  </w:endnote>
  <w:endnote w:type="continuationSeparator" w:id="0">
    <w:p w14:paraId="5BD2880B" w14:textId="77777777" w:rsidR="00470FD3" w:rsidRDefault="0047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016D9" w14:textId="77777777" w:rsidR="00470FD3" w:rsidRDefault="00470FD3">
      <w:r>
        <w:separator/>
      </w:r>
    </w:p>
  </w:footnote>
  <w:footnote w:type="continuationSeparator" w:id="0">
    <w:p w14:paraId="5B133E26" w14:textId="77777777" w:rsidR="00470FD3" w:rsidRDefault="0047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A66453"/>
    <w:multiLevelType w:val="hybridMultilevel"/>
    <w:tmpl w:val="BD062FE0"/>
    <w:lvl w:ilvl="0" w:tplc="14042D5E">
      <w:start w:val="3"/>
      <w:numFmt w:val="bullet"/>
      <w:lvlText w:val="-"/>
      <w:lvlJc w:val="left"/>
      <w:pPr>
        <w:ind w:left="720" w:hanging="360"/>
      </w:pPr>
      <w:rPr>
        <w:rFonts w:ascii="Times New Roman" w:eastAsia="Arial"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9BE65D76"/>
    <w:lvl w:ilvl="0" w:tplc="CE0068DE">
      <w:start w:val="1"/>
      <w:numFmt w:val="decimal"/>
      <w:lvlText w:val="%1."/>
      <w:lvlJc w:val="left"/>
      <w:pPr>
        <w:ind w:left="720" w:hanging="360"/>
      </w:pPr>
      <w:rPr>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7954D5"/>
    <w:multiLevelType w:val="hybridMultilevel"/>
    <w:tmpl w:val="03763DC8"/>
    <w:lvl w:ilvl="0" w:tplc="B1548DF2">
      <w:start w:val="15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616124"/>
    <w:multiLevelType w:val="hybridMultilevel"/>
    <w:tmpl w:val="67CEDFE2"/>
    <w:lvl w:ilvl="0" w:tplc="4E64B7EC">
      <w:start w:val="9"/>
      <w:numFmt w:val="bullet"/>
      <w:lvlText w:val="-"/>
      <w:lvlJc w:val="left"/>
      <w:pPr>
        <w:ind w:left="792" w:hanging="360"/>
      </w:pPr>
      <w:rPr>
        <w:rFonts w:ascii="Times New Roman" w:eastAsia="Times New Roman" w:hAnsi="Times New Roman" w:cs="Times New Roman"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8535895">
    <w:abstractNumId w:val="7"/>
  </w:num>
  <w:num w:numId="2" w16cid:durableId="736628669">
    <w:abstractNumId w:val="2"/>
  </w:num>
  <w:num w:numId="3" w16cid:durableId="1233466442">
    <w:abstractNumId w:val="10"/>
  </w:num>
  <w:num w:numId="4" w16cid:durableId="1061253667">
    <w:abstractNumId w:val="8"/>
  </w:num>
  <w:num w:numId="5" w16cid:durableId="480777750">
    <w:abstractNumId w:val="6"/>
  </w:num>
  <w:num w:numId="6" w16cid:durableId="1314677344">
    <w:abstractNumId w:val="5"/>
  </w:num>
  <w:num w:numId="7" w16cid:durableId="479611861">
    <w:abstractNumId w:val="4"/>
  </w:num>
  <w:num w:numId="8" w16cid:durableId="164440662">
    <w:abstractNumId w:val="14"/>
  </w:num>
  <w:num w:numId="9" w16cid:durableId="810443198">
    <w:abstractNumId w:val="0"/>
  </w:num>
  <w:num w:numId="10" w16cid:durableId="1620138393">
    <w:abstractNumId w:val="11"/>
  </w:num>
  <w:num w:numId="11" w16cid:durableId="801339025">
    <w:abstractNumId w:val="13"/>
  </w:num>
  <w:num w:numId="12" w16cid:durableId="1491018572">
    <w:abstractNumId w:val="3"/>
  </w:num>
  <w:num w:numId="13" w16cid:durableId="316962000">
    <w:abstractNumId w:val="12"/>
  </w:num>
  <w:num w:numId="14" w16cid:durableId="1061713884">
    <w:abstractNumId w:val="9"/>
  </w:num>
  <w:num w:numId="15" w16cid:durableId="1958483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9C9"/>
    <w:rsid w:val="00031D0E"/>
    <w:rsid w:val="000337E6"/>
    <w:rsid w:val="0003402E"/>
    <w:rsid w:val="00034EAE"/>
    <w:rsid w:val="00042924"/>
    <w:rsid w:val="00053975"/>
    <w:rsid w:val="00055446"/>
    <w:rsid w:val="00057A2B"/>
    <w:rsid w:val="000606BE"/>
    <w:rsid w:val="000723FF"/>
    <w:rsid w:val="000736B8"/>
    <w:rsid w:val="0008190F"/>
    <w:rsid w:val="00081D9C"/>
    <w:rsid w:val="00082907"/>
    <w:rsid w:val="0008378D"/>
    <w:rsid w:val="000908A5"/>
    <w:rsid w:val="00092805"/>
    <w:rsid w:val="000B6F71"/>
    <w:rsid w:val="000C343C"/>
    <w:rsid w:val="000C454C"/>
    <w:rsid w:val="000D5038"/>
    <w:rsid w:val="000E29D4"/>
    <w:rsid w:val="000F3540"/>
    <w:rsid w:val="00100491"/>
    <w:rsid w:val="00104E2E"/>
    <w:rsid w:val="00107287"/>
    <w:rsid w:val="00117406"/>
    <w:rsid w:val="00121EF0"/>
    <w:rsid w:val="0012241C"/>
    <w:rsid w:val="00124A9E"/>
    <w:rsid w:val="00130703"/>
    <w:rsid w:val="0013153F"/>
    <w:rsid w:val="001408B8"/>
    <w:rsid w:val="001517E2"/>
    <w:rsid w:val="001521D9"/>
    <w:rsid w:val="001554E2"/>
    <w:rsid w:val="00160105"/>
    <w:rsid w:val="00164146"/>
    <w:rsid w:val="0017369C"/>
    <w:rsid w:val="00175D57"/>
    <w:rsid w:val="00180C39"/>
    <w:rsid w:val="00180D96"/>
    <w:rsid w:val="00184BD3"/>
    <w:rsid w:val="00185CBE"/>
    <w:rsid w:val="001921F3"/>
    <w:rsid w:val="001B3C5B"/>
    <w:rsid w:val="001D746F"/>
    <w:rsid w:val="001D7F5B"/>
    <w:rsid w:val="001E4BBB"/>
    <w:rsid w:val="001E6304"/>
    <w:rsid w:val="0020381E"/>
    <w:rsid w:val="00213471"/>
    <w:rsid w:val="00215906"/>
    <w:rsid w:val="00223A23"/>
    <w:rsid w:val="002332FA"/>
    <w:rsid w:val="00241CD8"/>
    <w:rsid w:val="0024387B"/>
    <w:rsid w:val="00244B09"/>
    <w:rsid w:val="00250F63"/>
    <w:rsid w:val="002519CB"/>
    <w:rsid w:val="0025697F"/>
    <w:rsid w:val="00260258"/>
    <w:rsid w:val="0026588E"/>
    <w:rsid w:val="00272428"/>
    <w:rsid w:val="00272948"/>
    <w:rsid w:val="00292392"/>
    <w:rsid w:val="002946C7"/>
    <w:rsid w:val="002A30AF"/>
    <w:rsid w:val="002B3CC1"/>
    <w:rsid w:val="002B5C6F"/>
    <w:rsid w:val="002C09E0"/>
    <w:rsid w:val="002C1BB1"/>
    <w:rsid w:val="002C2786"/>
    <w:rsid w:val="002C3A10"/>
    <w:rsid w:val="002C4A90"/>
    <w:rsid w:val="002C4ED5"/>
    <w:rsid w:val="002D02EF"/>
    <w:rsid w:val="002D0A6E"/>
    <w:rsid w:val="002D7AF0"/>
    <w:rsid w:val="002E0702"/>
    <w:rsid w:val="002E57AD"/>
    <w:rsid w:val="002E59E0"/>
    <w:rsid w:val="002E6F80"/>
    <w:rsid w:val="002F0E4F"/>
    <w:rsid w:val="002F1053"/>
    <w:rsid w:val="0030507E"/>
    <w:rsid w:val="00317B0E"/>
    <w:rsid w:val="00325FEB"/>
    <w:rsid w:val="00335314"/>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52B6"/>
    <w:rsid w:val="0040622F"/>
    <w:rsid w:val="00413F24"/>
    <w:rsid w:val="00422853"/>
    <w:rsid w:val="00423160"/>
    <w:rsid w:val="00453862"/>
    <w:rsid w:val="0045469B"/>
    <w:rsid w:val="00461338"/>
    <w:rsid w:val="004640B6"/>
    <w:rsid w:val="004677DB"/>
    <w:rsid w:val="00470FD3"/>
    <w:rsid w:val="00470FE5"/>
    <w:rsid w:val="0047414A"/>
    <w:rsid w:val="00476256"/>
    <w:rsid w:val="004778C0"/>
    <w:rsid w:val="0048297B"/>
    <w:rsid w:val="0048630F"/>
    <w:rsid w:val="004947A1"/>
    <w:rsid w:val="0049482A"/>
    <w:rsid w:val="00495122"/>
    <w:rsid w:val="004979D3"/>
    <w:rsid w:val="004A00E7"/>
    <w:rsid w:val="004A3A61"/>
    <w:rsid w:val="004B205D"/>
    <w:rsid w:val="004B59BA"/>
    <w:rsid w:val="004B5A03"/>
    <w:rsid w:val="004C263A"/>
    <w:rsid w:val="004C41C4"/>
    <w:rsid w:val="004D48A6"/>
    <w:rsid w:val="004D7B8F"/>
    <w:rsid w:val="004E6458"/>
    <w:rsid w:val="004E6E7D"/>
    <w:rsid w:val="004F1AAC"/>
    <w:rsid w:val="004F1AE2"/>
    <w:rsid w:val="004F34F0"/>
    <w:rsid w:val="004F3B2B"/>
    <w:rsid w:val="004F6050"/>
    <w:rsid w:val="005005EF"/>
    <w:rsid w:val="00502730"/>
    <w:rsid w:val="00502CA8"/>
    <w:rsid w:val="005123C2"/>
    <w:rsid w:val="0052144B"/>
    <w:rsid w:val="00524066"/>
    <w:rsid w:val="00534E11"/>
    <w:rsid w:val="005378D8"/>
    <w:rsid w:val="005400D9"/>
    <w:rsid w:val="0054063B"/>
    <w:rsid w:val="005476A4"/>
    <w:rsid w:val="0055019B"/>
    <w:rsid w:val="00556E63"/>
    <w:rsid w:val="00557691"/>
    <w:rsid w:val="005601A4"/>
    <w:rsid w:val="00566DBB"/>
    <w:rsid w:val="005750B1"/>
    <w:rsid w:val="005767DB"/>
    <w:rsid w:val="005815E6"/>
    <w:rsid w:val="005839AB"/>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13E4"/>
    <w:rsid w:val="00662983"/>
    <w:rsid w:val="00664EAE"/>
    <w:rsid w:val="006663AB"/>
    <w:rsid w:val="006834D3"/>
    <w:rsid w:val="00692625"/>
    <w:rsid w:val="00695C26"/>
    <w:rsid w:val="00695CD3"/>
    <w:rsid w:val="006A38B6"/>
    <w:rsid w:val="006B1987"/>
    <w:rsid w:val="006B3C78"/>
    <w:rsid w:val="006B5B71"/>
    <w:rsid w:val="006B6CB0"/>
    <w:rsid w:val="006C0296"/>
    <w:rsid w:val="006C2B64"/>
    <w:rsid w:val="006D4C85"/>
    <w:rsid w:val="006D537C"/>
    <w:rsid w:val="006D66AC"/>
    <w:rsid w:val="006E33F6"/>
    <w:rsid w:val="006F1251"/>
    <w:rsid w:val="006F1C23"/>
    <w:rsid w:val="007029D4"/>
    <w:rsid w:val="00702C18"/>
    <w:rsid w:val="00703166"/>
    <w:rsid w:val="00711D24"/>
    <w:rsid w:val="007127F3"/>
    <w:rsid w:val="0072211E"/>
    <w:rsid w:val="007301CF"/>
    <w:rsid w:val="007316FB"/>
    <w:rsid w:val="007374D0"/>
    <w:rsid w:val="00737E2D"/>
    <w:rsid w:val="007402CA"/>
    <w:rsid w:val="007424D5"/>
    <w:rsid w:val="00750A88"/>
    <w:rsid w:val="007523DD"/>
    <w:rsid w:val="00757B7E"/>
    <w:rsid w:val="007656B2"/>
    <w:rsid w:val="007656D8"/>
    <w:rsid w:val="00766852"/>
    <w:rsid w:val="0077016F"/>
    <w:rsid w:val="007713AD"/>
    <w:rsid w:val="00795DC5"/>
    <w:rsid w:val="00797153"/>
    <w:rsid w:val="007974DE"/>
    <w:rsid w:val="007A21F7"/>
    <w:rsid w:val="007A2B68"/>
    <w:rsid w:val="007B0DDA"/>
    <w:rsid w:val="007C0875"/>
    <w:rsid w:val="007C6794"/>
    <w:rsid w:val="007C7519"/>
    <w:rsid w:val="007D3347"/>
    <w:rsid w:val="007E5466"/>
    <w:rsid w:val="007E7A06"/>
    <w:rsid w:val="007F1949"/>
    <w:rsid w:val="007F2592"/>
    <w:rsid w:val="00800A08"/>
    <w:rsid w:val="0081781B"/>
    <w:rsid w:val="00817A84"/>
    <w:rsid w:val="008225A4"/>
    <w:rsid w:val="00824B92"/>
    <w:rsid w:val="00826D5E"/>
    <w:rsid w:val="00832013"/>
    <w:rsid w:val="00832DB7"/>
    <w:rsid w:val="00834732"/>
    <w:rsid w:val="00846B44"/>
    <w:rsid w:val="0085200C"/>
    <w:rsid w:val="00857C52"/>
    <w:rsid w:val="00860D5F"/>
    <w:rsid w:val="008703F1"/>
    <w:rsid w:val="00880A44"/>
    <w:rsid w:val="0088345E"/>
    <w:rsid w:val="0088656F"/>
    <w:rsid w:val="00891EF6"/>
    <w:rsid w:val="008A0303"/>
    <w:rsid w:val="008A5FDD"/>
    <w:rsid w:val="008B6418"/>
    <w:rsid w:val="008C0D62"/>
    <w:rsid w:val="008C3947"/>
    <w:rsid w:val="008C5808"/>
    <w:rsid w:val="008E473B"/>
    <w:rsid w:val="008E51A6"/>
    <w:rsid w:val="008E7329"/>
    <w:rsid w:val="008F2ED5"/>
    <w:rsid w:val="0092297E"/>
    <w:rsid w:val="00923651"/>
    <w:rsid w:val="00927B56"/>
    <w:rsid w:val="00927B93"/>
    <w:rsid w:val="009341BF"/>
    <w:rsid w:val="00937907"/>
    <w:rsid w:val="00941739"/>
    <w:rsid w:val="00943E06"/>
    <w:rsid w:val="00951573"/>
    <w:rsid w:val="00963003"/>
    <w:rsid w:val="00966EEF"/>
    <w:rsid w:val="00971B28"/>
    <w:rsid w:val="00983471"/>
    <w:rsid w:val="009909AB"/>
    <w:rsid w:val="00993FB5"/>
    <w:rsid w:val="009A42D8"/>
    <w:rsid w:val="009B37DB"/>
    <w:rsid w:val="009C7A8C"/>
    <w:rsid w:val="009D23F9"/>
    <w:rsid w:val="009D3EA7"/>
    <w:rsid w:val="009D4FA8"/>
    <w:rsid w:val="009E44AE"/>
    <w:rsid w:val="009E6CD6"/>
    <w:rsid w:val="009F4D66"/>
    <w:rsid w:val="009F4EA0"/>
    <w:rsid w:val="00A00C3C"/>
    <w:rsid w:val="00A01091"/>
    <w:rsid w:val="00A042B9"/>
    <w:rsid w:val="00A06DBB"/>
    <w:rsid w:val="00A15F3C"/>
    <w:rsid w:val="00A22ADF"/>
    <w:rsid w:val="00A31E86"/>
    <w:rsid w:val="00A32E26"/>
    <w:rsid w:val="00A54D87"/>
    <w:rsid w:val="00A5553C"/>
    <w:rsid w:val="00A701C9"/>
    <w:rsid w:val="00A7568B"/>
    <w:rsid w:val="00A81785"/>
    <w:rsid w:val="00A84803"/>
    <w:rsid w:val="00A84C51"/>
    <w:rsid w:val="00A86F2B"/>
    <w:rsid w:val="00A91366"/>
    <w:rsid w:val="00A9232E"/>
    <w:rsid w:val="00A93AA6"/>
    <w:rsid w:val="00AA4E48"/>
    <w:rsid w:val="00AA6202"/>
    <w:rsid w:val="00AA7B57"/>
    <w:rsid w:val="00AC26FC"/>
    <w:rsid w:val="00AC4A99"/>
    <w:rsid w:val="00AC64D2"/>
    <w:rsid w:val="00AD02E7"/>
    <w:rsid w:val="00AE0FE8"/>
    <w:rsid w:val="00AE1322"/>
    <w:rsid w:val="00AF60D5"/>
    <w:rsid w:val="00B00959"/>
    <w:rsid w:val="00B03304"/>
    <w:rsid w:val="00B04415"/>
    <w:rsid w:val="00B06509"/>
    <w:rsid w:val="00B11D60"/>
    <w:rsid w:val="00B13D65"/>
    <w:rsid w:val="00B21805"/>
    <w:rsid w:val="00B3072E"/>
    <w:rsid w:val="00B36E15"/>
    <w:rsid w:val="00B37245"/>
    <w:rsid w:val="00B4017A"/>
    <w:rsid w:val="00B4468D"/>
    <w:rsid w:val="00B71C72"/>
    <w:rsid w:val="00B81E92"/>
    <w:rsid w:val="00B82585"/>
    <w:rsid w:val="00B908D7"/>
    <w:rsid w:val="00B9130D"/>
    <w:rsid w:val="00B915AB"/>
    <w:rsid w:val="00B935E8"/>
    <w:rsid w:val="00B93B30"/>
    <w:rsid w:val="00B94CB5"/>
    <w:rsid w:val="00BA0DD9"/>
    <w:rsid w:val="00BA5DBC"/>
    <w:rsid w:val="00BB0838"/>
    <w:rsid w:val="00BB6312"/>
    <w:rsid w:val="00BC15E6"/>
    <w:rsid w:val="00BC4D06"/>
    <w:rsid w:val="00BC5FD8"/>
    <w:rsid w:val="00BD18D3"/>
    <w:rsid w:val="00BD585E"/>
    <w:rsid w:val="00BD6919"/>
    <w:rsid w:val="00BE1EA7"/>
    <w:rsid w:val="00BE62CC"/>
    <w:rsid w:val="00BE7489"/>
    <w:rsid w:val="00BF25BC"/>
    <w:rsid w:val="00BF2E0D"/>
    <w:rsid w:val="00BF3927"/>
    <w:rsid w:val="00BF3F8B"/>
    <w:rsid w:val="00BF76DA"/>
    <w:rsid w:val="00C003DA"/>
    <w:rsid w:val="00C07C7B"/>
    <w:rsid w:val="00C16245"/>
    <w:rsid w:val="00C21971"/>
    <w:rsid w:val="00C22DC5"/>
    <w:rsid w:val="00C24479"/>
    <w:rsid w:val="00C273F2"/>
    <w:rsid w:val="00C37B53"/>
    <w:rsid w:val="00C43583"/>
    <w:rsid w:val="00C517D2"/>
    <w:rsid w:val="00C5772E"/>
    <w:rsid w:val="00C613F9"/>
    <w:rsid w:val="00C62B36"/>
    <w:rsid w:val="00C7012C"/>
    <w:rsid w:val="00C712EA"/>
    <w:rsid w:val="00C80FBD"/>
    <w:rsid w:val="00CA217D"/>
    <w:rsid w:val="00CC09D4"/>
    <w:rsid w:val="00CC668D"/>
    <w:rsid w:val="00CC7832"/>
    <w:rsid w:val="00CF0C1C"/>
    <w:rsid w:val="00CF27FD"/>
    <w:rsid w:val="00CF5F12"/>
    <w:rsid w:val="00D00D8F"/>
    <w:rsid w:val="00D1068E"/>
    <w:rsid w:val="00D21F3A"/>
    <w:rsid w:val="00D23808"/>
    <w:rsid w:val="00D3016A"/>
    <w:rsid w:val="00D31311"/>
    <w:rsid w:val="00D34830"/>
    <w:rsid w:val="00D36F54"/>
    <w:rsid w:val="00D417D2"/>
    <w:rsid w:val="00D42960"/>
    <w:rsid w:val="00D43BD7"/>
    <w:rsid w:val="00D4485B"/>
    <w:rsid w:val="00D4708D"/>
    <w:rsid w:val="00D4744C"/>
    <w:rsid w:val="00D521DE"/>
    <w:rsid w:val="00D5470B"/>
    <w:rsid w:val="00D63068"/>
    <w:rsid w:val="00D6498C"/>
    <w:rsid w:val="00D70B73"/>
    <w:rsid w:val="00D71EAE"/>
    <w:rsid w:val="00D742E3"/>
    <w:rsid w:val="00D76A70"/>
    <w:rsid w:val="00D83182"/>
    <w:rsid w:val="00D8521E"/>
    <w:rsid w:val="00D86DA7"/>
    <w:rsid w:val="00D9291C"/>
    <w:rsid w:val="00D93A97"/>
    <w:rsid w:val="00D970E4"/>
    <w:rsid w:val="00DA1C77"/>
    <w:rsid w:val="00DA7A4B"/>
    <w:rsid w:val="00DB1F64"/>
    <w:rsid w:val="00DC2F53"/>
    <w:rsid w:val="00DC5BAC"/>
    <w:rsid w:val="00DC6816"/>
    <w:rsid w:val="00DC76C2"/>
    <w:rsid w:val="00DD1CF2"/>
    <w:rsid w:val="00DE4484"/>
    <w:rsid w:val="00DE5F31"/>
    <w:rsid w:val="00DF41B7"/>
    <w:rsid w:val="00DF4A4A"/>
    <w:rsid w:val="00DF583C"/>
    <w:rsid w:val="00E03C3F"/>
    <w:rsid w:val="00E06FD7"/>
    <w:rsid w:val="00E07417"/>
    <w:rsid w:val="00E24D45"/>
    <w:rsid w:val="00E33DB8"/>
    <w:rsid w:val="00E33EFF"/>
    <w:rsid w:val="00E34387"/>
    <w:rsid w:val="00E348BA"/>
    <w:rsid w:val="00E369FE"/>
    <w:rsid w:val="00E37C6F"/>
    <w:rsid w:val="00E44004"/>
    <w:rsid w:val="00E475F8"/>
    <w:rsid w:val="00E5102E"/>
    <w:rsid w:val="00E5721C"/>
    <w:rsid w:val="00E619C6"/>
    <w:rsid w:val="00E62BA8"/>
    <w:rsid w:val="00E745A1"/>
    <w:rsid w:val="00E81529"/>
    <w:rsid w:val="00E83A13"/>
    <w:rsid w:val="00E85FDD"/>
    <w:rsid w:val="00EB4742"/>
    <w:rsid w:val="00EB6FC5"/>
    <w:rsid w:val="00EC2356"/>
    <w:rsid w:val="00EC2582"/>
    <w:rsid w:val="00EC337C"/>
    <w:rsid w:val="00ED027E"/>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51D5E"/>
    <w:rsid w:val="00F65E44"/>
    <w:rsid w:val="00F70C9E"/>
    <w:rsid w:val="00F74A74"/>
    <w:rsid w:val="00F7572C"/>
    <w:rsid w:val="00F8382C"/>
    <w:rsid w:val="00F855D7"/>
    <w:rsid w:val="00F92035"/>
    <w:rsid w:val="00F92748"/>
    <w:rsid w:val="00FA4169"/>
    <w:rsid w:val="00FB0D41"/>
    <w:rsid w:val="00FB110B"/>
    <w:rsid w:val="00FB2030"/>
    <w:rsid w:val="00FD0E46"/>
    <w:rsid w:val="00FD1CF2"/>
    <w:rsid w:val="00FD3EDF"/>
    <w:rsid w:val="00FD793C"/>
    <w:rsid w:val="00FE0FD5"/>
    <w:rsid w:val="00FE20E6"/>
    <w:rsid w:val="00FE3E3B"/>
    <w:rsid w:val="00FE505F"/>
    <w:rsid w:val="00FF2577"/>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paragraph" w:customStyle="1" w:styleId="VVKT">
    <w:name w:val="VVKT"/>
    <w:basedOn w:val="prastasis"/>
    <w:link w:val="VVKTChar"/>
    <w:qFormat/>
    <w:rsid w:val="00DA7A4B"/>
    <w:pPr>
      <w:spacing w:line="276" w:lineRule="auto"/>
      <w:ind w:firstLine="576"/>
      <w:jc w:val="both"/>
    </w:pPr>
    <w:rPr>
      <w:bCs/>
      <w:iCs/>
      <w:lang w:eastAsia="lt-LT"/>
    </w:rPr>
  </w:style>
  <w:style w:type="character" w:customStyle="1" w:styleId="VVKTChar">
    <w:name w:val="VVKT Char"/>
    <w:basedOn w:val="Numatytasispastraiposriftas"/>
    <w:link w:val="VVKT"/>
    <w:rsid w:val="00DA7A4B"/>
    <w:rPr>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718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9D08F94C2EF64F08A979945C0EB819A5"/>
        <w:category>
          <w:name w:val="General"/>
          <w:gallery w:val="placeholder"/>
        </w:category>
        <w:types>
          <w:type w:val="bbPlcHdr"/>
        </w:types>
        <w:behaviors>
          <w:behavior w:val="content"/>
        </w:behaviors>
        <w:guid w:val="{CEC2A625-8877-4B20-B0B8-DDA7271309AC}"/>
      </w:docPartPr>
      <w:docPartBody>
        <w:p w:rsidR="002760DD" w:rsidRDefault="0000412D" w:rsidP="0000412D">
          <w:pPr>
            <w:pStyle w:val="9D08F94C2EF64F08A979945C0EB819A5"/>
          </w:pPr>
          <w:r>
            <w:rPr>
              <w:rStyle w:val="Vietosrezervavimoenklotekstas"/>
            </w:rPr>
            <w:t>Click here to enter a date.</w:t>
          </w:r>
        </w:p>
      </w:docPartBody>
    </w:docPart>
    <w:docPart>
      <w:docPartPr>
        <w:name w:val="8FFA9639B8DD48EEA1CC140A0BAA4B4D"/>
        <w:category>
          <w:name w:val="General"/>
          <w:gallery w:val="placeholder"/>
        </w:category>
        <w:types>
          <w:type w:val="bbPlcHdr"/>
        </w:types>
        <w:behaviors>
          <w:behavior w:val="content"/>
        </w:behaviors>
        <w:guid w:val="{CF76239F-31E2-4E26-BB1C-6AC49148D953}"/>
      </w:docPartPr>
      <w:docPartBody>
        <w:p w:rsidR="002760DD" w:rsidRDefault="0000412D" w:rsidP="0000412D">
          <w:pPr>
            <w:pStyle w:val="8FFA9639B8DD48EEA1CC140A0BAA4B4D"/>
          </w:pPr>
          <w:r>
            <w:rPr>
              <w:rStyle w:val="Vietosrezervavimoenklotekstas"/>
            </w:rPr>
            <w:t>Click here to enter a date.</w:t>
          </w:r>
        </w:p>
      </w:docPartBody>
    </w:docPart>
    <w:docPart>
      <w:docPartPr>
        <w:name w:val="324CF87CBA3A4C45A5DE32C6C8E63681"/>
        <w:category>
          <w:name w:val="General"/>
          <w:gallery w:val="placeholder"/>
        </w:category>
        <w:types>
          <w:type w:val="bbPlcHdr"/>
        </w:types>
        <w:behaviors>
          <w:behavior w:val="content"/>
        </w:behaviors>
        <w:guid w:val="{46718D51-2BAF-40D9-94E4-9A892ABE817E}"/>
      </w:docPartPr>
      <w:docPartBody>
        <w:p w:rsidR="002760DD" w:rsidRDefault="0000412D" w:rsidP="0000412D">
          <w:pPr>
            <w:pStyle w:val="324CF87CBA3A4C45A5DE32C6C8E63681"/>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0412D"/>
    <w:rsid w:val="0001247F"/>
    <w:rsid w:val="00061157"/>
    <w:rsid w:val="000937FE"/>
    <w:rsid w:val="000A559A"/>
    <w:rsid w:val="000D24D4"/>
    <w:rsid w:val="001C35A9"/>
    <w:rsid w:val="001D7F5B"/>
    <w:rsid w:val="001E1E9A"/>
    <w:rsid w:val="001F47C5"/>
    <w:rsid w:val="00234987"/>
    <w:rsid w:val="00237556"/>
    <w:rsid w:val="002760DD"/>
    <w:rsid w:val="0036265D"/>
    <w:rsid w:val="0038349A"/>
    <w:rsid w:val="0039303B"/>
    <w:rsid w:val="004144A3"/>
    <w:rsid w:val="004160E7"/>
    <w:rsid w:val="004416C6"/>
    <w:rsid w:val="004471E8"/>
    <w:rsid w:val="00470FE5"/>
    <w:rsid w:val="004F5AB2"/>
    <w:rsid w:val="005074B9"/>
    <w:rsid w:val="005E40DD"/>
    <w:rsid w:val="006D19D9"/>
    <w:rsid w:val="007219C1"/>
    <w:rsid w:val="0074261C"/>
    <w:rsid w:val="00745BE5"/>
    <w:rsid w:val="00753462"/>
    <w:rsid w:val="00772325"/>
    <w:rsid w:val="007A2FE0"/>
    <w:rsid w:val="007C6D1D"/>
    <w:rsid w:val="008C5808"/>
    <w:rsid w:val="008D7289"/>
    <w:rsid w:val="008F0318"/>
    <w:rsid w:val="0090074D"/>
    <w:rsid w:val="009A3BA4"/>
    <w:rsid w:val="009B3BF0"/>
    <w:rsid w:val="009D5E5E"/>
    <w:rsid w:val="009F1BB4"/>
    <w:rsid w:val="00AB6ED4"/>
    <w:rsid w:val="00B14210"/>
    <w:rsid w:val="00B23DC0"/>
    <w:rsid w:val="00B96656"/>
    <w:rsid w:val="00BE29C1"/>
    <w:rsid w:val="00C2401D"/>
    <w:rsid w:val="00C53A68"/>
    <w:rsid w:val="00CA5BB4"/>
    <w:rsid w:val="00CB4BD1"/>
    <w:rsid w:val="00CE2DA9"/>
    <w:rsid w:val="00CE44BE"/>
    <w:rsid w:val="00D1068E"/>
    <w:rsid w:val="00D107CD"/>
    <w:rsid w:val="00D4356B"/>
    <w:rsid w:val="00D7162F"/>
    <w:rsid w:val="00E44A86"/>
    <w:rsid w:val="00E522EB"/>
    <w:rsid w:val="00E60827"/>
    <w:rsid w:val="00E73FF6"/>
    <w:rsid w:val="00E9699B"/>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00412D"/>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9D08F94C2EF64F08A979945C0EB819A5">
    <w:name w:val="9D08F94C2EF64F08A979945C0EB819A5"/>
    <w:rsid w:val="0000412D"/>
  </w:style>
  <w:style w:type="paragraph" w:customStyle="1" w:styleId="8FFA9639B8DD48EEA1CC140A0BAA4B4D">
    <w:name w:val="8FFA9639B8DD48EEA1CC140A0BAA4B4D"/>
    <w:rsid w:val="0000412D"/>
  </w:style>
  <w:style w:type="paragraph" w:customStyle="1" w:styleId="324CF87CBA3A4C45A5DE32C6C8E63681">
    <w:name w:val="324CF87CBA3A4C45A5DE32C6C8E63681"/>
    <w:rsid w:val="00004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14896</Words>
  <Characters>8492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23342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2024-06-03T15:23:00Z</dcterms:created>
  <dcterms:modified xsi:type="dcterms:W3CDTF">2024-06-10T19:48:00Z</dcterms:modified>
</cp:coreProperties>
</file>