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43" w:type="dxa"/>
        <w:jc w:val="center"/>
        <w:tblLayout w:type="fixed"/>
        <w:tblLook w:val="04A0" w:firstRow="1" w:lastRow="0" w:firstColumn="1" w:lastColumn="0" w:noHBand="0" w:noVBand="1"/>
      </w:tblPr>
      <w:tblGrid>
        <w:gridCol w:w="5658"/>
        <w:gridCol w:w="285"/>
        <w:gridCol w:w="286"/>
        <w:gridCol w:w="1573"/>
        <w:gridCol w:w="1941"/>
      </w:tblGrid>
      <w:tr w:rsidR="001165F2" w:rsidRPr="00A71C60" w14:paraId="238AA9FB" w14:textId="77777777" w:rsidTr="00BF522D">
        <w:trPr>
          <w:cantSplit/>
          <w:trHeight w:val="297"/>
          <w:jc w:val="center"/>
        </w:trPr>
        <w:tc>
          <w:tcPr>
            <w:tcW w:w="5658" w:type="dxa"/>
            <w:vMerge w:val="restart"/>
          </w:tcPr>
          <w:p w14:paraId="13CFD27C" w14:textId="77777777" w:rsidR="001165F2" w:rsidRPr="00A71C60" w:rsidRDefault="001165F2" w:rsidP="00BF522D">
            <w:pPr>
              <w:tabs>
                <w:tab w:val="left" w:pos="452"/>
              </w:tabs>
            </w:pPr>
            <w:r w:rsidRPr="00A71C60">
              <w:t>Lietuvos Respublikos Sveikatos apsaugos ministerijos</w:t>
            </w:r>
          </w:p>
          <w:p w14:paraId="26CA9359" w14:textId="77777777" w:rsidR="001165F2" w:rsidRPr="00A71C60" w:rsidRDefault="001165F2" w:rsidP="00BF522D">
            <w:r w:rsidRPr="00A71C60">
              <w:t>Vaistinių preparatų ir medicinos pagalbos priemonių kompensavimo komisijai</w:t>
            </w:r>
          </w:p>
          <w:p w14:paraId="44838EEE" w14:textId="77777777" w:rsidR="001165F2" w:rsidRPr="00A71C60" w:rsidRDefault="001165F2" w:rsidP="00BF522D">
            <w:r w:rsidRPr="00A71C60">
              <w:t xml:space="preserve">El. p. </w:t>
            </w:r>
            <w:hyperlink r:id="rId8" w:history="1">
              <w:r w:rsidRPr="00A71C60">
                <w:rPr>
                  <w:rStyle w:val="Hipersaitas"/>
                </w:rPr>
                <w:t>ministerija@sam.lt</w:t>
              </w:r>
            </w:hyperlink>
            <w:r w:rsidRPr="00A71C60">
              <w:t xml:space="preserve"> </w:t>
            </w:r>
          </w:p>
          <w:p w14:paraId="060F12E3" w14:textId="77777777" w:rsidR="001165F2" w:rsidRPr="00A71C60" w:rsidRDefault="001165F2" w:rsidP="00BF522D"/>
          <w:p w14:paraId="7E71FA8C" w14:textId="72B00E56" w:rsidR="001165F2" w:rsidRPr="009F10D6" w:rsidRDefault="00C33728" w:rsidP="00C33728">
            <w:pPr>
              <w:tabs>
                <w:tab w:val="left" w:pos="452"/>
              </w:tabs>
              <w:rPr>
                <w:color w:val="0000FF"/>
                <w:u w:val="single"/>
              </w:rPr>
            </w:pPr>
            <w:r>
              <w:t xml:space="preserve"> </w:t>
            </w:r>
          </w:p>
        </w:tc>
        <w:tc>
          <w:tcPr>
            <w:tcW w:w="285" w:type="dxa"/>
          </w:tcPr>
          <w:p w14:paraId="75A5DA79" w14:textId="77777777" w:rsidR="001165F2" w:rsidRPr="00A71C60" w:rsidRDefault="001165F2" w:rsidP="00BF522D"/>
        </w:tc>
        <w:tc>
          <w:tcPr>
            <w:tcW w:w="286" w:type="dxa"/>
          </w:tcPr>
          <w:p w14:paraId="76BB397B" w14:textId="77777777" w:rsidR="001165F2" w:rsidRPr="00A71C60" w:rsidRDefault="001165F2" w:rsidP="00BF522D">
            <w:pPr>
              <w:jc w:val="right"/>
            </w:pPr>
          </w:p>
        </w:tc>
        <w:tc>
          <w:tcPr>
            <w:tcW w:w="1573" w:type="dxa"/>
          </w:tcPr>
          <w:p w14:paraId="079928AF" w14:textId="77777777" w:rsidR="001165F2" w:rsidRPr="00A71C60" w:rsidRDefault="001165F2" w:rsidP="00BF522D">
            <w:pPr>
              <w:jc w:val="right"/>
            </w:pPr>
          </w:p>
        </w:tc>
        <w:tc>
          <w:tcPr>
            <w:tcW w:w="1941" w:type="dxa"/>
            <w:hideMark/>
          </w:tcPr>
          <w:p w14:paraId="19BA84F0" w14:textId="77777777" w:rsidR="001165F2" w:rsidRPr="00A71C60" w:rsidRDefault="001165F2" w:rsidP="00BF522D"/>
        </w:tc>
      </w:tr>
      <w:tr w:rsidR="001165F2" w:rsidRPr="00A71C60" w14:paraId="44D5FE3F" w14:textId="77777777" w:rsidTr="00BF522D">
        <w:trPr>
          <w:cantSplit/>
          <w:trHeight w:val="876"/>
          <w:jc w:val="center"/>
        </w:trPr>
        <w:tc>
          <w:tcPr>
            <w:tcW w:w="5658" w:type="dxa"/>
            <w:vMerge/>
            <w:vAlign w:val="center"/>
            <w:hideMark/>
          </w:tcPr>
          <w:p w14:paraId="19A7BDE7" w14:textId="77777777" w:rsidR="001165F2" w:rsidRPr="00A71C60" w:rsidRDefault="001165F2" w:rsidP="00BF522D"/>
        </w:tc>
        <w:tc>
          <w:tcPr>
            <w:tcW w:w="285" w:type="dxa"/>
            <w:vAlign w:val="center"/>
          </w:tcPr>
          <w:p w14:paraId="532D17D7" w14:textId="77777777" w:rsidR="001165F2" w:rsidRPr="00A71C60" w:rsidRDefault="001165F2" w:rsidP="00BF522D"/>
        </w:tc>
        <w:tc>
          <w:tcPr>
            <w:tcW w:w="286" w:type="dxa"/>
            <w:vAlign w:val="center"/>
            <w:hideMark/>
          </w:tcPr>
          <w:p w14:paraId="03F8738B" w14:textId="77777777" w:rsidR="001165F2" w:rsidRPr="00A71C60" w:rsidRDefault="001165F2" w:rsidP="00BF522D">
            <w:pPr>
              <w:jc w:val="center"/>
            </w:pPr>
          </w:p>
        </w:tc>
        <w:tc>
          <w:tcPr>
            <w:tcW w:w="1573" w:type="dxa"/>
            <w:vAlign w:val="center"/>
          </w:tcPr>
          <w:p w14:paraId="6D754634" w14:textId="39010701" w:rsidR="001165F2" w:rsidRPr="00A71C60" w:rsidRDefault="002A0F96" w:rsidP="00BF522D">
            <w:r>
              <w:t>2024-05-03</w:t>
            </w:r>
          </w:p>
        </w:tc>
        <w:tc>
          <w:tcPr>
            <w:tcW w:w="1941" w:type="dxa"/>
            <w:vAlign w:val="center"/>
            <w:hideMark/>
          </w:tcPr>
          <w:p w14:paraId="47132743" w14:textId="77777777" w:rsidR="001165F2" w:rsidRPr="00A71C60" w:rsidRDefault="001165F2" w:rsidP="00BF522D">
            <w:r w:rsidRPr="00A71C60">
              <w:t xml:space="preserve">Nr. </w:t>
            </w:r>
          </w:p>
        </w:tc>
      </w:tr>
      <w:tr w:rsidR="001165F2" w:rsidRPr="00A71C60" w14:paraId="33A440D5" w14:textId="77777777" w:rsidTr="00BF522D">
        <w:trPr>
          <w:cantSplit/>
          <w:trHeight w:val="1538"/>
          <w:jc w:val="center"/>
        </w:trPr>
        <w:tc>
          <w:tcPr>
            <w:tcW w:w="5658" w:type="dxa"/>
            <w:vMerge/>
            <w:vAlign w:val="center"/>
          </w:tcPr>
          <w:p w14:paraId="6087869C" w14:textId="77777777" w:rsidR="001165F2" w:rsidRPr="00A71C60" w:rsidRDefault="001165F2" w:rsidP="00BF522D"/>
        </w:tc>
        <w:tc>
          <w:tcPr>
            <w:tcW w:w="285" w:type="dxa"/>
            <w:vAlign w:val="center"/>
          </w:tcPr>
          <w:p w14:paraId="4A43F2B3" w14:textId="77777777" w:rsidR="001165F2" w:rsidRPr="00A71C60" w:rsidRDefault="001165F2" w:rsidP="00BF522D"/>
        </w:tc>
        <w:tc>
          <w:tcPr>
            <w:tcW w:w="286" w:type="dxa"/>
            <w:vAlign w:val="center"/>
          </w:tcPr>
          <w:p w14:paraId="2BC2A9AD" w14:textId="77777777" w:rsidR="001165F2" w:rsidRPr="00A71C60" w:rsidRDefault="001165F2" w:rsidP="00BF522D">
            <w:pPr>
              <w:jc w:val="right"/>
            </w:pPr>
            <w:r w:rsidRPr="00A71C60">
              <w:t>Į</w:t>
            </w:r>
          </w:p>
        </w:tc>
        <w:tc>
          <w:tcPr>
            <w:tcW w:w="1573" w:type="dxa"/>
            <w:vAlign w:val="center"/>
          </w:tcPr>
          <w:p w14:paraId="65F413DC" w14:textId="77777777" w:rsidR="001165F2" w:rsidRPr="00A71C60" w:rsidRDefault="001165F2" w:rsidP="00BF522D">
            <w:r w:rsidRPr="00A71C60">
              <w:t xml:space="preserve"> </w:t>
            </w:r>
          </w:p>
        </w:tc>
        <w:tc>
          <w:tcPr>
            <w:tcW w:w="1941" w:type="dxa"/>
            <w:vAlign w:val="center"/>
          </w:tcPr>
          <w:p w14:paraId="5FAAB9BC" w14:textId="77777777" w:rsidR="001165F2" w:rsidRPr="00A41A34" w:rsidRDefault="001165F2" w:rsidP="00BF522D">
            <w:pPr>
              <w:rPr>
                <w:highlight w:val="yellow"/>
              </w:rPr>
            </w:pPr>
          </w:p>
        </w:tc>
      </w:tr>
    </w:tbl>
    <w:p w14:paraId="3F57F58F" w14:textId="77777777" w:rsidR="001165F2" w:rsidRPr="00A71C60" w:rsidRDefault="001165F2" w:rsidP="001165F2">
      <w:pPr>
        <w:jc w:val="both"/>
        <w:rPr>
          <w:b/>
        </w:rPr>
      </w:pPr>
    </w:p>
    <w:p w14:paraId="2C74420C" w14:textId="77777777" w:rsidR="001165F2" w:rsidRPr="00A71C60" w:rsidRDefault="001165F2" w:rsidP="001165F2">
      <w:pPr>
        <w:jc w:val="both"/>
        <w:rPr>
          <w:b/>
        </w:rPr>
      </w:pPr>
      <w:r w:rsidRPr="00A71C60">
        <w:rPr>
          <w:b/>
        </w:rPr>
        <w:t>DĖL REKOMENDACIJOS LIETUVOS RESPUBLIKOS SVEIKATOS APSAUGOS MINISTERIJOS VAISTINIŲ PREPARATŲ IR MEDICINOS PAGALBOS PRIEMONIŲ KOMPENSAVIMO KOMISIJAI PATEIKIMO</w:t>
      </w:r>
    </w:p>
    <w:p w14:paraId="03168AB3" w14:textId="77777777" w:rsidR="001165F2" w:rsidRDefault="001165F2" w:rsidP="001165F2">
      <w:pPr>
        <w:pStyle w:val="Paprastasistekstas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2D39B52" w14:textId="642FAFE5" w:rsidR="001165F2" w:rsidRPr="004A35F7" w:rsidRDefault="001165F2" w:rsidP="004A35F7">
      <w:pPr>
        <w:autoSpaceDE w:val="0"/>
        <w:autoSpaceDN w:val="0"/>
        <w:adjustRightInd w:val="0"/>
        <w:ind w:firstLine="851"/>
        <w:jc w:val="both"/>
        <w:rPr>
          <w:shd w:val="clear" w:color="auto" w:fill="FFFFFF"/>
          <w:lang w:eastAsia="lt-LT"/>
        </w:rPr>
      </w:pPr>
      <w:r w:rsidRPr="004A35F7">
        <w:rPr>
          <w:shd w:val="clear" w:color="auto" w:fill="FFFFFF"/>
          <w:lang w:eastAsia="lt-LT"/>
        </w:rPr>
        <w:t>Valstybinė vaistų kontrolės tarnyba prie Sveikatos apsaugos ministerijos (toliau – Tarnyba) atliko UAB „</w:t>
      </w:r>
      <w:proofErr w:type="spellStart"/>
      <w:r w:rsidR="004A35F7" w:rsidRPr="004A35F7">
        <w:rPr>
          <w:shd w:val="clear" w:color="auto" w:fill="FFFFFF"/>
          <w:lang w:eastAsia="lt-LT"/>
        </w:rPr>
        <w:t>Valdmedika</w:t>
      </w:r>
      <w:proofErr w:type="spellEnd"/>
      <w:r w:rsidRPr="004A35F7">
        <w:rPr>
          <w:shd w:val="clear" w:color="auto" w:fill="FFFFFF"/>
          <w:lang w:eastAsia="lt-LT"/>
        </w:rPr>
        <w:t>“ (toliau – Pareiškėjas) paraiškos, įrašyti medicinos pagalbos priemonę (toliau – MPP),</w:t>
      </w:r>
      <w:r w:rsidR="004A35F7" w:rsidRPr="004A35F7">
        <w:rPr>
          <w:shd w:val="clear" w:color="auto" w:fill="FFFFFF"/>
          <w:lang w:eastAsia="lt-LT"/>
        </w:rPr>
        <w:t xml:space="preserve"> </w:t>
      </w:r>
      <w:r w:rsidR="004A35F7" w:rsidRPr="009A7B90">
        <w:rPr>
          <w:shd w:val="clear" w:color="auto" w:fill="FFFFFF"/>
          <w:lang w:eastAsia="lt-LT"/>
        </w:rPr>
        <w:t xml:space="preserve">žemo profilio sagutės tipo </w:t>
      </w:r>
      <w:proofErr w:type="spellStart"/>
      <w:r w:rsidR="004A35F7" w:rsidRPr="009A7B90">
        <w:rPr>
          <w:shd w:val="clear" w:color="auto" w:fill="FFFFFF"/>
          <w:lang w:eastAsia="lt-LT"/>
        </w:rPr>
        <w:t>gastrostomini</w:t>
      </w:r>
      <w:r w:rsidR="00940052" w:rsidRPr="009A7B90">
        <w:rPr>
          <w:shd w:val="clear" w:color="auto" w:fill="FFFFFF"/>
          <w:lang w:eastAsia="lt-LT"/>
        </w:rPr>
        <w:t>us</w:t>
      </w:r>
      <w:proofErr w:type="spellEnd"/>
      <w:r w:rsidR="004A35F7" w:rsidRPr="009A7B90">
        <w:rPr>
          <w:shd w:val="clear" w:color="auto" w:fill="FFFFFF"/>
          <w:lang w:eastAsia="lt-LT"/>
        </w:rPr>
        <w:t xml:space="preserve"> vamzdelius </w:t>
      </w:r>
      <w:r w:rsidR="004A35F7" w:rsidRPr="004A35F7">
        <w:rPr>
          <w:i/>
          <w:shd w:val="clear" w:color="auto" w:fill="FFFFFF"/>
          <w:lang w:eastAsia="lt-LT"/>
        </w:rPr>
        <w:t>MIC-KEY</w:t>
      </w:r>
      <w:r w:rsidRPr="004A35F7">
        <w:rPr>
          <w:shd w:val="clear" w:color="auto" w:fill="FFFFFF"/>
          <w:lang w:eastAsia="lt-LT"/>
        </w:rPr>
        <w:t xml:space="preserve">, į kompensuojamųjų medicinos pagalbos priemonių sąrašą (C sąrašą), </w:t>
      </w:r>
      <w:r w:rsidR="004A35F7" w:rsidRPr="004A35F7">
        <w:rPr>
          <w:shd w:val="clear" w:color="auto" w:fill="FFFFFF"/>
          <w:lang w:eastAsia="lt-LT"/>
        </w:rPr>
        <w:t xml:space="preserve">skirtą pacientams, kuriems reikalingas </w:t>
      </w:r>
      <w:proofErr w:type="spellStart"/>
      <w:r w:rsidR="004A35F7" w:rsidRPr="004A35F7">
        <w:rPr>
          <w:shd w:val="clear" w:color="auto" w:fill="FFFFFF"/>
          <w:lang w:eastAsia="lt-LT"/>
        </w:rPr>
        <w:t>gastrostomos</w:t>
      </w:r>
      <w:proofErr w:type="spellEnd"/>
      <w:r w:rsidR="004A35F7" w:rsidRPr="004A35F7">
        <w:rPr>
          <w:shd w:val="clear" w:color="auto" w:fill="FFFFFF"/>
          <w:lang w:eastAsia="lt-LT"/>
        </w:rPr>
        <w:t xml:space="preserve"> suformavimas ir </w:t>
      </w:r>
      <w:proofErr w:type="spellStart"/>
      <w:r w:rsidR="004A35F7">
        <w:rPr>
          <w:shd w:val="clear" w:color="auto" w:fill="FFFFFF"/>
          <w:lang w:eastAsia="lt-LT"/>
        </w:rPr>
        <w:t>gastrostomos</w:t>
      </w:r>
      <w:proofErr w:type="spellEnd"/>
      <w:r w:rsidR="004A35F7">
        <w:rPr>
          <w:shd w:val="clear" w:color="auto" w:fill="FFFFFF"/>
          <w:lang w:eastAsia="lt-LT"/>
        </w:rPr>
        <w:t xml:space="preserve"> priežiūra</w:t>
      </w:r>
      <w:r w:rsidR="004A35F7" w:rsidRPr="004A35F7">
        <w:rPr>
          <w:shd w:val="clear" w:color="auto" w:fill="FFFFFF"/>
          <w:lang w:eastAsia="lt-LT"/>
        </w:rPr>
        <w:t xml:space="preserve"> (TLK-10-AM koda</w:t>
      </w:r>
      <w:r w:rsidR="004A35F7">
        <w:rPr>
          <w:shd w:val="clear" w:color="auto" w:fill="FFFFFF"/>
          <w:lang w:eastAsia="lt-LT"/>
        </w:rPr>
        <w:t>i</w:t>
      </w:r>
      <w:r w:rsidR="004A35F7" w:rsidRPr="004A35F7">
        <w:rPr>
          <w:shd w:val="clear" w:color="auto" w:fill="FFFFFF"/>
          <w:lang w:eastAsia="lt-LT"/>
        </w:rPr>
        <w:t xml:space="preserve"> </w:t>
      </w:r>
      <w:r w:rsidR="004A35F7">
        <w:rPr>
          <w:shd w:val="clear" w:color="auto" w:fill="FFFFFF"/>
          <w:lang w:eastAsia="lt-LT"/>
        </w:rPr>
        <w:t>Z93.1, Z43.1</w:t>
      </w:r>
      <w:r w:rsidR="004A35F7" w:rsidRPr="004A35F7">
        <w:rPr>
          <w:shd w:val="clear" w:color="auto" w:fill="FFFFFF"/>
          <w:lang w:eastAsia="lt-LT"/>
        </w:rPr>
        <w:t>).</w:t>
      </w:r>
    </w:p>
    <w:p w14:paraId="5AFA454C" w14:textId="17D7FFC2" w:rsidR="001165F2" w:rsidRDefault="001165F2" w:rsidP="001165F2">
      <w:pPr>
        <w:pStyle w:val="prastasiniatinklio"/>
        <w:spacing w:before="0" w:beforeAutospacing="0" w:after="0" w:afterAutospacing="0"/>
        <w:ind w:firstLine="851"/>
        <w:jc w:val="both"/>
      </w:pPr>
      <w:r>
        <w:t>Vadovaujantis Lietuvos Respublikos sveikatos apsaugos ministro 2002 m. balandžio 5 d. įsakymo Nr. 159</w:t>
      </w:r>
      <w:r w:rsidRPr="00575C16">
        <w:t xml:space="preserve"> „</w:t>
      </w:r>
      <w:r w:rsidRPr="00575C16">
        <w:rPr>
          <w:shd w:val="clear" w:color="auto" w:fill="FFFFFF"/>
        </w:rPr>
        <w:t>Dėl vaistinių preparatų ir medicinos pagalbos priemonių įrašymo į kompensavimo sąrašus ir jų keitimo tvarkos aprašo patvirtinimo“</w:t>
      </w:r>
      <w:r>
        <w:t xml:space="preserve"> (toliau – </w:t>
      </w:r>
      <w:r w:rsidR="00B269D4">
        <w:t>Aprašas</w:t>
      </w:r>
      <w:r>
        <w:t>)</w:t>
      </w:r>
      <w:r w:rsidRPr="00575C16">
        <w:t xml:space="preserve"> </w:t>
      </w:r>
      <w:r w:rsidRPr="007112BA">
        <w:t>45</w:t>
      </w:r>
      <w:r w:rsidRPr="003559A8">
        <w:rPr>
          <w:vertAlign w:val="superscript"/>
        </w:rPr>
        <w:t xml:space="preserve"> </w:t>
      </w:r>
      <w:r w:rsidRPr="003559A8">
        <w:t>punkt</w:t>
      </w:r>
      <w:r>
        <w:t>u, t</w:t>
      </w:r>
      <w:r w:rsidRPr="00A71C60">
        <w:t>eikiame Lietuvos Respublikos sveikatos apsaugos ministerijos Vaistinių preparatų ir medicinos pagalbos priemonių kompensavimo komisijai</w:t>
      </w:r>
      <w:r>
        <w:t xml:space="preserve"> ir Pareiškėjui</w:t>
      </w:r>
      <w:r w:rsidRPr="00A71C60">
        <w:t xml:space="preserve"> išvadas ir </w:t>
      </w:r>
      <w:r>
        <w:t>rekomendaciją.</w:t>
      </w:r>
    </w:p>
    <w:p w14:paraId="7658A267" w14:textId="3A3F004C" w:rsidR="004A35F7" w:rsidRDefault="001165F2" w:rsidP="009A7B90">
      <w:pPr>
        <w:pStyle w:val="prastasiniatinklio"/>
        <w:spacing w:before="0" w:beforeAutospacing="0" w:after="0" w:afterAutospacing="0"/>
        <w:ind w:firstLine="851"/>
        <w:jc w:val="both"/>
        <w:rPr>
          <w:i/>
          <w:iCs/>
        </w:rPr>
      </w:pPr>
      <w:r>
        <w:t xml:space="preserve">Pagal VLK  </w:t>
      </w:r>
      <w:r w:rsidR="004A35F7">
        <w:t>pateiktą informaciją</w:t>
      </w:r>
      <w:r w:rsidR="004A35F7" w:rsidRPr="004A35F7">
        <w:t>,</w:t>
      </w:r>
      <w:r w:rsidR="004A35F7">
        <w:t xml:space="preserve"> </w:t>
      </w:r>
      <w:r w:rsidR="004A35F7" w:rsidRPr="004A35F7">
        <w:rPr>
          <w:iCs/>
        </w:rPr>
        <w:t xml:space="preserve">pareiškėjas nurodo, kad žemo profilio </w:t>
      </w:r>
      <w:proofErr w:type="spellStart"/>
      <w:r w:rsidR="004A35F7" w:rsidRPr="004A35F7">
        <w:rPr>
          <w:iCs/>
        </w:rPr>
        <w:t>gastrostominiai</w:t>
      </w:r>
      <w:proofErr w:type="spellEnd"/>
      <w:r w:rsidR="004A35F7" w:rsidRPr="004A35F7">
        <w:rPr>
          <w:iCs/>
        </w:rPr>
        <w:t xml:space="preserve"> maitinimo vamzdeliai (sagutės tipo, </w:t>
      </w:r>
      <w:r w:rsidR="004A35F7" w:rsidRPr="009A7B90">
        <w:rPr>
          <w:i/>
          <w:iCs/>
        </w:rPr>
        <w:t>MIC-KEY</w:t>
      </w:r>
      <w:r w:rsidR="004A35F7" w:rsidRPr="004A35F7">
        <w:rPr>
          <w:iCs/>
        </w:rPr>
        <w:t>) galėtų būti skiriami apie 95 proc. vaikų ir apie 50 proc. suaugusių</w:t>
      </w:r>
      <w:r w:rsidR="004A35F7">
        <w:rPr>
          <w:iCs/>
        </w:rPr>
        <w:t xml:space="preserve"> pacientų</w:t>
      </w:r>
      <w:r w:rsidR="004A35F7" w:rsidRPr="004A35F7">
        <w:rPr>
          <w:iCs/>
        </w:rPr>
        <w:t>. Informacinės sistemos „Sveidra“ duomenimis</w:t>
      </w:r>
      <w:r w:rsidR="00B269D4">
        <w:rPr>
          <w:iCs/>
        </w:rPr>
        <w:t xml:space="preserve"> </w:t>
      </w:r>
      <w:r w:rsidR="00B269D4" w:rsidRPr="004A35F7">
        <w:rPr>
          <w:iCs/>
        </w:rPr>
        <w:t>2022 m.</w:t>
      </w:r>
      <w:r w:rsidR="004A35F7" w:rsidRPr="004A35F7">
        <w:rPr>
          <w:iCs/>
        </w:rPr>
        <w:t xml:space="preserve"> 549 pacientams buvo suformuotos </w:t>
      </w:r>
      <w:proofErr w:type="spellStart"/>
      <w:r w:rsidR="004A35F7" w:rsidRPr="004A35F7">
        <w:rPr>
          <w:iCs/>
        </w:rPr>
        <w:t>gastrostomos</w:t>
      </w:r>
      <w:proofErr w:type="spellEnd"/>
      <w:r w:rsidR="004A35F7" w:rsidRPr="004A35F7">
        <w:rPr>
          <w:iCs/>
        </w:rPr>
        <w:t xml:space="preserve"> ir teiktos jų priežiūros paslaugos (</w:t>
      </w:r>
      <w:r w:rsidR="00B269D4">
        <w:rPr>
          <w:iCs/>
        </w:rPr>
        <w:t xml:space="preserve">pagal </w:t>
      </w:r>
      <w:r w:rsidR="004A35F7" w:rsidRPr="004A35F7">
        <w:rPr>
          <w:iCs/>
        </w:rPr>
        <w:t xml:space="preserve">TLK-10-AM </w:t>
      </w:r>
      <w:proofErr w:type="spellStart"/>
      <w:r w:rsidR="004A35F7" w:rsidRPr="004A35F7">
        <w:rPr>
          <w:iCs/>
        </w:rPr>
        <w:t>koda</w:t>
      </w:r>
      <w:r w:rsidR="00B269D4">
        <w:rPr>
          <w:iCs/>
        </w:rPr>
        <w:t>us</w:t>
      </w:r>
      <w:proofErr w:type="spellEnd"/>
      <w:r w:rsidR="004A35F7" w:rsidRPr="004A35F7">
        <w:rPr>
          <w:iCs/>
        </w:rPr>
        <w:t xml:space="preserve"> Z93.1 ir Z43.1), o 2023 m. </w:t>
      </w:r>
      <w:r w:rsidR="00B269D4">
        <w:rPr>
          <w:iCs/>
        </w:rPr>
        <w:t>tokių pacientų kiekis padidėjo iki</w:t>
      </w:r>
      <w:r w:rsidR="004A35F7" w:rsidRPr="004A35F7">
        <w:rPr>
          <w:iCs/>
        </w:rPr>
        <w:t xml:space="preserve"> 579. Prognozuojama, kad </w:t>
      </w:r>
      <w:r w:rsidR="00B269D4">
        <w:rPr>
          <w:iCs/>
        </w:rPr>
        <w:t>tokių</w:t>
      </w:r>
      <w:r w:rsidR="00B269D4" w:rsidRPr="004A35F7">
        <w:rPr>
          <w:iCs/>
        </w:rPr>
        <w:t xml:space="preserve"> </w:t>
      </w:r>
      <w:r w:rsidR="004A35F7" w:rsidRPr="004A35F7">
        <w:rPr>
          <w:iCs/>
        </w:rPr>
        <w:t xml:space="preserve">pacientų skaičius augs apie 5 proc. kasmet ir apie 70 proc. jų galėtų būti skiriami žemo profilio </w:t>
      </w:r>
      <w:proofErr w:type="spellStart"/>
      <w:r w:rsidR="004A35F7" w:rsidRPr="004A35F7">
        <w:rPr>
          <w:iCs/>
        </w:rPr>
        <w:t>gastrostominiai</w:t>
      </w:r>
      <w:proofErr w:type="spellEnd"/>
      <w:r w:rsidR="004A35F7" w:rsidRPr="004A35F7">
        <w:rPr>
          <w:iCs/>
        </w:rPr>
        <w:t xml:space="preserve"> maitinimo vamzdeliai (sagutės tipo, </w:t>
      </w:r>
      <w:r w:rsidR="004A35F7" w:rsidRPr="009A7B90">
        <w:rPr>
          <w:i/>
          <w:iCs/>
        </w:rPr>
        <w:t>MIC-KEY</w:t>
      </w:r>
      <w:r w:rsidR="004A35F7" w:rsidRPr="004A35F7">
        <w:rPr>
          <w:iCs/>
        </w:rPr>
        <w:t>).</w:t>
      </w:r>
    </w:p>
    <w:p w14:paraId="4069B281" w14:textId="22D842AF" w:rsidR="001165F2" w:rsidRPr="00EE2448" w:rsidRDefault="001165F2" w:rsidP="009A7B90">
      <w:pPr>
        <w:pStyle w:val="prastasiniatinklio"/>
        <w:spacing w:before="0" w:beforeAutospacing="0" w:after="0" w:afterAutospacing="0"/>
        <w:ind w:firstLine="851"/>
        <w:jc w:val="both"/>
      </w:pPr>
      <w:r w:rsidRPr="00123467">
        <w:t xml:space="preserve">Atsižvelgiant į šią informaciją, apskaičiuotos prognozuojamos Fondo biudžeto išlaidos, skiriant </w:t>
      </w:r>
      <w:r w:rsidR="00123467" w:rsidRPr="009A7B90">
        <w:rPr>
          <w:shd w:val="clear" w:color="auto" w:fill="FFFFFF"/>
        </w:rPr>
        <w:t xml:space="preserve">žemo profilio sagutės tipo </w:t>
      </w:r>
      <w:proofErr w:type="spellStart"/>
      <w:r w:rsidR="00123467" w:rsidRPr="009A7B90">
        <w:rPr>
          <w:shd w:val="clear" w:color="auto" w:fill="FFFFFF"/>
        </w:rPr>
        <w:t>gastrostominius</w:t>
      </w:r>
      <w:proofErr w:type="spellEnd"/>
      <w:r w:rsidR="00123467" w:rsidRPr="009A7B90">
        <w:rPr>
          <w:shd w:val="clear" w:color="auto" w:fill="FFFFFF"/>
        </w:rPr>
        <w:t xml:space="preserve"> vamzdelius </w:t>
      </w:r>
      <w:r w:rsidR="00123467" w:rsidRPr="004A35F7">
        <w:rPr>
          <w:i/>
          <w:shd w:val="clear" w:color="auto" w:fill="FFFFFF"/>
        </w:rPr>
        <w:t>MIC-KEY</w:t>
      </w:r>
      <w:r w:rsidR="00123467" w:rsidRPr="00123467">
        <w:rPr>
          <w:iCs/>
        </w:rPr>
        <w:t xml:space="preserve"> </w:t>
      </w:r>
      <w:r w:rsidRPr="00123467">
        <w:rPr>
          <w:iCs/>
        </w:rPr>
        <w:t xml:space="preserve">būtų </w:t>
      </w:r>
      <w:r w:rsidR="00135214">
        <w:rPr>
          <w:iCs/>
        </w:rPr>
        <w:t>***</w:t>
      </w:r>
      <w:r w:rsidRPr="00123467">
        <w:rPr>
          <w:iCs/>
        </w:rPr>
        <w:t xml:space="preserve"> </w:t>
      </w:r>
      <w:r w:rsidRPr="00123467">
        <w:t xml:space="preserve">€ pirmaisiais gydymo metais ir </w:t>
      </w:r>
      <w:r w:rsidR="00135214">
        <w:t>***</w:t>
      </w:r>
      <w:r w:rsidRPr="00123467">
        <w:t xml:space="preserve"> € penktaisiais gydymo metais.</w:t>
      </w:r>
    </w:p>
    <w:p w14:paraId="270A77F1" w14:textId="77777777" w:rsidR="001165F2" w:rsidRPr="00A36453" w:rsidRDefault="001165F2" w:rsidP="001165F2">
      <w:pPr>
        <w:pStyle w:val="prastasiniatinklio"/>
        <w:spacing w:before="0" w:beforeAutospacing="0" w:after="0" w:afterAutospacing="0"/>
        <w:ind w:firstLine="1296"/>
        <w:jc w:val="both"/>
      </w:pPr>
    </w:p>
    <w:p w14:paraId="6976026D" w14:textId="77777777" w:rsidR="002E6E5A" w:rsidRDefault="001165F2" w:rsidP="001165F2">
      <w:pPr>
        <w:pStyle w:val="prastasiniatinklio"/>
        <w:spacing w:before="0" w:beforeAutospacing="0" w:after="0" w:afterAutospacing="0"/>
        <w:rPr>
          <w:b/>
          <w:bCs/>
        </w:rPr>
      </w:pPr>
      <w:r w:rsidRPr="00A36453">
        <w:rPr>
          <w:b/>
          <w:bCs/>
        </w:rPr>
        <w:t>1 lentelė. Prognozuojamos Fondo biudžeto išlaidos</w:t>
      </w:r>
    </w:p>
    <w:p w14:paraId="57A828CC" w14:textId="1DFB3D60" w:rsidR="001165F2" w:rsidRDefault="001165F2" w:rsidP="001165F2">
      <w:pPr>
        <w:pStyle w:val="prastasiniatinklio"/>
        <w:spacing w:before="0" w:beforeAutospacing="0" w:after="0" w:afterAutospacing="0"/>
        <w:rPr>
          <w:b/>
          <w:bCs/>
        </w:rPr>
      </w:pPr>
    </w:p>
    <w:tbl>
      <w:tblPr>
        <w:tblStyle w:val="Lentelstinklelis"/>
        <w:tblW w:w="9522" w:type="dxa"/>
        <w:tblLook w:val="04A0" w:firstRow="1" w:lastRow="0" w:firstColumn="1" w:lastColumn="0" w:noHBand="0" w:noVBand="1"/>
      </w:tblPr>
      <w:tblGrid>
        <w:gridCol w:w="1938"/>
        <w:gridCol w:w="1938"/>
        <w:gridCol w:w="1839"/>
        <w:gridCol w:w="1839"/>
        <w:gridCol w:w="1968"/>
      </w:tblGrid>
      <w:tr w:rsidR="001165F2" w14:paraId="3F7EFF63" w14:textId="77777777" w:rsidTr="00BF522D">
        <w:trPr>
          <w:trHeight w:val="134"/>
        </w:trPr>
        <w:tc>
          <w:tcPr>
            <w:tcW w:w="9522" w:type="dxa"/>
            <w:gridSpan w:val="5"/>
            <w:vAlign w:val="center"/>
            <w:hideMark/>
          </w:tcPr>
          <w:p w14:paraId="6932088D" w14:textId="77777777" w:rsidR="001165F2" w:rsidRDefault="001165F2" w:rsidP="00BF522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Prognozuojamos PSDF biudžeto išlaidos (Eur) pirmaisiais-penktaisiais kompensavimo metais</w:t>
            </w:r>
          </w:p>
        </w:tc>
      </w:tr>
      <w:tr w:rsidR="001165F2" w14:paraId="4837A2D8" w14:textId="77777777" w:rsidTr="0059583E">
        <w:trPr>
          <w:trHeight w:val="66"/>
        </w:trPr>
        <w:tc>
          <w:tcPr>
            <w:tcW w:w="1938" w:type="dxa"/>
            <w:vAlign w:val="center"/>
            <w:hideMark/>
          </w:tcPr>
          <w:p w14:paraId="06183D9A" w14:textId="77777777" w:rsidR="001165F2" w:rsidRDefault="001165F2" w:rsidP="00BF522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Pirmieji metai</w:t>
            </w:r>
          </w:p>
        </w:tc>
        <w:tc>
          <w:tcPr>
            <w:tcW w:w="1938" w:type="dxa"/>
            <w:vAlign w:val="center"/>
            <w:hideMark/>
          </w:tcPr>
          <w:p w14:paraId="6AFFFF1B" w14:textId="77777777" w:rsidR="001165F2" w:rsidRDefault="001165F2" w:rsidP="00BF522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Antrieji metai</w:t>
            </w:r>
          </w:p>
        </w:tc>
        <w:tc>
          <w:tcPr>
            <w:tcW w:w="1839" w:type="dxa"/>
            <w:vAlign w:val="center"/>
            <w:hideMark/>
          </w:tcPr>
          <w:p w14:paraId="79EA978E" w14:textId="77777777" w:rsidR="001165F2" w:rsidRDefault="001165F2" w:rsidP="00BF522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Tretieji metai</w:t>
            </w:r>
          </w:p>
        </w:tc>
        <w:tc>
          <w:tcPr>
            <w:tcW w:w="1839" w:type="dxa"/>
            <w:vAlign w:val="center"/>
            <w:hideMark/>
          </w:tcPr>
          <w:p w14:paraId="37C52064" w14:textId="77777777" w:rsidR="001165F2" w:rsidRDefault="001165F2" w:rsidP="00BF522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Ketvirtieji metai</w:t>
            </w:r>
          </w:p>
        </w:tc>
        <w:tc>
          <w:tcPr>
            <w:tcW w:w="1968" w:type="dxa"/>
            <w:vAlign w:val="center"/>
            <w:hideMark/>
          </w:tcPr>
          <w:p w14:paraId="20787545" w14:textId="77777777" w:rsidR="001165F2" w:rsidRDefault="001165F2" w:rsidP="00BF52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Penktieji metai</w:t>
            </w:r>
          </w:p>
        </w:tc>
      </w:tr>
      <w:tr w:rsidR="0059583E" w14:paraId="240D08DC" w14:textId="77777777" w:rsidTr="0059583E">
        <w:trPr>
          <w:trHeight w:val="276"/>
        </w:trPr>
        <w:tc>
          <w:tcPr>
            <w:tcW w:w="1938" w:type="dxa"/>
            <w:vMerge w:val="restart"/>
            <w:noWrap/>
            <w:vAlign w:val="center"/>
            <w:hideMark/>
          </w:tcPr>
          <w:p w14:paraId="196F1CF3" w14:textId="3AF481AD" w:rsidR="0059583E" w:rsidRDefault="00135214" w:rsidP="0059583E">
            <w:pPr>
              <w:jc w:val="center"/>
              <w:rPr>
                <w:color w:val="000000"/>
              </w:rPr>
            </w:pPr>
            <w:r>
              <w:t>***</w:t>
            </w:r>
          </w:p>
        </w:tc>
        <w:tc>
          <w:tcPr>
            <w:tcW w:w="1938" w:type="dxa"/>
            <w:vMerge w:val="restart"/>
            <w:noWrap/>
            <w:vAlign w:val="center"/>
            <w:hideMark/>
          </w:tcPr>
          <w:p w14:paraId="56B66001" w14:textId="3B5EB54D" w:rsidR="0059583E" w:rsidRDefault="00135214" w:rsidP="005958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***</w:t>
            </w:r>
          </w:p>
        </w:tc>
        <w:tc>
          <w:tcPr>
            <w:tcW w:w="1839" w:type="dxa"/>
            <w:vMerge w:val="restart"/>
            <w:noWrap/>
            <w:vAlign w:val="center"/>
            <w:hideMark/>
          </w:tcPr>
          <w:p w14:paraId="2D8DFC60" w14:textId="0793823A" w:rsidR="0059583E" w:rsidRDefault="00135214" w:rsidP="005958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***</w:t>
            </w:r>
          </w:p>
        </w:tc>
        <w:tc>
          <w:tcPr>
            <w:tcW w:w="1839" w:type="dxa"/>
            <w:vMerge w:val="restart"/>
            <w:noWrap/>
            <w:vAlign w:val="center"/>
            <w:hideMark/>
          </w:tcPr>
          <w:p w14:paraId="3B17CBF0" w14:textId="4D59EB90" w:rsidR="0059583E" w:rsidRDefault="00135214" w:rsidP="005958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***</w:t>
            </w:r>
          </w:p>
        </w:tc>
        <w:tc>
          <w:tcPr>
            <w:tcW w:w="1968" w:type="dxa"/>
            <w:vMerge w:val="restart"/>
            <w:noWrap/>
            <w:vAlign w:val="center"/>
            <w:hideMark/>
          </w:tcPr>
          <w:p w14:paraId="1AF78098" w14:textId="1175F559" w:rsidR="0059583E" w:rsidRDefault="00135214" w:rsidP="005958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***</w:t>
            </w:r>
          </w:p>
        </w:tc>
      </w:tr>
      <w:tr w:rsidR="001165F2" w14:paraId="319400D2" w14:textId="77777777" w:rsidTr="0059583E">
        <w:trPr>
          <w:trHeight w:val="286"/>
        </w:trPr>
        <w:tc>
          <w:tcPr>
            <w:tcW w:w="1938" w:type="dxa"/>
            <w:vMerge/>
            <w:vAlign w:val="center"/>
            <w:hideMark/>
          </w:tcPr>
          <w:p w14:paraId="231997E5" w14:textId="77777777" w:rsidR="001165F2" w:rsidRDefault="001165F2" w:rsidP="00BF522D">
            <w:pPr>
              <w:jc w:val="center"/>
              <w:rPr>
                <w:color w:val="000000"/>
              </w:rPr>
            </w:pPr>
          </w:p>
        </w:tc>
        <w:tc>
          <w:tcPr>
            <w:tcW w:w="1938" w:type="dxa"/>
            <w:vMerge/>
            <w:vAlign w:val="center"/>
            <w:hideMark/>
          </w:tcPr>
          <w:p w14:paraId="27E4F9F8" w14:textId="77777777" w:rsidR="001165F2" w:rsidRDefault="001165F2" w:rsidP="00BF522D">
            <w:pPr>
              <w:jc w:val="center"/>
              <w:rPr>
                <w:color w:val="000000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14:paraId="16566767" w14:textId="77777777" w:rsidR="001165F2" w:rsidRDefault="001165F2" w:rsidP="00BF522D">
            <w:pPr>
              <w:jc w:val="center"/>
              <w:rPr>
                <w:color w:val="000000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14:paraId="0BC998C3" w14:textId="77777777" w:rsidR="001165F2" w:rsidRDefault="001165F2" w:rsidP="00BF522D">
            <w:pPr>
              <w:jc w:val="center"/>
              <w:rPr>
                <w:color w:val="000000"/>
              </w:rPr>
            </w:pPr>
          </w:p>
        </w:tc>
        <w:tc>
          <w:tcPr>
            <w:tcW w:w="1968" w:type="dxa"/>
            <w:vMerge/>
            <w:vAlign w:val="center"/>
            <w:hideMark/>
          </w:tcPr>
          <w:p w14:paraId="4FF6291C" w14:textId="77777777" w:rsidR="001165F2" w:rsidRDefault="001165F2" w:rsidP="00BF522D">
            <w:pPr>
              <w:jc w:val="center"/>
              <w:rPr>
                <w:color w:val="000000"/>
              </w:rPr>
            </w:pPr>
          </w:p>
        </w:tc>
      </w:tr>
    </w:tbl>
    <w:p w14:paraId="15F0567A" w14:textId="77777777" w:rsidR="001165F2" w:rsidRDefault="001165F2" w:rsidP="001165F2">
      <w:pPr>
        <w:jc w:val="both"/>
        <w:rPr>
          <w:rStyle w:val="clear3"/>
          <w:color w:val="000000"/>
        </w:rPr>
      </w:pPr>
    </w:p>
    <w:p w14:paraId="471D1C1C" w14:textId="40F32C48" w:rsidR="003D04C3" w:rsidRPr="003D04C3" w:rsidRDefault="003D04C3" w:rsidP="002E6E5A">
      <w:pPr>
        <w:pStyle w:val="prastasiniatinklio"/>
        <w:tabs>
          <w:tab w:val="left" w:pos="567"/>
        </w:tabs>
        <w:spacing w:before="0" w:beforeAutospacing="0" w:after="0" w:afterAutospacing="0"/>
        <w:ind w:firstLine="567"/>
        <w:jc w:val="both"/>
      </w:pPr>
      <w:r w:rsidRPr="009A7B90">
        <w:lastRenderedPageBreak/>
        <w:t>Pažymėtina, kad k</w:t>
      </w:r>
      <w:r w:rsidRPr="003D04C3">
        <w:t xml:space="preserve">ompensuojamų MPP sąraše jokių </w:t>
      </w:r>
      <w:proofErr w:type="spellStart"/>
      <w:r w:rsidRPr="003D04C3">
        <w:t>gastrostominių</w:t>
      </w:r>
      <w:proofErr w:type="spellEnd"/>
      <w:r w:rsidRPr="003D04C3">
        <w:t xml:space="preserve"> vamzdelių nėra</w:t>
      </w:r>
      <w:r w:rsidRPr="009A7B90">
        <w:t xml:space="preserve">. </w:t>
      </w:r>
      <w:r w:rsidR="003E53B3" w:rsidRPr="003E53B3">
        <w:t>Remiantis</w:t>
      </w:r>
      <w:r w:rsidRPr="009A7B90">
        <w:t xml:space="preserve"> viešai prieinama informacija, </w:t>
      </w:r>
      <w:proofErr w:type="spellStart"/>
      <w:r w:rsidRPr="009A7B90">
        <w:t>gastrostominius</w:t>
      </w:r>
      <w:proofErr w:type="spellEnd"/>
      <w:r w:rsidRPr="009A7B90">
        <w:t xml:space="preserve"> vamzdelius įsigyja gydymo įstaigos ir </w:t>
      </w:r>
      <w:proofErr w:type="spellStart"/>
      <w:r w:rsidRPr="009A7B90">
        <w:t>gastrostominio</w:t>
      </w:r>
      <w:proofErr w:type="spellEnd"/>
      <w:r w:rsidRPr="003D04C3">
        <w:t xml:space="preserve"> vamzdelio kaina įeina į </w:t>
      </w:r>
      <w:r w:rsidRPr="009A7B90">
        <w:t xml:space="preserve">stacionare atliekamos </w:t>
      </w:r>
      <w:r w:rsidRPr="003D04C3">
        <w:t>procedūros/operacijos kainą</w:t>
      </w:r>
      <w:r w:rsidRPr="009A7B90">
        <w:t>.</w:t>
      </w:r>
    </w:p>
    <w:p w14:paraId="31C9A307" w14:textId="009C1B0A" w:rsidR="003D04C3" w:rsidRPr="009A7B90" w:rsidRDefault="003D04C3" w:rsidP="009A7B90">
      <w:pPr>
        <w:pStyle w:val="Komentarotekstas"/>
        <w:rPr>
          <w:sz w:val="24"/>
          <w:szCs w:val="24"/>
        </w:rPr>
      </w:pPr>
      <w:r w:rsidRPr="009A7B90">
        <w:rPr>
          <w:sz w:val="24"/>
          <w:szCs w:val="24"/>
        </w:rPr>
        <w:t>Atkreiptinas dėmesys, kad alternatyv</w:t>
      </w:r>
      <w:r>
        <w:rPr>
          <w:sz w:val="24"/>
          <w:szCs w:val="24"/>
        </w:rPr>
        <w:t xml:space="preserve">a sagutės tipo </w:t>
      </w:r>
      <w:proofErr w:type="spellStart"/>
      <w:r>
        <w:rPr>
          <w:sz w:val="24"/>
          <w:szCs w:val="24"/>
        </w:rPr>
        <w:t>gastrostominiams</w:t>
      </w:r>
      <w:proofErr w:type="spellEnd"/>
      <w:r>
        <w:rPr>
          <w:sz w:val="24"/>
          <w:szCs w:val="24"/>
        </w:rPr>
        <w:t xml:space="preserve"> vamzdeliams yra</w:t>
      </w:r>
      <w:r w:rsidRPr="009A7B90">
        <w:rPr>
          <w:sz w:val="24"/>
          <w:szCs w:val="24"/>
        </w:rPr>
        <w:t xml:space="preserve"> (ilgo tipo </w:t>
      </w:r>
      <w:proofErr w:type="spellStart"/>
      <w:r w:rsidRPr="009A7B90">
        <w:rPr>
          <w:sz w:val="24"/>
          <w:szCs w:val="24"/>
        </w:rPr>
        <w:t>gastrostominiai</w:t>
      </w:r>
      <w:proofErr w:type="spellEnd"/>
      <w:r w:rsidRPr="009A7B90">
        <w:rPr>
          <w:sz w:val="24"/>
          <w:szCs w:val="24"/>
        </w:rPr>
        <w:t xml:space="preserve"> vamzdeliai, PEG tipo </w:t>
      </w:r>
      <w:proofErr w:type="spellStart"/>
      <w:r w:rsidRPr="003B1482">
        <w:rPr>
          <w:sz w:val="24"/>
          <w:szCs w:val="24"/>
        </w:rPr>
        <w:t>gastrostominiai</w:t>
      </w:r>
      <w:proofErr w:type="spellEnd"/>
      <w:r w:rsidRPr="003D04C3">
        <w:rPr>
          <w:sz w:val="24"/>
          <w:szCs w:val="24"/>
        </w:rPr>
        <w:t xml:space="preserve"> </w:t>
      </w:r>
      <w:r w:rsidRPr="009A7B90">
        <w:rPr>
          <w:sz w:val="24"/>
          <w:szCs w:val="24"/>
        </w:rPr>
        <w:t>vamzdeliai)</w:t>
      </w:r>
      <w:r>
        <w:rPr>
          <w:sz w:val="24"/>
          <w:szCs w:val="24"/>
        </w:rPr>
        <w:t>, t</w:t>
      </w:r>
      <w:r w:rsidRPr="009A7B90">
        <w:rPr>
          <w:sz w:val="24"/>
          <w:szCs w:val="24"/>
        </w:rPr>
        <w:t xml:space="preserve">ačiau </w:t>
      </w:r>
      <w:r>
        <w:rPr>
          <w:sz w:val="24"/>
          <w:szCs w:val="24"/>
        </w:rPr>
        <w:t xml:space="preserve">jie nėra įtraukti į </w:t>
      </w:r>
      <w:r w:rsidRPr="009A7B90">
        <w:rPr>
          <w:sz w:val="24"/>
          <w:szCs w:val="24"/>
        </w:rPr>
        <w:t>kompensuojamų MPP sąraš</w:t>
      </w:r>
      <w:r w:rsidRPr="003D04C3">
        <w:rPr>
          <w:sz w:val="24"/>
          <w:szCs w:val="24"/>
        </w:rPr>
        <w:t xml:space="preserve">ą </w:t>
      </w:r>
      <w:r w:rsidRPr="009A7B90">
        <w:rPr>
          <w:sz w:val="24"/>
          <w:szCs w:val="24"/>
          <w:shd w:val="clear" w:color="auto" w:fill="FFFFFF"/>
          <w:lang w:eastAsia="lt-LT"/>
        </w:rPr>
        <w:t>(C sąrašą)</w:t>
      </w:r>
      <w:r w:rsidRPr="009A7B90">
        <w:rPr>
          <w:sz w:val="24"/>
          <w:szCs w:val="24"/>
        </w:rPr>
        <w:t>.</w:t>
      </w:r>
      <w:r>
        <w:rPr>
          <w:sz w:val="24"/>
          <w:szCs w:val="24"/>
        </w:rPr>
        <w:t xml:space="preserve"> Lyginant su pirmiau nurodytais kitokiais </w:t>
      </w:r>
      <w:proofErr w:type="spellStart"/>
      <w:r>
        <w:rPr>
          <w:sz w:val="24"/>
          <w:szCs w:val="24"/>
        </w:rPr>
        <w:t>gastrostominiais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vamzeliais</w:t>
      </w:r>
      <w:proofErr w:type="spellEnd"/>
      <w:r>
        <w:rPr>
          <w:sz w:val="24"/>
          <w:szCs w:val="24"/>
        </w:rPr>
        <w:t>, ž</w:t>
      </w:r>
      <w:r w:rsidRPr="009A7B90">
        <w:rPr>
          <w:sz w:val="24"/>
          <w:szCs w:val="24"/>
        </w:rPr>
        <w:t xml:space="preserve">emo tipo </w:t>
      </w:r>
      <w:proofErr w:type="spellStart"/>
      <w:r w:rsidRPr="009A7B90">
        <w:rPr>
          <w:sz w:val="24"/>
          <w:szCs w:val="24"/>
        </w:rPr>
        <w:t>gastrostominiai</w:t>
      </w:r>
      <w:proofErr w:type="spellEnd"/>
      <w:r w:rsidRPr="009A7B90">
        <w:rPr>
          <w:sz w:val="24"/>
          <w:szCs w:val="24"/>
        </w:rPr>
        <w:t xml:space="preserve"> vamzdeliai yra daug patogesni naudo</w:t>
      </w:r>
      <w:r>
        <w:rPr>
          <w:sz w:val="24"/>
          <w:szCs w:val="24"/>
        </w:rPr>
        <w:t>ti</w:t>
      </w:r>
      <w:r w:rsidRPr="009A7B90">
        <w:rPr>
          <w:sz w:val="24"/>
          <w:szCs w:val="24"/>
        </w:rPr>
        <w:t>.</w:t>
      </w:r>
    </w:p>
    <w:p w14:paraId="5B2CF656" w14:textId="0F84303A" w:rsidR="003E53B3" w:rsidRPr="002E6E5A" w:rsidRDefault="003E53B3" w:rsidP="003E53B3">
      <w:pPr>
        <w:pStyle w:val="Komentarotekstas"/>
        <w:rPr>
          <w:sz w:val="24"/>
        </w:rPr>
      </w:pPr>
    </w:p>
    <w:p w14:paraId="63BA6371" w14:textId="77777777" w:rsidR="001165F2" w:rsidRPr="005E7884" w:rsidRDefault="001165F2" w:rsidP="001165F2">
      <w:pPr>
        <w:pStyle w:val="prastasiniatinklio"/>
        <w:spacing w:before="0" w:beforeAutospacing="0" w:after="0" w:afterAutospacing="0"/>
        <w:ind w:firstLine="851"/>
        <w:jc w:val="both"/>
      </w:pPr>
      <w:r>
        <w:rPr>
          <w:bCs/>
        </w:rPr>
        <w:t>VVKT</w:t>
      </w:r>
      <w:r w:rsidRPr="005C7898">
        <w:t xml:space="preserve"> </w:t>
      </w:r>
      <w:r>
        <w:t xml:space="preserve">vertinimu, </w:t>
      </w:r>
      <w:r w:rsidRPr="005C7898">
        <w:t xml:space="preserve">nustatyta MPP funkcinė vertė </w:t>
      </w:r>
      <w:r>
        <w:t>–</w:t>
      </w:r>
      <w:r w:rsidRPr="005C7898">
        <w:t xml:space="preserve"> </w:t>
      </w:r>
      <w:r>
        <w:t xml:space="preserve">7 </w:t>
      </w:r>
      <w:r w:rsidRPr="005C7898">
        <w:t>bal</w:t>
      </w:r>
      <w:r>
        <w:t>ai.</w:t>
      </w:r>
    </w:p>
    <w:p w14:paraId="0085CA02" w14:textId="77777777" w:rsidR="001165F2" w:rsidRPr="001E0A8A" w:rsidRDefault="001165F2" w:rsidP="001165F2">
      <w:pPr>
        <w:pStyle w:val="prastasiniatinklio"/>
        <w:spacing w:before="0" w:beforeAutospacing="0" w:after="0" w:afterAutospacing="0"/>
        <w:rPr>
          <w:b/>
          <w:bCs/>
        </w:rPr>
      </w:pPr>
      <w:r>
        <w:rPr>
          <w:b/>
          <w:bCs/>
        </w:rPr>
        <w:t>2</w:t>
      </w:r>
      <w:r w:rsidRPr="00A36453">
        <w:rPr>
          <w:b/>
          <w:bCs/>
        </w:rPr>
        <w:t xml:space="preserve"> lentelė. </w:t>
      </w:r>
      <w:r>
        <w:rPr>
          <w:b/>
          <w:bCs/>
        </w:rPr>
        <w:t>MPP funkcinės vertės kriterijai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075"/>
        <w:gridCol w:w="1554"/>
      </w:tblGrid>
      <w:tr w:rsidR="001165F2" w14:paraId="6CDE71ED" w14:textId="77777777" w:rsidTr="00BF522D">
        <w:tc>
          <w:tcPr>
            <w:tcW w:w="8075" w:type="dxa"/>
          </w:tcPr>
          <w:p w14:paraId="27A36E0B" w14:textId="77777777" w:rsidR="001165F2" w:rsidRDefault="001165F2" w:rsidP="00BF522D">
            <w:pPr>
              <w:pStyle w:val="prastasiniatinklio"/>
              <w:spacing w:before="0" w:beforeAutospacing="0" w:after="0" w:afterAutospacing="0"/>
              <w:jc w:val="center"/>
            </w:pPr>
            <w:r>
              <w:t>MPP funkcinės vertės kriterijai</w:t>
            </w:r>
          </w:p>
        </w:tc>
        <w:tc>
          <w:tcPr>
            <w:tcW w:w="1554" w:type="dxa"/>
          </w:tcPr>
          <w:p w14:paraId="43C16221" w14:textId="77777777" w:rsidR="001165F2" w:rsidRDefault="001165F2" w:rsidP="00BF522D">
            <w:pPr>
              <w:pStyle w:val="prastasiniatinklio"/>
              <w:spacing w:before="0" w:beforeAutospacing="0" w:after="0" w:afterAutospacing="0"/>
              <w:jc w:val="center"/>
            </w:pPr>
            <w:r>
              <w:t>Balai</w:t>
            </w:r>
          </w:p>
        </w:tc>
      </w:tr>
      <w:tr w:rsidR="001165F2" w14:paraId="1F9C662D" w14:textId="77777777" w:rsidTr="00BF522D">
        <w:tc>
          <w:tcPr>
            <w:tcW w:w="8075" w:type="dxa"/>
          </w:tcPr>
          <w:p w14:paraId="2CC582D7" w14:textId="77777777" w:rsidR="001165F2" w:rsidRDefault="001165F2" w:rsidP="00BF522D">
            <w:pPr>
              <w:pStyle w:val="prastasiniatinklio"/>
              <w:spacing w:before="0" w:beforeAutospacing="0" w:after="0" w:afterAutospacing="0"/>
              <w:jc w:val="both"/>
            </w:pPr>
            <w:r>
              <w:t>Ligos įtaka sveikatai</w:t>
            </w:r>
          </w:p>
        </w:tc>
        <w:tc>
          <w:tcPr>
            <w:tcW w:w="1554" w:type="dxa"/>
          </w:tcPr>
          <w:p w14:paraId="303941C1" w14:textId="66CEC05F" w:rsidR="001165F2" w:rsidRDefault="00135214" w:rsidP="00BF522D">
            <w:pPr>
              <w:pStyle w:val="prastasiniatinklio"/>
              <w:spacing w:before="0" w:beforeAutospacing="0" w:after="0" w:afterAutospacing="0"/>
              <w:jc w:val="center"/>
            </w:pPr>
            <w:r>
              <w:t>*</w:t>
            </w:r>
          </w:p>
        </w:tc>
      </w:tr>
      <w:tr w:rsidR="001165F2" w14:paraId="2E774316" w14:textId="77777777" w:rsidTr="00BF522D">
        <w:tc>
          <w:tcPr>
            <w:tcW w:w="8075" w:type="dxa"/>
          </w:tcPr>
          <w:p w14:paraId="4E0896C0" w14:textId="77777777" w:rsidR="001165F2" w:rsidRDefault="001165F2" w:rsidP="00BF522D">
            <w:pPr>
              <w:pStyle w:val="prastasiniatinklio"/>
              <w:spacing w:before="0" w:beforeAutospacing="0" w:after="0" w:afterAutospacing="0"/>
              <w:jc w:val="both"/>
            </w:pPr>
            <w:r>
              <w:t>Socialinė medicinos pagalbos priemonės svarba</w:t>
            </w:r>
          </w:p>
        </w:tc>
        <w:tc>
          <w:tcPr>
            <w:tcW w:w="1554" w:type="dxa"/>
          </w:tcPr>
          <w:p w14:paraId="3A8C2BC0" w14:textId="168BFDE3" w:rsidR="001165F2" w:rsidRDefault="00135214" w:rsidP="00BF522D">
            <w:pPr>
              <w:pStyle w:val="prastasiniatinklio"/>
              <w:spacing w:before="0" w:beforeAutospacing="0" w:after="0" w:afterAutospacing="0"/>
              <w:jc w:val="center"/>
            </w:pPr>
            <w:r>
              <w:t>*</w:t>
            </w:r>
          </w:p>
        </w:tc>
      </w:tr>
      <w:tr w:rsidR="001165F2" w14:paraId="57BF38B7" w14:textId="77777777" w:rsidTr="00BF522D">
        <w:tc>
          <w:tcPr>
            <w:tcW w:w="8075" w:type="dxa"/>
          </w:tcPr>
          <w:p w14:paraId="305570C5" w14:textId="77777777" w:rsidR="001165F2" w:rsidRDefault="001165F2" w:rsidP="00BF522D">
            <w:pPr>
              <w:pStyle w:val="prastasiniatinklio"/>
              <w:spacing w:before="0" w:beforeAutospacing="0" w:after="0" w:afterAutospacing="0"/>
              <w:jc w:val="both"/>
            </w:pPr>
            <w:r>
              <w:t>Galimybė pacientui naudoti alternatyvias MPP</w:t>
            </w:r>
          </w:p>
        </w:tc>
        <w:tc>
          <w:tcPr>
            <w:tcW w:w="1554" w:type="dxa"/>
          </w:tcPr>
          <w:p w14:paraId="58D3FDDF" w14:textId="3AC6D212" w:rsidR="001165F2" w:rsidRDefault="00135214" w:rsidP="00BF522D">
            <w:pPr>
              <w:pStyle w:val="prastasiniatinklio"/>
              <w:spacing w:before="0" w:beforeAutospacing="0" w:after="0" w:afterAutospacing="0"/>
              <w:jc w:val="center"/>
            </w:pPr>
            <w:r>
              <w:t>*</w:t>
            </w:r>
          </w:p>
        </w:tc>
      </w:tr>
      <w:tr w:rsidR="001165F2" w14:paraId="49A2DE42" w14:textId="77777777" w:rsidTr="00BF522D">
        <w:tc>
          <w:tcPr>
            <w:tcW w:w="8075" w:type="dxa"/>
          </w:tcPr>
          <w:p w14:paraId="5DEFA31D" w14:textId="77777777" w:rsidR="001165F2" w:rsidRDefault="001165F2" w:rsidP="00BF522D">
            <w:pPr>
              <w:pStyle w:val="prastasiniatinklio"/>
              <w:spacing w:before="0" w:beforeAutospacing="0" w:after="0" w:afterAutospacing="0"/>
              <w:jc w:val="both"/>
            </w:pPr>
            <w:r>
              <w:t>MPP kaina</w:t>
            </w:r>
          </w:p>
        </w:tc>
        <w:tc>
          <w:tcPr>
            <w:tcW w:w="1554" w:type="dxa"/>
          </w:tcPr>
          <w:p w14:paraId="4D51792F" w14:textId="57F3C3D8" w:rsidR="001165F2" w:rsidRDefault="00135214" w:rsidP="00BF522D">
            <w:pPr>
              <w:pStyle w:val="prastasiniatinklio"/>
              <w:spacing w:before="0" w:beforeAutospacing="0" w:after="0" w:afterAutospacing="0"/>
              <w:jc w:val="center"/>
            </w:pPr>
            <w:r>
              <w:t>*</w:t>
            </w:r>
          </w:p>
        </w:tc>
      </w:tr>
      <w:tr w:rsidR="001165F2" w14:paraId="53C278EE" w14:textId="77777777" w:rsidTr="00BF522D">
        <w:tc>
          <w:tcPr>
            <w:tcW w:w="8075" w:type="dxa"/>
          </w:tcPr>
          <w:p w14:paraId="0835702F" w14:textId="77777777" w:rsidR="001165F2" w:rsidRPr="001E0A8A" w:rsidRDefault="001165F2" w:rsidP="00BF522D">
            <w:pPr>
              <w:pStyle w:val="prastasiniatinklio"/>
              <w:spacing w:before="0" w:beforeAutospacing="0" w:after="0" w:afterAutospacing="0"/>
              <w:jc w:val="right"/>
              <w:rPr>
                <w:b/>
              </w:rPr>
            </w:pPr>
            <w:r w:rsidRPr="001E0A8A">
              <w:rPr>
                <w:b/>
              </w:rPr>
              <w:t>Iš viso</w:t>
            </w:r>
          </w:p>
        </w:tc>
        <w:tc>
          <w:tcPr>
            <w:tcW w:w="1554" w:type="dxa"/>
          </w:tcPr>
          <w:p w14:paraId="051D6543" w14:textId="77777777" w:rsidR="001165F2" w:rsidRDefault="001165F2" w:rsidP="00BF522D">
            <w:pPr>
              <w:pStyle w:val="prastasiniatinklio"/>
              <w:spacing w:before="0" w:beforeAutospacing="0" w:after="0" w:afterAutospacing="0"/>
              <w:jc w:val="center"/>
            </w:pPr>
            <w:r>
              <w:t>7</w:t>
            </w:r>
          </w:p>
        </w:tc>
      </w:tr>
    </w:tbl>
    <w:p w14:paraId="24C7C3BD" w14:textId="77777777" w:rsidR="001401CE" w:rsidRDefault="001401CE" w:rsidP="001401CE">
      <w:pPr>
        <w:pStyle w:val="Komentarotekstas"/>
        <w:rPr>
          <w:b/>
          <w:sz w:val="24"/>
          <w:szCs w:val="24"/>
        </w:rPr>
      </w:pPr>
    </w:p>
    <w:p w14:paraId="23E0A903" w14:textId="4462FE6F" w:rsidR="001401CE" w:rsidRPr="009A7B90" w:rsidRDefault="001401CE" w:rsidP="001401CE">
      <w:pPr>
        <w:pStyle w:val="Komentarotekstas"/>
        <w:rPr>
          <w:b/>
          <w:sz w:val="24"/>
          <w:szCs w:val="24"/>
        </w:rPr>
      </w:pPr>
      <w:r w:rsidRPr="009A7B90">
        <w:rPr>
          <w:b/>
          <w:sz w:val="24"/>
          <w:szCs w:val="24"/>
        </w:rPr>
        <w:t>Funkcinės vertės įverčių pagrindimas</w:t>
      </w:r>
    </w:p>
    <w:p w14:paraId="7CC09A9F" w14:textId="71572037" w:rsidR="001401CE" w:rsidRPr="00123467" w:rsidRDefault="001401CE" w:rsidP="00123467">
      <w:pPr>
        <w:pStyle w:val="Komentarotekstas"/>
        <w:numPr>
          <w:ilvl w:val="0"/>
          <w:numId w:val="3"/>
        </w:numPr>
        <w:rPr>
          <w:sz w:val="24"/>
          <w:szCs w:val="24"/>
        </w:rPr>
      </w:pPr>
      <w:r w:rsidRPr="00123467">
        <w:rPr>
          <w:sz w:val="24"/>
          <w:szCs w:val="24"/>
        </w:rPr>
        <w:t>Ligos įtaka sveikatai – maksimalus balų skaičius (</w:t>
      </w:r>
      <w:r w:rsidR="00503AC2">
        <w:rPr>
          <w:sz w:val="24"/>
          <w:szCs w:val="24"/>
        </w:rPr>
        <w:t>*</w:t>
      </w:r>
      <w:r w:rsidRPr="00123467">
        <w:rPr>
          <w:sz w:val="24"/>
          <w:szCs w:val="24"/>
        </w:rPr>
        <w:t>)– prisk</w:t>
      </w:r>
      <w:r>
        <w:rPr>
          <w:sz w:val="24"/>
          <w:szCs w:val="24"/>
        </w:rPr>
        <w:t>irtina</w:t>
      </w:r>
      <w:r w:rsidRPr="00123467">
        <w:rPr>
          <w:sz w:val="24"/>
          <w:szCs w:val="24"/>
        </w:rPr>
        <w:t xml:space="preserve"> ligoms, kurios sąlygoja 0-25 % darbingumą ir didelį specialių poreikių lygį</w:t>
      </w:r>
      <w:r>
        <w:rPr>
          <w:sz w:val="24"/>
          <w:szCs w:val="24"/>
        </w:rPr>
        <w:t>, n</w:t>
      </w:r>
      <w:r w:rsidRPr="00123467">
        <w:rPr>
          <w:sz w:val="24"/>
          <w:szCs w:val="24"/>
        </w:rPr>
        <w:t>es šie pacientai kitaip maitintis negali.</w:t>
      </w:r>
    </w:p>
    <w:p w14:paraId="03F8D15B" w14:textId="4941003C" w:rsidR="001401CE" w:rsidRPr="00123467" w:rsidRDefault="001401CE" w:rsidP="001401CE">
      <w:pPr>
        <w:pStyle w:val="Komentarotekstas"/>
        <w:numPr>
          <w:ilvl w:val="0"/>
          <w:numId w:val="2"/>
        </w:numPr>
        <w:rPr>
          <w:sz w:val="24"/>
          <w:szCs w:val="24"/>
        </w:rPr>
      </w:pPr>
      <w:r w:rsidRPr="00123467">
        <w:rPr>
          <w:sz w:val="24"/>
          <w:szCs w:val="24"/>
        </w:rPr>
        <w:t>Socialinė MPP svarba – vidutinis balų skaičius (</w:t>
      </w:r>
      <w:r w:rsidR="00503AC2">
        <w:rPr>
          <w:sz w:val="24"/>
          <w:szCs w:val="24"/>
        </w:rPr>
        <w:t>*</w:t>
      </w:r>
      <w:r w:rsidRPr="00123467">
        <w:rPr>
          <w:sz w:val="24"/>
          <w:szCs w:val="24"/>
        </w:rPr>
        <w:t>) – nes MPP padeda pagerinti paciento darbingumą ir sumažina slaugos poreikį, tačiau neatkuria pilnai visų funkcijų.</w:t>
      </w:r>
    </w:p>
    <w:p w14:paraId="7B8452D1" w14:textId="605678CD" w:rsidR="001401CE" w:rsidRPr="00123467" w:rsidRDefault="001401CE" w:rsidP="001401CE">
      <w:pPr>
        <w:pStyle w:val="Komentarotekstas"/>
        <w:numPr>
          <w:ilvl w:val="0"/>
          <w:numId w:val="2"/>
        </w:numPr>
        <w:rPr>
          <w:sz w:val="24"/>
          <w:szCs w:val="24"/>
        </w:rPr>
      </w:pPr>
      <w:r w:rsidRPr="00123467">
        <w:rPr>
          <w:sz w:val="24"/>
          <w:szCs w:val="24"/>
        </w:rPr>
        <w:t>Galimybė naudoti alternatyvas – yra (</w:t>
      </w:r>
      <w:r w:rsidR="00503AC2">
        <w:rPr>
          <w:sz w:val="24"/>
          <w:szCs w:val="24"/>
        </w:rPr>
        <w:t>*</w:t>
      </w:r>
      <w:r w:rsidRPr="00123467">
        <w:rPr>
          <w:sz w:val="24"/>
          <w:szCs w:val="24"/>
        </w:rPr>
        <w:t xml:space="preserve">) - nors kompensuojamų MPP sąraše </w:t>
      </w:r>
      <w:proofErr w:type="spellStart"/>
      <w:r w:rsidRPr="00123467">
        <w:rPr>
          <w:sz w:val="24"/>
          <w:szCs w:val="24"/>
        </w:rPr>
        <w:t>gastrostominių</w:t>
      </w:r>
      <w:proofErr w:type="spellEnd"/>
      <w:r w:rsidRPr="00123467">
        <w:rPr>
          <w:sz w:val="24"/>
          <w:szCs w:val="24"/>
        </w:rPr>
        <w:t xml:space="preserve"> vamzdelių nėra, pacientai vis tiek gauna </w:t>
      </w:r>
      <w:proofErr w:type="spellStart"/>
      <w:r w:rsidRPr="00123467">
        <w:rPr>
          <w:sz w:val="24"/>
          <w:szCs w:val="24"/>
        </w:rPr>
        <w:t>gastrostominius</w:t>
      </w:r>
      <w:proofErr w:type="spellEnd"/>
      <w:r w:rsidRPr="00123467">
        <w:rPr>
          <w:sz w:val="24"/>
          <w:szCs w:val="24"/>
        </w:rPr>
        <w:t xml:space="preserve"> </w:t>
      </w:r>
      <w:r w:rsidRPr="00BB72C6">
        <w:rPr>
          <w:sz w:val="24"/>
          <w:szCs w:val="24"/>
        </w:rPr>
        <w:t>vamzdelius</w:t>
      </w:r>
      <w:r>
        <w:rPr>
          <w:sz w:val="24"/>
          <w:szCs w:val="24"/>
        </w:rPr>
        <w:t xml:space="preserve"> atliekant </w:t>
      </w:r>
      <w:proofErr w:type="spellStart"/>
      <w:r>
        <w:rPr>
          <w:sz w:val="24"/>
          <w:szCs w:val="24"/>
        </w:rPr>
        <w:t>gastrostomos</w:t>
      </w:r>
      <w:proofErr w:type="spellEnd"/>
      <w:r>
        <w:rPr>
          <w:sz w:val="24"/>
          <w:szCs w:val="24"/>
        </w:rPr>
        <w:t xml:space="preserve"> suformavimą</w:t>
      </w:r>
      <w:r w:rsidR="003A52D3">
        <w:rPr>
          <w:sz w:val="24"/>
          <w:szCs w:val="24"/>
        </w:rPr>
        <w:t xml:space="preserve"> ar vamzdelio keitimą</w:t>
      </w:r>
      <w:r>
        <w:rPr>
          <w:sz w:val="24"/>
          <w:szCs w:val="24"/>
        </w:rPr>
        <w:t xml:space="preserve"> stacionare</w:t>
      </w:r>
      <w:r w:rsidRPr="00123467">
        <w:rPr>
          <w:sz w:val="24"/>
          <w:szCs w:val="24"/>
        </w:rPr>
        <w:t>.</w:t>
      </w:r>
    </w:p>
    <w:p w14:paraId="1E6A1610" w14:textId="78EBF8FE" w:rsidR="001401CE" w:rsidRPr="00123467" w:rsidRDefault="001401CE" w:rsidP="001401CE">
      <w:pPr>
        <w:pStyle w:val="Komentarotekstas"/>
        <w:numPr>
          <w:ilvl w:val="0"/>
          <w:numId w:val="2"/>
        </w:numPr>
        <w:rPr>
          <w:sz w:val="24"/>
          <w:szCs w:val="24"/>
        </w:rPr>
      </w:pPr>
      <w:r w:rsidRPr="00123467">
        <w:rPr>
          <w:sz w:val="24"/>
          <w:szCs w:val="24"/>
        </w:rPr>
        <w:t xml:space="preserve"> MPP kaina – šios MPP kaina yra didesnė nei ilgo tipo </w:t>
      </w:r>
      <w:proofErr w:type="spellStart"/>
      <w:r w:rsidRPr="00123467">
        <w:rPr>
          <w:sz w:val="24"/>
          <w:szCs w:val="24"/>
        </w:rPr>
        <w:t>gastrostominių</w:t>
      </w:r>
      <w:proofErr w:type="spellEnd"/>
      <w:r w:rsidRPr="00123467">
        <w:rPr>
          <w:sz w:val="24"/>
          <w:szCs w:val="24"/>
        </w:rPr>
        <w:t xml:space="preserve"> vamzdelių, todėl </w:t>
      </w:r>
      <w:r>
        <w:rPr>
          <w:sz w:val="24"/>
          <w:szCs w:val="24"/>
        </w:rPr>
        <w:t xml:space="preserve">įvertis </w:t>
      </w:r>
      <w:r w:rsidR="00503AC2">
        <w:rPr>
          <w:sz w:val="24"/>
          <w:szCs w:val="24"/>
        </w:rPr>
        <w:t>*</w:t>
      </w:r>
      <w:r w:rsidRPr="00123467">
        <w:rPr>
          <w:sz w:val="24"/>
          <w:szCs w:val="24"/>
        </w:rPr>
        <w:t xml:space="preserve"> balų.</w:t>
      </w:r>
    </w:p>
    <w:p w14:paraId="3385B3C0" w14:textId="77777777" w:rsidR="003A52D3" w:rsidRDefault="003A52D3" w:rsidP="00123467">
      <w:pPr>
        <w:pStyle w:val="prastasiniatinklio"/>
        <w:spacing w:before="0" w:beforeAutospacing="0" w:after="0" w:afterAutospacing="0"/>
        <w:ind w:firstLine="567"/>
        <w:jc w:val="both"/>
      </w:pPr>
    </w:p>
    <w:p w14:paraId="0F5EB337" w14:textId="5AEF3863" w:rsidR="001165F2" w:rsidRDefault="003E53B3" w:rsidP="00123467">
      <w:pPr>
        <w:pStyle w:val="prastasiniatinklio"/>
        <w:spacing w:before="0" w:beforeAutospacing="0" w:after="0" w:afterAutospacing="0"/>
        <w:ind w:firstLine="567"/>
        <w:jc w:val="both"/>
        <w:rPr>
          <w:rFonts w:eastAsia="Arial Unicode MS"/>
          <w:b/>
        </w:rPr>
      </w:pPr>
      <w:r>
        <w:t>A</w:t>
      </w:r>
      <w:r w:rsidR="001165F2">
        <w:t xml:space="preserve">tsižvelgiant į aukščiau pateiktą informaciją ir </w:t>
      </w:r>
      <w:r w:rsidR="004728A0">
        <w:t xml:space="preserve">vadovaujantis </w:t>
      </w:r>
      <w:r w:rsidRPr="00F316DD">
        <w:t>Aprašo</w:t>
      </w:r>
      <w:r w:rsidR="001165F2" w:rsidRPr="00F316DD">
        <w:t xml:space="preserve"> 5</w:t>
      </w:r>
      <w:r w:rsidR="00F316DD" w:rsidRPr="00F316DD">
        <w:t>1</w:t>
      </w:r>
      <w:r w:rsidR="001165F2" w:rsidRPr="00F316DD">
        <w:t xml:space="preserve"> punkt</w:t>
      </w:r>
      <w:r w:rsidR="004728A0">
        <w:t xml:space="preserve">u, </w:t>
      </w:r>
      <w:r w:rsidR="0033612E">
        <w:t xml:space="preserve">siūlome </w:t>
      </w:r>
      <w:r w:rsidR="0033612E" w:rsidRPr="0033612E">
        <w:rPr>
          <w:b/>
        </w:rPr>
        <w:t>ne</w:t>
      </w:r>
      <w:r w:rsidR="001165F2" w:rsidRPr="00A71C60">
        <w:rPr>
          <w:b/>
        </w:rPr>
        <w:t>įtraukt</w:t>
      </w:r>
      <w:r w:rsidR="0033612E">
        <w:rPr>
          <w:b/>
        </w:rPr>
        <w:t>i</w:t>
      </w:r>
      <w:r w:rsidR="001165F2" w:rsidRPr="00A71C60">
        <w:rPr>
          <w:b/>
        </w:rPr>
        <w:t xml:space="preserve"> </w:t>
      </w:r>
      <w:r w:rsidR="0033612E" w:rsidRPr="0033612E">
        <w:t>MPP</w:t>
      </w:r>
      <w:r w:rsidR="0033612E" w:rsidRPr="0033612E">
        <w:rPr>
          <w:bCs/>
          <w:i/>
          <w:iCs/>
        </w:rPr>
        <w:t xml:space="preserve"> </w:t>
      </w:r>
      <w:r w:rsidR="0033612E" w:rsidRPr="0033612E">
        <w:rPr>
          <w:shd w:val="clear" w:color="auto" w:fill="FFFFFF"/>
        </w:rPr>
        <w:t xml:space="preserve">žemo profilio sagutės tipo </w:t>
      </w:r>
      <w:proofErr w:type="spellStart"/>
      <w:r w:rsidR="0033612E" w:rsidRPr="0033612E">
        <w:rPr>
          <w:shd w:val="clear" w:color="auto" w:fill="FFFFFF"/>
        </w:rPr>
        <w:t>gastrostominiai</w:t>
      </w:r>
      <w:proofErr w:type="spellEnd"/>
      <w:r w:rsidR="0033612E" w:rsidRPr="0033612E">
        <w:rPr>
          <w:shd w:val="clear" w:color="auto" w:fill="FFFFFF"/>
        </w:rPr>
        <w:t xml:space="preserve"> vamzdeliai</w:t>
      </w:r>
      <w:r w:rsidR="0033612E" w:rsidRPr="0033612E">
        <w:rPr>
          <w:i/>
          <w:shd w:val="clear" w:color="auto" w:fill="FFFFFF"/>
        </w:rPr>
        <w:t xml:space="preserve"> MIC-KEY</w:t>
      </w:r>
      <w:r w:rsidR="0033612E" w:rsidRPr="0033612E">
        <w:t xml:space="preserve"> </w:t>
      </w:r>
      <w:r w:rsidR="001165F2" w:rsidRPr="0033612E">
        <w:t xml:space="preserve">į kompensuojamųjų medicinos pagalbos priemonių sąrašą </w:t>
      </w:r>
      <w:r w:rsidR="001165F2" w:rsidRPr="00F316DD">
        <w:t>(C sąrašą)</w:t>
      </w:r>
      <w:r w:rsidR="001165F2" w:rsidRPr="00F316DD">
        <w:rPr>
          <w:rFonts w:eastAsia="Arial Unicode MS"/>
        </w:rPr>
        <w:t>,</w:t>
      </w:r>
      <w:r w:rsidR="001165F2" w:rsidRPr="0033612E">
        <w:rPr>
          <w:rFonts w:eastAsia="Arial Unicode MS"/>
        </w:rPr>
        <w:t xml:space="preserve"> nes pagal įvertintus funkcinės vertės kriterijus, šios sistemos funkcinė vertė yra</w:t>
      </w:r>
      <w:r w:rsidR="001165F2">
        <w:rPr>
          <w:rFonts w:eastAsia="Arial Unicode MS"/>
          <w:b/>
        </w:rPr>
        <w:t xml:space="preserve"> &lt;9 balų (7 balai).</w:t>
      </w:r>
    </w:p>
    <w:p w14:paraId="42B950DD" w14:textId="77777777" w:rsidR="001165F2" w:rsidRDefault="001165F2" w:rsidP="001165F2">
      <w:pPr>
        <w:pStyle w:val="Paprastasistekstas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A5FFF82" w14:textId="77777777" w:rsidR="001165F2" w:rsidRPr="00A71C60" w:rsidRDefault="001165F2" w:rsidP="001165F2">
      <w:pPr>
        <w:pStyle w:val="Paprastasistekstas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77E5CE8" w14:textId="77777777" w:rsidR="001165F2" w:rsidRPr="00A71C60" w:rsidRDefault="001165F2" w:rsidP="00AB74E9">
      <w:pPr>
        <w:pStyle w:val="Paprastasistekstas"/>
        <w:jc w:val="both"/>
        <w:rPr>
          <w:rFonts w:ascii="Times New Roman" w:hAnsi="Times New Roman" w:cs="Times New Roman"/>
          <w:sz w:val="24"/>
          <w:szCs w:val="24"/>
        </w:rPr>
      </w:pPr>
    </w:p>
    <w:p w14:paraId="25BF1164" w14:textId="77777777" w:rsidR="001165F2" w:rsidRPr="00A71C60" w:rsidRDefault="001165F2" w:rsidP="001165F2">
      <w:pPr>
        <w:ind w:left="851"/>
        <w:jc w:val="both"/>
      </w:pPr>
    </w:p>
    <w:p w14:paraId="55B7FD5D" w14:textId="77777777" w:rsidR="00AB74E9" w:rsidRDefault="00AB74E9" w:rsidP="00AB74E9">
      <w:r>
        <w:t>Farmakologinio budrumo ir apsinuodijimų informacijos</w:t>
      </w:r>
    </w:p>
    <w:p w14:paraId="0E7FA9F0" w14:textId="77777777" w:rsidR="00AB74E9" w:rsidRPr="00533A74" w:rsidRDefault="00AB74E9" w:rsidP="00AB74E9">
      <w:r>
        <w:t>skyriaus vedėja laikinai vykdanti viršininko funkcijas</w:t>
      </w:r>
      <w:r w:rsidRPr="00533A74">
        <w:t xml:space="preserve"> </w:t>
      </w:r>
      <w:r w:rsidRPr="00533A74">
        <w:tab/>
        <w:t xml:space="preserve">                      </w:t>
      </w:r>
      <w:r>
        <w:t>Eglė Burbienė</w:t>
      </w:r>
    </w:p>
    <w:p w14:paraId="5E4809DF" w14:textId="77777777" w:rsidR="001165F2" w:rsidRPr="00A71C60" w:rsidRDefault="001165F2" w:rsidP="001165F2">
      <w:pPr>
        <w:jc w:val="both"/>
      </w:pPr>
    </w:p>
    <w:p w14:paraId="0CAFA5E1" w14:textId="77777777" w:rsidR="001165F2" w:rsidRPr="00A71C60" w:rsidRDefault="001165F2" w:rsidP="001165F2">
      <w:pPr>
        <w:jc w:val="both"/>
      </w:pPr>
    </w:p>
    <w:p w14:paraId="497B5180" w14:textId="77777777" w:rsidR="001165F2" w:rsidRPr="00A71C60" w:rsidRDefault="001165F2" w:rsidP="001165F2">
      <w:pPr>
        <w:jc w:val="both"/>
      </w:pPr>
    </w:p>
    <w:p w14:paraId="42D45CAD" w14:textId="09290804" w:rsidR="003E53B3" w:rsidRDefault="003E53B3"/>
    <w:sectPr w:rsidR="003E53B3" w:rsidSect="0006645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134" w:right="567" w:bottom="1134" w:left="1701" w:header="646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E8D070" w14:textId="77777777" w:rsidR="001F5017" w:rsidRDefault="001F5017">
      <w:r>
        <w:separator/>
      </w:r>
    </w:p>
  </w:endnote>
  <w:endnote w:type="continuationSeparator" w:id="0">
    <w:p w14:paraId="2823A195" w14:textId="77777777" w:rsidR="001F5017" w:rsidRDefault="001F5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E7619D" w14:textId="77777777" w:rsidR="009C0AB2" w:rsidRPr="003A52D3" w:rsidRDefault="009C0AB2" w:rsidP="009C0AB2">
    <w:pPr>
      <w:pStyle w:val="xmsofooter"/>
      <w:spacing w:before="0" w:beforeAutospacing="0" w:after="0" w:afterAutospacing="0"/>
      <w:jc w:val="center"/>
      <w:rPr>
        <w:color w:val="212121"/>
      </w:rPr>
    </w:pPr>
    <w:proofErr w:type="spellStart"/>
    <w:r w:rsidRPr="003A52D3">
      <w:rPr>
        <w:color w:val="212121"/>
        <w:sz w:val="18"/>
        <w:szCs w:val="18"/>
      </w:rPr>
      <w:t>Biudžetinė</w:t>
    </w:r>
    <w:proofErr w:type="spellEnd"/>
    <w:r w:rsidRPr="003A52D3">
      <w:rPr>
        <w:color w:val="212121"/>
        <w:sz w:val="18"/>
        <w:szCs w:val="18"/>
      </w:rPr>
      <w:t xml:space="preserve"> </w:t>
    </w:r>
    <w:proofErr w:type="spellStart"/>
    <w:r w:rsidRPr="003A52D3">
      <w:rPr>
        <w:color w:val="212121"/>
        <w:sz w:val="18"/>
        <w:szCs w:val="18"/>
      </w:rPr>
      <w:t>įstaiga</w:t>
    </w:r>
    <w:proofErr w:type="spellEnd"/>
    <w:r w:rsidRPr="003A52D3">
      <w:rPr>
        <w:color w:val="212121"/>
        <w:sz w:val="18"/>
        <w:szCs w:val="18"/>
      </w:rPr>
      <w:t xml:space="preserve">, </w:t>
    </w:r>
    <w:proofErr w:type="spellStart"/>
    <w:r w:rsidRPr="003A52D3">
      <w:rPr>
        <w:color w:val="212121"/>
        <w:sz w:val="18"/>
        <w:szCs w:val="18"/>
      </w:rPr>
      <w:t>Studentų</w:t>
    </w:r>
    <w:proofErr w:type="spellEnd"/>
    <w:r w:rsidRPr="003A52D3">
      <w:rPr>
        <w:color w:val="212121"/>
        <w:sz w:val="18"/>
        <w:szCs w:val="18"/>
      </w:rPr>
      <w:t xml:space="preserve"> g. 45A, 08107 Vilnius,</w:t>
    </w:r>
  </w:p>
  <w:p w14:paraId="1498A4FF" w14:textId="414710AD" w:rsidR="009C0AB2" w:rsidRPr="003A52D3" w:rsidRDefault="003A52D3" w:rsidP="00FC3A93">
    <w:pPr>
      <w:pStyle w:val="xmsofooter"/>
      <w:tabs>
        <w:tab w:val="center" w:pos="4819"/>
        <w:tab w:val="left" w:pos="8440"/>
      </w:tabs>
      <w:spacing w:before="0" w:beforeAutospacing="0" w:after="0" w:afterAutospacing="0"/>
      <w:rPr>
        <w:color w:val="212121"/>
      </w:rPr>
    </w:pPr>
    <w:r>
      <w:rPr>
        <w:color w:val="212121"/>
        <w:sz w:val="18"/>
        <w:szCs w:val="18"/>
      </w:rPr>
      <w:tab/>
    </w:r>
    <w:r w:rsidR="009C0AB2" w:rsidRPr="003A52D3">
      <w:rPr>
        <w:color w:val="212121"/>
        <w:sz w:val="18"/>
        <w:szCs w:val="18"/>
      </w:rPr>
      <w:t xml:space="preserve">tel. (8 5) 263 9264, </w:t>
    </w:r>
    <w:proofErr w:type="spellStart"/>
    <w:r w:rsidR="009C0AB2" w:rsidRPr="003A52D3">
      <w:rPr>
        <w:color w:val="212121"/>
        <w:sz w:val="18"/>
        <w:szCs w:val="18"/>
      </w:rPr>
      <w:t>faks</w:t>
    </w:r>
    <w:proofErr w:type="spellEnd"/>
    <w:r w:rsidR="009C0AB2" w:rsidRPr="003A52D3">
      <w:rPr>
        <w:color w:val="212121"/>
        <w:sz w:val="18"/>
        <w:szCs w:val="18"/>
      </w:rPr>
      <w:t>. (8 5) 263 9265, el. p.</w:t>
    </w:r>
    <w:r w:rsidR="009C0AB2" w:rsidRPr="003A52D3">
      <w:rPr>
        <w:rStyle w:val="apple-converted-space"/>
        <w:color w:val="212121"/>
        <w:sz w:val="18"/>
        <w:szCs w:val="18"/>
      </w:rPr>
      <w:t> </w:t>
    </w:r>
    <w:hyperlink r:id="rId1" w:tooltip="mailto:vvkt@vvkt.lt" w:history="1">
      <w:r w:rsidR="009C0AB2" w:rsidRPr="00FC3A93">
        <w:rPr>
          <w:rStyle w:val="Hipersaitas"/>
          <w:color w:val="auto"/>
          <w:sz w:val="18"/>
          <w:szCs w:val="18"/>
          <w:u w:val="none"/>
        </w:rPr>
        <w:t>vvkt@vvkt.lt</w:t>
      </w:r>
    </w:hyperlink>
    <w:r w:rsidRPr="00FC3A93">
      <w:rPr>
        <w:rStyle w:val="Hipersaitas"/>
        <w:color w:val="0078D7"/>
        <w:sz w:val="18"/>
        <w:szCs w:val="18"/>
        <w:u w:val="none"/>
      </w:rPr>
      <w:tab/>
    </w:r>
  </w:p>
  <w:p w14:paraId="3EFE7FC3" w14:textId="77777777" w:rsidR="009C0AB2" w:rsidRPr="00FC3A93" w:rsidRDefault="009C0AB2" w:rsidP="009C0AB2">
    <w:pPr>
      <w:pStyle w:val="xmsonormal"/>
      <w:spacing w:before="0" w:beforeAutospacing="0" w:after="0" w:afterAutospacing="0"/>
      <w:jc w:val="center"/>
      <w:rPr>
        <w:color w:val="212121"/>
        <w:sz w:val="22"/>
        <w:szCs w:val="22"/>
      </w:rPr>
    </w:pPr>
    <w:proofErr w:type="spellStart"/>
    <w:r w:rsidRPr="00FC3A93">
      <w:rPr>
        <w:color w:val="212121"/>
        <w:sz w:val="18"/>
        <w:szCs w:val="18"/>
      </w:rPr>
      <w:t>Duomenys</w:t>
    </w:r>
    <w:proofErr w:type="spellEnd"/>
    <w:r w:rsidRPr="00FC3A93">
      <w:rPr>
        <w:color w:val="212121"/>
        <w:sz w:val="18"/>
        <w:szCs w:val="18"/>
      </w:rPr>
      <w:t xml:space="preserve"> </w:t>
    </w:r>
    <w:proofErr w:type="spellStart"/>
    <w:r w:rsidRPr="00FC3A93">
      <w:rPr>
        <w:color w:val="212121"/>
        <w:sz w:val="18"/>
        <w:szCs w:val="18"/>
      </w:rPr>
      <w:t>kaupiami</w:t>
    </w:r>
    <w:proofErr w:type="spellEnd"/>
    <w:r w:rsidRPr="00FC3A93">
      <w:rPr>
        <w:color w:val="212121"/>
        <w:sz w:val="18"/>
        <w:szCs w:val="18"/>
      </w:rPr>
      <w:t xml:space="preserve"> </w:t>
    </w:r>
    <w:proofErr w:type="spellStart"/>
    <w:r w:rsidRPr="00FC3A93">
      <w:rPr>
        <w:color w:val="212121"/>
        <w:sz w:val="18"/>
        <w:szCs w:val="18"/>
      </w:rPr>
      <w:t>ir</w:t>
    </w:r>
    <w:proofErr w:type="spellEnd"/>
    <w:r w:rsidRPr="00FC3A93">
      <w:rPr>
        <w:color w:val="212121"/>
        <w:sz w:val="18"/>
        <w:szCs w:val="18"/>
      </w:rPr>
      <w:t xml:space="preserve"> </w:t>
    </w:r>
    <w:proofErr w:type="spellStart"/>
    <w:r w:rsidRPr="00FC3A93">
      <w:rPr>
        <w:color w:val="212121"/>
        <w:sz w:val="18"/>
        <w:szCs w:val="18"/>
      </w:rPr>
      <w:t>saugomi</w:t>
    </w:r>
    <w:proofErr w:type="spellEnd"/>
    <w:r w:rsidRPr="00FC3A93">
      <w:rPr>
        <w:color w:val="212121"/>
        <w:sz w:val="18"/>
        <w:szCs w:val="18"/>
      </w:rPr>
      <w:t xml:space="preserve"> </w:t>
    </w:r>
    <w:proofErr w:type="spellStart"/>
    <w:r w:rsidRPr="00FC3A93">
      <w:rPr>
        <w:color w:val="212121"/>
        <w:sz w:val="18"/>
        <w:szCs w:val="18"/>
      </w:rPr>
      <w:t>Juridinių</w:t>
    </w:r>
    <w:proofErr w:type="spellEnd"/>
    <w:r w:rsidRPr="00FC3A93">
      <w:rPr>
        <w:color w:val="212121"/>
        <w:sz w:val="18"/>
        <w:szCs w:val="18"/>
      </w:rPr>
      <w:t xml:space="preserve"> </w:t>
    </w:r>
    <w:proofErr w:type="spellStart"/>
    <w:r w:rsidRPr="00FC3A93">
      <w:rPr>
        <w:color w:val="212121"/>
        <w:sz w:val="18"/>
        <w:szCs w:val="18"/>
      </w:rPr>
      <w:t>asmenų</w:t>
    </w:r>
    <w:proofErr w:type="spellEnd"/>
    <w:r w:rsidRPr="00FC3A93">
      <w:rPr>
        <w:color w:val="212121"/>
        <w:sz w:val="18"/>
        <w:szCs w:val="18"/>
      </w:rPr>
      <w:t xml:space="preserve"> </w:t>
    </w:r>
    <w:proofErr w:type="spellStart"/>
    <w:r w:rsidRPr="00FC3A93">
      <w:rPr>
        <w:color w:val="212121"/>
        <w:sz w:val="18"/>
        <w:szCs w:val="18"/>
      </w:rPr>
      <w:t>registre</w:t>
    </w:r>
    <w:proofErr w:type="spellEnd"/>
    <w:r w:rsidRPr="00FC3A93">
      <w:rPr>
        <w:color w:val="212121"/>
        <w:sz w:val="18"/>
        <w:szCs w:val="18"/>
      </w:rPr>
      <w:t xml:space="preserve">, </w:t>
    </w:r>
    <w:proofErr w:type="spellStart"/>
    <w:r w:rsidRPr="00FC3A93">
      <w:rPr>
        <w:color w:val="212121"/>
        <w:sz w:val="18"/>
        <w:szCs w:val="18"/>
      </w:rPr>
      <w:t>kodas</w:t>
    </w:r>
    <w:proofErr w:type="spellEnd"/>
    <w:r w:rsidRPr="00FC3A93">
      <w:rPr>
        <w:color w:val="212121"/>
        <w:sz w:val="18"/>
        <w:szCs w:val="18"/>
      </w:rPr>
      <w:t xml:space="preserve"> 191351864</w:t>
    </w:r>
  </w:p>
  <w:p w14:paraId="44782D5D" w14:textId="77777777" w:rsidR="009C0AB2" w:rsidRPr="002D3A38" w:rsidRDefault="009C0AB2" w:rsidP="009C0AB2">
    <w:pPr>
      <w:tabs>
        <w:tab w:val="right" w:pos="9498"/>
      </w:tabs>
      <w:jc w:val="center"/>
      <w:rPr>
        <w:sz w:val="18"/>
        <w:szCs w:val="18"/>
        <w:lang w:val="en-US"/>
      </w:rPr>
    </w:pPr>
  </w:p>
  <w:p w14:paraId="3964FBC2" w14:textId="77777777" w:rsidR="009C0AB2" w:rsidRPr="009C0AB2" w:rsidRDefault="009C0AB2">
    <w:pPr>
      <w:pStyle w:val="Porat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jc w:val="center"/>
      <w:tblBorders>
        <w:top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2463"/>
      <w:gridCol w:w="2427"/>
      <w:gridCol w:w="2426"/>
      <w:gridCol w:w="2251"/>
    </w:tblGrid>
    <w:tr w:rsidR="003C7257" w14:paraId="51205D4F" w14:textId="77777777" w:rsidTr="00A86F2B">
      <w:trPr>
        <w:jc w:val="center"/>
      </w:trPr>
      <w:tc>
        <w:tcPr>
          <w:tcW w:w="9567" w:type="dxa"/>
          <w:gridSpan w:val="4"/>
        </w:tcPr>
        <w:p w14:paraId="1AF17B54" w14:textId="77777777" w:rsidR="0010446B" w:rsidRDefault="00FD55EA" w:rsidP="00245FC5">
          <w:pPr>
            <w:pStyle w:val="Porat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B</w:t>
          </w:r>
          <w:r w:rsidRPr="00386307">
            <w:rPr>
              <w:sz w:val="18"/>
              <w:szCs w:val="18"/>
            </w:rPr>
            <w:t>iudžetinė įstaiga,</w:t>
          </w:r>
          <w:r>
            <w:rPr>
              <w:sz w:val="18"/>
              <w:szCs w:val="18"/>
            </w:rPr>
            <w:t xml:space="preserve"> Studentų g. 45A, LT-08107</w:t>
          </w:r>
          <w:r w:rsidRPr="00386307">
            <w:rPr>
              <w:sz w:val="18"/>
              <w:szCs w:val="18"/>
            </w:rPr>
            <w:t xml:space="preserve"> Vilnius,</w:t>
          </w:r>
        </w:p>
        <w:p w14:paraId="3D14FC11" w14:textId="77777777" w:rsidR="0010446B" w:rsidRPr="00386307" w:rsidRDefault="00FD55EA" w:rsidP="00737E2D">
          <w:pPr>
            <w:pStyle w:val="Porat"/>
            <w:jc w:val="center"/>
            <w:rPr>
              <w:sz w:val="18"/>
              <w:szCs w:val="18"/>
            </w:rPr>
          </w:pPr>
          <w:r w:rsidRPr="00386307">
            <w:rPr>
              <w:sz w:val="18"/>
              <w:szCs w:val="18"/>
            </w:rPr>
            <w:t>tel. (8</w:t>
          </w:r>
          <w:r>
            <w:rPr>
              <w:sz w:val="18"/>
              <w:szCs w:val="18"/>
            </w:rPr>
            <w:t xml:space="preserve"> </w:t>
          </w:r>
          <w:r w:rsidRPr="00386307">
            <w:rPr>
              <w:sz w:val="18"/>
              <w:szCs w:val="18"/>
            </w:rPr>
            <w:t>5) 263 9264, faks. (8</w:t>
          </w:r>
          <w:r>
            <w:rPr>
              <w:sz w:val="18"/>
              <w:szCs w:val="18"/>
            </w:rPr>
            <w:t xml:space="preserve"> </w:t>
          </w:r>
          <w:r w:rsidRPr="00386307">
            <w:rPr>
              <w:sz w:val="18"/>
              <w:szCs w:val="18"/>
            </w:rPr>
            <w:t xml:space="preserve">5) 263 9265, el. p. </w:t>
          </w:r>
          <w:hyperlink r:id="rId1" w:history="1">
            <w:r w:rsidRPr="00386307">
              <w:rPr>
                <w:rStyle w:val="Hipersaitas"/>
                <w:sz w:val="18"/>
                <w:szCs w:val="18"/>
              </w:rPr>
              <w:t>vvkt</w:t>
            </w:r>
            <w:r w:rsidRPr="00386307">
              <w:rPr>
                <w:rStyle w:val="Hipersaitas"/>
                <w:sz w:val="18"/>
                <w:szCs w:val="18"/>
                <w:lang w:val="en-US"/>
              </w:rPr>
              <w:t>@vvkt.lt</w:t>
            </w:r>
          </w:hyperlink>
        </w:p>
        <w:p w14:paraId="6916EBA5" w14:textId="77777777" w:rsidR="0010446B" w:rsidRPr="00EF08D7" w:rsidRDefault="00FD55EA" w:rsidP="00737E2D">
          <w:pPr>
            <w:tabs>
              <w:tab w:val="right" w:pos="9498"/>
            </w:tabs>
            <w:jc w:val="center"/>
            <w:rPr>
              <w:sz w:val="22"/>
              <w:szCs w:val="22"/>
            </w:rPr>
          </w:pPr>
          <w:r>
            <w:rPr>
              <w:sz w:val="18"/>
              <w:szCs w:val="18"/>
            </w:rPr>
            <w:t>Duomeny</w:t>
          </w:r>
          <w:r w:rsidRPr="00386307">
            <w:rPr>
              <w:sz w:val="18"/>
              <w:szCs w:val="18"/>
            </w:rPr>
            <w:t>s kaupiami ir sa</w:t>
          </w:r>
          <w:r>
            <w:rPr>
              <w:sz w:val="18"/>
              <w:szCs w:val="18"/>
            </w:rPr>
            <w:t>ugomi Juridinių asmenų registr</w:t>
          </w:r>
          <w:r w:rsidRPr="00386307">
            <w:rPr>
              <w:sz w:val="18"/>
              <w:szCs w:val="18"/>
            </w:rPr>
            <w:t>e, kodas 191351864</w:t>
          </w:r>
        </w:p>
        <w:p w14:paraId="2F5B001E" w14:textId="77777777" w:rsidR="0010446B" w:rsidRPr="00951573" w:rsidRDefault="0010446B" w:rsidP="00951573">
          <w:pPr>
            <w:pStyle w:val="Porat"/>
            <w:jc w:val="center"/>
            <w:rPr>
              <w:sz w:val="20"/>
              <w:szCs w:val="20"/>
            </w:rPr>
          </w:pPr>
        </w:p>
      </w:tc>
    </w:tr>
    <w:tr w:rsidR="003C7257" w14:paraId="474CD945" w14:textId="77777777" w:rsidTr="00A86F2B">
      <w:trPr>
        <w:jc w:val="center"/>
      </w:trPr>
      <w:tc>
        <w:tcPr>
          <w:tcW w:w="2463" w:type="dxa"/>
        </w:tcPr>
        <w:p w14:paraId="61A87471" w14:textId="77777777" w:rsidR="0010446B" w:rsidRDefault="0010446B">
          <w:pPr>
            <w:pStyle w:val="Porat"/>
            <w:rPr>
              <w:sz w:val="4"/>
              <w:szCs w:val="4"/>
            </w:rPr>
          </w:pPr>
        </w:p>
      </w:tc>
      <w:tc>
        <w:tcPr>
          <w:tcW w:w="2427" w:type="dxa"/>
        </w:tcPr>
        <w:p w14:paraId="1687FD9A" w14:textId="77777777" w:rsidR="0010446B" w:rsidRDefault="0010446B">
          <w:pPr>
            <w:rPr>
              <w:sz w:val="4"/>
              <w:szCs w:val="4"/>
            </w:rPr>
          </w:pPr>
        </w:p>
      </w:tc>
      <w:tc>
        <w:tcPr>
          <w:tcW w:w="2426" w:type="dxa"/>
        </w:tcPr>
        <w:p w14:paraId="7A18BBA8" w14:textId="77777777" w:rsidR="0010446B" w:rsidRDefault="0010446B">
          <w:pPr>
            <w:pStyle w:val="Porat"/>
            <w:rPr>
              <w:sz w:val="4"/>
              <w:szCs w:val="4"/>
            </w:rPr>
          </w:pPr>
        </w:p>
      </w:tc>
      <w:tc>
        <w:tcPr>
          <w:tcW w:w="2251" w:type="dxa"/>
        </w:tcPr>
        <w:p w14:paraId="21E41D82" w14:textId="77777777" w:rsidR="0010446B" w:rsidRDefault="0010446B">
          <w:pPr>
            <w:pStyle w:val="Porat"/>
            <w:rPr>
              <w:sz w:val="4"/>
              <w:szCs w:val="4"/>
            </w:rPr>
          </w:pPr>
        </w:p>
      </w:tc>
    </w:tr>
    <w:tr w:rsidR="003C7257" w14:paraId="0335FC39" w14:textId="77777777" w:rsidTr="008F2ED5">
      <w:trPr>
        <w:jc w:val="center"/>
      </w:trPr>
      <w:tc>
        <w:tcPr>
          <w:tcW w:w="9567" w:type="dxa"/>
          <w:gridSpan w:val="4"/>
        </w:tcPr>
        <w:p w14:paraId="6A380C1F" w14:textId="77777777" w:rsidR="0010446B" w:rsidRDefault="0010446B">
          <w:pPr>
            <w:pStyle w:val="Porat"/>
            <w:rPr>
              <w:i/>
              <w:sz w:val="16"/>
              <w:szCs w:val="16"/>
            </w:rPr>
          </w:pPr>
        </w:p>
      </w:tc>
    </w:tr>
  </w:tbl>
  <w:p w14:paraId="4919CCF4" w14:textId="77777777" w:rsidR="0010446B" w:rsidRDefault="0010446B">
    <w:pPr>
      <w:pStyle w:val="Porat"/>
      <w:jc w:val="right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84A197" w14:textId="77777777" w:rsidR="001F5017" w:rsidRDefault="001F5017">
      <w:r>
        <w:separator/>
      </w:r>
    </w:p>
  </w:footnote>
  <w:footnote w:type="continuationSeparator" w:id="0">
    <w:p w14:paraId="6FD28610" w14:textId="77777777" w:rsidR="001F5017" w:rsidRDefault="001F5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7BFCD7" w14:textId="77777777" w:rsidR="0010446B" w:rsidRDefault="00FD55E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2C9F9721" w14:textId="77777777" w:rsidR="0010446B" w:rsidRDefault="0010446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4995D6" w14:textId="42D79384" w:rsidR="0010446B" w:rsidRDefault="00FD55E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3612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305DEE0" w14:textId="77777777" w:rsidR="0010446B" w:rsidRDefault="0010446B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67"/>
      <w:gridCol w:w="2460"/>
      <w:gridCol w:w="3120"/>
      <w:gridCol w:w="2328"/>
    </w:tblGrid>
    <w:tr w:rsidR="003C7257" w14:paraId="73E470CA" w14:textId="77777777">
      <w:trPr>
        <w:cantSplit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6FA59AA" w14:textId="77777777" w:rsidR="0010446B" w:rsidRDefault="0010446B">
          <w:pPr>
            <w:pStyle w:val="Porat"/>
            <w:tabs>
              <w:tab w:val="left" w:pos="720"/>
            </w:tabs>
            <w:jc w:val="right"/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D4ED51A" w14:textId="77777777" w:rsidR="0010446B" w:rsidRDefault="0010446B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4523A82" w14:textId="77777777" w:rsidR="0010446B" w:rsidRDefault="0010446B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19B7500" w14:textId="77777777" w:rsidR="0010446B" w:rsidRDefault="0010446B">
          <w:pPr>
            <w:pStyle w:val="Antrat2"/>
            <w:jc w:val="right"/>
            <w:rPr>
              <w:sz w:val="24"/>
            </w:rPr>
          </w:pPr>
        </w:p>
      </w:tc>
    </w:tr>
    <w:tr w:rsidR="003C7257" w14:paraId="0FF2D5D7" w14:textId="77777777">
      <w:trPr>
        <w:cantSplit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DC7F5E3" w14:textId="77777777" w:rsidR="0010446B" w:rsidRDefault="0010446B">
          <w:pPr>
            <w:pStyle w:val="Porat"/>
            <w:tabs>
              <w:tab w:val="left" w:pos="720"/>
            </w:tabs>
            <w:jc w:val="right"/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B30CCB9" w14:textId="77777777" w:rsidR="0010446B" w:rsidRDefault="0010446B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A2AA515" w14:textId="77777777" w:rsidR="0010446B" w:rsidRDefault="0010446B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10BE23C" w14:textId="77777777" w:rsidR="0010446B" w:rsidRDefault="0010446B">
          <w:pPr>
            <w:pStyle w:val="Antrat2"/>
            <w:jc w:val="right"/>
            <w:rPr>
              <w:sz w:val="24"/>
            </w:rPr>
          </w:pPr>
        </w:p>
      </w:tc>
    </w:tr>
    <w:tr w:rsidR="003C7257" w14:paraId="1ADD3A8D" w14:textId="77777777">
      <w:trPr>
        <w:cantSplit/>
        <w:trHeight w:val="1713"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shd w:val="clear" w:color="auto" w:fill="CCFFFF"/>
          <w:vAlign w:val="center"/>
        </w:tcPr>
        <w:p w14:paraId="72025BDD" w14:textId="77777777" w:rsidR="0010446B" w:rsidRDefault="00000000">
          <w:pPr>
            <w:pStyle w:val="Porat"/>
            <w:tabs>
              <w:tab w:val="left" w:pos="720"/>
            </w:tabs>
          </w:pPr>
          <w:r>
            <w:rPr>
              <w:noProof/>
            </w:rPr>
            <w:pict w14:anchorId="4255572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ject 1" o:spid="_x0000_s1025" type="#_x0000_t75" alt="" style="position:absolute;margin-left:2.25pt;margin-top:8.25pt;width:70pt;height:69.95pt;z-index:251659264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<v:imagedata r:id="rId1" o:title=""/>
                <o:lock v:ext="edit" rotation="t" cropping="t" verticies="t" grouping="t"/>
              </v:shape>
            </w:pict>
          </w:r>
          <w:r w:rsidR="00FD55EA">
            <w:br w:type="page"/>
          </w:r>
          <w:r w:rsidR="00FD55EA">
            <w:br w:type="page"/>
          </w:r>
          <w:r w:rsidR="00FD55EA">
            <w:br w:type="page"/>
          </w:r>
          <w:r w:rsidR="00FD55EA">
            <w:br w:type="page"/>
          </w: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5F8B276B" w14:textId="77777777" w:rsidR="0010446B" w:rsidRDefault="00FD55EA">
          <w:pPr>
            <w:pStyle w:val="Antrat2"/>
            <w:rPr>
              <w:sz w:val="24"/>
            </w:rPr>
          </w:pPr>
          <w:r>
            <w:rPr>
              <w:sz w:val="24"/>
            </w:rPr>
            <w:t>Valstybinė vaistų kontrolės tarnyba</w:t>
          </w:r>
        </w:p>
        <w:p w14:paraId="787410B4" w14:textId="77777777" w:rsidR="0010446B" w:rsidRDefault="00FD55EA">
          <w:pPr>
            <w:pStyle w:val="Antrat1"/>
          </w:pPr>
          <w:r>
            <w:t>Prie LIETUVOS RESPUBLIKOS</w:t>
          </w:r>
        </w:p>
        <w:p w14:paraId="17B1CB9E" w14:textId="77777777" w:rsidR="0010446B" w:rsidRDefault="00FD55EA">
          <w:pPr>
            <w:pStyle w:val="Antrat1"/>
          </w:pPr>
          <w:r>
            <w:t>sveikatos apsaugos ministerijos</w:t>
          </w:r>
        </w:p>
      </w:tc>
    </w:tr>
    <w:tr w:rsidR="003C7257" w14:paraId="79256328" w14:textId="77777777">
      <w:trPr>
        <w:cantSplit/>
        <w:trHeight w:val="80"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41BF802" w14:textId="77777777" w:rsidR="0010446B" w:rsidRDefault="0010446B">
          <w:pPr>
            <w:pStyle w:val="Porat"/>
            <w:tabs>
              <w:tab w:val="left" w:pos="720"/>
            </w:tabs>
            <w:rPr>
              <w:sz w:val="6"/>
              <w:szCs w:val="16"/>
            </w:rPr>
          </w:pP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300634D4" w14:textId="77777777" w:rsidR="0010446B" w:rsidRDefault="0010446B">
          <w:pPr>
            <w:pStyle w:val="Antrat2"/>
            <w:rPr>
              <w:sz w:val="6"/>
              <w:szCs w:val="16"/>
            </w:rPr>
          </w:pPr>
        </w:p>
      </w:tc>
    </w:tr>
    <w:tr w:rsidR="003C7257" w14:paraId="2D8F3BFB" w14:textId="77777777">
      <w:trPr>
        <w:cantSplit/>
        <w:trHeight w:val="80"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A59F3F0" w14:textId="77777777" w:rsidR="0010446B" w:rsidRDefault="0010446B">
          <w:pPr>
            <w:pStyle w:val="Porat"/>
            <w:tabs>
              <w:tab w:val="left" w:pos="720"/>
            </w:tabs>
          </w:pP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57F00225" w14:textId="77777777" w:rsidR="0010446B" w:rsidRDefault="0010446B">
          <w:pPr>
            <w:pStyle w:val="Antrat2"/>
            <w:rPr>
              <w:sz w:val="24"/>
            </w:rPr>
          </w:pPr>
        </w:p>
      </w:tc>
    </w:tr>
    <w:tr w:rsidR="003C7257" w14:paraId="21ED15AB" w14:textId="77777777">
      <w:trPr>
        <w:cantSplit/>
        <w:trHeight w:val="80"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AFCCD4B" w14:textId="77777777" w:rsidR="0010446B" w:rsidRDefault="0010446B">
          <w:pPr>
            <w:pStyle w:val="Porat"/>
            <w:tabs>
              <w:tab w:val="left" w:pos="720"/>
            </w:tabs>
          </w:pP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7F5CB087" w14:textId="77777777" w:rsidR="0010446B" w:rsidRDefault="0010446B">
          <w:pPr>
            <w:pStyle w:val="Antrat2"/>
            <w:rPr>
              <w:sz w:val="24"/>
            </w:rPr>
          </w:pPr>
        </w:p>
      </w:tc>
    </w:tr>
  </w:tbl>
  <w:p w14:paraId="1F6506E2" w14:textId="77777777" w:rsidR="0010446B" w:rsidRDefault="0010446B">
    <w:pPr>
      <w:pStyle w:val="Antrats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91187D"/>
    <w:multiLevelType w:val="hybridMultilevel"/>
    <w:tmpl w:val="781A225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4E3389"/>
    <w:multiLevelType w:val="hybridMultilevel"/>
    <w:tmpl w:val="A364C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432E15"/>
    <w:multiLevelType w:val="hybridMultilevel"/>
    <w:tmpl w:val="1A12A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5F61C3"/>
    <w:multiLevelType w:val="hybridMultilevel"/>
    <w:tmpl w:val="60D43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0417560">
    <w:abstractNumId w:val="3"/>
  </w:num>
  <w:num w:numId="2" w16cid:durableId="309555123">
    <w:abstractNumId w:val="2"/>
  </w:num>
  <w:num w:numId="3" w16cid:durableId="2120176634">
    <w:abstractNumId w:val="0"/>
  </w:num>
  <w:num w:numId="4" w16cid:durableId="898708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5F2"/>
    <w:rsid w:val="00025E44"/>
    <w:rsid w:val="00046787"/>
    <w:rsid w:val="00066454"/>
    <w:rsid w:val="00080DB9"/>
    <w:rsid w:val="00082671"/>
    <w:rsid w:val="000D345D"/>
    <w:rsid w:val="0010446B"/>
    <w:rsid w:val="001137F1"/>
    <w:rsid w:val="001165F2"/>
    <w:rsid w:val="00123467"/>
    <w:rsid w:val="00135214"/>
    <w:rsid w:val="001401CE"/>
    <w:rsid w:val="00154B38"/>
    <w:rsid w:val="00197042"/>
    <w:rsid w:val="001A465F"/>
    <w:rsid w:val="001D516F"/>
    <w:rsid w:val="001F5017"/>
    <w:rsid w:val="002A0C91"/>
    <w:rsid w:val="002A0F96"/>
    <w:rsid w:val="002A4216"/>
    <w:rsid w:val="002C0709"/>
    <w:rsid w:val="002E6E5A"/>
    <w:rsid w:val="0030743D"/>
    <w:rsid w:val="00312BC5"/>
    <w:rsid w:val="0033612E"/>
    <w:rsid w:val="003607DF"/>
    <w:rsid w:val="0038441A"/>
    <w:rsid w:val="003A52D3"/>
    <w:rsid w:val="003B11DC"/>
    <w:rsid w:val="003D04C3"/>
    <w:rsid w:val="003E53B3"/>
    <w:rsid w:val="004039B0"/>
    <w:rsid w:val="004728A0"/>
    <w:rsid w:val="004A35F7"/>
    <w:rsid w:val="004A479F"/>
    <w:rsid w:val="004B556B"/>
    <w:rsid w:val="004C47BC"/>
    <w:rsid w:val="004D1F5A"/>
    <w:rsid w:val="004E2B3F"/>
    <w:rsid w:val="00503AC2"/>
    <w:rsid w:val="00563FAC"/>
    <w:rsid w:val="00572C18"/>
    <w:rsid w:val="0059583E"/>
    <w:rsid w:val="00595C48"/>
    <w:rsid w:val="005D2847"/>
    <w:rsid w:val="00613362"/>
    <w:rsid w:val="00622897"/>
    <w:rsid w:val="006C6423"/>
    <w:rsid w:val="006F64F1"/>
    <w:rsid w:val="006F7769"/>
    <w:rsid w:val="006F7D17"/>
    <w:rsid w:val="00714572"/>
    <w:rsid w:val="007D62AA"/>
    <w:rsid w:val="007F376F"/>
    <w:rsid w:val="008209CA"/>
    <w:rsid w:val="00892F58"/>
    <w:rsid w:val="008A44CD"/>
    <w:rsid w:val="0091634E"/>
    <w:rsid w:val="009221E9"/>
    <w:rsid w:val="00940052"/>
    <w:rsid w:val="00954853"/>
    <w:rsid w:val="00990F62"/>
    <w:rsid w:val="009A4DF0"/>
    <w:rsid w:val="009A7B90"/>
    <w:rsid w:val="009C0AB2"/>
    <w:rsid w:val="009F06B7"/>
    <w:rsid w:val="00A5196C"/>
    <w:rsid w:val="00A72C58"/>
    <w:rsid w:val="00AB74E9"/>
    <w:rsid w:val="00AF15D3"/>
    <w:rsid w:val="00B269D4"/>
    <w:rsid w:val="00B56721"/>
    <w:rsid w:val="00B72439"/>
    <w:rsid w:val="00C33728"/>
    <w:rsid w:val="00C75D47"/>
    <w:rsid w:val="00CD01E9"/>
    <w:rsid w:val="00CF7088"/>
    <w:rsid w:val="00D030A5"/>
    <w:rsid w:val="00D46E0B"/>
    <w:rsid w:val="00DA3CDD"/>
    <w:rsid w:val="00DB114F"/>
    <w:rsid w:val="00DC599A"/>
    <w:rsid w:val="00DE0BCE"/>
    <w:rsid w:val="00DF2DB6"/>
    <w:rsid w:val="00E65A52"/>
    <w:rsid w:val="00E75EED"/>
    <w:rsid w:val="00E80E66"/>
    <w:rsid w:val="00EC0FC7"/>
    <w:rsid w:val="00EE778D"/>
    <w:rsid w:val="00EF5063"/>
    <w:rsid w:val="00F26125"/>
    <w:rsid w:val="00F316DD"/>
    <w:rsid w:val="00FC3A93"/>
    <w:rsid w:val="00FD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DBCEC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165F2"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1165F2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1165F2"/>
    <w:pPr>
      <w:keepNext/>
      <w:jc w:val="center"/>
      <w:outlineLvl w:val="1"/>
    </w:pPr>
    <w:rPr>
      <w:b/>
      <w:bCs/>
      <w:caps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1165F2"/>
    <w:rPr>
      <w:rFonts w:ascii="Times New Roman" w:eastAsia="Times New Roman" w:hAnsi="Times New Roman" w:cs="Times New Roman"/>
      <w:b/>
      <w:bCs/>
      <w:caps/>
      <w:lang w:val="lt-LT"/>
    </w:rPr>
  </w:style>
  <w:style w:type="character" w:customStyle="1" w:styleId="Antrat2Diagrama">
    <w:name w:val="Antraštė 2 Diagrama"/>
    <w:basedOn w:val="Numatytasispastraiposriftas"/>
    <w:link w:val="Antrat2"/>
    <w:rsid w:val="001165F2"/>
    <w:rPr>
      <w:rFonts w:ascii="Times New Roman" w:eastAsia="Times New Roman" w:hAnsi="Times New Roman" w:cs="Times New Roman"/>
      <w:b/>
      <w:bCs/>
      <w:caps/>
      <w:sz w:val="28"/>
      <w:lang w:val="lt-LT"/>
    </w:rPr>
  </w:style>
  <w:style w:type="paragraph" w:styleId="Antrats">
    <w:name w:val="header"/>
    <w:basedOn w:val="prastasis"/>
    <w:link w:val="AntratsDiagrama"/>
    <w:rsid w:val="001165F2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1165F2"/>
    <w:rPr>
      <w:rFonts w:ascii="Times New Roman" w:eastAsia="Times New Roman" w:hAnsi="Times New Roman" w:cs="Times New Roman"/>
      <w:lang w:val="lt-LT"/>
    </w:rPr>
  </w:style>
  <w:style w:type="paragraph" w:styleId="Porat">
    <w:name w:val="footer"/>
    <w:basedOn w:val="prastasis"/>
    <w:link w:val="PoratDiagrama"/>
    <w:rsid w:val="001165F2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1165F2"/>
    <w:rPr>
      <w:rFonts w:ascii="Times New Roman" w:eastAsia="Times New Roman" w:hAnsi="Times New Roman" w:cs="Times New Roman"/>
      <w:lang w:val="lt-LT"/>
    </w:rPr>
  </w:style>
  <w:style w:type="character" w:styleId="Puslapionumeris">
    <w:name w:val="page number"/>
    <w:basedOn w:val="Numatytasispastraiposriftas"/>
    <w:rsid w:val="001165F2"/>
  </w:style>
  <w:style w:type="character" w:styleId="Hipersaitas">
    <w:name w:val="Hyperlink"/>
    <w:basedOn w:val="Numatytasispastraiposriftas"/>
    <w:uiPriority w:val="99"/>
    <w:rsid w:val="001165F2"/>
    <w:rPr>
      <w:color w:val="0000FF"/>
      <w:u w:val="single"/>
    </w:rPr>
  </w:style>
  <w:style w:type="table" w:styleId="Lentelstinklelis">
    <w:name w:val="Table Grid"/>
    <w:basedOn w:val="prastojilentel"/>
    <w:uiPriority w:val="39"/>
    <w:rsid w:val="001165F2"/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prastasistekstas">
    <w:name w:val="Plain Text"/>
    <w:basedOn w:val="prastasis"/>
    <w:link w:val="PaprastasistekstasDiagrama"/>
    <w:uiPriority w:val="99"/>
    <w:unhideWhenUsed/>
    <w:rsid w:val="001165F2"/>
    <w:rPr>
      <w:rFonts w:ascii="Calibri" w:eastAsiaTheme="minorHAnsi" w:hAnsi="Calibri" w:cs="Calibri"/>
      <w:sz w:val="22"/>
      <w:szCs w:val="22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165F2"/>
    <w:rPr>
      <w:rFonts w:ascii="Calibri" w:hAnsi="Calibri" w:cs="Calibri"/>
      <w:sz w:val="22"/>
      <w:szCs w:val="22"/>
      <w:lang w:val="lt-LT" w:eastAsia="lt-LT"/>
    </w:rPr>
  </w:style>
  <w:style w:type="paragraph" w:styleId="prastasiniatinklio">
    <w:name w:val="Normal (Web)"/>
    <w:basedOn w:val="prastasis"/>
    <w:uiPriority w:val="99"/>
    <w:unhideWhenUsed/>
    <w:rsid w:val="001165F2"/>
    <w:pPr>
      <w:spacing w:before="100" w:beforeAutospacing="1" w:after="100" w:afterAutospacing="1"/>
    </w:pPr>
    <w:rPr>
      <w:lang w:eastAsia="lt-LT"/>
    </w:rPr>
  </w:style>
  <w:style w:type="paragraph" w:customStyle="1" w:styleId="Default">
    <w:name w:val="Default"/>
    <w:rsid w:val="001165F2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lt-LT" w:eastAsia="lt-LT"/>
    </w:rPr>
  </w:style>
  <w:style w:type="character" w:customStyle="1" w:styleId="clear3">
    <w:name w:val="clear3"/>
    <w:basedOn w:val="Numatytasispastraiposriftas"/>
    <w:rsid w:val="001165F2"/>
  </w:style>
  <w:style w:type="character" w:styleId="Komentaronuoroda">
    <w:name w:val="annotation reference"/>
    <w:basedOn w:val="Numatytasispastraiposriftas"/>
    <w:uiPriority w:val="99"/>
    <w:semiHidden/>
    <w:unhideWhenUsed/>
    <w:rsid w:val="009221E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221E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221E9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221E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221E9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221E9"/>
    <w:rPr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221E9"/>
    <w:rPr>
      <w:rFonts w:ascii="Times New Roman" w:eastAsia="Times New Roman" w:hAnsi="Times New Roman" w:cs="Times New Roman"/>
      <w:sz w:val="18"/>
      <w:szCs w:val="18"/>
      <w:lang w:val="lt-LT"/>
    </w:rPr>
  </w:style>
  <w:style w:type="character" w:customStyle="1" w:styleId="UnresolvedMention1">
    <w:name w:val="Unresolved Mention1"/>
    <w:basedOn w:val="Numatytasispastraiposriftas"/>
    <w:uiPriority w:val="99"/>
    <w:rsid w:val="00C33728"/>
    <w:rPr>
      <w:color w:val="605E5C"/>
      <w:shd w:val="clear" w:color="auto" w:fill="E1DFDD"/>
    </w:rPr>
  </w:style>
  <w:style w:type="paragraph" w:customStyle="1" w:styleId="xmsofooter">
    <w:name w:val="x_msofooter"/>
    <w:basedOn w:val="prastasis"/>
    <w:rsid w:val="009C0AB2"/>
    <w:pPr>
      <w:spacing w:before="100" w:beforeAutospacing="1" w:after="100" w:afterAutospacing="1"/>
    </w:pPr>
    <w:rPr>
      <w:lang w:val="en-US"/>
    </w:rPr>
  </w:style>
  <w:style w:type="character" w:customStyle="1" w:styleId="apple-converted-space">
    <w:name w:val="apple-converted-space"/>
    <w:basedOn w:val="Numatytasispastraiposriftas"/>
    <w:rsid w:val="009C0AB2"/>
  </w:style>
  <w:style w:type="paragraph" w:customStyle="1" w:styleId="xmsonormal">
    <w:name w:val="x_msonormal"/>
    <w:basedOn w:val="prastasis"/>
    <w:rsid w:val="009C0AB2"/>
    <w:pPr>
      <w:spacing w:before="100" w:beforeAutospacing="1" w:after="100" w:afterAutospacing="1"/>
    </w:pPr>
    <w:rPr>
      <w:lang w:val="en-US"/>
    </w:rPr>
  </w:style>
  <w:style w:type="paragraph" w:styleId="Sraopastraipa">
    <w:name w:val="List Paragraph"/>
    <w:basedOn w:val="prastasis"/>
    <w:uiPriority w:val="34"/>
    <w:qFormat/>
    <w:rsid w:val="002A0F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isterija@sam.l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vkt@vvkt.l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vvkt@vvkt.l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FA7DBD1-BE8C-434A-AECD-CA2CABA32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2863</Words>
  <Characters>1632</Characters>
  <Application>Microsoft Office Word</Application>
  <DocSecurity>0</DocSecurity>
  <Lines>13</Lines>
  <Paragraphs>8</Paragraphs>
  <ScaleCrop>false</ScaleCrop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2024-05-30T20:23:00Z</dcterms:created>
  <dcterms:modified xsi:type="dcterms:W3CDTF">2024-05-30T20:23:00Z</dcterms:modified>
</cp:coreProperties>
</file>