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822055" w:rsidRDefault="001B3C5B" w:rsidP="001B3C5B">
      <w:pPr>
        <w:ind w:left="6096"/>
      </w:pPr>
      <w:r w:rsidRPr="00822055">
        <w:t>Forma patvirtinta</w:t>
      </w:r>
    </w:p>
    <w:p w14:paraId="7206970B" w14:textId="70E9BD2E" w:rsidR="004C263A" w:rsidRPr="00822055" w:rsidRDefault="001B3C5B" w:rsidP="001B3C5B">
      <w:pPr>
        <w:ind w:left="6096"/>
      </w:pPr>
      <w:r w:rsidRPr="00822055">
        <w:t>Valstybinės vaistų kontrolės tarnybos prie Lietuvos Respublikos sveikatos apsaugos ministerijos viršininko 2021 m</w:t>
      </w:r>
      <w:r w:rsidR="004C263A" w:rsidRPr="00822055">
        <w:t xml:space="preserve">. lapkričio 12 </w:t>
      </w:r>
      <w:r w:rsidRPr="00822055">
        <w:t>d. įsakymu Nr.</w:t>
      </w:r>
      <w:r w:rsidR="004C263A" w:rsidRPr="00822055">
        <w:t xml:space="preserve"> (1.72E)1A-1418</w:t>
      </w:r>
    </w:p>
    <w:p w14:paraId="5B219AA6" w14:textId="520B9136" w:rsidR="001B3C5B" w:rsidRPr="00822055" w:rsidRDefault="004C263A" w:rsidP="001B3C5B">
      <w:pPr>
        <w:ind w:left="6096"/>
      </w:pPr>
      <w:r w:rsidRPr="00822055">
        <w:t>(Valstybinės vaistų kontrolės tarnybos prie Lietuvos Respublikos sveikatos apsaugos ministerijos viršininko 2022 m.                         d. įsakymo Nr.                    redakcija)</w:t>
      </w:r>
    </w:p>
    <w:p w14:paraId="3336BD74" w14:textId="77777777" w:rsidR="001B3C5B" w:rsidRPr="00822055" w:rsidRDefault="001B3C5B" w:rsidP="00FA4169"/>
    <w:p w14:paraId="77AFB67E" w14:textId="16397257" w:rsidR="00613501" w:rsidRPr="00822055" w:rsidRDefault="002F0E4F" w:rsidP="003B211A">
      <w:pPr>
        <w:jc w:val="center"/>
        <w:rPr>
          <w:b/>
          <w:bCs/>
          <w:caps/>
        </w:rPr>
      </w:pPr>
      <w:r w:rsidRPr="00822055">
        <w:rPr>
          <w:b/>
        </w:rPr>
        <w:t xml:space="preserve">REKOMENDACIJA DĖL VAISTINIO PREPARATO </w:t>
      </w:r>
      <w:r w:rsidRPr="00822055">
        <w:rPr>
          <w:b/>
          <w:bCs/>
          <w:caps/>
        </w:rPr>
        <w:t>Lietuvos Respublikos Sveikatos apsaugos ministerijos vaistinių preparatų ir medicinos pagalbos priemonių kompensavimo komisijai</w:t>
      </w:r>
    </w:p>
    <w:p w14:paraId="34E4395D" w14:textId="15FB10DF" w:rsidR="00B13D65" w:rsidRPr="00822055" w:rsidRDefault="00B13D65" w:rsidP="003B211A">
      <w:pPr>
        <w:jc w:val="center"/>
        <w:rPr>
          <w:b/>
        </w:rPr>
      </w:pPr>
    </w:p>
    <w:p w14:paraId="2A9B9AEA" w14:textId="77777777" w:rsidR="006D537C" w:rsidRPr="00822055" w:rsidRDefault="006D537C" w:rsidP="006D537C">
      <w:pPr>
        <w:jc w:val="center"/>
        <w:rPr>
          <w:b/>
        </w:rPr>
      </w:pPr>
      <w:r w:rsidRPr="00822055">
        <w:rPr>
          <w:b/>
        </w:rPr>
        <w:t>Enhertu, 100 mg, milteliai infuzinio tirpalo koncentratui</w:t>
      </w:r>
    </w:p>
    <w:p w14:paraId="2E92CACA" w14:textId="77777777" w:rsidR="006D537C" w:rsidRPr="00822055" w:rsidRDefault="006D537C" w:rsidP="006D537C">
      <w:pPr>
        <w:jc w:val="center"/>
      </w:pPr>
    </w:p>
    <w:p w14:paraId="507A81AC" w14:textId="77777777" w:rsidR="006D537C" w:rsidRPr="00822055" w:rsidRDefault="006D537C" w:rsidP="006D537C">
      <w:pPr>
        <w:jc w:val="center"/>
      </w:pPr>
      <w:r w:rsidRPr="00822055">
        <w:t>(</w:t>
      </w:r>
      <w:r w:rsidRPr="00822055">
        <w:rPr>
          <w:color w:val="000000"/>
        </w:rPr>
        <w:t>Trastuzumabas derukstekanas</w:t>
      </w:r>
      <w:r w:rsidRPr="00822055">
        <w:t>)</w:t>
      </w:r>
    </w:p>
    <w:p w14:paraId="06CD789B" w14:textId="6CF8C714" w:rsidR="006D537C" w:rsidRPr="00822055" w:rsidRDefault="004C41C4" w:rsidP="006D537C">
      <w:pPr>
        <w:jc w:val="center"/>
      </w:pPr>
      <w:r w:rsidRPr="00822055">
        <w:t xml:space="preserve"> </w:t>
      </w:r>
    </w:p>
    <w:p w14:paraId="139892FA" w14:textId="1CE6B181" w:rsidR="006D537C" w:rsidRPr="00822055" w:rsidRDefault="006D537C" w:rsidP="006D537C">
      <w:pPr>
        <w:jc w:val="center"/>
        <w:rPr>
          <w:b/>
        </w:rPr>
      </w:pPr>
      <w:r w:rsidRPr="00822055">
        <w:rPr>
          <w:b/>
        </w:rPr>
        <w:t>Paraiškos numeris STV</w:t>
      </w:r>
      <w:r w:rsidR="00A7183C" w:rsidRPr="00822055">
        <w:rPr>
          <w:b/>
        </w:rPr>
        <w:t>-151</w:t>
      </w:r>
    </w:p>
    <w:p w14:paraId="5BC2EA5D" w14:textId="45A77B4A" w:rsidR="00937907" w:rsidRPr="00822055" w:rsidRDefault="00937907" w:rsidP="00DA7A4B">
      <w:pPr>
        <w:rPr>
          <w:b/>
        </w:rPr>
      </w:pPr>
    </w:p>
    <w:p w14:paraId="453197C8" w14:textId="77777777" w:rsidR="00D4708D" w:rsidRPr="00822055" w:rsidRDefault="00D4708D" w:rsidP="003B211A">
      <w:pPr>
        <w:jc w:val="center"/>
        <w:rPr>
          <w:b/>
        </w:rPr>
      </w:pPr>
    </w:p>
    <w:p w14:paraId="78C89D1C" w14:textId="0DEFFAA5" w:rsidR="00D4485B" w:rsidRPr="00822055" w:rsidRDefault="00B13D65" w:rsidP="00CC09D4">
      <w:pPr>
        <w:pStyle w:val="ListParagraph"/>
        <w:numPr>
          <w:ilvl w:val="0"/>
          <w:numId w:val="12"/>
        </w:numPr>
        <w:tabs>
          <w:tab w:val="left" w:pos="567"/>
        </w:tabs>
        <w:ind w:left="567" w:hanging="567"/>
        <w:rPr>
          <w:b/>
          <w:bCs/>
          <w:caps/>
        </w:rPr>
      </w:pPr>
      <w:r w:rsidRPr="00822055">
        <w:rPr>
          <w:b/>
          <w:bCs/>
          <w:caps/>
        </w:rPr>
        <w:t>Bendroji dalis</w:t>
      </w:r>
    </w:p>
    <w:p w14:paraId="04A7C7A7" w14:textId="77777777" w:rsidR="00B13D65" w:rsidRPr="00822055"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822055" w14:paraId="18A83EC2" w14:textId="77777777" w:rsidTr="00BE7489">
        <w:trPr>
          <w:trHeight w:val="538"/>
        </w:trPr>
        <w:tc>
          <w:tcPr>
            <w:tcW w:w="632" w:type="dxa"/>
          </w:tcPr>
          <w:p w14:paraId="0646FBEA" w14:textId="77777777" w:rsidR="00B13D65" w:rsidRPr="00822055" w:rsidRDefault="00B13D65" w:rsidP="00824B92">
            <w:pPr>
              <w:rPr>
                <w:rFonts w:eastAsia="Arial"/>
              </w:rPr>
            </w:pPr>
            <w:r w:rsidRPr="00822055">
              <w:rPr>
                <w:rFonts w:eastAsia="Arial"/>
              </w:rPr>
              <w:t>1.1</w:t>
            </w:r>
          </w:p>
        </w:tc>
        <w:tc>
          <w:tcPr>
            <w:tcW w:w="3694" w:type="dxa"/>
          </w:tcPr>
          <w:p w14:paraId="6C3AE864" w14:textId="77777777" w:rsidR="00B13D65" w:rsidRPr="00822055" w:rsidRDefault="00B13D65" w:rsidP="00824B92">
            <w:pPr>
              <w:rPr>
                <w:rFonts w:eastAsia="Arial"/>
              </w:rPr>
            </w:pPr>
            <w:r w:rsidRPr="00822055">
              <w:rPr>
                <w:rFonts w:eastAsia="Arial"/>
              </w:rPr>
              <w:t>Pareiškėjas</w:t>
            </w:r>
          </w:p>
          <w:p w14:paraId="2AF240DC" w14:textId="77777777" w:rsidR="00B13D65" w:rsidRPr="00822055" w:rsidRDefault="00B13D65" w:rsidP="00824B92">
            <w:pPr>
              <w:rPr>
                <w:rFonts w:eastAsia="Arial"/>
              </w:rPr>
            </w:pPr>
          </w:p>
        </w:tc>
        <w:tc>
          <w:tcPr>
            <w:tcW w:w="5167" w:type="dxa"/>
          </w:tcPr>
          <w:p w14:paraId="2AAF0D91" w14:textId="41419FA2" w:rsidR="00B13D65" w:rsidRPr="00822055" w:rsidRDefault="004640B6" w:rsidP="00824B92">
            <w:pPr>
              <w:rPr>
                <w:rFonts w:eastAsia="Arial"/>
              </w:rPr>
            </w:pPr>
            <w:r w:rsidRPr="00822055">
              <w:t>UAB „AstraZeneca Lietuva“</w:t>
            </w:r>
          </w:p>
        </w:tc>
      </w:tr>
      <w:tr w:rsidR="00B13D65" w:rsidRPr="00822055" w14:paraId="31998B0D" w14:textId="77777777" w:rsidTr="00BE7489">
        <w:trPr>
          <w:trHeight w:val="538"/>
        </w:trPr>
        <w:tc>
          <w:tcPr>
            <w:tcW w:w="632" w:type="dxa"/>
          </w:tcPr>
          <w:p w14:paraId="2005EC67" w14:textId="662300D0" w:rsidR="00B13D65" w:rsidRPr="00822055" w:rsidRDefault="002E0702" w:rsidP="00824B92">
            <w:pPr>
              <w:rPr>
                <w:rFonts w:eastAsia="Arial"/>
              </w:rPr>
            </w:pPr>
            <w:r w:rsidRPr="00822055">
              <w:rPr>
                <w:rFonts w:eastAsia="Arial"/>
              </w:rPr>
              <w:t>1.2</w:t>
            </w:r>
          </w:p>
        </w:tc>
        <w:tc>
          <w:tcPr>
            <w:tcW w:w="3694" w:type="dxa"/>
          </w:tcPr>
          <w:p w14:paraId="1E4AE3B1" w14:textId="77777777" w:rsidR="00B13D65" w:rsidRPr="00822055" w:rsidRDefault="00B13D65" w:rsidP="00824B92">
            <w:pPr>
              <w:rPr>
                <w:bCs/>
                <w:color w:val="000000"/>
                <w:lang w:eastAsia="lt-LT"/>
              </w:rPr>
            </w:pPr>
            <w:r w:rsidRPr="00822055">
              <w:rPr>
                <w:bCs/>
                <w:color w:val="000000"/>
                <w:lang w:eastAsia="lt-LT"/>
              </w:rPr>
              <w:t xml:space="preserve">Registracijos data </w:t>
            </w:r>
          </w:p>
          <w:p w14:paraId="3A0DC096" w14:textId="77777777" w:rsidR="00B13D65" w:rsidRPr="00822055" w:rsidRDefault="00B13D65" w:rsidP="00824B92">
            <w:pPr>
              <w:rPr>
                <w:bCs/>
                <w:color w:val="000000"/>
                <w:lang w:eastAsia="lt-LT"/>
              </w:rPr>
            </w:pPr>
          </w:p>
        </w:tc>
        <w:tc>
          <w:tcPr>
            <w:tcW w:w="5167" w:type="dxa"/>
          </w:tcPr>
          <w:p w14:paraId="3CA218AD" w14:textId="284A95CF" w:rsidR="00B13D65" w:rsidRPr="00822055"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fullDate="2021-01-18T00:00:00Z">
                  <w:dateFormat w:val="yyyy 'm.' MMMM d 'd.'"/>
                  <w:lid w:val="lt-LT"/>
                  <w:storeMappedDataAs w:val="dateTime"/>
                  <w:calendar w:val="gregorian"/>
                </w:date>
              </w:sdtPr>
              <w:sdtEndPr>
                <w:rPr>
                  <w:sz w:val="24"/>
                </w:rPr>
              </w:sdtEndPr>
              <w:sdtContent>
                <w:r w:rsidR="004640B6" w:rsidRPr="00822055">
                  <w:t>2021 m. sausio 18 d.</w:t>
                </w:r>
              </w:sdtContent>
            </w:sdt>
          </w:p>
        </w:tc>
      </w:tr>
      <w:tr w:rsidR="00B13D65" w:rsidRPr="00822055" w14:paraId="15968AE1" w14:textId="77777777" w:rsidTr="00BE7489">
        <w:trPr>
          <w:trHeight w:val="1500"/>
        </w:trPr>
        <w:tc>
          <w:tcPr>
            <w:tcW w:w="632" w:type="dxa"/>
          </w:tcPr>
          <w:p w14:paraId="6A784245" w14:textId="1E461489" w:rsidR="00B13D65" w:rsidRPr="00822055" w:rsidRDefault="002E0702" w:rsidP="00824B92">
            <w:pPr>
              <w:rPr>
                <w:rFonts w:eastAsia="Arial"/>
              </w:rPr>
            </w:pPr>
            <w:r w:rsidRPr="00822055">
              <w:rPr>
                <w:rFonts w:eastAsia="Arial"/>
              </w:rPr>
              <w:t>1.3</w:t>
            </w:r>
          </w:p>
        </w:tc>
        <w:tc>
          <w:tcPr>
            <w:tcW w:w="3694" w:type="dxa"/>
          </w:tcPr>
          <w:p w14:paraId="22933506" w14:textId="77777777" w:rsidR="00B13D65" w:rsidRPr="00822055" w:rsidRDefault="00B13D65" w:rsidP="00824B92">
            <w:r w:rsidRPr="00822055">
              <w:t xml:space="preserve">Paraiškos tipas </w:t>
            </w:r>
          </w:p>
          <w:p w14:paraId="0465E680" w14:textId="7F0A0714" w:rsidR="00B13D65" w:rsidRPr="00822055" w:rsidRDefault="00B13D65" w:rsidP="00824B92">
            <w:r w:rsidRPr="00822055">
              <w:t>(</w:t>
            </w:r>
            <w:r w:rsidR="00695CD3" w:rsidRPr="00822055">
              <w:t xml:space="preserve">pagal </w:t>
            </w:r>
            <w:r w:rsidR="0039696E" w:rsidRPr="00822055">
              <w:rPr>
                <w:color w:val="333333"/>
                <w:shd w:val="clear" w:color="auto" w:fill="FFFFFF"/>
              </w:rPr>
              <w:t>vaistinio preparato registracijos tipą, įtvirtintą</w:t>
            </w:r>
            <w:r w:rsidR="0039696E" w:rsidRPr="00822055">
              <w:t xml:space="preserve"> </w:t>
            </w:r>
            <w:r w:rsidRPr="00822055">
              <w:t>Direktyv</w:t>
            </w:r>
            <w:r w:rsidR="00695CD3" w:rsidRPr="00822055">
              <w:t>os</w:t>
            </w:r>
            <w:r w:rsidRPr="00822055">
              <w:t xml:space="preserve"> 2001/83/EB</w:t>
            </w:r>
            <w:r w:rsidR="00695CD3" w:rsidRPr="00822055">
              <w:t xml:space="preserve"> straips</w:t>
            </w:r>
            <w:r w:rsidR="0039696E" w:rsidRPr="00822055">
              <w:t>iuose</w:t>
            </w:r>
            <w:r w:rsidRPr="00822055">
              <w:t>)</w:t>
            </w:r>
          </w:p>
          <w:p w14:paraId="77089D80" w14:textId="6681D72A" w:rsidR="00B13D65" w:rsidRPr="00822055" w:rsidRDefault="00B13D65" w:rsidP="00824B92">
            <w:pPr>
              <w:rPr>
                <w:bCs/>
                <w:color w:val="000000"/>
                <w:lang w:eastAsia="lt-LT"/>
              </w:rPr>
            </w:pPr>
          </w:p>
        </w:tc>
        <w:tc>
          <w:tcPr>
            <w:tcW w:w="5167" w:type="dxa"/>
          </w:tcPr>
          <w:p w14:paraId="208F40EC" w14:textId="2F4EA9C5" w:rsidR="00B13D65" w:rsidRPr="00822055"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sidRPr="00822055">
                  <w:rPr>
                    <w:rStyle w:val="Style2"/>
                    <w:rFonts w:ascii="MS Gothic" w:eastAsia="MS Gothic" w:hAnsi="MS Gothic" w:hint="eastAsia"/>
                    <w:sz w:val="22"/>
                    <w:szCs w:val="22"/>
                  </w:rPr>
                  <w:t>☒</w:t>
                </w:r>
              </w:sdtContent>
            </w:sdt>
            <w:r w:rsidR="00B13D65" w:rsidRPr="00822055">
              <w:rPr>
                <w:sz w:val="22"/>
                <w:szCs w:val="22"/>
              </w:rPr>
              <w:t xml:space="preserve">8.3 str. (pilna byla, pagrįsta savais tyrimais) </w:t>
            </w:r>
          </w:p>
          <w:p w14:paraId="32BA564E" w14:textId="3FDA3E01" w:rsidR="00B13D65" w:rsidRPr="00822055"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822055">
                  <w:rPr>
                    <w:rStyle w:val="Style2"/>
                    <w:rFonts w:ascii="Segoe UI Symbol" w:eastAsia="MS Gothic" w:hAnsi="Segoe UI Symbol" w:cs="Segoe UI Symbol"/>
                    <w:sz w:val="22"/>
                    <w:szCs w:val="22"/>
                  </w:rPr>
                  <w:t>☐</w:t>
                </w:r>
              </w:sdtContent>
            </w:sdt>
            <w:r w:rsidR="00B13D65" w:rsidRPr="00822055">
              <w:rPr>
                <w:sz w:val="22"/>
                <w:szCs w:val="22"/>
              </w:rPr>
              <w:t xml:space="preserve">10 a str. (pripažintas medicininis vartojimas) </w:t>
            </w:r>
          </w:p>
          <w:p w14:paraId="318DCD7F" w14:textId="32333E53" w:rsidR="00B13D65" w:rsidRPr="00822055"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822055">
                  <w:rPr>
                    <w:rStyle w:val="Style2"/>
                    <w:rFonts w:ascii="Segoe UI Symbol" w:eastAsia="MS Gothic" w:hAnsi="Segoe UI Symbol" w:cs="Segoe UI Symbol"/>
                    <w:sz w:val="22"/>
                    <w:szCs w:val="22"/>
                  </w:rPr>
                  <w:t>☐</w:t>
                </w:r>
              </w:sdtContent>
            </w:sdt>
            <w:r w:rsidR="00B13D65" w:rsidRPr="00822055">
              <w:rPr>
                <w:sz w:val="22"/>
                <w:szCs w:val="22"/>
              </w:rPr>
              <w:t>10.1 str. (generinis)</w:t>
            </w:r>
          </w:p>
          <w:p w14:paraId="3B0A4F72" w14:textId="3F5FB073" w:rsidR="00B13D65" w:rsidRPr="00822055"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822055">
                  <w:rPr>
                    <w:rStyle w:val="Style2"/>
                    <w:rFonts w:ascii="Segoe UI Symbol" w:eastAsia="MS Gothic" w:hAnsi="Segoe UI Symbol" w:cs="Segoe UI Symbol"/>
                    <w:sz w:val="22"/>
                    <w:szCs w:val="22"/>
                  </w:rPr>
                  <w:t>☐</w:t>
                </w:r>
              </w:sdtContent>
            </w:sdt>
            <w:r w:rsidR="00B13D65" w:rsidRPr="00822055">
              <w:rPr>
                <w:sz w:val="22"/>
                <w:szCs w:val="22"/>
              </w:rPr>
              <w:t>10.3 str. (hibridinis)</w:t>
            </w:r>
          </w:p>
        </w:tc>
      </w:tr>
      <w:tr w:rsidR="00B13D65" w:rsidRPr="00822055" w14:paraId="310E9662" w14:textId="77777777" w:rsidTr="00BE7489">
        <w:trPr>
          <w:trHeight w:val="1442"/>
        </w:trPr>
        <w:tc>
          <w:tcPr>
            <w:tcW w:w="632" w:type="dxa"/>
          </w:tcPr>
          <w:p w14:paraId="4B5A91A2" w14:textId="561B5E5F" w:rsidR="00B13D65" w:rsidRPr="00822055" w:rsidRDefault="00B13D65" w:rsidP="00824B92">
            <w:pPr>
              <w:rPr>
                <w:rFonts w:eastAsia="Arial"/>
              </w:rPr>
            </w:pPr>
            <w:r w:rsidRPr="00822055">
              <w:rPr>
                <w:rFonts w:eastAsia="Arial"/>
              </w:rPr>
              <w:t>1.</w:t>
            </w:r>
            <w:r w:rsidR="002E0702" w:rsidRPr="00822055">
              <w:rPr>
                <w:rFonts w:eastAsia="Arial"/>
              </w:rPr>
              <w:t>4</w:t>
            </w:r>
          </w:p>
        </w:tc>
        <w:tc>
          <w:tcPr>
            <w:tcW w:w="3694" w:type="dxa"/>
          </w:tcPr>
          <w:p w14:paraId="6C91E105" w14:textId="77777777" w:rsidR="00B13D65" w:rsidRPr="00822055" w:rsidRDefault="00B13D65" w:rsidP="00824B92">
            <w:pPr>
              <w:rPr>
                <w:bCs/>
                <w:color w:val="000000"/>
                <w:lang w:eastAsia="lt-LT"/>
              </w:rPr>
            </w:pPr>
            <w:r w:rsidRPr="00822055">
              <w:rPr>
                <w:bCs/>
                <w:color w:val="000000"/>
                <w:lang w:eastAsia="lt-LT"/>
              </w:rPr>
              <w:t xml:space="preserve">Ar vaistinis preparatas įrašytas į Bendrijos retųjų vaistinių preparatų registrą? </w:t>
            </w:r>
          </w:p>
          <w:p w14:paraId="483071A3" w14:textId="2FEB27F0" w:rsidR="00B13D65" w:rsidRPr="00822055" w:rsidRDefault="00B13D65" w:rsidP="00824B92">
            <w:pPr>
              <w:rPr>
                <w:bCs/>
                <w:color w:val="000000"/>
                <w:lang w:eastAsia="lt-LT"/>
              </w:rPr>
            </w:pPr>
          </w:p>
        </w:tc>
        <w:tc>
          <w:tcPr>
            <w:tcW w:w="5167" w:type="dxa"/>
          </w:tcPr>
          <w:p w14:paraId="05845C60" w14:textId="10CF4033" w:rsidR="00B13D65" w:rsidRPr="00822055"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822055">
                  <w:rPr>
                    <w:rStyle w:val="Style2"/>
                    <w:rFonts w:ascii="MS Gothic" w:eastAsia="MS Gothic" w:hAnsi="MS Gothic" w:hint="eastAsia"/>
                    <w:sz w:val="24"/>
                  </w:rPr>
                  <w:t>☐</w:t>
                </w:r>
              </w:sdtContent>
            </w:sdt>
            <w:r w:rsidR="00B13D65" w:rsidRPr="00822055">
              <w:t xml:space="preserve"> Taip</w:t>
            </w:r>
          </w:p>
          <w:p w14:paraId="41D88067" w14:textId="50A2D786" w:rsidR="00B13D65" w:rsidRPr="00822055"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sidRPr="00822055">
                  <w:rPr>
                    <w:rStyle w:val="Style2"/>
                    <w:rFonts w:ascii="MS Gothic" w:eastAsia="MS Gothic" w:hAnsi="MS Gothic" w:hint="eastAsia"/>
                    <w:sz w:val="24"/>
                  </w:rPr>
                  <w:t>☒</w:t>
                </w:r>
              </w:sdtContent>
            </w:sdt>
            <w:r w:rsidR="00B13D65" w:rsidRPr="00822055">
              <w:t xml:space="preserve"> Ne</w:t>
            </w:r>
          </w:p>
          <w:p w14:paraId="29C2CBBB" w14:textId="77777777" w:rsidR="00B13D65" w:rsidRPr="00822055"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822055">
                  <w:rPr>
                    <w:rStyle w:val="PlaceholderText"/>
                  </w:rPr>
                  <w:t>Click here to enter a date.</w:t>
                </w:r>
              </w:sdtContent>
            </w:sdt>
          </w:p>
        </w:tc>
      </w:tr>
      <w:tr w:rsidR="00D417D2" w:rsidRPr="00822055" w14:paraId="7841E5F8" w14:textId="77777777" w:rsidTr="00BE7489">
        <w:trPr>
          <w:trHeight w:val="476"/>
        </w:trPr>
        <w:tc>
          <w:tcPr>
            <w:tcW w:w="632" w:type="dxa"/>
          </w:tcPr>
          <w:p w14:paraId="109D2861" w14:textId="73BF27DF" w:rsidR="00D417D2" w:rsidRPr="00822055" w:rsidRDefault="00D417D2" w:rsidP="00824B92">
            <w:pPr>
              <w:rPr>
                <w:rFonts w:eastAsia="Arial"/>
              </w:rPr>
            </w:pPr>
            <w:r w:rsidRPr="00822055">
              <w:rPr>
                <w:rFonts w:eastAsia="Arial"/>
              </w:rPr>
              <w:t>1.5</w:t>
            </w:r>
          </w:p>
        </w:tc>
        <w:tc>
          <w:tcPr>
            <w:tcW w:w="3694" w:type="dxa"/>
          </w:tcPr>
          <w:p w14:paraId="7822D63E" w14:textId="68C38334" w:rsidR="00D417D2" w:rsidRPr="00822055" w:rsidRDefault="00D417D2" w:rsidP="00824B92">
            <w:pPr>
              <w:rPr>
                <w:bCs/>
                <w:color w:val="000000"/>
                <w:lang w:eastAsia="lt-LT"/>
              </w:rPr>
            </w:pPr>
            <w:r w:rsidRPr="00822055">
              <w:t>STV paraiškos pobūdis</w:t>
            </w:r>
          </w:p>
        </w:tc>
        <w:tc>
          <w:tcPr>
            <w:tcW w:w="5167" w:type="dxa"/>
          </w:tcPr>
          <w:p w14:paraId="403461B9" w14:textId="68A37216" w:rsidR="00D417D2" w:rsidRPr="00822055"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sidRPr="00822055">
                  <w:rPr>
                    <w:rStyle w:val="Style2"/>
                    <w:rFonts w:ascii="MS Gothic" w:eastAsia="MS Gothic" w:hAnsi="MS Gothic" w:hint="eastAsia"/>
                    <w:sz w:val="24"/>
                  </w:rPr>
                  <w:t>☒</w:t>
                </w:r>
              </w:sdtContent>
            </w:sdt>
            <w:r w:rsidR="00D417D2" w:rsidRPr="00822055">
              <w:t xml:space="preserve"> Pilna paraiška</w:t>
            </w:r>
          </w:p>
          <w:p w14:paraId="6B8213E3" w14:textId="3495CDF4" w:rsidR="00D417D2" w:rsidRPr="00822055"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822055">
                  <w:rPr>
                    <w:rStyle w:val="Style2"/>
                    <w:rFonts w:ascii="MS Gothic" w:eastAsia="MS Gothic" w:hAnsi="MS Gothic" w:hint="eastAsia"/>
                    <w:sz w:val="24"/>
                  </w:rPr>
                  <w:t>☐</w:t>
                </w:r>
              </w:sdtContent>
            </w:sdt>
            <w:r w:rsidR="00D417D2" w:rsidRPr="00822055">
              <w:t xml:space="preserve"> Supaprastinta paraiška</w:t>
            </w:r>
          </w:p>
        </w:tc>
      </w:tr>
      <w:tr w:rsidR="00B13D65" w:rsidRPr="00822055" w14:paraId="274D1DAF" w14:textId="77777777" w:rsidTr="006407B1">
        <w:trPr>
          <w:trHeight w:val="2600"/>
        </w:trPr>
        <w:tc>
          <w:tcPr>
            <w:tcW w:w="632" w:type="dxa"/>
          </w:tcPr>
          <w:p w14:paraId="17ABF217" w14:textId="14AC00D7" w:rsidR="00B13D65" w:rsidRPr="00822055" w:rsidRDefault="00B13D65" w:rsidP="00824B92">
            <w:pPr>
              <w:rPr>
                <w:rFonts w:eastAsia="Arial"/>
              </w:rPr>
            </w:pPr>
            <w:r w:rsidRPr="00822055">
              <w:rPr>
                <w:rFonts w:eastAsia="Arial"/>
              </w:rPr>
              <w:lastRenderedPageBreak/>
              <w:t>1.</w:t>
            </w:r>
            <w:r w:rsidR="00D417D2" w:rsidRPr="00822055">
              <w:rPr>
                <w:rFonts w:eastAsia="Arial"/>
              </w:rPr>
              <w:t>6</w:t>
            </w:r>
          </w:p>
        </w:tc>
        <w:tc>
          <w:tcPr>
            <w:tcW w:w="3694" w:type="dxa"/>
          </w:tcPr>
          <w:p w14:paraId="4D49DBF5" w14:textId="77777777" w:rsidR="007656B2" w:rsidRPr="00822055" w:rsidRDefault="00DE4484" w:rsidP="00824B92">
            <w:pPr>
              <w:rPr>
                <w:bCs/>
                <w:color w:val="000000"/>
                <w:lang w:eastAsia="lt-LT"/>
              </w:rPr>
            </w:pPr>
            <w:r w:rsidRPr="00822055">
              <w:rPr>
                <w:bCs/>
                <w:color w:val="000000"/>
                <w:lang w:eastAsia="lt-LT"/>
              </w:rPr>
              <w:t>Par</w:t>
            </w:r>
            <w:r w:rsidR="007656B2" w:rsidRPr="00822055">
              <w:rPr>
                <w:bCs/>
                <w:color w:val="000000"/>
                <w:lang w:eastAsia="lt-LT"/>
              </w:rPr>
              <w:t>eiškėjo t</w:t>
            </w:r>
            <w:r w:rsidR="00B13D65" w:rsidRPr="00822055">
              <w:rPr>
                <w:bCs/>
                <w:color w:val="000000"/>
                <w:lang w:eastAsia="lt-LT"/>
              </w:rPr>
              <w:t>eikiama (-os) kompensuoti vaistinio preparato indikacija (-os)</w:t>
            </w:r>
          </w:p>
          <w:p w14:paraId="150C5C6F" w14:textId="77777777" w:rsidR="00D970E4" w:rsidRPr="00822055" w:rsidRDefault="00D970E4" w:rsidP="00824B92">
            <w:pPr>
              <w:rPr>
                <w:bCs/>
                <w:color w:val="000000"/>
                <w:lang w:eastAsia="lt-LT"/>
              </w:rPr>
            </w:pPr>
          </w:p>
          <w:p w14:paraId="3A6B054C" w14:textId="77777777" w:rsidR="00AE1322" w:rsidRPr="00822055" w:rsidRDefault="00AE1322" w:rsidP="00824B92">
            <w:pPr>
              <w:rPr>
                <w:bCs/>
                <w:color w:val="000000"/>
                <w:lang w:eastAsia="lt-LT"/>
              </w:rPr>
            </w:pPr>
          </w:p>
          <w:p w14:paraId="6B4FEEC1" w14:textId="378668B0" w:rsidR="00B13D65" w:rsidRPr="00822055" w:rsidRDefault="007656B2" w:rsidP="00824B92">
            <w:pPr>
              <w:rPr>
                <w:bCs/>
                <w:color w:val="000000"/>
                <w:lang w:eastAsia="lt-LT"/>
              </w:rPr>
            </w:pPr>
            <w:r w:rsidRPr="00822055">
              <w:rPr>
                <w:bCs/>
                <w:color w:val="000000"/>
                <w:lang w:eastAsia="lt-LT"/>
              </w:rPr>
              <w:t>K</w:t>
            </w:r>
            <w:r w:rsidR="00B13D65" w:rsidRPr="00822055">
              <w:rPr>
                <w:bCs/>
                <w:color w:val="000000"/>
                <w:lang w:eastAsia="lt-LT"/>
              </w:rPr>
              <w:t>odas</w:t>
            </w:r>
            <w:r w:rsidRPr="00822055">
              <w:rPr>
                <w:bCs/>
                <w:color w:val="000000"/>
                <w:lang w:eastAsia="lt-LT"/>
              </w:rPr>
              <w:t xml:space="preserve"> pagal TLK-10 AM</w:t>
            </w:r>
          </w:p>
        </w:tc>
        <w:tc>
          <w:tcPr>
            <w:tcW w:w="5167" w:type="dxa"/>
          </w:tcPr>
          <w:p w14:paraId="4A5DCBEA" w14:textId="77777777" w:rsidR="006663AB" w:rsidRDefault="006407B1" w:rsidP="006663AB">
            <w:pPr>
              <w:spacing w:after="120"/>
              <w:jc w:val="both"/>
              <w:rPr>
                <w:rFonts w:asciiTheme="majorBidi" w:hAnsiTheme="majorBidi" w:cstheme="majorBidi"/>
              </w:rPr>
            </w:pPr>
            <w:r w:rsidRPr="00822055">
              <w:rPr>
                <w:rFonts w:asciiTheme="majorBidi" w:hAnsiTheme="majorBidi" w:cstheme="majorBidi"/>
              </w:rPr>
              <w:t>Enhertu monoterapija skiriama nerezekuotinu arba metastazavusiu HER2 teigiamu krūties vėžiu sergantiems suaugusiems pacientams, kuriems jau taikytas vienas arba daugiau prieš HER2 nukreiptų gydymo režimų.</w:t>
            </w:r>
          </w:p>
          <w:p w14:paraId="13F7DFB0" w14:textId="6CC33729" w:rsidR="0014052F" w:rsidRPr="00822055" w:rsidRDefault="0014052F" w:rsidP="006663AB">
            <w:pPr>
              <w:spacing w:after="120"/>
              <w:jc w:val="both"/>
            </w:pPr>
            <w:r>
              <w:rPr>
                <w:rFonts w:asciiTheme="majorBidi" w:hAnsiTheme="majorBidi" w:cstheme="majorBidi"/>
              </w:rPr>
              <w:t>C50</w:t>
            </w:r>
          </w:p>
        </w:tc>
      </w:tr>
      <w:tr w:rsidR="00B13D65" w:rsidRPr="00822055" w14:paraId="2F79DC08" w14:textId="77777777" w:rsidTr="00BE7489">
        <w:trPr>
          <w:trHeight w:val="378"/>
        </w:trPr>
        <w:tc>
          <w:tcPr>
            <w:tcW w:w="632" w:type="dxa"/>
          </w:tcPr>
          <w:p w14:paraId="547885A2" w14:textId="08AA8055" w:rsidR="00B13D65" w:rsidRPr="00822055" w:rsidRDefault="00B13D65" w:rsidP="00824B92">
            <w:pPr>
              <w:rPr>
                <w:rFonts w:eastAsia="Arial"/>
              </w:rPr>
            </w:pPr>
            <w:r w:rsidRPr="00822055">
              <w:rPr>
                <w:rFonts w:eastAsia="Arial"/>
              </w:rPr>
              <w:t>1.</w:t>
            </w:r>
            <w:r w:rsidR="002E0702" w:rsidRPr="00822055">
              <w:rPr>
                <w:rFonts w:eastAsia="Arial"/>
              </w:rPr>
              <w:t>6</w:t>
            </w:r>
          </w:p>
        </w:tc>
        <w:tc>
          <w:tcPr>
            <w:tcW w:w="3694" w:type="dxa"/>
          </w:tcPr>
          <w:p w14:paraId="2EAB877F" w14:textId="39A36941" w:rsidR="00B13D65" w:rsidRPr="00822055" w:rsidRDefault="007656B2" w:rsidP="00824B92">
            <w:pPr>
              <w:rPr>
                <w:bCs/>
                <w:color w:val="000000"/>
                <w:u w:val="single"/>
                <w:lang w:eastAsia="lt-LT"/>
              </w:rPr>
            </w:pPr>
            <w:r w:rsidRPr="00822055">
              <w:rPr>
                <w:bCs/>
                <w:color w:val="000000"/>
                <w:lang w:eastAsia="lt-LT"/>
              </w:rPr>
              <w:t>Pareiškėjo t</w:t>
            </w:r>
            <w:r w:rsidR="00B13D65" w:rsidRPr="00822055">
              <w:rPr>
                <w:bCs/>
                <w:color w:val="000000"/>
                <w:lang w:eastAsia="lt-LT"/>
              </w:rPr>
              <w:t>eikiamos skyrimo sąlygos</w:t>
            </w:r>
            <w:r w:rsidR="005B3756" w:rsidRPr="00822055">
              <w:rPr>
                <w:bCs/>
                <w:color w:val="000000"/>
                <w:lang w:eastAsia="lt-LT"/>
              </w:rPr>
              <w:t xml:space="preserve"> </w:t>
            </w:r>
          </w:p>
        </w:tc>
        <w:tc>
          <w:tcPr>
            <w:tcW w:w="5167" w:type="dxa"/>
          </w:tcPr>
          <w:p w14:paraId="0579DF58" w14:textId="577AC643" w:rsidR="00B13D65" w:rsidRPr="00822055" w:rsidRDefault="006407B1" w:rsidP="00766852">
            <w:pPr>
              <w:jc w:val="both"/>
            </w:pPr>
            <w:r w:rsidRPr="00822055">
              <w:rPr>
                <w:rFonts w:asciiTheme="majorBidi" w:hAnsiTheme="majorBidi" w:cstheme="majorBidi"/>
              </w:rPr>
              <w:t>Enhertu turi skirti gydytojas, jis turi būti vartojamas prižiūrint sveikatos priežiūros specialistui, turinčiam gydymo priešvėžiniais vaistiniais preparatais patirties. Kad nebūtų suklysta dėl vaistinio preparato, svarbu patikrinti flakonų etiketes, užtikrinant, kad vaistinis preparatas, kurį ketinama ruošti ir lašinti, yra Enhertu (trastuzumabas derukstekanas), o ne trastuzumabas arba trastuzumabas emtansinas.</w:t>
            </w:r>
          </w:p>
        </w:tc>
      </w:tr>
      <w:tr w:rsidR="00B13D65" w:rsidRPr="00822055" w14:paraId="3B125269" w14:textId="77777777" w:rsidTr="00BE7489">
        <w:trPr>
          <w:trHeight w:val="378"/>
        </w:trPr>
        <w:tc>
          <w:tcPr>
            <w:tcW w:w="632" w:type="dxa"/>
          </w:tcPr>
          <w:p w14:paraId="0058E11F" w14:textId="77777777" w:rsidR="00B13D65" w:rsidRPr="00822055" w:rsidRDefault="00B13D65" w:rsidP="00824B92">
            <w:pPr>
              <w:rPr>
                <w:rFonts w:eastAsia="Arial"/>
              </w:rPr>
            </w:pPr>
            <w:r w:rsidRPr="00822055">
              <w:rPr>
                <w:rFonts w:eastAsia="Arial"/>
              </w:rPr>
              <w:t>1.7</w:t>
            </w:r>
          </w:p>
        </w:tc>
        <w:tc>
          <w:tcPr>
            <w:tcW w:w="3694" w:type="dxa"/>
          </w:tcPr>
          <w:p w14:paraId="738E1926" w14:textId="50A9DC79" w:rsidR="00B13D65" w:rsidRPr="00822055" w:rsidRDefault="007656B2" w:rsidP="00824B92">
            <w:pPr>
              <w:rPr>
                <w:bCs/>
                <w:color w:val="000000"/>
                <w:lang w:eastAsia="lt-LT"/>
              </w:rPr>
            </w:pPr>
            <w:r w:rsidRPr="00822055">
              <w:rPr>
                <w:bCs/>
                <w:color w:val="000000"/>
                <w:lang w:eastAsia="lt-LT"/>
              </w:rPr>
              <w:t>Pareiškėjo teikiamas p</w:t>
            </w:r>
            <w:r w:rsidR="00B13D65" w:rsidRPr="00822055">
              <w:rPr>
                <w:bCs/>
                <w:color w:val="000000"/>
                <w:lang w:eastAsia="lt-LT"/>
              </w:rPr>
              <w:t>alyginamasis</w:t>
            </w:r>
            <w:r w:rsidR="005B3756" w:rsidRPr="00822055">
              <w:rPr>
                <w:bCs/>
                <w:color w:val="000000"/>
                <w:lang w:eastAsia="lt-LT"/>
              </w:rPr>
              <w:t xml:space="preserve"> </w:t>
            </w:r>
            <w:r w:rsidR="00B13D65" w:rsidRPr="00822055">
              <w:rPr>
                <w:bCs/>
                <w:color w:val="000000"/>
                <w:lang w:eastAsia="lt-LT"/>
              </w:rPr>
              <w:t>gydymas</w:t>
            </w:r>
            <w:r w:rsidR="0047414A" w:rsidRPr="00822055">
              <w:rPr>
                <w:bCs/>
                <w:color w:val="000000"/>
                <w:lang w:eastAsia="lt-LT"/>
              </w:rPr>
              <w:t>:</w:t>
            </w:r>
            <w:r w:rsidR="00B13D65" w:rsidRPr="00822055">
              <w:rPr>
                <w:bCs/>
                <w:color w:val="000000"/>
                <w:lang w:eastAsia="lt-LT"/>
              </w:rPr>
              <w:t xml:space="preserve"> </w:t>
            </w:r>
          </w:p>
          <w:p w14:paraId="1F7BF92F" w14:textId="6E3AE3A9" w:rsidR="007C7519" w:rsidRPr="00822055" w:rsidRDefault="007C7519" w:rsidP="00824B92">
            <w:pPr>
              <w:rPr>
                <w:bCs/>
                <w:i/>
                <w:color w:val="000000"/>
                <w:lang w:eastAsia="lt-LT"/>
              </w:rPr>
            </w:pPr>
            <w:r w:rsidRPr="00822055">
              <w:rPr>
                <w:bCs/>
                <w:i/>
                <w:color w:val="000000"/>
                <w:lang w:eastAsia="lt-LT"/>
              </w:rPr>
              <w:t>Tiesioginis</w:t>
            </w:r>
          </w:p>
          <w:p w14:paraId="643CC07B" w14:textId="2D7C9848" w:rsidR="00D970E4" w:rsidRPr="00822055" w:rsidRDefault="00D970E4" w:rsidP="00824B92">
            <w:pPr>
              <w:rPr>
                <w:bCs/>
                <w:i/>
                <w:color w:val="000000"/>
                <w:lang w:eastAsia="lt-LT"/>
              </w:rPr>
            </w:pPr>
          </w:p>
          <w:p w14:paraId="1FEACC56" w14:textId="0E2E44A3" w:rsidR="00D970E4" w:rsidRPr="00822055" w:rsidRDefault="00D970E4" w:rsidP="00824B92">
            <w:pPr>
              <w:rPr>
                <w:bCs/>
                <w:i/>
                <w:color w:val="000000"/>
                <w:lang w:eastAsia="lt-LT"/>
              </w:rPr>
            </w:pPr>
          </w:p>
          <w:p w14:paraId="200BD3DE" w14:textId="12603D6A" w:rsidR="00D970E4" w:rsidRPr="00822055" w:rsidRDefault="00D970E4" w:rsidP="00824B92">
            <w:pPr>
              <w:rPr>
                <w:bCs/>
                <w:i/>
                <w:color w:val="000000"/>
                <w:lang w:eastAsia="lt-LT"/>
              </w:rPr>
            </w:pPr>
            <w:r w:rsidRPr="00822055">
              <w:rPr>
                <w:bCs/>
                <w:i/>
                <w:color w:val="000000"/>
                <w:lang w:eastAsia="lt-LT"/>
              </w:rPr>
              <w:t>Netiesioginis</w:t>
            </w:r>
          </w:p>
          <w:p w14:paraId="62057D94" w14:textId="77777777" w:rsidR="00413F24" w:rsidRPr="00822055" w:rsidRDefault="00413F24" w:rsidP="00824B92">
            <w:pPr>
              <w:rPr>
                <w:bCs/>
                <w:color w:val="000000"/>
                <w:lang w:eastAsia="lt-LT"/>
              </w:rPr>
            </w:pPr>
          </w:p>
          <w:p w14:paraId="6CC1022E" w14:textId="2B6BCEE1" w:rsidR="009F4D66" w:rsidRPr="00822055" w:rsidRDefault="009F4D66" w:rsidP="00824B92">
            <w:pPr>
              <w:rPr>
                <w:bCs/>
                <w:color w:val="000000"/>
                <w:lang w:eastAsia="lt-LT"/>
              </w:rPr>
            </w:pPr>
          </w:p>
        </w:tc>
        <w:tc>
          <w:tcPr>
            <w:tcW w:w="5167" w:type="dxa"/>
          </w:tcPr>
          <w:p w14:paraId="0AC43073" w14:textId="77777777" w:rsidR="00D970E4" w:rsidRPr="00822055" w:rsidRDefault="00D970E4" w:rsidP="00D970E4"/>
          <w:p w14:paraId="2383573D" w14:textId="2E7FA007" w:rsidR="00D970E4" w:rsidRPr="00822055"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6407B1" w:rsidRPr="00822055">
                  <w:rPr>
                    <w:rStyle w:val="Style2"/>
                    <w:rFonts w:ascii="MS Gothic" w:eastAsia="MS Gothic" w:hAnsi="MS Gothic" w:hint="eastAsia"/>
                    <w:sz w:val="24"/>
                  </w:rPr>
                  <w:t>☒</w:t>
                </w:r>
              </w:sdtContent>
            </w:sdt>
            <w:r w:rsidR="00D970E4" w:rsidRPr="00822055">
              <w:t xml:space="preserve"> Tinkamas</w:t>
            </w:r>
          </w:p>
          <w:p w14:paraId="5474EFC4" w14:textId="1B026AE1" w:rsidR="0047414A" w:rsidRPr="00822055" w:rsidRDefault="00000000" w:rsidP="00D970E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6407B1" w:rsidRPr="00822055">
                  <w:rPr>
                    <w:rStyle w:val="Style2"/>
                    <w:rFonts w:ascii="MS Gothic" w:eastAsia="MS Gothic" w:hAnsi="MS Gothic" w:hint="eastAsia"/>
                    <w:sz w:val="24"/>
                  </w:rPr>
                  <w:t>☐</w:t>
                </w:r>
              </w:sdtContent>
            </w:sdt>
            <w:r w:rsidR="00D970E4" w:rsidRPr="00822055">
              <w:t xml:space="preserve"> Netinkamas</w:t>
            </w:r>
          </w:p>
          <w:p w14:paraId="5481FC83" w14:textId="77777777" w:rsidR="007C7519" w:rsidRPr="00822055" w:rsidRDefault="007C7519" w:rsidP="00824B92">
            <w:pPr>
              <w:rPr>
                <w:rStyle w:val="Style2"/>
                <w:sz w:val="24"/>
              </w:rPr>
            </w:pPr>
          </w:p>
          <w:p w14:paraId="66741CBF" w14:textId="73E99268" w:rsidR="0047414A" w:rsidRPr="00822055" w:rsidRDefault="00000000" w:rsidP="0047414A">
            <w:sdt>
              <w:sdtPr>
                <w:rPr>
                  <w:rStyle w:val="Style2"/>
                  <w:sz w:val="24"/>
                </w:rPr>
                <w:id w:val="-834302966"/>
                <w15:color w:val="FFCC00"/>
                <w14:checkbox>
                  <w14:checked w14:val="0"/>
                  <w14:checkedState w14:val="2612" w14:font="MS Gothic"/>
                  <w14:uncheckedState w14:val="2610" w14:font="MS Gothic"/>
                </w14:checkbox>
              </w:sdtPr>
              <w:sdtContent>
                <w:r w:rsidR="006407B1" w:rsidRPr="00822055">
                  <w:rPr>
                    <w:rStyle w:val="Style2"/>
                    <w:rFonts w:ascii="MS Gothic" w:eastAsia="MS Gothic" w:hAnsi="MS Gothic" w:hint="eastAsia"/>
                    <w:sz w:val="24"/>
                  </w:rPr>
                  <w:t>☐</w:t>
                </w:r>
              </w:sdtContent>
            </w:sdt>
            <w:r w:rsidR="0047414A" w:rsidRPr="00822055">
              <w:t xml:space="preserve"> Tinkamas</w:t>
            </w:r>
          </w:p>
          <w:p w14:paraId="41B44044" w14:textId="2E013ACA" w:rsidR="00B13D65" w:rsidRPr="00822055"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D970E4" w:rsidRPr="00822055">
                  <w:rPr>
                    <w:rStyle w:val="Style2"/>
                    <w:rFonts w:ascii="MS Gothic" w:eastAsia="MS Gothic" w:hAnsi="MS Gothic" w:hint="eastAsia"/>
                    <w:sz w:val="24"/>
                  </w:rPr>
                  <w:t>☐</w:t>
                </w:r>
              </w:sdtContent>
            </w:sdt>
            <w:r w:rsidR="009F4D66" w:rsidRPr="00822055">
              <w:t xml:space="preserve"> Netinkama</w:t>
            </w:r>
            <w:r w:rsidR="0047414A" w:rsidRPr="00822055">
              <w:t>s</w:t>
            </w:r>
          </w:p>
        </w:tc>
      </w:tr>
    </w:tbl>
    <w:p w14:paraId="108176F7" w14:textId="640C6F75" w:rsidR="00F70C9E" w:rsidRPr="00822055" w:rsidRDefault="00F70C9E" w:rsidP="00E03C3F">
      <w:pPr>
        <w:pStyle w:val="ListParagraph"/>
        <w:tabs>
          <w:tab w:val="left" w:pos="426"/>
        </w:tabs>
        <w:ind w:left="0"/>
        <w:rPr>
          <w:b/>
          <w:bCs/>
          <w:caps/>
        </w:rPr>
      </w:pPr>
    </w:p>
    <w:p w14:paraId="2871CA7F" w14:textId="2370BDDB" w:rsidR="00F70C9E" w:rsidRPr="00822055" w:rsidRDefault="00F70C9E" w:rsidP="00880A44">
      <w:pPr>
        <w:spacing w:line="276" w:lineRule="auto"/>
        <w:jc w:val="both"/>
        <w:rPr>
          <w:rFonts w:eastAsia="Arial"/>
          <w:b/>
        </w:rPr>
      </w:pPr>
      <w:r w:rsidRPr="00822055">
        <w:rPr>
          <w:rFonts w:eastAsia="Arial"/>
          <w:b/>
        </w:rPr>
        <w:t xml:space="preserve">1.8 Kitų </w:t>
      </w:r>
      <w:r w:rsidR="00DF583C" w:rsidRPr="00822055">
        <w:rPr>
          <w:rFonts w:eastAsia="Arial"/>
          <w:b/>
        </w:rPr>
        <w:t xml:space="preserve">valstybių </w:t>
      </w:r>
      <w:r w:rsidRPr="00822055">
        <w:rPr>
          <w:rFonts w:eastAsia="Arial"/>
          <w:b/>
        </w:rPr>
        <w:t xml:space="preserve">atsakingų institucijų atlikto </w:t>
      </w:r>
      <w:r w:rsidR="00DF583C" w:rsidRPr="00822055">
        <w:rPr>
          <w:rFonts w:eastAsia="Arial"/>
          <w:b/>
        </w:rPr>
        <w:t>Sveikatos technologijų vertinimo (toliau – STV)</w:t>
      </w:r>
      <w:r w:rsidRPr="00822055">
        <w:rPr>
          <w:rFonts w:eastAsia="Arial"/>
          <w:b/>
        </w:rPr>
        <w:t xml:space="preserve"> išvados</w:t>
      </w:r>
    </w:p>
    <w:p w14:paraId="30721FDD" w14:textId="77777777" w:rsidR="00F70C9E" w:rsidRPr="00822055"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B654D4" w:rsidRPr="00822055" w14:paraId="0BFC9B76" w14:textId="77777777" w:rsidTr="003F318F">
        <w:trPr>
          <w:trHeight w:val="924"/>
        </w:trPr>
        <w:tc>
          <w:tcPr>
            <w:tcW w:w="2927" w:type="dxa"/>
          </w:tcPr>
          <w:p w14:paraId="734ED2F2" w14:textId="77777777" w:rsidR="00B654D4" w:rsidRPr="00822055" w:rsidRDefault="00B654D4" w:rsidP="003F318F">
            <w:pPr>
              <w:spacing w:line="276" w:lineRule="auto"/>
              <w:rPr>
                <w:rFonts w:eastAsia="Arial"/>
              </w:rPr>
            </w:pPr>
            <w:r w:rsidRPr="00822055">
              <w:rPr>
                <w:rFonts w:eastAsia="Arial"/>
              </w:rPr>
              <w:t>STV agentūros pavadinimas, šalis</w:t>
            </w:r>
          </w:p>
        </w:tc>
        <w:tc>
          <w:tcPr>
            <w:tcW w:w="1915" w:type="dxa"/>
          </w:tcPr>
          <w:p w14:paraId="31FF7FCE" w14:textId="77777777" w:rsidR="00B654D4" w:rsidRPr="00822055" w:rsidRDefault="00B654D4" w:rsidP="003F318F">
            <w:pPr>
              <w:spacing w:line="276" w:lineRule="auto"/>
              <w:rPr>
                <w:rFonts w:eastAsia="Arial"/>
              </w:rPr>
            </w:pPr>
            <w:r w:rsidRPr="00822055">
              <w:rPr>
                <w:rFonts w:eastAsia="Arial"/>
              </w:rPr>
              <w:t>STV vertinimas atliktas</w:t>
            </w:r>
          </w:p>
        </w:tc>
        <w:tc>
          <w:tcPr>
            <w:tcW w:w="2351" w:type="dxa"/>
          </w:tcPr>
          <w:p w14:paraId="31D6DF46" w14:textId="77777777" w:rsidR="00B654D4" w:rsidRPr="00822055" w:rsidRDefault="00B654D4" w:rsidP="003F318F">
            <w:pPr>
              <w:spacing w:line="276" w:lineRule="auto"/>
              <w:rPr>
                <w:rFonts w:eastAsia="Arial"/>
              </w:rPr>
            </w:pPr>
            <w:r w:rsidRPr="00822055">
              <w:rPr>
                <w:rFonts w:eastAsia="Arial"/>
              </w:rPr>
              <w:t>Klinikinio vertinimo išvada</w:t>
            </w:r>
          </w:p>
        </w:tc>
        <w:tc>
          <w:tcPr>
            <w:tcW w:w="2725" w:type="dxa"/>
          </w:tcPr>
          <w:p w14:paraId="1B404750" w14:textId="77777777" w:rsidR="00B654D4" w:rsidRPr="00822055" w:rsidRDefault="00B654D4" w:rsidP="003F318F">
            <w:pPr>
              <w:spacing w:line="276" w:lineRule="auto"/>
              <w:rPr>
                <w:rFonts w:eastAsia="Arial"/>
              </w:rPr>
            </w:pPr>
            <w:r w:rsidRPr="00822055">
              <w:rPr>
                <w:rFonts w:eastAsia="Arial"/>
              </w:rPr>
              <w:t>Farmakoekonominio vertinimo išvada</w:t>
            </w:r>
          </w:p>
        </w:tc>
      </w:tr>
      <w:tr w:rsidR="00B654D4" w:rsidRPr="00822055" w14:paraId="7C078F11" w14:textId="77777777" w:rsidTr="003F318F">
        <w:trPr>
          <w:trHeight w:val="1765"/>
        </w:trPr>
        <w:tc>
          <w:tcPr>
            <w:tcW w:w="2927" w:type="dxa"/>
          </w:tcPr>
          <w:p w14:paraId="74E4B7B5" w14:textId="77777777" w:rsidR="00B654D4" w:rsidRPr="00822055" w:rsidRDefault="00B654D4" w:rsidP="003F318F">
            <w:pPr>
              <w:autoSpaceDE w:val="0"/>
              <w:autoSpaceDN w:val="0"/>
              <w:adjustRightInd w:val="0"/>
              <w:rPr>
                <w:bCs/>
              </w:rPr>
            </w:pPr>
            <w:r w:rsidRPr="00822055">
              <w:rPr>
                <w:bCs/>
              </w:rPr>
              <w:t>Nacionalinis sveikatos ir klinikinės kompetencijos institutas, Didžioji Britanija</w:t>
            </w:r>
          </w:p>
          <w:p w14:paraId="0568A3A7" w14:textId="77777777" w:rsidR="00B654D4" w:rsidRPr="00822055" w:rsidRDefault="00B654D4" w:rsidP="003F318F">
            <w:pPr>
              <w:spacing w:line="276" w:lineRule="auto"/>
              <w:rPr>
                <w:rFonts w:eastAsia="Arial"/>
              </w:rPr>
            </w:pPr>
            <w:r w:rsidRPr="00822055">
              <w:rPr>
                <w:rFonts w:eastAsia="Arial"/>
              </w:rPr>
              <w:t xml:space="preserve">(angl. </w:t>
            </w:r>
            <w:r w:rsidRPr="00822055">
              <w:rPr>
                <w:rFonts w:eastAsia="Arial"/>
                <w:i/>
              </w:rPr>
              <w:t>National Institute for Health and Care Excellence, NICE</w:t>
            </w:r>
            <w:r w:rsidRPr="00822055">
              <w:rPr>
                <w:rFonts w:eastAsia="Arial"/>
              </w:rPr>
              <w:t>)</w:t>
            </w:r>
          </w:p>
        </w:tc>
        <w:tc>
          <w:tcPr>
            <w:tcW w:w="1915" w:type="dxa"/>
          </w:tcPr>
          <w:p w14:paraId="1A5AEBC0" w14:textId="77777777" w:rsidR="00B654D4" w:rsidRPr="00822055" w:rsidRDefault="00000000" w:rsidP="003F318F">
            <w:sdt>
              <w:sdtPr>
                <w:rPr>
                  <w:rStyle w:val="Style2"/>
                </w:rPr>
                <w:id w:val="1624958521"/>
                <w15:color w:val="FFCC00"/>
                <w14:checkbox>
                  <w14:checked w14:val="1"/>
                  <w14:checkedState w14:val="2612" w14:font="MS Gothic"/>
                  <w14:uncheckedState w14:val="2610" w14:font="MS Gothic"/>
                </w14:checkbox>
              </w:sdtPr>
              <w:sdtContent>
                <w:r w:rsidR="00B654D4" w:rsidRPr="00822055">
                  <w:rPr>
                    <w:rStyle w:val="Style2"/>
                    <w:rFonts w:ascii="MS Gothic" w:eastAsia="MS Gothic" w:hAnsi="MS Gothic" w:hint="eastAsia"/>
                  </w:rPr>
                  <w:t>☒</w:t>
                </w:r>
              </w:sdtContent>
            </w:sdt>
            <w:r w:rsidR="00B654D4" w:rsidRPr="00822055">
              <w:t xml:space="preserve"> Taip</w:t>
            </w:r>
          </w:p>
          <w:p w14:paraId="2D12F36D" w14:textId="77777777" w:rsidR="00B654D4" w:rsidRPr="00822055" w:rsidRDefault="00000000" w:rsidP="003F318F">
            <w:sdt>
              <w:sdtPr>
                <w:rPr>
                  <w:rStyle w:val="Style2"/>
                </w:rPr>
                <w:id w:val="1966464667"/>
                <w15:color w:val="FFCC00"/>
                <w14:checkbox>
                  <w14:checked w14:val="0"/>
                  <w14:checkedState w14:val="2612" w14:font="MS Gothic"/>
                  <w14:uncheckedState w14:val="2610" w14:font="MS Gothic"/>
                </w14:checkbox>
              </w:sdtPr>
              <w:sdtContent>
                <w:r w:rsidR="00B654D4" w:rsidRPr="00822055">
                  <w:rPr>
                    <w:rStyle w:val="Style2"/>
                    <w:rFonts w:ascii="MS Gothic" w:eastAsia="MS Gothic" w:hAnsi="MS Gothic" w:hint="eastAsia"/>
                  </w:rPr>
                  <w:t>☐</w:t>
                </w:r>
              </w:sdtContent>
            </w:sdt>
            <w:r w:rsidR="00B654D4" w:rsidRPr="00822055">
              <w:t xml:space="preserve"> Ne</w:t>
            </w:r>
          </w:p>
          <w:p w14:paraId="4B116BCC" w14:textId="77777777" w:rsidR="00B654D4" w:rsidRPr="00822055" w:rsidRDefault="00000000" w:rsidP="003F318F">
            <w:pPr>
              <w:rPr>
                <w:rFonts w:eastAsia="Arial"/>
              </w:rPr>
            </w:pPr>
            <w:sdt>
              <w:sdtPr>
                <w:alias w:val="Nurodykite konkrečią dieną"/>
                <w:tag w:val="Nurodykite pradžios datą"/>
                <w:id w:val="1181466101"/>
                <w:placeholder>
                  <w:docPart w:val="2E1621EC6B264B9D9EE2E4397ADF881E"/>
                </w:placeholder>
                <w:showingPlcHdr/>
                <w15:color w:val="FFCC99"/>
                <w:date w:fullDate="2022-05-18T00:00:00Z">
                  <w:dateFormat w:val="yyyy 'm.' MMMM d 'd.'"/>
                  <w:lid w:val="lt-LT"/>
                  <w:storeMappedDataAs w:val="dateTime"/>
                  <w:calendar w:val="gregorian"/>
                </w:date>
              </w:sdtPr>
              <w:sdtContent>
                <w:r w:rsidR="00B654D4" w:rsidRPr="00822055">
                  <w:rPr>
                    <w:rStyle w:val="PlaceholderText"/>
                  </w:rPr>
                  <w:t>Click here to enter a date.</w:t>
                </w:r>
              </w:sdtContent>
            </w:sdt>
          </w:p>
        </w:tc>
        <w:tc>
          <w:tcPr>
            <w:tcW w:w="2351" w:type="dxa"/>
          </w:tcPr>
          <w:p w14:paraId="76614AB8" w14:textId="77777777" w:rsidR="00B654D4" w:rsidRPr="00822055" w:rsidRDefault="00B654D4" w:rsidP="003F318F">
            <w:pPr>
              <w:spacing w:line="276" w:lineRule="auto"/>
              <w:rPr>
                <w:rFonts w:eastAsia="Arial"/>
              </w:rPr>
            </w:pPr>
            <w:r w:rsidRPr="00822055">
              <w:rPr>
                <w:rFonts w:eastAsia="Arial"/>
              </w:rPr>
              <w:t>Pagrįsta papildoma sveikatai sukuriama nauda lyginant su įprastine  klinikine praktika</w:t>
            </w:r>
          </w:p>
        </w:tc>
        <w:tc>
          <w:tcPr>
            <w:tcW w:w="2725" w:type="dxa"/>
          </w:tcPr>
          <w:p w14:paraId="0D7C7E57" w14:textId="77777777" w:rsidR="00B654D4" w:rsidRPr="00822055" w:rsidRDefault="00B654D4" w:rsidP="003F318F">
            <w:pPr>
              <w:spacing w:line="276" w:lineRule="auto"/>
              <w:rPr>
                <w:rFonts w:eastAsia="Arial"/>
              </w:rPr>
            </w:pPr>
            <w:r w:rsidRPr="00822055">
              <w:rPr>
                <w:rFonts w:eastAsia="Arial"/>
              </w:rPr>
              <w:t>Nekompensuoti dėl nepriimtino  kaštų  naudingumo rezultato. Siūloma svarstyti kompensuoti tik  nustačius riboto prieinamumo  kriterijus.</w:t>
            </w:r>
          </w:p>
        </w:tc>
      </w:tr>
      <w:tr w:rsidR="00B654D4" w:rsidRPr="00822055" w14:paraId="12E40C99" w14:textId="77777777" w:rsidTr="003F318F">
        <w:trPr>
          <w:trHeight w:val="1547"/>
        </w:trPr>
        <w:tc>
          <w:tcPr>
            <w:tcW w:w="2927" w:type="dxa"/>
          </w:tcPr>
          <w:p w14:paraId="4908799C" w14:textId="77777777" w:rsidR="00B654D4" w:rsidRPr="00822055" w:rsidRDefault="00B654D4" w:rsidP="003F318F">
            <w:pPr>
              <w:spacing w:line="276" w:lineRule="auto"/>
              <w:rPr>
                <w:rFonts w:eastAsia="Arial"/>
              </w:rPr>
            </w:pPr>
            <w:r w:rsidRPr="00822055">
              <w:rPr>
                <w:rFonts w:eastAsia="Arial"/>
              </w:rPr>
              <w:t>Kanados sveikatos technologijų agentūra</w:t>
            </w:r>
          </w:p>
          <w:p w14:paraId="652E2804" w14:textId="77777777" w:rsidR="00B654D4" w:rsidRPr="00822055" w:rsidRDefault="00B654D4" w:rsidP="003F318F">
            <w:pPr>
              <w:spacing w:line="276" w:lineRule="auto"/>
              <w:rPr>
                <w:rFonts w:eastAsia="Arial"/>
              </w:rPr>
            </w:pPr>
            <w:r w:rsidRPr="00822055">
              <w:rPr>
                <w:rFonts w:eastAsia="Arial"/>
              </w:rPr>
              <w:t xml:space="preserve">(angl. </w:t>
            </w:r>
            <w:r w:rsidRPr="00822055">
              <w:rPr>
                <w:rFonts w:eastAsia="Arial"/>
                <w:i/>
              </w:rPr>
              <w:t>Canadian health Technology Assessment agency, CADTH</w:t>
            </w:r>
            <w:r w:rsidRPr="00822055">
              <w:rPr>
                <w:rFonts w:eastAsia="Arial"/>
              </w:rPr>
              <w:t>)</w:t>
            </w:r>
          </w:p>
        </w:tc>
        <w:tc>
          <w:tcPr>
            <w:tcW w:w="1915" w:type="dxa"/>
          </w:tcPr>
          <w:p w14:paraId="36C21332" w14:textId="77777777" w:rsidR="00B654D4" w:rsidRPr="00822055" w:rsidRDefault="00000000" w:rsidP="003F318F">
            <w:sdt>
              <w:sdtPr>
                <w:rPr>
                  <w:rStyle w:val="Style2"/>
                </w:rPr>
                <w:id w:val="-984924947"/>
                <w15:color w:val="FFCC00"/>
                <w14:checkbox>
                  <w14:checked w14:val="1"/>
                  <w14:checkedState w14:val="2612" w14:font="MS Gothic"/>
                  <w14:uncheckedState w14:val="2610" w14:font="MS Gothic"/>
                </w14:checkbox>
              </w:sdtPr>
              <w:sdtContent>
                <w:r w:rsidR="00B654D4" w:rsidRPr="00822055">
                  <w:rPr>
                    <w:rStyle w:val="Style2"/>
                    <w:rFonts w:ascii="MS Gothic" w:eastAsia="MS Gothic" w:hAnsi="MS Gothic" w:hint="eastAsia"/>
                  </w:rPr>
                  <w:t>☒</w:t>
                </w:r>
              </w:sdtContent>
            </w:sdt>
            <w:r w:rsidR="00B654D4" w:rsidRPr="00822055">
              <w:t xml:space="preserve"> Taip</w:t>
            </w:r>
          </w:p>
          <w:p w14:paraId="4E6734AA" w14:textId="77777777" w:rsidR="00B654D4" w:rsidRPr="00822055" w:rsidRDefault="00000000" w:rsidP="003F318F">
            <w:sdt>
              <w:sdtPr>
                <w:rPr>
                  <w:rStyle w:val="Style2"/>
                </w:rPr>
                <w:id w:val="-1459881041"/>
                <w15:color w:val="FFCC00"/>
                <w14:checkbox>
                  <w14:checked w14:val="0"/>
                  <w14:checkedState w14:val="2612" w14:font="MS Gothic"/>
                  <w14:uncheckedState w14:val="2610" w14:font="MS Gothic"/>
                </w14:checkbox>
              </w:sdtPr>
              <w:sdtContent>
                <w:r w:rsidR="00B654D4" w:rsidRPr="00822055">
                  <w:rPr>
                    <w:rStyle w:val="Style2"/>
                    <w:rFonts w:ascii="Segoe UI Symbol" w:eastAsia="MS Gothic" w:hAnsi="Segoe UI Symbol" w:cs="Segoe UI Symbol"/>
                  </w:rPr>
                  <w:t>☐</w:t>
                </w:r>
              </w:sdtContent>
            </w:sdt>
            <w:r w:rsidR="00B654D4" w:rsidRPr="00822055">
              <w:t xml:space="preserve"> Ne</w:t>
            </w:r>
          </w:p>
          <w:p w14:paraId="685C2CE1" w14:textId="77777777" w:rsidR="00B654D4" w:rsidRPr="00822055" w:rsidRDefault="00000000" w:rsidP="003F318F">
            <w:pPr>
              <w:spacing w:line="276" w:lineRule="auto"/>
              <w:rPr>
                <w:rFonts w:eastAsia="Arial"/>
              </w:rPr>
            </w:pPr>
            <w:sdt>
              <w:sdtPr>
                <w:alias w:val="Nurodykite konkrečią dieną"/>
                <w:tag w:val="Nurodykite pradžios datą"/>
                <w:id w:val="-824736862"/>
                <w:placeholder>
                  <w:docPart w:val="8AF3746497EB4009ADBE59B8FE0F5B28"/>
                </w:placeholder>
                <w:showingPlcHdr/>
                <w15:color w:val="FFCC99"/>
                <w:date w:fullDate="2022-05-18T00:00:00Z">
                  <w:dateFormat w:val="yyyy 'm.' MMMM d 'd.'"/>
                  <w:lid w:val="lt-LT"/>
                  <w:storeMappedDataAs w:val="dateTime"/>
                  <w:calendar w:val="gregorian"/>
                </w:date>
              </w:sdtPr>
              <w:sdtContent>
                <w:r w:rsidR="00B654D4" w:rsidRPr="00822055">
                  <w:rPr>
                    <w:rStyle w:val="PlaceholderText"/>
                  </w:rPr>
                  <w:t>Click here to enter a date.</w:t>
                </w:r>
              </w:sdtContent>
            </w:sdt>
          </w:p>
        </w:tc>
        <w:tc>
          <w:tcPr>
            <w:tcW w:w="2351" w:type="dxa"/>
          </w:tcPr>
          <w:p w14:paraId="3332ACC0" w14:textId="77777777" w:rsidR="00B654D4" w:rsidRPr="00822055" w:rsidRDefault="00B654D4" w:rsidP="003F318F">
            <w:pPr>
              <w:spacing w:line="276" w:lineRule="auto"/>
              <w:rPr>
                <w:rFonts w:eastAsia="Arial"/>
              </w:rPr>
            </w:pPr>
            <w:r w:rsidRPr="00822055">
              <w:rPr>
                <w:rFonts w:eastAsia="Arial"/>
              </w:rPr>
              <w:t>Pagrįsta papildoma sveikatai sukuriama nauda lyginant su įprastine  klinikine praktika</w:t>
            </w:r>
          </w:p>
        </w:tc>
        <w:tc>
          <w:tcPr>
            <w:tcW w:w="2725" w:type="dxa"/>
          </w:tcPr>
          <w:p w14:paraId="3A1A02A3" w14:textId="77777777" w:rsidR="00B654D4" w:rsidRPr="00822055" w:rsidRDefault="00B654D4" w:rsidP="003F318F">
            <w:pPr>
              <w:spacing w:line="276" w:lineRule="auto"/>
              <w:rPr>
                <w:rFonts w:eastAsia="Arial"/>
              </w:rPr>
            </w:pPr>
            <w:r w:rsidRPr="00822055">
              <w:rPr>
                <w:rFonts w:eastAsia="Arial"/>
              </w:rPr>
              <w:t>Nekompensuoti, jei nebus pagerintas kaštų naudingumas sumažinus vaisto kainą.</w:t>
            </w:r>
          </w:p>
        </w:tc>
      </w:tr>
      <w:tr w:rsidR="00B654D4" w:rsidRPr="00822055" w14:paraId="68137B18" w14:textId="77777777" w:rsidTr="003F318F">
        <w:trPr>
          <w:trHeight w:val="1927"/>
        </w:trPr>
        <w:tc>
          <w:tcPr>
            <w:tcW w:w="2927" w:type="dxa"/>
          </w:tcPr>
          <w:p w14:paraId="51C3F3D7" w14:textId="77777777" w:rsidR="00B654D4" w:rsidRPr="00822055" w:rsidRDefault="00B654D4" w:rsidP="003F318F">
            <w:pPr>
              <w:spacing w:line="276" w:lineRule="auto"/>
              <w:rPr>
                <w:rFonts w:eastAsia="Arial"/>
              </w:rPr>
            </w:pPr>
            <w:r w:rsidRPr="00822055">
              <w:rPr>
                <w:rFonts w:eastAsia="Arial"/>
              </w:rPr>
              <w:lastRenderedPageBreak/>
              <w:t>Nacionalinis farmakoekonomikos centras, Airija</w:t>
            </w:r>
          </w:p>
          <w:p w14:paraId="656E6A07" w14:textId="77777777" w:rsidR="00B654D4" w:rsidRPr="00822055" w:rsidRDefault="00B654D4" w:rsidP="003F318F">
            <w:pPr>
              <w:spacing w:line="276" w:lineRule="auto"/>
              <w:rPr>
                <w:rFonts w:eastAsia="Arial"/>
              </w:rPr>
            </w:pPr>
            <w:r w:rsidRPr="00822055">
              <w:rPr>
                <w:rFonts w:eastAsia="Arial"/>
              </w:rPr>
              <w:t>(angl.</w:t>
            </w:r>
            <w:r w:rsidRPr="00822055">
              <w:rPr>
                <w:rFonts w:eastAsia="Arial"/>
                <w:i/>
              </w:rPr>
              <w:t xml:space="preserve"> National Centre for Pharmacoeconomics, NCPE</w:t>
            </w:r>
            <w:r w:rsidRPr="00822055">
              <w:rPr>
                <w:rFonts w:eastAsia="Arial"/>
              </w:rPr>
              <w:t>)</w:t>
            </w:r>
          </w:p>
        </w:tc>
        <w:tc>
          <w:tcPr>
            <w:tcW w:w="1915" w:type="dxa"/>
          </w:tcPr>
          <w:p w14:paraId="57E67019" w14:textId="77777777" w:rsidR="00B654D4" w:rsidRPr="00822055" w:rsidRDefault="00000000" w:rsidP="003F318F">
            <w:sdt>
              <w:sdtPr>
                <w:rPr>
                  <w:rStyle w:val="Style2"/>
                </w:rPr>
                <w:id w:val="1043397264"/>
                <w15:color w:val="FFCC00"/>
                <w14:checkbox>
                  <w14:checked w14:val="1"/>
                  <w14:checkedState w14:val="2612" w14:font="MS Gothic"/>
                  <w14:uncheckedState w14:val="2610" w14:font="MS Gothic"/>
                </w14:checkbox>
              </w:sdtPr>
              <w:sdtContent>
                <w:r w:rsidR="00B654D4" w:rsidRPr="00822055">
                  <w:rPr>
                    <w:rStyle w:val="Style2"/>
                    <w:rFonts w:ascii="MS Gothic" w:eastAsia="MS Gothic" w:hAnsi="MS Gothic" w:hint="eastAsia"/>
                  </w:rPr>
                  <w:t>☒</w:t>
                </w:r>
              </w:sdtContent>
            </w:sdt>
            <w:r w:rsidR="00B654D4" w:rsidRPr="00822055">
              <w:t xml:space="preserve"> Taip</w:t>
            </w:r>
          </w:p>
          <w:p w14:paraId="3E675BF4" w14:textId="77777777" w:rsidR="00B654D4" w:rsidRPr="00822055" w:rsidRDefault="00000000" w:rsidP="003F318F">
            <w:sdt>
              <w:sdtPr>
                <w:rPr>
                  <w:rStyle w:val="Style2"/>
                </w:rPr>
                <w:id w:val="-751581598"/>
                <w15:color w:val="FFCC00"/>
                <w14:checkbox>
                  <w14:checked w14:val="0"/>
                  <w14:checkedState w14:val="2612" w14:font="MS Gothic"/>
                  <w14:uncheckedState w14:val="2610" w14:font="MS Gothic"/>
                </w14:checkbox>
              </w:sdtPr>
              <w:sdtContent>
                <w:r w:rsidR="00B654D4" w:rsidRPr="00822055">
                  <w:rPr>
                    <w:rStyle w:val="Style2"/>
                    <w:rFonts w:ascii="Segoe UI Symbol" w:eastAsia="MS Gothic" w:hAnsi="Segoe UI Symbol" w:cs="Segoe UI Symbol"/>
                  </w:rPr>
                  <w:t>☐</w:t>
                </w:r>
              </w:sdtContent>
            </w:sdt>
            <w:r w:rsidR="00B654D4" w:rsidRPr="00822055">
              <w:t xml:space="preserve"> Ne</w:t>
            </w:r>
          </w:p>
          <w:p w14:paraId="1E3F768F" w14:textId="77777777" w:rsidR="00B654D4" w:rsidRPr="00822055" w:rsidRDefault="00000000" w:rsidP="003F318F">
            <w:pPr>
              <w:spacing w:line="276" w:lineRule="auto"/>
              <w:rPr>
                <w:rFonts w:eastAsia="Arial"/>
              </w:rPr>
            </w:pPr>
            <w:sdt>
              <w:sdtPr>
                <w:alias w:val="Nurodykite konkrečią dieną"/>
                <w:tag w:val="Nurodykite pradžios datą"/>
                <w:id w:val="-229614918"/>
                <w:placeholder>
                  <w:docPart w:val="9F235EE615FB484F927F935AD91EF3F3"/>
                </w:placeholder>
                <w:showingPlcHdr/>
                <w15:color w:val="FFCC99"/>
                <w:date w:fullDate="2022-05-18T00:00:00Z">
                  <w:dateFormat w:val="yyyy 'm.' MMMM d 'd.'"/>
                  <w:lid w:val="lt-LT"/>
                  <w:storeMappedDataAs w:val="dateTime"/>
                  <w:calendar w:val="gregorian"/>
                </w:date>
              </w:sdtPr>
              <w:sdtContent>
                <w:r w:rsidR="00B654D4" w:rsidRPr="00822055">
                  <w:rPr>
                    <w:rStyle w:val="PlaceholderText"/>
                  </w:rPr>
                  <w:t>Click here to enter a date.</w:t>
                </w:r>
              </w:sdtContent>
            </w:sdt>
          </w:p>
        </w:tc>
        <w:tc>
          <w:tcPr>
            <w:tcW w:w="2351" w:type="dxa"/>
          </w:tcPr>
          <w:p w14:paraId="03B41A67" w14:textId="77777777" w:rsidR="00B654D4" w:rsidRPr="00822055" w:rsidRDefault="00B654D4" w:rsidP="003F318F">
            <w:pPr>
              <w:spacing w:line="276" w:lineRule="auto"/>
              <w:rPr>
                <w:rFonts w:eastAsia="Arial"/>
              </w:rPr>
            </w:pPr>
            <w:r w:rsidRPr="00822055">
              <w:rPr>
                <w:rFonts w:eastAsia="Arial"/>
              </w:rPr>
              <w:t>Pagrįsta papildoma sveikatai sukuriama nauda lyginant su įprastine  klinikine praktika</w:t>
            </w:r>
            <w:r w:rsidRPr="00822055">
              <w:rPr>
                <w:rFonts w:eastAsia="Arial"/>
              </w:rPr>
              <w:tab/>
            </w:r>
          </w:p>
        </w:tc>
        <w:tc>
          <w:tcPr>
            <w:tcW w:w="2725" w:type="dxa"/>
          </w:tcPr>
          <w:p w14:paraId="2F659BB7" w14:textId="77777777" w:rsidR="00B654D4" w:rsidRPr="00822055" w:rsidRDefault="00B654D4" w:rsidP="003F318F">
            <w:pPr>
              <w:spacing w:line="276" w:lineRule="auto"/>
              <w:rPr>
                <w:rFonts w:eastAsia="Arial"/>
              </w:rPr>
            </w:pPr>
            <w:r w:rsidRPr="00822055">
              <w:rPr>
                <w:rFonts w:eastAsia="Arial"/>
              </w:rPr>
              <w:t>Nekompensuoti, jei nebus pagerintas kaštų naudingumas sumažinus vaisto kainą.</w:t>
            </w:r>
          </w:p>
        </w:tc>
      </w:tr>
    </w:tbl>
    <w:p w14:paraId="24B05F57" w14:textId="77777777" w:rsidR="00B654D4" w:rsidRPr="00822055" w:rsidRDefault="00B654D4" w:rsidP="00F70C9E">
      <w:pPr>
        <w:spacing w:line="276" w:lineRule="auto"/>
        <w:rPr>
          <w:rFonts w:eastAsia="Arial"/>
        </w:rPr>
      </w:pPr>
    </w:p>
    <w:p w14:paraId="2EB7FD31" w14:textId="4D2A8479" w:rsidR="007A2B68" w:rsidRPr="00822055" w:rsidRDefault="007A2B68" w:rsidP="00E03C3F">
      <w:pPr>
        <w:pStyle w:val="ListParagraph"/>
        <w:tabs>
          <w:tab w:val="left" w:pos="426"/>
        </w:tabs>
        <w:ind w:left="0"/>
        <w:rPr>
          <w:b/>
          <w:bCs/>
          <w:caps/>
        </w:rPr>
      </w:pPr>
    </w:p>
    <w:p w14:paraId="5055E8A8" w14:textId="336A98B3" w:rsidR="002E6F80" w:rsidRPr="00822055" w:rsidRDefault="00CC7832" w:rsidP="00B654D4">
      <w:pPr>
        <w:pStyle w:val="ListParagraph"/>
        <w:numPr>
          <w:ilvl w:val="0"/>
          <w:numId w:val="16"/>
        </w:numPr>
        <w:rPr>
          <w:b/>
          <w:bCs/>
          <w:caps/>
        </w:rPr>
      </w:pPr>
      <w:r w:rsidRPr="00822055">
        <w:rPr>
          <w:b/>
          <w:bCs/>
          <w:caps/>
        </w:rPr>
        <w:t>Klinikinio vertinimo a</w:t>
      </w:r>
      <w:r w:rsidR="00D4485B" w:rsidRPr="00822055">
        <w:rPr>
          <w:b/>
          <w:bCs/>
          <w:caps/>
        </w:rPr>
        <w:t>pibendrinimas</w:t>
      </w:r>
    </w:p>
    <w:p w14:paraId="15E8CBF4" w14:textId="04FF4312" w:rsidR="008B6418" w:rsidRPr="00822055" w:rsidRDefault="008B6418" w:rsidP="008B6418">
      <w:pPr>
        <w:tabs>
          <w:tab w:val="left" w:pos="567"/>
        </w:tabs>
        <w:rPr>
          <w:b/>
          <w:bCs/>
          <w:caps/>
        </w:rPr>
      </w:pPr>
    </w:p>
    <w:p w14:paraId="0FC77974" w14:textId="391F05BC" w:rsidR="00254CE7" w:rsidRPr="00822055" w:rsidRDefault="00254CE7" w:rsidP="00254CE7">
      <w:pPr>
        <w:autoSpaceDE w:val="0"/>
        <w:autoSpaceDN w:val="0"/>
        <w:adjustRightInd w:val="0"/>
        <w:spacing w:line="276" w:lineRule="auto"/>
        <w:ind w:firstLine="720"/>
        <w:jc w:val="both"/>
        <w:rPr>
          <w:rFonts w:eastAsia="Calibri"/>
        </w:rPr>
      </w:pPr>
      <w:r w:rsidRPr="00822055">
        <w:rPr>
          <w:rFonts w:eastAsia="Arial"/>
          <w:color w:val="000000"/>
        </w:rPr>
        <w:t>Ligai progresuojant po neoadjuvantinio gydymo, naviko pašalinimo bei adjuvantinio gydymo trastuzumabu ir pertuzumabu bei docetakseliu gali būti taikomos antros eilės</w:t>
      </w:r>
      <w:r w:rsidR="00C547C7" w:rsidRPr="00822055">
        <w:rPr>
          <w:rFonts w:eastAsia="Arial"/>
          <w:color w:val="000000"/>
        </w:rPr>
        <w:t xml:space="preserve"> gydymas</w:t>
      </w:r>
      <w:r w:rsidRPr="00822055">
        <w:rPr>
          <w:rFonts w:eastAsia="Arial"/>
          <w:color w:val="000000"/>
        </w:rPr>
        <w:t xml:space="preserve"> </w:t>
      </w:r>
      <w:r w:rsidRPr="00822055">
        <w:rPr>
          <w:rFonts w:eastAsia="Calibri"/>
        </w:rPr>
        <w:t>ado-trastuzumabu emtansinu (t.y. T-DM1), kuris yra kompensuojamas pirmaeiliam metastazavusiam vėžiui gydyti</w:t>
      </w:r>
      <w:r w:rsidRPr="00822055">
        <w:rPr>
          <w:rFonts w:eastAsia="Arial"/>
          <w:color w:val="000000"/>
        </w:rPr>
        <w:t xml:space="preserve"> Lietuvoje. Jei </w:t>
      </w:r>
      <w:r w:rsidR="00C547C7" w:rsidRPr="00822055">
        <w:rPr>
          <w:rFonts w:eastAsia="Arial"/>
          <w:color w:val="000000"/>
        </w:rPr>
        <w:t xml:space="preserve">gydymas </w:t>
      </w:r>
      <w:r w:rsidRPr="00822055">
        <w:rPr>
          <w:rFonts w:eastAsia="Arial"/>
          <w:color w:val="000000"/>
        </w:rPr>
        <w:t xml:space="preserve">buvo nepakankamai </w:t>
      </w:r>
      <w:r w:rsidR="00C547C7" w:rsidRPr="00822055">
        <w:rPr>
          <w:rFonts w:eastAsia="Arial"/>
          <w:color w:val="000000"/>
        </w:rPr>
        <w:t>veiksmingas</w:t>
      </w:r>
      <w:r w:rsidRPr="00822055">
        <w:rPr>
          <w:rFonts w:eastAsia="Arial"/>
          <w:color w:val="000000"/>
        </w:rPr>
        <w:t>, skiriama</w:t>
      </w:r>
      <w:r w:rsidR="00C547C7" w:rsidRPr="00822055">
        <w:rPr>
          <w:rFonts w:eastAsia="Arial"/>
          <w:color w:val="000000"/>
        </w:rPr>
        <w:t>s</w:t>
      </w:r>
      <w:r w:rsidRPr="00822055">
        <w:rPr>
          <w:rFonts w:eastAsia="Arial"/>
          <w:color w:val="000000"/>
        </w:rPr>
        <w:t xml:space="preserve"> </w:t>
      </w:r>
      <w:r w:rsidR="00E0522C" w:rsidRPr="00822055">
        <w:rPr>
          <w:rFonts w:eastAsia="Arial"/>
          <w:color w:val="000000"/>
        </w:rPr>
        <w:t>sekančios</w:t>
      </w:r>
      <w:r w:rsidRPr="00822055">
        <w:rPr>
          <w:rFonts w:eastAsia="Arial"/>
          <w:color w:val="000000"/>
        </w:rPr>
        <w:t xml:space="preserve"> eilės </w:t>
      </w:r>
      <w:r w:rsidR="00C547C7" w:rsidRPr="00822055">
        <w:rPr>
          <w:rFonts w:eastAsia="Arial"/>
          <w:color w:val="000000"/>
        </w:rPr>
        <w:t>gydymas</w:t>
      </w:r>
      <w:r w:rsidRPr="00822055">
        <w:rPr>
          <w:rFonts w:eastAsia="Arial"/>
          <w:color w:val="000000"/>
        </w:rPr>
        <w:t xml:space="preserve">. </w:t>
      </w:r>
    </w:p>
    <w:p w14:paraId="728B15C7" w14:textId="797AD1E9" w:rsidR="00254CE7" w:rsidRPr="00822055" w:rsidRDefault="00254CE7" w:rsidP="00254CE7">
      <w:pPr>
        <w:tabs>
          <w:tab w:val="left" w:pos="426"/>
        </w:tabs>
        <w:spacing w:line="276" w:lineRule="auto"/>
        <w:jc w:val="both"/>
        <w:rPr>
          <w:rFonts w:eastAsia="Arial"/>
          <w:color w:val="000000"/>
        </w:rPr>
      </w:pPr>
      <w:r w:rsidRPr="00822055">
        <w:rPr>
          <w:rFonts w:eastAsia="Arial"/>
          <w:color w:val="000000"/>
        </w:rPr>
        <w:tab/>
        <w:t xml:space="preserve">Vadovaujantis Lietuvos Respublikos sveikatos apsaugos ministro 2002 m. balandžio 5 d. įsakymu Nr. V-159 „Dėl vaistinių preparatų ir medicinos pagalbos priemonių įrašymo į kompensavimo sąrašus ir jų keitimo tvarkos aprašo patvirtinimo“ 116-119 punktais, nustatyta, kad palyginamasis gydymas </w:t>
      </w:r>
      <w:r w:rsidRPr="00822055">
        <w:rPr>
          <w:rFonts w:eastAsia="Arial"/>
          <w:b/>
          <w:color w:val="000000"/>
        </w:rPr>
        <w:t xml:space="preserve">monoterapija </w:t>
      </w:r>
      <w:r w:rsidRPr="00822055">
        <w:rPr>
          <w:rFonts w:eastAsia="Calibri"/>
          <w:b/>
        </w:rPr>
        <w:t>ado-trastuzumabu emtansinu</w:t>
      </w:r>
      <w:r w:rsidRPr="00822055">
        <w:rPr>
          <w:rFonts w:eastAsia="Arial"/>
          <w:color w:val="000000"/>
        </w:rPr>
        <w:t>, yra tinkamas, nes atitinka įprastinę klinikinę praktiką Lietuvoje.</w:t>
      </w:r>
    </w:p>
    <w:p w14:paraId="5CCF6DCD" w14:textId="6DDC4E59" w:rsidR="00254CE7" w:rsidRPr="00822055" w:rsidRDefault="00254CE7" w:rsidP="00254CE7">
      <w:pPr>
        <w:tabs>
          <w:tab w:val="left" w:pos="492"/>
        </w:tabs>
        <w:spacing w:line="276" w:lineRule="auto"/>
        <w:ind w:firstLine="492"/>
        <w:jc w:val="both"/>
        <w:outlineLvl w:val="1"/>
        <w:rPr>
          <w:rFonts w:eastAsia="Arial"/>
        </w:rPr>
      </w:pPr>
      <w:r w:rsidRPr="00822055">
        <w:rPr>
          <w:rFonts w:eastAsia="Arial"/>
          <w:color w:val="000000"/>
        </w:rPr>
        <w:tab/>
      </w:r>
      <w:r w:rsidRPr="00822055">
        <w:rPr>
          <w:rFonts w:eastAsia="Arial"/>
        </w:rPr>
        <w:t xml:space="preserve">Klinikinis </w:t>
      </w:r>
      <w:r w:rsidR="00C547C7" w:rsidRPr="00822055">
        <w:rPr>
          <w:rFonts w:eastAsia="Arial"/>
        </w:rPr>
        <w:t xml:space="preserve">veiksmingumas </w:t>
      </w:r>
      <w:r w:rsidRPr="00822055">
        <w:rPr>
          <w:rFonts w:eastAsia="Arial"/>
        </w:rPr>
        <w:t>grindžiamas 3 fazės atsitiktinių imčių klinikiniu tyrimu DESTYNI-Breast 03. Tai yra daugiacentris, atvir</w:t>
      </w:r>
      <w:r w:rsidR="00C547C7" w:rsidRPr="00822055">
        <w:rPr>
          <w:rFonts w:eastAsia="Arial"/>
        </w:rPr>
        <w:t>asis</w:t>
      </w:r>
      <w:r w:rsidRPr="00822055">
        <w:rPr>
          <w:rFonts w:eastAsia="Arial"/>
        </w:rPr>
        <w:t>, aktyviai kontroliuojamas klinikinis tyrimas. Tyrimo populiacij</w:t>
      </w:r>
      <w:r w:rsidR="00C547C7" w:rsidRPr="00822055">
        <w:rPr>
          <w:rFonts w:eastAsia="Arial"/>
        </w:rPr>
        <w:t>ą</w:t>
      </w:r>
      <w:r w:rsidRPr="00822055">
        <w:rPr>
          <w:rFonts w:eastAsia="Arial"/>
        </w:rPr>
        <w:t xml:space="preserve"> sudarė pacientai, kuriems buvo </w:t>
      </w:r>
      <w:r w:rsidRPr="00822055">
        <w:rPr>
          <w:szCs w:val="20"/>
        </w:rPr>
        <w:t xml:space="preserve">nerezekuotinas arba metastazavęs HER2 teigiamas krūties vėžys ir kuriems jau buvo taikytas vienas arba daugiau prieš HER2 nukreiptų gydymo režimų. </w:t>
      </w:r>
      <w:r w:rsidRPr="00822055">
        <w:rPr>
          <w:rFonts w:eastAsia="Arial"/>
          <w:color w:val="000000"/>
        </w:rPr>
        <w:t xml:space="preserve">Atsitiktinių imčių būdu 524 pacientai (ITT) buvo paskirstyti į dvi tyrimo grupes, santykiu 1:1. Vienoje grupėje pacientai buvo gydomi </w:t>
      </w:r>
      <w:r w:rsidRPr="00822055">
        <w:rPr>
          <w:rFonts w:eastAsia="Calibri"/>
        </w:rPr>
        <w:t xml:space="preserve">ado-trastuzumabu emtansinu (toliau T-DM1), kitoje - </w:t>
      </w:r>
      <w:r w:rsidRPr="00822055">
        <w:rPr>
          <w:rFonts w:eastAsia="Arial"/>
          <w:color w:val="000000"/>
        </w:rPr>
        <w:t>t</w:t>
      </w:r>
      <w:r w:rsidRPr="00822055">
        <w:rPr>
          <w:rFonts w:eastAsia="Arial"/>
        </w:rPr>
        <w:t>rastuzumabu derukstekanu (toliau T-DXd - tiriamasis gydymas). Atsitiktinių imčių atrankos etape taip pat buvo numatyti pacientų pogrupiai: pagal prieš tai taikomą gydymą pertuzumabu (taip/ne); hormon</w:t>
      </w:r>
      <w:r w:rsidR="00772CD0" w:rsidRPr="00822055">
        <w:rPr>
          <w:rFonts w:eastAsia="Arial"/>
        </w:rPr>
        <w:t xml:space="preserve">ų receptorių buvimas </w:t>
      </w:r>
      <w:r w:rsidRPr="00822055">
        <w:rPr>
          <w:rFonts w:eastAsia="Arial"/>
        </w:rPr>
        <w:t xml:space="preserve">(taip/ne) bei visceralinės ligos </w:t>
      </w:r>
      <w:r w:rsidR="00316CD3" w:rsidRPr="00822055">
        <w:rPr>
          <w:rFonts w:eastAsia="Arial"/>
        </w:rPr>
        <w:t>(visceralinės metast</w:t>
      </w:r>
      <w:r w:rsidR="005D54E3" w:rsidRPr="00822055">
        <w:rPr>
          <w:rFonts w:eastAsia="Arial"/>
        </w:rPr>
        <w:t>a</w:t>
      </w:r>
      <w:r w:rsidR="00316CD3" w:rsidRPr="00822055">
        <w:rPr>
          <w:rFonts w:eastAsia="Arial"/>
        </w:rPr>
        <w:t xml:space="preserve">zės) </w:t>
      </w:r>
      <w:r w:rsidRPr="00822055">
        <w:rPr>
          <w:rFonts w:eastAsia="Arial"/>
        </w:rPr>
        <w:t>anamnezėje (taip/ne). Numatyta tyrimo trukmė buvo 26 mėnesiai. Gydymo grupėse pacientų demografinės ir pradinės ligų charakteristikos buvo panašios.</w:t>
      </w:r>
    </w:p>
    <w:p w14:paraId="1CB42AB7" w14:textId="4568A35D" w:rsidR="00254CE7" w:rsidRPr="00822055" w:rsidRDefault="00254CE7" w:rsidP="00254CE7">
      <w:pPr>
        <w:tabs>
          <w:tab w:val="left" w:pos="426"/>
        </w:tabs>
        <w:spacing w:line="276" w:lineRule="auto"/>
        <w:jc w:val="both"/>
        <w:rPr>
          <w:szCs w:val="20"/>
        </w:rPr>
      </w:pPr>
      <w:r w:rsidRPr="00822055">
        <w:rPr>
          <w:rFonts w:eastAsia="Arial"/>
        </w:rPr>
        <w:tab/>
      </w:r>
      <w:r w:rsidRPr="00822055">
        <w:rPr>
          <w:rFonts w:eastAsia="Arial"/>
          <w:u w:val="single"/>
        </w:rPr>
        <w:t>Pirminė baigtis</w:t>
      </w:r>
      <w:r w:rsidRPr="00822055">
        <w:rPr>
          <w:rFonts w:eastAsia="Arial"/>
        </w:rPr>
        <w:t xml:space="preserve"> - išgyvenamumas be ligos progresavimo (IBLP) pagal solidinių navikų atsako vertinimo kriterijus (</w:t>
      </w:r>
      <w:r w:rsidRPr="00822055">
        <w:rPr>
          <w:rFonts w:eastAsia="Arial"/>
          <w:i/>
        </w:rPr>
        <w:t>angl. Response Evaluation Criteria in Solid Tumours, RECIST v1.1</w:t>
      </w:r>
      <w:r w:rsidRPr="00822055">
        <w:rPr>
          <w:rFonts w:eastAsia="Arial"/>
        </w:rPr>
        <w:t xml:space="preserve">), nustatytas </w:t>
      </w:r>
      <w:r w:rsidR="00316CD3" w:rsidRPr="00822055">
        <w:rPr>
          <w:rFonts w:eastAsia="Arial"/>
        </w:rPr>
        <w:t>nepriklausomo peržiūros komiteto (</w:t>
      </w:r>
      <w:r w:rsidRPr="00822055">
        <w:rPr>
          <w:rFonts w:eastAsia="Arial"/>
        </w:rPr>
        <w:t>NPK). IBLP mediana T-DXd grupėje nebuvo pasiekta (95 proc. PI: 18,5 – nepasiekta), o T-DM1 grupėje buvo 6,8 mėn. (95 proc. PI: 5,6 – 8,2). Rizikos santykis (RS) buvo 0,28 (95 proc. PI: 0,22-0,37); p&lt;0,001) bendroje populiacijoje. Remiantis pirminės baigties rezultatais, ligos progresavimo įvykio tikimybė yra 72 proc. mažesnė gydant pacientus T-DXd, palyginus su T-DM1. Iš anksto numatytų pogrupių analizė parodė, kad T-DXd klinikinis veiksmingumas taip pat geresnis, palyginus su T-DM1, mažinant be ligos progresavimo įvykių tikimybę net nepriklausomai nuo prieš taikyt</w:t>
      </w:r>
      <w:r w:rsidR="00316CD3" w:rsidRPr="00822055">
        <w:rPr>
          <w:rFonts w:eastAsia="Arial"/>
        </w:rPr>
        <w:t>o gydymo eilių</w:t>
      </w:r>
      <w:r w:rsidRPr="00822055">
        <w:rPr>
          <w:rFonts w:eastAsia="Arial"/>
        </w:rPr>
        <w:t xml:space="preserve"> skaičiaus.</w:t>
      </w:r>
    </w:p>
    <w:p w14:paraId="46D76EC5" w14:textId="77777777" w:rsidR="00254CE7" w:rsidRPr="00822055" w:rsidRDefault="00254CE7" w:rsidP="00254CE7">
      <w:pPr>
        <w:tabs>
          <w:tab w:val="left" w:pos="426"/>
        </w:tabs>
        <w:spacing w:line="276" w:lineRule="auto"/>
        <w:jc w:val="both"/>
        <w:rPr>
          <w:rFonts w:eastAsia="Arial"/>
          <w:u w:val="single"/>
        </w:rPr>
      </w:pPr>
      <w:r w:rsidRPr="00822055">
        <w:rPr>
          <w:color w:val="000000"/>
          <w:lang w:eastAsia="lt-LT"/>
        </w:rPr>
        <w:tab/>
      </w:r>
      <w:r w:rsidRPr="00822055">
        <w:rPr>
          <w:rFonts w:eastAsia="Arial"/>
          <w:u w:val="single"/>
        </w:rPr>
        <w:t>Antrinės baigtys</w:t>
      </w:r>
    </w:p>
    <w:p w14:paraId="51C14F8F" w14:textId="71B805F0" w:rsidR="00254CE7" w:rsidRPr="00822055" w:rsidRDefault="00254CE7" w:rsidP="00254CE7">
      <w:pPr>
        <w:tabs>
          <w:tab w:val="left" w:pos="426"/>
        </w:tabs>
        <w:spacing w:line="276" w:lineRule="auto"/>
        <w:jc w:val="both"/>
        <w:rPr>
          <w:rFonts w:eastAsia="Arial"/>
        </w:rPr>
      </w:pPr>
      <w:r w:rsidRPr="00822055">
        <w:rPr>
          <w:rFonts w:eastAsia="Arial"/>
          <w:i/>
        </w:rPr>
        <w:t>Bendras išgyvenamumas (BI)</w:t>
      </w:r>
      <w:r w:rsidRPr="00822055">
        <w:rPr>
          <w:rFonts w:eastAsia="Arial"/>
        </w:rPr>
        <w:t xml:space="preserve"> buvo pagrindinė antrinė veiksmingumo baigtis. T-DXd yra BI pranašumo tendencija, palyginus su  gydymu T-DM1. Po 12 mėnesių stebėjimo 94,1 proc. (95 proc. PI: 90,3-96,4) pacientų gydomų T-DXd ir 85,9 proc. (95 proc. PI: 80,9-89,7) pacientų gydomų T-DM1 buvo gyvi, tačiau iš anksto numatytas analizės tikslas (skirtumo reikšmingumas T-DXd naudai P&lt;0,000265) </w:t>
      </w:r>
      <w:r w:rsidRPr="00774B46">
        <w:rPr>
          <w:rFonts w:eastAsia="Arial"/>
        </w:rPr>
        <w:t>nebuvo pasiektas: RS</w:t>
      </w:r>
      <w:r w:rsidRPr="00774B46">
        <w:rPr>
          <w:rFonts w:eastAsia="Arial"/>
          <w:lang w:val="en-GB"/>
        </w:rPr>
        <w:t>=</w:t>
      </w:r>
      <w:r w:rsidRPr="00774B46">
        <w:rPr>
          <w:rFonts w:eastAsia="Arial"/>
        </w:rPr>
        <w:t>0,55 (proc. 95 PI: 30,36-0,86; P</w:t>
      </w:r>
      <w:r w:rsidRPr="00774B46">
        <w:rPr>
          <w:rFonts w:eastAsia="Arial"/>
          <w:lang w:val="en-GB"/>
        </w:rPr>
        <w:t>=0,007).</w:t>
      </w:r>
      <w:r w:rsidRPr="00822055">
        <w:rPr>
          <w:rFonts w:eastAsia="Arial"/>
          <w:lang w:val="en-GB"/>
        </w:rPr>
        <w:t xml:space="preserve"> </w:t>
      </w:r>
      <w:r w:rsidRPr="00822055">
        <w:rPr>
          <w:rFonts w:eastAsia="Arial"/>
        </w:rPr>
        <w:t xml:space="preserve">Stebėjimas buvo </w:t>
      </w:r>
      <w:r w:rsidRPr="00822055">
        <w:rPr>
          <w:rFonts w:eastAsia="Arial"/>
        </w:rPr>
        <w:lastRenderedPageBreak/>
        <w:t xml:space="preserve">tęsiamas BI įvykių įvertinti. </w:t>
      </w:r>
      <w:r w:rsidRPr="00822055">
        <w:rPr>
          <w:rFonts w:eastAsia="Arial"/>
          <w:i/>
        </w:rPr>
        <w:t>IBLP mediana pagal tyrėjo vertinimą</w:t>
      </w:r>
      <w:r w:rsidRPr="00822055">
        <w:rPr>
          <w:rFonts w:eastAsia="Arial"/>
        </w:rPr>
        <w:t xml:space="preserve"> T-DXd grupėje buvo 25,1 mėn. (95 proc. PI: 22,1 – negali būti apskaičiuota) ir T-DM1 grupėje - 7,2 mėn. (95 proc. PI: 6,8-8,3). RS buvo 0,26 (95 proc. PI: 0,20-0,35; P&lt;0,001). Gauti analizės rezultatai yra panašūs į IBLP rezultatus vertintus NPK (pirminė vertinamoji baigtis). </w:t>
      </w:r>
      <w:r w:rsidRPr="00822055">
        <w:rPr>
          <w:rFonts w:eastAsia="Arial"/>
          <w:i/>
        </w:rPr>
        <w:t>Patvirtintas objektyvaus atsako dažnis (OAD)</w:t>
      </w:r>
      <w:r w:rsidRPr="00822055">
        <w:rPr>
          <w:rFonts w:eastAsia="Arial"/>
        </w:rPr>
        <w:t xml:space="preserve"> buvo įvertintas abiejose grupėse: 79,7 proc. (95 proc. PI: 74,3-84,4) T-DXd grupėje ir 34,2 proc. (95 proc. PI: 28,5-40,3) T-DM grupėje. Antrinės tarpinės analizės rezultatai nesiskyrė nuo pirminės analizės rezultatų, kas įrodo ilgalaikę T-DXd veiksmingumą. Pirminė ir antrinė analizė parodė, kad atsako trukmė buvo ilgesnė T-DXd pacientų grupėje, palyginus su T-DM pacientų grupe. AT mediana T-DXd grupėje buvo 36,6 mėn. (95 proc. PI: 22,4-neapskaičiuota) ir T-DM grupėje – 23,8 (95 proc. PI: 12,6-34,7).</w:t>
      </w:r>
    </w:p>
    <w:p w14:paraId="0016128B" w14:textId="77777777" w:rsidR="00254CE7" w:rsidRPr="00822055" w:rsidRDefault="00254CE7" w:rsidP="00254CE7">
      <w:pPr>
        <w:tabs>
          <w:tab w:val="left" w:pos="426"/>
        </w:tabs>
        <w:spacing w:line="276" w:lineRule="auto"/>
        <w:jc w:val="both"/>
        <w:rPr>
          <w:rFonts w:eastAsia="Arial"/>
        </w:rPr>
      </w:pPr>
      <w:r w:rsidRPr="00822055">
        <w:rPr>
          <w:rFonts w:eastAsia="Arial"/>
        </w:rPr>
        <w:tab/>
      </w:r>
      <w:r w:rsidRPr="00822055">
        <w:rPr>
          <w:rFonts w:eastAsia="Arial"/>
          <w:u w:val="single"/>
        </w:rPr>
        <w:t>Pacientų praneštos baigtys.</w:t>
      </w:r>
      <w:r w:rsidRPr="00822055">
        <w:rPr>
          <w:rFonts w:eastAsia="Arial"/>
        </w:rPr>
        <w:t xml:space="preserve"> Vertinant pacientų atsakymus nebuvo nustatyto reikšmingo skirtumo tyrimo grupėse, bendra balų suma liko be pakitimų nuo tyrimo pradžios iki tyrimo pabaigos.</w:t>
      </w:r>
    </w:p>
    <w:p w14:paraId="69D2200E" w14:textId="7A95A76B" w:rsidR="00254CE7" w:rsidRPr="00822055" w:rsidRDefault="00254CE7" w:rsidP="00254CE7">
      <w:pPr>
        <w:tabs>
          <w:tab w:val="left" w:pos="426"/>
        </w:tabs>
        <w:spacing w:line="276" w:lineRule="auto"/>
        <w:jc w:val="both"/>
        <w:rPr>
          <w:rFonts w:eastAsia="Arial"/>
        </w:rPr>
      </w:pPr>
      <w:r w:rsidRPr="00822055">
        <w:rPr>
          <w:rFonts w:eastAsia="Arial"/>
        </w:rPr>
        <w:tab/>
        <w:t xml:space="preserve">Tyrimo metu T-DXd buvo registruojami nepageidaujami reiškiniai. Pirmo laipsnio trombocitų sumažėjimas buvo įvertintas 12 proc. pacientų, vartojusių T-DXd, ir 8 proc. pacientų, vartojusių  T-DM; 2 laipsnio – 5 proc. ir 16 proc., atitinkamai; 3 laipsnio – 7 proc. ir 17 proc., atitinkamai, 4 laipsnio - &lt;1 proc, ir 3 proc., atitinkamai. Neutropenija labiau buvo išreikšta vartojant T-DXd. Anemija buvo dažiau </w:t>
      </w:r>
      <w:r w:rsidR="00A63B09" w:rsidRPr="00822055">
        <w:rPr>
          <w:rFonts w:eastAsia="Arial"/>
        </w:rPr>
        <w:t>registruojama</w:t>
      </w:r>
      <w:r w:rsidRPr="00822055">
        <w:rPr>
          <w:rFonts w:eastAsia="Arial"/>
        </w:rPr>
        <w:t xml:space="preserve"> vartojant T-DXd, nei T-DM. Pykinimas ir vėmimas dažiau buvo registruojamas pacientams, vartojusiems T-DXd. Nuovargis ir galvos skausmai taip pat dažniau buvo pranešti kaip NR gydant pacientus T-DXd, nei T-DM.</w:t>
      </w:r>
    </w:p>
    <w:p w14:paraId="3D24B6D1" w14:textId="1CF3C1BC" w:rsidR="00254CE7" w:rsidRPr="00822055" w:rsidRDefault="00254CE7" w:rsidP="00254CE7">
      <w:pPr>
        <w:tabs>
          <w:tab w:val="left" w:pos="426"/>
        </w:tabs>
        <w:spacing w:line="276" w:lineRule="auto"/>
        <w:jc w:val="both"/>
        <w:rPr>
          <w:rFonts w:eastAsia="Arial"/>
        </w:rPr>
      </w:pPr>
      <w:r w:rsidRPr="00822055">
        <w:rPr>
          <w:rFonts w:eastAsia="Arial"/>
          <w:color w:val="000000"/>
        </w:rPr>
        <w:tab/>
        <w:t xml:space="preserve">Kadangi pateikto tyrimo </w:t>
      </w:r>
      <w:r w:rsidRPr="00822055">
        <w:rPr>
          <w:rFonts w:eastAsia="Arial"/>
          <w:color w:val="000000"/>
        </w:rPr>
        <w:tab/>
      </w:r>
      <w:r w:rsidRPr="00822055">
        <w:rPr>
          <w:rFonts w:eastAsia="Arial"/>
        </w:rPr>
        <w:t>DESTYNI-Breast 03 duomenys buvo nebrandūs, Pareiškėjo buvo paprašyta pateikti antrinės arba galutinės IBLP ir BI duomenis. Remiantis pateiktais iš anksto numatyta statistinės analizės planu ir atnaujintais  klinikinio tyrimo duomenimis, antrinė analizė buvo atlikta pasiekus duomenų brandumą virš 61 proc. Nors viršutinė BI medianos riba nepasiekta ab</w:t>
      </w:r>
      <w:r w:rsidR="00316CD3" w:rsidRPr="00822055">
        <w:rPr>
          <w:rFonts w:eastAsia="Arial"/>
        </w:rPr>
        <w:t>i</w:t>
      </w:r>
      <w:r w:rsidRPr="00822055">
        <w:rPr>
          <w:rFonts w:eastAsia="Arial"/>
        </w:rPr>
        <w:t xml:space="preserve">ejose grupėse, tikėtina, kad bendro išgyvenamumo RS yra statistiškai reikšmingas T-DXd monoterapijos naudai šiame vertinimo etape ir rodo kliniškai reikšmingą mirties rizikos sumažėjimą 36 proc. pacientams, palyginus su T-DM1. Šiuo metu IBLP pranašumas gydant T-DXd monoterapija atsispindi ilgesnį BI pacientams su nerezekuotinu arba metastazavusiu HER2 teigiamu krūties vėžiu, kuriems jau taikytas vienas arba daugiau prieš HER2 nukreiptų gydymo režimų.  </w:t>
      </w:r>
    </w:p>
    <w:p w14:paraId="44864F76" w14:textId="77777777" w:rsidR="00254CE7" w:rsidRPr="00822055" w:rsidRDefault="00254CE7" w:rsidP="00254CE7">
      <w:pPr>
        <w:tabs>
          <w:tab w:val="left" w:pos="426"/>
        </w:tabs>
        <w:spacing w:line="276" w:lineRule="auto"/>
        <w:jc w:val="both"/>
        <w:rPr>
          <w:rFonts w:eastAsia="Arial"/>
          <w:color w:val="000000"/>
        </w:rPr>
      </w:pPr>
      <w:r w:rsidRPr="00822055">
        <w:rPr>
          <w:rFonts w:eastAsia="Arial"/>
        </w:rPr>
        <w:tab/>
        <w:t>Manoma, kad monoterapija T-DXd gali suteikti papildoma klinikinę naudą Lietuvos pacientams, palyginus su T-DM1.</w:t>
      </w:r>
    </w:p>
    <w:p w14:paraId="4FBCA9C2" w14:textId="77777777" w:rsidR="008B6418" w:rsidRPr="00822055" w:rsidRDefault="008B6418" w:rsidP="008B6418">
      <w:pPr>
        <w:tabs>
          <w:tab w:val="left" w:pos="567"/>
        </w:tabs>
        <w:rPr>
          <w:b/>
          <w:bCs/>
          <w:caps/>
        </w:rPr>
      </w:pPr>
    </w:p>
    <w:p w14:paraId="7DE09EB5" w14:textId="6BD1E5BF" w:rsidR="00E03C3F" w:rsidRPr="00822055" w:rsidRDefault="00B654D4" w:rsidP="00B654D4">
      <w:pPr>
        <w:pStyle w:val="ListParagraph"/>
        <w:numPr>
          <w:ilvl w:val="0"/>
          <w:numId w:val="16"/>
        </w:numPr>
        <w:tabs>
          <w:tab w:val="left" w:pos="567"/>
        </w:tabs>
        <w:rPr>
          <w:b/>
          <w:bCs/>
          <w:caps/>
        </w:rPr>
      </w:pPr>
      <w:r w:rsidRPr="00822055">
        <w:rPr>
          <w:b/>
          <w:bCs/>
          <w:caps/>
        </w:rPr>
        <w:t xml:space="preserve">   </w:t>
      </w:r>
      <w:r w:rsidR="00CC7832" w:rsidRPr="00822055">
        <w:rPr>
          <w:b/>
          <w:bCs/>
          <w:caps/>
        </w:rPr>
        <w:t xml:space="preserve">ekonominio vertinimo </w:t>
      </w:r>
      <w:r w:rsidR="002F0E4F" w:rsidRPr="00822055">
        <w:rPr>
          <w:b/>
          <w:bCs/>
          <w:caps/>
        </w:rPr>
        <w:t>apibendrinimas</w:t>
      </w:r>
    </w:p>
    <w:p w14:paraId="2FC05D7E" w14:textId="43CA31A2" w:rsidR="002E6F80" w:rsidRPr="00822055" w:rsidRDefault="002E6F80" w:rsidP="002E6F80">
      <w:pPr>
        <w:tabs>
          <w:tab w:val="left" w:pos="284"/>
        </w:tabs>
        <w:rPr>
          <w:i/>
          <w:sz w:val="22"/>
          <w:szCs w:val="22"/>
        </w:rPr>
      </w:pPr>
    </w:p>
    <w:p w14:paraId="697F17EA" w14:textId="3065C0A7" w:rsidR="00A7183C" w:rsidRPr="00822055" w:rsidRDefault="00B654D4" w:rsidP="00052BB7">
      <w:pPr>
        <w:tabs>
          <w:tab w:val="left" w:pos="284"/>
        </w:tabs>
        <w:spacing w:line="276" w:lineRule="auto"/>
        <w:ind w:firstLine="576"/>
        <w:rPr>
          <w:iCs/>
        </w:rPr>
      </w:pPr>
      <w:r w:rsidRPr="00822055">
        <w:rPr>
          <w:iCs/>
        </w:rPr>
        <w:t>Pareiškėjas ekonominiam vertinimui pateikė kaštų naudingumo analizę, į kurią įtraukti pacientai atitinka kompensacijai teikiamas terapines indikacijas.</w:t>
      </w:r>
      <w:r w:rsidR="006407B1" w:rsidRPr="00822055">
        <w:rPr>
          <w:iCs/>
        </w:rPr>
        <w:t xml:space="preserve"> </w:t>
      </w:r>
      <w:r w:rsidR="00052BB7" w:rsidRPr="00822055">
        <w:rPr>
          <w:iCs/>
        </w:rPr>
        <w:t>Ekonominėje analizėje nagrinėjama populiacija atitinka klinikinio tyrimo DESTINY-Breast03 klinikinio tyrimo nagrinėjamą pacientų populiaciją – suaugusieji pacientai, sergantys nerezekuotinu arba metastazavusiu žmogaus epidermio augimo faktoriaus receptoriaus 2 (angl. human epidermal grow factor receptor 2, toliau - HER2) teigiamu krūties vėžiu, kuriems jau taikytas vienas arba daugiau prieš HER2 nukreiptų gydymo režimų, gydymui.</w:t>
      </w:r>
    </w:p>
    <w:p w14:paraId="39B4D589" w14:textId="72180AFB" w:rsidR="00052BB7" w:rsidRPr="00822055" w:rsidRDefault="00052BB7" w:rsidP="00052BB7">
      <w:pPr>
        <w:pStyle w:val="VVKT"/>
        <w:rPr>
          <w:rFonts w:asciiTheme="majorBidi" w:hAnsiTheme="majorBidi" w:cstheme="majorBidi"/>
        </w:rPr>
      </w:pPr>
      <w:r w:rsidRPr="00822055">
        <w:rPr>
          <w:rFonts w:eastAsia="Arial"/>
        </w:rPr>
        <w:t xml:space="preserve">Ekonominėje analizėje pateiktas palyginamasis gydymas atitinka klinikinio paraiškos vertinimo dalyje pateiktą palyginamąjį gydymą. Ekonominėje analizėje pateiktas palyginamasis gydymas atitinka įprastą Lietuvos Respublikos klinikinę praktiką. Įprasta klinikinė praktika Lietuvoje yra laikoma gydymas </w:t>
      </w:r>
      <w:r w:rsidRPr="00822055">
        <w:rPr>
          <w:rFonts w:asciiTheme="majorBidi" w:hAnsiTheme="majorBidi" w:cstheme="majorBidi"/>
        </w:rPr>
        <w:t xml:space="preserve">trastuzumabo emtansinu. </w:t>
      </w:r>
    </w:p>
    <w:p w14:paraId="29D7E58A" w14:textId="77777777" w:rsidR="00052BB7" w:rsidRPr="00822055" w:rsidRDefault="00052BB7" w:rsidP="00052BB7">
      <w:pPr>
        <w:pStyle w:val="VVKT"/>
      </w:pPr>
      <w:r w:rsidRPr="00822055">
        <w:t xml:space="preserve">Ekonominėje analizėje taikomi modeliavimo metodai. Kartu su ekonomine analize pateiktas ekonominio modelis, parengtas Microsoft Excel® programa ir skirtas įvertinti trastuzumabo </w:t>
      </w:r>
      <w:r w:rsidRPr="00822055">
        <w:lastRenderedPageBreak/>
        <w:t>derukstekano kaštų naudingumui gydant sergančiuosius nerezekuotinu arba metastazavusiu HER2 teigiamu krūties vėžiu, kuriems jau taikytas vienas arba daugiau prieš HER2 nukreiptų gydymo režimų, gydymui.</w:t>
      </w:r>
    </w:p>
    <w:p w14:paraId="5A8D96A7" w14:textId="77777777" w:rsidR="00052BB7" w:rsidRPr="00822055" w:rsidRDefault="00052BB7" w:rsidP="00052BB7">
      <w:pPr>
        <w:pStyle w:val="VVKT"/>
      </w:pPr>
      <w:r w:rsidRPr="00822055">
        <w:t xml:space="preserve">Pateiktas ekonominis modelis yra išskaidyto išgyvenamumo (angl. </w:t>
      </w:r>
      <w:r w:rsidRPr="00822055">
        <w:rPr>
          <w:i/>
        </w:rPr>
        <w:t>partitioned survival</w:t>
      </w:r>
      <w:r w:rsidRPr="00822055">
        <w:t>) modelis, kuriame modeliuojamos 4 sveikatos būklės:</w:t>
      </w:r>
    </w:p>
    <w:p w14:paraId="04D9755D" w14:textId="77777777" w:rsidR="00052BB7" w:rsidRPr="00822055" w:rsidRDefault="00052BB7" w:rsidP="00052BB7">
      <w:pPr>
        <w:pStyle w:val="ListParagraph"/>
        <w:numPr>
          <w:ilvl w:val="0"/>
          <w:numId w:val="13"/>
        </w:numPr>
        <w:spacing w:line="276" w:lineRule="auto"/>
        <w:jc w:val="both"/>
        <w:rPr>
          <w:lang w:eastAsia="lt-LT"/>
        </w:rPr>
      </w:pPr>
      <w:r w:rsidRPr="00822055">
        <w:rPr>
          <w:lang w:eastAsia="lt-LT"/>
        </w:rPr>
        <w:t xml:space="preserve">Būklė iki ligos progresavimo taikant gydymą (angl. </w:t>
      </w:r>
      <w:r w:rsidRPr="00822055">
        <w:rPr>
          <w:i/>
          <w:iCs/>
          <w:lang w:eastAsia="lt-LT"/>
        </w:rPr>
        <w:t>progression-free, on treatment</w:t>
      </w:r>
      <w:r w:rsidRPr="00822055">
        <w:rPr>
          <w:lang w:eastAsia="lt-LT"/>
        </w:rPr>
        <w:t>)</w:t>
      </w:r>
    </w:p>
    <w:p w14:paraId="25782B75" w14:textId="77777777" w:rsidR="00052BB7" w:rsidRPr="00822055" w:rsidRDefault="00052BB7" w:rsidP="00052BB7">
      <w:pPr>
        <w:pStyle w:val="ListParagraph"/>
        <w:numPr>
          <w:ilvl w:val="0"/>
          <w:numId w:val="13"/>
        </w:numPr>
        <w:spacing w:line="276" w:lineRule="auto"/>
        <w:jc w:val="both"/>
        <w:rPr>
          <w:lang w:eastAsia="lt-LT"/>
        </w:rPr>
      </w:pPr>
      <w:r w:rsidRPr="00822055">
        <w:rPr>
          <w:lang w:eastAsia="lt-LT"/>
        </w:rPr>
        <w:t xml:space="preserve">Būklė iki ligos progresavimo nutraukus gydymą (angl. </w:t>
      </w:r>
      <w:r w:rsidRPr="00822055">
        <w:rPr>
          <w:i/>
          <w:iCs/>
          <w:lang w:eastAsia="lt-LT"/>
        </w:rPr>
        <w:t>progression-free, off treatment</w:t>
      </w:r>
      <w:r w:rsidRPr="00822055">
        <w:rPr>
          <w:lang w:eastAsia="lt-LT"/>
        </w:rPr>
        <w:t>)</w:t>
      </w:r>
    </w:p>
    <w:p w14:paraId="0E27E39A" w14:textId="77777777" w:rsidR="00052BB7" w:rsidRPr="00822055" w:rsidRDefault="00052BB7" w:rsidP="00052BB7">
      <w:pPr>
        <w:pStyle w:val="ListParagraph"/>
        <w:numPr>
          <w:ilvl w:val="0"/>
          <w:numId w:val="13"/>
        </w:numPr>
        <w:rPr>
          <w:lang w:eastAsia="lt-LT"/>
        </w:rPr>
      </w:pPr>
      <w:r w:rsidRPr="00822055">
        <w:rPr>
          <w:lang w:eastAsia="lt-LT"/>
        </w:rPr>
        <w:t xml:space="preserve">Progresuojančios ligos būklė (angl. </w:t>
      </w:r>
      <w:r w:rsidRPr="00822055">
        <w:rPr>
          <w:i/>
          <w:iCs/>
          <w:lang w:eastAsia="lt-LT"/>
        </w:rPr>
        <w:t>progressed disease</w:t>
      </w:r>
      <w:r w:rsidRPr="00822055">
        <w:rPr>
          <w:lang w:eastAsia="lt-LT"/>
        </w:rPr>
        <w:t>)</w:t>
      </w:r>
    </w:p>
    <w:p w14:paraId="01FF747B" w14:textId="77777777" w:rsidR="00052BB7" w:rsidRPr="00822055" w:rsidRDefault="00052BB7" w:rsidP="00052BB7">
      <w:pPr>
        <w:pStyle w:val="ListParagraph"/>
        <w:numPr>
          <w:ilvl w:val="0"/>
          <w:numId w:val="13"/>
        </w:numPr>
        <w:spacing w:line="276" w:lineRule="auto"/>
        <w:jc w:val="both"/>
        <w:rPr>
          <w:lang w:eastAsia="lt-LT"/>
        </w:rPr>
      </w:pPr>
      <w:r w:rsidRPr="00822055">
        <w:rPr>
          <w:lang w:eastAsia="lt-LT"/>
        </w:rPr>
        <w:t xml:space="preserve">Mirtis. </w:t>
      </w:r>
    </w:p>
    <w:p w14:paraId="3D405CEB" w14:textId="48BFD29C" w:rsidR="00052BB7" w:rsidRPr="00822055" w:rsidRDefault="00052BB7" w:rsidP="00052BB7">
      <w:pPr>
        <w:spacing w:line="276" w:lineRule="auto"/>
        <w:ind w:firstLine="432"/>
        <w:jc w:val="both"/>
        <w:rPr>
          <w:lang w:eastAsia="lt-LT"/>
        </w:rPr>
      </w:pPr>
      <w:r w:rsidRPr="00822055">
        <w:rPr>
          <w:lang w:eastAsia="lt-LT"/>
        </w:rPr>
        <w:t>Analizės struktūra yra tinkama trastuzumabo derukstekano kaštų naudingumui įvertinti gydant sergančiuosius nerezekuotinu arba metastazavusiu HER2 teigiamu krūties vėžiu, kuriems jau taikytas vienas arba daugiau prieš HER2 nukreiptų gydymo režimų.</w:t>
      </w:r>
    </w:p>
    <w:p w14:paraId="50C2A6C3" w14:textId="77777777" w:rsidR="00052BB7" w:rsidRPr="00822055" w:rsidRDefault="00052BB7" w:rsidP="00052BB7">
      <w:pPr>
        <w:pStyle w:val="VVKT"/>
      </w:pPr>
      <w:r w:rsidRPr="00822055">
        <w:tab/>
        <w:t xml:space="preserve">Klinikiniai įrodymai, naudojami ekonominio vertinimo dalyje, atitinka </w:t>
      </w:r>
      <w:r w:rsidRPr="00822055">
        <w:rPr>
          <w:i/>
        </w:rPr>
        <w:t xml:space="preserve">vertinimo protokolo 3.1 skyriuje </w:t>
      </w:r>
      <w:r w:rsidRPr="00822055">
        <w:t xml:space="preserve">naudojamus įrodymus. Pagrindinis klinikinių įrodymų šaltinis ekonominėje analizėje buvo klinikinis tyrimas DESTINY-Breast03. </w:t>
      </w:r>
    </w:p>
    <w:p w14:paraId="1AC5BC2D" w14:textId="77777777" w:rsidR="00052BB7" w:rsidRPr="00822055" w:rsidRDefault="00052BB7" w:rsidP="00052BB7">
      <w:pPr>
        <w:pStyle w:val="VVKT"/>
        <w:rPr>
          <w:rFonts w:eastAsia="Arial"/>
        </w:rPr>
      </w:pPr>
      <w:r w:rsidRPr="00822055">
        <w:rPr>
          <w:rFonts w:eastAsia="Arial"/>
        </w:rPr>
        <w:t xml:space="preserve">Modelyje taikoma ilgesnė laiko perspektyva, besitęsianti po klinikinio tyrimo stebėsenos pabaigos. Atliekant detalųjį vertinimą buvo vertinamas pareiškėjo pasirinktų prielaidų pagrįstumas. </w:t>
      </w:r>
    </w:p>
    <w:p w14:paraId="582CC0FD" w14:textId="2920D62A" w:rsidR="00052BB7" w:rsidRPr="00822055" w:rsidRDefault="00052BB7" w:rsidP="00052BB7">
      <w:pPr>
        <w:pStyle w:val="VVKT"/>
        <w:rPr>
          <w:rFonts w:eastAsia="Arial"/>
        </w:rPr>
      </w:pPr>
      <w:r w:rsidRPr="00822055">
        <w:rPr>
          <w:rFonts w:eastAsia="Arial"/>
        </w:rPr>
        <w:t>Pareiškėjo taikomos prielaidos, vertinant efektyvumo skirtumus tarp siūlomo ir palyginamojo gydymo ilgajame laikotarpyje yra nepakankamai pagrįstos. Ekonominėje analizėje taikomos ilgalaikio efektyvumo prielaidos dėl mažos bendrojo išgyvenamumo duomenų brandos yra labai neapibrėžtos ir šis neapibrėžtumas daro didelę įtaką analizės rezultatui.</w:t>
      </w:r>
    </w:p>
    <w:p w14:paraId="785AC981" w14:textId="16D05172" w:rsidR="00052BB7" w:rsidRPr="00822055" w:rsidRDefault="00052BB7" w:rsidP="00052BB7">
      <w:pPr>
        <w:pStyle w:val="ListParagraph"/>
        <w:spacing w:after="120"/>
        <w:ind w:left="0" w:firstLine="720"/>
        <w:jc w:val="both"/>
      </w:pPr>
      <w:r w:rsidRPr="00822055">
        <w:t xml:space="preserve">Analizė atlikta iš PSDF biudžeto perspektyvos, įtraukti tiesiogiai su sveikatos sistema susiję kaštai. Tai atitinka teisės aktuose nustatytus paraiškos rengimo taisyklių reikalavimus. Analizėje taikoma </w:t>
      </w:r>
      <w:r w:rsidR="002E7C5C">
        <w:t>***</w:t>
      </w:r>
      <w:r w:rsidRPr="00822055">
        <w:t xml:space="preserve"> metų laiko perspektyva. Pasirinkta laiko perspektyva yra tinkama, nes yra pakankamai ilga, kad būtų galima analizėje apimti iš esmės visus patiriamus kaštus ir visą gaunamą naudą sveikatai.</w:t>
      </w:r>
    </w:p>
    <w:p w14:paraId="6D297A5A" w14:textId="54D4DFCA" w:rsidR="00052BB7" w:rsidRPr="00822055" w:rsidRDefault="00052BB7" w:rsidP="00052BB7">
      <w:pPr>
        <w:pStyle w:val="VVKT"/>
      </w:pPr>
      <w:r w:rsidRPr="00822055">
        <w:tab/>
        <w:t xml:space="preserve">Poveikis sveikatai analizėje vertinamas apskaičiuojant kokybiškus gyvenimo metus (QALYs). Apskaičiuojant QALY buvo naudojamos gyvenimo kokybės koeficientų reikšmės, gautos atlikus DESTINY-Breast03 klinikinį tyrimą, kurį atliekant buvo pildomas EQ-5D-5L klausimynas. Pareiškėjas progresuojančios ligos būklei taiko kitą gyvenimo kokybės įverčių šaltinį – </w:t>
      </w:r>
      <w:r w:rsidR="002E7C5C">
        <w:t>***</w:t>
      </w:r>
      <w:r w:rsidRPr="00822055">
        <w:t xml:space="preserve"> pritaikius DESTINY-Breast03 klinikinio tyrimo pacientų charakteristikas, argumentuodamas mažu gyvenimo kokybės praradimu ligai progresavus pagal DESTINY-Breast03 klinikinio tyrimo gyvenimo kokybės stebėjimo rezultatus.</w:t>
      </w:r>
    </w:p>
    <w:p w14:paraId="66883995" w14:textId="43B0FAAF" w:rsidR="00052BB7" w:rsidRPr="00822055" w:rsidRDefault="00052BB7" w:rsidP="00052BB7">
      <w:pPr>
        <w:pStyle w:val="VVKT"/>
      </w:pPr>
      <w:bookmarkStart w:id="0" w:name="_Hlk166121391"/>
      <w:r w:rsidRPr="00822055">
        <w:t>Į ekonominę analizę įtraukiami šie kaštai: vaistinių preparatų įsigijimo kaštai, nepageidaujamų reiškinių valdymo kaštai, vaistinių preparatų administravimo (suleidimo) kaštai, sveikatos priežiūros paslaugų kaštai.</w:t>
      </w:r>
    </w:p>
    <w:p w14:paraId="24AC8EB6" w14:textId="3F47375A" w:rsidR="00052BB7" w:rsidRPr="00822055" w:rsidRDefault="00052BB7" w:rsidP="00052BB7">
      <w:pPr>
        <w:pStyle w:val="VVKT"/>
      </w:pPr>
      <w:r w:rsidRPr="00822055">
        <w:t>Pagrindiniai ekonominės analizės trūkumai:</w:t>
      </w:r>
    </w:p>
    <w:p w14:paraId="25C5CD8B" w14:textId="2BF682F2" w:rsidR="00052BB7" w:rsidRPr="00822055" w:rsidRDefault="00052BB7" w:rsidP="00052BB7">
      <w:pPr>
        <w:pStyle w:val="VVKT"/>
        <w:numPr>
          <w:ilvl w:val="0"/>
          <w:numId w:val="17"/>
        </w:numPr>
      </w:pPr>
      <w:r w:rsidRPr="00822055">
        <w:t>Ilgalaikių  veiksmingumo (ypač bendrojo išgyvenamumo) prielaidų modeliavimas  yra neapibrėžtas dėl duomenų brandos trūkumo, todėl neįmanoma tiksliai įvertinti būsimos išgyvenamumo kreivių dinamikos ir tiksliai apskaičiuoti inkrementinės kaštų naudingumo vertės.</w:t>
      </w:r>
    </w:p>
    <w:p w14:paraId="2CBAD256" w14:textId="77777777" w:rsidR="002E23E0" w:rsidRPr="00822055" w:rsidRDefault="00052BB7" w:rsidP="002E23E0">
      <w:pPr>
        <w:pStyle w:val="VVKT"/>
        <w:numPr>
          <w:ilvl w:val="0"/>
          <w:numId w:val="17"/>
        </w:numPr>
      </w:pPr>
      <w:r w:rsidRPr="00822055">
        <w:t>Gyvenimo kokybės vertinimas analizėje</w:t>
      </w:r>
      <w:r w:rsidR="002E23E0" w:rsidRPr="00822055">
        <w:t xml:space="preserve"> skirtingoms sveikatos būklėms naudojant skirtingus gyvenimo kokybės  koeficientų reikšmių koeficientus</w:t>
      </w:r>
      <w:r w:rsidRPr="00822055">
        <w:t xml:space="preserve"> lemia reikšmingą analizės neapibrėžtumą</w:t>
      </w:r>
      <w:r w:rsidR="002E23E0" w:rsidRPr="00822055">
        <w:t>, sukuria nepageidaujamą nenuoseklumą ekonominėje analizėje ir sudaro prielaidas galimai pervertinti trastuzumabo derukstekano kaštų naudingumą.</w:t>
      </w:r>
      <w:bookmarkEnd w:id="0"/>
    </w:p>
    <w:p w14:paraId="4A53AED1" w14:textId="30781EEB" w:rsidR="00052BB7" w:rsidRPr="00822055" w:rsidRDefault="002E23E0" w:rsidP="002E23E0">
      <w:pPr>
        <w:pStyle w:val="VVKT"/>
        <w:numPr>
          <w:ilvl w:val="0"/>
          <w:numId w:val="17"/>
        </w:numPr>
      </w:pPr>
      <w:r w:rsidRPr="00822055">
        <w:lastRenderedPageBreak/>
        <w:t xml:space="preserve">Tolimesnio gydymo prielaidų taikymas ekonominėje analizėje yra neaiškus, pasirinktos pareiškėjo prielaidos yra nepakankamai pagrįstos. </w:t>
      </w:r>
    </w:p>
    <w:p w14:paraId="67D2BDBC" w14:textId="6B47B7F8" w:rsidR="00052BB7" w:rsidRPr="00822055" w:rsidRDefault="00052BB7" w:rsidP="00052BB7">
      <w:pPr>
        <w:pStyle w:val="VVKT"/>
        <w:tabs>
          <w:tab w:val="left" w:pos="3253"/>
        </w:tabs>
      </w:pPr>
    </w:p>
    <w:p w14:paraId="0880002B" w14:textId="77777777" w:rsidR="002E23E0" w:rsidRPr="00822055" w:rsidRDefault="002E23E0" w:rsidP="002E23E0">
      <w:pPr>
        <w:pStyle w:val="VVKT"/>
      </w:pPr>
      <w:bookmarkStart w:id="1" w:name="_Hlk166121928"/>
      <w:r w:rsidRPr="00822055">
        <w:t>Tarnyba, perskaičiuodama ekonominės analizės rezultatus atliko šiuos pagrindinio atvejo analizės pakeitimus:</w:t>
      </w:r>
    </w:p>
    <w:p w14:paraId="31932B9E" w14:textId="6E3722FE" w:rsidR="002E23E0" w:rsidRPr="00822055" w:rsidRDefault="007069CF" w:rsidP="002E23E0">
      <w:pPr>
        <w:pStyle w:val="VVKT"/>
        <w:numPr>
          <w:ilvl w:val="0"/>
          <w:numId w:val="18"/>
        </w:numPr>
        <w:tabs>
          <w:tab w:val="left" w:pos="567"/>
        </w:tabs>
      </w:pPr>
      <w:r>
        <w:t>***</w:t>
      </w:r>
    </w:p>
    <w:p w14:paraId="75FD1680" w14:textId="209D7147" w:rsidR="002E23E0" w:rsidRPr="009421D7" w:rsidRDefault="009421D7" w:rsidP="002E23E0">
      <w:pPr>
        <w:pStyle w:val="VVKT"/>
        <w:numPr>
          <w:ilvl w:val="0"/>
          <w:numId w:val="18"/>
        </w:numPr>
        <w:tabs>
          <w:tab w:val="left" w:pos="567"/>
        </w:tabs>
      </w:pPr>
      <w:r>
        <w:t>***</w:t>
      </w:r>
      <w:r w:rsidR="002E23E0" w:rsidRPr="00822055">
        <w:t xml:space="preserve">, Tarnybos nuomone, pagrindinio atvejo analizėje turi būti taikomi šie parametriniai </w:t>
      </w:r>
      <w:r w:rsidR="002E23E0" w:rsidRPr="009421D7">
        <w:t>skirstiniai:</w:t>
      </w:r>
    </w:p>
    <w:p w14:paraId="09551EFE" w14:textId="397CDDDF" w:rsidR="002E23E0" w:rsidRPr="009421D7" w:rsidRDefault="009421D7" w:rsidP="002E23E0">
      <w:pPr>
        <w:pStyle w:val="VVKT"/>
        <w:numPr>
          <w:ilvl w:val="0"/>
          <w:numId w:val="19"/>
        </w:numPr>
        <w:tabs>
          <w:tab w:val="left" w:pos="567"/>
        </w:tabs>
      </w:pPr>
      <w:r w:rsidRPr="009421D7">
        <w:t>***</w:t>
      </w:r>
      <w:r w:rsidR="002E23E0" w:rsidRPr="009421D7">
        <w:t>;</w:t>
      </w:r>
    </w:p>
    <w:p w14:paraId="2192BEBB" w14:textId="556F6A01" w:rsidR="002E23E0" w:rsidRPr="009421D7" w:rsidRDefault="009421D7" w:rsidP="002E23E0">
      <w:pPr>
        <w:pStyle w:val="VVKT"/>
        <w:numPr>
          <w:ilvl w:val="0"/>
          <w:numId w:val="19"/>
        </w:numPr>
        <w:tabs>
          <w:tab w:val="left" w:pos="567"/>
        </w:tabs>
      </w:pPr>
      <w:r w:rsidRPr="009421D7">
        <w:t>***</w:t>
      </w:r>
      <w:r w:rsidR="002E23E0" w:rsidRPr="009421D7">
        <w:t xml:space="preserve"> </w:t>
      </w:r>
    </w:p>
    <w:p w14:paraId="15ABD837" w14:textId="77777777" w:rsidR="002E23E0" w:rsidRPr="00822055" w:rsidRDefault="002E23E0" w:rsidP="002E23E0">
      <w:pPr>
        <w:pStyle w:val="VVKT"/>
        <w:ind w:left="922" w:firstLine="0"/>
      </w:pPr>
      <w:r w:rsidRPr="00822055">
        <w:t xml:space="preserve">Tarnybos nuomone, atlikus šių parametrų minėtus pakeitimus, yra reikšmingai sumažinamas ekonominės analizės neapibrėžtumas ir trastuzumabo derukstekano naudos pervertinimo galimybė. </w:t>
      </w:r>
    </w:p>
    <w:p w14:paraId="7C926602" w14:textId="39DB00D3" w:rsidR="002E23E0" w:rsidRPr="00822055" w:rsidRDefault="00C07241" w:rsidP="002E23E0">
      <w:pPr>
        <w:pStyle w:val="VVKT"/>
        <w:numPr>
          <w:ilvl w:val="0"/>
          <w:numId w:val="18"/>
        </w:numPr>
        <w:tabs>
          <w:tab w:val="left" w:pos="567"/>
        </w:tabs>
      </w:pPr>
      <w:r>
        <w:t>***</w:t>
      </w:r>
      <w:r w:rsidR="002E23E0" w:rsidRPr="00822055">
        <w:t xml:space="preserve">, gyvenimo kokybės koeficientai visoms sveikatos būklėms, taip siekiant išvengti nenuoseklumo taikant skirtingus gyvenimo kokybės koeficientų šaltinius skirtingoms sveikatos būklėms. </w:t>
      </w:r>
      <w:bookmarkEnd w:id="1"/>
    </w:p>
    <w:p w14:paraId="2B58CB67" w14:textId="77777777" w:rsidR="002E23E0" w:rsidRPr="00822055" w:rsidRDefault="002E23E0" w:rsidP="00052BB7">
      <w:pPr>
        <w:pStyle w:val="VVKT"/>
        <w:tabs>
          <w:tab w:val="left" w:pos="3253"/>
        </w:tabs>
      </w:pPr>
    </w:p>
    <w:p w14:paraId="34494BBD" w14:textId="056A7C4C" w:rsidR="002E23E0" w:rsidRPr="00822055" w:rsidRDefault="002E23E0" w:rsidP="002E23E0">
      <w:pPr>
        <w:pStyle w:val="VVKT"/>
        <w:rPr>
          <w:rFonts w:eastAsia="Arial"/>
        </w:rPr>
      </w:pPr>
      <w:r w:rsidRPr="00822055">
        <w:rPr>
          <w:rFonts w:eastAsia="Arial"/>
        </w:rPr>
        <w:t xml:space="preserve">Tarnybai yra žinoma, kad </w:t>
      </w:r>
      <w:r w:rsidR="00C07241">
        <w:rPr>
          <w:rFonts w:eastAsia="Arial"/>
        </w:rPr>
        <w:t>***</w:t>
      </w:r>
    </w:p>
    <w:p w14:paraId="25D06790" w14:textId="6BAADC0F" w:rsidR="002E23E0" w:rsidRPr="00822055" w:rsidRDefault="002E23E0" w:rsidP="002E23E0">
      <w:pPr>
        <w:pStyle w:val="VVKT"/>
        <w:rPr>
          <w:rFonts w:eastAsia="Arial"/>
        </w:rPr>
      </w:pPr>
      <w:r w:rsidRPr="00822055">
        <w:rPr>
          <w:rFonts w:eastAsia="Arial"/>
        </w:rPr>
        <w:t xml:space="preserve">Tarnyba, įvertinusi ekonominės analizės rezultatus </w:t>
      </w:r>
      <w:r w:rsidR="00D67AF5">
        <w:rPr>
          <w:rFonts w:eastAsia="Arial"/>
        </w:rPr>
        <w:t>***</w:t>
      </w:r>
      <w:r w:rsidRPr="00822055">
        <w:rPr>
          <w:rFonts w:eastAsia="Arial"/>
        </w:rPr>
        <w:t xml:space="preserve">, teikia išvadą, kad gydymo Enhertu kaštų naudingumas yra nepriimtinas, nes inkrementinė kaštų naudingumo vertė viršija referencinę kaštų naudingumo vertę. </w:t>
      </w:r>
    </w:p>
    <w:p w14:paraId="0BF39125" w14:textId="7D8D3551" w:rsidR="00DA7A4B" w:rsidRPr="00822055" w:rsidRDefault="002E23E0" w:rsidP="002E23E0">
      <w:pPr>
        <w:pStyle w:val="VVKT"/>
        <w:rPr>
          <w:rFonts w:eastAsia="Arial"/>
        </w:rPr>
      </w:pPr>
      <w:r w:rsidRPr="00822055">
        <w:rPr>
          <w:rFonts w:eastAsia="Arial"/>
        </w:rPr>
        <w:t xml:space="preserve">Siekiant, kad gydymo Enhertu kaštų naudingumas būtų priimtinas, Enhertu </w:t>
      </w:r>
      <w:r w:rsidR="00D67AF5">
        <w:rPr>
          <w:rFonts w:eastAsia="Arial"/>
        </w:rPr>
        <w:t>***</w:t>
      </w:r>
    </w:p>
    <w:p w14:paraId="1A900598" w14:textId="4826E5DF" w:rsidR="00C62B36" w:rsidRPr="00822055" w:rsidRDefault="00C62B36" w:rsidP="00A93AA6">
      <w:pPr>
        <w:tabs>
          <w:tab w:val="left" w:pos="426"/>
        </w:tabs>
        <w:rPr>
          <w:b/>
          <w:bCs/>
          <w:caps/>
        </w:rPr>
      </w:pPr>
    </w:p>
    <w:p w14:paraId="174D84D7" w14:textId="2A98EE7C" w:rsidR="0035172D" w:rsidRPr="00822055" w:rsidRDefault="0035172D" w:rsidP="00A93AA6">
      <w:pPr>
        <w:tabs>
          <w:tab w:val="left" w:pos="426"/>
        </w:tabs>
        <w:rPr>
          <w:b/>
          <w:lang w:eastAsia="lt-LT"/>
        </w:rPr>
      </w:pPr>
      <w:r w:rsidRPr="00822055">
        <w:rPr>
          <w:b/>
          <w:lang w:eastAsia="lt-LT"/>
        </w:rPr>
        <w:t>Ekonominės analizės rezultatas</w:t>
      </w:r>
    </w:p>
    <w:p w14:paraId="4801D227" w14:textId="77777777" w:rsidR="009E44AE" w:rsidRPr="00822055"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822055"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822055" w:rsidRDefault="009E44AE" w:rsidP="009E44AE">
            <w:pPr>
              <w:tabs>
                <w:tab w:val="left" w:pos="567"/>
              </w:tabs>
              <w:jc w:val="center"/>
              <w:rPr>
                <w:b/>
                <w:bCs/>
                <w:sz w:val="26"/>
                <w:szCs w:val="26"/>
                <w:lang w:eastAsia="lt-LT"/>
              </w:rPr>
            </w:pPr>
            <w:r w:rsidRPr="00822055">
              <w:rPr>
                <w:b/>
                <w:bCs/>
                <w:sz w:val="26"/>
                <w:szCs w:val="26"/>
                <w:lang w:eastAsia="lt-LT"/>
              </w:rPr>
              <w:t>Rezultatai</w:t>
            </w:r>
          </w:p>
        </w:tc>
      </w:tr>
      <w:tr w:rsidR="00BA5DBC" w:rsidRPr="00822055" w14:paraId="319AF392" w14:textId="77777777" w:rsidTr="00D67AF5">
        <w:trPr>
          <w:trHeight w:val="267"/>
          <w:jc w:val="center"/>
        </w:trPr>
        <w:tc>
          <w:tcPr>
            <w:tcW w:w="6200" w:type="dxa"/>
            <w:tcBorders>
              <w:left w:val="single" w:sz="4" w:space="0" w:color="auto"/>
            </w:tcBorders>
          </w:tcPr>
          <w:p w14:paraId="44CD8D27" w14:textId="27245A0B" w:rsidR="00BA5DBC" w:rsidRPr="00822055" w:rsidRDefault="00BA5DBC" w:rsidP="00BA5DBC">
            <w:pPr>
              <w:tabs>
                <w:tab w:val="left" w:pos="567"/>
              </w:tabs>
              <w:jc w:val="right"/>
              <w:rPr>
                <w:iCs/>
                <w:lang w:eastAsia="lt-LT"/>
              </w:rPr>
            </w:pPr>
            <w:r w:rsidRPr="00822055">
              <w:rPr>
                <w:iCs/>
                <w:lang w:eastAsia="lt-LT"/>
              </w:rPr>
              <w:t>Kaštų skirtumas</w:t>
            </w:r>
          </w:p>
        </w:tc>
        <w:tc>
          <w:tcPr>
            <w:tcW w:w="3239" w:type="dxa"/>
            <w:tcBorders>
              <w:right w:val="single" w:sz="4" w:space="0" w:color="auto"/>
            </w:tcBorders>
            <w:shd w:val="clear" w:color="auto" w:fill="auto"/>
          </w:tcPr>
          <w:p w14:paraId="1CACF0B4" w14:textId="104BF0F8" w:rsidR="00BA5DBC" w:rsidRPr="00D67AF5" w:rsidRDefault="00D67AF5" w:rsidP="002E23E0">
            <w:pPr>
              <w:tabs>
                <w:tab w:val="left" w:pos="567"/>
              </w:tabs>
              <w:jc w:val="center"/>
              <w:rPr>
                <w:lang w:eastAsia="lt-LT"/>
              </w:rPr>
            </w:pPr>
            <w:r w:rsidRPr="00D67AF5">
              <w:rPr>
                <w:lang w:eastAsia="lt-LT"/>
              </w:rPr>
              <w:t>***</w:t>
            </w:r>
          </w:p>
        </w:tc>
      </w:tr>
      <w:tr w:rsidR="00BA5DBC" w:rsidRPr="00822055" w14:paraId="49F818A3" w14:textId="77777777" w:rsidTr="00D67AF5">
        <w:trPr>
          <w:trHeight w:val="267"/>
          <w:jc w:val="center"/>
        </w:trPr>
        <w:tc>
          <w:tcPr>
            <w:tcW w:w="6200" w:type="dxa"/>
            <w:tcBorders>
              <w:left w:val="single" w:sz="4" w:space="0" w:color="auto"/>
            </w:tcBorders>
          </w:tcPr>
          <w:p w14:paraId="021DB925" w14:textId="389F1BF5" w:rsidR="00BA5DBC" w:rsidRPr="00822055" w:rsidRDefault="00BA5DBC" w:rsidP="00BA5DBC">
            <w:pPr>
              <w:tabs>
                <w:tab w:val="left" w:pos="567"/>
              </w:tabs>
              <w:jc w:val="right"/>
              <w:rPr>
                <w:iCs/>
                <w:lang w:eastAsia="lt-LT"/>
              </w:rPr>
            </w:pPr>
            <w:r w:rsidRPr="00822055">
              <w:rPr>
                <w:iCs/>
                <w:lang w:eastAsia="lt-LT"/>
              </w:rPr>
              <w:t>Papildomi gyvenimo metai (LY)</w:t>
            </w:r>
          </w:p>
        </w:tc>
        <w:tc>
          <w:tcPr>
            <w:tcW w:w="3239" w:type="dxa"/>
            <w:tcBorders>
              <w:right w:val="single" w:sz="4" w:space="0" w:color="auto"/>
            </w:tcBorders>
            <w:shd w:val="clear" w:color="auto" w:fill="auto"/>
          </w:tcPr>
          <w:p w14:paraId="4954817B" w14:textId="2B7EE86D" w:rsidR="00BA5DBC" w:rsidRPr="00D67AF5" w:rsidRDefault="00D67AF5" w:rsidP="002E23E0">
            <w:pPr>
              <w:tabs>
                <w:tab w:val="left" w:pos="567"/>
              </w:tabs>
              <w:jc w:val="center"/>
              <w:rPr>
                <w:lang w:eastAsia="lt-LT"/>
              </w:rPr>
            </w:pPr>
            <w:r w:rsidRPr="00D67AF5">
              <w:rPr>
                <w:lang w:eastAsia="lt-LT"/>
              </w:rPr>
              <w:t>***</w:t>
            </w:r>
          </w:p>
        </w:tc>
      </w:tr>
      <w:tr w:rsidR="00BA5DBC" w:rsidRPr="00822055" w14:paraId="20ADA742" w14:textId="77777777" w:rsidTr="00D67AF5">
        <w:trPr>
          <w:trHeight w:val="267"/>
          <w:jc w:val="center"/>
        </w:trPr>
        <w:tc>
          <w:tcPr>
            <w:tcW w:w="6200" w:type="dxa"/>
            <w:tcBorders>
              <w:left w:val="single" w:sz="4" w:space="0" w:color="auto"/>
            </w:tcBorders>
          </w:tcPr>
          <w:p w14:paraId="0F567576" w14:textId="2606A2E9" w:rsidR="00BA5DBC" w:rsidRPr="00822055" w:rsidRDefault="0058712F" w:rsidP="00BA5DBC">
            <w:pPr>
              <w:tabs>
                <w:tab w:val="left" w:pos="567"/>
              </w:tabs>
              <w:jc w:val="right"/>
              <w:rPr>
                <w:iCs/>
                <w:lang w:eastAsia="lt-LT"/>
              </w:rPr>
            </w:pPr>
            <w:r w:rsidRPr="00822055">
              <w:rPr>
                <w:iCs/>
                <w:lang w:eastAsia="lt-LT"/>
              </w:rPr>
              <w:t>Papildomi k</w:t>
            </w:r>
            <w:r w:rsidR="00BA5DBC" w:rsidRPr="00822055">
              <w:rPr>
                <w:iCs/>
                <w:lang w:eastAsia="lt-LT"/>
              </w:rPr>
              <w:t>okybiški gyvenimo metai (QALY)</w:t>
            </w:r>
          </w:p>
        </w:tc>
        <w:tc>
          <w:tcPr>
            <w:tcW w:w="3239" w:type="dxa"/>
            <w:tcBorders>
              <w:right w:val="single" w:sz="4" w:space="0" w:color="auto"/>
            </w:tcBorders>
            <w:shd w:val="clear" w:color="auto" w:fill="auto"/>
          </w:tcPr>
          <w:p w14:paraId="02E4DAE1" w14:textId="7B59405D" w:rsidR="00BA5DBC" w:rsidRPr="00D67AF5" w:rsidRDefault="00D67AF5" w:rsidP="002E23E0">
            <w:pPr>
              <w:tabs>
                <w:tab w:val="left" w:pos="567"/>
              </w:tabs>
              <w:jc w:val="center"/>
              <w:rPr>
                <w:lang w:eastAsia="lt-LT"/>
              </w:rPr>
            </w:pPr>
            <w:r w:rsidRPr="00D67AF5">
              <w:rPr>
                <w:lang w:eastAsia="lt-LT"/>
              </w:rPr>
              <w:t>***</w:t>
            </w:r>
          </w:p>
        </w:tc>
      </w:tr>
      <w:tr w:rsidR="002E23E0" w:rsidRPr="00822055" w14:paraId="1FADA2B3" w14:textId="77777777" w:rsidTr="00D67AF5">
        <w:trPr>
          <w:trHeight w:val="267"/>
          <w:jc w:val="center"/>
        </w:trPr>
        <w:tc>
          <w:tcPr>
            <w:tcW w:w="6200" w:type="dxa"/>
            <w:tcBorders>
              <w:left w:val="single" w:sz="4" w:space="0" w:color="auto"/>
            </w:tcBorders>
          </w:tcPr>
          <w:p w14:paraId="13E089E8" w14:textId="0BCEB339" w:rsidR="002E23E0" w:rsidRPr="00822055" w:rsidRDefault="002E23E0" w:rsidP="002E23E0">
            <w:pPr>
              <w:tabs>
                <w:tab w:val="left" w:pos="567"/>
              </w:tabs>
              <w:jc w:val="right"/>
              <w:rPr>
                <w:iCs/>
                <w:lang w:eastAsia="lt-LT"/>
              </w:rPr>
            </w:pPr>
            <w:r w:rsidRPr="00822055">
              <w:rPr>
                <w:iCs/>
                <w:lang w:eastAsia="lt-LT"/>
              </w:rPr>
              <w:t>ICER už LY</w:t>
            </w:r>
          </w:p>
        </w:tc>
        <w:tc>
          <w:tcPr>
            <w:tcW w:w="3239" w:type="dxa"/>
            <w:tcBorders>
              <w:right w:val="single" w:sz="4" w:space="0" w:color="auto"/>
            </w:tcBorders>
            <w:shd w:val="clear" w:color="auto" w:fill="auto"/>
          </w:tcPr>
          <w:p w14:paraId="2817448D" w14:textId="4D22A548" w:rsidR="002E23E0" w:rsidRPr="00D67AF5" w:rsidRDefault="00D67AF5" w:rsidP="002E23E0">
            <w:pPr>
              <w:tabs>
                <w:tab w:val="left" w:pos="567"/>
              </w:tabs>
              <w:jc w:val="center"/>
              <w:rPr>
                <w:lang w:eastAsia="lt-LT"/>
              </w:rPr>
            </w:pPr>
            <w:r w:rsidRPr="00D67AF5">
              <w:rPr>
                <w:lang w:eastAsia="lt-LT"/>
              </w:rPr>
              <w:t>***</w:t>
            </w:r>
          </w:p>
        </w:tc>
      </w:tr>
      <w:tr w:rsidR="002E23E0" w:rsidRPr="00822055" w14:paraId="250DE960" w14:textId="77777777" w:rsidTr="00D67AF5">
        <w:trPr>
          <w:trHeight w:val="267"/>
          <w:jc w:val="center"/>
        </w:trPr>
        <w:tc>
          <w:tcPr>
            <w:tcW w:w="6200" w:type="dxa"/>
            <w:tcBorders>
              <w:left w:val="single" w:sz="4" w:space="0" w:color="auto"/>
            </w:tcBorders>
          </w:tcPr>
          <w:p w14:paraId="207EFB23" w14:textId="77777777" w:rsidR="002E23E0" w:rsidRPr="00822055" w:rsidRDefault="002E23E0" w:rsidP="002E23E0">
            <w:pPr>
              <w:tabs>
                <w:tab w:val="left" w:pos="567"/>
              </w:tabs>
              <w:jc w:val="right"/>
              <w:rPr>
                <w:iCs/>
                <w:lang w:eastAsia="lt-LT"/>
              </w:rPr>
            </w:pPr>
            <w:r w:rsidRPr="00822055">
              <w:rPr>
                <w:iCs/>
                <w:lang w:eastAsia="lt-LT"/>
              </w:rPr>
              <w:t>ICER už QALY</w:t>
            </w:r>
          </w:p>
        </w:tc>
        <w:tc>
          <w:tcPr>
            <w:tcW w:w="3239" w:type="dxa"/>
            <w:tcBorders>
              <w:right w:val="single" w:sz="4" w:space="0" w:color="auto"/>
            </w:tcBorders>
            <w:shd w:val="clear" w:color="auto" w:fill="auto"/>
          </w:tcPr>
          <w:p w14:paraId="4275320D" w14:textId="306773A7" w:rsidR="002E23E0" w:rsidRPr="00D67AF5" w:rsidRDefault="00D67AF5" w:rsidP="002E23E0">
            <w:pPr>
              <w:tabs>
                <w:tab w:val="left" w:pos="567"/>
              </w:tabs>
              <w:jc w:val="center"/>
              <w:rPr>
                <w:lang w:eastAsia="lt-LT"/>
              </w:rPr>
            </w:pPr>
            <w:r w:rsidRPr="00D67AF5">
              <w:rPr>
                <w:lang w:eastAsia="lt-LT"/>
              </w:rPr>
              <w:t>***</w:t>
            </w:r>
          </w:p>
        </w:tc>
      </w:tr>
      <w:tr w:rsidR="009E44AE" w:rsidRPr="00822055" w14:paraId="2C4C68BA" w14:textId="77777777" w:rsidTr="002E23E0">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822055" w:rsidRDefault="009E44AE" w:rsidP="009E44AE">
            <w:pPr>
              <w:tabs>
                <w:tab w:val="left" w:pos="567"/>
              </w:tabs>
              <w:jc w:val="right"/>
              <w:rPr>
                <w:iCs/>
                <w:lang w:eastAsia="lt-LT"/>
              </w:rPr>
            </w:pPr>
            <w:r w:rsidRPr="00822055">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3C1906BE" w:rsidR="009E44AE" w:rsidRPr="00822055" w:rsidRDefault="00C003DA" w:rsidP="002E23E0">
            <w:pPr>
              <w:tabs>
                <w:tab w:val="left" w:pos="567"/>
              </w:tabs>
              <w:jc w:val="center"/>
              <w:rPr>
                <w:lang w:eastAsia="lt-LT"/>
              </w:rPr>
            </w:pPr>
            <w:r w:rsidRPr="00822055">
              <w:rPr>
                <w:lang w:eastAsia="lt-LT"/>
              </w:rPr>
              <w:t>119 630</w:t>
            </w:r>
          </w:p>
        </w:tc>
      </w:tr>
    </w:tbl>
    <w:p w14:paraId="5FC8C737" w14:textId="4136B7F4" w:rsidR="0035172D" w:rsidRPr="00822055" w:rsidRDefault="00E5102E" w:rsidP="0035172D">
      <w:pPr>
        <w:tabs>
          <w:tab w:val="left" w:pos="567"/>
        </w:tabs>
        <w:jc w:val="both"/>
        <w:rPr>
          <w:iCs/>
          <w:sz w:val="20"/>
          <w:lang w:eastAsia="lt-LT"/>
        </w:rPr>
      </w:pPr>
      <w:r w:rsidRPr="00822055">
        <w:rPr>
          <w:iCs/>
          <w:sz w:val="20"/>
          <w:lang w:eastAsia="lt-LT"/>
        </w:rPr>
        <w:t xml:space="preserve">ICER </w:t>
      </w:r>
      <w:r w:rsidR="00453862" w:rsidRPr="00822055">
        <w:rPr>
          <w:iCs/>
          <w:sz w:val="20"/>
          <w:lang w:eastAsia="lt-LT"/>
        </w:rPr>
        <w:t>– (</w:t>
      </w:r>
      <w:r w:rsidR="00453862" w:rsidRPr="00822055">
        <w:rPr>
          <w:i/>
          <w:sz w:val="20"/>
          <w:lang w:eastAsia="lt-LT"/>
        </w:rPr>
        <w:t>angl. incremental cost-effectiveness ratio</w:t>
      </w:r>
      <w:r w:rsidR="00453862" w:rsidRPr="00822055">
        <w:rPr>
          <w:iCs/>
          <w:sz w:val="20"/>
          <w:lang w:eastAsia="lt-LT"/>
        </w:rPr>
        <w:t>) inkrementinis kaštų naudingumo koeficientas</w:t>
      </w:r>
      <w:r w:rsidRPr="00822055">
        <w:rPr>
          <w:iCs/>
          <w:sz w:val="20"/>
          <w:lang w:eastAsia="lt-LT"/>
        </w:rPr>
        <w:t>; LY –</w:t>
      </w:r>
      <w:r w:rsidR="00453862" w:rsidRPr="00822055">
        <w:rPr>
          <w:iCs/>
          <w:sz w:val="20"/>
          <w:lang w:eastAsia="lt-LT"/>
        </w:rPr>
        <w:t xml:space="preserve"> (</w:t>
      </w:r>
      <w:r w:rsidR="00453862" w:rsidRPr="00822055">
        <w:rPr>
          <w:i/>
          <w:sz w:val="20"/>
          <w:lang w:eastAsia="lt-LT"/>
        </w:rPr>
        <w:t>angl. life years</w:t>
      </w:r>
      <w:r w:rsidR="00453862" w:rsidRPr="00822055">
        <w:rPr>
          <w:iCs/>
          <w:sz w:val="20"/>
          <w:lang w:eastAsia="lt-LT"/>
        </w:rPr>
        <w:t>) gyvenimo metai</w:t>
      </w:r>
      <w:r w:rsidRPr="00822055">
        <w:rPr>
          <w:iCs/>
          <w:sz w:val="20"/>
          <w:lang w:eastAsia="lt-LT"/>
        </w:rPr>
        <w:t xml:space="preserve">; QALY- </w:t>
      </w:r>
      <w:r w:rsidR="00453862" w:rsidRPr="00822055">
        <w:rPr>
          <w:iCs/>
          <w:sz w:val="20"/>
          <w:lang w:eastAsia="lt-LT"/>
        </w:rPr>
        <w:t>(</w:t>
      </w:r>
      <w:r w:rsidR="00453862" w:rsidRPr="00822055">
        <w:rPr>
          <w:i/>
          <w:sz w:val="20"/>
          <w:lang w:eastAsia="lt-LT"/>
        </w:rPr>
        <w:t xml:space="preserve">angl. quality adjusted life years) </w:t>
      </w:r>
      <w:r w:rsidR="00453862" w:rsidRPr="00822055">
        <w:rPr>
          <w:iCs/>
          <w:sz w:val="20"/>
          <w:lang w:eastAsia="lt-LT"/>
        </w:rPr>
        <w:t>kokybiški gyvenimo metai.</w:t>
      </w:r>
    </w:p>
    <w:p w14:paraId="33875138" w14:textId="77777777" w:rsidR="0035172D" w:rsidRPr="00822055" w:rsidRDefault="0035172D" w:rsidP="00A93AA6">
      <w:pPr>
        <w:tabs>
          <w:tab w:val="left" w:pos="426"/>
        </w:tabs>
        <w:rPr>
          <w:b/>
          <w:bCs/>
          <w:caps/>
        </w:rPr>
      </w:pPr>
    </w:p>
    <w:p w14:paraId="4FC424F9" w14:textId="4E767245" w:rsidR="00C62B36" w:rsidRPr="00822055" w:rsidRDefault="00C62B36" w:rsidP="00B654D4">
      <w:pPr>
        <w:pStyle w:val="ListParagraph"/>
        <w:numPr>
          <w:ilvl w:val="0"/>
          <w:numId w:val="16"/>
        </w:numPr>
        <w:tabs>
          <w:tab w:val="left" w:pos="567"/>
        </w:tabs>
        <w:ind w:hanging="720"/>
        <w:rPr>
          <w:b/>
          <w:bCs/>
          <w:caps/>
        </w:rPr>
      </w:pPr>
      <w:r w:rsidRPr="00822055">
        <w:rPr>
          <w:b/>
          <w:bCs/>
          <w:caps/>
        </w:rPr>
        <w:t xml:space="preserve">Pacientų organizacijų pateikti duomenys </w:t>
      </w:r>
    </w:p>
    <w:p w14:paraId="79BCFF40" w14:textId="6E22AB9E" w:rsidR="00937907" w:rsidRPr="00822055"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0319C9" w:rsidRPr="00822055">
            <w:rPr>
              <w:rStyle w:val="Style2"/>
              <w:rFonts w:ascii="MS Gothic" w:eastAsia="MS Gothic" w:hAnsi="MS Gothic" w:hint="eastAsia"/>
              <w:sz w:val="24"/>
            </w:rPr>
            <w:t>☒</w:t>
          </w:r>
        </w:sdtContent>
      </w:sdt>
      <w:r w:rsidR="00937907" w:rsidRPr="00822055">
        <w:t xml:space="preserve"> Pacientų organizacijos pozicija pateikta. Žr. priedą.</w:t>
      </w:r>
    </w:p>
    <w:p w14:paraId="62992180" w14:textId="2531D5E3" w:rsidR="00937907" w:rsidRPr="00822055"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822055">
            <w:rPr>
              <w:rStyle w:val="Style2"/>
              <w:rFonts w:ascii="MS Gothic" w:eastAsia="MS Gothic" w:hAnsi="MS Gothic" w:hint="eastAsia"/>
              <w:sz w:val="24"/>
            </w:rPr>
            <w:t>☐</w:t>
          </w:r>
        </w:sdtContent>
      </w:sdt>
      <w:r w:rsidR="00937907" w:rsidRPr="00822055">
        <w:t xml:space="preserve"> Pacientų organizacijos pozicija </w:t>
      </w:r>
      <w:r w:rsidR="00880A44" w:rsidRPr="00822055">
        <w:t>ne</w:t>
      </w:r>
      <w:r w:rsidR="00937907" w:rsidRPr="00822055">
        <w:t>pateikta.</w:t>
      </w:r>
    </w:p>
    <w:p w14:paraId="03E73D82" w14:textId="77777777" w:rsidR="00D417D2" w:rsidRPr="00822055" w:rsidRDefault="00D417D2" w:rsidP="00937907">
      <w:pPr>
        <w:spacing w:after="120"/>
        <w:jc w:val="both"/>
      </w:pPr>
    </w:p>
    <w:p w14:paraId="3D3277FA" w14:textId="3CEEB2D2" w:rsidR="00C62B36" w:rsidRPr="00822055" w:rsidRDefault="00C62B36" w:rsidP="00B654D4">
      <w:pPr>
        <w:pStyle w:val="ListParagraph"/>
        <w:numPr>
          <w:ilvl w:val="0"/>
          <w:numId w:val="16"/>
        </w:numPr>
        <w:tabs>
          <w:tab w:val="left" w:pos="567"/>
        </w:tabs>
        <w:ind w:hanging="720"/>
        <w:rPr>
          <w:b/>
          <w:bCs/>
          <w:caps/>
        </w:rPr>
      </w:pPr>
      <w:r w:rsidRPr="00822055">
        <w:rPr>
          <w:b/>
          <w:bCs/>
          <w:caps/>
        </w:rPr>
        <w:t>Gydytojų organizacijų pateikti duomenys</w:t>
      </w:r>
    </w:p>
    <w:p w14:paraId="389A346C" w14:textId="29A6ABE3" w:rsidR="00937907" w:rsidRPr="00822055"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0319C9" w:rsidRPr="00822055">
            <w:rPr>
              <w:rStyle w:val="Style2"/>
              <w:rFonts w:ascii="MS Gothic" w:eastAsia="MS Gothic" w:hAnsi="MS Gothic" w:hint="eastAsia"/>
              <w:sz w:val="24"/>
            </w:rPr>
            <w:t>☒</w:t>
          </w:r>
        </w:sdtContent>
      </w:sdt>
      <w:r w:rsidR="00662983" w:rsidRPr="00822055">
        <w:t xml:space="preserve"> </w:t>
      </w:r>
      <w:r w:rsidR="00937907" w:rsidRPr="00822055">
        <w:t xml:space="preserve">Gydytojų specialistų organizacijos pozicija pateikta. </w:t>
      </w:r>
      <w:r w:rsidR="00662983" w:rsidRPr="00822055">
        <w:t>Žr. priedą</w:t>
      </w:r>
      <w:r w:rsidR="00937907" w:rsidRPr="00822055">
        <w:t>.</w:t>
      </w:r>
    </w:p>
    <w:p w14:paraId="5D8CC48C" w14:textId="79D50821" w:rsidR="00662983" w:rsidRPr="00822055"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0319C9" w:rsidRPr="00822055">
            <w:rPr>
              <w:rStyle w:val="Style2"/>
              <w:rFonts w:ascii="MS Gothic" w:eastAsia="MS Gothic" w:hAnsi="MS Gothic" w:hint="eastAsia"/>
              <w:sz w:val="24"/>
            </w:rPr>
            <w:t>☐</w:t>
          </w:r>
        </w:sdtContent>
      </w:sdt>
      <w:r w:rsidR="00662983" w:rsidRPr="00822055">
        <w:t xml:space="preserve"> </w:t>
      </w:r>
      <w:r w:rsidR="00937907" w:rsidRPr="00822055">
        <w:t xml:space="preserve">Gydytojų specialistų organizacijos pozicija </w:t>
      </w:r>
      <w:r w:rsidR="00880A44" w:rsidRPr="00822055">
        <w:t>ne</w:t>
      </w:r>
      <w:r w:rsidR="00937907" w:rsidRPr="00822055">
        <w:t>pateikta.</w:t>
      </w:r>
    </w:p>
    <w:p w14:paraId="3580FE7E" w14:textId="77777777" w:rsidR="002D7AF0" w:rsidRPr="00822055" w:rsidRDefault="002D7AF0" w:rsidP="00662983">
      <w:pPr>
        <w:spacing w:after="120"/>
        <w:jc w:val="both"/>
      </w:pPr>
    </w:p>
    <w:p w14:paraId="78F23ECB" w14:textId="23A3A002" w:rsidR="002F0E4F" w:rsidRPr="00822055" w:rsidRDefault="002F0E4F" w:rsidP="00B654D4">
      <w:pPr>
        <w:pStyle w:val="ListParagraph"/>
        <w:numPr>
          <w:ilvl w:val="0"/>
          <w:numId w:val="16"/>
        </w:numPr>
        <w:tabs>
          <w:tab w:val="left" w:pos="567"/>
        </w:tabs>
        <w:ind w:hanging="720"/>
        <w:rPr>
          <w:b/>
          <w:bCs/>
          <w:caps/>
        </w:rPr>
      </w:pPr>
      <w:r w:rsidRPr="00822055">
        <w:rPr>
          <w:b/>
          <w:bCs/>
          <w:caps/>
        </w:rPr>
        <w:t xml:space="preserve">Išvada </w:t>
      </w:r>
    </w:p>
    <w:p w14:paraId="2922DDCD" w14:textId="77777777" w:rsidR="00BD18D3" w:rsidRPr="00822055" w:rsidRDefault="00BD18D3" w:rsidP="0061611B">
      <w:pPr>
        <w:rPr>
          <w:i/>
          <w:szCs w:val="22"/>
        </w:rPr>
      </w:pPr>
    </w:p>
    <w:tbl>
      <w:tblPr>
        <w:tblStyle w:val="TableGrid"/>
        <w:tblW w:w="0" w:type="auto"/>
        <w:tblLook w:val="04A0" w:firstRow="1" w:lastRow="0" w:firstColumn="1" w:lastColumn="0" w:noHBand="0" w:noVBand="1"/>
      </w:tblPr>
      <w:tblGrid>
        <w:gridCol w:w="4815"/>
        <w:gridCol w:w="4814"/>
      </w:tblGrid>
      <w:tr w:rsidR="00B13D65" w:rsidRPr="00822055" w14:paraId="25A2473E" w14:textId="77777777" w:rsidTr="00C16245">
        <w:trPr>
          <w:trHeight w:val="510"/>
        </w:trPr>
        <w:tc>
          <w:tcPr>
            <w:tcW w:w="4815" w:type="dxa"/>
            <w:vAlign w:val="center"/>
          </w:tcPr>
          <w:p w14:paraId="7EFE6941" w14:textId="23B8BB6D" w:rsidR="00B13D65"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822055">
              <w:rPr>
                <w:rStyle w:val="Style2"/>
                <w:rFonts w:eastAsia="MS Gothic"/>
                <w:b/>
                <w:bCs/>
                <w:sz w:val="24"/>
              </w:rPr>
              <w:lastRenderedPageBreak/>
              <w:t>Rekomenduojama kompensuoti</w:t>
            </w:r>
          </w:p>
        </w:tc>
        <w:tc>
          <w:tcPr>
            <w:tcW w:w="4814" w:type="dxa"/>
            <w:vAlign w:val="center"/>
          </w:tcPr>
          <w:p w14:paraId="330A1A5E" w14:textId="19247DC1" w:rsidR="00B13D65"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822055">
              <w:rPr>
                <w:rStyle w:val="Style2"/>
                <w:rFonts w:eastAsia="MS Gothic"/>
                <w:b/>
                <w:bCs/>
                <w:sz w:val="24"/>
              </w:rPr>
              <w:t xml:space="preserve">Rekomenduojama nekompensuoti </w:t>
            </w:r>
          </w:p>
        </w:tc>
      </w:tr>
      <w:tr w:rsidR="00B13D65" w:rsidRPr="00822055" w14:paraId="143A7356" w14:textId="77777777" w:rsidTr="00C16245">
        <w:trPr>
          <w:trHeight w:val="510"/>
        </w:trPr>
        <w:tc>
          <w:tcPr>
            <w:tcW w:w="9629" w:type="dxa"/>
            <w:gridSpan w:val="2"/>
            <w:vAlign w:val="center"/>
          </w:tcPr>
          <w:p w14:paraId="0AF5D6B4" w14:textId="6D8B6C59" w:rsidR="00B13D65" w:rsidRPr="00822055"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22055">
              <w:rPr>
                <w:rStyle w:val="Style2"/>
                <w:rFonts w:eastAsia="MS Gothic"/>
                <w:b/>
                <w:bCs/>
                <w:sz w:val="24"/>
              </w:rPr>
              <w:t>Palyginamasis efektyvumas</w:t>
            </w:r>
          </w:p>
        </w:tc>
      </w:tr>
      <w:tr w:rsidR="00B13D65" w:rsidRPr="00822055" w14:paraId="28A0C814" w14:textId="77777777" w:rsidTr="0061611B">
        <w:tc>
          <w:tcPr>
            <w:tcW w:w="4815" w:type="dxa"/>
          </w:tcPr>
          <w:p w14:paraId="216769B5" w14:textId="144667EC"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495122" w:rsidRPr="00822055">
                  <w:rPr>
                    <w:rStyle w:val="Style2"/>
                    <w:rFonts w:ascii="MS Gothic" w:eastAsia="MS Gothic" w:hAnsi="MS Gothic" w:hint="eastAsia"/>
                    <w:sz w:val="24"/>
                  </w:rPr>
                  <w:t>☒</w:t>
                </w:r>
              </w:sdtContent>
            </w:sdt>
            <w:r w:rsidR="00B13D65" w:rsidRPr="00822055">
              <w:t xml:space="preserve"> 32.1. yra didesnis</w:t>
            </w:r>
            <w:r w:rsidR="00B00959" w:rsidRPr="00822055">
              <w:t>, lyginant su įprasta klinikine praktika</w:t>
            </w:r>
          </w:p>
          <w:p w14:paraId="3B48F372"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82205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32.1. iš esmės nesiskiria</w:t>
            </w:r>
            <w:r w:rsidR="00B00959" w:rsidRPr="00822055">
              <w:t>, lyginant su įprasta klinikine praktika</w:t>
            </w:r>
          </w:p>
        </w:tc>
        <w:tc>
          <w:tcPr>
            <w:tcW w:w="4814" w:type="dxa"/>
          </w:tcPr>
          <w:p w14:paraId="507828D9" w14:textId="10556E28"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33.1. yra mažesnis</w:t>
            </w:r>
            <w:r w:rsidR="00B00959" w:rsidRPr="00822055">
              <w:t>, lyginant su įprasta klinikine praktika</w:t>
            </w:r>
          </w:p>
          <w:p w14:paraId="7F95DEEC"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33.1. yra neįrodytas kaip toks pat</w:t>
            </w:r>
            <w:r w:rsidR="00B00959" w:rsidRPr="00822055">
              <w:t>, lyginant su įprasta klinikine praktika</w:t>
            </w:r>
          </w:p>
          <w:p w14:paraId="35205E85"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822055">
                  <w:rPr>
                    <w:rStyle w:val="Style2"/>
                    <w:rFonts w:ascii="Segoe UI Symbol" w:eastAsia="MS Gothic" w:hAnsi="Segoe UI Symbol" w:cs="Segoe UI Symbol"/>
                    <w:sz w:val="24"/>
                  </w:rPr>
                  <w:t>☐</w:t>
                </w:r>
              </w:sdtContent>
            </w:sdt>
            <w:r w:rsidR="00662983" w:rsidRPr="00822055">
              <w:t xml:space="preserve"> 33.1 </w:t>
            </w:r>
            <w:r w:rsidR="00B00959" w:rsidRPr="00822055">
              <w:t xml:space="preserve">yra </w:t>
            </w:r>
            <w:r w:rsidR="00B13D65" w:rsidRPr="00822055">
              <w:t>neįrodytas kaip didesnis</w:t>
            </w:r>
            <w:r w:rsidR="00B00959" w:rsidRPr="00822055">
              <w:t>, lyginant su įprasta klinikine praktika</w:t>
            </w:r>
          </w:p>
          <w:p w14:paraId="512E653B"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33.1. pateikti duomenys apie palyginamąjį efektyvumą yra netinkami vertinti</w:t>
            </w:r>
          </w:p>
          <w:p w14:paraId="5DDAA961"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822055" w14:paraId="161CC3FE" w14:textId="77777777" w:rsidTr="00C16245">
        <w:trPr>
          <w:trHeight w:val="510"/>
        </w:trPr>
        <w:tc>
          <w:tcPr>
            <w:tcW w:w="9629" w:type="dxa"/>
            <w:gridSpan w:val="2"/>
            <w:vAlign w:val="center"/>
          </w:tcPr>
          <w:p w14:paraId="1AB46894" w14:textId="3E765638" w:rsidR="00B13D65" w:rsidRPr="00822055"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22055">
              <w:rPr>
                <w:rStyle w:val="Style2"/>
                <w:rFonts w:eastAsia="MS Gothic"/>
                <w:b/>
                <w:bCs/>
                <w:sz w:val="24"/>
              </w:rPr>
              <w:t>Klinikinis veiksmingumas</w:t>
            </w:r>
          </w:p>
        </w:tc>
      </w:tr>
      <w:tr w:rsidR="00B13D65" w:rsidRPr="00822055" w14:paraId="3C60570A" w14:textId="77777777" w:rsidTr="0061611B">
        <w:tc>
          <w:tcPr>
            <w:tcW w:w="4815" w:type="dxa"/>
          </w:tcPr>
          <w:p w14:paraId="6897B306" w14:textId="2E2D4577"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495122" w:rsidRPr="00822055">
                  <w:rPr>
                    <w:rStyle w:val="Style2"/>
                    <w:rFonts w:ascii="MS Gothic" w:eastAsia="MS Gothic" w:hAnsi="MS Gothic" w:hint="eastAsia"/>
                    <w:sz w:val="24"/>
                  </w:rPr>
                  <w:t>☒</w:t>
                </w:r>
              </w:sdtContent>
            </w:sdt>
            <w:r w:rsidR="00B13D65" w:rsidRPr="00822055">
              <w:t xml:space="preserve"> 32.2. yra įvertintas kaip pagrindžiantis papildomos naudos pacientų sveikatai sukūrimą, lyginant su įprasta klinikine praktika</w:t>
            </w:r>
          </w:p>
          <w:p w14:paraId="71D57105"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32.2. </w:t>
            </w:r>
            <w:r w:rsidR="00B00959" w:rsidRPr="00822055">
              <w:t xml:space="preserve">yra </w:t>
            </w:r>
            <w:r w:rsidR="00B13D65" w:rsidRPr="00822055">
              <w:t>įvertintas kaip pagrindžiantis nesiskiriančios naudos pacientų sveikatai sukūrimą, lyginant su įprasta klinikine praktika</w:t>
            </w:r>
          </w:p>
          <w:p w14:paraId="287AD233"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82205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33.1. yra įvertintas kaip nepagrindžiantis papildomos </w:t>
            </w:r>
            <w:r w:rsidR="00662983" w:rsidRPr="00822055">
              <w:t>naudos pacientų sveikatai sukūrimo, lyginant su  įprasta klinikine praktika</w:t>
            </w:r>
          </w:p>
          <w:p w14:paraId="6C70BCFC" w14:textId="77777777" w:rsidR="00662983" w:rsidRPr="00822055" w:rsidRDefault="00662983" w:rsidP="00BD1E5A">
            <w:pPr>
              <w:jc w:val="both"/>
            </w:pPr>
          </w:p>
          <w:p w14:paraId="0ADEC30D" w14:textId="1353964F" w:rsidR="00B13D65" w:rsidRPr="0082205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822055">
                  <w:rPr>
                    <w:rStyle w:val="Style2"/>
                    <w:rFonts w:ascii="Segoe UI Symbol" w:eastAsia="MS Gothic" w:hAnsi="Segoe UI Symbol" w:cs="Segoe UI Symbol"/>
                    <w:sz w:val="24"/>
                  </w:rPr>
                  <w:t>☐</w:t>
                </w:r>
              </w:sdtContent>
            </w:sdt>
            <w:r w:rsidR="00B13D65" w:rsidRPr="00822055">
              <w:t xml:space="preserve"> </w:t>
            </w:r>
            <w:r w:rsidR="00662983" w:rsidRPr="00822055">
              <w:t xml:space="preserve">33.1. </w:t>
            </w:r>
            <w:r w:rsidR="00B00959" w:rsidRPr="00822055">
              <w:t xml:space="preserve">yra įvertintas kaip nepagrindžiantis </w:t>
            </w:r>
            <w:r w:rsidR="00B13D65" w:rsidRPr="00822055">
              <w:t>nesiskiriančios naudos pacientų sveikatai sukūrimo, lyginant su įprasta klinikine praktika</w:t>
            </w:r>
          </w:p>
          <w:p w14:paraId="1EED7901"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822055" w14:paraId="1C75AE76" w14:textId="77777777" w:rsidTr="00C16245">
        <w:trPr>
          <w:trHeight w:val="510"/>
        </w:trPr>
        <w:tc>
          <w:tcPr>
            <w:tcW w:w="9629" w:type="dxa"/>
            <w:gridSpan w:val="2"/>
            <w:vAlign w:val="center"/>
          </w:tcPr>
          <w:p w14:paraId="0247EDAD" w14:textId="7FBBB759" w:rsidR="00B13D65" w:rsidRPr="00822055"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22055">
              <w:rPr>
                <w:rStyle w:val="Style2"/>
                <w:rFonts w:eastAsia="MS Gothic"/>
                <w:b/>
                <w:bCs/>
                <w:sz w:val="24"/>
              </w:rPr>
              <w:t>Kaštų naudingumas</w:t>
            </w:r>
          </w:p>
        </w:tc>
      </w:tr>
      <w:tr w:rsidR="00B13D65" w:rsidRPr="00822055" w14:paraId="7091A05B" w14:textId="77777777" w:rsidTr="0061611B">
        <w:tc>
          <w:tcPr>
            <w:tcW w:w="4815" w:type="dxa"/>
          </w:tcPr>
          <w:p w14:paraId="69B2A994" w14:textId="2EA8E33D"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822055">
                  <w:rPr>
                    <w:rStyle w:val="Style2"/>
                    <w:rFonts w:ascii="MS Gothic" w:eastAsia="MS Gothic" w:hAnsi="MS Gothic" w:hint="eastAsia"/>
                    <w:sz w:val="24"/>
                  </w:rPr>
                  <w:t>☐</w:t>
                </w:r>
              </w:sdtContent>
            </w:sdt>
            <w:r w:rsidR="00B13D65" w:rsidRPr="00822055">
              <w:t xml:space="preserve"> 32.3. atitinka referencinę naudingumo vertę, </w:t>
            </w:r>
          </w:p>
          <w:p w14:paraId="3F76F153"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C4369E0"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32.3. gydymo juo kaštai yra mažesni ar tokie patys esant iš esmės nesiskiriančiam palyginamajam efektyvumui, </w:t>
            </w:r>
            <w:r w:rsidR="00B00959" w:rsidRPr="00822055">
              <w:t>lyginant su įprasta klinikine praktika</w:t>
            </w:r>
          </w:p>
          <w:p w14:paraId="25E4BD1E"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64EF52AB"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2D7AF0" w:rsidRPr="00822055">
                  <w:rPr>
                    <w:rStyle w:val="Style2"/>
                    <w:rFonts w:ascii="MS Gothic" w:eastAsia="MS Gothic" w:hAnsi="MS Gothic" w:hint="eastAsia"/>
                    <w:sz w:val="24"/>
                  </w:rPr>
                  <w:t>☒</w:t>
                </w:r>
              </w:sdtContent>
            </w:sdt>
            <w:r w:rsidR="00B13D65" w:rsidRPr="00822055">
              <w:t xml:space="preserve"> 33.3. neatitinka referencinės naudingumo vertės Lietuvos Respublikoje</w:t>
            </w:r>
          </w:p>
          <w:p w14:paraId="229ED51A"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12E4601"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33.3. gydymo juo kaštai yra didesni esant iš esmės nesiskiriančiam palyginamajam efektyvumui,</w:t>
            </w:r>
            <w:r w:rsidR="00B00959" w:rsidRPr="00822055">
              <w:t xml:space="preserve"> lyginant su įprasta klinikine praktika</w:t>
            </w:r>
          </w:p>
          <w:p w14:paraId="4A9C7D2A" w14:textId="77777777" w:rsidR="00662983" w:rsidRPr="0082205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82205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822055">
                  <w:rPr>
                    <w:rStyle w:val="Style2"/>
                    <w:rFonts w:ascii="Segoe UI Symbol" w:eastAsia="MS Gothic" w:hAnsi="Segoe UI Symbol" w:cs="Segoe UI Symbol"/>
                    <w:sz w:val="24"/>
                  </w:rPr>
                  <w:t>☐</w:t>
                </w:r>
              </w:sdtContent>
            </w:sdt>
            <w:r w:rsidR="00B13D65" w:rsidRPr="00822055">
              <w:t xml:space="preserve"> 33.3. pateikti duomenys apie kaštų na</w:t>
            </w:r>
            <w:r w:rsidR="00662983" w:rsidRPr="00822055">
              <w:t>udingumą yra netinkami vertinti</w:t>
            </w:r>
          </w:p>
          <w:p w14:paraId="470A48A4" w14:textId="77777777" w:rsidR="00B13D65" w:rsidRPr="0082205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D5C6700" w14:textId="77777777" w:rsidR="00D5470B" w:rsidRPr="00822055" w:rsidRDefault="00D5470B" w:rsidP="00C712EA">
      <w:pPr>
        <w:pStyle w:val="ListParagraph"/>
        <w:ind w:left="426"/>
      </w:pPr>
    </w:p>
    <w:p w14:paraId="1EBA6B92" w14:textId="77777777" w:rsidR="002D7AF0" w:rsidRPr="00822055" w:rsidRDefault="002D7AF0" w:rsidP="004F3B2B">
      <w:pPr>
        <w:rPr>
          <w:i/>
        </w:rPr>
      </w:pPr>
    </w:p>
    <w:p w14:paraId="2088BF1C" w14:textId="36C5B7CC" w:rsidR="002D7AF0" w:rsidRPr="00822055" w:rsidRDefault="002D7AF0" w:rsidP="00B654D4">
      <w:pPr>
        <w:pStyle w:val="ListParagraph"/>
        <w:numPr>
          <w:ilvl w:val="0"/>
          <w:numId w:val="16"/>
        </w:numPr>
        <w:rPr>
          <w:i/>
        </w:rPr>
      </w:pPr>
      <w:r w:rsidRPr="00822055">
        <w:rPr>
          <w:b/>
          <w:bCs/>
          <w:caps/>
        </w:rPr>
        <w:t>Rekomendacija</w:t>
      </w:r>
    </w:p>
    <w:p w14:paraId="6CAFEB52" w14:textId="77777777" w:rsidR="002D7AF0" w:rsidRPr="00822055" w:rsidRDefault="002D7AF0" w:rsidP="004F3B2B">
      <w:pPr>
        <w:rPr>
          <w:i/>
        </w:rPr>
      </w:pPr>
    </w:p>
    <w:p w14:paraId="418AE8D2" w14:textId="5AE70970" w:rsidR="00D55329" w:rsidRPr="00822055" w:rsidRDefault="00D55329" w:rsidP="00D55329">
      <w:pPr>
        <w:pStyle w:val="VVKT"/>
      </w:pPr>
      <w:r w:rsidRPr="00822055">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822055">
        <w:rPr>
          <w:i/>
        </w:rPr>
        <w:t xml:space="preserve">nekompensuoti </w:t>
      </w:r>
      <w:r w:rsidRPr="00822055">
        <w:t xml:space="preserve">vaistinio preparato pagal paraiškoje nurodytą indikaciją, su skyrimo </w:t>
      </w:r>
      <w:r w:rsidRPr="00822055">
        <w:lastRenderedPageBreak/>
        <w:t>sąlygomis, netaikant PGS dėl vertinimo išvadų, nurodytų 33.3 papunktyje (žr. 8 ir 17 skyrius), neatitikties 34.1 papunktyje išdėstytoms sąlygoms.</w:t>
      </w:r>
    </w:p>
    <w:p w14:paraId="27B00CAF" w14:textId="77777777" w:rsidR="00D55329" w:rsidRPr="00822055" w:rsidRDefault="00D55329" w:rsidP="00D55329">
      <w:pPr>
        <w:tabs>
          <w:tab w:val="left" w:pos="426"/>
        </w:tabs>
        <w:spacing w:line="280" w:lineRule="atLeast"/>
        <w:jc w:val="center"/>
        <w:rPr>
          <w:color w:val="000000"/>
        </w:rPr>
      </w:pPr>
    </w:p>
    <w:p w14:paraId="27E34D3F" w14:textId="77777777" w:rsidR="00D55329" w:rsidRPr="00822055" w:rsidRDefault="00D55329" w:rsidP="00D55329">
      <w:pPr>
        <w:spacing w:line="276" w:lineRule="auto"/>
        <w:jc w:val="both"/>
        <w:rPr>
          <w:b/>
          <w:bCs/>
        </w:rPr>
      </w:pPr>
      <w:r w:rsidRPr="00822055">
        <w:rPr>
          <w:b/>
          <w:bCs/>
        </w:rPr>
        <w:t>Papildomos pastabos ir pasiūlymai</w:t>
      </w:r>
    </w:p>
    <w:p w14:paraId="56174227" w14:textId="77777777" w:rsidR="00D55329" w:rsidRPr="00822055" w:rsidRDefault="00D55329" w:rsidP="00D55329">
      <w:pPr>
        <w:tabs>
          <w:tab w:val="left" w:pos="426"/>
        </w:tabs>
        <w:spacing w:line="280" w:lineRule="atLeast"/>
        <w:jc w:val="center"/>
        <w:rPr>
          <w:color w:val="000000"/>
        </w:rPr>
      </w:pPr>
    </w:p>
    <w:p w14:paraId="5551AAF5" w14:textId="792B8E54" w:rsidR="00D55329" w:rsidRPr="00822055" w:rsidRDefault="00D55329" w:rsidP="00D55329">
      <w:pPr>
        <w:spacing w:line="276" w:lineRule="auto"/>
        <w:ind w:firstLine="720"/>
        <w:jc w:val="both"/>
      </w:pPr>
      <w:r w:rsidRPr="00822055">
        <w:t xml:space="preserve">Atsižvelgiant į tai, kad trastuzumabo derukstekano klinikinis veiksmingumas yra įvertintas kaip pagrindžiantis papildomos naudos pacientų sveikatai sukūrimą, lyginant su įprasta klinikine praktika gydant nerezekuotinu arba metastazavusiu HER2 teigiamu krūties vėžiu </w:t>
      </w:r>
      <w:r w:rsidR="00316CD3" w:rsidRPr="00822055">
        <w:t xml:space="preserve">sergančiuosius </w:t>
      </w:r>
      <w:r w:rsidRPr="00822055">
        <w:t>suaugusius pacientus, kuriems jau taikytas vienas arba daugiau prieš HER2 nukreipti gydymo režimai, vadovau</w:t>
      </w:r>
      <w:r w:rsidR="00316CD3" w:rsidRPr="00822055">
        <w:t>jantis</w:t>
      </w:r>
      <w:r w:rsidRPr="00822055">
        <w:t xml:space="preserve">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kompensavimo sąrašus ir jų keitimo tvarkos aprašo patvirtinimo“ 35 punktu,  vaistinį preparatą trastuzumabo derukstekaną </w:t>
      </w:r>
      <w:r w:rsidR="00E1352A" w:rsidRPr="00822055">
        <w:t>būtų galima kompensuoti</w:t>
      </w:r>
      <w:r w:rsidRPr="00822055">
        <w:t>,</w:t>
      </w:r>
      <w:r w:rsidR="00E1352A" w:rsidRPr="00822055">
        <w:t xml:space="preserve"> </w:t>
      </w:r>
      <w:r w:rsidR="00E8367B">
        <w:t>***</w:t>
      </w:r>
    </w:p>
    <w:p w14:paraId="29CA82A1" w14:textId="77777777" w:rsidR="002D7AF0" w:rsidRPr="00822055" w:rsidRDefault="002D7AF0" w:rsidP="004F3B2B">
      <w:pPr>
        <w:rPr>
          <w:i/>
        </w:rPr>
      </w:pPr>
    </w:p>
    <w:p w14:paraId="18B4292E" w14:textId="3F8F23FC" w:rsidR="000723FF" w:rsidRPr="00822055" w:rsidRDefault="00CC09D4" w:rsidP="002D7AF0">
      <w:pPr>
        <w:tabs>
          <w:tab w:val="left" w:pos="567"/>
        </w:tabs>
        <w:jc w:val="both"/>
        <w:rPr>
          <w:b/>
          <w:color w:val="000000"/>
          <w:lang w:eastAsia="lt-LT"/>
        </w:rPr>
      </w:pPr>
      <w:r w:rsidRPr="00822055">
        <w:rPr>
          <w:b/>
          <w:color w:val="000000"/>
          <w:lang w:eastAsia="lt-LT"/>
        </w:rPr>
        <w:t>8.</w:t>
      </w:r>
      <w:r w:rsidRPr="00822055">
        <w:rPr>
          <w:b/>
          <w:color w:val="000000"/>
          <w:lang w:eastAsia="lt-LT"/>
        </w:rPr>
        <w:tab/>
      </w:r>
      <w:r w:rsidR="000723FF" w:rsidRPr="00822055">
        <w:rPr>
          <w:b/>
          <w:color w:val="000000"/>
          <w:lang w:eastAsia="lt-LT"/>
        </w:rPr>
        <w:t>SIŪLOMOS KOMPENSUOTI TERAPINĖS INDIKACIJOS IR SKYRIMO SĄLYGOS</w:t>
      </w:r>
      <w:r w:rsidR="00D742E3" w:rsidRPr="00822055">
        <w:rPr>
          <w:b/>
          <w:color w:val="000000"/>
          <w:lang w:eastAsia="lt-LT"/>
        </w:rPr>
        <w:t xml:space="preserve"> (JEI BŪTŲ PRIIMTAS SPRENDIMAS KOMPENSUOTI)</w:t>
      </w:r>
    </w:p>
    <w:p w14:paraId="691340BB" w14:textId="77777777" w:rsidR="000723FF" w:rsidRPr="00822055" w:rsidRDefault="000723FF" w:rsidP="000723FF">
      <w:pPr>
        <w:tabs>
          <w:tab w:val="left" w:pos="426"/>
        </w:tabs>
        <w:jc w:val="both"/>
        <w:rPr>
          <w:b/>
          <w:color w:val="000000"/>
          <w:lang w:eastAsia="lt-LT"/>
        </w:rPr>
      </w:pPr>
    </w:p>
    <w:p w14:paraId="6B20CA60" w14:textId="77777777" w:rsidR="00D742E3" w:rsidRPr="00822055" w:rsidRDefault="00D742E3" w:rsidP="00D742E3">
      <w:pPr>
        <w:pStyle w:val="NoSpacing"/>
        <w:rPr>
          <w:rFonts w:ascii="Times New Roman" w:hAnsi="Times New Roman"/>
          <w:b/>
          <w:sz w:val="24"/>
          <w:szCs w:val="24"/>
          <w:lang w:eastAsia="lt-LT"/>
        </w:rPr>
      </w:pPr>
      <w:r w:rsidRPr="00822055">
        <w:rPr>
          <w:rFonts w:ascii="Times New Roman" w:hAnsi="Times New Roman"/>
          <w:b/>
          <w:sz w:val="24"/>
          <w:szCs w:val="24"/>
          <w:lang w:eastAsia="lt-LT"/>
        </w:rPr>
        <w:t>Terapinės indikacijos</w:t>
      </w:r>
    </w:p>
    <w:p w14:paraId="6400A322" w14:textId="66BA2C22" w:rsidR="00D742E3" w:rsidRPr="00822055" w:rsidRDefault="00000000" w:rsidP="00D742E3">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5C5E5D" w:rsidRPr="00822055">
            <w:rPr>
              <w:rStyle w:val="Style2"/>
              <w:rFonts w:ascii="MS Gothic" w:eastAsia="MS Gothic" w:hAnsi="MS Gothic" w:hint="eastAsia"/>
              <w:sz w:val="24"/>
              <w:szCs w:val="24"/>
            </w:rPr>
            <w:t>☒</w:t>
          </w:r>
        </w:sdtContent>
      </w:sdt>
      <w:r w:rsidR="00D742E3" w:rsidRPr="00822055">
        <w:rPr>
          <w:rFonts w:ascii="Times New Roman" w:hAnsi="Times New Roman"/>
          <w:sz w:val="24"/>
          <w:szCs w:val="24"/>
        </w:rPr>
        <w:t xml:space="preserve"> Siūloma kompensuoti Pareiškėjo teikiamą indikaciją be pakeitimų</w:t>
      </w:r>
    </w:p>
    <w:p w14:paraId="077F3CAD" w14:textId="77777777" w:rsidR="00D742E3" w:rsidRPr="00822055" w:rsidRDefault="00D742E3" w:rsidP="00D742E3">
      <w:pPr>
        <w:pStyle w:val="NoSpacing"/>
        <w:rPr>
          <w:rFonts w:ascii="Times New Roman" w:hAnsi="Times New Roman"/>
          <w:sz w:val="24"/>
          <w:szCs w:val="24"/>
        </w:rPr>
      </w:pPr>
      <w:r w:rsidRPr="00822055">
        <w:rPr>
          <w:rFonts w:ascii="Times New Roman" w:hAnsi="Times New Roman"/>
          <w:sz w:val="24"/>
          <w:szCs w:val="24"/>
        </w:rPr>
        <w:t xml:space="preserve"> </w:t>
      </w:r>
    </w:p>
    <w:p w14:paraId="37476CD9" w14:textId="6668A10C" w:rsidR="00D742E3" w:rsidRPr="00822055" w:rsidRDefault="00000000" w:rsidP="00D742E3">
      <w:pPr>
        <w:pStyle w:val="NoSpacing"/>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Content>
          <w:r w:rsidR="00D55329" w:rsidRPr="00822055">
            <w:rPr>
              <w:rStyle w:val="Style2"/>
              <w:rFonts w:ascii="MS Gothic" w:eastAsia="MS Gothic" w:hAnsi="MS Gothic" w:hint="eastAsia"/>
              <w:sz w:val="24"/>
              <w:szCs w:val="24"/>
            </w:rPr>
            <w:t>☐</w:t>
          </w:r>
        </w:sdtContent>
      </w:sdt>
      <w:r w:rsidR="00D742E3" w:rsidRPr="00822055">
        <w:rPr>
          <w:rFonts w:ascii="Times New Roman" w:hAnsi="Times New Roman"/>
          <w:sz w:val="24"/>
          <w:szCs w:val="24"/>
        </w:rPr>
        <w:t xml:space="preserve"> Siūloma kompensuoti Pareiškėjo teikiamą indikaciją su pakeitimais.</w:t>
      </w:r>
    </w:p>
    <w:p w14:paraId="4A279CEB" w14:textId="77777777" w:rsidR="00D742E3" w:rsidRPr="00822055" w:rsidRDefault="00D742E3" w:rsidP="00D742E3">
      <w:pPr>
        <w:pStyle w:val="NoSpacing"/>
        <w:rPr>
          <w:rFonts w:ascii="Times New Roman" w:hAnsi="Times New Roman"/>
          <w:sz w:val="24"/>
          <w:szCs w:val="24"/>
        </w:rPr>
      </w:pPr>
    </w:p>
    <w:p w14:paraId="7AB262A3" w14:textId="77777777" w:rsidR="00D742E3" w:rsidRPr="00822055" w:rsidRDefault="00D742E3" w:rsidP="00D742E3">
      <w:pPr>
        <w:pStyle w:val="NoSpacing"/>
        <w:rPr>
          <w:rFonts w:ascii="Times New Roman" w:hAnsi="Times New Roman"/>
          <w:sz w:val="24"/>
          <w:szCs w:val="24"/>
        </w:rPr>
      </w:pPr>
    </w:p>
    <w:p w14:paraId="3681DB02" w14:textId="2EBBB737" w:rsidR="00D742E3" w:rsidRPr="00822055" w:rsidRDefault="00D742E3" w:rsidP="00D742E3">
      <w:pPr>
        <w:pStyle w:val="NoSpacing"/>
        <w:rPr>
          <w:rFonts w:ascii="Times New Roman" w:hAnsi="Times New Roman"/>
          <w:b/>
          <w:sz w:val="24"/>
          <w:szCs w:val="24"/>
        </w:rPr>
      </w:pPr>
      <w:r w:rsidRPr="00822055">
        <w:rPr>
          <w:rFonts w:ascii="Times New Roman" w:hAnsi="Times New Roman"/>
          <w:b/>
          <w:sz w:val="24"/>
          <w:szCs w:val="24"/>
        </w:rPr>
        <w:t>Skyrimo sąlygos</w:t>
      </w:r>
    </w:p>
    <w:p w14:paraId="2C40E623" w14:textId="77777777" w:rsidR="00D742E3" w:rsidRPr="00822055" w:rsidRDefault="00000000" w:rsidP="00D742E3">
      <w:pPr>
        <w:pStyle w:val="NoSpacing"/>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Content>
          <w:r w:rsidR="00D742E3" w:rsidRPr="00822055">
            <w:rPr>
              <w:rStyle w:val="Style2"/>
              <w:rFonts w:ascii="Segoe UI Symbol" w:eastAsia="MS Gothic" w:hAnsi="Segoe UI Symbol" w:cs="Segoe UI Symbol"/>
              <w:sz w:val="24"/>
              <w:szCs w:val="24"/>
            </w:rPr>
            <w:t>☐</w:t>
          </w:r>
        </w:sdtContent>
      </w:sdt>
      <w:r w:rsidR="00D742E3" w:rsidRPr="00822055">
        <w:rPr>
          <w:rFonts w:ascii="Times New Roman" w:hAnsi="Times New Roman"/>
          <w:sz w:val="24"/>
          <w:szCs w:val="24"/>
        </w:rPr>
        <w:t xml:space="preserve"> Pareiškėjo siūlomos skyrimo sąlygos priimtinos. </w:t>
      </w:r>
    </w:p>
    <w:p w14:paraId="303A14D2" w14:textId="77777777" w:rsidR="00D742E3" w:rsidRPr="00822055" w:rsidRDefault="00D742E3" w:rsidP="00D742E3">
      <w:pPr>
        <w:pStyle w:val="NoSpacing"/>
        <w:rPr>
          <w:rFonts w:ascii="Times New Roman" w:hAnsi="Times New Roman"/>
          <w:sz w:val="24"/>
          <w:szCs w:val="24"/>
        </w:rPr>
      </w:pPr>
    </w:p>
    <w:p w14:paraId="60BA21C5" w14:textId="0B46C654" w:rsidR="00D742E3" w:rsidRPr="00822055" w:rsidRDefault="00000000" w:rsidP="00D742E3">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124638" w:rsidRPr="00822055">
            <w:rPr>
              <w:rStyle w:val="Style2"/>
              <w:rFonts w:ascii="MS Gothic" w:eastAsia="MS Gothic" w:hAnsi="MS Gothic" w:hint="eastAsia"/>
              <w:sz w:val="24"/>
              <w:szCs w:val="24"/>
            </w:rPr>
            <w:t>☒</w:t>
          </w:r>
        </w:sdtContent>
      </w:sdt>
      <w:r w:rsidR="00D742E3" w:rsidRPr="00822055">
        <w:rPr>
          <w:rFonts w:ascii="Times New Roman" w:hAnsi="Times New Roman"/>
          <w:sz w:val="24"/>
          <w:szCs w:val="24"/>
        </w:rPr>
        <w:t xml:space="preserve"> Pareiškėjo siūlomos skyrimo sąlygos nepriimtinos. </w:t>
      </w:r>
    </w:p>
    <w:p w14:paraId="5FAE5CC7" w14:textId="77777777" w:rsidR="00D742E3" w:rsidRPr="00822055" w:rsidRDefault="00D742E3" w:rsidP="00D742E3">
      <w:pPr>
        <w:pStyle w:val="NoSpacing"/>
        <w:rPr>
          <w:rFonts w:ascii="Times New Roman" w:hAnsi="Times New Roman"/>
          <w:sz w:val="24"/>
          <w:szCs w:val="24"/>
        </w:rPr>
      </w:pPr>
      <w:r w:rsidRPr="00822055">
        <w:rPr>
          <w:rFonts w:ascii="Times New Roman" w:hAnsi="Times New Roman"/>
          <w:sz w:val="24"/>
          <w:szCs w:val="24"/>
        </w:rPr>
        <w:t>Siūlomos skyrimo sąlygos:</w:t>
      </w:r>
    </w:p>
    <w:p w14:paraId="7CDFF220" w14:textId="67D1CF8B" w:rsidR="000723FF" w:rsidRPr="00822055" w:rsidRDefault="000723FF" w:rsidP="00E130A3">
      <w:pPr>
        <w:pStyle w:val="NoSpacing"/>
        <w:rPr>
          <w:rFonts w:ascii="Times New Roman" w:hAnsi="Times New Roman"/>
          <w:i/>
          <w:sz w:val="24"/>
          <w:szCs w:val="24"/>
        </w:rPr>
      </w:pPr>
    </w:p>
    <w:p w14:paraId="15CB0AC0" w14:textId="6B1E5D8A" w:rsidR="00E130A3" w:rsidRPr="0002553B" w:rsidRDefault="00E130A3" w:rsidP="00E130A3">
      <w:pPr>
        <w:pStyle w:val="NoSpacing"/>
        <w:rPr>
          <w:rFonts w:ascii="Times New Roman" w:hAnsi="Times New Roman"/>
          <w:sz w:val="24"/>
          <w:szCs w:val="24"/>
        </w:rPr>
      </w:pPr>
      <w:r w:rsidRPr="00822055">
        <w:rPr>
          <w:rFonts w:ascii="Times New Roman" w:hAnsi="Times New Roman"/>
          <w:sz w:val="24"/>
          <w:szCs w:val="24"/>
        </w:rPr>
        <w:t xml:space="preserve">Monoterapija </w:t>
      </w:r>
      <w:r w:rsidRPr="00822055">
        <w:rPr>
          <w:rFonts w:ascii="Times New Roman" w:hAnsi="Times New Roman"/>
          <w:i/>
          <w:sz w:val="24"/>
          <w:szCs w:val="24"/>
        </w:rPr>
        <w:t>trastuzumabu derukstekanu</w:t>
      </w:r>
      <w:r w:rsidRPr="00822055">
        <w:rPr>
          <w:rFonts w:ascii="Times New Roman" w:hAnsi="Times New Roman"/>
          <w:sz w:val="24"/>
          <w:szCs w:val="24"/>
        </w:rPr>
        <w:t xml:space="preserve"> skiriama nerezekuotinu arba metastazavusiu HER2 teigiamu krūties vėžiu sergantiems suaugusiems pacientams, kuriems jau taikytas vienas arba daugiau prieš HER2 nukreiptų gydymo režimų.</w:t>
      </w:r>
    </w:p>
    <w:p w14:paraId="7713FA0F" w14:textId="77777777" w:rsidR="00E130A3" w:rsidRPr="00D742E3" w:rsidRDefault="00E130A3" w:rsidP="00E130A3">
      <w:pPr>
        <w:pStyle w:val="NoSpacing"/>
        <w:rPr>
          <w:rFonts w:ascii="Times New Roman" w:hAnsi="Times New Roman"/>
          <w:i/>
          <w:sz w:val="24"/>
          <w:szCs w:val="24"/>
        </w:rPr>
      </w:pPr>
    </w:p>
    <w:sectPr w:rsidR="00E130A3" w:rsidRPr="00D742E3"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E861" w14:textId="77777777" w:rsidR="00C10A71" w:rsidRDefault="00C10A71">
      <w:r>
        <w:separator/>
      </w:r>
    </w:p>
  </w:endnote>
  <w:endnote w:type="continuationSeparator" w:id="0">
    <w:p w14:paraId="52150902" w14:textId="77777777" w:rsidR="00C10A71" w:rsidRDefault="00C1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8324" w14:textId="77777777" w:rsidR="00C10A71" w:rsidRDefault="00C10A71">
      <w:r>
        <w:separator/>
      </w:r>
    </w:p>
  </w:footnote>
  <w:footnote w:type="continuationSeparator" w:id="0">
    <w:p w14:paraId="0809FB2D" w14:textId="77777777" w:rsidR="00C10A71" w:rsidRDefault="00C1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AC5A0C5"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055">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A66453"/>
    <w:multiLevelType w:val="hybridMultilevel"/>
    <w:tmpl w:val="BD062FE0"/>
    <w:lvl w:ilvl="0" w:tplc="14042D5E">
      <w:start w:val="3"/>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24699"/>
    <w:multiLevelType w:val="hybridMultilevel"/>
    <w:tmpl w:val="4BF44E40"/>
    <w:lvl w:ilvl="0" w:tplc="60DAFC1E">
      <w:start w:val="1"/>
      <w:numFmt w:val="decimal"/>
      <w:lvlText w:val="%1."/>
      <w:lvlJc w:val="left"/>
      <w:pPr>
        <w:ind w:left="786"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D2E58"/>
    <w:multiLevelType w:val="hybridMultilevel"/>
    <w:tmpl w:val="9BE65D76"/>
    <w:lvl w:ilvl="0" w:tplc="CE0068DE">
      <w:start w:val="1"/>
      <w:numFmt w:val="decimal"/>
      <w:lvlText w:val="%1."/>
      <w:lvlJc w:val="left"/>
      <w:pPr>
        <w:ind w:left="720" w:hanging="360"/>
      </w:pPr>
      <w:rPr>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E3C62"/>
    <w:multiLevelType w:val="hybridMultilevel"/>
    <w:tmpl w:val="A91E8796"/>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596006"/>
    <w:multiLevelType w:val="hybridMultilevel"/>
    <w:tmpl w:val="17383376"/>
    <w:lvl w:ilvl="0" w:tplc="DDEAD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66657071"/>
    <w:multiLevelType w:val="hybridMultilevel"/>
    <w:tmpl w:val="0E9CF618"/>
    <w:lvl w:ilvl="0" w:tplc="FBEE8DB6">
      <w:start w:val="1"/>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7"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3880636">
    <w:abstractNumId w:val="8"/>
  </w:num>
  <w:num w:numId="2" w16cid:durableId="200173824">
    <w:abstractNumId w:val="2"/>
  </w:num>
  <w:num w:numId="3" w16cid:durableId="792527738">
    <w:abstractNumId w:val="12"/>
  </w:num>
  <w:num w:numId="4" w16cid:durableId="65497996">
    <w:abstractNumId w:val="10"/>
  </w:num>
  <w:num w:numId="5" w16cid:durableId="11734153">
    <w:abstractNumId w:val="7"/>
  </w:num>
  <w:num w:numId="6" w16cid:durableId="448550311">
    <w:abstractNumId w:val="6"/>
  </w:num>
  <w:num w:numId="7" w16cid:durableId="1484541571">
    <w:abstractNumId w:val="5"/>
  </w:num>
  <w:num w:numId="8" w16cid:durableId="1088230278">
    <w:abstractNumId w:val="18"/>
  </w:num>
  <w:num w:numId="9" w16cid:durableId="1386299054">
    <w:abstractNumId w:val="0"/>
  </w:num>
  <w:num w:numId="10" w16cid:durableId="787510666">
    <w:abstractNumId w:val="13"/>
  </w:num>
  <w:num w:numId="11" w16cid:durableId="1492329037">
    <w:abstractNumId w:val="17"/>
  </w:num>
  <w:num w:numId="12" w16cid:durableId="322008739">
    <w:abstractNumId w:val="4"/>
  </w:num>
  <w:num w:numId="13" w16cid:durableId="67920135">
    <w:abstractNumId w:val="15"/>
  </w:num>
  <w:num w:numId="14" w16cid:durableId="1330282136">
    <w:abstractNumId w:val="11"/>
  </w:num>
  <w:num w:numId="15" w16cid:durableId="2095935082">
    <w:abstractNumId w:val="1"/>
  </w:num>
  <w:num w:numId="16" w16cid:durableId="507864535">
    <w:abstractNumId w:val="3"/>
  </w:num>
  <w:num w:numId="17" w16cid:durableId="1410037754">
    <w:abstractNumId w:val="14"/>
  </w:num>
  <w:num w:numId="18" w16cid:durableId="866219262">
    <w:abstractNumId w:val="16"/>
  </w:num>
  <w:num w:numId="19" w16cid:durableId="433475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9C9"/>
    <w:rsid w:val="00031D0E"/>
    <w:rsid w:val="000337E6"/>
    <w:rsid w:val="0003402E"/>
    <w:rsid w:val="00034EAE"/>
    <w:rsid w:val="00042924"/>
    <w:rsid w:val="00052BB7"/>
    <w:rsid w:val="00053975"/>
    <w:rsid w:val="00057A2B"/>
    <w:rsid w:val="000606BE"/>
    <w:rsid w:val="000723FF"/>
    <w:rsid w:val="000736B8"/>
    <w:rsid w:val="0008190F"/>
    <w:rsid w:val="00081D9C"/>
    <w:rsid w:val="00082907"/>
    <w:rsid w:val="0008378D"/>
    <w:rsid w:val="000908A5"/>
    <w:rsid w:val="00092805"/>
    <w:rsid w:val="000B4D24"/>
    <w:rsid w:val="000B6F71"/>
    <w:rsid w:val="000C454C"/>
    <w:rsid w:val="000D5038"/>
    <w:rsid w:val="000E29D4"/>
    <w:rsid w:val="000F3540"/>
    <w:rsid w:val="00100491"/>
    <w:rsid w:val="00104E2E"/>
    <w:rsid w:val="00107287"/>
    <w:rsid w:val="00117406"/>
    <w:rsid w:val="00121EF0"/>
    <w:rsid w:val="00124638"/>
    <w:rsid w:val="00124A9E"/>
    <w:rsid w:val="00130703"/>
    <w:rsid w:val="0013153F"/>
    <w:rsid w:val="0014052F"/>
    <w:rsid w:val="001408B8"/>
    <w:rsid w:val="001517E2"/>
    <w:rsid w:val="001521D9"/>
    <w:rsid w:val="001554E2"/>
    <w:rsid w:val="00160105"/>
    <w:rsid w:val="00164146"/>
    <w:rsid w:val="0017369C"/>
    <w:rsid w:val="00175D57"/>
    <w:rsid w:val="00180C39"/>
    <w:rsid w:val="00180D96"/>
    <w:rsid w:val="00184BD3"/>
    <w:rsid w:val="001921F3"/>
    <w:rsid w:val="001B3C5B"/>
    <w:rsid w:val="001D746F"/>
    <w:rsid w:val="001D7F5B"/>
    <w:rsid w:val="001E4BBB"/>
    <w:rsid w:val="001E6304"/>
    <w:rsid w:val="0020381E"/>
    <w:rsid w:val="00213471"/>
    <w:rsid w:val="00215906"/>
    <w:rsid w:val="00241CD8"/>
    <w:rsid w:val="0024387B"/>
    <w:rsid w:val="002447AA"/>
    <w:rsid w:val="00244B09"/>
    <w:rsid w:val="002461A8"/>
    <w:rsid w:val="002519CB"/>
    <w:rsid w:val="00254CE7"/>
    <w:rsid w:val="0025697F"/>
    <w:rsid w:val="00260258"/>
    <w:rsid w:val="00264975"/>
    <w:rsid w:val="0026588E"/>
    <w:rsid w:val="00272428"/>
    <w:rsid w:val="00272948"/>
    <w:rsid w:val="00292392"/>
    <w:rsid w:val="002946C7"/>
    <w:rsid w:val="002B3CC1"/>
    <w:rsid w:val="002B5C6F"/>
    <w:rsid w:val="002C09E0"/>
    <w:rsid w:val="002C1BB1"/>
    <w:rsid w:val="002C2786"/>
    <w:rsid w:val="002C3A10"/>
    <w:rsid w:val="002C4A90"/>
    <w:rsid w:val="002C4ED5"/>
    <w:rsid w:val="002D02EF"/>
    <w:rsid w:val="002D7AF0"/>
    <w:rsid w:val="002E0702"/>
    <w:rsid w:val="002E23E0"/>
    <w:rsid w:val="002E57AD"/>
    <w:rsid w:val="002E6F80"/>
    <w:rsid w:val="002E7C5C"/>
    <w:rsid w:val="002F0E4F"/>
    <w:rsid w:val="002F1053"/>
    <w:rsid w:val="00316CD3"/>
    <w:rsid w:val="00317B0E"/>
    <w:rsid w:val="00333A75"/>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4F8E"/>
    <w:rsid w:val="003D6208"/>
    <w:rsid w:val="00404E8A"/>
    <w:rsid w:val="0040622F"/>
    <w:rsid w:val="00413F24"/>
    <w:rsid w:val="0041590E"/>
    <w:rsid w:val="00422853"/>
    <w:rsid w:val="00423160"/>
    <w:rsid w:val="00431B81"/>
    <w:rsid w:val="00453862"/>
    <w:rsid w:val="0045469B"/>
    <w:rsid w:val="00461338"/>
    <w:rsid w:val="00463406"/>
    <w:rsid w:val="004640B6"/>
    <w:rsid w:val="004677DB"/>
    <w:rsid w:val="00470FE5"/>
    <w:rsid w:val="0047414A"/>
    <w:rsid w:val="00476256"/>
    <w:rsid w:val="004778C0"/>
    <w:rsid w:val="00484864"/>
    <w:rsid w:val="0048630F"/>
    <w:rsid w:val="004947A1"/>
    <w:rsid w:val="0049482A"/>
    <w:rsid w:val="00495122"/>
    <w:rsid w:val="004979D3"/>
    <w:rsid w:val="004A00E7"/>
    <w:rsid w:val="004A3A61"/>
    <w:rsid w:val="004A536A"/>
    <w:rsid w:val="004B205D"/>
    <w:rsid w:val="004B59BA"/>
    <w:rsid w:val="004B5A03"/>
    <w:rsid w:val="004C263A"/>
    <w:rsid w:val="004C41C4"/>
    <w:rsid w:val="004D48A6"/>
    <w:rsid w:val="004D7B8F"/>
    <w:rsid w:val="004D7D14"/>
    <w:rsid w:val="004E6458"/>
    <w:rsid w:val="004E6E7D"/>
    <w:rsid w:val="004F1AAC"/>
    <w:rsid w:val="004F1AE2"/>
    <w:rsid w:val="004F34F0"/>
    <w:rsid w:val="004F3B2B"/>
    <w:rsid w:val="004F6050"/>
    <w:rsid w:val="005005EF"/>
    <w:rsid w:val="00502730"/>
    <w:rsid w:val="005123C2"/>
    <w:rsid w:val="0052144B"/>
    <w:rsid w:val="00524066"/>
    <w:rsid w:val="00534E11"/>
    <w:rsid w:val="005378D8"/>
    <w:rsid w:val="005400D9"/>
    <w:rsid w:val="005476A4"/>
    <w:rsid w:val="0055019B"/>
    <w:rsid w:val="00551D67"/>
    <w:rsid w:val="00556E63"/>
    <w:rsid w:val="005601A4"/>
    <w:rsid w:val="005621F3"/>
    <w:rsid w:val="00566DBB"/>
    <w:rsid w:val="005711B4"/>
    <w:rsid w:val="005767DB"/>
    <w:rsid w:val="005815E6"/>
    <w:rsid w:val="0058712F"/>
    <w:rsid w:val="005976CE"/>
    <w:rsid w:val="005A23D4"/>
    <w:rsid w:val="005A2D1E"/>
    <w:rsid w:val="005B3756"/>
    <w:rsid w:val="005C493F"/>
    <w:rsid w:val="005C5E5D"/>
    <w:rsid w:val="005C6BF7"/>
    <w:rsid w:val="005C71BF"/>
    <w:rsid w:val="005D002C"/>
    <w:rsid w:val="005D30E1"/>
    <w:rsid w:val="005D54E3"/>
    <w:rsid w:val="005D6555"/>
    <w:rsid w:val="005D7BDF"/>
    <w:rsid w:val="005E4870"/>
    <w:rsid w:val="005F71D9"/>
    <w:rsid w:val="005F7602"/>
    <w:rsid w:val="006031C8"/>
    <w:rsid w:val="006062BE"/>
    <w:rsid w:val="00613143"/>
    <w:rsid w:val="00613501"/>
    <w:rsid w:val="0061611B"/>
    <w:rsid w:val="006166A8"/>
    <w:rsid w:val="006174A1"/>
    <w:rsid w:val="00621D6C"/>
    <w:rsid w:val="00630A02"/>
    <w:rsid w:val="00633B49"/>
    <w:rsid w:val="006407B1"/>
    <w:rsid w:val="0064297F"/>
    <w:rsid w:val="00645102"/>
    <w:rsid w:val="00646CF3"/>
    <w:rsid w:val="00653D11"/>
    <w:rsid w:val="00662983"/>
    <w:rsid w:val="006663AB"/>
    <w:rsid w:val="006834D3"/>
    <w:rsid w:val="00692625"/>
    <w:rsid w:val="00695CD3"/>
    <w:rsid w:val="006A38B6"/>
    <w:rsid w:val="006B1859"/>
    <w:rsid w:val="006B1987"/>
    <w:rsid w:val="006B5B71"/>
    <w:rsid w:val="006B6CB0"/>
    <w:rsid w:val="006C0296"/>
    <w:rsid w:val="006C2B64"/>
    <w:rsid w:val="006D4C85"/>
    <w:rsid w:val="006D537C"/>
    <w:rsid w:val="006D66AC"/>
    <w:rsid w:val="006E33F6"/>
    <w:rsid w:val="006F11FB"/>
    <w:rsid w:val="006F1251"/>
    <w:rsid w:val="006F1C23"/>
    <w:rsid w:val="007029D4"/>
    <w:rsid w:val="00702C18"/>
    <w:rsid w:val="00703166"/>
    <w:rsid w:val="007069CF"/>
    <w:rsid w:val="00711D24"/>
    <w:rsid w:val="007127F3"/>
    <w:rsid w:val="007301CF"/>
    <w:rsid w:val="007316FB"/>
    <w:rsid w:val="007374D0"/>
    <w:rsid w:val="00737E2D"/>
    <w:rsid w:val="007402CA"/>
    <w:rsid w:val="007424D5"/>
    <w:rsid w:val="00743D2C"/>
    <w:rsid w:val="00750A88"/>
    <w:rsid w:val="007523DD"/>
    <w:rsid w:val="00757B7E"/>
    <w:rsid w:val="007656B2"/>
    <w:rsid w:val="00766852"/>
    <w:rsid w:val="0077016F"/>
    <w:rsid w:val="007713AD"/>
    <w:rsid w:val="00772CD0"/>
    <w:rsid w:val="00774B46"/>
    <w:rsid w:val="00795DC5"/>
    <w:rsid w:val="00797153"/>
    <w:rsid w:val="007974DE"/>
    <w:rsid w:val="007A21F7"/>
    <w:rsid w:val="007A2B68"/>
    <w:rsid w:val="007B0DA4"/>
    <w:rsid w:val="007B0DDA"/>
    <w:rsid w:val="007B71F2"/>
    <w:rsid w:val="007C0875"/>
    <w:rsid w:val="007C6794"/>
    <w:rsid w:val="007C7519"/>
    <w:rsid w:val="007D3347"/>
    <w:rsid w:val="007E5466"/>
    <w:rsid w:val="007E7A06"/>
    <w:rsid w:val="007F1949"/>
    <w:rsid w:val="007F2592"/>
    <w:rsid w:val="007F42A2"/>
    <w:rsid w:val="00800A08"/>
    <w:rsid w:val="0080389B"/>
    <w:rsid w:val="00817A84"/>
    <w:rsid w:val="00822055"/>
    <w:rsid w:val="008225A4"/>
    <w:rsid w:val="00824B92"/>
    <w:rsid w:val="00826D5E"/>
    <w:rsid w:val="00832013"/>
    <w:rsid w:val="00832DB7"/>
    <w:rsid w:val="00834732"/>
    <w:rsid w:val="00846B44"/>
    <w:rsid w:val="0085200C"/>
    <w:rsid w:val="00857C52"/>
    <w:rsid w:val="00860D5F"/>
    <w:rsid w:val="00863C77"/>
    <w:rsid w:val="00880A44"/>
    <w:rsid w:val="0088345E"/>
    <w:rsid w:val="0088656F"/>
    <w:rsid w:val="00891EF6"/>
    <w:rsid w:val="008A0303"/>
    <w:rsid w:val="008A5FDD"/>
    <w:rsid w:val="008B6418"/>
    <w:rsid w:val="008C3947"/>
    <w:rsid w:val="008E473B"/>
    <w:rsid w:val="008E51A6"/>
    <w:rsid w:val="008E7329"/>
    <w:rsid w:val="008F2ED5"/>
    <w:rsid w:val="00913E8C"/>
    <w:rsid w:val="0092297E"/>
    <w:rsid w:val="00923651"/>
    <w:rsid w:val="00927B56"/>
    <w:rsid w:val="009341BF"/>
    <w:rsid w:val="00937907"/>
    <w:rsid w:val="00941739"/>
    <w:rsid w:val="009421D7"/>
    <w:rsid w:val="00943E06"/>
    <w:rsid w:val="00951573"/>
    <w:rsid w:val="00963003"/>
    <w:rsid w:val="00966EEF"/>
    <w:rsid w:val="00970AB9"/>
    <w:rsid w:val="00971B28"/>
    <w:rsid w:val="00983471"/>
    <w:rsid w:val="009909AB"/>
    <w:rsid w:val="00993FB5"/>
    <w:rsid w:val="009B37DB"/>
    <w:rsid w:val="009C7A8C"/>
    <w:rsid w:val="009D23F9"/>
    <w:rsid w:val="009D4FA8"/>
    <w:rsid w:val="009E44AE"/>
    <w:rsid w:val="009E6CD6"/>
    <w:rsid w:val="009E768B"/>
    <w:rsid w:val="009F4D66"/>
    <w:rsid w:val="009F5D40"/>
    <w:rsid w:val="00A00C3C"/>
    <w:rsid w:val="00A01091"/>
    <w:rsid w:val="00A042B9"/>
    <w:rsid w:val="00A05711"/>
    <w:rsid w:val="00A06DBB"/>
    <w:rsid w:val="00A22ADF"/>
    <w:rsid w:val="00A31E86"/>
    <w:rsid w:val="00A46AEB"/>
    <w:rsid w:val="00A54D87"/>
    <w:rsid w:val="00A5553C"/>
    <w:rsid w:val="00A63B09"/>
    <w:rsid w:val="00A701C9"/>
    <w:rsid w:val="00A7183C"/>
    <w:rsid w:val="00A81785"/>
    <w:rsid w:val="00A84803"/>
    <w:rsid w:val="00A84C51"/>
    <w:rsid w:val="00A86F2B"/>
    <w:rsid w:val="00A91366"/>
    <w:rsid w:val="00A92BFC"/>
    <w:rsid w:val="00A93AA6"/>
    <w:rsid w:val="00A94777"/>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654D4"/>
    <w:rsid w:val="00B71C72"/>
    <w:rsid w:val="00B81E92"/>
    <w:rsid w:val="00B908D7"/>
    <w:rsid w:val="00B915AB"/>
    <w:rsid w:val="00B935E8"/>
    <w:rsid w:val="00B93B30"/>
    <w:rsid w:val="00B94CB5"/>
    <w:rsid w:val="00BA0DD9"/>
    <w:rsid w:val="00BA5DBC"/>
    <w:rsid w:val="00BB6312"/>
    <w:rsid w:val="00BC4D06"/>
    <w:rsid w:val="00BD0901"/>
    <w:rsid w:val="00BD18D3"/>
    <w:rsid w:val="00BD585E"/>
    <w:rsid w:val="00BD6919"/>
    <w:rsid w:val="00BE1EA7"/>
    <w:rsid w:val="00BE7489"/>
    <w:rsid w:val="00BF25BC"/>
    <w:rsid w:val="00BF2E0D"/>
    <w:rsid w:val="00BF3927"/>
    <w:rsid w:val="00BF3F8B"/>
    <w:rsid w:val="00BF76DA"/>
    <w:rsid w:val="00C003DA"/>
    <w:rsid w:val="00C07241"/>
    <w:rsid w:val="00C07C7B"/>
    <w:rsid w:val="00C10A71"/>
    <w:rsid w:val="00C16245"/>
    <w:rsid w:val="00C22DC5"/>
    <w:rsid w:val="00C24479"/>
    <w:rsid w:val="00C273F2"/>
    <w:rsid w:val="00C37B53"/>
    <w:rsid w:val="00C517D2"/>
    <w:rsid w:val="00C547C7"/>
    <w:rsid w:val="00C5772E"/>
    <w:rsid w:val="00C613F9"/>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309B8"/>
    <w:rsid w:val="00D31311"/>
    <w:rsid w:val="00D34830"/>
    <w:rsid w:val="00D417D2"/>
    <w:rsid w:val="00D42960"/>
    <w:rsid w:val="00D43BD7"/>
    <w:rsid w:val="00D4485B"/>
    <w:rsid w:val="00D4708D"/>
    <w:rsid w:val="00D4744C"/>
    <w:rsid w:val="00D521DE"/>
    <w:rsid w:val="00D5470B"/>
    <w:rsid w:val="00D55329"/>
    <w:rsid w:val="00D63068"/>
    <w:rsid w:val="00D6498C"/>
    <w:rsid w:val="00D67AF5"/>
    <w:rsid w:val="00D742E3"/>
    <w:rsid w:val="00D76A70"/>
    <w:rsid w:val="00D83182"/>
    <w:rsid w:val="00D8521E"/>
    <w:rsid w:val="00D9291C"/>
    <w:rsid w:val="00D93A97"/>
    <w:rsid w:val="00D970E4"/>
    <w:rsid w:val="00DA1C77"/>
    <w:rsid w:val="00DA7A4B"/>
    <w:rsid w:val="00DB1F64"/>
    <w:rsid w:val="00DC2F53"/>
    <w:rsid w:val="00DC5BAC"/>
    <w:rsid w:val="00DC6816"/>
    <w:rsid w:val="00DC76C2"/>
    <w:rsid w:val="00DD1CF2"/>
    <w:rsid w:val="00DE4484"/>
    <w:rsid w:val="00DF047D"/>
    <w:rsid w:val="00DF41B7"/>
    <w:rsid w:val="00DF4A4A"/>
    <w:rsid w:val="00DF583C"/>
    <w:rsid w:val="00E03C3F"/>
    <w:rsid w:val="00E0522C"/>
    <w:rsid w:val="00E06FD7"/>
    <w:rsid w:val="00E07417"/>
    <w:rsid w:val="00E11928"/>
    <w:rsid w:val="00E130A3"/>
    <w:rsid w:val="00E1352A"/>
    <w:rsid w:val="00E20D6A"/>
    <w:rsid w:val="00E24D45"/>
    <w:rsid w:val="00E33DB8"/>
    <w:rsid w:val="00E33EFF"/>
    <w:rsid w:val="00E34387"/>
    <w:rsid w:val="00E348BA"/>
    <w:rsid w:val="00E369FE"/>
    <w:rsid w:val="00E37C6F"/>
    <w:rsid w:val="00E475F8"/>
    <w:rsid w:val="00E5102E"/>
    <w:rsid w:val="00E5721C"/>
    <w:rsid w:val="00E619C6"/>
    <w:rsid w:val="00E745A1"/>
    <w:rsid w:val="00E77A7D"/>
    <w:rsid w:val="00E81529"/>
    <w:rsid w:val="00E8367B"/>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VVKT">
    <w:name w:val="VVKT"/>
    <w:basedOn w:val="Normal"/>
    <w:link w:val="VVKTChar"/>
    <w:qFormat/>
    <w:rsid w:val="00DA7A4B"/>
    <w:pPr>
      <w:spacing w:line="276" w:lineRule="auto"/>
      <w:ind w:firstLine="576"/>
      <w:jc w:val="both"/>
    </w:pPr>
    <w:rPr>
      <w:bCs/>
      <w:iCs/>
      <w:lang w:eastAsia="lt-LT"/>
    </w:rPr>
  </w:style>
  <w:style w:type="character" w:customStyle="1" w:styleId="VVKTChar">
    <w:name w:val="VVKT Char"/>
    <w:basedOn w:val="DefaultParagraphFont"/>
    <w:link w:val="VVKT"/>
    <w:rsid w:val="00DA7A4B"/>
    <w:rPr>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2E1621EC6B264B9D9EE2E4397ADF881E"/>
        <w:category>
          <w:name w:val="General"/>
          <w:gallery w:val="placeholder"/>
        </w:category>
        <w:types>
          <w:type w:val="bbPlcHdr"/>
        </w:types>
        <w:behaviors>
          <w:behavior w:val="content"/>
        </w:behaviors>
        <w:guid w:val="{970ED5BB-9620-4EC2-B98F-D5FE42737B7C}"/>
      </w:docPartPr>
      <w:docPartBody>
        <w:p w:rsidR="003170DA" w:rsidRDefault="003170DA" w:rsidP="003170DA">
          <w:pPr>
            <w:pStyle w:val="2E1621EC6B264B9D9EE2E4397ADF881E"/>
          </w:pPr>
          <w:r>
            <w:rPr>
              <w:rStyle w:val="PlaceholderText"/>
            </w:rPr>
            <w:t>Click here to enter a date.</w:t>
          </w:r>
        </w:p>
      </w:docPartBody>
    </w:docPart>
    <w:docPart>
      <w:docPartPr>
        <w:name w:val="8AF3746497EB4009ADBE59B8FE0F5B28"/>
        <w:category>
          <w:name w:val="General"/>
          <w:gallery w:val="placeholder"/>
        </w:category>
        <w:types>
          <w:type w:val="bbPlcHdr"/>
        </w:types>
        <w:behaviors>
          <w:behavior w:val="content"/>
        </w:behaviors>
        <w:guid w:val="{8DDF3A5D-AD8F-4A8B-9FF9-1E23A497A638}"/>
      </w:docPartPr>
      <w:docPartBody>
        <w:p w:rsidR="003170DA" w:rsidRDefault="003170DA" w:rsidP="003170DA">
          <w:pPr>
            <w:pStyle w:val="8AF3746497EB4009ADBE59B8FE0F5B28"/>
          </w:pPr>
          <w:r>
            <w:rPr>
              <w:rStyle w:val="PlaceholderText"/>
            </w:rPr>
            <w:t>Click here to enter a date.</w:t>
          </w:r>
        </w:p>
      </w:docPartBody>
    </w:docPart>
    <w:docPart>
      <w:docPartPr>
        <w:name w:val="9F235EE615FB484F927F935AD91EF3F3"/>
        <w:category>
          <w:name w:val="General"/>
          <w:gallery w:val="placeholder"/>
        </w:category>
        <w:types>
          <w:type w:val="bbPlcHdr"/>
        </w:types>
        <w:behaviors>
          <w:behavior w:val="content"/>
        </w:behaviors>
        <w:guid w:val="{2D51A189-40FA-4478-B240-C1A860B42A92}"/>
      </w:docPartPr>
      <w:docPartBody>
        <w:p w:rsidR="003170DA" w:rsidRDefault="003170DA" w:rsidP="003170DA">
          <w:pPr>
            <w:pStyle w:val="9F235EE615FB484F927F935AD91EF3F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412D"/>
    <w:rsid w:val="0001247F"/>
    <w:rsid w:val="00061157"/>
    <w:rsid w:val="0007166A"/>
    <w:rsid w:val="000937FE"/>
    <w:rsid w:val="000A559A"/>
    <w:rsid w:val="000D24D4"/>
    <w:rsid w:val="001C35A9"/>
    <w:rsid w:val="001D7F5B"/>
    <w:rsid w:val="001F47C5"/>
    <w:rsid w:val="00237556"/>
    <w:rsid w:val="002760DD"/>
    <w:rsid w:val="002C1241"/>
    <w:rsid w:val="003170DA"/>
    <w:rsid w:val="0036265D"/>
    <w:rsid w:val="0039303B"/>
    <w:rsid w:val="004144A3"/>
    <w:rsid w:val="004160E7"/>
    <w:rsid w:val="004416C6"/>
    <w:rsid w:val="00470FE5"/>
    <w:rsid w:val="004F5AB2"/>
    <w:rsid w:val="005074B9"/>
    <w:rsid w:val="00566BAB"/>
    <w:rsid w:val="005E40DD"/>
    <w:rsid w:val="0064713E"/>
    <w:rsid w:val="007219C1"/>
    <w:rsid w:val="0074261C"/>
    <w:rsid w:val="00753462"/>
    <w:rsid w:val="00772325"/>
    <w:rsid w:val="007A2FE0"/>
    <w:rsid w:val="007A31DF"/>
    <w:rsid w:val="007C12E3"/>
    <w:rsid w:val="007C6D1D"/>
    <w:rsid w:val="007F5EAE"/>
    <w:rsid w:val="0090074D"/>
    <w:rsid w:val="009B3BF0"/>
    <w:rsid w:val="009D5E5E"/>
    <w:rsid w:val="009F1BB4"/>
    <w:rsid w:val="00A900C9"/>
    <w:rsid w:val="00A94777"/>
    <w:rsid w:val="00AB6ED4"/>
    <w:rsid w:val="00B14210"/>
    <w:rsid w:val="00B23DC0"/>
    <w:rsid w:val="00B96656"/>
    <w:rsid w:val="00BE29C1"/>
    <w:rsid w:val="00C2401D"/>
    <w:rsid w:val="00C53A68"/>
    <w:rsid w:val="00CA5BB4"/>
    <w:rsid w:val="00CB4BD1"/>
    <w:rsid w:val="00CE2DA9"/>
    <w:rsid w:val="00CE44BE"/>
    <w:rsid w:val="00D107CD"/>
    <w:rsid w:val="00D309B8"/>
    <w:rsid w:val="00D4356B"/>
    <w:rsid w:val="00D7162F"/>
    <w:rsid w:val="00DF047D"/>
    <w:rsid w:val="00E44A86"/>
    <w:rsid w:val="00E522EB"/>
    <w:rsid w:val="00E60827"/>
    <w:rsid w:val="00E73FF6"/>
    <w:rsid w:val="00E77A7D"/>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70DA"/>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2E1621EC6B264B9D9EE2E4397ADF881E">
    <w:name w:val="2E1621EC6B264B9D9EE2E4397ADF881E"/>
    <w:rsid w:val="003170DA"/>
    <w:pPr>
      <w:spacing w:line="278" w:lineRule="auto"/>
    </w:pPr>
    <w:rPr>
      <w:kern w:val="2"/>
      <w:sz w:val="24"/>
      <w:szCs w:val="24"/>
      <w:lang w:val="en-GB" w:eastAsia="en-GB"/>
      <w14:ligatures w14:val="standardContextual"/>
    </w:rPr>
  </w:style>
  <w:style w:type="paragraph" w:customStyle="1" w:styleId="8AF3746497EB4009ADBE59B8FE0F5B28">
    <w:name w:val="8AF3746497EB4009ADBE59B8FE0F5B28"/>
    <w:rsid w:val="003170DA"/>
    <w:pPr>
      <w:spacing w:line="278" w:lineRule="auto"/>
    </w:pPr>
    <w:rPr>
      <w:kern w:val="2"/>
      <w:sz w:val="24"/>
      <w:szCs w:val="24"/>
      <w:lang w:val="en-GB" w:eastAsia="en-GB"/>
      <w14:ligatures w14:val="standardContextual"/>
    </w:rPr>
  </w:style>
  <w:style w:type="paragraph" w:customStyle="1" w:styleId="9F235EE615FB484F927F935AD91EF3F3">
    <w:name w:val="9F235EE615FB484F927F935AD91EF3F3"/>
    <w:rsid w:val="003170DA"/>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5E56-12B0-476F-AD82-C092FF01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2876</Words>
  <Characters>16397</Characters>
  <Application>Microsoft Office Word</Application>
  <DocSecurity>0</DocSecurity>
  <Lines>136</Lines>
  <Paragraphs>38</Paragraphs>
  <ScaleCrop>false</ScaleCrop>
  <Company/>
  <LinksUpToDate>false</LinksUpToDate>
  <CharactersWithSpaces>19235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2024-07-01T13:04:00Z</dcterms:created>
  <dcterms:modified xsi:type="dcterms:W3CDTF">2024-07-01T14:31:00Z</dcterms:modified>
</cp:coreProperties>
</file>