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602EA3E7" w14:textId="203AD247" w:rsidR="00B502C6" w:rsidRPr="00D05364" w:rsidRDefault="00B502C6" w:rsidP="00B502C6">
      <w:pPr>
        <w:spacing w:line="276" w:lineRule="auto"/>
        <w:jc w:val="center"/>
        <w:rPr>
          <w:b/>
        </w:rPr>
      </w:pPr>
      <w:r w:rsidRPr="00007478">
        <w:rPr>
          <w:b/>
        </w:rPr>
        <w:t>Enhertu</w:t>
      </w:r>
      <w:r>
        <w:rPr>
          <w:b/>
        </w:rPr>
        <w:t xml:space="preserve"> </w:t>
      </w:r>
      <w:r w:rsidRPr="00007478">
        <w:rPr>
          <w:b/>
        </w:rPr>
        <w:t>100 mg</w:t>
      </w:r>
      <w:r>
        <w:rPr>
          <w:b/>
        </w:rPr>
        <w:t xml:space="preserve"> </w:t>
      </w:r>
      <w:r w:rsidRPr="00007478">
        <w:rPr>
          <w:b/>
        </w:rPr>
        <w:t>milteliai infuzinio tirpalo koncentratui</w:t>
      </w:r>
    </w:p>
    <w:p w14:paraId="7852BE90" w14:textId="77777777" w:rsidR="00B502C6" w:rsidRPr="00D05364" w:rsidRDefault="00B502C6" w:rsidP="00B502C6">
      <w:pPr>
        <w:spacing w:line="276" w:lineRule="auto"/>
        <w:jc w:val="center"/>
      </w:pPr>
    </w:p>
    <w:p w14:paraId="19659EDD" w14:textId="77777777" w:rsidR="00B502C6" w:rsidRPr="00D05364" w:rsidRDefault="00B502C6" w:rsidP="00B502C6">
      <w:pPr>
        <w:spacing w:line="276" w:lineRule="auto"/>
        <w:jc w:val="center"/>
      </w:pPr>
      <w:r w:rsidRPr="00D05364">
        <w:t>(</w:t>
      </w:r>
      <w:r w:rsidRPr="00BA0963">
        <w:rPr>
          <w:color w:val="000000"/>
        </w:rPr>
        <w:t>Trastuzumabas derukstekanas</w:t>
      </w:r>
      <w:r w:rsidRPr="00D05364">
        <w:t>)</w:t>
      </w:r>
    </w:p>
    <w:p w14:paraId="6A8C4432" w14:textId="77777777" w:rsidR="00B502C6" w:rsidRPr="00D05364" w:rsidRDefault="00B502C6" w:rsidP="00B502C6">
      <w:pPr>
        <w:spacing w:line="276" w:lineRule="auto"/>
        <w:jc w:val="center"/>
      </w:pPr>
    </w:p>
    <w:p w14:paraId="2221300C" w14:textId="77777777" w:rsidR="00B502C6" w:rsidRPr="00D05364" w:rsidRDefault="00B502C6" w:rsidP="00B502C6">
      <w:pPr>
        <w:spacing w:line="276" w:lineRule="auto"/>
        <w:jc w:val="center"/>
        <w:rPr>
          <w:b/>
        </w:rPr>
      </w:pPr>
      <w:r w:rsidRPr="00D05364">
        <w:rPr>
          <w:b/>
        </w:rPr>
        <w:t>Paraiškos numeris</w:t>
      </w:r>
      <w:r>
        <w:rPr>
          <w:b/>
        </w:rPr>
        <w:t xml:space="preserve"> STV-152</w:t>
      </w:r>
    </w:p>
    <w:p w14:paraId="5BC2EA5D" w14:textId="45A77B4A" w:rsidR="00937907" w:rsidRPr="00E33EFF" w:rsidRDefault="00937907" w:rsidP="003B211A">
      <w:pPr>
        <w:jc w:val="center"/>
        <w:rPr>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2AAF0D91" w14:textId="6258E6D7" w:rsidR="00B13D65" w:rsidRPr="00E33EFF" w:rsidRDefault="00D11623" w:rsidP="00824B92">
            <w:pPr>
              <w:rPr>
                <w:rFonts w:eastAsia="Arial"/>
              </w:rPr>
            </w:pPr>
            <w:r w:rsidRPr="0082364B">
              <w:t>UAB „AstraZeneca Lietuva“</w:t>
            </w: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5FC07CC0" w:rsidR="00B13D65" w:rsidRPr="00E33EFF" w:rsidRDefault="00000000" w:rsidP="00824B92">
            <w:pPr>
              <w:rPr>
                <w:rStyle w:val="Style2"/>
              </w:rPr>
            </w:pPr>
            <w:sdt>
              <w:sdtPr>
                <w:rPr>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rPr>
                  <w:sz w:val="24"/>
                </w:rPr>
              </w:sdtEndPr>
              <w:sdtContent>
                <w:r w:rsidR="00D11623" w:rsidRPr="00D11623">
                  <w:t>2021 m. sausio 18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77089D80" w14:textId="6681D72A" w:rsidR="00B13D65" w:rsidRPr="00E33EFF" w:rsidRDefault="00B13D65" w:rsidP="00824B92">
            <w:pPr>
              <w:rPr>
                <w:bCs/>
                <w:color w:val="000000"/>
                <w:lang w:eastAsia="lt-LT"/>
              </w:rPr>
            </w:pPr>
          </w:p>
        </w:tc>
        <w:tc>
          <w:tcPr>
            <w:tcW w:w="5167" w:type="dxa"/>
          </w:tcPr>
          <w:p w14:paraId="208F40EC" w14:textId="2F4EA9C5" w:rsidR="00B13D65" w:rsidRPr="00E33EF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3B0A4F72" w14:textId="3F5FB073" w:rsidR="00B13D65" w:rsidRPr="00E33EF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B13D65" w:rsidRPr="00E33EFF" w:rsidRDefault="00B13D65" w:rsidP="00824B92">
            <w:pPr>
              <w:rPr>
                <w:bCs/>
                <w:color w:val="000000"/>
                <w:lang w:eastAsia="lt-LT"/>
              </w:rPr>
            </w:pPr>
          </w:p>
        </w:tc>
        <w:tc>
          <w:tcPr>
            <w:tcW w:w="5167" w:type="dxa"/>
          </w:tcPr>
          <w:p w14:paraId="05845C60" w14:textId="10CF4033"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B13D65" w:rsidRPr="00E33EFF">
              <w:t xml:space="preserve"> Ne</w:t>
            </w:r>
          </w:p>
          <w:p w14:paraId="29C2CBBB" w14:textId="77777777" w:rsidR="00B13D65" w:rsidRPr="00E33EFF"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E33EFF">
                  <w:rPr>
                    <w:rStyle w:val="PlaceholderText"/>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3E0F64" w:rsidRPr="00E33EFF" w14:paraId="274D1DAF" w14:textId="77777777" w:rsidTr="003E0F64">
        <w:trPr>
          <w:trHeight w:val="558"/>
        </w:trPr>
        <w:tc>
          <w:tcPr>
            <w:tcW w:w="632" w:type="dxa"/>
          </w:tcPr>
          <w:p w14:paraId="17ABF217" w14:textId="14AC00D7" w:rsidR="003E0F64" w:rsidRPr="00E33EFF" w:rsidRDefault="003E0F64" w:rsidP="003E0F64">
            <w:pPr>
              <w:rPr>
                <w:rFonts w:eastAsia="Arial"/>
              </w:rPr>
            </w:pPr>
            <w:r w:rsidRPr="00E33EFF">
              <w:rPr>
                <w:rFonts w:eastAsia="Arial"/>
              </w:rPr>
              <w:t>1.6</w:t>
            </w:r>
          </w:p>
        </w:tc>
        <w:tc>
          <w:tcPr>
            <w:tcW w:w="3694" w:type="dxa"/>
          </w:tcPr>
          <w:p w14:paraId="4D49DBF5" w14:textId="77777777" w:rsidR="003E0F64" w:rsidRPr="00E33EFF" w:rsidRDefault="003E0F64" w:rsidP="003E0F64">
            <w:pPr>
              <w:rPr>
                <w:bCs/>
                <w:color w:val="000000"/>
                <w:lang w:eastAsia="lt-LT"/>
              </w:rPr>
            </w:pPr>
            <w:r w:rsidRPr="00E33EFF">
              <w:rPr>
                <w:bCs/>
                <w:color w:val="000000"/>
                <w:lang w:eastAsia="lt-LT"/>
              </w:rPr>
              <w:t>Pareiškėjo teikiama (-os) kompensuoti vaistinio preparato indikacija (-os)</w:t>
            </w:r>
          </w:p>
          <w:p w14:paraId="3FB07EE5" w14:textId="39AB446B" w:rsidR="003E0F64" w:rsidRDefault="003E0F64" w:rsidP="003E0F64">
            <w:pPr>
              <w:rPr>
                <w:bCs/>
                <w:color w:val="000000"/>
                <w:lang w:eastAsia="lt-LT"/>
              </w:rPr>
            </w:pPr>
          </w:p>
          <w:p w14:paraId="7A6C9F2C" w14:textId="6725AEFB" w:rsidR="003E0F64" w:rsidRDefault="003E0F64" w:rsidP="003E0F64">
            <w:pPr>
              <w:rPr>
                <w:bCs/>
                <w:color w:val="000000"/>
                <w:lang w:eastAsia="lt-LT"/>
              </w:rPr>
            </w:pPr>
          </w:p>
          <w:p w14:paraId="2BB6BD0F" w14:textId="16E59951" w:rsidR="003E0F64" w:rsidRDefault="003E0F64" w:rsidP="003E0F64">
            <w:pPr>
              <w:rPr>
                <w:bCs/>
                <w:color w:val="000000"/>
                <w:lang w:eastAsia="lt-LT"/>
              </w:rPr>
            </w:pPr>
          </w:p>
          <w:p w14:paraId="01377C9D" w14:textId="7EBC2898" w:rsidR="003E0F64" w:rsidRDefault="003E0F64" w:rsidP="003E0F64">
            <w:pPr>
              <w:rPr>
                <w:bCs/>
                <w:color w:val="000000"/>
                <w:lang w:eastAsia="lt-LT"/>
              </w:rPr>
            </w:pPr>
          </w:p>
          <w:p w14:paraId="136E50EC" w14:textId="09E9D927" w:rsidR="003E0F64" w:rsidRDefault="003E0F64" w:rsidP="003E0F64">
            <w:pPr>
              <w:rPr>
                <w:bCs/>
                <w:color w:val="000000"/>
                <w:lang w:eastAsia="lt-LT"/>
              </w:rPr>
            </w:pPr>
          </w:p>
          <w:p w14:paraId="6B4FEEC1" w14:textId="378668B0" w:rsidR="003E0F64" w:rsidRPr="00E33EFF" w:rsidRDefault="003E0F64" w:rsidP="003E0F64">
            <w:pPr>
              <w:rPr>
                <w:bCs/>
                <w:color w:val="000000"/>
                <w:lang w:eastAsia="lt-LT"/>
              </w:rPr>
            </w:pPr>
            <w:r w:rsidRPr="00E33EFF">
              <w:rPr>
                <w:bCs/>
                <w:color w:val="000000"/>
                <w:lang w:eastAsia="lt-LT"/>
              </w:rPr>
              <w:lastRenderedPageBreak/>
              <w:t>Kodas pagal TLK-10 AM</w:t>
            </w:r>
          </w:p>
        </w:tc>
        <w:tc>
          <w:tcPr>
            <w:tcW w:w="5167" w:type="dxa"/>
          </w:tcPr>
          <w:p w14:paraId="5988FDE7" w14:textId="358FD71B" w:rsidR="003E0F64" w:rsidRPr="00685A7F" w:rsidRDefault="003E0F64" w:rsidP="00685A7F">
            <w:pPr>
              <w:pStyle w:val="ListParagraph"/>
              <w:spacing w:after="120" w:line="276" w:lineRule="auto"/>
              <w:ind w:left="0"/>
              <w:contextualSpacing w:val="0"/>
            </w:pPr>
            <w:r w:rsidRPr="00685A7F">
              <w:lastRenderedPageBreak/>
              <w:t xml:space="preserve">Enhertu monoterapija skirta nerezekuotinu arba metastazavusiu mažos HER2 raiškos krūties vėžiu sergantiems suaugusiems pacientams, kuriems jau taikyta metastazavusios ligos chemoterapija arba kuriems liga atsinaujino adjuvantinės </w:t>
            </w:r>
            <w:r w:rsidRPr="00685A7F">
              <w:lastRenderedPageBreak/>
              <w:t>chemoterapijos metu arba per 6 mėnesius nuo jos pabaigos</w:t>
            </w:r>
            <w:r w:rsidR="002A341E" w:rsidRPr="00685A7F">
              <w:t>.</w:t>
            </w:r>
          </w:p>
          <w:p w14:paraId="13F7DFB0" w14:textId="778171FD" w:rsidR="003E0F64" w:rsidRPr="00685A7F" w:rsidRDefault="003E0F64" w:rsidP="003E0F64">
            <w:pPr>
              <w:pStyle w:val="ListParagraph"/>
              <w:spacing w:after="120" w:line="276" w:lineRule="auto"/>
              <w:ind w:left="0"/>
              <w:contextualSpacing w:val="0"/>
              <w:jc w:val="both"/>
            </w:pPr>
            <w:r w:rsidRPr="00685A7F">
              <w:t>C.50</w:t>
            </w:r>
          </w:p>
        </w:tc>
      </w:tr>
      <w:tr w:rsidR="003E0F64" w:rsidRPr="00E33EFF" w14:paraId="2F79DC08" w14:textId="77777777" w:rsidTr="00791D43">
        <w:trPr>
          <w:trHeight w:val="378"/>
        </w:trPr>
        <w:tc>
          <w:tcPr>
            <w:tcW w:w="632" w:type="dxa"/>
            <w:tcBorders>
              <w:bottom w:val="single" w:sz="4" w:space="0" w:color="auto"/>
            </w:tcBorders>
          </w:tcPr>
          <w:p w14:paraId="547885A2" w14:textId="08AA8055" w:rsidR="003E0F64" w:rsidRPr="00E33EFF" w:rsidRDefault="003E0F64" w:rsidP="003E0F64">
            <w:pPr>
              <w:rPr>
                <w:rFonts w:eastAsia="Arial"/>
              </w:rPr>
            </w:pPr>
            <w:r w:rsidRPr="00E33EFF">
              <w:rPr>
                <w:rFonts w:eastAsia="Arial"/>
              </w:rPr>
              <w:lastRenderedPageBreak/>
              <w:t>1.6</w:t>
            </w:r>
          </w:p>
        </w:tc>
        <w:tc>
          <w:tcPr>
            <w:tcW w:w="3694" w:type="dxa"/>
            <w:tcBorders>
              <w:bottom w:val="single" w:sz="4" w:space="0" w:color="auto"/>
            </w:tcBorders>
          </w:tcPr>
          <w:p w14:paraId="2EAB877F" w14:textId="39A36941" w:rsidR="003E0F64" w:rsidRPr="00E33EFF" w:rsidRDefault="003E0F64" w:rsidP="003E0F64">
            <w:pPr>
              <w:rPr>
                <w:bCs/>
                <w:color w:val="000000"/>
                <w:u w:val="single"/>
                <w:lang w:eastAsia="lt-LT"/>
              </w:rPr>
            </w:pPr>
            <w:r w:rsidRPr="00E33EFF">
              <w:rPr>
                <w:bCs/>
                <w:color w:val="000000"/>
                <w:lang w:eastAsia="lt-LT"/>
              </w:rPr>
              <w:t xml:space="preserve">Pareiškėjo teikiamos skyrimo sąlygos </w:t>
            </w:r>
          </w:p>
        </w:tc>
        <w:tc>
          <w:tcPr>
            <w:tcW w:w="5167" w:type="dxa"/>
          </w:tcPr>
          <w:p w14:paraId="0579DF58" w14:textId="4B155348" w:rsidR="003E0F64" w:rsidRPr="00E33EFF" w:rsidRDefault="003E0F64" w:rsidP="003E0F64">
            <w:r>
              <w:t>Neteikiamos</w:t>
            </w:r>
          </w:p>
        </w:tc>
      </w:tr>
      <w:tr w:rsidR="003E0F64" w:rsidRPr="00E33EFF" w14:paraId="3B125269" w14:textId="77777777" w:rsidTr="00791D43">
        <w:trPr>
          <w:trHeight w:val="378"/>
        </w:trPr>
        <w:tc>
          <w:tcPr>
            <w:tcW w:w="632" w:type="dxa"/>
            <w:tcBorders>
              <w:bottom w:val="single" w:sz="4" w:space="0" w:color="auto"/>
            </w:tcBorders>
          </w:tcPr>
          <w:p w14:paraId="0058E11F" w14:textId="77777777" w:rsidR="003E0F64" w:rsidRPr="00E33EFF" w:rsidRDefault="003E0F64" w:rsidP="003E0F64">
            <w:pPr>
              <w:rPr>
                <w:rFonts w:eastAsia="Arial"/>
              </w:rPr>
            </w:pPr>
            <w:r w:rsidRPr="00E33EFF">
              <w:rPr>
                <w:rFonts w:eastAsia="Arial"/>
              </w:rPr>
              <w:t>1.7</w:t>
            </w:r>
          </w:p>
        </w:tc>
        <w:tc>
          <w:tcPr>
            <w:tcW w:w="3694" w:type="dxa"/>
            <w:tcBorders>
              <w:bottom w:val="single" w:sz="4" w:space="0" w:color="auto"/>
            </w:tcBorders>
          </w:tcPr>
          <w:p w14:paraId="738E1926" w14:textId="50A9DC79" w:rsidR="003E0F64" w:rsidRDefault="003E0F64" w:rsidP="003E0F64">
            <w:pPr>
              <w:rPr>
                <w:bCs/>
                <w:color w:val="000000"/>
                <w:lang w:eastAsia="lt-LT"/>
              </w:rPr>
            </w:pPr>
            <w:r w:rsidRPr="00E33EFF">
              <w:rPr>
                <w:bCs/>
                <w:color w:val="000000"/>
                <w:lang w:eastAsia="lt-LT"/>
              </w:rPr>
              <w:t>Pareiškėjo teikiamas palyginamasis gydymas</w:t>
            </w:r>
            <w:r>
              <w:rPr>
                <w:bCs/>
                <w:color w:val="000000"/>
                <w:lang w:eastAsia="lt-LT"/>
              </w:rPr>
              <w:t>:</w:t>
            </w:r>
            <w:r w:rsidRPr="00E33EFF">
              <w:rPr>
                <w:bCs/>
                <w:color w:val="000000"/>
                <w:lang w:eastAsia="lt-LT"/>
              </w:rPr>
              <w:t xml:space="preserve"> </w:t>
            </w:r>
          </w:p>
          <w:p w14:paraId="200BD3DE" w14:textId="49CE7B6C" w:rsidR="003E0F64" w:rsidRPr="007C7519" w:rsidRDefault="00791D43" w:rsidP="003E0F64">
            <w:pPr>
              <w:rPr>
                <w:bCs/>
                <w:i/>
                <w:color w:val="000000"/>
                <w:lang w:eastAsia="lt-LT"/>
              </w:rPr>
            </w:pPr>
            <w:r>
              <w:rPr>
                <w:bCs/>
                <w:i/>
                <w:color w:val="000000"/>
                <w:lang w:eastAsia="lt-LT"/>
              </w:rPr>
              <w:t>Tiesioginis</w:t>
            </w:r>
          </w:p>
          <w:p w14:paraId="62057D94" w14:textId="77777777" w:rsidR="003E0F64" w:rsidRPr="00E33EFF" w:rsidRDefault="003E0F64" w:rsidP="003E0F64">
            <w:pPr>
              <w:rPr>
                <w:bCs/>
                <w:color w:val="000000"/>
                <w:lang w:eastAsia="lt-LT"/>
              </w:rPr>
            </w:pPr>
          </w:p>
          <w:p w14:paraId="6CC1022E" w14:textId="2B6BCEE1" w:rsidR="003E0F64" w:rsidRPr="00E33EFF" w:rsidRDefault="003E0F64" w:rsidP="003E0F64">
            <w:pPr>
              <w:rPr>
                <w:bCs/>
                <w:color w:val="000000"/>
                <w:lang w:eastAsia="lt-LT"/>
              </w:rPr>
            </w:pPr>
          </w:p>
        </w:tc>
        <w:tc>
          <w:tcPr>
            <w:tcW w:w="5167" w:type="dxa"/>
          </w:tcPr>
          <w:p w14:paraId="3E389C70" w14:textId="22AFFC76" w:rsidR="003E0F64" w:rsidRDefault="003E0F64" w:rsidP="003E0F64">
            <w:pPr>
              <w:rPr>
                <w:rStyle w:val="Style2"/>
                <w:sz w:val="24"/>
              </w:rPr>
            </w:pPr>
          </w:p>
          <w:p w14:paraId="0AC43073" w14:textId="77777777" w:rsidR="003E0F64" w:rsidRPr="00E33EFF" w:rsidRDefault="003E0F64" w:rsidP="003E0F64"/>
          <w:p w14:paraId="2383573D" w14:textId="606A98DF" w:rsidR="003E0F64" w:rsidRPr="00E33EFF" w:rsidRDefault="00000000" w:rsidP="003E0F64">
            <w:sdt>
              <w:sdtPr>
                <w:rPr>
                  <w:rStyle w:val="Style2"/>
                  <w:sz w:val="24"/>
                </w:rPr>
                <w:id w:val="-439376113"/>
                <w15:color w:val="FFCC00"/>
                <w14:checkbox>
                  <w14:checked w14:val="1"/>
                  <w14:checkedState w14:val="2612" w14:font="MS Gothic"/>
                  <w14:uncheckedState w14:val="2610" w14:font="MS Gothic"/>
                </w14:checkbox>
              </w:sdtPr>
              <w:sdtContent>
                <w:r w:rsidR="00791D43">
                  <w:rPr>
                    <w:rStyle w:val="Style2"/>
                    <w:rFonts w:ascii="MS Gothic" w:eastAsia="MS Gothic" w:hAnsi="MS Gothic" w:hint="eastAsia"/>
                    <w:sz w:val="24"/>
                  </w:rPr>
                  <w:t>☒</w:t>
                </w:r>
              </w:sdtContent>
            </w:sdt>
            <w:r w:rsidR="003E0F64" w:rsidRPr="00E33EFF">
              <w:t xml:space="preserve"> Tinkamas</w:t>
            </w:r>
          </w:p>
          <w:p w14:paraId="5474EFC4" w14:textId="401436BB" w:rsidR="003E0F64" w:rsidRDefault="00000000" w:rsidP="003E0F64">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Content>
                <w:r w:rsidR="00791D43">
                  <w:rPr>
                    <w:rStyle w:val="Style2"/>
                    <w:rFonts w:ascii="MS Gothic" w:eastAsia="MS Gothic" w:hAnsi="MS Gothic" w:hint="eastAsia"/>
                    <w:sz w:val="24"/>
                  </w:rPr>
                  <w:t>☐</w:t>
                </w:r>
              </w:sdtContent>
            </w:sdt>
            <w:r w:rsidR="003E0F64" w:rsidRPr="00E33EFF">
              <w:t xml:space="preserve"> Netinkama</w:t>
            </w:r>
            <w:r w:rsidR="003E0F64">
              <w:t>s</w:t>
            </w:r>
          </w:p>
          <w:p w14:paraId="41B44044" w14:textId="2474E678" w:rsidR="003E0F64" w:rsidRPr="00E33EFF" w:rsidRDefault="003E0F64" w:rsidP="003E0F64"/>
        </w:tc>
      </w:tr>
    </w:tbl>
    <w:p w14:paraId="108176F7" w14:textId="50FD1FA8" w:rsidR="00F70C9E" w:rsidRDefault="00F70C9E" w:rsidP="00E03C3F">
      <w:pPr>
        <w:pStyle w:val="ListParagraph"/>
        <w:tabs>
          <w:tab w:val="left" w:pos="426"/>
        </w:tabs>
        <w:ind w:left="0"/>
        <w:rPr>
          <w:b/>
          <w:bCs/>
          <w:caps/>
        </w:rPr>
      </w:pPr>
    </w:p>
    <w:p w14:paraId="19B44EF8" w14:textId="77777777" w:rsidR="00791D43" w:rsidRPr="00E33EFF" w:rsidRDefault="00791D43"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2EB7FD31" w14:textId="4D2A8479" w:rsidR="007A2B68" w:rsidRDefault="007A2B68" w:rsidP="00E03C3F">
      <w:pPr>
        <w:pStyle w:val="ListParagraph"/>
        <w:tabs>
          <w:tab w:val="left" w:pos="426"/>
        </w:tabs>
        <w:ind w:left="0"/>
        <w:rPr>
          <w:b/>
          <w:bCs/>
          <w:caps/>
        </w:rPr>
      </w:pPr>
    </w:p>
    <w:tbl>
      <w:tblPr>
        <w:tblStyle w:val="TableGrid"/>
        <w:tblW w:w="9918" w:type="dxa"/>
        <w:tblLook w:val="04A0" w:firstRow="1" w:lastRow="0" w:firstColumn="1" w:lastColumn="0" w:noHBand="0" w:noVBand="1"/>
      </w:tblPr>
      <w:tblGrid>
        <w:gridCol w:w="2927"/>
        <w:gridCol w:w="1915"/>
        <w:gridCol w:w="2351"/>
        <w:gridCol w:w="2725"/>
      </w:tblGrid>
      <w:tr w:rsidR="008A5376" w:rsidRPr="00D05364" w14:paraId="3FF376DD" w14:textId="77777777" w:rsidTr="00395540">
        <w:trPr>
          <w:trHeight w:val="924"/>
        </w:trPr>
        <w:tc>
          <w:tcPr>
            <w:tcW w:w="2927" w:type="dxa"/>
          </w:tcPr>
          <w:p w14:paraId="2B96DEA2" w14:textId="77777777" w:rsidR="008A5376" w:rsidRPr="00D05364" w:rsidRDefault="008A5376" w:rsidP="00395540">
            <w:pPr>
              <w:spacing w:line="276" w:lineRule="auto"/>
              <w:jc w:val="both"/>
              <w:rPr>
                <w:rFonts w:eastAsia="Arial"/>
              </w:rPr>
            </w:pPr>
            <w:bookmarkStart w:id="0" w:name="_Hlk168475149"/>
            <w:r w:rsidRPr="00D05364">
              <w:rPr>
                <w:rFonts w:eastAsia="Arial"/>
              </w:rPr>
              <w:t>STV agentūros pavadinimas, šalis</w:t>
            </w:r>
          </w:p>
        </w:tc>
        <w:tc>
          <w:tcPr>
            <w:tcW w:w="1915" w:type="dxa"/>
          </w:tcPr>
          <w:p w14:paraId="55E7C172" w14:textId="77777777" w:rsidR="008A5376" w:rsidRPr="00D05364" w:rsidRDefault="008A5376" w:rsidP="00395540">
            <w:pPr>
              <w:spacing w:line="276" w:lineRule="auto"/>
              <w:jc w:val="both"/>
              <w:rPr>
                <w:rFonts w:eastAsia="Arial"/>
              </w:rPr>
            </w:pPr>
            <w:r w:rsidRPr="00D05364">
              <w:rPr>
                <w:rFonts w:eastAsia="Arial"/>
              </w:rPr>
              <w:t>STV vertinimas atliktas</w:t>
            </w:r>
          </w:p>
        </w:tc>
        <w:tc>
          <w:tcPr>
            <w:tcW w:w="2351" w:type="dxa"/>
          </w:tcPr>
          <w:p w14:paraId="36F50F07" w14:textId="77777777" w:rsidR="008A5376" w:rsidRPr="00D05364" w:rsidRDefault="008A5376" w:rsidP="00395540">
            <w:pPr>
              <w:spacing w:line="276" w:lineRule="auto"/>
              <w:jc w:val="both"/>
              <w:rPr>
                <w:rFonts w:eastAsia="Arial"/>
              </w:rPr>
            </w:pPr>
            <w:r w:rsidRPr="00D05364">
              <w:rPr>
                <w:rFonts w:eastAsia="Arial"/>
              </w:rPr>
              <w:t>Klinikinio vertinimo išvada</w:t>
            </w:r>
          </w:p>
        </w:tc>
        <w:tc>
          <w:tcPr>
            <w:tcW w:w="2725" w:type="dxa"/>
          </w:tcPr>
          <w:p w14:paraId="724E467F" w14:textId="77777777" w:rsidR="008A5376" w:rsidRPr="00D05364" w:rsidRDefault="008A5376" w:rsidP="00395540">
            <w:pPr>
              <w:spacing w:line="276" w:lineRule="auto"/>
              <w:jc w:val="both"/>
              <w:rPr>
                <w:rFonts w:eastAsia="Arial"/>
              </w:rPr>
            </w:pPr>
            <w:r w:rsidRPr="00D05364">
              <w:rPr>
                <w:rFonts w:eastAsia="Arial"/>
              </w:rPr>
              <w:t>Farmakoekonominio vertinimo išvada</w:t>
            </w:r>
          </w:p>
        </w:tc>
      </w:tr>
      <w:tr w:rsidR="008A5376" w:rsidRPr="00D05364" w14:paraId="10B6C176" w14:textId="77777777" w:rsidTr="00395540">
        <w:trPr>
          <w:trHeight w:val="1765"/>
        </w:trPr>
        <w:tc>
          <w:tcPr>
            <w:tcW w:w="2927" w:type="dxa"/>
          </w:tcPr>
          <w:p w14:paraId="7A23D885" w14:textId="77777777" w:rsidR="008A5376" w:rsidRPr="00D05364" w:rsidRDefault="008A5376" w:rsidP="00395540">
            <w:pPr>
              <w:autoSpaceDE w:val="0"/>
              <w:autoSpaceDN w:val="0"/>
              <w:adjustRightInd w:val="0"/>
              <w:spacing w:line="276" w:lineRule="auto"/>
              <w:jc w:val="both"/>
              <w:rPr>
                <w:bCs/>
              </w:rPr>
            </w:pPr>
            <w:r w:rsidRPr="00D05364">
              <w:rPr>
                <w:bCs/>
              </w:rPr>
              <w:t>Nacionalinis sveikatos ir klinikinės kompetencijos institutas, Didžioji Britanija</w:t>
            </w:r>
          </w:p>
          <w:p w14:paraId="4C365728" w14:textId="77777777" w:rsidR="008A5376" w:rsidRPr="00D05364" w:rsidRDefault="008A5376" w:rsidP="00395540">
            <w:pPr>
              <w:spacing w:line="276" w:lineRule="auto"/>
              <w:jc w:val="both"/>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915" w:type="dxa"/>
          </w:tcPr>
          <w:p w14:paraId="5BBA88A6" w14:textId="77777777" w:rsidR="008A5376" w:rsidRPr="00D05364" w:rsidRDefault="00000000" w:rsidP="00395540">
            <w:pPr>
              <w:spacing w:line="276" w:lineRule="auto"/>
              <w:jc w:val="both"/>
            </w:pPr>
            <w:sdt>
              <w:sdtPr>
                <w:rPr>
                  <w:rStyle w:val="Style2"/>
                </w:rPr>
                <w:id w:val="309133226"/>
                <w15:color w:val="FFCC00"/>
                <w14:checkbox>
                  <w14:checked w14:val="1"/>
                  <w14:checkedState w14:val="2612" w14:font="MS Gothic"/>
                  <w14:uncheckedState w14:val="2610" w14:font="MS Gothic"/>
                </w14:checkbox>
              </w:sdtPr>
              <w:sdtContent>
                <w:r w:rsidR="008A5376">
                  <w:rPr>
                    <w:rStyle w:val="Style2"/>
                    <w:rFonts w:ascii="MS Gothic" w:eastAsia="MS Gothic" w:hAnsi="MS Gothic" w:hint="eastAsia"/>
                  </w:rPr>
                  <w:t>☒</w:t>
                </w:r>
              </w:sdtContent>
            </w:sdt>
            <w:r w:rsidR="008A5376" w:rsidRPr="00D05364">
              <w:t xml:space="preserve"> Taip</w:t>
            </w:r>
          </w:p>
          <w:p w14:paraId="1E193075" w14:textId="77777777" w:rsidR="008A5376" w:rsidRPr="00D05364" w:rsidRDefault="00000000" w:rsidP="00395540">
            <w:pPr>
              <w:spacing w:line="276" w:lineRule="auto"/>
              <w:jc w:val="both"/>
            </w:pPr>
            <w:sdt>
              <w:sdtPr>
                <w:rPr>
                  <w:rStyle w:val="Style2"/>
                </w:rPr>
                <w:id w:val="-1990789656"/>
                <w15:color w:val="FFCC00"/>
                <w14:checkbox>
                  <w14:checked w14:val="0"/>
                  <w14:checkedState w14:val="2612" w14:font="MS Gothic"/>
                  <w14:uncheckedState w14:val="2610" w14:font="MS Gothic"/>
                </w14:checkbox>
              </w:sdtPr>
              <w:sdtContent>
                <w:r w:rsidR="008A5376" w:rsidRPr="00D05364">
                  <w:rPr>
                    <w:rStyle w:val="Style2"/>
                    <w:rFonts w:ascii="MS Gothic" w:eastAsia="MS Gothic" w:hAnsi="MS Gothic" w:hint="eastAsia"/>
                  </w:rPr>
                  <w:t>☐</w:t>
                </w:r>
              </w:sdtContent>
            </w:sdt>
            <w:r w:rsidR="008A5376" w:rsidRPr="00D05364">
              <w:t xml:space="preserve"> Ne</w:t>
            </w:r>
          </w:p>
          <w:p w14:paraId="4764BE69" w14:textId="77777777" w:rsidR="008A5376" w:rsidRPr="00D05364" w:rsidRDefault="00000000" w:rsidP="00395540">
            <w:pPr>
              <w:spacing w:line="276" w:lineRule="auto"/>
              <w:jc w:val="both"/>
              <w:rPr>
                <w:rFonts w:eastAsia="Arial"/>
              </w:rPr>
            </w:pPr>
            <w:sdt>
              <w:sdtPr>
                <w:alias w:val="Nurodykite konkrečią dieną"/>
                <w:tag w:val="Nurodykite pradžios datą"/>
                <w:id w:val="685100790"/>
                <w:placeholder>
                  <w:docPart w:val="5259D5231847442F809BDCEA0F74FB75"/>
                </w:placeholder>
                <w15:color w:val="FFCC99"/>
                <w:date w:fullDate="2023-09-26T00:00:00Z">
                  <w:dateFormat w:val="yyyy 'm.' MMMM d 'd.'"/>
                  <w:lid w:val="lt-LT"/>
                  <w:storeMappedDataAs w:val="dateTime"/>
                  <w:calendar w:val="gregorian"/>
                </w:date>
              </w:sdtPr>
              <w:sdtContent>
                <w:r w:rsidR="008A5376">
                  <w:t>2023 m. rugsėjo 26 d.</w:t>
                </w:r>
              </w:sdtContent>
            </w:sdt>
          </w:p>
        </w:tc>
        <w:tc>
          <w:tcPr>
            <w:tcW w:w="2351" w:type="dxa"/>
          </w:tcPr>
          <w:p w14:paraId="7EE9AE0A" w14:textId="77777777" w:rsidR="008A5376" w:rsidRPr="00D05364" w:rsidRDefault="008A5376" w:rsidP="00395540">
            <w:pPr>
              <w:spacing w:line="276" w:lineRule="auto"/>
              <w:jc w:val="both"/>
              <w:rPr>
                <w:rFonts w:eastAsia="Arial"/>
              </w:rPr>
            </w:pPr>
            <w:r>
              <w:rPr>
                <w:rFonts w:eastAsia="Arial"/>
              </w:rPr>
              <w:t>Tikėtina, kad prailgina išgyvenamumą be ligos progresavimo bei bendrą išgyvenamumą pacientams su pažengusiu mažos HER2 raiškos krūties vėžiu.</w:t>
            </w:r>
          </w:p>
        </w:tc>
        <w:tc>
          <w:tcPr>
            <w:tcW w:w="2725" w:type="dxa"/>
          </w:tcPr>
          <w:p w14:paraId="65C6A50D" w14:textId="70833233" w:rsidR="008A5376" w:rsidRPr="00D05364" w:rsidRDefault="008A5376" w:rsidP="00395540">
            <w:pPr>
              <w:spacing w:line="276" w:lineRule="auto"/>
              <w:jc w:val="both"/>
              <w:rPr>
                <w:rFonts w:eastAsia="Arial"/>
              </w:rPr>
            </w:pPr>
            <w:r>
              <w:rPr>
                <w:rFonts w:eastAsia="Arial"/>
              </w:rPr>
              <w:t xml:space="preserve">Galutinis sprendimas </w:t>
            </w:r>
            <w:r w:rsidR="00B502C6">
              <w:rPr>
                <w:rFonts w:eastAsia="Arial"/>
              </w:rPr>
              <w:t>dar nepaskelbtas.</w:t>
            </w:r>
          </w:p>
        </w:tc>
      </w:tr>
      <w:tr w:rsidR="008A5376" w:rsidRPr="00D05364" w14:paraId="349C4A39" w14:textId="77777777" w:rsidTr="00395540">
        <w:trPr>
          <w:trHeight w:val="1547"/>
        </w:trPr>
        <w:tc>
          <w:tcPr>
            <w:tcW w:w="2927" w:type="dxa"/>
          </w:tcPr>
          <w:p w14:paraId="4E288842" w14:textId="77777777" w:rsidR="008A5376" w:rsidRPr="00D05364" w:rsidRDefault="008A5376" w:rsidP="00395540">
            <w:pPr>
              <w:spacing w:line="276" w:lineRule="auto"/>
              <w:jc w:val="both"/>
              <w:rPr>
                <w:rFonts w:eastAsia="Arial"/>
              </w:rPr>
            </w:pPr>
            <w:r w:rsidRPr="00D05364">
              <w:rPr>
                <w:rFonts w:eastAsia="Arial"/>
              </w:rPr>
              <w:t>Kanados sveikatos technologijų agentūra</w:t>
            </w:r>
          </w:p>
          <w:p w14:paraId="04003541" w14:textId="77777777" w:rsidR="008A5376" w:rsidRPr="00D05364" w:rsidRDefault="008A5376" w:rsidP="00395540">
            <w:pPr>
              <w:spacing w:line="276" w:lineRule="auto"/>
              <w:jc w:val="both"/>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915" w:type="dxa"/>
          </w:tcPr>
          <w:p w14:paraId="1707B9F6" w14:textId="77777777" w:rsidR="008A5376" w:rsidRPr="00D05364" w:rsidRDefault="00000000" w:rsidP="00395540">
            <w:pPr>
              <w:spacing w:line="276" w:lineRule="auto"/>
              <w:jc w:val="both"/>
            </w:pPr>
            <w:sdt>
              <w:sdtPr>
                <w:rPr>
                  <w:rStyle w:val="Style2"/>
                </w:rPr>
                <w:id w:val="159435410"/>
                <w15:color w:val="FFCC00"/>
                <w14:checkbox>
                  <w14:checked w14:val="1"/>
                  <w14:checkedState w14:val="2612" w14:font="MS Gothic"/>
                  <w14:uncheckedState w14:val="2610" w14:font="MS Gothic"/>
                </w14:checkbox>
              </w:sdtPr>
              <w:sdtContent>
                <w:r w:rsidR="008A5376">
                  <w:rPr>
                    <w:rStyle w:val="Style2"/>
                    <w:rFonts w:ascii="MS Gothic" w:eastAsia="MS Gothic" w:hAnsi="MS Gothic" w:hint="eastAsia"/>
                  </w:rPr>
                  <w:t>☒</w:t>
                </w:r>
              </w:sdtContent>
            </w:sdt>
            <w:r w:rsidR="008A5376" w:rsidRPr="00D05364">
              <w:t xml:space="preserve"> Taip</w:t>
            </w:r>
          </w:p>
          <w:p w14:paraId="1E75C073" w14:textId="77777777" w:rsidR="008A5376" w:rsidRPr="00D05364" w:rsidRDefault="00000000" w:rsidP="00395540">
            <w:pPr>
              <w:spacing w:line="276" w:lineRule="auto"/>
              <w:jc w:val="both"/>
            </w:pPr>
            <w:sdt>
              <w:sdtPr>
                <w:rPr>
                  <w:rStyle w:val="Style2"/>
                </w:rPr>
                <w:id w:val="-1727907322"/>
                <w15:color w:val="FFCC00"/>
                <w14:checkbox>
                  <w14:checked w14:val="0"/>
                  <w14:checkedState w14:val="2612" w14:font="MS Gothic"/>
                  <w14:uncheckedState w14:val="2610" w14:font="MS Gothic"/>
                </w14:checkbox>
              </w:sdtPr>
              <w:sdtContent>
                <w:r w:rsidR="008A5376" w:rsidRPr="00D05364">
                  <w:rPr>
                    <w:rStyle w:val="Style2"/>
                    <w:rFonts w:ascii="Segoe UI Symbol" w:eastAsia="MS Gothic" w:hAnsi="Segoe UI Symbol" w:cs="Segoe UI Symbol"/>
                  </w:rPr>
                  <w:t>☐</w:t>
                </w:r>
              </w:sdtContent>
            </w:sdt>
            <w:r w:rsidR="008A5376" w:rsidRPr="00D05364">
              <w:t xml:space="preserve"> Ne</w:t>
            </w:r>
          </w:p>
          <w:p w14:paraId="2664CA74" w14:textId="77777777" w:rsidR="008A5376" w:rsidRPr="00D05364" w:rsidRDefault="00000000" w:rsidP="00395540">
            <w:pPr>
              <w:spacing w:line="276" w:lineRule="auto"/>
              <w:jc w:val="both"/>
              <w:rPr>
                <w:rFonts w:eastAsia="Arial"/>
              </w:rPr>
            </w:pPr>
            <w:sdt>
              <w:sdtPr>
                <w:alias w:val="Nurodykite konkrečią dieną"/>
                <w:tag w:val="Nurodykite pradžios datą"/>
                <w:id w:val="1270357144"/>
                <w:placeholder>
                  <w:docPart w:val="16B4BF6716D24ADB990EE3B9EC1BE287"/>
                </w:placeholder>
                <w15:color w:val="FFCC99"/>
                <w:date>
                  <w:dateFormat w:val="yyyy 'm.' MMMM d 'd.'"/>
                  <w:lid w:val="lt-LT"/>
                  <w:storeMappedDataAs w:val="dateTime"/>
                  <w:calendar w:val="gregorian"/>
                </w:date>
              </w:sdtPr>
              <w:sdtContent>
                <w:r w:rsidR="008A5376">
                  <w:t>2023 m. liepos 1 d.</w:t>
                </w:r>
              </w:sdtContent>
            </w:sdt>
          </w:p>
        </w:tc>
        <w:tc>
          <w:tcPr>
            <w:tcW w:w="5076" w:type="dxa"/>
            <w:gridSpan w:val="2"/>
          </w:tcPr>
          <w:p w14:paraId="03B79358" w14:textId="5CD90431" w:rsidR="008A5376" w:rsidRPr="00D05364" w:rsidRDefault="008A5376" w:rsidP="00395540">
            <w:pPr>
              <w:spacing w:line="276" w:lineRule="auto"/>
              <w:jc w:val="both"/>
              <w:rPr>
                <w:rFonts w:eastAsia="Arial"/>
              </w:rPr>
            </w:pPr>
            <w:r>
              <w:rPr>
                <w:rFonts w:eastAsia="Arial"/>
              </w:rPr>
              <w:t>Rekomenduojama kompensuoti</w:t>
            </w:r>
            <w:r w:rsidR="00B502C6">
              <w:rPr>
                <w:rFonts w:eastAsia="Arial"/>
              </w:rPr>
              <w:t xml:space="preserve"> sumažinus vaistinio preparato kainą. </w:t>
            </w:r>
          </w:p>
        </w:tc>
      </w:tr>
      <w:tr w:rsidR="00B502C6" w:rsidRPr="00D05364" w14:paraId="4F01C8CA" w14:textId="77777777" w:rsidTr="00B502C6">
        <w:trPr>
          <w:trHeight w:val="1927"/>
        </w:trPr>
        <w:tc>
          <w:tcPr>
            <w:tcW w:w="2927" w:type="dxa"/>
          </w:tcPr>
          <w:p w14:paraId="6AD82979" w14:textId="77777777" w:rsidR="00B502C6" w:rsidRPr="00D05364" w:rsidRDefault="00B502C6" w:rsidP="00395540">
            <w:pPr>
              <w:spacing w:line="276" w:lineRule="auto"/>
              <w:jc w:val="both"/>
              <w:rPr>
                <w:rFonts w:eastAsia="Arial"/>
              </w:rPr>
            </w:pPr>
            <w:r w:rsidRPr="00D05364">
              <w:rPr>
                <w:rFonts w:eastAsia="Arial"/>
              </w:rPr>
              <w:t>Nacionalinis farmakoekonomikos centras, Airija</w:t>
            </w:r>
          </w:p>
          <w:p w14:paraId="01BBECB7" w14:textId="77777777" w:rsidR="00B502C6" w:rsidRPr="00D05364" w:rsidRDefault="00B502C6" w:rsidP="00395540">
            <w:pPr>
              <w:spacing w:line="276" w:lineRule="auto"/>
              <w:jc w:val="both"/>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915" w:type="dxa"/>
          </w:tcPr>
          <w:p w14:paraId="2174CF5F" w14:textId="77777777" w:rsidR="00B502C6" w:rsidRPr="00D05364" w:rsidRDefault="00000000" w:rsidP="00395540">
            <w:pPr>
              <w:spacing w:line="276" w:lineRule="auto"/>
              <w:jc w:val="both"/>
            </w:pPr>
            <w:sdt>
              <w:sdtPr>
                <w:rPr>
                  <w:rStyle w:val="Style2"/>
                </w:rPr>
                <w:id w:val="980341064"/>
                <w15:color w:val="FFCC00"/>
                <w14:checkbox>
                  <w14:checked w14:val="0"/>
                  <w14:checkedState w14:val="2612" w14:font="MS Gothic"/>
                  <w14:uncheckedState w14:val="2610" w14:font="MS Gothic"/>
                </w14:checkbox>
              </w:sdtPr>
              <w:sdtContent>
                <w:r w:rsidR="00B502C6" w:rsidRPr="00D05364">
                  <w:rPr>
                    <w:rStyle w:val="Style2"/>
                    <w:rFonts w:ascii="Segoe UI Symbol" w:eastAsia="MS Gothic" w:hAnsi="Segoe UI Symbol" w:cs="Segoe UI Symbol"/>
                  </w:rPr>
                  <w:t>☐</w:t>
                </w:r>
              </w:sdtContent>
            </w:sdt>
            <w:r w:rsidR="00B502C6" w:rsidRPr="00D05364">
              <w:t xml:space="preserve"> Taip</w:t>
            </w:r>
          </w:p>
          <w:p w14:paraId="19442D68" w14:textId="77777777" w:rsidR="00B502C6" w:rsidRPr="00D05364" w:rsidRDefault="00000000" w:rsidP="00395540">
            <w:pPr>
              <w:spacing w:line="276" w:lineRule="auto"/>
              <w:jc w:val="both"/>
            </w:pPr>
            <w:sdt>
              <w:sdtPr>
                <w:rPr>
                  <w:rStyle w:val="Style2"/>
                </w:rPr>
                <w:id w:val="664677993"/>
                <w15:color w:val="FFCC00"/>
                <w14:checkbox>
                  <w14:checked w14:val="1"/>
                  <w14:checkedState w14:val="2612" w14:font="MS Gothic"/>
                  <w14:uncheckedState w14:val="2610" w14:font="MS Gothic"/>
                </w14:checkbox>
              </w:sdtPr>
              <w:sdtContent>
                <w:r w:rsidR="00B502C6">
                  <w:rPr>
                    <w:rStyle w:val="Style2"/>
                    <w:rFonts w:ascii="MS Gothic" w:eastAsia="MS Gothic" w:hAnsi="MS Gothic" w:hint="eastAsia"/>
                  </w:rPr>
                  <w:t>☒</w:t>
                </w:r>
              </w:sdtContent>
            </w:sdt>
            <w:r w:rsidR="00B502C6" w:rsidRPr="00D05364">
              <w:t xml:space="preserve"> Ne</w:t>
            </w:r>
          </w:p>
          <w:p w14:paraId="678EBA9B" w14:textId="77777777" w:rsidR="00B502C6" w:rsidRPr="00D05364" w:rsidRDefault="00000000" w:rsidP="00395540">
            <w:pPr>
              <w:spacing w:line="276" w:lineRule="auto"/>
              <w:jc w:val="both"/>
              <w:rPr>
                <w:rFonts w:eastAsia="Arial"/>
              </w:rPr>
            </w:pPr>
            <w:sdt>
              <w:sdtPr>
                <w:alias w:val="Nurodykite konkrečią dieną"/>
                <w:tag w:val="Nurodykite pradžios datą"/>
                <w:id w:val="-1041057264"/>
                <w:placeholder>
                  <w:docPart w:val="A049410C830E4381B1E4AEE1D0D7E0FE"/>
                </w:placeholder>
                <w:showingPlcHdr/>
                <w15:color w:val="FFCC99"/>
                <w:date w:fullDate="2022-05-18T00:00:00Z">
                  <w:dateFormat w:val="yyyy 'm.' MMMM d 'd.'"/>
                  <w:lid w:val="lt-LT"/>
                  <w:storeMappedDataAs w:val="dateTime"/>
                  <w:calendar w:val="gregorian"/>
                </w:date>
              </w:sdtPr>
              <w:sdtContent>
                <w:r w:rsidR="00B502C6" w:rsidRPr="00D05364">
                  <w:rPr>
                    <w:rStyle w:val="PlaceholderText"/>
                  </w:rPr>
                  <w:t>Click here to enter a date.</w:t>
                </w:r>
              </w:sdtContent>
            </w:sdt>
          </w:p>
        </w:tc>
        <w:tc>
          <w:tcPr>
            <w:tcW w:w="5076" w:type="dxa"/>
            <w:gridSpan w:val="2"/>
          </w:tcPr>
          <w:p w14:paraId="4B3F1B29" w14:textId="03E81257" w:rsidR="00B502C6" w:rsidRPr="00D05364" w:rsidRDefault="00B502C6" w:rsidP="00B502C6">
            <w:pPr>
              <w:spacing w:line="276" w:lineRule="auto"/>
              <w:rPr>
                <w:rFonts w:eastAsia="Arial"/>
              </w:rPr>
            </w:pPr>
            <w:r>
              <w:rPr>
                <w:rFonts w:eastAsia="Arial"/>
              </w:rPr>
              <w:t>Vyksta vertinimas</w:t>
            </w:r>
          </w:p>
        </w:tc>
      </w:tr>
      <w:bookmarkEnd w:id="0"/>
    </w:tbl>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5F89291" w14:textId="25AA736A" w:rsidR="00D4485B" w:rsidRDefault="00D4485B" w:rsidP="00A93AA6">
      <w:pPr>
        <w:pStyle w:val="ListParagraph"/>
        <w:tabs>
          <w:tab w:val="left" w:pos="426"/>
        </w:tabs>
        <w:ind w:left="0"/>
        <w:rPr>
          <w:b/>
          <w:bCs/>
          <w:caps/>
        </w:rPr>
      </w:pPr>
    </w:p>
    <w:p w14:paraId="14E72277" w14:textId="4990A095" w:rsidR="00B0112C" w:rsidRPr="004C425A" w:rsidRDefault="00B0112C" w:rsidP="00B0112C">
      <w:pPr>
        <w:autoSpaceDE w:val="0"/>
        <w:autoSpaceDN w:val="0"/>
        <w:adjustRightInd w:val="0"/>
        <w:spacing w:line="276" w:lineRule="auto"/>
        <w:ind w:firstLine="720"/>
        <w:jc w:val="both"/>
        <w:rPr>
          <w:rFonts w:eastAsia="Arial"/>
          <w:color w:val="000000" w:themeColor="text1"/>
        </w:rPr>
      </w:pPr>
      <w:r w:rsidRPr="00685A7F">
        <w:rPr>
          <w:rFonts w:eastAsia="Arial"/>
          <w:color w:val="000000" w:themeColor="text1"/>
        </w:rPr>
        <w:t>Krūties vėžio gydymas priklauso nuo to, kokie receptoriai yra nustatomi navikinių ląstelių membranose. Nustačius arba ne</w:t>
      </w:r>
      <w:r w:rsidR="007D0BAC" w:rsidRPr="00685A7F">
        <w:rPr>
          <w:rFonts w:eastAsia="Arial"/>
          <w:color w:val="000000" w:themeColor="text1"/>
        </w:rPr>
        <w:t>nu</w:t>
      </w:r>
      <w:r w:rsidRPr="00685A7F">
        <w:rPr>
          <w:rFonts w:eastAsia="Arial"/>
          <w:color w:val="000000" w:themeColor="text1"/>
        </w:rPr>
        <w:t>stačius receptorių raišką, skiriamas atitinkamas specifinis gydymas, kai specifinio gydymo nėra, pasikliauna chemoterapija. Pagal receptorių raišką išskiria</w:t>
      </w:r>
      <w:r w:rsidR="001B1993">
        <w:rPr>
          <w:rFonts w:eastAsia="Arial"/>
          <w:color w:val="000000" w:themeColor="text1"/>
        </w:rPr>
        <w:t>mi</w:t>
      </w:r>
      <w:r w:rsidRPr="00685A7F">
        <w:rPr>
          <w:rFonts w:eastAsia="Arial"/>
          <w:color w:val="000000" w:themeColor="text1"/>
        </w:rPr>
        <w:t xml:space="preserve"> </w:t>
      </w:r>
      <w:r w:rsidR="00E21E4F">
        <w:rPr>
          <w:rFonts w:eastAsia="Arial"/>
          <w:color w:val="000000" w:themeColor="text1"/>
        </w:rPr>
        <w:t>hormonų receptorių (HR) turintys navikai</w:t>
      </w:r>
      <w:r w:rsidR="00D2784C">
        <w:rPr>
          <w:rFonts w:eastAsia="Arial"/>
          <w:color w:val="000000" w:themeColor="text1"/>
        </w:rPr>
        <w:t xml:space="preserve">, kurie turi </w:t>
      </w:r>
      <w:r w:rsidRPr="00685A7F">
        <w:rPr>
          <w:rFonts w:eastAsia="Arial"/>
          <w:color w:val="000000" w:themeColor="text1"/>
        </w:rPr>
        <w:t>estrogenų receptorių</w:t>
      </w:r>
      <w:r w:rsidR="00B35090">
        <w:rPr>
          <w:rFonts w:eastAsia="Arial"/>
          <w:color w:val="000000" w:themeColor="text1"/>
        </w:rPr>
        <w:t xml:space="preserve"> </w:t>
      </w:r>
      <w:r w:rsidR="00D2784C">
        <w:rPr>
          <w:rFonts w:eastAsia="Arial"/>
          <w:color w:val="000000" w:themeColor="text1"/>
        </w:rPr>
        <w:t>ir (ar)</w:t>
      </w:r>
      <w:r w:rsidRPr="00685A7F">
        <w:rPr>
          <w:rFonts w:eastAsia="Arial"/>
          <w:color w:val="000000" w:themeColor="text1"/>
        </w:rPr>
        <w:t xml:space="preserve"> progesterono receptorių</w:t>
      </w:r>
      <w:r w:rsidR="00E21E4F">
        <w:rPr>
          <w:rFonts w:eastAsia="Arial"/>
          <w:color w:val="000000" w:themeColor="text1"/>
        </w:rPr>
        <w:t xml:space="preserve"> </w:t>
      </w:r>
      <w:r w:rsidR="00D2784C">
        <w:rPr>
          <w:rFonts w:eastAsia="Arial"/>
          <w:color w:val="000000" w:themeColor="text1"/>
        </w:rPr>
        <w:t xml:space="preserve">ir </w:t>
      </w:r>
      <w:r w:rsidRPr="00685A7F">
        <w:rPr>
          <w:rFonts w:eastAsia="Arial"/>
          <w:color w:val="000000" w:themeColor="text1"/>
        </w:rPr>
        <w:t>žmogaus epidermio augimo faktoriaus receptoriaus 2</w:t>
      </w:r>
      <w:r w:rsidR="009A6623">
        <w:rPr>
          <w:rFonts w:eastAsia="Arial"/>
          <w:color w:val="000000" w:themeColor="text1"/>
        </w:rPr>
        <w:t xml:space="preserve"> (HER) teigiamo (+) ir neigiamo </w:t>
      </w:r>
      <w:r w:rsidRPr="00685A7F">
        <w:rPr>
          <w:rFonts w:eastAsia="Arial"/>
          <w:color w:val="000000" w:themeColor="text1"/>
        </w:rPr>
        <w:t>(-</w:t>
      </w:r>
      <w:r w:rsidR="009A6623">
        <w:rPr>
          <w:rFonts w:eastAsia="Arial"/>
          <w:color w:val="000000" w:themeColor="text1"/>
        </w:rPr>
        <w:t xml:space="preserve">) </w:t>
      </w:r>
      <w:r w:rsidR="001B1993">
        <w:rPr>
          <w:rFonts w:eastAsia="Arial"/>
          <w:color w:val="000000" w:themeColor="text1"/>
        </w:rPr>
        <w:t>krūtie</w:t>
      </w:r>
      <w:r w:rsidR="009A6623">
        <w:rPr>
          <w:rFonts w:eastAsia="Arial"/>
          <w:color w:val="000000" w:themeColor="text1"/>
        </w:rPr>
        <w:t>s</w:t>
      </w:r>
      <w:r w:rsidR="001B1993">
        <w:rPr>
          <w:rFonts w:eastAsia="Arial"/>
          <w:color w:val="000000" w:themeColor="text1"/>
        </w:rPr>
        <w:t xml:space="preserve"> vėžio (</w:t>
      </w:r>
      <w:r w:rsidRPr="00685A7F">
        <w:rPr>
          <w:rFonts w:eastAsia="Arial"/>
          <w:color w:val="000000" w:themeColor="text1"/>
        </w:rPr>
        <w:t>KV</w:t>
      </w:r>
      <w:r w:rsidR="001B1993">
        <w:rPr>
          <w:rFonts w:eastAsia="Arial"/>
          <w:color w:val="000000" w:themeColor="text1"/>
        </w:rPr>
        <w:t xml:space="preserve">) </w:t>
      </w:r>
      <w:r w:rsidRPr="00685A7F">
        <w:rPr>
          <w:rFonts w:eastAsia="Arial"/>
          <w:color w:val="000000" w:themeColor="text1"/>
        </w:rPr>
        <w:t>tip</w:t>
      </w:r>
      <w:r w:rsidR="001B1993">
        <w:rPr>
          <w:rFonts w:eastAsia="Arial"/>
          <w:color w:val="000000" w:themeColor="text1"/>
        </w:rPr>
        <w:t>ai</w:t>
      </w:r>
      <w:r w:rsidR="009A6623">
        <w:rPr>
          <w:rFonts w:eastAsia="Arial"/>
          <w:color w:val="000000" w:themeColor="text1"/>
        </w:rPr>
        <w:t>.</w:t>
      </w:r>
      <w:r w:rsidR="001B1993">
        <w:rPr>
          <w:rFonts w:eastAsia="Arial"/>
          <w:color w:val="000000" w:themeColor="text1"/>
        </w:rPr>
        <w:t xml:space="preserve"> </w:t>
      </w:r>
      <w:r w:rsidRPr="00685A7F">
        <w:rPr>
          <w:rFonts w:eastAsia="Arial"/>
          <w:color w:val="000000" w:themeColor="text1"/>
        </w:rPr>
        <w:t xml:space="preserve">HER2 raiška nustatoma </w:t>
      </w:r>
      <w:r w:rsidRPr="004C425A">
        <w:rPr>
          <w:rFonts w:eastAsia="Arial"/>
          <w:color w:val="000000" w:themeColor="text1"/>
        </w:rPr>
        <w:t>taikant imunohistochemininę an</w:t>
      </w:r>
      <w:r w:rsidR="001B1993" w:rsidRPr="004C425A">
        <w:rPr>
          <w:rFonts w:eastAsia="Arial"/>
          <w:color w:val="000000" w:themeColor="text1"/>
        </w:rPr>
        <w:t>a</w:t>
      </w:r>
      <w:r w:rsidRPr="004C425A">
        <w:rPr>
          <w:rFonts w:eastAsia="Arial"/>
          <w:color w:val="000000" w:themeColor="text1"/>
        </w:rPr>
        <w:t>lizę (IHC) ir</w:t>
      </w:r>
      <w:r w:rsidR="009A6623">
        <w:rPr>
          <w:rFonts w:eastAsia="Arial"/>
          <w:color w:val="000000" w:themeColor="text1"/>
        </w:rPr>
        <w:t xml:space="preserve"> (</w:t>
      </w:r>
      <w:r w:rsidRPr="004C425A">
        <w:rPr>
          <w:rFonts w:eastAsia="Arial"/>
          <w:color w:val="000000" w:themeColor="text1"/>
        </w:rPr>
        <w:t>arba</w:t>
      </w:r>
      <w:r w:rsidR="009A6623">
        <w:rPr>
          <w:rFonts w:eastAsia="Arial"/>
          <w:color w:val="000000" w:themeColor="text1"/>
        </w:rPr>
        <w:t>)</w:t>
      </w:r>
      <w:r w:rsidRPr="004C425A">
        <w:rPr>
          <w:rFonts w:eastAsia="Arial"/>
          <w:color w:val="000000" w:themeColor="text1"/>
        </w:rPr>
        <w:t xml:space="preserve"> papildomai nustatant </w:t>
      </w:r>
      <w:r w:rsidRPr="004C425A">
        <w:rPr>
          <w:rFonts w:eastAsia="Arial"/>
          <w:i/>
          <w:color w:val="000000" w:themeColor="text1"/>
        </w:rPr>
        <w:t>in situ</w:t>
      </w:r>
      <w:r w:rsidRPr="004C425A">
        <w:rPr>
          <w:rFonts w:eastAsia="Arial"/>
          <w:color w:val="000000" w:themeColor="text1"/>
        </w:rPr>
        <w:t xml:space="preserve"> hibridzaciją (ISH).Pirmiausiai atliekama IHC, HER2 raiška vertinama balais nuo 0 iki 3+.</w:t>
      </w:r>
      <w:r w:rsidR="009A6623">
        <w:rPr>
          <w:rFonts w:eastAsia="Arial"/>
          <w:color w:val="000000" w:themeColor="text1"/>
        </w:rPr>
        <w:t xml:space="preserve"> </w:t>
      </w:r>
      <w:r w:rsidRPr="004C425A">
        <w:rPr>
          <w:rFonts w:eastAsia="Arial"/>
          <w:color w:val="000000" w:themeColor="text1"/>
        </w:rPr>
        <w:t>IHC 3+ reiškia HER2+ teigi</w:t>
      </w:r>
      <w:r w:rsidR="009A6623">
        <w:rPr>
          <w:rFonts w:eastAsia="Arial"/>
          <w:color w:val="000000" w:themeColor="text1"/>
        </w:rPr>
        <w:t>a</w:t>
      </w:r>
      <w:r w:rsidRPr="004C425A">
        <w:rPr>
          <w:rFonts w:eastAsia="Arial"/>
          <w:color w:val="000000" w:themeColor="text1"/>
        </w:rPr>
        <w:t xml:space="preserve">mas KV; IHC 2+ papildomai turi būti įvertintas taikant ISH. </w:t>
      </w:r>
      <w:r w:rsidR="001B1993" w:rsidRPr="009A6623">
        <w:rPr>
          <w:rFonts w:eastAsia="Arial"/>
        </w:rPr>
        <w:t xml:space="preserve">Pastaruoju </w:t>
      </w:r>
      <w:r w:rsidR="001B1993" w:rsidRPr="009A6623">
        <w:rPr>
          <w:shd w:val="clear" w:color="auto" w:fill="FFFFFF"/>
        </w:rPr>
        <w:t>metu vertinant</w:t>
      </w:r>
      <w:r w:rsidR="009A6623">
        <w:rPr>
          <w:shd w:val="clear" w:color="auto" w:fill="FFFFFF"/>
        </w:rPr>
        <w:t xml:space="preserve"> </w:t>
      </w:r>
      <w:r w:rsidR="001B1993" w:rsidRPr="009A6623">
        <w:rPr>
          <w:rStyle w:val="Emphasis"/>
          <w:bCs/>
          <w:i w:val="0"/>
          <w:iCs w:val="0"/>
          <w:shd w:val="clear" w:color="auto" w:fill="FFFFFF"/>
        </w:rPr>
        <w:t>HER2 raišką</w:t>
      </w:r>
      <w:r w:rsidR="009A6623">
        <w:rPr>
          <w:shd w:val="clear" w:color="auto" w:fill="FFFFFF"/>
        </w:rPr>
        <w:t xml:space="preserve"> </w:t>
      </w:r>
      <w:r w:rsidR="001B1993" w:rsidRPr="009A6623">
        <w:rPr>
          <w:shd w:val="clear" w:color="auto" w:fill="FFFFFF"/>
        </w:rPr>
        <w:t>įvesta nauja klinikinė apibrėžtis, įvardijama kaip</w:t>
      </w:r>
      <w:r w:rsidR="009A6623">
        <w:rPr>
          <w:shd w:val="clear" w:color="auto" w:fill="FFFFFF"/>
        </w:rPr>
        <w:t xml:space="preserve"> </w:t>
      </w:r>
      <w:r w:rsidRPr="009A6623">
        <w:rPr>
          <w:rFonts w:eastAsia="Arial"/>
        </w:rPr>
        <w:t>maža HER2 raiška.</w:t>
      </w:r>
      <w:r w:rsidR="001B1993" w:rsidRPr="009A6623">
        <w:rPr>
          <w:rFonts w:eastAsia="Arial"/>
        </w:rPr>
        <w:t xml:space="preserve"> </w:t>
      </w:r>
      <w:r w:rsidRPr="009A6623">
        <w:rPr>
          <w:rFonts w:eastAsia="Arial"/>
        </w:rPr>
        <w:t>KV su maža HER2 raiška apib</w:t>
      </w:r>
      <w:r w:rsidR="001B1993" w:rsidRPr="009A6623">
        <w:rPr>
          <w:rFonts w:eastAsia="Arial"/>
        </w:rPr>
        <w:t>ūdinamas</w:t>
      </w:r>
      <w:r w:rsidRPr="009A6623">
        <w:rPr>
          <w:rFonts w:eastAsia="Arial"/>
        </w:rPr>
        <w:t xml:space="preserve"> kaip KV su IHC 1+ </w:t>
      </w:r>
      <w:r w:rsidR="001B1993" w:rsidRPr="009A6623">
        <w:rPr>
          <w:rFonts w:eastAsia="Arial"/>
        </w:rPr>
        <w:t>a</w:t>
      </w:r>
      <w:r w:rsidRPr="009A6623">
        <w:rPr>
          <w:rFonts w:eastAsia="Arial"/>
        </w:rPr>
        <w:t>r 2+.</w:t>
      </w:r>
      <w:r w:rsidRPr="009A6623">
        <w:rPr>
          <w:lang w:eastAsia="lt-LT"/>
        </w:rPr>
        <w:t xml:space="preserve"> </w:t>
      </w:r>
      <w:r w:rsidRPr="009A6623">
        <w:rPr>
          <w:rFonts w:eastAsia="Arial"/>
        </w:rPr>
        <w:t xml:space="preserve">Remiantis </w:t>
      </w:r>
      <w:r w:rsidR="009A6623" w:rsidRPr="004C425A">
        <w:rPr>
          <w:rFonts w:eastAsia="Arial"/>
          <w:color w:val="000000" w:themeColor="text1"/>
        </w:rPr>
        <w:t>2023 m. birželio 14 d</w:t>
      </w:r>
      <w:r w:rsidR="009A6623" w:rsidRPr="009A6623">
        <w:rPr>
          <w:rFonts w:eastAsia="Arial"/>
        </w:rPr>
        <w:t xml:space="preserve"> </w:t>
      </w:r>
      <w:r w:rsidRPr="009A6623">
        <w:rPr>
          <w:rFonts w:eastAsia="Arial"/>
        </w:rPr>
        <w:t xml:space="preserve">patariamosios </w:t>
      </w:r>
      <w:r w:rsidRPr="004C425A">
        <w:rPr>
          <w:rFonts w:eastAsia="Arial"/>
          <w:color w:val="000000" w:themeColor="text1"/>
        </w:rPr>
        <w:t>tarybos</w:t>
      </w:r>
      <w:r w:rsidR="009D7096" w:rsidRPr="004C425A">
        <w:rPr>
          <w:rFonts w:eastAsia="Arial"/>
          <w:color w:val="000000" w:themeColor="text1"/>
        </w:rPr>
        <w:t xml:space="preserve"> </w:t>
      </w:r>
      <w:r w:rsidRPr="004C425A">
        <w:rPr>
          <w:rFonts w:eastAsia="Arial"/>
          <w:color w:val="000000" w:themeColor="text1"/>
        </w:rPr>
        <w:t>protokol</w:t>
      </w:r>
      <w:r w:rsidR="009D7096" w:rsidRPr="004C425A">
        <w:rPr>
          <w:rFonts w:eastAsia="Arial"/>
          <w:color w:val="000000" w:themeColor="text1"/>
        </w:rPr>
        <w:t>u</w:t>
      </w:r>
      <w:r w:rsidR="009A6623">
        <w:rPr>
          <w:rFonts w:eastAsia="Arial"/>
          <w:color w:val="000000" w:themeColor="text1"/>
        </w:rPr>
        <w:t>,</w:t>
      </w:r>
      <w:r w:rsidRPr="004C425A">
        <w:rPr>
          <w:rFonts w:eastAsia="Arial"/>
          <w:color w:val="000000" w:themeColor="text1"/>
        </w:rPr>
        <w:t xml:space="preserve"> </w:t>
      </w:r>
      <w:r w:rsidR="009D7096" w:rsidRPr="004C425A">
        <w:rPr>
          <w:rFonts w:eastAsia="Arial"/>
          <w:color w:val="000000" w:themeColor="text1"/>
        </w:rPr>
        <w:t xml:space="preserve">išanalizavus </w:t>
      </w:r>
      <w:r w:rsidRPr="004C425A">
        <w:rPr>
          <w:rFonts w:eastAsia="Arial"/>
          <w:color w:val="000000" w:themeColor="text1"/>
        </w:rPr>
        <w:t>Lietuvo</w:t>
      </w:r>
      <w:r w:rsidR="009D7096" w:rsidRPr="004C425A">
        <w:rPr>
          <w:rFonts w:eastAsia="Arial"/>
          <w:color w:val="000000" w:themeColor="text1"/>
        </w:rPr>
        <w:t>s</w:t>
      </w:r>
      <w:r w:rsidRPr="004C425A">
        <w:rPr>
          <w:rFonts w:eastAsia="Arial"/>
          <w:color w:val="000000" w:themeColor="text1"/>
        </w:rPr>
        <w:t xml:space="preserve"> trijų didžiųjų patologijos laboratorijų (Valstybinio patologijos centro, Lietuvos sveikatos mokslų universiteto ligoninės Kauno klinikų ir Klaipėdos universiteto ligoninės) </w:t>
      </w:r>
      <w:r w:rsidR="00A628CE" w:rsidRPr="004C425A">
        <w:rPr>
          <w:rFonts w:eastAsia="Arial"/>
          <w:color w:val="000000" w:themeColor="text1"/>
        </w:rPr>
        <w:t xml:space="preserve">krūties </w:t>
      </w:r>
      <w:r w:rsidRPr="004C425A">
        <w:rPr>
          <w:rFonts w:eastAsia="Arial"/>
          <w:color w:val="000000" w:themeColor="text1"/>
        </w:rPr>
        <w:t xml:space="preserve">vėžio atvejų analizės </w:t>
      </w:r>
      <w:r w:rsidR="009D7096" w:rsidRPr="004C425A">
        <w:rPr>
          <w:rFonts w:eastAsia="Arial"/>
          <w:color w:val="000000" w:themeColor="text1"/>
        </w:rPr>
        <w:t xml:space="preserve">2022 m. </w:t>
      </w:r>
      <w:r w:rsidRPr="004C425A">
        <w:rPr>
          <w:rFonts w:eastAsia="Arial"/>
          <w:color w:val="000000" w:themeColor="text1"/>
        </w:rPr>
        <w:t xml:space="preserve">duomenis </w:t>
      </w:r>
      <w:r w:rsidR="009D7096" w:rsidRPr="004C425A">
        <w:rPr>
          <w:rFonts w:eastAsia="Arial"/>
          <w:color w:val="000000" w:themeColor="text1"/>
        </w:rPr>
        <w:t xml:space="preserve">nustatyta, </w:t>
      </w:r>
      <w:r w:rsidRPr="004C425A">
        <w:rPr>
          <w:rFonts w:eastAsia="Arial"/>
          <w:color w:val="000000" w:themeColor="text1"/>
        </w:rPr>
        <w:t xml:space="preserve">kad 35 procentai pacientų </w:t>
      </w:r>
      <w:r w:rsidR="009D7096" w:rsidRPr="004C425A">
        <w:rPr>
          <w:rFonts w:eastAsia="Arial"/>
          <w:color w:val="000000" w:themeColor="text1"/>
        </w:rPr>
        <w:t xml:space="preserve">iš </w:t>
      </w:r>
      <w:r w:rsidRPr="004C425A">
        <w:rPr>
          <w:rFonts w:eastAsia="Arial"/>
          <w:color w:val="000000" w:themeColor="text1"/>
        </w:rPr>
        <w:t xml:space="preserve">visų žinomos HER2 raiškos atvejų </w:t>
      </w:r>
      <w:r w:rsidR="009A6623">
        <w:rPr>
          <w:rFonts w:eastAsia="Arial"/>
          <w:color w:val="000000" w:themeColor="text1"/>
        </w:rPr>
        <w:t>yra</w:t>
      </w:r>
      <w:r w:rsidRPr="004C425A">
        <w:rPr>
          <w:rFonts w:eastAsia="Arial"/>
          <w:color w:val="000000" w:themeColor="text1"/>
        </w:rPr>
        <w:t xml:space="preserve"> pacientai su žema HER2 raiška (IHC</w:t>
      </w:r>
      <w:r w:rsidR="009D7096" w:rsidRPr="004C425A">
        <w:rPr>
          <w:rFonts w:eastAsia="Arial"/>
          <w:color w:val="000000" w:themeColor="text1"/>
        </w:rPr>
        <w:t xml:space="preserve"> </w:t>
      </w:r>
      <w:r w:rsidRPr="004C425A">
        <w:rPr>
          <w:rFonts w:eastAsia="Arial"/>
          <w:color w:val="000000" w:themeColor="text1"/>
        </w:rPr>
        <w:t>0, 1+, 2+). Todėl tokių pacientų gydymas turi būti specifinis ir nukreiptas į mažą HER2 raišką.</w:t>
      </w:r>
    </w:p>
    <w:p w14:paraId="0221F3B8" w14:textId="610103B8" w:rsidR="00B0112C" w:rsidRDefault="00B0112C" w:rsidP="00B0112C">
      <w:pPr>
        <w:autoSpaceDE w:val="0"/>
        <w:autoSpaceDN w:val="0"/>
        <w:adjustRightInd w:val="0"/>
        <w:spacing w:line="276" w:lineRule="auto"/>
        <w:ind w:firstLine="720"/>
        <w:jc w:val="both"/>
        <w:rPr>
          <w:color w:val="000000" w:themeColor="text1"/>
          <w:lang w:eastAsia="lt-LT"/>
        </w:rPr>
      </w:pPr>
      <w:r>
        <w:rPr>
          <w:rFonts w:eastAsia="Arial"/>
          <w:color w:val="000000" w:themeColor="text1"/>
        </w:rPr>
        <w:t>V</w:t>
      </w:r>
      <w:r w:rsidRPr="00D6167A">
        <w:rPr>
          <w:rFonts w:eastAsia="Arial"/>
          <w:color w:val="000000" w:themeColor="text1"/>
        </w:rPr>
        <w:t xml:space="preserve">adovaujantis Lietuvos Respublikos sveikatos apsaugos ministro 2002 m. balandžio 5 d. įsakymu Nr. V-159 „Dėl vaistinių preparatų ir medicinos pagalbos priemonių įrašymo į kompensavimo sąrašus ir jų keitimo </w:t>
      </w:r>
      <w:r>
        <w:rPr>
          <w:rFonts w:eastAsia="Arial"/>
          <w:color w:val="000000" w:themeColor="text1"/>
        </w:rPr>
        <w:t>tvarkos aprašo patvirtinimo“ 116-119 punktais</w:t>
      </w:r>
      <w:r w:rsidRPr="00D6167A">
        <w:rPr>
          <w:rFonts w:eastAsia="Arial"/>
          <w:color w:val="000000" w:themeColor="text1"/>
        </w:rPr>
        <w:t xml:space="preserve">, nustatyta, kad </w:t>
      </w:r>
      <w:r w:rsidR="009D7096" w:rsidRPr="004C425A">
        <w:rPr>
          <w:rFonts w:eastAsia="Arial"/>
          <w:color w:val="000000" w:themeColor="text1"/>
        </w:rPr>
        <w:t xml:space="preserve">atsižvelgiant į įprastinę Lietuvos klinikinę praktiką </w:t>
      </w:r>
      <w:r w:rsidRPr="004C425A">
        <w:rPr>
          <w:rFonts w:eastAsia="Arial"/>
          <w:color w:val="000000" w:themeColor="text1"/>
        </w:rPr>
        <w:t>tinkamas palyginamasis gydymas yra kapecitabinas arba paklitakselis,. Pažymėtina, kad eribulinas Lietuvoje skiriamas vėlesnėje gydymo eilėje, kai gydymas kapecitabinu arba paklitakseliu yra ne</w:t>
      </w:r>
      <w:r w:rsidR="009D7096" w:rsidRPr="004C425A">
        <w:rPr>
          <w:rFonts w:eastAsia="Arial"/>
          <w:color w:val="000000" w:themeColor="text1"/>
        </w:rPr>
        <w:t>veiksmingas</w:t>
      </w:r>
      <w:r w:rsidRPr="004C425A">
        <w:rPr>
          <w:rFonts w:eastAsia="Arial"/>
          <w:color w:val="000000" w:themeColor="text1"/>
        </w:rPr>
        <w:t xml:space="preserve">. </w:t>
      </w:r>
    </w:p>
    <w:p w14:paraId="6B8F8E11" w14:textId="37D43071" w:rsidR="00B0112C" w:rsidRDefault="001C3320" w:rsidP="00B0112C">
      <w:pPr>
        <w:tabs>
          <w:tab w:val="left" w:pos="492"/>
        </w:tabs>
        <w:spacing w:line="276" w:lineRule="auto"/>
        <w:jc w:val="both"/>
        <w:outlineLvl w:val="1"/>
        <w:rPr>
          <w:rFonts w:eastAsia="Arial"/>
        </w:rPr>
      </w:pPr>
      <w:r>
        <w:rPr>
          <w:rFonts w:eastAsia="Arial"/>
        </w:rPr>
        <w:tab/>
      </w:r>
      <w:r w:rsidR="00B0112C" w:rsidRPr="00C77D96">
        <w:rPr>
          <w:rFonts w:eastAsia="Arial"/>
        </w:rPr>
        <w:t xml:space="preserve">Klinikinis veiksmingumas grindžiamas </w:t>
      </w:r>
      <w:r w:rsidR="00B0112C">
        <w:rPr>
          <w:rFonts w:eastAsia="Arial"/>
        </w:rPr>
        <w:t>3 fazės atsitiktinių imčių klinikiniu tyrimu DESTYNI-Breast 04. Tai yra daugiacentris, atvir</w:t>
      </w:r>
      <w:r w:rsidR="009D7096">
        <w:rPr>
          <w:rFonts w:eastAsia="Arial"/>
        </w:rPr>
        <w:t>asis</w:t>
      </w:r>
      <w:r w:rsidR="00B0112C">
        <w:rPr>
          <w:rFonts w:eastAsia="Arial"/>
        </w:rPr>
        <w:t>, aktyviai kontroliuojamas klinikinis tyrimas. Tyrimo populiacij</w:t>
      </w:r>
      <w:r w:rsidR="00896888">
        <w:rPr>
          <w:rFonts w:eastAsia="Arial"/>
        </w:rPr>
        <w:t>ą</w:t>
      </w:r>
      <w:r w:rsidR="00B0112C">
        <w:rPr>
          <w:rFonts w:eastAsia="Arial"/>
        </w:rPr>
        <w:t xml:space="preserve"> sudarė pacientai, kuriems buvo nustatytas mažos HER2 raiškos metastazavęs krūties vėžys ir kuriems jau buvo taikoma pirmos arba antros eilės chemoterapija. </w:t>
      </w:r>
      <w:r w:rsidR="00B0112C" w:rsidRPr="00B35090">
        <w:rPr>
          <w:rFonts w:eastAsia="Arial"/>
        </w:rPr>
        <w:t xml:space="preserve">Maža HER2+ raiška apibūdinta kaip +1 balas pagal imunohistochemininę (IHC) analizę arba +2 balai pagal IHC analizę bei neigiami rezultatai pagal </w:t>
      </w:r>
      <w:r w:rsidR="00B0112C" w:rsidRPr="00B35090">
        <w:rPr>
          <w:rFonts w:eastAsia="Arial"/>
          <w:i/>
        </w:rPr>
        <w:t>in situ</w:t>
      </w:r>
      <w:r w:rsidR="00B0112C" w:rsidRPr="00B35090">
        <w:rPr>
          <w:rFonts w:eastAsia="Arial"/>
        </w:rPr>
        <w:t xml:space="preserve"> hibridizaciją.</w:t>
      </w:r>
      <w:r w:rsidR="00B0112C" w:rsidRPr="00AA5104">
        <w:rPr>
          <w:rFonts w:eastAsia="Arial"/>
          <w:b/>
        </w:rPr>
        <w:t xml:space="preserve"> </w:t>
      </w:r>
      <w:r w:rsidR="00B0112C">
        <w:rPr>
          <w:rFonts w:eastAsia="Arial"/>
        </w:rPr>
        <w:t>Įvertinus įtraukimo ir atmetimo kriterijus nustatyta, kad klinikinio tyrimo DESTINY-Breast</w:t>
      </w:r>
      <w:r w:rsidR="007B08AD">
        <w:rPr>
          <w:rFonts w:eastAsia="Arial"/>
        </w:rPr>
        <w:t xml:space="preserve"> </w:t>
      </w:r>
      <w:r w:rsidR="00B0112C">
        <w:rPr>
          <w:rFonts w:eastAsia="Arial"/>
        </w:rPr>
        <w:t xml:space="preserve">04 </w:t>
      </w:r>
      <w:r w:rsidR="00B0112C" w:rsidRPr="00722804">
        <w:rPr>
          <w:rFonts w:eastAsia="Arial"/>
        </w:rPr>
        <w:t xml:space="preserve">populiacija atitinka vertinamą </w:t>
      </w:r>
      <w:r w:rsidR="00B0112C">
        <w:rPr>
          <w:rFonts w:eastAsia="Arial"/>
        </w:rPr>
        <w:t xml:space="preserve">indikaciją. </w:t>
      </w:r>
    </w:p>
    <w:p w14:paraId="7D4A132B" w14:textId="40E4C49A" w:rsidR="00B0112C" w:rsidRDefault="00B0112C" w:rsidP="00B0112C">
      <w:pPr>
        <w:tabs>
          <w:tab w:val="left" w:pos="492"/>
        </w:tabs>
        <w:spacing w:line="276" w:lineRule="auto"/>
        <w:jc w:val="both"/>
        <w:outlineLvl w:val="1"/>
        <w:rPr>
          <w:rFonts w:eastAsia="Arial"/>
        </w:rPr>
      </w:pPr>
      <w:r>
        <w:rPr>
          <w:rFonts w:eastAsia="Arial"/>
        </w:rPr>
        <w:tab/>
        <w:t>Pirminė</w:t>
      </w:r>
      <w:r w:rsidR="001C3320">
        <w:rPr>
          <w:rFonts w:eastAsia="Arial"/>
        </w:rPr>
        <w:t>je</w:t>
      </w:r>
      <w:r>
        <w:rPr>
          <w:rFonts w:eastAsia="Arial"/>
        </w:rPr>
        <w:t xml:space="preserve"> tarpinė</w:t>
      </w:r>
      <w:r w:rsidR="001C3320">
        <w:rPr>
          <w:rFonts w:eastAsia="Arial"/>
        </w:rPr>
        <w:t>je</w:t>
      </w:r>
      <w:r>
        <w:rPr>
          <w:rFonts w:eastAsia="Arial"/>
        </w:rPr>
        <w:t xml:space="preserve"> analizė</w:t>
      </w:r>
      <w:r w:rsidR="001C3320">
        <w:rPr>
          <w:rFonts w:eastAsia="Arial"/>
        </w:rPr>
        <w:t>je</w:t>
      </w:r>
      <w:r>
        <w:rPr>
          <w:rFonts w:eastAsia="Arial"/>
        </w:rPr>
        <w:t xml:space="preserve"> numat</w:t>
      </w:r>
      <w:r w:rsidR="001C3320">
        <w:rPr>
          <w:rFonts w:eastAsia="Arial"/>
        </w:rPr>
        <w:t>ytas</w:t>
      </w:r>
      <w:r>
        <w:rPr>
          <w:rFonts w:eastAsia="Arial"/>
        </w:rPr>
        <w:t xml:space="preserve"> palyginim</w:t>
      </w:r>
      <w:r w:rsidR="001C3320">
        <w:rPr>
          <w:rFonts w:eastAsia="Arial"/>
        </w:rPr>
        <w:t>as</w:t>
      </w:r>
      <w:r>
        <w:rPr>
          <w:rFonts w:eastAsia="Arial"/>
        </w:rPr>
        <w:t xml:space="preserve"> tarp dvejų grupių pagal išgyvenamumo be ligos progresavimo tikimybę, vertinimas buvo atliktas naudojant stratifikuotą </w:t>
      </w:r>
      <w:r w:rsidRPr="00042DEC">
        <w:rPr>
          <w:rFonts w:eastAsia="Arial"/>
          <w:i/>
        </w:rPr>
        <w:t>long-ran</w:t>
      </w:r>
      <w:r>
        <w:rPr>
          <w:rFonts w:eastAsia="Arial"/>
        </w:rPr>
        <w:t>k testą (</w:t>
      </w:r>
      <w:r w:rsidRPr="00607CAD">
        <w:rPr>
          <w:rFonts w:eastAsia="Arial"/>
        </w:rPr>
        <w:t>dvipusis reikšmingumo lygis 0,05</w:t>
      </w:r>
      <w:r>
        <w:rPr>
          <w:rFonts w:eastAsia="Arial"/>
        </w:rPr>
        <w:t>). Galutinė analizė buvo suplanuota pasiekus 318 įvykių bendroje tyrimo populiacijoje, numatytas rizikos santykis – 0,68 (p</w:t>
      </w:r>
      <w:r>
        <w:rPr>
          <w:rFonts w:eastAsia="Arial"/>
          <w:lang w:val="en-GB"/>
        </w:rPr>
        <w:t>=</w:t>
      </w:r>
      <w:r>
        <w:rPr>
          <w:rFonts w:eastAsia="Arial"/>
        </w:rPr>
        <w:t xml:space="preserve">0,05). </w:t>
      </w:r>
      <w:r>
        <w:t>Remiantis statistiniu planu, bendro i</w:t>
      </w:r>
      <w:r>
        <w:rPr>
          <w:rFonts w:eastAsia="Arial"/>
        </w:rPr>
        <w:t>šgyvenamumo pirminė tarpinė analizė turėjo būti atlikta užfiksavus 162 BI įvyki</w:t>
      </w:r>
      <w:r w:rsidR="001C3320">
        <w:rPr>
          <w:rFonts w:eastAsia="Arial"/>
        </w:rPr>
        <w:t>us</w:t>
      </w:r>
      <w:r>
        <w:rPr>
          <w:rFonts w:eastAsia="Arial"/>
        </w:rPr>
        <w:t xml:space="preserve"> HR+ pacientų populiacijoje (duomenų brandumas – 49 proc.) antra tarpinė BI analizė turėtų būti atlikta pasiekus 70 proc. duomenų brandumo (t.y. 230 BI įvykių) HR+ pacientų populiacijoje.</w:t>
      </w:r>
    </w:p>
    <w:p w14:paraId="1DCE463E" w14:textId="0EEDBFC9" w:rsidR="00B0112C" w:rsidRPr="00F21B3C" w:rsidRDefault="00B0112C" w:rsidP="00B0112C">
      <w:pPr>
        <w:spacing w:line="276" w:lineRule="auto"/>
        <w:ind w:firstLine="720"/>
        <w:jc w:val="both"/>
        <w:outlineLvl w:val="1"/>
        <w:rPr>
          <w:rFonts w:eastAsia="Arial"/>
        </w:rPr>
      </w:pPr>
      <w:r>
        <w:rPr>
          <w:rFonts w:eastAsia="Arial"/>
        </w:rPr>
        <w:t xml:space="preserve">Šiame tyrime dalyvavo pacientai, kuriems buvo nustatytas nerezekuotinas ir/arba metastazavęs mažos HER2 raiškos krūties vėžys. Chemoterapijos tipas buvo </w:t>
      </w:r>
      <w:r w:rsidR="001C3320">
        <w:rPr>
          <w:rFonts w:eastAsia="Arial"/>
        </w:rPr>
        <w:t xml:space="preserve">parinktas </w:t>
      </w:r>
      <w:r>
        <w:rPr>
          <w:rFonts w:eastAsia="Arial"/>
        </w:rPr>
        <w:t>tyrėjo: eribulinas (51,1 proc.), kapecitabinas (20,1 proc.), nab-paklitakselis (10,3 proc.), gemcitabinas (10,3 proc.) arba paklitakselis (8,2 proc.). Iš viso atsitiktin</w:t>
      </w:r>
      <w:r w:rsidR="00CF6095">
        <w:rPr>
          <w:rFonts w:eastAsia="Arial"/>
        </w:rPr>
        <w:t>ės</w:t>
      </w:r>
      <w:r>
        <w:rPr>
          <w:rFonts w:eastAsia="Arial"/>
        </w:rPr>
        <w:t xml:space="preserve"> im</w:t>
      </w:r>
      <w:r w:rsidR="00CF6095">
        <w:rPr>
          <w:rFonts w:eastAsia="Arial"/>
        </w:rPr>
        <w:t>ties</w:t>
      </w:r>
      <w:r>
        <w:rPr>
          <w:rFonts w:eastAsia="Arial"/>
        </w:rPr>
        <w:t xml:space="preserve"> būdu į tyrimą</w:t>
      </w:r>
      <w:r w:rsidR="00CF6095">
        <w:rPr>
          <w:rFonts w:eastAsia="Arial"/>
        </w:rPr>
        <w:t xml:space="preserve"> buvo suplanuota įtraukti 540 pacientų</w:t>
      </w:r>
      <w:r>
        <w:rPr>
          <w:rFonts w:eastAsia="Arial"/>
        </w:rPr>
        <w:t xml:space="preserve">: 360 pacientų pateko į </w:t>
      </w:r>
      <w:r w:rsidR="001C3320">
        <w:rPr>
          <w:rFonts w:eastAsia="Arial"/>
        </w:rPr>
        <w:t xml:space="preserve">gydymo </w:t>
      </w:r>
      <w:r w:rsidR="001C3320" w:rsidRPr="00254CE7">
        <w:rPr>
          <w:rFonts w:eastAsia="Arial"/>
          <w:color w:val="000000"/>
        </w:rPr>
        <w:t>t</w:t>
      </w:r>
      <w:r w:rsidR="001C3320" w:rsidRPr="00254CE7">
        <w:rPr>
          <w:rFonts w:eastAsia="Arial"/>
        </w:rPr>
        <w:t>rastuzumabu derukstekanu</w:t>
      </w:r>
      <w:r w:rsidR="001C3320">
        <w:rPr>
          <w:rFonts w:eastAsia="Arial"/>
        </w:rPr>
        <w:t xml:space="preserve"> grupę (</w:t>
      </w:r>
      <w:r>
        <w:rPr>
          <w:rFonts w:eastAsia="Arial"/>
        </w:rPr>
        <w:t>T-DXd</w:t>
      </w:r>
      <w:r w:rsidR="002F3748">
        <w:rPr>
          <w:rFonts w:eastAsia="Arial"/>
        </w:rPr>
        <w:t>)</w:t>
      </w:r>
      <w:r>
        <w:rPr>
          <w:rFonts w:eastAsia="Arial"/>
        </w:rPr>
        <w:t xml:space="preserve"> ir 180 pacientų – į chemoterapijos grupę. Iš anksto numatytos grupės buvo: </w:t>
      </w:r>
      <w:r w:rsidRPr="00C86FD0">
        <w:rPr>
          <w:rFonts w:eastAsia="Arial"/>
        </w:rPr>
        <w:t xml:space="preserve">ICH 1+ </w:t>
      </w:r>
      <w:r w:rsidRPr="00C86FD0">
        <w:rPr>
          <w:rFonts w:eastAsia="Arial"/>
          <w:i/>
        </w:rPr>
        <w:t>vs.</w:t>
      </w:r>
      <w:r w:rsidRPr="00C86FD0">
        <w:rPr>
          <w:rFonts w:eastAsia="Arial"/>
        </w:rPr>
        <w:t xml:space="preserve"> ICH 2+/ISH-</w:t>
      </w:r>
      <w:r w:rsidR="007B08AD">
        <w:rPr>
          <w:rFonts w:eastAsia="Arial"/>
        </w:rPr>
        <w:t xml:space="preserve"> (centralizuota laborat</w:t>
      </w:r>
      <w:r>
        <w:rPr>
          <w:rFonts w:eastAsia="Arial"/>
        </w:rPr>
        <w:t xml:space="preserve">orija); pagal prieš tai taikomų terapijų skaičių: 1 </w:t>
      </w:r>
      <w:r w:rsidRPr="00C86FD0">
        <w:rPr>
          <w:rFonts w:eastAsia="Arial"/>
          <w:i/>
        </w:rPr>
        <w:t>vs.</w:t>
      </w:r>
      <w:r>
        <w:rPr>
          <w:rFonts w:eastAsia="Arial"/>
        </w:rPr>
        <w:t xml:space="preserve"> 2; p</w:t>
      </w:r>
      <w:r w:rsidRPr="00F21B3C">
        <w:rPr>
          <w:rFonts w:eastAsia="Arial"/>
        </w:rPr>
        <w:t>agal HR</w:t>
      </w:r>
      <w:r w:rsidR="002F3748">
        <w:rPr>
          <w:rFonts w:eastAsia="Arial"/>
        </w:rPr>
        <w:t xml:space="preserve"> buvimą ir </w:t>
      </w:r>
      <w:r w:rsidR="002F3748">
        <w:rPr>
          <w:rFonts w:eastAsia="Arial"/>
        </w:rPr>
        <w:lastRenderedPageBreak/>
        <w:t xml:space="preserve">gydymo </w:t>
      </w:r>
      <w:r w:rsidR="002F3748" w:rsidRPr="00F21B3C">
        <w:rPr>
          <w:rFonts w:eastAsia="Arial"/>
        </w:rPr>
        <w:t>CDK4/6 inhibitoriais</w:t>
      </w:r>
      <w:r w:rsidR="002F3748">
        <w:rPr>
          <w:rFonts w:eastAsia="Arial"/>
        </w:rPr>
        <w:t xml:space="preserve"> faktą</w:t>
      </w:r>
      <w:r w:rsidRPr="00F21B3C">
        <w:rPr>
          <w:rFonts w:eastAsia="Arial"/>
        </w:rPr>
        <w:t xml:space="preserve">: HR+/anksčiau buvo gydomi CDK4/6 inhibitoriais </w:t>
      </w:r>
      <w:r w:rsidRPr="00F21B3C">
        <w:rPr>
          <w:rFonts w:eastAsia="Arial"/>
          <w:i/>
        </w:rPr>
        <w:t>vs.</w:t>
      </w:r>
      <w:r w:rsidRPr="00F21B3C">
        <w:rPr>
          <w:rFonts w:eastAsia="Arial"/>
        </w:rPr>
        <w:t xml:space="preserve"> HR-/</w:t>
      </w:r>
      <w:r>
        <w:rPr>
          <w:rFonts w:eastAsia="Arial"/>
        </w:rPr>
        <w:t>nebuvo gydymo CDK 4/6 inhibitoriais.</w:t>
      </w:r>
    </w:p>
    <w:p w14:paraId="0D69887A" w14:textId="77777777" w:rsidR="00B0112C" w:rsidRDefault="00B0112C" w:rsidP="00B0112C">
      <w:pPr>
        <w:tabs>
          <w:tab w:val="left" w:pos="492"/>
        </w:tabs>
        <w:spacing w:line="276" w:lineRule="auto"/>
        <w:jc w:val="both"/>
        <w:outlineLvl w:val="1"/>
        <w:rPr>
          <w:rFonts w:eastAsia="Arial"/>
        </w:rPr>
      </w:pPr>
      <w:r>
        <w:rPr>
          <w:rFonts w:eastAsia="Arial"/>
        </w:rPr>
        <w:tab/>
      </w:r>
      <w:r w:rsidRPr="004D7C4D">
        <w:rPr>
          <w:rFonts w:eastAsia="Arial"/>
          <w:u w:val="single"/>
        </w:rPr>
        <w:t>Pirminė vertinamoji baigtis</w:t>
      </w:r>
      <w:r w:rsidRPr="004D7C4D">
        <w:rPr>
          <w:rFonts w:eastAsia="Arial"/>
        </w:rPr>
        <w:t xml:space="preserve"> – </w:t>
      </w:r>
      <w:r w:rsidRPr="00B35090">
        <w:rPr>
          <w:rFonts w:eastAsia="Arial"/>
        </w:rPr>
        <w:t>išgyvenamumas be ligos progresavimo įvertintas</w:t>
      </w:r>
      <w:r w:rsidRPr="002F3748">
        <w:rPr>
          <w:rFonts w:eastAsia="Arial"/>
        </w:rPr>
        <w:t xml:space="preserve"> (IBLP) nepriklausomo peržiūros komiteto (NPK) </w:t>
      </w:r>
      <w:r w:rsidRPr="00B35090">
        <w:rPr>
          <w:rFonts w:eastAsia="Arial"/>
        </w:rPr>
        <w:t>HR+ pacientų populiacijoje</w:t>
      </w:r>
      <w:r>
        <w:rPr>
          <w:rFonts w:eastAsia="Arial"/>
        </w:rPr>
        <w:t xml:space="preserve">. </w:t>
      </w:r>
      <w:r>
        <w:rPr>
          <w:rFonts w:eastAsia="Arial"/>
          <w:color w:val="000000" w:themeColor="text1"/>
        </w:rPr>
        <w:t>Pirminė tarpinė analizė buvo atlikta 2022 m.</w:t>
      </w:r>
      <w:r w:rsidRPr="00920513">
        <w:rPr>
          <w:rFonts w:eastAsia="Arial"/>
          <w:color w:val="000000" w:themeColor="text1"/>
        </w:rPr>
        <w:t xml:space="preserve"> </w:t>
      </w:r>
      <w:r>
        <w:rPr>
          <w:rFonts w:eastAsia="Arial"/>
          <w:color w:val="000000" w:themeColor="text1"/>
        </w:rPr>
        <w:t>sausio mėnesį. IBLP mediana T-DXd grupėje buvo 10,1 mėn. (95 proc. PI: 9,5-11,5) bei chemoterapijos grupėje – 5,4 mėn. (95 proc. PI: 4,4-7,1). Rizikos santykis buvo 0,51 (95 proc. PI: 0,40-0,64; P&lt;0,001).</w:t>
      </w:r>
    </w:p>
    <w:p w14:paraId="24A55C88" w14:textId="0F80A070" w:rsidR="00B0112C" w:rsidRDefault="00B0112C" w:rsidP="00B0112C">
      <w:pPr>
        <w:tabs>
          <w:tab w:val="left" w:pos="492"/>
        </w:tabs>
        <w:spacing w:line="276" w:lineRule="auto"/>
        <w:jc w:val="both"/>
        <w:outlineLvl w:val="1"/>
        <w:rPr>
          <w:rFonts w:eastAsia="Arial"/>
          <w:color w:val="000000" w:themeColor="text1"/>
        </w:rPr>
      </w:pPr>
      <w:r>
        <w:rPr>
          <w:rFonts w:eastAsia="Arial"/>
        </w:rPr>
        <w:tab/>
      </w:r>
      <w:r>
        <w:rPr>
          <w:rFonts w:eastAsia="Arial"/>
          <w:color w:val="000000" w:themeColor="text1"/>
        </w:rPr>
        <w:t xml:space="preserve">Pirminės baigties vertinimo rezultatai iš anksto numatytuose pogrupiuose taip pat parodė geresnį IBLP T-DXd </w:t>
      </w:r>
      <w:r w:rsidR="002F3748">
        <w:rPr>
          <w:rFonts w:eastAsia="Arial"/>
          <w:color w:val="000000" w:themeColor="text1"/>
        </w:rPr>
        <w:t xml:space="preserve">grupėje </w:t>
      </w:r>
      <w:r>
        <w:rPr>
          <w:rFonts w:eastAsia="Arial"/>
          <w:color w:val="000000" w:themeColor="text1"/>
        </w:rPr>
        <w:t>palyginus su chemoterapijos grup</w:t>
      </w:r>
      <w:r w:rsidR="002F3748">
        <w:rPr>
          <w:rFonts w:eastAsia="Arial"/>
          <w:color w:val="000000" w:themeColor="text1"/>
        </w:rPr>
        <w:t>e</w:t>
      </w:r>
      <w:r>
        <w:rPr>
          <w:rFonts w:eastAsia="Arial"/>
          <w:color w:val="000000" w:themeColor="text1"/>
        </w:rPr>
        <w:t xml:space="preserve">. Pažymėtina, kad pacientų, kuriems nebuvo anksčiau taikyta CDK 4/6 inhibitorių terapija, IBLP mediana buvo 11,7 mėn. (95 proc. PI: 9,5-17,7), tai yra 1,5 mėn. </w:t>
      </w:r>
      <w:r w:rsidR="002F3748">
        <w:rPr>
          <w:rFonts w:eastAsia="Arial"/>
          <w:color w:val="000000" w:themeColor="text1"/>
        </w:rPr>
        <w:t>didesnė</w:t>
      </w:r>
      <w:r>
        <w:rPr>
          <w:rFonts w:eastAsia="Arial"/>
          <w:color w:val="000000" w:themeColor="text1"/>
        </w:rPr>
        <w:t xml:space="preserve"> nei pacientų gydytų CDK 4/6 </w:t>
      </w:r>
      <w:r w:rsidR="002F3748">
        <w:rPr>
          <w:rFonts w:eastAsia="Arial"/>
          <w:color w:val="000000" w:themeColor="text1"/>
        </w:rPr>
        <w:t xml:space="preserve">inhibitoriais </w:t>
      </w:r>
      <w:r>
        <w:rPr>
          <w:rFonts w:eastAsia="Arial"/>
          <w:color w:val="000000" w:themeColor="text1"/>
        </w:rPr>
        <w:t>– 10,0 mėn. (95 proc. PI: 8,3-11,4).</w:t>
      </w:r>
    </w:p>
    <w:p w14:paraId="76DB8753" w14:textId="535F3F15" w:rsidR="00B0112C" w:rsidRDefault="00B0112C" w:rsidP="00B0112C">
      <w:pPr>
        <w:tabs>
          <w:tab w:val="left" w:pos="492"/>
        </w:tabs>
        <w:spacing w:line="276" w:lineRule="auto"/>
        <w:jc w:val="both"/>
        <w:outlineLvl w:val="1"/>
        <w:rPr>
          <w:rFonts w:eastAsia="Arial"/>
        </w:rPr>
      </w:pPr>
      <w:r w:rsidRPr="004D7C4D">
        <w:rPr>
          <w:rFonts w:eastAsia="Arial"/>
          <w:u w:val="single"/>
        </w:rPr>
        <w:t>Antrin</w:t>
      </w:r>
      <w:r w:rsidR="002F3748">
        <w:rPr>
          <w:rFonts w:eastAsia="Arial"/>
          <w:u w:val="single"/>
        </w:rPr>
        <w:t>ė</w:t>
      </w:r>
      <w:r w:rsidRPr="004D7C4D">
        <w:rPr>
          <w:rFonts w:eastAsia="Arial"/>
          <w:u w:val="single"/>
        </w:rPr>
        <w:t>s vertinamosios baigtys</w:t>
      </w:r>
      <w:r w:rsidRPr="004D7C4D">
        <w:rPr>
          <w:rFonts w:eastAsia="Arial"/>
        </w:rPr>
        <w:t>.</w:t>
      </w:r>
      <w:r>
        <w:rPr>
          <w:rFonts w:eastAsia="Arial"/>
          <w:b/>
        </w:rPr>
        <w:t xml:space="preserve"> </w:t>
      </w:r>
      <w:r>
        <w:rPr>
          <w:rFonts w:eastAsia="Arial"/>
          <w:color w:val="000000" w:themeColor="text1"/>
        </w:rPr>
        <w:t xml:space="preserve">Vertinant IBLP </w:t>
      </w:r>
      <w:r w:rsidRPr="00B35090">
        <w:rPr>
          <w:rFonts w:eastAsia="Arial"/>
          <w:color w:val="000000" w:themeColor="text1"/>
        </w:rPr>
        <w:t>ITT populiacijoje rezultatai palyginamose grup</w:t>
      </w:r>
      <w:r w:rsidR="00AA5104" w:rsidRPr="00B35090">
        <w:rPr>
          <w:rFonts w:eastAsia="Arial"/>
          <w:color w:val="000000" w:themeColor="text1"/>
        </w:rPr>
        <w:t>ė</w:t>
      </w:r>
      <w:r w:rsidRPr="00B35090">
        <w:rPr>
          <w:rFonts w:eastAsia="Arial"/>
          <w:color w:val="000000" w:themeColor="text1"/>
        </w:rPr>
        <w:t>se buvo panaš</w:t>
      </w:r>
      <w:r w:rsidR="002F3748">
        <w:rPr>
          <w:rFonts w:eastAsia="Arial"/>
          <w:color w:val="000000" w:themeColor="text1"/>
        </w:rPr>
        <w:t>ū</w:t>
      </w:r>
      <w:r w:rsidRPr="00B35090">
        <w:rPr>
          <w:rFonts w:eastAsia="Arial"/>
          <w:color w:val="000000" w:themeColor="text1"/>
        </w:rPr>
        <w:t>s</w:t>
      </w:r>
      <w:r>
        <w:rPr>
          <w:rFonts w:eastAsia="Arial"/>
          <w:color w:val="000000" w:themeColor="text1"/>
        </w:rPr>
        <w:t>: IBLP mediana T-</w:t>
      </w:r>
      <w:r w:rsidR="0088556C">
        <w:rPr>
          <w:rFonts w:eastAsia="Arial"/>
          <w:color w:val="000000" w:themeColor="text1"/>
        </w:rPr>
        <w:t>D</w:t>
      </w:r>
      <w:r>
        <w:rPr>
          <w:rFonts w:eastAsia="Arial"/>
          <w:color w:val="000000" w:themeColor="text1"/>
        </w:rPr>
        <w:t>Xd grupėje buvo 9,9 mėn. (95 proc. PI: 9,0-11,3) ir 5,1 mėn. (95 proc. PI: 4,2-6,8)</w:t>
      </w:r>
      <w:r w:rsidR="002F3748">
        <w:rPr>
          <w:rFonts w:eastAsia="Arial"/>
          <w:color w:val="000000" w:themeColor="text1"/>
        </w:rPr>
        <w:t xml:space="preserve"> chemoterapijos grupėje</w:t>
      </w:r>
      <w:r>
        <w:rPr>
          <w:rFonts w:eastAsia="Arial"/>
          <w:color w:val="000000" w:themeColor="text1"/>
        </w:rPr>
        <w:t>. Rizikos santykis buvo 0,50- (95 proc. PI: 0,40-0,63; P</w:t>
      </w:r>
      <w:r>
        <w:rPr>
          <w:rFonts w:eastAsia="Arial"/>
          <w:color w:val="000000" w:themeColor="text1"/>
          <w:lang w:val="en-GB"/>
        </w:rPr>
        <w:t xml:space="preserve">&lt;0,001). </w:t>
      </w:r>
      <w:r w:rsidRPr="0090383B">
        <w:rPr>
          <w:rFonts w:eastAsia="Arial"/>
        </w:rPr>
        <w:t>Bendras išgyvenamumas (BI)</w:t>
      </w:r>
      <w:r w:rsidR="002F3748">
        <w:rPr>
          <w:rFonts w:eastAsia="Arial"/>
        </w:rPr>
        <w:t xml:space="preserve">, </w:t>
      </w:r>
      <w:r>
        <w:rPr>
          <w:rFonts w:eastAsia="Arial"/>
        </w:rPr>
        <w:t>laikas</w:t>
      </w:r>
      <w:r w:rsidRPr="00C20883">
        <w:rPr>
          <w:rFonts w:eastAsia="Arial"/>
        </w:rPr>
        <w:t xml:space="preserve"> nuo atsitiktinių imčių</w:t>
      </w:r>
      <w:r>
        <w:rPr>
          <w:rFonts w:eastAsia="Arial"/>
        </w:rPr>
        <w:t xml:space="preserve"> atrankos iki mirties dėl bet kokios priežasties HR+ pacientų populiacijoje ir bendroje populiacijoje </w:t>
      </w:r>
      <w:r w:rsidRPr="00B35090">
        <w:rPr>
          <w:rFonts w:eastAsia="Arial"/>
        </w:rPr>
        <w:t xml:space="preserve">HR+ pacientų populiacijoje buvo T-DXd naudai nepaisant duomenų nebrandumo. Bendras išgyvenamumas T-DXd grupėje buvo 6 mėnesiais ilgesnis nei chemoterapijos grupėje: 23,9 mėn. (95 proc. PI: 20,8-24,8) </w:t>
      </w:r>
      <w:r w:rsidR="002F3748">
        <w:rPr>
          <w:rFonts w:eastAsia="Arial"/>
        </w:rPr>
        <w:t>palyginus su</w:t>
      </w:r>
      <w:r w:rsidR="002F3748" w:rsidRPr="00B35090">
        <w:rPr>
          <w:rFonts w:eastAsia="Arial"/>
        </w:rPr>
        <w:t xml:space="preserve"> </w:t>
      </w:r>
      <w:r w:rsidRPr="00B35090">
        <w:rPr>
          <w:rFonts w:eastAsia="Arial"/>
        </w:rPr>
        <w:t xml:space="preserve">17,5 (95 proc. PI: 15,2-22,4). Mirties nuo bet kokios priežasties rizika T-DXd </w:t>
      </w:r>
      <w:r w:rsidR="002F3748">
        <w:rPr>
          <w:rFonts w:eastAsia="Arial"/>
        </w:rPr>
        <w:t xml:space="preserve">grupėje </w:t>
      </w:r>
      <w:r w:rsidRPr="00B35090">
        <w:rPr>
          <w:rFonts w:eastAsia="Arial"/>
        </w:rPr>
        <w:t>galimai sumažėjo 36 proc. palyginus su chemoterapijos grupe</w:t>
      </w:r>
      <w:r>
        <w:rPr>
          <w:rFonts w:eastAsia="Arial"/>
        </w:rPr>
        <w:t>: RS</w:t>
      </w:r>
      <w:r>
        <w:rPr>
          <w:rFonts w:eastAsia="Arial"/>
          <w:lang w:val="en-GB"/>
        </w:rPr>
        <w:t>=0,64 (95 proc. PI: 0,48-0,86; P=</w:t>
      </w:r>
      <w:r>
        <w:rPr>
          <w:rFonts w:eastAsia="Arial"/>
        </w:rPr>
        <w:t xml:space="preserve">0,003). Bendroje </w:t>
      </w:r>
      <w:r w:rsidRPr="00C20883">
        <w:rPr>
          <w:rFonts w:eastAsia="Arial"/>
        </w:rPr>
        <w:t>populiacijoje</w:t>
      </w:r>
      <w:r>
        <w:rPr>
          <w:rFonts w:eastAsia="Arial"/>
        </w:rPr>
        <w:t xml:space="preserve"> BI vertinimas parode, kad mirties nuo bet kokios priežasties rizika T-DXd </w:t>
      </w:r>
      <w:r w:rsidR="00624494">
        <w:rPr>
          <w:rFonts w:eastAsia="Arial"/>
        </w:rPr>
        <w:t xml:space="preserve">grupėje </w:t>
      </w:r>
      <w:r>
        <w:rPr>
          <w:rFonts w:eastAsia="Arial"/>
        </w:rPr>
        <w:t>galimai sumažėjo 36 proc. palyginus su chemoterapijos grupe: RS</w:t>
      </w:r>
      <w:r>
        <w:rPr>
          <w:rFonts w:eastAsia="Arial"/>
          <w:lang w:val="en-GB"/>
        </w:rPr>
        <w:t>=0,64 (95 proc. PI: 0,49-0,84; P=</w:t>
      </w:r>
      <w:r>
        <w:rPr>
          <w:rFonts w:eastAsia="Arial"/>
        </w:rPr>
        <w:t>0,003)</w:t>
      </w:r>
      <w:r w:rsidR="00624494">
        <w:rPr>
          <w:rFonts w:eastAsia="Arial"/>
        </w:rPr>
        <w:t>,</w:t>
      </w:r>
      <w:r w:rsidR="007B08AD">
        <w:rPr>
          <w:rFonts w:eastAsia="Arial"/>
        </w:rPr>
        <w:t xml:space="preserve"> </w:t>
      </w:r>
      <w:r w:rsidR="00624494">
        <w:rPr>
          <w:rFonts w:eastAsia="Arial"/>
        </w:rPr>
        <w:t>t</w:t>
      </w:r>
      <w:r>
        <w:rPr>
          <w:rFonts w:eastAsia="Arial"/>
        </w:rPr>
        <w:t>ačiau duomenys buvo nebrandūs.</w:t>
      </w:r>
    </w:p>
    <w:p w14:paraId="5EE364A6" w14:textId="0714F56D" w:rsidR="00B0112C" w:rsidRDefault="00B0112C" w:rsidP="00B0112C">
      <w:pPr>
        <w:tabs>
          <w:tab w:val="left" w:pos="492"/>
        </w:tabs>
        <w:spacing w:line="276" w:lineRule="auto"/>
        <w:jc w:val="both"/>
        <w:outlineLvl w:val="1"/>
      </w:pPr>
      <w:r>
        <w:rPr>
          <w:rFonts w:eastAsia="Arial"/>
        </w:rPr>
        <w:tab/>
      </w:r>
      <w:r w:rsidRPr="00F502CF">
        <w:t>Bendros sveikatos būklė</w:t>
      </w:r>
      <w:r w:rsidR="007B08AD">
        <w:t>s</w:t>
      </w:r>
      <w:r w:rsidRPr="00F502CF">
        <w:t xml:space="preserve"> ir </w:t>
      </w:r>
      <w:r w:rsidR="00624494" w:rsidRPr="00624494">
        <w:t>s</w:t>
      </w:r>
      <w:r w:rsidR="00624494" w:rsidRPr="00B35090">
        <w:rPr>
          <w:rFonts w:eastAsia="Arial"/>
        </w:rPr>
        <w:t>u sveikata susijusios gyvenimo kokybės</w:t>
      </w:r>
      <w:r w:rsidRPr="00F502CF">
        <w:t xml:space="preserve"> </w:t>
      </w:r>
      <w:r>
        <w:t>vertinimas buvo atliekamas HR+ populiacijoje: T-DXd grupėje 8,2 mėn. ir chemoterapijos grupėje – 3,5 mėn. Bendr</w:t>
      </w:r>
      <w:r w:rsidR="00624494">
        <w:t>a</w:t>
      </w:r>
      <w:r>
        <w:t xml:space="preserve"> sveikatos būklė </w:t>
      </w:r>
      <w:r w:rsidR="00624494">
        <w:t>nepakito</w:t>
      </w:r>
      <w:r>
        <w:t xml:space="preserve"> T-DXd grupėje iki 27 gydymo ciklų ir chemoterapijos grupėje </w:t>
      </w:r>
      <w:r w:rsidR="007B08AD">
        <w:t xml:space="preserve">- </w:t>
      </w:r>
      <w:r>
        <w:t xml:space="preserve">iki 13 gydymo ciklų. </w:t>
      </w:r>
      <w:r w:rsidR="00624494">
        <w:t xml:space="preserve">Pykinimas ir vėmimas buvo dažnesnis </w:t>
      </w:r>
      <w:r>
        <w:t>T-DXd grupėje</w:t>
      </w:r>
      <w:r w:rsidR="00624494">
        <w:t>,</w:t>
      </w:r>
      <w:r>
        <w:t xml:space="preserve"> </w:t>
      </w:r>
      <w:r w:rsidR="00624494">
        <w:t>t</w:t>
      </w:r>
      <w:r>
        <w:t xml:space="preserve">ačiau pažymėtina, kad tai </w:t>
      </w:r>
      <w:r w:rsidR="007B08AD">
        <w:t xml:space="preserve">dažniau </w:t>
      </w:r>
      <w:r>
        <w:t>pasi</w:t>
      </w:r>
      <w:r w:rsidR="00624494">
        <w:t>taikė</w:t>
      </w:r>
      <w:r>
        <w:t xml:space="preserve"> ankstyvuose gydymo cikluose. Rizikos santykiai vertinant laiką iki simptomų pablogėjimo, įskaitant skausmą, buvo PI ribose nuo 0,40 – 0,73. SSGK pagerėjimas galimai tikėtinas T-DXd grupėje palyginus su chemoterapijos grupe. </w:t>
      </w:r>
    </w:p>
    <w:p w14:paraId="54992AEA" w14:textId="36FFF86D" w:rsidR="00B0112C" w:rsidRDefault="00B0112C" w:rsidP="00B0112C">
      <w:pPr>
        <w:tabs>
          <w:tab w:val="left" w:pos="492"/>
        </w:tabs>
        <w:spacing w:line="276" w:lineRule="auto"/>
        <w:jc w:val="both"/>
        <w:outlineLvl w:val="1"/>
        <w:rPr>
          <w:rFonts w:eastAsia="Arial"/>
        </w:rPr>
      </w:pPr>
      <w:r>
        <w:tab/>
      </w:r>
      <w:r>
        <w:rPr>
          <w:rFonts w:eastAsia="Arial"/>
        </w:rPr>
        <w:t xml:space="preserve">T-DXd saugumo charakteristikos DESTINY Breast 04 tyrime buvo panašios į tas, kurios buvo registruojamos kituose T-DXd klinikiniuose tyrimuose. Bendrai, </w:t>
      </w:r>
      <w:r w:rsidR="00624494">
        <w:rPr>
          <w:rFonts w:eastAsia="Arial"/>
        </w:rPr>
        <w:t>nepageidaujamų reakcijų (</w:t>
      </w:r>
      <w:r>
        <w:rPr>
          <w:rFonts w:eastAsia="Arial"/>
        </w:rPr>
        <w:t>NR</w:t>
      </w:r>
      <w:r w:rsidR="00624494">
        <w:rPr>
          <w:rFonts w:eastAsia="Arial"/>
        </w:rPr>
        <w:t>)</w:t>
      </w:r>
      <w:r>
        <w:rPr>
          <w:rFonts w:eastAsia="Arial"/>
        </w:rPr>
        <w:t xml:space="preserve"> dažnis </w:t>
      </w:r>
      <w:r w:rsidR="00624494">
        <w:rPr>
          <w:rFonts w:eastAsia="Arial"/>
        </w:rPr>
        <w:t xml:space="preserve">abiejose grupėse </w:t>
      </w:r>
      <w:r>
        <w:rPr>
          <w:rFonts w:eastAsia="Arial"/>
        </w:rPr>
        <w:t>buvo panašus</w:t>
      </w:r>
      <w:r w:rsidR="00624494">
        <w:rPr>
          <w:rFonts w:eastAsia="Arial"/>
        </w:rPr>
        <w:t>.</w:t>
      </w:r>
      <w:r>
        <w:rPr>
          <w:rFonts w:eastAsia="Arial"/>
        </w:rPr>
        <w:t xml:space="preserve">. Dažniausia NR </w:t>
      </w:r>
      <w:r w:rsidR="00624494">
        <w:rPr>
          <w:rFonts w:eastAsia="Arial"/>
        </w:rPr>
        <w:t xml:space="preserve"> (</w:t>
      </w:r>
      <w:r>
        <w:rPr>
          <w:rFonts w:eastAsia="Arial"/>
        </w:rPr>
        <w:t>3 arba didesnio laipsnio</w:t>
      </w:r>
      <w:r w:rsidR="00624494">
        <w:rPr>
          <w:rFonts w:eastAsia="Arial"/>
        </w:rPr>
        <w:t>)</w:t>
      </w:r>
      <w:r>
        <w:rPr>
          <w:rFonts w:eastAsia="Arial"/>
        </w:rPr>
        <w:t xml:space="preserve"> buvo neutropenija, tačiau febrilinės neutropenijos dažnis buvo mažas. Dauguma intersticinės plaučių ligos arba pneumonito atvej</w:t>
      </w:r>
      <w:r w:rsidR="00624494">
        <w:rPr>
          <w:rFonts w:eastAsia="Arial"/>
        </w:rPr>
        <w:t>ų</w:t>
      </w:r>
      <w:r>
        <w:rPr>
          <w:rFonts w:eastAsia="Arial"/>
        </w:rPr>
        <w:t xml:space="preserve"> buvo lengv</w:t>
      </w:r>
      <w:r w:rsidR="00624494">
        <w:rPr>
          <w:rFonts w:eastAsia="Arial"/>
        </w:rPr>
        <w:t>i</w:t>
      </w:r>
      <w:r>
        <w:rPr>
          <w:rFonts w:eastAsia="Arial"/>
        </w:rPr>
        <w:t xml:space="preserve"> arba vidutinio sunkumo, bendras dažnis buvo panašus stebėtą kituose </w:t>
      </w:r>
      <w:r w:rsidR="00624494">
        <w:rPr>
          <w:rFonts w:eastAsia="Arial"/>
        </w:rPr>
        <w:t xml:space="preserve">klinikiniuose </w:t>
      </w:r>
      <w:r>
        <w:rPr>
          <w:rFonts w:eastAsia="Arial"/>
        </w:rPr>
        <w:t xml:space="preserve">tyrimuose. </w:t>
      </w:r>
    </w:p>
    <w:p w14:paraId="13104175" w14:textId="7EC4EEC3" w:rsidR="00B0112C" w:rsidRPr="00B42B0B" w:rsidRDefault="00B0112C" w:rsidP="00B0112C">
      <w:pPr>
        <w:tabs>
          <w:tab w:val="left" w:pos="492"/>
        </w:tabs>
        <w:spacing w:line="276" w:lineRule="auto"/>
        <w:jc w:val="both"/>
        <w:outlineLvl w:val="1"/>
        <w:rPr>
          <w:rFonts w:eastAsia="Arial"/>
        </w:rPr>
      </w:pPr>
      <w:r>
        <w:rPr>
          <w:rFonts w:eastAsia="Arial"/>
        </w:rPr>
        <w:tab/>
      </w:r>
      <w:r w:rsidR="00624494">
        <w:rPr>
          <w:rFonts w:eastAsia="Arial"/>
        </w:rPr>
        <w:t>Atsakant į pareiškėjui užduotus klausimus</w:t>
      </w:r>
      <w:r>
        <w:rPr>
          <w:rFonts w:eastAsia="Arial"/>
        </w:rPr>
        <w:t>, buvo pateikt</w:t>
      </w:r>
      <w:r w:rsidR="00624494">
        <w:rPr>
          <w:rFonts w:eastAsia="Arial"/>
        </w:rPr>
        <w:t>os</w:t>
      </w:r>
      <w:r>
        <w:rPr>
          <w:rFonts w:eastAsia="Arial"/>
        </w:rPr>
        <w:t xml:space="preserve"> antrinės tarpinės analizės. </w:t>
      </w:r>
      <w:r w:rsidRPr="00B42B0B">
        <w:rPr>
          <w:rFonts w:eastAsia="Arial"/>
        </w:rPr>
        <w:t>Pirminė</w:t>
      </w:r>
      <w:r w:rsidR="00395C30">
        <w:rPr>
          <w:rFonts w:eastAsia="Arial"/>
        </w:rPr>
        <w:t>s</w:t>
      </w:r>
      <w:r w:rsidRPr="00B42B0B">
        <w:rPr>
          <w:rFonts w:eastAsia="Arial"/>
        </w:rPr>
        <w:t xml:space="preserve"> vertinamo</w:t>
      </w:r>
      <w:r w:rsidR="00395C30">
        <w:rPr>
          <w:rFonts w:eastAsia="Arial"/>
        </w:rPr>
        <w:t>sios baigtie</w:t>
      </w:r>
      <w:r w:rsidRPr="00B42B0B">
        <w:rPr>
          <w:rFonts w:eastAsia="Arial"/>
        </w:rPr>
        <w:t xml:space="preserve">s </w:t>
      </w:r>
      <w:r w:rsidR="00395C30">
        <w:rPr>
          <w:rFonts w:eastAsia="Arial"/>
        </w:rPr>
        <w:t xml:space="preserve">rezultatai </w:t>
      </w:r>
      <w:r w:rsidRPr="00B42B0B">
        <w:rPr>
          <w:rFonts w:eastAsia="Arial"/>
        </w:rPr>
        <w:t xml:space="preserve">IBLP HR+ pacientų populiacijoje </w:t>
      </w:r>
      <w:r w:rsidRPr="007E37CB">
        <w:rPr>
          <w:rFonts w:eastAsia="Arial"/>
          <w:b/>
        </w:rPr>
        <w:t>nuosekliai parodė gydymo T-DXd naudą mažinant ligos progresijos bei mirties tikimybė</w:t>
      </w:r>
      <w:r w:rsidR="00624494">
        <w:rPr>
          <w:rFonts w:eastAsia="Arial"/>
          <w:b/>
        </w:rPr>
        <w:t>s</w:t>
      </w:r>
      <w:r w:rsidRPr="007E37CB">
        <w:rPr>
          <w:rFonts w:eastAsia="Arial"/>
          <w:b/>
        </w:rPr>
        <w:t xml:space="preserve"> rizik</w:t>
      </w:r>
      <w:r w:rsidR="00624494">
        <w:rPr>
          <w:rFonts w:eastAsia="Arial"/>
          <w:b/>
        </w:rPr>
        <w:t>ą</w:t>
      </w:r>
      <w:r w:rsidRPr="007E37CB">
        <w:rPr>
          <w:rFonts w:eastAsia="Arial"/>
          <w:b/>
        </w:rPr>
        <w:t xml:space="preserve"> (t.y. 63 proc.).</w:t>
      </w:r>
      <w:r w:rsidRPr="00B42B0B">
        <w:rPr>
          <w:rFonts w:eastAsia="Arial"/>
        </w:rPr>
        <w:t xml:space="preserve"> Rizikos santykis šioje populiacijoje buvo 0,37 (95 proc. PI: 0,30-0,47. Praėjus 24 stebėjimo mėnesiams nuo gydymo pradžios, T-DXd grupėje 15,4 proc. pacientų vis dar buvo be ligos progresijos, palyginimui chemoterapijos grupėje pacientų be ligos progresijos neliko. Antrinės vertinamosios baigties </w:t>
      </w:r>
      <w:r w:rsidR="00624494">
        <w:rPr>
          <w:rFonts w:eastAsia="Arial"/>
        </w:rPr>
        <w:t>(</w:t>
      </w:r>
      <w:r w:rsidRPr="00B42B0B">
        <w:rPr>
          <w:rFonts w:eastAsia="Arial"/>
        </w:rPr>
        <w:t xml:space="preserve"> IBLP vertinta </w:t>
      </w:r>
      <w:r w:rsidR="007E37CB">
        <w:rPr>
          <w:rFonts w:eastAsia="Arial"/>
        </w:rPr>
        <w:t>ITT populiacijoje</w:t>
      </w:r>
      <w:r w:rsidR="00624494">
        <w:rPr>
          <w:rFonts w:eastAsia="Arial"/>
        </w:rPr>
        <w:t>)</w:t>
      </w:r>
      <w:r w:rsidRPr="00B42B0B">
        <w:rPr>
          <w:rFonts w:eastAsia="Arial"/>
        </w:rPr>
        <w:t xml:space="preserve"> rezultatai atkartojo pirminės analizės rezultatus ir parodė T-DXd gydymo privalumą bendroje populiacijoje, </w:t>
      </w:r>
      <w:r w:rsidR="00624494">
        <w:rPr>
          <w:rFonts w:eastAsia="Arial"/>
        </w:rPr>
        <w:t>pa</w:t>
      </w:r>
      <w:r w:rsidRPr="00B42B0B">
        <w:rPr>
          <w:rFonts w:eastAsia="Arial"/>
        </w:rPr>
        <w:t>lygin</w:t>
      </w:r>
      <w:r w:rsidR="00624494">
        <w:rPr>
          <w:rFonts w:eastAsia="Arial"/>
        </w:rPr>
        <w:t>us</w:t>
      </w:r>
      <w:r w:rsidRPr="00B42B0B">
        <w:rPr>
          <w:rFonts w:eastAsia="Arial"/>
        </w:rPr>
        <w:t xml:space="preserve"> su gydymu chemoterapija.</w:t>
      </w:r>
    </w:p>
    <w:p w14:paraId="71ABCEF0" w14:textId="6241413A" w:rsidR="00B0112C" w:rsidRPr="004C425A" w:rsidRDefault="00B0112C" w:rsidP="00B0112C">
      <w:pPr>
        <w:tabs>
          <w:tab w:val="left" w:pos="492"/>
        </w:tabs>
        <w:spacing w:line="276" w:lineRule="auto"/>
        <w:jc w:val="both"/>
        <w:outlineLvl w:val="1"/>
        <w:rPr>
          <w:rFonts w:eastAsia="Arial"/>
        </w:rPr>
      </w:pPr>
      <w:r>
        <w:rPr>
          <w:rFonts w:eastAsia="Arial"/>
        </w:rPr>
        <w:lastRenderedPageBreak/>
        <w:tab/>
      </w:r>
      <w:r w:rsidRPr="00624494">
        <w:rPr>
          <w:rFonts w:eastAsia="Arial"/>
        </w:rPr>
        <w:t xml:space="preserve">Nauji BI išgyvenamojo rezultatai parodė, kad gydant pacientus T-DXd HR+ </w:t>
      </w:r>
      <w:r w:rsidRPr="00B35090">
        <w:rPr>
          <w:rFonts w:eastAsia="Arial"/>
        </w:rPr>
        <w:t>populiacijoje mirties rizika sumažėjo 31 proc. palyginus su chemoterapija gydom</w:t>
      </w:r>
      <w:r w:rsidR="00624494" w:rsidRPr="00B35090">
        <w:rPr>
          <w:rFonts w:eastAsia="Arial"/>
        </w:rPr>
        <w:t>ais</w:t>
      </w:r>
      <w:r w:rsidRPr="00B35090">
        <w:rPr>
          <w:rFonts w:eastAsia="Arial"/>
        </w:rPr>
        <w:t xml:space="preserve"> pacient</w:t>
      </w:r>
      <w:r w:rsidR="00624494" w:rsidRPr="00B35090">
        <w:rPr>
          <w:rFonts w:eastAsia="Arial"/>
        </w:rPr>
        <w:t>ais</w:t>
      </w:r>
      <w:r w:rsidRPr="00B35090">
        <w:rPr>
          <w:rFonts w:eastAsia="Arial"/>
        </w:rPr>
        <w:t xml:space="preserve">, RS buvo 0,69 (95 proc. PI: 0,55-0,87). </w:t>
      </w:r>
      <w:r w:rsidRPr="004C425A">
        <w:rPr>
          <w:rFonts w:eastAsia="Arial"/>
        </w:rPr>
        <w:t>Pacientai, gydomi T-DXd gyveno 6 mėnesiais ilgiau, nei pacientai gydomi chemoterapija</w:t>
      </w:r>
      <w:r w:rsidR="00395C30">
        <w:rPr>
          <w:rFonts w:eastAsia="Arial"/>
        </w:rPr>
        <w:t xml:space="preserve"> (</w:t>
      </w:r>
      <w:r w:rsidR="00395C30" w:rsidRPr="004C425A">
        <w:rPr>
          <w:rFonts w:eastAsia="Arial"/>
        </w:rPr>
        <w:t xml:space="preserve">atitinkamai </w:t>
      </w:r>
      <w:r w:rsidRPr="004C425A">
        <w:rPr>
          <w:rFonts w:eastAsia="Arial"/>
        </w:rPr>
        <w:t>23,9</w:t>
      </w:r>
      <w:r w:rsidR="00EE2E43" w:rsidRPr="004C425A">
        <w:rPr>
          <w:rFonts w:eastAsia="Arial"/>
        </w:rPr>
        <w:t xml:space="preserve"> mėn. ir 17,6 mėn.</w:t>
      </w:r>
      <w:r w:rsidR="00395C30">
        <w:rPr>
          <w:rFonts w:eastAsia="Arial"/>
        </w:rPr>
        <w:t>)</w:t>
      </w:r>
      <w:r w:rsidR="00EE2E43" w:rsidRPr="004C425A">
        <w:rPr>
          <w:rFonts w:eastAsia="Arial"/>
        </w:rPr>
        <w:t xml:space="preserve">. </w:t>
      </w:r>
      <w:r w:rsidRPr="004C425A">
        <w:rPr>
          <w:rFonts w:eastAsia="Arial"/>
        </w:rPr>
        <w:t>BI bendroje populiacijoje atkartojo rezultatus HR+ populiacijoje.</w:t>
      </w:r>
    </w:p>
    <w:p w14:paraId="672EB82F" w14:textId="6B2A2A75" w:rsidR="00B0112C" w:rsidRDefault="00B0112C" w:rsidP="00B0112C">
      <w:pPr>
        <w:tabs>
          <w:tab w:val="left" w:pos="492"/>
        </w:tabs>
        <w:spacing w:line="276" w:lineRule="auto"/>
        <w:jc w:val="both"/>
        <w:outlineLvl w:val="1"/>
        <w:rPr>
          <w:rFonts w:eastAsia="Arial"/>
        </w:rPr>
      </w:pPr>
      <w:r>
        <w:rPr>
          <w:rFonts w:eastAsia="Arial"/>
        </w:rPr>
        <w:tab/>
      </w:r>
      <w:r w:rsidRPr="00B42B0B">
        <w:rPr>
          <w:rFonts w:eastAsia="Arial"/>
        </w:rPr>
        <w:t>BI rezultatai atskiruose pogrupiuose parode, kad didžiausi</w:t>
      </w:r>
      <w:r w:rsidR="00EE363D">
        <w:rPr>
          <w:rFonts w:eastAsia="Arial"/>
        </w:rPr>
        <w:t>ą</w:t>
      </w:r>
      <w:r w:rsidRPr="00B42B0B">
        <w:rPr>
          <w:rFonts w:eastAsia="Arial"/>
        </w:rPr>
        <w:t xml:space="preserve"> ir reikšming</w:t>
      </w:r>
      <w:r w:rsidR="00EE363D">
        <w:rPr>
          <w:rFonts w:eastAsia="Arial"/>
        </w:rPr>
        <w:t>ą</w:t>
      </w:r>
      <w:r w:rsidRPr="00B42B0B">
        <w:rPr>
          <w:rFonts w:eastAsia="Arial"/>
        </w:rPr>
        <w:t xml:space="preserve"> naud</w:t>
      </w:r>
      <w:r w:rsidR="00EE363D">
        <w:rPr>
          <w:rFonts w:eastAsia="Arial"/>
        </w:rPr>
        <w:t>ą</w:t>
      </w:r>
      <w:r w:rsidRPr="00B42B0B">
        <w:rPr>
          <w:rFonts w:eastAsia="Arial"/>
        </w:rPr>
        <w:t xml:space="preserve"> gydant T-DXd tikėtina patirs pacientai, kuriems </w:t>
      </w:r>
      <w:r w:rsidR="00EE363D">
        <w:rPr>
          <w:rFonts w:eastAsia="Arial"/>
        </w:rPr>
        <w:t xml:space="preserve">šis gydymas </w:t>
      </w:r>
      <w:r w:rsidRPr="00B42B0B">
        <w:rPr>
          <w:rFonts w:eastAsia="Arial"/>
        </w:rPr>
        <w:t>buvo taikyta</w:t>
      </w:r>
      <w:r w:rsidR="00EE363D">
        <w:rPr>
          <w:rFonts w:eastAsia="Arial"/>
        </w:rPr>
        <w:t>s kaip</w:t>
      </w:r>
      <w:r w:rsidRPr="00B42B0B">
        <w:rPr>
          <w:rFonts w:eastAsia="Arial"/>
        </w:rPr>
        <w:t xml:space="preserve"> pirmos eilės terapija, IHC buvo 1+ bei pacientų amžius </w:t>
      </w:r>
      <w:r w:rsidR="00EE363D" w:rsidRPr="00B42B0B">
        <w:rPr>
          <w:rFonts w:eastAsia="Arial"/>
        </w:rPr>
        <w:t xml:space="preserve">diagnozės nustatymo metu </w:t>
      </w:r>
      <w:r w:rsidRPr="00B42B0B">
        <w:rPr>
          <w:rFonts w:eastAsia="Arial"/>
        </w:rPr>
        <w:t>buvo &lt;65 metų, nepriklausomai ar buvo prieš tai taik</w:t>
      </w:r>
      <w:r w:rsidR="00EE363D">
        <w:rPr>
          <w:rFonts w:eastAsia="Arial"/>
        </w:rPr>
        <w:t>ytas gydymas</w:t>
      </w:r>
      <w:r w:rsidRPr="00B42B0B">
        <w:rPr>
          <w:rFonts w:eastAsia="Arial"/>
        </w:rPr>
        <w:t xml:space="preserve"> CDK4/6 inhibitori</w:t>
      </w:r>
      <w:r w:rsidR="00EE363D">
        <w:rPr>
          <w:rFonts w:eastAsia="Arial"/>
        </w:rPr>
        <w:t>ais</w:t>
      </w:r>
      <w:r w:rsidRPr="00B42B0B">
        <w:rPr>
          <w:rFonts w:eastAsia="Arial"/>
        </w:rPr>
        <w:t>.</w:t>
      </w:r>
      <w:r>
        <w:rPr>
          <w:rFonts w:eastAsia="Arial"/>
        </w:rPr>
        <w:t xml:space="preserve"> </w:t>
      </w:r>
      <w:r w:rsidR="00EE363D">
        <w:rPr>
          <w:rFonts w:eastAsia="Arial"/>
        </w:rPr>
        <w:t>Antrinėje tarpinėje analizėje s</w:t>
      </w:r>
      <w:r>
        <w:rPr>
          <w:rFonts w:eastAsia="Arial"/>
        </w:rPr>
        <w:t xml:space="preserve">augumo duomenys nepasikeitė ir </w:t>
      </w:r>
      <w:r w:rsidR="00CE72D0">
        <w:rPr>
          <w:rFonts w:eastAsia="Arial"/>
        </w:rPr>
        <w:t xml:space="preserve">abiejose grupėse </w:t>
      </w:r>
      <w:r>
        <w:rPr>
          <w:rFonts w:eastAsia="Arial"/>
        </w:rPr>
        <w:t>atkartojo jau pateiktus anksčiau NR dažnius.</w:t>
      </w:r>
    </w:p>
    <w:p w14:paraId="065CCB9A" w14:textId="554F8BE3" w:rsidR="00B0112C" w:rsidRDefault="00B0112C" w:rsidP="00B0112C">
      <w:pPr>
        <w:pStyle w:val="ListParagraph"/>
        <w:spacing w:after="120" w:line="276" w:lineRule="auto"/>
        <w:ind w:left="0"/>
        <w:contextualSpacing w:val="0"/>
        <w:jc w:val="both"/>
      </w:pPr>
      <w:r>
        <w:rPr>
          <w:rFonts w:eastAsia="Arial"/>
        </w:rPr>
        <w:tab/>
        <w:t>Apibendrinant, klinikinio tyrimo DESTYNI-Breast</w:t>
      </w:r>
      <w:r w:rsidR="007B08AD">
        <w:rPr>
          <w:rFonts w:eastAsia="Arial"/>
        </w:rPr>
        <w:t xml:space="preserve"> </w:t>
      </w:r>
      <w:r>
        <w:rPr>
          <w:rFonts w:eastAsia="Arial"/>
        </w:rPr>
        <w:t xml:space="preserve">04 pacientų populiacija atitinka Lietuvos populiaciją. Remiantis klinikinio tyrimo rezultatais, </w:t>
      </w:r>
      <w:r w:rsidR="00EE363D">
        <w:t>palyginus su chemoterapija,</w:t>
      </w:r>
      <w:r w:rsidR="00EE363D">
        <w:rPr>
          <w:rFonts w:eastAsia="Arial"/>
        </w:rPr>
        <w:t xml:space="preserve"> </w:t>
      </w:r>
      <w:r>
        <w:rPr>
          <w:rFonts w:eastAsia="Arial"/>
        </w:rPr>
        <w:t xml:space="preserve">gydymas vaistiniu preparatu </w:t>
      </w:r>
      <w:r>
        <w:rPr>
          <w:color w:val="000000"/>
        </w:rPr>
        <w:t>t</w:t>
      </w:r>
      <w:r w:rsidRPr="00BA0963">
        <w:rPr>
          <w:color w:val="000000"/>
        </w:rPr>
        <w:t>rastuzumab</w:t>
      </w:r>
      <w:r>
        <w:rPr>
          <w:color w:val="000000"/>
        </w:rPr>
        <w:t xml:space="preserve">u </w:t>
      </w:r>
      <w:r w:rsidRPr="00BA0963">
        <w:rPr>
          <w:color w:val="000000"/>
        </w:rPr>
        <w:t>derukstekan</w:t>
      </w:r>
      <w:r>
        <w:rPr>
          <w:color w:val="000000"/>
        </w:rPr>
        <w:t xml:space="preserve">u (Enhertu) suteikia papildomą klinikinę naudą pacientams, kuriems nustatytas </w:t>
      </w:r>
      <w:r w:rsidRPr="00642F9C">
        <w:rPr>
          <w:color w:val="000000"/>
        </w:rPr>
        <w:t>nerezekuotin</w:t>
      </w:r>
      <w:r>
        <w:rPr>
          <w:color w:val="000000"/>
        </w:rPr>
        <w:t xml:space="preserve">as arba </w:t>
      </w:r>
      <w:r w:rsidRPr="004C425A">
        <w:rPr>
          <w:color w:val="000000"/>
        </w:rPr>
        <w:t>metastazavęs mažos HER2 raiškos</w:t>
      </w:r>
      <w:r>
        <w:rPr>
          <w:color w:val="000000"/>
        </w:rPr>
        <w:t xml:space="preserve"> krūties vėžys</w:t>
      </w:r>
      <w:r w:rsidRPr="00642F9C">
        <w:rPr>
          <w:color w:val="000000"/>
        </w:rPr>
        <w:t xml:space="preserve"> </w:t>
      </w:r>
      <w:r>
        <w:rPr>
          <w:color w:val="000000"/>
        </w:rPr>
        <w:t>ir</w:t>
      </w:r>
      <w:r w:rsidRPr="00642F9C">
        <w:rPr>
          <w:color w:val="000000"/>
        </w:rPr>
        <w:t xml:space="preserve"> kuriems jau taikyta metastazavusios ligos chemoterapija arba</w:t>
      </w:r>
      <w:r>
        <w:rPr>
          <w:color w:val="000000"/>
        </w:rPr>
        <w:t xml:space="preserve"> </w:t>
      </w:r>
      <w:r w:rsidRPr="00961F2D">
        <w:t>liga atsinaujino adjuvantinės chemoterapijos metu arba per 6 mėnesius nuo jos pabaigos</w:t>
      </w:r>
      <w:r>
        <w:t>.</w:t>
      </w:r>
    </w:p>
    <w:p w14:paraId="25FCB1C4" w14:textId="77777777" w:rsidR="00B0112C" w:rsidRPr="00CE72D0" w:rsidRDefault="00B0112C" w:rsidP="00A93AA6">
      <w:pPr>
        <w:pStyle w:val="ListParagraph"/>
        <w:tabs>
          <w:tab w:val="left" w:pos="426"/>
        </w:tabs>
        <w:ind w:left="0"/>
        <w:rPr>
          <w:bCs/>
          <w:caps/>
        </w:rPr>
      </w:pPr>
    </w:p>
    <w:p w14:paraId="7DE09EB5" w14:textId="69E9DD74" w:rsidR="00E03C3F" w:rsidRPr="00CE72D0" w:rsidRDefault="00CC7832" w:rsidP="00CC09D4">
      <w:pPr>
        <w:pStyle w:val="ListParagraph"/>
        <w:numPr>
          <w:ilvl w:val="0"/>
          <w:numId w:val="12"/>
        </w:numPr>
        <w:tabs>
          <w:tab w:val="left" w:pos="567"/>
        </w:tabs>
        <w:ind w:hanging="720"/>
        <w:rPr>
          <w:b/>
          <w:bCs/>
          <w:caps/>
        </w:rPr>
      </w:pPr>
      <w:r w:rsidRPr="00CE72D0">
        <w:rPr>
          <w:b/>
          <w:bCs/>
          <w:caps/>
        </w:rPr>
        <w:t xml:space="preserve">ekonominio vertinimo </w:t>
      </w:r>
      <w:r w:rsidR="002F0E4F" w:rsidRPr="00CE72D0">
        <w:rPr>
          <w:b/>
          <w:bCs/>
          <w:caps/>
        </w:rPr>
        <w:t>apibendrinimas</w:t>
      </w:r>
    </w:p>
    <w:p w14:paraId="1A900598" w14:textId="4826E5DF" w:rsidR="00C62B36" w:rsidRPr="00CE72D0" w:rsidRDefault="00C62B36" w:rsidP="00A93AA6">
      <w:pPr>
        <w:tabs>
          <w:tab w:val="left" w:pos="426"/>
        </w:tabs>
        <w:rPr>
          <w:i/>
          <w:sz w:val="22"/>
          <w:szCs w:val="22"/>
        </w:rPr>
      </w:pPr>
    </w:p>
    <w:p w14:paraId="612D8A63" w14:textId="47A328E6" w:rsidR="00B502C6" w:rsidRPr="00461C50" w:rsidRDefault="00B502C6" w:rsidP="00B502C6">
      <w:pPr>
        <w:pStyle w:val="VVKT"/>
      </w:pPr>
      <w:bookmarkStart w:id="1" w:name="_Hlk168476736"/>
      <w:r w:rsidRPr="00461C50">
        <w:rPr>
          <w:iCs/>
        </w:rPr>
        <w:t xml:space="preserve">Pareiškėjas ekonominiam vertinimui pateikė kaštų naudingumo analizę, į kurią įtraukti pacientai neatitinka kompensacijai teikiamų terapinių indikacijų. </w:t>
      </w:r>
      <w:r w:rsidRPr="00461C50">
        <w:rPr>
          <w:color w:val="000000"/>
        </w:rPr>
        <w:t xml:space="preserve">Pareiškėjas nurodo, kad teikiamos terapinės indikacijos ir pacientų populiacija ekonominėje analizėje </w:t>
      </w:r>
      <w:r w:rsidRPr="00461C50">
        <w:t>atitinka klinikinio tyrimo DESTINY-Breast</w:t>
      </w:r>
      <w:r w:rsidR="007B08AD" w:rsidRPr="00461C50">
        <w:t xml:space="preserve"> </w:t>
      </w:r>
      <w:r w:rsidRPr="00461C50">
        <w:t xml:space="preserve">04 klinikinio tyrimo populiaciją. Tačiau ekonominės analizės rezultatas ekonominėje analizėje ir pateiktame modelyje yra apskaičiuotas vertinant tik dalį nagrinėjamos populiacijos (HR-/HER-low). </w:t>
      </w:r>
      <w:r w:rsidRPr="00461C50">
        <w:rPr>
          <w:lang w:eastAsia="lt-LT"/>
        </w:rPr>
        <w:t xml:space="preserve">Nagrinėjama pacientų populiacija turi apimti suaugusius pacientus, sergančius nerezekuotinu </w:t>
      </w:r>
      <w:r w:rsidRPr="00461C50">
        <w:t xml:space="preserve">arba metastazavusiu mažos HER2 raiškos krūties vėžiu, kuriems jau taikyta metastazavusios ligos chemoterapija arba kuriems liga atsinaujino adjuvantinės chemoterapijos metu arba per 6 mėnesius nuo jos pabaigos. </w:t>
      </w:r>
    </w:p>
    <w:p w14:paraId="1D5CB5B7" w14:textId="576F1A23" w:rsidR="00B502C6" w:rsidRPr="00B502C6" w:rsidRDefault="00B502C6" w:rsidP="00B502C6">
      <w:pPr>
        <w:spacing w:line="276" w:lineRule="auto"/>
        <w:ind w:firstLine="720"/>
        <w:jc w:val="both"/>
        <w:rPr>
          <w:rFonts w:eastAsia="Arial"/>
          <w:bCs/>
          <w:szCs w:val="22"/>
        </w:rPr>
      </w:pPr>
      <w:r w:rsidRPr="00461C50">
        <w:rPr>
          <w:rFonts w:eastAsia="Arial"/>
          <w:bCs/>
          <w:szCs w:val="22"/>
        </w:rPr>
        <w:t>Ekonominėje analizėje pateiktas palyginamasis gydymas neatitinka įprastos Lietuvos Respublikos klinikinės praktikos. Įprasta klinikinė praktika Lietuvoje laikomas gydymas kapecitabinu arba paklitakseliu. Pateiktoje ekonominėje analizėje palyginamasis gydymas yra gydytojo pasirinktas gydymas, kurio galimi pasirinkimai yra kapecitabinas, eribulinas, paclitakselis arba gemcitabinas.</w:t>
      </w:r>
    </w:p>
    <w:p w14:paraId="094A6AFB" w14:textId="77777777" w:rsidR="00B502C6" w:rsidRDefault="00B502C6" w:rsidP="00B502C6">
      <w:pPr>
        <w:pStyle w:val="VVKT"/>
        <w:rPr>
          <w:lang w:eastAsia="lt-LT"/>
        </w:rPr>
      </w:pPr>
      <w:r w:rsidRPr="00145FA0">
        <w:rPr>
          <w:bCs/>
          <w:iCs/>
          <w:lang w:eastAsia="lt-LT"/>
        </w:rPr>
        <w:t>Ekonominėje analizėje taikomi modeliavimo metodai.</w:t>
      </w:r>
      <w:r>
        <w:rPr>
          <w:bCs/>
          <w:iCs/>
          <w:lang w:eastAsia="lt-LT"/>
        </w:rPr>
        <w:t xml:space="preserve"> </w:t>
      </w:r>
      <w:r>
        <w:rPr>
          <w:lang w:eastAsia="lt-LT"/>
        </w:rPr>
        <w:t xml:space="preserve">Pateiktas ekonominis modelis yra išskaidyto išgyvenamumo (angl. </w:t>
      </w:r>
      <w:r w:rsidRPr="00145FA0">
        <w:rPr>
          <w:i/>
          <w:iCs/>
        </w:rPr>
        <w:t>partitioned survival</w:t>
      </w:r>
      <w:r>
        <w:t>)</w:t>
      </w:r>
      <w:r>
        <w:rPr>
          <w:lang w:eastAsia="lt-LT"/>
        </w:rPr>
        <w:t xml:space="preserve"> modelis, kuriame modeliuojamos 3 sveikatos būklės:</w:t>
      </w:r>
    </w:p>
    <w:p w14:paraId="06F6D7FC" w14:textId="77777777" w:rsidR="00B502C6" w:rsidRDefault="00B502C6" w:rsidP="00B502C6">
      <w:pPr>
        <w:pStyle w:val="ListParagraph"/>
        <w:numPr>
          <w:ilvl w:val="0"/>
          <w:numId w:val="15"/>
        </w:numPr>
        <w:spacing w:line="276" w:lineRule="auto"/>
        <w:jc w:val="both"/>
        <w:rPr>
          <w:lang w:eastAsia="lt-LT"/>
        </w:rPr>
      </w:pPr>
      <w:r>
        <w:rPr>
          <w:lang w:eastAsia="lt-LT"/>
        </w:rPr>
        <w:t xml:space="preserve">Būklė iki ligos progresavimo (angl. </w:t>
      </w:r>
      <w:r w:rsidRPr="008D3DAD">
        <w:rPr>
          <w:i/>
          <w:iCs/>
          <w:lang w:eastAsia="lt-LT"/>
        </w:rPr>
        <w:t>pre-progression</w:t>
      </w:r>
      <w:r>
        <w:rPr>
          <w:lang w:eastAsia="lt-LT"/>
        </w:rPr>
        <w:t>)</w:t>
      </w:r>
    </w:p>
    <w:p w14:paraId="46C885E2" w14:textId="77777777" w:rsidR="00B502C6" w:rsidRDefault="00B502C6" w:rsidP="00B502C6">
      <w:pPr>
        <w:pStyle w:val="ListParagraph"/>
        <w:numPr>
          <w:ilvl w:val="0"/>
          <w:numId w:val="15"/>
        </w:numPr>
        <w:rPr>
          <w:lang w:eastAsia="lt-LT"/>
        </w:rPr>
      </w:pPr>
      <w:r>
        <w:rPr>
          <w:lang w:eastAsia="lt-LT"/>
        </w:rPr>
        <w:t xml:space="preserve">Progresuojančios ligos būklė (angl. </w:t>
      </w:r>
      <w:r w:rsidRPr="008D3DAD">
        <w:rPr>
          <w:i/>
          <w:iCs/>
          <w:lang w:eastAsia="lt-LT"/>
        </w:rPr>
        <w:t>post-progress</w:t>
      </w:r>
      <w:r>
        <w:rPr>
          <w:i/>
          <w:iCs/>
          <w:lang w:eastAsia="lt-LT"/>
        </w:rPr>
        <w:t>ion</w:t>
      </w:r>
      <w:r>
        <w:rPr>
          <w:lang w:eastAsia="lt-LT"/>
        </w:rPr>
        <w:t>)</w:t>
      </w:r>
    </w:p>
    <w:p w14:paraId="15C516CE" w14:textId="77777777" w:rsidR="00B502C6" w:rsidRDefault="00B502C6" w:rsidP="00B502C6">
      <w:pPr>
        <w:pStyle w:val="ListParagraph"/>
        <w:numPr>
          <w:ilvl w:val="0"/>
          <w:numId w:val="15"/>
        </w:numPr>
        <w:spacing w:line="276" w:lineRule="auto"/>
        <w:jc w:val="both"/>
        <w:rPr>
          <w:lang w:eastAsia="lt-LT"/>
        </w:rPr>
      </w:pPr>
      <w:r>
        <w:rPr>
          <w:lang w:eastAsia="lt-LT"/>
        </w:rPr>
        <w:t xml:space="preserve">Mirtis. </w:t>
      </w:r>
    </w:p>
    <w:p w14:paraId="788D878D" w14:textId="7C13332D" w:rsidR="00577744" w:rsidRDefault="00577744" w:rsidP="00577744">
      <w:pPr>
        <w:spacing w:line="276" w:lineRule="auto"/>
        <w:jc w:val="both"/>
        <w:rPr>
          <w:lang w:eastAsia="lt-LT"/>
        </w:rPr>
      </w:pPr>
      <w:r w:rsidRPr="00577744">
        <w:rPr>
          <w:lang w:eastAsia="lt-LT"/>
        </w:rPr>
        <w:t>Analizės struktūra yra tinkama trastuzumabo derukstekano kaštų naudingumui įvertinti gydant sergančiuosius nerezekuotinu arba metastazavusiu mažos HER2 raiškos krūties vėžiu, kuriems jau taikyta metastazavusios ligos chemoterapija arba kuriems liga atsinaujino adjuvantinės chemoterapijos metu arba per 6 mėnesius nuo jos pabaigos.</w:t>
      </w:r>
    </w:p>
    <w:p w14:paraId="7325DC94" w14:textId="001EE45B" w:rsidR="00577744" w:rsidRDefault="00577744" w:rsidP="00AD041C">
      <w:pPr>
        <w:pStyle w:val="VVKT"/>
        <w:rPr>
          <w:lang w:eastAsia="lt-LT"/>
        </w:rPr>
      </w:pPr>
      <w:r w:rsidRPr="00D05364">
        <w:rPr>
          <w:color w:val="000000"/>
          <w:lang w:eastAsia="lt-LT"/>
        </w:rPr>
        <w:t xml:space="preserve">Analizėje taikoma </w:t>
      </w:r>
      <w:r w:rsidR="00900207" w:rsidRPr="00900207">
        <w:rPr>
          <w:color w:val="000000"/>
          <w:lang w:eastAsia="lt-LT"/>
        </w:rPr>
        <w:t>***</w:t>
      </w:r>
      <w:r>
        <w:rPr>
          <w:color w:val="000000"/>
          <w:lang w:eastAsia="lt-LT"/>
        </w:rPr>
        <w:t xml:space="preserve"> </w:t>
      </w:r>
      <w:r w:rsidRPr="00D05364">
        <w:rPr>
          <w:color w:val="000000"/>
          <w:lang w:eastAsia="lt-LT"/>
        </w:rPr>
        <w:t>metų</w:t>
      </w:r>
      <w:r>
        <w:rPr>
          <w:color w:val="000000"/>
          <w:lang w:eastAsia="lt-LT"/>
        </w:rPr>
        <w:t xml:space="preserve"> </w:t>
      </w:r>
      <w:r w:rsidRPr="00D05364">
        <w:rPr>
          <w:color w:val="000000"/>
          <w:lang w:eastAsia="lt-LT"/>
        </w:rPr>
        <w:t xml:space="preserve">laiko perspektyva. Pasirinkta laiko perspektyva yra </w:t>
      </w:r>
      <w:r w:rsidRPr="00D05364">
        <w:rPr>
          <w:lang w:eastAsia="lt-LT"/>
        </w:rPr>
        <w:t>tinkama</w:t>
      </w:r>
      <w:r>
        <w:rPr>
          <w:lang w:eastAsia="lt-LT"/>
        </w:rPr>
        <w:t>, nes yra pakankamai ilga, kad būtų galima analizėje apimti iš esmės visus patiriamus kaštus ir visą gaunamą naudą sveikatai.</w:t>
      </w:r>
      <w:r w:rsidR="00AD041C">
        <w:rPr>
          <w:lang w:eastAsia="lt-LT"/>
        </w:rPr>
        <w:t xml:space="preserve"> </w:t>
      </w:r>
      <w:r w:rsidRPr="00D05364">
        <w:t xml:space="preserve">Analizė atlikta iš PSDF biudžeto perspektyvos, įtraukti tiesiogiai su </w:t>
      </w:r>
      <w:r w:rsidRPr="00D05364">
        <w:lastRenderedPageBreak/>
        <w:t>sveikatos sistema susiję kaštai. Tai atitinka teisės aktuose nustatytus paraiškos rengimo taisyklių reikalavimus.</w:t>
      </w:r>
    </w:p>
    <w:p w14:paraId="3EEF38C2" w14:textId="6962D6ED" w:rsidR="00577744" w:rsidRDefault="00577744" w:rsidP="00577744">
      <w:pPr>
        <w:spacing w:line="276" w:lineRule="auto"/>
        <w:ind w:firstLine="720"/>
        <w:jc w:val="both"/>
        <w:rPr>
          <w:lang w:eastAsia="lt-LT"/>
        </w:rPr>
      </w:pPr>
      <w:r>
        <w:rPr>
          <w:lang w:eastAsia="lt-LT"/>
        </w:rPr>
        <w:t>Pagrindinis klinikinių įrodymų šaltinis ekonominėje analizėje buvo klinikinis tyrimas DESTINY-Breast</w:t>
      </w:r>
      <w:r w:rsidR="007B08AD">
        <w:rPr>
          <w:lang w:eastAsia="lt-LT"/>
        </w:rPr>
        <w:t xml:space="preserve"> </w:t>
      </w:r>
      <w:r>
        <w:rPr>
          <w:lang w:eastAsia="lt-LT"/>
        </w:rPr>
        <w:t>04.</w:t>
      </w:r>
    </w:p>
    <w:p w14:paraId="0BCA7903" w14:textId="6F6EA148" w:rsidR="00577744" w:rsidRDefault="00577744" w:rsidP="00577744">
      <w:pPr>
        <w:pStyle w:val="VVKT"/>
        <w:rPr>
          <w:color w:val="000000"/>
          <w:szCs w:val="24"/>
          <w:lang w:eastAsia="lt-LT"/>
        </w:rPr>
      </w:pPr>
      <w:r>
        <w:rPr>
          <w:rFonts w:eastAsia="Arial"/>
        </w:rPr>
        <w:t>Ekonominiame m</w:t>
      </w:r>
      <w:r w:rsidRPr="00475AA4">
        <w:rPr>
          <w:rFonts w:eastAsia="Arial"/>
        </w:rPr>
        <w:t>odelyje taikoma ilgesnė laiko perspektyva, besitęsianti po klinikinio tyrimo stebėsenos pabaigos</w:t>
      </w:r>
      <w:r>
        <w:rPr>
          <w:rFonts w:eastAsia="Arial"/>
        </w:rPr>
        <w:t xml:space="preserve">. Atliekant detalųjį vertinimą buvo vertinamas pareiškėjo pasirinktų prielaidų pagrįstumas. </w:t>
      </w:r>
      <w:r w:rsidRPr="002F40A7">
        <w:rPr>
          <w:color w:val="000000"/>
          <w:szCs w:val="24"/>
          <w:lang w:eastAsia="lt-LT"/>
        </w:rPr>
        <w:t>Pareiškėjo taikomos prielaidos, vertinant efektyvumo skirtumus tarp siūlomo ir palyginamojo gydymo ilgajame laikotarpyje yra</w:t>
      </w:r>
      <w:r w:rsidRPr="002F40A7">
        <w:rPr>
          <w:iCs/>
          <w:color w:val="000000" w:themeColor="text1"/>
          <w:szCs w:val="24"/>
          <w:lang w:eastAsia="lt-LT"/>
        </w:rPr>
        <w:t xml:space="preserve"> nepakankamai </w:t>
      </w:r>
      <w:r w:rsidRPr="002F40A7">
        <w:rPr>
          <w:color w:val="000000"/>
          <w:szCs w:val="24"/>
          <w:lang w:eastAsia="lt-LT"/>
        </w:rPr>
        <w:t xml:space="preserve">pagrįstos – trūksta pagrindimo, kodėl  pareiškėjas atlikdamas parametrinių skirstinių tinkamumo vertinimą statistiniais ir vizualaus vertinimo  metodais pagrindinio atvejo analizėje pasirenka ne patį tinkamiausią pagal AIC ir BIC kriterijus parametrinį skirstinį, o, kaip taisyklė, tą, kuris lemia optimistiškesnį vertinimą, pvz., pasirenkant gydymo trukmės parametrinį skirstinį  neaišku kodėl pasirinktas ne </w:t>
      </w:r>
      <w:r w:rsidR="00AC2FCC">
        <w:rPr>
          <w:color w:val="000000"/>
          <w:szCs w:val="24"/>
          <w:lang w:eastAsia="lt-LT"/>
        </w:rPr>
        <w:t>***</w:t>
      </w:r>
      <w:r w:rsidRPr="002F40A7">
        <w:rPr>
          <w:color w:val="000000"/>
          <w:szCs w:val="24"/>
          <w:lang w:eastAsia="lt-LT"/>
        </w:rPr>
        <w:t xml:space="preserve"> parametrinis skirstinys, o </w:t>
      </w:r>
      <w:r w:rsidR="00AC2FCC">
        <w:rPr>
          <w:color w:val="000000"/>
          <w:szCs w:val="24"/>
          <w:lang w:eastAsia="lt-LT"/>
        </w:rPr>
        <w:t>***</w:t>
      </w:r>
      <w:r w:rsidRPr="002F40A7">
        <w:rPr>
          <w:color w:val="000000"/>
          <w:szCs w:val="24"/>
          <w:lang w:eastAsia="lt-LT"/>
        </w:rPr>
        <w:t>, kuris lemia optimistiškiausią gydymo trukmės prielaidą.</w:t>
      </w:r>
    </w:p>
    <w:p w14:paraId="0286C7B1" w14:textId="4B114F1E" w:rsidR="00577744" w:rsidRDefault="00577744" w:rsidP="00577744">
      <w:pPr>
        <w:pStyle w:val="VVKT"/>
        <w:rPr>
          <w:color w:val="000000"/>
          <w:szCs w:val="24"/>
          <w:lang w:eastAsia="lt-LT"/>
        </w:rPr>
      </w:pPr>
      <w:r w:rsidRPr="00577744">
        <w:rPr>
          <w:color w:val="000000"/>
          <w:szCs w:val="24"/>
          <w:lang w:eastAsia="lt-LT"/>
        </w:rPr>
        <w:t xml:space="preserve">Tarnybos nuomone, </w:t>
      </w:r>
      <w:r w:rsidRPr="00AC2FCC">
        <w:rPr>
          <w:color w:val="000000"/>
          <w:szCs w:val="24"/>
          <w:lang w:eastAsia="lt-LT"/>
        </w:rPr>
        <w:t>gyvenimo kokybės vertinimas analizėje yra galimai neapibrėžtas. DESTINY-Breast</w:t>
      </w:r>
      <w:r w:rsidR="007B08AD" w:rsidRPr="00AC2FCC">
        <w:rPr>
          <w:color w:val="000000"/>
          <w:szCs w:val="24"/>
          <w:lang w:eastAsia="lt-LT"/>
        </w:rPr>
        <w:t xml:space="preserve"> </w:t>
      </w:r>
      <w:r w:rsidRPr="00AC2FCC">
        <w:rPr>
          <w:color w:val="000000"/>
          <w:szCs w:val="24"/>
          <w:lang w:eastAsia="lt-LT"/>
        </w:rPr>
        <w:t>04 tyrimo metu apskaičiuotas gyvenimo kokybės koeficientai būklėms iki ligos progresijos ir ligai progresavus, Tarnybos nuomone, atsižvelgiant į pacientų populiacijos ligos sunkumą, tikėtina yra per aukšti (artimi bendros populiacijos gyvenimo kokybės koeficiento reikšmei). Tam galimai daro įtakos atviras klinikinio tyrimo DESTINY-Breast</w:t>
      </w:r>
      <w:r w:rsidR="007B08AD" w:rsidRPr="00AC2FCC">
        <w:rPr>
          <w:color w:val="000000"/>
          <w:szCs w:val="24"/>
          <w:lang w:eastAsia="lt-LT"/>
        </w:rPr>
        <w:t xml:space="preserve"> </w:t>
      </w:r>
      <w:r w:rsidRPr="00AC2FCC">
        <w:rPr>
          <w:color w:val="000000"/>
          <w:szCs w:val="24"/>
          <w:lang w:eastAsia="lt-LT"/>
        </w:rPr>
        <w:t>04 dizainas. Taip pat yra stebimas stebėtinai mažas gyvenimo kokybės dekrementas ligai progresavus.</w:t>
      </w:r>
    </w:p>
    <w:p w14:paraId="0D153971" w14:textId="77777777" w:rsidR="00AD041C" w:rsidRDefault="00AD041C" w:rsidP="00AD041C">
      <w:pPr>
        <w:pStyle w:val="VVKT"/>
      </w:pPr>
      <w:bookmarkStart w:id="2" w:name="_Hlk166121391"/>
      <w:r>
        <w:t>Į ekonominę analizę įtraukiami šie kaštai:</w:t>
      </w:r>
    </w:p>
    <w:p w14:paraId="02494A58" w14:textId="77777777" w:rsidR="00AD041C" w:rsidRDefault="00AD041C" w:rsidP="00AD041C">
      <w:pPr>
        <w:pStyle w:val="VVKT"/>
        <w:numPr>
          <w:ilvl w:val="0"/>
          <w:numId w:val="16"/>
        </w:numPr>
      </w:pPr>
      <w:r>
        <w:t>Vaistinių preparatų įsigijimo kaštai</w:t>
      </w:r>
    </w:p>
    <w:p w14:paraId="50B5BE7A" w14:textId="77777777" w:rsidR="00AD041C" w:rsidRDefault="00AD041C" w:rsidP="00AD041C">
      <w:pPr>
        <w:pStyle w:val="VVKT"/>
        <w:numPr>
          <w:ilvl w:val="0"/>
          <w:numId w:val="16"/>
        </w:numPr>
      </w:pPr>
      <w:r>
        <w:t>Nepageidaujamų reiškinių valdymo kaštai</w:t>
      </w:r>
    </w:p>
    <w:p w14:paraId="6759241D" w14:textId="77777777" w:rsidR="00AD041C" w:rsidRDefault="00AD041C" w:rsidP="00AD041C">
      <w:pPr>
        <w:pStyle w:val="VVKT"/>
        <w:numPr>
          <w:ilvl w:val="0"/>
          <w:numId w:val="16"/>
        </w:numPr>
      </w:pPr>
      <w:r>
        <w:t>Vaistinių preparatų administravimo (suleidimo) kaštai</w:t>
      </w:r>
    </w:p>
    <w:p w14:paraId="61CB5C8D" w14:textId="77777777" w:rsidR="00AD041C" w:rsidRDefault="00AD041C" w:rsidP="00AD041C">
      <w:pPr>
        <w:pStyle w:val="VVKT"/>
        <w:numPr>
          <w:ilvl w:val="0"/>
          <w:numId w:val="16"/>
        </w:numPr>
      </w:pPr>
      <w:r>
        <w:t>Sveikatos priežiūros paslaugų kaštai.</w:t>
      </w:r>
    </w:p>
    <w:bookmarkEnd w:id="2"/>
    <w:p w14:paraId="5D3EBA62" w14:textId="77777777" w:rsidR="00AD041C" w:rsidRDefault="00AD041C" w:rsidP="00AD041C">
      <w:pPr>
        <w:pStyle w:val="VVKT"/>
        <w:rPr>
          <w:lang w:eastAsia="lt-LT"/>
        </w:rPr>
      </w:pPr>
    </w:p>
    <w:p w14:paraId="4081991D" w14:textId="7574FEA3" w:rsidR="00AD041C" w:rsidRDefault="00AD041C" w:rsidP="00AD041C">
      <w:pPr>
        <w:pStyle w:val="VVKT"/>
        <w:rPr>
          <w:lang w:eastAsia="lt-LT"/>
        </w:rPr>
      </w:pPr>
      <w:r>
        <w:rPr>
          <w:lang w:eastAsia="lt-LT"/>
        </w:rPr>
        <w:t xml:space="preserve">Paraiškos vertinimo metu buvo nustatyta esminių prieštaravimų, kurie buvo pateikti pareiškėjui. Dalį jų pareiškėjas išsprendė atsižvelgdamas į Tarnybos pateiktas pastabas. </w:t>
      </w:r>
    </w:p>
    <w:p w14:paraId="160BFEAC" w14:textId="2459BCB6" w:rsidR="00AD041C" w:rsidRPr="00777AE6" w:rsidRDefault="00AD041C" w:rsidP="00AD041C">
      <w:pPr>
        <w:pStyle w:val="VVKT"/>
        <w:rPr>
          <w:lang w:eastAsia="lt-LT"/>
        </w:rPr>
      </w:pPr>
      <w:r>
        <w:rPr>
          <w:lang w:eastAsia="lt-LT"/>
        </w:rPr>
        <w:t xml:space="preserve">Tarnyba, siekdama atsižvelgti į pareiškėjo vertinimo metu neišspręstus esminius prieštaravimus, perskaičiuodama ekonominės analizės rezultatus </w:t>
      </w:r>
      <w:r w:rsidRPr="00777AE6">
        <w:rPr>
          <w:lang w:eastAsia="lt-LT"/>
        </w:rPr>
        <w:t>atliko šiuos pagrindinio atvejo analizės pakeitimus:</w:t>
      </w:r>
    </w:p>
    <w:p w14:paraId="6535CB92" w14:textId="0A1E5DF3" w:rsidR="00AD041C" w:rsidRPr="00777AE6" w:rsidRDefault="00AD041C" w:rsidP="00AD041C">
      <w:pPr>
        <w:pStyle w:val="VVKT"/>
        <w:numPr>
          <w:ilvl w:val="0"/>
          <w:numId w:val="17"/>
        </w:numPr>
        <w:rPr>
          <w:lang w:eastAsia="lt-LT"/>
        </w:rPr>
      </w:pPr>
      <w:r w:rsidRPr="00777AE6">
        <w:rPr>
          <w:lang w:eastAsia="lt-LT"/>
        </w:rPr>
        <w:t xml:space="preserve">Modeliuojant BI taikomas </w:t>
      </w:r>
      <w:r w:rsidR="00777AE6">
        <w:rPr>
          <w:i/>
          <w:iCs/>
          <w:lang w:eastAsia="lt-LT"/>
        </w:rPr>
        <w:t>***</w:t>
      </w:r>
      <w:r w:rsidRPr="00777AE6">
        <w:rPr>
          <w:lang w:eastAsia="lt-LT"/>
        </w:rPr>
        <w:t xml:space="preserve"> parametrinis skirstinys abejoms gydymo šakoms. Pareiškėjas nepagrindė pasirinktų BI  modeliavimo prielaidų pasirinkimo, todėl Tarnyba, siekdama sumažinti analizės neapibrėžtumą renkasi parametrinį skirtinį, kuris, remiantis objektyviais kriterijais, yra tinkamesnis. Tokiu būdu yra sumažinama tikimybė, kad trastuzumabo derukstekano nauda yra pervertinama. </w:t>
      </w:r>
    </w:p>
    <w:p w14:paraId="5BCF9DFE" w14:textId="7EE8DA67" w:rsidR="00AD041C" w:rsidRDefault="00AD041C" w:rsidP="00AD041C">
      <w:pPr>
        <w:pStyle w:val="VVKT"/>
        <w:numPr>
          <w:ilvl w:val="0"/>
          <w:numId w:val="17"/>
        </w:numPr>
        <w:rPr>
          <w:lang w:eastAsia="lt-LT"/>
        </w:rPr>
      </w:pPr>
      <w:r w:rsidRPr="00777AE6">
        <w:rPr>
          <w:lang w:eastAsia="lt-LT"/>
        </w:rPr>
        <w:t xml:space="preserve">Modeliuojant gydymo trukmę taikomas </w:t>
      </w:r>
      <w:r w:rsidR="00E97FC7">
        <w:rPr>
          <w:i/>
          <w:iCs/>
          <w:lang w:eastAsia="lt-LT"/>
        </w:rPr>
        <w:t>***</w:t>
      </w:r>
      <w:r w:rsidRPr="00777AE6">
        <w:rPr>
          <w:lang w:eastAsia="lt-LT"/>
        </w:rPr>
        <w:t xml:space="preserve"> parametrinis skirstinys abejoms gydymo šakoms. Pareiškėjas nepagrindė pasirinktų gydymo trukmės modeliavimo prielaidų pasirinkimo, todėl Tarnyba, siekdama sumažinti analizės</w:t>
      </w:r>
      <w:r>
        <w:rPr>
          <w:lang w:eastAsia="lt-LT"/>
        </w:rPr>
        <w:t xml:space="preserve"> neapibrėžtumą renkasi parametrinį skirtinį, kuris, remiantis objektyviais kriterijais, yra tinkamesnis. Tokiu būdu yra sumažinama tikimybė, kad trastuzumabo derukstekano kaštai yra nepakankamai įvertinami. </w:t>
      </w:r>
    </w:p>
    <w:p w14:paraId="46ED0013" w14:textId="6C62E22A" w:rsidR="00AD041C" w:rsidRDefault="00AD041C" w:rsidP="00AD041C">
      <w:pPr>
        <w:pStyle w:val="VVKT"/>
        <w:numPr>
          <w:ilvl w:val="0"/>
          <w:numId w:val="17"/>
        </w:numPr>
        <w:rPr>
          <w:lang w:eastAsia="lt-LT"/>
        </w:rPr>
      </w:pPr>
      <w:r>
        <w:rPr>
          <w:lang w:eastAsia="lt-LT"/>
        </w:rPr>
        <w:t xml:space="preserve">Būklėje  po  ligos  progresavimo taikomi </w:t>
      </w:r>
      <w:r w:rsidR="00E97FC7">
        <w:rPr>
          <w:i/>
          <w:iCs/>
          <w:lang w:eastAsia="lt-LT"/>
        </w:rPr>
        <w:t>***</w:t>
      </w:r>
      <w:r>
        <w:rPr>
          <w:lang w:eastAsia="lt-LT"/>
        </w:rPr>
        <w:t xml:space="preserve"> gyvenimo  kokybės koeficientai.  Šią prielaidą pasiūlė pareiškėjas argumentuodamas tuo, kad</w:t>
      </w:r>
      <w:r w:rsidR="00A20EE4">
        <w:rPr>
          <w:lang w:eastAsia="lt-LT"/>
        </w:rPr>
        <w:t xml:space="preserve"> ***</w:t>
      </w:r>
      <w:r w:rsidRPr="0031155E">
        <w:rPr>
          <w:lang w:eastAsia="lt-LT"/>
        </w:rPr>
        <w:t xml:space="preserve"> geriau atspindi būkles po ligos progresavimo (PD)</w:t>
      </w:r>
      <w:r>
        <w:rPr>
          <w:lang w:eastAsia="lt-LT"/>
        </w:rPr>
        <w:t xml:space="preserve">. </w:t>
      </w:r>
    </w:p>
    <w:p w14:paraId="0D28BAD6" w14:textId="07C2F3A1" w:rsidR="00AD041C" w:rsidRPr="00500D48" w:rsidRDefault="00AD041C" w:rsidP="00AD041C">
      <w:pPr>
        <w:pStyle w:val="VVKT"/>
        <w:numPr>
          <w:ilvl w:val="0"/>
          <w:numId w:val="17"/>
        </w:numPr>
        <w:rPr>
          <w:lang w:eastAsia="lt-LT"/>
        </w:rPr>
      </w:pPr>
      <w:r w:rsidRPr="00500D48">
        <w:rPr>
          <w:lang w:eastAsia="lt-LT"/>
        </w:rPr>
        <w:t xml:space="preserve">Nuimta trastuzumabo derukstekano </w:t>
      </w:r>
      <w:r w:rsidR="00500D48">
        <w:rPr>
          <w:lang w:eastAsia="lt-LT"/>
        </w:rPr>
        <w:t>***</w:t>
      </w:r>
      <w:r w:rsidRPr="00500D48">
        <w:rPr>
          <w:lang w:eastAsia="lt-LT"/>
        </w:rPr>
        <w:t xml:space="preserve">, kuri atnaujintoje analizėje kažkodėl yra taikoma,  nors pareiškėjas atsakymuose į pateiktus klausimus to neaprašo ir nebuvo pateikęs </w:t>
      </w:r>
      <w:r w:rsidR="00A75062">
        <w:rPr>
          <w:lang w:eastAsia="lt-LT"/>
        </w:rPr>
        <w:t>***</w:t>
      </w:r>
      <w:r w:rsidRPr="00500D48">
        <w:rPr>
          <w:lang w:eastAsia="lt-LT"/>
        </w:rPr>
        <w:t xml:space="preserve">. </w:t>
      </w:r>
    </w:p>
    <w:p w14:paraId="490983E1" w14:textId="5EB705BA" w:rsidR="00AD041C" w:rsidRDefault="00AD041C" w:rsidP="00577744">
      <w:pPr>
        <w:pStyle w:val="VVKT"/>
        <w:rPr>
          <w:color w:val="000000"/>
          <w:szCs w:val="24"/>
          <w:lang w:eastAsia="lt-LT"/>
        </w:rPr>
      </w:pPr>
      <w:r>
        <w:rPr>
          <w:color w:val="000000"/>
          <w:szCs w:val="24"/>
          <w:lang w:eastAsia="lt-LT"/>
        </w:rPr>
        <w:lastRenderedPageBreak/>
        <w:t xml:space="preserve">Ekonominės analizės rezultatai rodo, kad Enhertu kaštų naudingumas nėra priimtinas – apskaičiuota inkrementinė kaštų naudingumo vertė viršija referencinę kaštų naudingumo vertę. </w:t>
      </w:r>
    </w:p>
    <w:bookmarkEnd w:id="1"/>
    <w:p w14:paraId="1E786032" w14:textId="77777777" w:rsidR="00B502C6" w:rsidRPr="00E33EFF" w:rsidRDefault="00B502C6"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B502C6">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9" w:type="dxa"/>
            <w:tcBorders>
              <w:right w:val="single" w:sz="4" w:space="0" w:color="auto"/>
            </w:tcBorders>
          </w:tcPr>
          <w:p w14:paraId="1CACF0B4" w14:textId="136C62E8" w:rsidR="00BA5DBC" w:rsidRPr="00A75062" w:rsidRDefault="00A75062" w:rsidP="00AD041C">
            <w:pPr>
              <w:tabs>
                <w:tab w:val="left" w:pos="567"/>
              </w:tabs>
              <w:jc w:val="center"/>
              <w:rPr>
                <w:i/>
                <w:iCs/>
                <w:lang w:eastAsia="lt-LT"/>
              </w:rPr>
            </w:pPr>
            <w:r w:rsidRPr="00A75062">
              <w:rPr>
                <w:lang w:eastAsia="lt-LT"/>
              </w:rPr>
              <w:t>***</w:t>
            </w:r>
          </w:p>
        </w:tc>
      </w:tr>
      <w:tr w:rsidR="00BA5DBC" w:rsidRPr="00E33EFF" w14:paraId="49F818A3" w14:textId="77777777" w:rsidTr="00B502C6">
        <w:trPr>
          <w:trHeight w:val="267"/>
          <w:jc w:val="center"/>
        </w:trPr>
        <w:tc>
          <w:tcPr>
            <w:tcW w:w="6200" w:type="dxa"/>
            <w:tcBorders>
              <w:left w:val="single" w:sz="4" w:space="0" w:color="auto"/>
            </w:tcBorders>
          </w:tcPr>
          <w:p w14:paraId="021DB925" w14:textId="389F1BF5" w:rsidR="00BA5DBC" w:rsidRPr="00E33EFF" w:rsidRDefault="00BA5DBC" w:rsidP="00BA5DBC">
            <w:pPr>
              <w:tabs>
                <w:tab w:val="left" w:pos="567"/>
              </w:tabs>
              <w:jc w:val="right"/>
              <w:rPr>
                <w:iCs/>
                <w:lang w:eastAsia="lt-LT"/>
              </w:rPr>
            </w:pPr>
            <w:r w:rsidRPr="00E33EFF">
              <w:rPr>
                <w:iCs/>
                <w:lang w:eastAsia="lt-LT"/>
              </w:rPr>
              <w:t>Papildomi gyvenimo metai (LY)</w:t>
            </w:r>
          </w:p>
        </w:tc>
        <w:tc>
          <w:tcPr>
            <w:tcW w:w="3239" w:type="dxa"/>
            <w:tcBorders>
              <w:right w:val="single" w:sz="4" w:space="0" w:color="auto"/>
            </w:tcBorders>
          </w:tcPr>
          <w:p w14:paraId="4954817B" w14:textId="526741A9" w:rsidR="00BA5DBC" w:rsidRPr="00A75062" w:rsidRDefault="00A75062" w:rsidP="00AD041C">
            <w:pPr>
              <w:tabs>
                <w:tab w:val="left" w:pos="567"/>
              </w:tabs>
              <w:jc w:val="center"/>
              <w:rPr>
                <w:i/>
                <w:iCs/>
                <w:lang w:eastAsia="lt-LT"/>
              </w:rPr>
            </w:pPr>
            <w:r>
              <w:rPr>
                <w:lang w:eastAsia="lt-LT"/>
              </w:rPr>
              <w:t>***</w:t>
            </w:r>
          </w:p>
        </w:tc>
      </w:tr>
      <w:tr w:rsidR="00BA5DBC" w:rsidRPr="00E33EFF" w14:paraId="20ADA742" w14:textId="77777777" w:rsidTr="00B502C6">
        <w:trPr>
          <w:trHeight w:val="267"/>
          <w:jc w:val="center"/>
        </w:trPr>
        <w:tc>
          <w:tcPr>
            <w:tcW w:w="6200" w:type="dxa"/>
            <w:tcBorders>
              <w:left w:val="single" w:sz="4" w:space="0" w:color="auto"/>
            </w:tcBorders>
          </w:tcPr>
          <w:p w14:paraId="0F567576" w14:textId="2606A2E9" w:rsidR="00BA5DBC" w:rsidRPr="00E33EFF" w:rsidRDefault="0058712F" w:rsidP="00BA5DBC">
            <w:pPr>
              <w:tabs>
                <w:tab w:val="left" w:pos="567"/>
              </w:tabs>
              <w:jc w:val="right"/>
              <w:rPr>
                <w:iCs/>
                <w:lang w:eastAsia="lt-LT"/>
              </w:rPr>
            </w:pPr>
            <w:r w:rsidRPr="00E33EFF">
              <w:rPr>
                <w:iCs/>
                <w:lang w:eastAsia="lt-LT"/>
              </w:rPr>
              <w:t>Papildomi k</w:t>
            </w:r>
            <w:r w:rsidR="00BA5DBC" w:rsidRPr="00E33EFF">
              <w:rPr>
                <w:iCs/>
                <w:lang w:eastAsia="lt-LT"/>
              </w:rPr>
              <w:t>okybiški gyvenimo metai (QALY)</w:t>
            </w:r>
          </w:p>
        </w:tc>
        <w:tc>
          <w:tcPr>
            <w:tcW w:w="3239" w:type="dxa"/>
            <w:tcBorders>
              <w:right w:val="single" w:sz="4" w:space="0" w:color="auto"/>
            </w:tcBorders>
          </w:tcPr>
          <w:p w14:paraId="02E4DAE1" w14:textId="29159C9E" w:rsidR="00BA5DBC" w:rsidRPr="00A75062" w:rsidRDefault="00A75062" w:rsidP="00AD041C">
            <w:pPr>
              <w:tabs>
                <w:tab w:val="left" w:pos="567"/>
              </w:tabs>
              <w:jc w:val="center"/>
              <w:rPr>
                <w:i/>
                <w:iCs/>
                <w:lang w:eastAsia="lt-LT"/>
              </w:rPr>
            </w:pPr>
            <w:r>
              <w:rPr>
                <w:lang w:eastAsia="lt-LT"/>
              </w:rPr>
              <w:t>***</w:t>
            </w:r>
          </w:p>
        </w:tc>
      </w:tr>
      <w:tr w:rsidR="00B502C6" w:rsidRPr="00E33EFF" w14:paraId="1FADA2B3" w14:textId="77777777" w:rsidTr="00B502C6">
        <w:trPr>
          <w:trHeight w:val="267"/>
          <w:jc w:val="center"/>
        </w:trPr>
        <w:tc>
          <w:tcPr>
            <w:tcW w:w="6200" w:type="dxa"/>
            <w:tcBorders>
              <w:left w:val="single" w:sz="4" w:space="0" w:color="auto"/>
            </w:tcBorders>
          </w:tcPr>
          <w:p w14:paraId="13E089E8" w14:textId="0BCEB339" w:rsidR="00B502C6" w:rsidRPr="00E33EFF" w:rsidRDefault="00B502C6" w:rsidP="00B502C6">
            <w:pPr>
              <w:tabs>
                <w:tab w:val="left" w:pos="567"/>
              </w:tabs>
              <w:jc w:val="right"/>
              <w:rPr>
                <w:iCs/>
                <w:lang w:eastAsia="lt-LT"/>
              </w:rPr>
            </w:pPr>
            <w:r w:rsidRPr="00E33EFF">
              <w:rPr>
                <w:iCs/>
                <w:lang w:eastAsia="lt-LT"/>
              </w:rPr>
              <w:t>ICER už LY</w:t>
            </w:r>
          </w:p>
        </w:tc>
        <w:tc>
          <w:tcPr>
            <w:tcW w:w="3239" w:type="dxa"/>
            <w:tcBorders>
              <w:right w:val="single" w:sz="4" w:space="0" w:color="auto"/>
            </w:tcBorders>
          </w:tcPr>
          <w:p w14:paraId="2817448D" w14:textId="11C89E28" w:rsidR="00B502C6" w:rsidRPr="00A75062" w:rsidRDefault="00A75062" w:rsidP="00AD041C">
            <w:pPr>
              <w:tabs>
                <w:tab w:val="left" w:pos="567"/>
              </w:tabs>
              <w:jc w:val="center"/>
              <w:rPr>
                <w:i/>
                <w:iCs/>
                <w:lang w:eastAsia="lt-LT"/>
              </w:rPr>
            </w:pPr>
            <w:r>
              <w:t>***</w:t>
            </w:r>
          </w:p>
        </w:tc>
      </w:tr>
      <w:tr w:rsidR="00B502C6" w:rsidRPr="00E33EFF" w14:paraId="250DE960" w14:textId="77777777" w:rsidTr="00B502C6">
        <w:trPr>
          <w:trHeight w:val="267"/>
          <w:jc w:val="center"/>
        </w:trPr>
        <w:tc>
          <w:tcPr>
            <w:tcW w:w="6200" w:type="dxa"/>
            <w:tcBorders>
              <w:left w:val="single" w:sz="4" w:space="0" w:color="auto"/>
            </w:tcBorders>
          </w:tcPr>
          <w:p w14:paraId="207EFB23" w14:textId="77777777" w:rsidR="00B502C6" w:rsidRPr="00E33EFF" w:rsidRDefault="00B502C6" w:rsidP="00B502C6">
            <w:pPr>
              <w:tabs>
                <w:tab w:val="left" w:pos="567"/>
              </w:tabs>
              <w:jc w:val="right"/>
              <w:rPr>
                <w:iCs/>
                <w:lang w:eastAsia="lt-LT"/>
              </w:rPr>
            </w:pPr>
            <w:r w:rsidRPr="00E33EFF">
              <w:rPr>
                <w:iCs/>
                <w:lang w:eastAsia="lt-LT"/>
              </w:rPr>
              <w:t>ICER už QALY</w:t>
            </w:r>
          </w:p>
        </w:tc>
        <w:tc>
          <w:tcPr>
            <w:tcW w:w="3239" w:type="dxa"/>
            <w:tcBorders>
              <w:right w:val="single" w:sz="4" w:space="0" w:color="auto"/>
            </w:tcBorders>
          </w:tcPr>
          <w:p w14:paraId="4275320D" w14:textId="089F6816" w:rsidR="00B502C6" w:rsidRPr="00A75062" w:rsidRDefault="00A75062" w:rsidP="00AD041C">
            <w:pPr>
              <w:tabs>
                <w:tab w:val="left" w:pos="567"/>
              </w:tabs>
              <w:jc w:val="center"/>
              <w:rPr>
                <w:i/>
                <w:iCs/>
                <w:lang w:eastAsia="lt-LT"/>
              </w:rPr>
            </w:pPr>
            <w:r>
              <w:t>***</w:t>
            </w:r>
          </w:p>
        </w:tc>
      </w:tr>
      <w:tr w:rsidR="00B502C6" w:rsidRPr="00E33EFF" w14:paraId="2C4C68BA" w14:textId="77777777" w:rsidTr="00B502C6">
        <w:trPr>
          <w:trHeight w:val="267"/>
          <w:jc w:val="center"/>
        </w:trPr>
        <w:tc>
          <w:tcPr>
            <w:tcW w:w="6200" w:type="dxa"/>
            <w:tcBorders>
              <w:left w:val="single" w:sz="4" w:space="0" w:color="auto"/>
              <w:bottom w:val="single" w:sz="4" w:space="0" w:color="auto"/>
              <w:right w:val="single" w:sz="4" w:space="0" w:color="auto"/>
            </w:tcBorders>
          </w:tcPr>
          <w:p w14:paraId="21BEDABF" w14:textId="77777777" w:rsidR="00B502C6" w:rsidRPr="00E33EFF" w:rsidRDefault="00B502C6" w:rsidP="00B502C6">
            <w:pPr>
              <w:tabs>
                <w:tab w:val="left" w:pos="567"/>
              </w:tabs>
              <w:jc w:val="right"/>
              <w:rPr>
                <w:iCs/>
                <w:lang w:eastAsia="lt-LT"/>
              </w:rPr>
            </w:pPr>
            <w:r w:rsidRPr="00E33EFF">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6246FC74" w:rsidR="00B502C6" w:rsidRPr="00E33EFF" w:rsidRDefault="00B502C6" w:rsidP="00AD041C">
            <w:pPr>
              <w:tabs>
                <w:tab w:val="left" w:pos="567"/>
              </w:tabs>
              <w:jc w:val="center"/>
              <w:rPr>
                <w:i/>
                <w:iCs/>
                <w:lang w:eastAsia="lt-LT"/>
              </w:rPr>
            </w:pPr>
            <w:r w:rsidRPr="008851A3">
              <w:t>119 630</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angl. incremental cost-effectiveness ratio</w:t>
      </w:r>
      <w:r w:rsidR="00453862" w:rsidRPr="00E33EFF">
        <w:rPr>
          <w:iCs/>
          <w:sz w:val="20"/>
          <w:lang w:eastAsia="lt-LT"/>
        </w:rPr>
        <w:t>) inkrementinis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angl. life years</w:t>
      </w:r>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quality adjusted life years) </w:t>
      </w:r>
      <w:r w:rsidR="00453862" w:rsidRPr="00E33EFF">
        <w:rPr>
          <w:iCs/>
          <w:sz w:val="20"/>
          <w:lang w:eastAsia="lt-LT"/>
        </w:rPr>
        <w:t>kokybiški gyvenimo metai.</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5CEF23C"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FA5EC8">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531D5E3"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2D7ECC6C"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FA5EC8">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25580581"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FA5EC8">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CE72D0" w:rsidRDefault="002F0E4F" w:rsidP="00CC09D4">
      <w:pPr>
        <w:pStyle w:val="ListParagraph"/>
        <w:numPr>
          <w:ilvl w:val="0"/>
          <w:numId w:val="12"/>
        </w:numPr>
        <w:tabs>
          <w:tab w:val="left" w:pos="567"/>
        </w:tabs>
        <w:ind w:hanging="720"/>
        <w:rPr>
          <w:b/>
          <w:bCs/>
          <w:caps/>
        </w:rPr>
      </w:pPr>
      <w:r w:rsidRPr="00CE72D0">
        <w:rPr>
          <w:b/>
          <w:bCs/>
          <w:caps/>
        </w:rPr>
        <w:t xml:space="preserve">Išvada </w:t>
      </w:r>
    </w:p>
    <w:p w14:paraId="4958A31E" w14:textId="46724737" w:rsidR="00BD18D3" w:rsidRPr="00CE72D0" w:rsidRDefault="00BD18D3" w:rsidP="0061611B">
      <w:pPr>
        <w:rPr>
          <w:i/>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397FB1CF" w:rsidR="00B13D65" w:rsidRPr="00E33EFF" w:rsidRDefault="00000000"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FA5EC8">
                  <w:rPr>
                    <w:rStyle w:val="Style2"/>
                    <w:rFonts w:ascii="MS Gothic" w:eastAsia="MS Gothic" w:hAnsi="MS Gothic" w:hint="eastAsia"/>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6E1D7744" w:rsidR="00B13D65" w:rsidRPr="00E33EFF" w:rsidRDefault="00000000"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FA5EC8">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000000"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395540">
            <w:pPr>
              <w:jc w:val="both"/>
            </w:pPr>
          </w:p>
          <w:p w14:paraId="0ADEC30D" w14:textId="1353964F" w:rsidR="00B13D65" w:rsidRPr="00E33EFF" w:rsidRDefault="00000000" w:rsidP="00395540">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Kaštų naudingumas</w:t>
            </w:r>
          </w:p>
        </w:tc>
      </w:tr>
      <w:tr w:rsidR="00B13D65" w:rsidRPr="00E33EFF" w14:paraId="7091A05B" w14:textId="77777777" w:rsidTr="0061611B">
        <w:tc>
          <w:tcPr>
            <w:tcW w:w="4815" w:type="dxa"/>
          </w:tcPr>
          <w:p w14:paraId="69B2A994" w14:textId="565496E1" w:rsidR="00B13D65" w:rsidRPr="00E33EFF" w:rsidRDefault="00000000"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w:t>
            </w:r>
          </w:p>
          <w:p w14:paraId="3F76F153" w14:textId="77777777" w:rsidR="00662983" w:rsidRPr="00E33EFF" w:rsidRDefault="00662983"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73A261C1" w:rsidR="00B13D65" w:rsidRPr="00E33EFF" w:rsidRDefault="00000000"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w:t>
            </w:r>
            <w:r w:rsidR="00B00959" w:rsidRPr="00E33EFF">
              <w:t xml:space="preserve"> lyginant su įprasta klinikine praktika</w:t>
            </w:r>
          </w:p>
          <w:p w14:paraId="25E4BD1E" w14:textId="77777777" w:rsidR="00B13D65" w:rsidRPr="00E33EFF" w:rsidRDefault="00B13D65"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4EB46F4F" w:rsidR="00B13D65" w:rsidRPr="00E33EFF" w:rsidRDefault="00000000"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AD041C">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229ED51A" w14:textId="77777777" w:rsidR="00662983" w:rsidRPr="00E33EFF" w:rsidRDefault="00662983"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0996A771" w:rsidR="00B13D65" w:rsidRPr="00E33EFF" w:rsidRDefault="00000000"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w:t>
            </w:r>
            <w:r w:rsidR="00B00959" w:rsidRPr="00E33EFF">
              <w:t>, lyginant su įprasta klinikine praktika</w:t>
            </w:r>
          </w:p>
          <w:p w14:paraId="4A9C7D2A" w14:textId="77777777" w:rsidR="00662983" w:rsidRPr="00E33EFF" w:rsidRDefault="00662983"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000000"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39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B85C083" w14:textId="77777777" w:rsidR="009E44AE" w:rsidRPr="00E33EFF" w:rsidRDefault="009E44AE"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ListParagraph"/>
        <w:ind w:left="426"/>
      </w:pPr>
    </w:p>
    <w:p w14:paraId="00098A62" w14:textId="3D2E6544" w:rsidR="003D6208" w:rsidRPr="00AD041C" w:rsidRDefault="004F3B2B" w:rsidP="009171F2">
      <w:pPr>
        <w:spacing w:line="276" w:lineRule="auto"/>
        <w:ind w:firstLine="576"/>
        <w:jc w:val="both"/>
      </w:pPr>
      <w:r w:rsidRPr="00E33EFF">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 34.4. rekomenduojama </w:t>
      </w:r>
      <w:r w:rsidRPr="00E33EFF">
        <w:rPr>
          <w:i/>
        </w:rPr>
        <w:t xml:space="preserve">nekompensuoti </w:t>
      </w:r>
      <w:r w:rsidRPr="00E33EFF">
        <w:t>vaistinio preparato pagal paraiškoje nurodytą indikaciją</w:t>
      </w:r>
      <w:r w:rsidR="00AD041C">
        <w:t xml:space="preserve">, </w:t>
      </w:r>
      <w:r w:rsidRPr="00E33EFF">
        <w:t>be skyrimo sąlygų</w:t>
      </w:r>
      <w:r w:rsidR="00AD041C">
        <w:t xml:space="preserve">, </w:t>
      </w:r>
      <w:r w:rsidRPr="00E33EFF">
        <w:t>netaikant PGS</w:t>
      </w:r>
      <w:r w:rsidR="00AD041C">
        <w:t xml:space="preserve"> </w:t>
      </w:r>
      <w:r w:rsidRPr="00E33EFF">
        <w:t>dėl vertinimo išvadų</w:t>
      </w:r>
      <w:r w:rsidR="00613143">
        <w:t>, nurodytų 33.3 papunk</w:t>
      </w:r>
      <w:r w:rsidR="00E348BA">
        <w:t xml:space="preserve">tyje (žr. 6 skyrių), </w:t>
      </w:r>
      <w:r w:rsidRPr="00E33EFF">
        <w:t xml:space="preserve"> neatitikties </w:t>
      </w:r>
      <w:r w:rsidRPr="003D6208">
        <w:t>34.1 papunktyje išdėstyt</w:t>
      </w:r>
      <w:r w:rsidR="00CF27FD" w:rsidRPr="003D6208">
        <w:t>oms</w:t>
      </w:r>
      <w:r w:rsidRPr="003D6208">
        <w:t xml:space="preserve"> sąlyg</w:t>
      </w:r>
      <w:r w:rsidR="00CF27FD" w:rsidRPr="003D6208">
        <w:t>oms</w:t>
      </w:r>
      <w:r w:rsidR="00BF3927">
        <w:t>.</w:t>
      </w:r>
    </w:p>
    <w:p w14:paraId="672D2220" w14:textId="77777777" w:rsidR="00AD041C" w:rsidRDefault="00AD041C" w:rsidP="009171F2">
      <w:pPr>
        <w:tabs>
          <w:tab w:val="left" w:pos="567"/>
        </w:tabs>
        <w:spacing w:line="276" w:lineRule="auto"/>
        <w:ind w:left="567" w:hanging="567"/>
        <w:jc w:val="both"/>
        <w:rPr>
          <w:b/>
          <w:color w:val="000000"/>
          <w:lang w:eastAsia="lt-LT"/>
        </w:rPr>
      </w:pPr>
    </w:p>
    <w:p w14:paraId="7B1047A3" w14:textId="77777777" w:rsidR="009171F2" w:rsidRDefault="009171F2" w:rsidP="009171F2">
      <w:pPr>
        <w:spacing w:line="276" w:lineRule="auto"/>
        <w:jc w:val="both"/>
        <w:rPr>
          <w:b/>
          <w:bCs/>
        </w:rPr>
      </w:pPr>
      <w:r w:rsidRPr="00BF4562">
        <w:rPr>
          <w:b/>
          <w:bCs/>
        </w:rPr>
        <w:t>Papildomos pastabos ir pasiūlymai</w:t>
      </w:r>
    </w:p>
    <w:p w14:paraId="3A99333F" w14:textId="77777777" w:rsidR="009171F2" w:rsidRDefault="009171F2" w:rsidP="009171F2">
      <w:pPr>
        <w:tabs>
          <w:tab w:val="left" w:pos="426"/>
        </w:tabs>
        <w:spacing w:line="276" w:lineRule="auto"/>
        <w:jc w:val="center"/>
        <w:rPr>
          <w:color w:val="000000"/>
        </w:rPr>
      </w:pPr>
    </w:p>
    <w:p w14:paraId="6D9532B7" w14:textId="1BE91BA7" w:rsidR="009171F2" w:rsidRPr="009171F2" w:rsidRDefault="009171F2" w:rsidP="009171F2">
      <w:pPr>
        <w:spacing w:line="276" w:lineRule="auto"/>
        <w:ind w:firstLine="720"/>
        <w:jc w:val="both"/>
      </w:pPr>
      <w:r>
        <w:t>Atsižvelgiant į tai, kad t</w:t>
      </w:r>
      <w:r w:rsidRPr="00BF4562">
        <w:t>rastuzumab</w:t>
      </w:r>
      <w:r>
        <w:t>o</w:t>
      </w:r>
      <w:r w:rsidRPr="00BF4562">
        <w:t xml:space="preserve"> derukstekan</w:t>
      </w:r>
      <w:r>
        <w:t xml:space="preserve">o klinikinis veiksmingumas </w:t>
      </w:r>
      <w:r w:rsidRPr="00BF4562">
        <w:t>yra įvertintas kaip pagrindžiantis papildomos naudos pacientų sveikatai sukūrimą, lyginant su įprasta klinikine praktika</w:t>
      </w:r>
      <w:r>
        <w:t xml:space="preserve"> gydant </w:t>
      </w:r>
      <w:r w:rsidRPr="00BF4562">
        <w:t>nerezekuotinu arba metastazavusiu</w:t>
      </w:r>
      <w:r>
        <w:t xml:space="preserve"> mažos HER2 raiškos</w:t>
      </w:r>
      <w:r w:rsidRPr="00BF4562">
        <w:t xml:space="preserve"> krūties vėžiu suaugusi</w:t>
      </w:r>
      <w:r>
        <w:t>us</w:t>
      </w:r>
      <w:r w:rsidRPr="00BF4562">
        <w:t xml:space="preserve"> pacient</w:t>
      </w:r>
      <w:r>
        <w:t>us</w:t>
      </w:r>
      <w:r w:rsidRPr="00BF4562">
        <w:t xml:space="preserve">, kuriems </w:t>
      </w:r>
      <w:r w:rsidRPr="00961F2D">
        <w:t>jau taikyta metastazavusios ligos chemoterapija arba kuriems liga atsinaujino adjuvantinės chemoterapijos metu arba per 6 mėnesius nuo jos pabaigos</w:t>
      </w:r>
      <w:r w:rsidRPr="00BF4562">
        <w:t>,</w:t>
      </w:r>
      <w:r>
        <w:t xml:space="preserve"> </w:t>
      </w:r>
      <w:r w:rsidRPr="00BF4562">
        <w:t>vadovau</w:t>
      </w:r>
      <w:r w:rsidR="00EE363D">
        <w:t>jantis</w:t>
      </w:r>
      <w:r w:rsidRPr="00BF4562">
        <w:t xml:space="preserve"> Vaistinių preparatų ir medicinos pagalbos priemonių įrašymo į kompensavimo sąrašus ir jų keitimo tvarkos aprašo, patvirtinto Lietuvos Respublikos sveikatos apsaugos ministro 2002 m. balandžio 5 d. įsakymu Nr. 159 „Dėl Vaistinių preparatų ir medicinos pagalbos priemonių įrašymo į kompensavimo sąrašus ir jų keitimo tvarkos aprašo patvirtinimo“ 35 punktu, vaistinį preparatą trastuzumabo derukstekan</w:t>
      </w:r>
      <w:r>
        <w:t xml:space="preserve">ą </w:t>
      </w:r>
      <w:r w:rsidR="00EE363D">
        <w:t xml:space="preserve">būtų galima kompensuoti </w:t>
      </w:r>
      <w:r w:rsidR="00EE363D" w:rsidRPr="00850500">
        <w:t>jei</w:t>
      </w:r>
      <w:r w:rsidRPr="00850500">
        <w:t xml:space="preserve"> </w:t>
      </w:r>
      <w:r w:rsidR="00850500">
        <w:t>***</w:t>
      </w:r>
      <w:r w:rsidRPr="00850500">
        <w:t>.</w:t>
      </w:r>
      <w:r>
        <w:t xml:space="preserve">  </w:t>
      </w:r>
    </w:p>
    <w:p w14:paraId="470960AA" w14:textId="14BACDE8" w:rsidR="00CE72D0" w:rsidRPr="00904253" w:rsidRDefault="00CE72D0" w:rsidP="00904253">
      <w:pPr>
        <w:jc w:val="both"/>
        <w:rPr>
          <w:color w:val="000000"/>
        </w:rPr>
      </w:pPr>
      <w:r>
        <w:rPr>
          <w:color w:val="000000"/>
          <w:lang w:eastAsia="lt-LT"/>
        </w:rPr>
        <w:tab/>
      </w:r>
      <w:r w:rsidR="00904253">
        <w:rPr>
          <w:color w:val="000000"/>
          <w:lang w:eastAsia="lt-LT"/>
        </w:rPr>
        <w:t xml:space="preserve">Jei būtų priimtas sprendimas </w:t>
      </w:r>
      <w:r w:rsidRPr="00CE72D0">
        <w:rPr>
          <w:color w:val="000000"/>
          <w:lang w:eastAsia="lt-LT"/>
        </w:rPr>
        <w:t xml:space="preserve">kompensuoti, </w:t>
      </w:r>
      <w:r>
        <w:rPr>
          <w:color w:val="000000"/>
          <w:lang w:eastAsia="lt-LT"/>
        </w:rPr>
        <w:t>būtina peržiūrėti ir atnaujinti L</w:t>
      </w:r>
      <w:r>
        <w:rPr>
          <w:color w:val="000000"/>
        </w:rPr>
        <w:t>ietuvos R</w:t>
      </w:r>
      <w:r w:rsidRPr="00CE72D0">
        <w:rPr>
          <w:color w:val="000000"/>
        </w:rPr>
        <w:t>espublikos</w:t>
      </w:r>
      <w:r>
        <w:rPr>
          <w:color w:val="000000"/>
        </w:rPr>
        <w:t xml:space="preserve"> </w:t>
      </w:r>
      <w:r w:rsidR="00904253">
        <w:rPr>
          <w:color w:val="000000"/>
        </w:rPr>
        <w:t>S</w:t>
      </w:r>
      <w:r w:rsidRPr="00CE72D0">
        <w:rPr>
          <w:color w:val="000000"/>
        </w:rPr>
        <w:t>veikatos apsaugos ministro</w:t>
      </w:r>
      <w:r>
        <w:rPr>
          <w:color w:val="000000"/>
        </w:rPr>
        <w:t xml:space="preserve"> </w:t>
      </w:r>
      <w:r w:rsidR="00904253">
        <w:rPr>
          <w:color w:val="000000"/>
        </w:rPr>
        <w:t xml:space="preserve">2011 m. liepos 22 d. </w:t>
      </w:r>
      <w:r w:rsidR="00904253" w:rsidRPr="00904253">
        <w:rPr>
          <w:color w:val="000000"/>
        </w:rPr>
        <w:t>įsakymą</w:t>
      </w:r>
      <w:r w:rsidR="00904253">
        <w:rPr>
          <w:color w:val="000000"/>
        </w:rPr>
        <w:t xml:space="preserve"> N</w:t>
      </w:r>
      <w:r w:rsidR="00904253" w:rsidRPr="00CE72D0">
        <w:rPr>
          <w:color w:val="000000"/>
        </w:rPr>
        <w:t xml:space="preserve">r. </w:t>
      </w:r>
      <w:r w:rsidR="00904253">
        <w:rPr>
          <w:color w:val="000000"/>
        </w:rPr>
        <w:t>V</w:t>
      </w:r>
      <w:r w:rsidR="00904253" w:rsidRPr="00CE72D0">
        <w:rPr>
          <w:color w:val="000000"/>
        </w:rPr>
        <w:t>-713</w:t>
      </w:r>
      <w:r w:rsidR="00904253">
        <w:rPr>
          <w:color w:val="000000"/>
        </w:rPr>
        <w:t xml:space="preserve"> </w:t>
      </w:r>
      <w:r w:rsidR="00904253" w:rsidRPr="00904253">
        <w:rPr>
          <w:color w:val="000000"/>
        </w:rPr>
        <w:t>„D</w:t>
      </w:r>
      <w:r w:rsidRPr="00904253">
        <w:rPr>
          <w:bCs/>
          <w:color w:val="000000"/>
        </w:rPr>
        <w:t>ėl krūties piktybinio naviko ambulatorinio gydymo kompensuojamaisiais vaistais tvarkos aprašo patvirtinimo</w:t>
      </w:r>
      <w:r w:rsidR="00904253" w:rsidRPr="00904253">
        <w:rPr>
          <w:bCs/>
          <w:color w:val="000000"/>
        </w:rPr>
        <w:t>“.</w:t>
      </w:r>
    </w:p>
    <w:p w14:paraId="24B7A5E3" w14:textId="77777777" w:rsidR="00CE72D0" w:rsidRPr="00CE72D0" w:rsidRDefault="00CE72D0" w:rsidP="009171F2">
      <w:pPr>
        <w:tabs>
          <w:tab w:val="left" w:pos="567"/>
        </w:tabs>
        <w:jc w:val="both"/>
        <w:rPr>
          <w:color w:val="000000"/>
          <w:lang w:eastAsia="lt-LT"/>
        </w:rPr>
      </w:pPr>
    </w:p>
    <w:p w14:paraId="18B4292E" w14:textId="58A7363F"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5280E4B2" w:rsidR="000723FF" w:rsidRPr="00E33E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FA5EC8">
            <w:rPr>
              <w:rStyle w:val="Style2"/>
              <w:rFonts w:ascii="MS Gothic" w:eastAsia="MS Gothic" w:hAnsi="MS Gothic" w:hint="eastAsia"/>
            </w:rPr>
            <w:t>☒</w:t>
          </w:r>
        </w:sdtContent>
      </w:sdt>
      <w:r w:rsidR="000723FF" w:rsidRPr="00E33EFF">
        <w:t xml:space="preserve"> Siūloma kompensuoti Pareiškėjo teikiamą indikaciją be pakeitimų.</w:t>
      </w:r>
    </w:p>
    <w:p w14:paraId="7CFE08E9" w14:textId="77777777" w:rsidR="0065273D" w:rsidRPr="002A341E" w:rsidRDefault="0065273D" w:rsidP="002A341E">
      <w:pPr>
        <w:jc w:val="both"/>
        <w:rPr>
          <w:i/>
        </w:rPr>
      </w:pPr>
    </w:p>
    <w:p w14:paraId="597367EF" w14:textId="1B8440CD" w:rsidR="000723FF" w:rsidRPr="00E33EFF" w:rsidRDefault="00000000" w:rsidP="00824B92">
      <w:sdt>
        <w:sdtPr>
          <w:rPr>
            <w:rStyle w:val="Style2"/>
          </w:rPr>
          <w:id w:val="1467245146"/>
          <w15:color w:val="FFCC00"/>
          <w14:checkbox>
            <w14:checked w14:val="0"/>
            <w14:checkedState w14:val="2612" w14:font="MS Gothic"/>
            <w14:uncheckedState w14:val="2610" w14:font="MS Gothic"/>
          </w14:checkbox>
        </w:sdtPr>
        <w:sdtContent>
          <w:r w:rsidR="00AD041C">
            <w:rPr>
              <w:rStyle w:val="Style2"/>
              <w:rFonts w:ascii="MS Gothic" w:eastAsia="MS Gothic" w:hAnsi="MS Gothic" w:hint="eastAsia"/>
            </w:rPr>
            <w:t>☐</w:t>
          </w:r>
        </w:sdtContent>
      </w:sdt>
      <w:r w:rsidR="000723FF" w:rsidRPr="00E33EFF">
        <w:t xml:space="preserve"> Siūloma kompensuoti Pareiškėjo teikiamą indikaciją su pakeitimais.</w:t>
      </w:r>
    </w:p>
    <w:p w14:paraId="7DD65F7E" w14:textId="77777777" w:rsidR="000723FF" w:rsidRPr="00E33EFF" w:rsidRDefault="000723FF" w:rsidP="00824B92"/>
    <w:p w14:paraId="241A6E6B" w14:textId="77777777" w:rsidR="000723FF" w:rsidRPr="00E33EFF" w:rsidRDefault="000723FF" w:rsidP="00824B92">
      <w:pPr>
        <w:rPr>
          <w:b/>
        </w:rPr>
      </w:pPr>
      <w:r w:rsidRPr="00E33EFF">
        <w:rPr>
          <w:b/>
        </w:rPr>
        <w:t>Skyrimo sąlygos</w:t>
      </w:r>
    </w:p>
    <w:p w14:paraId="250ACC46" w14:textId="29F6AA46" w:rsidR="000723FF" w:rsidRPr="00E33EFF" w:rsidRDefault="00000000" w:rsidP="00824B92">
      <w:sdt>
        <w:sdtPr>
          <w:rPr>
            <w:rStyle w:val="Style2"/>
          </w:rPr>
          <w:id w:val="169305347"/>
          <w15:color w:val="FFCC00"/>
          <w14:checkbox>
            <w14:checked w14:val="0"/>
            <w14:checkedState w14:val="2612" w14:font="MS Gothic"/>
            <w14:uncheckedState w14:val="2610" w14:font="MS Gothic"/>
          </w14:checkbox>
        </w:sdtPr>
        <w:sdtContent>
          <w:r w:rsidR="007A2B68">
            <w:rPr>
              <w:rStyle w:val="Style2"/>
              <w:rFonts w:ascii="MS Gothic" w:eastAsia="MS Gothic" w:hAnsi="MS Gothic" w:hint="eastAsia"/>
            </w:rPr>
            <w:t>☐</w:t>
          </w:r>
        </w:sdtContent>
      </w:sdt>
      <w:r w:rsidR="000723FF" w:rsidRPr="00E33EFF">
        <w:t xml:space="preserve"> Pareiškėjo siūlomos skyrimo sąlygos priimtinos. </w:t>
      </w:r>
    </w:p>
    <w:p w14:paraId="22D41B0E" w14:textId="77777777" w:rsidR="00FA5EC8" w:rsidRDefault="00FA5EC8" w:rsidP="00824B92">
      <w:pPr>
        <w:rPr>
          <w:rStyle w:val="Style2"/>
        </w:rPr>
      </w:pPr>
    </w:p>
    <w:p w14:paraId="297867ED" w14:textId="7716053E" w:rsidR="000723FF" w:rsidRPr="00E33EFF" w:rsidRDefault="00000000" w:rsidP="00824B92">
      <w:sdt>
        <w:sdtPr>
          <w:rPr>
            <w:rStyle w:val="Style2"/>
          </w:rPr>
          <w:id w:val="1823936883"/>
          <w15:color w:val="FFCC00"/>
          <w14:checkbox>
            <w14:checked w14:val="1"/>
            <w14:checkedState w14:val="2612" w14:font="MS Gothic"/>
            <w14:uncheckedState w14:val="2610" w14:font="MS Gothic"/>
          </w14:checkbox>
        </w:sdtPr>
        <w:sdtContent>
          <w:r w:rsidR="00FA5EC8">
            <w:rPr>
              <w:rStyle w:val="Style2"/>
              <w:rFonts w:ascii="MS Gothic" w:eastAsia="MS Gothic" w:hAnsi="MS Gothic" w:hint="eastAsia"/>
            </w:rPr>
            <w:t>☒</w:t>
          </w:r>
        </w:sdtContent>
      </w:sdt>
      <w:r w:rsidR="000723FF" w:rsidRPr="00E33EFF">
        <w:t xml:space="preserve"> Pareiškėjo siūlomos skyrimo sąlygos nepriimtinos. </w:t>
      </w:r>
    </w:p>
    <w:p w14:paraId="0B37A580" w14:textId="302AD5D5" w:rsidR="000723FF" w:rsidRDefault="000723FF" w:rsidP="00824B92">
      <w:r w:rsidRPr="00E33EFF">
        <w:t>Siūlom</w:t>
      </w:r>
      <w:r w:rsidR="00EE363D">
        <w:t xml:space="preserve">os tokios </w:t>
      </w:r>
      <w:r w:rsidRPr="00E33EFF">
        <w:t>skyrimo sąlyg</w:t>
      </w:r>
      <w:r w:rsidR="00EE363D">
        <w:t>os</w:t>
      </w:r>
    </w:p>
    <w:p w14:paraId="5445835C" w14:textId="3AA6F809" w:rsidR="00904253" w:rsidRPr="00904253" w:rsidRDefault="00904253" w:rsidP="00904253">
      <w:pPr>
        <w:pStyle w:val="NoSpacing"/>
        <w:spacing w:line="276" w:lineRule="auto"/>
        <w:jc w:val="both"/>
        <w:rPr>
          <w:rFonts w:ascii="Times New Roman" w:hAnsi="Times New Roman"/>
          <w:sz w:val="24"/>
          <w:szCs w:val="24"/>
        </w:rPr>
      </w:pPr>
      <w:r w:rsidRPr="00904253">
        <w:rPr>
          <w:rFonts w:ascii="Times New Roman" w:hAnsi="Times New Roman"/>
          <w:sz w:val="24"/>
          <w:szCs w:val="24"/>
        </w:rPr>
        <w:t xml:space="preserve">Skiriama </w:t>
      </w:r>
      <w:r w:rsidRPr="00904253">
        <w:rPr>
          <w:rFonts w:ascii="Times New Roman" w:hAnsi="Times New Roman"/>
          <w:szCs w:val="24"/>
        </w:rPr>
        <w:t>nerezekuotinam arba metastazavusiam mažos HER2 raiškos krūties vėžiui gydyti kai</w:t>
      </w:r>
      <w:r w:rsidRPr="00904253">
        <w:rPr>
          <w:rFonts w:ascii="Times New Roman" w:hAnsi="Times New Roman"/>
          <w:sz w:val="24"/>
          <w:szCs w:val="24"/>
        </w:rPr>
        <w:t xml:space="preserve">, nustatoma hormonų receptorių, o žmogaus epidermio augimo faktoriaus receptoriaus 2 raiška, nustatyta imunohistochemininės analizės (IHC) būdu </w:t>
      </w:r>
      <w:r w:rsidRPr="00904253">
        <w:rPr>
          <w:rFonts w:ascii="Times New Roman" w:hAnsi="Times New Roman"/>
        </w:rPr>
        <w:t xml:space="preserve"> </w:t>
      </w:r>
      <w:r w:rsidRPr="00904253">
        <w:rPr>
          <w:rFonts w:ascii="Times New Roman" w:hAnsi="Times New Roman"/>
          <w:sz w:val="24"/>
          <w:szCs w:val="24"/>
        </w:rPr>
        <w:t>≤ 2+.</w:t>
      </w:r>
    </w:p>
    <w:p w14:paraId="7CDFF220" w14:textId="58191D98" w:rsidR="000723FF" w:rsidRPr="000723FF" w:rsidRDefault="000723FF" w:rsidP="00824B92">
      <w:pPr>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8869" w14:textId="77777777" w:rsidR="008E1EAB" w:rsidRDefault="008E1EAB">
      <w:r>
        <w:separator/>
      </w:r>
    </w:p>
  </w:endnote>
  <w:endnote w:type="continuationSeparator" w:id="0">
    <w:p w14:paraId="4634CF08" w14:textId="77777777" w:rsidR="008E1EAB" w:rsidRDefault="008E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95540" w:rsidRDefault="00395540">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7D0F" w14:textId="77777777" w:rsidR="008E1EAB" w:rsidRDefault="008E1EAB">
      <w:r>
        <w:separator/>
      </w:r>
    </w:p>
  </w:footnote>
  <w:footnote w:type="continuationSeparator" w:id="0">
    <w:p w14:paraId="5B64004C" w14:textId="77777777" w:rsidR="008E1EAB" w:rsidRDefault="008E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95540" w:rsidRDefault="003955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95540" w:rsidRDefault="00395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014EE126" w:rsidR="00395540" w:rsidRDefault="003955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7892">
      <w:rPr>
        <w:rStyle w:val="PageNumber"/>
        <w:noProof/>
      </w:rPr>
      <w:t>9</w:t>
    </w:r>
    <w:r>
      <w:rPr>
        <w:rStyle w:val="PageNumber"/>
      </w:rPr>
      <w:fldChar w:fldCharType="end"/>
    </w:r>
  </w:p>
  <w:p w14:paraId="13EC872E" w14:textId="77777777" w:rsidR="00395540" w:rsidRDefault="00395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95540" w:rsidRDefault="00395540"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4C2E33"/>
    <w:multiLevelType w:val="hybridMultilevel"/>
    <w:tmpl w:val="530446D2"/>
    <w:lvl w:ilvl="0" w:tplc="89B4579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B32CC9"/>
    <w:multiLevelType w:val="hybridMultilevel"/>
    <w:tmpl w:val="42D2DE50"/>
    <w:lvl w:ilvl="0" w:tplc="17AED6E8">
      <w:start w:val="3"/>
      <w:numFmt w:val="bullet"/>
      <w:lvlText w:val="-"/>
      <w:lvlJc w:val="left"/>
      <w:pPr>
        <w:ind w:left="852" w:hanging="360"/>
      </w:pPr>
      <w:rPr>
        <w:rFonts w:ascii="Times New Roman" w:eastAsia="Times New Roman" w:hAnsi="Times New Roman" w:cs="Times New Roman" w:hint="default"/>
      </w:rPr>
    </w:lvl>
    <w:lvl w:ilvl="1" w:tplc="04270003">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7954D5"/>
    <w:multiLevelType w:val="hybridMultilevel"/>
    <w:tmpl w:val="03763DC8"/>
    <w:lvl w:ilvl="0" w:tplc="B1548DF2">
      <w:start w:val="15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616124"/>
    <w:multiLevelType w:val="hybridMultilevel"/>
    <w:tmpl w:val="67CEDFE2"/>
    <w:lvl w:ilvl="0" w:tplc="4E64B7EC">
      <w:start w:val="9"/>
      <w:numFmt w:val="bullet"/>
      <w:lvlText w:val="-"/>
      <w:lvlJc w:val="left"/>
      <w:pPr>
        <w:ind w:left="792" w:hanging="360"/>
      </w:pPr>
      <w:rPr>
        <w:rFonts w:ascii="Times New Roman" w:eastAsia="Times New Roman" w:hAnsi="Times New Roman" w:cs="Times New Roman"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66657071"/>
    <w:multiLevelType w:val="hybridMultilevel"/>
    <w:tmpl w:val="0E9CF618"/>
    <w:lvl w:ilvl="0" w:tplc="FBEE8DB6">
      <w:start w:val="1"/>
      <w:numFmt w:val="decimal"/>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15"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540278">
    <w:abstractNumId w:val="7"/>
  </w:num>
  <w:num w:numId="2" w16cid:durableId="630982443">
    <w:abstractNumId w:val="2"/>
  </w:num>
  <w:num w:numId="3" w16cid:durableId="100539417">
    <w:abstractNumId w:val="11"/>
  </w:num>
  <w:num w:numId="4" w16cid:durableId="1136872066">
    <w:abstractNumId w:val="9"/>
  </w:num>
  <w:num w:numId="5" w16cid:durableId="925457324">
    <w:abstractNumId w:val="6"/>
  </w:num>
  <w:num w:numId="6" w16cid:durableId="1078870927">
    <w:abstractNumId w:val="5"/>
  </w:num>
  <w:num w:numId="7" w16cid:durableId="1049768729">
    <w:abstractNumId w:val="4"/>
  </w:num>
  <w:num w:numId="8" w16cid:durableId="1887132702">
    <w:abstractNumId w:val="16"/>
  </w:num>
  <w:num w:numId="9" w16cid:durableId="2017347020">
    <w:abstractNumId w:val="0"/>
  </w:num>
  <w:num w:numId="10" w16cid:durableId="194657246">
    <w:abstractNumId w:val="12"/>
  </w:num>
  <w:num w:numId="11" w16cid:durableId="1346441733">
    <w:abstractNumId w:val="15"/>
  </w:num>
  <w:num w:numId="12" w16cid:durableId="1244679214">
    <w:abstractNumId w:val="3"/>
  </w:num>
  <w:num w:numId="13" w16cid:durableId="1149174973">
    <w:abstractNumId w:val="1"/>
  </w:num>
  <w:num w:numId="14" w16cid:durableId="1254244097">
    <w:abstractNumId w:val="8"/>
  </w:num>
  <w:num w:numId="15" w16cid:durableId="1657294240">
    <w:abstractNumId w:val="13"/>
  </w:num>
  <w:num w:numId="16" w16cid:durableId="1832140159">
    <w:abstractNumId w:val="10"/>
  </w:num>
  <w:num w:numId="17" w16cid:durableId="11737653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0AB1"/>
    <w:rsid w:val="000718D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220"/>
    <w:rsid w:val="00130703"/>
    <w:rsid w:val="0013153F"/>
    <w:rsid w:val="001408B8"/>
    <w:rsid w:val="001517E2"/>
    <w:rsid w:val="001521D9"/>
    <w:rsid w:val="001554E2"/>
    <w:rsid w:val="00160105"/>
    <w:rsid w:val="00164146"/>
    <w:rsid w:val="0017369C"/>
    <w:rsid w:val="00175D57"/>
    <w:rsid w:val="00180C39"/>
    <w:rsid w:val="00180D96"/>
    <w:rsid w:val="00184BD3"/>
    <w:rsid w:val="001921F3"/>
    <w:rsid w:val="001B1993"/>
    <w:rsid w:val="001B3C5B"/>
    <w:rsid w:val="001C3320"/>
    <w:rsid w:val="001C4610"/>
    <w:rsid w:val="001D746F"/>
    <w:rsid w:val="001E4BBB"/>
    <w:rsid w:val="001E6304"/>
    <w:rsid w:val="0020381E"/>
    <w:rsid w:val="00213471"/>
    <w:rsid w:val="00215906"/>
    <w:rsid w:val="00241CD8"/>
    <w:rsid w:val="00244B09"/>
    <w:rsid w:val="002519CB"/>
    <w:rsid w:val="0025697F"/>
    <w:rsid w:val="00260258"/>
    <w:rsid w:val="00262AA1"/>
    <w:rsid w:val="0026370A"/>
    <w:rsid w:val="0026588E"/>
    <w:rsid w:val="00272428"/>
    <w:rsid w:val="00272948"/>
    <w:rsid w:val="00292392"/>
    <w:rsid w:val="002946C7"/>
    <w:rsid w:val="002A341E"/>
    <w:rsid w:val="002B3CC1"/>
    <w:rsid w:val="002C09E0"/>
    <w:rsid w:val="002C1BB1"/>
    <w:rsid w:val="002C2786"/>
    <w:rsid w:val="002C3A10"/>
    <w:rsid w:val="002C4A90"/>
    <w:rsid w:val="002C4ED5"/>
    <w:rsid w:val="002D02EF"/>
    <w:rsid w:val="002E0702"/>
    <w:rsid w:val="002E0AAD"/>
    <w:rsid w:val="002E57AD"/>
    <w:rsid w:val="002E6F80"/>
    <w:rsid w:val="002F0E4F"/>
    <w:rsid w:val="002F1053"/>
    <w:rsid w:val="002F3748"/>
    <w:rsid w:val="002F40A7"/>
    <w:rsid w:val="00317B0E"/>
    <w:rsid w:val="003336B2"/>
    <w:rsid w:val="00340760"/>
    <w:rsid w:val="00347FAA"/>
    <w:rsid w:val="0035172D"/>
    <w:rsid w:val="0036187D"/>
    <w:rsid w:val="00367EDB"/>
    <w:rsid w:val="00381024"/>
    <w:rsid w:val="00386307"/>
    <w:rsid w:val="003874DE"/>
    <w:rsid w:val="00393E9F"/>
    <w:rsid w:val="00395540"/>
    <w:rsid w:val="00395C30"/>
    <w:rsid w:val="0039696E"/>
    <w:rsid w:val="003B211A"/>
    <w:rsid w:val="003C141F"/>
    <w:rsid w:val="003C6B0E"/>
    <w:rsid w:val="003C7257"/>
    <w:rsid w:val="003C7E35"/>
    <w:rsid w:val="003D1877"/>
    <w:rsid w:val="003D1E99"/>
    <w:rsid w:val="003D6208"/>
    <w:rsid w:val="003E0F64"/>
    <w:rsid w:val="003E5C09"/>
    <w:rsid w:val="00400B33"/>
    <w:rsid w:val="00404E8A"/>
    <w:rsid w:val="0040622F"/>
    <w:rsid w:val="00413F24"/>
    <w:rsid w:val="00422853"/>
    <w:rsid w:val="00423160"/>
    <w:rsid w:val="004339FE"/>
    <w:rsid w:val="00453862"/>
    <w:rsid w:val="0045469B"/>
    <w:rsid w:val="00461338"/>
    <w:rsid w:val="00461C50"/>
    <w:rsid w:val="004677DB"/>
    <w:rsid w:val="0047414A"/>
    <w:rsid w:val="00476256"/>
    <w:rsid w:val="0048630F"/>
    <w:rsid w:val="004947A1"/>
    <w:rsid w:val="0049482A"/>
    <w:rsid w:val="004979D3"/>
    <w:rsid w:val="004A00E7"/>
    <w:rsid w:val="004A3A61"/>
    <w:rsid w:val="004B205D"/>
    <w:rsid w:val="004B59BA"/>
    <w:rsid w:val="004B5A03"/>
    <w:rsid w:val="004C263A"/>
    <w:rsid w:val="004C425A"/>
    <w:rsid w:val="004D48A6"/>
    <w:rsid w:val="004D7B8F"/>
    <w:rsid w:val="004E6458"/>
    <w:rsid w:val="004E6E7D"/>
    <w:rsid w:val="004F1AAC"/>
    <w:rsid w:val="004F1AE2"/>
    <w:rsid w:val="004F34F0"/>
    <w:rsid w:val="004F3B2B"/>
    <w:rsid w:val="004F6050"/>
    <w:rsid w:val="005005EF"/>
    <w:rsid w:val="00500D48"/>
    <w:rsid w:val="005123C2"/>
    <w:rsid w:val="0052144B"/>
    <w:rsid w:val="00524066"/>
    <w:rsid w:val="00524FEF"/>
    <w:rsid w:val="00526542"/>
    <w:rsid w:val="00534E11"/>
    <w:rsid w:val="00536BDD"/>
    <w:rsid w:val="005378D8"/>
    <w:rsid w:val="005400D9"/>
    <w:rsid w:val="005476A4"/>
    <w:rsid w:val="0055019B"/>
    <w:rsid w:val="00556E63"/>
    <w:rsid w:val="005601A4"/>
    <w:rsid w:val="00566DBB"/>
    <w:rsid w:val="005767DB"/>
    <w:rsid w:val="00577744"/>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E533E"/>
    <w:rsid w:val="005F651D"/>
    <w:rsid w:val="005F71D9"/>
    <w:rsid w:val="005F7602"/>
    <w:rsid w:val="00600E39"/>
    <w:rsid w:val="006031C8"/>
    <w:rsid w:val="006062BE"/>
    <w:rsid w:val="00613143"/>
    <w:rsid w:val="00613501"/>
    <w:rsid w:val="0061611B"/>
    <w:rsid w:val="006166A8"/>
    <w:rsid w:val="006174A1"/>
    <w:rsid w:val="00621D6C"/>
    <w:rsid w:val="00623482"/>
    <w:rsid w:val="00624494"/>
    <w:rsid w:val="00631F8A"/>
    <w:rsid w:val="00633B49"/>
    <w:rsid w:val="0064297F"/>
    <w:rsid w:val="00645102"/>
    <w:rsid w:val="00646CF3"/>
    <w:rsid w:val="0065273D"/>
    <w:rsid w:val="00653D11"/>
    <w:rsid w:val="00662983"/>
    <w:rsid w:val="006834D3"/>
    <w:rsid w:val="00685A7F"/>
    <w:rsid w:val="00692625"/>
    <w:rsid w:val="00695CD3"/>
    <w:rsid w:val="006A38B6"/>
    <w:rsid w:val="006B1987"/>
    <w:rsid w:val="006B5B71"/>
    <w:rsid w:val="006B6CB0"/>
    <w:rsid w:val="006C0296"/>
    <w:rsid w:val="006C2B64"/>
    <w:rsid w:val="006D4C85"/>
    <w:rsid w:val="006D66AC"/>
    <w:rsid w:val="006E33F6"/>
    <w:rsid w:val="006F1251"/>
    <w:rsid w:val="006F1C23"/>
    <w:rsid w:val="006F7892"/>
    <w:rsid w:val="00702C18"/>
    <w:rsid w:val="00703166"/>
    <w:rsid w:val="007127F3"/>
    <w:rsid w:val="00716622"/>
    <w:rsid w:val="007301CF"/>
    <w:rsid w:val="007316FB"/>
    <w:rsid w:val="007374D0"/>
    <w:rsid w:val="00737E2D"/>
    <w:rsid w:val="007424D5"/>
    <w:rsid w:val="00750A88"/>
    <w:rsid w:val="007523DD"/>
    <w:rsid w:val="00757B7E"/>
    <w:rsid w:val="007656B2"/>
    <w:rsid w:val="0077016F"/>
    <w:rsid w:val="007713AD"/>
    <w:rsid w:val="00777AE6"/>
    <w:rsid w:val="00791D43"/>
    <w:rsid w:val="00795DC5"/>
    <w:rsid w:val="00797153"/>
    <w:rsid w:val="007A21F7"/>
    <w:rsid w:val="007A2B68"/>
    <w:rsid w:val="007B08AD"/>
    <w:rsid w:val="007B0DDA"/>
    <w:rsid w:val="007C0875"/>
    <w:rsid w:val="007C6794"/>
    <w:rsid w:val="007C7519"/>
    <w:rsid w:val="007D0BAC"/>
    <w:rsid w:val="007D3347"/>
    <w:rsid w:val="007E37CB"/>
    <w:rsid w:val="007E5466"/>
    <w:rsid w:val="007F1949"/>
    <w:rsid w:val="007F2592"/>
    <w:rsid w:val="00800A08"/>
    <w:rsid w:val="008117DD"/>
    <w:rsid w:val="00817A84"/>
    <w:rsid w:val="008225A4"/>
    <w:rsid w:val="00824B92"/>
    <w:rsid w:val="00826D5E"/>
    <w:rsid w:val="00832013"/>
    <w:rsid w:val="00832DB7"/>
    <w:rsid w:val="00834732"/>
    <w:rsid w:val="00850500"/>
    <w:rsid w:val="0085200C"/>
    <w:rsid w:val="00857C52"/>
    <w:rsid w:val="00860D5F"/>
    <w:rsid w:val="00880A44"/>
    <w:rsid w:val="0088345E"/>
    <w:rsid w:val="0088556C"/>
    <w:rsid w:val="0088656F"/>
    <w:rsid w:val="00891EF6"/>
    <w:rsid w:val="00896888"/>
    <w:rsid w:val="008A0303"/>
    <w:rsid w:val="008A5376"/>
    <w:rsid w:val="008A5FDD"/>
    <w:rsid w:val="008C3947"/>
    <w:rsid w:val="008E1EAB"/>
    <w:rsid w:val="008E473B"/>
    <w:rsid w:val="008E51A6"/>
    <w:rsid w:val="008E7329"/>
    <w:rsid w:val="008F2ED5"/>
    <w:rsid w:val="00900207"/>
    <w:rsid w:val="00904253"/>
    <w:rsid w:val="00914EFB"/>
    <w:rsid w:val="009171F2"/>
    <w:rsid w:val="0092297E"/>
    <w:rsid w:val="00923651"/>
    <w:rsid w:val="00927B56"/>
    <w:rsid w:val="009341BF"/>
    <w:rsid w:val="00937907"/>
    <w:rsid w:val="00941739"/>
    <w:rsid w:val="00943E06"/>
    <w:rsid w:val="00951573"/>
    <w:rsid w:val="00963003"/>
    <w:rsid w:val="009664E2"/>
    <w:rsid w:val="00966EEF"/>
    <w:rsid w:val="00971B28"/>
    <w:rsid w:val="00983471"/>
    <w:rsid w:val="009909AB"/>
    <w:rsid w:val="009A6623"/>
    <w:rsid w:val="009B37DB"/>
    <w:rsid w:val="009C7A8C"/>
    <w:rsid w:val="009D23F9"/>
    <w:rsid w:val="009D4FA8"/>
    <w:rsid w:val="009D7096"/>
    <w:rsid w:val="009E44AE"/>
    <w:rsid w:val="009E4A55"/>
    <w:rsid w:val="009E6CD6"/>
    <w:rsid w:val="009F4D66"/>
    <w:rsid w:val="00A00C3C"/>
    <w:rsid w:val="00A01091"/>
    <w:rsid w:val="00A042B9"/>
    <w:rsid w:val="00A0437A"/>
    <w:rsid w:val="00A05DAF"/>
    <w:rsid w:val="00A06DBB"/>
    <w:rsid w:val="00A20EE4"/>
    <w:rsid w:val="00A22ADF"/>
    <w:rsid w:val="00A31E86"/>
    <w:rsid w:val="00A54D87"/>
    <w:rsid w:val="00A5553C"/>
    <w:rsid w:val="00A628CE"/>
    <w:rsid w:val="00A701C9"/>
    <w:rsid w:val="00A75062"/>
    <w:rsid w:val="00A81785"/>
    <w:rsid w:val="00A84803"/>
    <w:rsid w:val="00A84C51"/>
    <w:rsid w:val="00A86F2B"/>
    <w:rsid w:val="00A91366"/>
    <w:rsid w:val="00A93AA6"/>
    <w:rsid w:val="00AA4E48"/>
    <w:rsid w:val="00AA5104"/>
    <w:rsid w:val="00AA6202"/>
    <w:rsid w:val="00AA7B57"/>
    <w:rsid w:val="00AC26FC"/>
    <w:rsid w:val="00AC2FCC"/>
    <w:rsid w:val="00AC4A99"/>
    <w:rsid w:val="00AC64D2"/>
    <w:rsid w:val="00AD02E7"/>
    <w:rsid w:val="00AD041C"/>
    <w:rsid w:val="00AE0FE8"/>
    <w:rsid w:val="00AE1322"/>
    <w:rsid w:val="00AF60D5"/>
    <w:rsid w:val="00B00959"/>
    <w:rsid w:val="00B0112C"/>
    <w:rsid w:val="00B04415"/>
    <w:rsid w:val="00B06509"/>
    <w:rsid w:val="00B10DBA"/>
    <w:rsid w:val="00B11D60"/>
    <w:rsid w:val="00B13D65"/>
    <w:rsid w:val="00B21805"/>
    <w:rsid w:val="00B3072E"/>
    <w:rsid w:val="00B35090"/>
    <w:rsid w:val="00B36E15"/>
    <w:rsid w:val="00B37245"/>
    <w:rsid w:val="00B4017A"/>
    <w:rsid w:val="00B4468D"/>
    <w:rsid w:val="00B502C6"/>
    <w:rsid w:val="00B71C72"/>
    <w:rsid w:val="00B81E92"/>
    <w:rsid w:val="00B908D7"/>
    <w:rsid w:val="00B915AB"/>
    <w:rsid w:val="00B92537"/>
    <w:rsid w:val="00B935E8"/>
    <w:rsid w:val="00B93B30"/>
    <w:rsid w:val="00B94CB5"/>
    <w:rsid w:val="00BA0DD9"/>
    <w:rsid w:val="00BA5DBC"/>
    <w:rsid w:val="00BB6312"/>
    <w:rsid w:val="00BC4D06"/>
    <w:rsid w:val="00BD18D3"/>
    <w:rsid w:val="00BD4E47"/>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67FE8"/>
    <w:rsid w:val="00C7012C"/>
    <w:rsid w:val="00C712EA"/>
    <w:rsid w:val="00C9786F"/>
    <w:rsid w:val="00CA217D"/>
    <w:rsid w:val="00CB68B7"/>
    <w:rsid w:val="00CC09D4"/>
    <w:rsid w:val="00CC668D"/>
    <w:rsid w:val="00CC7832"/>
    <w:rsid w:val="00CE72D0"/>
    <w:rsid w:val="00CF0C1C"/>
    <w:rsid w:val="00CF27FD"/>
    <w:rsid w:val="00CF5F12"/>
    <w:rsid w:val="00CF6095"/>
    <w:rsid w:val="00D00D8F"/>
    <w:rsid w:val="00D11623"/>
    <w:rsid w:val="00D21F3A"/>
    <w:rsid w:val="00D23808"/>
    <w:rsid w:val="00D2784C"/>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85FB2"/>
    <w:rsid w:val="00D9291C"/>
    <w:rsid w:val="00D93A97"/>
    <w:rsid w:val="00D970E4"/>
    <w:rsid w:val="00DA345E"/>
    <w:rsid w:val="00DA6043"/>
    <w:rsid w:val="00DB1F64"/>
    <w:rsid w:val="00DB3ECB"/>
    <w:rsid w:val="00DC2F53"/>
    <w:rsid w:val="00DC5BAC"/>
    <w:rsid w:val="00DC5D88"/>
    <w:rsid w:val="00DC6816"/>
    <w:rsid w:val="00DC76C2"/>
    <w:rsid w:val="00DD1CF2"/>
    <w:rsid w:val="00DE4484"/>
    <w:rsid w:val="00DF41B7"/>
    <w:rsid w:val="00DF4A4A"/>
    <w:rsid w:val="00DF583C"/>
    <w:rsid w:val="00E03C3F"/>
    <w:rsid w:val="00E06FD7"/>
    <w:rsid w:val="00E07417"/>
    <w:rsid w:val="00E14442"/>
    <w:rsid w:val="00E21E4F"/>
    <w:rsid w:val="00E24D45"/>
    <w:rsid w:val="00E33DB8"/>
    <w:rsid w:val="00E33EFF"/>
    <w:rsid w:val="00E3401E"/>
    <w:rsid w:val="00E34387"/>
    <w:rsid w:val="00E348BA"/>
    <w:rsid w:val="00E369FE"/>
    <w:rsid w:val="00E37C6F"/>
    <w:rsid w:val="00E475F8"/>
    <w:rsid w:val="00E5102E"/>
    <w:rsid w:val="00E5721C"/>
    <w:rsid w:val="00E619C6"/>
    <w:rsid w:val="00E745A1"/>
    <w:rsid w:val="00E81529"/>
    <w:rsid w:val="00E83A13"/>
    <w:rsid w:val="00E85318"/>
    <w:rsid w:val="00E97FC7"/>
    <w:rsid w:val="00EB6FC5"/>
    <w:rsid w:val="00EC2356"/>
    <w:rsid w:val="00EC2582"/>
    <w:rsid w:val="00EC337C"/>
    <w:rsid w:val="00ED0C0F"/>
    <w:rsid w:val="00ED0CFF"/>
    <w:rsid w:val="00ED31D2"/>
    <w:rsid w:val="00EE0EAC"/>
    <w:rsid w:val="00EE2E43"/>
    <w:rsid w:val="00EE3322"/>
    <w:rsid w:val="00EE33CB"/>
    <w:rsid w:val="00EE363D"/>
    <w:rsid w:val="00F0061A"/>
    <w:rsid w:val="00F00764"/>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A5EC8"/>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rsid w:val="003D1877"/>
    <w:rPr>
      <w:sz w:val="24"/>
      <w:szCs w:val="24"/>
      <w:lang w:eastAsia="en-US"/>
    </w:rPr>
  </w:style>
  <w:style w:type="paragraph" w:customStyle="1" w:styleId="VVKT">
    <w:name w:val="VVKT"/>
    <w:basedOn w:val="Normal"/>
    <w:link w:val="VVKTChar"/>
    <w:qFormat/>
    <w:rsid w:val="00B502C6"/>
    <w:pPr>
      <w:tabs>
        <w:tab w:val="left" w:pos="567"/>
      </w:tabs>
      <w:spacing w:line="276" w:lineRule="auto"/>
      <w:ind w:firstLine="562"/>
      <w:jc w:val="both"/>
    </w:pPr>
    <w:rPr>
      <w:rFonts w:asciiTheme="majorBidi" w:hAnsiTheme="majorBidi" w:cstheme="majorBidi"/>
      <w:szCs w:val="20"/>
    </w:rPr>
  </w:style>
  <w:style w:type="character" w:customStyle="1" w:styleId="VVKTChar">
    <w:name w:val="VVKT Char"/>
    <w:basedOn w:val="DefaultParagraphFont"/>
    <w:link w:val="VVKT"/>
    <w:rsid w:val="00B502C6"/>
    <w:rPr>
      <w:rFonts w:asciiTheme="majorBidi" w:hAnsiTheme="majorBidi" w:cstheme="majorBidi"/>
      <w:sz w:val="24"/>
      <w:lang w:eastAsia="en-US"/>
    </w:rPr>
  </w:style>
  <w:style w:type="character" w:styleId="Emphasis">
    <w:name w:val="Emphasis"/>
    <w:basedOn w:val="DefaultParagraphFont"/>
    <w:uiPriority w:val="20"/>
    <w:qFormat/>
    <w:rsid w:val="001B19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64548">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5259D5231847442F809BDCEA0F74FB75"/>
        <w:category>
          <w:name w:val="General"/>
          <w:gallery w:val="placeholder"/>
        </w:category>
        <w:types>
          <w:type w:val="bbPlcHdr"/>
        </w:types>
        <w:behaviors>
          <w:behavior w:val="content"/>
        </w:behaviors>
        <w:guid w:val="{789ED1B7-2320-49DE-951C-3820609EC00B}"/>
      </w:docPartPr>
      <w:docPartBody>
        <w:p w:rsidR="001422C8" w:rsidRDefault="00070A21" w:rsidP="00070A21">
          <w:pPr>
            <w:pStyle w:val="5259D5231847442F809BDCEA0F74FB75"/>
          </w:pPr>
          <w:r>
            <w:rPr>
              <w:rStyle w:val="PlaceholderText"/>
            </w:rPr>
            <w:t>Click here to enter a date.</w:t>
          </w:r>
        </w:p>
      </w:docPartBody>
    </w:docPart>
    <w:docPart>
      <w:docPartPr>
        <w:name w:val="16B4BF6716D24ADB990EE3B9EC1BE287"/>
        <w:category>
          <w:name w:val="General"/>
          <w:gallery w:val="placeholder"/>
        </w:category>
        <w:types>
          <w:type w:val="bbPlcHdr"/>
        </w:types>
        <w:behaviors>
          <w:behavior w:val="content"/>
        </w:behaviors>
        <w:guid w:val="{CA8DB4E8-1646-4A17-9253-017472E07FC3}"/>
      </w:docPartPr>
      <w:docPartBody>
        <w:p w:rsidR="001422C8" w:rsidRDefault="00070A21" w:rsidP="00070A21">
          <w:pPr>
            <w:pStyle w:val="16B4BF6716D24ADB990EE3B9EC1BE287"/>
          </w:pPr>
          <w:r>
            <w:rPr>
              <w:rStyle w:val="PlaceholderText"/>
            </w:rPr>
            <w:t>Click here to enter a date.</w:t>
          </w:r>
        </w:p>
      </w:docPartBody>
    </w:docPart>
    <w:docPart>
      <w:docPartPr>
        <w:name w:val="A049410C830E4381B1E4AEE1D0D7E0FE"/>
        <w:category>
          <w:name w:val="General"/>
          <w:gallery w:val="placeholder"/>
        </w:category>
        <w:types>
          <w:type w:val="bbPlcHdr"/>
        </w:types>
        <w:behaviors>
          <w:behavior w:val="content"/>
        </w:behaviors>
        <w:guid w:val="{D4D156A0-842F-4422-8AC4-CFA07FF43F7C}"/>
      </w:docPartPr>
      <w:docPartBody>
        <w:p w:rsidR="00FE74F6" w:rsidRDefault="001422C8" w:rsidP="001422C8">
          <w:pPr>
            <w:pStyle w:val="A049410C830E4381B1E4AEE1D0D7E0F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70A21"/>
    <w:rsid w:val="000937FE"/>
    <w:rsid w:val="000A559A"/>
    <w:rsid w:val="000D24D4"/>
    <w:rsid w:val="00130220"/>
    <w:rsid w:val="001422C8"/>
    <w:rsid w:val="001C35A9"/>
    <w:rsid w:val="001F47C5"/>
    <w:rsid w:val="00237556"/>
    <w:rsid w:val="0039303B"/>
    <w:rsid w:val="003A1EC4"/>
    <w:rsid w:val="003E5059"/>
    <w:rsid w:val="004144A3"/>
    <w:rsid w:val="004160E7"/>
    <w:rsid w:val="004416C6"/>
    <w:rsid w:val="004F5AB2"/>
    <w:rsid w:val="005074B9"/>
    <w:rsid w:val="005E40DD"/>
    <w:rsid w:val="00720853"/>
    <w:rsid w:val="007219C1"/>
    <w:rsid w:val="0074261C"/>
    <w:rsid w:val="00753462"/>
    <w:rsid w:val="00772325"/>
    <w:rsid w:val="007A2FE0"/>
    <w:rsid w:val="007C6D1D"/>
    <w:rsid w:val="00813520"/>
    <w:rsid w:val="0090074D"/>
    <w:rsid w:val="0095685C"/>
    <w:rsid w:val="00964DA0"/>
    <w:rsid w:val="009B3BF0"/>
    <w:rsid w:val="009D5E5E"/>
    <w:rsid w:val="009F1BB4"/>
    <w:rsid w:val="00AB6ED4"/>
    <w:rsid w:val="00B14210"/>
    <w:rsid w:val="00B23DC0"/>
    <w:rsid w:val="00B85855"/>
    <w:rsid w:val="00B96656"/>
    <w:rsid w:val="00BD4B69"/>
    <w:rsid w:val="00BE29C1"/>
    <w:rsid w:val="00C2401D"/>
    <w:rsid w:val="00C53A68"/>
    <w:rsid w:val="00CA5BB4"/>
    <w:rsid w:val="00CB4BD1"/>
    <w:rsid w:val="00CB68B7"/>
    <w:rsid w:val="00CE2DA9"/>
    <w:rsid w:val="00CE44BE"/>
    <w:rsid w:val="00D107CD"/>
    <w:rsid w:val="00D4356B"/>
    <w:rsid w:val="00D7162F"/>
    <w:rsid w:val="00E44A86"/>
    <w:rsid w:val="00E522EB"/>
    <w:rsid w:val="00E60827"/>
    <w:rsid w:val="00E73FF6"/>
    <w:rsid w:val="00EF6E0C"/>
    <w:rsid w:val="00F55028"/>
    <w:rsid w:val="00F61210"/>
    <w:rsid w:val="00F77BEF"/>
    <w:rsid w:val="00FC755C"/>
    <w:rsid w:val="00FE0D46"/>
    <w:rsid w:val="00FE2576"/>
    <w:rsid w:val="00FE74F6"/>
    <w:rsid w:val="00FF01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22C8"/>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A049410C830E4381B1E4AEE1D0D7E0FE">
    <w:name w:val="A049410C830E4381B1E4AEE1D0D7E0FE"/>
    <w:rsid w:val="001422C8"/>
    <w:pPr>
      <w:spacing w:line="278" w:lineRule="auto"/>
    </w:pPr>
    <w:rPr>
      <w:kern w:val="2"/>
      <w:sz w:val="24"/>
      <w:szCs w:val="24"/>
      <w:lang w:val="en-GB" w:eastAsia="en-GB"/>
      <w14:ligatures w14:val="standardContextual"/>
    </w:rPr>
  </w:style>
  <w:style w:type="paragraph" w:customStyle="1" w:styleId="5259D5231847442F809BDCEA0F74FB75">
    <w:name w:val="5259D5231847442F809BDCEA0F74FB75"/>
    <w:rsid w:val="00070A21"/>
  </w:style>
  <w:style w:type="paragraph" w:customStyle="1" w:styleId="16B4BF6716D24ADB990EE3B9EC1BE287">
    <w:name w:val="16B4BF6716D24ADB990EE3B9EC1BE287"/>
    <w:rsid w:val="00070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9573-BB8B-426D-9BCC-872431D1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3359</Words>
  <Characters>19152</Characters>
  <Application>Microsoft Office Word</Application>
  <DocSecurity>0</DocSecurity>
  <Lines>159</Lines>
  <Paragraphs>44</Paragraphs>
  <ScaleCrop>false</ScaleCrop>
  <Company/>
  <LinksUpToDate>false</LinksUpToDate>
  <CharactersWithSpaces>22467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2024-07-01T21:36:00Z</dcterms:created>
  <dcterms:modified xsi:type="dcterms:W3CDTF">2024-07-05T07:46:00Z</dcterms:modified>
</cp:coreProperties>
</file>