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6C0BEB" w:rsidRDefault="005F7602" w:rsidP="002946C7">
      <w:pPr>
        <w:ind w:left="5529"/>
        <w:rPr>
          <w:lang w:val="en-US"/>
        </w:rPr>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3D9FE649" w14:textId="429D4E40" w:rsidR="00FE3C54" w:rsidRPr="005D6F12" w:rsidRDefault="00FE3C54" w:rsidP="00FE3C54">
      <w:pPr>
        <w:jc w:val="center"/>
        <w:rPr>
          <w:b/>
          <w:lang w:val="en-US"/>
        </w:rPr>
      </w:pPr>
      <w:r w:rsidRPr="00FE3C54">
        <w:rPr>
          <w:b/>
        </w:rPr>
        <w:t>Paxlovid</w:t>
      </w:r>
      <w:r w:rsidR="00EF0BAF">
        <w:rPr>
          <w:b/>
        </w:rPr>
        <w:t xml:space="preserve"> </w:t>
      </w:r>
      <w:r w:rsidR="00EF0BAF" w:rsidRPr="00FE3C54">
        <w:rPr>
          <w:b/>
        </w:rPr>
        <w:t>150 mg</w:t>
      </w:r>
      <w:r w:rsidR="00EF0BAF">
        <w:rPr>
          <w:b/>
        </w:rPr>
        <w:t>/</w:t>
      </w:r>
      <w:r w:rsidR="00EF0BAF">
        <w:rPr>
          <w:b/>
          <w:lang w:val="en-US"/>
        </w:rPr>
        <w:t xml:space="preserve">100 mg </w:t>
      </w:r>
      <w:r w:rsidR="00EF0BAF" w:rsidRPr="00FE3C54">
        <w:rPr>
          <w:b/>
        </w:rPr>
        <w:t>plėvele dengtos tabletės</w:t>
      </w:r>
    </w:p>
    <w:p w14:paraId="3A5248B3" w14:textId="77777777" w:rsidR="00FE3C54" w:rsidRPr="00FE3C54" w:rsidRDefault="00FE3C54" w:rsidP="00FE3C54">
      <w:pPr>
        <w:jc w:val="center"/>
        <w:rPr>
          <w:b/>
        </w:rPr>
      </w:pPr>
    </w:p>
    <w:p w14:paraId="01BBCE20" w14:textId="417B3CF0" w:rsidR="00FE3C54" w:rsidRPr="00FE3C54" w:rsidRDefault="00EF0BAF" w:rsidP="00FE3C54">
      <w:pPr>
        <w:jc w:val="center"/>
        <w:rPr>
          <w:b/>
        </w:rPr>
      </w:pPr>
      <w:r>
        <w:rPr>
          <w:b/>
        </w:rPr>
        <w:t>N</w:t>
      </w:r>
      <w:r w:rsidR="00FE3C54" w:rsidRPr="00FE3C54">
        <w:rPr>
          <w:b/>
        </w:rPr>
        <w:t>irmatrelvir</w:t>
      </w:r>
      <w:r w:rsidR="00630A89">
        <w:rPr>
          <w:b/>
        </w:rPr>
        <w:t>as</w:t>
      </w:r>
      <w:r w:rsidR="00FE3C54" w:rsidRPr="00FE3C54">
        <w:rPr>
          <w:b/>
        </w:rPr>
        <w:t>/ritonavir</w:t>
      </w:r>
      <w:r>
        <w:rPr>
          <w:b/>
        </w:rPr>
        <w:t>as</w:t>
      </w:r>
      <w:r w:rsidR="00FE3C54" w:rsidRPr="00FE3C54">
        <w:rPr>
          <w:b/>
        </w:rPr>
        <w:t xml:space="preserve"> </w:t>
      </w:r>
    </w:p>
    <w:p w14:paraId="1CDF65F6" w14:textId="77777777" w:rsidR="00FE3C54" w:rsidRPr="00FE3C54" w:rsidRDefault="00FE3C54" w:rsidP="00FE3C54">
      <w:pPr>
        <w:jc w:val="center"/>
        <w:rPr>
          <w:b/>
        </w:rPr>
      </w:pPr>
    </w:p>
    <w:p w14:paraId="5BC2EA5D" w14:textId="41575B05" w:rsidR="00937907" w:rsidRPr="00E33EFF" w:rsidRDefault="00FE3C54" w:rsidP="00FE3C54">
      <w:pPr>
        <w:jc w:val="center"/>
        <w:rPr>
          <w:b/>
        </w:rPr>
      </w:pPr>
      <w:r w:rsidRPr="00FE3C54">
        <w:rPr>
          <w:b/>
        </w:rPr>
        <w:t>STV – 155</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209" w:type="dxa"/>
        <w:tblLook w:val="04A0" w:firstRow="1" w:lastRow="0" w:firstColumn="1" w:lastColumn="0" w:noHBand="0" w:noVBand="1"/>
      </w:tblPr>
      <w:tblGrid>
        <w:gridCol w:w="632"/>
        <w:gridCol w:w="3694"/>
        <w:gridCol w:w="4883"/>
      </w:tblGrid>
      <w:tr w:rsidR="00B13D65" w:rsidRPr="00E33EFF" w14:paraId="18A83EC2" w14:textId="77777777" w:rsidTr="00D8149F">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E33EFF" w:rsidRDefault="00B13D65" w:rsidP="00824B92">
            <w:pPr>
              <w:rPr>
                <w:rFonts w:eastAsia="Arial"/>
              </w:rPr>
            </w:pPr>
            <w:r w:rsidRPr="00E33EFF">
              <w:rPr>
                <w:rFonts w:eastAsia="Arial"/>
              </w:rPr>
              <w:t>Pareiškėjas</w:t>
            </w:r>
          </w:p>
          <w:p w14:paraId="2AF240DC" w14:textId="77777777" w:rsidR="00B13D65" w:rsidRPr="00E33EFF" w:rsidRDefault="00B13D65" w:rsidP="00824B92">
            <w:pPr>
              <w:rPr>
                <w:rFonts w:eastAsia="Arial"/>
              </w:rPr>
            </w:pPr>
          </w:p>
        </w:tc>
        <w:tc>
          <w:tcPr>
            <w:tcW w:w="4883" w:type="dxa"/>
          </w:tcPr>
          <w:p w14:paraId="2AAF0D91" w14:textId="3D47772D" w:rsidR="00B13D65" w:rsidRPr="00E33EFF" w:rsidRDefault="00086568" w:rsidP="00824B92">
            <w:pPr>
              <w:rPr>
                <w:rFonts w:eastAsia="Arial"/>
              </w:rPr>
            </w:pPr>
            <w:r w:rsidRPr="00086568">
              <w:rPr>
                <w:rFonts w:eastAsia="Arial"/>
              </w:rPr>
              <w:t xml:space="preserve">Pfizer Luxembourg SARL filialas </w:t>
            </w:r>
          </w:p>
        </w:tc>
      </w:tr>
      <w:tr w:rsidR="00B13D65" w:rsidRPr="00E33EFF" w14:paraId="31998B0D" w14:textId="77777777" w:rsidTr="00D8149F">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824B92">
            <w:pPr>
              <w:rPr>
                <w:bCs/>
                <w:color w:val="000000"/>
                <w:lang w:eastAsia="lt-LT"/>
              </w:rPr>
            </w:pPr>
          </w:p>
        </w:tc>
        <w:tc>
          <w:tcPr>
            <w:tcW w:w="4883" w:type="dxa"/>
          </w:tcPr>
          <w:p w14:paraId="3CA218AD" w14:textId="2542DD1F" w:rsidR="00B13D65" w:rsidRPr="00E33EFF" w:rsidRDefault="00000000" w:rsidP="00824B92">
            <w:pPr>
              <w:rPr>
                <w:rStyle w:val="Style2"/>
              </w:rPr>
            </w:pPr>
            <w:sdt>
              <w:sdtPr>
                <w:rPr>
                  <w:color w:val="333333"/>
                  <w:sz w:val="32"/>
                  <w:shd w:val="clear" w:color="auto" w:fill="FFFFFF"/>
                </w:rPr>
                <w:alias w:val="Nurodykite konkrečią dieną"/>
                <w:tag w:val="Nurodykite pradžios datą"/>
                <w:id w:val="423238108"/>
                <w:placeholder>
                  <w:docPart w:val="0A1DCC42A2974C359888226B925C8FF8"/>
                </w:placeholder>
                <w15:color w:val="FFCC99"/>
                <w:date w:fullDate="2022-01-28T00:00:00Z">
                  <w:dateFormat w:val="yyyy 'm.' MMMM d 'd.'"/>
                  <w:lid w:val="lt-LT"/>
                  <w:storeMappedDataAs w:val="dateTime"/>
                  <w:calendar w:val="gregorian"/>
                </w:date>
              </w:sdtPr>
              <w:sdtContent>
                <w:r w:rsidR="00086568">
                  <w:rPr>
                    <w:color w:val="333333"/>
                    <w:shd w:val="clear" w:color="auto" w:fill="FFFFFF"/>
                  </w:rPr>
                  <w:t>2022 m. sausio 28 d.</w:t>
                </w:r>
              </w:sdtContent>
            </w:sdt>
          </w:p>
        </w:tc>
      </w:tr>
      <w:tr w:rsidR="00B13D65" w:rsidRPr="00E33EFF" w14:paraId="15968AE1" w14:textId="77777777" w:rsidTr="00D8149F">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E33EFF" w:rsidRDefault="00B13D65" w:rsidP="00824B92">
            <w:r w:rsidRPr="00E33EFF">
              <w:t xml:space="preserve">Paraiškos tipas </w:t>
            </w:r>
          </w:p>
          <w:p w14:paraId="0465E680" w14:textId="7F0A0714" w:rsidR="00B13D65" w:rsidRPr="00E33EFF" w:rsidRDefault="00B13D65" w:rsidP="00824B92">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straips</w:t>
            </w:r>
            <w:r w:rsidR="0039696E" w:rsidRPr="00E33EFF">
              <w:t>iuose</w:t>
            </w:r>
            <w:r w:rsidRPr="00E33EFF">
              <w:t>)</w:t>
            </w:r>
          </w:p>
          <w:p w14:paraId="77089D80" w14:textId="6681D72A" w:rsidR="00B13D65" w:rsidRPr="00E33EFF" w:rsidRDefault="00B13D65" w:rsidP="00824B92">
            <w:pPr>
              <w:rPr>
                <w:bCs/>
                <w:color w:val="000000"/>
                <w:lang w:eastAsia="lt-LT"/>
              </w:rPr>
            </w:pPr>
          </w:p>
        </w:tc>
        <w:tc>
          <w:tcPr>
            <w:tcW w:w="4883" w:type="dxa"/>
          </w:tcPr>
          <w:p w14:paraId="208F40EC" w14:textId="2F4EA9C5" w:rsidR="00B13D65" w:rsidRPr="00E33EFF"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(generinis)</w:t>
            </w:r>
          </w:p>
          <w:p w14:paraId="3B0A4F72" w14:textId="3F5FB073" w:rsidR="00B13D65" w:rsidRPr="00E33EFF"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D8149F">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824B92">
            <w:pPr>
              <w:rPr>
                <w:bCs/>
                <w:color w:val="000000"/>
                <w:lang w:eastAsia="lt-LT"/>
              </w:rPr>
            </w:pPr>
          </w:p>
        </w:tc>
        <w:tc>
          <w:tcPr>
            <w:tcW w:w="4883" w:type="dxa"/>
          </w:tcPr>
          <w:p w14:paraId="05845C60" w14:textId="10CF40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E33EFF">
                  <w:rPr>
                    <w:rStyle w:val="Vietosrezervavimoenklotekstas"/>
                  </w:rPr>
                  <w:t>Click here to enter a date.</w:t>
                </w:r>
              </w:sdtContent>
            </w:sdt>
          </w:p>
        </w:tc>
      </w:tr>
      <w:tr w:rsidR="00D417D2" w:rsidRPr="00E33EFF" w14:paraId="7841E5F8" w14:textId="77777777" w:rsidTr="00D8149F">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4883"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D8149F">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3FB07EE5" w14:textId="39AB446B" w:rsidR="00AE1322" w:rsidRDefault="00AE1322" w:rsidP="00824B92">
            <w:pPr>
              <w:rPr>
                <w:bCs/>
                <w:color w:val="000000"/>
                <w:lang w:eastAsia="lt-LT"/>
              </w:rPr>
            </w:pPr>
          </w:p>
          <w:p w14:paraId="7A6C9F2C" w14:textId="6725AEFB" w:rsidR="00D970E4" w:rsidRDefault="00D970E4" w:rsidP="00824B92">
            <w:pPr>
              <w:rPr>
                <w:bCs/>
                <w:color w:val="000000"/>
                <w:lang w:eastAsia="lt-LT"/>
              </w:rPr>
            </w:pPr>
          </w:p>
          <w:p w14:paraId="2BB6BD0F" w14:textId="16E59951" w:rsidR="00D970E4" w:rsidRDefault="00D970E4" w:rsidP="00824B92">
            <w:pPr>
              <w:rPr>
                <w:bCs/>
                <w:color w:val="000000"/>
                <w:lang w:eastAsia="lt-LT"/>
              </w:rPr>
            </w:pPr>
          </w:p>
          <w:p w14:paraId="01377C9D" w14:textId="7EBC2898" w:rsidR="00D970E4" w:rsidRDefault="00D970E4"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4883" w:type="dxa"/>
          </w:tcPr>
          <w:p w14:paraId="2F655952" w14:textId="77777777" w:rsidR="00086568" w:rsidRPr="00643AE3" w:rsidRDefault="00086568" w:rsidP="00086568">
            <w:pPr>
              <w:pStyle w:val="Tekstas"/>
            </w:pPr>
            <w:r w:rsidRPr="00643AE3">
              <w:t>Paxlovid skirtas koronaviruso 2019 m. sukeltos ligos (COVID-19) gydymui suaugusiesiems, kuriems nereikia papildomos deguonies terapijos ir kuriems kyla didesnė progresavimo į sunkios eigos COVID-19 rizika.</w:t>
            </w:r>
          </w:p>
          <w:p w14:paraId="5E2072DB" w14:textId="77777777" w:rsidR="00086568" w:rsidRPr="00643AE3" w:rsidRDefault="00086568" w:rsidP="00086568">
            <w:pPr>
              <w:pStyle w:val="Tekstas"/>
            </w:pPr>
          </w:p>
          <w:p w14:paraId="13F7DFB0" w14:textId="1DE3341F" w:rsidR="00B13D65" w:rsidRPr="00E33EFF" w:rsidRDefault="00086568" w:rsidP="00086568">
            <w:pPr>
              <w:pStyle w:val="Sraopastraipa"/>
              <w:spacing w:after="120" w:line="276" w:lineRule="auto"/>
              <w:ind w:left="0"/>
              <w:contextualSpacing w:val="0"/>
              <w:jc w:val="both"/>
            </w:pPr>
            <w:r w:rsidRPr="00643AE3">
              <w:t>TLK-10-AM kodai U07.1, U07.2.</w:t>
            </w:r>
          </w:p>
        </w:tc>
      </w:tr>
      <w:tr w:rsidR="00B13D65" w:rsidRPr="00E33EFF" w14:paraId="2F79DC08" w14:textId="77777777" w:rsidTr="00D8149F">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4883" w:type="dxa"/>
          </w:tcPr>
          <w:p w14:paraId="0579DF58" w14:textId="0CF76451" w:rsidR="00B13D65" w:rsidRPr="00E33EFF" w:rsidRDefault="00843264" w:rsidP="00824B92">
            <w:r w:rsidRPr="00643AE3">
              <w:t>Pagal registruotą indikaciją</w:t>
            </w:r>
          </w:p>
        </w:tc>
      </w:tr>
      <w:tr w:rsidR="00B13D65" w:rsidRPr="00E33EFF" w14:paraId="3B125269" w14:textId="77777777" w:rsidTr="00D8149F">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6E3AE3A9" w:rsidR="007C7519" w:rsidRDefault="007C7519" w:rsidP="00824B92">
            <w:pPr>
              <w:rPr>
                <w:bCs/>
                <w:i/>
                <w:color w:val="000000"/>
                <w:lang w:eastAsia="lt-LT"/>
              </w:rPr>
            </w:pPr>
            <w:r w:rsidRPr="007C7519">
              <w:rPr>
                <w:bCs/>
                <w:i/>
                <w:color w:val="000000"/>
                <w:lang w:eastAsia="lt-LT"/>
              </w:rPr>
              <w:t>Tiesioginis</w:t>
            </w:r>
          </w:p>
          <w:p w14:paraId="643CC07B" w14:textId="2D7C9848" w:rsidR="00D970E4" w:rsidRDefault="00D970E4" w:rsidP="00824B92">
            <w:pPr>
              <w:rPr>
                <w:bCs/>
                <w:i/>
                <w:color w:val="000000"/>
                <w:lang w:eastAsia="lt-LT"/>
              </w:rPr>
            </w:pPr>
          </w:p>
          <w:p w14:paraId="62057D94" w14:textId="58F3F32B"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4883" w:type="dxa"/>
          </w:tcPr>
          <w:p w14:paraId="3E389C70" w14:textId="22AFFC76" w:rsidR="0047414A" w:rsidRDefault="0047414A" w:rsidP="00824B92">
            <w:pPr>
              <w:rPr>
                <w:rStyle w:val="Style2"/>
                <w:sz w:val="24"/>
              </w:rPr>
            </w:pPr>
          </w:p>
          <w:p w14:paraId="0AC43073" w14:textId="77777777" w:rsidR="00D970E4" w:rsidRPr="00E33EFF" w:rsidRDefault="00D970E4" w:rsidP="00D970E4"/>
          <w:p w14:paraId="2383573D" w14:textId="07E17993" w:rsidR="00D970E4" w:rsidRPr="00E33EFF" w:rsidRDefault="00000000" w:rsidP="00D970E4">
            <w:sdt>
              <w:sdtPr>
                <w:rPr>
                  <w:rStyle w:val="Style2"/>
                  <w:sz w:val="24"/>
                </w:rPr>
                <w:id w:val="-439376113"/>
                <w15:color w:val="FFCC00"/>
                <w14:checkbox>
                  <w14:checked w14:val="1"/>
                  <w14:checkedState w14:val="2612" w14:font="MS Gothic"/>
                  <w14:uncheckedState w14:val="2610" w14:font="MS Gothic"/>
                </w14:checkbox>
              </w:sdtPr>
              <w:sdtContent>
                <w:r w:rsidR="000778C9">
                  <w:rPr>
                    <w:rStyle w:val="Style2"/>
                    <w:rFonts w:ascii="MS Gothic" w:eastAsia="MS Gothic" w:hAnsi="MS Gothic" w:hint="eastAsia"/>
                    <w:sz w:val="24"/>
                  </w:rPr>
                  <w:t>☒</w:t>
                </w:r>
              </w:sdtContent>
            </w:sdt>
            <w:r w:rsidR="00D970E4" w:rsidRPr="00E33EFF">
              <w:t xml:space="preserve"> Tinkamas</w:t>
            </w:r>
          </w:p>
          <w:p w14:paraId="5474EFC4" w14:textId="358CCFA4" w:rsidR="0047414A" w:rsidRDefault="00000000" w:rsidP="00D970E4">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0778C9">
                  <w:rPr>
                    <w:rStyle w:val="Style2"/>
                    <w:rFonts w:ascii="MS Gothic" w:eastAsia="MS Gothic" w:hAnsi="MS Gothic" w:hint="eastAsia"/>
                    <w:sz w:val="24"/>
                  </w:rPr>
                  <w:t>☐</w:t>
                </w:r>
              </w:sdtContent>
            </w:sdt>
            <w:r w:rsidR="00D970E4" w:rsidRPr="00E33EFF">
              <w:t xml:space="preserve"> Netinkama</w:t>
            </w:r>
            <w:r w:rsidR="00D970E4">
              <w:t>s</w:t>
            </w:r>
          </w:p>
          <w:p w14:paraId="5481FC83" w14:textId="77777777" w:rsidR="007C7519" w:rsidRDefault="007C7519" w:rsidP="00824B92">
            <w:pPr>
              <w:rPr>
                <w:rStyle w:val="Style2"/>
                <w:sz w:val="24"/>
              </w:rPr>
            </w:pPr>
          </w:p>
          <w:p w14:paraId="41B44044" w14:textId="0D100AB2" w:rsidR="00B13D65" w:rsidRPr="00E33EFF" w:rsidRDefault="00B13D65" w:rsidP="00824B92"/>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E522033" w14:textId="77777777" w:rsidR="009C146A" w:rsidRPr="00643AE3" w:rsidRDefault="009C146A" w:rsidP="009C146A">
      <w:pPr>
        <w:spacing w:line="276" w:lineRule="auto"/>
        <w:jc w:val="both"/>
        <w:rPr>
          <w:rFonts w:eastAsia="Arial"/>
        </w:rPr>
      </w:pPr>
    </w:p>
    <w:tbl>
      <w:tblPr>
        <w:tblStyle w:val="Lentelstinklelis"/>
        <w:tblW w:w="9493" w:type="dxa"/>
        <w:tblLook w:val="04A0" w:firstRow="1" w:lastRow="0" w:firstColumn="1" w:lastColumn="0" w:noHBand="0" w:noVBand="1"/>
      </w:tblPr>
      <w:tblGrid>
        <w:gridCol w:w="2927"/>
        <w:gridCol w:w="1915"/>
        <w:gridCol w:w="2351"/>
        <w:gridCol w:w="2300"/>
      </w:tblGrid>
      <w:tr w:rsidR="009C146A" w:rsidRPr="00643AE3" w14:paraId="6FAB0BC1" w14:textId="77777777" w:rsidTr="00C822BF">
        <w:trPr>
          <w:trHeight w:val="924"/>
        </w:trPr>
        <w:tc>
          <w:tcPr>
            <w:tcW w:w="2927" w:type="dxa"/>
          </w:tcPr>
          <w:p w14:paraId="6FAA117A" w14:textId="77777777" w:rsidR="009C146A" w:rsidRPr="00643AE3" w:rsidRDefault="009C146A" w:rsidP="00F245D4">
            <w:pPr>
              <w:spacing w:line="276" w:lineRule="auto"/>
              <w:jc w:val="both"/>
              <w:rPr>
                <w:rFonts w:eastAsia="Arial"/>
              </w:rPr>
            </w:pPr>
            <w:r w:rsidRPr="00643AE3">
              <w:rPr>
                <w:rFonts w:eastAsia="Arial"/>
              </w:rPr>
              <w:t>STV agentūros pavadinimas, šalis</w:t>
            </w:r>
          </w:p>
        </w:tc>
        <w:tc>
          <w:tcPr>
            <w:tcW w:w="1915" w:type="dxa"/>
          </w:tcPr>
          <w:p w14:paraId="6A6D6410" w14:textId="77777777" w:rsidR="009C146A" w:rsidRPr="00643AE3" w:rsidRDefault="009C146A" w:rsidP="00F245D4">
            <w:pPr>
              <w:spacing w:line="276" w:lineRule="auto"/>
              <w:jc w:val="both"/>
              <w:rPr>
                <w:rFonts w:eastAsia="Arial"/>
              </w:rPr>
            </w:pPr>
            <w:r w:rsidRPr="00643AE3">
              <w:rPr>
                <w:rFonts w:eastAsia="Arial"/>
              </w:rPr>
              <w:t>STV vertinimas atliktas</w:t>
            </w:r>
          </w:p>
        </w:tc>
        <w:tc>
          <w:tcPr>
            <w:tcW w:w="2351" w:type="dxa"/>
          </w:tcPr>
          <w:p w14:paraId="01A4A5A3" w14:textId="77777777" w:rsidR="009C146A" w:rsidRPr="00643AE3" w:rsidRDefault="009C146A" w:rsidP="00F245D4">
            <w:pPr>
              <w:spacing w:line="276" w:lineRule="auto"/>
              <w:jc w:val="both"/>
              <w:rPr>
                <w:rFonts w:eastAsia="Arial"/>
              </w:rPr>
            </w:pPr>
            <w:r w:rsidRPr="00643AE3">
              <w:rPr>
                <w:rFonts w:eastAsia="Arial"/>
              </w:rPr>
              <w:t>Klinikinio vertinimo išvada</w:t>
            </w:r>
          </w:p>
        </w:tc>
        <w:tc>
          <w:tcPr>
            <w:tcW w:w="2300" w:type="dxa"/>
          </w:tcPr>
          <w:p w14:paraId="2473204E" w14:textId="77777777" w:rsidR="009C146A" w:rsidRPr="00643AE3" w:rsidRDefault="009C146A" w:rsidP="00F245D4">
            <w:pPr>
              <w:spacing w:line="276" w:lineRule="auto"/>
              <w:jc w:val="both"/>
              <w:rPr>
                <w:rFonts w:eastAsia="Arial"/>
              </w:rPr>
            </w:pPr>
            <w:r w:rsidRPr="00643AE3">
              <w:rPr>
                <w:rFonts w:eastAsia="Arial"/>
              </w:rPr>
              <w:t>Farmakoekonominio vertinimo išvada</w:t>
            </w:r>
          </w:p>
        </w:tc>
      </w:tr>
      <w:tr w:rsidR="009C146A" w:rsidRPr="00643AE3" w14:paraId="2C442E9B" w14:textId="77777777" w:rsidTr="00C822BF">
        <w:trPr>
          <w:trHeight w:val="1765"/>
        </w:trPr>
        <w:tc>
          <w:tcPr>
            <w:tcW w:w="2927" w:type="dxa"/>
          </w:tcPr>
          <w:p w14:paraId="0FEED208" w14:textId="77777777" w:rsidR="009C146A" w:rsidRPr="00643AE3" w:rsidRDefault="009C146A" w:rsidP="00F245D4">
            <w:pPr>
              <w:autoSpaceDE w:val="0"/>
              <w:autoSpaceDN w:val="0"/>
              <w:adjustRightInd w:val="0"/>
              <w:jc w:val="both"/>
              <w:rPr>
                <w:bCs/>
              </w:rPr>
            </w:pPr>
            <w:r w:rsidRPr="00643AE3">
              <w:rPr>
                <w:bCs/>
              </w:rPr>
              <w:t>Nacionalinis sveikatos ir klinikinės kompetencijos institutas, Didžioji Britanija</w:t>
            </w:r>
          </w:p>
          <w:p w14:paraId="57FC2FC8" w14:textId="77777777" w:rsidR="009C146A" w:rsidRPr="00643AE3" w:rsidRDefault="009C146A" w:rsidP="00F245D4">
            <w:pPr>
              <w:spacing w:line="276" w:lineRule="auto"/>
              <w:jc w:val="both"/>
              <w:rPr>
                <w:rFonts w:eastAsia="Arial"/>
              </w:rPr>
            </w:pPr>
            <w:r w:rsidRPr="00643AE3">
              <w:rPr>
                <w:rFonts w:eastAsia="Arial"/>
              </w:rPr>
              <w:t xml:space="preserve">(angl. </w:t>
            </w:r>
            <w:r w:rsidRPr="00643AE3">
              <w:rPr>
                <w:rFonts w:eastAsia="Arial"/>
                <w:i/>
              </w:rPr>
              <w:t>National Institute for Health and Care Excellence, NICE</w:t>
            </w:r>
            <w:r w:rsidRPr="00643AE3">
              <w:rPr>
                <w:rFonts w:eastAsia="Arial"/>
              </w:rPr>
              <w:t>)</w:t>
            </w:r>
          </w:p>
        </w:tc>
        <w:tc>
          <w:tcPr>
            <w:tcW w:w="1915" w:type="dxa"/>
          </w:tcPr>
          <w:p w14:paraId="00C1F250" w14:textId="77777777" w:rsidR="009C146A" w:rsidRPr="00643AE3" w:rsidRDefault="00000000" w:rsidP="00F245D4">
            <w:pPr>
              <w:jc w:val="both"/>
            </w:pPr>
            <w:sdt>
              <w:sdtPr>
                <w:rPr>
                  <w:rStyle w:val="Style2"/>
                  <w:sz w:val="24"/>
                </w:rPr>
                <w:id w:val="1558205022"/>
              </w:sdtPr>
              <w:sdtContent>
                <w:r w:rsidR="009C146A" w:rsidRPr="00643AE3">
                  <w:rPr>
                    <w:rStyle w:val="Style2"/>
                    <w:rFonts w:ascii="Segoe UI Symbol" w:eastAsia="MS Gothic" w:hAnsi="Segoe UI Symbol" w:cs="Segoe UI Symbol"/>
                    <w:sz w:val="24"/>
                  </w:rPr>
                  <w:t>☒</w:t>
                </w:r>
              </w:sdtContent>
            </w:sdt>
            <w:r w:rsidR="009C146A" w:rsidRPr="00643AE3">
              <w:t xml:space="preserve"> Taip</w:t>
            </w:r>
          </w:p>
          <w:p w14:paraId="2B7994B2" w14:textId="77777777" w:rsidR="009C146A" w:rsidRPr="00643AE3" w:rsidRDefault="00000000" w:rsidP="00F245D4">
            <w:pPr>
              <w:jc w:val="both"/>
            </w:pPr>
            <w:sdt>
              <w:sdtPr>
                <w:rPr>
                  <w:rStyle w:val="Style2"/>
                  <w:sz w:val="24"/>
                </w:rPr>
                <w:id w:val="866029625"/>
              </w:sdtPr>
              <w:sdtContent>
                <w:r w:rsidR="009C146A" w:rsidRPr="00643AE3">
                  <w:rPr>
                    <w:rStyle w:val="Style2"/>
                    <w:rFonts w:ascii="Segoe UI Symbol" w:eastAsia="MS Gothic" w:hAnsi="Segoe UI Symbol" w:cs="Segoe UI Symbol"/>
                    <w:sz w:val="24"/>
                  </w:rPr>
                  <w:t>☐</w:t>
                </w:r>
              </w:sdtContent>
            </w:sdt>
            <w:r w:rsidR="009C146A" w:rsidRPr="00643AE3">
              <w:t xml:space="preserve"> Ne</w:t>
            </w:r>
          </w:p>
          <w:p w14:paraId="724A3BE4" w14:textId="77777777" w:rsidR="009C146A" w:rsidRPr="00643AE3" w:rsidRDefault="00000000" w:rsidP="00F245D4">
            <w:pPr>
              <w:jc w:val="both"/>
              <w:rPr>
                <w:rFonts w:eastAsia="Arial"/>
              </w:rPr>
            </w:pPr>
            <w:sdt>
              <w:sdtPr>
                <w:alias w:val="Nurodykite konkrečią dieną"/>
                <w:tag w:val="Nurodykite pradžios datą"/>
                <w:id w:val="922837954"/>
                <w:date>
                  <w:dateFormat w:val="yyyy 'm.' MMMM d 'd.'"/>
                  <w:lid w:val="lt-LT"/>
                  <w:storeMappedDataAs w:val="dateTime"/>
                  <w:calendar w:val="gregorian"/>
                </w:date>
              </w:sdtPr>
              <w:sdtContent>
                <w:r w:rsidR="009C146A" w:rsidRPr="00643AE3">
                  <w:t>2021 m. rugpjūčio mėn.</w:t>
                </w:r>
              </w:sdtContent>
            </w:sdt>
          </w:p>
        </w:tc>
        <w:tc>
          <w:tcPr>
            <w:tcW w:w="2351" w:type="dxa"/>
            <w:shd w:val="clear" w:color="auto" w:fill="FFFFFF" w:themeFill="background1"/>
          </w:tcPr>
          <w:p w14:paraId="24E88D42" w14:textId="77777777" w:rsidR="009C146A" w:rsidRPr="00643AE3" w:rsidRDefault="009C146A" w:rsidP="00F245D4">
            <w:pPr>
              <w:pStyle w:val="HTMLiankstoformatuotas"/>
              <w:shd w:val="clear" w:color="auto" w:fill="FFFFFF" w:themeFill="background1"/>
              <w:jc w:val="both"/>
              <w:rPr>
                <w:rFonts w:ascii="Times New Roman" w:hAnsi="Times New Roman" w:cs="Times New Roman"/>
                <w:color w:val="202124"/>
                <w:sz w:val="24"/>
              </w:rPr>
            </w:pPr>
            <w:r>
              <w:rPr>
                <w:rFonts w:ascii="Times New Roman" w:hAnsi="Times New Roman" w:cs="Times New Roman"/>
                <w:color w:val="202124"/>
                <w:sz w:val="24"/>
              </w:rPr>
              <w:t>Apibrėžta pacientų populiacija</w:t>
            </w:r>
          </w:p>
        </w:tc>
        <w:tc>
          <w:tcPr>
            <w:tcW w:w="2300" w:type="dxa"/>
          </w:tcPr>
          <w:p w14:paraId="087FDCBF" w14:textId="36C7709F" w:rsidR="009C146A" w:rsidRPr="00643AE3" w:rsidRDefault="009C146A" w:rsidP="00D9116E">
            <w:pPr>
              <w:spacing w:line="276" w:lineRule="auto"/>
              <w:jc w:val="both"/>
              <w:rPr>
                <w:rFonts w:eastAsia="Arial"/>
              </w:rPr>
            </w:pPr>
            <w:r>
              <w:rPr>
                <w:rFonts w:eastAsia="Arial"/>
              </w:rPr>
              <w:t>Kaštų nauding</w:t>
            </w:r>
            <w:r w:rsidR="00D9116E">
              <w:rPr>
                <w:rFonts w:eastAsia="Arial"/>
              </w:rPr>
              <w:t>uma</w:t>
            </w:r>
            <w:r>
              <w:rPr>
                <w:rFonts w:eastAsia="Arial"/>
              </w:rPr>
              <w:t>s įrodytas</w:t>
            </w:r>
          </w:p>
        </w:tc>
      </w:tr>
      <w:tr w:rsidR="009C146A" w:rsidRPr="00643AE3" w14:paraId="5116FB48" w14:textId="77777777" w:rsidTr="00C822BF">
        <w:trPr>
          <w:trHeight w:val="1125"/>
        </w:trPr>
        <w:tc>
          <w:tcPr>
            <w:tcW w:w="2927" w:type="dxa"/>
          </w:tcPr>
          <w:p w14:paraId="4EBCB205" w14:textId="77777777" w:rsidR="009C146A" w:rsidRPr="00643AE3" w:rsidRDefault="009C146A" w:rsidP="00F245D4">
            <w:pPr>
              <w:spacing w:line="276" w:lineRule="auto"/>
              <w:jc w:val="both"/>
              <w:rPr>
                <w:rFonts w:eastAsia="Arial"/>
              </w:rPr>
            </w:pPr>
            <w:r w:rsidRPr="00643AE3">
              <w:rPr>
                <w:rFonts w:eastAsia="Arial"/>
              </w:rPr>
              <w:t>Kanados sveikatos technologijų agentūra</w:t>
            </w:r>
          </w:p>
          <w:p w14:paraId="38064F1F" w14:textId="77777777" w:rsidR="009C146A" w:rsidRPr="00643AE3" w:rsidRDefault="009C146A" w:rsidP="00F245D4">
            <w:pPr>
              <w:spacing w:line="276" w:lineRule="auto"/>
              <w:jc w:val="both"/>
              <w:rPr>
                <w:rFonts w:eastAsia="Arial"/>
              </w:rPr>
            </w:pPr>
            <w:r w:rsidRPr="00643AE3">
              <w:rPr>
                <w:rFonts w:eastAsia="Arial"/>
              </w:rPr>
              <w:t xml:space="preserve">(angl. </w:t>
            </w:r>
            <w:r w:rsidRPr="00643AE3">
              <w:rPr>
                <w:rFonts w:eastAsia="Arial"/>
                <w:i/>
              </w:rPr>
              <w:t>Canadian health Technology Assessment agency, CADTH</w:t>
            </w:r>
            <w:r w:rsidRPr="00643AE3">
              <w:rPr>
                <w:rFonts w:eastAsia="Arial"/>
              </w:rPr>
              <w:t>)</w:t>
            </w:r>
          </w:p>
        </w:tc>
        <w:tc>
          <w:tcPr>
            <w:tcW w:w="1915" w:type="dxa"/>
          </w:tcPr>
          <w:p w14:paraId="651621EA" w14:textId="77777777" w:rsidR="009C146A" w:rsidRPr="00643AE3" w:rsidRDefault="00000000" w:rsidP="00F245D4">
            <w:pPr>
              <w:jc w:val="both"/>
            </w:pPr>
            <w:sdt>
              <w:sdtPr>
                <w:rPr>
                  <w:rStyle w:val="Style2"/>
                  <w:sz w:val="24"/>
                </w:rPr>
                <w:id w:val="-372539057"/>
              </w:sdtPr>
              <w:sdtContent>
                <w:r w:rsidR="009C146A" w:rsidRPr="00643AE3">
                  <w:rPr>
                    <w:rStyle w:val="Style2"/>
                    <w:rFonts w:ascii="Segoe UI Symbol" w:eastAsia="MS Gothic" w:hAnsi="Segoe UI Symbol" w:cs="Segoe UI Symbol"/>
                    <w:sz w:val="24"/>
                  </w:rPr>
                  <w:t>☐</w:t>
                </w:r>
              </w:sdtContent>
            </w:sdt>
            <w:r w:rsidR="009C146A" w:rsidRPr="00643AE3">
              <w:t xml:space="preserve"> Taip</w:t>
            </w:r>
          </w:p>
          <w:p w14:paraId="1D1FFD0E" w14:textId="77777777" w:rsidR="009C146A" w:rsidRPr="00643AE3" w:rsidRDefault="00000000" w:rsidP="00F245D4">
            <w:pPr>
              <w:jc w:val="both"/>
            </w:pPr>
            <w:sdt>
              <w:sdtPr>
                <w:rPr>
                  <w:rStyle w:val="Style2"/>
                  <w:sz w:val="24"/>
                </w:rPr>
                <w:id w:val="594442222"/>
              </w:sdtPr>
              <w:sdtContent>
                <w:r w:rsidR="009C146A" w:rsidRPr="00643AE3">
                  <w:rPr>
                    <w:rStyle w:val="Style2"/>
                    <w:rFonts w:ascii="Segoe UI Symbol" w:eastAsia="MS Gothic" w:hAnsi="Segoe UI Symbol" w:cs="Segoe UI Symbol"/>
                    <w:sz w:val="24"/>
                  </w:rPr>
                  <w:t>☒</w:t>
                </w:r>
              </w:sdtContent>
            </w:sdt>
            <w:r w:rsidR="009C146A" w:rsidRPr="00643AE3">
              <w:t xml:space="preserve"> Ne</w:t>
            </w:r>
          </w:p>
          <w:p w14:paraId="6F3BBCE7" w14:textId="77777777" w:rsidR="009C146A" w:rsidRPr="00643AE3" w:rsidRDefault="009C146A" w:rsidP="00F245D4">
            <w:pPr>
              <w:spacing w:line="276" w:lineRule="auto"/>
              <w:jc w:val="both"/>
              <w:rPr>
                <w:rFonts w:eastAsia="Arial"/>
              </w:rPr>
            </w:pPr>
          </w:p>
        </w:tc>
        <w:tc>
          <w:tcPr>
            <w:tcW w:w="2351" w:type="dxa"/>
          </w:tcPr>
          <w:p w14:paraId="61CADA4F" w14:textId="7CE746B2" w:rsidR="009C146A" w:rsidRPr="00643AE3" w:rsidRDefault="009C146A" w:rsidP="00F245D4">
            <w:pPr>
              <w:jc w:val="both"/>
              <w:rPr>
                <w:rFonts w:eastAsia="Arial"/>
              </w:rPr>
            </w:pPr>
            <w:r>
              <w:rPr>
                <w:color w:val="202124"/>
              </w:rPr>
              <w:t>Apibrėžta pacientų populiacija</w:t>
            </w:r>
          </w:p>
        </w:tc>
        <w:tc>
          <w:tcPr>
            <w:tcW w:w="2300" w:type="dxa"/>
          </w:tcPr>
          <w:p w14:paraId="3E25F439" w14:textId="45C25EE7" w:rsidR="009C146A" w:rsidRPr="00643AE3" w:rsidRDefault="00D9116E" w:rsidP="00D9116E">
            <w:pPr>
              <w:spacing w:line="276" w:lineRule="auto"/>
              <w:jc w:val="both"/>
              <w:rPr>
                <w:rFonts w:eastAsia="Arial"/>
              </w:rPr>
            </w:pPr>
            <w:r>
              <w:rPr>
                <w:color w:val="202124"/>
              </w:rPr>
              <w:t>Kaštų naudingumas įrodytas</w:t>
            </w:r>
          </w:p>
        </w:tc>
      </w:tr>
      <w:tr w:rsidR="009C146A" w:rsidRPr="00643AE3" w14:paraId="5F74CC25" w14:textId="77777777" w:rsidTr="00C822BF">
        <w:trPr>
          <w:trHeight w:val="1927"/>
        </w:trPr>
        <w:tc>
          <w:tcPr>
            <w:tcW w:w="2927" w:type="dxa"/>
          </w:tcPr>
          <w:p w14:paraId="79B2EB6B" w14:textId="77777777" w:rsidR="009C146A" w:rsidRPr="00643AE3" w:rsidRDefault="009C146A" w:rsidP="00F245D4">
            <w:pPr>
              <w:spacing w:line="276" w:lineRule="auto"/>
              <w:jc w:val="both"/>
              <w:rPr>
                <w:rFonts w:eastAsia="Arial"/>
              </w:rPr>
            </w:pPr>
            <w:r w:rsidRPr="00643AE3">
              <w:rPr>
                <w:rFonts w:eastAsia="Arial"/>
              </w:rPr>
              <w:t>Nacionalinis farmakoekonomikos centras, Airija</w:t>
            </w:r>
          </w:p>
          <w:p w14:paraId="5FFE6826" w14:textId="77777777" w:rsidR="009C146A" w:rsidRPr="00643AE3" w:rsidRDefault="009C146A" w:rsidP="00F245D4">
            <w:pPr>
              <w:spacing w:line="276" w:lineRule="auto"/>
              <w:jc w:val="both"/>
              <w:rPr>
                <w:rFonts w:eastAsia="Arial"/>
              </w:rPr>
            </w:pPr>
            <w:r w:rsidRPr="00643AE3">
              <w:rPr>
                <w:rFonts w:eastAsia="Arial"/>
              </w:rPr>
              <w:t>(angl.</w:t>
            </w:r>
            <w:r w:rsidRPr="00643AE3">
              <w:rPr>
                <w:rFonts w:eastAsia="Arial"/>
                <w:i/>
              </w:rPr>
              <w:t xml:space="preserve"> National Centre for Pharmacoeconomics, NCPE</w:t>
            </w:r>
            <w:r w:rsidRPr="00643AE3">
              <w:rPr>
                <w:rFonts w:eastAsia="Arial"/>
              </w:rPr>
              <w:t>)</w:t>
            </w:r>
          </w:p>
        </w:tc>
        <w:tc>
          <w:tcPr>
            <w:tcW w:w="1915" w:type="dxa"/>
          </w:tcPr>
          <w:p w14:paraId="3DEE5272" w14:textId="77777777" w:rsidR="009C146A" w:rsidRPr="00643AE3" w:rsidRDefault="00000000" w:rsidP="00F245D4">
            <w:pPr>
              <w:jc w:val="both"/>
            </w:pPr>
            <w:sdt>
              <w:sdtPr>
                <w:rPr>
                  <w:rStyle w:val="Style2"/>
                  <w:sz w:val="24"/>
                </w:rPr>
                <w:id w:val="-1888403732"/>
              </w:sdtPr>
              <w:sdtContent>
                <w:r w:rsidR="009C146A" w:rsidRPr="00643AE3">
                  <w:rPr>
                    <w:rStyle w:val="Style2"/>
                    <w:rFonts w:ascii="Segoe UI Symbol" w:eastAsia="MS Gothic" w:hAnsi="Segoe UI Symbol" w:cs="Segoe UI Symbol"/>
                    <w:sz w:val="24"/>
                  </w:rPr>
                  <w:t>☒</w:t>
                </w:r>
              </w:sdtContent>
            </w:sdt>
            <w:r w:rsidR="009C146A" w:rsidRPr="00643AE3">
              <w:t xml:space="preserve"> Taip</w:t>
            </w:r>
          </w:p>
          <w:p w14:paraId="7ADDB4AE" w14:textId="77777777" w:rsidR="009C146A" w:rsidRPr="00643AE3" w:rsidRDefault="00000000" w:rsidP="00F245D4">
            <w:pPr>
              <w:jc w:val="both"/>
            </w:pPr>
            <w:sdt>
              <w:sdtPr>
                <w:rPr>
                  <w:rStyle w:val="Style2"/>
                  <w:sz w:val="24"/>
                </w:rPr>
                <w:id w:val="1092201793"/>
              </w:sdtPr>
              <w:sdtContent>
                <w:r w:rsidR="009C146A" w:rsidRPr="00643AE3">
                  <w:rPr>
                    <w:rStyle w:val="Style2"/>
                    <w:rFonts w:ascii="Segoe UI Symbol" w:eastAsia="MS Gothic" w:hAnsi="Segoe UI Symbol" w:cs="Segoe UI Symbol"/>
                    <w:sz w:val="24"/>
                  </w:rPr>
                  <w:t>☐</w:t>
                </w:r>
              </w:sdtContent>
            </w:sdt>
            <w:r w:rsidR="009C146A" w:rsidRPr="00643AE3">
              <w:t xml:space="preserve"> Ne</w:t>
            </w:r>
          </w:p>
          <w:p w14:paraId="26696C2D" w14:textId="77777777" w:rsidR="009C146A" w:rsidRPr="00643AE3" w:rsidRDefault="00000000" w:rsidP="00F245D4">
            <w:pPr>
              <w:spacing w:line="276" w:lineRule="auto"/>
              <w:jc w:val="both"/>
              <w:rPr>
                <w:rFonts w:eastAsia="Arial"/>
              </w:rPr>
            </w:pPr>
            <w:sdt>
              <w:sdtPr>
                <w:alias w:val="Nurodykite konkrečią dieną"/>
                <w:tag w:val="Nurodykite pradžios datą"/>
                <w:id w:val="-198323198"/>
                <w:date>
                  <w:dateFormat w:val="yyyy 'm.' MMMM d 'd.'"/>
                  <w:lid w:val="lt-LT"/>
                  <w:storeMappedDataAs w:val="dateTime"/>
                  <w:calendar w:val="gregorian"/>
                </w:date>
              </w:sdtPr>
              <w:sdtContent>
                <w:r w:rsidR="009C146A" w:rsidRPr="00643AE3">
                  <w:t>2020 m. gegužės 15 d.</w:t>
                </w:r>
              </w:sdtContent>
            </w:sdt>
          </w:p>
        </w:tc>
        <w:tc>
          <w:tcPr>
            <w:tcW w:w="2351" w:type="dxa"/>
            <w:shd w:val="clear" w:color="auto" w:fill="auto"/>
          </w:tcPr>
          <w:p w14:paraId="3567C2A8" w14:textId="77777777" w:rsidR="009C146A" w:rsidRPr="00643AE3" w:rsidRDefault="009C146A" w:rsidP="00F245D4">
            <w:pPr>
              <w:pStyle w:val="HTMLiankstoformatuotas"/>
              <w:jc w:val="both"/>
              <w:rPr>
                <w:rFonts w:ascii="Times New Roman" w:hAnsi="Times New Roman" w:cs="Times New Roman"/>
                <w:color w:val="202124"/>
                <w:sz w:val="24"/>
              </w:rPr>
            </w:pPr>
          </w:p>
        </w:tc>
        <w:tc>
          <w:tcPr>
            <w:tcW w:w="2300" w:type="dxa"/>
          </w:tcPr>
          <w:p w14:paraId="68A3655F" w14:textId="77777777" w:rsidR="009C146A" w:rsidRPr="00643AE3" w:rsidRDefault="009C146A" w:rsidP="00F245D4">
            <w:pPr>
              <w:spacing w:line="276" w:lineRule="auto"/>
              <w:jc w:val="both"/>
              <w:rPr>
                <w:rFonts w:eastAsia="Arial"/>
              </w:rPr>
            </w:pPr>
          </w:p>
        </w:tc>
      </w:tr>
    </w:tbl>
    <w:p w14:paraId="1EC89118" w14:textId="77777777" w:rsidR="009C146A" w:rsidRPr="00643AE3" w:rsidRDefault="009C146A" w:rsidP="009C146A">
      <w:pPr>
        <w:spacing w:line="276" w:lineRule="auto"/>
        <w:jc w:val="both"/>
        <w:rPr>
          <w:rFonts w:eastAsia="Arial"/>
        </w:rPr>
      </w:pPr>
    </w:p>
    <w:p w14:paraId="73290081" w14:textId="6F69864D" w:rsidR="007A2B68" w:rsidRDefault="007A2B68">
      <w:pPr>
        <w:rPr>
          <w:b/>
          <w:bCs/>
          <w:caps/>
        </w:rPr>
      </w:pP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5FFE6C1C" w14:textId="77777777" w:rsidR="00BD6684" w:rsidRDefault="00BD6684" w:rsidP="00BD6684">
      <w:pPr>
        <w:pStyle w:val="Default"/>
        <w:spacing w:line="276" w:lineRule="auto"/>
        <w:ind w:firstLine="720"/>
        <w:jc w:val="both"/>
        <w:rPr>
          <w:bCs/>
        </w:rPr>
      </w:pPr>
    </w:p>
    <w:p w14:paraId="44406108" w14:textId="07803946" w:rsidR="00BD6684" w:rsidRPr="00643AE3" w:rsidRDefault="00BD6684" w:rsidP="00BD6684">
      <w:pPr>
        <w:pStyle w:val="Default"/>
        <w:spacing w:line="276" w:lineRule="auto"/>
        <w:ind w:firstLine="720"/>
        <w:jc w:val="both"/>
      </w:pPr>
      <w:r w:rsidRPr="00643AE3">
        <w:rPr>
          <w:bCs/>
        </w:rPr>
        <w:t>COVID-19 liga</w:t>
      </w:r>
      <w:r w:rsidRPr="00643AE3">
        <w:rPr>
          <w:b/>
          <w:bCs/>
        </w:rPr>
        <w:t xml:space="preserve"> </w:t>
      </w:r>
      <w:r w:rsidRPr="00643AE3">
        <w:t>(</w:t>
      </w:r>
      <w:r w:rsidR="00EF0BAF">
        <w:t xml:space="preserve">TLK 10 -AM </w:t>
      </w:r>
      <w:r w:rsidRPr="00643AE3">
        <w:t xml:space="preserve">U07.1 COVID-19 liga, virusas nustatytas; U07.2 COVID-19 liga, virusas nenustatytas) – ūminė kvėpavimo takų infekcija  , </w:t>
      </w:r>
      <w:r w:rsidR="00EF0BAF">
        <w:t xml:space="preserve">kuriai, </w:t>
      </w:r>
      <w:r w:rsidRPr="00643AE3">
        <w:t>kaip apibrėžta 2018 m. birželio 22 d. Europos Komisijos įgyvendinimo sprendime (ES) 2018/945 dėl užkrečiamųjų ligų ir susijusių specialiųjų sveikatos problemų, turi būti taikoma epidemiologinė priežiūra, ir kuri diagnozuojama, kai klinikiniame ėminyje nustatoma SARS-CoV-2 viruso nukleino rūgštis arba antigenas; arba diagnozuojama kliniškai ir esant bent vienam iš šių kriterijų: epidemiologinis – kai artimoje aplinkoje patvirtintas COVID-19 ligos atvejis arba kai asmuo gauna teigiamą savikontrolės greitojo antigeno testo rezultatą.</w:t>
      </w:r>
    </w:p>
    <w:p w14:paraId="74D7428D" w14:textId="09B89600" w:rsidR="00BD6684" w:rsidRPr="00305B30" w:rsidRDefault="00BD6684" w:rsidP="00BD6684">
      <w:pPr>
        <w:pStyle w:val="Default"/>
        <w:spacing w:line="276" w:lineRule="auto"/>
        <w:ind w:firstLine="720"/>
        <w:jc w:val="both"/>
      </w:pPr>
      <w:r w:rsidRPr="00643AE3">
        <w:t>Paxlovid</w:t>
      </w:r>
      <w:r w:rsidR="009740AA">
        <w:t xml:space="preserve"> veikliosios medžiagos</w:t>
      </w:r>
      <w:r w:rsidR="005D6F12">
        <w:t xml:space="preserve"> </w:t>
      </w:r>
      <w:r w:rsidRPr="00643AE3">
        <w:t>nirmatrelviras+ritonaviras</w:t>
      </w:r>
      <w:r w:rsidR="009740AA">
        <w:t xml:space="preserve"> yra</w:t>
      </w:r>
      <w:r w:rsidRPr="00643AE3">
        <w:t xml:space="preserve"> sistemi</w:t>
      </w:r>
      <w:r w:rsidR="009740AA">
        <w:t>nio poveikio</w:t>
      </w:r>
      <w:r w:rsidRPr="00643AE3">
        <w:t xml:space="preserve"> priešvirusiniai vaistiniai preparatai, proteazės inhibitoriai, ATC kodas – J05AE30)</w:t>
      </w:r>
      <w:r w:rsidR="009740AA">
        <w:t>. Paxlovid</w:t>
      </w:r>
      <w:r w:rsidRPr="00643AE3">
        <w:t xml:space="preserve"> skirtas koronaviruso 2019 sukeltos ligos (COVID-19) gydymui suaugusiesiems, kuriems nereikia </w:t>
      </w:r>
      <w:r w:rsidRPr="00643AE3">
        <w:lastRenderedPageBreak/>
        <w:t xml:space="preserve">papildomos deguonies terapijos ir kuriems kyla didesnė progresavimo į sunkios eigos COVID-19 rizika. Nirmatrelviras yra peptidomimetinis SARS-CoV-2 pagrindinės proteazės (angl. </w:t>
      </w:r>
      <w:r w:rsidRPr="00643AE3">
        <w:rPr>
          <w:i/>
          <w:iCs/>
        </w:rPr>
        <w:t>main protease, Mpro</w:t>
      </w:r>
      <w:r w:rsidRPr="00643AE3">
        <w:t xml:space="preserve">), dar vadinamos į 3C panašia proteaze (angl. </w:t>
      </w:r>
      <w:r w:rsidRPr="00643AE3">
        <w:rPr>
          <w:i/>
          <w:iCs/>
        </w:rPr>
        <w:t>3C-like protease, 3CLpro</w:t>
      </w:r>
      <w:r w:rsidRPr="00643AE3">
        <w:t xml:space="preserve">) arba nsp5 proteaze, inhibitorius. Slopinant SARS-CoV-2 Mpro, baltymas negali sudaryti poliproteino pirmtakų, todėl virusas nesireplikuoja. Ritonaviras slopina CYP3A tarpininkaujamą nirmatrelviro metabolizmą, todėl padidėja nirmatrelviro koncentracija plazmoje. Paxlovid </w:t>
      </w:r>
      <w:r w:rsidR="009740AA">
        <w:t>veiks</w:t>
      </w:r>
      <w:r w:rsidR="005D6F12">
        <w:t>m</w:t>
      </w:r>
      <w:r w:rsidR="009740AA">
        <w:t>ingumas</w:t>
      </w:r>
      <w:r w:rsidR="009740AA" w:rsidRPr="00643AE3">
        <w:t xml:space="preserve"> </w:t>
      </w:r>
      <w:r w:rsidRPr="00643AE3">
        <w:t xml:space="preserve">vertintas atlikus klinikinį tyrimą EPIC-HR, kuriame </w:t>
      </w:r>
      <w:r>
        <w:t xml:space="preserve">Paxlovid </w:t>
      </w:r>
      <w:r w:rsidR="009740AA">
        <w:t>palygintas su</w:t>
      </w:r>
      <w:r>
        <w:t xml:space="preserve"> placeb</w:t>
      </w:r>
      <w:r w:rsidR="009740AA">
        <w:t>u</w:t>
      </w:r>
      <w:r>
        <w:t>. A</w:t>
      </w:r>
      <w:r w:rsidRPr="00305B30">
        <w:rPr>
          <w:bCs/>
        </w:rPr>
        <w:t>ktyvus stebėjimas</w:t>
      </w:r>
      <w:r w:rsidR="003739F8">
        <w:rPr>
          <w:bCs/>
        </w:rPr>
        <w:t xml:space="preserve"> </w:t>
      </w:r>
      <w:r w:rsidRPr="00305B30">
        <w:rPr>
          <w:bCs/>
        </w:rPr>
        <w:t xml:space="preserve">- </w:t>
      </w:r>
      <w:r w:rsidRPr="00305B30">
        <w:t>gydymas placebu</w:t>
      </w:r>
      <w:r>
        <w:t xml:space="preserve"> – laikomas tinkamu palyginamuoju gydymu.</w:t>
      </w:r>
      <w:r w:rsidRPr="00305B30">
        <w:t xml:space="preserve"> </w:t>
      </w:r>
    </w:p>
    <w:p w14:paraId="274C7C1E" w14:textId="77777777" w:rsidR="009740AA" w:rsidRDefault="009740AA" w:rsidP="00BD6684">
      <w:pPr>
        <w:tabs>
          <w:tab w:val="left" w:pos="284"/>
        </w:tabs>
        <w:spacing w:line="280" w:lineRule="atLeast"/>
        <w:jc w:val="both"/>
        <w:rPr>
          <w:rFonts w:eastAsia="Arial"/>
          <w:i/>
        </w:rPr>
      </w:pPr>
    </w:p>
    <w:p w14:paraId="0121027A" w14:textId="2BAD02AD" w:rsidR="00BD6684" w:rsidRPr="00C55A37" w:rsidRDefault="00BD6684" w:rsidP="00BD6684">
      <w:pPr>
        <w:tabs>
          <w:tab w:val="left" w:pos="284"/>
        </w:tabs>
        <w:spacing w:line="280" w:lineRule="atLeast"/>
        <w:jc w:val="both"/>
        <w:rPr>
          <w:rFonts w:eastAsia="Arial"/>
          <w:i/>
        </w:rPr>
      </w:pPr>
      <w:r w:rsidRPr="00C55A37">
        <w:rPr>
          <w:rFonts w:eastAsia="Arial"/>
          <w:i/>
        </w:rPr>
        <w:t xml:space="preserve">Tiesioginis palyginimas </w:t>
      </w:r>
    </w:p>
    <w:p w14:paraId="6A68C17C" w14:textId="775C62C8" w:rsidR="00BD6684" w:rsidRPr="00643AE3" w:rsidRDefault="00BD6684" w:rsidP="00BD6684">
      <w:pPr>
        <w:pStyle w:val="Default"/>
        <w:spacing w:line="276" w:lineRule="auto"/>
        <w:ind w:firstLine="720"/>
        <w:jc w:val="both"/>
      </w:pPr>
      <w:r w:rsidRPr="00643AE3">
        <w:rPr>
          <w:rFonts w:eastAsia="Arial"/>
        </w:rPr>
        <w:t>Klinikini</w:t>
      </w:r>
      <w:r w:rsidR="009740AA">
        <w:rPr>
          <w:rFonts w:eastAsia="Arial"/>
        </w:rPr>
        <w:t>s</w:t>
      </w:r>
      <w:r w:rsidRPr="00643AE3">
        <w:rPr>
          <w:rFonts w:eastAsia="Arial"/>
        </w:rPr>
        <w:t xml:space="preserve"> veiksmingum</w:t>
      </w:r>
      <w:r w:rsidR="009740AA">
        <w:rPr>
          <w:rFonts w:eastAsia="Arial"/>
        </w:rPr>
        <w:t>as</w:t>
      </w:r>
      <w:r w:rsidRPr="00643AE3">
        <w:rPr>
          <w:rFonts w:eastAsia="Arial"/>
        </w:rPr>
        <w:t xml:space="preserve">  grindžiamas  </w:t>
      </w:r>
      <w:r w:rsidRPr="00643AE3">
        <w:t xml:space="preserve">EPIC-HR tyrimo rezultatais. </w:t>
      </w:r>
      <w:r w:rsidRPr="00643AE3">
        <w:rPr>
          <w:rFonts w:eastAsia="Arial"/>
        </w:rPr>
        <w:t>Į</w:t>
      </w:r>
      <w:r w:rsidRPr="00643AE3">
        <w:rPr>
          <w:rFonts w:eastAsia="Arial"/>
          <w:b/>
        </w:rPr>
        <w:t xml:space="preserve"> </w:t>
      </w:r>
      <w:r w:rsidRPr="00643AE3">
        <w:t xml:space="preserve">EPIC-HR tyrimą buvo įtraukti nehospitalizuoti, COVID-19 simptomų turintys suaugę tiriamieji, kuriems laboratoriniais tyrimais patvirtinta SARS-CoV-2 infekcijos diagnozė ir kuriems yra didesnė rizika sunkiai COVID-19 ligos formai išsivystyti. </w:t>
      </w:r>
      <w:r w:rsidRPr="00643AE3">
        <w:rPr>
          <w:color w:val="202124"/>
          <w:lang w:eastAsia="lt-LT"/>
        </w:rPr>
        <w:t xml:space="preserve">Įtraukti pacientai turėjo didesnę riziką susirgti sunkia COVID-19, atsižvelgiant į iš anksto nustatytus rizikos veiksnius, tokius kaip amžius, KMI, cigarečių rūkymas, imunosupresija arba tam tikros gretutinės ligos. </w:t>
      </w:r>
      <w:r w:rsidRPr="00643AE3">
        <w:t xml:space="preserve">EPIC-HR –  2/3 fazės, atsitiktinių imčių, dvigubai koduotas, placebu kontroliuojamas tyrimas. </w:t>
      </w:r>
      <w:r w:rsidRPr="00643AE3">
        <w:rPr>
          <w:color w:val="1F1F1F"/>
          <w:lang w:eastAsia="lt-LT"/>
        </w:rPr>
        <w:t xml:space="preserve">Į </w:t>
      </w:r>
      <w:r w:rsidRPr="00643AE3">
        <w:t xml:space="preserve">EPIC-HR klinikinį tyrimą pacientai buvo randomizuoti santykiu </w:t>
      </w:r>
      <w:r w:rsidRPr="00643AE3">
        <w:rPr>
          <w:color w:val="1F1F1F"/>
          <w:lang w:eastAsia="lt-LT"/>
        </w:rPr>
        <w:t>1:1. Viena grupė gydymą gavo Paxlovid (300 mg nirmatrelviro/100 mg ritonaviro), kita grupė gavo placebą per burną kas 12 valandų 5 dienas iš eilės</w:t>
      </w:r>
      <w:r w:rsidR="00057FBF">
        <w:rPr>
          <w:color w:val="1F1F1F"/>
          <w:lang w:eastAsia="lt-LT"/>
        </w:rPr>
        <w:t>.</w:t>
      </w:r>
      <w:r w:rsidRPr="00643AE3">
        <w:rPr>
          <w:color w:val="1F1F1F"/>
          <w:lang w:eastAsia="lt-LT"/>
        </w:rPr>
        <w:t xml:space="preserve">. Bendra </w:t>
      </w:r>
      <w:r w:rsidRPr="00643AE3">
        <w:t xml:space="preserve">EPIC-HR </w:t>
      </w:r>
      <w:r w:rsidRPr="00643AE3">
        <w:rPr>
          <w:color w:val="1F1F1F"/>
          <w:lang w:eastAsia="lt-LT"/>
        </w:rPr>
        <w:t>tyrimo trukmė 24 savai</w:t>
      </w:r>
      <w:r w:rsidR="00057FBF">
        <w:rPr>
          <w:color w:val="1F1F1F"/>
          <w:lang w:eastAsia="lt-LT"/>
        </w:rPr>
        <w:t>tės</w:t>
      </w:r>
      <w:r w:rsidRPr="00643AE3">
        <w:rPr>
          <w:color w:val="1F1F1F"/>
          <w:lang w:eastAsia="lt-LT"/>
        </w:rPr>
        <w:t>, tyrimo intervencija – 5 dienos, veiksmingumo vertinimas atliek</w:t>
      </w:r>
      <w:r w:rsidR="00057FBF">
        <w:rPr>
          <w:color w:val="1F1F1F"/>
          <w:lang w:eastAsia="lt-LT"/>
        </w:rPr>
        <w:t>t</w:t>
      </w:r>
      <w:r w:rsidRPr="00643AE3">
        <w:rPr>
          <w:color w:val="1F1F1F"/>
          <w:lang w:eastAsia="lt-LT"/>
        </w:rPr>
        <w:t>as 28 tyrimo dieną, ilgalaikis stebėjimas buvo tęsiamas 12 ir 24 savaites.</w:t>
      </w:r>
      <w:r>
        <w:rPr>
          <w:color w:val="1F1F1F"/>
          <w:lang w:eastAsia="lt-LT"/>
        </w:rPr>
        <w:t xml:space="preserve"> </w:t>
      </w:r>
      <w:r w:rsidRPr="00643AE3">
        <w:rPr>
          <w:color w:val="1F1F1F"/>
          <w:lang w:eastAsia="lt-LT"/>
        </w:rPr>
        <w:t>SARS-CoV-2 viruso kiekio aptikimas ir kiekybinis nustatymas nosiaryklėje buvo atliekamas naudojant atvirkštinės transkriptazės-polimerazės-grandinės reakcijos tyrimą (PGR). PGR tyrimai buvo atliekami 1 tyrimo dieną (prad</w:t>
      </w:r>
      <w:r>
        <w:rPr>
          <w:color w:val="1F1F1F"/>
          <w:lang w:eastAsia="lt-LT"/>
        </w:rPr>
        <w:t>in</w:t>
      </w:r>
      <w:r w:rsidR="00057FBF">
        <w:rPr>
          <w:color w:val="1F1F1F"/>
          <w:lang w:eastAsia="lt-LT"/>
        </w:rPr>
        <w:t>is</w:t>
      </w:r>
      <w:r>
        <w:rPr>
          <w:color w:val="1F1F1F"/>
          <w:lang w:eastAsia="lt-LT"/>
        </w:rPr>
        <w:t xml:space="preserve">) ir 3, 5, 10 ir 14 dienomis, buvo nustatytos </w:t>
      </w:r>
      <w:r>
        <w:t>SARS-CoV-2 padermės, priklausančios alfa (B.1.1.7), gama (P.1), delta (B.1.617.2), lambda (C.37), miu (B.1.621) ir omikron (B.1.1.529) atmainoms.</w:t>
      </w:r>
    </w:p>
    <w:p w14:paraId="7C93CF00" w14:textId="39D7E82A" w:rsidR="00057FBF" w:rsidRPr="005D6F12" w:rsidRDefault="00BD6684" w:rsidP="00BD6684">
      <w:pPr>
        <w:pStyle w:val="Default"/>
        <w:spacing w:line="276" w:lineRule="auto"/>
        <w:ind w:firstLine="720"/>
        <w:jc w:val="both"/>
      </w:pPr>
      <w:r w:rsidRPr="00643AE3">
        <w:rPr>
          <w:i/>
        </w:rPr>
        <w:t>P</w:t>
      </w:r>
      <w:r>
        <w:rPr>
          <w:i/>
        </w:rPr>
        <w:t>irminės</w:t>
      </w:r>
      <w:r w:rsidRPr="00643AE3">
        <w:rPr>
          <w:i/>
        </w:rPr>
        <w:t xml:space="preserve"> vertinamosios baig</w:t>
      </w:r>
      <w:r w:rsidRPr="005D6F12">
        <w:rPr>
          <w:i/>
        </w:rPr>
        <w:t xml:space="preserve">ties </w:t>
      </w:r>
      <w:r w:rsidRPr="00B179CC">
        <w:rPr>
          <w:i/>
        </w:rPr>
        <w:t>rezultatai</w:t>
      </w:r>
      <w:r w:rsidRPr="00B179CC">
        <w:t>.</w:t>
      </w:r>
      <w:r w:rsidRPr="005D6F12">
        <w:t xml:space="preserve"> Nustatyta, jog iki 28-osios dienos nuo tyrimo pradžios Paxlovid pacientų grupėje (N=</w:t>
      </w:r>
      <w:r w:rsidRPr="005D6F12">
        <w:rPr>
          <w:bCs/>
        </w:rPr>
        <w:t xml:space="preserve"> 697)  5 pacientai (0,72 %) buvo hospitalizuoti dėl COVID-19 ligos, placebo grupėje (N=682) buvo hospitalizuoti 66 pacientai (</w:t>
      </w:r>
      <w:r w:rsidRPr="005D6F12">
        <w:t xml:space="preserve">6,45 </w:t>
      </w:r>
      <w:r w:rsidRPr="005D6F12">
        <w:rPr>
          <w:bCs/>
        </w:rPr>
        <w:t>%)</w:t>
      </w:r>
      <w:r w:rsidR="00057FBF" w:rsidRPr="005D6F12">
        <w:rPr>
          <w:bCs/>
        </w:rPr>
        <w:t xml:space="preserve"> (skirtumas</w:t>
      </w:r>
      <w:r w:rsidRPr="005D6F12">
        <w:rPr>
          <w:bCs/>
        </w:rPr>
        <w:t xml:space="preserve"> statistiškai reikšming</w:t>
      </w:r>
      <w:r w:rsidR="00057FBF" w:rsidRPr="005D6F12">
        <w:rPr>
          <w:bCs/>
        </w:rPr>
        <w:t>as</w:t>
      </w:r>
      <w:r w:rsidRPr="005D6F12">
        <w:rPr>
          <w:bCs/>
        </w:rPr>
        <w:t>, p&lt;0,001</w:t>
      </w:r>
      <w:r w:rsidR="00057FBF" w:rsidRPr="005D6F12">
        <w:rPr>
          <w:bCs/>
        </w:rPr>
        <w:t>)</w:t>
      </w:r>
      <w:r w:rsidRPr="005D6F12">
        <w:rPr>
          <w:bCs/>
        </w:rPr>
        <w:t>. Mirtis nuo bet kokios priežas</w:t>
      </w:r>
      <w:r w:rsidR="00057FBF" w:rsidRPr="005D6F12">
        <w:rPr>
          <w:bCs/>
        </w:rPr>
        <w:t>t</w:t>
      </w:r>
      <w:r w:rsidRPr="005D6F12">
        <w:rPr>
          <w:bCs/>
        </w:rPr>
        <w:t xml:space="preserve">ies </w:t>
      </w:r>
      <w:r w:rsidRPr="005D6F12">
        <w:t xml:space="preserve">iki 28-osios dienos nuo tyrimo pradžios Paxlovid pacientų grupėje neįvyko nė vienam pacientui, o placebo grupėje įvyko 9 mirtys (1,32 </w:t>
      </w:r>
      <w:r w:rsidRPr="005D6F12">
        <w:rPr>
          <w:bCs/>
        </w:rPr>
        <w:t>%</w:t>
      </w:r>
      <w:r w:rsidRPr="005D6F12">
        <w:t xml:space="preserve">), p&lt;0,001. </w:t>
      </w:r>
      <w:r w:rsidR="00546BBB" w:rsidRPr="004F2CAA">
        <w:t xml:space="preserve">Į šių rezultatų analizę buvo įtraukti pacientai, kuriems COVID-19 ligos simptomai prasidėjo prieš </w:t>
      </w:r>
      <w:r w:rsidR="00546BBB" w:rsidRPr="00FB2EC3">
        <w:rPr>
          <w:b/>
        </w:rPr>
        <w:t>≤3 paras</w:t>
      </w:r>
      <w:r w:rsidR="00546BBB" w:rsidRPr="004F2CAA">
        <w:t xml:space="preserve"> ir kuriems pradinio vertinimo metu netaikytas COVID-19 gydymas monokloniniais antikūnais (mAk) ir tokio gydymo taikyti neketinama.</w:t>
      </w:r>
    </w:p>
    <w:p w14:paraId="4FD3909B" w14:textId="2AF25486" w:rsidR="00BD6684" w:rsidRDefault="00BD6684" w:rsidP="00BD6684">
      <w:pPr>
        <w:pStyle w:val="Default"/>
        <w:spacing w:line="276" w:lineRule="auto"/>
        <w:ind w:firstLine="720"/>
        <w:jc w:val="both"/>
      </w:pPr>
      <w:r w:rsidRPr="005D6F12">
        <w:rPr>
          <w:i/>
        </w:rPr>
        <w:t>Antrinės vertinamosios baigties rezultatai</w:t>
      </w:r>
      <w:r w:rsidRPr="005D6F12">
        <w:t>. Nustatyta, jog iki 28-osios dienos nuo tyrimo pradžios Paxlovid pacientų grupėje (N=</w:t>
      </w:r>
      <w:r w:rsidRPr="005D6F12">
        <w:rPr>
          <w:bCs/>
        </w:rPr>
        <w:t xml:space="preserve"> 697)  8 pacientai (0,77 %) buvo hospitalizuoti dėl COVID-19 ligos, placebo grupėje buvo hospitalizuoti 66 pacientai (</w:t>
      </w:r>
      <w:r w:rsidRPr="005D6F12">
        <w:t xml:space="preserve">6,31 </w:t>
      </w:r>
      <w:r w:rsidRPr="005D6F12">
        <w:rPr>
          <w:bCs/>
        </w:rPr>
        <w:t xml:space="preserve">%), šie duomenys buvo statistiškai reikšmingi, p&lt;0,001. Mirtis nuo bet kokios priežasties </w:t>
      </w:r>
      <w:r w:rsidRPr="005D6F12">
        <w:t xml:space="preserve">iki 28-osios dienos nuo tyrimo pradžios Paxlovid pacientų grupėje neįvyko nė vienam pacientui, o placebo grupėje įvyko 12 mirčių (1,15 </w:t>
      </w:r>
      <w:r w:rsidRPr="005D6F12">
        <w:rPr>
          <w:bCs/>
        </w:rPr>
        <w:t>%</w:t>
      </w:r>
      <w:r w:rsidRPr="005D6F12">
        <w:t>), p&lt;0,001.</w:t>
      </w:r>
      <w:r w:rsidRPr="00643AE3">
        <w:t xml:space="preserve"> Į </w:t>
      </w:r>
      <w:r>
        <w:t xml:space="preserve">antrinės </w:t>
      </w:r>
      <w:r w:rsidR="005D6F12">
        <w:t>vertinamosios</w:t>
      </w:r>
      <w:r w:rsidR="00057FBF">
        <w:t xml:space="preserve"> </w:t>
      </w:r>
      <w:r>
        <w:t xml:space="preserve">baigties </w:t>
      </w:r>
      <w:r w:rsidRPr="00643AE3">
        <w:t xml:space="preserve">rezultatų analizę buvo įtraukti pacientai, kuriems COVID-19 ligos simptomai prasidėjo </w:t>
      </w:r>
      <w:r w:rsidRPr="00643AE3">
        <w:rPr>
          <w:b/>
        </w:rPr>
        <w:t>prieš ≤5</w:t>
      </w:r>
      <w:r w:rsidRPr="00643AE3">
        <w:t xml:space="preserve"> paras ir kuriems pradinio vertinimo metu netaikytas COVID-19 gydymas  monokloniniais antikūnais (mAk) ir tokio gydymo taikyti neketinama</w:t>
      </w:r>
      <w:r>
        <w:t xml:space="preserve">. </w:t>
      </w:r>
    </w:p>
    <w:p w14:paraId="0F92ABB2" w14:textId="77777777" w:rsidR="00B77CB0" w:rsidRDefault="00B77CB0" w:rsidP="00B77CB0">
      <w:pPr>
        <w:pStyle w:val="Default"/>
        <w:spacing w:line="276" w:lineRule="auto"/>
        <w:jc w:val="both"/>
        <w:rPr>
          <w:i/>
        </w:rPr>
      </w:pPr>
    </w:p>
    <w:p w14:paraId="025F7875" w14:textId="7A75AD9F" w:rsidR="00BD6684" w:rsidRPr="00C55A37" w:rsidRDefault="00BD6684" w:rsidP="00B77CB0">
      <w:pPr>
        <w:pStyle w:val="Default"/>
        <w:spacing w:line="276" w:lineRule="auto"/>
        <w:jc w:val="both"/>
        <w:rPr>
          <w:i/>
        </w:rPr>
      </w:pPr>
      <w:r w:rsidRPr="00C55A37">
        <w:rPr>
          <w:i/>
        </w:rPr>
        <w:t>Realaus gyvenimo stebėjimas</w:t>
      </w:r>
    </w:p>
    <w:p w14:paraId="239CD46E" w14:textId="43CDF67F" w:rsidR="00BD6684" w:rsidRDefault="00BD6684" w:rsidP="00BD6684">
      <w:pPr>
        <w:pStyle w:val="Default"/>
        <w:spacing w:line="276" w:lineRule="auto"/>
        <w:ind w:firstLine="720"/>
        <w:jc w:val="both"/>
      </w:pPr>
      <w:r w:rsidRPr="00643AE3">
        <w:t xml:space="preserve">Paxlovid </w:t>
      </w:r>
      <w:r w:rsidR="00C36822">
        <w:t>veiksming</w:t>
      </w:r>
      <w:r w:rsidR="00C36822" w:rsidRPr="00643AE3">
        <w:t xml:space="preserve">umas </w:t>
      </w:r>
      <w:r w:rsidRPr="00643AE3">
        <w:t xml:space="preserve">mažinant </w:t>
      </w:r>
      <w:r w:rsidR="00350F4E" w:rsidRPr="00643AE3">
        <w:t>sunki</w:t>
      </w:r>
      <w:r w:rsidR="00350F4E">
        <w:t xml:space="preserve">os </w:t>
      </w:r>
      <w:r w:rsidRPr="00643AE3">
        <w:t>COVID-19</w:t>
      </w:r>
      <w:r w:rsidR="00350F4E">
        <w:t xml:space="preserve"> ligos</w:t>
      </w:r>
      <w:r w:rsidRPr="00643AE3">
        <w:t xml:space="preserve">, hospitalizacijų ir mirčių dažnį patvirtintas keliais realios klinikinės praktikos tyrimais. Pagrindinis iš jų rėmėsi elektroninių sveikatos įrašų duomenimis (US Optum®). Analizės rezultatai parodė, kad hospitalizacijos dažnis </w:t>
      </w:r>
      <w:r w:rsidRPr="00643AE3">
        <w:lastRenderedPageBreak/>
        <w:t>(95</w:t>
      </w:r>
      <w:r w:rsidR="00350F4E">
        <w:t xml:space="preserve"> </w:t>
      </w:r>
      <w:r w:rsidRPr="00643AE3">
        <w:t>% PI) per 30 dienų buvo 1,21</w:t>
      </w:r>
      <w:r w:rsidR="00350F4E">
        <w:t xml:space="preserve"> </w:t>
      </w:r>
      <w:r w:rsidRPr="00643AE3">
        <w:t>% (0,84%−1.69</w:t>
      </w:r>
      <w:r w:rsidR="00350F4E">
        <w:t xml:space="preserve"> </w:t>
      </w:r>
      <w:r w:rsidRPr="00643AE3">
        <w:t>%) Paxlovid grupėje ir 6,94% (6,03</w:t>
      </w:r>
      <w:r w:rsidR="00350F4E">
        <w:t xml:space="preserve"> </w:t>
      </w:r>
      <w:r w:rsidRPr="00643AE3">
        <w:t>%−7,94</w:t>
      </w:r>
      <w:r w:rsidR="00350F4E">
        <w:t xml:space="preserve"> </w:t>
      </w:r>
      <w:r w:rsidRPr="00643AE3">
        <w:t>%) tarp negydytų Paxlovid, rizikos santykis (95</w:t>
      </w:r>
      <w:r w:rsidR="00350F4E">
        <w:t xml:space="preserve"> </w:t>
      </w:r>
      <w:r w:rsidRPr="00643AE3">
        <w:t>% PI) 0,16 (0,11−0.22; 84</w:t>
      </w:r>
      <w:r w:rsidR="00350F4E">
        <w:t xml:space="preserve"> </w:t>
      </w:r>
      <w:r w:rsidRPr="00643AE3">
        <w:t>% santykinis rizikos sumažėjimas). Hospitalizacijos dažn</w:t>
      </w:r>
      <w:r w:rsidR="00350F4E">
        <w:t>i</w:t>
      </w:r>
      <w:r w:rsidRPr="00643AE3">
        <w:t>s per 15 dienų buvo 0,78</w:t>
      </w:r>
      <w:r w:rsidR="00350F4E">
        <w:t xml:space="preserve"> </w:t>
      </w:r>
      <w:r w:rsidRPr="00643AE3">
        <w:t>% (0,49</w:t>
      </w:r>
      <w:r w:rsidR="00350F4E">
        <w:t xml:space="preserve"> </w:t>
      </w:r>
      <w:r w:rsidRPr="00643AE3">
        <w:t>%−1,18</w:t>
      </w:r>
      <w:r w:rsidR="00350F4E">
        <w:t xml:space="preserve"> </w:t>
      </w:r>
      <w:r w:rsidRPr="00643AE3">
        <w:t>%) Paxlovid grupėje ir 6,54</w:t>
      </w:r>
      <w:r w:rsidR="00350F4E">
        <w:t xml:space="preserve"> </w:t>
      </w:r>
      <w:r w:rsidRPr="00643AE3">
        <w:t>% (5,65%−7,52</w:t>
      </w:r>
      <w:r w:rsidR="00350F4E">
        <w:t xml:space="preserve"> </w:t>
      </w:r>
      <w:r w:rsidRPr="00643AE3">
        <w:t>%) tarp Paxlovid negydytų pacientų; rizikos santykis 0,11 (0,07−0,17; 89% santykinės rizikos sumažėjimas). 66</w:t>
      </w:r>
      <w:r w:rsidR="00350F4E">
        <w:t xml:space="preserve"> </w:t>
      </w:r>
      <w:r w:rsidRPr="00643AE3">
        <w:t>%</w:t>
      </w:r>
      <w:r w:rsidR="001565C3">
        <w:t xml:space="preserve"> </w:t>
      </w:r>
      <w:r w:rsidRPr="00643AE3">
        <w:t>-</w:t>
      </w:r>
      <w:r w:rsidR="001565C3">
        <w:t xml:space="preserve"> </w:t>
      </w:r>
      <w:r w:rsidRPr="00643AE3">
        <w:t>68</w:t>
      </w:r>
      <w:r w:rsidR="00350F4E">
        <w:t xml:space="preserve"> </w:t>
      </w:r>
      <w:r w:rsidRPr="00643AE3">
        <w:t>% pacientų buvo vakcinuoti. Santykinis rizikos sumažėjimas tarp vakcinuotų pacientų buvo panašus kaip ir bendroje tyrimo populiacijoje, o šio tyrimo rezultatai patvirtina klinikinio tyrimo EPIC-HR rezultatus.</w:t>
      </w:r>
    </w:p>
    <w:p w14:paraId="528E5515" w14:textId="22091878" w:rsidR="00BD6684" w:rsidRDefault="00BD6684" w:rsidP="00BD6684">
      <w:pPr>
        <w:pStyle w:val="Default"/>
        <w:spacing w:line="276" w:lineRule="auto"/>
        <w:ind w:firstLine="720"/>
        <w:jc w:val="both"/>
        <w:rPr>
          <w:color w:val="1F1F1F"/>
          <w:lang w:eastAsia="lt-LT"/>
        </w:rPr>
      </w:pPr>
      <w:r w:rsidRPr="00643AE3">
        <w:rPr>
          <w:color w:val="1F1F1F"/>
          <w:lang w:eastAsia="lt-LT"/>
        </w:rPr>
        <w:t>Nepageidaujamų reakcijų pasireiškimo dažnis buvo gana panašus Paxlovid ir placebo grupėse (22,6 % ir 23,9 %), dauguma nepageidaujamų reakcijų abiejose gydymo grupėse buvo 1 arba 2 laipsnio.</w:t>
      </w:r>
      <w:r>
        <w:rPr>
          <w:color w:val="1F1F1F"/>
          <w:lang w:eastAsia="lt-LT"/>
        </w:rPr>
        <w:t xml:space="preserve"> Nepageidaujam</w:t>
      </w:r>
      <w:r w:rsidR="00350F4E">
        <w:rPr>
          <w:color w:val="1F1F1F"/>
          <w:lang w:eastAsia="lt-LT"/>
        </w:rPr>
        <w:t>os</w:t>
      </w:r>
      <w:r>
        <w:rPr>
          <w:color w:val="1F1F1F"/>
          <w:lang w:eastAsia="lt-LT"/>
        </w:rPr>
        <w:t xml:space="preserve"> reakcij</w:t>
      </w:r>
      <w:r w:rsidR="00350F4E">
        <w:rPr>
          <w:color w:val="1F1F1F"/>
          <w:lang w:eastAsia="lt-LT"/>
        </w:rPr>
        <w:t>os atitinka</w:t>
      </w:r>
      <w:r>
        <w:rPr>
          <w:color w:val="1F1F1F"/>
          <w:lang w:eastAsia="lt-LT"/>
        </w:rPr>
        <w:t xml:space="preserve"> nurodytas preparato charakteristikų santraukoje.</w:t>
      </w:r>
    </w:p>
    <w:p w14:paraId="3962DE4C" w14:textId="21FC931B" w:rsidR="00BD6684" w:rsidRPr="00643AE3" w:rsidRDefault="00BD6684" w:rsidP="00BD6684">
      <w:pPr>
        <w:pStyle w:val="Default"/>
        <w:spacing w:line="276" w:lineRule="auto"/>
        <w:ind w:firstLine="720"/>
        <w:jc w:val="both"/>
      </w:pPr>
      <w:r>
        <w:rPr>
          <w:color w:val="1F1F1F"/>
          <w:lang w:eastAsia="lt-LT"/>
        </w:rPr>
        <w:t>Apibendrinant, skiriant nimatrelviro ir ritonaviro pacientams, turėjusiems</w:t>
      </w:r>
      <w:r w:rsidRPr="00643AE3">
        <w:t xml:space="preserve">, COVID-19 </w:t>
      </w:r>
      <w:r>
        <w:t>simptom</w:t>
      </w:r>
      <w:r w:rsidR="00350F4E">
        <w:t>ų</w:t>
      </w:r>
      <w:r>
        <w:t xml:space="preserve"> kuriems </w:t>
      </w:r>
      <w:r w:rsidRPr="00643AE3">
        <w:t>laboratoriniais tyrimais</w:t>
      </w:r>
      <w:r w:rsidR="00350F4E">
        <w:t xml:space="preserve"> buvo</w:t>
      </w:r>
      <w:r w:rsidRPr="00643AE3">
        <w:t xml:space="preserve"> patvirtinta SARS-CoV-2 infekcijos diagnozė ir kuriems </w:t>
      </w:r>
      <w:r w:rsidR="00350F4E">
        <w:t xml:space="preserve"> buvo</w:t>
      </w:r>
      <w:r w:rsidRPr="00643AE3">
        <w:t xml:space="preserve"> didesnė rizika sunkiai COVID-19 ligos formai išsivystyti</w:t>
      </w:r>
      <w:r>
        <w:t xml:space="preserve">, reikšmingai sumažėjo hospitalizacijų skaičius bei nebuvo užfiksuota ne vieno mirties atvejo per pirmus 28 dienas nuo ligos patvirtinimo, palyginus su aktyvaus stebėjimo taktika. Remiantis pateiktais duomenimis manoma, kad </w:t>
      </w:r>
      <w:r>
        <w:rPr>
          <w:color w:val="1F1F1F"/>
          <w:lang w:eastAsia="lt-LT"/>
        </w:rPr>
        <w:t xml:space="preserve">nimatrelviro ir ritonaviro palyginamasis efektyvumas yra didesnis, palyginus su aktyvaus stebėjimo taktika, o klinikinis veiksmingumas </w:t>
      </w:r>
      <w:r w:rsidRPr="00643AE3">
        <w:t>įvertintas kaip pagrindžiantis papildomos naudos pacientų sveikatai sukūrimą, lyginant su įprasta klinikine praktika</w:t>
      </w:r>
      <w:r w:rsidR="00211787">
        <w:t>.</w:t>
      </w:r>
    </w:p>
    <w:p w14:paraId="25F89291" w14:textId="5C45C8FC" w:rsidR="00D4485B" w:rsidRPr="00E33EFF" w:rsidRDefault="00D4485B" w:rsidP="00A93AA6">
      <w:pPr>
        <w:pStyle w:val="Sraopastraipa"/>
        <w:tabs>
          <w:tab w:val="left" w:pos="426"/>
        </w:tabs>
        <w:ind w:left="0"/>
        <w:rPr>
          <w:b/>
          <w:bCs/>
          <w:caps/>
        </w:rPr>
      </w:pPr>
    </w:p>
    <w:p w14:paraId="7DE09EB5" w14:textId="69E9DD74" w:rsidR="00E03C3F" w:rsidRPr="0062775A" w:rsidRDefault="00CC7832" w:rsidP="00CC09D4">
      <w:pPr>
        <w:pStyle w:val="Sraopastraipa"/>
        <w:numPr>
          <w:ilvl w:val="0"/>
          <w:numId w:val="12"/>
        </w:numPr>
        <w:tabs>
          <w:tab w:val="left" w:pos="567"/>
        </w:tabs>
        <w:ind w:hanging="720"/>
        <w:rPr>
          <w:b/>
          <w:bCs/>
          <w:caps/>
        </w:rPr>
      </w:pPr>
      <w:r w:rsidRPr="00350F4E">
        <w:rPr>
          <w:b/>
          <w:bCs/>
          <w:caps/>
        </w:rPr>
        <w:t xml:space="preserve">ekonominio vertinimo </w:t>
      </w:r>
      <w:r w:rsidR="002F0E4F" w:rsidRPr="00350F4E">
        <w:rPr>
          <w:b/>
          <w:bCs/>
          <w:caps/>
        </w:rPr>
        <w:t>apibendrinimas</w:t>
      </w:r>
    </w:p>
    <w:p w14:paraId="122F8F24" w14:textId="77777777" w:rsidR="00697492" w:rsidRPr="00350F4E" w:rsidRDefault="00697492" w:rsidP="00A93AA6">
      <w:pPr>
        <w:tabs>
          <w:tab w:val="left" w:pos="426"/>
        </w:tabs>
        <w:rPr>
          <w:b/>
          <w:lang w:eastAsia="lt-LT"/>
        </w:rPr>
      </w:pPr>
    </w:p>
    <w:p w14:paraId="4187BEAF" w14:textId="2C41AA61" w:rsidR="00632070" w:rsidRPr="00B77CB0" w:rsidRDefault="00632070" w:rsidP="00632070">
      <w:pPr>
        <w:spacing w:line="276" w:lineRule="auto"/>
        <w:ind w:firstLine="720"/>
        <w:jc w:val="both"/>
        <w:rPr>
          <w:color w:val="000000"/>
        </w:rPr>
      </w:pPr>
      <w:r w:rsidRPr="00B77CB0">
        <w:rPr>
          <w:color w:val="000000"/>
        </w:rPr>
        <w:t xml:space="preserve">Pateikta kaštų naudingumo analizė, Paxlovid </w:t>
      </w:r>
      <w:r w:rsidR="003739F8" w:rsidRPr="00B77CB0">
        <w:rPr>
          <w:color w:val="000000"/>
        </w:rPr>
        <w:t>palyginus</w:t>
      </w:r>
      <w:r w:rsidRPr="00B77CB0">
        <w:rPr>
          <w:color w:val="000000"/>
        </w:rPr>
        <w:t xml:space="preserve"> su placeb</w:t>
      </w:r>
      <w:r w:rsidR="00350F4E" w:rsidRPr="00B77CB0">
        <w:rPr>
          <w:color w:val="000000"/>
        </w:rPr>
        <w:t>u</w:t>
      </w:r>
      <w:r w:rsidRPr="00B77CB0">
        <w:rPr>
          <w:color w:val="000000"/>
        </w:rPr>
        <w:t xml:space="preserve"> (t.y. </w:t>
      </w:r>
      <w:r w:rsidR="003739F8" w:rsidRPr="00B77CB0">
        <w:rPr>
          <w:color w:val="000000"/>
        </w:rPr>
        <w:t>aktyvus stebėjimas</w:t>
      </w:r>
      <w:r w:rsidRPr="00B77CB0">
        <w:rPr>
          <w:color w:val="000000"/>
        </w:rPr>
        <w:t>) kaštų naudingumą, COVID-19 sergančių pacientų populiacijai. Analizėje pateiktas modeliavimo pasirinkimas yra pagrįstas ir tinkamas, tačiau, atsižvelgiant į kintamą</w:t>
      </w:r>
      <w:r w:rsidR="003739F8" w:rsidRPr="00B77CB0">
        <w:rPr>
          <w:color w:val="000000"/>
        </w:rPr>
        <w:t xml:space="preserve"> situaciją susijusią su </w:t>
      </w:r>
      <w:r w:rsidRPr="00B77CB0">
        <w:rPr>
          <w:color w:val="000000"/>
        </w:rPr>
        <w:t xml:space="preserve"> </w:t>
      </w:r>
      <w:r w:rsidR="003739F8" w:rsidRPr="00B77CB0">
        <w:rPr>
          <w:color w:val="4D5156"/>
          <w:shd w:val="clear" w:color="auto" w:fill="FFFFFF"/>
        </w:rPr>
        <w:t>SARS-CoV-2</w:t>
      </w:r>
      <w:r w:rsidR="003739F8" w:rsidRPr="00B77CB0">
        <w:rPr>
          <w:rFonts w:ascii="Arial" w:hAnsi="Arial" w:cs="Arial"/>
          <w:color w:val="4D5156"/>
          <w:sz w:val="21"/>
          <w:szCs w:val="21"/>
          <w:shd w:val="clear" w:color="auto" w:fill="FFFFFF"/>
        </w:rPr>
        <w:t xml:space="preserve"> </w:t>
      </w:r>
      <w:r w:rsidRPr="00B77CB0">
        <w:rPr>
          <w:color w:val="000000"/>
        </w:rPr>
        <w:t>viruso</w:t>
      </w:r>
      <w:r w:rsidR="003739F8" w:rsidRPr="00B77CB0">
        <w:rPr>
          <w:color w:val="000000"/>
        </w:rPr>
        <w:t xml:space="preserve"> padermių pokyčiais</w:t>
      </w:r>
      <w:r w:rsidRPr="00B77CB0">
        <w:rPr>
          <w:color w:val="000000"/>
        </w:rPr>
        <w:t xml:space="preserve"> ir</w:t>
      </w:r>
      <w:r w:rsidR="003739F8" w:rsidRPr="00B77CB0">
        <w:rPr>
          <w:color w:val="000000"/>
        </w:rPr>
        <w:t xml:space="preserve"> galimu</w:t>
      </w:r>
      <w:r w:rsidRPr="00B77CB0">
        <w:rPr>
          <w:color w:val="000000"/>
        </w:rPr>
        <w:t xml:space="preserve"> va</w:t>
      </w:r>
      <w:r w:rsidR="003739F8" w:rsidRPr="00B77CB0">
        <w:rPr>
          <w:color w:val="000000"/>
        </w:rPr>
        <w:t>kcinacijos poveikiu</w:t>
      </w:r>
      <w:r w:rsidRPr="00B77CB0">
        <w:rPr>
          <w:color w:val="000000"/>
        </w:rPr>
        <w:t xml:space="preserve">, vaisto pritaikomumas ir </w:t>
      </w:r>
      <w:r w:rsidR="00E71600" w:rsidRPr="00B77CB0">
        <w:rPr>
          <w:color w:val="000000"/>
        </w:rPr>
        <w:t>j</w:t>
      </w:r>
      <w:r w:rsidR="003739F8" w:rsidRPr="00B77CB0">
        <w:rPr>
          <w:color w:val="000000"/>
        </w:rPr>
        <w:t>o</w:t>
      </w:r>
      <w:r w:rsidR="00E71600" w:rsidRPr="00B77CB0">
        <w:rPr>
          <w:color w:val="000000"/>
        </w:rPr>
        <w:t xml:space="preserve"> </w:t>
      </w:r>
      <w:r w:rsidRPr="00B77CB0">
        <w:rPr>
          <w:color w:val="000000"/>
        </w:rPr>
        <w:t xml:space="preserve">vertė ateityje </w:t>
      </w:r>
      <w:r w:rsidR="003739F8" w:rsidRPr="00B77CB0">
        <w:rPr>
          <w:color w:val="000000"/>
        </w:rPr>
        <w:t>yra</w:t>
      </w:r>
      <w:r w:rsidRPr="00B77CB0">
        <w:rPr>
          <w:color w:val="000000"/>
        </w:rPr>
        <w:t xml:space="preserve"> </w:t>
      </w:r>
      <w:r w:rsidR="003C1373" w:rsidRPr="00B77CB0">
        <w:rPr>
          <w:color w:val="000000"/>
        </w:rPr>
        <w:t>neapibrėžta</w:t>
      </w:r>
      <w:r w:rsidRPr="00B77CB0">
        <w:rPr>
          <w:color w:val="000000"/>
        </w:rPr>
        <w:t xml:space="preserve">. </w:t>
      </w:r>
      <w:r w:rsidR="003C1373" w:rsidRPr="00B77CB0">
        <w:rPr>
          <w:color w:val="000000"/>
        </w:rPr>
        <w:t xml:space="preserve">Kilo </w:t>
      </w:r>
      <w:r w:rsidRPr="00B77CB0">
        <w:rPr>
          <w:color w:val="000000"/>
        </w:rPr>
        <w:t>abejo</w:t>
      </w:r>
      <w:r w:rsidR="003C1373" w:rsidRPr="00B77CB0">
        <w:rPr>
          <w:color w:val="000000"/>
        </w:rPr>
        <w:t>nių</w:t>
      </w:r>
      <w:r w:rsidRPr="00B77CB0">
        <w:rPr>
          <w:color w:val="000000"/>
        </w:rPr>
        <w:t xml:space="preserve">, </w:t>
      </w:r>
      <w:r w:rsidR="003739F8" w:rsidRPr="00B77CB0">
        <w:rPr>
          <w:color w:val="000000"/>
        </w:rPr>
        <w:t>ar</w:t>
      </w:r>
      <w:r w:rsidR="003C1373" w:rsidRPr="00B77CB0">
        <w:rPr>
          <w:color w:val="000000"/>
        </w:rPr>
        <w:t xml:space="preserve"> </w:t>
      </w:r>
      <w:r w:rsidRPr="00B77CB0">
        <w:rPr>
          <w:color w:val="000000"/>
        </w:rPr>
        <w:t xml:space="preserve">daugelis </w:t>
      </w:r>
      <w:r w:rsidR="006C0BEB" w:rsidRPr="00B77CB0">
        <w:rPr>
          <w:color w:val="000000"/>
        </w:rPr>
        <w:t xml:space="preserve">prielaidų </w:t>
      </w:r>
      <w:r w:rsidRPr="00B77CB0">
        <w:rPr>
          <w:color w:val="000000"/>
        </w:rPr>
        <w:t xml:space="preserve">populiacijos </w:t>
      </w:r>
      <w:r w:rsidR="006C0BEB" w:rsidRPr="00B77CB0">
        <w:rPr>
          <w:color w:val="000000"/>
        </w:rPr>
        <w:t xml:space="preserve">lygmenyje </w:t>
      </w:r>
      <w:r w:rsidRPr="00B77CB0">
        <w:rPr>
          <w:color w:val="000000"/>
        </w:rPr>
        <w:t xml:space="preserve">pasitvirtins, net jei </w:t>
      </w:r>
      <w:r w:rsidR="003C1373" w:rsidRPr="00B77CB0">
        <w:rPr>
          <w:color w:val="000000"/>
        </w:rPr>
        <w:t xml:space="preserve">retrospektyviai </w:t>
      </w:r>
      <w:r w:rsidRPr="00B77CB0">
        <w:rPr>
          <w:color w:val="000000"/>
        </w:rPr>
        <w:t>Paxlovid klinikinis veiksmingumas ir ekonominė vertė atrodė stiprūs. Analizėje pateiktas modeliavimo pasirinkimas yra pagrįstas ir tinkamas</w:t>
      </w:r>
      <w:r w:rsidR="003C1373" w:rsidRPr="00B77CB0">
        <w:rPr>
          <w:color w:val="000000"/>
        </w:rPr>
        <w:t>. Atlikta a</w:t>
      </w:r>
      <w:r w:rsidRPr="00B77CB0">
        <w:rPr>
          <w:color w:val="000000"/>
        </w:rPr>
        <w:t xml:space="preserve">nalizė yra išsami, joje remtasi tiesioginiais klinikinio veiksmingumo įrodymais iš EPIC-HR klinikinio tyrimo ir prielaidomis, pagrįstomis Lietuvos duomenimis. Referencinė </w:t>
      </w:r>
      <w:r w:rsidR="005D6F12" w:rsidRPr="00B77CB0">
        <w:rPr>
          <w:color w:val="000000"/>
        </w:rPr>
        <w:t xml:space="preserve">kaštų naudingumo </w:t>
      </w:r>
      <w:r w:rsidRPr="00B77CB0">
        <w:rPr>
          <w:color w:val="000000"/>
        </w:rPr>
        <w:t xml:space="preserve">vertė </w:t>
      </w:r>
      <w:r w:rsidR="005640FE" w:rsidRPr="00B77CB0">
        <w:rPr>
          <w:color w:val="000000"/>
        </w:rPr>
        <w:t xml:space="preserve">nustatyta </w:t>
      </w:r>
      <w:r w:rsidRPr="00B77CB0">
        <w:rPr>
          <w:color w:val="000000"/>
        </w:rPr>
        <w:t xml:space="preserve">pagal Pareiškėjo pateikto modelio COVID-19 paveiktų gyventojų duomenis: vidutinis amžius 46 metai, </w:t>
      </w:r>
      <w:r w:rsidR="003739F8" w:rsidRPr="00B77CB0">
        <w:rPr>
          <w:color w:val="000000"/>
        </w:rPr>
        <w:t xml:space="preserve">tyrime dalyvavo </w:t>
      </w:r>
      <w:r w:rsidRPr="00B77CB0">
        <w:rPr>
          <w:color w:val="000000"/>
        </w:rPr>
        <w:t xml:space="preserve">48,9 </w:t>
      </w:r>
      <w:r w:rsidR="003C1373" w:rsidRPr="00B77CB0">
        <w:rPr>
          <w:color w:val="000000"/>
        </w:rPr>
        <w:t xml:space="preserve">proc. </w:t>
      </w:r>
      <w:r w:rsidRPr="00B77CB0">
        <w:rPr>
          <w:color w:val="000000"/>
        </w:rPr>
        <w:t>moterų ir nediskontuotas dabartinis gydymas QALY's = 22,16</w:t>
      </w:r>
      <w:r w:rsidR="00105432" w:rsidRPr="00B77CB0">
        <w:rPr>
          <w:color w:val="000000"/>
        </w:rPr>
        <w:t>.</w:t>
      </w:r>
      <w:r w:rsidRPr="00B77CB0">
        <w:rPr>
          <w:color w:val="000000"/>
        </w:rPr>
        <w:t xml:space="preserve"> </w:t>
      </w:r>
      <w:r w:rsidR="005640FE" w:rsidRPr="00B77CB0">
        <w:rPr>
          <w:color w:val="000000"/>
        </w:rPr>
        <w:t xml:space="preserve">Remiantis </w:t>
      </w:r>
      <w:r w:rsidR="008E4610" w:rsidRPr="00B77CB0">
        <w:rPr>
          <w:color w:val="000000"/>
        </w:rPr>
        <w:t>paskaičiuotu ligos naštos dydžiu</w:t>
      </w:r>
      <w:r w:rsidR="00105432" w:rsidRPr="00B77CB0">
        <w:rPr>
          <w:color w:val="000000"/>
        </w:rPr>
        <w:t xml:space="preserve"> (santykinis gyvenimo trukmės praradimas </w:t>
      </w:r>
      <w:r w:rsidR="003C1373" w:rsidRPr="00B77CB0">
        <w:rPr>
          <w:color w:val="000000"/>
        </w:rPr>
        <w:t xml:space="preserve">yra </w:t>
      </w:r>
      <w:r w:rsidR="00105432" w:rsidRPr="00B77CB0">
        <w:rPr>
          <w:color w:val="000000"/>
        </w:rPr>
        <w:t>0,20)</w:t>
      </w:r>
      <w:r w:rsidR="008E4610" w:rsidRPr="00B77CB0">
        <w:rPr>
          <w:color w:val="000000"/>
        </w:rPr>
        <w:t xml:space="preserve">,  </w:t>
      </w:r>
      <w:r w:rsidR="001565C3" w:rsidRPr="00B77CB0">
        <w:rPr>
          <w:color w:val="000000"/>
        </w:rPr>
        <w:t xml:space="preserve">Paxlovid </w:t>
      </w:r>
      <w:r w:rsidR="005640FE" w:rsidRPr="00B77CB0">
        <w:rPr>
          <w:color w:val="000000"/>
        </w:rPr>
        <w:t>referencinė kaštų naudingumo vertė</w:t>
      </w:r>
      <w:r w:rsidR="008E4610" w:rsidRPr="00B77CB0">
        <w:rPr>
          <w:color w:val="000000"/>
        </w:rPr>
        <w:t xml:space="preserve"> atitinka </w:t>
      </w:r>
      <w:r w:rsidR="005640FE" w:rsidRPr="00B77CB0">
        <w:rPr>
          <w:color w:val="000000"/>
        </w:rPr>
        <w:t>1 BVP</w:t>
      </w:r>
      <w:r w:rsidR="00E63E5E" w:rsidRPr="00B77CB0">
        <w:rPr>
          <w:color w:val="000000"/>
        </w:rPr>
        <w:t xml:space="preserve">, nes </w:t>
      </w:r>
      <w:r w:rsidR="003C1373" w:rsidRPr="00B77CB0">
        <w:rPr>
          <w:color w:val="000000"/>
        </w:rPr>
        <w:t xml:space="preserve">ligos naštos dydis </w:t>
      </w:r>
      <w:r w:rsidR="00E63E5E" w:rsidRPr="00B77CB0">
        <w:rPr>
          <w:color w:val="000000"/>
        </w:rPr>
        <w:t xml:space="preserve">patenka </w:t>
      </w:r>
      <w:r w:rsidR="00105432" w:rsidRPr="00B77CB0">
        <w:rPr>
          <w:color w:val="000000"/>
        </w:rPr>
        <w:t xml:space="preserve">į diapazoną </w:t>
      </w:r>
      <w:r w:rsidR="003C1373" w:rsidRPr="00B77CB0">
        <w:rPr>
          <w:color w:val="000000"/>
        </w:rPr>
        <w:t xml:space="preserve">nuo </w:t>
      </w:r>
      <w:r w:rsidRPr="00B77CB0">
        <w:rPr>
          <w:color w:val="000000"/>
        </w:rPr>
        <w:t>0,1</w:t>
      </w:r>
      <w:r w:rsidR="003C1373" w:rsidRPr="00B77CB0">
        <w:rPr>
          <w:color w:val="000000"/>
        </w:rPr>
        <w:t xml:space="preserve"> iki </w:t>
      </w:r>
      <w:r w:rsidRPr="00B77CB0">
        <w:rPr>
          <w:color w:val="000000"/>
        </w:rPr>
        <w:t>0,49.</w:t>
      </w:r>
    </w:p>
    <w:p w14:paraId="161A7BD0" w14:textId="00D1A6BB" w:rsidR="005D6F12" w:rsidRPr="00B77CB0" w:rsidRDefault="00852A0F" w:rsidP="00632070">
      <w:pPr>
        <w:spacing w:line="276" w:lineRule="auto"/>
        <w:ind w:firstLine="720"/>
        <w:jc w:val="both"/>
        <w:rPr>
          <w:color w:val="000000"/>
        </w:rPr>
      </w:pPr>
      <w:r w:rsidRPr="00B77CB0">
        <w:rPr>
          <w:color w:val="000000"/>
        </w:rPr>
        <w:t>Pateikti farmakoekonominiam vertinimui duomenys laikomi tinkam</w:t>
      </w:r>
      <w:r w:rsidR="001565C3" w:rsidRPr="00B77CB0">
        <w:rPr>
          <w:color w:val="000000"/>
        </w:rPr>
        <w:t>a</w:t>
      </w:r>
      <w:r w:rsidRPr="00B77CB0">
        <w:rPr>
          <w:color w:val="000000"/>
        </w:rPr>
        <w:t>i</w:t>
      </w:r>
      <w:r w:rsidR="001565C3" w:rsidRPr="00B77CB0">
        <w:rPr>
          <w:color w:val="000000"/>
        </w:rPr>
        <w:t>s</w:t>
      </w:r>
      <w:r w:rsidRPr="00B77CB0">
        <w:rPr>
          <w:color w:val="000000"/>
        </w:rPr>
        <w:t xml:space="preserve">, </w:t>
      </w:r>
      <w:r w:rsidR="001565C3" w:rsidRPr="00B77CB0">
        <w:rPr>
          <w:color w:val="000000"/>
        </w:rPr>
        <w:t xml:space="preserve">vertinimo metu </w:t>
      </w:r>
      <w:r w:rsidRPr="00B77CB0">
        <w:rPr>
          <w:color w:val="000000"/>
        </w:rPr>
        <w:t>papildomų prielaidų dėl COVID-9 pacientų amžiaus, lyties, ligos sunkumo ir gydymo veiksmingumo nebuvo taikyta.</w:t>
      </w:r>
    </w:p>
    <w:p w14:paraId="2DAEAF82" w14:textId="77777777" w:rsidR="00632070" w:rsidRPr="00643AE3" w:rsidRDefault="00632070" w:rsidP="00632070">
      <w:pPr>
        <w:spacing w:line="276" w:lineRule="auto"/>
        <w:ind w:firstLine="720"/>
        <w:jc w:val="both"/>
        <w:rPr>
          <w:color w:val="000000"/>
        </w:rPr>
      </w:pPr>
      <w:r w:rsidRPr="00643AE3">
        <w:rPr>
          <w:color w:val="000000"/>
        </w:rPr>
        <w:t>Modelyje pritaikius nurodytas prielaidas, ICER atitinka referentines kaštų naudingumo vertes.</w:t>
      </w:r>
    </w:p>
    <w:p w14:paraId="73420991" w14:textId="79733142" w:rsidR="00EB7F7A" w:rsidRDefault="00EB7F7A" w:rsidP="00632070">
      <w:pPr>
        <w:tabs>
          <w:tab w:val="left" w:pos="426"/>
        </w:tabs>
        <w:spacing w:line="276" w:lineRule="auto"/>
        <w:rPr>
          <w:b/>
          <w:lang w:eastAsia="lt-LT"/>
        </w:rPr>
      </w:pPr>
    </w:p>
    <w:p w14:paraId="5335BCB8" w14:textId="77777777" w:rsidR="00EB7F7A" w:rsidRPr="00E33EFF" w:rsidRDefault="00EB7F7A"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BE7489">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8" w:type="dxa"/>
            <w:tcBorders>
              <w:right w:val="single" w:sz="4" w:space="0" w:color="auto"/>
            </w:tcBorders>
          </w:tcPr>
          <w:p w14:paraId="1CACF0B4" w14:textId="6A518D82" w:rsidR="00BA5DBC" w:rsidRPr="0096714F" w:rsidRDefault="00E26F76" w:rsidP="00BA5DBC">
            <w:pPr>
              <w:tabs>
                <w:tab w:val="left" w:pos="567"/>
              </w:tabs>
              <w:jc w:val="both"/>
              <w:rPr>
                <w:i/>
                <w:iCs/>
                <w:color w:val="4F81BD" w:themeColor="accent1"/>
                <w:u w:val="single"/>
                <w:lang w:eastAsia="lt-LT"/>
              </w:rPr>
            </w:pPr>
            <w:r>
              <w:rPr>
                <w:i/>
                <w:iCs/>
                <w:color w:val="4F81BD" w:themeColor="accent1"/>
                <w:u w:val="single"/>
                <w:lang w:eastAsia="lt-LT"/>
              </w:rPr>
              <w:t>***</w:t>
            </w:r>
          </w:p>
        </w:tc>
      </w:tr>
      <w:tr w:rsidR="00BA5DBC" w:rsidRPr="00E33EFF" w14:paraId="49F818A3" w14:textId="77777777" w:rsidTr="00BE7489">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8" w:type="dxa"/>
            <w:tcBorders>
              <w:right w:val="single" w:sz="4" w:space="0" w:color="auto"/>
            </w:tcBorders>
          </w:tcPr>
          <w:p w14:paraId="4954817B" w14:textId="0BEABAF2" w:rsidR="00BA5DBC" w:rsidRPr="0096714F" w:rsidRDefault="00E26F76" w:rsidP="00BA5DBC">
            <w:pPr>
              <w:tabs>
                <w:tab w:val="left" w:pos="567"/>
              </w:tabs>
              <w:jc w:val="both"/>
              <w:rPr>
                <w:i/>
                <w:iCs/>
                <w:color w:val="4F81BD" w:themeColor="accent1"/>
                <w:u w:val="single"/>
                <w:lang w:eastAsia="lt-LT"/>
              </w:rPr>
            </w:pPr>
            <w:r>
              <w:rPr>
                <w:i/>
                <w:iCs/>
                <w:color w:val="4F81BD" w:themeColor="accent1"/>
                <w:u w:val="single"/>
                <w:lang w:eastAsia="lt-LT"/>
              </w:rPr>
              <w:t>***</w:t>
            </w:r>
          </w:p>
        </w:tc>
      </w:tr>
      <w:tr w:rsidR="00BA5DBC" w:rsidRPr="00E33EFF" w14:paraId="20ADA742" w14:textId="77777777" w:rsidTr="00BE7489">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8" w:type="dxa"/>
            <w:tcBorders>
              <w:right w:val="single" w:sz="4" w:space="0" w:color="auto"/>
            </w:tcBorders>
          </w:tcPr>
          <w:p w14:paraId="02E4DAE1" w14:textId="4372653F" w:rsidR="00BA5DBC" w:rsidRPr="0096714F" w:rsidRDefault="00E26F76" w:rsidP="00BA5DBC">
            <w:pPr>
              <w:tabs>
                <w:tab w:val="left" w:pos="567"/>
              </w:tabs>
              <w:jc w:val="both"/>
              <w:rPr>
                <w:i/>
                <w:iCs/>
                <w:color w:val="4F81BD" w:themeColor="accent1"/>
                <w:u w:val="single"/>
                <w:lang w:eastAsia="lt-LT"/>
              </w:rPr>
            </w:pPr>
            <w:r>
              <w:rPr>
                <w:i/>
                <w:iCs/>
                <w:color w:val="4F81BD" w:themeColor="accent1"/>
                <w:u w:val="single"/>
                <w:lang w:eastAsia="lt-LT"/>
              </w:rPr>
              <w:t>***</w:t>
            </w:r>
          </w:p>
        </w:tc>
      </w:tr>
      <w:tr w:rsidR="00BA5DBC" w:rsidRPr="00E33EFF" w14:paraId="1FADA2B3" w14:textId="77777777" w:rsidTr="00BE7489">
        <w:trPr>
          <w:trHeight w:val="267"/>
          <w:jc w:val="center"/>
        </w:trPr>
        <w:tc>
          <w:tcPr>
            <w:tcW w:w="6200" w:type="dxa"/>
            <w:tcBorders>
              <w:left w:val="single" w:sz="4" w:space="0" w:color="auto"/>
            </w:tcBorders>
          </w:tcPr>
          <w:p w14:paraId="13E089E8" w14:textId="0BCEB339" w:rsidR="00BA5DBC" w:rsidRPr="00E33EFF" w:rsidRDefault="00BA5DBC" w:rsidP="009E44AE">
            <w:pPr>
              <w:tabs>
                <w:tab w:val="left" w:pos="567"/>
              </w:tabs>
              <w:jc w:val="right"/>
              <w:rPr>
                <w:iCs/>
                <w:lang w:eastAsia="lt-LT"/>
              </w:rPr>
            </w:pPr>
            <w:r w:rsidRPr="00E33EFF">
              <w:rPr>
                <w:iCs/>
                <w:lang w:eastAsia="lt-LT"/>
              </w:rPr>
              <w:t>ICER už LY</w:t>
            </w:r>
          </w:p>
        </w:tc>
        <w:tc>
          <w:tcPr>
            <w:tcW w:w="3238" w:type="dxa"/>
            <w:tcBorders>
              <w:right w:val="single" w:sz="4" w:space="0" w:color="auto"/>
            </w:tcBorders>
          </w:tcPr>
          <w:p w14:paraId="2817448D" w14:textId="299704C3" w:rsidR="00BA5DBC" w:rsidRPr="0096714F" w:rsidRDefault="00E26F76" w:rsidP="009E44AE">
            <w:pPr>
              <w:tabs>
                <w:tab w:val="left" w:pos="567"/>
              </w:tabs>
              <w:jc w:val="both"/>
              <w:rPr>
                <w:i/>
                <w:iCs/>
                <w:color w:val="4F81BD" w:themeColor="accent1"/>
                <w:u w:val="single"/>
                <w:lang w:eastAsia="lt-LT"/>
              </w:rPr>
            </w:pPr>
            <w:r>
              <w:rPr>
                <w:i/>
                <w:iCs/>
                <w:color w:val="4F81BD" w:themeColor="accent1"/>
                <w:u w:val="single"/>
                <w:lang w:eastAsia="lt-LT"/>
              </w:rPr>
              <w:t>***</w:t>
            </w:r>
          </w:p>
        </w:tc>
      </w:tr>
      <w:tr w:rsidR="009E44AE" w:rsidRPr="00E33EFF" w14:paraId="250DE960" w14:textId="77777777" w:rsidTr="00BE7489">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lastRenderedPageBreak/>
              <w:t>ICER už QALY</w:t>
            </w:r>
          </w:p>
        </w:tc>
        <w:tc>
          <w:tcPr>
            <w:tcW w:w="3238" w:type="dxa"/>
            <w:tcBorders>
              <w:right w:val="single" w:sz="4" w:space="0" w:color="auto"/>
            </w:tcBorders>
          </w:tcPr>
          <w:p w14:paraId="4275320D" w14:textId="119096AE" w:rsidR="009E44AE" w:rsidRPr="0096714F" w:rsidRDefault="00E26F76" w:rsidP="009E44AE">
            <w:pPr>
              <w:tabs>
                <w:tab w:val="left" w:pos="567"/>
              </w:tabs>
              <w:jc w:val="both"/>
              <w:rPr>
                <w:color w:val="4F81BD" w:themeColor="accent1"/>
                <w:u w:val="single"/>
                <w:lang w:eastAsia="lt-LT"/>
              </w:rPr>
            </w:pPr>
            <w:r>
              <w:rPr>
                <w:color w:val="4F81BD" w:themeColor="accent1"/>
                <w:u w:val="single"/>
                <w:lang w:eastAsia="lt-LT"/>
              </w:rPr>
              <w:t>***</w:t>
            </w:r>
          </w:p>
        </w:tc>
      </w:tr>
      <w:tr w:rsidR="009E44AE" w:rsidRPr="00E33EFF"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51F12115" w:rsidR="009E44AE" w:rsidRPr="0096714F" w:rsidRDefault="00E26F76" w:rsidP="009E44AE">
            <w:pPr>
              <w:tabs>
                <w:tab w:val="left" w:pos="567"/>
              </w:tabs>
              <w:jc w:val="both"/>
              <w:rPr>
                <w:color w:val="4F81BD" w:themeColor="accent1"/>
                <w:u w:val="single"/>
                <w:lang w:eastAsia="lt-LT"/>
              </w:rPr>
            </w:pPr>
            <w:r>
              <w:rPr>
                <w:color w:val="4F81BD" w:themeColor="accent1"/>
                <w:u w:val="single"/>
                <w:lang w:eastAsia="lt-LT"/>
              </w:rPr>
              <w:t>***</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7A3ECC1E"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2D6B51">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4C0D1476"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2D6B51">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30069D85" w14:textId="77777777" w:rsidR="0061611B" w:rsidRPr="00BF3927" w:rsidRDefault="0061611B" w:rsidP="0061611B">
      <w:pPr>
        <w:ind w:left="360"/>
        <w:rPr>
          <w:i/>
          <w:color w:val="000000" w:themeColor="text1"/>
          <w:szCs w:val="22"/>
        </w:rPr>
      </w:pPr>
    </w:p>
    <w:p w14:paraId="2922DDCD" w14:textId="77777777" w:rsidR="00BD18D3" w:rsidRPr="00E33EFF" w:rsidRDefault="00BD18D3"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67055F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EB7F7A">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2BE1A03B"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EB7F7A">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7D503C86"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350F4E">
                  <w:rPr>
                    <w:rStyle w:val="Style2"/>
                    <w:rFonts w:ascii="MS Gothic" w:eastAsia="MS Gothic" w:hAnsi="MS Gothic" w:hint="eastAsia"/>
                    <w:sz w:val="24"/>
                  </w:rPr>
                  <w:t>☒</w:t>
                </w:r>
              </w:sdtContent>
            </w:sdt>
            <w:r w:rsidR="00B13D65" w:rsidRPr="00E33EFF">
              <w:t xml:space="preserve"> 32.3. atitinka referencinę naudingumo vertę, </w:t>
            </w:r>
            <w:r w:rsidR="00B13D65" w:rsidRPr="00B77CB0">
              <w:t>taikant</w:t>
            </w:r>
            <w:r w:rsidR="00662983" w:rsidRPr="00B77CB0">
              <w:t xml:space="preserve"> PGS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65CB771"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662983" w:rsidRPr="00E33EFF">
              <w:t>&lt;</w:t>
            </w:r>
            <w:r w:rsidR="00B13D65" w:rsidRPr="00E33EFF">
              <w:t xml:space="preserve">taikant </w:t>
            </w:r>
            <w:r w:rsidR="00662983" w:rsidRPr="00E33EFF">
              <w:t>PGS&gt; &lt;</w:t>
            </w:r>
            <w:r w:rsidR="00B13D65" w:rsidRPr="00E33EFF">
              <w:t>netaikant PGS</w:t>
            </w:r>
            <w:r w:rsidR="00662983" w:rsidRPr="00E33EFF">
              <w:t>&gt;</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28FB2120"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662983" w:rsidRPr="00E33EFF">
              <w:t>&lt;</w:t>
            </w:r>
            <w:r w:rsidR="00B13D65" w:rsidRPr="00E33EFF">
              <w:t>taikant</w:t>
            </w:r>
            <w:r w:rsidR="00662983" w:rsidRPr="00E33EFF">
              <w:t xml:space="preserve"> PGS&gt;</w:t>
            </w:r>
            <w:r w:rsidR="00B13D65" w:rsidRPr="00E33EFF">
              <w:t xml:space="preserve"> </w:t>
            </w:r>
            <w:r w:rsidR="00662983" w:rsidRPr="00E33EFF">
              <w:t>&lt;</w:t>
            </w:r>
            <w:r w:rsidR="00B13D65" w:rsidRPr="00E33EFF">
              <w:t>netaikant PGS</w:t>
            </w:r>
            <w:r w:rsidR="00662983" w:rsidRPr="00E33EFF">
              <w:t>&gt;</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1B85C083" w14:textId="77777777" w:rsidR="009E44AE" w:rsidRPr="00E33EFF" w:rsidRDefault="009E44AE" w:rsidP="00381024"/>
    <w:p w14:paraId="3B2D1F25" w14:textId="3F763F3D" w:rsidR="000001B0" w:rsidRPr="00B06C15"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3664D6CF" w14:textId="77777777" w:rsidR="00B06C15" w:rsidRPr="00E33EFF" w:rsidRDefault="00B06C15" w:rsidP="00B06C15">
      <w:pPr>
        <w:pStyle w:val="Sraopastraipa"/>
        <w:ind w:left="567"/>
      </w:pPr>
    </w:p>
    <w:p w14:paraId="2E2CE327" w14:textId="5C827002" w:rsidR="00B06C15" w:rsidRPr="00643AE3" w:rsidRDefault="00B06C15" w:rsidP="00B06C15">
      <w:pPr>
        <w:pStyle w:val="VVKT"/>
        <w:jc w:val="both"/>
        <w:rPr>
          <w:szCs w:val="24"/>
        </w:rPr>
      </w:pPr>
      <w:r w:rsidRPr="00643AE3">
        <w:rPr>
          <w:szCs w:val="24"/>
        </w:rPr>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rPr>
          <w:szCs w:val="24"/>
        </w:rPr>
        <w:t xml:space="preserve"> </w:t>
      </w:r>
      <w:r w:rsidRPr="00643AE3">
        <w:rPr>
          <w:szCs w:val="24"/>
        </w:rPr>
        <w:t xml:space="preserve">34.1. rekomenduojama </w:t>
      </w:r>
      <w:r w:rsidRPr="00652E56">
        <w:rPr>
          <w:i/>
          <w:szCs w:val="24"/>
        </w:rPr>
        <w:t xml:space="preserve">kompensuoti </w:t>
      </w:r>
      <w:r w:rsidRPr="00643AE3">
        <w:rPr>
          <w:szCs w:val="24"/>
        </w:rPr>
        <w:t>vaistinį preparatą pagal paraiškoje nurodytą indikaciją  su skyrimo sąlygomis, taikant PGS, dėl didesnio palyginamojo efektyvumo ir gydymo sukuriamos papildomos naudos pacientų sveikatai, lyginant su įprasta klinikine praktika, ir atitikties referencinei naudingumo vertei.</w:t>
      </w:r>
    </w:p>
    <w:p w14:paraId="7D5C6700" w14:textId="77777777" w:rsidR="00D5470B" w:rsidRPr="00E33EFF" w:rsidRDefault="00D5470B" w:rsidP="00C712EA">
      <w:pPr>
        <w:pStyle w:val="Sraopastraipa"/>
        <w:ind w:left="426"/>
      </w:pPr>
    </w:p>
    <w:p w14:paraId="06BC01EE" w14:textId="44333E0B" w:rsidR="000723FF" w:rsidRPr="00E33EFF" w:rsidRDefault="000723FF" w:rsidP="00381024"/>
    <w:p w14:paraId="18B4292E" w14:textId="21BD9C05"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0723FF">
      <w:pPr>
        <w:tabs>
          <w:tab w:val="left" w:pos="426"/>
        </w:tabs>
        <w:jc w:val="both"/>
        <w:rPr>
          <w:b/>
          <w:color w:val="000000"/>
          <w:lang w:eastAsia="lt-LT"/>
        </w:rPr>
      </w:pPr>
    </w:p>
    <w:p w14:paraId="529C92C4" w14:textId="7B2F40AB" w:rsidR="000723FF" w:rsidRDefault="000723FF" w:rsidP="00824B92">
      <w:pPr>
        <w:rPr>
          <w:b/>
          <w:lang w:eastAsia="lt-LT"/>
        </w:rPr>
      </w:pPr>
      <w:r w:rsidRPr="00DC5BAC">
        <w:rPr>
          <w:b/>
          <w:lang w:eastAsia="lt-LT"/>
        </w:rPr>
        <w:t>Terapinės indikacijos</w:t>
      </w:r>
    </w:p>
    <w:p w14:paraId="5ED0D516" w14:textId="77777777" w:rsidR="00EB7F7A" w:rsidRPr="00DC5BAC" w:rsidRDefault="00EB7F7A" w:rsidP="00824B92">
      <w:pPr>
        <w:rPr>
          <w:b/>
          <w:lang w:eastAsia="lt-LT"/>
        </w:rPr>
      </w:pPr>
    </w:p>
    <w:p w14:paraId="5BB746DD" w14:textId="29F0D286"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EB7F7A">
            <w:rPr>
              <w:rStyle w:val="Style2"/>
              <w:rFonts w:ascii="MS Gothic" w:eastAsia="MS Gothic" w:hAnsi="MS Gothic" w:hint="eastAsia"/>
            </w:rPr>
            <w:t>☒</w:t>
          </w:r>
        </w:sdtContent>
      </w:sdt>
      <w:r w:rsidR="000723FF" w:rsidRPr="00E33EFF">
        <w:t xml:space="preserve"> Siūloma kompensuoti Pareiškėjo teikiamą indikaciją be pakeitimų.</w:t>
      </w:r>
    </w:p>
    <w:p w14:paraId="2835432C" w14:textId="77777777" w:rsidR="002F204F" w:rsidRPr="002F204F" w:rsidRDefault="002F204F" w:rsidP="002F204F">
      <w:pPr>
        <w:pStyle w:val="Tekstas"/>
        <w:rPr>
          <w:i/>
        </w:rPr>
      </w:pPr>
      <w:r w:rsidRPr="002F204F">
        <w:rPr>
          <w:i/>
        </w:rPr>
        <w:t>Paxlovid skirtas koronaviruso 2019 m. sukeltos ligos (COVID-19) gydymui suaugusiesiems, kuriems nereikia papildomos deguonies terapijos ir kuriems kyla didesnė progresavimo į sunkios eigos COVID-19 rizika.</w:t>
      </w:r>
    </w:p>
    <w:p w14:paraId="597367EF" w14:textId="0B7189A6"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0B2E4004" w14:textId="77777777" w:rsidR="00EB7F7A" w:rsidRDefault="00EB7F7A" w:rsidP="00824B92">
      <w:pPr>
        <w:rPr>
          <w:b/>
        </w:rPr>
      </w:pPr>
    </w:p>
    <w:p w14:paraId="241A6E6B" w14:textId="184787B7" w:rsidR="000723FF" w:rsidRPr="00E33EFF" w:rsidRDefault="000723FF" w:rsidP="00824B92">
      <w:pPr>
        <w:rPr>
          <w:b/>
        </w:rPr>
      </w:pPr>
      <w:r w:rsidRPr="00E33EFF">
        <w:rPr>
          <w:b/>
        </w:rPr>
        <w:t>Skyrimo sąlygos</w:t>
      </w:r>
    </w:p>
    <w:p w14:paraId="250ACC46" w14:textId="39AA380D" w:rsidR="000723FF" w:rsidRDefault="00000000" w:rsidP="00824B92">
      <w:sdt>
        <w:sdtPr>
          <w:rPr>
            <w:rStyle w:val="Style2"/>
          </w:rPr>
          <w:id w:val="169305347"/>
          <w15:color w:val="FFCC00"/>
          <w14:checkbox>
            <w14:checked w14:val="1"/>
            <w14:checkedState w14:val="2612" w14:font="MS Gothic"/>
            <w14:uncheckedState w14:val="2610" w14:font="MS Gothic"/>
          </w14:checkbox>
        </w:sdtPr>
        <w:sdtContent>
          <w:r w:rsidR="00EB7F7A">
            <w:rPr>
              <w:rStyle w:val="Style2"/>
              <w:rFonts w:ascii="MS Gothic" w:eastAsia="MS Gothic" w:hAnsi="MS Gothic" w:hint="eastAsia"/>
            </w:rPr>
            <w:t>☒</w:t>
          </w:r>
        </w:sdtContent>
      </w:sdt>
      <w:r w:rsidR="000723FF" w:rsidRPr="00E33EFF">
        <w:t xml:space="preserve"> Pareiškėjo siūlomos skyrimo sąlygos priimtinos. </w:t>
      </w:r>
    </w:p>
    <w:p w14:paraId="52352503" w14:textId="3EBC6858" w:rsidR="00EB7F7A" w:rsidRPr="00E33EFF" w:rsidRDefault="00B703DB" w:rsidP="00824B92">
      <w:r w:rsidRPr="00B703DB">
        <w:rPr>
          <w:i/>
        </w:rPr>
        <w:t>Pagal registruotą indikaciją</w:t>
      </w:r>
      <w:r>
        <w:t>.</w:t>
      </w:r>
    </w:p>
    <w:p w14:paraId="297867ED" w14:textId="77777777" w:rsidR="000723FF" w:rsidRPr="00E33EFF" w:rsidRDefault="00000000" w:rsidP="00824B92">
      <w:sdt>
        <w:sdtPr>
          <w:rPr>
            <w:rStyle w:val="Style2"/>
          </w:rPr>
          <w:id w:val="1823936883"/>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Pareiškėjo siūlomos skyrimo sąlygos nepriimtinos. </w:t>
      </w:r>
    </w:p>
    <w:sectPr w:rsidR="000723FF" w:rsidRPr="00E33E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12D5B" w14:textId="77777777" w:rsidR="007076EB" w:rsidRDefault="007076EB">
      <w:r>
        <w:separator/>
      </w:r>
    </w:p>
  </w:endnote>
  <w:endnote w:type="continuationSeparator" w:id="0">
    <w:p w14:paraId="3C44BBD1" w14:textId="77777777" w:rsidR="007076EB" w:rsidRDefault="0070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9941C" w14:textId="77777777" w:rsidR="007076EB" w:rsidRDefault="007076EB">
      <w:r>
        <w:separator/>
      </w:r>
    </w:p>
  </w:footnote>
  <w:footnote w:type="continuationSeparator" w:id="0">
    <w:p w14:paraId="3993A2FD" w14:textId="77777777" w:rsidR="007076EB" w:rsidRDefault="0070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10ED1660"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7CB0">
      <w:rPr>
        <w:rStyle w:val="Puslapionumeris"/>
        <w:noProof/>
      </w:rPr>
      <w:t>6</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E830BE"/>
    <w:multiLevelType w:val="hybridMultilevel"/>
    <w:tmpl w:val="F3C6B3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00789D"/>
    <w:multiLevelType w:val="hybridMultilevel"/>
    <w:tmpl w:val="8822F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1995329">
    <w:abstractNumId w:val="6"/>
  </w:num>
  <w:num w:numId="2" w16cid:durableId="1375042375">
    <w:abstractNumId w:val="1"/>
  </w:num>
  <w:num w:numId="3" w16cid:durableId="1423913793">
    <w:abstractNumId w:val="8"/>
  </w:num>
  <w:num w:numId="4" w16cid:durableId="1375614776">
    <w:abstractNumId w:val="7"/>
  </w:num>
  <w:num w:numId="5" w16cid:durableId="458569101">
    <w:abstractNumId w:val="5"/>
  </w:num>
  <w:num w:numId="6" w16cid:durableId="490293585">
    <w:abstractNumId w:val="4"/>
  </w:num>
  <w:num w:numId="7" w16cid:durableId="668605855">
    <w:abstractNumId w:val="3"/>
  </w:num>
  <w:num w:numId="8" w16cid:durableId="1070233062">
    <w:abstractNumId w:val="12"/>
  </w:num>
  <w:num w:numId="9" w16cid:durableId="1786466362">
    <w:abstractNumId w:val="0"/>
  </w:num>
  <w:num w:numId="10" w16cid:durableId="1469276391">
    <w:abstractNumId w:val="9"/>
  </w:num>
  <w:num w:numId="11" w16cid:durableId="830369348">
    <w:abstractNumId w:val="11"/>
  </w:num>
  <w:num w:numId="12" w16cid:durableId="459231812">
    <w:abstractNumId w:val="2"/>
  </w:num>
  <w:num w:numId="13" w16cid:durableId="919605897">
    <w:abstractNumId w:val="13"/>
  </w:num>
  <w:num w:numId="14" w16cid:durableId="1850830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57FBF"/>
    <w:rsid w:val="000606BE"/>
    <w:rsid w:val="000723FF"/>
    <w:rsid w:val="0007294F"/>
    <w:rsid w:val="000736B8"/>
    <w:rsid w:val="000778C9"/>
    <w:rsid w:val="0008190F"/>
    <w:rsid w:val="00081D9C"/>
    <w:rsid w:val="00082907"/>
    <w:rsid w:val="0008378D"/>
    <w:rsid w:val="00086568"/>
    <w:rsid w:val="000908A5"/>
    <w:rsid w:val="00092805"/>
    <w:rsid w:val="000C454C"/>
    <w:rsid w:val="000D5038"/>
    <w:rsid w:val="000D64FF"/>
    <w:rsid w:val="000E29D4"/>
    <w:rsid w:val="000F3540"/>
    <w:rsid w:val="000F390C"/>
    <w:rsid w:val="00100491"/>
    <w:rsid w:val="00104E2E"/>
    <w:rsid w:val="00105432"/>
    <w:rsid w:val="00107287"/>
    <w:rsid w:val="00115500"/>
    <w:rsid w:val="00117406"/>
    <w:rsid w:val="00121EF0"/>
    <w:rsid w:val="00124A9E"/>
    <w:rsid w:val="00130703"/>
    <w:rsid w:val="0013153F"/>
    <w:rsid w:val="001408B8"/>
    <w:rsid w:val="00151484"/>
    <w:rsid w:val="001517E2"/>
    <w:rsid w:val="001521D9"/>
    <w:rsid w:val="001554E2"/>
    <w:rsid w:val="001565C3"/>
    <w:rsid w:val="00160105"/>
    <w:rsid w:val="00164146"/>
    <w:rsid w:val="0017369C"/>
    <w:rsid w:val="00175D57"/>
    <w:rsid w:val="00180C39"/>
    <w:rsid w:val="00180D96"/>
    <w:rsid w:val="00184BD3"/>
    <w:rsid w:val="001874D8"/>
    <w:rsid w:val="001921F3"/>
    <w:rsid w:val="001B3C5B"/>
    <w:rsid w:val="001D746F"/>
    <w:rsid w:val="001E0172"/>
    <w:rsid w:val="001E4BBB"/>
    <w:rsid w:val="001E6304"/>
    <w:rsid w:val="0020381E"/>
    <w:rsid w:val="00211787"/>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3EA3"/>
    <w:rsid w:val="002C4A90"/>
    <w:rsid w:val="002C4ED5"/>
    <w:rsid w:val="002D02EF"/>
    <w:rsid w:val="002D6B51"/>
    <w:rsid w:val="002D6B52"/>
    <w:rsid w:val="002E0702"/>
    <w:rsid w:val="002E57AD"/>
    <w:rsid w:val="002E6F80"/>
    <w:rsid w:val="002F0E4F"/>
    <w:rsid w:val="002F1053"/>
    <w:rsid w:val="002F204F"/>
    <w:rsid w:val="00317B0E"/>
    <w:rsid w:val="00347FAA"/>
    <w:rsid w:val="00350F4E"/>
    <w:rsid w:val="0035172D"/>
    <w:rsid w:val="0036187D"/>
    <w:rsid w:val="00367EDB"/>
    <w:rsid w:val="003739F8"/>
    <w:rsid w:val="00381024"/>
    <w:rsid w:val="00386307"/>
    <w:rsid w:val="003874DE"/>
    <w:rsid w:val="003921D1"/>
    <w:rsid w:val="00393E9F"/>
    <w:rsid w:val="0039696E"/>
    <w:rsid w:val="003B0091"/>
    <w:rsid w:val="003B211A"/>
    <w:rsid w:val="003C1373"/>
    <w:rsid w:val="003C141F"/>
    <w:rsid w:val="003C6B0E"/>
    <w:rsid w:val="003C7257"/>
    <w:rsid w:val="003C7E35"/>
    <w:rsid w:val="003D1877"/>
    <w:rsid w:val="003D1E99"/>
    <w:rsid w:val="003D6208"/>
    <w:rsid w:val="00404E8A"/>
    <w:rsid w:val="0040622F"/>
    <w:rsid w:val="00413F24"/>
    <w:rsid w:val="00422853"/>
    <w:rsid w:val="00423160"/>
    <w:rsid w:val="00453862"/>
    <w:rsid w:val="0045469B"/>
    <w:rsid w:val="004608EC"/>
    <w:rsid w:val="00461338"/>
    <w:rsid w:val="004677DB"/>
    <w:rsid w:val="00467E0D"/>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6BBB"/>
    <w:rsid w:val="005476A4"/>
    <w:rsid w:val="0055019B"/>
    <w:rsid w:val="00556E63"/>
    <w:rsid w:val="005601A4"/>
    <w:rsid w:val="005640FE"/>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6F12"/>
    <w:rsid w:val="005D7BDF"/>
    <w:rsid w:val="005E4870"/>
    <w:rsid w:val="005F71D9"/>
    <w:rsid w:val="005F7602"/>
    <w:rsid w:val="00601348"/>
    <w:rsid w:val="006031C8"/>
    <w:rsid w:val="006062BE"/>
    <w:rsid w:val="00613143"/>
    <w:rsid w:val="00613501"/>
    <w:rsid w:val="0061611B"/>
    <w:rsid w:val="006166A8"/>
    <w:rsid w:val="006174A1"/>
    <w:rsid w:val="00621D6C"/>
    <w:rsid w:val="006246C5"/>
    <w:rsid w:val="0062775A"/>
    <w:rsid w:val="00630A89"/>
    <w:rsid w:val="00632070"/>
    <w:rsid w:val="00633B49"/>
    <w:rsid w:val="0064297F"/>
    <w:rsid w:val="00645102"/>
    <w:rsid w:val="00646CF3"/>
    <w:rsid w:val="00652E56"/>
    <w:rsid w:val="00653D11"/>
    <w:rsid w:val="00662983"/>
    <w:rsid w:val="006834D3"/>
    <w:rsid w:val="00692625"/>
    <w:rsid w:val="00695CD3"/>
    <w:rsid w:val="00697492"/>
    <w:rsid w:val="006A38B6"/>
    <w:rsid w:val="006A4E15"/>
    <w:rsid w:val="006B1987"/>
    <w:rsid w:val="006B5B71"/>
    <w:rsid w:val="006B6CB0"/>
    <w:rsid w:val="006C0296"/>
    <w:rsid w:val="006C0BEB"/>
    <w:rsid w:val="006C2B64"/>
    <w:rsid w:val="006D4C85"/>
    <w:rsid w:val="006D66AC"/>
    <w:rsid w:val="006E33F6"/>
    <w:rsid w:val="006F1251"/>
    <w:rsid w:val="006F1C23"/>
    <w:rsid w:val="00702C18"/>
    <w:rsid w:val="00703166"/>
    <w:rsid w:val="007076EB"/>
    <w:rsid w:val="007127F3"/>
    <w:rsid w:val="007301CF"/>
    <w:rsid w:val="007316FB"/>
    <w:rsid w:val="007374D0"/>
    <w:rsid w:val="00737E2D"/>
    <w:rsid w:val="007424D5"/>
    <w:rsid w:val="00750A88"/>
    <w:rsid w:val="007523DD"/>
    <w:rsid w:val="00757B7E"/>
    <w:rsid w:val="007656B2"/>
    <w:rsid w:val="0077016F"/>
    <w:rsid w:val="007713AD"/>
    <w:rsid w:val="00775207"/>
    <w:rsid w:val="00795DC5"/>
    <w:rsid w:val="00797153"/>
    <w:rsid w:val="007A21F7"/>
    <w:rsid w:val="007A2B68"/>
    <w:rsid w:val="007B0DDA"/>
    <w:rsid w:val="007C0875"/>
    <w:rsid w:val="007C6794"/>
    <w:rsid w:val="007C7519"/>
    <w:rsid w:val="007D3347"/>
    <w:rsid w:val="007E5466"/>
    <w:rsid w:val="007F1949"/>
    <w:rsid w:val="007F2592"/>
    <w:rsid w:val="00800A08"/>
    <w:rsid w:val="00817A84"/>
    <w:rsid w:val="008225A4"/>
    <w:rsid w:val="00824B92"/>
    <w:rsid w:val="00826D5E"/>
    <w:rsid w:val="00832013"/>
    <w:rsid w:val="00832DB7"/>
    <w:rsid w:val="00834732"/>
    <w:rsid w:val="00841DD4"/>
    <w:rsid w:val="00843264"/>
    <w:rsid w:val="0085200C"/>
    <w:rsid w:val="00852A0F"/>
    <w:rsid w:val="00857C52"/>
    <w:rsid w:val="00860D5F"/>
    <w:rsid w:val="00880A44"/>
    <w:rsid w:val="0088345E"/>
    <w:rsid w:val="0088656F"/>
    <w:rsid w:val="00891EF6"/>
    <w:rsid w:val="008A0303"/>
    <w:rsid w:val="008A5FDD"/>
    <w:rsid w:val="008C3947"/>
    <w:rsid w:val="008E4610"/>
    <w:rsid w:val="008E473B"/>
    <w:rsid w:val="008E4C11"/>
    <w:rsid w:val="008E51A6"/>
    <w:rsid w:val="008E7329"/>
    <w:rsid w:val="008F2ED5"/>
    <w:rsid w:val="0092297E"/>
    <w:rsid w:val="00923651"/>
    <w:rsid w:val="00927B56"/>
    <w:rsid w:val="009341BF"/>
    <w:rsid w:val="00937907"/>
    <w:rsid w:val="00941739"/>
    <w:rsid w:val="00943E06"/>
    <w:rsid w:val="00951573"/>
    <w:rsid w:val="00956F15"/>
    <w:rsid w:val="00963003"/>
    <w:rsid w:val="00966EEF"/>
    <w:rsid w:val="0096714F"/>
    <w:rsid w:val="00971B28"/>
    <w:rsid w:val="009740AA"/>
    <w:rsid w:val="00983471"/>
    <w:rsid w:val="009909AB"/>
    <w:rsid w:val="009B37DB"/>
    <w:rsid w:val="009C146A"/>
    <w:rsid w:val="009C7A8C"/>
    <w:rsid w:val="009D23F9"/>
    <w:rsid w:val="009D4FA8"/>
    <w:rsid w:val="009E44AE"/>
    <w:rsid w:val="009E6CD6"/>
    <w:rsid w:val="009F43BA"/>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06C15"/>
    <w:rsid w:val="00B11D60"/>
    <w:rsid w:val="00B13D65"/>
    <w:rsid w:val="00B179CC"/>
    <w:rsid w:val="00B21805"/>
    <w:rsid w:val="00B3072E"/>
    <w:rsid w:val="00B36E15"/>
    <w:rsid w:val="00B37245"/>
    <w:rsid w:val="00B4017A"/>
    <w:rsid w:val="00B43CB6"/>
    <w:rsid w:val="00B4468D"/>
    <w:rsid w:val="00B4647C"/>
    <w:rsid w:val="00B703DB"/>
    <w:rsid w:val="00B71C72"/>
    <w:rsid w:val="00B752FC"/>
    <w:rsid w:val="00B77CB0"/>
    <w:rsid w:val="00B81E92"/>
    <w:rsid w:val="00B908D7"/>
    <w:rsid w:val="00B915AB"/>
    <w:rsid w:val="00B935E8"/>
    <w:rsid w:val="00B93B30"/>
    <w:rsid w:val="00B94CB5"/>
    <w:rsid w:val="00BA0DD9"/>
    <w:rsid w:val="00BA5DBC"/>
    <w:rsid w:val="00BB6312"/>
    <w:rsid w:val="00BC4D06"/>
    <w:rsid w:val="00BD18D3"/>
    <w:rsid w:val="00BD1B38"/>
    <w:rsid w:val="00BD585E"/>
    <w:rsid w:val="00BD6684"/>
    <w:rsid w:val="00BD6919"/>
    <w:rsid w:val="00BE1EA7"/>
    <w:rsid w:val="00BE7489"/>
    <w:rsid w:val="00BF2E0D"/>
    <w:rsid w:val="00BF3927"/>
    <w:rsid w:val="00BF3F8B"/>
    <w:rsid w:val="00BF76DA"/>
    <w:rsid w:val="00C038AB"/>
    <w:rsid w:val="00C07C7B"/>
    <w:rsid w:val="00C16245"/>
    <w:rsid w:val="00C1726D"/>
    <w:rsid w:val="00C22DC5"/>
    <w:rsid w:val="00C24479"/>
    <w:rsid w:val="00C273F2"/>
    <w:rsid w:val="00C36822"/>
    <w:rsid w:val="00C37B53"/>
    <w:rsid w:val="00C517D2"/>
    <w:rsid w:val="00C5772E"/>
    <w:rsid w:val="00C62B36"/>
    <w:rsid w:val="00C7012C"/>
    <w:rsid w:val="00C712EA"/>
    <w:rsid w:val="00C822BF"/>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149F"/>
    <w:rsid w:val="00D83182"/>
    <w:rsid w:val="00D8521E"/>
    <w:rsid w:val="00D9116E"/>
    <w:rsid w:val="00D9291C"/>
    <w:rsid w:val="00D93A97"/>
    <w:rsid w:val="00D970E4"/>
    <w:rsid w:val="00DB1F64"/>
    <w:rsid w:val="00DC2F53"/>
    <w:rsid w:val="00DC5BAC"/>
    <w:rsid w:val="00DC6816"/>
    <w:rsid w:val="00DC76C2"/>
    <w:rsid w:val="00DD1CF2"/>
    <w:rsid w:val="00DD69E6"/>
    <w:rsid w:val="00DE2121"/>
    <w:rsid w:val="00DE4484"/>
    <w:rsid w:val="00DF41B7"/>
    <w:rsid w:val="00DF4A4A"/>
    <w:rsid w:val="00DF583C"/>
    <w:rsid w:val="00E03C3F"/>
    <w:rsid w:val="00E06FD7"/>
    <w:rsid w:val="00E07417"/>
    <w:rsid w:val="00E153FB"/>
    <w:rsid w:val="00E24D45"/>
    <w:rsid w:val="00E26F76"/>
    <w:rsid w:val="00E33DB8"/>
    <w:rsid w:val="00E33EFF"/>
    <w:rsid w:val="00E34387"/>
    <w:rsid w:val="00E348BA"/>
    <w:rsid w:val="00E369FE"/>
    <w:rsid w:val="00E37C6F"/>
    <w:rsid w:val="00E475F8"/>
    <w:rsid w:val="00E5102E"/>
    <w:rsid w:val="00E5721C"/>
    <w:rsid w:val="00E619C6"/>
    <w:rsid w:val="00E63E5E"/>
    <w:rsid w:val="00E71600"/>
    <w:rsid w:val="00E745A1"/>
    <w:rsid w:val="00E81529"/>
    <w:rsid w:val="00E83A13"/>
    <w:rsid w:val="00E86B93"/>
    <w:rsid w:val="00E94ACC"/>
    <w:rsid w:val="00EB6FC5"/>
    <w:rsid w:val="00EB7F7A"/>
    <w:rsid w:val="00EC2356"/>
    <w:rsid w:val="00EC2582"/>
    <w:rsid w:val="00EC337C"/>
    <w:rsid w:val="00ED0CFF"/>
    <w:rsid w:val="00ED31D2"/>
    <w:rsid w:val="00EE0EAC"/>
    <w:rsid w:val="00EE3322"/>
    <w:rsid w:val="00EE33CB"/>
    <w:rsid w:val="00EF0BAF"/>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D41"/>
    <w:rsid w:val="00FB2030"/>
    <w:rsid w:val="00FB2EC3"/>
    <w:rsid w:val="00FC56E3"/>
    <w:rsid w:val="00FD0E46"/>
    <w:rsid w:val="00FD1CF2"/>
    <w:rsid w:val="00FD3EDF"/>
    <w:rsid w:val="00FD793C"/>
    <w:rsid w:val="00FE0FD5"/>
    <w:rsid w:val="00FE20E6"/>
    <w:rsid w:val="00FE3C54"/>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 w:type="paragraph" w:customStyle="1" w:styleId="Tekstas">
    <w:name w:val="Tekstas"/>
    <w:basedOn w:val="prastasis"/>
    <w:link w:val="TekstasChar"/>
    <w:qFormat/>
    <w:rsid w:val="00086568"/>
    <w:pPr>
      <w:spacing w:after="120"/>
      <w:jc w:val="both"/>
    </w:pPr>
    <w:rPr>
      <w:lang w:eastAsia="lt-LT"/>
    </w:rPr>
  </w:style>
  <w:style w:type="character" w:customStyle="1" w:styleId="TekstasChar">
    <w:name w:val="Tekstas Char"/>
    <w:link w:val="Tekstas"/>
    <w:rsid w:val="00086568"/>
    <w:rPr>
      <w:sz w:val="24"/>
      <w:szCs w:val="24"/>
    </w:rPr>
  </w:style>
  <w:style w:type="paragraph" w:styleId="HTMLiankstoformatuotas">
    <w:name w:val="HTML Preformatted"/>
    <w:basedOn w:val="prastasis"/>
    <w:link w:val="HTMLiankstoformatuotasDiagrama"/>
    <w:uiPriority w:val="99"/>
    <w:unhideWhenUsed/>
    <w:rsid w:val="009C1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ja-JP"/>
    </w:rPr>
  </w:style>
  <w:style w:type="character" w:customStyle="1" w:styleId="HTMLiankstoformatuotasDiagrama">
    <w:name w:val="HTML iš anksto formatuotas Diagrama"/>
    <w:basedOn w:val="Numatytasispastraiposriftas"/>
    <w:link w:val="HTMLiankstoformatuotas"/>
    <w:uiPriority w:val="99"/>
    <w:rsid w:val="009C146A"/>
    <w:rPr>
      <w:rFonts w:ascii="Courier New" w:hAnsi="Courier New" w:cs="Courier New"/>
      <w:szCs w:val="24"/>
      <w:lang w:eastAsia="ja-JP"/>
    </w:rPr>
  </w:style>
  <w:style w:type="paragraph" w:customStyle="1" w:styleId="Default">
    <w:name w:val="Default"/>
    <w:rsid w:val="00BD6684"/>
    <w:pPr>
      <w:autoSpaceDE w:val="0"/>
      <w:autoSpaceDN w:val="0"/>
      <w:adjustRightInd w:val="0"/>
    </w:pPr>
    <w:rPr>
      <w:color w:val="000000"/>
      <w:sz w:val="24"/>
      <w:szCs w:val="24"/>
      <w:lang w:eastAsia="en-US"/>
    </w:rPr>
  </w:style>
  <w:style w:type="paragraph" w:customStyle="1" w:styleId="VVKT">
    <w:name w:val="VVKT"/>
    <w:link w:val="VVKTChar"/>
    <w:qFormat/>
    <w:rsid w:val="00B06C15"/>
    <w:pPr>
      <w:widowControl w:val="0"/>
      <w:spacing w:after="60" w:line="276" w:lineRule="auto"/>
      <w:ind w:firstLine="576"/>
    </w:pPr>
    <w:rPr>
      <w:sz w:val="24"/>
      <w:lang w:eastAsia="en-US"/>
    </w:rPr>
  </w:style>
  <w:style w:type="character" w:customStyle="1" w:styleId="VVKTChar">
    <w:name w:val="VVKT Char"/>
    <w:link w:val="VVKT"/>
    <w:rsid w:val="00B06C1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7294F"/>
    <w:rsid w:val="000937FE"/>
    <w:rsid w:val="000A559A"/>
    <w:rsid w:val="000D24D4"/>
    <w:rsid w:val="000E0724"/>
    <w:rsid w:val="001150EE"/>
    <w:rsid w:val="00156F94"/>
    <w:rsid w:val="001C35A9"/>
    <w:rsid w:val="001F47C5"/>
    <w:rsid w:val="00237556"/>
    <w:rsid w:val="0039303B"/>
    <w:rsid w:val="003B0091"/>
    <w:rsid w:val="003D5C93"/>
    <w:rsid w:val="00404D4C"/>
    <w:rsid w:val="004144A3"/>
    <w:rsid w:val="004160E7"/>
    <w:rsid w:val="004416C6"/>
    <w:rsid w:val="004D06D5"/>
    <w:rsid w:val="004F5AB2"/>
    <w:rsid w:val="005074B9"/>
    <w:rsid w:val="005E40DD"/>
    <w:rsid w:val="007219C1"/>
    <w:rsid w:val="0074261C"/>
    <w:rsid w:val="00750A75"/>
    <w:rsid w:val="00753462"/>
    <w:rsid w:val="00772325"/>
    <w:rsid w:val="007A2FE0"/>
    <w:rsid w:val="007C6D1D"/>
    <w:rsid w:val="0083203D"/>
    <w:rsid w:val="0090074D"/>
    <w:rsid w:val="009B3BF0"/>
    <w:rsid w:val="009D5E5E"/>
    <w:rsid w:val="009F106C"/>
    <w:rsid w:val="009F1BB4"/>
    <w:rsid w:val="00AB6ED4"/>
    <w:rsid w:val="00B14210"/>
    <w:rsid w:val="00B23DC0"/>
    <w:rsid w:val="00B96656"/>
    <w:rsid w:val="00BE29C1"/>
    <w:rsid w:val="00C2401D"/>
    <w:rsid w:val="00C53A68"/>
    <w:rsid w:val="00C738AC"/>
    <w:rsid w:val="00C813F2"/>
    <w:rsid w:val="00CA5BB4"/>
    <w:rsid w:val="00CB4BD1"/>
    <w:rsid w:val="00CB5568"/>
    <w:rsid w:val="00CE2DA9"/>
    <w:rsid w:val="00CE44BE"/>
    <w:rsid w:val="00D107CD"/>
    <w:rsid w:val="00D4356B"/>
    <w:rsid w:val="00D7162F"/>
    <w:rsid w:val="00D95BB3"/>
    <w:rsid w:val="00E44A86"/>
    <w:rsid w:val="00E522EB"/>
    <w:rsid w:val="00E60827"/>
    <w:rsid w:val="00E73FF6"/>
    <w:rsid w:val="00EF60DC"/>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60827"/>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7504-953E-4F02-A676-ACCF17D5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9164</Words>
  <Characters>5225</Characters>
  <Application>Microsoft Office Word</Application>
  <DocSecurity>0</DocSecurity>
  <Lines>43</Lines>
  <Paragraphs>28</Paragraphs>
  <ScaleCrop>false</ScaleCrop>
  <Company/>
  <LinksUpToDate>false</LinksUpToDate>
  <CharactersWithSpaces>14361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2024-07-12T10:08:00Z</dcterms:created>
  <dcterms:modified xsi:type="dcterms:W3CDTF">2024-07-13T05:34:00Z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6f01b5-c24b-4fa8-8e8f-cee31f47fe31_Enabled">
    <vt:lpwstr>true</vt:lpwstr>
  </property>
  <property fmtid="{D5CDD505-2E9C-101B-9397-08002B2CF9AE}" pid="3" name="MSIP_Label_fa6f01b5-c24b-4fa8-8e8f-cee31f47fe31_SetDate">
    <vt:lpwstr>2024-07-12T06:16:24Z</vt:lpwstr>
  </property>
  <property fmtid="{D5CDD505-2E9C-101B-9397-08002B2CF9AE}" pid="4" name="MSIP_Label_fa6f01b5-c24b-4fa8-8e8f-cee31f47fe31_Method">
    <vt:lpwstr>Privileged</vt:lpwstr>
  </property>
  <property fmtid="{D5CDD505-2E9C-101B-9397-08002B2CF9AE}" pid="5" name="MSIP_Label_fa6f01b5-c24b-4fa8-8e8f-cee31f47fe31_Name">
    <vt:lpwstr>fa6f01b5-c24b-4fa8-8e8f-cee31f47fe31</vt:lpwstr>
  </property>
  <property fmtid="{D5CDD505-2E9C-101B-9397-08002B2CF9AE}" pid="6" name="MSIP_Label_fa6f01b5-c24b-4fa8-8e8f-cee31f47fe31_SiteId">
    <vt:lpwstr>7a916015-20ae-4ad1-9170-eefd915e9272</vt:lpwstr>
  </property>
  <property fmtid="{D5CDD505-2E9C-101B-9397-08002B2CF9AE}" pid="7" name="MSIP_Label_fa6f01b5-c24b-4fa8-8e8f-cee31f47fe31_ActionId">
    <vt:lpwstr>e6f8c3d3-0506-450e-b0bb-9e3c619808b4</vt:lpwstr>
  </property>
  <property fmtid="{D5CDD505-2E9C-101B-9397-08002B2CF9AE}" pid="8" name="MSIP_Label_fa6f01b5-c24b-4fa8-8e8f-cee31f47fe31_ContentBits">
    <vt:lpwstr>0</vt:lpwstr>
  </property>
</Properties>
</file>