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E5EB3" w14:textId="1955ADE3" w:rsidR="005F7602" w:rsidRDefault="005F7602" w:rsidP="002946C7">
      <w:pPr>
        <w:ind w:left="5529"/>
      </w:pPr>
    </w:p>
    <w:p w14:paraId="12FA4B9E" w14:textId="77777777" w:rsidR="001B3C5B" w:rsidRPr="001477F2" w:rsidRDefault="001B3C5B" w:rsidP="001B3C5B">
      <w:pPr>
        <w:ind w:left="6096"/>
      </w:pPr>
      <w:r w:rsidRPr="001477F2">
        <w:t>Forma patvirtinta</w:t>
      </w:r>
    </w:p>
    <w:p w14:paraId="7206970B" w14:textId="70E9BD2E" w:rsidR="004C263A" w:rsidRPr="001477F2" w:rsidRDefault="001B3C5B" w:rsidP="001B3C5B">
      <w:pPr>
        <w:ind w:left="6096"/>
      </w:pPr>
      <w:r w:rsidRPr="001477F2">
        <w:t>Valstybinės vaistų kontrolės tarnybos prie Lietuvos Respublikos sveikatos apsaugos ministerijos viršininko 2021 m</w:t>
      </w:r>
      <w:r w:rsidR="004C263A" w:rsidRPr="001477F2">
        <w:t xml:space="preserve">. lapkričio 12 </w:t>
      </w:r>
      <w:r w:rsidRPr="001477F2">
        <w:t>d. įsakymu Nr.</w:t>
      </w:r>
      <w:r w:rsidR="004C263A" w:rsidRPr="001477F2">
        <w:t xml:space="preserve"> (1.72E)1A-1418</w:t>
      </w:r>
    </w:p>
    <w:p w14:paraId="5B219AA6" w14:textId="520B9136" w:rsidR="001B3C5B" w:rsidRPr="001477F2" w:rsidRDefault="004C263A" w:rsidP="001B3C5B">
      <w:pPr>
        <w:ind w:left="6096"/>
      </w:pPr>
      <w:r w:rsidRPr="001477F2">
        <w:t>(Valstybinės vaistų kontrolės tarnybos prie Lietuvos Respublikos sveikatos apsaugos ministerijos viršininko 2022 m.                         d. įsakymo Nr.                    redakcija)</w:t>
      </w:r>
    </w:p>
    <w:p w14:paraId="3336BD74" w14:textId="77777777" w:rsidR="001B3C5B" w:rsidRPr="001477F2" w:rsidRDefault="001B3C5B" w:rsidP="00FA4169"/>
    <w:p w14:paraId="77AFB67E" w14:textId="16397257" w:rsidR="00613501" w:rsidRPr="001477F2" w:rsidRDefault="002F0E4F" w:rsidP="003B211A">
      <w:pPr>
        <w:jc w:val="center"/>
        <w:rPr>
          <w:b/>
          <w:bCs/>
          <w:caps/>
        </w:rPr>
      </w:pPr>
      <w:r w:rsidRPr="001477F2">
        <w:rPr>
          <w:b/>
        </w:rPr>
        <w:t xml:space="preserve">REKOMENDACIJA DĖL VAISTINIO PREPARATO </w:t>
      </w:r>
      <w:r w:rsidRPr="001477F2">
        <w:rPr>
          <w:b/>
          <w:bCs/>
          <w:caps/>
        </w:rPr>
        <w:t>Lietuvos Respublikos Sveikatos apsaugos ministerijos vaistinių preparatų ir medicinos pagalbos priemonių kompensavimo komisijai</w:t>
      </w:r>
    </w:p>
    <w:p w14:paraId="34E4395D" w14:textId="15FB10DF" w:rsidR="00B13D65" w:rsidRPr="001477F2" w:rsidRDefault="00B13D65" w:rsidP="003B211A">
      <w:pPr>
        <w:jc w:val="center"/>
        <w:rPr>
          <w:b/>
        </w:rPr>
      </w:pPr>
    </w:p>
    <w:p w14:paraId="79416791" w14:textId="77777777" w:rsidR="00867EFD" w:rsidRPr="001477F2" w:rsidRDefault="00867EFD" w:rsidP="00867EFD">
      <w:pPr>
        <w:spacing w:line="276" w:lineRule="auto"/>
        <w:jc w:val="center"/>
      </w:pPr>
      <w:r w:rsidRPr="001477F2">
        <w:rPr>
          <w:b/>
        </w:rPr>
        <w:t>KEYTRUDA</w:t>
      </w:r>
      <w:r w:rsidRPr="001477F2">
        <w:t xml:space="preserve">, </w:t>
      </w:r>
      <w:r w:rsidRPr="001477F2">
        <w:rPr>
          <w:b/>
        </w:rPr>
        <w:t>50 mg milteliai infuzinio tirpalo koncentratui</w:t>
      </w:r>
    </w:p>
    <w:p w14:paraId="5D2F2667" w14:textId="77777777" w:rsidR="00867EFD" w:rsidRPr="001477F2" w:rsidRDefault="00867EFD" w:rsidP="00867EFD">
      <w:pPr>
        <w:spacing w:line="276" w:lineRule="auto"/>
        <w:jc w:val="center"/>
      </w:pPr>
      <w:r w:rsidRPr="001477F2">
        <w:t xml:space="preserve">  </w:t>
      </w:r>
    </w:p>
    <w:p w14:paraId="74E119A7" w14:textId="6DDAD16A" w:rsidR="00867EFD" w:rsidRPr="001477F2" w:rsidRDefault="00867EFD" w:rsidP="00867EFD">
      <w:pPr>
        <w:spacing w:line="276" w:lineRule="auto"/>
        <w:jc w:val="center"/>
        <w:rPr>
          <w:b/>
        </w:rPr>
      </w:pPr>
      <w:r w:rsidRPr="001477F2">
        <w:rPr>
          <w:rFonts w:eastAsia="Arial"/>
          <w:b/>
        </w:rPr>
        <w:t>Pembrolizumabas</w:t>
      </w:r>
    </w:p>
    <w:p w14:paraId="7AA20C82" w14:textId="77777777" w:rsidR="00867EFD" w:rsidRPr="001477F2" w:rsidRDefault="00867EFD" w:rsidP="00867EFD">
      <w:pPr>
        <w:spacing w:line="276" w:lineRule="auto"/>
        <w:jc w:val="center"/>
      </w:pPr>
    </w:p>
    <w:p w14:paraId="35C6C659" w14:textId="015E592B" w:rsidR="00867EFD" w:rsidRPr="001477F2" w:rsidRDefault="00867EFD" w:rsidP="00867EFD">
      <w:pPr>
        <w:spacing w:line="276" w:lineRule="auto"/>
        <w:jc w:val="center"/>
        <w:rPr>
          <w:b/>
        </w:rPr>
      </w:pPr>
      <w:r w:rsidRPr="001477F2">
        <w:rPr>
          <w:b/>
        </w:rPr>
        <w:t>STV</w:t>
      </w:r>
      <w:r w:rsidR="00621FD5" w:rsidRPr="001477F2">
        <w:rPr>
          <w:b/>
        </w:rPr>
        <w:t>-</w:t>
      </w:r>
      <w:r w:rsidRPr="001477F2">
        <w:rPr>
          <w:b/>
        </w:rPr>
        <w:t>133</w:t>
      </w:r>
    </w:p>
    <w:p w14:paraId="5BC2EA5D" w14:textId="45A77B4A" w:rsidR="00937907" w:rsidRPr="001477F2" w:rsidRDefault="00937907" w:rsidP="003B211A">
      <w:pPr>
        <w:jc w:val="center"/>
        <w:rPr>
          <w:b/>
        </w:rPr>
      </w:pPr>
    </w:p>
    <w:p w14:paraId="453197C8" w14:textId="77777777" w:rsidR="00D4708D" w:rsidRPr="001477F2" w:rsidRDefault="00D4708D" w:rsidP="003B211A">
      <w:pPr>
        <w:jc w:val="center"/>
        <w:rPr>
          <w:b/>
        </w:rPr>
      </w:pPr>
    </w:p>
    <w:p w14:paraId="78C89D1C" w14:textId="0DEFFAA5" w:rsidR="00D4485B" w:rsidRPr="001477F2" w:rsidRDefault="00B13D65" w:rsidP="00CC09D4">
      <w:pPr>
        <w:pStyle w:val="ListParagraph"/>
        <w:numPr>
          <w:ilvl w:val="0"/>
          <w:numId w:val="12"/>
        </w:numPr>
        <w:tabs>
          <w:tab w:val="left" w:pos="567"/>
        </w:tabs>
        <w:ind w:left="567" w:hanging="567"/>
        <w:rPr>
          <w:b/>
          <w:bCs/>
          <w:caps/>
        </w:rPr>
      </w:pPr>
      <w:r w:rsidRPr="001477F2">
        <w:rPr>
          <w:b/>
          <w:bCs/>
          <w:caps/>
        </w:rPr>
        <w:t>Bendroji dalis</w:t>
      </w:r>
    </w:p>
    <w:p w14:paraId="04A7C7A7" w14:textId="77777777" w:rsidR="00B13D65" w:rsidRPr="001477F2" w:rsidRDefault="00B13D65" w:rsidP="00E03C3F">
      <w:pPr>
        <w:pStyle w:val="ListParagraph"/>
        <w:tabs>
          <w:tab w:val="left" w:pos="284"/>
        </w:tabs>
        <w:ind w:left="0"/>
        <w:rPr>
          <w:b/>
          <w:bCs/>
          <w:caps/>
        </w:rPr>
      </w:pPr>
    </w:p>
    <w:tbl>
      <w:tblPr>
        <w:tblStyle w:val="TableGrid"/>
        <w:tblW w:w="9493" w:type="dxa"/>
        <w:tblLook w:val="04A0" w:firstRow="1" w:lastRow="0" w:firstColumn="1" w:lastColumn="0" w:noHBand="0" w:noVBand="1"/>
      </w:tblPr>
      <w:tblGrid>
        <w:gridCol w:w="632"/>
        <w:gridCol w:w="3694"/>
        <w:gridCol w:w="5167"/>
      </w:tblGrid>
      <w:tr w:rsidR="00B13D65" w:rsidRPr="001477F2" w14:paraId="18A83EC2" w14:textId="77777777" w:rsidTr="00BE7489">
        <w:trPr>
          <w:trHeight w:val="538"/>
        </w:trPr>
        <w:tc>
          <w:tcPr>
            <w:tcW w:w="632" w:type="dxa"/>
          </w:tcPr>
          <w:p w14:paraId="0646FBEA" w14:textId="77777777" w:rsidR="00B13D65" w:rsidRPr="001477F2" w:rsidRDefault="00B13D65" w:rsidP="00824B92">
            <w:pPr>
              <w:rPr>
                <w:rFonts w:eastAsia="Arial"/>
              </w:rPr>
            </w:pPr>
            <w:r w:rsidRPr="001477F2">
              <w:rPr>
                <w:rFonts w:eastAsia="Arial"/>
              </w:rPr>
              <w:t>1.1</w:t>
            </w:r>
          </w:p>
        </w:tc>
        <w:tc>
          <w:tcPr>
            <w:tcW w:w="3694" w:type="dxa"/>
          </w:tcPr>
          <w:p w14:paraId="6C3AE864" w14:textId="77777777" w:rsidR="00B13D65" w:rsidRPr="001477F2" w:rsidRDefault="00B13D65" w:rsidP="00824B92">
            <w:pPr>
              <w:rPr>
                <w:rFonts w:eastAsia="Arial"/>
              </w:rPr>
            </w:pPr>
            <w:r w:rsidRPr="001477F2">
              <w:rPr>
                <w:rFonts w:eastAsia="Arial"/>
              </w:rPr>
              <w:t>Pareiškėjas</w:t>
            </w:r>
          </w:p>
          <w:p w14:paraId="2AF240DC" w14:textId="77777777" w:rsidR="00B13D65" w:rsidRPr="001477F2" w:rsidRDefault="00B13D65" w:rsidP="00824B92">
            <w:pPr>
              <w:rPr>
                <w:rFonts w:eastAsia="Arial"/>
              </w:rPr>
            </w:pPr>
          </w:p>
        </w:tc>
        <w:tc>
          <w:tcPr>
            <w:tcW w:w="5167" w:type="dxa"/>
          </w:tcPr>
          <w:p w14:paraId="2AAF0D91" w14:textId="419415AF" w:rsidR="00B13D65" w:rsidRPr="001477F2" w:rsidRDefault="009B0250" w:rsidP="00824B92">
            <w:pPr>
              <w:rPr>
                <w:rFonts w:eastAsia="Arial"/>
              </w:rPr>
            </w:pPr>
            <w:r w:rsidRPr="001477F2">
              <w:rPr>
                <w:shd w:val="clear" w:color="auto" w:fill="FFFFFF"/>
              </w:rPr>
              <w:t>Merck Sharp &amp; Dohme B.V., Nyderlandai</w:t>
            </w:r>
          </w:p>
        </w:tc>
      </w:tr>
      <w:tr w:rsidR="00B13D65" w:rsidRPr="001477F2" w14:paraId="31998B0D" w14:textId="77777777" w:rsidTr="00BE7489">
        <w:trPr>
          <w:trHeight w:val="538"/>
        </w:trPr>
        <w:tc>
          <w:tcPr>
            <w:tcW w:w="632" w:type="dxa"/>
          </w:tcPr>
          <w:p w14:paraId="2005EC67" w14:textId="662300D0" w:rsidR="00B13D65" w:rsidRPr="001477F2" w:rsidRDefault="002E0702" w:rsidP="00824B92">
            <w:pPr>
              <w:rPr>
                <w:rFonts w:eastAsia="Arial"/>
              </w:rPr>
            </w:pPr>
            <w:r w:rsidRPr="001477F2">
              <w:rPr>
                <w:rFonts w:eastAsia="Arial"/>
              </w:rPr>
              <w:t>1.2</w:t>
            </w:r>
          </w:p>
        </w:tc>
        <w:tc>
          <w:tcPr>
            <w:tcW w:w="3694" w:type="dxa"/>
          </w:tcPr>
          <w:p w14:paraId="1E4AE3B1" w14:textId="77777777" w:rsidR="00B13D65" w:rsidRPr="001477F2" w:rsidRDefault="00B13D65" w:rsidP="00824B92">
            <w:pPr>
              <w:rPr>
                <w:bCs/>
                <w:color w:val="000000"/>
                <w:lang w:eastAsia="lt-LT"/>
              </w:rPr>
            </w:pPr>
            <w:r w:rsidRPr="001477F2">
              <w:rPr>
                <w:bCs/>
                <w:color w:val="000000"/>
                <w:lang w:eastAsia="lt-LT"/>
              </w:rPr>
              <w:t xml:space="preserve">Registracijos data </w:t>
            </w:r>
          </w:p>
          <w:p w14:paraId="3A0DC096" w14:textId="77777777" w:rsidR="00B13D65" w:rsidRPr="001477F2" w:rsidRDefault="00B13D65" w:rsidP="00824B92">
            <w:pPr>
              <w:rPr>
                <w:bCs/>
                <w:color w:val="000000"/>
                <w:lang w:eastAsia="lt-LT"/>
              </w:rPr>
            </w:pPr>
          </w:p>
        </w:tc>
        <w:tc>
          <w:tcPr>
            <w:tcW w:w="5167" w:type="dxa"/>
          </w:tcPr>
          <w:p w14:paraId="3CA218AD" w14:textId="1CAD19AB" w:rsidR="009B0250" w:rsidRPr="001477F2" w:rsidRDefault="00992883" w:rsidP="009B0250">
            <w:pPr>
              <w:rPr>
                <w:rStyle w:val="Style2"/>
                <w:sz w:val="24"/>
              </w:rPr>
            </w:pPr>
            <w:sdt>
              <w:sdtPr>
                <w:rPr>
                  <w:sz w:val="32"/>
                </w:rPr>
                <w:alias w:val="Nurodykite konkrečią dieną"/>
                <w:tag w:val="Nurodykite pradžios datą"/>
                <w:id w:val="1766342640"/>
                <w:placeholder>
                  <w:docPart w:val="D30A65C834E24F44910D1F731A1A9385"/>
                </w:placeholder>
                <w15:color w:val="FFCC99"/>
                <w:date w:fullDate="2015-07-17T00:00:00Z">
                  <w:dateFormat w:val="yyyy 'm.' MMMM d 'd.'"/>
                  <w:lid w:val="lt-LT"/>
                  <w:storeMappedDataAs w:val="dateTime"/>
                  <w:calendar w:val="gregorian"/>
                </w:date>
              </w:sdtPr>
              <w:sdtEndPr>
                <w:rPr>
                  <w:sz w:val="24"/>
                </w:rPr>
              </w:sdtEndPr>
              <w:sdtContent>
                <w:r w:rsidR="009B0250" w:rsidRPr="001477F2">
                  <w:t>2015 m. liepos 17 d.</w:t>
                </w:r>
              </w:sdtContent>
            </w:sdt>
          </w:p>
        </w:tc>
      </w:tr>
      <w:tr w:rsidR="00B13D65" w:rsidRPr="001477F2" w14:paraId="15968AE1" w14:textId="77777777" w:rsidTr="00BE7489">
        <w:trPr>
          <w:trHeight w:val="1500"/>
        </w:trPr>
        <w:tc>
          <w:tcPr>
            <w:tcW w:w="632" w:type="dxa"/>
          </w:tcPr>
          <w:p w14:paraId="6A784245" w14:textId="1E461489" w:rsidR="00B13D65" w:rsidRPr="001477F2" w:rsidRDefault="002E0702" w:rsidP="00824B92">
            <w:pPr>
              <w:rPr>
                <w:rFonts w:eastAsia="Arial"/>
              </w:rPr>
            </w:pPr>
            <w:r w:rsidRPr="001477F2">
              <w:rPr>
                <w:rFonts w:eastAsia="Arial"/>
              </w:rPr>
              <w:t>1.3</w:t>
            </w:r>
          </w:p>
        </w:tc>
        <w:tc>
          <w:tcPr>
            <w:tcW w:w="3694" w:type="dxa"/>
          </w:tcPr>
          <w:p w14:paraId="22933506" w14:textId="77777777" w:rsidR="00B13D65" w:rsidRPr="001477F2" w:rsidRDefault="00B13D65" w:rsidP="00824B92">
            <w:r w:rsidRPr="001477F2">
              <w:t xml:space="preserve">Paraiškos tipas </w:t>
            </w:r>
          </w:p>
          <w:p w14:paraId="0465E680" w14:textId="7F0A0714" w:rsidR="00B13D65" w:rsidRPr="001477F2" w:rsidRDefault="00B13D65" w:rsidP="00824B92">
            <w:r w:rsidRPr="001477F2">
              <w:t>(</w:t>
            </w:r>
            <w:r w:rsidR="00695CD3" w:rsidRPr="001477F2">
              <w:t xml:space="preserve">pagal </w:t>
            </w:r>
            <w:r w:rsidR="0039696E" w:rsidRPr="001477F2">
              <w:rPr>
                <w:color w:val="333333"/>
                <w:shd w:val="clear" w:color="auto" w:fill="FFFFFF"/>
              </w:rPr>
              <w:t>vaistinio preparato registracijos tipą, įtvirtintą</w:t>
            </w:r>
            <w:r w:rsidR="0039696E" w:rsidRPr="001477F2">
              <w:t xml:space="preserve"> </w:t>
            </w:r>
            <w:r w:rsidRPr="001477F2">
              <w:t>Direktyv</w:t>
            </w:r>
            <w:r w:rsidR="00695CD3" w:rsidRPr="001477F2">
              <w:t>os</w:t>
            </w:r>
            <w:r w:rsidRPr="001477F2">
              <w:t xml:space="preserve"> 2001/83/EB</w:t>
            </w:r>
            <w:r w:rsidR="00695CD3" w:rsidRPr="001477F2">
              <w:t xml:space="preserve"> straips</w:t>
            </w:r>
            <w:r w:rsidR="0039696E" w:rsidRPr="001477F2">
              <w:t>iuose</w:t>
            </w:r>
            <w:r w:rsidRPr="001477F2">
              <w:t>)</w:t>
            </w:r>
          </w:p>
          <w:p w14:paraId="77089D80" w14:textId="6681D72A" w:rsidR="00B13D65" w:rsidRPr="001477F2" w:rsidRDefault="00B13D65" w:rsidP="00824B92">
            <w:pPr>
              <w:rPr>
                <w:bCs/>
                <w:color w:val="000000"/>
                <w:lang w:eastAsia="lt-LT"/>
              </w:rPr>
            </w:pPr>
          </w:p>
        </w:tc>
        <w:tc>
          <w:tcPr>
            <w:tcW w:w="5167" w:type="dxa"/>
          </w:tcPr>
          <w:p w14:paraId="208F40EC" w14:textId="2F4EA9C5" w:rsidR="00B13D65" w:rsidRPr="001477F2" w:rsidRDefault="00992883" w:rsidP="00824B92">
            <w:pPr>
              <w:rPr>
                <w:sz w:val="22"/>
                <w:szCs w:val="22"/>
              </w:rPr>
            </w:pPr>
            <w:sdt>
              <w:sdtPr>
                <w:rPr>
                  <w:rStyle w:val="Style2"/>
                  <w:sz w:val="22"/>
                  <w:szCs w:val="22"/>
                </w:rPr>
                <w:id w:val="526292078"/>
                <w15:color w:val="FFCC00"/>
                <w14:checkbox>
                  <w14:checked w14:val="1"/>
                  <w14:checkedState w14:val="2612" w14:font="MS Gothic"/>
                  <w14:uncheckedState w14:val="2610" w14:font="MS Gothic"/>
                </w14:checkbox>
              </w:sdtPr>
              <w:sdtEndPr>
                <w:rPr>
                  <w:rStyle w:val="Style2"/>
                </w:rPr>
              </w:sdtEndPr>
              <w:sdtContent>
                <w:r w:rsidR="003D1877" w:rsidRPr="001477F2">
                  <w:rPr>
                    <w:rStyle w:val="Style2"/>
                    <w:rFonts w:ascii="MS Gothic" w:eastAsia="MS Gothic" w:hAnsi="MS Gothic" w:hint="eastAsia"/>
                    <w:sz w:val="22"/>
                    <w:szCs w:val="22"/>
                  </w:rPr>
                  <w:t>☒</w:t>
                </w:r>
              </w:sdtContent>
            </w:sdt>
            <w:r w:rsidR="00B13D65" w:rsidRPr="001477F2">
              <w:rPr>
                <w:sz w:val="22"/>
                <w:szCs w:val="22"/>
              </w:rPr>
              <w:t xml:space="preserve">8.3 str. (pilna byla, pagrįsta savais tyrimais) </w:t>
            </w:r>
          </w:p>
          <w:p w14:paraId="32BA564E" w14:textId="3FDA3E01" w:rsidR="00B13D65" w:rsidRPr="001477F2" w:rsidRDefault="00992883" w:rsidP="00824B92">
            <w:pPr>
              <w:rPr>
                <w:sz w:val="22"/>
                <w:szCs w:val="22"/>
              </w:rPr>
            </w:pPr>
            <w:sdt>
              <w:sdtPr>
                <w:rPr>
                  <w:rStyle w:val="Style2"/>
                  <w:sz w:val="22"/>
                  <w:szCs w:val="22"/>
                </w:rPr>
                <w:id w:val="-1497953736"/>
                <w15:color w:val="FFCC00"/>
                <w14:checkbox>
                  <w14:checked w14:val="0"/>
                  <w14:checkedState w14:val="2612" w14:font="MS Gothic"/>
                  <w14:uncheckedState w14:val="2610" w14:font="MS Gothic"/>
                </w14:checkbox>
              </w:sdtPr>
              <w:sdtEndPr>
                <w:rPr>
                  <w:rStyle w:val="Style2"/>
                </w:rPr>
              </w:sdtEndPr>
              <w:sdtContent>
                <w:r w:rsidR="00CC7832" w:rsidRPr="001477F2">
                  <w:rPr>
                    <w:rStyle w:val="Style2"/>
                    <w:rFonts w:ascii="Segoe UI Symbol" w:eastAsia="MS Gothic" w:hAnsi="Segoe UI Symbol" w:cs="Segoe UI Symbol"/>
                    <w:sz w:val="22"/>
                    <w:szCs w:val="22"/>
                  </w:rPr>
                  <w:t>☐</w:t>
                </w:r>
              </w:sdtContent>
            </w:sdt>
            <w:r w:rsidR="00B13D65" w:rsidRPr="001477F2">
              <w:rPr>
                <w:sz w:val="22"/>
                <w:szCs w:val="22"/>
              </w:rPr>
              <w:t xml:space="preserve">10 a str. (pripažintas medicininis vartojimas) </w:t>
            </w:r>
          </w:p>
          <w:p w14:paraId="318DCD7F" w14:textId="32333E53" w:rsidR="00B13D65" w:rsidRPr="001477F2" w:rsidRDefault="00992883" w:rsidP="00824B92">
            <w:pPr>
              <w:rPr>
                <w:sz w:val="22"/>
                <w:szCs w:val="22"/>
              </w:rPr>
            </w:pPr>
            <w:sdt>
              <w:sdtPr>
                <w:rPr>
                  <w:rStyle w:val="Style2"/>
                  <w:sz w:val="22"/>
                  <w:szCs w:val="22"/>
                </w:rPr>
                <w:id w:val="204142496"/>
                <w15:color w:val="FFCC00"/>
                <w14:checkbox>
                  <w14:checked w14:val="0"/>
                  <w14:checkedState w14:val="2612" w14:font="MS Gothic"/>
                  <w14:uncheckedState w14:val="2610" w14:font="MS Gothic"/>
                </w14:checkbox>
              </w:sdtPr>
              <w:sdtEndPr>
                <w:rPr>
                  <w:rStyle w:val="Style2"/>
                </w:rPr>
              </w:sdtEndPr>
              <w:sdtContent>
                <w:r w:rsidR="00CC7832" w:rsidRPr="001477F2">
                  <w:rPr>
                    <w:rStyle w:val="Style2"/>
                    <w:rFonts w:ascii="Segoe UI Symbol" w:eastAsia="MS Gothic" w:hAnsi="Segoe UI Symbol" w:cs="Segoe UI Symbol"/>
                    <w:sz w:val="22"/>
                    <w:szCs w:val="22"/>
                  </w:rPr>
                  <w:t>☐</w:t>
                </w:r>
              </w:sdtContent>
            </w:sdt>
            <w:r w:rsidR="00B13D65" w:rsidRPr="001477F2">
              <w:rPr>
                <w:sz w:val="22"/>
                <w:szCs w:val="22"/>
              </w:rPr>
              <w:t>10.1 str. (generinis)</w:t>
            </w:r>
          </w:p>
          <w:p w14:paraId="3B0A4F72" w14:textId="3F5FB073" w:rsidR="00B13D65" w:rsidRPr="001477F2" w:rsidRDefault="00992883" w:rsidP="00824B92">
            <w:pPr>
              <w:rPr>
                <w:rStyle w:val="Style2"/>
                <w:sz w:val="24"/>
              </w:rPr>
            </w:pPr>
            <w:sdt>
              <w:sdtPr>
                <w:rPr>
                  <w:rStyle w:val="Style2"/>
                  <w:sz w:val="22"/>
                  <w:szCs w:val="22"/>
                </w:rPr>
                <w:id w:val="820305101"/>
                <w15:color w:val="FFCC00"/>
                <w14:checkbox>
                  <w14:checked w14:val="0"/>
                  <w14:checkedState w14:val="2612" w14:font="MS Gothic"/>
                  <w14:uncheckedState w14:val="2610" w14:font="MS Gothic"/>
                </w14:checkbox>
              </w:sdtPr>
              <w:sdtEndPr>
                <w:rPr>
                  <w:rStyle w:val="Style2"/>
                </w:rPr>
              </w:sdtEndPr>
              <w:sdtContent>
                <w:r w:rsidR="00CC7832" w:rsidRPr="001477F2">
                  <w:rPr>
                    <w:rStyle w:val="Style2"/>
                    <w:rFonts w:ascii="Segoe UI Symbol" w:eastAsia="MS Gothic" w:hAnsi="Segoe UI Symbol" w:cs="Segoe UI Symbol"/>
                    <w:sz w:val="22"/>
                    <w:szCs w:val="22"/>
                  </w:rPr>
                  <w:t>☐</w:t>
                </w:r>
              </w:sdtContent>
            </w:sdt>
            <w:r w:rsidR="00B13D65" w:rsidRPr="001477F2">
              <w:rPr>
                <w:sz w:val="22"/>
                <w:szCs w:val="22"/>
              </w:rPr>
              <w:t>10.3 str. (hibridinis)</w:t>
            </w:r>
          </w:p>
        </w:tc>
      </w:tr>
      <w:tr w:rsidR="00B13D65" w:rsidRPr="001477F2" w14:paraId="310E9662" w14:textId="77777777" w:rsidTr="00BE7489">
        <w:trPr>
          <w:trHeight w:val="1442"/>
        </w:trPr>
        <w:tc>
          <w:tcPr>
            <w:tcW w:w="632" w:type="dxa"/>
          </w:tcPr>
          <w:p w14:paraId="4B5A91A2" w14:textId="561B5E5F" w:rsidR="00B13D65" w:rsidRPr="001477F2" w:rsidRDefault="00B13D65" w:rsidP="00824B92">
            <w:pPr>
              <w:rPr>
                <w:rFonts w:eastAsia="Arial"/>
              </w:rPr>
            </w:pPr>
            <w:r w:rsidRPr="001477F2">
              <w:rPr>
                <w:rFonts w:eastAsia="Arial"/>
              </w:rPr>
              <w:t>1.</w:t>
            </w:r>
            <w:r w:rsidR="002E0702" w:rsidRPr="001477F2">
              <w:rPr>
                <w:rFonts w:eastAsia="Arial"/>
              </w:rPr>
              <w:t>4</w:t>
            </w:r>
          </w:p>
        </w:tc>
        <w:tc>
          <w:tcPr>
            <w:tcW w:w="3694" w:type="dxa"/>
          </w:tcPr>
          <w:p w14:paraId="6C91E105" w14:textId="77777777" w:rsidR="00B13D65" w:rsidRPr="001477F2" w:rsidRDefault="00B13D65" w:rsidP="00824B92">
            <w:pPr>
              <w:rPr>
                <w:bCs/>
                <w:color w:val="000000"/>
                <w:lang w:eastAsia="lt-LT"/>
              </w:rPr>
            </w:pPr>
            <w:r w:rsidRPr="001477F2">
              <w:rPr>
                <w:bCs/>
                <w:color w:val="000000"/>
                <w:lang w:eastAsia="lt-LT"/>
              </w:rPr>
              <w:t xml:space="preserve">Ar vaistinis preparatas įrašytas į Bendrijos retųjų vaistinių preparatų registrą? </w:t>
            </w:r>
          </w:p>
          <w:p w14:paraId="483071A3" w14:textId="2FEB27F0" w:rsidR="00B13D65" w:rsidRPr="001477F2" w:rsidRDefault="00B13D65" w:rsidP="00824B92">
            <w:pPr>
              <w:rPr>
                <w:bCs/>
                <w:color w:val="000000"/>
                <w:lang w:eastAsia="lt-LT"/>
              </w:rPr>
            </w:pPr>
          </w:p>
        </w:tc>
        <w:tc>
          <w:tcPr>
            <w:tcW w:w="5167" w:type="dxa"/>
          </w:tcPr>
          <w:p w14:paraId="05845C60" w14:textId="10CF4033" w:rsidR="00B13D65" w:rsidRPr="001477F2" w:rsidRDefault="00992883" w:rsidP="00824B92">
            <w:sdt>
              <w:sdtPr>
                <w:rPr>
                  <w:rStyle w:val="Style2"/>
                  <w:sz w:val="24"/>
                </w:rPr>
                <w:id w:val="2024432173"/>
                <w15:color w:val="FFCC00"/>
                <w14:checkbox>
                  <w14:checked w14:val="0"/>
                  <w14:checkedState w14:val="2612" w14:font="MS Gothic"/>
                  <w14:uncheckedState w14:val="2610" w14:font="MS Gothic"/>
                </w14:checkbox>
              </w:sdtPr>
              <w:sdtEndPr>
                <w:rPr>
                  <w:rStyle w:val="Style2"/>
                </w:rPr>
              </w:sdtEndPr>
              <w:sdtContent>
                <w:r w:rsidR="00D417D2" w:rsidRPr="001477F2">
                  <w:rPr>
                    <w:rStyle w:val="Style2"/>
                    <w:rFonts w:ascii="MS Gothic" w:eastAsia="MS Gothic" w:hAnsi="MS Gothic" w:hint="eastAsia"/>
                    <w:sz w:val="24"/>
                  </w:rPr>
                  <w:t>☐</w:t>
                </w:r>
              </w:sdtContent>
            </w:sdt>
            <w:r w:rsidR="00B13D65" w:rsidRPr="001477F2">
              <w:t xml:space="preserve"> Taip</w:t>
            </w:r>
          </w:p>
          <w:p w14:paraId="41D88067" w14:textId="50A2D786" w:rsidR="00B13D65" w:rsidRPr="001477F2" w:rsidRDefault="00992883" w:rsidP="00824B92">
            <w:sdt>
              <w:sdtPr>
                <w:rPr>
                  <w:rStyle w:val="Style2"/>
                  <w:sz w:val="24"/>
                </w:rPr>
                <w:id w:val="-970507926"/>
                <w15:color w:val="FFCC00"/>
                <w14:checkbox>
                  <w14:checked w14:val="1"/>
                  <w14:checkedState w14:val="2612" w14:font="MS Gothic"/>
                  <w14:uncheckedState w14:val="2610" w14:font="MS Gothic"/>
                </w14:checkbox>
              </w:sdtPr>
              <w:sdtEndPr>
                <w:rPr>
                  <w:rStyle w:val="Style2"/>
                </w:rPr>
              </w:sdtEndPr>
              <w:sdtContent>
                <w:r w:rsidR="003D1877" w:rsidRPr="001477F2">
                  <w:rPr>
                    <w:rStyle w:val="Style2"/>
                    <w:rFonts w:ascii="MS Gothic" w:eastAsia="MS Gothic" w:hAnsi="MS Gothic" w:hint="eastAsia"/>
                    <w:sz w:val="24"/>
                  </w:rPr>
                  <w:t>☒</w:t>
                </w:r>
              </w:sdtContent>
            </w:sdt>
            <w:r w:rsidR="00B13D65" w:rsidRPr="001477F2">
              <w:t xml:space="preserve"> Ne</w:t>
            </w:r>
          </w:p>
          <w:p w14:paraId="29C2CBBB" w14:textId="77777777" w:rsidR="00B13D65" w:rsidRPr="001477F2" w:rsidRDefault="00992883" w:rsidP="00824B92">
            <w:pPr>
              <w:rPr>
                <w:rFonts w:eastAsia="Arial"/>
              </w:rPr>
            </w:pPr>
            <w:sdt>
              <w:sdtPr>
                <w:alias w:val="Nurodykite konkrečią dieną"/>
                <w:tag w:val="Nurodykite pradžios datą"/>
                <w:id w:val="693498901"/>
                <w:placeholder>
                  <w:docPart w:val="CDB60824EC144AB3B75C05A5823BEE2D"/>
                </w:placeholder>
                <w:showingPlcHdr/>
                <w15:color w:val="FFCC99"/>
                <w:date w:fullDate="2022-05-18T00:00:00Z">
                  <w:dateFormat w:val="yyyy 'm.' MMMM d 'd.'"/>
                  <w:lid w:val="lt-LT"/>
                  <w:storeMappedDataAs w:val="dateTime"/>
                  <w:calendar w:val="gregorian"/>
                </w:date>
              </w:sdtPr>
              <w:sdtEndPr/>
              <w:sdtContent>
                <w:r w:rsidR="00B13D65" w:rsidRPr="001477F2">
                  <w:rPr>
                    <w:rStyle w:val="PlaceholderText"/>
                  </w:rPr>
                  <w:t>Click here to enter a date.</w:t>
                </w:r>
              </w:sdtContent>
            </w:sdt>
          </w:p>
        </w:tc>
      </w:tr>
      <w:tr w:rsidR="00D417D2" w:rsidRPr="001477F2" w14:paraId="7841E5F8" w14:textId="77777777" w:rsidTr="00BE7489">
        <w:trPr>
          <w:trHeight w:val="476"/>
        </w:trPr>
        <w:tc>
          <w:tcPr>
            <w:tcW w:w="632" w:type="dxa"/>
          </w:tcPr>
          <w:p w14:paraId="109D2861" w14:textId="73BF27DF" w:rsidR="00D417D2" w:rsidRPr="001477F2" w:rsidRDefault="00D417D2" w:rsidP="00824B92">
            <w:pPr>
              <w:rPr>
                <w:rFonts w:eastAsia="Arial"/>
              </w:rPr>
            </w:pPr>
            <w:r w:rsidRPr="001477F2">
              <w:rPr>
                <w:rFonts w:eastAsia="Arial"/>
              </w:rPr>
              <w:t>1.5</w:t>
            </w:r>
          </w:p>
        </w:tc>
        <w:tc>
          <w:tcPr>
            <w:tcW w:w="3694" w:type="dxa"/>
          </w:tcPr>
          <w:p w14:paraId="7822D63E" w14:textId="68C38334" w:rsidR="00D417D2" w:rsidRPr="001477F2" w:rsidRDefault="00D417D2" w:rsidP="00824B92">
            <w:pPr>
              <w:rPr>
                <w:bCs/>
                <w:color w:val="000000"/>
                <w:lang w:eastAsia="lt-LT"/>
              </w:rPr>
            </w:pPr>
            <w:r w:rsidRPr="001477F2">
              <w:t>STV paraiškos pobūdis</w:t>
            </w:r>
          </w:p>
        </w:tc>
        <w:tc>
          <w:tcPr>
            <w:tcW w:w="5167" w:type="dxa"/>
          </w:tcPr>
          <w:p w14:paraId="403461B9" w14:textId="68A37216" w:rsidR="00D417D2" w:rsidRPr="001477F2" w:rsidRDefault="00992883" w:rsidP="00824B92">
            <w:sdt>
              <w:sdtPr>
                <w:rPr>
                  <w:rStyle w:val="Style2"/>
                  <w:sz w:val="24"/>
                </w:rPr>
                <w:id w:val="-468433535"/>
                <w15:color w:val="FFCC00"/>
                <w14:checkbox>
                  <w14:checked w14:val="1"/>
                  <w14:checkedState w14:val="2612" w14:font="MS Gothic"/>
                  <w14:uncheckedState w14:val="2610" w14:font="MS Gothic"/>
                </w14:checkbox>
              </w:sdtPr>
              <w:sdtEndPr>
                <w:rPr>
                  <w:rStyle w:val="Style2"/>
                </w:rPr>
              </w:sdtEndPr>
              <w:sdtContent>
                <w:r w:rsidR="003D1877" w:rsidRPr="001477F2">
                  <w:rPr>
                    <w:rStyle w:val="Style2"/>
                    <w:rFonts w:ascii="MS Gothic" w:eastAsia="MS Gothic" w:hAnsi="MS Gothic" w:hint="eastAsia"/>
                    <w:sz w:val="24"/>
                  </w:rPr>
                  <w:t>☒</w:t>
                </w:r>
              </w:sdtContent>
            </w:sdt>
            <w:r w:rsidR="00D417D2" w:rsidRPr="001477F2">
              <w:t xml:space="preserve"> Pilna paraiška</w:t>
            </w:r>
          </w:p>
          <w:p w14:paraId="6B8213E3" w14:textId="3495CDF4" w:rsidR="00D417D2" w:rsidRPr="001477F2" w:rsidRDefault="00992883" w:rsidP="00824B92">
            <w:sdt>
              <w:sdtPr>
                <w:rPr>
                  <w:rStyle w:val="Style2"/>
                  <w:sz w:val="24"/>
                </w:rPr>
                <w:id w:val="-1489014904"/>
                <w15:color w:val="FFCC00"/>
                <w14:checkbox>
                  <w14:checked w14:val="0"/>
                  <w14:checkedState w14:val="2612" w14:font="MS Gothic"/>
                  <w14:uncheckedState w14:val="2610" w14:font="MS Gothic"/>
                </w14:checkbox>
              </w:sdtPr>
              <w:sdtEndPr>
                <w:rPr>
                  <w:rStyle w:val="Style2"/>
                </w:rPr>
              </w:sdtEndPr>
              <w:sdtContent>
                <w:r w:rsidR="00D417D2" w:rsidRPr="001477F2">
                  <w:rPr>
                    <w:rStyle w:val="Style2"/>
                    <w:rFonts w:ascii="MS Gothic" w:eastAsia="MS Gothic" w:hAnsi="MS Gothic" w:hint="eastAsia"/>
                    <w:sz w:val="24"/>
                  </w:rPr>
                  <w:t>☐</w:t>
                </w:r>
              </w:sdtContent>
            </w:sdt>
            <w:r w:rsidR="00D417D2" w:rsidRPr="001477F2">
              <w:t xml:space="preserve"> Supaprastinta paraiška</w:t>
            </w:r>
          </w:p>
        </w:tc>
      </w:tr>
      <w:tr w:rsidR="00B13D65" w:rsidRPr="001477F2" w14:paraId="274D1DAF" w14:textId="77777777" w:rsidTr="002740F6">
        <w:trPr>
          <w:trHeight w:val="1125"/>
        </w:trPr>
        <w:tc>
          <w:tcPr>
            <w:tcW w:w="632" w:type="dxa"/>
          </w:tcPr>
          <w:p w14:paraId="17ABF217" w14:textId="14AC00D7" w:rsidR="00B13D65" w:rsidRPr="001477F2" w:rsidRDefault="00B13D65" w:rsidP="00824B92">
            <w:pPr>
              <w:rPr>
                <w:rFonts w:eastAsia="Arial"/>
              </w:rPr>
            </w:pPr>
            <w:r w:rsidRPr="001477F2">
              <w:rPr>
                <w:rFonts w:eastAsia="Arial"/>
              </w:rPr>
              <w:t>1.</w:t>
            </w:r>
            <w:r w:rsidR="00D417D2" w:rsidRPr="001477F2">
              <w:rPr>
                <w:rFonts w:eastAsia="Arial"/>
              </w:rPr>
              <w:t>6</w:t>
            </w:r>
          </w:p>
        </w:tc>
        <w:tc>
          <w:tcPr>
            <w:tcW w:w="3694" w:type="dxa"/>
          </w:tcPr>
          <w:p w14:paraId="3FB07EE5" w14:textId="72E10DDE" w:rsidR="00AE1322" w:rsidRPr="001477F2" w:rsidRDefault="00DE4484" w:rsidP="00824B92">
            <w:pPr>
              <w:rPr>
                <w:bCs/>
                <w:color w:val="000000"/>
                <w:lang w:eastAsia="lt-LT"/>
              </w:rPr>
            </w:pPr>
            <w:r w:rsidRPr="001477F2">
              <w:rPr>
                <w:bCs/>
                <w:color w:val="000000"/>
                <w:lang w:eastAsia="lt-LT"/>
              </w:rPr>
              <w:t>Par</w:t>
            </w:r>
            <w:r w:rsidR="007656B2" w:rsidRPr="001477F2">
              <w:rPr>
                <w:bCs/>
                <w:color w:val="000000"/>
                <w:lang w:eastAsia="lt-LT"/>
              </w:rPr>
              <w:t>eiškėjo t</w:t>
            </w:r>
            <w:r w:rsidR="00B13D65" w:rsidRPr="001477F2">
              <w:rPr>
                <w:bCs/>
                <w:color w:val="000000"/>
                <w:lang w:eastAsia="lt-LT"/>
              </w:rPr>
              <w:t>eikiama (-os) kompensuoti vaistinio preparato indikacija (-os)</w:t>
            </w:r>
          </w:p>
          <w:p w14:paraId="3EDDED38" w14:textId="396AE1F7" w:rsidR="009B0250" w:rsidRPr="001477F2" w:rsidRDefault="009B0250" w:rsidP="00824B92">
            <w:pPr>
              <w:rPr>
                <w:bCs/>
                <w:color w:val="000000"/>
                <w:lang w:eastAsia="lt-LT"/>
              </w:rPr>
            </w:pPr>
          </w:p>
          <w:p w14:paraId="546B9327" w14:textId="574EE7CD" w:rsidR="009B0250" w:rsidRPr="001477F2" w:rsidRDefault="009B0250" w:rsidP="00824B92">
            <w:pPr>
              <w:rPr>
                <w:bCs/>
                <w:color w:val="000000"/>
                <w:lang w:eastAsia="lt-LT"/>
              </w:rPr>
            </w:pPr>
          </w:p>
          <w:p w14:paraId="091F93DE" w14:textId="77777777" w:rsidR="009B0250" w:rsidRPr="001477F2" w:rsidRDefault="009B0250" w:rsidP="00824B92">
            <w:pPr>
              <w:rPr>
                <w:bCs/>
                <w:color w:val="000000"/>
                <w:lang w:eastAsia="lt-LT"/>
              </w:rPr>
            </w:pPr>
          </w:p>
          <w:p w14:paraId="0D46828A" w14:textId="39583DB6" w:rsidR="00D970E4" w:rsidRPr="001477F2" w:rsidRDefault="00D970E4" w:rsidP="00824B92">
            <w:pPr>
              <w:rPr>
                <w:bCs/>
                <w:color w:val="000000"/>
                <w:lang w:eastAsia="lt-LT"/>
              </w:rPr>
            </w:pPr>
          </w:p>
          <w:p w14:paraId="09443FF8" w14:textId="4D0006A9" w:rsidR="00D970E4" w:rsidRPr="001477F2" w:rsidRDefault="00D970E4" w:rsidP="00824B92">
            <w:pPr>
              <w:rPr>
                <w:bCs/>
                <w:color w:val="000000"/>
                <w:lang w:eastAsia="lt-LT"/>
              </w:rPr>
            </w:pPr>
          </w:p>
          <w:p w14:paraId="150C5C6F" w14:textId="77777777" w:rsidR="00D970E4" w:rsidRPr="001477F2" w:rsidRDefault="00D970E4" w:rsidP="00824B92">
            <w:pPr>
              <w:rPr>
                <w:bCs/>
                <w:color w:val="000000"/>
                <w:lang w:eastAsia="lt-LT"/>
              </w:rPr>
            </w:pPr>
          </w:p>
          <w:p w14:paraId="3A6B054C" w14:textId="77777777" w:rsidR="00AE1322" w:rsidRPr="001477F2" w:rsidRDefault="00AE1322" w:rsidP="00824B92">
            <w:pPr>
              <w:rPr>
                <w:bCs/>
                <w:color w:val="000000"/>
                <w:lang w:eastAsia="lt-LT"/>
              </w:rPr>
            </w:pPr>
          </w:p>
          <w:p w14:paraId="6B4FEEC1" w14:textId="378668B0" w:rsidR="00B13D65" w:rsidRPr="001477F2" w:rsidRDefault="007656B2" w:rsidP="00824B92">
            <w:pPr>
              <w:rPr>
                <w:bCs/>
                <w:color w:val="000000"/>
                <w:lang w:eastAsia="lt-LT"/>
              </w:rPr>
            </w:pPr>
            <w:r w:rsidRPr="001477F2">
              <w:rPr>
                <w:bCs/>
                <w:color w:val="000000"/>
                <w:lang w:eastAsia="lt-LT"/>
              </w:rPr>
              <w:t>K</w:t>
            </w:r>
            <w:r w:rsidR="00B13D65" w:rsidRPr="001477F2">
              <w:rPr>
                <w:bCs/>
                <w:color w:val="000000"/>
                <w:lang w:eastAsia="lt-LT"/>
              </w:rPr>
              <w:t>odas</w:t>
            </w:r>
            <w:r w:rsidRPr="001477F2">
              <w:rPr>
                <w:bCs/>
                <w:color w:val="000000"/>
                <w:lang w:eastAsia="lt-LT"/>
              </w:rPr>
              <w:t xml:space="preserve"> pagal TLK-10 AM</w:t>
            </w:r>
          </w:p>
        </w:tc>
        <w:tc>
          <w:tcPr>
            <w:tcW w:w="5167" w:type="dxa"/>
          </w:tcPr>
          <w:p w14:paraId="2828C96A" w14:textId="77777777" w:rsidR="009B0250" w:rsidRPr="001477F2" w:rsidRDefault="009B0250" w:rsidP="009B0250">
            <w:pPr>
              <w:pStyle w:val="ListParagraph"/>
              <w:spacing w:after="120" w:line="276" w:lineRule="auto"/>
              <w:ind w:left="0"/>
              <w:contextualSpacing w:val="0"/>
              <w:jc w:val="both"/>
            </w:pPr>
            <w:r w:rsidRPr="001477F2">
              <w:lastRenderedPageBreak/>
              <w:t xml:space="preserve">KEYTRUDA derinant su chemoterapija neoadjuvantiniam gydymui, o vėliau tęsiant monoterapiją adjuvantiniam gydymui po chirurginės operacijos, skirtas vietiškai išplitusio arba ankstyvos stadijos </w:t>
            </w:r>
            <w:r w:rsidRPr="001477F2">
              <w:rPr>
                <w:b/>
                <w:i/>
              </w:rPr>
              <w:t xml:space="preserve">trigubai neigiamo krūties </w:t>
            </w:r>
            <w:r w:rsidRPr="001477F2">
              <w:rPr>
                <w:b/>
                <w:i/>
              </w:rPr>
              <w:lastRenderedPageBreak/>
              <w:t>vėžio</w:t>
            </w:r>
            <w:r w:rsidRPr="001477F2">
              <w:t xml:space="preserve"> gydymui suaugusiesiems, kuriems yra padidėjusi ligos recidyvo rizika.</w:t>
            </w:r>
          </w:p>
          <w:p w14:paraId="13F7DFB0" w14:textId="1594E1E9" w:rsidR="00B13D65" w:rsidRPr="001477F2" w:rsidRDefault="00D970E4" w:rsidP="00621FD5">
            <w:pPr>
              <w:pStyle w:val="ListParagraph"/>
              <w:spacing w:after="120" w:line="276" w:lineRule="auto"/>
              <w:ind w:left="0"/>
              <w:contextualSpacing w:val="0"/>
              <w:jc w:val="both"/>
            </w:pPr>
            <w:r w:rsidRPr="001477F2">
              <w:rPr>
                <w:b/>
              </w:rPr>
              <w:t>C50</w:t>
            </w:r>
            <w:r w:rsidR="003D1877" w:rsidRPr="001477F2">
              <w:t xml:space="preserve"> </w:t>
            </w:r>
          </w:p>
        </w:tc>
      </w:tr>
      <w:tr w:rsidR="00B13D65" w:rsidRPr="001477F2" w14:paraId="2F79DC08" w14:textId="77777777" w:rsidTr="00BE7489">
        <w:trPr>
          <w:trHeight w:val="378"/>
        </w:trPr>
        <w:tc>
          <w:tcPr>
            <w:tcW w:w="632" w:type="dxa"/>
          </w:tcPr>
          <w:p w14:paraId="547885A2" w14:textId="08AA8055" w:rsidR="00B13D65" w:rsidRPr="001477F2" w:rsidRDefault="00B13D65" w:rsidP="00824B92">
            <w:pPr>
              <w:rPr>
                <w:rFonts w:eastAsia="Arial"/>
              </w:rPr>
            </w:pPr>
            <w:r w:rsidRPr="001477F2">
              <w:rPr>
                <w:rFonts w:eastAsia="Arial"/>
              </w:rPr>
              <w:lastRenderedPageBreak/>
              <w:t>1.</w:t>
            </w:r>
            <w:r w:rsidR="002E0702" w:rsidRPr="001477F2">
              <w:rPr>
                <w:rFonts w:eastAsia="Arial"/>
              </w:rPr>
              <w:t>6</w:t>
            </w:r>
          </w:p>
        </w:tc>
        <w:tc>
          <w:tcPr>
            <w:tcW w:w="3694" w:type="dxa"/>
          </w:tcPr>
          <w:p w14:paraId="2EAB877F" w14:textId="39A36941" w:rsidR="00B13D65" w:rsidRPr="001477F2" w:rsidRDefault="007656B2" w:rsidP="00824B92">
            <w:pPr>
              <w:rPr>
                <w:bCs/>
                <w:color w:val="000000"/>
                <w:u w:val="single"/>
                <w:lang w:eastAsia="lt-LT"/>
              </w:rPr>
            </w:pPr>
            <w:r w:rsidRPr="001477F2">
              <w:rPr>
                <w:bCs/>
                <w:color w:val="000000"/>
                <w:lang w:eastAsia="lt-LT"/>
              </w:rPr>
              <w:t>Pareiškėjo t</w:t>
            </w:r>
            <w:r w:rsidR="00B13D65" w:rsidRPr="001477F2">
              <w:rPr>
                <w:bCs/>
                <w:color w:val="000000"/>
                <w:lang w:eastAsia="lt-LT"/>
              </w:rPr>
              <w:t>eikiamos skyrimo sąlygos</w:t>
            </w:r>
            <w:r w:rsidR="005B3756" w:rsidRPr="001477F2">
              <w:rPr>
                <w:bCs/>
                <w:color w:val="000000"/>
                <w:lang w:eastAsia="lt-LT"/>
              </w:rPr>
              <w:t xml:space="preserve"> </w:t>
            </w:r>
          </w:p>
        </w:tc>
        <w:tc>
          <w:tcPr>
            <w:tcW w:w="5167" w:type="dxa"/>
          </w:tcPr>
          <w:p w14:paraId="0579DF58" w14:textId="4B155348" w:rsidR="00B13D65" w:rsidRPr="001477F2" w:rsidRDefault="0047414A" w:rsidP="00824B92">
            <w:r w:rsidRPr="001477F2">
              <w:t>Neteikiamos</w:t>
            </w:r>
          </w:p>
        </w:tc>
      </w:tr>
      <w:tr w:rsidR="00B13D65" w:rsidRPr="001477F2" w14:paraId="3B125269" w14:textId="77777777" w:rsidTr="00BE7489">
        <w:trPr>
          <w:trHeight w:val="378"/>
        </w:trPr>
        <w:tc>
          <w:tcPr>
            <w:tcW w:w="632" w:type="dxa"/>
          </w:tcPr>
          <w:p w14:paraId="0058E11F" w14:textId="77777777" w:rsidR="00B13D65" w:rsidRPr="001477F2" w:rsidRDefault="00B13D65" w:rsidP="00824B92">
            <w:pPr>
              <w:rPr>
                <w:rFonts w:eastAsia="Arial"/>
              </w:rPr>
            </w:pPr>
            <w:r w:rsidRPr="001477F2">
              <w:rPr>
                <w:rFonts w:eastAsia="Arial"/>
              </w:rPr>
              <w:t>1.7</w:t>
            </w:r>
          </w:p>
        </w:tc>
        <w:tc>
          <w:tcPr>
            <w:tcW w:w="3694" w:type="dxa"/>
          </w:tcPr>
          <w:p w14:paraId="738E1926" w14:textId="50A9DC79" w:rsidR="00B13D65" w:rsidRPr="001477F2" w:rsidRDefault="007656B2" w:rsidP="00824B92">
            <w:pPr>
              <w:rPr>
                <w:bCs/>
                <w:color w:val="000000"/>
                <w:lang w:eastAsia="lt-LT"/>
              </w:rPr>
            </w:pPr>
            <w:r w:rsidRPr="001477F2">
              <w:rPr>
                <w:bCs/>
                <w:color w:val="000000"/>
                <w:lang w:eastAsia="lt-LT"/>
              </w:rPr>
              <w:t>Pareiškėjo teikiamas p</w:t>
            </w:r>
            <w:r w:rsidR="00B13D65" w:rsidRPr="001477F2">
              <w:rPr>
                <w:bCs/>
                <w:color w:val="000000"/>
                <w:lang w:eastAsia="lt-LT"/>
              </w:rPr>
              <w:t>alyginamasis</w:t>
            </w:r>
            <w:r w:rsidR="005B3756" w:rsidRPr="001477F2">
              <w:rPr>
                <w:bCs/>
                <w:color w:val="000000"/>
                <w:lang w:eastAsia="lt-LT"/>
              </w:rPr>
              <w:t xml:space="preserve"> </w:t>
            </w:r>
            <w:r w:rsidR="00B13D65" w:rsidRPr="001477F2">
              <w:rPr>
                <w:bCs/>
                <w:color w:val="000000"/>
                <w:lang w:eastAsia="lt-LT"/>
              </w:rPr>
              <w:t>gydymas</w:t>
            </w:r>
            <w:r w:rsidR="0047414A" w:rsidRPr="001477F2">
              <w:rPr>
                <w:bCs/>
                <w:color w:val="000000"/>
                <w:lang w:eastAsia="lt-LT"/>
              </w:rPr>
              <w:t>:</w:t>
            </w:r>
            <w:r w:rsidR="00B13D65" w:rsidRPr="001477F2">
              <w:rPr>
                <w:bCs/>
                <w:color w:val="000000"/>
                <w:lang w:eastAsia="lt-LT"/>
              </w:rPr>
              <w:t xml:space="preserve"> </w:t>
            </w:r>
          </w:p>
          <w:p w14:paraId="1F7BF92F" w14:textId="6E3AE3A9" w:rsidR="007C7519" w:rsidRPr="001477F2" w:rsidRDefault="007C7519" w:rsidP="00824B92">
            <w:pPr>
              <w:rPr>
                <w:bCs/>
                <w:i/>
                <w:color w:val="000000"/>
                <w:lang w:eastAsia="lt-LT"/>
              </w:rPr>
            </w:pPr>
            <w:r w:rsidRPr="001477F2">
              <w:rPr>
                <w:bCs/>
                <w:i/>
                <w:color w:val="000000"/>
                <w:lang w:eastAsia="lt-LT"/>
              </w:rPr>
              <w:t>Tiesioginis</w:t>
            </w:r>
          </w:p>
          <w:p w14:paraId="643CC07B" w14:textId="2D7C9848" w:rsidR="00D970E4" w:rsidRPr="001477F2" w:rsidRDefault="00D970E4" w:rsidP="00824B92">
            <w:pPr>
              <w:rPr>
                <w:bCs/>
                <w:i/>
                <w:color w:val="000000"/>
                <w:lang w:eastAsia="lt-LT"/>
              </w:rPr>
            </w:pPr>
          </w:p>
          <w:p w14:paraId="62057D94" w14:textId="77777777" w:rsidR="00413F24" w:rsidRPr="001477F2" w:rsidRDefault="00413F24" w:rsidP="00824B92">
            <w:pPr>
              <w:rPr>
                <w:bCs/>
                <w:color w:val="000000"/>
                <w:lang w:eastAsia="lt-LT"/>
              </w:rPr>
            </w:pPr>
          </w:p>
          <w:p w14:paraId="6CC1022E" w14:textId="2B6BCEE1" w:rsidR="009F4D66" w:rsidRPr="001477F2" w:rsidRDefault="009F4D66" w:rsidP="00824B92">
            <w:pPr>
              <w:rPr>
                <w:bCs/>
                <w:color w:val="000000"/>
                <w:lang w:eastAsia="lt-LT"/>
              </w:rPr>
            </w:pPr>
          </w:p>
        </w:tc>
        <w:tc>
          <w:tcPr>
            <w:tcW w:w="5167" w:type="dxa"/>
          </w:tcPr>
          <w:p w14:paraId="0AC43073" w14:textId="77777777" w:rsidR="00D970E4" w:rsidRPr="001477F2" w:rsidRDefault="00D970E4" w:rsidP="00D970E4"/>
          <w:p w14:paraId="66741CBF" w14:textId="03099B04" w:rsidR="0047414A" w:rsidRPr="001477F2" w:rsidRDefault="00992883" w:rsidP="0047414A">
            <w:sdt>
              <w:sdtPr>
                <w:rPr>
                  <w:rStyle w:val="Style2"/>
                  <w:sz w:val="24"/>
                </w:rPr>
                <w:id w:val="-834302966"/>
                <w15:color w:val="FFCC00"/>
                <w14:checkbox>
                  <w14:checked w14:val="1"/>
                  <w14:checkedState w14:val="2612" w14:font="MS Gothic"/>
                  <w14:uncheckedState w14:val="2610" w14:font="MS Gothic"/>
                </w14:checkbox>
              </w:sdtPr>
              <w:sdtEndPr>
                <w:rPr>
                  <w:rStyle w:val="Style2"/>
                </w:rPr>
              </w:sdtEndPr>
              <w:sdtContent>
                <w:r w:rsidR="0047414A" w:rsidRPr="001477F2">
                  <w:rPr>
                    <w:rStyle w:val="Style2"/>
                    <w:rFonts w:ascii="MS Gothic" w:eastAsia="MS Gothic" w:hAnsi="MS Gothic" w:hint="eastAsia"/>
                    <w:sz w:val="24"/>
                  </w:rPr>
                  <w:t>☒</w:t>
                </w:r>
              </w:sdtContent>
            </w:sdt>
            <w:r w:rsidR="0047414A" w:rsidRPr="001477F2">
              <w:t xml:space="preserve"> Tinkamas</w:t>
            </w:r>
          </w:p>
          <w:p w14:paraId="41B44044" w14:textId="2E013ACA" w:rsidR="00B13D65" w:rsidRPr="001477F2" w:rsidRDefault="00992883" w:rsidP="00824B92">
            <w:sdt>
              <w:sdtPr>
                <w:rPr>
                  <w:rStyle w:val="Style2"/>
                  <w:sz w:val="24"/>
                </w:rPr>
                <w:id w:val="-352420698"/>
                <w15:color w:val="FFCC00"/>
                <w14:checkbox>
                  <w14:checked w14:val="0"/>
                  <w14:checkedState w14:val="2612" w14:font="MS Gothic"/>
                  <w14:uncheckedState w14:val="2610" w14:font="MS Gothic"/>
                </w14:checkbox>
              </w:sdtPr>
              <w:sdtEndPr>
                <w:rPr>
                  <w:rStyle w:val="Style2"/>
                </w:rPr>
              </w:sdtEndPr>
              <w:sdtContent>
                <w:r w:rsidR="00D970E4" w:rsidRPr="001477F2">
                  <w:rPr>
                    <w:rStyle w:val="Style2"/>
                    <w:rFonts w:ascii="MS Gothic" w:eastAsia="MS Gothic" w:hAnsi="MS Gothic" w:hint="eastAsia"/>
                    <w:sz w:val="24"/>
                  </w:rPr>
                  <w:t>☐</w:t>
                </w:r>
              </w:sdtContent>
            </w:sdt>
            <w:r w:rsidR="009F4D66" w:rsidRPr="001477F2">
              <w:t xml:space="preserve"> Netinkama</w:t>
            </w:r>
            <w:r w:rsidR="0047414A" w:rsidRPr="001477F2">
              <w:t>s</w:t>
            </w:r>
          </w:p>
        </w:tc>
      </w:tr>
    </w:tbl>
    <w:p w14:paraId="108176F7" w14:textId="640C6F75" w:rsidR="00F70C9E" w:rsidRPr="001477F2" w:rsidRDefault="00F70C9E" w:rsidP="00E03C3F">
      <w:pPr>
        <w:pStyle w:val="ListParagraph"/>
        <w:tabs>
          <w:tab w:val="left" w:pos="426"/>
        </w:tabs>
        <w:ind w:left="0"/>
        <w:rPr>
          <w:b/>
          <w:bCs/>
          <w:caps/>
        </w:rPr>
      </w:pPr>
    </w:p>
    <w:p w14:paraId="2871CA7F" w14:textId="2370BDDB" w:rsidR="00F70C9E" w:rsidRPr="001477F2" w:rsidRDefault="00F70C9E" w:rsidP="00880A44">
      <w:pPr>
        <w:spacing w:line="276" w:lineRule="auto"/>
        <w:jc w:val="both"/>
        <w:rPr>
          <w:rFonts w:eastAsia="Arial"/>
          <w:b/>
        </w:rPr>
      </w:pPr>
      <w:r w:rsidRPr="001477F2">
        <w:rPr>
          <w:rFonts w:eastAsia="Arial"/>
          <w:b/>
        </w:rPr>
        <w:t xml:space="preserve">1.8 Kitų </w:t>
      </w:r>
      <w:r w:rsidR="00DF583C" w:rsidRPr="001477F2">
        <w:rPr>
          <w:rFonts w:eastAsia="Arial"/>
          <w:b/>
        </w:rPr>
        <w:t xml:space="preserve">valstybių </w:t>
      </w:r>
      <w:r w:rsidRPr="001477F2">
        <w:rPr>
          <w:rFonts w:eastAsia="Arial"/>
          <w:b/>
        </w:rPr>
        <w:t xml:space="preserve">atsakingų institucijų atlikto </w:t>
      </w:r>
      <w:r w:rsidR="00DF583C" w:rsidRPr="001477F2">
        <w:rPr>
          <w:rFonts w:eastAsia="Arial"/>
          <w:b/>
        </w:rPr>
        <w:t>Sveikatos technologijų vertinimo (toliau – STV)</w:t>
      </w:r>
      <w:r w:rsidRPr="001477F2">
        <w:rPr>
          <w:rFonts w:eastAsia="Arial"/>
          <w:b/>
        </w:rPr>
        <w:t xml:space="preserve"> išvados</w:t>
      </w:r>
    </w:p>
    <w:p w14:paraId="30721FDD" w14:textId="77777777" w:rsidR="00F70C9E" w:rsidRPr="001477F2" w:rsidRDefault="00F70C9E" w:rsidP="00F70C9E">
      <w:pPr>
        <w:spacing w:line="276" w:lineRule="auto"/>
        <w:rPr>
          <w:rFonts w:eastAsia="Arial"/>
        </w:rPr>
      </w:pPr>
    </w:p>
    <w:tbl>
      <w:tblPr>
        <w:tblStyle w:val="TableGrid"/>
        <w:tblW w:w="0" w:type="auto"/>
        <w:tblLook w:val="04A0" w:firstRow="1" w:lastRow="0" w:firstColumn="1" w:lastColumn="0" w:noHBand="0" w:noVBand="1"/>
      </w:tblPr>
      <w:tblGrid>
        <w:gridCol w:w="2855"/>
        <w:gridCol w:w="1851"/>
        <w:gridCol w:w="2244"/>
        <w:gridCol w:w="2543"/>
      </w:tblGrid>
      <w:tr w:rsidR="00F70C9E" w:rsidRPr="001477F2" w14:paraId="7E72828B" w14:textId="77777777" w:rsidTr="00BE7489">
        <w:trPr>
          <w:trHeight w:val="924"/>
        </w:trPr>
        <w:tc>
          <w:tcPr>
            <w:tcW w:w="2855" w:type="dxa"/>
          </w:tcPr>
          <w:p w14:paraId="253D1DD4" w14:textId="5B2616C0" w:rsidR="00F70C9E" w:rsidRPr="001477F2" w:rsidRDefault="00F70C9E" w:rsidP="00824B92">
            <w:pPr>
              <w:rPr>
                <w:rFonts w:eastAsia="Arial"/>
              </w:rPr>
            </w:pPr>
            <w:r w:rsidRPr="001477F2">
              <w:rPr>
                <w:rFonts w:eastAsia="Arial"/>
              </w:rPr>
              <w:t>ST</w:t>
            </w:r>
            <w:r w:rsidR="00DF583C" w:rsidRPr="001477F2">
              <w:rPr>
                <w:rFonts w:eastAsia="Arial"/>
              </w:rPr>
              <w:t>V</w:t>
            </w:r>
            <w:r w:rsidRPr="001477F2">
              <w:rPr>
                <w:rFonts w:eastAsia="Arial"/>
              </w:rPr>
              <w:t xml:space="preserve"> agentūros pavadinimas, šalis</w:t>
            </w:r>
          </w:p>
        </w:tc>
        <w:tc>
          <w:tcPr>
            <w:tcW w:w="1851" w:type="dxa"/>
          </w:tcPr>
          <w:p w14:paraId="34AE1EDD" w14:textId="77777777" w:rsidR="00F70C9E" w:rsidRPr="001477F2" w:rsidRDefault="00F70C9E" w:rsidP="00824B92">
            <w:pPr>
              <w:rPr>
                <w:rFonts w:eastAsia="Arial"/>
              </w:rPr>
            </w:pPr>
            <w:r w:rsidRPr="001477F2">
              <w:rPr>
                <w:rFonts w:eastAsia="Arial"/>
              </w:rPr>
              <w:t>STV vertinimas atliktas</w:t>
            </w:r>
          </w:p>
        </w:tc>
        <w:tc>
          <w:tcPr>
            <w:tcW w:w="2244" w:type="dxa"/>
          </w:tcPr>
          <w:p w14:paraId="16E2DDC1" w14:textId="77777777" w:rsidR="00F70C9E" w:rsidRPr="001477F2" w:rsidRDefault="00F70C9E" w:rsidP="00824B92">
            <w:pPr>
              <w:rPr>
                <w:rFonts w:eastAsia="Arial"/>
              </w:rPr>
            </w:pPr>
            <w:r w:rsidRPr="001477F2">
              <w:rPr>
                <w:rFonts w:eastAsia="Arial"/>
              </w:rPr>
              <w:t>Klinikinio vertinimo išvada</w:t>
            </w:r>
          </w:p>
        </w:tc>
        <w:tc>
          <w:tcPr>
            <w:tcW w:w="2543" w:type="dxa"/>
          </w:tcPr>
          <w:p w14:paraId="1861E3F2" w14:textId="74803B5B" w:rsidR="00F70C9E" w:rsidRPr="001477F2" w:rsidRDefault="00F70C9E" w:rsidP="00824B92">
            <w:pPr>
              <w:rPr>
                <w:rFonts w:eastAsia="Arial"/>
              </w:rPr>
            </w:pPr>
            <w:r w:rsidRPr="001477F2">
              <w:rPr>
                <w:rFonts w:eastAsia="Arial"/>
              </w:rPr>
              <w:t>Farmako</w:t>
            </w:r>
            <w:r w:rsidR="00CA217D" w:rsidRPr="001477F2">
              <w:rPr>
                <w:rFonts w:eastAsia="Arial"/>
              </w:rPr>
              <w:t>e</w:t>
            </w:r>
            <w:r w:rsidR="00476256" w:rsidRPr="001477F2">
              <w:rPr>
                <w:rFonts w:eastAsia="Arial"/>
              </w:rPr>
              <w:t>ko</w:t>
            </w:r>
            <w:r w:rsidRPr="001477F2">
              <w:rPr>
                <w:rFonts w:eastAsia="Arial"/>
              </w:rPr>
              <w:t>nominio vertinimo išvada</w:t>
            </w:r>
          </w:p>
        </w:tc>
      </w:tr>
      <w:tr w:rsidR="00F70C9E" w:rsidRPr="001477F2" w14:paraId="129FA8F6" w14:textId="77777777" w:rsidTr="00BE7489">
        <w:trPr>
          <w:trHeight w:val="2267"/>
        </w:trPr>
        <w:tc>
          <w:tcPr>
            <w:tcW w:w="2855" w:type="dxa"/>
          </w:tcPr>
          <w:p w14:paraId="0A070137" w14:textId="77777777" w:rsidR="00F70C9E" w:rsidRPr="001477F2" w:rsidRDefault="00F70C9E" w:rsidP="00824B92">
            <w:pPr>
              <w:rPr>
                <w:bCs/>
              </w:rPr>
            </w:pPr>
            <w:r w:rsidRPr="001477F2">
              <w:rPr>
                <w:bCs/>
              </w:rPr>
              <w:t>Nacionalinis sveikatos ir klinikinės kompetencijos institutas, Didžioji Britanija</w:t>
            </w:r>
          </w:p>
          <w:p w14:paraId="49C6520D" w14:textId="77777777" w:rsidR="00F70C9E" w:rsidRPr="001477F2" w:rsidRDefault="00F70C9E" w:rsidP="00824B92">
            <w:pPr>
              <w:rPr>
                <w:rFonts w:eastAsia="Arial"/>
                <w:lang w:val="en-GB"/>
              </w:rPr>
            </w:pPr>
            <w:r w:rsidRPr="001477F2">
              <w:rPr>
                <w:rFonts w:eastAsia="Arial"/>
                <w:lang w:val="en-GB"/>
              </w:rPr>
              <w:t xml:space="preserve">(angl. </w:t>
            </w:r>
            <w:r w:rsidRPr="001477F2">
              <w:rPr>
                <w:rFonts w:eastAsia="Arial"/>
                <w:i/>
                <w:lang w:val="en-GB"/>
              </w:rPr>
              <w:t>National Institute for Health and Care  Excellence, NICE</w:t>
            </w:r>
            <w:r w:rsidRPr="001477F2">
              <w:rPr>
                <w:rFonts w:eastAsia="Arial"/>
                <w:lang w:val="en-GB"/>
              </w:rPr>
              <w:t>)</w:t>
            </w:r>
          </w:p>
        </w:tc>
        <w:tc>
          <w:tcPr>
            <w:tcW w:w="1851" w:type="dxa"/>
          </w:tcPr>
          <w:p w14:paraId="5846A9F8" w14:textId="37ECF857" w:rsidR="00F70C9E" w:rsidRPr="001477F2" w:rsidRDefault="00992883" w:rsidP="00824B92">
            <w:sdt>
              <w:sdtPr>
                <w:rPr>
                  <w:rStyle w:val="Style2"/>
                  <w:sz w:val="24"/>
                </w:rPr>
                <w:id w:val="1558205022"/>
                <w15:color w:val="FFCC00"/>
                <w14:checkbox>
                  <w14:checked w14:val="1"/>
                  <w14:checkedState w14:val="2612" w14:font="MS Gothic"/>
                  <w14:uncheckedState w14:val="2610" w14:font="MS Gothic"/>
                </w14:checkbox>
              </w:sdtPr>
              <w:sdtEndPr>
                <w:rPr>
                  <w:rStyle w:val="Style2"/>
                </w:rPr>
              </w:sdtEndPr>
              <w:sdtContent>
                <w:r w:rsidR="004D6144" w:rsidRPr="001477F2">
                  <w:rPr>
                    <w:rStyle w:val="Style2"/>
                    <w:rFonts w:ascii="MS Gothic" w:eastAsia="MS Gothic" w:hAnsi="MS Gothic" w:hint="eastAsia"/>
                    <w:sz w:val="24"/>
                  </w:rPr>
                  <w:t>☒</w:t>
                </w:r>
              </w:sdtContent>
            </w:sdt>
            <w:r w:rsidR="00F70C9E" w:rsidRPr="001477F2">
              <w:t xml:space="preserve"> Taip</w:t>
            </w:r>
          </w:p>
          <w:p w14:paraId="29F3627E" w14:textId="77777777" w:rsidR="00F70C9E" w:rsidRPr="001477F2" w:rsidRDefault="00992883" w:rsidP="00824B92">
            <w:sdt>
              <w:sdtPr>
                <w:rPr>
                  <w:rStyle w:val="Style2"/>
                  <w:sz w:val="24"/>
                </w:rPr>
                <w:id w:val="866029625"/>
                <w15:color w:val="FFCC00"/>
                <w14:checkbox>
                  <w14:checked w14:val="0"/>
                  <w14:checkedState w14:val="2612" w14:font="MS Gothic"/>
                  <w14:uncheckedState w14:val="2610" w14:font="MS Gothic"/>
                </w14:checkbox>
              </w:sdtPr>
              <w:sdtEndPr>
                <w:rPr>
                  <w:rStyle w:val="Style2"/>
                </w:rPr>
              </w:sdtEndPr>
              <w:sdtContent>
                <w:r w:rsidR="00F70C9E" w:rsidRPr="001477F2">
                  <w:rPr>
                    <w:rStyle w:val="Style2"/>
                    <w:rFonts w:ascii="Segoe UI Symbol" w:eastAsia="MS Gothic" w:hAnsi="Segoe UI Symbol" w:cs="Segoe UI Symbol"/>
                    <w:sz w:val="24"/>
                  </w:rPr>
                  <w:t>☐</w:t>
                </w:r>
              </w:sdtContent>
            </w:sdt>
            <w:r w:rsidR="00F70C9E" w:rsidRPr="001477F2">
              <w:t xml:space="preserve"> Ne</w:t>
            </w:r>
          </w:p>
          <w:p w14:paraId="7916359D" w14:textId="77777777" w:rsidR="00F70C9E" w:rsidRPr="001477F2" w:rsidRDefault="00992883" w:rsidP="00824B92">
            <w:pPr>
              <w:rPr>
                <w:rFonts w:eastAsia="Arial"/>
              </w:rPr>
            </w:pPr>
            <w:sdt>
              <w:sdtPr>
                <w:alias w:val="Nurodykite konkrečią dieną"/>
                <w:tag w:val="Nurodykite pradžios datą"/>
                <w:id w:val="922837954"/>
                <w:placeholder>
                  <w:docPart w:val="1E86322BB2A046D9AA8EEC8813E5F165"/>
                </w:placeholder>
                <w:showingPlcHdr/>
                <w15:color w:val="FFCC99"/>
                <w:date w:fullDate="2022-05-18T00:00:00Z">
                  <w:dateFormat w:val="yyyy 'm.' MMMM d 'd.'"/>
                  <w:lid w:val="lt-LT"/>
                  <w:storeMappedDataAs w:val="dateTime"/>
                  <w:calendar w:val="gregorian"/>
                </w:date>
              </w:sdtPr>
              <w:sdtEndPr/>
              <w:sdtContent>
                <w:r w:rsidR="00F70C9E" w:rsidRPr="001477F2">
                  <w:rPr>
                    <w:rStyle w:val="PlaceholderText"/>
                  </w:rPr>
                  <w:t>Click here to enter a date.</w:t>
                </w:r>
              </w:sdtContent>
            </w:sdt>
          </w:p>
        </w:tc>
        <w:tc>
          <w:tcPr>
            <w:tcW w:w="2244" w:type="dxa"/>
          </w:tcPr>
          <w:p w14:paraId="6413D0ED" w14:textId="1085AD87" w:rsidR="00F70C9E" w:rsidRPr="001477F2" w:rsidRDefault="00D66794" w:rsidP="00824B92">
            <w:pPr>
              <w:rPr>
                <w:rFonts w:eastAsia="Arial"/>
              </w:rPr>
            </w:pPr>
            <w:r w:rsidRPr="001477F2">
              <w:rPr>
                <w:rFonts w:eastAsia="Arial"/>
              </w:rPr>
              <w:t>Sukuriama nauda yra didesnė lyginant su esama klinikine praktika</w:t>
            </w:r>
          </w:p>
        </w:tc>
        <w:tc>
          <w:tcPr>
            <w:tcW w:w="2543" w:type="dxa"/>
          </w:tcPr>
          <w:p w14:paraId="67430EE7" w14:textId="3461F82D" w:rsidR="00F70C9E" w:rsidRPr="001477F2" w:rsidRDefault="00D66794" w:rsidP="00824B92">
            <w:pPr>
              <w:rPr>
                <w:rFonts w:eastAsia="Arial"/>
              </w:rPr>
            </w:pPr>
            <w:r w:rsidRPr="001477F2">
              <w:rPr>
                <w:rFonts w:eastAsia="Arial"/>
              </w:rPr>
              <w:t>Kaštų naudingumas yra priimtinas, ICER neviršija referencinės kaštų naudingumo vertės (slenksčio), siūloma kompensuoti</w:t>
            </w:r>
          </w:p>
        </w:tc>
      </w:tr>
      <w:tr w:rsidR="00F70C9E" w:rsidRPr="001477F2" w14:paraId="1CC31474" w14:textId="77777777" w:rsidTr="00BE7489">
        <w:trPr>
          <w:trHeight w:val="1547"/>
        </w:trPr>
        <w:tc>
          <w:tcPr>
            <w:tcW w:w="2855" w:type="dxa"/>
          </w:tcPr>
          <w:p w14:paraId="12218E35" w14:textId="77777777" w:rsidR="00F70C9E" w:rsidRPr="001477F2" w:rsidRDefault="00F70C9E" w:rsidP="00824B92">
            <w:pPr>
              <w:rPr>
                <w:rFonts w:eastAsia="Arial"/>
                <w:lang w:val="en-GB"/>
              </w:rPr>
            </w:pPr>
            <w:r w:rsidRPr="001477F2">
              <w:rPr>
                <w:rFonts w:eastAsia="Arial"/>
                <w:lang w:val="en-GB"/>
              </w:rPr>
              <w:t>Kanados sveikatos technologijų agentūra</w:t>
            </w:r>
          </w:p>
          <w:p w14:paraId="2C593A82" w14:textId="77777777" w:rsidR="00F70C9E" w:rsidRPr="001477F2" w:rsidRDefault="00F70C9E" w:rsidP="00824B92">
            <w:pPr>
              <w:rPr>
                <w:rFonts w:eastAsia="Arial"/>
                <w:lang w:val="en-GB"/>
              </w:rPr>
            </w:pPr>
            <w:r w:rsidRPr="001477F2">
              <w:rPr>
                <w:rFonts w:eastAsia="Arial"/>
                <w:lang w:val="en-GB"/>
              </w:rPr>
              <w:t xml:space="preserve">(angl. </w:t>
            </w:r>
            <w:r w:rsidRPr="001477F2">
              <w:rPr>
                <w:rFonts w:eastAsia="Arial"/>
                <w:i/>
                <w:lang w:val="en-GB"/>
              </w:rPr>
              <w:t>Canadian health Technology Assessment agency, CADTH</w:t>
            </w:r>
            <w:r w:rsidRPr="001477F2">
              <w:rPr>
                <w:rFonts w:eastAsia="Arial"/>
                <w:lang w:val="en-GB"/>
              </w:rPr>
              <w:t>)</w:t>
            </w:r>
          </w:p>
        </w:tc>
        <w:tc>
          <w:tcPr>
            <w:tcW w:w="1851" w:type="dxa"/>
          </w:tcPr>
          <w:p w14:paraId="762649FE" w14:textId="5F1A4BB3" w:rsidR="00F70C9E" w:rsidRPr="001477F2" w:rsidRDefault="00992883" w:rsidP="00824B92">
            <w:sdt>
              <w:sdtPr>
                <w:rPr>
                  <w:rStyle w:val="Style2"/>
                  <w:sz w:val="24"/>
                </w:rPr>
                <w:id w:val="-372539057"/>
                <w15:color w:val="FFCC00"/>
                <w14:checkbox>
                  <w14:checked w14:val="1"/>
                  <w14:checkedState w14:val="2612" w14:font="MS Gothic"/>
                  <w14:uncheckedState w14:val="2610" w14:font="MS Gothic"/>
                </w14:checkbox>
              </w:sdtPr>
              <w:sdtEndPr>
                <w:rPr>
                  <w:rStyle w:val="Style2"/>
                </w:rPr>
              </w:sdtEndPr>
              <w:sdtContent>
                <w:r w:rsidR="004D6144" w:rsidRPr="001477F2">
                  <w:rPr>
                    <w:rStyle w:val="Style2"/>
                    <w:rFonts w:ascii="MS Gothic" w:eastAsia="MS Gothic" w:hAnsi="MS Gothic" w:hint="eastAsia"/>
                    <w:sz w:val="24"/>
                  </w:rPr>
                  <w:t>☒</w:t>
                </w:r>
              </w:sdtContent>
            </w:sdt>
            <w:r w:rsidR="00F70C9E" w:rsidRPr="001477F2">
              <w:t xml:space="preserve"> Taip</w:t>
            </w:r>
          </w:p>
          <w:p w14:paraId="35F17B07" w14:textId="77777777" w:rsidR="00F70C9E" w:rsidRPr="001477F2" w:rsidRDefault="00992883" w:rsidP="00824B92">
            <w:sdt>
              <w:sdtPr>
                <w:rPr>
                  <w:rStyle w:val="Style2"/>
                  <w:sz w:val="24"/>
                </w:rPr>
                <w:id w:val="594442222"/>
                <w15:color w:val="FFCC00"/>
                <w14:checkbox>
                  <w14:checked w14:val="0"/>
                  <w14:checkedState w14:val="2612" w14:font="MS Gothic"/>
                  <w14:uncheckedState w14:val="2610" w14:font="MS Gothic"/>
                </w14:checkbox>
              </w:sdtPr>
              <w:sdtEndPr>
                <w:rPr>
                  <w:rStyle w:val="Style2"/>
                </w:rPr>
              </w:sdtEndPr>
              <w:sdtContent>
                <w:r w:rsidR="00F70C9E" w:rsidRPr="001477F2">
                  <w:rPr>
                    <w:rStyle w:val="Style2"/>
                    <w:rFonts w:ascii="Segoe UI Symbol" w:eastAsia="MS Gothic" w:hAnsi="Segoe UI Symbol" w:cs="Segoe UI Symbol"/>
                    <w:sz w:val="24"/>
                  </w:rPr>
                  <w:t>☐</w:t>
                </w:r>
              </w:sdtContent>
            </w:sdt>
            <w:r w:rsidR="00F70C9E" w:rsidRPr="001477F2">
              <w:t xml:space="preserve"> Ne</w:t>
            </w:r>
          </w:p>
          <w:p w14:paraId="0C0988CC" w14:textId="77777777" w:rsidR="00F70C9E" w:rsidRPr="001477F2" w:rsidRDefault="00992883" w:rsidP="00824B92">
            <w:pPr>
              <w:rPr>
                <w:rFonts w:eastAsia="Arial"/>
              </w:rPr>
            </w:pPr>
            <w:sdt>
              <w:sdtPr>
                <w:alias w:val="Nurodykite konkrečią dieną"/>
                <w:tag w:val="Nurodykite pradžios datą"/>
                <w:id w:val="1072468416"/>
                <w:placeholder>
                  <w:docPart w:val="57B9655BB938420B82BDAD6B82A66F50"/>
                </w:placeholder>
                <w:showingPlcHdr/>
                <w15:color w:val="FFCC99"/>
                <w:date w:fullDate="2022-05-18T00:00:00Z">
                  <w:dateFormat w:val="yyyy 'm.' MMMM d 'd.'"/>
                  <w:lid w:val="lt-LT"/>
                  <w:storeMappedDataAs w:val="dateTime"/>
                  <w:calendar w:val="gregorian"/>
                </w:date>
              </w:sdtPr>
              <w:sdtEndPr/>
              <w:sdtContent>
                <w:r w:rsidR="00F70C9E" w:rsidRPr="001477F2">
                  <w:rPr>
                    <w:rStyle w:val="PlaceholderText"/>
                  </w:rPr>
                  <w:t>Click here to enter a date.</w:t>
                </w:r>
              </w:sdtContent>
            </w:sdt>
          </w:p>
        </w:tc>
        <w:tc>
          <w:tcPr>
            <w:tcW w:w="2244" w:type="dxa"/>
          </w:tcPr>
          <w:p w14:paraId="64D1B800" w14:textId="681BBCEF" w:rsidR="00F70C9E" w:rsidRPr="001477F2" w:rsidRDefault="00D66794" w:rsidP="00824B92">
            <w:pPr>
              <w:rPr>
                <w:rFonts w:eastAsia="Arial"/>
              </w:rPr>
            </w:pPr>
            <w:r w:rsidRPr="001477F2">
              <w:rPr>
                <w:rFonts w:eastAsia="Arial"/>
              </w:rPr>
              <w:t>Sukuriama nauda yra didesnė lyginant su esama klinikine praktika</w:t>
            </w:r>
          </w:p>
        </w:tc>
        <w:tc>
          <w:tcPr>
            <w:tcW w:w="2543" w:type="dxa"/>
          </w:tcPr>
          <w:p w14:paraId="5C8CB330" w14:textId="0359DE4C" w:rsidR="00F70C9E" w:rsidRPr="001477F2" w:rsidRDefault="00D66794" w:rsidP="00824B92">
            <w:pPr>
              <w:rPr>
                <w:rFonts w:eastAsia="Arial"/>
              </w:rPr>
            </w:pPr>
            <w:r w:rsidRPr="001477F2">
              <w:rPr>
                <w:rFonts w:eastAsia="Arial"/>
              </w:rPr>
              <w:t>Siūloma kompensuoti su sąlyga, kad pembrolizumabo kaštų naudingumas bus pagerintas sumažinus kainą</w:t>
            </w:r>
          </w:p>
        </w:tc>
      </w:tr>
      <w:tr w:rsidR="00F70C9E" w:rsidRPr="001477F2" w14:paraId="21C94D47" w14:textId="77777777" w:rsidTr="00BE7489">
        <w:trPr>
          <w:trHeight w:val="2160"/>
        </w:trPr>
        <w:tc>
          <w:tcPr>
            <w:tcW w:w="2855" w:type="dxa"/>
          </w:tcPr>
          <w:p w14:paraId="02F45BB8" w14:textId="77777777" w:rsidR="00F70C9E" w:rsidRPr="001477F2" w:rsidRDefault="00F70C9E" w:rsidP="00824B92">
            <w:pPr>
              <w:rPr>
                <w:rFonts w:eastAsia="Arial"/>
              </w:rPr>
            </w:pPr>
            <w:r w:rsidRPr="001477F2">
              <w:rPr>
                <w:rFonts w:eastAsia="Arial"/>
              </w:rPr>
              <w:t>Nacionalinis farmakoekonomikos centras, Airija</w:t>
            </w:r>
          </w:p>
          <w:p w14:paraId="736F5072" w14:textId="77777777" w:rsidR="00F70C9E" w:rsidRPr="001477F2" w:rsidRDefault="00F70C9E" w:rsidP="00824B92">
            <w:pPr>
              <w:rPr>
                <w:rFonts w:eastAsia="Arial"/>
              </w:rPr>
            </w:pPr>
            <w:r w:rsidRPr="001477F2">
              <w:rPr>
                <w:rFonts w:eastAsia="Arial"/>
              </w:rPr>
              <w:t>(angl.</w:t>
            </w:r>
            <w:r w:rsidRPr="001477F2">
              <w:rPr>
                <w:rFonts w:eastAsia="Arial"/>
                <w:i/>
              </w:rPr>
              <w:t xml:space="preserve"> National Centre for Pharmacoeconomics, NCPE</w:t>
            </w:r>
            <w:r w:rsidRPr="001477F2">
              <w:rPr>
                <w:rFonts w:eastAsia="Arial"/>
              </w:rPr>
              <w:t>)</w:t>
            </w:r>
          </w:p>
        </w:tc>
        <w:tc>
          <w:tcPr>
            <w:tcW w:w="1851" w:type="dxa"/>
          </w:tcPr>
          <w:p w14:paraId="106E24DF" w14:textId="1D369093" w:rsidR="00F70C9E" w:rsidRPr="001477F2" w:rsidRDefault="00992883" w:rsidP="00824B92">
            <w:sdt>
              <w:sdtPr>
                <w:rPr>
                  <w:rStyle w:val="Style2"/>
                  <w:sz w:val="24"/>
                </w:rPr>
                <w:id w:val="-1888403732"/>
                <w15:color w:val="FFCC00"/>
                <w14:checkbox>
                  <w14:checked w14:val="1"/>
                  <w14:checkedState w14:val="2612" w14:font="MS Gothic"/>
                  <w14:uncheckedState w14:val="2610" w14:font="MS Gothic"/>
                </w14:checkbox>
              </w:sdtPr>
              <w:sdtEndPr>
                <w:rPr>
                  <w:rStyle w:val="Style2"/>
                </w:rPr>
              </w:sdtEndPr>
              <w:sdtContent>
                <w:r w:rsidR="00D66794" w:rsidRPr="001477F2">
                  <w:rPr>
                    <w:rStyle w:val="Style2"/>
                    <w:rFonts w:ascii="MS Gothic" w:eastAsia="MS Gothic" w:hAnsi="MS Gothic" w:hint="eastAsia"/>
                    <w:sz w:val="24"/>
                  </w:rPr>
                  <w:t>☒</w:t>
                </w:r>
              </w:sdtContent>
            </w:sdt>
            <w:r w:rsidR="00F70C9E" w:rsidRPr="001477F2">
              <w:t xml:space="preserve"> Taip</w:t>
            </w:r>
          </w:p>
          <w:p w14:paraId="6C89485D" w14:textId="77777777" w:rsidR="00F70C9E" w:rsidRPr="001477F2" w:rsidRDefault="00992883" w:rsidP="00824B92">
            <w:sdt>
              <w:sdtPr>
                <w:rPr>
                  <w:rStyle w:val="Style2"/>
                  <w:sz w:val="24"/>
                </w:rPr>
                <w:id w:val="1092201793"/>
                <w15:color w:val="FFCC00"/>
                <w14:checkbox>
                  <w14:checked w14:val="0"/>
                  <w14:checkedState w14:val="2612" w14:font="MS Gothic"/>
                  <w14:uncheckedState w14:val="2610" w14:font="MS Gothic"/>
                </w14:checkbox>
              </w:sdtPr>
              <w:sdtEndPr>
                <w:rPr>
                  <w:rStyle w:val="Style2"/>
                </w:rPr>
              </w:sdtEndPr>
              <w:sdtContent>
                <w:r w:rsidR="00F70C9E" w:rsidRPr="001477F2">
                  <w:rPr>
                    <w:rStyle w:val="Style2"/>
                    <w:rFonts w:ascii="Segoe UI Symbol" w:eastAsia="MS Gothic" w:hAnsi="Segoe UI Symbol" w:cs="Segoe UI Symbol"/>
                    <w:sz w:val="24"/>
                  </w:rPr>
                  <w:t>☐</w:t>
                </w:r>
              </w:sdtContent>
            </w:sdt>
            <w:r w:rsidR="00F70C9E" w:rsidRPr="001477F2">
              <w:t xml:space="preserve"> Ne</w:t>
            </w:r>
          </w:p>
          <w:p w14:paraId="69AA1151" w14:textId="77777777" w:rsidR="00F70C9E" w:rsidRPr="001477F2" w:rsidRDefault="00992883" w:rsidP="00824B92">
            <w:pPr>
              <w:rPr>
                <w:rFonts w:eastAsia="Arial"/>
              </w:rPr>
            </w:pPr>
            <w:sdt>
              <w:sdtPr>
                <w:alias w:val="Nurodykite konkrečią dieną"/>
                <w:tag w:val="Nurodykite pradžios datą"/>
                <w:id w:val="-198323198"/>
                <w:placeholder>
                  <w:docPart w:val="5830794711CC4E92887B7A7DBFC23A3F"/>
                </w:placeholder>
                <w:showingPlcHdr/>
                <w15:color w:val="FFCC99"/>
                <w:date w:fullDate="2022-05-18T00:00:00Z">
                  <w:dateFormat w:val="yyyy 'm.' MMMM d 'd.'"/>
                  <w:lid w:val="lt-LT"/>
                  <w:storeMappedDataAs w:val="dateTime"/>
                  <w:calendar w:val="gregorian"/>
                </w:date>
              </w:sdtPr>
              <w:sdtEndPr/>
              <w:sdtContent>
                <w:r w:rsidR="00F70C9E" w:rsidRPr="001477F2">
                  <w:rPr>
                    <w:rStyle w:val="PlaceholderText"/>
                  </w:rPr>
                  <w:t>Click here to enter a date.</w:t>
                </w:r>
              </w:sdtContent>
            </w:sdt>
          </w:p>
        </w:tc>
        <w:tc>
          <w:tcPr>
            <w:tcW w:w="2244" w:type="dxa"/>
          </w:tcPr>
          <w:p w14:paraId="3C67423E" w14:textId="735EE0FE" w:rsidR="00F70C9E" w:rsidRPr="001477F2" w:rsidRDefault="00D66794" w:rsidP="00824B92">
            <w:pPr>
              <w:rPr>
                <w:rFonts w:eastAsia="Arial"/>
              </w:rPr>
            </w:pPr>
            <w:r w:rsidRPr="001477F2">
              <w:rPr>
                <w:rFonts w:eastAsia="Arial"/>
              </w:rPr>
              <w:t>Sukuriama nauda yra didesnė lyginant su esama klinikine praktika</w:t>
            </w:r>
          </w:p>
        </w:tc>
        <w:tc>
          <w:tcPr>
            <w:tcW w:w="2543" w:type="dxa"/>
          </w:tcPr>
          <w:p w14:paraId="60651AFD" w14:textId="7EE1DAB8" w:rsidR="00F70C9E" w:rsidRPr="001477F2" w:rsidRDefault="00D66794" w:rsidP="00824B92">
            <w:pPr>
              <w:rPr>
                <w:rFonts w:eastAsia="Arial"/>
              </w:rPr>
            </w:pPr>
            <w:r w:rsidRPr="001477F2">
              <w:rPr>
                <w:rFonts w:eastAsia="Arial"/>
              </w:rPr>
              <w:t>Siūloma kompensuoti su sąlyga, kad pembrolizumabo kaštų naudingumas bus pagerintas sumažinus kainą</w:t>
            </w:r>
          </w:p>
        </w:tc>
      </w:tr>
    </w:tbl>
    <w:p w14:paraId="2EB7FD31" w14:textId="4D2A8479" w:rsidR="007A2B68" w:rsidRPr="001477F2" w:rsidRDefault="007A2B68" w:rsidP="00E03C3F">
      <w:pPr>
        <w:pStyle w:val="ListParagraph"/>
        <w:tabs>
          <w:tab w:val="left" w:pos="426"/>
        </w:tabs>
        <w:ind w:left="0"/>
        <w:rPr>
          <w:b/>
          <w:bCs/>
          <w:caps/>
        </w:rPr>
      </w:pPr>
    </w:p>
    <w:p w14:paraId="73290081" w14:textId="77777777" w:rsidR="007A2B68" w:rsidRPr="001477F2" w:rsidRDefault="007A2B68">
      <w:pPr>
        <w:rPr>
          <w:b/>
          <w:bCs/>
          <w:caps/>
        </w:rPr>
      </w:pPr>
      <w:r w:rsidRPr="001477F2">
        <w:rPr>
          <w:b/>
          <w:bCs/>
          <w:caps/>
        </w:rPr>
        <w:br w:type="page"/>
      </w:r>
    </w:p>
    <w:p w14:paraId="5055E8A8" w14:textId="471A9757" w:rsidR="002E6F80" w:rsidRPr="001477F2" w:rsidRDefault="00CC7832" w:rsidP="00CC09D4">
      <w:pPr>
        <w:pStyle w:val="ListParagraph"/>
        <w:numPr>
          <w:ilvl w:val="0"/>
          <w:numId w:val="12"/>
        </w:numPr>
        <w:tabs>
          <w:tab w:val="left" w:pos="567"/>
        </w:tabs>
        <w:ind w:hanging="720"/>
        <w:rPr>
          <w:b/>
          <w:bCs/>
          <w:caps/>
        </w:rPr>
      </w:pPr>
      <w:r w:rsidRPr="001477F2">
        <w:rPr>
          <w:b/>
          <w:bCs/>
          <w:caps/>
        </w:rPr>
        <w:t>Klinikinio vertinimo a</w:t>
      </w:r>
      <w:r w:rsidR="00D4485B" w:rsidRPr="001477F2">
        <w:rPr>
          <w:b/>
          <w:bCs/>
          <w:caps/>
        </w:rPr>
        <w:t>pibendrinimas</w:t>
      </w:r>
    </w:p>
    <w:p w14:paraId="25F89291" w14:textId="6680D427" w:rsidR="00D4485B" w:rsidRPr="001477F2" w:rsidRDefault="00D4485B" w:rsidP="00A93AA6">
      <w:pPr>
        <w:pStyle w:val="ListParagraph"/>
        <w:tabs>
          <w:tab w:val="left" w:pos="426"/>
        </w:tabs>
        <w:ind w:left="0"/>
        <w:rPr>
          <w:b/>
          <w:bCs/>
          <w:caps/>
        </w:rPr>
      </w:pPr>
    </w:p>
    <w:p w14:paraId="672FF03A" w14:textId="42A0FFB0" w:rsidR="004D6144" w:rsidRPr="001477F2" w:rsidRDefault="004D6144" w:rsidP="004D6144">
      <w:pPr>
        <w:spacing w:line="276" w:lineRule="auto"/>
        <w:ind w:firstLine="720"/>
        <w:jc w:val="both"/>
        <w:rPr>
          <w:rFonts w:eastAsia="Arial"/>
          <w:i/>
          <w:color w:val="00B050"/>
        </w:rPr>
      </w:pPr>
      <w:r w:rsidRPr="001477F2">
        <w:rPr>
          <w:rFonts w:eastAsia="Arial"/>
          <w:color w:val="000000"/>
        </w:rPr>
        <w:t>Trigubai neigiamas krūties vėžys (TNKV) yra imunohistocheminiu būdu patvirtinama diagnozė, k</w:t>
      </w:r>
      <w:r w:rsidR="00621FD5" w:rsidRPr="001477F2">
        <w:rPr>
          <w:rFonts w:eastAsia="Arial"/>
          <w:color w:val="000000"/>
        </w:rPr>
        <w:t>ai</w:t>
      </w:r>
      <w:r w:rsidRPr="001477F2">
        <w:rPr>
          <w:rFonts w:eastAsia="Arial"/>
          <w:color w:val="000000"/>
        </w:rPr>
        <w:t xml:space="preserve"> navikinėse ląstelėse nenustatoma estrogen</w:t>
      </w:r>
      <w:r w:rsidR="00621FD5" w:rsidRPr="001477F2">
        <w:rPr>
          <w:rFonts w:eastAsia="Arial"/>
          <w:color w:val="000000"/>
        </w:rPr>
        <w:t>ų receptorių</w:t>
      </w:r>
      <w:r w:rsidRPr="001477F2">
        <w:rPr>
          <w:rFonts w:eastAsia="Arial"/>
          <w:color w:val="000000"/>
        </w:rPr>
        <w:t xml:space="preserve"> (ER), progesterono</w:t>
      </w:r>
      <w:r w:rsidR="00621FD5" w:rsidRPr="001477F2">
        <w:rPr>
          <w:rFonts w:eastAsia="Arial"/>
          <w:color w:val="000000"/>
        </w:rPr>
        <w:t xml:space="preserve"> receptorių</w:t>
      </w:r>
      <w:r w:rsidRPr="001477F2">
        <w:rPr>
          <w:rFonts w:eastAsia="Arial"/>
          <w:color w:val="000000"/>
        </w:rPr>
        <w:t xml:space="preserve"> (PR) ir žmogaus epidermio augimo faktoriaus (HER2) </w:t>
      </w:r>
      <w:r w:rsidR="00621FD5" w:rsidRPr="001477F2">
        <w:rPr>
          <w:rFonts w:eastAsia="Arial"/>
          <w:color w:val="000000"/>
        </w:rPr>
        <w:t xml:space="preserve">genų </w:t>
      </w:r>
      <w:r w:rsidRPr="001477F2">
        <w:rPr>
          <w:rFonts w:eastAsia="Arial"/>
          <w:color w:val="000000"/>
        </w:rPr>
        <w:t>raišk</w:t>
      </w:r>
      <w:r w:rsidR="00621FD5" w:rsidRPr="001477F2">
        <w:rPr>
          <w:rFonts w:eastAsia="Arial"/>
          <w:color w:val="000000"/>
        </w:rPr>
        <w:t>os</w:t>
      </w:r>
      <w:r w:rsidRPr="001477F2">
        <w:rPr>
          <w:rFonts w:eastAsia="Arial"/>
          <w:color w:val="000000"/>
        </w:rPr>
        <w:t xml:space="preserve">.  Trigubai neigiamas krūties vėžys diagnozuojamas 15-20 proc. visų </w:t>
      </w:r>
      <w:r w:rsidR="009A4BC5" w:rsidRPr="001477F2">
        <w:rPr>
          <w:rFonts w:eastAsia="Arial"/>
          <w:color w:val="000000"/>
        </w:rPr>
        <w:t xml:space="preserve">krūties vėžio  </w:t>
      </w:r>
      <w:r w:rsidRPr="001477F2">
        <w:rPr>
          <w:rFonts w:eastAsia="Arial"/>
          <w:color w:val="000000"/>
        </w:rPr>
        <w:t>atvejų. Remiantis ESMO klinikinės praktikos rekomendacijomis (2021</w:t>
      </w:r>
      <w:r w:rsidR="009A4BC5" w:rsidRPr="001477F2">
        <w:rPr>
          <w:rFonts w:eastAsia="Arial"/>
          <w:color w:val="000000"/>
        </w:rPr>
        <w:t xml:space="preserve"> m.</w:t>
      </w:r>
      <w:r w:rsidRPr="001477F2">
        <w:rPr>
          <w:rFonts w:eastAsia="Arial"/>
          <w:color w:val="000000"/>
        </w:rPr>
        <w:t xml:space="preserve">) metastazavęs TNKV gali būti 3 </w:t>
      </w:r>
      <w:r w:rsidR="009A4BC5" w:rsidRPr="001477F2">
        <w:rPr>
          <w:rFonts w:eastAsia="Arial"/>
          <w:color w:val="000000"/>
        </w:rPr>
        <w:t>rūšių</w:t>
      </w:r>
      <w:r w:rsidRPr="001477F2">
        <w:rPr>
          <w:rFonts w:eastAsia="Arial"/>
          <w:color w:val="000000"/>
        </w:rPr>
        <w:t xml:space="preserve">: PD-L1 teigiamas, gBRCAm ir PD-L1 neigiamas/ gBRCAm-laukinis tipas. </w:t>
      </w:r>
      <w:r w:rsidRPr="001477F2">
        <w:rPr>
          <w:rFonts w:eastAsia="Arial"/>
          <w:i/>
          <w:color w:val="00B050"/>
        </w:rPr>
        <w:t xml:space="preserve"> </w:t>
      </w:r>
    </w:p>
    <w:p w14:paraId="02C9F275" w14:textId="71792C7C" w:rsidR="00B901F5" w:rsidRPr="001477F2" w:rsidRDefault="004D6144" w:rsidP="004D6144">
      <w:pPr>
        <w:spacing w:line="276" w:lineRule="auto"/>
        <w:ind w:firstLine="720"/>
        <w:jc w:val="both"/>
        <w:rPr>
          <w:color w:val="000000"/>
          <w:szCs w:val="20"/>
          <w:lang w:eastAsia="lt-LT"/>
        </w:rPr>
      </w:pPr>
      <w:r w:rsidRPr="001477F2">
        <w:rPr>
          <w:color w:val="000000"/>
          <w:szCs w:val="20"/>
          <w:lang w:eastAsia="lt-LT"/>
        </w:rPr>
        <w:t xml:space="preserve">Lietuvoje </w:t>
      </w:r>
      <w:r w:rsidR="00B901F5" w:rsidRPr="001477F2">
        <w:rPr>
          <w:color w:val="000000"/>
        </w:rPr>
        <w:t>krūties piktybinio naviko, pagal Tarptautinės statistinės ligų ir sveikatos sutrikimų klasifikaciją TLK-10-AM žymimo kodu C50, diagnozavimo, ambulatorinio gydymo kompensuojamaisiais vaistais, gydymo efektyvumo vertinimo ir stebėjimo tvarką nustato</w:t>
      </w:r>
      <w:r w:rsidR="00B901F5" w:rsidRPr="001477F2">
        <w:rPr>
          <w:rFonts w:eastAsia="Arial"/>
          <w:color w:val="000000" w:themeColor="text1"/>
        </w:rPr>
        <w:t xml:space="preserve">  Lietuvos Respublikos sveikatos apsaugos ministro įsakymas dėl „Krūties piktybinio naviko ambulatorinio gydymo kompensuojamaisiais vaistais tvarkos aprašo“ </w:t>
      </w:r>
      <w:r w:rsidR="00B901F5" w:rsidRPr="001477F2">
        <w:rPr>
          <w:color w:val="000000"/>
        </w:rPr>
        <w:t>2011 m. liepos 22 d., Nr. V-713</w:t>
      </w:r>
      <w:r w:rsidR="00B901F5" w:rsidRPr="001477F2">
        <w:rPr>
          <w:rFonts w:eastAsia="Arial"/>
          <w:color w:val="000000" w:themeColor="text1"/>
        </w:rPr>
        <w:t xml:space="preserve"> (toliau – Aprašas). </w:t>
      </w:r>
      <w:r w:rsidR="00B901F5" w:rsidRPr="001477F2">
        <w:rPr>
          <w:color w:val="000000"/>
          <w:szCs w:val="20"/>
          <w:lang w:eastAsia="lt-LT"/>
        </w:rPr>
        <w:t xml:space="preserve">Remiantis Aprašu ir paraiškos įrašyti vaistinį preparatą į kompensavimo sąrašus rengimo taisyklių, patvirtintų Lietuvos Respublikos sveikatos apsaugos ministro  „Dėl vaistinių preparatų ir medicinos pagalbos priemonių įrašymo į kompensavimo sąrašus ir jų keitimo tvarkos aprašo patvirtinimo“ 2002 m. balandžio 5 d. įsakymu Nr. V-159, 116 - 119 punktais, </w:t>
      </w:r>
      <w:r w:rsidR="00B901F5" w:rsidRPr="001477F2">
        <w:rPr>
          <w:i/>
          <w:color w:val="000000"/>
          <w:szCs w:val="20"/>
          <w:lang w:eastAsia="lt-LT"/>
        </w:rPr>
        <w:t>neoadjuvantinis</w:t>
      </w:r>
      <w:r w:rsidR="00B901F5" w:rsidRPr="001477F2">
        <w:rPr>
          <w:color w:val="000000"/>
          <w:szCs w:val="20"/>
          <w:lang w:eastAsia="lt-LT"/>
        </w:rPr>
        <w:t xml:space="preserve"> palyginamasis gydymas karboplatina derinyje su paklitakseliu, o vėliau doksorubicinas ir ciklofosfamidas  yra tinkamas palyginamasis gydymas, nes atitinka įprastinę klinikinę praktiką Lietuvoje. Vadovaujantis </w:t>
      </w:r>
      <w:r w:rsidRPr="001477F2">
        <w:rPr>
          <w:color w:val="000000"/>
          <w:szCs w:val="20"/>
          <w:lang w:eastAsia="lt-LT"/>
        </w:rPr>
        <w:t>Apraš</w:t>
      </w:r>
      <w:r w:rsidR="00B901F5" w:rsidRPr="001477F2">
        <w:rPr>
          <w:color w:val="000000"/>
          <w:szCs w:val="20"/>
          <w:lang w:eastAsia="lt-LT"/>
        </w:rPr>
        <w:t>u</w:t>
      </w:r>
      <w:r w:rsidRPr="001477F2">
        <w:rPr>
          <w:color w:val="000000"/>
          <w:szCs w:val="20"/>
          <w:lang w:eastAsia="lt-LT"/>
        </w:rPr>
        <w:t xml:space="preserve"> </w:t>
      </w:r>
      <w:r w:rsidRPr="001477F2">
        <w:rPr>
          <w:i/>
          <w:color w:val="000000"/>
          <w:szCs w:val="20"/>
          <w:lang w:eastAsia="lt-LT"/>
        </w:rPr>
        <w:t xml:space="preserve">adjuvantiniam </w:t>
      </w:r>
      <w:r w:rsidRPr="001477F2">
        <w:rPr>
          <w:color w:val="000000"/>
          <w:szCs w:val="20"/>
          <w:lang w:eastAsia="lt-LT"/>
        </w:rPr>
        <w:t>gydymui pacientų, kuriems nustatytas trigubai neigiamas krūties piktybinis navikas ir kuriems po taikytos priešoperacinės chemoterapijos taksano, antraciklino ir alkilinančio vaisto deriniu nepasiektas pilnas patologinis atsakas (operacijos metu rasta naviko likučių)</w:t>
      </w:r>
      <w:r w:rsidR="00B901F5" w:rsidRPr="001477F2">
        <w:rPr>
          <w:color w:val="000000"/>
          <w:szCs w:val="20"/>
          <w:lang w:eastAsia="lt-LT"/>
        </w:rPr>
        <w:t xml:space="preserve">  skiriamas gydymas kapecitabinu. </w:t>
      </w:r>
      <w:r w:rsidRPr="001477F2">
        <w:rPr>
          <w:color w:val="000000"/>
          <w:szCs w:val="20"/>
          <w:lang w:eastAsia="lt-LT"/>
        </w:rPr>
        <w:t xml:space="preserve">Kapecitabino </w:t>
      </w:r>
      <w:r w:rsidR="00B901F5" w:rsidRPr="001477F2">
        <w:rPr>
          <w:color w:val="000000"/>
          <w:szCs w:val="20"/>
          <w:lang w:eastAsia="lt-LT"/>
        </w:rPr>
        <w:t xml:space="preserve">veiksmingumas </w:t>
      </w:r>
      <w:r w:rsidRPr="001477F2">
        <w:rPr>
          <w:color w:val="000000"/>
          <w:szCs w:val="20"/>
          <w:lang w:eastAsia="lt-LT"/>
        </w:rPr>
        <w:t>adjuvantinėje fazėje buvo įrodytas CREATE-X tyrime. Detalaus vertini</w:t>
      </w:r>
      <w:r w:rsidR="00B901F5" w:rsidRPr="001477F2">
        <w:rPr>
          <w:color w:val="000000"/>
          <w:szCs w:val="20"/>
          <w:lang w:eastAsia="lt-LT"/>
        </w:rPr>
        <w:t>m</w:t>
      </w:r>
      <w:r w:rsidRPr="001477F2">
        <w:rPr>
          <w:color w:val="000000"/>
          <w:szCs w:val="20"/>
          <w:lang w:eastAsia="lt-LT"/>
        </w:rPr>
        <w:t xml:space="preserve">o metu, </w:t>
      </w:r>
      <w:r w:rsidRPr="001477F2">
        <w:rPr>
          <w:szCs w:val="20"/>
        </w:rPr>
        <w:t xml:space="preserve">išnagrinėjus pareiškėjo atsakymą į klausimą dėl tinkamo palyginamojo gydymo kapecitabinu adjuvantinėje fazėje, Tarnyba sutinka, kad netiesioginis palyginimas su kapecitabinu, remiantis CREATE-X tyrimo duomenimis, būtų netinkamas dėl didelių metodologinių palyginamųjų tyrimų skirtumų bei pacientų populiacijų pradinių charakteristikų heterogeniškumo. </w:t>
      </w:r>
      <w:r w:rsidRPr="001477F2">
        <w:rPr>
          <w:color w:val="000000"/>
          <w:szCs w:val="20"/>
          <w:lang w:eastAsia="lt-LT"/>
        </w:rPr>
        <w:t xml:space="preserve"> Tačiau, įvertinus ligos piktybiškumą, klinikinio tyrimo duomenis, ESMO ir </w:t>
      </w:r>
      <w:r w:rsidR="00A1547B" w:rsidRPr="001477F2">
        <w:rPr>
          <w:color w:val="000000"/>
          <w:szCs w:val="20"/>
          <w:lang w:eastAsia="lt-LT"/>
        </w:rPr>
        <w:t xml:space="preserve">Nacionalinio visuotinio vėžio tinklo </w:t>
      </w:r>
      <w:r w:rsidR="00B901F5" w:rsidRPr="001477F2">
        <w:rPr>
          <w:color w:val="000000"/>
          <w:szCs w:val="20"/>
          <w:lang w:eastAsia="lt-LT"/>
        </w:rPr>
        <w:t>(</w:t>
      </w:r>
      <w:r w:rsidRPr="001477F2">
        <w:rPr>
          <w:color w:val="000000"/>
          <w:szCs w:val="20"/>
          <w:lang w:eastAsia="lt-LT"/>
        </w:rPr>
        <w:t>NCCN</w:t>
      </w:r>
      <w:r w:rsidR="00B901F5" w:rsidRPr="001477F2">
        <w:rPr>
          <w:color w:val="000000"/>
          <w:szCs w:val="20"/>
          <w:lang w:eastAsia="lt-LT"/>
        </w:rPr>
        <w:t>)</w:t>
      </w:r>
      <w:r w:rsidRPr="001477F2">
        <w:rPr>
          <w:color w:val="000000"/>
          <w:szCs w:val="20"/>
          <w:lang w:eastAsia="lt-LT"/>
        </w:rPr>
        <w:t xml:space="preserve"> rekomendacijas, daroma prielaida, kad šioje konkrečioje situacijoje palyginamasis adjuvantinės fazės gydymas placeb</w:t>
      </w:r>
      <w:r w:rsidR="00B901F5" w:rsidRPr="001477F2">
        <w:rPr>
          <w:color w:val="000000"/>
          <w:szCs w:val="20"/>
          <w:lang w:eastAsia="lt-LT"/>
        </w:rPr>
        <w:t>u</w:t>
      </w:r>
      <w:r w:rsidRPr="001477F2">
        <w:rPr>
          <w:color w:val="000000"/>
          <w:szCs w:val="20"/>
          <w:lang w:eastAsia="lt-LT"/>
        </w:rPr>
        <w:t xml:space="preserve">s gali būti laikomas tinkamu, nors tai sukelia </w:t>
      </w:r>
      <w:r w:rsidR="00A1547B" w:rsidRPr="001477F2">
        <w:rPr>
          <w:color w:val="000000"/>
          <w:szCs w:val="20"/>
          <w:lang w:eastAsia="lt-LT"/>
        </w:rPr>
        <w:t xml:space="preserve">vertinimo metu </w:t>
      </w:r>
      <w:r w:rsidRPr="001477F2">
        <w:rPr>
          <w:color w:val="000000"/>
          <w:szCs w:val="20"/>
          <w:lang w:eastAsia="lt-LT"/>
        </w:rPr>
        <w:t>neapibrėžimą dėl pembrolizumabo klinikinio veiksmingumo, lyginant su įprasta klinikine praktika Lietuvoje.</w:t>
      </w:r>
    </w:p>
    <w:p w14:paraId="351FD79C" w14:textId="2B634456" w:rsidR="004D6144" w:rsidRPr="001477F2" w:rsidRDefault="004D6144" w:rsidP="004D6144">
      <w:pPr>
        <w:spacing w:line="276" w:lineRule="auto"/>
        <w:ind w:firstLine="720"/>
        <w:jc w:val="both"/>
        <w:rPr>
          <w:color w:val="000000"/>
          <w:szCs w:val="20"/>
          <w:lang w:eastAsia="lt-LT"/>
        </w:rPr>
      </w:pPr>
      <w:r w:rsidRPr="001477F2">
        <w:rPr>
          <w:color w:val="000000"/>
          <w:szCs w:val="20"/>
          <w:lang w:eastAsia="lt-LT"/>
        </w:rPr>
        <w:tab/>
      </w:r>
    </w:p>
    <w:p w14:paraId="219F53CA" w14:textId="77777777" w:rsidR="004D6144" w:rsidRPr="001477F2" w:rsidRDefault="004D6144" w:rsidP="004D6144">
      <w:pPr>
        <w:spacing w:line="276" w:lineRule="auto"/>
        <w:ind w:firstLine="720"/>
        <w:jc w:val="both"/>
        <w:rPr>
          <w:i/>
          <w:color w:val="000000"/>
          <w:szCs w:val="20"/>
          <w:lang w:eastAsia="lt-LT"/>
        </w:rPr>
      </w:pPr>
      <w:r w:rsidRPr="001477F2">
        <w:rPr>
          <w:i/>
          <w:color w:val="000000"/>
          <w:szCs w:val="20"/>
          <w:lang w:eastAsia="lt-LT"/>
        </w:rPr>
        <w:t>Tiesioginis palyginimas</w:t>
      </w:r>
    </w:p>
    <w:p w14:paraId="785E373C" w14:textId="552E0313" w:rsidR="004D6144" w:rsidRPr="001477F2" w:rsidRDefault="004D6144" w:rsidP="004D6144">
      <w:pPr>
        <w:spacing w:line="276" w:lineRule="auto"/>
        <w:ind w:firstLine="720"/>
        <w:jc w:val="both"/>
        <w:rPr>
          <w:rFonts w:eastAsia="Arial"/>
        </w:rPr>
      </w:pPr>
      <w:r w:rsidRPr="001477F2">
        <w:rPr>
          <w:color w:val="000000"/>
          <w:szCs w:val="20"/>
          <w:lang w:eastAsia="lt-LT"/>
        </w:rPr>
        <w:t>Klinikinis veiksmingumas buvo įvertintas remiantis klinikinio tyrimo KE</w:t>
      </w:r>
      <w:r w:rsidR="006D35A4">
        <w:rPr>
          <w:color w:val="000000"/>
          <w:szCs w:val="20"/>
          <w:lang w:eastAsia="lt-LT"/>
        </w:rPr>
        <w:t>Y</w:t>
      </w:r>
      <w:r w:rsidRPr="001477F2">
        <w:rPr>
          <w:color w:val="000000"/>
          <w:szCs w:val="20"/>
          <w:lang w:eastAsia="lt-LT"/>
        </w:rPr>
        <w:t>NOTE</w:t>
      </w:r>
      <w:r w:rsidR="006D35A4">
        <w:rPr>
          <w:color w:val="000000"/>
          <w:szCs w:val="20"/>
          <w:lang w:eastAsia="lt-LT"/>
        </w:rPr>
        <w:t xml:space="preserve"> </w:t>
      </w:r>
      <w:r w:rsidRPr="001477F2">
        <w:rPr>
          <w:color w:val="000000"/>
          <w:szCs w:val="20"/>
          <w:lang w:eastAsia="lt-LT"/>
        </w:rPr>
        <w:t xml:space="preserve">522 duomenimis. </w:t>
      </w:r>
      <w:r w:rsidRPr="001477F2">
        <w:rPr>
          <w:rFonts w:eastAsia="Arial"/>
        </w:rPr>
        <w:t>Klinikinis tyrimas KEY</w:t>
      </w:r>
      <w:r w:rsidR="006D35A4">
        <w:rPr>
          <w:rFonts w:eastAsia="Arial"/>
        </w:rPr>
        <w:t>NOT</w:t>
      </w:r>
      <w:r w:rsidRPr="001477F2">
        <w:rPr>
          <w:rFonts w:eastAsia="Arial"/>
        </w:rPr>
        <w:t>E 522 buvo dvejų dalių tyrimas, kuriame pacientės buvo paskirstytos atsitiktinių imčių būdu į dvi grupes santykiu 2:1 (784 : 380). Pirmoje dalyje buvo taikomas neoadjuvantinis gydymas pembrolizumabu kartu su chemoterapija (karboplatina ir paklitakselis) arba tik chemoterapija (karboplatina ir paklitakselis). Po 4 gydymo kursų ab</w:t>
      </w:r>
      <w:r w:rsidR="00FF2486" w:rsidRPr="001477F2">
        <w:rPr>
          <w:rFonts w:eastAsia="Arial"/>
        </w:rPr>
        <w:t>i</w:t>
      </w:r>
      <w:r w:rsidRPr="001477F2">
        <w:rPr>
          <w:rFonts w:eastAsia="Arial"/>
        </w:rPr>
        <w:t xml:space="preserve">ejose grupėse chemoterapija buvo tęsiama jau gydant doksorubicinu (arba epirubicinu) ir ciklofosfamidu. Pasibaigus neoadjuvantiniam gydymui, pacientėms buvo atlikta naviko šalinimo operacija ir toms pacientėms, kurioms nepavyko pasiekti </w:t>
      </w:r>
      <w:r w:rsidR="00E81B34" w:rsidRPr="001477F2">
        <w:rPr>
          <w:rFonts w:eastAsia="Arial"/>
        </w:rPr>
        <w:t>pilno</w:t>
      </w:r>
      <w:r w:rsidRPr="001477F2">
        <w:rPr>
          <w:rFonts w:eastAsia="Arial"/>
        </w:rPr>
        <w:t xml:space="preserve"> atsako į neoadjuvantinį gydymą, buvo taikyta adjuvantinė terapija arba pembrolizumabu, arba placebu (stebėjim</w:t>
      </w:r>
      <w:r w:rsidR="00FF2486" w:rsidRPr="001477F2">
        <w:rPr>
          <w:rFonts w:eastAsia="Arial"/>
        </w:rPr>
        <w:t>as ir laukim</w:t>
      </w:r>
      <w:r w:rsidRPr="001477F2">
        <w:rPr>
          <w:rFonts w:eastAsia="Arial"/>
        </w:rPr>
        <w:t>as).</w:t>
      </w:r>
    </w:p>
    <w:p w14:paraId="366D5517" w14:textId="77777777" w:rsidR="00606DB1" w:rsidRPr="001477F2" w:rsidRDefault="00606DB1" w:rsidP="004D6144">
      <w:pPr>
        <w:spacing w:line="276" w:lineRule="auto"/>
        <w:ind w:firstLine="720"/>
        <w:jc w:val="both"/>
        <w:rPr>
          <w:rFonts w:eastAsia="Arial"/>
        </w:rPr>
      </w:pPr>
    </w:p>
    <w:p w14:paraId="67EC91F9" w14:textId="77777777" w:rsidR="00FF2486" w:rsidRPr="001477F2" w:rsidRDefault="004D6144" w:rsidP="004D6144">
      <w:pPr>
        <w:tabs>
          <w:tab w:val="left" w:pos="426"/>
        </w:tabs>
        <w:spacing w:line="276" w:lineRule="auto"/>
        <w:jc w:val="both"/>
        <w:rPr>
          <w:rFonts w:eastAsia="Arial"/>
          <w:i/>
        </w:rPr>
      </w:pPr>
      <w:r w:rsidRPr="001477F2">
        <w:rPr>
          <w:rFonts w:eastAsia="Arial"/>
        </w:rPr>
        <w:tab/>
      </w:r>
      <w:r w:rsidRPr="001477F2">
        <w:rPr>
          <w:rFonts w:eastAsia="Arial"/>
          <w:i/>
        </w:rPr>
        <w:t>Pirminės pagrindinės baigtys</w:t>
      </w:r>
    </w:p>
    <w:p w14:paraId="5E9FA132" w14:textId="7B8E570A" w:rsidR="00C01A3E" w:rsidRPr="001477F2" w:rsidRDefault="00FF2486" w:rsidP="004D6144">
      <w:pPr>
        <w:tabs>
          <w:tab w:val="left" w:pos="426"/>
        </w:tabs>
        <w:spacing w:line="276" w:lineRule="auto"/>
        <w:jc w:val="both"/>
        <w:rPr>
          <w:szCs w:val="20"/>
        </w:rPr>
      </w:pPr>
      <w:r w:rsidRPr="001477F2">
        <w:rPr>
          <w:rFonts w:eastAsia="Arial"/>
          <w:u w:val="single"/>
        </w:rPr>
        <w:t>P</w:t>
      </w:r>
      <w:r w:rsidR="004D6144" w:rsidRPr="001477F2">
        <w:rPr>
          <w:szCs w:val="20"/>
          <w:u w:val="single"/>
        </w:rPr>
        <w:t xml:space="preserve">atologijos </w:t>
      </w:r>
      <w:r w:rsidR="001B42A0" w:rsidRPr="001477F2">
        <w:rPr>
          <w:szCs w:val="20"/>
          <w:u w:val="single"/>
        </w:rPr>
        <w:t>pilno</w:t>
      </w:r>
      <w:r w:rsidR="004D6144" w:rsidRPr="001477F2">
        <w:rPr>
          <w:szCs w:val="20"/>
          <w:u w:val="single"/>
        </w:rPr>
        <w:t xml:space="preserve"> atsako (p</w:t>
      </w:r>
      <w:r w:rsidR="001B42A0" w:rsidRPr="001477F2">
        <w:rPr>
          <w:szCs w:val="20"/>
          <w:u w:val="single"/>
        </w:rPr>
        <w:t>P</w:t>
      </w:r>
      <w:r w:rsidR="004D6144" w:rsidRPr="001477F2">
        <w:rPr>
          <w:szCs w:val="20"/>
          <w:u w:val="single"/>
        </w:rPr>
        <w:t>A) dažnis</w:t>
      </w:r>
      <w:r w:rsidR="004D6144" w:rsidRPr="001477F2">
        <w:rPr>
          <w:szCs w:val="20"/>
        </w:rPr>
        <w:t>. Ji</w:t>
      </w:r>
      <w:r w:rsidR="006D35A4">
        <w:rPr>
          <w:szCs w:val="20"/>
        </w:rPr>
        <w:t>s</w:t>
      </w:r>
      <w:r w:rsidR="004D6144" w:rsidRPr="001477F2">
        <w:rPr>
          <w:szCs w:val="20"/>
        </w:rPr>
        <w:t xml:space="preserve"> buvo apibrėžiamas kaip invazinio vėžio krūtyje ir limfmazgiuose nebuvimas (ypT0/Tis ypN0 nurodo, kad liga neišplitusi), o šį rodmenį įvertino koduotas tyrimo centro gydytojas patologas po radikalios chirurginės operacijos. </w:t>
      </w:r>
      <w:r w:rsidR="004D6144" w:rsidRPr="001477F2">
        <w:rPr>
          <w:rFonts w:eastAsia="Arial"/>
          <w:szCs w:val="20"/>
        </w:rPr>
        <w:t xml:space="preserve">Patologijos </w:t>
      </w:r>
      <w:r w:rsidR="001B42A0" w:rsidRPr="001477F2">
        <w:rPr>
          <w:rFonts w:eastAsia="Arial"/>
          <w:szCs w:val="20"/>
        </w:rPr>
        <w:t>pilnas</w:t>
      </w:r>
      <w:r w:rsidR="004D6144" w:rsidRPr="001477F2">
        <w:rPr>
          <w:rFonts w:eastAsia="Arial"/>
          <w:szCs w:val="20"/>
        </w:rPr>
        <w:t xml:space="preserve"> atsakas buvo vertinimas pasibaigus neoadjuvantiam gydymui. </w:t>
      </w:r>
      <w:r w:rsidR="004D6144" w:rsidRPr="001477F2">
        <w:rPr>
          <w:rFonts w:eastAsia="Arial"/>
          <w:b/>
        </w:rPr>
        <w:t>p</w:t>
      </w:r>
      <w:r w:rsidR="001B42A0" w:rsidRPr="001477F2">
        <w:rPr>
          <w:rFonts w:eastAsia="Arial"/>
          <w:b/>
        </w:rPr>
        <w:t>P</w:t>
      </w:r>
      <w:r w:rsidR="004D6144" w:rsidRPr="001477F2">
        <w:rPr>
          <w:rFonts w:eastAsia="Arial"/>
          <w:b/>
        </w:rPr>
        <w:t>A</w:t>
      </w:r>
      <w:r w:rsidR="004D6144" w:rsidRPr="001477F2">
        <w:rPr>
          <w:rFonts w:eastAsia="Arial"/>
        </w:rPr>
        <w:t xml:space="preserve"> (bendrai ypT0/Tis ypN0) buvo vertin</w:t>
      </w:r>
      <w:r w:rsidR="00C01A3E" w:rsidRPr="001477F2">
        <w:rPr>
          <w:rFonts w:eastAsia="Arial"/>
        </w:rPr>
        <w:t>t</w:t>
      </w:r>
      <w:r w:rsidR="004D6144" w:rsidRPr="001477F2">
        <w:rPr>
          <w:rFonts w:eastAsia="Arial"/>
        </w:rPr>
        <w:t>as pirminės tarpinės analizės metu, kai pembrolizumabo grupėje 401 pacientas baigė neoadjuvantin</w:t>
      </w:r>
      <w:r w:rsidR="00C01A3E" w:rsidRPr="001477F2">
        <w:rPr>
          <w:rFonts w:eastAsia="Arial"/>
        </w:rPr>
        <w:t>į</w:t>
      </w:r>
      <w:r w:rsidR="004D6144" w:rsidRPr="001477F2">
        <w:rPr>
          <w:rFonts w:eastAsia="Arial"/>
        </w:rPr>
        <w:t xml:space="preserve"> gydymą ir 201 pacientas - placebo grupėje (ITT populiacija). Remiantis </w:t>
      </w:r>
      <w:r w:rsidR="00C01A3E" w:rsidRPr="001477F2">
        <w:rPr>
          <w:rFonts w:eastAsia="Arial"/>
        </w:rPr>
        <w:t xml:space="preserve">klinikinio tyrimo </w:t>
      </w:r>
      <w:r w:rsidR="004D6144" w:rsidRPr="001477F2">
        <w:rPr>
          <w:rFonts w:eastAsia="Arial"/>
        </w:rPr>
        <w:t xml:space="preserve">duomenimis,  </w:t>
      </w:r>
      <w:r w:rsidR="00C01A3E" w:rsidRPr="001477F2">
        <w:rPr>
          <w:rFonts w:eastAsia="Arial"/>
        </w:rPr>
        <w:t xml:space="preserve">patologijos atsakas į gydymą buvo nustatytas </w:t>
      </w:r>
      <w:r w:rsidR="004D6144" w:rsidRPr="001477F2">
        <w:rPr>
          <w:rFonts w:eastAsia="Arial"/>
        </w:rPr>
        <w:t>64,8 proc.</w:t>
      </w:r>
      <w:r w:rsidR="00C01A3E" w:rsidRPr="001477F2">
        <w:rPr>
          <w:rFonts w:eastAsia="Arial"/>
        </w:rPr>
        <w:t xml:space="preserve"> pacientų</w:t>
      </w:r>
      <w:r w:rsidR="004D6144" w:rsidRPr="001477F2">
        <w:rPr>
          <w:rFonts w:eastAsia="Arial"/>
        </w:rPr>
        <w:t xml:space="preserve"> (PI: 59,9 proc.-69,5proc.) pembrolizumabo grupėje ir 51,2 proc. (PI: 44,1 proc. – 58,3 proc.) placebo grupėje. Reikšmingas skirtumas</w:t>
      </w:r>
      <w:r w:rsidR="00C01A3E" w:rsidRPr="001477F2">
        <w:rPr>
          <w:rFonts w:eastAsia="Arial"/>
        </w:rPr>
        <w:t>,</w:t>
      </w:r>
      <w:r w:rsidR="004D6144" w:rsidRPr="001477F2">
        <w:rPr>
          <w:rFonts w:eastAsia="Arial"/>
        </w:rPr>
        <w:t xml:space="preserve"> 13,6 proc. pembroizumabo naudai</w:t>
      </w:r>
      <w:r w:rsidR="00C01A3E" w:rsidRPr="001477F2">
        <w:rPr>
          <w:rFonts w:eastAsia="Arial"/>
        </w:rPr>
        <w:t>,</w:t>
      </w:r>
      <w:r w:rsidR="004D6144" w:rsidRPr="001477F2">
        <w:rPr>
          <w:rFonts w:eastAsia="Arial"/>
        </w:rPr>
        <w:t xml:space="preserve"> buvo nustatytas pirminės tarpinės analizės metu (p&lt;0,001). </w:t>
      </w:r>
      <w:r w:rsidR="004D6144" w:rsidRPr="001477F2">
        <w:rPr>
          <w:rFonts w:eastAsia="Arial"/>
          <w:color w:val="000000"/>
        </w:rPr>
        <w:t>Sekančios tarpinės analizės metu buvo vertinama kita pirminė vertinamoji baigtis - i</w:t>
      </w:r>
      <w:r w:rsidR="004D6144" w:rsidRPr="001477F2">
        <w:rPr>
          <w:szCs w:val="20"/>
          <w:u w:val="single"/>
        </w:rPr>
        <w:t xml:space="preserve">šgyvenamumas be įvykių (IBĮ). </w:t>
      </w:r>
      <w:r w:rsidR="004D6144" w:rsidRPr="006D35A4">
        <w:rPr>
          <w:szCs w:val="20"/>
        </w:rPr>
        <w:t>IBĮ -</w:t>
      </w:r>
      <w:r w:rsidR="004D6144" w:rsidRPr="001477F2">
        <w:rPr>
          <w:szCs w:val="20"/>
        </w:rPr>
        <w:t xml:space="preserve"> laikas nuo atsitiktinės atrankos iki pirmojo bet kurio iš toliau nurodytų reiškinių pasireiškimo (t.y. įvykio):</w:t>
      </w:r>
    </w:p>
    <w:p w14:paraId="5888353C" w14:textId="348E3262" w:rsidR="00C01A3E" w:rsidRPr="001477F2" w:rsidRDefault="004D6144" w:rsidP="00A1547B">
      <w:pPr>
        <w:pStyle w:val="ListParagraph"/>
        <w:numPr>
          <w:ilvl w:val="0"/>
          <w:numId w:val="14"/>
        </w:numPr>
        <w:tabs>
          <w:tab w:val="left" w:pos="426"/>
        </w:tabs>
        <w:spacing w:line="276" w:lineRule="auto"/>
        <w:jc w:val="both"/>
        <w:rPr>
          <w:szCs w:val="20"/>
        </w:rPr>
      </w:pPr>
      <w:r w:rsidRPr="001477F2">
        <w:rPr>
          <w:szCs w:val="20"/>
        </w:rPr>
        <w:t>ligos progresavimo, dėl kurio nebuvo galima atlikti radikalios chirurginės operacijos</w:t>
      </w:r>
      <w:r w:rsidR="00C01A3E" w:rsidRPr="001477F2">
        <w:rPr>
          <w:szCs w:val="20"/>
        </w:rPr>
        <w:t>;</w:t>
      </w:r>
    </w:p>
    <w:p w14:paraId="36FA70FB" w14:textId="4E2FA19B" w:rsidR="00C01A3E" w:rsidRPr="001477F2" w:rsidRDefault="004D6144" w:rsidP="00A1547B">
      <w:pPr>
        <w:pStyle w:val="ListParagraph"/>
        <w:numPr>
          <w:ilvl w:val="0"/>
          <w:numId w:val="14"/>
        </w:numPr>
        <w:tabs>
          <w:tab w:val="left" w:pos="426"/>
        </w:tabs>
        <w:spacing w:line="276" w:lineRule="auto"/>
        <w:jc w:val="both"/>
        <w:rPr>
          <w:rFonts w:eastAsia="Arial"/>
          <w:color w:val="000000"/>
        </w:rPr>
      </w:pPr>
      <w:r w:rsidRPr="001477F2">
        <w:rPr>
          <w:szCs w:val="20"/>
        </w:rPr>
        <w:t>vietinio ar atokaus ligos recidyvo, antrojo pirminio piktybinio naviko atsiradimo</w:t>
      </w:r>
    </w:p>
    <w:p w14:paraId="60983D9B" w14:textId="1457A681" w:rsidR="00C01A3E" w:rsidRPr="001477F2" w:rsidRDefault="004D6144" w:rsidP="00A1547B">
      <w:pPr>
        <w:pStyle w:val="ListParagraph"/>
        <w:numPr>
          <w:ilvl w:val="0"/>
          <w:numId w:val="14"/>
        </w:numPr>
        <w:tabs>
          <w:tab w:val="left" w:pos="426"/>
        </w:tabs>
        <w:spacing w:line="276" w:lineRule="auto"/>
        <w:jc w:val="both"/>
        <w:rPr>
          <w:rFonts w:eastAsia="Arial"/>
          <w:color w:val="000000"/>
        </w:rPr>
      </w:pPr>
      <w:r w:rsidRPr="001477F2">
        <w:rPr>
          <w:szCs w:val="20"/>
        </w:rPr>
        <w:t xml:space="preserve"> mirties dėl bet kokios priežasties. </w:t>
      </w:r>
    </w:p>
    <w:p w14:paraId="5179E43E" w14:textId="6D3C4A3F" w:rsidR="004D6144" w:rsidRPr="001477F2" w:rsidRDefault="00C01A3E" w:rsidP="00A1547B">
      <w:pPr>
        <w:tabs>
          <w:tab w:val="left" w:pos="480"/>
        </w:tabs>
        <w:spacing w:line="276" w:lineRule="auto"/>
        <w:ind w:left="120"/>
        <w:jc w:val="both"/>
        <w:rPr>
          <w:rFonts w:eastAsia="Arial"/>
          <w:color w:val="000000"/>
        </w:rPr>
      </w:pPr>
      <w:r w:rsidRPr="001477F2">
        <w:rPr>
          <w:rFonts w:eastAsia="Arial"/>
          <w:color w:val="000000"/>
        </w:rPr>
        <w:tab/>
        <w:t>Tyrimo duomenų a</w:t>
      </w:r>
      <w:r w:rsidR="004D6144" w:rsidRPr="001477F2">
        <w:rPr>
          <w:rFonts w:eastAsia="Arial"/>
          <w:color w:val="000000"/>
        </w:rPr>
        <w:t>nalizė parodė, kad iš viso 123 pacienta</w:t>
      </w:r>
      <w:r w:rsidRPr="001477F2">
        <w:rPr>
          <w:rFonts w:eastAsia="Arial"/>
          <w:color w:val="000000"/>
        </w:rPr>
        <w:t>ms</w:t>
      </w:r>
      <w:r w:rsidR="004D6144" w:rsidRPr="001477F2">
        <w:rPr>
          <w:rFonts w:eastAsia="Arial"/>
          <w:color w:val="000000"/>
        </w:rPr>
        <w:t xml:space="preserve"> (15,7 proc.) iš pembrolizumabo+chemotarpijos grupės ir 93 pacienta</w:t>
      </w:r>
      <w:r w:rsidRPr="001477F2">
        <w:rPr>
          <w:rFonts w:eastAsia="Arial"/>
          <w:color w:val="000000"/>
        </w:rPr>
        <w:t>ms</w:t>
      </w:r>
      <w:r w:rsidR="004D6144" w:rsidRPr="001477F2">
        <w:rPr>
          <w:rFonts w:eastAsia="Arial"/>
          <w:color w:val="000000"/>
        </w:rPr>
        <w:t xml:space="preserve"> (23,8 proc.) iš placebo+chemoteroijos grupės lig</w:t>
      </w:r>
      <w:r w:rsidRPr="001477F2">
        <w:rPr>
          <w:rFonts w:eastAsia="Arial"/>
          <w:color w:val="000000"/>
        </w:rPr>
        <w:t>a</w:t>
      </w:r>
      <w:r w:rsidR="004D6144" w:rsidRPr="001477F2">
        <w:rPr>
          <w:rFonts w:eastAsia="Arial"/>
          <w:color w:val="000000"/>
        </w:rPr>
        <w:t xml:space="preserve"> progresav</w:t>
      </w:r>
      <w:r w:rsidRPr="001477F2">
        <w:rPr>
          <w:rFonts w:eastAsia="Arial"/>
          <w:color w:val="000000"/>
        </w:rPr>
        <w:t>o</w:t>
      </w:r>
      <w:r w:rsidR="004D6144" w:rsidRPr="001477F2">
        <w:rPr>
          <w:rFonts w:eastAsia="Arial"/>
          <w:color w:val="000000"/>
        </w:rPr>
        <w:t>arba</w:t>
      </w:r>
      <w:r w:rsidRPr="001477F2">
        <w:rPr>
          <w:rFonts w:eastAsia="Arial"/>
          <w:color w:val="000000"/>
        </w:rPr>
        <w:t xml:space="preserve"> pacientai</w:t>
      </w:r>
      <w:r w:rsidR="004D6144" w:rsidRPr="001477F2">
        <w:rPr>
          <w:rFonts w:eastAsia="Arial"/>
          <w:color w:val="000000"/>
        </w:rPr>
        <w:t xml:space="preserve"> mirė. Rizikos santykis buvo 0,63 (95 proc. PI: 0,48-0,82; p&lt;0,001). Praėjus 36 mėnesiams nuo atsitiktinių imčių atrankos pembrolizuabo+chemoterapijos grupėje 84,5 proc. pacientų vis dar nebuvo išgyvenę be įvykio, lyginant su 76,8 proc. pacientų placebo-chemoterapijos grupėje. Tačiau pažymėtina, kad ne vienoje grupėje IBĮ mediana nebuvo pasiekta.</w:t>
      </w:r>
    </w:p>
    <w:p w14:paraId="4C360AA5" w14:textId="62038ED5" w:rsidR="004D6144" w:rsidRPr="001477F2" w:rsidRDefault="004D6144" w:rsidP="004D6144">
      <w:pPr>
        <w:tabs>
          <w:tab w:val="left" w:pos="426"/>
        </w:tabs>
        <w:spacing w:line="276" w:lineRule="auto"/>
        <w:jc w:val="both"/>
        <w:rPr>
          <w:rFonts w:eastAsia="Arial"/>
          <w:color w:val="000000"/>
        </w:rPr>
      </w:pPr>
      <w:r w:rsidRPr="001477F2">
        <w:rPr>
          <w:szCs w:val="20"/>
        </w:rPr>
        <w:tab/>
        <w:t xml:space="preserve">Antrinės baigtys. </w:t>
      </w:r>
      <w:r w:rsidRPr="001477F2">
        <w:rPr>
          <w:rFonts w:eastAsia="Arial"/>
          <w:color w:val="000000"/>
        </w:rPr>
        <w:t xml:space="preserve">Atskirai analizuojant </w:t>
      </w:r>
      <w:r w:rsidR="00C01A3E" w:rsidRPr="001477F2">
        <w:rPr>
          <w:rFonts w:eastAsia="Arial"/>
          <w:color w:val="000000"/>
          <w:u w:val="single"/>
        </w:rPr>
        <w:t>išgyvenamum</w:t>
      </w:r>
      <w:r w:rsidR="00C01A3E" w:rsidRPr="001477F2">
        <w:rPr>
          <w:rFonts w:eastAsia="Arial"/>
          <w:color w:val="000000"/>
        </w:rPr>
        <w:t xml:space="preserve">ą </w:t>
      </w:r>
      <w:r w:rsidRPr="001477F2">
        <w:rPr>
          <w:rFonts w:eastAsia="Arial"/>
          <w:color w:val="000000"/>
          <w:u w:val="single"/>
        </w:rPr>
        <w:t>be tolimų</w:t>
      </w:r>
      <w:r w:rsidR="00C01A3E" w:rsidRPr="001477F2">
        <w:rPr>
          <w:rFonts w:eastAsia="Arial"/>
          <w:color w:val="000000"/>
          <w:u w:val="single"/>
        </w:rPr>
        <w:t>jų</w:t>
      </w:r>
      <w:r w:rsidRPr="001477F2">
        <w:rPr>
          <w:rFonts w:eastAsia="Arial"/>
          <w:color w:val="000000"/>
          <w:u w:val="single"/>
        </w:rPr>
        <w:t xml:space="preserve"> metastazių </w:t>
      </w:r>
      <w:r w:rsidRPr="001477F2">
        <w:rPr>
          <w:rFonts w:eastAsia="Arial"/>
          <w:color w:val="000000"/>
        </w:rPr>
        <w:t>ITT populiacijoje, įskaitant be atsinaujintos ligos  ir mirties atvejų išgyvenamum</w:t>
      </w:r>
      <w:r w:rsidR="00C01A3E" w:rsidRPr="001477F2">
        <w:rPr>
          <w:rFonts w:eastAsia="Arial"/>
          <w:color w:val="000000"/>
        </w:rPr>
        <w:t>o</w:t>
      </w:r>
      <w:r w:rsidRPr="001477F2">
        <w:rPr>
          <w:rFonts w:eastAsia="Arial"/>
          <w:color w:val="000000"/>
        </w:rPr>
        <w:t>, nustatyta, kad rizikos santykis buvo 0,61 (95 proc. PI: 0,46 – 0,82) pembrulizumabo+chemoterapijos naudai. Pembrolizumabo+chemoterapijos grupėje 87 proc. pacientų išgyveno be tolimų</w:t>
      </w:r>
      <w:r w:rsidR="00C01A3E" w:rsidRPr="001477F2">
        <w:rPr>
          <w:rFonts w:eastAsia="Arial"/>
          <w:color w:val="000000"/>
        </w:rPr>
        <w:t>jų</w:t>
      </w:r>
      <w:r w:rsidRPr="001477F2">
        <w:rPr>
          <w:rFonts w:eastAsia="Arial"/>
          <w:color w:val="000000"/>
        </w:rPr>
        <w:t xml:space="preserve"> metastazių 36 mėnesius nuo atsitiktinių imčių atrankos, palyginus su 80,7 proc. placebo+chemoterapijos grupe. Pažymėtina, kad BI vertinimas buvo atliktas santykinai anksti (užregistruotų mirties atvejų buvo 135, kas sudarė tik apytiksliai 45 proc. nuo numatytų BI atvejų (n</w:t>
      </w:r>
      <w:r w:rsidRPr="001477F2">
        <w:rPr>
          <w:rFonts w:eastAsia="Arial"/>
          <w:color w:val="000000"/>
          <w:lang w:val="en-GB"/>
        </w:rPr>
        <w:t>=</w:t>
      </w:r>
      <w:r w:rsidRPr="001477F2">
        <w:rPr>
          <w:rFonts w:eastAsia="Arial"/>
          <w:color w:val="000000"/>
        </w:rPr>
        <w:t xml:space="preserve">297). </w:t>
      </w:r>
      <w:r w:rsidR="00C01A3E" w:rsidRPr="001477F2">
        <w:rPr>
          <w:rFonts w:eastAsia="Arial"/>
          <w:color w:val="000000"/>
        </w:rPr>
        <w:t>Todėl</w:t>
      </w:r>
      <w:r w:rsidRPr="001477F2">
        <w:rPr>
          <w:rFonts w:eastAsia="Arial"/>
          <w:color w:val="000000"/>
        </w:rPr>
        <w:t xml:space="preserve"> pacientų stebėjimas tęsia</w:t>
      </w:r>
      <w:r w:rsidR="00C01A3E" w:rsidRPr="001477F2">
        <w:rPr>
          <w:rFonts w:eastAsia="Arial"/>
          <w:color w:val="000000"/>
        </w:rPr>
        <w:t>mas</w:t>
      </w:r>
      <w:r w:rsidRPr="001477F2">
        <w:rPr>
          <w:rFonts w:eastAsia="Arial"/>
          <w:color w:val="000000"/>
        </w:rPr>
        <w:t xml:space="preserve">. Detalaus vertino metu pareiškėjas pateikė paskutiniausios tarpinės analizės rezultatais, kurie nuosekliai rodo pembrolizumabo privalumą palyginus su placebu. </w:t>
      </w:r>
    </w:p>
    <w:p w14:paraId="504339E7" w14:textId="77777777" w:rsidR="004D6144" w:rsidRPr="001477F2" w:rsidRDefault="004D6144" w:rsidP="004D6144">
      <w:pPr>
        <w:tabs>
          <w:tab w:val="left" w:pos="426"/>
        </w:tabs>
        <w:spacing w:line="276" w:lineRule="auto"/>
        <w:jc w:val="both"/>
        <w:rPr>
          <w:rFonts w:eastAsia="Arial"/>
        </w:rPr>
      </w:pPr>
      <w:r w:rsidRPr="001477F2">
        <w:rPr>
          <w:rFonts w:eastAsia="Arial"/>
          <w:color w:val="000000"/>
        </w:rPr>
        <w:tab/>
        <w:t xml:space="preserve">Pacientų praneštų baigčių analizė parodė, kad </w:t>
      </w:r>
      <w:r w:rsidRPr="001477F2">
        <w:rPr>
          <w:rFonts w:eastAsia="Arial"/>
        </w:rPr>
        <w:t>statistiškai ir kliniškai reikšmingų pokyčių taikant naują  neodjuvantinį gydymą nebuvo nustatyta. Pridėjus pembrolizumabą prie chemoterapijos pacientai nepajuto geresnės savijautos pagal pacientų vertinimus (balais) atsakant į standartizuotus klausimus.</w:t>
      </w:r>
    </w:p>
    <w:p w14:paraId="3E112437" w14:textId="6AC8550D" w:rsidR="004D6144" w:rsidRPr="001477F2" w:rsidRDefault="004D6144" w:rsidP="004D6144">
      <w:pPr>
        <w:tabs>
          <w:tab w:val="left" w:pos="426"/>
        </w:tabs>
        <w:spacing w:line="276" w:lineRule="auto"/>
        <w:jc w:val="both"/>
        <w:rPr>
          <w:bCs/>
          <w:color w:val="000000"/>
          <w:lang w:eastAsia="lt-LT"/>
        </w:rPr>
      </w:pPr>
      <w:r w:rsidRPr="001477F2">
        <w:rPr>
          <w:bCs/>
          <w:color w:val="000000"/>
          <w:lang w:eastAsia="lt-LT"/>
        </w:rPr>
        <w:tab/>
        <w:t xml:space="preserve">Pembrolizumabo saugumas, skiriant derinyje su chemoterapija, buvo įvertintas neoadjuvantinės ir adjuvantinės fazių metu. Tyrimo gydymas buvo nutrauktas dėl </w:t>
      </w:r>
      <w:r w:rsidR="00A86DDD" w:rsidRPr="001477F2">
        <w:rPr>
          <w:bCs/>
          <w:color w:val="000000"/>
          <w:lang w:eastAsia="lt-LT"/>
        </w:rPr>
        <w:t>nepageidaujamų reakcijų (</w:t>
      </w:r>
      <w:r w:rsidRPr="001477F2">
        <w:rPr>
          <w:bCs/>
          <w:color w:val="000000"/>
          <w:lang w:eastAsia="lt-LT"/>
        </w:rPr>
        <w:t>NR</w:t>
      </w:r>
      <w:r w:rsidR="00A86DDD" w:rsidRPr="001477F2">
        <w:rPr>
          <w:bCs/>
          <w:color w:val="000000"/>
          <w:lang w:eastAsia="lt-LT"/>
        </w:rPr>
        <w:t>)</w:t>
      </w:r>
      <w:r w:rsidRPr="001477F2">
        <w:rPr>
          <w:bCs/>
          <w:color w:val="000000"/>
          <w:lang w:eastAsia="lt-LT"/>
        </w:rPr>
        <w:t xml:space="preserve"> susijusių su vaistinių preparatų vartojim</w:t>
      </w:r>
      <w:r w:rsidR="00C01A3E" w:rsidRPr="001477F2">
        <w:rPr>
          <w:bCs/>
          <w:color w:val="000000"/>
          <w:lang w:eastAsia="lt-LT"/>
        </w:rPr>
        <w:t>u</w:t>
      </w:r>
      <w:r w:rsidRPr="001477F2">
        <w:rPr>
          <w:bCs/>
          <w:color w:val="000000"/>
          <w:lang w:eastAsia="lt-LT"/>
        </w:rPr>
        <w:t>. Dažniausiai pacientai nutraukdavo gydymą dėl pembrolizumabo, paklitakselio  ir karbolpatinos vartojimo. Nežinomų NR susijusių su pembrolizumabu ir/arba taikoma chemoterapija  KEY</w:t>
      </w:r>
      <w:r w:rsidR="006D35A4">
        <w:rPr>
          <w:bCs/>
          <w:color w:val="000000"/>
          <w:lang w:eastAsia="lt-LT"/>
        </w:rPr>
        <w:t>NOT</w:t>
      </w:r>
      <w:r w:rsidRPr="001477F2">
        <w:rPr>
          <w:bCs/>
          <w:color w:val="000000"/>
          <w:lang w:eastAsia="lt-LT"/>
        </w:rPr>
        <w:t xml:space="preserve">E 522 tyrime užregistruota nebuvo. </w:t>
      </w:r>
    </w:p>
    <w:p w14:paraId="427AFA4E" w14:textId="42BD13D9" w:rsidR="009B3B3E" w:rsidRPr="001477F2" w:rsidRDefault="004D6144" w:rsidP="004D6144">
      <w:pPr>
        <w:autoSpaceDE w:val="0"/>
        <w:autoSpaceDN w:val="0"/>
        <w:adjustRightInd w:val="0"/>
        <w:spacing w:line="276" w:lineRule="auto"/>
        <w:ind w:firstLine="720"/>
        <w:jc w:val="both"/>
        <w:rPr>
          <w:szCs w:val="20"/>
        </w:rPr>
      </w:pPr>
      <w:r w:rsidRPr="001477F2">
        <w:rPr>
          <w:rFonts w:eastAsia="Arial"/>
          <w:color w:val="000000"/>
        </w:rPr>
        <w:t>Remiantis klinikinio tyrimo KEYNOTE</w:t>
      </w:r>
      <w:r w:rsidR="006D35A4">
        <w:rPr>
          <w:rFonts w:eastAsia="Arial"/>
          <w:color w:val="000000"/>
        </w:rPr>
        <w:t xml:space="preserve"> </w:t>
      </w:r>
      <w:r w:rsidRPr="001477F2">
        <w:rPr>
          <w:rFonts w:eastAsia="Arial"/>
          <w:color w:val="000000"/>
        </w:rPr>
        <w:t>522 rezultatais, pacientams su vietiškai išplitusiu arba ankstyvos stadijos trigubai neigiam</w:t>
      </w:r>
      <w:r w:rsidR="00A86DDD" w:rsidRPr="001477F2">
        <w:rPr>
          <w:rFonts w:eastAsia="Arial"/>
          <w:color w:val="000000"/>
        </w:rPr>
        <w:t>u</w:t>
      </w:r>
      <w:r w:rsidRPr="001477F2">
        <w:rPr>
          <w:rFonts w:eastAsia="Arial"/>
          <w:color w:val="000000"/>
        </w:rPr>
        <w:t xml:space="preserve"> krūties vėžiu ir  kuriems yra padidėjusi ligos recidyvo rizika, gydymas pembrolizumabu derinyje su chemoterapija neoadjuvatinėje gydymo fazėje ir monoterapija pembrolizumabu adjuvantinėje gydymo fazėje tikėtina kliniškai reikšmingai prailgina išgyvenamumą be įvykių. Tačiau, ar toks gydymas prailgina bendrą išgyvenamumą iki šiol lieka neaišku. Reikalingi ilgesnio šios tyrimo populiacijos stebėjimo duomenys BI rezultatams įvertinti. Nors pembrolizumabo klinikinis veiksmingumas nėra aiškiai nustatytas adjuvantinėje gydymo fazėje, palyginus su įprasta klinikine praktika, remiantis taikytu klinikiniame tyrime KEYNOTE</w:t>
      </w:r>
      <w:r w:rsidR="006D35A4">
        <w:rPr>
          <w:rFonts w:eastAsia="Arial"/>
          <w:color w:val="000000"/>
        </w:rPr>
        <w:t xml:space="preserve"> </w:t>
      </w:r>
      <w:r w:rsidRPr="001477F2">
        <w:rPr>
          <w:rFonts w:eastAsia="Arial"/>
          <w:color w:val="000000"/>
        </w:rPr>
        <w:t xml:space="preserve">522 neodjuvantiniu gydymu bei pateiktais šio tyrimo rezultatais, Tarnyba daro išvada, kad gydymas pembrolizumabu derinyje su chemoterapija </w:t>
      </w:r>
      <w:r w:rsidRPr="001477F2">
        <w:t>neoadjuvantiniam gydymui, o vėliau tęsiant j</w:t>
      </w:r>
      <w:r w:rsidR="008F03D1" w:rsidRPr="001477F2">
        <w:t>o</w:t>
      </w:r>
      <w:r w:rsidRPr="001477F2">
        <w:t xml:space="preserve"> monoterapiją adjuvantiniam gydymui po chirurginės operacijos sukuria </w:t>
      </w:r>
      <w:r w:rsidR="00A86DDD" w:rsidRPr="001477F2">
        <w:t xml:space="preserve">papildomą naudą </w:t>
      </w:r>
      <w:r w:rsidRPr="001477F2">
        <w:t>pacient</w:t>
      </w:r>
      <w:r w:rsidR="00A86DDD" w:rsidRPr="001477F2">
        <w:t>ams sergantiems</w:t>
      </w:r>
      <w:r w:rsidRPr="001477F2">
        <w:t xml:space="preserve"> vietiškai išplit</w:t>
      </w:r>
      <w:r w:rsidR="00A86DDD" w:rsidRPr="001477F2">
        <w:t>usiu</w:t>
      </w:r>
      <w:r w:rsidRPr="001477F2">
        <w:t xml:space="preserve"> arba ankstyvos stadijos trigubai neigiam</w:t>
      </w:r>
      <w:r w:rsidR="00A86DDD" w:rsidRPr="001477F2">
        <w:t>u</w:t>
      </w:r>
      <w:r w:rsidRPr="001477F2">
        <w:t xml:space="preserve"> krūties vėž</w:t>
      </w:r>
      <w:r w:rsidR="00A86DDD" w:rsidRPr="001477F2">
        <w:t>iu</w:t>
      </w:r>
      <w:r w:rsidRPr="001477F2">
        <w:t xml:space="preserve"> ir yra padidėjusi ligos recidyvo rizika</w:t>
      </w:r>
      <w:r w:rsidR="00A86DDD" w:rsidRPr="001477F2">
        <w:t>.</w:t>
      </w:r>
    </w:p>
    <w:p w14:paraId="7994573B" w14:textId="77777777" w:rsidR="004D6144" w:rsidRPr="001477F2" w:rsidRDefault="004D6144" w:rsidP="00A93AA6">
      <w:pPr>
        <w:pStyle w:val="ListParagraph"/>
        <w:tabs>
          <w:tab w:val="left" w:pos="426"/>
        </w:tabs>
        <w:ind w:left="0"/>
        <w:rPr>
          <w:b/>
          <w:bCs/>
          <w:caps/>
        </w:rPr>
      </w:pPr>
    </w:p>
    <w:p w14:paraId="7DE09EB5" w14:textId="69E9DD74" w:rsidR="00E03C3F" w:rsidRPr="001477F2" w:rsidRDefault="00CC7832" w:rsidP="00CC09D4">
      <w:pPr>
        <w:pStyle w:val="ListParagraph"/>
        <w:numPr>
          <w:ilvl w:val="0"/>
          <w:numId w:val="12"/>
        </w:numPr>
        <w:tabs>
          <w:tab w:val="left" w:pos="567"/>
        </w:tabs>
        <w:ind w:hanging="720"/>
        <w:rPr>
          <w:b/>
          <w:bCs/>
          <w:caps/>
        </w:rPr>
      </w:pPr>
      <w:r w:rsidRPr="001477F2">
        <w:rPr>
          <w:b/>
          <w:bCs/>
          <w:caps/>
        </w:rPr>
        <w:t xml:space="preserve">ekonominio vertinimo </w:t>
      </w:r>
      <w:r w:rsidR="002F0E4F" w:rsidRPr="001477F2">
        <w:rPr>
          <w:b/>
          <w:bCs/>
          <w:caps/>
        </w:rPr>
        <w:t>apibendrinimas</w:t>
      </w:r>
    </w:p>
    <w:p w14:paraId="1A900598" w14:textId="4826E5DF" w:rsidR="00C62B36" w:rsidRPr="001477F2" w:rsidRDefault="00C62B36" w:rsidP="00A93AA6">
      <w:pPr>
        <w:tabs>
          <w:tab w:val="left" w:pos="426"/>
        </w:tabs>
        <w:rPr>
          <w:b/>
          <w:bCs/>
          <w:caps/>
        </w:rPr>
      </w:pPr>
    </w:p>
    <w:p w14:paraId="180A9982" w14:textId="4AE4B996" w:rsidR="009B3B3E" w:rsidRPr="001477F2" w:rsidRDefault="009B3B3E" w:rsidP="00A1547B">
      <w:pPr>
        <w:tabs>
          <w:tab w:val="left" w:pos="426"/>
        </w:tabs>
        <w:spacing w:line="276" w:lineRule="auto"/>
        <w:jc w:val="both"/>
        <w:rPr>
          <w:iCs/>
        </w:rPr>
      </w:pPr>
      <w:r w:rsidRPr="001477F2">
        <w:rPr>
          <w:iCs/>
        </w:rPr>
        <w:tab/>
      </w:r>
      <w:bookmarkStart w:id="0" w:name="_Hlk162052169"/>
      <w:r w:rsidRPr="001477F2">
        <w:rPr>
          <w:iCs/>
        </w:rPr>
        <w:t>Pareiškėjas vertinimui pateikė kaštų naudingumo analizę, kurioje pembrolizumabo derinio su chemoterapija skiriant neoadjuvantiniam gydymui ir vėliau tęsiant monoterapiją kaip adjuvantinį gydymą po chirurginės operacijos kaštų naudingumas yra palyginamas su standartinio Lietuvoje prieinamo gydymo kaštų naudingumu gydant suaugusius pacientus, sergančius vietiškai išplitusiu arba ankstyvos stadijos trigubai neigiamu krūties vėžiu, kuriems yra padidėjusi ligos recidyvo rizika. Į ekonominę analizę įtraukti pacientai atitinka kompensacijai teikiamas terapines indikacijas, taip pat klinikinio tyrimo KEYNOTE</w:t>
      </w:r>
      <w:r w:rsidR="006D35A4">
        <w:rPr>
          <w:iCs/>
        </w:rPr>
        <w:t xml:space="preserve"> </w:t>
      </w:r>
      <w:r w:rsidRPr="001477F2">
        <w:rPr>
          <w:iCs/>
        </w:rPr>
        <w:t>522 tiriamųjų populiaciją.</w:t>
      </w:r>
    </w:p>
    <w:p w14:paraId="786AE461" w14:textId="104EEF6F" w:rsidR="009B3B3E" w:rsidRPr="001477F2" w:rsidRDefault="009B3B3E" w:rsidP="00A1547B">
      <w:pPr>
        <w:tabs>
          <w:tab w:val="left" w:pos="426"/>
        </w:tabs>
        <w:spacing w:line="276" w:lineRule="auto"/>
        <w:jc w:val="both"/>
        <w:rPr>
          <w:iCs/>
        </w:rPr>
      </w:pPr>
      <w:r w:rsidRPr="001477F2">
        <w:rPr>
          <w:iCs/>
        </w:rPr>
        <w:tab/>
        <w:t>Ekonominėje analizėje pateiktas palyginamasis gydymas nepilnai atitinka įprastą Lietuvos Respublikos klinikinę praktiką:</w:t>
      </w:r>
    </w:p>
    <w:p w14:paraId="37C84B62" w14:textId="3F4424E7" w:rsidR="009B3B3E" w:rsidRPr="001477F2" w:rsidRDefault="009B3B3E" w:rsidP="00A1547B">
      <w:pPr>
        <w:tabs>
          <w:tab w:val="left" w:pos="426"/>
        </w:tabs>
        <w:spacing w:line="276" w:lineRule="auto"/>
        <w:jc w:val="both"/>
        <w:rPr>
          <w:iCs/>
        </w:rPr>
      </w:pPr>
      <w:r w:rsidRPr="001477F2">
        <w:rPr>
          <w:iCs/>
        </w:rPr>
        <w:tab/>
        <w:t>-</w:t>
      </w:r>
      <w:r w:rsidRPr="001477F2">
        <w:rPr>
          <w:iCs/>
        </w:rPr>
        <w:tab/>
        <w:t>neoadjuvantiniam gydymui Lietuvoje dažniausiai skiriama chemoterapija karboplatina derinyje su paklitakseliu, vėliau skiriant doksorubicino ir ciklofosfamido derinį;</w:t>
      </w:r>
    </w:p>
    <w:p w14:paraId="09948537" w14:textId="344898DF" w:rsidR="009B3B3E" w:rsidRPr="001477F2" w:rsidRDefault="009B3B3E" w:rsidP="00A1547B">
      <w:pPr>
        <w:tabs>
          <w:tab w:val="left" w:pos="426"/>
        </w:tabs>
        <w:spacing w:line="276" w:lineRule="auto"/>
        <w:jc w:val="both"/>
        <w:rPr>
          <w:iCs/>
        </w:rPr>
      </w:pPr>
      <w:r w:rsidRPr="001477F2">
        <w:rPr>
          <w:iCs/>
        </w:rPr>
        <w:tab/>
        <w:t>-</w:t>
      </w:r>
      <w:r w:rsidRPr="001477F2">
        <w:rPr>
          <w:iCs/>
        </w:rPr>
        <w:tab/>
        <w:t>adjuvantiniam gydymui Lietuvoje, kai nepasiekiamas pilnas atsakas gali būti skiriamas kapecitabinas. Jei klinikinis atsakas pasiekiamas, po chirurginio gydymo gali būti taikoma stebėjimo taktika.</w:t>
      </w:r>
    </w:p>
    <w:p w14:paraId="63D8E50F" w14:textId="7E964F7E" w:rsidR="009B3B3E" w:rsidRPr="001477F2" w:rsidRDefault="009B3B3E" w:rsidP="00A1547B">
      <w:pPr>
        <w:tabs>
          <w:tab w:val="left" w:pos="426"/>
        </w:tabs>
        <w:spacing w:line="276" w:lineRule="auto"/>
        <w:jc w:val="both"/>
        <w:rPr>
          <w:rFonts w:eastAsia="Arial"/>
        </w:rPr>
      </w:pPr>
      <w:r w:rsidRPr="001477F2">
        <w:rPr>
          <w:rFonts w:eastAsia="Arial"/>
        </w:rPr>
        <w:tab/>
        <w:t xml:space="preserve">Dėl klinikinių įrodymų trūkumo ekonominėje analizėje palyginamasis gydymas adjuvantinio gydymo stadijoje yra tik placebas. Todėl Tarnyba kreipėsi į pareiškėją su prašymu pateikti papildomus duomenis ir atnaujinti ekonominę analizę numatant, kad adjuvantiniam gydymui palyginamojo gydymo grupėje gali būti skiriamas kapecitabinas. Pareiškėjas prašomus duomenis pateikė. </w:t>
      </w:r>
    </w:p>
    <w:p w14:paraId="59920079" w14:textId="55F979DB" w:rsidR="009B3B3E" w:rsidRPr="001477F2" w:rsidRDefault="009B3B3E" w:rsidP="00A1547B">
      <w:pPr>
        <w:tabs>
          <w:tab w:val="left" w:pos="426"/>
        </w:tabs>
        <w:spacing w:line="276" w:lineRule="auto"/>
        <w:jc w:val="both"/>
        <w:rPr>
          <w:rFonts w:eastAsia="Arial"/>
        </w:rPr>
      </w:pPr>
      <w:r w:rsidRPr="001477F2">
        <w:rPr>
          <w:rFonts w:eastAsia="Arial"/>
        </w:rPr>
        <w:tab/>
        <w:t>Analizės struktūra ir pasirinktas modeliavimo tipas yra tinkami pembrolizumabo kaštų naudingumui palyginti.</w:t>
      </w:r>
      <w:r w:rsidR="00287C92" w:rsidRPr="001477F2">
        <w:rPr>
          <w:rFonts w:eastAsia="Arial"/>
        </w:rPr>
        <w:t xml:space="preserve"> Pateiktas Markovo ekonominis modelis, kuriame modeliuojamos 4 sveikatos būklės: būklė be įvykių (angl. </w:t>
      </w:r>
      <w:r w:rsidR="00287C92" w:rsidRPr="001477F2">
        <w:rPr>
          <w:rFonts w:eastAsia="Arial"/>
          <w:i/>
          <w:iCs/>
        </w:rPr>
        <w:t>event-free, (EF)),</w:t>
      </w:r>
      <w:r w:rsidR="00287C92" w:rsidRPr="001477F2">
        <w:rPr>
          <w:rFonts w:eastAsia="Arial"/>
        </w:rPr>
        <w:t xml:space="preserve"> vietinis (lokoregioninis) ligos atsinaujinimas (angl. </w:t>
      </w:r>
      <w:r w:rsidR="00287C92" w:rsidRPr="001477F2">
        <w:rPr>
          <w:rFonts w:eastAsia="Arial"/>
          <w:i/>
          <w:iCs/>
        </w:rPr>
        <w:t>locoregional recurrence (LR)),</w:t>
      </w:r>
      <w:r w:rsidR="00287C92" w:rsidRPr="001477F2">
        <w:rPr>
          <w:rFonts w:eastAsia="Arial"/>
        </w:rPr>
        <w:t xml:space="preserve"> Ligos atsinaujinimas su tolimosiomis metastazėmis (angl. </w:t>
      </w:r>
      <w:r w:rsidR="00287C92" w:rsidRPr="001477F2">
        <w:rPr>
          <w:rFonts w:eastAsia="Arial"/>
          <w:i/>
          <w:iCs/>
        </w:rPr>
        <w:t>distant metastasis (DM)),</w:t>
      </w:r>
      <w:r w:rsidR="00287C92" w:rsidRPr="001477F2">
        <w:rPr>
          <w:rFonts w:eastAsia="Arial"/>
        </w:rPr>
        <w:t xml:space="preserve"> mirtis.</w:t>
      </w:r>
    </w:p>
    <w:p w14:paraId="5A6FFDD6" w14:textId="38CE472C" w:rsidR="00287C92" w:rsidRPr="001477F2" w:rsidRDefault="00287C92" w:rsidP="00A1547B">
      <w:pPr>
        <w:tabs>
          <w:tab w:val="left" w:pos="426"/>
        </w:tabs>
        <w:spacing w:line="276" w:lineRule="auto"/>
        <w:jc w:val="both"/>
        <w:rPr>
          <w:rFonts w:eastAsia="Arial"/>
        </w:rPr>
      </w:pPr>
      <w:r w:rsidRPr="001477F2">
        <w:rPr>
          <w:rFonts w:eastAsia="Arial"/>
        </w:rPr>
        <w:tab/>
        <w:t>Analizė atlikta iš PSDF biudžeto perspektyvos, įtraukti tiesiogiai su sveikatos sistema susiję kaštai. Tai atitinka teisės aktuose nustatytus paraiškos rengimo taisyklių reikalavimus. Analizėje taikoma 51 metų (viso gyvenimo) laiko perspektyva. Pasirinkta laiko perspektyva yra tinkama.</w:t>
      </w:r>
    </w:p>
    <w:p w14:paraId="497BAC7B" w14:textId="44D7C388" w:rsidR="00287C92" w:rsidRPr="001477F2" w:rsidRDefault="001854F3" w:rsidP="00A1547B">
      <w:pPr>
        <w:tabs>
          <w:tab w:val="left" w:pos="426"/>
        </w:tabs>
        <w:spacing w:line="276" w:lineRule="auto"/>
        <w:jc w:val="both"/>
        <w:rPr>
          <w:rFonts w:eastAsia="Arial"/>
        </w:rPr>
      </w:pPr>
      <w:r w:rsidRPr="001477F2">
        <w:rPr>
          <w:rFonts w:eastAsia="Arial"/>
        </w:rPr>
        <w:tab/>
        <w:t>Į ekonominę analizę įtraukiami šie kaštai: vaistinių preparatų įsigijimo, nepageidaujamų reiškinių valdymo, vaistinių preparatų administravimo (suleidimo), sveikatos priežiūros paslaugų kaštai.</w:t>
      </w:r>
    </w:p>
    <w:p w14:paraId="652A98E3" w14:textId="787EFDDB" w:rsidR="00287C92" w:rsidRPr="001477F2" w:rsidRDefault="00287C92" w:rsidP="00A1547B">
      <w:pPr>
        <w:tabs>
          <w:tab w:val="left" w:pos="426"/>
        </w:tabs>
        <w:spacing w:line="276" w:lineRule="auto"/>
        <w:jc w:val="both"/>
      </w:pPr>
      <w:r w:rsidRPr="001477F2">
        <w:tab/>
        <w:t>Ekonominė analizė remiasi KEYNOTE</w:t>
      </w:r>
      <w:r w:rsidR="006D35A4">
        <w:t xml:space="preserve"> </w:t>
      </w:r>
      <w:r w:rsidRPr="001477F2">
        <w:t>522 klinikinio tyrimo rezultatais ir vertinamųjų baigčių rezultatų ekstrapoliacija į ilgesnę laiką perspektyvą. Pareiškėjo taikomos prielaidos, vertinant efektyvumo skirtumus tarp siūlomo ir palyginamojo gydymo ilgajame laikotarpyje yra nepakankamai pagrįstos. Tarnyba kreipėsi į pareiškėją nurodydama esminius ekonominės analizės prieštaravimus ir pateikdama siūlymus pakeisti ekonominės analizės parametrus siekiant sumažinti ekonominės analizės neapibrėžtumą</w:t>
      </w:r>
      <w:r w:rsidR="001854F3" w:rsidRPr="001477F2">
        <w:t xml:space="preserve"> ir galimybę, kad pembrolizumabo kaštų naudingumas gali būti pervertinamas</w:t>
      </w:r>
      <w:r w:rsidRPr="001477F2">
        <w:t>. Tarnyba įvertino pateiktus atsakymus ir perskaičiuodama pagrindinio atvejo ekonominės analizės rezultatus atliko šiuos parametrų pakeitimus</w:t>
      </w:r>
      <w:r w:rsidR="001854F3" w:rsidRPr="001477F2">
        <w:t>, lėmusius konservatyvesnį ekonominės analizės rezultatą</w:t>
      </w:r>
      <w:r w:rsidRPr="001477F2">
        <w:t xml:space="preserve">: </w:t>
      </w:r>
    </w:p>
    <w:p w14:paraId="7AB64D71" w14:textId="465AAA8F" w:rsidR="001854F3" w:rsidRPr="001477F2" w:rsidRDefault="001854F3" w:rsidP="00A1547B">
      <w:pPr>
        <w:tabs>
          <w:tab w:val="left" w:pos="426"/>
        </w:tabs>
        <w:spacing w:line="276" w:lineRule="auto"/>
        <w:jc w:val="both"/>
      </w:pPr>
      <w:r w:rsidRPr="001477F2">
        <w:tab/>
        <w:t>-</w:t>
      </w:r>
      <w:r w:rsidRPr="001477F2">
        <w:tab/>
        <w:t>Ekstrapoliuojant IBR klinikinę baigtį, tiek pembrolizumabo, tiek palyginamojo gydymo grupėms taikomi log-normal parametriniai skirstiniai, kurie yra antri pagal AIC ir BIC kriterijų atitikties vertinimo rezultatus ir kurie lemia konservatyvesnes ilgalaikio veiksmingumo prielaidas. Tarnybos nuomone, tai leidžia sumažinti ilgalaikių efektyvumo prielaidų neapibrėžtumą, kuris kyla dėl turimų duomenų nebrandumo, ir galimybę, kad pembrolizumabo nauda gali būti pervertinama;</w:t>
      </w:r>
    </w:p>
    <w:p w14:paraId="3EC5D7EB" w14:textId="2C31B6AD" w:rsidR="001854F3" w:rsidRPr="001477F2" w:rsidRDefault="001854F3" w:rsidP="00A1547B">
      <w:pPr>
        <w:tabs>
          <w:tab w:val="left" w:pos="426"/>
        </w:tabs>
        <w:spacing w:line="276" w:lineRule="auto"/>
        <w:jc w:val="both"/>
      </w:pPr>
      <w:r w:rsidRPr="001477F2">
        <w:tab/>
        <w:t>-</w:t>
      </w:r>
      <w:r w:rsidRPr="001477F2">
        <w:tab/>
        <w:t>Taikoma konservatyvesnė prielaida dėl kapecitabino skyrimo adjuvantiniam gydymui – laikoma, kad kapecitabinas palyginamo gydymo grupėje skiriamas 44,5 proc. atvejų (pagal KEYNOTE</w:t>
      </w:r>
      <w:r w:rsidR="006D35A4">
        <w:t xml:space="preserve"> </w:t>
      </w:r>
      <w:bookmarkStart w:id="1" w:name="_GoBack"/>
      <w:bookmarkEnd w:id="1"/>
      <w:r w:rsidRPr="001477F2">
        <w:t xml:space="preserve">522 rezultatus, kai buvo nepasiektas </w:t>
      </w:r>
      <w:r w:rsidR="00F035AA" w:rsidRPr="001477F2">
        <w:t>pilnas</w:t>
      </w:r>
      <w:r w:rsidRPr="001477F2">
        <w:t xml:space="preserve"> patologinis atsakas). Šiuo atveju nei Tarnyba, nei pareiškėjas neturi duomenų, kuriai pacientų daliai šiuo metu klinikinėje praktikoje yra skiriamas kapecitabinas adjuvantiniam gydymui. Tai lemia reikšmingą palyginamojo gydymo sukuriamos klinikinės naudos apskaičiavimo neapibrėžtumą, todėl pagrindinio atvejo analizei pasirenkamas konservatyvesnis scenarijus analizės rezultato atžvilgiu;</w:t>
      </w:r>
    </w:p>
    <w:p w14:paraId="46F9338E" w14:textId="0DDD92F3" w:rsidR="001854F3" w:rsidRPr="001477F2" w:rsidRDefault="001854F3" w:rsidP="00A1547B">
      <w:pPr>
        <w:tabs>
          <w:tab w:val="left" w:pos="426"/>
        </w:tabs>
        <w:spacing w:line="276" w:lineRule="auto"/>
        <w:jc w:val="both"/>
      </w:pPr>
      <w:r w:rsidRPr="001477F2">
        <w:tab/>
        <w:t>-</w:t>
      </w:r>
      <w:r w:rsidRPr="001477F2">
        <w:tab/>
        <w:t>Netaikoma dozės intensyvumo prielaida. Tikrasis dozės intensyvumas Lietuvos klinikinėje praktikoje yra nežinomas, todėl Tarnyba taiko konservatyvią prielaidą, kad vaistiniai preparatai yra vartojami taip, kaip numatyta;</w:t>
      </w:r>
    </w:p>
    <w:p w14:paraId="41A5010F" w14:textId="085B27D5" w:rsidR="001854F3" w:rsidRPr="001477F2" w:rsidRDefault="001854F3" w:rsidP="00A1547B">
      <w:pPr>
        <w:tabs>
          <w:tab w:val="left" w:pos="426"/>
        </w:tabs>
        <w:spacing w:line="276" w:lineRule="auto"/>
        <w:jc w:val="both"/>
      </w:pPr>
      <w:r w:rsidRPr="001477F2">
        <w:tab/>
        <w:t>-</w:t>
      </w:r>
      <w:r w:rsidRPr="001477F2">
        <w:tab/>
        <w:t>Atnaujinta dalis analizėje taikomų įkainių (nepageidaujamų įvykių valdymo kaštai, vaistinių preparatų įsigijimo ir kt.).</w:t>
      </w:r>
    </w:p>
    <w:p w14:paraId="2CC4089E" w14:textId="2072A044" w:rsidR="001854F3" w:rsidRPr="001477F2" w:rsidRDefault="001854F3" w:rsidP="00A1547B">
      <w:pPr>
        <w:tabs>
          <w:tab w:val="left" w:pos="426"/>
        </w:tabs>
        <w:spacing w:line="276" w:lineRule="auto"/>
        <w:jc w:val="both"/>
      </w:pPr>
      <w:r w:rsidRPr="001477F2">
        <w:tab/>
        <w:t>Referentinės kaštų naudingumo vertės dydžiui nustatyti apskaičiuojamas ligos naštos dydžio koeficientas – 0,35. Liga pagal jos esamą gydymą patenka į lengvos ligos naštos grupę, referentinė kaštų naudingumo vertė 1 BVP vienam gyventojui.</w:t>
      </w:r>
    </w:p>
    <w:p w14:paraId="579D6DDB" w14:textId="245C68CC" w:rsidR="001854F3" w:rsidRPr="001477F2" w:rsidRDefault="001854F3" w:rsidP="00A1547B">
      <w:pPr>
        <w:tabs>
          <w:tab w:val="left" w:pos="426"/>
        </w:tabs>
        <w:spacing w:line="276" w:lineRule="auto"/>
        <w:jc w:val="both"/>
      </w:pPr>
      <w:r w:rsidRPr="001477F2">
        <w:tab/>
        <w:t xml:space="preserve">Ekonominės analizės rezultatai rodo, kad pembrolizumabo kaštų naudingumas (inkrementinė kaštų naudingumo vertė) neatitinka referencinės kaštų naudingumo vertės (slenksčio), todėl nerekomenduoja kompensuoti pembrolizumabo nagrinėjamai pacientų populiacijai gydyti. </w:t>
      </w:r>
    </w:p>
    <w:p w14:paraId="2C12AD4F" w14:textId="3CBCE8A2" w:rsidR="001854F3" w:rsidRPr="001477F2" w:rsidRDefault="001854F3" w:rsidP="00A1547B">
      <w:pPr>
        <w:tabs>
          <w:tab w:val="left" w:pos="426"/>
        </w:tabs>
        <w:spacing w:line="276" w:lineRule="auto"/>
        <w:jc w:val="both"/>
      </w:pPr>
      <w:r w:rsidRPr="001477F2">
        <w:tab/>
        <w:t>Tarnyba, įvertinusi tai, kad pembrolizumabas sukuria papildomą naudą pacientų sveikatai atitolindamas ligos atsinaujinimą ir taip, tikėtina, prailginantis pacientų išgyvenamumą, siūlo kompensuoti vaistinį preparatą pembrolizumabą, jei bus sumažinama jo bazinė kaina, o tuo pačiu PSDF biudžeto išlaidos šiam vaistui įsigyti.</w:t>
      </w:r>
    </w:p>
    <w:bookmarkEnd w:id="0"/>
    <w:p w14:paraId="0E62C325" w14:textId="77777777" w:rsidR="009B3B3E" w:rsidRPr="001477F2" w:rsidRDefault="009B3B3E" w:rsidP="00A1547B">
      <w:pPr>
        <w:tabs>
          <w:tab w:val="left" w:pos="426"/>
        </w:tabs>
        <w:jc w:val="both"/>
        <w:rPr>
          <w:b/>
          <w:bCs/>
          <w:caps/>
        </w:rPr>
      </w:pPr>
    </w:p>
    <w:p w14:paraId="174D84D7" w14:textId="2A98EE7C" w:rsidR="0035172D" w:rsidRPr="001477F2" w:rsidRDefault="0035172D" w:rsidP="00A1547B">
      <w:pPr>
        <w:tabs>
          <w:tab w:val="left" w:pos="426"/>
        </w:tabs>
        <w:jc w:val="both"/>
        <w:rPr>
          <w:b/>
          <w:lang w:eastAsia="lt-LT"/>
        </w:rPr>
      </w:pPr>
      <w:r w:rsidRPr="001477F2">
        <w:rPr>
          <w:b/>
          <w:lang w:eastAsia="lt-LT"/>
        </w:rPr>
        <w:t>Ekonominės analizės rezultatas</w:t>
      </w:r>
    </w:p>
    <w:p w14:paraId="4801D227" w14:textId="77777777" w:rsidR="009E44AE" w:rsidRPr="001477F2" w:rsidRDefault="009E44AE" w:rsidP="00A93AA6">
      <w:pPr>
        <w:tabs>
          <w:tab w:val="left" w:pos="426"/>
        </w:tabs>
        <w:rPr>
          <w:b/>
          <w:lang w:eastAsia="lt-LT"/>
        </w:rPr>
      </w:pPr>
    </w:p>
    <w:tbl>
      <w:tblPr>
        <w:tblStyle w:val="Lentelstinklelis1"/>
        <w:tblW w:w="9439"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200"/>
        <w:gridCol w:w="3239"/>
      </w:tblGrid>
      <w:tr w:rsidR="009E44AE" w:rsidRPr="001477F2" w14:paraId="42D6C843" w14:textId="77777777" w:rsidTr="00BE7489">
        <w:trPr>
          <w:trHeight w:val="344"/>
          <w:jc w:val="center"/>
        </w:trPr>
        <w:tc>
          <w:tcPr>
            <w:tcW w:w="9439" w:type="dxa"/>
            <w:gridSpan w:val="2"/>
            <w:tcBorders>
              <w:top w:val="single" w:sz="12" w:space="0" w:color="auto"/>
              <w:left w:val="single" w:sz="4" w:space="0" w:color="auto"/>
              <w:right w:val="single" w:sz="4" w:space="0" w:color="auto"/>
            </w:tcBorders>
            <w:vAlign w:val="center"/>
          </w:tcPr>
          <w:p w14:paraId="39FD3B40" w14:textId="77777777" w:rsidR="009E44AE" w:rsidRPr="001477F2" w:rsidRDefault="009E44AE" w:rsidP="009E44AE">
            <w:pPr>
              <w:tabs>
                <w:tab w:val="left" w:pos="567"/>
              </w:tabs>
              <w:jc w:val="center"/>
              <w:rPr>
                <w:b/>
                <w:bCs/>
                <w:sz w:val="26"/>
                <w:szCs w:val="26"/>
                <w:lang w:eastAsia="lt-LT"/>
              </w:rPr>
            </w:pPr>
            <w:r w:rsidRPr="001477F2">
              <w:rPr>
                <w:b/>
                <w:bCs/>
                <w:sz w:val="26"/>
                <w:szCs w:val="26"/>
                <w:lang w:eastAsia="lt-LT"/>
              </w:rPr>
              <w:t>Rezultatai</w:t>
            </w:r>
          </w:p>
        </w:tc>
      </w:tr>
      <w:tr w:rsidR="00BA5DBC" w:rsidRPr="001477F2" w14:paraId="319AF392" w14:textId="77777777" w:rsidTr="001854F3">
        <w:trPr>
          <w:trHeight w:val="267"/>
          <w:jc w:val="center"/>
        </w:trPr>
        <w:tc>
          <w:tcPr>
            <w:tcW w:w="6200" w:type="dxa"/>
            <w:tcBorders>
              <w:left w:val="single" w:sz="4" w:space="0" w:color="auto"/>
            </w:tcBorders>
          </w:tcPr>
          <w:p w14:paraId="44CD8D27" w14:textId="27245A0B" w:rsidR="00BA5DBC" w:rsidRPr="001477F2" w:rsidRDefault="00BA5DBC" w:rsidP="00BA5DBC">
            <w:pPr>
              <w:tabs>
                <w:tab w:val="left" w:pos="567"/>
              </w:tabs>
              <w:jc w:val="right"/>
              <w:rPr>
                <w:iCs/>
                <w:lang w:eastAsia="lt-LT"/>
              </w:rPr>
            </w:pPr>
            <w:r w:rsidRPr="001477F2">
              <w:rPr>
                <w:iCs/>
                <w:lang w:eastAsia="lt-LT"/>
              </w:rPr>
              <w:t>Kaštų skirtumas</w:t>
            </w:r>
          </w:p>
        </w:tc>
        <w:tc>
          <w:tcPr>
            <w:tcW w:w="3239" w:type="dxa"/>
            <w:tcBorders>
              <w:right w:val="single" w:sz="4" w:space="0" w:color="auto"/>
            </w:tcBorders>
          </w:tcPr>
          <w:p w14:paraId="1CACF0B4" w14:textId="1A1EEDB0" w:rsidR="00BA5DBC" w:rsidRPr="001477F2" w:rsidRDefault="006753D1" w:rsidP="00D85276">
            <w:pPr>
              <w:tabs>
                <w:tab w:val="left" w:pos="567"/>
              </w:tabs>
              <w:jc w:val="center"/>
              <w:rPr>
                <w:lang w:eastAsia="lt-LT"/>
              </w:rPr>
            </w:pPr>
            <w:r>
              <w:rPr>
                <w:color w:val="FF0000"/>
                <w:lang w:eastAsia="lt-LT"/>
              </w:rPr>
              <w:t xml:space="preserve">x </w:t>
            </w:r>
            <w:r w:rsidRPr="006753D1">
              <w:rPr>
                <w:color w:val="FF0000"/>
                <w:lang w:eastAsia="lt-LT"/>
              </w:rPr>
              <w:t>x</w:t>
            </w:r>
            <w:r>
              <w:rPr>
                <w:color w:val="FF0000"/>
                <w:lang w:eastAsia="lt-LT"/>
              </w:rPr>
              <w:t xml:space="preserve"> </w:t>
            </w:r>
            <w:r w:rsidRPr="006753D1">
              <w:rPr>
                <w:color w:val="FF0000"/>
                <w:lang w:eastAsia="lt-LT"/>
              </w:rPr>
              <w:t>x</w:t>
            </w:r>
            <w:r>
              <w:rPr>
                <w:color w:val="FF0000"/>
                <w:lang w:eastAsia="lt-LT"/>
              </w:rPr>
              <w:t xml:space="preserve"> </w:t>
            </w:r>
            <w:r w:rsidRPr="006753D1">
              <w:rPr>
                <w:color w:val="FF0000"/>
                <w:lang w:eastAsia="lt-LT"/>
              </w:rPr>
              <w:t>x</w:t>
            </w:r>
            <w:r>
              <w:rPr>
                <w:color w:val="FF0000"/>
                <w:lang w:eastAsia="lt-LT"/>
              </w:rPr>
              <w:t xml:space="preserve"> </w:t>
            </w:r>
            <w:r w:rsidRPr="006753D1">
              <w:rPr>
                <w:color w:val="FF0000"/>
                <w:lang w:eastAsia="lt-LT"/>
              </w:rPr>
              <w:t>x</w:t>
            </w:r>
          </w:p>
        </w:tc>
      </w:tr>
      <w:tr w:rsidR="00BA5DBC" w:rsidRPr="001477F2" w14:paraId="49F818A3" w14:textId="77777777" w:rsidTr="001854F3">
        <w:trPr>
          <w:trHeight w:val="267"/>
          <w:jc w:val="center"/>
        </w:trPr>
        <w:tc>
          <w:tcPr>
            <w:tcW w:w="6200" w:type="dxa"/>
            <w:tcBorders>
              <w:left w:val="single" w:sz="4" w:space="0" w:color="auto"/>
            </w:tcBorders>
          </w:tcPr>
          <w:p w14:paraId="021DB925" w14:textId="389F1BF5" w:rsidR="00BA5DBC" w:rsidRPr="001477F2" w:rsidRDefault="00BA5DBC" w:rsidP="00BA5DBC">
            <w:pPr>
              <w:tabs>
                <w:tab w:val="left" w:pos="567"/>
              </w:tabs>
              <w:jc w:val="right"/>
              <w:rPr>
                <w:iCs/>
                <w:lang w:eastAsia="lt-LT"/>
              </w:rPr>
            </w:pPr>
            <w:r w:rsidRPr="001477F2">
              <w:rPr>
                <w:iCs/>
                <w:lang w:eastAsia="lt-LT"/>
              </w:rPr>
              <w:t>Papildomi gyvenimo metai (LY)</w:t>
            </w:r>
          </w:p>
        </w:tc>
        <w:tc>
          <w:tcPr>
            <w:tcW w:w="3239" w:type="dxa"/>
            <w:tcBorders>
              <w:right w:val="single" w:sz="4" w:space="0" w:color="auto"/>
            </w:tcBorders>
          </w:tcPr>
          <w:p w14:paraId="4954817B" w14:textId="0CA362EB" w:rsidR="00BA5DBC" w:rsidRPr="001477F2" w:rsidRDefault="001854F3" w:rsidP="00D85276">
            <w:pPr>
              <w:tabs>
                <w:tab w:val="left" w:pos="567"/>
              </w:tabs>
              <w:jc w:val="center"/>
              <w:rPr>
                <w:lang w:eastAsia="lt-LT"/>
              </w:rPr>
            </w:pPr>
            <w:r w:rsidRPr="001477F2">
              <w:rPr>
                <w:lang w:eastAsia="lt-LT"/>
              </w:rPr>
              <w:t>2.27</w:t>
            </w:r>
          </w:p>
        </w:tc>
      </w:tr>
      <w:tr w:rsidR="00BA5DBC" w:rsidRPr="001477F2" w14:paraId="20ADA742" w14:textId="77777777" w:rsidTr="001854F3">
        <w:trPr>
          <w:trHeight w:val="267"/>
          <w:jc w:val="center"/>
        </w:trPr>
        <w:tc>
          <w:tcPr>
            <w:tcW w:w="6200" w:type="dxa"/>
            <w:tcBorders>
              <w:left w:val="single" w:sz="4" w:space="0" w:color="auto"/>
            </w:tcBorders>
          </w:tcPr>
          <w:p w14:paraId="0F567576" w14:textId="2606A2E9" w:rsidR="00BA5DBC" w:rsidRPr="001477F2" w:rsidRDefault="0058712F" w:rsidP="00BA5DBC">
            <w:pPr>
              <w:tabs>
                <w:tab w:val="left" w:pos="567"/>
              </w:tabs>
              <w:jc w:val="right"/>
              <w:rPr>
                <w:iCs/>
                <w:lang w:eastAsia="lt-LT"/>
              </w:rPr>
            </w:pPr>
            <w:r w:rsidRPr="001477F2">
              <w:rPr>
                <w:iCs/>
                <w:lang w:eastAsia="lt-LT"/>
              </w:rPr>
              <w:t>Papildomi k</w:t>
            </w:r>
            <w:r w:rsidR="00BA5DBC" w:rsidRPr="001477F2">
              <w:rPr>
                <w:iCs/>
                <w:lang w:eastAsia="lt-LT"/>
              </w:rPr>
              <w:t>okybiški gyvenimo metai (QALY)</w:t>
            </w:r>
          </w:p>
        </w:tc>
        <w:tc>
          <w:tcPr>
            <w:tcW w:w="3239" w:type="dxa"/>
            <w:tcBorders>
              <w:right w:val="single" w:sz="4" w:space="0" w:color="auto"/>
            </w:tcBorders>
          </w:tcPr>
          <w:p w14:paraId="02E4DAE1" w14:textId="3DE599F5" w:rsidR="00BA5DBC" w:rsidRPr="001477F2" w:rsidRDefault="001854F3" w:rsidP="00D85276">
            <w:pPr>
              <w:tabs>
                <w:tab w:val="left" w:pos="567"/>
              </w:tabs>
              <w:jc w:val="center"/>
              <w:rPr>
                <w:lang w:eastAsia="lt-LT"/>
              </w:rPr>
            </w:pPr>
            <w:r w:rsidRPr="001477F2">
              <w:rPr>
                <w:lang w:eastAsia="lt-LT"/>
              </w:rPr>
              <w:t>1.78</w:t>
            </w:r>
          </w:p>
        </w:tc>
      </w:tr>
      <w:tr w:rsidR="006753D1" w:rsidRPr="001477F2" w14:paraId="1FADA2B3" w14:textId="77777777" w:rsidTr="001854F3">
        <w:trPr>
          <w:trHeight w:val="267"/>
          <w:jc w:val="center"/>
        </w:trPr>
        <w:tc>
          <w:tcPr>
            <w:tcW w:w="6200" w:type="dxa"/>
            <w:tcBorders>
              <w:left w:val="single" w:sz="4" w:space="0" w:color="auto"/>
            </w:tcBorders>
          </w:tcPr>
          <w:p w14:paraId="13E089E8" w14:textId="0BCEB339" w:rsidR="006753D1" w:rsidRPr="001477F2" w:rsidRDefault="006753D1" w:rsidP="006753D1">
            <w:pPr>
              <w:tabs>
                <w:tab w:val="left" w:pos="567"/>
              </w:tabs>
              <w:jc w:val="right"/>
              <w:rPr>
                <w:iCs/>
                <w:lang w:eastAsia="lt-LT"/>
              </w:rPr>
            </w:pPr>
            <w:r w:rsidRPr="001477F2">
              <w:rPr>
                <w:iCs/>
                <w:lang w:eastAsia="lt-LT"/>
              </w:rPr>
              <w:t>ICER už LY</w:t>
            </w:r>
          </w:p>
        </w:tc>
        <w:tc>
          <w:tcPr>
            <w:tcW w:w="3239" w:type="dxa"/>
            <w:tcBorders>
              <w:right w:val="single" w:sz="4" w:space="0" w:color="auto"/>
            </w:tcBorders>
          </w:tcPr>
          <w:p w14:paraId="2817448D" w14:textId="230A4B06" w:rsidR="006753D1" w:rsidRPr="001477F2" w:rsidRDefault="006753D1" w:rsidP="006753D1">
            <w:pPr>
              <w:tabs>
                <w:tab w:val="left" w:pos="567"/>
              </w:tabs>
              <w:jc w:val="center"/>
              <w:rPr>
                <w:lang w:eastAsia="lt-LT"/>
              </w:rPr>
            </w:pPr>
            <w:r>
              <w:rPr>
                <w:color w:val="FF0000"/>
                <w:lang w:eastAsia="lt-LT"/>
              </w:rPr>
              <w:t xml:space="preserve">x </w:t>
            </w:r>
            <w:r w:rsidRPr="006753D1">
              <w:rPr>
                <w:color w:val="FF0000"/>
                <w:lang w:eastAsia="lt-LT"/>
              </w:rPr>
              <w:t>x</w:t>
            </w:r>
            <w:r>
              <w:rPr>
                <w:color w:val="FF0000"/>
                <w:lang w:eastAsia="lt-LT"/>
              </w:rPr>
              <w:t xml:space="preserve"> </w:t>
            </w:r>
            <w:r w:rsidRPr="006753D1">
              <w:rPr>
                <w:color w:val="FF0000"/>
                <w:lang w:eastAsia="lt-LT"/>
              </w:rPr>
              <w:t>x</w:t>
            </w:r>
            <w:r>
              <w:rPr>
                <w:color w:val="FF0000"/>
                <w:lang w:eastAsia="lt-LT"/>
              </w:rPr>
              <w:t xml:space="preserve"> </w:t>
            </w:r>
            <w:r w:rsidRPr="006753D1">
              <w:rPr>
                <w:color w:val="FF0000"/>
                <w:lang w:eastAsia="lt-LT"/>
              </w:rPr>
              <w:t>x</w:t>
            </w:r>
            <w:r>
              <w:rPr>
                <w:color w:val="FF0000"/>
                <w:lang w:eastAsia="lt-LT"/>
              </w:rPr>
              <w:t xml:space="preserve"> </w:t>
            </w:r>
            <w:r w:rsidRPr="006753D1">
              <w:rPr>
                <w:color w:val="FF0000"/>
                <w:lang w:eastAsia="lt-LT"/>
              </w:rPr>
              <w:t>x</w:t>
            </w:r>
          </w:p>
        </w:tc>
      </w:tr>
      <w:tr w:rsidR="006753D1" w:rsidRPr="001477F2" w14:paraId="250DE960" w14:textId="77777777" w:rsidTr="001854F3">
        <w:trPr>
          <w:trHeight w:val="267"/>
          <w:jc w:val="center"/>
        </w:trPr>
        <w:tc>
          <w:tcPr>
            <w:tcW w:w="6200" w:type="dxa"/>
            <w:tcBorders>
              <w:left w:val="single" w:sz="4" w:space="0" w:color="auto"/>
            </w:tcBorders>
          </w:tcPr>
          <w:p w14:paraId="207EFB23" w14:textId="77777777" w:rsidR="006753D1" w:rsidRPr="001477F2" w:rsidRDefault="006753D1" w:rsidP="006753D1">
            <w:pPr>
              <w:tabs>
                <w:tab w:val="left" w:pos="567"/>
              </w:tabs>
              <w:jc w:val="right"/>
              <w:rPr>
                <w:iCs/>
                <w:lang w:eastAsia="lt-LT"/>
              </w:rPr>
            </w:pPr>
            <w:r w:rsidRPr="001477F2">
              <w:rPr>
                <w:iCs/>
                <w:lang w:eastAsia="lt-LT"/>
              </w:rPr>
              <w:t>ICER už QALY</w:t>
            </w:r>
          </w:p>
        </w:tc>
        <w:tc>
          <w:tcPr>
            <w:tcW w:w="3239" w:type="dxa"/>
            <w:tcBorders>
              <w:right w:val="single" w:sz="4" w:space="0" w:color="auto"/>
            </w:tcBorders>
          </w:tcPr>
          <w:p w14:paraId="4275320D" w14:textId="40702E64" w:rsidR="006753D1" w:rsidRPr="001477F2" w:rsidRDefault="006753D1" w:rsidP="006753D1">
            <w:pPr>
              <w:tabs>
                <w:tab w:val="left" w:pos="567"/>
              </w:tabs>
              <w:jc w:val="center"/>
              <w:rPr>
                <w:lang w:eastAsia="lt-LT"/>
              </w:rPr>
            </w:pPr>
            <w:r>
              <w:rPr>
                <w:color w:val="FF0000"/>
                <w:lang w:eastAsia="lt-LT"/>
              </w:rPr>
              <w:t xml:space="preserve">x </w:t>
            </w:r>
            <w:r w:rsidRPr="006753D1">
              <w:rPr>
                <w:color w:val="FF0000"/>
                <w:lang w:eastAsia="lt-LT"/>
              </w:rPr>
              <w:t>x</w:t>
            </w:r>
            <w:r>
              <w:rPr>
                <w:color w:val="FF0000"/>
                <w:lang w:eastAsia="lt-LT"/>
              </w:rPr>
              <w:t xml:space="preserve"> </w:t>
            </w:r>
            <w:r w:rsidRPr="006753D1">
              <w:rPr>
                <w:color w:val="FF0000"/>
                <w:lang w:eastAsia="lt-LT"/>
              </w:rPr>
              <w:t>x</w:t>
            </w:r>
            <w:r>
              <w:rPr>
                <w:color w:val="FF0000"/>
                <w:lang w:eastAsia="lt-LT"/>
              </w:rPr>
              <w:t xml:space="preserve"> </w:t>
            </w:r>
            <w:r w:rsidRPr="006753D1">
              <w:rPr>
                <w:color w:val="FF0000"/>
                <w:lang w:eastAsia="lt-LT"/>
              </w:rPr>
              <w:t>x</w:t>
            </w:r>
            <w:r>
              <w:rPr>
                <w:color w:val="FF0000"/>
                <w:lang w:eastAsia="lt-LT"/>
              </w:rPr>
              <w:t xml:space="preserve"> </w:t>
            </w:r>
            <w:r w:rsidRPr="006753D1">
              <w:rPr>
                <w:color w:val="FF0000"/>
                <w:lang w:eastAsia="lt-LT"/>
              </w:rPr>
              <w:t>x</w:t>
            </w:r>
          </w:p>
        </w:tc>
      </w:tr>
      <w:tr w:rsidR="001854F3" w:rsidRPr="001477F2" w14:paraId="2C4C68BA" w14:textId="77777777" w:rsidTr="001854F3">
        <w:trPr>
          <w:trHeight w:val="267"/>
          <w:jc w:val="center"/>
        </w:trPr>
        <w:tc>
          <w:tcPr>
            <w:tcW w:w="6200" w:type="dxa"/>
            <w:tcBorders>
              <w:left w:val="single" w:sz="4" w:space="0" w:color="auto"/>
              <w:bottom w:val="single" w:sz="4" w:space="0" w:color="auto"/>
              <w:right w:val="single" w:sz="4" w:space="0" w:color="auto"/>
            </w:tcBorders>
          </w:tcPr>
          <w:p w14:paraId="21BEDABF" w14:textId="77777777" w:rsidR="001854F3" w:rsidRPr="001477F2" w:rsidRDefault="001854F3" w:rsidP="001854F3">
            <w:pPr>
              <w:tabs>
                <w:tab w:val="left" w:pos="567"/>
              </w:tabs>
              <w:jc w:val="right"/>
              <w:rPr>
                <w:iCs/>
                <w:lang w:eastAsia="lt-LT"/>
              </w:rPr>
            </w:pPr>
            <w:r w:rsidRPr="001477F2">
              <w:rPr>
                <w:iCs/>
                <w:lang w:eastAsia="lt-LT"/>
              </w:rPr>
              <w:t>Referentinė kaštų naudingumo vertė</w:t>
            </w:r>
          </w:p>
        </w:tc>
        <w:tc>
          <w:tcPr>
            <w:tcW w:w="3239" w:type="dxa"/>
            <w:tcBorders>
              <w:left w:val="single" w:sz="4" w:space="0" w:color="auto"/>
              <w:bottom w:val="single" w:sz="4" w:space="0" w:color="auto"/>
              <w:right w:val="single" w:sz="4" w:space="0" w:color="auto"/>
            </w:tcBorders>
          </w:tcPr>
          <w:p w14:paraId="31DAA72E" w14:textId="3F59E268" w:rsidR="001854F3" w:rsidRPr="001477F2" w:rsidRDefault="001854F3" w:rsidP="00D85276">
            <w:pPr>
              <w:tabs>
                <w:tab w:val="left" w:pos="567"/>
              </w:tabs>
              <w:jc w:val="center"/>
              <w:rPr>
                <w:lang w:eastAsia="lt-LT"/>
              </w:rPr>
            </w:pPr>
            <w:r w:rsidRPr="001477F2">
              <w:t>23 802 €</w:t>
            </w:r>
          </w:p>
        </w:tc>
      </w:tr>
    </w:tbl>
    <w:p w14:paraId="5FC8C737" w14:textId="4136B7F4" w:rsidR="0035172D" w:rsidRPr="001477F2" w:rsidRDefault="00E5102E" w:rsidP="0035172D">
      <w:pPr>
        <w:tabs>
          <w:tab w:val="left" w:pos="567"/>
        </w:tabs>
        <w:jc w:val="both"/>
        <w:rPr>
          <w:iCs/>
          <w:sz w:val="20"/>
          <w:lang w:eastAsia="lt-LT"/>
        </w:rPr>
      </w:pPr>
      <w:r w:rsidRPr="001477F2">
        <w:rPr>
          <w:iCs/>
          <w:sz w:val="20"/>
          <w:lang w:eastAsia="lt-LT"/>
        </w:rPr>
        <w:t xml:space="preserve">ICER </w:t>
      </w:r>
      <w:r w:rsidR="00453862" w:rsidRPr="001477F2">
        <w:rPr>
          <w:iCs/>
          <w:sz w:val="20"/>
          <w:lang w:eastAsia="lt-LT"/>
        </w:rPr>
        <w:t>– (</w:t>
      </w:r>
      <w:r w:rsidR="00453862" w:rsidRPr="001477F2">
        <w:rPr>
          <w:i/>
          <w:sz w:val="20"/>
          <w:lang w:eastAsia="lt-LT"/>
        </w:rPr>
        <w:t>angl. incremental cost-effectiveness ratio</w:t>
      </w:r>
      <w:r w:rsidR="00453862" w:rsidRPr="001477F2">
        <w:rPr>
          <w:iCs/>
          <w:sz w:val="20"/>
          <w:lang w:eastAsia="lt-LT"/>
        </w:rPr>
        <w:t>) inkrementinis kaštų naudingumo koeficientas</w:t>
      </w:r>
      <w:r w:rsidRPr="001477F2">
        <w:rPr>
          <w:iCs/>
          <w:sz w:val="20"/>
          <w:lang w:eastAsia="lt-LT"/>
        </w:rPr>
        <w:t>; LY –</w:t>
      </w:r>
      <w:r w:rsidR="00453862" w:rsidRPr="001477F2">
        <w:rPr>
          <w:iCs/>
          <w:sz w:val="20"/>
          <w:lang w:eastAsia="lt-LT"/>
        </w:rPr>
        <w:t xml:space="preserve"> (</w:t>
      </w:r>
      <w:r w:rsidR="00453862" w:rsidRPr="001477F2">
        <w:rPr>
          <w:i/>
          <w:sz w:val="20"/>
          <w:lang w:eastAsia="lt-LT"/>
        </w:rPr>
        <w:t>angl. life years</w:t>
      </w:r>
      <w:r w:rsidR="00453862" w:rsidRPr="001477F2">
        <w:rPr>
          <w:iCs/>
          <w:sz w:val="20"/>
          <w:lang w:eastAsia="lt-LT"/>
        </w:rPr>
        <w:t>) gyvenimo metai</w:t>
      </w:r>
      <w:r w:rsidRPr="001477F2">
        <w:rPr>
          <w:iCs/>
          <w:sz w:val="20"/>
          <w:lang w:eastAsia="lt-LT"/>
        </w:rPr>
        <w:t xml:space="preserve">; QALY- </w:t>
      </w:r>
      <w:r w:rsidR="00453862" w:rsidRPr="001477F2">
        <w:rPr>
          <w:iCs/>
          <w:sz w:val="20"/>
          <w:lang w:eastAsia="lt-LT"/>
        </w:rPr>
        <w:t>(</w:t>
      </w:r>
      <w:r w:rsidR="00453862" w:rsidRPr="001477F2">
        <w:rPr>
          <w:i/>
          <w:sz w:val="20"/>
          <w:lang w:eastAsia="lt-LT"/>
        </w:rPr>
        <w:t xml:space="preserve">angl. quality adjusted life years) </w:t>
      </w:r>
      <w:r w:rsidR="00453862" w:rsidRPr="001477F2">
        <w:rPr>
          <w:iCs/>
          <w:sz w:val="20"/>
          <w:lang w:eastAsia="lt-LT"/>
        </w:rPr>
        <w:t>kokybiški gyvenimo metai.</w:t>
      </w:r>
    </w:p>
    <w:p w14:paraId="33875138" w14:textId="77777777" w:rsidR="0035172D" w:rsidRPr="001477F2" w:rsidRDefault="0035172D" w:rsidP="00A93AA6">
      <w:pPr>
        <w:tabs>
          <w:tab w:val="left" w:pos="426"/>
        </w:tabs>
        <w:rPr>
          <w:b/>
          <w:bCs/>
          <w:caps/>
        </w:rPr>
      </w:pPr>
    </w:p>
    <w:p w14:paraId="4FC424F9" w14:textId="27E5166F" w:rsidR="00C62B36" w:rsidRPr="001477F2" w:rsidRDefault="00C62B36" w:rsidP="00CC09D4">
      <w:pPr>
        <w:pStyle w:val="ListParagraph"/>
        <w:numPr>
          <w:ilvl w:val="0"/>
          <w:numId w:val="12"/>
        </w:numPr>
        <w:tabs>
          <w:tab w:val="left" w:pos="567"/>
        </w:tabs>
        <w:ind w:hanging="720"/>
        <w:rPr>
          <w:b/>
          <w:bCs/>
          <w:caps/>
        </w:rPr>
      </w:pPr>
      <w:r w:rsidRPr="001477F2">
        <w:rPr>
          <w:b/>
          <w:bCs/>
          <w:caps/>
        </w:rPr>
        <w:t xml:space="preserve">Pacientų organizacijų pateikti duomenys </w:t>
      </w:r>
    </w:p>
    <w:p w14:paraId="1A9A682F" w14:textId="77777777" w:rsidR="00606DB1" w:rsidRPr="001477F2" w:rsidRDefault="00606DB1" w:rsidP="00606DB1">
      <w:pPr>
        <w:pStyle w:val="ListParagraph"/>
        <w:tabs>
          <w:tab w:val="left" w:pos="567"/>
        </w:tabs>
        <w:rPr>
          <w:b/>
          <w:bCs/>
          <w:caps/>
        </w:rPr>
      </w:pPr>
    </w:p>
    <w:p w14:paraId="79BCFF40" w14:textId="1992DF4A" w:rsidR="00937907" w:rsidRPr="001477F2" w:rsidRDefault="00992883" w:rsidP="00937907">
      <w:pPr>
        <w:spacing w:after="120"/>
        <w:jc w:val="both"/>
      </w:pPr>
      <w:sdt>
        <w:sdtPr>
          <w:rPr>
            <w:rStyle w:val="Style2"/>
            <w:rFonts w:ascii="MS Gothic" w:eastAsia="MS Gothic" w:hAnsi="MS Gothic"/>
            <w:sz w:val="24"/>
          </w:rPr>
          <w:id w:val="1150014178"/>
          <w15:color w:val="FFCC00"/>
          <w14:checkbox>
            <w14:checked w14:val="0"/>
            <w14:checkedState w14:val="2612" w14:font="MS Gothic"/>
            <w14:uncheckedState w14:val="2610" w14:font="MS Gothic"/>
          </w14:checkbox>
        </w:sdtPr>
        <w:sdtEndPr>
          <w:rPr>
            <w:rStyle w:val="Style2"/>
          </w:rPr>
        </w:sdtEndPr>
        <w:sdtContent>
          <w:r w:rsidR="00937907" w:rsidRPr="001477F2">
            <w:rPr>
              <w:rStyle w:val="Style2"/>
              <w:rFonts w:ascii="MS Gothic" w:eastAsia="MS Gothic" w:hAnsi="MS Gothic" w:hint="eastAsia"/>
              <w:sz w:val="24"/>
            </w:rPr>
            <w:t>☐</w:t>
          </w:r>
        </w:sdtContent>
      </w:sdt>
      <w:r w:rsidR="00937907" w:rsidRPr="001477F2">
        <w:t xml:space="preserve"> Pacientų organizacijos pozicija pateikta. Žr. priedą.</w:t>
      </w:r>
    </w:p>
    <w:p w14:paraId="62992180" w14:textId="77616A5B" w:rsidR="00937907" w:rsidRPr="001477F2" w:rsidRDefault="00992883" w:rsidP="00937907">
      <w:pPr>
        <w:spacing w:after="120"/>
        <w:jc w:val="both"/>
      </w:pPr>
      <w:sdt>
        <w:sdtPr>
          <w:rPr>
            <w:rStyle w:val="Style2"/>
            <w:rFonts w:ascii="MS Gothic" w:eastAsia="MS Gothic" w:hAnsi="MS Gothic"/>
            <w:sz w:val="24"/>
          </w:rPr>
          <w:id w:val="-1545513810"/>
          <w15:color w:val="FFCC00"/>
          <w14:checkbox>
            <w14:checked w14:val="1"/>
            <w14:checkedState w14:val="2612" w14:font="MS Gothic"/>
            <w14:uncheckedState w14:val="2610" w14:font="MS Gothic"/>
          </w14:checkbox>
        </w:sdtPr>
        <w:sdtEndPr>
          <w:rPr>
            <w:rStyle w:val="Style2"/>
          </w:rPr>
        </w:sdtEndPr>
        <w:sdtContent>
          <w:r w:rsidR="004D6144" w:rsidRPr="001477F2">
            <w:rPr>
              <w:rStyle w:val="Style2"/>
              <w:rFonts w:ascii="MS Gothic" w:eastAsia="MS Gothic" w:hAnsi="MS Gothic" w:hint="eastAsia"/>
              <w:sz w:val="24"/>
            </w:rPr>
            <w:t>☒</w:t>
          </w:r>
        </w:sdtContent>
      </w:sdt>
      <w:r w:rsidR="00937907" w:rsidRPr="001477F2">
        <w:t xml:space="preserve"> Pacientų organizacijos pozicija </w:t>
      </w:r>
      <w:r w:rsidR="00880A44" w:rsidRPr="001477F2">
        <w:t>ne</w:t>
      </w:r>
      <w:r w:rsidR="00937907" w:rsidRPr="001477F2">
        <w:t>pateikta.</w:t>
      </w:r>
    </w:p>
    <w:p w14:paraId="03E73D82" w14:textId="77777777" w:rsidR="00D417D2" w:rsidRPr="001477F2" w:rsidRDefault="00D417D2" w:rsidP="00937907">
      <w:pPr>
        <w:spacing w:after="120"/>
        <w:jc w:val="both"/>
      </w:pPr>
    </w:p>
    <w:p w14:paraId="3D3277FA" w14:textId="753DC857" w:rsidR="00C62B36" w:rsidRPr="001477F2" w:rsidRDefault="00C62B36" w:rsidP="00CC09D4">
      <w:pPr>
        <w:pStyle w:val="ListParagraph"/>
        <w:numPr>
          <w:ilvl w:val="0"/>
          <w:numId w:val="12"/>
        </w:numPr>
        <w:tabs>
          <w:tab w:val="left" w:pos="567"/>
        </w:tabs>
        <w:ind w:hanging="720"/>
        <w:rPr>
          <w:b/>
          <w:bCs/>
          <w:caps/>
        </w:rPr>
      </w:pPr>
      <w:r w:rsidRPr="001477F2">
        <w:rPr>
          <w:b/>
          <w:bCs/>
          <w:caps/>
        </w:rPr>
        <w:t>Gydytojų organizacijų pateikti duomenys</w:t>
      </w:r>
    </w:p>
    <w:p w14:paraId="5E3BB03C" w14:textId="77777777" w:rsidR="00606DB1" w:rsidRPr="001477F2" w:rsidRDefault="00606DB1" w:rsidP="00606DB1">
      <w:pPr>
        <w:pStyle w:val="ListParagraph"/>
        <w:tabs>
          <w:tab w:val="left" w:pos="567"/>
        </w:tabs>
        <w:rPr>
          <w:b/>
          <w:bCs/>
          <w:caps/>
        </w:rPr>
      </w:pPr>
    </w:p>
    <w:p w14:paraId="389A346C" w14:textId="17184B64" w:rsidR="00937907" w:rsidRPr="001477F2" w:rsidRDefault="00992883" w:rsidP="00662983">
      <w:pPr>
        <w:spacing w:after="120"/>
        <w:jc w:val="both"/>
      </w:pPr>
      <w:sdt>
        <w:sdtPr>
          <w:rPr>
            <w:rStyle w:val="Style2"/>
            <w:rFonts w:ascii="MS Gothic" w:eastAsia="MS Gothic" w:hAnsi="MS Gothic"/>
            <w:sz w:val="24"/>
          </w:rPr>
          <w:id w:val="1613862788"/>
          <w15:color w:val="FFCC00"/>
          <w14:checkbox>
            <w14:checked w14:val="0"/>
            <w14:checkedState w14:val="2612" w14:font="MS Gothic"/>
            <w14:uncheckedState w14:val="2610" w14:font="MS Gothic"/>
          </w14:checkbox>
        </w:sdtPr>
        <w:sdtEndPr>
          <w:rPr>
            <w:rStyle w:val="Style2"/>
          </w:rPr>
        </w:sdtEndPr>
        <w:sdtContent>
          <w:r w:rsidR="00937907" w:rsidRPr="001477F2">
            <w:rPr>
              <w:rStyle w:val="Style2"/>
              <w:rFonts w:ascii="MS Gothic" w:eastAsia="MS Gothic" w:hAnsi="MS Gothic" w:hint="eastAsia"/>
              <w:sz w:val="24"/>
            </w:rPr>
            <w:t>☐</w:t>
          </w:r>
        </w:sdtContent>
      </w:sdt>
      <w:r w:rsidR="00662983" w:rsidRPr="001477F2">
        <w:t xml:space="preserve"> </w:t>
      </w:r>
      <w:r w:rsidR="00937907" w:rsidRPr="001477F2">
        <w:t xml:space="preserve">Gydytojų specialistų organizacijos pozicija pateikta. </w:t>
      </w:r>
      <w:r w:rsidR="00662983" w:rsidRPr="001477F2">
        <w:t>Žr. priedą</w:t>
      </w:r>
      <w:r w:rsidR="00937907" w:rsidRPr="001477F2">
        <w:t>.</w:t>
      </w:r>
    </w:p>
    <w:p w14:paraId="5D8CC48C" w14:textId="4B9831F7" w:rsidR="00662983" w:rsidRPr="001477F2" w:rsidRDefault="00992883" w:rsidP="00662983">
      <w:pPr>
        <w:spacing w:after="120"/>
        <w:jc w:val="both"/>
      </w:pPr>
      <w:sdt>
        <w:sdtPr>
          <w:rPr>
            <w:rStyle w:val="Style2"/>
            <w:rFonts w:ascii="MS Gothic" w:eastAsia="MS Gothic" w:hAnsi="MS Gothic"/>
            <w:sz w:val="24"/>
          </w:rPr>
          <w:id w:val="-41988141"/>
          <w15:color w:val="FFCC00"/>
          <w14:checkbox>
            <w14:checked w14:val="1"/>
            <w14:checkedState w14:val="2612" w14:font="MS Gothic"/>
            <w14:uncheckedState w14:val="2610" w14:font="MS Gothic"/>
          </w14:checkbox>
        </w:sdtPr>
        <w:sdtEndPr>
          <w:rPr>
            <w:rStyle w:val="Style2"/>
          </w:rPr>
        </w:sdtEndPr>
        <w:sdtContent>
          <w:r w:rsidR="004D6144" w:rsidRPr="001477F2">
            <w:rPr>
              <w:rStyle w:val="Style2"/>
              <w:rFonts w:ascii="MS Gothic" w:eastAsia="MS Gothic" w:hAnsi="MS Gothic" w:hint="eastAsia"/>
              <w:sz w:val="24"/>
            </w:rPr>
            <w:t>☒</w:t>
          </w:r>
        </w:sdtContent>
      </w:sdt>
      <w:r w:rsidR="00662983" w:rsidRPr="001477F2">
        <w:t xml:space="preserve"> </w:t>
      </w:r>
      <w:r w:rsidR="00937907" w:rsidRPr="001477F2">
        <w:t xml:space="preserve">Gydytojų specialistų organizacijos pozicija </w:t>
      </w:r>
      <w:r w:rsidR="00880A44" w:rsidRPr="001477F2">
        <w:t>ne</w:t>
      </w:r>
      <w:r w:rsidR="00937907" w:rsidRPr="001477F2">
        <w:t>pateikta.</w:t>
      </w:r>
    </w:p>
    <w:p w14:paraId="76DB9740" w14:textId="77777777" w:rsidR="004138AE" w:rsidRPr="001477F2" w:rsidRDefault="004138AE" w:rsidP="00662983">
      <w:pPr>
        <w:spacing w:after="120"/>
        <w:jc w:val="both"/>
      </w:pPr>
    </w:p>
    <w:p w14:paraId="78F23ECB" w14:textId="23A3A002" w:rsidR="002F0E4F" w:rsidRPr="001477F2" w:rsidRDefault="002F0E4F" w:rsidP="00CC09D4">
      <w:pPr>
        <w:pStyle w:val="ListParagraph"/>
        <w:numPr>
          <w:ilvl w:val="0"/>
          <w:numId w:val="12"/>
        </w:numPr>
        <w:tabs>
          <w:tab w:val="left" w:pos="567"/>
        </w:tabs>
        <w:ind w:hanging="720"/>
        <w:rPr>
          <w:b/>
          <w:bCs/>
          <w:caps/>
        </w:rPr>
      </w:pPr>
      <w:r w:rsidRPr="001477F2">
        <w:rPr>
          <w:b/>
          <w:bCs/>
          <w:caps/>
        </w:rPr>
        <w:t xml:space="preserve">Išvada </w:t>
      </w:r>
    </w:p>
    <w:p w14:paraId="30069D85" w14:textId="77777777" w:rsidR="0061611B" w:rsidRPr="001477F2" w:rsidRDefault="0061611B" w:rsidP="0061611B">
      <w:pPr>
        <w:ind w:left="360"/>
        <w:rPr>
          <w:i/>
          <w:color w:val="000000" w:themeColor="text1"/>
          <w:szCs w:val="22"/>
        </w:rPr>
      </w:pPr>
    </w:p>
    <w:tbl>
      <w:tblPr>
        <w:tblStyle w:val="TableGrid"/>
        <w:tblW w:w="0" w:type="auto"/>
        <w:tblLook w:val="04A0" w:firstRow="1" w:lastRow="0" w:firstColumn="1" w:lastColumn="0" w:noHBand="0" w:noVBand="1"/>
      </w:tblPr>
      <w:tblGrid>
        <w:gridCol w:w="4815"/>
        <w:gridCol w:w="4814"/>
      </w:tblGrid>
      <w:tr w:rsidR="00B13D65" w:rsidRPr="001477F2" w14:paraId="25A2473E" w14:textId="77777777" w:rsidTr="00C16245">
        <w:trPr>
          <w:trHeight w:val="510"/>
        </w:trPr>
        <w:tc>
          <w:tcPr>
            <w:tcW w:w="4815" w:type="dxa"/>
            <w:vAlign w:val="center"/>
          </w:tcPr>
          <w:p w14:paraId="7EFE6941" w14:textId="23B8BB6D" w:rsidR="00B13D65" w:rsidRPr="001477F2"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1477F2">
              <w:rPr>
                <w:rStyle w:val="Style2"/>
                <w:rFonts w:eastAsia="MS Gothic"/>
                <w:b/>
                <w:bCs/>
                <w:sz w:val="24"/>
              </w:rPr>
              <w:t>Rekomenduojama kompensuoti</w:t>
            </w:r>
          </w:p>
        </w:tc>
        <w:tc>
          <w:tcPr>
            <w:tcW w:w="4814" w:type="dxa"/>
            <w:vAlign w:val="center"/>
          </w:tcPr>
          <w:p w14:paraId="330A1A5E" w14:textId="19247DC1" w:rsidR="00B13D65" w:rsidRPr="001477F2"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1477F2">
              <w:rPr>
                <w:rStyle w:val="Style2"/>
                <w:rFonts w:eastAsia="MS Gothic"/>
                <w:b/>
                <w:bCs/>
                <w:sz w:val="24"/>
              </w:rPr>
              <w:t xml:space="preserve">Rekomenduojama nekompensuoti </w:t>
            </w:r>
          </w:p>
        </w:tc>
      </w:tr>
      <w:tr w:rsidR="00B13D65" w:rsidRPr="001477F2" w14:paraId="143A7356" w14:textId="77777777" w:rsidTr="00C16245">
        <w:trPr>
          <w:trHeight w:val="510"/>
        </w:trPr>
        <w:tc>
          <w:tcPr>
            <w:tcW w:w="9629" w:type="dxa"/>
            <w:gridSpan w:val="2"/>
            <w:vAlign w:val="center"/>
          </w:tcPr>
          <w:p w14:paraId="0AF5D6B4" w14:textId="6D8B6C59" w:rsidR="00B13D65" w:rsidRPr="001477F2"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1477F2">
              <w:rPr>
                <w:rStyle w:val="Style2"/>
                <w:rFonts w:eastAsia="MS Gothic"/>
                <w:b/>
                <w:bCs/>
                <w:sz w:val="24"/>
              </w:rPr>
              <w:t>Palyginamasis efektyvumas</w:t>
            </w:r>
          </w:p>
        </w:tc>
      </w:tr>
      <w:tr w:rsidR="00B13D65" w:rsidRPr="001477F2" w14:paraId="28A0C814" w14:textId="77777777" w:rsidTr="0061611B">
        <w:tc>
          <w:tcPr>
            <w:tcW w:w="4815" w:type="dxa"/>
          </w:tcPr>
          <w:p w14:paraId="216769B5" w14:textId="519FBC04" w:rsidR="00B13D65" w:rsidRPr="001477F2" w:rsidRDefault="009928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1"/>
                  <w14:checkedState w14:val="2612" w14:font="MS Gothic"/>
                  <w14:uncheckedState w14:val="2610" w14:font="MS Gothic"/>
                </w14:checkbox>
              </w:sdtPr>
              <w:sdtEndPr>
                <w:rPr>
                  <w:rStyle w:val="Style2"/>
                </w:rPr>
              </w:sdtEndPr>
              <w:sdtContent>
                <w:r w:rsidR="00FE7AC4" w:rsidRPr="001477F2">
                  <w:rPr>
                    <w:rStyle w:val="Style2"/>
                    <w:rFonts w:ascii="MS Gothic" w:eastAsia="MS Gothic" w:hAnsi="MS Gothic" w:hint="eastAsia"/>
                    <w:sz w:val="24"/>
                  </w:rPr>
                  <w:t>☒</w:t>
                </w:r>
              </w:sdtContent>
            </w:sdt>
            <w:r w:rsidR="00B13D65" w:rsidRPr="001477F2">
              <w:t xml:space="preserve"> 32.1. yra didesnis</w:t>
            </w:r>
          </w:p>
          <w:p w14:paraId="3B48F372" w14:textId="77777777" w:rsidR="00662983" w:rsidRPr="001477F2"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F18D4" w14:textId="5BBE7238" w:rsidR="00B13D65" w:rsidRPr="001477F2" w:rsidRDefault="00992883" w:rsidP="00FE7A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0"/>
                  <w14:checkedState w14:val="2612" w14:font="MS Gothic"/>
                  <w14:uncheckedState w14:val="2610" w14:font="MS Gothic"/>
                </w14:checkbox>
              </w:sdtPr>
              <w:sdtEndPr>
                <w:rPr>
                  <w:rStyle w:val="Style2"/>
                </w:rPr>
              </w:sdtEndPr>
              <w:sdtContent>
                <w:r w:rsidR="00B13D65" w:rsidRPr="001477F2">
                  <w:rPr>
                    <w:rStyle w:val="Style2"/>
                    <w:rFonts w:ascii="Segoe UI Symbol" w:eastAsia="MS Gothic" w:hAnsi="Segoe UI Symbol" w:cs="Segoe UI Symbol"/>
                    <w:sz w:val="24"/>
                  </w:rPr>
                  <w:t>☐</w:t>
                </w:r>
              </w:sdtContent>
            </w:sdt>
            <w:r w:rsidR="00B13D65" w:rsidRPr="001477F2">
              <w:t xml:space="preserve"> 32.1. iš esmės nesiskiria</w:t>
            </w:r>
          </w:p>
        </w:tc>
        <w:tc>
          <w:tcPr>
            <w:tcW w:w="4814" w:type="dxa"/>
          </w:tcPr>
          <w:p w14:paraId="507828D9" w14:textId="10556E28" w:rsidR="00B13D65" w:rsidRPr="001477F2" w:rsidRDefault="009928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EndPr>
                <w:rPr>
                  <w:rStyle w:val="Style2"/>
                </w:rPr>
              </w:sdtEndPr>
              <w:sdtContent>
                <w:r w:rsidR="00B13D65" w:rsidRPr="001477F2">
                  <w:rPr>
                    <w:rStyle w:val="Style2"/>
                    <w:rFonts w:ascii="Segoe UI Symbol" w:eastAsia="MS Gothic" w:hAnsi="Segoe UI Symbol" w:cs="Segoe UI Symbol"/>
                    <w:sz w:val="24"/>
                  </w:rPr>
                  <w:t>☐</w:t>
                </w:r>
              </w:sdtContent>
            </w:sdt>
            <w:r w:rsidR="00B13D65" w:rsidRPr="001477F2">
              <w:t xml:space="preserve"> 33.1. yra mažesnis</w:t>
            </w:r>
            <w:r w:rsidR="00B00959" w:rsidRPr="001477F2">
              <w:t>, lyginant su įprasta klinikine praktika</w:t>
            </w:r>
          </w:p>
          <w:p w14:paraId="7F95DEEC" w14:textId="77777777" w:rsidR="00662983" w:rsidRPr="001477F2"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80682B8" w14:textId="1A29EA3B" w:rsidR="00662983" w:rsidRPr="001477F2" w:rsidRDefault="009928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EndPr>
                <w:rPr>
                  <w:rStyle w:val="Style2"/>
                </w:rPr>
              </w:sdtEndPr>
              <w:sdtContent>
                <w:r w:rsidR="00B13D65" w:rsidRPr="001477F2">
                  <w:rPr>
                    <w:rStyle w:val="Style2"/>
                    <w:rFonts w:ascii="Segoe UI Symbol" w:eastAsia="MS Gothic" w:hAnsi="Segoe UI Symbol" w:cs="Segoe UI Symbol"/>
                    <w:sz w:val="24"/>
                  </w:rPr>
                  <w:t>☐</w:t>
                </w:r>
              </w:sdtContent>
            </w:sdt>
            <w:r w:rsidR="00B13D65" w:rsidRPr="001477F2">
              <w:t xml:space="preserve"> 33.1. yra neįrodytas kaip toks pat</w:t>
            </w:r>
            <w:r w:rsidR="00B00959" w:rsidRPr="001477F2">
              <w:t>, lyginant su įprasta klinikine praktika</w:t>
            </w:r>
          </w:p>
          <w:p w14:paraId="35205E85" w14:textId="77777777" w:rsidR="00662983" w:rsidRPr="001477F2"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CC3F0A3" w14:textId="6D563DC8" w:rsidR="00B13D65" w:rsidRPr="001477F2" w:rsidRDefault="009928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EndPr>
                <w:rPr>
                  <w:rStyle w:val="Style2"/>
                </w:rPr>
              </w:sdtEndPr>
              <w:sdtContent>
                <w:r w:rsidR="00662983" w:rsidRPr="001477F2">
                  <w:rPr>
                    <w:rStyle w:val="Style2"/>
                    <w:rFonts w:ascii="Segoe UI Symbol" w:eastAsia="MS Gothic" w:hAnsi="Segoe UI Symbol" w:cs="Segoe UI Symbol"/>
                    <w:sz w:val="24"/>
                  </w:rPr>
                  <w:t>☐</w:t>
                </w:r>
              </w:sdtContent>
            </w:sdt>
            <w:r w:rsidR="00662983" w:rsidRPr="001477F2">
              <w:t xml:space="preserve"> 33.1 </w:t>
            </w:r>
            <w:r w:rsidR="00B00959" w:rsidRPr="001477F2">
              <w:t xml:space="preserve">yra </w:t>
            </w:r>
            <w:r w:rsidR="00B13D65" w:rsidRPr="001477F2">
              <w:t>neįrodytas kaip didesnis</w:t>
            </w:r>
            <w:r w:rsidR="00B00959" w:rsidRPr="001477F2">
              <w:t>, lyginant su įprasta klinikine praktika</w:t>
            </w:r>
          </w:p>
          <w:p w14:paraId="512E653B" w14:textId="77777777" w:rsidR="00662983" w:rsidRPr="001477F2"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3F374F4" w14:textId="77777777" w:rsidR="00B13D65" w:rsidRPr="001477F2" w:rsidRDefault="009928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69842114"/>
                <w15:color w:val="FFCC00"/>
                <w14:checkbox>
                  <w14:checked w14:val="0"/>
                  <w14:checkedState w14:val="2612" w14:font="MS Gothic"/>
                  <w14:uncheckedState w14:val="2610" w14:font="MS Gothic"/>
                </w14:checkbox>
              </w:sdtPr>
              <w:sdtEndPr>
                <w:rPr>
                  <w:rStyle w:val="Style2"/>
                </w:rPr>
              </w:sdtEndPr>
              <w:sdtContent>
                <w:r w:rsidR="00B13D65" w:rsidRPr="001477F2">
                  <w:rPr>
                    <w:rStyle w:val="Style2"/>
                    <w:rFonts w:ascii="Segoe UI Symbol" w:eastAsia="MS Gothic" w:hAnsi="Segoe UI Symbol" w:cs="Segoe UI Symbol"/>
                    <w:sz w:val="24"/>
                  </w:rPr>
                  <w:t>☐</w:t>
                </w:r>
              </w:sdtContent>
            </w:sdt>
            <w:r w:rsidR="00B13D65" w:rsidRPr="001477F2">
              <w:t xml:space="preserve"> 33.1. pateikti duomenys apie palyginamąjį efektyvumą yra netinkami vertinti</w:t>
            </w:r>
          </w:p>
          <w:p w14:paraId="5DDAA961" w14:textId="77777777" w:rsidR="00B13D65" w:rsidRPr="001477F2"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1477F2" w14:paraId="161CC3FE" w14:textId="77777777" w:rsidTr="00C16245">
        <w:trPr>
          <w:trHeight w:val="510"/>
        </w:trPr>
        <w:tc>
          <w:tcPr>
            <w:tcW w:w="9629" w:type="dxa"/>
            <w:gridSpan w:val="2"/>
            <w:vAlign w:val="center"/>
          </w:tcPr>
          <w:p w14:paraId="1AB46894" w14:textId="3E765638" w:rsidR="00B13D65" w:rsidRPr="001477F2"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1477F2">
              <w:rPr>
                <w:rStyle w:val="Style2"/>
                <w:rFonts w:eastAsia="MS Gothic"/>
                <w:b/>
                <w:bCs/>
                <w:sz w:val="24"/>
              </w:rPr>
              <w:t>Klinikinis veiksmingumas</w:t>
            </w:r>
          </w:p>
        </w:tc>
      </w:tr>
      <w:tr w:rsidR="00B13D65" w:rsidRPr="001477F2" w14:paraId="3C60570A" w14:textId="77777777" w:rsidTr="0061611B">
        <w:tc>
          <w:tcPr>
            <w:tcW w:w="4815" w:type="dxa"/>
          </w:tcPr>
          <w:p w14:paraId="6897B306" w14:textId="3DE0160A" w:rsidR="00B13D65" w:rsidRPr="001477F2" w:rsidRDefault="009928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81080007"/>
                <w15:color w:val="FFCC00"/>
                <w14:checkbox>
                  <w14:checked w14:val="1"/>
                  <w14:checkedState w14:val="2612" w14:font="MS Gothic"/>
                  <w14:uncheckedState w14:val="2610" w14:font="MS Gothic"/>
                </w14:checkbox>
              </w:sdtPr>
              <w:sdtEndPr>
                <w:rPr>
                  <w:rStyle w:val="Style2"/>
                </w:rPr>
              </w:sdtEndPr>
              <w:sdtContent>
                <w:r w:rsidR="00FE7AC4" w:rsidRPr="001477F2">
                  <w:rPr>
                    <w:rStyle w:val="Style2"/>
                    <w:rFonts w:ascii="MS Gothic" w:eastAsia="MS Gothic" w:hAnsi="MS Gothic" w:hint="eastAsia"/>
                    <w:sz w:val="24"/>
                  </w:rPr>
                  <w:t>☒</w:t>
                </w:r>
              </w:sdtContent>
            </w:sdt>
            <w:r w:rsidR="00B13D65" w:rsidRPr="001477F2">
              <w:t xml:space="preserve"> 32.2. yra įvertintas kaip pagrindžiantis papildomos naudos pacientų sveikatai sukūrimą, lyginant su įprasta klinikine praktika</w:t>
            </w:r>
          </w:p>
          <w:p w14:paraId="71D57105" w14:textId="77777777" w:rsidR="00662983" w:rsidRPr="001477F2"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EBBDF86" w14:textId="5C0FE0B2" w:rsidR="00B13D65" w:rsidRPr="001477F2" w:rsidRDefault="009928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862061586"/>
                <w15:color w:val="FFCC00"/>
                <w14:checkbox>
                  <w14:checked w14:val="0"/>
                  <w14:checkedState w14:val="2612" w14:font="MS Gothic"/>
                  <w14:uncheckedState w14:val="2610" w14:font="MS Gothic"/>
                </w14:checkbox>
              </w:sdtPr>
              <w:sdtEndPr>
                <w:rPr>
                  <w:rStyle w:val="Style2"/>
                </w:rPr>
              </w:sdtEndPr>
              <w:sdtContent>
                <w:r w:rsidR="00B13D65" w:rsidRPr="001477F2">
                  <w:rPr>
                    <w:rStyle w:val="Style2"/>
                    <w:rFonts w:ascii="Segoe UI Symbol" w:eastAsia="MS Gothic" w:hAnsi="Segoe UI Symbol" w:cs="Segoe UI Symbol"/>
                    <w:sz w:val="24"/>
                  </w:rPr>
                  <w:t>☐</w:t>
                </w:r>
              </w:sdtContent>
            </w:sdt>
            <w:r w:rsidR="00B13D65" w:rsidRPr="001477F2">
              <w:t xml:space="preserve"> 32.2. </w:t>
            </w:r>
            <w:r w:rsidR="00B00959" w:rsidRPr="001477F2">
              <w:t xml:space="preserve">yra </w:t>
            </w:r>
            <w:r w:rsidR="00B13D65" w:rsidRPr="001477F2">
              <w:t>įvertintas kaip pagrindžiantis nesiskiriančios naudos pacientų sveikatai sukūrimą, lyginant su įprasta klinikine praktika</w:t>
            </w:r>
          </w:p>
          <w:p w14:paraId="287AD233" w14:textId="77777777" w:rsidR="00B13D65" w:rsidRPr="001477F2"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74A2DECF" w14:textId="682BFC3B" w:rsidR="00662983" w:rsidRPr="001477F2" w:rsidRDefault="00992883" w:rsidP="00662983">
            <w:pPr>
              <w:jc w:val="both"/>
            </w:pPr>
            <w:sdt>
              <w:sdtPr>
                <w:rPr>
                  <w:rStyle w:val="Style2"/>
                  <w:sz w:val="24"/>
                </w:rPr>
                <w:id w:val="-1034573056"/>
                <w15:color w:val="FFCC00"/>
                <w14:checkbox>
                  <w14:checked w14:val="0"/>
                  <w14:checkedState w14:val="2612" w14:font="MS Gothic"/>
                  <w14:uncheckedState w14:val="2610" w14:font="MS Gothic"/>
                </w14:checkbox>
              </w:sdtPr>
              <w:sdtEndPr>
                <w:rPr>
                  <w:rStyle w:val="Style2"/>
                </w:rPr>
              </w:sdtEndPr>
              <w:sdtContent>
                <w:r w:rsidR="00B13D65" w:rsidRPr="001477F2">
                  <w:rPr>
                    <w:rStyle w:val="Style2"/>
                    <w:rFonts w:ascii="Segoe UI Symbol" w:eastAsia="MS Gothic" w:hAnsi="Segoe UI Symbol" w:cs="Segoe UI Symbol"/>
                    <w:sz w:val="24"/>
                  </w:rPr>
                  <w:t>☐</w:t>
                </w:r>
              </w:sdtContent>
            </w:sdt>
            <w:r w:rsidR="00B13D65" w:rsidRPr="001477F2">
              <w:t xml:space="preserve"> 33.1. yra įvertintas kaip nepagrindžiantis papildomos </w:t>
            </w:r>
            <w:r w:rsidR="00662983" w:rsidRPr="001477F2">
              <w:t>naudos pacientų sveikatai sukūrimo, lyginant su  įprasta klinikine praktika</w:t>
            </w:r>
          </w:p>
          <w:p w14:paraId="6C70BCFC" w14:textId="77777777" w:rsidR="00662983" w:rsidRPr="001477F2" w:rsidRDefault="00662983" w:rsidP="00BD1E5A">
            <w:pPr>
              <w:jc w:val="both"/>
            </w:pPr>
          </w:p>
          <w:p w14:paraId="0ADEC30D" w14:textId="1353964F" w:rsidR="00B13D65" w:rsidRPr="001477F2" w:rsidRDefault="00992883" w:rsidP="00BD1E5A">
            <w:pPr>
              <w:jc w:val="both"/>
            </w:pPr>
            <w:sdt>
              <w:sdtPr>
                <w:rPr>
                  <w:rStyle w:val="Style2"/>
                  <w:sz w:val="24"/>
                </w:rPr>
                <w:id w:val="1289549109"/>
                <w15:color w:val="FFCC00"/>
                <w14:checkbox>
                  <w14:checked w14:val="0"/>
                  <w14:checkedState w14:val="2612" w14:font="MS Gothic"/>
                  <w14:uncheckedState w14:val="2610" w14:font="MS Gothic"/>
                </w14:checkbox>
              </w:sdtPr>
              <w:sdtEndPr>
                <w:rPr>
                  <w:rStyle w:val="Style2"/>
                </w:rPr>
              </w:sdtEndPr>
              <w:sdtContent>
                <w:r w:rsidR="00662983" w:rsidRPr="001477F2">
                  <w:rPr>
                    <w:rStyle w:val="Style2"/>
                    <w:rFonts w:ascii="Segoe UI Symbol" w:eastAsia="MS Gothic" w:hAnsi="Segoe UI Symbol" w:cs="Segoe UI Symbol"/>
                    <w:sz w:val="24"/>
                  </w:rPr>
                  <w:t>☐</w:t>
                </w:r>
              </w:sdtContent>
            </w:sdt>
            <w:r w:rsidR="00B13D65" w:rsidRPr="001477F2">
              <w:t xml:space="preserve"> </w:t>
            </w:r>
            <w:r w:rsidR="00662983" w:rsidRPr="001477F2">
              <w:t xml:space="preserve">33.1. </w:t>
            </w:r>
            <w:r w:rsidR="00B00959" w:rsidRPr="001477F2">
              <w:t xml:space="preserve">yra įvertintas kaip nepagrindžiantis </w:t>
            </w:r>
            <w:r w:rsidR="00B13D65" w:rsidRPr="001477F2">
              <w:t>nesiskiriančios naudos pacientų sveikatai sukūrimo, lyginant su įprasta klinikine praktika</w:t>
            </w:r>
          </w:p>
          <w:p w14:paraId="1EED7901" w14:textId="77777777" w:rsidR="00B13D65" w:rsidRPr="001477F2"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7E672" w14:textId="77777777" w:rsidR="00B13D65" w:rsidRPr="001477F2"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1477F2" w14:paraId="1C75AE76" w14:textId="77777777" w:rsidTr="00C16245">
        <w:trPr>
          <w:trHeight w:val="510"/>
        </w:trPr>
        <w:tc>
          <w:tcPr>
            <w:tcW w:w="9629" w:type="dxa"/>
            <w:gridSpan w:val="2"/>
            <w:vAlign w:val="center"/>
          </w:tcPr>
          <w:p w14:paraId="0247EDAD" w14:textId="7FBBB759" w:rsidR="00B13D65" w:rsidRPr="001477F2"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1477F2">
              <w:rPr>
                <w:rStyle w:val="Style2"/>
                <w:rFonts w:eastAsia="MS Gothic"/>
                <w:b/>
                <w:bCs/>
                <w:sz w:val="24"/>
              </w:rPr>
              <w:t>Kaštų naudingumas</w:t>
            </w:r>
          </w:p>
        </w:tc>
      </w:tr>
      <w:tr w:rsidR="00B13D65" w:rsidRPr="001477F2" w14:paraId="7091A05B" w14:textId="77777777" w:rsidTr="0061611B">
        <w:tc>
          <w:tcPr>
            <w:tcW w:w="4815" w:type="dxa"/>
          </w:tcPr>
          <w:p w14:paraId="69B2A994" w14:textId="7651C164" w:rsidR="00B13D65" w:rsidRPr="001477F2" w:rsidRDefault="009928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0"/>
                  <w14:checkedState w14:val="2612" w14:font="MS Gothic"/>
                  <w14:uncheckedState w14:val="2610" w14:font="MS Gothic"/>
                </w14:checkbox>
              </w:sdtPr>
              <w:sdtEndPr>
                <w:rPr>
                  <w:rStyle w:val="Style2"/>
                </w:rPr>
              </w:sdtEndPr>
              <w:sdtContent>
                <w:r w:rsidR="00A06DBB" w:rsidRPr="001477F2">
                  <w:rPr>
                    <w:rStyle w:val="Style2"/>
                    <w:rFonts w:ascii="MS Gothic" w:eastAsia="MS Gothic" w:hAnsi="MS Gothic" w:hint="eastAsia"/>
                    <w:sz w:val="24"/>
                  </w:rPr>
                  <w:t>☐</w:t>
                </w:r>
              </w:sdtContent>
            </w:sdt>
            <w:r w:rsidR="00B13D65" w:rsidRPr="001477F2">
              <w:t xml:space="preserve"> 32.3. atitinka referencinę naudingumo vertę</w:t>
            </w:r>
          </w:p>
          <w:p w14:paraId="3F76F153" w14:textId="77777777" w:rsidR="00662983" w:rsidRPr="001477F2"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62072E7" w14:textId="09EF4C87" w:rsidR="00B13D65" w:rsidRPr="001477F2" w:rsidRDefault="009928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308081728"/>
                <w15:color w:val="FFCC00"/>
                <w14:checkbox>
                  <w14:checked w14:val="0"/>
                  <w14:checkedState w14:val="2612" w14:font="MS Gothic"/>
                  <w14:uncheckedState w14:val="2610" w14:font="MS Gothic"/>
                </w14:checkbox>
              </w:sdtPr>
              <w:sdtEndPr>
                <w:rPr>
                  <w:rStyle w:val="Style2"/>
                </w:rPr>
              </w:sdtEndPr>
              <w:sdtContent>
                <w:r w:rsidR="00B13D65" w:rsidRPr="001477F2">
                  <w:rPr>
                    <w:rStyle w:val="Style2"/>
                    <w:rFonts w:ascii="Segoe UI Symbol" w:eastAsia="MS Gothic" w:hAnsi="Segoe UI Symbol" w:cs="Segoe UI Symbol"/>
                    <w:sz w:val="24"/>
                  </w:rPr>
                  <w:t>☐</w:t>
                </w:r>
              </w:sdtContent>
            </w:sdt>
            <w:r w:rsidR="00B13D65" w:rsidRPr="001477F2">
              <w:t xml:space="preserve"> 32.3. gydymo juo kaštai yra mažesni ar tokie patys esant iš esmės nesiskiriančiam palyginamajam efektyvumui</w:t>
            </w:r>
            <w:r w:rsidR="00B00959" w:rsidRPr="001477F2">
              <w:t>, lyginant su įprasta klinikine praktika</w:t>
            </w:r>
          </w:p>
          <w:p w14:paraId="25E4BD1E" w14:textId="77777777" w:rsidR="00B13D65" w:rsidRPr="001477F2"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53380063" w14:textId="5930ECE1" w:rsidR="00B13D65" w:rsidRPr="001477F2" w:rsidRDefault="009928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1"/>
                  <w14:checkedState w14:val="2612" w14:font="MS Gothic"/>
                  <w14:uncheckedState w14:val="2610" w14:font="MS Gothic"/>
                </w14:checkbox>
              </w:sdtPr>
              <w:sdtEndPr>
                <w:rPr>
                  <w:rStyle w:val="Style2"/>
                </w:rPr>
              </w:sdtEndPr>
              <w:sdtContent>
                <w:r w:rsidR="004138AE" w:rsidRPr="001477F2">
                  <w:rPr>
                    <w:rStyle w:val="Style2"/>
                    <w:rFonts w:ascii="MS Gothic" w:eastAsia="MS Gothic" w:hAnsi="MS Gothic" w:hint="eastAsia"/>
                    <w:sz w:val="24"/>
                  </w:rPr>
                  <w:t>☒</w:t>
                </w:r>
              </w:sdtContent>
            </w:sdt>
            <w:r w:rsidR="00B13D65" w:rsidRPr="001477F2">
              <w:t xml:space="preserve"> 33.3. neatitinka referencinės naudingumo vertės Lietuvos Respublikoje</w:t>
            </w:r>
          </w:p>
          <w:p w14:paraId="229ED51A" w14:textId="77777777" w:rsidR="00662983" w:rsidRPr="001477F2"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673C3A9" w14:textId="63FF7CB8" w:rsidR="00B13D65" w:rsidRPr="001477F2" w:rsidRDefault="009928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135473618"/>
                <w15:color w:val="FFCC00"/>
                <w14:checkbox>
                  <w14:checked w14:val="0"/>
                  <w14:checkedState w14:val="2612" w14:font="MS Gothic"/>
                  <w14:uncheckedState w14:val="2610" w14:font="MS Gothic"/>
                </w14:checkbox>
              </w:sdtPr>
              <w:sdtEndPr>
                <w:rPr>
                  <w:rStyle w:val="Style2"/>
                </w:rPr>
              </w:sdtEndPr>
              <w:sdtContent>
                <w:r w:rsidR="00B13D65" w:rsidRPr="001477F2">
                  <w:rPr>
                    <w:rStyle w:val="Style2"/>
                    <w:rFonts w:ascii="Segoe UI Symbol" w:eastAsia="MS Gothic" w:hAnsi="Segoe UI Symbol" w:cs="Segoe UI Symbol"/>
                    <w:sz w:val="24"/>
                  </w:rPr>
                  <w:t>☐</w:t>
                </w:r>
              </w:sdtContent>
            </w:sdt>
            <w:r w:rsidR="00B13D65" w:rsidRPr="001477F2">
              <w:t xml:space="preserve"> 33.3. gydymo juo kaštai yra didesni esant iš esmės nesiskiriančiam palyginamajam efektyvumui</w:t>
            </w:r>
            <w:r w:rsidR="00B00959" w:rsidRPr="001477F2">
              <w:t>, lyginant su įprasta klinikine praktika</w:t>
            </w:r>
          </w:p>
          <w:p w14:paraId="4A9C7D2A" w14:textId="77777777" w:rsidR="00662983" w:rsidRPr="001477F2"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226013D" w14:textId="4020B1AC" w:rsidR="00B13D65" w:rsidRPr="001477F2" w:rsidRDefault="009928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08360022"/>
                <w15:color w:val="FFCC00"/>
                <w14:checkbox>
                  <w14:checked w14:val="0"/>
                  <w14:checkedState w14:val="2612" w14:font="MS Gothic"/>
                  <w14:uncheckedState w14:val="2610" w14:font="MS Gothic"/>
                </w14:checkbox>
              </w:sdtPr>
              <w:sdtEndPr>
                <w:rPr>
                  <w:rStyle w:val="Style2"/>
                </w:rPr>
              </w:sdtEndPr>
              <w:sdtContent>
                <w:r w:rsidR="00B13D65" w:rsidRPr="001477F2">
                  <w:rPr>
                    <w:rStyle w:val="Style2"/>
                    <w:rFonts w:ascii="Segoe UI Symbol" w:eastAsia="MS Gothic" w:hAnsi="Segoe UI Symbol" w:cs="Segoe UI Symbol"/>
                    <w:sz w:val="24"/>
                  </w:rPr>
                  <w:t>☐</w:t>
                </w:r>
              </w:sdtContent>
            </w:sdt>
            <w:r w:rsidR="00B13D65" w:rsidRPr="001477F2">
              <w:t xml:space="preserve"> 33.3. pateikti duomenys apie kaštų na</w:t>
            </w:r>
            <w:r w:rsidR="00662983" w:rsidRPr="001477F2">
              <w:t>udingumą yra netinkami vertinti</w:t>
            </w:r>
          </w:p>
          <w:p w14:paraId="470A48A4" w14:textId="77777777" w:rsidR="00B13D65" w:rsidRPr="001477F2"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bl>
    <w:p w14:paraId="65ACA3C5" w14:textId="76C604A1" w:rsidR="004A3A61" w:rsidRPr="001477F2" w:rsidRDefault="004A3A61" w:rsidP="00381024"/>
    <w:p w14:paraId="1B85C083" w14:textId="77777777" w:rsidR="009E44AE" w:rsidRPr="001477F2" w:rsidRDefault="009E44AE" w:rsidP="00381024"/>
    <w:p w14:paraId="3B2D1F25" w14:textId="3A80E19F" w:rsidR="000001B0" w:rsidRPr="001477F2" w:rsidRDefault="000001B0" w:rsidP="00CC09D4">
      <w:pPr>
        <w:pStyle w:val="ListParagraph"/>
        <w:numPr>
          <w:ilvl w:val="0"/>
          <w:numId w:val="12"/>
        </w:numPr>
        <w:ind w:left="567" w:hanging="567"/>
      </w:pPr>
      <w:r w:rsidRPr="001477F2">
        <w:rPr>
          <w:b/>
        </w:rPr>
        <w:t>REKOME</w:t>
      </w:r>
      <w:r w:rsidR="00D83182" w:rsidRPr="001477F2">
        <w:rPr>
          <w:b/>
        </w:rPr>
        <w:t>N</w:t>
      </w:r>
      <w:r w:rsidRPr="001477F2">
        <w:rPr>
          <w:b/>
        </w:rPr>
        <w:t>DACIJA</w:t>
      </w:r>
    </w:p>
    <w:p w14:paraId="7D5C6700" w14:textId="77777777" w:rsidR="00D5470B" w:rsidRPr="001477F2" w:rsidRDefault="00D5470B" w:rsidP="00C712EA">
      <w:pPr>
        <w:pStyle w:val="ListParagraph"/>
        <w:ind w:left="426"/>
      </w:pPr>
    </w:p>
    <w:p w14:paraId="1E3876A7" w14:textId="77777777" w:rsidR="004138AE" w:rsidRPr="001477F2" w:rsidRDefault="004138AE" w:rsidP="004138AE">
      <w:pPr>
        <w:spacing w:line="276" w:lineRule="auto"/>
        <w:rPr>
          <w:iCs/>
        </w:rPr>
      </w:pPr>
    </w:p>
    <w:p w14:paraId="2D1C524F" w14:textId="5CF887DB" w:rsidR="004138AE" w:rsidRPr="001477F2" w:rsidRDefault="004138AE" w:rsidP="00C82673">
      <w:pPr>
        <w:spacing w:line="276" w:lineRule="auto"/>
        <w:ind w:firstLine="567"/>
        <w:rPr>
          <w:iCs/>
        </w:rPr>
      </w:pPr>
      <w:r w:rsidRPr="001477F2">
        <w:rPr>
          <w:iCs/>
        </w:rPr>
        <w:t xml:space="preserve">Vadovaujantis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punktu 34.4. rekomenduojama </w:t>
      </w:r>
      <w:r w:rsidRPr="001477F2">
        <w:rPr>
          <w:i/>
          <w:iCs/>
        </w:rPr>
        <w:t xml:space="preserve">nekompensuoti </w:t>
      </w:r>
      <w:r w:rsidRPr="001477F2">
        <w:rPr>
          <w:iCs/>
        </w:rPr>
        <w:t>vaistinio preparato pagal paraiškoje nurodytą indikaciją su skyrimo sąlygų, taikant PGS dėl vertinimo išvadų, nurodytų 33.3 papunktyje (žr. 6 skyrių),  neatitikties 34.1 papunktyje išdėstytoms sąlygoms.</w:t>
      </w:r>
    </w:p>
    <w:p w14:paraId="14FDF296" w14:textId="5B1AB605" w:rsidR="00A86DDD" w:rsidRPr="001477F2" w:rsidRDefault="00A86DDD" w:rsidP="00606DB1"/>
    <w:p w14:paraId="2AC5D002" w14:textId="46078ED7" w:rsidR="00A86DDD" w:rsidRPr="001477F2" w:rsidRDefault="00A86DDD" w:rsidP="00A1547B">
      <w:pPr>
        <w:spacing w:after="120" w:line="276" w:lineRule="auto"/>
        <w:jc w:val="both"/>
        <w:rPr>
          <w:i/>
        </w:rPr>
      </w:pPr>
      <w:r w:rsidRPr="001477F2">
        <w:rPr>
          <w:i/>
        </w:rPr>
        <w:t>Pastaba</w:t>
      </w:r>
    </w:p>
    <w:p w14:paraId="7162F8FF" w14:textId="656B5734" w:rsidR="004138AE" w:rsidRPr="001477F2" w:rsidRDefault="00A86DDD" w:rsidP="006753D1">
      <w:pPr>
        <w:tabs>
          <w:tab w:val="left" w:pos="567"/>
        </w:tabs>
        <w:jc w:val="both"/>
      </w:pPr>
      <w:r w:rsidRPr="001477F2">
        <w:t>Atsižvelgiant į</w:t>
      </w:r>
      <w:r w:rsidR="004138AE" w:rsidRPr="001477F2">
        <w:t xml:space="preserve"> tai, kad pembrolizumabas sukuria papildomą naudą pacientų sveikatai atitolindamas ligos atsinaujinimą ir taip, tikėtina, pailgina pacientų išgyvenamumą, vadovau</w:t>
      </w:r>
      <w:r w:rsidRPr="001477F2">
        <w:t>jantis</w:t>
      </w:r>
      <w:r w:rsidR="004138AE" w:rsidRPr="001477F2">
        <w:t xml:space="preserve">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35 punktu, siūlo</w:t>
      </w:r>
      <w:r w:rsidRPr="001477F2">
        <w:t>ma</w:t>
      </w:r>
      <w:r w:rsidR="004138AE" w:rsidRPr="001477F2">
        <w:t xml:space="preserve"> </w:t>
      </w:r>
      <w:r w:rsidR="004138AE" w:rsidRPr="001477F2">
        <w:rPr>
          <w:i/>
          <w:iCs/>
        </w:rPr>
        <w:t>kompensuoti</w:t>
      </w:r>
      <w:r w:rsidR="004138AE" w:rsidRPr="001477F2">
        <w:t xml:space="preserve"> vaistinį preparatą pembrolizumabą</w:t>
      </w:r>
      <w:r w:rsidR="004138AE" w:rsidRPr="001477F2">
        <w:rPr>
          <w:lang w:eastAsia="lt-LT"/>
        </w:rPr>
        <w:t xml:space="preserve"> </w:t>
      </w:r>
      <w:r w:rsidR="004138AE" w:rsidRPr="001477F2">
        <w:t xml:space="preserve">su sąlyga, jog vaistinio preparato bazinė kaina bus papildomai sumažinta </w:t>
      </w:r>
      <w:r w:rsidR="006753D1">
        <w:rPr>
          <w:color w:val="FF0000"/>
          <w:lang w:eastAsia="lt-LT"/>
        </w:rPr>
        <w:t xml:space="preserve">x </w:t>
      </w:r>
      <w:r w:rsidR="004138AE" w:rsidRPr="001477F2">
        <w:rPr>
          <w:b/>
        </w:rPr>
        <w:t>proc.</w:t>
      </w:r>
      <w:r w:rsidR="004138AE" w:rsidRPr="001477F2">
        <w:t xml:space="preserve"> </w:t>
      </w:r>
    </w:p>
    <w:p w14:paraId="06BC01EE" w14:textId="44333E0B" w:rsidR="000723FF" w:rsidRPr="001477F2" w:rsidRDefault="000723FF" w:rsidP="00381024"/>
    <w:p w14:paraId="18B4292E" w14:textId="07AD8568" w:rsidR="000723FF" w:rsidRPr="001477F2" w:rsidRDefault="00CC09D4" w:rsidP="004138AE">
      <w:pPr>
        <w:tabs>
          <w:tab w:val="left" w:pos="567"/>
        </w:tabs>
        <w:jc w:val="both"/>
        <w:rPr>
          <w:b/>
          <w:color w:val="000000"/>
          <w:lang w:eastAsia="lt-LT"/>
        </w:rPr>
      </w:pPr>
      <w:r w:rsidRPr="001477F2">
        <w:rPr>
          <w:b/>
          <w:color w:val="000000"/>
          <w:lang w:eastAsia="lt-LT"/>
        </w:rPr>
        <w:t>8.</w:t>
      </w:r>
      <w:r w:rsidRPr="001477F2">
        <w:rPr>
          <w:b/>
          <w:color w:val="000000"/>
          <w:lang w:eastAsia="lt-LT"/>
        </w:rPr>
        <w:tab/>
      </w:r>
      <w:r w:rsidR="000723FF" w:rsidRPr="001477F2">
        <w:rPr>
          <w:b/>
          <w:color w:val="000000"/>
          <w:lang w:eastAsia="lt-LT"/>
        </w:rPr>
        <w:t>SIŪLOMOS KOMPENSUOTI TERAPINĖS INDIKACIJOS IR SKYRIMO SĄLYGOS</w:t>
      </w:r>
      <w:r w:rsidR="004138AE" w:rsidRPr="001477F2">
        <w:rPr>
          <w:b/>
          <w:color w:val="000000"/>
          <w:lang w:eastAsia="lt-LT"/>
        </w:rPr>
        <w:t xml:space="preserve"> (JEI </w:t>
      </w:r>
      <w:r w:rsidR="00807701" w:rsidRPr="001477F2">
        <w:rPr>
          <w:b/>
          <w:color w:val="000000"/>
          <w:lang w:eastAsia="lt-LT"/>
        </w:rPr>
        <w:t>BŪTŲ</w:t>
      </w:r>
      <w:r w:rsidR="004138AE" w:rsidRPr="001477F2">
        <w:rPr>
          <w:b/>
          <w:color w:val="000000"/>
          <w:lang w:eastAsia="lt-LT"/>
        </w:rPr>
        <w:t xml:space="preserve"> KOMPENSUOJAMA)</w:t>
      </w:r>
    </w:p>
    <w:p w14:paraId="691340BB" w14:textId="77777777" w:rsidR="000723FF" w:rsidRPr="001477F2" w:rsidRDefault="000723FF" w:rsidP="000723FF">
      <w:pPr>
        <w:tabs>
          <w:tab w:val="left" w:pos="426"/>
        </w:tabs>
        <w:jc w:val="both"/>
        <w:rPr>
          <w:b/>
          <w:color w:val="000000"/>
          <w:lang w:eastAsia="lt-LT"/>
        </w:rPr>
      </w:pPr>
    </w:p>
    <w:p w14:paraId="529C92C4" w14:textId="152E5FB4" w:rsidR="000723FF" w:rsidRPr="001477F2" w:rsidRDefault="000723FF" w:rsidP="00824B92">
      <w:pPr>
        <w:rPr>
          <w:b/>
          <w:lang w:eastAsia="lt-LT"/>
        </w:rPr>
      </w:pPr>
      <w:r w:rsidRPr="001477F2">
        <w:rPr>
          <w:b/>
          <w:lang w:eastAsia="lt-LT"/>
        </w:rPr>
        <w:t>Terapinės indikacijos</w:t>
      </w:r>
    </w:p>
    <w:p w14:paraId="5BB746DD" w14:textId="598FDE97" w:rsidR="000723FF" w:rsidRPr="001477F2" w:rsidRDefault="00992883" w:rsidP="00824B92">
      <w:sdt>
        <w:sdtPr>
          <w:rPr>
            <w:rStyle w:val="Style2"/>
          </w:rPr>
          <w:id w:val="1146316688"/>
          <w15:color w:val="FFCC00"/>
          <w14:checkbox>
            <w14:checked w14:val="1"/>
            <w14:checkedState w14:val="2612" w14:font="MS Gothic"/>
            <w14:uncheckedState w14:val="2610" w14:font="MS Gothic"/>
          </w14:checkbox>
        </w:sdtPr>
        <w:sdtEndPr>
          <w:rPr>
            <w:rStyle w:val="Style2"/>
          </w:rPr>
        </w:sdtEndPr>
        <w:sdtContent>
          <w:r w:rsidR="00FB4AAA" w:rsidRPr="001477F2">
            <w:rPr>
              <w:rStyle w:val="Style2"/>
              <w:rFonts w:ascii="MS Gothic" w:eastAsia="MS Gothic" w:hAnsi="MS Gothic" w:hint="eastAsia"/>
            </w:rPr>
            <w:t>☒</w:t>
          </w:r>
        </w:sdtContent>
      </w:sdt>
      <w:r w:rsidR="000723FF" w:rsidRPr="001477F2">
        <w:t xml:space="preserve"> Siūloma kompensuoti Pareiškėjo teikiamą indikaciją be pakeitimų.</w:t>
      </w:r>
    </w:p>
    <w:p w14:paraId="6C4C5498" w14:textId="40CA36FA" w:rsidR="00FB4AAA" w:rsidRPr="001477F2" w:rsidRDefault="00FB4AAA" w:rsidP="00FB4AAA">
      <w:pPr>
        <w:pStyle w:val="ListParagraph"/>
        <w:spacing w:after="120" w:line="276" w:lineRule="auto"/>
        <w:ind w:left="0"/>
        <w:contextualSpacing w:val="0"/>
        <w:jc w:val="both"/>
      </w:pPr>
      <w:r w:rsidRPr="001477F2">
        <w:t xml:space="preserve">KEYTRUDA derinant su chemoterapija neoadjuvantiniam gydymui, o vėliau tęsiant monoterapiją adjuvantiniam gydymui po chirurginės operacijos, skirtas vietiškai išplitusio arba ankstyvos stadijos </w:t>
      </w:r>
      <w:r w:rsidRPr="001477F2">
        <w:rPr>
          <w:b/>
        </w:rPr>
        <w:t xml:space="preserve">trigubai neigiamo </w:t>
      </w:r>
      <w:r w:rsidRPr="001477F2">
        <w:t>krūties vėžio gydymui suaugusiesiems, kuriems yra padidėjusi ligos recidyvo rizika.</w:t>
      </w:r>
    </w:p>
    <w:p w14:paraId="597367EF" w14:textId="77777777" w:rsidR="000723FF" w:rsidRPr="001477F2" w:rsidRDefault="00992883" w:rsidP="00824B92">
      <w:sdt>
        <w:sdtPr>
          <w:rPr>
            <w:rStyle w:val="Style2"/>
          </w:rPr>
          <w:id w:val="1467245146"/>
          <w15:color w:val="FFCC00"/>
          <w14:checkbox>
            <w14:checked w14:val="0"/>
            <w14:checkedState w14:val="2612" w14:font="MS Gothic"/>
            <w14:uncheckedState w14:val="2610" w14:font="MS Gothic"/>
          </w14:checkbox>
        </w:sdtPr>
        <w:sdtEndPr>
          <w:rPr>
            <w:rStyle w:val="Style2"/>
          </w:rPr>
        </w:sdtEndPr>
        <w:sdtContent>
          <w:r w:rsidR="000723FF" w:rsidRPr="001477F2">
            <w:rPr>
              <w:rStyle w:val="Style2"/>
              <w:rFonts w:ascii="MS Gothic" w:eastAsia="MS Gothic" w:hAnsi="MS Gothic"/>
            </w:rPr>
            <w:t>☐</w:t>
          </w:r>
        </w:sdtContent>
      </w:sdt>
      <w:r w:rsidR="000723FF" w:rsidRPr="001477F2">
        <w:t xml:space="preserve"> Siūloma kompensuoti Pareiškėjo teikiamą indikaciją su pakeitimais.</w:t>
      </w:r>
    </w:p>
    <w:p w14:paraId="3B671D28" w14:textId="1DB56CF5" w:rsidR="000723FF" w:rsidRPr="001477F2" w:rsidRDefault="000723FF" w:rsidP="00824B92"/>
    <w:p w14:paraId="7DD65F7E" w14:textId="77777777" w:rsidR="000723FF" w:rsidRPr="001477F2" w:rsidRDefault="000723FF" w:rsidP="00824B92"/>
    <w:p w14:paraId="241A6E6B" w14:textId="77777777" w:rsidR="000723FF" w:rsidRPr="001477F2" w:rsidRDefault="000723FF" w:rsidP="00824B92">
      <w:pPr>
        <w:rPr>
          <w:b/>
        </w:rPr>
      </w:pPr>
      <w:r w:rsidRPr="001477F2">
        <w:rPr>
          <w:b/>
        </w:rPr>
        <w:t>Skyrimo sąlygos</w:t>
      </w:r>
    </w:p>
    <w:p w14:paraId="250ACC46" w14:textId="29F6AA46" w:rsidR="000723FF" w:rsidRPr="001477F2" w:rsidRDefault="00992883" w:rsidP="00824B92">
      <w:sdt>
        <w:sdtPr>
          <w:rPr>
            <w:rStyle w:val="Style2"/>
          </w:rPr>
          <w:id w:val="169305347"/>
          <w15:color w:val="FFCC00"/>
          <w14:checkbox>
            <w14:checked w14:val="0"/>
            <w14:checkedState w14:val="2612" w14:font="MS Gothic"/>
            <w14:uncheckedState w14:val="2610" w14:font="MS Gothic"/>
          </w14:checkbox>
        </w:sdtPr>
        <w:sdtEndPr>
          <w:rPr>
            <w:rStyle w:val="Style2"/>
          </w:rPr>
        </w:sdtEndPr>
        <w:sdtContent>
          <w:r w:rsidR="007A2B68" w:rsidRPr="001477F2">
            <w:rPr>
              <w:rStyle w:val="Style2"/>
              <w:rFonts w:ascii="MS Gothic" w:eastAsia="MS Gothic" w:hAnsi="MS Gothic" w:hint="eastAsia"/>
            </w:rPr>
            <w:t>☐</w:t>
          </w:r>
        </w:sdtContent>
      </w:sdt>
      <w:r w:rsidR="000723FF" w:rsidRPr="001477F2">
        <w:t xml:space="preserve"> Pareiškėjo siūlomos skyrimo sąlygos priimtinos. </w:t>
      </w:r>
    </w:p>
    <w:p w14:paraId="297867ED" w14:textId="4A4E67A3" w:rsidR="000723FF" w:rsidRPr="001477F2" w:rsidRDefault="00992883" w:rsidP="00824B92">
      <w:sdt>
        <w:sdtPr>
          <w:rPr>
            <w:rStyle w:val="Style2"/>
          </w:rPr>
          <w:id w:val="1823936883"/>
          <w15:color w:val="FFCC00"/>
          <w14:checkbox>
            <w14:checked w14:val="1"/>
            <w14:checkedState w14:val="2612" w14:font="MS Gothic"/>
            <w14:uncheckedState w14:val="2610" w14:font="MS Gothic"/>
          </w14:checkbox>
        </w:sdtPr>
        <w:sdtEndPr>
          <w:rPr>
            <w:rStyle w:val="Style2"/>
          </w:rPr>
        </w:sdtEndPr>
        <w:sdtContent>
          <w:r w:rsidR="00FB4AAA" w:rsidRPr="001477F2">
            <w:rPr>
              <w:rStyle w:val="Style2"/>
              <w:rFonts w:ascii="MS Gothic" w:eastAsia="MS Gothic" w:hAnsi="MS Gothic" w:hint="eastAsia"/>
            </w:rPr>
            <w:t>☒</w:t>
          </w:r>
        </w:sdtContent>
      </w:sdt>
      <w:r w:rsidR="000723FF" w:rsidRPr="001477F2">
        <w:t xml:space="preserve"> Pareiškėjo siūlomos skyrimo sąlygos nepriimtinos. </w:t>
      </w:r>
    </w:p>
    <w:p w14:paraId="2628BBEC" w14:textId="6F8C70B9" w:rsidR="00FB4AAA" w:rsidRPr="001477F2" w:rsidRDefault="00FB4AAA" w:rsidP="00FB4AAA">
      <w:r w:rsidRPr="001477F2">
        <w:t>Siūloma skyrimo sąlygų formuluotė:</w:t>
      </w:r>
    </w:p>
    <w:p w14:paraId="034CD47A" w14:textId="72061D9F" w:rsidR="00DC7EA9" w:rsidRPr="001477F2" w:rsidRDefault="00DC7EA9" w:rsidP="00A1547B">
      <w:pPr>
        <w:pStyle w:val="NoSpacing"/>
        <w:spacing w:line="276" w:lineRule="auto"/>
        <w:rPr>
          <w:rFonts w:ascii="Times New Roman" w:hAnsi="Times New Roman"/>
          <w:sz w:val="24"/>
          <w:szCs w:val="24"/>
        </w:rPr>
      </w:pPr>
    </w:p>
    <w:p w14:paraId="6FC37F3C" w14:textId="340A1ED0" w:rsidR="00A86DDD" w:rsidRPr="001477F2" w:rsidRDefault="00A86DDD" w:rsidP="00A1547B">
      <w:pPr>
        <w:pStyle w:val="NoSpacing"/>
        <w:spacing w:line="276" w:lineRule="auto"/>
        <w:rPr>
          <w:rFonts w:ascii="Times New Roman" w:hAnsi="Times New Roman"/>
          <w:sz w:val="24"/>
          <w:szCs w:val="24"/>
        </w:rPr>
      </w:pPr>
      <w:r w:rsidRPr="001477F2">
        <w:rPr>
          <w:rFonts w:ascii="Times New Roman" w:hAnsi="Times New Roman"/>
          <w:sz w:val="24"/>
          <w:szCs w:val="24"/>
        </w:rPr>
        <w:t>Skiriamas</w:t>
      </w:r>
      <w:r w:rsidR="00DC7EA9" w:rsidRPr="001477F2">
        <w:rPr>
          <w:rFonts w:ascii="Times New Roman" w:hAnsi="Times New Roman"/>
          <w:sz w:val="24"/>
          <w:szCs w:val="24"/>
        </w:rPr>
        <w:t xml:space="preserve"> vietiškai išplitusiam arba ankstyvos stadijos trigubai neigiamam krūties vėžiui gydyti:</w:t>
      </w:r>
    </w:p>
    <w:p w14:paraId="2F793427" w14:textId="57FB6069" w:rsidR="00DC7EA9" w:rsidRPr="001477F2" w:rsidRDefault="00DC7EA9" w:rsidP="00A1547B">
      <w:pPr>
        <w:pStyle w:val="NoSpacing"/>
        <w:numPr>
          <w:ilvl w:val="0"/>
          <w:numId w:val="15"/>
        </w:numPr>
        <w:spacing w:line="276" w:lineRule="auto"/>
        <w:rPr>
          <w:rFonts w:ascii="Times New Roman" w:hAnsi="Times New Roman"/>
          <w:sz w:val="24"/>
          <w:szCs w:val="24"/>
        </w:rPr>
      </w:pPr>
      <w:r w:rsidRPr="001477F2">
        <w:rPr>
          <w:rFonts w:ascii="Times New Roman" w:hAnsi="Times New Roman"/>
          <w:i/>
          <w:sz w:val="24"/>
          <w:szCs w:val="24"/>
        </w:rPr>
        <w:t xml:space="preserve">neoadjuvantiniam gydymui  - </w:t>
      </w:r>
      <w:r w:rsidRPr="001477F2">
        <w:rPr>
          <w:rFonts w:ascii="Times New Roman" w:hAnsi="Times New Roman"/>
          <w:sz w:val="24"/>
          <w:szCs w:val="24"/>
        </w:rPr>
        <w:t>derinyje su</w:t>
      </w:r>
      <w:r w:rsidRPr="001477F2">
        <w:rPr>
          <w:rFonts w:ascii="Times New Roman" w:hAnsi="Times New Roman"/>
          <w:i/>
          <w:sz w:val="24"/>
          <w:szCs w:val="24"/>
        </w:rPr>
        <w:t xml:space="preserve"> </w:t>
      </w:r>
      <w:r w:rsidRPr="001477F2">
        <w:rPr>
          <w:rFonts w:ascii="Times New Roman" w:hAnsi="Times New Roman"/>
          <w:sz w:val="24"/>
          <w:szCs w:val="24"/>
        </w:rPr>
        <w:t>chemoterapija;</w:t>
      </w:r>
    </w:p>
    <w:p w14:paraId="770CD48B" w14:textId="0A6BAB74" w:rsidR="00DC7EA9" w:rsidRPr="001477F2" w:rsidRDefault="00DC7EA9" w:rsidP="00A1547B">
      <w:pPr>
        <w:pStyle w:val="NoSpacing"/>
        <w:numPr>
          <w:ilvl w:val="0"/>
          <w:numId w:val="15"/>
        </w:numPr>
        <w:spacing w:line="276" w:lineRule="auto"/>
        <w:rPr>
          <w:rFonts w:ascii="Times New Roman" w:hAnsi="Times New Roman"/>
          <w:sz w:val="24"/>
          <w:szCs w:val="24"/>
        </w:rPr>
      </w:pPr>
      <w:r w:rsidRPr="001477F2">
        <w:rPr>
          <w:rFonts w:ascii="Times New Roman" w:hAnsi="Times New Roman"/>
          <w:i/>
          <w:sz w:val="24"/>
          <w:szCs w:val="24"/>
        </w:rPr>
        <w:t xml:space="preserve">adjuvantiniam gydymui - </w:t>
      </w:r>
      <w:r w:rsidRPr="001477F2">
        <w:rPr>
          <w:rFonts w:ascii="Times New Roman" w:hAnsi="Times New Roman"/>
          <w:sz w:val="24"/>
          <w:szCs w:val="24"/>
        </w:rPr>
        <w:t>pacientams su padidėjusia ligos recidyvo rizika  monoterapijai, skiriant ne daugiau kaip 9 gydymo ciklus.</w:t>
      </w:r>
    </w:p>
    <w:p w14:paraId="73126903" w14:textId="77777777" w:rsidR="00DC7EA9" w:rsidRPr="00A1547B" w:rsidRDefault="00DC7EA9" w:rsidP="00A1547B">
      <w:pPr>
        <w:pStyle w:val="NoSpacing"/>
        <w:spacing w:line="276" w:lineRule="auto"/>
        <w:rPr>
          <w:rFonts w:ascii="Times New Roman" w:hAnsi="Times New Roman"/>
          <w:i/>
          <w:sz w:val="24"/>
          <w:szCs w:val="24"/>
        </w:rPr>
      </w:pPr>
    </w:p>
    <w:sectPr w:rsidR="00DC7EA9" w:rsidRPr="00A1547B" w:rsidSect="00307DA8">
      <w:headerReference w:type="even" r:id="rId11"/>
      <w:headerReference w:type="default" r:id="rId12"/>
      <w:headerReference w:type="first" r:id="rId13"/>
      <w:footerReference w:type="first" r:id="rId14"/>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9E06FD" w14:textId="77777777" w:rsidR="00992883" w:rsidRDefault="00992883">
      <w:r>
        <w:separator/>
      </w:r>
    </w:p>
  </w:endnote>
  <w:endnote w:type="continuationSeparator" w:id="0">
    <w:p w14:paraId="317A8B05" w14:textId="77777777" w:rsidR="00992883" w:rsidRDefault="00992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D3368" w14:textId="77777777" w:rsidR="00347FAA" w:rsidRDefault="00347FAA">
    <w:pPr>
      <w:pStyle w:val="Footer"/>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D8E69" w14:textId="77777777" w:rsidR="00992883" w:rsidRDefault="00992883">
      <w:r>
        <w:separator/>
      </w:r>
    </w:p>
  </w:footnote>
  <w:footnote w:type="continuationSeparator" w:id="0">
    <w:p w14:paraId="1C30EBBE" w14:textId="77777777" w:rsidR="00992883" w:rsidRDefault="009928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86FB2" w14:textId="01DD6BC3" w:rsidR="00347FAA" w:rsidRDefault="00BC6229">
    <w:pPr>
      <w:pStyle w:val="Header"/>
      <w:framePr w:wrap="around" w:vAnchor="text" w:hAnchor="margin" w:xAlign="center" w:y="1"/>
      <w:rPr>
        <w:rStyle w:val="PageNumber"/>
      </w:rPr>
    </w:pPr>
    <w:r>
      <w:rPr>
        <w:noProof/>
        <w:lang w:eastAsia="lt-LT"/>
      </w:rPr>
      <mc:AlternateContent>
        <mc:Choice Requires="wps">
          <w:drawing>
            <wp:anchor distT="0" distB="0" distL="0" distR="0" simplePos="0" relativeHeight="251659264" behindDoc="0" locked="0" layoutInCell="1" allowOverlap="1" wp14:anchorId="267BDBA7" wp14:editId="74D61AC0">
              <wp:simplePos x="635" y="635"/>
              <wp:positionH relativeFrom="page">
                <wp:align>left</wp:align>
              </wp:positionH>
              <wp:positionV relativeFrom="page">
                <wp:align>top</wp:align>
              </wp:positionV>
              <wp:extent cx="443865" cy="443865"/>
              <wp:effectExtent l="0" t="0" r="14605" b="4445"/>
              <wp:wrapNone/>
              <wp:docPr id="2" name="Text Box 2" descr="Proprietary">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A140D4" w14:textId="68410571" w:rsidR="00BC6229" w:rsidRPr="00BC6229" w:rsidRDefault="00BC6229" w:rsidP="00BC6229">
                          <w:pPr>
                            <w:rPr>
                              <w:rFonts w:ascii="Calibri" w:eastAsia="Calibri" w:hAnsi="Calibri" w:cs="Calibri"/>
                              <w:noProof/>
                              <w:color w:val="00B294"/>
                            </w:rPr>
                          </w:pPr>
                          <w:r w:rsidRPr="00BC6229">
                            <w:rPr>
                              <w:rFonts w:ascii="Calibri" w:eastAsia="Calibri" w:hAnsi="Calibri" w:cs="Calibri"/>
                              <w:noProof/>
                              <w:color w:val="00B294"/>
                            </w:rPr>
                            <w:t>Proprietary</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67BDBA7" id="_x0000_t202" coordsize="21600,21600" o:spt="202" path="m,l,21600r21600,l21600,xe">
              <v:stroke joinstyle="miter"/>
              <v:path gradientshapeok="t" o:connecttype="rect"/>
            </v:shapetype>
            <v:shape id="Text Box 2" o:spid="_x0000_s1026" type="#_x0000_t202" alt="Proprietary"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fill o:detectmouseclick="t"/>
              <v:textbox style="mso-fit-shape-to-text:t" inset="20pt,15pt,0,0">
                <w:txbxContent>
                  <w:p w14:paraId="7FA140D4" w14:textId="68410571" w:rsidR="00BC6229" w:rsidRPr="00BC6229" w:rsidRDefault="00BC6229" w:rsidP="00BC6229">
                    <w:pPr>
                      <w:rPr>
                        <w:rFonts w:ascii="Calibri" w:eastAsia="Calibri" w:hAnsi="Calibri" w:cs="Calibri"/>
                        <w:noProof/>
                        <w:color w:val="00B294"/>
                      </w:rPr>
                    </w:pPr>
                    <w:r w:rsidRPr="00BC6229">
                      <w:rPr>
                        <w:rFonts w:ascii="Calibri" w:eastAsia="Calibri" w:hAnsi="Calibri" w:cs="Calibri"/>
                        <w:noProof/>
                        <w:color w:val="00B294"/>
                      </w:rPr>
                      <w:t>Proprietary</w:t>
                    </w:r>
                  </w:p>
                </w:txbxContent>
              </v:textbox>
              <w10:wrap anchorx="page" anchory="page"/>
            </v:shape>
          </w:pict>
        </mc:Fallback>
      </mc:AlternateContent>
    </w:r>
    <w:r w:rsidR="00347FAA">
      <w:rPr>
        <w:rStyle w:val="PageNumber"/>
      </w:rPr>
      <w:fldChar w:fldCharType="begin"/>
    </w:r>
    <w:r w:rsidR="00347FAA">
      <w:rPr>
        <w:rStyle w:val="PageNumber"/>
      </w:rPr>
      <w:instrText xml:space="preserve">PAGE  </w:instrText>
    </w:r>
    <w:r w:rsidR="00347FAA">
      <w:rPr>
        <w:rStyle w:val="PageNumber"/>
      </w:rPr>
      <w:fldChar w:fldCharType="separate"/>
    </w:r>
    <w:r w:rsidR="00347FAA">
      <w:rPr>
        <w:rStyle w:val="PageNumber"/>
        <w:noProof/>
      </w:rPr>
      <w:t>1</w:t>
    </w:r>
    <w:r w:rsidR="00347FAA">
      <w:rPr>
        <w:rStyle w:val="PageNumber"/>
      </w:rPr>
      <w:fldChar w:fldCharType="end"/>
    </w:r>
  </w:p>
  <w:p w14:paraId="3E81DB01" w14:textId="77777777" w:rsidR="00347FAA" w:rsidRDefault="00347F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BD5F9" w14:textId="11BC6627" w:rsidR="00347FAA" w:rsidRDefault="00BC6229">
    <w:pPr>
      <w:pStyle w:val="Header"/>
      <w:framePr w:wrap="around" w:vAnchor="text" w:hAnchor="margin" w:xAlign="center" w:y="1"/>
      <w:rPr>
        <w:rStyle w:val="PageNumber"/>
      </w:rPr>
    </w:pPr>
    <w:r>
      <w:rPr>
        <w:noProof/>
        <w:lang w:eastAsia="lt-LT"/>
      </w:rPr>
      <mc:AlternateContent>
        <mc:Choice Requires="wps">
          <w:drawing>
            <wp:anchor distT="0" distB="0" distL="0" distR="0" simplePos="0" relativeHeight="251660288" behindDoc="0" locked="0" layoutInCell="1" allowOverlap="1" wp14:anchorId="37B64C30" wp14:editId="2C71F842">
              <wp:simplePos x="4102735" y="411480"/>
              <wp:positionH relativeFrom="page">
                <wp:align>left</wp:align>
              </wp:positionH>
              <wp:positionV relativeFrom="page">
                <wp:align>top</wp:align>
              </wp:positionV>
              <wp:extent cx="443865" cy="443865"/>
              <wp:effectExtent l="0" t="0" r="14605" b="4445"/>
              <wp:wrapNone/>
              <wp:docPr id="3" name="Text Box 3" descr="Proprietary">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73C9F6" w14:textId="0E17D948" w:rsidR="00BC6229" w:rsidRPr="00BC6229" w:rsidRDefault="00BC6229" w:rsidP="00BC6229">
                          <w:pPr>
                            <w:rPr>
                              <w:rFonts w:ascii="Calibri" w:eastAsia="Calibri" w:hAnsi="Calibri" w:cs="Calibri"/>
                              <w:noProof/>
                              <w:color w:val="00B294"/>
                            </w:rPr>
                          </w:pPr>
                          <w:r w:rsidRPr="00BC6229">
                            <w:rPr>
                              <w:rFonts w:ascii="Calibri" w:eastAsia="Calibri" w:hAnsi="Calibri" w:cs="Calibri"/>
                              <w:noProof/>
                              <w:color w:val="00B294"/>
                            </w:rPr>
                            <w:t>Proprietary</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7B64C30" id="_x0000_t202" coordsize="21600,21600" o:spt="202" path="m,l,21600r21600,l21600,xe">
              <v:stroke joinstyle="miter"/>
              <v:path gradientshapeok="t" o:connecttype="rect"/>
            </v:shapetype>
            <v:shape id="Text Box 3" o:spid="_x0000_s1027" type="#_x0000_t202" alt="Proprietary"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fill o:detectmouseclick="t"/>
              <v:textbox style="mso-fit-shape-to-text:t" inset="20pt,15pt,0,0">
                <w:txbxContent>
                  <w:p w14:paraId="6D73C9F6" w14:textId="0E17D948" w:rsidR="00BC6229" w:rsidRPr="00BC6229" w:rsidRDefault="00BC6229" w:rsidP="00BC6229">
                    <w:pPr>
                      <w:rPr>
                        <w:rFonts w:ascii="Calibri" w:eastAsia="Calibri" w:hAnsi="Calibri" w:cs="Calibri"/>
                        <w:noProof/>
                        <w:color w:val="00B294"/>
                      </w:rPr>
                    </w:pPr>
                    <w:r w:rsidRPr="00BC6229">
                      <w:rPr>
                        <w:rFonts w:ascii="Calibri" w:eastAsia="Calibri" w:hAnsi="Calibri" w:cs="Calibri"/>
                        <w:noProof/>
                        <w:color w:val="00B294"/>
                      </w:rPr>
                      <w:t>Proprietary</w:t>
                    </w:r>
                  </w:p>
                </w:txbxContent>
              </v:textbox>
              <w10:wrap anchorx="page" anchory="page"/>
            </v:shape>
          </w:pict>
        </mc:Fallback>
      </mc:AlternateContent>
    </w:r>
    <w:r w:rsidR="00347FAA">
      <w:rPr>
        <w:rStyle w:val="PageNumber"/>
      </w:rPr>
      <w:fldChar w:fldCharType="begin"/>
    </w:r>
    <w:r w:rsidR="00347FAA">
      <w:rPr>
        <w:rStyle w:val="PageNumber"/>
      </w:rPr>
      <w:instrText xml:space="preserve">PAGE  </w:instrText>
    </w:r>
    <w:r w:rsidR="00347FAA">
      <w:rPr>
        <w:rStyle w:val="PageNumber"/>
      </w:rPr>
      <w:fldChar w:fldCharType="separate"/>
    </w:r>
    <w:r w:rsidR="006D35A4">
      <w:rPr>
        <w:rStyle w:val="PageNumber"/>
        <w:noProof/>
      </w:rPr>
      <w:t>8</w:t>
    </w:r>
    <w:r w:rsidR="00347FAA">
      <w:rPr>
        <w:rStyle w:val="PageNumber"/>
      </w:rPr>
      <w:fldChar w:fldCharType="end"/>
    </w:r>
  </w:p>
  <w:p w14:paraId="13EC872E" w14:textId="77777777" w:rsidR="00347FAA" w:rsidRDefault="00347F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E1C8F" w14:textId="54C77441" w:rsidR="00347FAA" w:rsidRDefault="00BC6229" w:rsidP="00FD793C">
    <w:pPr>
      <w:pStyle w:val="Header"/>
      <w:ind w:left="612"/>
      <w:rPr>
        <w:sz w:val="2"/>
        <w:szCs w:val="2"/>
      </w:rPr>
    </w:pPr>
    <w:r>
      <w:rPr>
        <w:noProof/>
        <w:sz w:val="2"/>
        <w:szCs w:val="2"/>
        <w:lang w:eastAsia="lt-LT"/>
      </w:rPr>
      <mc:AlternateContent>
        <mc:Choice Requires="wps">
          <w:drawing>
            <wp:anchor distT="0" distB="0" distL="0" distR="0" simplePos="0" relativeHeight="251658240" behindDoc="0" locked="0" layoutInCell="1" allowOverlap="1" wp14:anchorId="02C3B3E3" wp14:editId="57AACE18">
              <wp:simplePos x="1076325" y="409575"/>
              <wp:positionH relativeFrom="page">
                <wp:align>left</wp:align>
              </wp:positionH>
              <wp:positionV relativeFrom="page">
                <wp:align>top</wp:align>
              </wp:positionV>
              <wp:extent cx="443865" cy="443865"/>
              <wp:effectExtent l="0" t="0" r="14605" b="4445"/>
              <wp:wrapNone/>
              <wp:docPr id="1" name="Text Box 1" descr="Proprietary">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F2F763" w14:textId="1109846F" w:rsidR="00BC6229" w:rsidRPr="00BC6229" w:rsidRDefault="00BC6229" w:rsidP="00BC6229">
                          <w:pPr>
                            <w:rPr>
                              <w:rFonts w:ascii="Calibri" w:eastAsia="Calibri" w:hAnsi="Calibri" w:cs="Calibri"/>
                              <w:noProof/>
                              <w:color w:val="00B294"/>
                            </w:rPr>
                          </w:pPr>
                          <w:r w:rsidRPr="00BC6229">
                            <w:rPr>
                              <w:rFonts w:ascii="Calibri" w:eastAsia="Calibri" w:hAnsi="Calibri" w:cs="Calibri"/>
                              <w:noProof/>
                              <w:color w:val="00B294"/>
                            </w:rPr>
                            <w:t>Proprietary</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2C3B3E3" id="_x0000_t202" coordsize="21600,21600" o:spt="202" path="m,l,21600r21600,l21600,xe">
              <v:stroke joinstyle="miter"/>
              <v:path gradientshapeok="t" o:connecttype="rect"/>
            </v:shapetype>
            <v:shape id="Text Box 1" o:spid="_x0000_s1028" type="#_x0000_t202" alt="Proprietary"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fill o:detectmouseclick="t"/>
              <v:textbox style="mso-fit-shape-to-text:t" inset="20pt,15pt,0,0">
                <w:txbxContent>
                  <w:p w14:paraId="71F2F763" w14:textId="1109846F" w:rsidR="00BC6229" w:rsidRPr="00BC6229" w:rsidRDefault="00BC6229" w:rsidP="00BC6229">
                    <w:pPr>
                      <w:rPr>
                        <w:rFonts w:ascii="Calibri" w:eastAsia="Calibri" w:hAnsi="Calibri" w:cs="Calibri"/>
                        <w:noProof/>
                        <w:color w:val="00B294"/>
                      </w:rPr>
                    </w:pPr>
                    <w:r w:rsidRPr="00BC6229">
                      <w:rPr>
                        <w:rFonts w:ascii="Calibri" w:eastAsia="Calibri" w:hAnsi="Calibri" w:cs="Calibri"/>
                        <w:noProof/>
                        <w:color w:val="00B294"/>
                      </w:rPr>
                      <w:t>Proprietary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2FE76DD"/>
    <w:multiLevelType w:val="hybridMultilevel"/>
    <w:tmpl w:val="C14AAADA"/>
    <w:lvl w:ilvl="0" w:tplc="CA7C81AA">
      <w:start w:val="3"/>
      <w:numFmt w:val="bullet"/>
      <w:lvlText w:val="-"/>
      <w:lvlJc w:val="left"/>
      <w:pPr>
        <w:ind w:left="720" w:hanging="360"/>
      </w:pPr>
      <w:rPr>
        <w:rFonts w:ascii="Times New Roman" w:eastAsia="Arial"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942293"/>
    <w:multiLevelType w:val="hybridMultilevel"/>
    <w:tmpl w:val="B75245C4"/>
    <w:lvl w:ilvl="0" w:tplc="303861E2">
      <w:start w:val="1"/>
      <w:numFmt w:val="lowerLetter"/>
      <w:lvlText w:val="%1)"/>
      <w:lvlJc w:val="left"/>
      <w:pPr>
        <w:ind w:left="480" w:hanging="360"/>
      </w:pPr>
      <w:rPr>
        <w:rFonts w:hint="default"/>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5"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6"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8"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7304B5"/>
    <w:multiLevelType w:val="hybridMultilevel"/>
    <w:tmpl w:val="B956CE72"/>
    <w:lvl w:ilvl="0" w:tplc="CA7C81AA">
      <w:start w:val="3"/>
      <w:numFmt w:val="bullet"/>
      <w:lvlText w:val="-"/>
      <w:lvlJc w:val="left"/>
      <w:pPr>
        <w:ind w:left="720" w:hanging="360"/>
      </w:pPr>
      <w:rPr>
        <w:rFonts w:ascii="Times New Roman" w:eastAsia="Arial"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2"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1"/>
  </w:num>
  <w:num w:numId="4">
    <w:abstractNumId w:val="10"/>
  </w:num>
  <w:num w:numId="5">
    <w:abstractNumId w:val="7"/>
  </w:num>
  <w:num w:numId="6">
    <w:abstractNumId w:val="6"/>
  </w:num>
  <w:num w:numId="7">
    <w:abstractNumId w:val="5"/>
  </w:num>
  <w:num w:numId="8">
    <w:abstractNumId w:val="14"/>
  </w:num>
  <w:num w:numId="9">
    <w:abstractNumId w:val="0"/>
  </w:num>
  <w:num w:numId="10">
    <w:abstractNumId w:val="12"/>
  </w:num>
  <w:num w:numId="11">
    <w:abstractNumId w:val="13"/>
  </w:num>
  <w:num w:numId="12">
    <w:abstractNumId w:val="3"/>
  </w:num>
  <w:num w:numId="13">
    <w:abstractNumId w:val="9"/>
  </w:num>
  <w:num w:numId="14">
    <w:abstractNumId w:val="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0E7"/>
    <w:rsid w:val="000001B0"/>
    <w:rsid w:val="00003F5B"/>
    <w:rsid w:val="000114DD"/>
    <w:rsid w:val="000136F7"/>
    <w:rsid w:val="0002686C"/>
    <w:rsid w:val="000310C7"/>
    <w:rsid w:val="00031D0E"/>
    <w:rsid w:val="000337E6"/>
    <w:rsid w:val="0003402E"/>
    <w:rsid w:val="00034EAE"/>
    <w:rsid w:val="00042924"/>
    <w:rsid w:val="00053975"/>
    <w:rsid w:val="00057A2B"/>
    <w:rsid w:val="000606BE"/>
    <w:rsid w:val="000723FF"/>
    <w:rsid w:val="000736B8"/>
    <w:rsid w:val="0008190F"/>
    <w:rsid w:val="00081D9C"/>
    <w:rsid w:val="00082907"/>
    <w:rsid w:val="0008378D"/>
    <w:rsid w:val="000908A5"/>
    <w:rsid w:val="00092805"/>
    <w:rsid w:val="000C454C"/>
    <w:rsid w:val="000D5038"/>
    <w:rsid w:val="000E29D4"/>
    <w:rsid w:val="000F3540"/>
    <w:rsid w:val="00100491"/>
    <w:rsid w:val="00104E2E"/>
    <w:rsid w:val="00107287"/>
    <w:rsid w:val="00117406"/>
    <w:rsid w:val="00121EF0"/>
    <w:rsid w:val="00124A9E"/>
    <w:rsid w:val="00130703"/>
    <w:rsid w:val="0013153F"/>
    <w:rsid w:val="001408B8"/>
    <w:rsid w:val="001477F2"/>
    <w:rsid w:val="001517E2"/>
    <w:rsid w:val="001521D9"/>
    <w:rsid w:val="001549B2"/>
    <w:rsid w:val="001554E2"/>
    <w:rsid w:val="00160105"/>
    <w:rsid w:val="00164146"/>
    <w:rsid w:val="0017369C"/>
    <w:rsid w:val="00175D57"/>
    <w:rsid w:val="00180C39"/>
    <w:rsid w:val="00180D96"/>
    <w:rsid w:val="00184BD3"/>
    <w:rsid w:val="001854F3"/>
    <w:rsid w:val="001921F3"/>
    <w:rsid w:val="001B3C5B"/>
    <w:rsid w:val="001B42A0"/>
    <w:rsid w:val="001D746F"/>
    <w:rsid w:val="001E4BBB"/>
    <w:rsid w:val="001E6304"/>
    <w:rsid w:val="0020381E"/>
    <w:rsid w:val="00213471"/>
    <w:rsid w:val="00215906"/>
    <w:rsid w:val="00241CD8"/>
    <w:rsid w:val="00244B09"/>
    <w:rsid w:val="002519CB"/>
    <w:rsid w:val="0025697F"/>
    <w:rsid w:val="00260258"/>
    <w:rsid w:val="0026588E"/>
    <w:rsid w:val="00272428"/>
    <w:rsid w:val="00272948"/>
    <w:rsid w:val="002740F6"/>
    <w:rsid w:val="00287C92"/>
    <w:rsid w:val="00292392"/>
    <w:rsid w:val="002946C7"/>
    <w:rsid w:val="002B3CC1"/>
    <w:rsid w:val="002B3D0A"/>
    <w:rsid w:val="002C09E0"/>
    <w:rsid w:val="002C1BB1"/>
    <w:rsid w:val="002C2786"/>
    <w:rsid w:val="002C3A10"/>
    <w:rsid w:val="002C4A90"/>
    <w:rsid w:val="002C4ED5"/>
    <w:rsid w:val="002D02EF"/>
    <w:rsid w:val="002E0702"/>
    <w:rsid w:val="002E57AD"/>
    <w:rsid w:val="002E6F80"/>
    <w:rsid w:val="002F0E4F"/>
    <w:rsid w:val="002F1053"/>
    <w:rsid w:val="00307DA8"/>
    <w:rsid w:val="00315480"/>
    <w:rsid w:val="00317B0E"/>
    <w:rsid w:val="00347FAA"/>
    <w:rsid w:val="0035172D"/>
    <w:rsid w:val="0036187D"/>
    <w:rsid w:val="003633D9"/>
    <w:rsid w:val="00367EDB"/>
    <w:rsid w:val="00367F21"/>
    <w:rsid w:val="00381024"/>
    <w:rsid w:val="00386307"/>
    <w:rsid w:val="003874DE"/>
    <w:rsid w:val="00393E9F"/>
    <w:rsid w:val="0039696E"/>
    <w:rsid w:val="003A59A8"/>
    <w:rsid w:val="003B211A"/>
    <w:rsid w:val="003C141F"/>
    <w:rsid w:val="003C6B0E"/>
    <w:rsid w:val="003C7257"/>
    <w:rsid w:val="003C7E35"/>
    <w:rsid w:val="003D1877"/>
    <w:rsid w:val="003D1E99"/>
    <w:rsid w:val="003D6208"/>
    <w:rsid w:val="003F298E"/>
    <w:rsid w:val="00404E8A"/>
    <w:rsid w:val="0040622F"/>
    <w:rsid w:val="004138AE"/>
    <w:rsid w:val="00413F24"/>
    <w:rsid w:val="00422853"/>
    <w:rsid w:val="00423160"/>
    <w:rsid w:val="00453862"/>
    <w:rsid w:val="0045469B"/>
    <w:rsid w:val="00461338"/>
    <w:rsid w:val="004677DB"/>
    <w:rsid w:val="0047414A"/>
    <w:rsid w:val="00476256"/>
    <w:rsid w:val="0048630F"/>
    <w:rsid w:val="004947A1"/>
    <w:rsid w:val="0049482A"/>
    <w:rsid w:val="004979D3"/>
    <w:rsid w:val="004A00E7"/>
    <w:rsid w:val="004A3A61"/>
    <w:rsid w:val="004B205D"/>
    <w:rsid w:val="004B59BA"/>
    <w:rsid w:val="004B5A03"/>
    <w:rsid w:val="004C263A"/>
    <w:rsid w:val="004D48A6"/>
    <w:rsid w:val="004D6144"/>
    <w:rsid w:val="004D7B8F"/>
    <w:rsid w:val="004E6458"/>
    <w:rsid w:val="004E6E7D"/>
    <w:rsid w:val="004F1AAC"/>
    <w:rsid w:val="004F1AE2"/>
    <w:rsid w:val="004F34F0"/>
    <w:rsid w:val="004F3B2B"/>
    <w:rsid w:val="004F6050"/>
    <w:rsid w:val="005005EF"/>
    <w:rsid w:val="00505C92"/>
    <w:rsid w:val="005123C2"/>
    <w:rsid w:val="0052144B"/>
    <w:rsid w:val="00524066"/>
    <w:rsid w:val="00534E11"/>
    <w:rsid w:val="005378D8"/>
    <w:rsid w:val="005400D9"/>
    <w:rsid w:val="005476A4"/>
    <w:rsid w:val="0055019B"/>
    <w:rsid w:val="00556E63"/>
    <w:rsid w:val="005601A4"/>
    <w:rsid w:val="00566DBB"/>
    <w:rsid w:val="005767DB"/>
    <w:rsid w:val="005815E6"/>
    <w:rsid w:val="0058712F"/>
    <w:rsid w:val="005976CE"/>
    <w:rsid w:val="005A23D4"/>
    <w:rsid w:val="005A2D1E"/>
    <w:rsid w:val="005B3756"/>
    <w:rsid w:val="005C493F"/>
    <w:rsid w:val="005C6BF7"/>
    <w:rsid w:val="005C71BF"/>
    <w:rsid w:val="005D002C"/>
    <w:rsid w:val="005D30E1"/>
    <w:rsid w:val="005D6555"/>
    <w:rsid w:val="005D7BDF"/>
    <w:rsid w:val="005E4870"/>
    <w:rsid w:val="005F71D9"/>
    <w:rsid w:val="005F7602"/>
    <w:rsid w:val="006031C8"/>
    <w:rsid w:val="006062BE"/>
    <w:rsid w:val="00606DB1"/>
    <w:rsid w:val="00613143"/>
    <w:rsid w:val="00613501"/>
    <w:rsid w:val="0061611B"/>
    <w:rsid w:val="006166A8"/>
    <w:rsid w:val="006174A1"/>
    <w:rsid w:val="00621D6C"/>
    <w:rsid w:val="00621FD5"/>
    <w:rsid w:val="00633B49"/>
    <w:rsid w:val="0064297F"/>
    <w:rsid w:val="00645102"/>
    <w:rsid w:val="00646CF3"/>
    <w:rsid w:val="00653D11"/>
    <w:rsid w:val="00662983"/>
    <w:rsid w:val="006753D1"/>
    <w:rsid w:val="006834D3"/>
    <w:rsid w:val="00692625"/>
    <w:rsid w:val="00695CD3"/>
    <w:rsid w:val="006A38B6"/>
    <w:rsid w:val="006B1987"/>
    <w:rsid w:val="006B5B71"/>
    <w:rsid w:val="006B6CB0"/>
    <w:rsid w:val="006C0296"/>
    <w:rsid w:val="006C2B64"/>
    <w:rsid w:val="006D35A4"/>
    <w:rsid w:val="006D3CC2"/>
    <w:rsid w:val="006D40A0"/>
    <w:rsid w:val="006D4C85"/>
    <w:rsid w:val="006D66AC"/>
    <w:rsid w:val="006E33F6"/>
    <w:rsid w:val="006F1251"/>
    <w:rsid w:val="006F1C23"/>
    <w:rsid w:val="00702C18"/>
    <w:rsid w:val="00703166"/>
    <w:rsid w:val="007127F3"/>
    <w:rsid w:val="007301CF"/>
    <w:rsid w:val="007316FB"/>
    <w:rsid w:val="007374D0"/>
    <w:rsid w:val="00737E2D"/>
    <w:rsid w:val="007424D5"/>
    <w:rsid w:val="00750A88"/>
    <w:rsid w:val="007523DD"/>
    <w:rsid w:val="00757B7E"/>
    <w:rsid w:val="007656B2"/>
    <w:rsid w:val="0077016F"/>
    <w:rsid w:val="007713AD"/>
    <w:rsid w:val="00795DC5"/>
    <w:rsid w:val="00797153"/>
    <w:rsid w:val="007A21F7"/>
    <w:rsid w:val="007A2B68"/>
    <w:rsid w:val="007B0DDA"/>
    <w:rsid w:val="007C0875"/>
    <w:rsid w:val="007C6794"/>
    <w:rsid w:val="007C7519"/>
    <w:rsid w:val="007D3347"/>
    <w:rsid w:val="007E5466"/>
    <w:rsid w:val="007F1949"/>
    <w:rsid w:val="007F2592"/>
    <w:rsid w:val="00800A08"/>
    <w:rsid w:val="00807701"/>
    <w:rsid w:val="00817A84"/>
    <w:rsid w:val="008225A4"/>
    <w:rsid w:val="00824B92"/>
    <w:rsid w:val="00826D5E"/>
    <w:rsid w:val="00832013"/>
    <w:rsid w:val="00832DB7"/>
    <w:rsid w:val="00834732"/>
    <w:rsid w:val="0085200C"/>
    <w:rsid w:val="00857C52"/>
    <w:rsid w:val="00860D5F"/>
    <w:rsid w:val="00867EFD"/>
    <w:rsid w:val="00880A44"/>
    <w:rsid w:val="0088345E"/>
    <w:rsid w:val="0088656F"/>
    <w:rsid w:val="00891EF6"/>
    <w:rsid w:val="008A0303"/>
    <w:rsid w:val="008A1025"/>
    <w:rsid w:val="008A5FDD"/>
    <w:rsid w:val="008C3947"/>
    <w:rsid w:val="008E3C7B"/>
    <w:rsid w:val="008E473B"/>
    <w:rsid w:val="008E51A6"/>
    <w:rsid w:val="008E7329"/>
    <w:rsid w:val="008F03D1"/>
    <w:rsid w:val="008F2ED5"/>
    <w:rsid w:val="0092297E"/>
    <w:rsid w:val="00923651"/>
    <w:rsid w:val="00927B56"/>
    <w:rsid w:val="009341BF"/>
    <w:rsid w:val="00937907"/>
    <w:rsid w:val="00941739"/>
    <w:rsid w:val="00943E06"/>
    <w:rsid w:val="00951573"/>
    <w:rsid w:val="00963003"/>
    <w:rsid w:val="00966EEF"/>
    <w:rsid w:val="00971B28"/>
    <w:rsid w:val="00983471"/>
    <w:rsid w:val="009909AB"/>
    <w:rsid w:val="00992883"/>
    <w:rsid w:val="009A4BC5"/>
    <w:rsid w:val="009B0250"/>
    <w:rsid w:val="009B37DB"/>
    <w:rsid w:val="009B3B3E"/>
    <w:rsid w:val="009B7659"/>
    <w:rsid w:val="009C7A8C"/>
    <w:rsid w:val="009D23F9"/>
    <w:rsid w:val="009D4FA8"/>
    <w:rsid w:val="009E44AE"/>
    <w:rsid w:val="009E6CD6"/>
    <w:rsid w:val="009F4D66"/>
    <w:rsid w:val="00A00C3C"/>
    <w:rsid w:val="00A01091"/>
    <w:rsid w:val="00A042B9"/>
    <w:rsid w:val="00A06DBB"/>
    <w:rsid w:val="00A1547B"/>
    <w:rsid w:val="00A22ADF"/>
    <w:rsid w:val="00A31E86"/>
    <w:rsid w:val="00A321AC"/>
    <w:rsid w:val="00A54D87"/>
    <w:rsid w:val="00A5553C"/>
    <w:rsid w:val="00A701C9"/>
    <w:rsid w:val="00A81785"/>
    <w:rsid w:val="00A84803"/>
    <w:rsid w:val="00A84C51"/>
    <w:rsid w:val="00A86DDD"/>
    <w:rsid w:val="00A86F2B"/>
    <w:rsid w:val="00A91366"/>
    <w:rsid w:val="00A93AA6"/>
    <w:rsid w:val="00AA4E48"/>
    <w:rsid w:val="00AA6202"/>
    <w:rsid w:val="00AA7B57"/>
    <w:rsid w:val="00AC26FC"/>
    <w:rsid w:val="00AC4A99"/>
    <w:rsid w:val="00AC64D2"/>
    <w:rsid w:val="00AD02E7"/>
    <w:rsid w:val="00AE0FE8"/>
    <w:rsid w:val="00AE1322"/>
    <w:rsid w:val="00AF40F8"/>
    <w:rsid w:val="00AF60D5"/>
    <w:rsid w:val="00B00959"/>
    <w:rsid w:val="00B04415"/>
    <w:rsid w:val="00B06509"/>
    <w:rsid w:val="00B11D60"/>
    <w:rsid w:val="00B13D65"/>
    <w:rsid w:val="00B21805"/>
    <w:rsid w:val="00B3072E"/>
    <w:rsid w:val="00B36E15"/>
    <w:rsid w:val="00B37245"/>
    <w:rsid w:val="00B4017A"/>
    <w:rsid w:val="00B4468D"/>
    <w:rsid w:val="00B71C72"/>
    <w:rsid w:val="00B770A6"/>
    <w:rsid w:val="00B81E92"/>
    <w:rsid w:val="00B901F5"/>
    <w:rsid w:val="00B908D7"/>
    <w:rsid w:val="00B915AB"/>
    <w:rsid w:val="00B935E8"/>
    <w:rsid w:val="00B93B30"/>
    <w:rsid w:val="00B94CB5"/>
    <w:rsid w:val="00BA0DD9"/>
    <w:rsid w:val="00BA5DBC"/>
    <w:rsid w:val="00BB6312"/>
    <w:rsid w:val="00BC4A56"/>
    <w:rsid w:val="00BC4D06"/>
    <w:rsid w:val="00BC6229"/>
    <w:rsid w:val="00BD18D3"/>
    <w:rsid w:val="00BD585E"/>
    <w:rsid w:val="00BD6919"/>
    <w:rsid w:val="00BE1EA7"/>
    <w:rsid w:val="00BE7489"/>
    <w:rsid w:val="00BF2E0D"/>
    <w:rsid w:val="00BF3927"/>
    <w:rsid w:val="00BF3F8B"/>
    <w:rsid w:val="00BF76DA"/>
    <w:rsid w:val="00C01A3E"/>
    <w:rsid w:val="00C07C7B"/>
    <w:rsid w:val="00C16245"/>
    <w:rsid w:val="00C22DC5"/>
    <w:rsid w:val="00C24479"/>
    <w:rsid w:val="00C273F2"/>
    <w:rsid w:val="00C37B53"/>
    <w:rsid w:val="00C517D2"/>
    <w:rsid w:val="00C5772E"/>
    <w:rsid w:val="00C62B36"/>
    <w:rsid w:val="00C7012C"/>
    <w:rsid w:val="00C709C0"/>
    <w:rsid w:val="00C712EA"/>
    <w:rsid w:val="00C82673"/>
    <w:rsid w:val="00CA217D"/>
    <w:rsid w:val="00CC09D4"/>
    <w:rsid w:val="00CC668D"/>
    <w:rsid w:val="00CC7832"/>
    <w:rsid w:val="00CF0C1C"/>
    <w:rsid w:val="00CF27FD"/>
    <w:rsid w:val="00CF5F12"/>
    <w:rsid w:val="00D00D8F"/>
    <w:rsid w:val="00D21F3A"/>
    <w:rsid w:val="00D23808"/>
    <w:rsid w:val="00D3016A"/>
    <w:rsid w:val="00D417D2"/>
    <w:rsid w:val="00D42960"/>
    <w:rsid w:val="00D43BD7"/>
    <w:rsid w:val="00D4485B"/>
    <w:rsid w:val="00D4708D"/>
    <w:rsid w:val="00D4744C"/>
    <w:rsid w:val="00D521DE"/>
    <w:rsid w:val="00D5470B"/>
    <w:rsid w:val="00D63068"/>
    <w:rsid w:val="00D6498C"/>
    <w:rsid w:val="00D66794"/>
    <w:rsid w:val="00D72A1F"/>
    <w:rsid w:val="00D76A70"/>
    <w:rsid w:val="00D83182"/>
    <w:rsid w:val="00D8521E"/>
    <w:rsid w:val="00D85276"/>
    <w:rsid w:val="00D9291C"/>
    <w:rsid w:val="00D93A97"/>
    <w:rsid w:val="00D970E4"/>
    <w:rsid w:val="00DB1F64"/>
    <w:rsid w:val="00DC2F53"/>
    <w:rsid w:val="00DC5BAC"/>
    <w:rsid w:val="00DC6816"/>
    <w:rsid w:val="00DC76C2"/>
    <w:rsid w:val="00DC7EA9"/>
    <w:rsid w:val="00DD1CF2"/>
    <w:rsid w:val="00DD3A30"/>
    <w:rsid w:val="00DE4484"/>
    <w:rsid w:val="00DF41B7"/>
    <w:rsid w:val="00DF4A4A"/>
    <w:rsid w:val="00DF583C"/>
    <w:rsid w:val="00E03C3F"/>
    <w:rsid w:val="00E06FD7"/>
    <w:rsid w:val="00E07417"/>
    <w:rsid w:val="00E24D45"/>
    <w:rsid w:val="00E33DB8"/>
    <w:rsid w:val="00E33EFF"/>
    <w:rsid w:val="00E34387"/>
    <w:rsid w:val="00E348BA"/>
    <w:rsid w:val="00E369FE"/>
    <w:rsid w:val="00E37C6F"/>
    <w:rsid w:val="00E475F8"/>
    <w:rsid w:val="00E5102E"/>
    <w:rsid w:val="00E5721C"/>
    <w:rsid w:val="00E61889"/>
    <w:rsid w:val="00E619C6"/>
    <w:rsid w:val="00E745A1"/>
    <w:rsid w:val="00E81529"/>
    <w:rsid w:val="00E81B34"/>
    <w:rsid w:val="00E83A13"/>
    <w:rsid w:val="00EB22D7"/>
    <w:rsid w:val="00EB6FC5"/>
    <w:rsid w:val="00EC2356"/>
    <w:rsid w:val="00EC2582"/>
    <w:rsid w:val="00EC337C"/>
    <w:rsid w:val="00ED0CFF"/>
    <w:rsid w:val="00ED31D2"/>
    <w:rsid w:val="00EE0EAC"/>
    <w:rsid w:val="00EE3322"/>
    <w:rsid w:val="00EE33CB"/>
    <w:rsid w:val="00F0061A"/>
    <w:rsid w:val="00F0123A"/>
    <w:rsid w:val="00F02834"/>
    <w:rsid w:val="00F035AA"/>
    <w:rsid w:val="00F04EEB"/>
    <w:rsid w:val="00F05467"/>
    <w:rsid w:val="00F055D2"/>
    <w:rsid w:val="00F0675C"/>
    <w:rsid w:val="00F07CD7"/>
    <w:rsid w:val="00F127E9"/>
    <w:rsid w:val="00F14B5D"/>
    <w:rsid w:val="00F259FC"/>
    <w:rsid w:val="00F36972"/>
    <w:rsid w:val="00F42426"/>
    <w:rsid w:val="00F456BC"/>
    <w:rsid w:val="00F50666"/>
    <w:rsid w:val="00F70C9E"/>
    <w:rsid w:val="00F74A74"/>
    <w:rsid w:val="00F7572C"/>
    <w:rsid w:val="00F8382C"/>
    <w:rsid w:val="00F855D7"/>
    <w:rsid w:val="00F92035"/>
    <w:rsid w:val="00F92748"/>
    <w:rsid w:val="00FA4169"/>
    <w:rsid w:val="00FA5351"/>
    <w:rsid w:val="00FB0D41"/>
    <w:rsid w:val="00FB2030"/>
    <w:rsid w:val="00FB4AAA"/>
    <w:rsid w:val="00FD0E46"/>
    <w:rsid w:val="00FD1CF2"/>
    <w:rsid w:val="00FD3EDF"/>
    <w:rsid w:val="00FD793C"/>
    <w:rsid w:val="00FE0FD5"/>
    <w:rsid w:val="00FE20E6"/>
    <w:rsid w:val="00FE3E3B"/>
    <w:rsid w:val="00FE7AC4"/>
    <w:rsid w:val="00FF2486"/>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529"/>
    <w:rPr>
      <w:sz w:val="24"/>
      <w:szCs w:val="24"/>
      <w:lang w:eastAsia="en-US"/>
    </w:rPr>
  </w:style>
  <w:style w:type="paragraph" w:styleId="Heading1">
    <w:name w:val="heading 1"/>
    <w:basedOn w:val="Normal"/>
    <w:next w:val="Normal"/>
    <w:qFormat/>
    <w:rsid w:val="00A84C51"/>
    <w:pPr>
      <w:keepNext/>
      <w:jc w:val="center"/>
      <w:outlineLvl w:val="0"/>
    </w:pPr>
    <w:rPr>
      <w:b/>
      <w:bCs/>
      <w:caps/>
    </w:rPr>
  </w:style>
  <w:style w:type="paragraph" w:styleId="Heading2">
    <w:name w:val="heading 2"/>
    <w:basedOn w:val="Normal"/>
    <w:next w:val="Normal"/>
    <w:qFormat/>
    <w:rsid w:val="00A84C51"/>
    <w:pPr>
      <w:keepNext/>
      <w:jc w:val="center"/>
      <w:outlineLvl w:val="1"/>
    </w:pPr>
    <w:rPr>
      <w:b/>
      <w:bCs/>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4C51"/>
    <w:pPr>
      <w:tabs>
        <w:tab w:val="center" w:pos="4986"/>
        <w:tab w:val="right" w:pos="9972"/>
      </w:tabs>
    </w:pPr>
  </w:style>
  <w:style w:type="paragraph" w:styleId="Footer">
    <w:name w:val="footer"/>
    <w:basedOn w:val="Normal"/>
    <w:link w:val="FooterChar"/>
    <w:rsid w:val="00A84C51"/>
    <w:pPr>
      <w:tabs>
        <w:tab w:val="center" w:pos="4986"/>
        <w:tab w:val="right" w:pos="9972"/>
      </w:tabs>
    </w:pPr>
  </w:style>
  <w:style w:type="character" w:styleId="PageNumber">
    <w:name w:val="page number"/>
    <w:basedOn w:val="DefaultParagraphFont"/>
    <w:rsid w:val="00A84C51"/>
  </w:style>
  <w:style w:type="character" w:styleId="Hyperlink">
    <w:name w:val="Hyperlink"/>
    <w:basedOn w:val="DefaultParagraphFont"/>
    <w:rsid w:val="00A84C51"/>
    <w:rPr>
      <w:color w:val="0000FF"/>
      <w:u w:val="single"/>
    </w:rPr>
  </w:style>
  <w:style w:type="paragraph" w:styleId="BalloonText">
    <w:name w:val="Balloon Text"/>
    <w:basedOn w:val="Normal"/>
    <w:semiHidden/>
    <w:rsid w:val="00EC2356"/>
    <w:rPr>
      <w:rFonts w:ascii="Tahoma" w:hAnsi="Tahoma" w:cs="Tahoma"/>
      <w:sz w:val="16"/>
      <w:szCs w:val="16"/>
    </w:rPr>
  </w:style>
  <w:style w:type="character" w:customStyle="1" w:styleId="FooterChar">
    <w:name w:val="Footer Char"/>
    <w:basedOn w:val="DefaultParagraphFont"/>
    <w:link w:val="Footer"/>
    <w:rsid w:val="00737E2D"/>
    <w:rPr>
      <w:sz w:val="24"/>
      <w:szCs w:val="24"/>
      <w:lang w:eastAsia="en-US"/>
    </w:rPr>
  </w:style>
  <w:style w:type="character" w:customStyle="1" w:styleId="Neapdorotaspaminjimas1">
    <w:name w:val="Neapdorotas paminėjimas1"/>
    <w:basedOn w:val="DefaultParagraphFont"/>
    <w:uiPriority w:val="99"/>
    <w:semiHidden/>
    <w:unhideWhenUsed/>
    <w:rsid w:val="00A31E86"/>
    <w:rPr>
      <w:color w:val="605E5C"/>
      <w:shd w:val="clear" w:color="auto" w:fill="E1DFDD"/>
    </w:rPr>
  </w:style>
  <w:style w:type="character" w:styleId="FollowedHyperlink">
    <w:name w:val="FollowedHyperlink"/>
    <w:basedOn w:val="DefaultParagraphFont"/>
    <w:semiHidden/>
    <w:unhideWhenUsed/>
    <w:rsid w:val="00A31E86"/>
    <w:rPr>
      <w:color w:val="800080" w:themeColor="followedHyperlink"/>
      <w:u w:val="single"/>
    </w:rPr>
  </w:style>
  <w:style w:type="table" w:styleId="TableGrid">
    <w:name w:val="Table Grid"/>
    <w:basedOn w:val="TableNorma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7012C"/>
    <w:rPr>
      <w:sz w:val="16"/>
      <w:szCs w:val="16"/>
    </w:rPr>
  </w:style>
  <w:style w:type="paragraph" w:styleId="CommentText">
    <w:name w:val="annotation text"/>
    <w:basedOn w:val="Normal"/>
    <w:link w:val="CommentTextChar"/>
    <w:unhideWhenUsed/>
    <w:rsid w:val="00C7012C"/>
    <w:rPr>
      <w:sz w:val="20"/>
      <w:szCs w:val="20"/>
    </w:rPr>
  </w:style>
  <w:style w:type="character" w:customStyle="1" w:styleId="CommentTextChar">
    <w:name w:val="Comment Text Char"/>
    <w:basedOn w:val="DefaultParagraphFont"/>
    <w:link w:val="CommentText"/>
    <w:rsid w:val="00C7012C"/>
    <w:rPr>
      <w:lang w:eastAsia="en-US"/>
    </w:rPr>
  </w:style>
  <w:style w:type="paragraph" w:styleId="CommentSubject">
    <w:name w:val="annotation subject"/>
    <w:basedOn w:val="CommentText"/>
    <w:next w:val="CommentText"/>
    <w:link w:val="CommentSubjectChar"/>
    <w:semiHidden/>
    <w:unhideWhenUsed/>
    <w:rsid w:val="00C7012C"/>
    <w:rPr>
      <w:b/>
      <w:bCs/>
    </w:rPr>
  </w:style>
  <w:style w:type="character" w:customStyle="1" w:styleId="CommentSubjectChar">
    <w:name w:val="Comment Subject Char"/>
    <w:basedOn w:val="CommentTextChar"/>
    <w:link w:val="CommentSubject"/>
    <w:semiHidden/>
    <w:rsid w:val="00C7012C"/>
    <w:rPr>
      <w:b/>
      <w:bCs/>
      <w:lang w:eastAsia="en-US"/>
    </w:rPr>
  </w:style>
  <w:style w:type="paragraph" w:styleId="ListParagraph">
    <w:name w:val="List Paragraph"/>
    <w:aliases w:val="Summary Bullets,Bullet 1,Bullet1,Bullet List,Section 5,List Paragraph CCT minutes,Table Legend,Bullets Points,Use Case List Paragraph,List Paragraph1,Body Bullet,Table Number Paragraph,Colorful List - Accent 11,List Paragraph 1,Ref,B1"/>
    <w:basedOn w:val="Normal"/>
    <w:link w:val="ListParagraphChar"/>
    <w:uiPriority w:val="34"/>
    <w:qFormat/>
    <w:rsid w:val="00104E2E"/>
    <w:pPr>
      <w:ind w:left="720"/>
      <w:contextualSpacing/>
    </w:pPr>
  </w:style>
  <w:style w:type="character" w:customStyle="1" w:styleId="Style2">
    <w:name w:val="Style2"/>
    <w:basedOn w:val="DefaultParagraphFont"/>
    <w:uiPriority w:val="1"/>
    <w:rsid w:val="00D6498C"/>
    <w:rPr>
      <w:sz w:val="32"/>
    </w:rPr>
  </w:style>
  <w:style w:type="character" w:styleId="PlaceholderText">
    <w:name w:val="Placeholder Text"/>
    <w:basedOn w:val="DefaultParagraphFont"/>
    <w:uiPriority w:val="99"/>
    <w:rsid w:val="00B13D65"/>
    <w:rPr>
      <w:color w:val="808080"/>
    </w:rPr>
  </w:style>
  <w:style w:type="paragraph" w:styleId="NoSpacing">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TableNormal"/>
    <w:next w:val="TableGrid"/>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6256"/>
    <w:rPr>
      <w:sz w:val="24"/>
      <w:szCs w:val="24"/>
      <w:lang w:eastAsia="en-US"/>
    </w:rPr>
  </w:style>
  <w:style w:type="character" w:customStyle="1" w:styleId="ListParagraphChar">
    <w:name w:val="List Paragraph Char"/>
    <w:aliases w:val="Summary Bullets Char,Bullet 1 Char,Bullet1 Char,Bullet List Char,Section 5 Char,List Paragraph CCT minutes Char,Table Legend Char,Bullets Points Char,Use Case List Paragraph Char,List Paragraph1 Char,Body Bullet Char,Ref Char,B1 Char"/>
    <w:basedOn w:val="DefaultParagraphFont"/>
    <w:link w:val="ListParagraph"/>
    <w:uiPriority w:val="34"/>
    <w:rsid w:val="003D187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421559">
      <w:bodyDiv w:val="1"/>
      <w:marLeft w:val="0"/>
      <w:marRight w:val="0"/>
      <w:marTop w:val="0"/>
      <w:marBottom w:val="0"/>
      <w:divBdr>
        <w:top w:val="none" w:sz="0" w:space="0" w:color="auto"/>
        <w:left w:val="none" w:sz="0" w:space="0" w:color="auto"/>
        <w:bottom w:val="none" w:sz="0" w:space="0" w:color="auto"/>
        <w:right w:val="none" w:sz="0" w:space="0" w:color="auto"/>
      </w:divBdr>
    </w:div>
    <w:div w:id="863328967">
      <w:bodyDiv w:val="1"/>
      <w:marLeft w:val="0"/>
      <w:marRight w:val="0"/>
      <w:marTop w:val="0"/>
      <w:marBottom w:val="0"/>
      <w:divBdr>
        <w:top w:val="none" w:sz="0" w:space="0" w:color="auto"/>
        <w:left w:val="none" w:sz="0" w:space="0" w:color="auto"/>
        <w:bottom w:val="none" w:sz="0" w:space="0" w:color="auto"/>
        <w:right w:val="none" w:sz="0" w:space="0" w:color="auto"/>
      </w:divBdr>
    </w:div>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DB60824EC144AB3B75C05A5823BEE2D"/>
        <w:category>
          <w:name w:val="Bendrosios nuostatos"/>
          <w:gallery w:val="placeholder"/>
        </w:category>
        <w:types>
          <w:type w:val="bbPlcHdr"/>
        </w:types>
        <w:behaviors>
          <w:behavior w:val="content"/>
        </w:behaviors>
        <w:guid w:val="{BCA21354-5277-4E37-94EF-AC6CA7E9D852}"/>
      </w:docPartPr>
      <w:docPartBody>
        <w:p w:rsidR="00E44A86" w:rsidRDefault="005E40DD" w:rsidP="005E40DD">
          <w:pPr>
            <w:pStyle w:val="CDB60824EC144AB3B75C05A5823BEE2D"/>
          </w:pPr>
          <w:r>
            <w:rPr>
              <w:rStyle w:val="PlaceholderText"/>
            </w:rPr>
            <w:t>Click here to enter a date.</w:t>
          </w:r>
        </w:p>
      </w:docPartBody>
    </w:docPart>
    <w:docPart>
      <w:docPartPr>
        <w:name w:val="1E86322BB2A046D9AA8EEC8813E5F165"/>
        <w:category>
          <w:name w:val="Bendrosios nuostatos"/>
          <w:gallery w:val="placeholder"/>
        </w:category>
        <w:types>
          <w:type w:val="bbPlcHdr"/>
        </w:types>
        <w:behaviors>
          <w:behavior w:val="content"/>
        </w:behaviors>
        <w:guid w:val="{65FDD86D-4B7F-4634-A9B6-04FEB2A59D92}"/>
      </w:docPartPr>
      <w:docPartBody>
        <w:p w:rsidR="004160E7" w:rsidRDefault="004144A3" w:rsidP="004144A3">
          <w:pPr>
            <w:pStyle w:val="1E86322BB2A046D9AA8EEC8813E5F165"/>
          </w:pPr>
          <w:r>
            <w:rPr>
              <w:rStyle w:val="PlaceholderText"/>
            </w:rPr>
            <w:t>Click here to enter a date.</w:t>
          </w:r>
        </w:p>
      </w:docPartBody>
    </w:docPart>
    <w:docPart>
      <w:docPartPr>
        <w:name w:val="57B9655BB938420B82BDAD6B82A66F50"/>
        <w:category>
          <w:name w:val="Bendrosios nuostatos"/>
          <w:gallery w:val="placeholder"/>
        </w:category>
        <w:types>
          <w:type w:val="bbPlcHdr"/>
        </w:types>
        <w:behaviors>
          <w:behavior w:val="content"/>
        </w:behaviors>
        <w:guid w:val="{B50508B3-61AE-42C0-9ED2-473525764A20}"/>
      </w:docPartPr>
      <w:docPartBody>
        <w:p w:rsidR="004160E7" w:rsidRDefault="004144A3" w:rsidP="004144A3">
          <w:pPr>
            <w:pStyle w:val="57B9655BB938420B82BDAD6B82A66F50"/>
          </w:pPr>
          <w:r>
            <w:rPr>
              <w:rStyle w:val="PlaceholderText"/>
            </w:rPr>
            <w:t>Click here to enter a date.</w:t>
          </w:r>
        </w:p>
      </w:docPartBody>
    </w:docPart>
    <w:docPart>
      <w:docPartPr>
        <w:name w:val="5830794711CC4E92887B7A7DBFC23A3F"/>
        <w:category>
          <w:name w:val="Bendrosios nuostatos"/>
          <w:gallery w:val="placeholder"/>
        </w:category>
        <w:types>
          <w:type w:val="bbPlcHdr"/>
        </w:types>
        <w:behaviors>
          <w:behavior w:val="content"/>
        </w:behaviors>
        <w:guid w:val="{BA4CDDB2-6993-4673-A936-90356C93B8E2}"/>
      </w:docPartPr>
      <w:docPartBody>
        <w:p w:rsidR="004160E7" w:rsidRDefault="004144A3" w:rsidP="004144A3">
          <w:pPr>
            <w:pStyle w:val="5830794711CC4E92887B7A7DBFC23A3F"/>
          </w:pPr>
          <w:r>
            <w:rPr>
              <w:rStyle w:val="PlaceholderText"/>
            </w:rPr>
            <w:t>Click here to enter a date.</w:t>
          </w:r>
        </w:p>
      </w:docPartBody>
    </w:docPart>
    <w:docPart>
      <w:docPartPr>
        <w:name w:val="D30A65C834E24F44910D1F731A1A9385"/>
        <w:category>
          <w:name w:val="General"/>
          <w:gallery w:val="placeholder"/>
        </w:category>
        <w:types>
          <w:type w:val="bbPlcHdr"/>
        </w:types>
        <w:behaviors>
          <w:behavior w:val="content"/>
        </w:behaviors>
        <w:guid w:val="{58AB6D41-3736-47A3-94C2-C1801373F0DA}"/>
      </w:docPartPr>
      <w:docPartBody>
        <w:p w:rsidR="00170608" w:rsidRDefault="00E573D0" w:rsidP="00E573D0">
          <w:pPr>
            <w:pStyle w:val="D30A65C834E24F44910D1F731A1A9385"/>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0DD"/>
    <w:rsid w:val="0001247F"/>
    <w:rsid w:val="00061157"/>
    <w:rsid w:val="000809FD"/>
    <w:rsid w:val="000937FE"/>
    <w:rsid w:val="000A559A"/>
    <w:rsid w:val="000D24D4"/>
    <w:rsid w:val="00170608"/>
    <w:rsid w:val="001C35A9"/>
    <w:rsid w:val="001D0E8B"/>
    <w:rsid w:val="001F47C5"/>
    <w:rsid w:val="00237556"/>
    <w:rsid w:val="0039303B"/>
    <w:rsid w:val="0040541D"/>
    <w:rsid w:val="004144A3"/>
    <w:rsid w:val="004160E7"/>
    <w:rsid w:val="004416C6"/>
    <w:rsid w:val="004D0580"/>
    <w:rsid w:val="004F5AB2"/>
    <w:rsid w:val="005074B9"/>
    <w:rsid w:val="005E40DD"/>
    <w:rsid w:val="0062694B"/>
    <w:rsid w:val="006B0C98"/>
    <w:rsid w:val="007219C1"/>
    <w:rsid w:val="0074261C"/>
    <w:rsid w:val="00753462"/>
    <w:rsid w:val="00772325"/>
    <w:rsid w:val="007A2FE0"/>
    <w:rsid w:val="007C6D1D"/>
    <w:rsid w:val="008734E8"/>
    <w:rsid w:val="0090074D"/>
    <w:rsid w:val="00913630"/>
    <w:rsid w:val="009B3BF0"/>
    <w:rsid w:val="009D5E5E"/>
    <w:rsid w:val="009F1BB4"/>
    <w:rsid w:val="009F2430"/>
    <w:rsid w:val="00AB6ED4"/>
    <w:rsid w:val="00B14210"/>
    <w:rsid w:val="00B23DC0"/>
    <w:rsid w:val="00B96656"/>
    <w:rsid w:val="00BA21AD"/>
    <w:rsid w:val="00BE29C1"/>
    <w:rsid w:val="00C2401D"/>
    <w:rsid w:val="00C53A68"/>
    <w:rsid w:val="00CA5BB4"/>
    <w:rsid w:val="00CB4BD1"/>
    <w:rsid w:val="00CE2DA9"/>
    <w:rsid w:val="00CE44BE"/>
    <w:rsid w:val="00D107CD"/>
    <w:rsid w:val="00D4356B"/>
    <w:rsid w:val="00D7162F"/>
    <w:rsid w:val="00E44A86"/>
    <w:rsid w:val="00E522EB"/>
    <w:rsid w:val="00E573D0"/>
    <w:rsid w:val="00E60827"/>
    <w:rsid w:val="00E73FF6"/>
    <w:rsid w:val="00EF6E0C"/>
    <w:rsid w:val="00F55028"/>
    <w:rsid w:val="00F77BEF"/>
    <w:rsid w:val="00FA5351"/>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573D0"/>
    <w:rPr>
      <w:color w:val="808080"/>
    </w:rPr>
  </w:style>
  <w:style w:type="paragraph" w:customStyle="1" w:styleId="CDB60824EC144AB3B75C05A5823BEE2D">
    <w:name w:val="CDB60824EC144AB3B75C05A5823BEE2D"/>
    <w:rsid w:val="005E40DD"/>
  </w:style>
  <w:style w:type="paragraph" w:customStyle="1" w:styleId="1E86322BB2A046D9AA8EEC8813E5F165">
    <w:name w:val="1E86322BB2A046D9AA8EEC8813E5F165"/>
    <w:rsid w:val="004144A3"/>
  </w:style>
  <w:style w:type="paragraph" w:customStyle="1" w:styleId="57B9655BB938420B82BDAD6B82A66F50">
    <w:name w:val="57B9655BB938420B82BDAD6B82A66F50"/>
    <w:rsid w:val="004144A3"/>
  </w:style>
  <w:style w:type="paragraph" w:customStyle="1" w:styleId="5830794711CC4E92887B7A7DBFC23A3F">
    <w:name w:val="5830794711CC4E92887B7A7DBFC23A3F"/>
    <w:rsid w:val="004144A3"/>
  </w:style>
  <w:style w:type="paragraph" w:customStyle="1" w:styleId="D30A65C834E24F44910D1F731A1A9385">
    <w:name w:val="D30A65C834E24F44910D1F731A1A9385"/>
    <w:rsid w:val="00E573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4D035E302E4049B0DD8FFEAA012F92" ma:contentTypeVersion="15" ma:contentTypeDescription="Create a new document." ma:contentTypeScope="" ma:versionID="3958c38a441fcd27adfa047c8c5ccccf">
  <xsd:schema xmlns:xsd="http://www.w3.org/2001/XMLSchema" xmlns:xs="http://www.w3.org/2001/XMLSchema" xmlns:p="http://schemas.microsoft.com/office/2006/metadata/properties" xmlns:ns1="http://schemas.microsoft.com/sharepoint/v3" xmlns:ns2="d6903966-769d-4fcd-90af-b732ac575edf" xmlns:ns3="1ff7177e-2940-42ec-b6b2-087f2b2654a0" targetNamespace="http://schemas.microsoft.com/office/2006/metadata/properties" ma:root="true" ma:fieldsID="b34536fcac6fad34218434077c63780a" ns1:_="" ns2:_="" ns3:_="">
    <xsd:import namespace="http://schemas.microsoft.com/sharepoint/v3"/>
    <xsd:import namespace="d6903966-769d-4fcd-90af-b732ac575edf"/>
    <xsd:import namespace="1ff7177e-2940-42ec-b6b2-087f2b2654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903966-769d-4fcd-90af-b732ac575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f5e642b-91f5-4888-b018-43334a040d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f7177e-2940-42ec-b6b2-087f2b2654a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9e76a63-17b5-4d1d-a793-4d3855153cf9}" ma:internalName="TaxCatchAll" ma:showField="CatchAllData" ma:web="1ff7177e-2940-42ec-b6b2-087f2b2654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6903966-769d-4fcd-90af-b732ac575edf">
      <Terms xmlns="http://schemas.microsoft.com/office/infopath/2007/PartnerControls"/>
    </lcf76f155ced4ddcb4097134ff3c332f>
    <_ip_UnifiedCompliancePolicyProperties xmlns="http://schemas.microsoft.com/sharepoint/v3" xsi:nil="true"/>
    <TaxCatchAll xmlns="1ff7177e-2940-42ec-b6b2-087f2b2654a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57ADB-8574-4780-A8A5-85B2FE707A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6903966-769d-4fcd-90af-b732ac575edf"/>
    <ds:schemaRef ds:uri="1ff7177e-2940-42ec-b6b2-087f2b2654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B7EA4A-94D4-4D7E-9597-62C2A7F22F9C}">
  <ds:schemaRefs>
    <ds:schemaRef ds:uri="http://schemas.microsoft.com/office/2006/metadata/properties"/>
    <ds:schemaRef ds:uri="http://schemas.microsoft.com/office/infopath/2007/PartnerControls"/>
    <ds:schemaRef ds:uri="http://schemas.microsoft.com/sharepoint/v3"/>
    <ds:schemaRef ds:uri="d6903966-769d-4fcd-90af-b732ac575edf"/>
    <ds:schemaRef ds:uri="1ff7177e-2940-42ec-b6b2-087f2b2654a0"/>
  </ds:schemaRefs>
</ds:datastoreItem>
</file>

<file path=customXml/itemProps3.xml><?xml version="1.0" encoding="utf-8"?>
<ds:datastoreItem xmlns:ds="http://schemas.openxmlformats.org/officeDocument/2006/customXml" ds:itemID="{FCF7AB51-43A8-4607-97BA-80B7237AF6C4}">
  <ds:schemaRefs>
    <ds:schemaRef ds:uri="http://schemas.microsoft.com/sharepoint/v3/contenttype/forms"/>
  </ds:schemaRefs>
</ds:datastoreItem>
</file>

<file path=customXml/itemProps4.xml><?xml version="1.0" encoding="utf-8"?>
<ds:datastoreItem xmlns:ds="http://schemas.openxmlformats.org/officeDocument/2006/customXml" ds:itemID="{DE29094B-C01D-4E83-90DC-5AC0CA373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13577</Words>
  <Characters>7739</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21274</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2024-07-19T07:35:00Z</dcterms:created>
  <dcterms:modified xsi:type="dcterms:W3CDTF">2024-07-19T07:35:00Z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#00b294,12,Calibri</vt:lpwstr>
  </property>
  <property fmtid="{D5CDD505-2E9C-101B-9397-08002B2CF9AE}" pid="4" name="ClassificationContentMarkingHeaderText">
    <vt:lpwstr>Proprietary</vt:lpwstr>
  </property>
  <property fmtid="{D5CDD505-2E9C-101B-9397-08002B2CF9AE}" pid="5" name="MSIP_Label_927fd646-07cb-4c4e-a107-4e4d6b30ba1b_Enabled">
    <vt:lpwstr>true</vt:lpwstr>
  </property>
  <property fmtid="{D5CDD505-2E9C-101B-9397-08002B2CF9AE}" pid="6" name="MSIP_Label_927fd646-07cb-4c4e-a107-4e4d6b30ba1b_SetDate">
    <vt:lpwstr>2024-07-16T12:32:22Z</vt:lpwstr>
  </property>
  <property fmtid="{D5CDD505-2E9C-101B-9397-08002B2CF9AE}" pid="7" name="MSIP_Label_927fd646-07cb-4c4e-a107-4e4d6b30ba1b_Method">
    <vt:lpwstr>Privileged</vt:lpwstr>
  </property>
  <property fmtid="{D5CDD505-2E9C-101B-9397-08002B2CF9AE}" pid="8" name="MSIP_Label_927fd646-07cb-4c4e-a107-4e4d6b30ba1b_Name">
    <vt:lpwstr>927fd646-07cb-4c4e-a107-4e4d6b30ba1b</vt:lpwstr>
  </property>
  <property fmtid="{D5CDD505-2E9C-101B-9397-08002B2CF9AE}" pid="9" name="MSIP_Label_927fd646-07cb-4c4e-a107-4e4d6b30ba1b_SiteId">
    <vt:lpwstr>a00de4ec-48a8-43a6-be74-e31274e2060d</vt:lpwstr>
  </property>
  <property fmtid="{D5CDD505-2E9C-101B-9397-08002B2CF9AE}" pid="10" name="MSIP_Label_927fd646-07cb-4c4e-a107-4e4d6b30ba1b_ActionId">
    <vt:lpwstr>ba017542-caad-48b9-9e6a-e7b6d8c0b0d8</vt:lpwstr>
  </property>
  <property fmtid="{D5CDD505-2E9C-101B-9397-08002B2CF9AE}" pid="11" name="MSIP_Label_927fd646-07cb-4c4e-a107-4e4d6b30ba1b_ContentBits">
    <vt:lpwstr>1</vt:lpwstr>
  </property>
  <property fmtid="{D5CDD505-2E9C-101B-9397-08002B2CF9AE}" pid="12" name="ContentTypeId">
    <vt:lpwstr>0x0101004C4D035E302E4049B0DD8FFEAA012F92</vt:lpwstr>
  </property>
  <property fmtid="{D5CDD505-2E9C-101B-9397-08002B2CF9AE}" pid="14" name="_NewReviewCycle">
    <vt:lpwstr/>
  </property>
</Properties>
</file>