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E5EB3" w14:textId="1955ADE3" w:rsidR="005F7602" w:rsidRDefault="005F7602" w:rsidP="002946C7">
      <w:pPr>
        <w:ind w:left="5529"/>
      </w:pPr>
    </w:p>
    <w:p w14:paraId="12FA4B9E" w14:textId="77777777" w:rsidR="001B3C5B" w:rsidRPr="00E33EFF" w:rsidRDefault="001B3C5B" w:rsidP="001B3C5B">
      <w:pPr>
        <w:ind w:left="6096"/>
      </w:pPr>
      <w:r w:rsidRPr="00E33EFF">
        <w:t>Forma patvirtinta</w:t>
      </w:r>
    </w:p>
    <w:p w14:paraId="7206970B" w14:textId="70E9BD2E" w:rsidR="004C263A" w:rsidRPr="00E33EFF" w:rsidRDefault="001B3C5B" w:rsidP="001B3C5B">
      <w:pPr>
        <w:ind w:left="6096"/>
      </w:pPr>
      <w:r w:rsidRPr="00E33EFF">
        <w:t>Valstybinės vaistų kontrolės tarnybos prie Lietuvos Respublikos sveikatos apsaugos ministerijos viršininko 2021 m</w:t>
      </w:r>
      <w:r w:rsidR="004C263A" w:rsidRPr="00E33EFF">
        <w:t xml:space="preserve">. lapkričio 12 </w:t>
      </w:r>
      <w:r w:rsidRPr="00E33EFF">
        <w:t>d. įsakymu Nr.</w:t>
      </w:r>
      <w:r w:rsidR="004C263A" w:rsidRPr="00E33EFF">
        <w:t xml:space="preserve"> (1.72E)1A-1418</w:t>
      </w:r>
    </w:p>
    <w:p w14:paraId="5B219AA6" w14:textId="520B9136" w:rsidR="001B3C5B" w:rsidRPr="00E33EFF" w:rsidRDefault="004C263A" w:rsidP="001B3C5B">
      <w:pPr>
        <w:ind w:left="6096"/>
      </w:pPr>
      <w:r w:rsidRPr="00E33EFF">
        <w:t>(Valstybinės vaistų kontrolės tarnybos prie Lietuvos Respublikos sveikatos apsaugos ministerijos viršininko 2022 m.                         d. įsakymo Nr.                    redakcija)</w:t>
      </w:r>
    </w:p>
    <w:p w14:paraId="3336BD74" w14:textId="77777777" w:rsidR="001B3C5B" w:rsidRPr="00E33EFF" w:rsidRDefault="001B3C5B" w:rsidP="00FA4169"/>
    <w:p w14:paraId="77AFB67E" w14:textId="16397257" w:rsidR="00613501" w:rsidRPr="00E33EFF" w:rsidRDefault="002F0E4F" w:rsidP="003B211A">
      <w:pPr>
        <w:jc w:val="center"/>
        <w:rPr>
          <w:b/>
          <w:bCs/>
          <w:caps/>
        </w:rPr>
      </w:pPr>
      <w:r w:rsidRPr="00E33EFF">
        <w:rPr>
          <w:b/>
        </w:rPr>
        <w:t xml:space="preserve">REKOMENDACIJA DĖL VAISTINIO PREPARATO </w:t>
      </w:r>
      <w:r w:rsidRPr="00E33EFF">
        <w:rPr>
          <w:b/>
          <w:bCs/>
          <w:caps/>
        </w:rPr>
        <w:t>Lietuvos Respublikos Sveikatos apsaugos ministerijos vaistinių preparatų ir medicinos pagalbos priemonių kompensavimo komisijai</w:t>
      </w:r>
    </w:p>
    <w:p w14:paraId="34E4395D" w14:textId="15FB10DF" w:rsidR="00B13D65" w:rsidRPr="00A6547D" w:rsidRDefault="00B13D65" w:rsidP="003B211A">
      <w:pPr>
        <w:jc w:val="center"/>
        <w:rPr>
          <w:b/>
          <w:bCs/>
        </w:rPr>
      </w:pPr>
    </w:p>
    <w:p w14:paraId="6C437D58" w14:textId="16ACFA9F" w:rsidR="00A6547D" w:rsidRPr="00A9737E" w:rsidRDefault="00A6547D" w:rsidP="00A6547D">
      <w:pPr>
        <w:spacing w:line="276" w:lineRule="auto"/>
        <w:jc w:val="center"/>
        <w:rPr>
          <w:b/>
          <w:bCs/>
        </w:rPr>
      </w:pPr>
      <w:r w:rsidRPr="00A9737E">
        <w:rPr>
          <w:b/>
          <w:bCs/>
        </w:rPr>
        <w:t xml:space="preserve">Darzalex </w:t>
      </w:r>
      <w:r w:rsidR="00A9737E" w:rsidRPr="00A9737E">
        <w:rPr>
          <w:rFonts w:eastAsia="TimesNewRoman"/>
          <w:b/>
          <w:lang w:val="en-US" w:eastAsia="lt-LT"/>
        </w:rPr>
        <w:t>1800 mg</w:t>
      </w:r>
      <w:r w:rsidR="00813373" w:rsidRPr="00A9737E">
        <w:rPr>
          <w:rFonts w:eastAsia="TimesNewRoman"/>
          <w:b/>
          <w:lang w:eastAsia="lt-LT"/>
        </w:rPr>
        <w:t xml:space="preserve"> </w:t>
      </w:r>
      <w:r w:rsidR="00A9737E" w:rsidRPr="00A9737E">
        <w:rPr>
          <w:rFonts w:eastAsia="TimesNewRoman"/>
          <w:b/>
          <w:lang w:eastAsia="lt-LT"/>
        </w:rPr>
        <w:t>injekcini</w:t>
      </w:r>
      <w:r w:rsidR="00F16469">
        <w:rPr>
          <w:rFonts w:eastAsia="TimesNewRoman"/>
          <w:b/>
          <w:lang w:eastAsia="lt-LT"/>
        </w:rPr>
        <w:t>s</w:t>
      </w:r>
      <w:r w:rsidR="00813373" w:rsidRPr="00A9737E">
        <w:rPr>
          <w:rFonts w:eastAsia="TimesNewRoman"/>
          <w:b/>
          <w:lang w:eastAsia="lt-LT"/>
        </w:rPr>
        <w:t xml:space="preserve"> tirpal</w:t>
      </w:r>
      <w:r w:rsidR="00F16469">
        <w:rPr>
          <w:rFonts w:eastAsia="TimesNewRoman"/>
          <w:b/>
          <w:lang w:eastAsia="lt-LT"/>
        </w:rPr>
        <w:t>as</w:t>
      </w:r>
    </w:p>
    <w:p w14:paraId="6B313EDB" w14:textId="0DB9FC14" w:rsidR="00A6547D" w:rsidRPr="00813373" w:rsidRDefault="00813373" w:rsidP="00A6547D">
      <w:pPr>
        <w:spacing w:line="276" w:lineRule="auto"/>
        <w:jc w:val="center"/>
        <w:rPr>
          <w:bCs/>
        </w:rPr>
      </w:pPr>
      <w:r w:rsidRPr="00813373">
        <w:rPr>
          <w:bCs/>
        </w:rPr>
        <w:t>Daratumumabas</w:t>
      </w:r>
    </w:p>
    <w:p w14:paraId="5B454DB8" w14:textId="77777777" w:rsidR="00A6547D" w:rsidRPr="00813373" w:rsidRDefault="00A6547D" w:rsidP="00A6547D">
      <w:pPr>
        <w:spacing w:line="276" w:lineRule="auto"/>
        <w:jc w:val="center"/>
        <w:rPr>
          <w:bCs/>
        </w:rPr>
      </w:pPr>
      <w:r w:rsidRPr="00813373">
        <w:rPr>
          <w:bCs/>
        </w:rPr>
        <w:t>STV-154</w:t>
      </w:r>
    </w:p>
    <w:p w14:paraId="5BC2EA5D" w14:textId="45A77B4A" w:rsidR="00937907" w:rsidRPr="00E33EFF" w:rsidRDefault="00937907" w:rsidP="003B211A">
      <w:pPr>
        <w:jc w:val="center"/>
        <w:rPr>
          <w:b/>
        </w:rPr>
      </w:pPr>
    </w:p>
    <w:p w14:paraId="453197C8" w14:textId="77777777" w:rsidR="00D4708D" w:rsidRPr="00E33EFF" w:rsidRDefault="00D4708D" w:rsidP="003B211A">
      <w:pPr>
        <w:jc w:val="center"/>
        <w:rPr>
          <w:b/>
        </w:rPr>
      </w:pPr>
    </w:p>
    <w:p w14:paraId="78C89D1C" w14:textId="0DEFFAA5" w:rsidR="00D4485B" w:rsidRPr="00E33EFF" w:rsidRDefault="00B13D65" w:rsidP="00CC09D4">
      <w:pPr>
        <w:pStyle w:val="Sraopastraipa"/>
        <w:numPr>
          <w:ilvl w:val="0"/>
          <w:numId w:val="12"/>
        </w:numPr>
        <w:tabs>
          <w:tab w:val="left" w:pos="567"/>
        </w:tabs>
        <w:ind w:left="567" w:hanging="567"/>
        <w:rPr>
          <w:b/>
          <w:bCs/>
          <w:caps/>
        </w:rPr>
      </w:pPr>
      <w:r w:rsidRPr="00E33EFF">
        <w:rPr>
          <w:b/>
          <w:bCs/>
          <w:caps/>
        </w:rPr>
        <w:t>Bendroji dalis</w:t>
      </w:r>
    </w:p>
    <w:p w14:paraId="04A7C7A7" w14:textId="77777777" w:rsidR="00B13D65" w:rsidRPr="00E33EFF" w:rsidRDefault="00B13D65" w:rsidP="00E03C3F">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694"/>
        <w:gridCol w:w="5167"/>
      </w:tblGrid>
      <w:tr w:rsidR="00B13D65" w:rsidRPr="002F0509" w14:paraId="18A83EC2" w14:textId="77777777" w:rsidTr="00BE7489">
        <w:trPr>
          <w:trHeight w:val="538"/>
        </w:trPr>
        <w:tc>
          <w:tcPr>
            <w:tcW w:w="632" w:type="dxa"/>
          </w:tcPr>
          <w:p w14:paraId="0646FBEA" w14:textId="77777777" w:rsidR="00B13D65" w:rsidRPr="002F0509" w:rsidRDefault="00B13D65" w:rsidP="00824B92">
            <w:pPr>
              <w:rPr>
                <w:rFonts w:eastAsia="Arial"/>
              </w:rPr>
            </w:pPr>
            <w:r w:rsidRPr="002F0509">
              <w:rPr>
                <w:rFonts w:eastAsia="Arial"/>
              </w:rPr>
              <w:t>1.1</w:t>
            </w:r>
          </w:p>
        </w:tc>
        <w:tc>
          <w:tcPr>
            <w:tcW w:w="3694" w:type="dxa"/>
          </w:tcPr>
          <w:p w14:paraId="6C3AE864" w14:textId="77777777" w:rsidR="00B13D65" w:rsidRPr="002F0509" w:rsidRDefault="00B13D65" w:rsidP="00824B92">
            <w:pPr>
              <w:rPr>
                <w:rFonts w:eastAsia="Arial"/>
              </w:rPr>
            </w:pPr>
            <w:r w:rsidRPr="002F0509">
              <w:rPr>
                <w:rFonts w:eastAsia="Arial"/>
              </w:rPr>
              <w:t>Pareiškėjas</w:t>
            </w:r>
          </w:p>
          <w:p w14:paraId="2AF240DC" w14:textId="77777777" w:rsidR="00B13D65" w:rsidRPr="002F0509" w:rsidRDefault="00B13D65" w:rsidP="00824B92">
            <w:pPr>
              <w:rPr>
                <w:rFonts w:eastAsia="Arial"/>
              </w:rPr>
            </w:pPr>
          </w:p>
        </w:tc>
        <w:tc>
          <w:tcPr>
            <w:tcW w:w="5167" w:type="dxa"/>
          </w:tcPr>
          <w:p w14:paraId="2AAF0D91" w14:textId="32596271" w:rsidR="00B13D65" w:rsidRPr="002F0509" w:rsidRDefault="00A6547D" w:rsidP="00824B92">
            <w:pPr>
              <w:rPr>
                <w:rFonts w:eastAsia="Arial"/>
              </w:rPr>
            </w:pPr>
            <w:r w:rsidRPr="002F0509">
              <w:t>Janssen-Cilag International N.V</w:t>
            </w:r>
          </w:p>
        </w:tc>
      </w:tr>
      <w:tr w:rsidR="00A6547D" w:rsidRPr="002F0509" w14:paraId="31998B0D" w14:textId="77777777" w:rsidTr="00BE7489">
        <w:trPr>
          <w:trHeight w:val="538"/>
        </w:trPr>
        <w:tc>
          <w:tcPr>
            <w:tcW w:w="632" w:type="dxa"/>
          </w:tcPr>
          <w:p w14:paraId="2005EC67" w14:textId="662300D0" w:rsidR="00A6547D" w:rsidRPr="002F0509" w:rsidRDefault="00A6547D" w:rsidP="00A6547D">
            <w:pPr>
              <w:rPr>
                <w:rFonts w:eastAsia="Arial"/>
              </w:rPr>
            </w:pPr>
            <w:r w:rsidRPr="002F0509">
              <w:rPr>
                <w:rFonts w:eastAsia="Arial"/>
              </w:rPr>
              <w:t>1.2</w:t>
            </w:r>
          </w:p>
        </w:tc>
        <w:tc>
          <w:tcPr>
            <w:tcW w:w="3694" w:type="dxa"/>
          </w:tcPr>
          <w:p w14:paraId="1E4AE3B1" w14:textId="77777777" w:rsidR="00A6547D" w:rsidRPr="002F0509" w:rsidRDefault="00A6547D" w:rsidP="00A6547D">
            <w:pPr>
              <w:rPr>
                <w:bCs/>
                <w:color w:val="000000"/>
                <w:lang w:eastAsia="lt-LT"/>
              </w:rPr>
            </w:pPr>
            <w:r w:rsidRPr="002F0509">
              <w:rPr>
                <w:bCs/>
                <w:color w:val="000000"/>
                <w:lang w:eastAsia="lt-LT"/>
              </w:rPr>
              <w:t xml:space="preserve">Registracijos data </w:t>
            </w:r>
          </w:p>
          <w:p w14:paraId="3A0DC096" w14:textId="77777777" w:rsidR="00A6547D" w:rsidRPr="002F0509" w:rsidRDefault="00A6547D" w:rsidP="00A6547D">
            <w:pPr>
              <w:rPr>
                <w:bCs/>
                <w:color w:val="000000"/>
                <w:lang w:eastAsia="lt-LT"/>
              </w:rPr>
            </w:pPr>
          </w:p>
        </w:tc>
        <w:tc>
          <w:tcPr>
            <w:tcW w:w="5167" w:type="dxa"/>
          </w:tcPr>
          <w:p w14:paraId="3CA218AD" w14:textId="1B57538D" w:rsidR="00A6547D" w:rsidRPr="002F0509" w:rsidRDefault="00A6547D" w:rsidP="00A6547D">
            <w:pPr>
              <w:rPr>
                <w:rStyle w:val="Style2"/>
                <w:sz w:val="24"/>
              </w:rPr>
            </w:pPr>
            <w:r w:rsidRPr="002F0509">
              <w:rPr>
                <w:rStyle w:val="Style2"/>
                <w:sz w:val="24"/>
              </w:rPr>
              <w:t>2016-05-20</w:t>
            </w:r>
          </w:p>
        </w:tc>
      </w:tr>
      <w:tr w:rsidR="00A6547D" w:rsidRPr="002F0509" w14:paraId="15968AE1" w14:textId="77777777" w:rsidTr="00BE7489">
        <w:trPr>
          <w:trHeight w:val="1500"/>
        </w:trPr>
        <w:tc>
          <w:tcPr>
            <w:tcW w:w="632" w:type="dxa"/>
          </w:tcPr>
          <w:p w14:paraId="6A784245" w14:textId="1E461489" w:rsidR="00A6547D" w:rsidRPr="002F0509" w:rsidRDefault="00A6547D" w:rsidP="00A6547D">
            <w:pPr>
              <w:rPr>
                <w:rFonts w:eastAsia="Arial"/>
              </w:rPr>
            </w:pPr>
            <w:r w:rsidRPr="002F0509">
              <w:rPr>
                <w:rFonts w:eastAsia="Arial"/>
              </w:rPr>
              <w:t>1.3</w:t>
            </w:r>
          </w:p>
        </w:tc>
        <w:tc>
          <w:tcPr>
            <w:tcW w:w="3694" w:type="dxa"/>
          </w:tcPr>
          <w:p w14:paraId="22933506" w14:textId="77777777" w:rsidR="00A6547D" w:rsidRPr="002F0509" w:rsidRDefault="00A6547D" w:rsidP="00A6547D">
            <w:r w:rsidRPr="002F0509">
              <w:t xml:space="preserve">Paraiškos tipas </w:t>
            </w:r>
          </w:p>
          <w:p w14:paraId="0465E680" w14:textId="7F0A0714" w:rsidR="00A6547D" w:rsidRPr="002F0509" w:rsidRDefault="00A6547D" w:rsidP="00A6547D">
            <w:r w:rsidRPr="002F0509">
              <w:t xml:space="preserve">(pagal </w:t>
            </w:r>
            <w:r w:rsidRPr="002F0509">
              <w:rPr>
                <w:color w:val="333333"/>
                <w:shd w:val="clear" w:color="auto" w:fill="FFFFFF"/>
              </w:rPr>
              <w:t>vaistinio preparato registracijos tipą, įtvirtintą</w:t>
            </w:r>
            <w:r w:rsidRPr="002F0509">
              <w:t xml:space="preserve"> Direktyvos 2001/83/EB straipsiuose)</w:t>
            </w:r>
          </w:p>
          <w:p w14:paraId="77089D80" w14:textId="6681D72A" w:rsidR="00A6547D" w:rsidRPr="002F0509" w:rsidRDefault="00A6547D" w:rsidP="00A6547D">
            <w:pPr>
              <w:rPr>
                <w:bCs/>
                <w:color w:val="000000"/>
                <w:lang w:eastAsia="lt-LT"/>
              </w:rPr>
            </w:pPr>
          </w:p>
        </w:tc>
        <w:tc>
          <w:tcPr>
            <w:tcW w:w="5167" w:type="dxa"/>
          </w:tcPr>
          <w:p w14:paraId="208F40EC" w14:textId="2F4EA9C5" w:rsidR="00A6547D" w:rsidRPr="002F0509" w:rsidRDefault="00000000" w:rsidP="00A6547D">
            <w:sdt>
              <w:sdtPr>
                <w:rPr>
                  <w:rStyle w:val="Style2"/>
                  <w:sz w:val="24"/>
                </w:rPr>
                <w:id w:val="526292078"/>
                <w15:color w:val="FFCC00"/>
                <w14:checkbox>
                  <w14:checked w14:val="1"/>
                  <w14:checkedState w14:val="2612" w14:font="MS Gothic"/>
                  <w14:uncheckedState w14:val="2610" w14:font="MS Gothic"/>
                </w14:checkbox>
              </w:sdtPr>
              <w:sdtContent>
                <w:r w:rsidR="00A6547D" w:rsidRPr="002F0509">
                  <w:rPr>
                    <w:rStyle w:val="Style2"/>
                    <w:rFonts w:ascii="MS Gothic" w:eastAsia="MS Gothic" w:hAnsi="MS Gothic" w:hint="eastAsia"/>
                    <w:sz w:val="24"/>
                  </w:rPr>
                  <w:t>☒</w:t>
                </w:r>
              </w:sdtContent>
            </w:sdt>
            <w:r w:rsidR="00A6547D" w:rsidRPr="002F0509">
              <w:t xml:space="preserve">8.3 str. (pilna byla, pagrįsta savais tyrimais) </w:t>
            </w:r>
          </w:p>
          <w:p w14:paraId="32BA564E" w14:textId="3FDA3E01" w:rsidR="00A6547D" w:rsidRPr="002F0509" w:rsidRDefault="00000000" w:rsidP="00A6547D">
            <w:sdt>
              <w:sdtPr>
                <w:rPr>
                  <w:rStyle w:val="Style2"/>
                  <w:sz w:val="24"/>
                </w:rPr>
                <w:id w:val="-1497953736"/>
                <w15:color w:val="FFCC00"/>
                <w14:checkbox>
                  <w14:checked w14:val="0"/>
                  <w14:checkedState w14:val="2612" w14:font="MS Gothic"/>
                  <w14:uncheckedState w14:val="2610" w14:font="MS Gothic"/>
                </w14:checkbox>
              </w:sdtPr>
              <w:sdtContent>
                <w:r w:rsidR="00A6547D" w:rsidRPr="002F0509">
                  <w:rPr>
                    <w:rStyle w:val="Style2"/>
                    <w:rFonts w:ascii="Segoe UI Symbol" w:eastAsia="MS Gothic" w:hAnsi="Segoe UI Symbol" w:cs="Segoe UI Symbol"/>
                    <w:sz w:val="24"/>
                  </w:rPr>
                  <w:t>☐</w:t>
                </w:r>
              </w:sdtContent>
            </w:sdt>
            <w:r w:rsidR="00A6547D" w:rsidRPr="002F0509">
              <w:t xml:space="preserve">10 a str. (pripažintas medicininis vartojimas) </w:t>
            </w:r>
          </w:p>
          <w:p w14:paraId="318DCD7F" w14:textId="32333E53" w:rsidR="00A6547D" w:rsidRPr="002F0509" w:rsidRDefault="00000000" w:rsidP="00A6547D">
            <w:sdt>
              <w:sdtPr>
                <w:rPr>
                  <w:rStyle w:val="Style2"/>
                  <w:sz w:val="24"/>
                </w:rPr>
                <w:id w:val="204142496"/>
                <w15:color w:val="FFCC00"/>
                <w14:checkbox>
                  <w14:checked w14:val="0"/>
                  <w14:checkedState w14:val="2612" w14:font="MS Gothic"/>
                  <w14:uncheckedState w14:val="2610" w14:font="MS Gothic"/>
                </w14:checkbox>
              </w:sdtPr>
              <w:sdtContent>
                <w:r w:rsidR="00A6547D" w:rsidRPr="002F0509">
                  <w:rPr>
                    <w:rStyle w:val="Style2"/>
                    <w:rFonts w:ascii="Segoe UI Symbol" w:eastAsia="MS Gothic" w:hAnsi="Segoe UI Symbol" w:cs="Segoe UI Symbol"/>
                    <w:sz w:val="24"/>
                  </w:rPr>
                  <w:t>☐</w:t>
                </w:r>
              </w:sdtContent>
            </w:sdt>
            <w:r w:rsidR="00A6547D" w:rsidRPr="002F0509">
              <w:t>10.1 str. (generinis)</w:t>
            </w:r>
          </w:p>
          <w:p w14:paraId="3B0A4F72" w14:textId="3F5FB073" w:rsidR="00A6547D" w:rsidRPr="002F0509" w:rsidRDefault="00000000" w:rsidP="00A6547D">
            <w:pPr>
              <w:rPr>
                <w:rStyle w:val="Style2"/>
                <w:sz w:val="24"/>
              </w:rPr>
            </w:pPr>
            <w:sdt>
              <w:sdtPr>
                <w:rPr>
                  <w:rStyle w:val="Style2"/>
                  <w:sz w:val="24"/>
                </w:rPr>
                <w:id w:val="820305101"/>
                <w15:color w:val="FFCC00"/>
                <w14:checkbox>
                  <w14:checked w14:val="0"/>
                  <w14:checkedState w14:val="2612" w14:font="MS Gothic"/>
                  <w14:uncheckedState w14:val="2610" w14:font="MS Gothic"/>
                </w14:checkbox>
              </w:sdtPr>
              <w:sdtContent>
                <w:r w:rsidR="00A6547D" w:rsidRPr="002F0509">
                  <w:rPr>
                    <w:rStyle w:val="Style2"/>
                    <w:rFonts w:ascii="Segoe UI Symbol" w:eastAsia="MS Gothic" w:hAnsi="Segoe UI Symbol" w:cs="Segoe UI Symbol"/>
                    <w:sz w:val="24"/>
                  </w:rPr>
                  <w:t>☐</w:t>
                </w:r>
              </w:sdtContent>
            </w:sdt>
            <w:r w:rsidR="00A6547D" w:rsidRPr="002F0509">
              <w:t>10.3 str. (hibridinis)</w:t>
            </w:r>
          </w:p>
        </w:tc>
      </w:tr>
      <w:tr w:rsidR="00A6547D" w:rsidRPr="002F0509" w14:paraId="310E9662" w14:textId="77777777" w:rsidTr="00A6547D">
        <w:trPr>
          <w:trHeight w:val="1030"/>
        </w:trPr>
        <w:tc>
          <w:tcPr>
            <w:tcW w:w="632" w:type="dxa"/>
          </w:tcPr>
          <w:p w14:paraId="4B5A91A2" w14:textId="561B5E5F" w:rsidR="00A6547D" w:rsidRPr="002F0509" w:rsidRDefault="00A6547D" w:rsidP="00A6547D">
            <w:pPr>
              <w:rPr>
                <w:rFonts w:eastAsia="Arial"/>
              </w:rPr>
            </w:pPr>
            <w:r w:rsidRPr="002F0509">
              <w:rPr>
                <w:rFonts w:eastAsia="Arial"/>
              </w:rPr>
              <w:t>1.4</w:t>
            </w:r>
          </w:p>
        </w:tc>
        <w:tc>
          <w:tcPr>
            <w:tcW w:w="3694" w:type="dxa"/>
          </w:tcPr>
          <w:p w14:paraId="483071A3" w14:textId="18FD83C7" w:rsidR="00A6547D" w:rsidRPr="002F0509" w:rsidRDefault="00A6547D" w:rsidP="00A6547D">
            <w:pPr>
              <w:rPr>
                <w:bCs/>
                <w:color w:val="000000"/>
                <w:lang w:eastAsia="lt-LT"/>
              </w:rPr>
            </w:pPr>
            <w:r w:rsidRPr="002F0509">
              <w:rPr>
                <w:bCs/>
                <w:color w:val="000000"/>
                <w:lang w:eastAsia="lt-LT"/>
              </w:rPr>
              <w:t xml:space="preserve">Ar vaistinis preparatas įrašytas į Bendrijos retųjų vaistinių preparatų registrą? </w:t>
            </w:r>
          </w:p>
        </w:tc>
        <w:tc>
          <w:tcPr>
            <w:tcW w:w="5167" w:type="dxa"/>
          </w:tcPr>
          <w:p w14:paraId="05845C60" w14:textId="5A7CE81A" w:rsidR="00A6547D" w:rsidRPr="002F0509" w:rsidRDefault="00000000" w:rsidP="00A6547D">
            <w:sdt>
              <w:sdtPr>
                <w:rPr>
                  <w:rStyle w:val="Style2"/>
                  <w:sz w:val="24"/>
                </w:rPr>
                <w:id w:val="2024432173"/>
                <w15:color w:val="FFCC00"/>
                <w14:checkbox>
                  <w14:checked w14:val="1"/>
                  <w14:checkedState w14:val="2612" w14:font="MS Gothic"/>
                  <w14:uncheckedState w14:val="2610" w14:font="MS Gothic"/>
                </w14:checkbox>
              </w:sdtPr>
              <w:sdtContent>
                <w:r w:rsidR="00A6547D" w:rsidRPr="002F0509">
                  <w:rPr>
                    <w:rStyle w:val="Style2"/>
                    <w:rFonts w:ascii="MS Gothic" w:eastAsia="MS Gothic" w:hAnsi="MS Gothic" w:hint="eastAsia"/>
                    <w:sz w:val="24"/>
                  </w:rPr>
                  <w:t>☒</w:t>
                </w:r>
              </w:sdtContent>
            </w:sdt>
            <w:r w:rsidR="00A6547D" w:rsidRPr="002F0509">
              <w:t xml:space="preserve"> Taip</w:t>
            </w:r>
          </w:p>
          <w:p w14:paraId="41D88067" w14:textId="0F0BE668" w:rsidR="00A6547D" w:rsidRPr="002F0509" w:rsidRDefault="00000000" w:rsidP="00A6547D">
            <w:sdt>
              <w:sdtPr>
                <w:rPr>
                  <w:rStyle w:val="Style2"/>
                  <w:sz w:val="24"/>
                </w:rPr>
                <w:id w:val="-970507926"/>
                <w15:color w:val="FFCC00"/>
                <w14:checkbox>
                  <w14:checked w14:val="0"/>
                  <w14:checkedState w14:val="2612" w14:font="MS Gothic"/>
                  <w14:uncheckedState w14:val="2610" w14:font="MS Gothic"/>
                </w14:checkbox>
              </w:sdtPr>
              <w:sdtContent>
                <w:r w:rsidR="00A6547D" w:rsidRPr="002F0509">
                  <w:rPr>
                    <w:rStyle w:val="Style2"/>
                    <w:rFonts w:ascii="MS Gothic" w:eastAsia="MS Gothic" w:hAnsi="MS Gothic" w:hint="eastAsia"/>
                    <w:sz w:val="24"/>
                  </w:rPr>
                  <w:t>☐</w:t>
                </w:r>
              </w:sdtContent>
            </w:sdt>
            <w:r w:rsidR="00A6547D" w:rsidRPr="002F0509">
              <w:t xml:space="preserve"> Ne</w:t>
            </w:r>
          </w:p>
          <w:p w14:paraId="29C2CBBB" w14:textId="3F96CABB" w:rsidR="00A6547D" w:rsidRPr="002F0509" w:rsidRDefault="00A6547D" w:rsidP="00A6547D">
            <w:pPr>
              <w:rPr>
                <w:rFonts w:eastAsia="Arial"/>
              </w:rPr>
            </w:pPr>
            <w:r w:rsidRPr="002F0509">
              <w:t>2018-05-25</w:t>
            </w:r>
          </w:p>
        </w:tc>
      </w:tr>
      <w:tr w:rsidR="00A6547D" w:rsidRPr="002F0509" w14:paraId="7841E5F8" w14:textId="77777777" w:rsidTr="00BE7489">
        <w:trPr>
          <w:trHeight w:val="476"/>
        </w:trPr>
        <w:tc>
          <w:tcPr>
            <w:tcW w:w="632" w:type="dxa"/>
          </w:tcPr>
          <w:p w14:paraId="109D2861" w14:textId="73BF27DF" w:rsidR="00A6547D" w:rsidRPr="002F0509" w:rsidRDefault="00A6547D" w:rsidP="00A6547D">
            <w:pPr>
              <w:rPr>
                <w:rFonts w:eastAsia="Arial"/>
              </w:rPr>
            </w:pPr>
            <w:r w:rsidRPr="002F0509">
              <w:rPr>
                <w:rFonts w:eastAsia="Arial"/>
              </w:rPr>
              <w:t>1.5</w:t>
            </w:r>
          </w:p>
        </w:tc>
        <w:tc>
          <w:tcPr>
            <w:tcW w:w="3694" w:type="dxa"/>
          </w:tcPr>
          <w:p w14:paraId="7822D63E" w14:textId="68C38334" w:rsidR="00A6547D" w:rsidRPr="002F0509" w:rsidRDefault="00A6547D" w:rsidP="00A6547D">
            <w:pPr>
              <w:rPr>
                <w:bCs/>
                <w:color w:val="000000"/>
                <w:lang w:eastAsia="lt-LT"/>
              </w:rPr>
            </w:pPr>
            <w:r w:rsidRPr="002F0509">
              <w:t>STV paraiškos pobūdis</w:t>
            </w:r>
          </w:p>
        </w:tc>
        <w:tc>
          <w:tcPr>
            <w:tcW w:w="5167" w:type="dxa"/>
          </w:tcPr>
          <w:p w14:paraId="403461B9" w14:textId="68A37216" w:rsidR="00A6547D" w:rsidRPr="002F0509" w:rsidRDefault="00000000" w:rsidP="00A6547D">
            <w:sdt>
              <w:sdtPr>
                <w:rPr>
                  <w:rStyle w:val="Style2"/>
                  <w:sz w:val="24"/>
                </w:rPr>
                <w:id w:val="-468433535"/>
                <w15:color w:val="FFCC00"/>
                <w14:checkbox>
                  <w14:checked w14:val="1"/>
                  <w14:checkedState w14:val="2612" w14:font="MS Gothic"/>
                  <w14:uncheckedState w14:val="2610" w14:font="MS Gothic"/>
                </w14:checkbox>
              </w:sdtPr>
              <w:sdtContent>
                <w:r w:rsidR="00A6547D" w:rsidRPr="002F0509">
                  <w:rPr>
                    <w:rStyle w:val="Style2"/>
                    <w:rFonts w:ascii="MS Gothic" w:eastAsia="MS Gothic" w:hAnsi="MS Gothic" w:hint="eastAsia"/>
                    <w:sz w:val="24"/>
                  </w:rPr>
                  <w:t>☒</w:t>
                </w:r>
              </w:sdtContent>
            </w:sdt>
            <w:r w:rsidR="00A6547D" w:rsidRPr="002F0509">
              <w:t xml:space="preserve"> Pilna paraiška</w:t>
            </w:r>
          </w:p>
          <w:p w14:paraId="6B8213E3" w14:textId="3495CDF4" w:rsidR="00A6547D" w:rsidRPr="002F0509" w:rsidRDefault="00000000" w:rsidP="00A6547D">
            <w:sdt>
              <w:sdtPr>
                <w:rPr>
                  <w:rStyle w:val="Style2"/>
                  <w:sz w:val="24"/>
                </w:rPr>
                <w:id w:val="-1489014904"/>
                <w15:color w:val="FFCC00"/>
                <w14:checkbox>
                  <w14:checked w14:val="0"/>
                  <w14:checkedState w14:val="2612" w14:font="MS Gothic"/>
                  <w14:uncheckedState w14:val="2610" w14:font="MS Gothic"/>
                </w14:checkbox>
              </w:sdtPr>
              <w:sdtContent>
                <w:r w:rsidR="00A6547D" w:rsidRPr="002F0509">
                  <w:rPr>
                    <w:rStyle w:val="Style2"/>
                    <w:rFonts w:ascii="MS Gothic" w:eastAsia="MS Gothic" w:hAnsi="MS Gothic" w:hint="eastAsia"/>
                    <w:sz w:val="24"/>
                  </w:rPr>
                  <w:t>☐</w:t>
                </w:r>
              </w:sdtContent>
            </w:sdt>
            <w:r w:rsidR="00A6547D" w:rsidRPr="002F0509">
              <w:t xml:space="preserve"> Supaprastinta paraiška</w:t>
            </w:r>
          </w:p>
        </w:tc>
      </w:tr>
      <w:tr w:rsidR="00A6547D" w:rsidRPr="002F0509" w14:paraId="274D1DAF" w14:textId="77777777" w:rsidTr="00BE7489">
        <w:trPr>
          <w:trHeight w:val="1922"/>
        </w:trPr>
        <w:tc>
          <w:tcPr>
            <w:tcW w:w="632" w:type="dxa"/>
          </w:tcPr>
          <w:p w14:paraId="17ABF217" w14:textId="14AC00D7" w:rsidR="00A6547D" w:rsidRPr="002F0509" w:rsidRDefault="00A6547D" w:rsidP="00A6547D">
            <w:pPr>
              <w:rPr>
                <w:rFonts w:eastAsia="Arial"/>
              </w:rPr>
            </w:pPr>
            <w:r w:rsidRPr="002F0509">
              <w:rPr>
                <w:rFonts w:eastAsia="Arial"/>
              </w:rPr>
              <w:t>1.6</w:t>
            </w:r>
          </w:p>
        </w:tc>
        <w:tc>
          <w:tcPr>
            <w:tcW w:w="3694" w:type="dxa"/>
          </w:tcPr>
          <w:p w14:paraId="3A6B054C" w14:textId="0948D173" w:rsidR="00A6547D" w:rsidRPr="002F0509" w:rsidRDefault="00A6547D" w:rsidP="00A6547D">
            <w:pPr>
              <w:rPr>
                <w:bCs/>
                <w:color w:val="000000"/>
                <w:lang w:eastAsia="lt-LT"/>
              </w:rPr>
            </w:pPr>
            <w:r w:rsidRPr="002F0509">
              <w:rPr>
                <w:bCs/>
                <w:color w:val="000000"/>
                <w:lang w:eastAsia="lt-LT"/>
              </w:rPr>
              <w:t>Pareiškėjo teikiama (-os) kompensuoti vaistinio preparato indikacija (-os)</w:t>
            </w:r>
          </w:p>
          <w:p w14:paraId="6B4FEEC1" w14:textId="378668B0" w:rsidR="00A6547D" w:rsidRPr="002F0509" w:rsidRDefault="00A6547D" w:rsidP="00A6547D">
            <w:pPr>
              <w:rPr>
                <w:bCs/>
                <w:color w:val="000000"/>
                <w:lang w:eastAsia="lt-LT"/>
              </w:rPr>
            </w:pPr>
            <w:r w:rsidRPr="002F0509">
              <w:rPr>
                <w:bCs/>
                <w:color w:val="000000"/>
                <w:lang w:eastAsia="lt-LT"/>
              </w:rPr>
              <w:t>Kodas pagal TLK-10 AM</w:t>
            </w:r>
          </w:p>
        </w:tc>
        <w:tc>
          <w:tcPr>
            <w:tcW w:w="5167" w:type="dxa"/>
          </w:tcPr>
          <w:p w14:paraId="09D065F5" w14:textId="4D3BC6DC" w:rsidR="00A6547D" w:rsidRPr="002F0509" w:rsidRDefault="00A6547D" w:rsidP="00A6547D">
            <w:pPr>
              <w:tabs>
                <w:tab w:val="left" w:pos="426"/>
              </w:tabs>
              <w:spacing w:line="276" w:lineRule="auto"/>
              <w:jc w:val="both"/>
              <w:rPr>
                <w:rFonts w:eastAsia="Arial"/>
                <w:color w:val="000000" w:themeColor="text1"/>
              </w:rPr>
            </w:pPr>
            <w:r w:rsidRPr="002F0509">
              <w:rPr>
                <w:rFonts w:eastAsia="Arial"/>
                <w:color w:val="000000" w:themeColor="text1"/>
              </w:rPr>
              <w:t>DARZALEX derinant su ciklofosfamidu, bortezomibu ir deksametazonu yra skirtas suaugusiųjų pacientų, kuriems naujai buvo diagnozuota sisteminė AL amiloidozė, gydymui.</w:t>
            </w:r>
          </w:p>
          <w:p w14:paraId="13F7DFB0" w14:textId="1AE42047" w:rsidR="00A6547D" w:rsidRPr="002F0509" w:rsidRDefault="00A6547D" w:rsidP="00A6547D">
            <w:pPr>
              <w:pStyle w:val="Sraopastraipa"/>
              <w:spacing w:after="120" w:line="276" w:lineRule="auto"/>
              <w:ind w:left="0"/>
              <w:contextualSpacing w:val="0"/>
              <w:jc w:val="both"/>
            </w:pPr>
            <w:r w:rsidRPr="002F0509">
              <w:t xml:space="preserve">TLK </w:t>
            </w:r>
            <w:r w:rsidRPr="002F0509">
              <w:rPr>
                <w:lang w:val="en-US"/>
              </w:rPr>
              <w:t xml:space="preserve">10-AM </w:t>
            </w:r>
            <w:proofErr w:type="spellStart"/>
            <w:r w:rsidRPr="002F0509">
              <w:rPr>
                <w:lang w:val="en-US"/>
              </w:rPr>
              <w:t>kodas</w:t>
            </w:r>
            <w:proofErr w:type="spellEnd"/>
            <w:r w:rsidRPr="002F0509">
              <w:rPr>
                <w:lang w:val="en-US"/>
              </w:rPr>
              <w:t xml:space="preserve">: </w:t>
            </w:r>
            <w:r w:rsidRPr="002F0509">
              <w:t>E85.8 ir E85.9.</w:t>
            </w:r>
          </w:p>
        </w:tc>
      </w:tr>
      <w:tr w:rsidR="00A6547D" w:rsidRPr="002F0509" w14:paraId="2F79DC08" w14:textId="77777777" w:rsidTr="00BE7489">
        <w:trPr>
          <w:trHeight w:val="378"/>
        </w:trPr>
        <w:tc>
          <w:tcPr>
            <w:tcW w:w="632" w:type="dxa"/>
          </w:tcPr>
          <w:p w14:paraId="547885A2" w14:textId="08AA8055" w:rsidR="00A6547D" w:rsidRPr="002F0509" w:rsidRDefault="00A6547D" w:rsidP="00A6547D">
            <w:pPr>
              <w:rPr>
                <w:rFonts w:eastAsia="Arial"/>
              </w:rPr>
            </w:pPr>
            <w:r w:rsidRPr="002F0509">
              <w:rPr>
                <w:rFonts w:eastAsia="Arial"/>
              </w:rPr>
              <w:t>1.6</w:t>
            </w:r>
          </w:p>
        </w:tc>
        <w:tc>
          <w:tcPr>
            <w:tcW w:w="3694" w:type="dxa"/>
          </w:tcPr>
          <w:p w14:paraId="2EAB877F" w14:textId="39A36941" w:rsidR="00A6547D" w:rsidRPr="002F0509" w:rsidRDefault="00A6547D" w:rsidP="00A6547D">
            <w:pPr>
              <w:rPr>
                <w:bCs/>
                <w:color w:val="000000"/>
                <w:u w:val="single"/>
                <w:lang w:eastAsia="lt-LT"/>
              </w:rPr>
            </w:pPr>
            <w:r w:rsidRPr="002F0509">
              <w:rPr>
                <w:bCs/>
                <w:color w:val="000000"/>
                <w:lang w:eastAsia="lt-LT"/>
              </w:rPr>
              <w:t xml:space="preserve">Pareiškėjo teikiamos skyrimo sąlygos </w:t>
            </w:r>
          </w:p>
        </w:tc>
        <w:tc>
          <w:tcPr>
            <w:tcW w:w="5167" w:type="dxa"/>
          </w:tcPr>
          <w:p w14:paraId="0579DF58" w14:textId="4B155348" w:rsidR="00A6547D" w:rsidRPr="002F0509" w:rsidRDefault="00A6547D" w:rsidP="00A6547D">
            <w:r w:rsidRPr="002F0509">
              <w:t>Neteikiamos</w:t>
            </w:r>
          </w:p>
        </w:tc>
      </w:tr>
      <w:tr w:rsidR="00A6547D" w:rsidRPr="002F0509" w14:paraId="3B125269" w14:textId="77777777" w:rsidTr="00BE7489">
        <w:trPr>
          <w:trHeight w:val="378"/>
        </w:trPr>
        <w:tc>
          <w:tcPr>
            <w:tcW w:w="632" w:type="dxa"/>
          </w:tcPr>
          <w:p w14:paraId="0058E11F" w14:textId="77777777" w:rsidR="00A6547D" w:rsidRPr="002F0509" w:rsidRDefault="00A6547D" w:rsidP="00A6547D">
            <w:pPr>
              <w:rPr>
                <w:rFonts w:eastAsia="Arial"/>
              </w:rPr>
            </w:pPr>
            <w:r w:rsidRPr="002F0509">
              <w:rPr>
                <w:rFonts w:eastAsia="Arial"/>
              </w:rPr>
              <w:t>1.7</w:t>
            </w:r>
          </w:p>
        </w:tc>
        <w:tc>
          <w:tcPr>
            <w:tcW w:w="3694" w:type="dxa"/>
          </w:tcPr>
          <w:p w14:paraId="738E1926" w14:textId="50A9DC79" w:rsidR="00A6547D" w:rsidRPr="002F0509" w:rsidRDefault="00A6547D" w:rsidP="00A6547D">
            <w:pPr>
              <w:rPr>
                <w:bCs/>
                <w:color w:val="000000"/>
                <w:lang w:eastAsia="lt-LT"/>
              </w:rPr>
            </w:pPr>
            <w:r w:rsidRPr="002F0509">
              <w:rPr>
                <w:bCs/>
                <w:color w:val="000000"/>
                <w:lang w:eastAsia="lt-LT"/>
              </w:rPr>
              <w:t xml:space="preserve">Pareiškėjo teikiamas palyginamasis gydymas: </w:t>
            </w:r>
          </w:p>
          <w:p w14:paraId="6CC1022E" w14:textId="5FECB22D" w:rsidR="00A6547D" w:rsidRPr="002F0509" w:rsidRDefault="00A6547D" w:rsidP="00A6547D">
            <w:pPr>
              <w:rPr>
                <w:bCs/>
                <w:i/>
                <w:color w:val="000000"/>
                <w:lang w:eastAsia="lt-LT"/>
              </w:rPr>
            </w:pPr>
            <w:r w:rsidRPr="002F0509">
              <w:rPr>
                <w:bCs/>
                <w:i/>
                <w:color w:val="000000"/>
                <w:lang w:eastAsia="lt-LT"/>
              </w:rPr>
              <w:t>Tiesioginis</w:t>
            </w:r>
          </w:p>
        </w:tc>
        <w:tc>
          <w:tcPr>
            <w:tcW w:w="5167" w:type="dxa"/>
          </w:tcPr>
          <w:p w14:paraId="1F113AC0" w14:textId="2B2C56BE" w:rsidR="00A6547D" w:rsidRPr="002F0509" w:rsidRDefault="00000000" w:rsidP="00A6547D">
            <w:sdt>
              <w:sdtPr>
                <w:rPr>
                  <w:rStyle w:val="Style2"/>
                  <w:sz w:val="24"/>
                </w:rPr>
                <w:id w:val="1480955706"/>
                <w15:color w:val="FFCC00"/>
                <w14:checkbox>
                  <w14:checked w14:val="0"/>
                  <w14:checkedState w14:val="2612" w14:font="MS Gothic"/>
                  <w14:uncheckedState w14:val="2610" w14:font="MS Gothic"/>
                </w14:checkbox>
              </w:sdtPr>
              <w:sdtContent>
                <w:r w:rsidR="00A6547D" w:rsidRPr="002F0509">
                  <w:rPr>
                    <w:rStyle w:val="Style2"/>
                    <w:rFonts w:ascii="MS Gothic" w:eastAsia="MS Gothic" w:hAnsi="MS Gothic" w:hint="eastAsia"/>
                    <w:sz w:val="24"/>
                  </w:rPr>
                  <w:t>☐</w:t>
                </w:r>
              </w:sdtContent>
            </w:sdt>
            <w:r w:rsidR="00A6547D" w:rsidRPr="002F0509">
              <w:t xml:space="preserve"> Tinkamas</w:t>
            </w:r>
          </w:p>
          <w:p w14:paraId="41B44044" w14:textId="52A2C3C6" w:rsidR="00A6547D" w:rsidRPr="002F0509" w:rsidRDefault="00000000" w:rsidP="00A6547D">
            <w:sdt>
              <w:sdtPr>
                <w:rPr>
                  <w:rStyle w:val="Style2"/>
                  <w:sz w:val="24"/>
                </w:rPr>
                <w:id w:val="-352420698"/>
                <w15:color w:val="FFCC00"/>
                <w14:checkbox>
                  <w14:checked w14:val="1"/>
                  <w14:checkedState w14:val="2612" w14:font="MS Gothic"/>
                  <w14:uncheckedState w14:val="2610" w14:font="MS Gothic"/>
                </w14:checkbox>
              </w:sdtPr>
              <w:sdtContent>
                <w:r w:rsidR="00A6547D" w:rsidRPr="002F0509">
                  <w:rPr>
                    <w:rStyle w:val="Style2"/>
                    <w:rFonts w:ascii="MS Gothic" w:eastAsia="MS Gothic" w:hAnsi="MS Gothic" w:hint="eastAsia"/>
                    <w:sz w:val="24"/>
                  </w:rPr>
                  <w:t>☒</w:t>
                </w:r>
              </w:sdtContent>
            </w:sdt>
            <w:r w:rsidR="00A6547D" w:rsidRPr="002F0509">
              <w:t xml:space="preserve"> Netinkamas</w:t>
            </w:r>
          </w:p>
        </w:tc>
      </w:tr>
    </w:tbl>
    <w:p w14:paraId="108176F7" w14:textId="640C6F75" w:rsidR="00F70C9E" w:rsidRPr="00E33EFF" w:rsidRDefault="00F70C9E" w:rsidP="00E03C3F">
      <w:pPr>
        <w:pStyle w:val="Sraopastraipa"/>
        <w:tabs>
          <w:tab w:val="left" w:pos="426"/>
        </w:tabs>
        <w:ind w:left="0"/>
        <w:rPr>
          <w:b/>
          <w:bCs/>
          <w:caps/>
        </w:rPr>
      </w:pPr>
    </w:p>
    <w:p w14:paraId="2871CA7F" w14:textId="2370BDDB" w:rsidR="00F70C9E" w:rsidRPr="00E33EFF" w:rsidRDefault="00F70C9E" w:rsidP="00880A44">
      <w:pPr>
        <w:spacing w:line="276" w:lineRule="auto"/>
        <w:jc w:val="both"/>
        <w:rPr>
          <w:rFonts w:eastAsia="Arial"/>
          <w:b/>
        </w:rPr>
      </w:pPr>
      <w:r w:rsidRPr="00E33EFF">
        <w:rPr>
          <w:rFonts w:eastAsia="Arial"/>
          <w:b/>
        </w:rPr>
        <w:t xml:space="preserve">1.8 Kitų </w:t>
      </w:r>
      <w:r w:rsidR="00DF583C" w:rsidRPr="00E33EFF">
        <w:rPr>
          <w:rFonts w:eastAsia="Arial"/>
          <w:b/>
        </w:rPr>
        <w:t xml:space="preserve">valstybių </w:t>
      </w:r>
      <w:r w:rsidRPr="00E33EFF">
        <w:rPr>
          <w:rFonts w:eastAsia="Arial"/>
          <w:b/>
        </w:rPr>
        <w:t xml:space="preserve">atsakingų institucijų atlikto </w:t>
      </w:r>
      <w:r w:rsidR="00DF583C" w:rsidRPr="00E33EFF">
        <w:rPr>
          <w:rFonts w:eastAsia="Arial"/>
          <w:b/>
        </w:rPr>
        <w:t>Sveikatos technologijų vertinimo (toliau – STV)</w:t>
      </w:r>
      <w:r w:rsidRPr="00E33EFF">
        <w:rPr>
          <w:rFonts w:eastAsia="Arial"/>
          <w:b/>
        </w:rPr>
        <w:t xml:space="preserve"> išvados</w:t>
      </w:r>
    </w:p>
    <w:p w14:paraId="30721FDD" w14:textId="77777777" w:rsidR="00F70C9E" w:rsidRPr="00E33EFF" w:rsidRDefault="00F70C9E" w:rsidP="00F70C9E">
      <w:pPr>
        <w:spacing w:line="276" w:lineRule="auto"/>
        <w:rPr>
          <w:rFonts w:eastAsia="Arial"/>
        </w:rPr>
      </w:pPr>
    </w:p>
    <w:tbl>
      <w:tblPr>
        <w:tblStyle w:val="Lentelstinklelis"/>
        <w:tblW w:w="9918" w:type="dxa"/>
        <w:tblLook w:val="04A0" w:firstRow="1" w:lastRow="0" w:firstColumn="1" w:lastColumn="0" w:noHBand="0" w:noVBand="1"/>
      </w:tblPr>
      <w:tblGrid>
        <w:gridCol w:w="2903"/>
        <w:gridCol w:w="1889"/>
        <w:gridCol w:w="2910"/>
        <w:gridCol w:w="2216"/>
      </w:tblGrid>
      <w:tr w:rsidR="00A6547D" w:rsidRPr="00A6547D" w14:paraId="098F99A5" w14:textId="77777777" w:rsidTr="00C17A3A">
        <w:trPr>
          <w:trHeight w:val="924"/>
        </w:trPr>
        <w:tc>
          <w:tcPr>
            <w:tcW w:w="2927" w:type="dxa"/>
          </w:tcPr>
          <w:p w14:paraId="1348C3F9" w14:textId="77777777" w:rsidR="00A6547D" w:rsidRPr="00A6547D" w:rsidRDefault="00A6547D" w:rsidP="00C17A3A">
            <w:pPr>
              <w:spacing w:line="276" w:lineRule="auto"/>
              <w:rPr>
                <w:rFonts w:eastAsia="Arial"/>
              </w:rPr>
            </w:pPr>
            <w:r w:rsidRPr="00A6547D">
              <w:rPr>
                <w:rFonts w:eastAsia="Arial"/>
              </w:rPr>
              <w:t>STV agentūros pavadinimas, šalis</w:t>
            </w:r>
          </w:p>
        </w:tc>
        <w:tc>
          <w:tcPr>
            <w:tcW w:w="1915" w:type="dxa"/>
          </w:tcPr>
          <w:p w14:paraId="6992E981" w14:textId="77777777" w:rsidR="00A6547D" w:rsidRPr="00A6547D" w:rsidRDefault="00A6547D" w:rsidP="00C17A3A">
            <w:pPr>
              <w:spacing w:line="276" w:lineRule="auto"/>
              <w:rPr>
                <w:rFonts w:eastAsia="Arial"/>
              </w:rPr>
            </w:pPr>
            <w:r w:rsidRPr="00A6547D">
              <w:rPr>
                <w:rFonts w:eastAsia="Arial"/>
              </w:rPr>
              <w:t>STV vertinimas atliktas</w:t>
            </w:r>
          </w:p>
        </w:tc>
        <w:tc>
          <w:tcPr>
            <w:tcW w:w="2950" w:type="dxa"/>
          </w:tcPr>
          <w:p w14:paraId="4414EB58" w14:textId="77777777" w:rsidR="00A6547D" w:rsidRPr="00A6547D" w:rsidRDefault="00A6547D" w:rsidP="00C17A3A">
            <w:pPr>
              <w:spacing w:line="276" w:lineRule="auto"/>
              <w:rPr>
                <w:rFonts w:eastAsia="Arial"/>
              </w:rPr>
            </w:pPr>
            <w:r w:rsidRPr="00A6547D">
              <w:rPr>
                <w:rFonts w:eastAsia="Arial"/>
              </w:rPr>
              <w:t>Klinikinio vertinimo išvada</w:t>
            </w:r>
          </w:p>
        </w:tc>
        <w:tc>
          <w:tcPr>
            <w:tcW w:w="2126" w:type="dxa"/>
          </w:tcPr>
          <w:p w14:paraId="7195594B" w14:textId="77777777" w:rsidR="00A6547D" w:rsidRPr="00A6547D" w:rsidRDefault="00A6547D" w:rsidP="00C17A3A">
            <w:pPr>
              <w:spacing w:line="276" w:lineRule="auto"/>
              <w:rPr>
                <w:rFonts w:eastAsia="Arial"/>
              </w:rPr>
            </w:pPr>
            <w:r w:rsidRPr="00A6547D">
              <w:rPr>
                <w:rFonts w:eastAsia="Arial"/>
              </w:rPr>
              <w:t>Farmakoekonominio vertinimo išvada</w:t>
            </w:r>
          </w:p>
        </w:tc>
      </w:tr>
      <w:tr w:rsidR="00A6547D" w:rsidRPr="00A6547D" w14:paraId="365E5D9E" w14:textId="77777777" w:rsidTr="00C17A3A">
        <w:trPr>
          <w:trHeight w:val="1765"/>
        </w:trPr>
        <w:tc>
          <w:tcPr>
            <w:tcW w:w="2927" w:type="dxa"/>
          </w:tcPr>
          <w:p w14:paraId="65060B1B" w14:textId="77777777" w:rsidR="00A6547D" w:rsidRPr="00A6547D" w:rsidRDefault="00A6547D" w:rsidP="00C17A3A">
            <w:pPr>
              <w:autoSpaceDE w:val="0"/>
              <w:autoSpaceDN w:val="0"/>
              <w:adjustRightInd w:val="0"/>
              <w:spacing w:line="276" w:lineRule="auto"/>
              <w:rPr>
                <w:bCs/>
              </w:rPr>
            </w:pPr>
            <w:r w:rsidRPr="00A6547D">
              <w:rPr>
                <w:bCs/>
              </w:rPr>
              <w:t>Nacionalinis sveikatos ir klinikinės kompetencijos institutas, Didžioji Britanija</w:t>
            </w:r>
          </w:p>
          <w:p w14:paraId="33E5058B" w14:textId="77777777" w:rsidR="00A6547D" w:rsidRPr="00A6547D" w:rsidRDefault="00A6547D" w:rsidP="00C17A3A">
            <w:pPr>
              <w:spacing w:line="276" w:lineRule="auto"/>
              <w:rPr>
                <w:rFonts w:eastAsia="Arial"/>
              </w:rPr>
            </w:pPr>
            <w:r w:rsidRPr="00A6547D">
              <w:rPr>
                <w:rFonts w:eastAsia="Arial"/>
              </w:rPr>
              <w:t xml:space="preserve">(angl. </w:t>
            </w:r>
            <w:r w:rsidRPr="00A6547D">
              <w:rPr>
                <w:rFonts w:eastAsia="Arial"/>
                <w:i/>
              </w:rPr>
              <w:t>National Institute for Health and Care Excellence, NICE</w:t>
            </w:r>
            <w:r w:rsidRPr="00A6547D">
              <w:rPr>
                <w:rFonts w:eastAsia="Arial"/>
              </w:rPr>
              <w:t>)</w:t>
            </w:r>
          </w:p>
        </w:tc>
        <w:tc>
          <w:tcPr>
            <w:tcW w:w="1915" w:type="dxa"/>
          </w:tcPr>
          <w:p w14:paraId="74126D33" w14:textId="77777777" w:rsidR="00A6547D" w:rsidRPr="00A6547D" w:rsidRDefault="00000000" w:rsidP="00C17A3A">
            <w:pPr>
              <w:spacing w:line="276" w:lineRule="auto"/>
            </w:pPr>
            <w:sdt>
              <w:sdtPr>
                <w:rPr>
                  <w:rStyle w:val="Style2"/>
                  <w:sz w:val="24"/>
                </w:rPr>
                <w:id w:val="1558205022"/>
                <w15:color w:val="FFCC00"/>
                <w14:checkbox>
                  <w14:checked w14:val="1"/>
                  <w14:checkedState w14:val="2612" w14:font="MS Gothic"/>
                  <w14:uncheckedState w14:val="2610" w14:font="MS Gothic"/>
                </w14:checkbox>
              </w:sdtPr>
              <w:sdtContent>
                <w:r w:rsidR="00A6547D" w:rsidRPr="00A6547D">
                  <w:rPr>
                    <w:rStyle w:val="Style2"/>
                    <w:rFonts w:ascii="MS Gothic" w:eastAsia="MS Gothic" w:hAnsi="MS Gothic" w:hint="eastAsia"/>
                    <w:sz w:val="24"/>
                  </w:rPr>
                  <w:t>☒</w:t>
                </w:r>
              </w:sdtContent>
            </w:sdt>
            <w:r w:rsidR="00A6547D" w:rsidRPr="00A6547D">
              <w:t xml:space="preserve"> Taip</w:t>
            </w:r>
          </w:p>
          <w:p w14:paraId="01F43737" w14:textId="77777777" w:rsidR="00A6547D" w:rsidRPr="00A6547D" w:rsidRDefault="00000000" w:rsidP="00C17A3A">
            <w:pPr>
              <w:spacing w:line="276" w:lineRule="auto"/>
            </w:pPr>
            <w:sdt>
              <w:sdtPr>
                <w:rPr>
                  <w:rStyle w:val="Style2"/>
                  <w:sz w:val="24"/>
                </w:rPr>
                <w:id w:val="866029625"/>
                <w15:color w:val="FFCC00"/>
                <w14:checkbox>
                  <w14:checked w14:val="0"/>
                  <w14:checkedState w14:val="2612" w14:font="MS Gothic"/>
                  <w14:uncheckedState w14:val="2610" w14:font="MS Gothic"/>
                </w14:checkbox>
              </w:sdtPr>
              <w:sdtContent>
                <w:r w:rsidR="00A6547D" w:rsidRPr="00A6547D">
                  <w:rPr>
                    <w:rStyle w:val="Style2"/>
                    <w:rFonts w:ascii="MS Gothic" w:eastAsia="MS Gothic" w:hAnsi="MS Gothic" w:hint="eastAsia"/>
                    <w:sz w:val="24"/>
                  </w:rPr>
                  <w:t>☐</w:t>
                </w:r>
              </w:sdtContent>
            </w:sdt>
            <w:r w:rsidR="00A6547D" w:rsidRPr="00A6547D">
              <w:t xml:space="preserve"> Ne</w:t>
            </w:r>
          </w:p>
          <w:p w14:paraId="10F6EBDC" w14:textId="77777777" w:rsidR="00A6547D" w:rsidRPr="00A6547D" w:rsidRDefault="00A6547D" w:rsidP="00C17A3A">
            <w:pPr>
              <w:spacing w:line="276" w:lineRule="auto"/>
              <w:rPr>
                <w:rFonts w:eastAsia="Arial"/>
                <w:lang w:val="en-US"/>
              </w:rPr>
            </w:pPr>
            <w:r w:rsidRPr="00A6547D">
              <w:rPr>
                <w:rFonts w:eastAsia="Arial"/>
                <w:lang w:val="en-US"/>
              </w:rPr>
              <w:t>2024 03 27</w:t>
            </w:r>
          </w:p>
        </w:tc>
        <w:tc>
          <w:tcPr>
            <w:tcW w:w="5076" w:type="dxa"/>
            <w:gridSpan w:val="2"/>
          </w:tcPr>
          <w:p w14:paraId="6BC31736" w14:textId="77777777" w:rsidR="00A6547D" w:rsidRPr="00A6547D" w:rsidRDefault="00A6547D" w:rsidP="00C17A3A">
            <w:pPr>
              <w:spacing w:line="276" w:lineRule="auto"/>
              <w:rPr>
                <w:rFonts w:eastAsia="Arial"/>
              </w:rPr>
            </w:pPr>
            <w:r w:rsidRPr="00A6547D">
              <w:rPr>
                <w:rFonts w:eastAsia="Arial"/>
              </w:rPr>
              <w:t xml:space="preserve">Pakartotinio vertinimo metu nuspręsta kompensuoti su komerciniu sutarimu dėl nuolaidos. </w:t>
            </w:r>
          </w:p>
        </w:tc>
      </w:tr>
      <w:tr w:rsidR="00A6547D" w:rsidRPr="00A6547D" w14:paraId="3AA221B6" w14:textId="77777777" w:rsidTr="00C17A3A">
        <w:trPr>
          <w:trHeight w:val="1547"/>
        </w:trPr>
        <w:tc>
          <w:tcPr>
            <w:tcW w:w="2927" w:type="dxa"/>
          </w:tcPr>
          <w:p w14:paraId="5D3A388F" w14:textId="77777777" w:rsidR="00A6547D" w:rsidRPr="00A6547D" w:rsidRDefault="00A6547D" w:rsidP="00C17A3A">
            <w:pPr>
              <w:spacing w:line="276" w:lineRule="auto"/>
              <w:rPr>
                <w:rFonts w:eastAsia="Arial"/>
              </w:rPr>
            </w:pPr>
            <w:r w:rsidRPr="00A6547D">
              <w:rPr>
                <w:rFonts w:eastAsia="Arial"/>
              </w:rPr>
              <w:t>Kanados sveikatos technologijų agentūra</w:t>
            </w:r>
          </w:p>
          <w:p w14:paraId="1D98AEB4" w14:textId="77777777" w:rsidR="00A6547D" w:rsidRPr="00A6547D" w:rsidRDefault="00A6547D" w:rsidP="00C17A3A">
            <w:pPr>
              <w:spacing w:line="276" w:lineRule="auto"/>
              <w:rPr>
                <w:rFonts w:eastAsia="Arial"/>
              </w:rPr>
            </w:pPr>
            <w:r w:rsidRPr="00A6547D">
              <w:rPr>
                <w:rFonts w:eastAsia="Arial"/>
              </w:rPr>
              <w:t xml:space="preserve">(angl. </w:t>
            </w:r>
            <w:r w:rsidRPr="00A6547D">
              <w:rPr>
                <w:rFonts w:eastAsia="Arial"/>
                <w:i/>
              </w:rPr>
              <w:t>Canadian health Technology Assessment agency, CADTH</w:t>
            </w:r>
            <w:r w:rsidRPr="00A6547D">
              <w:rPr>
                <w:rFonts w:eastAsia="Arial"/>
              </w:rPr>
              <w:t>)</w:t>
            </w:r>
          </w:p>
        </w:tc>
        <w:tc>
          <w:tcPr>
            <w:tcW w:w="1915" w:type="dxa"/>
          </w:tcPr>
          <w:p w14:paraId="0572E053" w14:textId="77777777" w:rsidR="00A6547D" w:rsidRPr="00A6547D" w:rsidRDefault="00000000" w:rsidP="00C17A3A">
            <w:pPr>
              <w:spacing w:line="276" w:lineRule="auto"/>
            </w:pPr>
            <w:sdt>
              <w:sdtPr>
                <w:rPr>
                  <w:rStyle w:val="Style2"/>
                  <w:sz w:val="24"/>
                </w:rPr>
                <w:id w:val="-372539057"/>
                <w15:color w:val="FFCC00"/>
                <w14:checkbox>
                  <w14:checked w14:val="1"/>
                  <w14:checkedState w14:val="2612" w14:font="MS Gothic"/>
                  <w14:uncheckedState w14:val="2610" w14:font="MS Gothic"/>
                </w14:checkbox>
              </w:sdtPr>
              <w:sdtContent>
                <w:r w:rsidR="00A6547D" w:rsidRPr="00A6547D">
                  <w:rPr>
                    <w:rStyle w:val="Style2"/>
                    <w:rFonts w:ascii="MS Gothic" w:eastAsia="MS Gothic" w:hAnsi="MS Gothic" w:hint="eastAsia"/>
                    <w:sz w:val="24"/>
                  </w:rPr>
                  <w:t>☒</w:t>
                </w:r>
              </w:sdtContent>
            </w:sdt>
            <w:r w:rsidR="00A6547D" w:rsidRPr="00A6547D">
              <w:t xml:space="preserve"> Taip</w:t>
            </w:r>
          </w:p>
          <w:p w14:paraId="231474B8" w14:textId="77777777" w:rsidR="00A6547D" w:rsidRPr="00A6547D" w:rsidRDefault="00000000" w:rsidP="00C17A3A">
            <w:pPr>
              <w:spacing w:line="276" w:lineRule="auto"/>
            </w:pPr>
            <w:sdt>
              <w:sdtPr>
                <w:rPr>
                  <w:rStyle w:val="Style2"/>
                  <w:sz w:val="24"/>
                </w:rPr>
                <w:id w:val="594442222"/>
                <w15:color w:val="FFCC00"/>
                <w14:checkbox>
                  <w14:checked w14:val="0"/>
                  <w14:checkedState w14:val="2612" w14:font="MS Gothic"/>
                  <w14:uncheckedState w14:val="2610" w14:font="MS Gothic"/>
                </w14:checkbox>
              </w:sdtPr>
              <w:sdtContent>
                <w:r w:rsidR="00A6547D" w:rsidRPr="00A6547D">
                  <w:rPr>
                    <w:rStyle w:val="Style2"/>
                    <w:rFonts w:ascii="Segoe UI Symbol" w:eastAsia="MS Gothic" w:hAnsi="Segoe UI Symbol" w:cs="Segoe UI Symbol"/>
                    <w:sz w:val="24"/>
                  </w:rPr>
                  <w:t>☐</w:t>
                </w:r>
              </w:sdtContent>
            </w:sdt>
            <w:r w:rsidR="00A6547D" w:rsidRPr="00A6547D">
              <w:t xml:space="preserve"> Ne</w:t>
            </w:r>
          </w:p>
          <w:p w14:paraId="62CE82E5" w14:textId="77777777" w:rsidR="00A6547D" w:rsidRPr="00A6547D" w:rsidRDefault="00A6547D" w:rsidP="00C17A3A">
            <w:pPr>
              <w:spacing w:line="276" w:lineRule="auto"/>
              <w:rPr>
                <w:lang w:val="en-US"/>
              </w:rPr>
            </w:pPr>
            <w:r w:rsidRPr="00A6547D">
              <w:rPr>
                <w:lang w:val="en-US"/>
              </w:rPr>
              <w:t>2022 02</w:t>
            </w:r>
          </w:p>
        </w:tc>
        <w:tc>
          <w:tcPr>
            <w:tcW w:w="2950" w:type="dxa"/>
          </w:tcPr>
          <w:p w14:paraId="2780730B" w14:textId="77777777" w:rsidR="00A6547D" w:rsidRPr="00A6547D" w:rsidRDefault="00A6547D" w:rsidP="00C17A3A">
            <w:pPr>
              <w:spacing w:line="276" w:lineRule="auto"/>
              <w:rPr>
                <w:rFonts w:eastAsia="Arial"/>
              </w:rPr>
            </w:pPr>
            <w:r w:rsidRPr="00A6547D">
              <w:rPr>
                <w:rFonts w:eastAsia="Arial"/>
              </w:rPr>
              <w:t xml:space="preserve">Rekomenduota kompensuoti su skyrimo sąlygų apribojimu, jog medikamentas neturėtų būti kompensuojamas pacientams, kuriems nustatyta simptominė dauginė mieloma arba jai buvo skirtas gydymas. </w:t>
            </w:r>
          </w:p>
        </w:tc>
        <w:tc>
          <w:tcPr>
            <w:tcW w:w="2126" w:type="dxa"/>
          </w:tcPr>
          <w:p w14:paraId="05CA3D66" w14:textId="77777777" w:rsidR="00A6547D" w:rsidRPr="00A6547D" w:rsidRDefault="00A6547D" w:rsidP="00C17A3A">
            <w:pPr>
              <w:spacing w:line="276" w:lineRule="auto"/>
              <w:rPr>
                <w:rFonts w:eastAsia="Arial"/>
              </w:rPr>
            </w:pPr>
            <w:r w:rsidRPr="00A6547D">
              <w:rPr>
                <w:rFonts w:eastAsia="Arial"/>
              </w:rPr>
              <w:t xml:space="preserve">Rekomenduota kompensuoti sumažinus kainą. </w:t>
            </w:r>
          </w:p>
        </w:tc>
      </w:tr>
      <w:tr w:rsidR="00A6547D" w:rsidRPr="00A6547D" w14:paraId="47755757" w14:textId="77777777" w:rsidTr="00C17A3A">
        <w:trPr>
          <w:trHeight w:val="1927"/>
        </w:trPr>
        <w:tc>
          <w:tcPr>
            <w:tcW w:w="2927" w:type="dxa"/>
          </w:tcPr>
          <w:p w14:paraId="78F40AAC" w14:textId="77777777" w:rsidR="00A6547D" w:rsidRPr="00A6547D" w:rsidRDefault="00A6547D" w:rsidP="00C17A3A">
            <w:pPr>
              <w:spacing w:line="276" w:lineRule="auto"/>
              <w:rPr>
                <w:rFonts w:eastAsia="Arial"/>
              </w:rPr>
            </w:pPr>
            <w:r w:rsidRPr="00A6547D">
              <w:rPr>
                <w:rFonts w:eastAsia="Arial"/>
              </w:rPr>
              <w:t>Nacionalinis farmakoekonomikos centras, Airija</w:t>
            </w:r>
          </w:p>
          <w:p w14:paraId="454A543B" w14:textId="77777777" w:rsidR="00A6547D" w:rsidRPr="00A6547D" w:rsidRDefault="00A6547D" w:rsidP="00C17A3A">
            <w:pPr>
              <w:spacing w:line="276" w:lineRule="auto"/>
              <w:rPr>
                <w:rFonts w:eastAsia="Arial"/>
              </w:rPr>
            </w:pPr>
            <w:r w:rsidRPr="00A6547D">
              <w:rPr>
                <w:rFonts w:eastAsia="Arial"/>
              </w:rPr>
              <w:t>(angl.</w:t>
            </w:r>
            <w:r w:rsidRPr="00A6547D">
              <w:rPr>
                <w:rFonts w:eastAsia="Arial"/>
                <w:i/>
              </w:rPr>
              <w:t xml:space="preserve"> National Centre for Pharmacoeconomics, NCPE</w:t>
            </w:r>
            <w:r w:rsidRPr="00A6547D">
              <w:rPr>
                <w:rFonts w:eastAsia="Arial"/>
              </w:rPr>
              <w:t>)</w:t>
            </w:r>
          </w:p>
        </w:tc>
        <w:tc>
          <w:tcPr>
            <w:tcW w:w="1915" w:type="dxa"/>
          </w:tcPr>
          <w:p w14:paraId="4F8E3CEA" w14:textId="77777777" w:rsidR="00A6547D" w:rsidRPr="00A6547D" w:rsidRDefault="00000000" w:rsidP="00C17A3A">
            <w:pPr>
              <w:spacing w:line="276" w:lineRule="auto"/>
            </w:pPr>
            <w:sdt>
              <w:sdtPr>
                <w:rPr>
                  <w:rStyle w:val="Style2"/>
                  <w:sz w:val="24"/>
                </w:rPr>
                <w:id w:val="-1888403732"/>
                <w15:color w:val="FFCC00"/>
                <w14:checkbox>
                  <w14:checked w14:val="0"/>
                  <w14:checkedState w14:val="2612" w14:font="MS Gothic"/>
                  <w14:uncheckedState w14:val="2610" w14:font="MS Gothic"/>
                </w14:checkbox>
              </w:sdtPr>
              <w:sdtContent>
                <w:r w:rsidR="00A6547D" w:rsidRPr="00A6547D">
                  <w:rPr>
                    <w:rStyle w:val="Style2"/>
                    <w:rFonts w:ascii="Segoe UI Symbol" w:eastAsia="MS Gothic" w:hAnsi="Segoe UI Symbol" w:cs="Segoe UI Symbol"/>
                    <w:sz w:val="24"/>
                  </w:rPr>
                  <w:t>☐</w:t>
                </w:r>
              </w:sdtContent>
            </w:sdt>
            <w:r w:rsidR="00A6547D" w:rsidRPr="00A6547D">
              <w:t xml:space="preserve"> Taip</w:t>
            </w:r>
          </w:p>
          <w:p w14:paraId="1EC3C2EA" w14:textId="77777777" w:rsidR="00A6547D" w:rsidRPr="00A6547D" w:rsidRDefault="00000000" w:rsidP="00C17A3A">
            <w:pPr>
              <w:spacing w:line="276" w:lineRule="auto"/>
            </w:pPr>
            <w:sdt>
              <w:sdtPr>
                <w:rPr>
                  <w:rStyle w:val="Style2"/>
                  <w:sz w:val="24"/>
                </w:rPr>
                <w:id w:val="1092201793"/>
                <w15:color w:val="FFCC00"/>
                <w14:checkbox>
                  <w14:checked w14:val="1"/>
                  <w14:checkedState w14:val="2612" w14:font="MS Gothic"/>
                  <w14:uncheckedState w14:val="2610" w14:font="MS Gothic"/>
                </w14:checkbox>
              </w:sdtPr>
              <w:sdtContent>
                <w:r w:rsidR="00A6547D" w:rsidRPr="00A6547D">
                  <w:rPr>
                    <w:rStyle w:val="Style2"/>
                    <w:rFonts w:ascii="MS Gothic" w:eastAsia="MS Gothic" w:hAnsi="MS Gothic" w:hint="eastAsia"/>
                    <w:sz w:val="24"/>
                  </w:rPr>
                  <w:t>☒</w:t>
                </w:r>
              </w:sdtContent>
            </w:sdt>
            <w:r w:rsidR="00A6547D" w:rsidRPr="00A6547D">
              <w:t xml:space="preserve"> Ne</w:t>
            </w:r>
          </w:p>
          <w:p w14:paraId="57193FAE" w14:textId="77777777" w:rsidR="00A6547D" w:rsidRPr="00A6547D" w:rsidRDefault="00A6547D" w:rsidP="00C17A3A">
            <w:pPr>
              <w:spacing w:line="276" w:lineRule="auto"/>
              <w:rPr>
                <w:rFonts w:eastAsia="Arial"/>
                <w:lang w:val="en-US"/>
              </w:rPr>
            </w:pPr>
            <w:r w:rsidRPr="00A6547D">
              <w:rPr>
                <w:rFonts w:eastAsia="Arial"/>
                <w:lang w:val="en-US"/>
              </w:rPr>
              <w:t>2022 12 19</w:t>
            </w:r>
          </w:p>
        </w:tc>
        <w:tc>
          <w:tcPr>
            <w:tcW w:w="2950" w:type="dxa"/>
          </w:tcPr>
          <w:p w14:paraId="7EACEAA5" w14:textId="77777777" w:rsidR="00A6547D" w:rsidRPr="00A6547D" w:rsidRDefault="00A6547D" w:rsidP="00C17A3A">
            <w:pPr>
              <w:spacing w:line="276" w:lineRule="auto"/>
              <w:rPr>
                <w:rFonts w:eastAsia="Arial"/>
              </w:rPr>
            </w:pPr>
          </w:p>
        </w:tc>
        <w:tc>
          <w:tcPr>
            <w:tcW w:w="2126" w:type="dxa"/>
          </w:tcPr>
          <w:p w14:paraId="4AB2C67C" w14:textId="77777777" w:rsidR="00A6547D" w:rsidRPr="00A6547D" w:rsidRDefault="00A6547D" w:rsidP="00C17A3A">
            <w:pPr>
              <w:spacing w:line="276" w:lineRule="auto"/>
              <w:rPr>
                <w:rFonts w:eastAsia="Arial"/>
              </w:rPr>
            </w:pPr>
            <w:r w:rsidRPr="00A6547D">
              <w:rPr>
                <w:rFonts w:eastAsia="Arial"/>
              </w:rPr>
              <w:t xml:space="preserve">Nuspręsta nekompensuoti, nebent bus padidintas kaštų efektyvumas. </w:t>
            </w:r>
          </w:p>
        </w:tc>
      </w:tr>
    </w:tbl>
    <w:p w14:paraId="2EB7FD31" w14:textId="4D2A8479" w:rsidR="007A2B68" w:rsidRDefault="007A2B68" w:rsidP="00E03C3F">
      <w:pPr>
        <w:pStyle w:val="Sraopastraipa"/>
        <w:tabs>
          <w:tab w:val="left" w:pos="426"/>
        </w:tabs>
        <w:ind w:left="0"/>
        <w:rPr>
          <w:b/>
          <w:bCs/>
          <w:caps/>
        </w:rPr>
      </w:pPr>
    </w:p>
    <w:p w14:paraId="73290081" w14:textId="77777777" w:rsidR="007A2B68" w:rsidRDefault="007A2B68">
      <w:pPr>
        <w:rPr>
          <w:b/>
          <w:bCs/>
          <w:caps/>
        </w:rPr>
      </w:pPr>
      <w:r>
        <w:rPr>
          <w:b/>
          <w:bCs/>
          <w:caps/>
        </w:rPr>
        <w:br w:type="page"/>
      </w:r>
    </w:p>
    <w:p w14:paraId="5055E8A8" w14:textId="471A9757" w:rsidR="002E6F80" w:rsidRPr="00E33EFF" w:rsidRDefault="00CC7832" w:rsidP="00CC09D4">
      <w:pPr>
        <w:pStyle w:val="Sraopastraipa"/>
        <w:numPr>
          <w:ilvl w:val="0"/>
          <w:numId w:val="12"/>
        </w:numPr>
        <w:tabs>
          <w:tab w:val="left" w:pos="567"/>
        </w:tabs>
        <w:ind w:hanging="720"/>
        <w:rPr>
          <w:b/>
          <w:bCs/>
          <w:caps/>
        </w:rPr>
      </w:pPr>
      <w:r w:rsidRPr="00E33EFF">
        <w:rPr>
          <w:b/>
          <w:bCs/>
          <w:caps/>
        </w:rPr>
        <w:lastRenderedPageBreak/>
        <w:t>Klinikinio vertinimo a</w:t>
      </w:r>
      <w:r w:rsidR="00D4485B" w:rsidRPr="00E33EFF">
        <w:rPr>
          <w:b/>
          <w:bCs/>
          <w:caps/>
        </w:rPr>
        <w:t>pibendrinimas</w:t>
      </w:r>
    </w:p>
    <w:p w14:paraId="117573E8" w14:textId="77777777" w:rsidR="00A6547D" w:rsidRDefault="00A6547D" w:rsidP="00A6547D">
      <w:pPr>
        <w:tabs>
          <w:tab w:val="left" w:pos="426"/>
        </w:tabs>
        <w:spacing w:line="276" w:lineRule="auto"/>
        <w:jc w:val="both"/>
        <w:rPr>
          <w:rFonts w:eastAsia="Arial"/>
          <w:color w:val="000000" w:themeColor="text1"/>
        </w:rPr>
      </w:pPr>
      <w:r>
        <w:rPr>
          <w:rFonts w:eastAsia="Arial"/>
          <w:color w:val="000000" w:themeColor="text1"/>
        </w:rPr>
        <w:tab/>
      </w:r>
    </w:p>
    <w:p w14:paraId="125656E9" w14:textId="48BAEA63" w:rsidR="00A6547D" w:rsidRPr="00237BEF" w:rsidRDefault="00A6547D" w:rsidP="00A6547D">
      <w:pPr>
        <w:tabs>
          <w:tab w:val="left" w:pos="426"/>
        </w:tabs>
        <w:spacing w:line="276" w:lineRule="auto"/>
        <w:jc w:val="both"/>
        <w:rPr>
          <w:rFonts w:eastAsia="Arial"/>
          <w:bCs/>
        </w:rPr>
      </w:pPr>
      <w:r>
        <w:rPr>
          <w:rFonts w:eastAsia="Arial"/>
          <w:color w:val="000000" w:themeColor="text1"/>
        </w:rPr>
        <w:tab/>
        <w:t>Lengvųjų grandinių (AL) a</w:t>
      </w:r>
      <w:r w:rsidRPr="000E2822">
        <w:rPr>
          <w:rFonts w:eastAsia="Arial"/>
          <w:color w:val="000000" w:themeColor="text1"/>
        </w:rPr>
        <w:t>miloidoz</w:t>
      </w:r>
      <w:r>
        <w:rPr>
          <w:rFonts w:eastAsia="Arial"/>
          <w:color w:val="000000" w:themeColor="text1"/>
        </w:rPr>
        <w:t xml:space="preserve">ė </w:t>
      </w:r>
      <w:r w:rsidRPr="000E2822">
        <w:rPr>
          <w:rFonts w:eastAsia="Arial"/>
          <w:color w:val="000000" w:themeColor="text1"/>
        </w:rPr>
        <w:t>yra paraproteinemija ir</w:t>
      </w:r>
      <w:r>
        <w:rPr>
          <w:rFonts w:eastAsia="Arial"/>
          <w:color w:val="000000" w:themeColor="text1"/>
        </w:rPr>
        <w:t xml:space="preserve"> </w:t>
      </w:r>
      <w:r w:rsidRPr="000E2822">
        <w:rPr>
          <w:rFonts w:eastAsia="Arial"/>
          <w:color w:val="000000" w:themeColor="text1"/>
        </w:rPr>
        <w:t>dažniausiai pasitaikanti amiloidozės forma, kuriai būdingas</w:t>
      </w:r>
      <w:r>
        <w:rPr>
          <w:rFonts w:eastAsia="Arial"/>
          <w:color w:val="000000" w:themeColor="text1"/>
        </w:rPr>
        <w:t xml:space="preserve"> </w:t>
      </w:r>
      <w:r w:rsidRPr="000E2822">
        <w:rPr>
          <w:rFonts w:eastAsia="Arial"/>
          <w:color w:val="000000" w:themeColor="text1"/>
        </w:rPr>
        <w:t>klonas, gaminantis nestabilias lengvąsias grandines. Jos kaupiasi minkštuosiuose audiniuose</w:t>
      </w:r>
      <w:r>
        <w:rPr>
          <w:rFonts w:eastAsia="Arial"/>
          <w:color w:val="000000" w:themeColor="text1"/>
        </w:rPr>
        <w:t xml:space="preserve">, dažniausiai pažeisdamos </w:t>
      </w:r>
      <w:r w:rsidRPr="000E2822">
        <w:rPr>
          <w:rFonts w:eastAsia="Arial"/>
          <w:color w:val="000000" w:themeColor="text1"/>
        </w:rPr>
        <w:t>šird</w:t>
      </w:r>
      <w:r>
        <w:rPr>
          <w:rFonts w:eastAsia="Arial"/>
          <w:color w:val="000000" w:themeColor="text1"/>
        </w:rPr>
        <w:t>į</w:t>
      </w:r>
      <w:r w:rsidRPr="000E2822">
        <w:rPr>
          <w:rFonts w:eastAsia="Arial"/>
          <w:color w:val="000000" w:themeColor="text1"/>
        </w:rPr>
        <w:t>, inkst</w:t>
      </w:r>
      <w:r>
        <w:rPr>
          <w:rFonts w:eastAsia="Arial"/>
          <w:color w:val="000000" w:themeColor="text1"/>
        </w:rPr>
        <w:t>us</w:t>
      </w:r>
      <w:r w:rsidRPr="000E2822">
        <w:rPr>
          <w:rFonts w:eastAsia="Arial"/>
          <w:color w:val="000000" w:themeColor="text1"/>
        </w:rPr>
        <w:t xml:space="preserve">, </w:t>
      </w:r>
      <w:r>
        <w:rPr>
          <w:rFonts w:eastAsia="Arial"/>
          <w:color w:val="000000" w:themeColor="text1"/>
        </w:rPr>
        <w:t xml:space="preserve">rečiau - </w:t>
      </w:r>
      <w:r w:rsidRPr="000E2822">
        <w:rPr>
          <w:rFonts w:eastAsia="Arial"/>
          <w:color w:val="000000" w:themeColor="text1"/>
        </w:rPr>
        <w:t>kepen</w:t>
      </w:r>
      <w:r>
        <w:rPr>
          <w:rFonts w:eastAsia="Arial"/>
          <w:color w:val="000000" w:themeColor="text1"/>
        </w:rPr>
        <w:t>is</w:t>
      </w:r>
      <w:r w:rsidRPr="000E2822">
        <w:rPr>
          <w:rFonts w:eastAsia="Arial"/>
          <w:color w:val="000000" w:themeColor="text1"/>
        </w:rPr>
        <w:t>, periferini</w:t>
      </w:r>
      <w:r>
        <w:rPr>
          <w:rFonts w:eastAsia="Arial"/>
          <w:color w:val="000000" w:themeColor="text1"/>
        </w:rPr>
        <w:t>us</w:t>
      </w:r>
      <w:r w:rsidRPr="000E2822">
        <w:rPr>
          <w:rFonts w:eastAsia="Arial"/>
          <w:color w:val="000000" w:themeColor="text1"/>
        </w:rPr>
        <w:t xml:space="preserve"> nerv</w:t>
      </w:r>
      <w:r>
        <w:rPr>
          <w:rFonts w:eastAsia="Arial"/>
          <w:color w:val="000000" w:themeColor="text1"/>
        </w:rPr>
        <w:t xml:space="preserve">us. AL amiloidozė yra reta liga, kuriai būdinga bloga prognozė. Pagal </w:t>
      </w:r>
      <w:r w:rsidRPr="00DA0139">
        <w:rPr>
          <w:rFonts w:eastAsia="Arial"/>
          <w:bCs/>
        </w:rPr>
        <w:t>Mayo klinikos širdies pažeidimų vertinimo sistem</w:t>
      </w:r>
      <w:r>
        <w:rPr>
          <w:rFonts w:eastAsia="Arial"/>
          <w:bCs/>
        </w:rPr>
        <w:t>ą, pacientų išgyvenamumo mediana nustačius 1 stadijos širdies pažeidimą yra 9</w:t>
      </w:r>
      <w:r w:rsidRPr="004E3EEA">
        <w:rPr>
          <w:rFonts w:eastAsia="Arial"/>
          <w:bCs/>
        </w:rPr>
        <w:t>4,1 m</w:t>
      </w:r>
      <w:r>
        <w:rPr>
          <w:rFonts w:eastAsia="Arial"/>
          <w:bCs/>
        </w:rPr>
        <w:t xml:space="preserve">ėn., 2 stadijos - 40,3 mėn., </w:t>
      </w:r>
      <w:r w:rsidRPr="004E3EEA">
        <w:rPr>
          <w:rFonts w:eastAsia="Arial"/>
          <w:bCs/>
        </w:rPr>
        <w:t>3</w:t>
      </w:r>
      <w:r>
        <w:rPr>
          <w:rFonts w:eastAsia="Arial"/>
          <w:bCs/>
        </w:rPr>
        <w:t xml:space="preserve"> stadijos </w:t>
      </w:r>
      <w:r w:rsidRPr="004E3EEA">
        <w:rPr>
          <w:rFonts w:eastAsia="Arial"/>
          <w:bCs/>
        </w:rPr>
        <w:t>- 14 m</w:t>
      </w:r>
      <w:r>
        <w:rPr>
          <w:rFonts w:eastAsia="Arial"/>
          <w:bCs/>
        </w:rPr>
        <w:t xml:space="preserve">ėn., 4 stadijos – 5,8 mėn. </w:t>
      </w:r>
      <w:r>
        <w:rPr>
          <w:rFonts w:eastAsia="Arial"/>
          <w:color w:val="000000" w:themeColor="text1"/>
        </w:rPr>
        <w:t>Kadangi lengvąsias grandines gamina plazminės ląstelės, AL amiloidozė gali išsivystyti sergant kloninių plazminių ląstelių funkcijos sutrikimais (pvz.</w:t>
      </w:r>
      <w:r w:rsidR="004E4527">
        <w:rPr>
          <w:rFonts w:eastAsia="Arial"/>
          <w:color w:val="000000" w:themeColor="text1"/>
        </w:rPr>
        <w:t>,</w:t>
      </w:r>
      <w:r>
        <w:rPr>
          <w:rFonts w:eastAsia="Arial"/>
          <w:color w:val="000000" w:themeColor="text1"/>
        </w:rPr>
        <w:t xml:space="preserve"> </w:t>
      </w:r>
      <w:r w:rsidRPr="00103535">
        <w:rPr>
          <w:rFonts w:eastAsia="Arial"/>
          <w:color w:val="000000" w:themeColor="text1"/>
        </w:rPr>
        <w:t>daugybinė mieloma (DM)</w:t>
      </w:r>
      <w:r>
        <w:rPr>
          <w:rFonts w:eastAsia="Arial"/>
          <w:color w:val="000000" w:themeColor="text1"/>
        </w:rPr>
        <w:t>, rusenančia mielomine liga ar neaiškios kilmės monokloninė gamapatija (NKMG)). AL amiloidozė dažniau nustatoma sergant NKMG ar rusenančia mielomine liga nei aktyvia DM.</w:t>
      </w:r>
    </w:p>
    <w:p w14:paraId="1550DAB3" w14:textId="074F2C5E" w:rsidR="00A6547D" w:rsidRPr="000A00F7" w:rsidRDefault="00A6547D" w:rsidP="00A6547D">
      <w:pPr>
        <w:tabs>
          <w:tab w:val="left" w:pos="426"/>
        </w:tabs>
        <w:spacing w:line="276" w:lineRule="auto"/>
        <w:jc w:val="both"/>
        <w:rPr>
          <w:rFonts w:eastAsia="Arial"/>
          <w:color w:val="000000" w:themeColor="text1"/>
        </w:rPr>
      </w:pPr>
      <w:r>
        <w:rPr>
          <w:rFonts w:eastAsia="Arial"/>
          <w:color w:val="000000" w:themeColor="text1"/>
        </w:rPr>
        <w:tab/>
      </w:r>
      <w:r w:rsidRPr="000E2822">
        <w:rPr>
          <w:rFonts w:eastAsia="Arial"/>
          <w:color w:val="000000" w:themeColor="text1"/>
        </w:rPr>
        <w:t>Lietuvoje nėra tikslių duomenų apie AL amiloidozės paplitimą, nes nėra atskiro šios</w:t>
      </w:r>
      <w:r>
        <w:rPr>
          <w:rFonts w:eastAsia="Arial"/>
          <w:color w:val="000000" w:themeColor="text1"/>
        </w:rPr>
        <w:t xml:space="preserve"> </w:t>
      </w:r>
      <w:r w:rsidRPr="000E2822">
        <w:rPr>
          <w:rFonts w:eastAsia="Arial"/>
          <w:color w:val="000000" w:themeColor="text1"/>
        </w:rPr>
        <w:t xml:space="preserve">ligos TLK-10 </w:t>
      </w:r>
      <w:r w:rsidR="004E4527">
        <w:rPr>
          <w:rFonts w:eastAsia="Arial"/>
          <w:color w:val="000000" w:themeColor="text1"/>
        </w:rPr>
        <w:t xml:space="preserve">AM </w:t>
      </w:r>
      <w:r w:rsidRPr="000E2822">
        <w:rPr>
          <w:rFonts w:eastAsia="Arial"/>
          <w:color w:val="000000" w:themeColor="text1"/>
        </w:rPr>
        <w:t>kodo</w:t>
      </w:r>
      <w:r>
        <w:rPr>
          <w:rFonts w:eastAsia="Arial"/>
          <w:color w:val="000000" w:themeColor="text1"/>
        </w:rPr>
        <w:t xml:space="preserve">. </w:t>
      </w:r>
      <w:r w:rsidRPr="000E2822">
        <w:rPr>
          <w:rFonts w:eastAsia="Arial"/>
          <w:color w:val="000000" w:themeColor="text1"/>
        </w:rPr>
        <w:t>AL amiloidozė dažniausiai koduojama kaip E85.8 (kita amiloidozė) arba E85.9</w:t>
      </w:r>
      <w:r>
        <w:rPr>
          <w:rFonts w:eastAsia="Arial"/>
          <w:color w:val="000000" w:themeColor="text1"/>
        </w:rPr>
        <w:t xml:space="preserve"> </w:t>
      </w:r>
      <w:r w:rsidRPr="000E2822">
        <w:rPr>
          <w:rFonts w:eastAsia="Arial"/>
          <w:color w:val="000000" w:themeColor="text1"/>
        </w:rPr>
        <w:t>(amiloidozė, nepatikslinta). Higienos instituto duomenimis Lietuvoje kas metai bendrai</w:t>
      </w:r>
      <w:r>
        <w:rPr>
          <w:rFonts w:eastAsia="Arial"/>
          <w:color w:val="000000" w:themeColor="text1"/>
        </w:rPr>
        <w:t xml:space="preserve"> </w:t>
      </w:r>
      <w:r w:rsidRPr="000E2822">
        <w:rPr>
          <w:rFonts w:eastAsia="Arial"/>
          <w:color w:val="000000" w:themeColor="text1"/>
        </w:rPr>
        <w:t>registruojama apie 60 amiloidozės atvejų, iš kurių apie 60 proc. gali būti AL amiloidozė</w:t>
      </w:r>
      <w:r>
        <w:rPr>
          <w:rFonts w:eastAsia="Arial"/>
          <w:color w:val="000000" w:themeColor="text1"/>
        </w:rPr>
        <w:t>. E</w:t>
      </w:r>
      <w:r w:rsidRPr="000E2822">
        <w:rPr>
          <w:rFonts w:eastAsia="Arial"/>
          <w:color w:val="000000" w:themeColor="text1"/>
        </w:rPr>
        <w:t>kspertų</w:t>
      </w:r>
      <w:r>
        <w:rPr>
          <w:rFonts w:eastAsia="Arial"/>
          <w:color w:val="000000" w:themeColor="text1"/>
        </w:rPr>
        <w:t xml:space="preserve"> </w:t>
      </w:r>
      <w:r w:rsidRPr="000E2822">
        <w:rPr>
          <w:rFonts w:eastAsia="Arial"/>
          <w:color w:val="000000" w:themeColor="text1"/>
        </w:rPr>
        <w:t>nuomone</w:t>
      </w:r>
      <w:r>
        <w:rPr>
          <w:rFonts w:eastAsia="Arial"/>
          <w:color w:val="000000" w:themeColor="text1"/>
        </w:rPr>
        <w:t>,</w:t>
      </w:r>
      <w:r w:rsidRPr="000E2822">
        <w:rPr>
          <w:rFonts w:eastAsia="Arial"/>
          <w:color w:val="000000" w:themeColor="text1"/>
        </w:rPr>
        <w:t xml:space="preserve"> prognozuojant AL amiloidozės atvejų skaičių</w:t>
      </w:r>
      <w:r>
        <w:rPr>
          <w:rFonts w:eastAsia="Arial"/>
          <w:color w:val="000000" w:themeColor="text1"/>
        </w:rPr>
        <w:t xml:space="preserve">, rekomenduota </w:t>
      </w:r>
      <w:r w:rsidRPr="000E2822">
        <w:rPr>
          <w:rFonts w:eastAsia="Arial"/>
          <w:color w:val="000000" w:themeColor="text1"/>
        </w:rPr>
        <w:t>remtis literatūros</w:t>
      </w:r>
      <w:r>
        <w:rPr>
          <w:rFonts w:eastAsia="Arial"/>
          <w:color w:val="000000" w:themeColor="text1"/>
        </w:rPr>
        <w:t xml:space="preserve"> </w:t>
      </w:r>
      <w:r w:rsidRPr="000E2822">
        <w:rPr>
          <w:rFonts w:eastAsia="Arial"/>
          <w:color w:val="000000" w:themeColor="text1"/>
        </w:rPr>
        <w:t>duomenimis</w:t>
      </w:r>
      <w:r>
        <w:rPr>
          <w:rFonts w:eastAsia="Arial"/>
          <w:color w:val="000000" w:themeColor="text1"/>
        </w:rPr>
        <w:t>.</w:t>
      </w:r>
      <w:r w:rsidRPr="000E2822">
        <w:rPr>
          <w:rFonts w:eastAsia="Arial"/>
          <w:color w:val="000000" w:themeColor="text1"/>
        </w:rPr>
        <w:t xml:space="preserve"> Kumar et al. 2022</w:t>
      </w:r>
      <w:r>
        <w:rPr>
          <w:rFonts w:eastAsia="Arial"/>
          <w:color w:val="000000" w:themeColor="text1"/>
        </w:rPr>
        <w:t xml:space="preserve"> tyrimo duomenimis</w:t>
      </w:r>
      <w:r w:rsidRPr="000E2822">
        <w:rPr>
          <w:rFonts w:eastAsia="Arial"/>
          <w:color w:val="000000" w:themeColor="text1"/>
        </w:rPr>
        <w:t>, Lietuvos populiacijoje</w:t>
      </w:r>
      <w:r>
        <w:rPr>
          <w:rFonts w:eastAsia="Arial"/>
          <w:color w:val="000000" w:themeColor="text1"/>
        </w:rPr>
        <w:t xml:space="preserve"> </w:t>
      </w:r>
      <w:r w:rsidRPr="000E2822">
        <w:rPr>
          <w:rFonts w:eastAsia="Arial"/>
          <w:color w:val="000000" w:themeColor="text1"/>
        </w:rPr>
        <w:t xml:space="preserve">naujų AL amiloidozės atvejų </w:t>
      </w:r>
      <w:r>
        <w:rPr>
          <w:rFonts w:eastAsia="Arial"/>
          <w:color w:val="000000" w:themeColor="text1"/>
        </w:rPr>
        <w:t>galėtų būti</w:t>
      </w:r>
      <w:r w:rsidRPr="000E2822">
        <w:rPr>
          <w:rFonts w:eastAsia="Arial"/>
          <w:color w:val="000000" w:themeColor="text1"/>
        </w:rPr>
        <w:t xml:space="preserve"> 11,09 atvejo 1 mln. gyventojų, t.y. 32 pacientai kas</w:t>
      </w:r>
      <w:r>
        <w:rPr>
          <w:rFonts w:eastAsia="Arial"/>
          <w:color w:val="000000" w:themeColor="text1"/>
        </w:rPr>
        <w:t>met.</w:t>
      </w:r>
      <w:r w:rsidRPr="000E2822">
        <w:rPr>
          <w:rFonts w:eastAsia="Arial"/>
          <w:color w:val="000000" w:themeColor="text1"/>
        </w:rPr>
        <w:t xml:space="preserve"> </w:t>
      </w:r>
    </w:p>
    <w:p w14:paraId="59E2C564" w14:textId="5117FF4A" w:rsidR="00A6547D" w:rsidRPr="003A19E6" w:rsidRDefault="00A6547D" w:rsidP="00A6547D">
      <w:pPr>
        <w:tabs>
          <w:tab w:val="left" w:pos="426"/>
        </w:tabs>
        <w:spacing w:line="276" w:lineRule="auto"/>
        <w:jc w:val="both"/>
        <w:rPr>
          <w:rFonts w:eastAsia="Arial"/>
          <w:color w:val="000000" w:themeColor="text1"/>
        </w:rPr>
      </w:pPr>
      <w:r>
        <w:rPr>
          <w:rFonts w:eastAsia="Arial"/>
          <w:color w:val="000000" w:themeColor="text1"/>
        </w:rPr>
        <w:tab/>
      </w:r>
      <w:r w:rsidRPr="003D2691">
        <w:rPr>
          <w:rFonts w:eastAsia="Arial"/>
          <w:color w:val="000000" w:themeColor="text1"/>
        </w:rPr>
        <w:t xml:space="preserve">Iki šiol nei vienas vaistinis preparatas ar derinys neturėjo </w:t>
      </w:r>
      <w:r>
        <w:rPr>
          <w:rFonts w:eastAsia="Arial"/>
          <w:color w:val="000000" w:themeColor="text1"/>
        </w:rPr>
        <w:t>Europos vaistų agentūros</w:t>
      </w:r>
      <w:r w:rsidRPr="003D2691">
        <w:rPr>
          <w:rFonts w:eastAsia="Arial"/>
          <w:color w:val="000000" w:themeColor="text1"/>
        </w:rPr>
        <w:t xml:space="preserve"> registruotos indikacijos AL amiloidozės gydymui</w:t>
      </w:r>
      <w:r>
        <w:rPr>
          <w:rFonts w:eastAsia="Arial"/>
          <w:color w:val="000000" w:themeColor="text1"/>
        </w:rPr>
        <w:t xml:space="preserve">, o </w:t>
      </w:r>
      <w:r w:rsidRPr="007E5ED4">
        <w:rPr>
          <w:rFonts w:eastAsia="Arial"/>
          <w:color w:val="000000" w:themeColor="text1"/>
        </w:rPr>
        <w:t xml:space="preserve">Lietuvoje AL amiloidozės gydymui </w:t>
      </w:r>
      <w:r w:rsidR="004E4527">
        <w:rPr>
          <w:rFonts w:eastAsia="Arial"/>
          <w:color w:val="000000" w:themeColor="text1"/>
        </w:rPr>
        <w:t xml:space="preserve">vaistai </w:t>
      </w:r>
      <w:r w:rsidRPr="007E5ED4">
        <w:rPr>
          <w:rFonts w:eastAsia="Arial"/>
          <w:color w:val="000000" w:themeColor="text1"/>
        </w:rPr>
        <w:t>nėra kompensuojami.</w:t>
      </w:r>
      <w:r>
        <w:rPr>
          <w:rFonts w:eastAsia="Arial"/>
          <w:color w:val="000000" w:themeColor="text1"/>
        </w:rPr>
        <w:t xml:space="preserve"> Lietuvoje taip pat nėra AL amiloidozės gydymo tvarkos apraš</w:t>
      </w:r>
      <w:r w:rsidR="00E221E0">
        <w:rPr>
          <w:rFonts w:eastAsia="Arial"/>
          <w:color w:val="000000" w:themeColor="text1"/>
        </w:rPr>
        <w:t>o</w:t>
      </w:r>
      <w:r w:rsidR="004E4527">
        <w:rPr>
          <w:rFonts w:eastAsia="Arial"/>
          <w:color w:val="000000" w:themeColor="text1"/>
        </w:rPr>
        <w:t xml:space="preserve"> ar</w:t>
      </w:r>
      <w:r>
        <w:rPr>
          <w:rFonts w:eastAsia="Arial"/>
          <w:color w:val="000000" w:themeColor="text1"/>
        </w:rPr>
        <w:t xml:space="preserve"> gydymo rekomendacijų. Remiantis Pareiškėjo </w:t>
      </w:r>
      <w:r w:rsidR="004E4527">
        <w:rPr>
          <w:rFonts w:eastAsia="Arial"/>
          <w:color w:val="000000" w:themeColor="text1"/>
        </w:rPr>
        <w:t xml:space="preserve">pateiktu </w:t>
      </w:r>
      <w:r>
        <w:rPr>
          <w:rFonts w:eastAsia="Arial"/>
          <w:color w:val="000000" w:themeColor="text1"/>
        </w:rPr>
        <w:t>P</w:t>
      </w:r>
      <w:r w:rsidRPr="005A08AA">
        <w:rPr>
          <w:rFonts w:eastAsia="Arial"/>
          <w:color w:val="000000" w:themeColor="text1"/>
        </w:rPr>
        <w:t>atariamojo susitikimo</w:t>
      </w:r>
      <w:r>
        <w:rPr>
          <w:rFonts w:eastAsia="Arial"/>
          <w:color w:val="000000" w:themeColor="text1"/>
        </w:rPr>
        <w:t xml:space="preserve"> protokolu (</w:t>
      </w:r>
      <w:r w:rsidRPr="005A08AA">
        <w:rPr>
          <w:rFonts w:eastAsia="Arial"/>
          <w:color w:val="000000" w:themeColor="text1"/>
        </w:rPr>
        <w:t>2023 m. gegužės 25 d.</w:t>
      </w:r>
      <w:r>
        <w:rPr>
          <w:rFonts w:eastAsia="Arial"/>
          <w:color w:val="000000" w:themeColor="text1"/>
        </w:rPr>
        <w:t>) g</w:t>
      </w:r>
      <w:r w:rsidRPr="007E5ED4">
        <w:rPr>
          <w:rFonts w:eastAsia="Arial"/>
          <w:color w:val="000000" w:themeColor="text1"/>
        </w:rPr>
        <w:t xml:space="preserve">ydoma tik dalis AL amiloidoze sergančių pacientų, kuriems AL amiloidozė yra </w:t>
      </w:r>
      <w:r w:rsidR="004E4527">
        <w:rPr>
          <w:rFonts w:eastAsia="Arial"/>
          <w:color w:val="000000" w:themeColor="text1"/>
        </w:rPr>
        <w:t>susijusi</w:t>
      </w:r>
      <w:r w:rsidR="004E4527" w:rsidRPr="007E5ED4">
        <w:rPr>
          <w:rFonts w:eastAsia="Arial"/>
          <w:color w:val="000000" w:themeColor="text1"/>
        </w:rPr>
        <w:t xml:space="preserve"> </w:t>
      </w:r>
      <w:r w:rsidRPr="007E5ED4">
        <w:rPr>
          <w:rFonts w:eastAsia="Arial"/>
          <w:color w:val="000000" w:themeColor="text1"/>
        </w:rPr>
        <w:t xml:space="preserve">su </w:t>
      </w:r>
      <w:r w:rsidR="004E4527">
        <w:rPr>
          <w:rFonts w:eastAsia="Arial"/>
          <w:color w:val="000000" w:themeColor="text1"/>
        </w:rPr>
        <w:t>daugine mieloma (</w:t>
      </w:r>
      <w:r>
        <w:rPr>
          <w:rFonts w:eastAsia="Arial"/>
          <w:color w:val="000000" w:themeColor="text1"/>
        </w:rPr>
        <w:t>DM</w:t>
      </w:r>
      <w:r w:rsidR="004E4527">
        <w:rPr>
          <w:rFonts w:eastAsia="Arial"/>
          <w:color w:val="000000" w:themeColor="text1"/>
        </w:rPr>
        <w:t>)</w:t>
      </w:r>
      <w:r>
        <w:rPr>
          <w:rFonts w:eastAsia="Arial"/>
          <w:color w:val="000000" w:themeColor="text1"/>
        </w:rPr>
        <w:t xml:space="preserve"> t.y. </w:t>
      </w:r>
      <w:r w:rsidR="004E4527">
        <w:rPr>
          <w:rFonts w:eastAsia="Arial"/>
          <w:color w:val="000000" w:themeColor="text1"/>
        </w:rPr>
        <w:t xml:space="preserve">pacientai, </w:t>
      </w:r>
      <w:r w:rsidRPr="007E5ED4">
        <w:rPr>
          <w:rFonts w:eastAsia="Arial"/>
          <w:color w:val="000000" w:themeColor="text1"/>
        </w:rPr>
        <w:t xml:space="preserve">kuriems nustatomas AL amiloidas </w:t>
      </w:r>
      <w:r>
        <w:rPr>
          <w:rFonts w:eastAsia="Arial"/>
          <w:color w:val="000000" w:themeColor="text1"/>
        </w:rPr>
        <w:t xml:space="preserve">ir </w:t>
      </w:r>
      <w:r w:rsidRPr="007E5ED4">
        <w:rPr>
          <w:rFonts w:eastAsia="Arial"/>
          <w:color w:val="000000" w:themeColor="text1"/>
        </w:rPr>
        <w:t>išpildo</w:t>
      </w:r>
      <w:r>
        <w:rPr>
          <w:rFonts w:eastAsia="Arial"/>
          <w:color w:val="000000" w:themeColor="text1"/>
        </w:rPr>
        <w:t>mi</w:t>
      </w:r>
      <w:r w:rsidRPr="007E5ED4">
        <w:rPr>
          <w:rFonts w:eastAsia="Arial"/>
          <w:color w:val="000000" w:themeColor="text1"/>
        </w:rPr>
        <w:t xml:space="preserve"> </w:t>
      </w:r>
      <w:r>
        <w:rPr>
          <w:rFonts w:eastAsia="Arial"/>
          <w:color w:val="000000" w:themeColor="text1"/>
        </w:rPr>
        <w:t>DM</w:t>
      </w:r>
      <w:r w:rsidRPr="007E5ED4">
        <w:rPr>
          <w:rFonts w:eastAsia="Arial"/>
          <w:color w:val="000000" w:themeColor="text1"/>
        </w:rPr>
        <w:t xml:space="preserve"> diagnostini</w:t>
      </w:r>
      <w:r>
        <w:rPr>
          <w:rFonts w:eastAsia="Arial"/>
          <w:color w:val="000000" w:themeColor="text1"/>
        </w:rPr>
        <w:t>ai</w:t>
      </w:r>
      <w:r w:rsidRPr="007E5ED4">
        <w:rPr>
          <w:rFonts w:eastAsia="Arial"/>
          <w:color w:val="000000" w:themeColor="text1"/>
        </w:rPr>
        <w:t xml:space="preserve"> kriterij</w:t>
      </w:r>
      <w:r>
        <w:rPr>
          <w:rFonts w:eastAsia="Arial"/>
          <w:color w:val="000000" w:themeColor="text1"/>
        </w:rPr>
        <w:t>ai.</w:t>
      </w:r>
      <w:r w:rsidRPr="007E5ED4">
        <w:rPr>
          <w:rFonts w:eastAsia="Arial"/>
          <w:color w:val="000000" w:themeColor="text1"/>
        </w:rPr>
        <w:t xml:space="preserve"> </w:t>
      </w:r>
      <w:r>
        <w:rPr>
          <w:rFonts w:eastAsia="Arial"/>
          <w:color w:val="000000" w:themeColor="text1"/>
        </w:rPr>
        <w:t>Š</w:t>
      </w:r>
      <w:r w:rsidRPr="007E5ED4">
        <w:rPr>
          <w:rFonts w:eastAsia="Arial"/>
          <w:color w:val="000000" w:themeColor="text1"/>
        </w:rPr>
        <w:t xml:space="preserve">iems pacientams skiriamas gydymas pagal </w:t>
      </w:r>
      <w:r>
        <w:rPr>
          <w:rFonts w:eastAsia="Arial"/>
          <w:color w:val="000000" w:themeColor="text1"/>
        </w:rPr>
        <w:t>DM</w:t>
      </w:r>
      <w:r w:rsidRPr="007E5ED4">
        <w:rPr>
          <w:rFonts w:eastAsia="Arial"/>
          <w:color w:val="000000" w:themeColor="text1"/>
        </w:rPr>
        <w:t xml:space="preserve"> gydymo protokolus. </w:t>
      </w:r>
      <w:r>
        <w:rPr>
          <w:rFonts w:eastAsia="Arial"/>
          <w:color w:val="000000" w:themeColor="text1"/>
        </w:rPr>
        <w:t>Kriterijų neatitinkantys pacientai</w:t>
      </w:r>
      <w:r w:rsidRPr="007E5ED4">
        <w:rPr>
          <w:rFonts w:eastAsia="Arial"/>
          <w:color w:val="000000" w:themeColor="text1"/>
        </w:rPr>
        <w:t xml:space="preserve"> specifinio gydymo gauti negali</w:t>
      </w:r>
      <w:r w:rsidR="00574F56">
        <w:rPr>
          <w:rFonts w:eastAsia="Arial"/>
          <w:color w:val="000000" w:themeColor="text1"/>
        </w:rPr>
        <w:t xml:space="preserve">. </w:t>
      </w:r>
      <w:r w:rsidR="00574F56" w:rsidRPr="00574F56">
        <w:rPr>
          <w:rFonts w:eastAsia="Arial"/>
          <w:color w:val="FF0000"/>
        </w:rPr>
        <w:t xml:space="preserve">(konfidenciali informacija). </w:t>
      </w:r>
      <w:r>
        <w:rPr>
          <w:rFonts w:eastAsia="Arial"/>
          <w:color w:val="000000" w:themeColor="text1"/>
        </w:rPr>
        <w:t>Pareiškėjas nėra pateikęs duomenų Lietuvoje, apie pacientų skaičių, kurie serga su DM ne</w:t>
      </w:r>
      <w:r w:rsidR="00B00A46">
        <w:rPr>
          <w:rFonts w:eastAsia="Arial"/>
          <w:color w:val="000000" w:themeColor="text1"/>
        </w:rPr>
        <w:t>susijuia</w:t>
      </w:r>
      <w:r>
        <w:rPr>
          <w:rFonts w:eastAsia="Arial"/>
          <w:color w:val="000000" w:themeColor="text1"/>
        </w:rPr>
        <w:t xml:space="preserve"> AL amiloidoze. </w:t>
      </w:r>
    </w:p>
    <w:p w14:paraId="6BBB684A" w14:textId="77777777" w:rsidR="00A6547D" w:rsidRPr="003A19E6" w:rsidRDefault="00A6547D" w:rsidP="00A6547D">
      <w:pPr>
        <w:tabs>
          <w:tab w:val="left" w:pos="426"/>
        </w:tabs>
        <w:spacing w:line="276" w:lineRule="auto"/>
        <w:jc w:val="both"/>
        <w:rPr>
          <w:rFonts w:eastAsia="Arial"/>
          <w:color w:val="000000" w:themeColor="text1"/>
        </w:rPr>
      </w:pPr>
      <w:r>
        <w:rPr>
          <w:rFonts w:eastAsia="Arial"/>
          <w:color w:val="000000" w:themeColor="text1"/>
        </w:rPr>
        <w:tab/>
      </w:r>
      <w:r w:rsidRPr="00C75C6E">
        <w:rPr>
          <w:rFonts w:eastAsia="Arial"/>
          <w:color w:val="000000" w:themeColor="text1"/>
        </w:rPr>
        <w:t>Europos hematologų asociacijos ir tarptautinės amiloidozės asociacijos</w:t>
      </w:r>
      <w:r>
        <w:rPr>
          <w:rFonts w:eastAsia="Arial"/>
          <w:color w:val="000000" w:themeColor="text1"/>
        </w:rPr>
        <w:t xml:space="preserve"> </w:t>
      </w:r>
      <w:r w:rsidRPr="00C75C6E">
        <w:rPr>
          <w:rFonts w:eastAsia="Arial"/>
          <w:color w:val="000000" w:themeColor="text1"/>
        </w:rPr>
        <w:t>(EHA-ISA) rekomendacij</w:t>
      </w:r>
      <w:r>
        <w:rPr>
          <w:rFonts w:eastAsia="Arial"/>
          <w:color w:val="000000" w:themeColor="text1"/>
        </w:rPr>
        <w:t>ose</w:t>
      </w:r>
      <w:r w:rsidRPr="00C75C6E">
        <w:rPr>
          <w:rFonts w:eastAsia="Arial"/>
          <w:color w:val="000000" w:themeColor="text1"/>
        </w:rPr>
        <w:t xml:space="preserve"> </w:t>
      </w:r>
      <w:r>
        <w:rPr>
          <w:rFonts w:eastAsia="Arial"/>
          <w:color w:val="000000" w:themeColor="text1"/>
        </w:rPr>
        <w:t>(</w:t>
      </w:r>
      <w:r w:rsidRPr="00C75C6E">
        <w:rPr>
          <w:rFonts w:eastAsia="Arial"/>
          <w:color w:val="000000" w:themeColor="text1"/>
        </w:rPr>
        <w:t>2022 m.</w:t>
      </w:r>
      <w:r>
        <w:rPr>
          <w:rFonts w:eastAsia="Arial"/>
          <w:color w:val="000000" w:themeColor="text1"/>
        </w:rPr>
        <w:t>)</w:t>
      </w:r>
      <w:r w:rsidRPr="00C75C6E">
        <w:rPr>
          <w:rFonts w:eastAsia="Arial"/>
          <w:color w:val="000000" w:themeColor="text1"/>
        </w:rPr>
        <w:t xml:space="preserve"> nurodyta, kad pirmo pasirinkimo gydymo schema</w:t>
      </w:r>
      <w:r>
        <w:rPr>
          <w:rFonts w:eastAsia="Arial"/>
          <w:color w:val="000000" w:themeColor="text1"/>
        </w:rPr>
        <w:t xml:space="preserve"> naujai diagnozuotai AL amiloidozei, kai nenustatyta reikšminga neuropatija </w:t>
      </w:r>
      <w:r w:rsidRPr="00C75C6E">
        <w:rPr>
          <w:rFonts w:eastAsia="Arial"/>
          <w:color w:val="000000" w:themeColor="text1"/>
        </w:rPr>
        <w:t>yra</w:t>
      </w:r>
      <w:r>
        <w:rPr>
          <w:rFonts w:eastAsia="Arial"/>
          <w:color w:val="000000" w:themeColor="text1"/>
        </w:rPr>
        <w:t xml:space="preserve"> daratumabo, </w:t>
      </w:r>
      <w:r w:rsidRPr="00B70591">
        <w:rPr>
          <w:rFonts w:eastAsia="Arial"/>
          <w:color w:val="000000" w:themeColor="text1"/>
        </w:rPr>
        <w:t>bortezomib</w:t>
      </w:r>
      <w:r>
        <w:rPr>
          <w:rFonts w:eastAsia="Arial"/>
          <w:color w:val="000000" w:themeColor="text1"/>
        </w:rPr>
        <w:t>o</w:t>
      </w:r>
      <w:r w:rsidRPr="00B70591">
        <w:rPr>
          <w:rFonts w:eastAsia="Arial"/>
          <w:color w:val="000000" w:themeColor="text1"/>
        </w:rPr>
        <w:t>,</w:t>
      </w:r>
      <w:r>
        <w:rPr>
          <w:rFonts w:eastAsia="Arial"/>
          <w:color w:val="000000" w:themeColor="text1"/>
        </w:rPr>
        <w:t xml:space="preserve"> </w:t>
      </w:r>
      <w:r w:rsidRPr="00B70591">
        <w:rPr>
          <w:rFonts w:eastAsia="Arial"/>
          <w:color w:val="000000" w:themeColor="text1"/>
        </w:rPr>
        <w:t>ciklofosfami</w:t>
      </w:r>
      <w:r>
        <w:rPr>
          <w:rFonts w:eastAsia="Arial"/>
          <w:color w:val="000000" w:themeColor="text1"/>
        </w:rPr>
        <w:t>do</w:t>
      </w:r>
      <w:r w:rsidRPr="00B70591">
        <w:rPr>
          <w:rFonts w:eastAsia="Arial"/>
          <w:color w:val="000000" w:themeColor="text1"/>
        </w:rPr>
        <w:t xml:space="preserve"> ir </w:t>
      </w:r>
      <w:r w:rsidRPr="003A19E6">
        <w:rPr>
          <w:rFonts w:eastAsia="Arial"/>
          <w:color w:val="000000" w:themeColor="text1"/>
        </w:rPr>
        <w:t xml:space="preserve">deksametazono (DVCd) derinys (A lygio rekomendacija) ir tik jeigu nėra daratumumabo, reikėtų rinktis VCd arba bortezomibo, melfalano ir deksametazono (VMDex) derinį (B lygio rekomendacija). </w:t>
      </w:r>
    </w:p>
    <w:p w14:paraId="0F9CCC5B" w14:textId="40FD3CA3" w:rsidR="00A6547D" w:rsidRPr="003A19E6" w:rsidRDefault="00A6547D" w:rsidP="00A6547D">
      <w:pPr>
        <w:tabs>
          <w:tab w:val="left" w:pos="426"/>
        </w:tabs>
        <w:spacing w:line="276" w:lineRule="auto"/>
        <w:jc w:val="both"/>
        <w:rPr>
          <w:rFonts w:eastAsia="Arial"/>
          <w:color w:val="000000" w:themeColor="text1"/>
        </w:rPr>
      </w:pPr>
      <w:r>
        <w:rPr>
          <w:lang w:eastAsia="lt-LT"/>
        </w:rPr>
        <w:tab/>
      </w:r>
      <w:r w:rsidRPr="003A19E6">
        <w:rPr>
          <w:lang w:eastAsia="lt-LT"/>
        </w:rPr>
        <w:t xml:space="preserve">Atlikus detalų klinikinį vertinimą nustatyta, jog Lietuvoje </w:t>
      </w:r>
      <w:r w:rsidRPr="003A19E6">
        <w:rPr>
          <w:rFonts w:eastAsia="Arial"/>
          <w:color w:val="000000" w:themeColor="text1"/>
        </w:rPr>
        <w:t xml:space="preserve">pacientams, kuriems nustatoma AL amiloidozė </w:t>
      </w:r>
      <w:r w:rsidR="00B00A46">
        <w:rPr>
          <w:rFonts w:eastAsia="Arial"/>
          <w:color w:val="000000" w:themeColor="text1"/>
        </w:rPr>
        <w:t>susijusi</w:t>
      </w:r>
      <w:r w:rsidR="00B00A46" w:rsidRPr="003A19E6">
        <w:rPr>
          <w:rFonts w:eastAsia="Arial"/>
          <w:color w:val="000000" w:themeColor="text1"/>
        </w:rPr>
        <w:t xml:space="preserve"> </w:t>
      </w:r>
      <w:r w:rsidRPr="003A19E6">
        <w:rPr>
          <w:rFonts w:eastAsia="Arial"/>
          <w:color w:val="000000" w:themeColor="text1"/>
        </w:rPr>
        <w:t>su DM,</w:t>
      </w:r>
      <w:r w:rsidRPr="003A19E6">
        <w:rPr>
          <w:lang w:eastAsia="lt-LT"/>
        </w:rPr>
        <w:t xml:space="preserve"> palyginamasis </w:t>
      </w:r>
      <w:r w:rsidRPr="003A19E6">
        <w:rPr>
          <w:rFonts w:eastAsia="Arial"/>
          <w:color w:val="000000" w:themeColor="text1"/>
        </w:rPr>
        <w:t xml:space="preserve">gydymas bortezomibu, ciklofosfamidu ir deksametazonu atitinka įprastą klinikinę praktiką. Pacientams, kuriems AL amiloidozė yra </w:t>
      </w:r>
      <w:r w:rsidR="00B00A46" w:rsidRPr="003A19E6">
        <w:rPr>
          <w:rFonts w:eastAsia="Arial"/>
          <w:color w:val="000000" w:themeColor="text1"/>
        </w:rPr>
        <w:t>ne</w:t>
      </w:r>
      <w:r w:rsidR="00B00A46">
        <w:rPr>
          <w:rFonts w:eastAsia="Arial"/>
          <w:color w:val="000000" w:themeColor="text1"/>
        </w:rPr>
        <w:t>susijusi</w:t>
      </w:r>
      <w:r w:rsidR="00B00A46" w:rsidRPr="003A19E6">
        <w:rPr>
          <w:rFonts w:eastAsia="Arial"/>
          <w:color w:val="000000" w:themeColor="text1"/>
        </w:rPr>
        <w:t xml:space="preserve"> </w:t>
      </w:r>
      <w:r w:rsidRPr="003A19E6">
        <w:rPr>
          <w:rFonts w:eastAsia="Arial"/>
          <w:color w:val="000000" w:themeColor="text1"/>
        </w:rPr>
        <w:t xml:space="preserve">su DM, palyginamasis gydymas neatitinka įprastinės klinikinės praktikos, nes šiems pacientams Lietuvoje nėra skiriamas gydymas jokiais kompensuojamaisiais </w:t>
      </w:r>
      <w:r w:rsidR="00B00A46">
        <w:rPr>
          <w:rFonts w:eastAsia="Arial"/>
          <w:color w:val="000000" w:themeColor="text1"/>
        </w:rPr>
        <w:t>vaistiniais preparatais</w:t>
      </w:r>
      <w:r w:rsidRPr="003A19E6">
        <w:rPr>
          <w:rFonts w:eastAsia="Arial"/>
          <w:color w:val="000000" w:themeColor="text1"/>
        </w:rPr>
        <w:t xml:space="preserve">. </w:t>
      </w:r>
    </w:p>
    <w:p w14:paraId="0D588113" w14:textId="206F0A64" w:rsidR="00A6547D" w:rsidRDefault="00A6547D" w:rsidP="00A6547D">
      <w:pPr>
        <w:tabs>
          <w:tab w:val="left" w:pos="284"/>
        </w:tabs>
        <w:spacing w:line="276" w:lineRule="auto"/>
        <w:jc w:val="both"/>
        <w:rPr>
          <w:rFonts w:eastAsia="Arial"/>
          <w:iCs/>
          <w:color w:val="000000" w:themeColor="text1"/>
        </w:rPr>
      </w:pPr>
      <w:r>
        <w:rPr>
          <w:bCs/>
          <w:i/>
          <w:color w:val="00B050"/>
          <w:lang w:eastAsia="lt-LT"/>
        </w:rPr>
        <w:tab/>
      </w:r>
      <w:r w:rsidRPr="00934F7A">
        <w:rPr>
          <w:rFonts w:eastAsia="Arial"/>
          <w:iCs/>
        </w:rPr>
        <w:t xml:space="preserve">Tarnyba, išnagrinėjusi vaistinio preparato paraiškos įrašyti vaistinį preparatą į kompensavimo sąrašus klinikinę dalį, padarė išvadą, kad </w:t>
      </w:r>
      <w:r w:rsidRPr="00934F7A">
        <w:rPr>
          <w:rFonts w:eastAsia="Arial"/>
          <w:iCs/>
          <w:color w:val="000000" w:themeColor="text1"/>
        </w:rPr>
        <w:t xml:space="preserve">pacientams, kuriems nustatoma AL amiloidozė </w:t>
      </w:r>
      <w:r w:rsidR="00B00A46">
        <w:rPr>
          <w:rFonts w:eastAsia="Arial"/>
          <w:iCs/>
          <w:color w:val="000000" w:themeColor="text1"/>
        </w:rPr>
        <w:t xml:space="preserve">susijusi </w:t>
      </w:r>
      <w:r w:rsidRPr="00934F7A">
        <w:rPr>
          <w:rFonts w:eastAsia="Arial"/>
          <w:iCs/>
          <w:color w:val="000000" w:themeColor="text1"/>
        </w:rPr>
        <w:t>su DM,</w:t>
      </w:r>
      <w:r w:rsidRPr="00934F7A">
        <w:rPr>
          <w:iCs/>
          <w:lang w:eastAsia="lt-LT"/>
        </w:rPr>
        <w:t xml:space="preserve"> tinkamas palyginamasis </w:t>
      </w:r>
      <w:r w:rsidRPr="00934F7A">
        <w:rPr>
          <w:rFonts w:eastAsia="Arial"/>
          <w:color w:val="000000" w:themeColor="text1"/>
        </w:rPr>
        <w:t xml:space="preserve">gydymas yra </w:t>
      </w:r>
      <w:r w:rsidRPr="009E7FFD">
        <w:rPr>
          <w:rFonts w:eastAsia="Arial"/>
          <w:i/>
          <w:color w:val="000000" w:themeColor="text1"/>
        </w:rPr>
        <w:t>bortezomibu, ciklofosfamidu ir deksametazonu</w:t>
      </w:r>
      <w:r w:rsidRPr="00934F7A">
        <w:rPr>
          <w:rFonts w:eastAsia="Arial"/>
          <w:color w:val="000000" w:themeColor="text1"/>
        </w:rPr>
        <w:t xml:space="preserve">. </w:t>
      </w:r>
      <w:r w:rsidRPr="00934F7A">
        <w:rPr>
          <w:rFonts w:eastAsia="Arial"/>
          <w:i/>
          <w:color w:val="000000" w:themeColor="text1"/>
        </w:rPr>
        <w:t xml:space="preserve"> </w:t>
      </w:r>
      <w:r w:rsidRPr="00934F7A">
        <w:rPr>
          <w:rFonts w:eastAsia="Arial"/>
          <w:iCs/>
          <w:color w:val="000000" w:themeColor="text1"/>
        </w:rPr>
        <w:t>Pacientams, kuriems AL amiloidozė yra ne</w:t>
      </w:r>
      <w:r w:rsidR="00B00A46">
        <w:rPr>
          <w:rFonts w:eastAsia="Arial"/>
          <w:iCs/>
          <w:color w:val="000000" w:themeColor="text1"/>
        </w:rPr>
        <w:t>susijusi</w:t>
      </w:r>
      <w:r w:rsidRPr="00934F7A">
        <w:rPr>
          <w:rFonts w:eastAsia="Arial"/>
          <w:iCs/>
          <w:color w:val="000000" w:themeColor="text1"/>
        </w:rPr>
        <w:t xml:space="preserve"> su DM, palyginamasis gydymas </w:t>
      </w:r>
      <w:r>
        <w:rPr>
          <w:rFonts w:eastAsia="Arial"/>
          <w:iCs/>
          <w:color w:val="000000" w:themeColor="text1"/>
        </w:rPr>
        <w:t xml:space="preserve">yra </w:t>
      </w:r>
      <w:r w:rsidRPr="009E7FFD">
        <w:rPr>
          <w:rFonts w:eastAsia="Arial"/>
          <w:i/>
          <w:iCs/>
          <w:color w:val="000000" w:themeColor="text1"/>
        </w:rPr>
        <w:t>geriausias palaikomasis gydymas (placeb</w:t>
      </w:r>
      <w:r w:rsidR="00B00A46">
        <w:rPr>
          <w:rFonts w:eastAsia="Arial"/>
          <w:i/>
          <w:iCs/>
          <w:color w:val="000000" w:themeColor="text1"/>
        </w:rPr>
        <w:t>as</w:t>
      </w:r>
      <w:r w:rsidRPr="009E7FFD">
        <w:rPr>
          <w:rFonts w:eastAsia="Arial"/>
          <w:i/>
          <w:iCs/>
          <w:color w:val="000000" w:themeColor="text1"/>
        </w:rPr>
        <w:t>)</w:t>
      </w:r>
      <w:r>
        <w:rPr>
          <w:rFonts w:eastAsia="Arial"/>
          <w:iCs/>
          <w:color w:val="000000" w:themeColor="text1"/>
        </w:rPr>
        <w:t xml:space="preserve">. </w:t>
      </w:r>
    </w:p>
    <w:p w14:paraId="175C6A5B" w14:textId="7BE12E2C" w:rsidR="00A6547D" w:rsidRDefault="00A6547D" w:rsidP="00A6547D">
      <w:pPr>
        <w:tabs>
          <w:tab w:val="left" w:pos="284"/>
        </w:tabs>
        <w:spacing w:line="276" w:lineRule="auto"/>
        <w:jc w:val="both"/>
        <w:rPr>
          <w:rFonts w:eastAsia="Arial"/>
          <w:iCs/>
          <w:color w:val="000000" w:themeColor="text1"/>
        </w:rPr>
      </w:pPr>
      <w:r>
        <w:rPr>
          <w:rFonts w:eastAsia="Arial"/>
          <w:iCs/>
          <w:color w:val="000000" w:themeColor="text1"/>
        </w:rPr>
        <w:tab/>
      </w:r>
      <w:r w:rsidRPr="00F01374">
        <w:rPr>
          <w:rFonts w:eastAsia="Arial"/>
          <w:bCs/>
        </w:rPr>
        <w:t>Tiesioginių palyginamųjų tyrimų dalyje Pareiškėjas pateikė</w:t>
      </w:r>
      <w:r>
        <w:rPr>
          <w:rFonts w:eastAsia="Arial"/>
          <w:b/>
        </w:rPr>
        <w:t xml:space="preserve"> </w:t>
      </w:r>
      <w:r w:rsidRPr="00DA0139">
        <w:rPr>
          <w:rFonts w:eastAsia="Arial"/>
          <w:bCs/>
        </w:rPr>
        <w:t>atsitiktinių imčių aktyv</w:t>
      </w:r>
      <w:r>
        <w:rPr>
          <w:rFonts w:eastAsia="Arial"/>
          <w:bCs/>
        </w:rPr>
        <w:t xml:space="preserve">iu </w:t>
      </w:r>
      <w:r w:rsidRPr="00DA0139">
        <w:rPr>
          <w:rFonts w:eastAsia="Arial"/>
          <w:bCs/>
        </w:rPr>
        <w:t>vaistiniu preparatu kontroliuoj</w:t>
      </w:r>
      <w:r>
        <w:rPr>
          <w:rFonts w:eastAsia="Arial"/>
          <w:bCs/>
        </w:rPr>
        <w:t>amą atvirą</w:t>
      </w:r>
      <w:r w:rsidRPr="00DA0139">
        <w:rPr>
          <w:rFonts w:eastAsia="Arial"/>
          <w:bCs/>
        </w:rPr>
        <w:t xml:space="preserve"> III fazės klinikin</w:t>
      </w:r>
      <w:r>
        <w:rPr>
          <w:rFonts w:eastAsia="Arial"/>
          <w:bCs/>
        </w:rPr>
        <w:t xml:space="preserve">į </w:t>
      </w:r>
      <w:r w:rsidRPr="00DA0139">
        <w:rPr>
          <w:rFonts w:eastAsia="Arial"/>
          <w:bCs/>
        </w:rPr>
        <w:t>tyri</w:t>
      </w:r>
      <w:r>
        <w:rPr>
          <w:rFonts w:eastAsia="Arial"/>
          <w:bCs/>
        </w:rPr>
        <w:t>mą</w:t>
      </w:r>
      <w:r w:rsidRPr="00DA0139">
        <w:rPr>
          <w:rFonts w:eastAsia="Arial"/>
          <w:bCs/>
        </w:rPr>
        <w:t xml:space="preserve"> ANDROMEDA</w:t>
      </w:r>
      <w:r>
        <w:rPr>
          <w:rFonts w:eastAsia="Arial"/>
          <w:bCs/>
        </w:rPr>
        <w:t xml:space="preserve">, kuriame lygintas </w:t>
      </w:r>
      <w:r w:rsidRPr="005E1E0D">
        <w:rPr>
          <w:rFonts w:eastAsia="Arial"/>
          <w:color w:val="000000" w:themeColor="text1"/>
        </w:rPr>
        <w:lastRenderedPageBreak/>
        <w:t>daratumumab</w:t>
      </w:r>
      <w:r>
        <w:rPr>
          <w:rFonts w:eastAsia="Arial"/>
          <w:color w:val="000000" w:themeColor="text1"/>
        </w:rPr>
        <w:t xml:space="preserve">o, </w:t>
      </w:r>
      <w:r w:rsidRPr="00B70591">
        <w:rPr>
          <w:rFonts w:eastAsia="Arial"/>
          <w:color w:val="000000" w:themeColor="text1"/>
        </w:rPr>
        <w:t>bortezomi</w:t>
      </w:r>
      <w:r>
        <w:rPr>
          <w:rFonts w:eastAsia="Arial"/>
          <w:color w:val="000000" w:themeColor="text1"/>
        </w:rPr>
        <w:t>bo</w:t>
      </w:r>
      <w:r w:rsidRPr="00B70591">
        <w:rPr>
          <w:rFonts w:eastAsia="Arial"/>
          <w:color w:val="000000" w:themeColor="text1"/>
        </w:rPr>
        <w:t>,</w:t>
      </w:r>
      <w:r>
        <w:rPr>
          <w:rFonts w:eastAsia="Arial"/>
          <w:color w:val="000000" w:themeColor="text1"/>
        </w:rPr>
        <w:t xml:space="preserve"> </w:t>
      </w:r>
      <w:r w:rsidRPr="00B70591">
        <w:rPr>
          <w:rFonts w:eastAsia="Arial"/>
          <w:color w:val="000000" w:themeColor="text1"/>
        </w:rPr>
        <w:t>ciklofosfami</w:t>
      </w:r>
      <w:r>
        <w:rPr>
          <w:rFonts w:eastAsia="Arial"/>
          <w:color w:val="000000" w:themeColor="text1"/>
        </w:rPr>
        <w:t xml:space="preserve">do ir </w:t>
      </w:r>
      <w:r w:rsidRPr="00B70591">
        <w:rPr>
          <w:rFonts w:eastAsia="Arial"/>
          <w:color w:val="000000" w:themeColor="text1"/>
        </w:rPr>
        <w:t>deksametazo</w:t>
      </w:r>
      <w:r>
        <w:rPr>
          <w:rFonts w:eastAsia="Arial"/>
          <w:color w:val="000000" w:themeColor="text1"/>
        </w:rPr>
        <w:t>no</w:t>
      </w:r>
      <w:r w:rsidRPr="00DA0139">
        <w:rPr>
          <w:rFonts w:eastAsia="Arial"/>
          <w:bCs/>
        </w:rPr>
        <w:t xml:space="preserve"> </w:t>
      </w:r>
      <w:r>
        <w:rPr>
          <w:rFonts w:eastAsia="Arial"/>
          <w:bCs/>
        </w:rPr>
        <w:t>(</w:t>
      </w:r>
      <w:r w:rsidRPr="00DA0139">
        <w:rPr>
          <w:rFonts w:eastAsia="Arial"/>
          <w:bCs/>
        </w:rPr>
        <w:t>DVCd</w:t>
      </w:r>
      <w:r>
        <w:rPr>
          <w:rFonts w:eastAsia="Arial"/>
          <w:bCs/>
        </w:rPr>
        <w:t>)</w:t>
      </w:r>
      <w:r w:rsidRPr="00DA0139">
        <w:rPr>
          <w:rFonts w:eastAsia="Arial"/>
          <w:bCs/>
        </w:rPr>
        <w:t xml:space="preserve"> </w:t>
      </w:r>
      <w:r>
        <w:rPr>
          <w:rFonts w:eastAsia="Arial"/>
          <w:bCs/>
        </w:rPr>
        <w:t>bei</w:t>
      </w:r>
      <w:r w:rsidRPr="00DA0139">
        <w:rPr>
          <w:rFonts w:eastAsia="Arial"/>
          <w:bCs/>
        </w:rPr>
        <w:t xml:space="preserve"> </w:t>
      </w:r>
      <w:r w:rsidRPr="00B70591">
        <w:rPr>
          <w:rFonts w:eastAsia="Arial"/>
          <w:color w:val="000000" w:themeColor="text1"/>
        </w:rPr>
        <w:t>bortezomi</w:t>
      </w:r>
      <w:r>
        <w:rPr>
          <w:rFonts w:eastAsia="Arial"/>
          <w:color w:val="000000" w:themeColor="text1"/>
        </w:rPr>
        <w:t>bo</w:t>
      </w:r>
      <w:r w:rsidRPr="00B70591">
        <w:rPr>
          <w:rFonts w:eastAsia="Arial"/>
          <w:color w:val="000000" w:themeColor="text1"/>
        </w:rPr>
        <w:t>,</w:t>
      </w:r>
      <w:r>
        <w:rPr>
          <w:rFonts w:eastAsia="Arial"/>
          <w:color w:val="000000" w:themeColor="text1"/>
        </w:rPr>
        <w:t xml:space="preserve"> </w:t>
      </w:r>
      <w:r w:rsidRPr="00B70591">
        <w:rPr>
          <w:rFonts w:eastAsia="Arial"/>
          <w:color w:val="000000" w:themeColor="text1"/>
        </w:rPr>
        <w:t>ciklofosfami</w:t>
      </w:r>
      <w:r>
        <w:rPr>
          <w:rFonts w:eastAsia="Arial"/>
          <w:color w:val="000000" w:themeColor="text1"/>
        </w:rPr>
        <w:t>do</w:t>
      </w:r>
      <w:r w:rsidRPr="00B70591">
        <w:rPr>
          <w:rFonts w:eastAsia="Arial"/>
          <w:color w:val="000000" w:themeColor="text1"/>
        </w:rPr>
        <w:t xml:space="preserve"> ir deksametazo</w:t>
      </w:r>
      <w:r>
        <w:rPr>
          <w:rFonts w:eastAsia="Arial"/>
          <w:color w:val="000000" w:themeColor="text1"/>
        </w:rPr>
        <w:t>no</w:t>
      </w:r>
      <w:r w:rsidRPr="00DA0139">
        <w:rPr>
          <w:rFonts w:eastAsia="Arial"/>
          <w:bCs/>
        </w:rPr>
        <w:t xml:space="preserve"> </w:t>
      </w:r>
      <w:r>
        <w:rPr>
          <w:rFonts w:eastAsia="Arial"/>
          <w:bCs/>
        </w:rPr>
        <w:t>(</w:t>
      </w:r>
      <w:r w:rsidRPr="00DA0139">
        <w:rPr>
          <w:rFonts w:eastAsia="Arial"/>
          <w:bCs/>
        </w:rPr>
        <w:t>VCd</w:t>
      </w:r>
      <w:r>
        <w:rPr>
          <w:rFonts w:eastAsia="Arial"/>
          <w:bCs/>
        </w:rPr>
        <w:t xml:space="preserve">) gydymo režimų </w:t>
      </w:r>
      <w:r w:rsidR="00B00A46">
        <w:rPr>
          <w:rFonts w:eastAsia="Arial"/>
          <w:bCs/>
        </w:rPr>
        <w:t xml:space="preserve">veiksmingumas </w:t>
      </w:r>
      <w:r>
        <w:rPr>
          <w:rFonts w:eastAsia="Arial"/>
          <w:bCs/>
        </w:rPr>
        <w:t xml:space="preserve">gydant naujai nustatytą AL amiloidozę. Į tyrimą įtraukti pilnamečiai pacientai, kuriems </w:t>
      </w:r>
      <w:r w:rsidRPr="00DA0139">
        <w:rPr>
          <w:rFonts w:eastAsia="Arial"/>
          <w:bCs/>
        </w:rPr>
        <w:t xml:space="preserve">buvo </w:t>
      </w:r>
      <w:r>
        <w:rPr>
          <w:rFonts w:eastAsia="Arial"/>
          <w:bCs/>
        </w:rPr>
        <w:t xml:space="preserve">naujai </w:t>
      </w:r>
      <w:r w:rsidRPr="00DA0139">
        <w:rPr>
          <w:rFonts w:eastAsia="Arial"/>
          <w:bCs/>
        </w:rPr>
        <w:t>diagnozuota</w:t>
      </w:r>
      <w:r>
        <w:rPr>
          <w:rFonts w:eastAsia="Arial"/>
          <w:bCs/>
        </w:rPr>
        <w:t xml:space="preserve"> vieną ar daugiau organų paveikusi</w:t>
      </w:r>
      <w:r w:rsidRPr="00DA0139">
        <w:rPr>
          <w:rFonts w:eastAsia="Arial"/>
          <w:bCs/>
        </w:rPr>
        <w:t xml:space="preserve"> AL amiloidozė</w:t>
      </w:r>
      <w:r>
        <w:rPr>
          <w:rFonts w:eastAsia="Arial"/>
          <w:bCs/>
        </w:rPr>
        <w:t>, patvirtinta histopatologiniu tyrimu, atiti</w:t>
      </w:r>
      <w:r w:rsidR="00B00A46">
        <w:rPr>
          <w:rFonts w:eastAsia="Arial"/>
          <w:bCs/>
        </w:rPr>
        <w:t>nkan</w:t>
      </w:r>
      <w:r>
        <w:rPr>
          <w:rFonts w:eastAsia="Arial"/>
          <w:bCs/>
        </w:rPr>
        <w:t xml:space="preserve">ti kitus amiloidozės diagnostinius kriterijus. Įtrauktų pacientų funkcinės būklės balas ECOG turėjo būti </w:t>
      </w:r>
      <w:r w:rsidRPr="00245DCA">
        <w:rPr>
          <w:rFonts w:eastAsia="Arial"/>
          <w:bCs/>
        </w:rPr>
        <w:t>0,1 arba 2</w:t>
      </w:r>
      <w:r>
        <w:rPr>
          <w:rFonts w:eastAsia="Arial"/>
          <w:bCs/>
        </w:rPr>
        <w:t>, o širdies pažaida pagal Mayo klinikos skalę – I, II, IIIa. Neįtraukti pacientai, kurie anksčiau buvo gydyti dėl AL amiloidozės ar DM, sergantys ar sirgę simptomine DM, įskaitant pacientus, kuriems nustatyti sveikatos sutrikimai susiję su DM (kaulų pažeidimas, plazmocitomos,</w:t>
      </w:r>
      <w:r w:rsidRPr="00A34B96">
        <w:rPr>
          <w:rFonts w:eastAsia="Arial"/>
          <w:bCs/>
        </w:rPr>
        <w:t xml:space="preserve"> ≥60</w:t>
      </w:r>
      <w:r>
        <w:rPr>
          <w:rFonts w:eastAsia="Arial"/>
          <w:bCs/>
        </w:rPr>
        <w:t xml:space="preserve"> proc. plazminių ląstelių kaulų čiulpuose, hiperkalcemija). Taip pat neįtraukti pacientai </w:t>
      </w:r>
      <w:r w:rsidRPr="00B44DBD">
        <w:rPr>
          <w:rFonts w:eastAsia="Arial"/>
          <w:bCs/>
        </w:rPr>
        <w:t>N-terminalin</w:t>
      </w:r>
      <w:r>
        <w:rPr>
          <w:rFonts w:eastAsia="Arial"/>
          <w:bCs/>
        </w:rPr>
        <w:t>io</w:t>
      </w:r>
      <w:r w:rsidRPr="00B44DBD">
        <w:rPr>
          <w:rFonts w:eastAsia="Arial"/>
          <w:bCs/>
        </w:rPr>
        <w:t xml:space="preserve"> pro-B-tipo natriuretini</w:t>
      </w:r>
      <w:r>
        <w:rPr>
          <w:rFonts w:eastAsia="Arial"/>
          <w:bCs/>
        </w:rPr>
        <w:t xml:space="preserve">o </w:t>
      </w:r>
      <w:r w:rsidRPr="00B44DBD">
        <w:rPr>
          <w:rFonts w:eastAsia="Arial"/>
          <w:bCs/>
        </w:rPr>
        <w:t>peptid</w:t>
      </w:r>
      <w:r>
        <w:rPr>
          <w:rFonts w:eastAsia="Arial"/>
          <w:bCs/>
        </w:rPr>
        <w:t>o</w:t>
      </w:r>
      <w:r w:rsidRPr="00B44DBD">
        <w:rPr>
          <w:rFonts w:eastAsia="Arial"/>
          <w:bCs/>
        </w:rPr>
        <w:t xml:space="preserve"> </w:t>
      </w:r>
      <w:r>
        <w:rPr>
          <w:rFonts w:eastAsia="Arial"/>
          <w:bCs/>
        </w:rPr>
        <w:t xml:space="preserve">koncentracija buvo </w:t>
      </w:r>
      <w:r w:rsidRPr="00B44DBD">
        <w:rPr>
          <w:rFonts w:eastAsia="Arial"/>
          <w:bCs/>
        </w:rPr>
        <w:t>&gt;</w:t>
      </w:r>
      <w:r>
        <w:rPr>
          <w:rFonts w:eastAsia="Arial"/>
          <w:bCs/>
        </w:rPr>
        <w:t xml:space="preserve"> </w:t>
      </w:r>
      <w:r w:rsidRPr="00B44DBD">
        <w:rPr>
          <w:rFonts w:eastAsia="Arial"/>
          <w:bCs/>
        </w:rPr>
        <w:t>8500 ng/</w:t>
      </w:r>
      <w:r>
        <w:rPr>
          <w:rFonts w:eastAsia="Arial"/>
          <w:bCs/>
        </w:rPr>
        <w:t>l, pagal Niujorko Širdies Asociacijos klasifikaciją priklausantys IIIB ar IV klasei.</w:t>
      </w:r>
    </w:p>
    <w:p w14:paraId="4F68DE3A" w14:textId="7D757A26" w:rsidR="00A6547D" w:rsidRDefault="00A6547D" w:rsidP="00A6547D">
      <w:pPr>
        <w:tabs>
          <w:tab w:val="left" w:pos="284"/>
        </w:tabs>
        <w:spacing w:line="276" w:lineRule="auto"/>
        <w:jc w:val="both"/>
        <w:rPr>
          <w:rFonts w:eastAsia="Arial"/>
          <w:iCs/>
          <w:color w:val="000000" w:themeColor="text1"/>
        </w:rPr>
      </w:pPr>
      <w:r>
        <w:rPr>
          <w:rFonts w:eastAsia="Arial"/>
          <w:iCs/>
          <w:color w:val="000000" w:themeColor="text1"/>
        </w:rPr>
        <w:tab/>
      </w:r>
      <w:r>
        <w:rPr>
          <w:rFonts w:eastAsia="Arial"/>
          <w:bCs/>
        </w:rPr>
        <w:t xml:space="preserve">Tyrime daratumumumabas </w:t>
      </w:r>
      <w:r w:rsidR="00B5199B">
        <w:rPr>
          <w:rFonts w:eastAsia="Arial"/>
          <w:bCs/>
        </w:rPr>
        <w:t xml:space="preserve">vartotas </w:t>
      </w:r>
      <w:r>
        <w:rPr>
          <w:rFonts w:eastAsia="Arial"/>
          <w:bCs/>
        </w:rPr>
        <w:t xml:space="preserve">iki </w:t>
      </w:r>
      <w:r w:rsidRPr="003B02C1">
        <w:rPr>
          <w:rFonts w:eastAsia="Arial"/>
          <w:bCs/>
        </w:rPr>
        <w:t>2 met</w:t>
      </w:r>
      <w:r>
        <w:rPr>
          <w:rFonts w:eastAsia="Arial"/>
          <w:bCs/>
        </w:rPr>
        <w:t xml:space="preserve">ų, o visi kiti </w:t>
      </w:r>
      <w:r w:rsidR="00B5199B">
        <w:rPr>
          <w:rFonts w:eastAsia="Arial"/>
          <w:bCs/>
        </w:rPr>
        <w:t xml:space="preserve">vaistiniai preparatai </w:t>
      </w:r>
      <w:r>
        <w:rPr>
          <w:rFonts w:eastAsia="Arial"/>
          <w:bCs/>
        </w:rPr>
        <w:t xml:space="preserve">– bortezomibas, </w:t>
      </w:r>
      <w:r w:rsidRPr="00155254">
        <w:rPr>
          <w:rFonts w:eastAsia="Arial"/>
          <w:bCs/>
        </w:rPr>
        <w:t>ciklofosfamidas ir deksametazonas</w:t>
      </w:r>
      <w:r w:rsidR="001C357B">
        <w:rPr>
          <w:rFonts w:eastAsia="Arial"/>
          <w:bCs/>
        </w:rPr>
        <w:t xml:space="preserve"> -</w:t>
      </w:r>
      <w:r>
        <w:rPr>
          <w:rFonts w:eastAsia="Arial"/>
          <w:bCs/>
        </w:rPr>
        <w:t xml:space="preserve"> iki </w:t>
      </w:r>
      <w:r w:rsidRPr="003B02C1">
        <w:rPr>
          <w:rFonts w:eastAsia="Arial"/>
          <w:bCs/>
        </w:rPr>
        <w:t>6</w:t>
      </w:r>
      <w:r>
        <w:rPr>
          <w:rFonts w:eastAsia="Arial"/>
          <w:bCs/>
        </w:rPr>
        <w:t xml:space="preserve"> mėnesių. Vertinant </w:t>
      </w:r>
      <w:r w:rsidR="00B5199B">
        <w:rPr>
          <w:rFonts w:eastAsia="Arial"/>
          <w:bCs/>
        </w:rPr>
        <w:t xml:space="preserve">ANDROMEDA klinikinio tyrimo </w:t>
      </w:r>
      <w:r>
        <w:rPr>
          <w:rFonts w:eastAsia="Arial"/>
          <w:bCs/>
        </w:rPr>
        <w:t>pirminę baigtį, DVCd vartojimas buvo siejamas su reikšmingai dažnesniu visišku hematologiniu atsaku (VHA</w:t>
      </w:r>
      <w:r w:rsidRPr="003B02C1">
        <w:rPr>
          <w:rFonts w:eastAsia="Arial"/>
          <w:bCs/>
        </w:rPr>
        <w:t xml:space="preserve">) atitinkamai 53,3 proc. ir </w:t>
      </w:r>
      <w:r w:rsidRPr="003B02C1">
        <w:rPr>
          <w:bCs/>
        </w:rPr>
        <w:t>18,1 proc. pacientų (</w:t>
      </w:r>
      <w:r w:rsidRPr="003B02C1">
        <w:rPr>
          <w:rFonts w:eastAsia="Arial"/>
          <w:bCs/>
        </w:rPr>
        <w:t>p&lt;0,0001) (RS = 5,13; 95 proc., PI 3,22- 8,16).</w:t>
      </w:r>
      <w:r>
        <w:rPr>
          <w:rFonts w:eastAsia="Arial"/>
          <w:bCs/>
        </w:rPr>
        <w:t xml:space="preserve"> Taip pat reikšmingai dažniau pasiektas h</w:t>
      </w:r>
      <w:r w:rsidRPr="003B02C1">
        <w:rPr>
          <w:rFonts w:eastAsia="Arial"/>
          <w:bCs/>
        </w:rPr>
        <w:t xml:space="preserve">ematologinis </w:t>
      </w:r>
      <w:r>
        <w:rPr>
          <w:rFonts w:eastAsia="Arial"/>
          <w:bCs/>
        </w:rPr>
        <w:t>labai geras dalinis atsakas (</w:t>
      </w:r>
      <w:r w:rsidRPr="003B02C1">
        <w:rPr>
          <w:rFonts w:eastAsia="Arial"/>
          <w:bCs/>
        </w:rPr>
        <w:t>LGDA</w:t>
      </w:r>
      <w:r>
        <w:rPr>
          <w:rFonts w:eastAsia="Arial"/>
          <w:bCs/>
        </w:rPr>
        <w:t>)</w:t>
      </w:r>
      <w:r w:rsidRPr="003B02C1">
        <w:rPr>
          <w:rFonts w:eastAsia="Arial"/>
          <w:bCs/>
        </w:rPr>
        <w:t xml:space="preserve"> ar geresnis (VHA + LGDA)</w:t>
      </w:r>
      <w:r>
        <w:rPr>
          <w:rFonts w:eastAsia="Arial"/>
          <w:bCs/>
        </w:rPr>
        <w:t xml:space="preserve"> atskas – atitinkamai </w:t>
      </w:r>
      <w:r>
        <w:rPr>
          <w:rFonts w:eastAsia="Arial"/>
          <w:bCs/>
          <w:lang w:val="en-US"/>
        </w:rPr>
        <w:t xml:space="preserve">78,5 proc. ir 49,2 proc., p&lt;0,0001. </w:t>
      </w:r>
      <w:proofErr w:type="spellStart"/>
      <w:r>
        <w:rPr>
          <w:rFonts w:eastAsia="Arial"/>
          <w:bCs/>
          <w:lang w:val="en-US"/>
        </w:rPr>
        <w:t>Remiantis</w:t>
      </w:r>
      <w:proofErr w:type="spellEnd"/>
      <w:r>
        <w:rPr>
          <w:rFonts w:eastAsia="Arial"/>
          <w:bCs/>
          <w:lang w:val="en-US"/>
        </w:rPr>
        <w:t xml:space="preserve"> </w:t>
      </w:r>
      <w:proofErr w:type="spellStart"/>
      <w:r>
        <w:rPr>
          <w:rFonts w:eastAsia="Arial"/>
          <w:bCs/>
          <w:lang w:val="en-US"/>
        </w:rPr>
        <w:t>nebrand</w:t>
      </w:r>
      <w:proofErr w:type="spellEnd"/>
      <w:r>
        <w:rPr>
          <w:rFonts w:eastAsia="Arial"/>
          <w:bCs/>
        </w:rPr>
        <w:t xml:space="preserve">žiais antrinių baigčių – išgyvenamumo be ligos progresavimo ir bendro išgyvenamumo duomenimis, pacientų gydytų DVCd deriniu ligos progresavimo rizika buvo </w:t>
      </w:r>
      <w:r w:rsidRPr="00442FEC">
        <w:rPr>
          <w:rFonts w:eastAsia="Arial"/>
          <w:bCs/>
        </w:rPr>
        <w:t xml:space="preserve">42 </w:t>
      </w:r>
      <w:r>
        <w:rPr>
          <w:rFonts w:eastAsia="Arial"/>
          <w:bCs/>
        </w:rPr>
        <w:t xml:space="preserve">proc. mažesnė lyginant su gydytais VCd schema (RS </w:t>
      </w:r>
      <w:r w:rsidRPr="00442FEC">
        <w:rPr>
          <w:rFonts w:eastAsia="Arial"/>
          <w:bCs/>
        </w:rPr>
        <w:t>=</w:t>
      </w:r>
      <w:r>
        <w:rPr>
          <w:rFonts w:eastAsia="Arial"/>
          <w:bCs/>
        </w:rPr>
        <w:t xml:space="preserve"> </w:t>
      </w:r>
      <w:r w:rsidRPr="00442FEC">
        <w:rPr>
          <w:rFonts w:eastAsia="Arial"/>
          <w:bCs/>
        </w:rPr>
        <w:t>0</w:t>
      </w:r>
      <w:r>
        <w:rPr>
          <w:rFonts w:eastAsia="Arial"/>
          <w:bCs/>
        </w:rPr>
        <w:t>,5</w:t>
      </w:r>
      <w:r w:rsidRPr="00442FEC">
        <w:rPr>
          <w:rFonts w:eastAsia="Arial"/>
          <w:bCs/>
        </w:rPr>
        <w:t>8</w:t>
      </w:r>
      <w:r>
        <w:rPr>
          <w:rFonts w:eastAsia="Arial"/>
          <w:bCs/>
        </w:rPr>
        <w:t>;</w:t>
      </w:r>
      <w:r w:rsidRPr="00442FEC">
        <w:rPr>
          <w:rFonts w:eastAsia="Arial"/>
          <w:bCs/>
        </w:rPr>
        <w:t xml:space="preserve"> </w:t>
      </w:r>
      <w:r>
        <w:rPr>
          <w:rFonts w:eastAsia="Arial"/>
          <w:bCs/>
        </w:rPr>
        <w:t xml:space="preserve">95 proc. PI </w:t>
      </w:r>
      <w:r w:rsidRPr="00442FEC">
        <w:rPr>
          <w:rFonts w:eastAsia="Arial"/>
          <w:bCs/>
        </w:rPr>
        <w:t>0</w:t>
      </w:r>
      <w:r>
        <w:rPr>
          <w:rFonts w:eastAsia="Arial"/>
          <w:bCs/>
        </w:rPr>
        <w:t>,</w:t>
      </w:r>
      <w:r w:rsidRPr="00442FEC">
        <w:rPr>
          <w:rFonts w:eastAsia="Arial"/>
          <w:bCs/>
        </w:rPr>
        <w:t>36</w:t>
      </w:r>
      <w:r>
        <w:rPr>
          <w:rFonts w:eastAsia="Arial"/>
          <w:bCs/>
        </w:rPr>
        <w:t>-</w:t>
      </w:r>
      <w:r w:rsidRPr="00442FEC">
        <w:rPr>
          <w:rFonts w:eastAsia="Arial"/>
          <w:bCs/>
        </w:rPr>
        <w:t>0</w:t>
      </w:r>
      <w:r>
        <w:rPr>
          <w:rFonts w:eastAsia="Arial"/>
          <w:bCs/>
        </w:rPr>
        <w:t>,</w:t>
      </w:r>
      <w:r w:rsidRPr="00442FEC">
        <w:rPr>
          <w:rFonts w:eastAsia="Arial"/>
          <w:bCs/>
        </w:rPr>
        <w:t>93</w:t>
      </w:r>
      <w:r>
        <w:rPr>
          <w:rFonts w:eastAsia="Arial"/>
          <w:bCs/>
        </w:rPr>
        <w:t>, p=</w:t>
      </w:r>
      <w:r w:rsidRPr="00442FEC">
        <w:rPr>
          <w:rFonts w:eastAsia="Arial"/>
          <w:bCs/>
        </w:rPr>
        <w:t>0</w:t>
      </w:r>
      <w:r>
        <w:rPr>
          <w:rFonts w:eastAsia="Arial"/>
          <w:bCs/>
        </w:rPr>
        <w:t>,</w:t>
      </w:r>
      <w:r w:rsidRPr="00442FEC">
        <w:rPr>
          <w:rFonts w:eastAsia="Arial"/>
          <w:bCs/>
        </w:rPr>
        <w:t>0211)</w:t>
      </w:r>
      <w:r>
        <w:rPr>
          <w:rFonts w:eastAsia="Arial"/>
          <w:bCs/>
        </w:rPr>
        <w:t xml:space="preserve">, </w:t>
      </w:r>
      <w:r w:rsidR="00574F56" w:rsidRPr="00574F56">
        <w:rPr>
          <w:rFonts w:eastAsia="Arial"/>
          <w:bCs/>
          <w:color w:val="FF0000"/>
        </w:rPr>
        <w:t>(konfidenciali informacija)</w:t>
      </w:r>
      <w:r w:rsidR="00574F56">
        <w:rPr>
          <w:rFonts w:eastAsia="Arial"/>
          <w:bCs/>
        </w:rPr>
        <w:t xml:space="preserve"> </w:t>
      </w:r>
      <w:r w:rsidRPr="00D63F48">
        <w:rPr>
          <w:rFonts w:eastAsia="Arial"/>
          <w:bCs/>
        </w:rPr>
        <w:t>VHA 6 tyrimo m</w:t>
      </w:r>
      <w:r>
        <w:rPr>
          <w:rFonts w:eastAsia="Arial"/>
          <w:bCs/>
        </w:rPr>
        <w:t xml:space="preserve">ėnesį pasiekė daugiau pacientų gydytų DVCd (atitinkamai </w:t>
      </w:r>
      <w:r w:rsidRPr="001E7D33">
        <w:rPr>
          <w:rFonts w:eastAsia="Arial"/>
          <w:bCs/>
        </w:rPr>
        <w:t>49</w:t>
      </w:r>
      <w:r>
        <w:rPr>
          <w:rFonts w:eastAsia="Arial"/>
          <w:bCs/>
        </w:rPr>
        <w:t xml:space="preserve">,7 proc. ir 14,0 proc. (ŠS= 6,09, 95 proc. PI 3,7-10,03)), šioje grupėje taip pat dažniau pasiektas hematologinis atsakas - DVCd gydyti pacientai VHA tarpinės analizės duomenimis pasiekė per </w:t>
      </w:r>
      <w:r w:rsidRPr="002659B9">
        <w:rPr>
          <w:rFonts w:eastAsia="Arial"/>
          <w:bCs/>
        </w:rPr>
        <w:t xml:space="preserve">60 </w:t>
      </w:r>
      <w:r>
        <w:rPr>
          <w:rFonts w:eastAsia="Arial"/>
          <w:bCs/>
        </w:rPr>
        <w:t xml:space="preserve">dienų, o VCd – </w:t>
      </w:r>
      <w:r w:rsidRPr="002659B9">
        <w:rPr>
          <w:rFonts w:eastAsia="Arial"/>
          <w:bCs/>
        </w:rPr>
        <w:t>85 dienas</w:t>
      </w:r>
      <w:r>
        <w:rPr>
          <w:rFonts w:eastAsia="Arial"/>
          <w:bCs/>
        </w:rPr>
        <w:t>.</w:t>
      </w:r>
      <w:r w:rsidRPr="002659B9">
        <w:rPr>
          <w:rFonts w:eastAsia="Arial"/>
          <w:bCs/>
        </w:rPr>
        <w:t xml:space="preserve"> </w:t>
      </w:r>
      <w:r>
        <w:rPr>
          <w:rFonts w:eastAsia="Arial"/>
          <w:bCs/>
        </w:rPr>
        <w:t>P</w:t>
      </w:r>
      <w:r w:rsidRPr="002F3DCC">
        <w:rPr>
          <w:rFonts w:eastAsia="Arial"/>
          <w:bCs/>
        </w:rPr>
        <w:t>acientų</w:t>
      </w:r>
      <w:r>
        <w:rPr>
          <w:rFonts w:eastAsia="Arial"/>
          <w:bCs/>
        </w:rPr>
        <w:t>,</w:t>
      </w:r>
      <w:r w:rsidRPr="002F3DCC">
        <w:rPr>
          <w:rFonts w:eastAsia="Arial"/>
          <w:bCs/>
        </w:rPr>
        <w:t xml:space="preserve"> kuriems nu</w:t>
      </w:r>
      <w:r>
        <w:rPr>
          <w:rFonts w:eastAsia="Arial"/>
          <w:bCs/>
        </w:rPr>
        <w:t xml:space="preserve">statytas širdies pažeidimas, širdies funkcijos pagerėjimas vartojant </w:t>
      </w:r>
      <w:proofErr w:type="spellStart"/>
      <w:r>
        <w:rPr>
          <w:rFonts w:eastAsia="Arial"/>
          <w:bCs/>
        </w:rPr>
        <w:t>DVCd</w:t>
      </w:r>
      <w:proofErr w:type="spellEnd"/>
      <w:r>
        <w:rPr>
          <w:rFonts w:eastAsia="Arial"/>
          <w:bCs/>
        </w:rPr>
        <w:t xml:space="preserve"> buvo dažnesnis </w:t>
      </w:r>
      <w:r w:rsidR="00574F56" w:rsidRPr="00574F56">
        <w:rPr>
          <w:rFonts w:eastAsia="Arial"/>
          <w:bCs/>
          <w:color w:val="FF0000"/>
        </w:rPr>
        <w:t>(konfidenciali informacija)</w:t>
      </w:r>
      <w:r w:rsidR="00574F56">
        <w:rPr>
          <w:rFonts w:eastAsia="Arial"/>
          <w:bCs/>
        </w:rPr>
        <w:t>.</w:t>
      </w:r>
      <w:r>
        <w:rPr>
          <w:rFonts w:eastAsia="Arial"/>
          <w:bCs/>
        </w:rPr>
        <w:t xml:space="preserve">Taip pat pacientams, kuriems nustatytas inkstų pažeidimas, stebėtas dažnesnis inkstų funkcijos pagerėjimas gydant </w:t>
      </w:r>
      <w:proofErr w:type="spellStart"/>
      <w:r>
        <w:rPr>
          <w:rFonts w:eastAsia="Arial"/>
          <w:bCs/>
        </w:rPr>
        <w:t>DVCd</w:t>
      </w:r>
      <w:proofErr w:type="spellEnd"/>
      <w:r>
        <w:rPr>
          <w:rFonts w:eastAsia="Arial"/>
          <w:bCs/>
        </w:rPr>
        <w:t xml:space="preserve"> schema nei </w:t>
      </w:r>
      <w:proofErr w:type="spellStart"/>
      <w:r>
        <w:rPr>
          <w:rFonts w:eastAsia="Arial"/>
          <w:bCs/>
        </w:rPr>
        <w:t>VCd</w:t>
      </w:r>
      <w:proofErr w:type="spellEnd"/>
      <w:r w:rsidR="00574F56">
        <w:rPr>
          <w:rFonts w:eastAsia="Arial"/>
          <w:bCs/>
        </w:rPr>
        <w:t xml:space="preserve"> </w:t>
      </w:r>
      <w:r w:rsidR="00574F56" w:rsidRPr="00574F56">
        <w:rPr>
          <w:rFonts w:eastAsia="Arial"/>
          <w:bCs/>
          <w:color w:val="FF0000"/>
        </w:rPr>
        <w:t>(konfidenciali informacija)</w:t>
      </w:r>
      <w:r>
        <w:rPr>
          <w:rFonts w:eastAsia="Arial"/>
          <w:bCs/>
        </w:rPr>
        <w:t xml:space="preserve">. Tiek širdies, tiek inkstų funkcijos pagerėjimas buvo reikšmingai dažnesnis DVCd schema gydytų pacientų populiacijoje </w:t>
      </w:r>
      <w:r w:rsidRPr="00125CD5">
        <w:rPr>
          <w:rFonts w:eastAsia="Arial"/>
          <w:bCs/>
        </w:rPr>
        <w:t>6</w:t>
      </w:r>
      <w:r>
        <w:rPr>
          <w:rFonts w:eastAsia="Arial"/>
          <w:bCs/>
        </w:rPr>
        <w:t xml:space="preserve">, 12 ir 18 mėnesius. </w:t>
      </w:r>
    </w:p>
    <w:p w14:paraId="0522479E" w14:textId="1F3F22B6" w:rsidR="00A6547D" w:rsidRDefault="00A6547D" w:rsidP="00A6547D">
      <w:pPr>
        <w:tabs>
          <w:tab w:val="left" w:pos="284"/>
        </w:tabs>
        <w:spacing w:line="276" w:lineRule="auto"/>
        <w:jc w:val="both"/>
        <w:rPr>
          <w:rFonts w:eastAsia="Arial"/>
          <w:iCs/>
          <w:color w:val="000000" w:themeColor="text1"/>
        </w:rPr>
      </w:pPr>
      <w:r>
        <w:rPr>
          <w:rFonts w:eastAsia="Arial"/>
          <w:iCs/>
          <w:color w:val="000000" w:themeColor="text1"/>
        </w:rPr>
        <w:tab/>
      </w:r>
      <w:r w:rsidRPr="002659B9">
        <w:rPr>
          <w:rFonts w:eastAsia="Arial"/>
          <w:bCs/>
        </w:rPr>
        <w:t>Remiantis gyvenimo kokybės klausimynais, pacientų gydomų DVCd schema, gyvenimo kokybė reikšmingai skyrėsi tik tam tikromis savaitėmis (12 ir 16 sav.). Lyginant su gydymu VCd schema, kliniškai reikšmingas pagerėjimas vartojant DVCd stebėtas daugelyje vertintų gyvenimo kokybės sričių, tačiau nebuvo</w:t>
      </w:r>
      <w:r w:rsidR="001C357B">
        <w:rPr>
          <w:rFonts w:eastAsia="Arial"/>
          <w:bCs/>
        </w:rPr>
        <w:t xml:space="preserve"> nustatytas</w:t>
      </w:r>
      <w:r w:rsidRPr="002659B9">
        <w:rPr>
          <w:rFonts w:eastAsia="Arial"/>
          <w:bCs/>
        </w:rPr>
        <w:t xml:space="preserve"> kliniškai reikšming</w:t>
      </w:r>
      <w:r>
        <w:rPr>
          <w:rFonts w:eastAsia="Arial"/>
          <w:bCs/>
        </w:rPr>
        <w:t xml:space="preserve">as </w:t>
      </w:r>
      <w:r w:rsidRPr="002659B9">
        <w:rPr>
          <w:rFonts w:eastAsia="Arial"/>
          <w:bCs/>
        </w:rPr>
        <w:t>blogėjim</w:t>
      </w:r>
      <w:r>
        <w:rPr>
          <w:rFonts w:eastAsia="Arial"/>
          <w:bCs/>
        </w:rPr>
        <w:t>as</w:t>
      </w:r>
      <w:r w:rsidRPr="002659B9">
        <w:rPr>
          <w:rFonts w:eastAsia="Arial"/>
          <w:bCs/>
        </w:rPr>
        <w:t xml:space="preserve"> tarp pacientų gydytų DVCd ir VCd schemomis. Nors laikas iki pagerėjimo buvo trumpesnis gydant DVCd schema, laikas iki pablogėjimo reikšmingai nesiskyrė lyginant gydymą DVCd ir VCd schemomis.</w:t>
      </w:r>
    </w:p>
    <w:p w14:paraId="0F222522" w14:textId="72D72AA7" w:rsidR="00A6547D" w:rsidRDefault="00A6547D" w:rsidP="00A6547D">
      <w:pPr>
        <w:tabs>
          <w:tab w:val="left" w:pos="284"/>
        </w:tabs>
        <w:spacing w:line="276" w:lineRule="auto"/>
        <w:jc w:val="both"/>
        <w:rPr>
          <w:rFonts w:eastAsia="Arial"/>
          <w:iCs/>
          <w:color w:val="000000" w:themeColor="text1"/>
        </w:rPr>
      </w:pPr>
      <w:r>
        <w:rPr>
          <w:rFonts w:eastAsia="Arial"/>
          <w:iCs/>
          <w:color w:val="000000" w:themeColor="text1"/>
        </w:rPr>
        <w:tab/>
      </w:r>
      <w:r w:rsidRPr="008E7566">
        <w:rPr>
          <w:rFonts w:eastAsia="Arial"/>
          <w:bCs/>
        </w:rPr>
        <w:t>Remiantis tyrimo ANDROMEDA saugumo duomenimis, derinio su daratumambu v</w:t>
      </w:r>
      <w:r>
        <w:rPr>
          <w:rFonts w:eastAsia="Arial"/>
          <w:bCs/>
        </w:rPr>
        <w:t>a</w:t>
      </w:r>
      <w:r w:rsidRPr="008E7566">
        <w:rPr>
          <w:rFonts w:eastAsia="Arial"/>
          <w:bCs/>
        </w:rPr>
        <w:t>rtojimas buvo susijęs su dažnesniais su gydymu susijusiais NR, ypač – pneumonija, sepsiu, širdies sustojimu</w:t>
      </w:r>
      <w:r w:rsidRPr="00BB18A9">
        <w:rPr>
          <w:rFonts w:eastAsia="Arial"/>
          <w:bCs/>
        </w:rPr>
        <w:t>, tačiau pateikti aprašomojo pobūdžio saugumo duomenys, todėl negalima įvertinti statistinio duomenų patikimumo.</w:t>
      </w:r>
      <w:r>
        <w:rPr>
          <w:rFonts w:eastAsia="Arial"/>
          <w:bCs/>
        </w:rPr>
        <w:t xml:space="preserve"> </w:t>
      </w:r>
      <w:r w:rsidRPr="008E7566">
        <w:rPr>
          <w:rFonts w:eastAsia="Arial"/>
          <w:bCs/>
        </w:rPr>
        <w:t xml:space="preserve">Gydant deriniu su daratumumabu daugiau pacientų mirė dėl su gydymu susijusių ir nesusijusių NR. </w:t>
      </w:r>
      <w:r>
        <w:rPr>
          <w:rFonts w:eastAsia="Arial"/>
          <w:iCs/>
          <w:color w:val="000000" w:themeColor="text1"/>
        </w:rPr>
        <w:tab/>
      </w:r>
    </w:p>
    <w:p w14:paraId="2BF74DB0" w14:textId="6CB38C15" w:rsidR="00A6547D" w:rsidRDefault="00A6547D" w:rsidP="00A6547D">
      <w:pPr>
        <w:tabs>
          <w:tab w:val="left" w:pos="284"/>
        </w:tabs>
        <w:spacing w:line="276" w:lineRule="auto"/>
        <w:jc w:val="both"/>
        <w:rPr>
          <w:rFonts w:eastAsia="Arial"/>
          <w:iCs/>
          <w:color w:val="000000" w:themeColor="text1"/>
        </w:rPr>
      </w:pPr>
      <w:r>
        <w:rPr>
          <w:rFonts w:eastAsia="Arial"/>
          <w:iCs/>
          <w:color w:val="000000" w:themeColor="text1"/>
        </w:rPr>
        <w:tab/>
      </w:r>
      <w:r>
        <w:rPr>
          <w:rFonts w:eastAsia="Arial"/>
          <w:bCs/>
        </w:rPr>
        <w:t xml:space="preserve">Pareiškėjas taip pat pateikė </w:t>
      </w:r>
      <w:r w:rsidRPr="001E7D33">
        <w:rPr>
          <w:rFonts w:eastAsia="Arial"/>
          <w:bCs/>
        </w:rPr>
        <w:t>Kastritis et al. 2023</w:t>
      </w:r>
      <w:r>
        <w:rPr>
          <w:rFonts w:eastAsia="Arial"/>
          <w:bCs/>
        </w:rPr>
        <w:t xml:space="preserve"> tinklinę metaanalizę, kurioje įvertinta hematologinio atsako prognostinis ryšys numatant bendrą išgyvenamumą naujai nustayta AL amiloidozė sergantiems pacientams. </w:t>
      </w:r>
      <w:r w:rsidRPr="008E7566">
        <w:rPr>
          <w:rFonts w:eastAsia="Arial"/>
          <w:bCs/>
        </w:rPr>
        <w:t xml:space="preserve"> Nors Pareiškėjas teigia, jog hematologinio atsako gylis yra susijęs su ilgesniu bendru išgyvenamumu, </w:t>
      </w:r>
      <w:r w:rsidR="001C357B">
        <w:rPr>
          <w:rFonts w:eastAsia="Arial"/>
          <w:bCs/>
        </w:rPr>
        <w:t>remiantis</w:t>
      </w:r>
      <w:r w:rsidRPr="008E7566">
        <w:rPr>
          <w:rFonts w:eastAsia="Arial"/>
          <w:bCs/>
        </w:rPr>
        <w:t xml:space="preserve"> nebran</w:t>
      </w:r>
      <w:r w:rsidR="001C357B">
        <w:rPr>
          <w:rFonts w:eastAsia="Arial"/>
          <w:bCs/>
        </w:rPr>
        <w:t xml:space="preserve">džiais ANDROMEDA tyrimo duomenimis, </w:t>
      </w:r>
      <w:r w:rsidRPr="008E7566">
        <w:rPr>
          <w:rFonts w:eastAsia="Arial"/>
          <w:bCs/>
        </w:rPr>
        <w:t xml:space="preserve">DVCd ir VDC grupių bendro išgyvenamumo duomenys nesiskyrė, nepaisant gauto geresnio hematologinio atsako. Tai laikoma duomenų neapibrėžtumu. </w:t>
      </w:r>
      <w:r w:rsidR="00574F56" w:rsidRPr="00574F56">
        <w:rPr>
          <w:rFonts w:eastAsia="Arial"/>
          <w:bCs/>
          <w:color w:val="FF0000"/>
        </w:rPr>
        <w:t>(konfidenciali informacija)</w:t>
      </w:r>
      <w:r w:rsidR="00574F56">
        <w:rPr>
          <w:rFonts w:eastAsia="Arial"/>
          <w:bCs/>
          <w:color w:val="FF0000"/>
        </w:rPr>
        <w:t>.</w:t>
      </w:r>
    </w:p>
    <w:p w14:paraId="496C2597" w14:textId="7CAF19C0" w:rsidR="00A6547D" w:rsidRPr="003A19E6" w:rsidRDefault="00A6547D" w:rsidP="009E7FFD">
      <w:pPr>
        <w:spacing w:line="276" w:lineRule="auto"/>
        <w:ind w:firstLine="720"/>
        <w:jc w:val="both"/>
        <w:rPr>
          <w:rFonts w:eastAsia="Arial"/>
          <w:iCs/>
          <w:color w:val="000000" w:themeColor="text1"/>
        </w:rPr>
      </w:pPr>
      <w:r>
        <w:rPr>
          <w:rFonts w:eastAsia="Arial"/>
          <w:iCs/>
          <w:color w:val="000000" w:themeColor="text1"/>
        </w:rPr>
        <w:lastRenderedPageBreak/>
        <w:t xml:space="preserve">Atlikus detalų klinikinį vertinimą, </w:t>
      </w:r>
      <w:r w:rsidR="00B767D7">
        <w:rPr>
          <w:rFonts w:eastAsia="Arial"/>
          <w:iCs/>
          <w:color w:val="000000" w:themeColor="text1"/>
        </w:rPr>
        <w:t xml:space="preserve">nustatyta, kad </w:t>
      </w:r>
      <w:r w:rsidR="00B767D7">
        <w:rPr>
          <w:rFonts w:eastAsia="Arial"/>
          <w:szCs w:val="20"/>
        </w:rPr>
        <w:t xml:space="preserve">tyrimo populiacija neatitinka Lietuvos pacientų, gydomų </w:t>
      </w:r>
      <w:r w:rsidR="00B767D7">
        <w:rPr>
          <w:rFonts w:eastAsia="Arial"/>
        </w:rPr>
        <w:t>ciklofosfamido</w:t>
      </w:r>
      <w:r w:rsidR="00B767D7" w:rsidRPr="00012B36">
        <w:rPr>
          <w:rFonts w:eastAsia="Arial"/>
        </w:rPr>
        <w:t>, bortezomib</w:t>
      </w:r>
      <w:r w:rsidR="00B767D7">
        <w:rPr>
          <w:rFonts w:eastAsia="Arial"/>
        </w:rPr>
        <w:t>o</w:t>
      </w:r>
      <w:r w:rsidR="00B767D7" w:rsidRPr="00012B36">
        <w:rPr>
          <w:rFonts w:eastAsia="Arial"/>
        </w:rPr>
        <w:t xml:space="preserve"> ir deksametazon</w:t>
      </w:r>
      <w:r w:rsidR="00B767D7">
        <w:rPr>
          <w:rFonts w:eastAsia="Arial"/>
        </w:rPr>
        <w:t xml:space="preserve">o deriniu populiacijos. </w:t>
      </w:r>
      <w:r w:rsidR="00B767D7">
        <w:rPr>
          <w:rFonts w:eastAsia="Arial"/>
          <w:szCs w:val="20"/>
        </w:rPr>
        <w:t xml:space="preserve"> </w:t>
      </w:r>
      <w:r>
        <w:rPr>
          <w:rFonts w:eastAsia="Arial"/>
          <w:iCs/>
          <w:color w:val="000000" w:themeColor="text1"/>
        </w:rPr>
        <w:t xml:space="preserve">Pareiškėjui pateikti esminiai prieštaravimai prašant </w:t>
      </w:r>
      <w:r w:rsidRPr="003A19E6">
        <w:rPr>
          <w:rFonts w:eastAsia="Arial"/>
          <w:iCs/>
          <w:color w:val="000000" w:themeColor="text1"/>
        </w:rPr>
        <w:t>papildomai pateikti tiesioginio arba netiesioginio palyginimo duomenų, kuriais remiantis galima būtų palyginti VCd ir DVCd derinius pacientų populiacijoje, atitinkančioje Lietuvos pacientų populiaciją, t.y. pacientais sergančiais su daugybine mieloma susijusia AL amiloidoze.</w:t>
      </w:r>
      <w:r>
        <w:rPr>
          <w:rFonts w:eastAsia="Arial"/>
          <w:iCs/>
          <w:color w:val="000000" w:themeColor="text1"/>
        </w:rPr>
        <w:t xml:space="preserve"> Taip pat - </w:t>
      </w:r>
      <w:r w:rsidRPr="003A19E6">
        <w:rPr>
          <w:rFonts w:eastAsia="Arial"/>
          <w:iCs/>
          <w:color w:val="000000" w:themeColor="text1"/>
        </w:rPr>
        <w:t>papildomai pateikti tiesioginio arba netiesioginio palyginimo klinikinių tyrimų ar realaus gyvenimo tyrimų duomenis, kuriais remiantis galima būtų palyginti DVCd ir su geriausiu palaikomuoju gydymu (placebu), pacientams sergantiems su daugybine mieloma nesusijusia AL amiloidoze.</w:t>
      </w:r>
      <w:r>
        <w:rPr>
          <w:rFonts w:eastAsia="Arial"/>
          <w:iCs/>
          <w:color w:val="000000" w:themeColor="text1"/>
        </w:rPr>
        <w:t xml:space="preserve"> Atsakant į esminius prieštaravimus Pareiškėjas šių duomenų nepateikė, todėl esminiai prieštaravimai laikyti neišspręstais. </w:t>
      </w:r>
    </w:p>
    <w:p w14:paraId="54EAE4BA" w14:textId="77777777" w:rsidR="00A6547D" w:rsidRPr="003A19E6" w:rsidRDefault="00A6547D" w:rsidP="00A6547D">
      <w:pPr>
        <w:spacing w:line="276" w:lineRule="auto"/>
        <w:rPr>
          <w:rFonts w:eastAsia="Arial"/>
          <w:i/>
          <w:color w:val="000000" w:themeColor="text1"/>
        </w:rPr>
      </w:pPr>
    </w:p>
    <w:p w14:paraId="5255895D" w14:textId="77777777" w:rsidR="00A6547D" w:rsidRPr="00C30EEF" w:rsidRDefault="00A6547D" w:rsidP="00A6547D">
      <w:pPr>
        <w:tabs>
          <w:tab w:val="left" w:pos="426"/>
        </w:tabs>
        <w:spacing w:line="276" w:lineRule="auto"/>
        <w:jc w:val="both"/>
        <w:rPr>
          <w:rFonts w:eastAsia="Arial"/>
          <w:bCs/>
          <w:i/>
          <w:color w:val="000000" w:themeColor="text1"/>
        </w:rPr>
      </w:pPr>
      <w:r w:rsidRPr="00C30EEF">
        <w:rPr>
          <w:rFonts w:eastAsia="Arial"/>
          <w:bCs/>
          <w:i/>
          <w:color w:val="000000" w:themeColor="text1"/>
        </w:rPr>
        <w:t>Privalumai ir trūkumai</w:t>
      </w:r>
    </w:p>
    <w:p w14:paraId="36838DCD" w14:textId="77777777" w:rsidR="00A6547D" w:rsidRPr="00C30EEF" w:rsidRDefault="00A6547D" w:rsidP="00A6547D">
      <w:pPr>
        <w:tabs>
          <w:tab w:val="left" w:pos="426"/>
        </w:tabs>
        <w:spacing w:line="276" w:lineRule="auto"/>
        <w:jc w:val="both"/>
        <w:rPr>
          <w:rFonts w:eastAsia="Arial"/>
          <w:bCs/>
          <w:iCs/>
          <w:color w:val="000000" w:themeColor="text1"/>
        </w:rPr>
      </w:pPr>
      <w:r w:rsidRPr="00C30EEF">
        <w:rPr>
          <w:rFonts w:eastAsia="Arial"/>
          <w:bCs/>
          <w:iCs/>
          <w:color w:val="000000" w:themeColor="text1"/>
        </w:rPr>
        <w:tab/>
        <w:t>Jei vaistinis preparatas būtų įrašytas į kompensavimo sąrašus, gydymo šiuo vaistiniu preparatu taikymas klinikinėje praktikoje galėtų turėti privalumų ir trūkumų medicininėms paslaugoms ar pacientams.</w:t>
      </w:r>
    </w:p>
    <w:p w14:paraId="6FE3C338" w14:textId="77777777" w:rsidR="00A6547D" w:rsidRPr="008E7566" w:rsidRDefault="00A6547D" w:rsidP="00A6547D">
      <w:pPr>
        <w:tabs>
          <w:tab w:val="left" w:pos="426"/>
        </w:tabs>
        <w:spacing w:line="276" w:lineRule="auto"/>
        <w:jc w:val="both"/>
        <w:rPr>
          <w:rFonts w:eastAsia="Arial"/>
          <w:bCs/>
          <w:iCs/>
          <w:color w:val="000000" w:themeColor="text1"/>
        </w:rPr>
      </w:pPr>
      <w:r>
        <w:rPr>
          <w:rFonts w:eastAsia="Arial"/>
          <w:bCs/>
          <w:iCs/>
          <w:color w:val="000000" w:themeColor="text1"/>
        </w:rPr>
        <w:tab/>
      </w:r>
      <w:r w:rsidRPr="00C30EEF">
        <w:rPr>
          <w:rFonts w:eastAsia="Arial"/>
          <w:b/>
          <w:iCs/>
          <w:color w:val="000000" w:themeColor="text1"/>
        </w:rPr>
        <w:t xml:space="preserve">Privalumai. </w:t>
      </w:r>
      <w:r>
        <w:rPr>
          <w:rFonts w:eastAsia="Arial"/>
          <w:bCs/>
          <w:iCs/>
          <w:color w:val="000000" w:themeColor="text1"/>
        </w:rPr>
        <w:t xml:space="preserve">Pacientams būtų prienamas pirmas AL amiloidozės gydymui registruotas vaistinių preparatų derinys. </w:t>
      </w:r>
    </w:p>
    <w:p w14:paraId="0FC51BB4" w14:textId="77777777" w:rsidR="00A6547D" w:rsidRPr="00B5199B" w:rsidRDefault="00A6547D" w:rsidP="00A6547D">
      <w:pPr>
        <w:tabs>
          <w:tab w:val="left" w:pos="426"/>
        </w:tabs>
        <w:spacing w:line="276" w:lineRule="auto"/>
        <w:jc w:val="both"/>
        <w:rPr>
          <w:rFonts w:eastAsia="Arial"/>
          <w:bCs/>
          <w:iCs/>
          <w:color w:val="000000" w:themeColor="text1"/>
        </w:rPr>
      </w:pPr>
      <w:r>
        <w:rPr>
          <w:rFonts w:eastAsia="Arial"/>
          <w:bCs/>
          <w:iCs/>
          <w:color w:val="000000" w:themeColor="text1"/>
        </w:rPr>
        <w:tab/>
      </w:r>
      <w:r w:rsidRPr="004B20A9">
        <w:rPr>
          <w:rFonts w:eastAsia="Arial"/>
          <w:b/>
          <w:iCs/>
          <w:color w:val="000000" w:themeColor="text1"/>
        </w:rPr>
        <w:t>Trūkumai</w:t>
      </w:r>
      <w:r>
        <w:rPr>
          <w:rFonts w:eastAsia="Arial"/>
          <w:bCs/>
          <w:iCs/>
          <w:color w:val="000000" w:themeColor="text1"/>
        </w:rPr>
        <w:t>. Pacientui - p</w:t>
      </w:r>
      <w:r w:rsidRPr="00BD5E2A">
        <w:rPr>
          <w:rFonts w:eastAsia="Arial"/>
          <w:bCs/>
          <w:iCs/>
          <w:color w:val="000000" w:themeColor="text1"/>
        </w:rPr>
        <w:t xml:space="preserve">rieš </w:t>
      </w:r>
      <w:r>
        <w:rPr>
          <w:rFonts w:eastAsia="Arial"/>
          <w:bCs/>
          <w:iCs/>
          <w:color w:val="000000" w:themeColor="text1"/>
        </w:rPr>
        <w:t>daratumumabo</w:t>
      </w:r>
      <w:r w:rsidRPr="00BD5E2A">
        <w:rPr>
          <w:rFonts w:eastAsia="Arial"/>
          <w:bCs/>
          <w:iCs/>
          <w:color w:val="000000" w:themeColor="text1"/>
        </w:rPr>
        <w:t xml:space="preserve"> infuziją reikia vartoti vaistinių preparatų, </w:t>
      </w:r>
      <w:r w:rsidRPr="00B5199B">
        <w:rPr>
          <w:rFonts w:eastAsia="Arial"/>
          <w:bCs/>
          <w:iCs/>
          <w:color w:val="000000" w:themeColor="text1"/>
        </w:rPr>
        <w:t xml:space="preserve">mažinančių su infuzija susijusių reakcijų riziką. </w:t>
      </w:r>
      <w:r w:rsidRPr="009E7FFD">
        <w:t>Pasireiškus bet kokio sunkumo ar laipsnio su infuzija susijusioms reakcijoms, gali reik</w:t>
      </w:r>
      <w:r w:rsidRPr="009E7FFD">
        <w:rPr>
          <w:rFonts w:hint="eastAsia"/>
        </w:rPr>
        <w:t>ė</w:t>
      </w:r>
      <w:r w:rsidRPr="009E7FFD">
        <w:t xml:space="preserve">ti šalinti simptomus. Taip pat </w:t>
      </w:r>
      <w:r w:rsidRPr="00B5199B">
        <w:rPr>
          <w:rFonts w:eastAsia="Arial"/>
          <w:bCs/>
          <w:iCs/>
          <w:color w:val="000000" w:themeColor="text1"/>
        </w:rPr>
        <w:t xml:space="preserve">pacientams vartojantiems </w:t>
      </w:r>
      <w:r w:rsidRPr="00B767D7">
        <w:rPr>
          <w:rFonts w:eastAsia="Arial"/>
          <w:bCs/>
          <w:iCs/>
          <w:color w:val="000000" w:themeColor="text1"/>
        </w:rPr>
        <w:t>daratumumabą būtų reikalingas pastovus laboratorinių tyrimų rodmenų nenormalumų stebėjimas ir suvaldymas</w:t>
      </w:r>
      <w:r w:rsidRPr="00B5199B">
        <w:rPr>
          <w:rFonts w:eastAsia="Arial"/>
          <w:bCs/>
          <w:iCs/>
          <w:color w:val="000000" w:themeColor="text1"/>
        </w:rPr>
        <w:t xml:space="preserve"> dėl kurių gali reikėti laikinai nutraukti vaistinio preparato vartojimą. </w:t>
      </w:r>
    </w:p>
    <w:p w14:paraId="17C4927F" w14:textId="77777777" w:rsidR="00A6547D" w:rsidRPr="00C30EEF" w:rsidRDefault="00A6547D" w:rsidP="00A6547D">
      <w:pPr>
        <w:tabs>
          <w:tab w:val="left" w:pos="426"/>
        </w:tabs>
        <w:spacing w:line="276" w:lineRule="auto"/>
        <w:jc w:val="both"/>
        <w:rPr>
          <w:rFonts w:eastAsia="Arial"/>
          <w:bCs/>
          <w:iCs/>
          <w:color w:val="000000" w:themeColor="text1"/>
        </w:rPr>
      </w:pPr>
      <w:r>
        <w:rPr>
          <w:rFonts w:eastAsia="Arial"/>
          <w:bCs/>
          <w:iCs/>
          <w:color w:val="000000" w:themeColor="text1"/>
        </w:rPr>
        <w:tab/>
        <w:t xml:space="preserve">Medicinos paslaugoms - </w:t>
      </w:r>
      <w:r w:rsidRPr="00C30EEF">
        <w:rPr>
          <w:rFonts w:eastAsia="Arial"/>
          <w:bCs/>
          <w:iCs/>
          <w:color w:val="000000" w:themeColor="text1"/>
        </w:rPr>
        <w:t xml:space="preserve">stebėsenos poreikis vartojant </w:t>
      </w:r>
      <w:r>
        <w:rPr>
          <w:rFonts w:eastAsia="Arial"/>
          <w:bCs/>
          <w:iCs/>
          <w:color w:val="000000" w:themeColor="text1"/>
        </w:rPr>
        <w:t xml:space="preserve">daratumumabą. </w:t>
      </w:r>
    </w:p>
    <w:p w14:paraId="6B34DE43" w14:textId="77777777" w:rsidR="00A6547D" w:rsidRPr="00C30EEF" w:rsidRDefault="00A6547D" w:rsidP="00A6547D">
      <w:pPr>
        <w:tabs>
          <w:tab w:val="left" w:pos="426"/>
        </w:tabs>
        <w:spacing w:line="276" w:lineRule="auto"/>
        <w:jc w:val="both"/>
        <w:rPr>
          <w:rFonts w:eastAsia="Arial"/>
          <w:bCs/>
          <w:iCs/>
          <w:color w:val="000000" w:themeColor="text1"/>
        </w:rPr>
      </w:pPr>
      <w:r>
        <w:rPr>
          <w:rFonts w:eastAsia="Arial"/>
          <w:bCs/>
          <w:iCs/>
          <w:color w:val="000000" w:themeColor="text1"/>
        </w:rPr>
        <w:tab/>
      </w:r>
      <w:r w:rsidRPr="004B20A9">
        <w:rPr>
          <w:rFonts w:eastAsia="Arial"/>
          <w:b/>
          <w:iCs/>
          <w:color w:val="000000" w:themeColor="text1"/>
        </w:rPr>
        <w:t>Praktinės problemos pacientui ar jo globėjui</w:t>
      </w:r>
      <w:r>
        <w:rPr>
          <w:rFonts w:eastAsia="Arial"/>
          <w:bCs/>
          <w:iCs/>
          <w:color w:val="000000" w:themeColor="text1"/>
        </w:rPr>
        <w:t>.</w:t>
      </w:r>
      <w:r w:rsidRPr="00C30EEF">
        <w:rPr>
          <w:rFonts w:eastAsia="Arial"/>
          <w:bCs/>
          <w:iCs/>
          <w:color w:val="000000" w:themeColor="text1"/>
        </w:rPr>
        <w:t xml:space="preserve"> </w:t>
      </w:r>
      <w:r>
        <w:rPr>
          <w:rFonts w:eastAsia="Arial"/>
          <w:bCs/>
          <w:iCs/>
          <w:color w:val="000000" w:themeColor="text1"/>
        </w:rPr>
        <w:t xml:space="preserve">Vaisto </w:t>
      </w:r>
      <w:r>
        <w:rPr>
          <w:bCs/>
          <w:color w:val="000000"/>
          <w:lang w:eastAsia="lt-LT"/>
        </w:rPr>
        <w:t>skyrimas, reikalaujantis papildomų apsilankymų gydymo įstaigoje.</w:t>
      </w:r>
      <w:r>
        <w:rPr>
          <w:rFonts w:eastAsia="Arial"/>
          <w:bCs/>
          <w:iCs/>
          <w:color w:val="000000" w:themeColor="text1"/>
        </w:rPr>
        <w:t xml:space="preserve"> P</w:t>
      </w:r>
      <w:r w:rsidRPr="00C30EEF">
        <w:rPr>
          <w:rFonts w:eastAsia="Arial"/>
          <w:bCs/>
          <w:iCs/>
          <w:color w:val="000000" w:themeColor="text1"/>
        </w:rPr>
        <w:t>astovus laboratorinių tyrimų rodmenų nenormalumų stebėjimas ir suvaldym</w:t>
      </w:r>
      <w:r>
        <w:rPr>
          <w:rFonts w:eastAsia="Arial"/>
          <w:bCs/>
          <w:iCs/>
          <w:color w:val="000000" w:themeColor="text1"/>
        </w:rPr>
        <w:t>o</w:t>
      </w:r>
      <w:r w:rsidRPr="00C30EEF">
        <w:rPr>
          <w:rFonts w:eastAsia="Arial"/>
          <w:bCs/>
          <w:iCs/>
          <w:color w:val="000000" w:themeColor="text1"/>
        </w:rPr>
        <w:t xml:space="preserve"> poreikis, sukelia papildomą naštą pacientui ir jo globėjams dėl papildomo poreikio vykti į gydymo įstaigą</w:t>
      </w:r>
      <w:r>
        <w:rPr>
          <w:rFonts w:eastAsia="Arial"/>
          <w:bCs/>
          <w:iCs/>
          <w:color w:val="000000" w:themeColor="text1"/>
        </w:rPr>
        <w:t xml:space="preserve">. </w:t>
      </w:r>
    </w:p>
    <w:p w14:paraId="663F9F28" w14:textId="77777777" w:rsidR="00A6547D" w:rsidRPr="00A93CD3" w:rsidRDefault="00A6547D" w:rsidP="00A6547D">
      <w:pPr>
        <w:tabs>
          <w:tab w:val="left" w:pos="426"/>
        </w:tabs>
        <w:spacing w:line="276" w:lineRule="auto"/>
        <w:jc w:val="both"/>
        <w:rPr>
          <w:bCs/>
          <w:color w:val="000000"/>
          <w:lang w:eastAsia="lt-LT"/>
        </w:rPr>
      </w:pPr>
      <w:r>
        <w:rPr>
          <w:rFonts w:eastAsia="Arial"/>
          <w:b/>
          <w:iCs/>
          <w:color w:val="000000" w:themeColor="text1"/>
        </w:rPr>
        <w:tab/>
      </w:r>
      <w:r w:rsidRPr="004B20A9">
        <w:rPr>
          <w:rFonts w:eastAsia="Arial"/>
          <w:b/>
          <w:iCs/>
          <w:color w:val="000000" w:themeColor="text1"/>
        </w:rPr>
        <w:t>Pasekmės teikiamoms paslaugoms</w:t>
      </w:r>
      <w:r>
        <w:rPr>
          <w:rFonts w:eastAsia="Arial"/>
          <w:b/>
          <w:iCs/>
          <w:color w:val="000000" w:themeColor="text1"/>
        </w:rPr>
        <w:t>.</w:t>
      </w:r>
      <w:r w:rsidRPr="00C30EEF">
        <w:rPr>
          <w:rFonts w:eastAsia="Arial"/>
          <w:bCs/>
          <w:iCs/>
          <w:color w:val="000000" w:themeColor="text1"/>
        </w:rPr>
        <w:t xml:space="preserve"> </w:t>
      </w:r>
      <w:r>
        <w:rPr>
          <w:bCs/>
          <w:color w:val="000000"/>
          <w:lang w:eastAsia="lt-LT"/>
        </w:rPr>
        <w:t>Medicinos paslaugoms – vaisto skyrimas, reikalaujantis papildomų apsilankymų gydymo įstaigoje, medicininio personalo priežiūros.</w:t>
      </w:r>
    </w:p>
    <w:p w14:paraId="21253BC3" w14:textId="77777777" w:rsidR="00A9737E" w:rsidRDefault="00A9737E" w:rsidP="00A9737E">
      <w:pPr>
        <w:pStyle w:val="Sraopastraipa"/>
        <w:tabs>
          <w:tab w:val="left" w:pos="567"/>
        </w:tabs>
        <w:rPr>
          <w:b/>
          <w:bCs/>
          <w:caps/>
        </w:rPr>
      </w:pPr>
    </w:p>
    <w:p w14:paraId="2821F4A0" w14:textId="4AFE8446" w:rsidR="00A9737E" w:rsidRDefault="00A9737E" w:rsidP="00A9737E">
      <w:pPr>
        <w:pStyle w:val="Sraopastraipa"/>
        <w:numPr>
          <w:ilvl w:val="0"/>
          <w:numId w:val="12"/>
        </w:numPr>
        <w:tabs>
          <w:tab w:val="left" w:pos="567"/>
        </w:tabs>
        <w:ind w:hanging="720"/>
        <w:rPr>
          <w:b/>
          <w:bCs/>
          <w:caps/>
        </w:rPr>
      </w:pPr>
      <w:r w:rsidRPr="00E33EFF">
        <w:rPr>
          <w:b/>
          <w:bCs/>
          <w:caps/>
        </w:rPr>
        <w:t>ekonominio vertinimo apibendrinimas</w:t>
      </w:r>
    </w:p>
    <w:p w14:paraId="39B26947" w14:textId="77777777" w:rsidR="00A9737E" w:rsidRPr="00A6547D" w:rsidRDefault="00A9737E" w:rsidP="00A9737E">
      <w:pPr>
        <w:pStyle w:val="Sraopastraipa"/>
        <w:tabs>
          <w:tab w:val="left" w:pos="567"/>
        </w:tabs>
        <w:rPr>
          <w:b/>
          <w:bCs/>
          <w:caps/>
        </w:rPr>
      </w:pPr>
    </w:p>
    <w:p w14:paraId="0C7DA9C1" w14:textId="77777777" w:rsidR="00A9737E" w:rsidRPr="005479D3" w:rsidRDefault="00A9737E" w:rsidP="00A9737E">
      <w:pPr>
        <w:spacing w:after="120" w:line="276" w:lineRule="auto"/>
        <w:ind w:firstLine="426"/>
        <w:jc w:val="both"/>
        <w:rPr>
          <w:rFonts w:eastAsia="Arial"/>
        </w:rPr>
      </w:pPr>
      <w:r w:rsidRPr="005479D3">
        <w:rPr>
          <w:lang w:eastAsia="en-GB"/>
        </w:rPr>
        <w:t xml:space="preserve">Atsižvelgiant į tai, kad nustatytas esminis prieštaravimas dėl klinikinės paraiškos dalies (netinkama populiacija) ir po Pareiškėjo pateiktų atsakymų laikoma, kad </w:t>
      </w:r>
      <w:r>
        <w:rPr>
          <w:lang w:eastAsia="en-GB"/>
        </w:rPr>
        <w:t>daratumumabas</w:t>
      </w:r>
      <w:r w:rsidRPr="005479D3">
        <w:t xml:space="preserve"> </w:t>
      </w:r>
      <w:r w:rsidRPr="005479D3">
        <w:rPr>
          <w:rFonts w:eastAsia="Arial"/>
        </w:rPr>
        <w:t>derinant su ciklofosfamidu, bortezomibu ir deksametazonu skirtas suaugusiųjų pacientų, kuriems naujai buvo diagnozuota s</w:t>
      </w:r>
      <w:r>
        <w:rPr>
          <w:rFonts w:eastAsia="Arial"/>
        </w:rPr>
        <w:t xml:space="preserve">isteminė AL amiloidozė, gydymui, </w:t>
      </w:r>
      <w:r w:rsidRPr="005479D3">
        <w:rPr>
          <w:b/>
          <w:bCs/>
        </w:rPr>
        <w:t xml:space="preserve">negali būti kompensuojamas </w:t>
      </w:r>
      <w:r w:rsidRPr="005479D3">
        <w:t xml:space="preserve">dėl esminių paraiškos trūkumų (detalizuojamų klinikinėje dalyje), </w:t>
      </w:r>
      <w:r w:rsidRPr="005479D3">
        <w:rPr>
          <w:lang w:eastAsia="en-GB"/>
        </w:rPr>
        <w:t xml:space="preserve">vadovaujantis </w:t>
      </w:r>
      <w:r w:rsidRPr="005479D3">
        <w:t>Lietuvos Respublikos sveikatos apsaugos ministro 2002 m. balandžio 5 d. įsakymu Nr. 159 „Dėl vaistinių preparatų ir medicinos pagalbos priemonių įrašymo į kompensavimo sąrašus ir jų keitimo tvarkos aprašo patvirtinimo“ (toliau – Tvarkos aprašas)</w:t>
      </w:r>
      <w:r w:rsidRPr="005479D3">
        <w:rPr>
          <w:color w:val="000000"/>
          <w:lang w:eastAsia="ru-RU"/>
        </w:rPr>
        <w:t xml:space="preserve"> 17</w:t>
      </w:r>
      <w:r w:rsidRPr="005479D3">
        <w:rPr>
          <w:color w:val="000000"/>
          <w:vertAlign w:val="superscript"/>
          <w:lang w:eastAsia="ru-RU"/>
        </w:rPr>
        <w:t>1</w:t>
      </w:r>
      <w:r w:rsidRPr="005479D3">
        <w:rPr>
          <w:color w:val="000000"/>
          <w:lang w:eastAsia="ru-RU"/>
        </w:rPr>
        <w:t xml:space="preserve"> punktu „Jei atlikus išsamų </w:t>
      </w:r>
      <w:r w:rsidRPr="005479D3">
        <w:rPr>
          <w:lang w:eastAsia="ru-RU"/>
        </w:rPr>
        <w:t xml:space="preserve">klinikinį vertinimą nustatoma, kad Paraiškoje pateiktas palyginamasis gydymas yra netinkamas arba klinikinės dalies vertinimo išvada atitinka Aprašo 33.1 papunktį, </w:t>
      </w:r>
      <w:r w:rsidRPr="005479D3">
        <w:t>tai laikoma esminiu Paraiškos trūkumu ir</w:t>
      </w:r>
      <w:r w:rsidRPr="005479D3">
        <w:rPr>
          <w:lang w:eastAsia="ru-RU"/>
        </w:rPr>
        <w:t xml:space="preserve"> ekonominis vertinimas neatliekamas“, Pareiškėjui neatnaujinus farmakoekonominės analizės dėl aukščiau nurodytų trūkumų, ekonominis vertinimas nėra atliekamas.</w:t>
      </w:r>
    </w:p>
    <w:p w14:paraId="4BE6063D" w14:textId="77777777" w:rsidR="00A9737E" w:rsidRPr="00E33EFF" w:rsidRDefault="00A9737E" w:rsidP="00A9737E">
      <w:pPr>
        <w:tabs>
          <w:tab w:val="left" w:pos="426"/>
        </w:tabs>
        <w:rPr>
          <w:b/>
          <w:bCs/>
          <w:caps/>
        </w:rPr>
      </w:pPr>
    </w:p>
    <w:p w14:paraId="528A23AE" w14:textId="77777777" w:rsidR="00A9737E" w:rsidRPr="00E33EFF" w:rsidRDefault="00A9737E" w:rsidP="00A9737E">
      <w:pPr>
        <w:pStyle w:val="Sraopastraipa"/>
        <w:numPr>
          <w:ilvl w:val="0"/>
          <w:numId w:val="12"/>
        </w:numPr>
        <w:tabs>
          <w:tab w:val="left" w:pos="567"/>
        </w:tabs>
        <w:ind w:hanging="720"/>
        <w:rPr>
          <w:b/>
          <w:bCs/>
          <w:caps/>
        </w:rPr>
      </w:pPr>
      <w:r w:rsidRPr="00E33EFF">
        <w:rPr>
          <w:b/>
          <w:bCs/>
          <w:caps/>
        </w:rPr>
        <w:t xml:space="preserve">Pacientų organizacijų pateikti duomenys </w:t>
      </w:r>
    </w:p>
    <w:p w14:paraId="1887BC08" w14:textId="77777777" w:rsidR="00A9737E" w:rsidRPr="00E33EFF" w:rsidRDefault="00000000" w:rsidP="00A9737E">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Content>
          <w:r w:rsidR="00A9737E" w:rsidRPr="00E33EFF">
            <w:rPr>
              <w:rStyle w:val="Style2"/>
              <w:rFonts w:ascii="MS Gothic" w:eastAsia="MS Gothic" w:hAnsi="MS Gothic" w:hint="eastAsia"/>
              <w:sz w:val="24"/>
            </w:rPr>
            <w:t>☐</w:t>
          </w:r>
        </w:sdtContent>
      </w:sdt>
      <w:r w:rsidR="00A9737E" w:rsidRPr="00E33EFF">
        <w:t xml:space="preserve"> Pacientų organizacijos pozicija pateikta. Žr. priedą.</w:t>
      </w:r>
    </w:p>
    <w:p w14:paraId="2A452F03" w14:textId="77777777" w:rsidR="00A9737E" w:rsidRPr="00E33EFF" w:rsidRDefault="00000000" w:rsidP="00A9737E">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Content>
          <w:r w:rsidR="00A9737E">
            <w:rPr>
              <w:rStyle w:val="Style2"/>
              <w:rFonts w:ascii="MS Gothic" w:eastAsia="MS Gothic" w:hAnsi="MS Gothic" w:hint="eastAsia"/>
              <w:sz w:val="24"/>
            </w:rPr>
            <w:t>☒</w:t>
          </w:r>
        </w:sdtContent>
      </w:sdt>
      <w:r w:rsidR="00A9737E" w:rsidRPr="00E33EFF">
        <w:t xml:space="preserve"> Pacientų organizacijos pozicija nepateikta.</w:t>
      </w:r>
    </w:p>
    <w:p w14:paraId="3B295118" w14:textId="77777777" w:rsidR="00A9737E" w:rsidRPr="00E33EFF" w:rsidRDefault="00A9737E" w:rsidP="00A9737E">
      <w:pPr>
        <w:spacing w:after="120"/>
        <w:jc w:val="both"/>
      </w:pPr>
    </w:p>
    <w:p w14:paraId="3B18D8BD" w14:textId="77777777" w:rsidR="00A9737E" w:rsidRPr="00E33EFF" w:rsidRDefault="00A9737E" w:rsidP="00A9737E">
      <w:pPr>
        <w:pStyle w:val="Sraopastraipa"/>
        <w:numPr>
          <w:ilvl w:val="0"/>
          <w:numId w:val="12"/>
        </w:numPr>
        <w:tabs>
          <w:tab w:val="left" w:pos="567"/>
        </w:tabs>
        <w:ind w:hanging="720"/>
        <w:rPr>
          <w:b/>
          <w:bCs/>
          <w:caps/>
        </w:rPr>
      </w:pPr>
      <w:r w:rsidRPr="00E33EFF">
        <w:rPr>
          <w:b/>
          <w:bCs/>
          <w:caps/>
        </w:rPr>
        <w:t>Gydytojų organizacijų pateikti duomenys</w:t>
      </w:r>
    </w:p>
    <w:p w14:paraId="433FAE64" w14:textId="77777777" w:rsidR="00A9737E" w:rsidRPr="00E33EFF" w:rsidRDefault="00000000" w:rsidP="00A9737E">
      <w:pPr>
        <w:spacing w:after="120"/>
        <w:jc w:val="both"/>
      </w:pPr>
      <w:sdt>
        <w:sdtPr>
          <w:rPr>
            <w:rStyle w:val="Style2"/>
            <w:rFonts w:ascii="MS Gothic" w:eastAsia="MS Gothic" w:hAnsi="MS Gothic"/>
            <w:sz w:val="24"/>
          </w:rPr>
          <w:id w:val="1613862788"/>
          <w15:color w:val="FFCC00"/>
          <w14:checkbox>
            <w14:checked w14:val="1"/>
            <w14:checkedState w14:val="2612" w14:font="MS Gothic"/>
            <w14:uncheckedState w14:val="2610" w14:font="MS Gothic"/>
          </w14:checkbox>
        </w:sdtPr>
        <w:sdtContent>
          <w:r w:rsidR="00A9737E">
            <w:rPr>
              <w:rStyle w:val="Style2"/>
              <w:rFonts w:ascii="MS Gothic" w:eastAsia="MS Gothic" w:hAnsi="MS Gothic" w:hint="eastAsia"/>
              <w:sz w:val="24"/>
            </w:rPr>
            <w:t>☒</w:t>
          </w:r>
        </w:sdtContent>
      </w:sdt>
      <w:r w:rsidR="00A9737E" w:rsidRPr="00E33EFF">
        <w:t xml:space="preserve"> Gydytojų specialistų organizacijos pozicija pateikta. Žr. priedą.</w:t>
      </w:r>
    </w:p>
    <w:p w14:paraId="7D120319" w14:textId="77777777" w:rsidR="00A9737E" w:rsidRPr="00E33EFF" w:rsidRDefault="00000000" w:rsidP="00A9737E">
      <w:pPr>
        <w:spacing w:after="120"/>
        <w:jc w:val="both"/>
      </w:pPr>
      <w:sdt>
        <w:sdtPr>
          <w:rPr>
            <w:rStyle w:val="Style2"/>
            <w:rFonts w:ascii="MS Gothic" w:eastAsia="MS Gothic" w:hAnsi="MS Gothic"/>
            <w:sz w:val="24"/>
          </w:rPr>
          <w:id w:val="-41988141"/>
          <w15:color w:val="FFCC00"/>
          <w14:checkbox>
            <w14:checked w14:val="0"/>
            <w14:checkedState w14:val="2612" w14:font="MS Gothic"/>
            <w14:uncheckedState w14:val="2610" w14:font="MS Gothic"/>
          </w14:checkbox>
        </w:sdtPr>
        <w:sdtContent>
          <w:r w:rsidR="00A9737E" w:rsidRPr="00E33EFF">
            <w:rPr>
              <w:rStyle w:val="Style2"/>
              <w:rFonts w:ascii="MS Gothic" w:eastAsia="MS Gothic" w:hAnsi="MS Gothic" w:hint="eastAsia"/>
              <w:sz w:val="24"/>
            </w:rPr>
            <w:t>☐</w:t>
          </w:r>
        </w:sdtContent>
      </w:sdt>
      <w:r w:rsidR="00A9737E" w:rsidRPr="00E33EFF">
        <w:t xml:space="preserve"> Gydytojų specialistų organizacijos pozicija nepateikta.</w:t>
      </w:r>
    </w:p>
    <w:p w14:paraId="370DCEF1" w14:textId="77777777" w:rsidR="00A9737E" w:rsidRPr="00E33EFF" w:rsidRDefault="00A9737E" w:rsidP="00A9737E">
      <w:pPr>
        <w:spacing w:after="120"/>
        <w:jc w:val="both"/>
      </w:pPr>
    </w:p>
    <w:p w14:paraId="27C8CCF1" w14:textId="77777777" w:rsidR="00A9737E" w:rsidRPr="00E33EFF" w:rsidRDefault="00A9737E" w:rsidP="00A9737E">
      <w:pPr>
        <w:pStyle w:val="Sraopastraipa"/>
        <w:numPr>
          <w:ilvl w:val="0"/>
          <w:numId w:val="12"/>
        </w:numPr>
        <w:tabs>
          <w:tab w:val="left" w:pos="567"/>
        </w:tabs>
        <w:ind w:hanging="720"/>
        <w:rPr>
          <w:b/>
          <w:bCs/>
          <w:caps/>
        </w:rPr>
      </w:pPr>
      <w:r w:rsidRPr="00E33EFF">
        <w:rPr>
          <w:b/>
          <w:bCs/>
          <w:caps/>
        </w:rPr>
        <w:t xml:space="preserve">Išvada </w:t>
      </w:r>
    </w:p>
    <w:p w14:paraId="5D6B07C6" w14:textId="77777777" w:rsidR="00A9737E" w:rsidRPr="00E33EFF" w:rsidRDefault="00A9737E" w:rsidP="00A9737E">
      <w:pPr>
        <w:rPr>
          <w:i/>
          <w:color w:val="00B050"/>
          <w:szCs w:val="22"/>
        </w:rPr>
      </w:pPr>
    </w:p>
    <w:tbl>
      <w:tblPr>
        <w:tblStyle w:val="Lentelstinklelis"/>
        <w:tblW w:w="0" w:type="auto"/>
        <w:tblLook w:val="04A0" w:firstRow="1" w:lastRow="0" w:firstColumn="1" w:lastColumn="0" w:noHBand="0" w:noVBand="1"/>
      </w:tblPr>
      <w:tblGrid>
        <w:gridCol w:w="4815"/>
        <w:gridCol w:w="4814"/>
      </w:tblGrid>
      <w:tr w:rsidR="00A9737E" w:rsidRPr="00E33EFF" w14:paraId="7CA22D1F" w14:textId="77777777" w:rsidTr="00D64998">
        <w:trPr>
          <w:trHeight w:val="510"/>
        </w:trPr>
        <w:tc>
          <w:tcPr>
            <w:tcW w:w="4815" w:type="dxa"/>
            <w:vAlign w:val="center"/>
          </w:tcPr>
          <w:p w14:paraId="6E16290B" w14:textId="77777777" w:rsidR="00A9737E" w:rsidRPr="00E33EFF" w:rsidRDefault="00A9737E" w:rsidP="00D64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Rekomenduojama kompensuoti</w:t>
            </w:r>
          </w:p>
        </w:tc>
        <w:tc>
          <w:tcPr>
            <w:tcW w:w="4814" w:type="dxa"/>
            <w:vAlign w:val="center"/>
          </w:tcPr>
          <w:p w14:paraId="63317D56" w14:textId="77777777" w:rsidR="00A9737E" w:rsidRPr="00E33EFF" w:rsidRDefault="00A9737E" w:rsidP="00D64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 xml:space="preserve">Rekomenduojama nekompensuoti </w:t>
            </w:r>
          </w:p>
        </w:tc>
      </w:tr>
      <w:tr w:rsidR="00A9737E" w:rsidRPr="00E33EFF" w14:paraId="37C7D616" w14:textId="77777777" w:rsidTr="00D64998">
        <w:trPr>
          <w:trHeight w:val="510"/>
        </w:trPr>
        <w:tc>
          <w:tcPr>
            <w:tcW w:w="9629" w:type="dxa"/>
            <w:gridSpan w:val="2"/>
            <w:vAlign w:val="center"/>
          </w:tcPr>
          <w:p w14:paraId="74A9F924" w14:textId="77777777" w:rsidR="00A9737E" w:rsidRPr="00E33EFF" w:rsidRDefault="00A9737E" w:rsidP="00D64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Palyginamasis efektyvumas</w:t>
            </w:r>
          </w:p>
        </w:tc>
      </w:tr>
      <w:tr w:rsidR="00A9737E" w:rsidRPr="00E33EFF" w14:paraId="2C59FDF4" w14:textId="77777777" w:rsidTr="00D64998">
        <w:tc>
          <w:tcPr>
            <w:tcW w:w="4815" w:type="dxa"/>
          </w:tcPr>
          <w:p w14:paraId="086CD526" w14:textId="77777777" w:rsidR="00A9737E" w:rsidRPr="00E33EFF" w:rsidRDefault="00000000" w:rsidP="00D64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0"/>
                  <w14:checkedState w14:val="2612" w14:font="MS Gothic"/>
                  <w14:uncheckedState w14:val="2610" w14:font="MS Gothic"/>
                </w14:checkbox>
              </w:sdtPr>
              <w:sdtContent>
                <w:r w:rsidR="00A9737E" w:rsidRPr="00E33EFF">
                  <w:rPr>
                    <w:rStyle w:val="Style2"/>
                    <w:rFonts w:ascii="Segoe UI Symbol" w:eastAsia="MS Gothic" w:hAnsi="Segoe UI Symbol" w:cs="Segoe UI Symbol"/>
                    <w:sz w:val="24"/>
                  </w:rPr>
                  <w:t>☐</w:t>
                </w:r>
              </w:sdtContent>
            </w:sdt>
            <w:r w:rsidR="00A9737E" w:rsidRPr="00E33EFF">
              <w:t xml:space="preserve"> 32.1. yra didesnis, lyginant su įprasta klinikine praktika</w:t>
            </w:r>
          </w:p>
          <w:p w14:paraId="5239CD66" w14:textId="77777777" w:rsidR="00A9737E" w:rsidRPr="00E33EFF" w:rsidRDefault="00A9737E" w:rsidP="00D64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E899D8C" w14:textId="77777777" w:rsidR="00A9737E" w:rsidRPr="00E33EFF" w:rsidRDefault="00000000" w:rsidP="00D64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Content>
                <w:r w:rsidR="00A9737E" w:rsidRPr="00E33EFF">
                  <w:rPr>
                    <w:rStyle w:val="Style2"/>
                    <w:rFonts w:ascii="Segoe UI Symbol" w:eastAsia="MS Gothic" w:hAnsi="Segoe UI Symbol" w:cs="Segoe UI Symbol"/>
                    <w:sz w:val="24"/>
                  </w:rPr>
                  <w:t>☐</w:t>
                </w:r>
              </w:sdtContent>
            </w:sdt>
            <w:r w:rsidR="00A9737E" w:rsidRPr="00E33EFF">
              <w:t xml:space="preserve"> 32.1. iš esmės nesiskiria, lyginant su įprasta klinikine praktika</w:t>
            </w:r>
          </w:p>
        </w:tc>
        <w:tc>
          <w:tcPr>
            <w:tcW w:w="4814" w:type="dxa"/>
          </w:tcPr>
          <w:p w14:paraId="506DAF04" w14:textId="77777777" w:rsidR="00A9737E" w:rsidRPr="00E33EFF" w:rsidRDefault="00000000" w:rsidP="00D64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Content>
                <w:r w:rsidR="00A9737E" w:rsidRPr="00E33EFF">
                  <w:rPr>
                    <w:rStyle w:val="Style2"/>
                    <w:rFonts w:ascii="Segoe UI Symbol" w:eastAsia="MS Gothic" w:hAnsi="Segoe UI Symbol" w:cs="Segoe UI Symbol"/>
                    <w:sz w:val="24"/>
                  </w:rPr>
                  <w:t>☐</w:t>
                </w:r>
              </w:sdtContent>
            </w:sdt>
            <w:r w:rsidR="00A9737E" w:rsidRPr="00E33EFF">
              <w:t xml:space="preserve"> 33.1. yra mažesnis, lyginant su įprasta klinikine praktika</w:t>
            </w:r>
          </w:p>
          <w:p w14:paraId="1AE01E46" w14:textId="77777777" w:rsidR="00A9737E" w:rsidRPr="00E33EFF" w:rsidRDefault="00A9737E" w:rsidP="00D64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2F61389" w14:textId="77777777" w:rsidR="00A9737E" w:rsidRPr="00E33EFF" w:rsidRDefault="00000000" w:rsidP="00D64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Content>
                <w:r w:rsidR="00A9737E" w:rsidRPr="00E33EFF">
                  <w:rPr>
                    <w:rStyle w:val="Style2"/>
                    <w:rFonts w:ascii="Segoe UI Symbol" w:eastAsia="MS Gothic" w:hAnsi="Segoe UI Symbol" w:cs="Segoe UI Symbol"/>
                    <w:sz w:val="24"/>
                  </w:rPr>
                  <w:t>☐</w:t>
                </w:r>
              </w:sdtContent>
            </w:sdt>
            <w:r w:rsidR="00A9737E" w:rsidRPr="00E33EFF">
              <w:t xml:space="preserve"> 33.1. yra neįrodytas kaip toks pat, lyginant su įprasta klinikine praktika</w:t>
            </w:r>
          </w:p>
          <w:p w14:paraId="555839C6" w14:textId="77777777" w:rsidR="00A9737E" w:rsidRPr="00E33EFF" w:rsidRDefault="00A9737E" w:rsidP="00D64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4AD33F4" w14:textId="77777777" w:rsidR="00A9737E" w:rsidRPr="00E33EFF" w:rsidRDefault="00000000" w:rsidP="00D64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Content>
                <w:r w:rsidR="00A9737E" w:rsidRPr="00E33EFF">
                  <w:rPr>
                    <w:rStyle w:val="Style2"/>
                    <w:rFonts w:ascii="Segoe UI Symbol" w:eastAsia="MS Gothic" w:hAnsi="Segoe UI Symbol" w:cs="Segoe UI Symbol"/>
                    <w:sz w:val="24"/>
                  </w:rPr>
                  <w:t>☐</w:t>
                </w:r>
              </w:sdtContent>
            </w:sdt>
            <w:r w:rsidR="00A9737E" w:rsidRPr="00E33EFF">
              <w:t xml:space="preserve"> 33.1 yra neįrodytas kaip didesnis, lyginant su įprasta klinikine praktika</w:t>
            </w:r>
          </w:p>
          <w:p w14:paraId="73AED501" w14:textId="77777777" w:rsidR="00A9737E" w:rsidRPr="00E33EFF" w:rsidRDefault="00A9737E" w:rsidP="00D64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52E7E81" w14:textId="77777777" w:rsidR="00A9737E" w:rsidRPr="00E33EFF" w:rsidRDefault="00000000" w:rsidP="00D64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1"/>
                  <w14:checkedState w14:val="2612" w14:font="MS Gothic"/>
                  <w14:uncheckedState w14:val="2610" w14:font="MS Gothic"/>
                </w14:checkbox>
              </w:sdtPr>
              <w:sdtContent>
                <w:r w:rsidR="00A9737E">
                  <w:rPr>
                    <w:rStyle w:val="Style2"/>
                    <w:rFonts w:ascii="MS Gothic" w:eastAsia="MS Gothic" w:hAnsi="MS Gothic" w:hint="eastAsia"/>
                    <w:sz w:val="24"/>
                  </w:rPr>
                  <w:t>☒</w:t>
                </w:r>
              </w:sdtContent>
            </w:sdt>
            <w:r w:rsidR="00A9737E" w:rsidRPr="00E33EFF">
              <w:t xml:space="preserve"> 33.1. pateikti duomenys apie palyginamąjį efektyvumą yra netinkami vertinti</w:t>
            </w:r>
          </w:p>
          <w:p w14:paraId="33B7C6FF" w14:textId="77777777" w:rsidR="00A9737E" w:rsidRPr="00E33EFF" w:rsidRDefault="00A9737E" w:rsidP="00D64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A9737E" w:rsidRPr="00E33EFF" w14:paraId="5476876D" w14:textId="77777777" w:rsidTr="00D64998">
        <w:trPr>
          <w:trHeight w:val="510"/>
        </w:trPr>
        <w:tc>
          <w:tcPr>
            <w:tcW w:w="9629" w:type="dxa"/>
            <w:gridSpan w:val="2"/>
            <w:vAlign w:val="center"/>
          </w:tcPr>
          <w:p w14:paraId="137040E7" w14:textId="77777777" w:rsidR="00A9737E" w:rsidRPr="00E33EFF" w:rsidRDefault="00A9737E" w:rsidP="00D64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Klinikinis veiksmingumas</w:t>
            </w:r>
          </w:p>
        </w:tc>
      </w:tr>
      <w:tr w:rsidR="00A9737E" w:rsidRPr="00E33EFF" w14:paraId="36928E72" w14:textId="77777777" w:rsidTr="00D64998">
        <w:tc>
          <w:tcPr>
            <w:tcW w:w="4815" w:type="dxa"/>
          </w:tcPr>
          <w:p w14:paraId="62365290" w14:textId="77777777" w:rsidR="00A9737E" w:rsidRPr="00E33EFF" w:rsidRDefault="00000000" w:rsidP="00D64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0"/>
                  <w14:checkedState w14:val="2612" w14:font="MS Gothic"/>
                  <w14:uncheckedState w14:val="2610" w14:font="MS Gothic"/>
                </w14:checkbox>
              </w:sdtPr>
              <w:sdtContent>
                <w:r w:rsidR="00A9737E" w:rsidRPr="00E33EFF">
                  <w:rPr>
                    <w:rStyle w:val="Style2"/>
                    <w:rFonts w:ascii="Segoe UI Symbol" w:eastAsia="MS Gothic" w:hAnsi="Segoe UI Symbol" w:cs="Segoe UI Symbol"/>
                    <w:sz w:val="24"/>
                  </w:rPr>
                  <w:t>☐</w:t>
                </w:r>
              </w:sdtContent>
            </w:sdt>
            <w:r w:rsidR="00A9737E" w:rsidRPr="00E33EFF">
              <w:t xml:space="preserve"> 32.2. yra įvertintas kaip pagrindžiantis papildomos naudos pacientų sveikatai sukūrimą, lyginant su įprasta klinikine praktika</w:t>
            </w:r>
          </w:p>
          <w:p w14:paraId="590A42B7" w14:textId="77777777" w:rsidR="00A9737E" w:rsidRPr="00E33EFF" w:rsidRDefault="00A9737E" w:rsidP="00D64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9AE4F9A" w14:textId="77777777" w:rsidR="00A9737E" w:rsidRPr="00E33EFF" w:rsidRDefault="00000000" w:rsidP="00D64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0"/>
                  <w14:checkedState w14:val="2612" w14:font="MS Gothic"/>
                  <w14:uncheckedState w14:val="2610" w14:font="MS Gothic"/>
                </w14:checkbox>
              </w:sdtPr>
              <w:sdtContent>
                <w:r w:rsidR="00A9737E" w:rsidRPr="00E33EFF">
                  <w:rPr>
                    <w:rStyle w:val="Style2"/>
                    <w:rFonts w:ascii="Segoe UI Symbol" w:eastAsia="MS Gothic" w:hAnsi="Segoe UI Symbol" w:cs="Segoe UI Symbol"/>
                    <w:sz w:val="24"/>
                  </w:rPr>
                  <w:t>☐</w:t>
                </w:r>
              </w:sdtContent>
            </w:sdt>
            <w:r w:rsidR="00A9737E" w:rsidRPr="00E33EFF">
              <w:t xml:space="preserve"> 32.2. yra įvertintas kaip pagrindžiantis nesiskiriančios naudos pacientų sveikatai sukūrimą, lyginant su įprasta klinikine praktika</w:t>
            </w:r>
          </w:p>
          <w:p w14:paraId="2F30C114" w14:textId="77777777" w:rsidR="00A9737E" w:rsidRPr="00E33EFF" w:rsidRDefault="00A9737E" w:rsidP="00D64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7C6BF8F3" w14:textId="77777777" w:rsidR="00A9737E" w:rsidRPr="00E33EFF" w:rsidRDefault="00000000" w:rsidP="00D64998">
            <w:pPr>
              <w:jc w:val="both"/>
            </w:pPr>
            <w:sdt>
              <w:sdtPr>
                <w:rPr>
                  <w:rStyle w:val="Style2"/>
                  <w:sz w:val="24"/>
                </w:rPr>
                <w:id w:val="-1034573056"/>
                <w15:color w:val="FFCC00"/>
                <w14:checkbox>
                  <w14:checked w14:val="1"/>
                  <w14:checkedState w14:val="2612" w14:font="MS Gothic"/>
                  <w14:uncheckedState w14:val="2610" w14:font="MS Gothic"/>
                </w14:checkbox>
              </w:sdtPr>
              <w:sdtContent>
                <w:r w:rsidR="00A9737E">
                  <w:rPr>
                    <w:rStyle w:val="Style2"/>
                    <w:rFonts w:ascii="MS Gothic" w:eastAsia="MS Gothic" w:hAnsi="MS Gothic" w:hint="eastAsia"/>
                    <w:sz w:val="24"/>
                  </w:rPr>
                  <w:t>☒</w:t>
                </w:r>
              </w:sdtContent>
            </w:sdt>
            <w:r w:rsidR="00A9737E" w:rsidRPr="00E33EFF">
              <w:t xml:space="preserve"> 33.1. yra įvertintas kaip nepagrindžiantis papildomos naudos pacientų sveikatai sukūrimo, lyginant su  įprasta klinikine praktika</w:t>
            </w:r>
          </w:p>
          <w:p w14:paraId="553A7691" w14:textId="77777777" w:rsidR="00A9737E" w:rsidRPr="00E33EFF" w:rsidRDefault="00A9737E" w:rsidP="00D64998">
            <w:pPr>
              <w:jc w:val="both"/>
            </w:pPr>
          </w:p>
          <w:p w14:paraId="3EE36EEB" w14:textId="77777777" w:rsidR="00A9737E" w:rsidRPr="00E33EFF" w:rsidRDefault="00000000" w:rsidP="00D64998">
            <w:pPr>
              <w:jc w:val="both"/>
            </w:pPr>
            <w:sdt>
              <w:sdtPr>
                <w:rPr>
                  <w:rStyle w:val="Style2"/>
                  <w:sz w:val="24"/>
                </w:rPr>
                <w:id w:val="1289549109"/>
                <w15:color w:val="FFCC00"/>
                <w14:checkbox>
                  <w14:checked w14:val="0"/>
                  <w14:checkedState w14:val="2612" w14:font="MS Gothic"/>
                  <w14:uncheckedState w14:val="2610" w14:font="MS Gothic"/>
                </w14:checkbox>
              </w:sdtPr>
              <w:sdtContent>
                <w:r w:rsidR="00A9737E">
                  <w:rPr>
                    <w:rStyle w:val="Style2"/>
                    <w:rFonts w:ascii="MS Gothic" w:eastAsia="MS Gothic" w:hAnsi="MS Gothic" w:hint="eastAsia"/>
                    <w:sz w:val="24"/>
                  </w:rPr>
                  <w:t>☐</w:t>
                </w:r>
              </w:sdtContent>
            </w:sdt>
            <w:r w:rsidR="00A9737E" w:rsidRPr="00E33EFF">
              <w:t xml:space="preserve"> 33.1. yra įvertintas kaip nepagrindžiantis nesiskiriančios naudos pacientų sveikatai sukūrimo, lyginant su įprasta klinikine praktika</w:t>
            </w:r>
          </w:p>
          <w:p w14:paraId="362309D5" w14:textId="77777777" w:rsidR="00A9737E" w:rsidRPr="00E33EFF" w:rsidRDefault="00A9737E" w:rsidP="00D64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93D0FC2" w14:textId="77777777" w:rsidR="00A9737E" w:rsidRPr="00E33EFF" w:rsidRDefault="00A9737E" w:rsidP="00D64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A9737E" w:rsidRPr="00E33EFF" w14:paraId="64915DB2" w14:textId="77777777" w:rsidTr="00D64998">
        <w:trPr>
          <w:trHeight w:val="510"/>
        </w:trPr>
        <w:tc>
          <w:tcPr>
            <w:tcW w:w="9629" w:type="dxa"/>
            <w:gridSpan w:val="2"/>
            <w:vAlign w:val="center"/>
          </w:tcPr>
          <w:p w14:paraId="2F6F86C1" w14:textId="77777777" w:rsidR="00A9737E" w:rsidRPr="00E33EFF" w:rsidRDefault="00A9737E" w:rsidP="00D64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Kaštų naudingumas</w:t>
            </w:r>
          </w:p>
        </w:tc>
      </w:tr>
      <w:tr w:rsidR="00A9737E" w:rsidRPr="00E33EFF" w14:paraId="5779BA42" w14:textId="77777777" w:rsidTr="00D64998">
        <w:tc>
          <w:tcPr>
            <w:tcW w:w="4815" w:type="dxa"/>
          </w:tcPr>
          <w:p w14:paraId="37C46FB9" w14:textId="77777777" w:rsidR="00A9737E" w:rsidRPr="00E33EFF" w:rsidRDefault="00000000" w:rsidP="00D64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Content>
                <w:r w:rsidR="00A9737E" w:rsidRPr="00E33EFF">
                  <w:rPr>
                    <w:rStyle w:val="Style2"/>
                    <w:rFonts w:ascii="MS Gothic" w:eastAsia="MS Gothic" w:hAnsi="MS Gothic" w:hint="eastAsia"/>
                    <w:sz w:val="24"/>
                  </w:rPr>
                  <w:t>☐</w:t>
                </w:r>
              </w:sdtContent>
            </w:sdt>
            <w:r w:rsidR="00A9737E" w:rsidRPr="00E33EFF">
              <w:t xml:space="preserve"> 32.3. atitinka referencinę naudingumo vertę, &lt;taikant PGS&gt; &lt;netaikant PGS&gt;</w:t>
            </w:r>
          </w:p>
          <w:p w14:paraId="05FEE1EE" w14:textId="77777777" w:rsidR="00A9737E" w:rsidRPr="00E33EFF" w:rsidRDefault="00A9737E" w:rsidP="00D64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2E1326" w14:textId="77777777" w:rsidR="00A9737E" w:rsidRPr="00E33EFF" w:rsidRDefault="00000000" w:rsidP="00D64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308081728"/>
                <w15:color w:val="FFCC00"/>
                <w14:checkbox>
                  <w14:checked w14:val="0"/>
                  <w14:checkedState w14:val="2612" w14:font="MS Gothic"/>
                  <w14:uncheckedState w14:val="2610" w14:font="MS Gothic"/>
                </w14:checkbox>
              </w:sdtPr>
              <w:sdtContent>
                <w:r w:rsidR="00A9737E" w:rsidRPr="00E33EFF">
                  <w:rPr>
                    <w:rStyle w:val="Style2"/>
                    <w:rFonts w:ascii="Segoe UI Symbol" w:eastAsia="MS Gothic" w:hAnsi="Segoe UI Symbol" w:cs="Segoe UI Symbol"/>
                    <w:sz w:val="24"/>
                  </w:rPr>
                  <w:t>☐</w:t>
                </w:r>
              </w:sdtContent>
            </w:sdt>
            <w:r w:rsidR="00A9737E" w:rsidRPr="00E33EFF">
              <w:t xml:space="preserve"> 32.3. gydymo juo kaštai yra mažesni ar tokie patys esant iš esmės nesiskiriančiam palyginamajam efektyvumui, &lt;taikant PGS&gt; &lt;netaikant PGS&gt;, lyginant su įprasta klinikine praktika</w:t>
            </w:r>
          </w:p>
          <w:p w14:paraId="68A1484F" w14:textId="77777777" w:rsidR="00A9737E" w:rsidRPr="00E33EFF" w:rsidRDefault="00A9737E" w:rsidP="00D64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0E5FDEB0" w14:textId="77777777" w:rsidR="00A9737E" w:rsidRPr="00E33EFF" w:rsidRDefault="00000000" w:rsidP="00D64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Content>
                <w:r w:rsidR="00A9737E" w:rsidRPr="00E33EFF">
                  <w:rPr>
                    <w:rStyle w:val="Style2"/>
                    <w:rFonts w:ascii="Segoe UI Symbol" w:eastAsia="MS Gothic" w:hAnsi="Segoe UI Symbol" w:cs="Segoe UI Symbol"/>
                    <w:sz w:val="24"/>
                  </w:rPr>
                  <w:t>☐</w:t>
                </w:r>
              </w:sdtContent>
            </w:sdt>
            <w:r w:rsidR="00A9737E" w:rsidRPr="00E33EFF">
              <w:t xml:space="preserve"> 33.3. neatitinka referencinės naudingumo vertės Lietuvos Respublikoje</w:t>
            </w:r>
          </w:p>
          <w:p w14:paraId="0EEEAD34" w14:textId="77777777" w:rsidR="00A9737E" w:rsidRPr="00E33EFF" w:rsidRDefault="00A9737E" w:rsidP="00D64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5775E42" w14:textId="77777777" w:rsidR="00A9737E" w:rsidRPr="00E33EFF" w:rsidRDefault="00000000" w:rsidP="00D64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0"/>
                  <w14:checkedState w14:val="2612" w14:font="MS Gothic"/>
                  <w14:uncheckedState w14:val="2610" w14:font="MS Gothic"/>
                </w14:checkbox>
              </w:sdtPr>
              <w:sdtContent>
                <w:r w:rsidR="00A9737E" w:rsidRPr="00E33EFF">
                  <w:rPr>
                    <w:rStyle w:val="Style2"/>
                    <w:rFonts w:ascii="Segoe UI Symbol" w:eastAsia="MS Gothic" w:hAnsi="Segoe UI Symbol" w:cs="Segoe UI Symbol"/>
                    <w:sz w:val="24"/>
                  </w:rPr>
                  <w:t>☐</w:t>
                </w:r>
              </w:sdtContent>
            </w:sdt>
            <w:r w:rsidR="00A9737E" w:rsidRPr="00E33EFF">
              <w:t xml:space="preserve"> 33.3. gydymo juo kaštai yra didesni esant iš esmės nesiskiriančiam palyginamajam efektyvumui, &lt;taikant PGS&gt; &lt;netaikant PGS&gt;, lyginant su įprasta klinikine praktika</w:t>
            </w:r>
          </w:p>
          <w:p w14:paraId="7F67F6EB" w14:textId="77777777" w:rsidR="00A9737E" w:rsidRPr="00E33EFF" w:rsidRDefault="00A9737E" w:rsidP="00D64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278999E" w14:textId="77777777" w:rsidR="00A9737E" w:rsidRPr="00E33EFF" w:rsidRDefault="00000000" w:rsidP="00D64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1"/>
                  <w14:checkedState w14:val="2612" w14:font="MS Gothic"/>
                  <w14:uncheckedState w14:val="2610" w14:font="MS Gothic"/>
                </w14:checkbox>
              </w:sdtPr>
              <w:sdtContent>
                <w:r w:rsidR="00A9737E">
                  <w:rPr>
                    <w:rStyle w:val="Style2"/>
                    <w:rFonts w:ascii="MS Gothic" w:eastAsia="MS Gothic" w:hAnsi="MS Gothic" w:hint="eastAsia"/>
                    <w:sz w:val="24"/>
                  </w:rPr>
                  <w:t>☒</w:t>
                </w:r>
              </w:sdtContent>
            </w:sdt>
            <w:r w:rsidR="00A9737E" w:rsidRPr="00E33EFF">
              <w:t xml:space="preserve"> 33.3. pateikti duomenys apie kaštų naudingumą yra netinkami vertinti</w:t>
            </w:r>
          </w:p>
          <w:p w14:paraId="77AA332A" w14:textId="77777777" w:rsidR="00A9737E" w:rsidRPr="00E33EFF" w:rsidRDefault="00A9737E" w:rsidP="00D64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73EB544F" w14:textId="77777777" w:rsidR="00A9737E" w:rsidRPr="00E33EFF" w:rsidRDefault="00A9737E" w:rsidP="00A9737E"/>
    <w:p w14:paraId="260E4ED7" w14:textId="77777777" w:rsidR="00A9737E" w:rsidRPr="00E33EFF" w:rsidRDefault="00A9737E" w:rsidP="00A9737E">
      <w:pPr>
        <w:pStyle w:val="Sraopastraipa"/>
        <w:numPr>
          <w:ilvl w:val="0"/>
          <w:numId w:val="12"/>
        </w:numPr>
        <w:ind w:left="567" w:hanging="567"/>
      </w:pPr>
      <w:r w:rsidRPr="00E33EFF">
        <w:rPr>
          <w:b/>
        </w:rPr>
        <w:t>REKOMENDACIJA</w:t>
      </w:r>
    </w:p>
    <w:p w14:paraId="0DF3566A" w14:textId="77777777" w:rsidR="00A9737E" w:rsidRPr="00E33EFF" w:rsidRDefault="00A9737E" w:rsidP="00A9737E">
      <w:pPr>
        <w:pStyle w:val="Sraopastraipa"/>
        <w:ind w:left="426"/>
      </w:pPr>
    </w:p>
    <w:p w14:paraId="4B46DED9" w14:textId="77777777" w:rsidR="00A9737E" w:rsidRPr="00385777" w:rsidRDefault="00A9737E" w:rsidP="00A9737E">
      <w:pPr>
        <w:spacing w:line="276" w:lineRule="auto"/>
        <w:ind w:firstLine="360"/>
        <w:jc w:val="both"/>
      </w:pPr>
      <w:r w:rsidRPr="00385777">
        <w:t>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w:t>
      </w:r>
      <w:r>
        <w:t xml:space="preserve"> </w:t>
      </w:r>
      <w:r w:rsidRPr="00385777">
        <w:t xml:space="preserve">34.4. rekomenduojama </w:t>
      </w:r>
      <w:r w:rsidRPr="00385777">
        <w:rPr>
          <w:i/>
        </w:rPr>
        <w:t xml:space="preserve">nekompensuoti </w:t>
      </w:r>
      <w:r w:rsidRPr="00385777">
        <w:t>vaistinio preparato pagal paraiškoje nurodytą indikaciją be skyrimo sąlygų dėl vertinimo išvadų, nurodytų 33.1 ir  33.3 papunkčiuose (žr. 6 skyrių),  neatitikties.</w:t>
      </w:r>
    </w:p>
    <w:p w14:paraId="78E00977" w14:textId="77777777" w:rsidR="00A9737E" w:rsidRPr="00E33EFF" w:rsidRDefault="00A9737E" w:rsidP="00A9737E"/>
    <w:p w14:paraId="45D803E1" w14:textId="77777777" w:rsidR="00A9737E" w:rsidRPr="000723FF" w:rsidRDefault="00A9737E" w:rsidP="00A9737E">
      <w:pPr>
        <w:rPr>
          <w:b/>
        </w:rPr>
      </w:pPr>
    </w:p>
    <w:p w14:paraId="25F89291" w14:textId="5C45C8FC" w:rsidR="00D4485B" w:rsidRPr="00E33EFF" w:rsidRDefault="00D4485B" w:rsidP="00A93AA6">
      <w:pPr>
        <w:pStyle w:val="Sraopastraipa"/>
        <w:tabs>
          <w:tab w:val="left" w:pos="426"/>
        </w:tabs>
        <w:ind w:left="0"/>
        <w:rPr>
          <w:b/>
          <w:bCs/>
          <w:caps/>
        </w:rPr>
      </w:pPr>
    </w:p>
    <w:sectPr w:rsidR="00D4485B" w:rsidRPr="00E33EFF" w:rsidSect="00F73818">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436443" w14:textId="77777777" w:rsidR="00D1130E" w:rsidRDefault="00D1130E">
      <w:r>
        <w:separator/>
      </w:r>
    </w:p>
  </w:endnote>
  <w:endnote w:type="continuationSeparator" w:id="0">
    <w:p w14:paraId="50F4A5A9" w14:textId="77777777" w:rsidR="00D1130E" w:rsidRDefault="00D11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NewRoman">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C838DB" w14:textId="77777777" w:rsidR="00D1130E" w:rsidRDefault="00D1130E">
      <w:r>
        <w:separator/>
      </w:r>
    </w:p>
  </w:footnote>
  <w:footnote w:type="continuationSeparator" w:id="0">
    <w:p w14:paraId="4948413F" w14:textId="77777777" w:rsidR="00D1130E" w:rsidRDefault="00D11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86FB2" w14:textId="777777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81DB01" w14:textId="77777777" w:rsidR="00347FAA"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BD5F9" w14:textId="4A193445"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767D7">
      <w:rPr>
        <w:rStyle w:val="Puslapionumeris"/>
        <w:noProof/>
      </w:rPr>
      <w:t>6</w:t>
    </w:r>
    <w:r>
      <w:rPr>
        <w:rStyle w:val="Puslapionumeris"/>
      </w:rPr>
      <w:fldChar w:fldCharType="end"/>
    </w:r>
  </w:p>
  <w:p w14:paraId="13EC872E" w14:textId="77777777" w:rsidR="00347FAA"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6"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21053695">
    <w:abstractNumId w:val="6"/>
  </w:num>
  <w:num w:numId="2" w16cid:durableId="54398957">
    <w:abstractNumId w:val="1"/>
  </w:num>
  <w:num w:numId="3" w16cid:durableId="889415506">
    <w:abstractNumId w:val="8"/>
  </w:num>
  <w:num w:numId="4" w16cid:durableId="1251737789">
    <w:abstractNumId w:val="7"/>
  </w:num>
  <w:num w:numId="5" w16cid:durableId="973825990">
    <w:abstractNumId w:val="5"/>
  </w:num>
  <w:num w:numId="6" w16cid:durableId="776406080">
    <w:abstractNumId w:val="4"/>
  </w:num>
  <w:num w:numId="7" w16cid:durableId="1123111278">
    <w:abstractNumId w:val="3"/>
  </w:num>
  <w:num w:numId="8" w16cid:durableId="160589177">
    <w:abstractNumId w:val="11"/>
  </w:num>
  <w:num w:numId="9" w16cid:durableId="510219883">
    <w:abstractNumId w:val="0"/>
  </w:num>
  <w:num w:numId="10" w16cid:durableId="2057122462">
    <w:abstractNumId w:val="9"/>
  </w:num>
  <w:num w:numId="11" w16cid:durableId="1576082927">
    <w:abstractNumId w:val="10"/>
  </w:num>
  <w:num w:numId="12" w16cid:durableId="1066569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686C"/>
    <w:rsid w:val="00031D0E"/>
    <w:rsid w:val="000337E6"/>
    <w:rsid w:val="0003402E"/>
    <w:rsid w:val="00034EAE"/>
    <w:rsid w:val="00042924"/>
    <w:rsid w:val="00053975"/>
    <w:rsid w:val="00057A2B"/>
    <w:rsid w:val="000606BE"/>
    <w:rsid w:val="000723FF"/>
    <w:rsid w:val="000736B8"/>
    <w:rsid w:val="0008190F"/>
    <w:rsid w:val="00081D9C"/>
    <w:rsid w:val="00082907"/>
    <w:rsid w:val="0008378D"/>
    <w:rsid w:val="000908A5"/>
    <w:rsid w:val="00092805"/>
    <w:rsid w:val="000C454C"/>
    <w:rsid w:val="000D5038"/>
    <w:rsid w:val="000E29D4"/>
    <w:rsid w:val="000F3540"/>
    <w:rsid w:val="00100491"/>
    <w:rsid w:val="00104E2E"/>
    <w:rsid w:val="00107287"/>
    <w:rsid w:val="00117406"/>
    <w:rsid w:val="00121EF0"/>
    <w:rsid w:val="00124A9E"/>
    <w:rsid w:val="00130703"/>
    <w:rsid w:val="0013153F"/>
    <w:rsid w:val="001408B8"/>
    <w:rsid w:val="001517E2"/>
    <w:rsid w:val="001521D9"/>
    <w:rsid w:val="001554E2"/>
    <w:rsid w:val="00164146"/>
    <w:rsid w:val="0017369C"/>
    <w:rsid w:val="00175D57"/>
    <w:rsid w:val="00180C39"/>
    <w:rsid w:val="00180D96"/>
    <w:rsid w:val="00184BD3"/>
    <w:rsid w:val="001921F3"/>
    <w:rsid w:val="001B3C5B"/>
    <w:rsid w:val="001C357B"/>
    <w:rsid w:val="001D746F"/>
    <w:rsid w:val="001E4BBB"/>
    <w:rsid w:val="001E6304"/>
    <w:rsid w:val="0020381E"/>
    <w:rsid w:val="00213471"/>
    <w:rsid w:val="00215906"/>
    <w:rsid w:val="00241CD8"/>
    <w:rsid w:val="00244B09"/>
    <w:rsid w:val="002519CB"/>
    <w:rsid w:val="0025697F"/>
    <w:rsid w:val="00260258"/>
    <w:rsid w:val="0026588E"/>
    <w:rsid w:val="00272428"/>
    <w:rsid w:val="00272948"/>
    <w:rsid w:val="00292392"/>
    <w:rsid w:val="002946C7"/>
    <w:rsid w:val="002B3CC1"/>
    <w:rsid w:val="002C09E0"/>
    <w:rsid w:val="002C1BB1"/>
    <w:rsid w:val="002C2786"/>
    <w:rsid w:val="002C3A10"/>
    <w:rsid w:val="002C4A90"/>
    <w:rsid w:val="002C4ED5"/>
    <w:rsid w:val="002D02EF"/>
    <w:rsid w:val="002E0702"/>
    <w:rsid w:val="002E4D07"/>
    <w:rsid w:val="002E57AD"/>
    <w:rsid w:val="002E6F80"/>
    <w:rsid w:val="002F0509"/>
    <w:rsid w:val="002F0E4F"/>
    <w:rsid w:val="002F1053"/>
    <w:rsid w:val="00317B0E"/>
    <w:rsid w:val="003209CE"/>
    <w:rsid w:val="00347FAA"/>
    <w:rsid w:val="0035172D"/>
    <w:rsid w:val="0036187D"/>
    <w:rsid w:val="0036379E"/>
    <w:rsid w:val="00367EDB"/>
    <w:rsid w:val="00381024"/>
    <w:rsid w:val="00386307"/>
    <w:rsid w:val="003874DE"/>
    <w:rsid w:val="00393E9F"/>
    <w:rsid w:val="0039696E"/>
    <w:rsid w:val="003B211A"/>
    <w:rsid w:val="003C141F"/>
    <w:rsid w:val="003C6B0E"/>
    <w:rsid w:val="003C7257"/>
    <w:rsid w:val="003C7E35"/>
    <w:rsid w:val="003D1877"/>
    <w:rsid w:val="003D1E99"/>
    <w:rsid w:val="003D6208"/>
    <w:rsid w:val="00404E8A"/>
    <w:rsid w:val="0040622F"/>
    <w:rsid w:val="00413F24"/>
    <w:rsid w:val="00422853"/>
    <w:rsid w:val="00423160"/>
    <w:rsid w:val="00453862"/>
    <w:rsid w:val="0045469B"/>
    <w:rsid w:val="00461338"/>
    <w:rsid w:val="004677DB"/>
    <w:rsid w:val="0047414A"/>
    <w:rsid w:val="00476256"/>
    <w:rsid w:val="0048630F"/>
    <w:rsid w:val="004947A1"/>
    <w:rsid w:val="0049482A"/>
    <w:rsid w:val="004979D3"/>
    <w:rsid w:val="004A00E7"/>
    <w:rsid w:val="004A3A61"/>
    <w:rsid w:val="004B205D"/>
    <w:rsid w:val="004B59BA"/>
    <w:rsid w:val="004B5A03"/>
    <w:rsid w:val="004C263A"/>
    <w:rsid w:val="004D48A6"/>
    <w:rsid w:val="004D7B8F"/>
    <w:rsid w:val="004E4527"/>
    <w:rsid w:val="004E6458"/>
    <w:rsid w:val="004E6E7D"/>
    <w:rsid w:val="004F1AAC"/>
    <w:rsid w:val="004F1AE2"/>
    <w:rsid w:val="004F34F0"/>
    <w:rsid w:val="004F3B2B"/>
    <w:rsid w:val="004F6050"/>
    <w:rsid w:val="005005EF"/>
    <w:rsid w:val="005123C2"/>
    <w:rsid w:val="0052144B"/>
    <w:rsid w:val="00524066"/>
    <w:rsid w:val="00534E11"/>
    <w:rsid w:val="005378D8"/>
    <w:rsid w:val="005400D9"/>
    <w:rsid w:val="005476A4"/>
    <w:rsid w:val="0055019B"/>
    <w:rsid w:val="00556E63"/>
    <w:rsid w:val="005601A4"/>
    <w:rsid w:val="00566DBB"/>
    <w:rsid w:val="00574F56"/>
    <w:rsid w:val="005767DB"/>
    <w:rsid w:val="005815E6"/>
    <w:rsid w:val="0058712F"/>
    <w:rsid w:val="00593535"/>
    <w:rsid w:val="005976CE"/>
    <w:rsid w:val="005A23D4"/>
    <w:rsid w:val="005A2D1E"/>
    <w:rsid w:val="005B3756"/>
    <w:rsid w:val="005B5959"/>
    <w:rsid w:val="005C493F"/>
    <w:rsid w:val="005C6BF7"/>
    <w:rsid w:val="005C71BF"/>
    <w:rsid w:val="005D002C"/>
    <w:rsid w:val="005D30E1"/>
    <w:rsid w:val="005D6555"/>
    <w:rsid w:val="005D7BDF"/>
    <w:rsid w:val="005E4870"/>
    <w:rsid w:val="005F71D9"/>
    <w:rsid w:val="005F7602"/>
    <w:rsid w:val="006031C8"/>
    <w:rsid w:val="006062BE"/>
    <w:rsid w:val="00613143"/>
    <w:rsid w:val="00613501"/>
    <w:rsid w:val="0061611B"/>
    <w:rsid w:val="006166A8"/>
    <w:rsid w:val="006174A1"/>
    <w:rsid w:val="00621D6C"/>
    <w:rsid w:val="00633B49"/>
    <w:rsid w:val="0064297F"/>
    <w:rsid w:val="00645102"/>
    <w:rsid w:val="00646CF3"/>
    <w:rsid w:val="00653D11"/>
    <w:rsid w:val="00662983"/>
    <w:rsid w:val="006834D3"/>
    <w:rsid w:val="006906E0"/>
    <w:rsid w:val="00692625"/>
    <w:rsid w:val="00695CD3"/>
    <w:rsid w:val="006A38B6"/>
    <w:rsid w:val="006B1987"/>
    <w:rsid w:val="006B5B71"/>
    <w:rsid w:val="006B6CB0"/>
    <w:rsid w:val="006C0296"/>
    <w:rsid w:val="006C2B64"/>
    <w:rsid w:val="006D4C85"/>
    <w:rsid w:val="006D66AC"/>
    <w:rsid w:val="006E33F6"/>
    <w:rsid w:val="006F1251"/>
    <w:rsid w:val="006F1C23"/>
    <w:rsid w:val="00702C18"/>
    <w:rsid w:val="00703166"/>
    <w:rsid w:val="007127F3"/>
    <w:rsid w:val="00712BE3"/>
    <w:rsid w:val="007301CF"/>
    <w:rsid w:val="007316FB"/>
    <w:rsid w:val="007374D0"/>
    <w:rsid w:val="00737E2D"/>
    <w:rsid w:val="007424D5"/>
    <w:rsid w:val="00750A88"/>
    <w:rsid w:val="007523DD"/>
    <w:rsid w:val="00757B7E"/>
    <w:rsid w:val="007656B2"/>
    <w:rsid w:val="0077016F"/>
    <w:rsid w:val="007713AD"/>
    <w:rsid w:val="00795DC5"/>
    <w:rsid w:val="00797153"/>
    <w:rsid w:val="007A21F7"/>
    <w:rsid w:val="007A2B68"/>
    <w:rsid w:val="007B0DDA"/>
    <w:rsid w:val="007C7519"/>
    <w:rsid w:val="007C788D"/>
    <w:rsid w:val="007D3347"/>
    <w:rsid w:val="007E5466"/>
    <w:rsid w:val="007F1949"/>
    <w:rsid w:val="007F2592"/>
    <w:rsid w:val="00800A08"/>
    <w:rsid w:val="00813373"/>
    <w:rsid w:val="00817A84"/>
    <w:rsid w:val="008225A4"/>
    <w:rsid w:val="00824B92"/>
    <w:rsid w:val="00826D5E"/>
    <w:rsid w:val="00832013"/>
    <w:rsid w:val="00832DB7"/>
    <w:rsid w:val="00834732"/>
    <w:rsid w:val="00851284"/>
    <w:rsid w:val="0085200C"/>
    <w:rsid w:val="00857C52"/>
    <w:rsid w:val="00860D5F"/>
    <w:rsid w:val="00880A44"/>
    <w:rsid w:val="0088345E"/>
    <w:rsid w:val="0088656F"/>
    <w:rsid w:val="00891EF6"/>
    <w:rsid w:val="008A0303"/>
    <w:rsid w:val="008A5FDD"/>
    <w:rsid w:val="008C3947"/>
    <w:rsid w:val="008E473B"/>
    <w:rsid w:val="008E51A6"/>
    <w:rsid w:val="008E7329"/>
    <w:rsid w:val="008F2ED5"/>
    <w:rsid w:val="0092297E"/>
    <w:rsid w:val="00923651"/>
    <w:rsid w:val="00927B56"/>
    <w:rsid w:val="009341BF"/>
    <w:rsid w:val="00937907"/>
    <w:rsid w:val="00941739"/>
    <w:rsid w:val="00943E06"/>
    <w:rsid w:val="00951573"/>
    <w:rsid w:val="00963003"/>
    <w:rsid w:val="00966EEF"/>
    <w:rsid w:val="00971240"/>
    <w:rsid w:val="00971B28"/>
    <w:rsid w:val="00983471"/>
    <w:rsid w:val="009909AB"/>
    <w:rsid w:val="009B37DB"/>
    <w:rsid w:val="009C7A8C"/>
    <w:rsid w:val="009D23F9"/>
    <w:rsid w:val="009D4FA8"/>
    <w:rsid w:val="009E44AE"/>
    <w:rsid w:val="009E6CD6"/>
    <w:rsid w:val="009E7FFD"/>
    <w:rsid w:val="009F4D66"/>
    <w:rsid w:val="00A00C3C"/>
    <w:rsid w:val="00A01091"/>
    <w:rsid w:val="00A042B9"/>
    <w:rsid w:val="00A06DBB"/>
    <w:rsid w:val="00A22ADF"/>
    <w:rsid w:val="00A31E86"/>
    <w:rsid w:val="00A54D87"/>
    <w:rsid w:val="00A5553C"/>
    <w:rsid w:val="00A6547D"/>
    <w:rsid w:val="00A701C9"/>
    <w:rsid w:val="00A81785"/>
    <w:rsid w:val="00A84803"/>
    <w:rsid w:val="00A84C51"/>
    <w:rsid w:val="00A86F2B"/>
    <w:rsid w:val="00A91366"/>
    <w:rsid w:val="00A93AA6"/>
    <w:rsid w:val="00A9737E"/>
    <w:rsid w:val="00AA4E48"/>
    <w:rsid w:val="00AA6202"/>
    <w:rsid w:val="00AA7B57"/>
    <w:rsid w:val="00AC26FC"/>
    <w:rsid w:val="00AC4A99"/>
    <w:rsid w:val="00AC64D2"/>
    <w:rsid w:val="00AD02E7"/>
    <w:rsid w:val="00AE0FE8"/>
    <w:rsid w:val="00AE1322"/>
    <w:rsid w:val="00AF60D5"/>
    <w:rsid w:val="00B00959"/>
    <w:rsid w:val="00B00A46"/>
    <w:rsid w:val="00B04415"/>
    <w:rsid w:val="00B06509"/>
    <w:rsid w:val="00B11D60"/>
    <w:rsid w:val="00B13D65"/>
    <w:rsid w:val="00B21805"/>
    <w:rsid w:val="00B3072E"/>
    <w:rsid w:val="00B36E15"/>
    <w:rsid w:val="00B37245"/>
    <w:rsid w:val="00B4017A"/>
    <w:rsid w:val="00B4468D"/>
    <w:rsid w:val="00B5199B"/>
    <w:rsid w:val="00B71C72"/>
    <w:rsid w:val="00B767D7"/>
    <w:rsid w:val="00B81E92"/>
    <w:rsid w:val="00B908D7"/>
    <w:rsid w:val="00B915AB"/>
    <w:rsid w:val="00B935E8"/>
    <w:rsid w:val="00B93B30"/>
    <w:rsid w:val="00B94CB5"/>
    <w:rsid w:val="00BA0DD9"/>
    <w:rsid w:val="00BA5DBC"/>
    <w:rsid w:val="00BB6312"/>
    <w:rsid w:val="00BC4D06"/>
    <w:rsid w:val="00BD585E"/>
    <w:rsid w:val="00BD6919"/>
    <w:rsid w:val="00BE1EA7"/>
    <w:rsid w:val="00BE7489"/>
    <w:rsid w:val="00BF2E0D"/>
    <w:rsid w:val="00BF3927"/>
    <w:rsid w:val="00BF3F8B"/>
    <w:rsid w:val="00BF76DA"/>
    <w:rsid w:val="00C07C7B"/>
    <w:rsid w:val="00C16245"/>
    <w:rsid w:val="00C22DC5"/>
    <w:rsid w:val="00C24479"/>
    <w:rsid w:val="00C273F2"/>
    <w:rsid w:val="00C37B53"/>
    <w:rsid w:val="00C517D2"/>
    <w:rsid w:val="00C5772E"/>
    <w:rsid w:val="00C62B36"/>
    <w:rsid w:val="00C7012C"/>
    <w:rsid w:val="00C712EA"/>
    <w:rsid w:val="00CA217D"/>
    <w:rsid w:val="00CC09D4"/>
    <w:rsid w:val="00CC668D"/>
    <w:rsid w:val="00CC7832"/>
    <w:rsid w:val="00CF0C1C"/>
    <w:rsid w:val="00CF27FD"/>
    <w:rsid w:val="00CF5F12"/>
    <w:rsid w:val="00D00D8F"/>
    <w:rsid w:val="00D1130E"/>
    <w:rsid w:val="00D21F3A"/>
    <w:rsid w:val="00D23808"/>
    <w:rsid w:val="00D3016A"/>
    <w:rsid w:val="00D30D1E"/>
    <w:rsid w:val="00D34394"/>
    <w:rsid w:val="00D417D2"/>
    <w:rsid w:val="00D42960"/>
    <w:rsid w:val="00D43BD7"/>
    <w:rsid w:val="00D4485B"/>
    <w:rsid w:val="00D4708D"/>
    <w:rsid w:val="00D4744C"/>
    <w:rsid w:val="00D521DE"/>
    <w:rsid w:val="00D5470B"/>
    <w:rsid w:val="00D63068"/>
    <w:rsid w:val="00D6498C"/>
    <w:rsid w:val="00D76A70"/>
    <w:rsid w:val="00D83182"/>
    <w:rsid w:val="00D8521E"/>
    <w:rsid w:val="00D9291C"/>
    <w:rsid w:val="00D93A97"/>
    <w:rsid w:val="00DB1F64"/>
    <w:rsid w:val="00DC2F53"/>
    <w:rsid w:val="00DC5BAC"/>
    <w:rsid w:val="00DC6816"/>
    <w:rsid w:val="00DC76C2"/>
    <w:rsid w:val="00DD1CF2"/>
    <w:rsid w:val="00DE4484"/>
    <w:rsid w:val="00DF41B7"/>
    <w:rsid w:val="00DF4A4A"/>
    <w:rsid w:val="00DF583C"/>
    <w:rsid w:val="00E03C3F"/>
    <w:rsid w:val="00E06FD7"/>
    <w:rsid w:val="00E07417"/>
    <w:rsid w:val="00E221E0"/>
    <w:rsid w:val="00E228E8"/>
    <w:rsid w:val="00E24D45"/>
    <w:rsid w:val="00E33DB8"/>
    <w:rsid w:val="00E33EFF"/>
    <w:rsid w:val="00E34387"/>
    <w:rsid w:val="00E348BA"/>
    <w:rsid w:val="00E369FE"/>
    <w:rsid w:val="00E37C6F"/>
    <w:rsid w:val="00E475F8"/>
    <w:rsid w:val="00E5102E"/>
    <w:rsid w:val="00E5721C"/>
    <w:rsid w:val="00E619C6"/>
    <w:rsid w:val="00E67569"/>
    <w:rsid w:val="00E745A1"/>
    <w:rsid w:val="00E81529"/>
    <w:rsid w:val="00E83A13"/>
    <w:rsid w:val="00EB6FC5"/>
    <w:rsid w:val="00EC2356"/>
    <w:rsid w:val="00EC2582"/>
    <w:rsid w:val="00EC337C"/>
    <w:rsid w:val="00ED0CFF"/>
    <w:rsid w:val="00ED31D2"/>
    <w:rsid w:val="00EE0EAC"/>
    <w:rsid w:val="00EE3322"/>
    <w:rsid w:val="00EE33CB"/>
    <w:rsid w:val="00F0061A"/>
    <w:rsid w:val="00F02834"/>
    <w:rsid w:val="00F04EEB"/>
    <w:rsid w:val="00F05467"/>
    <w:rsid w:val="00F055D2"/>
    <w:rsid w:val="00F07CD7"/>
    <w:rsid w:val="00F127E9"/>
    <w:rsid w:val="00F14B5D"/>
    <w:rsid w:val="00F16469"/>
    <w:rsid w:val="00F259FC"/>
    <w:rsid w:val="00F36972"/>
    <w:rsid w:val="00F42426"/>
    <w:rsid w:val="00F456BC"/>
    <w:rsid w:val="00F4763C"/>
    <w:rsid w:val="00F50666"/>
    <w:rsid w:val="00F70C9E"/>
    <w:rsid w:val="00F73818"/>
    <w:rsid w:val="00F74A74"/>
    <w:rsid w:val="00F7572C"/>
    <w:rsid w:val="00F8382C"/>
    <w:rsid w:val="00F855D7"/>
    <w:rsid w:val="00F92035"/>
    <w:rsid w:val="00F92748"/>
    <w:rsid w:val="00FA4169"/>
    <w:rsid w:val="00FB0D41"/>
    <w:rsid w:val="00FB2030"/>
    <w:rsid w:val="00FD0E46"/>
    <w:rsid w:val="00FD1CF2"/>
    <w:rsid w:val="00FD3EDF"/>
    <w:rsid w:val="00FD793C"/>
    <w:rsid w:val="00FE0FD5"/>
    <w:rsid w:val="00FE20E6"/>
    <w:rsid w:val="00FE3E3B"/>
    <w:rsid w:val="00FE69D7"/>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aliases w:val="Summary box,Dossier Table,Dossier table,Section 3- footnotes,Legemiddelverket 3"/>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Summary Bullets,Bullet 1,Bullet1,Bullet List,Section 5,List Paragraph CCT minutes,Table Legend,Bullets Points,Use Case List Paragraph,List Paragraph1,Body Bullet,Table Number Paragraph,Colorful List - Accent 11,List Paragraph 1,Ref,B1"/>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character" w:customStyle="1" w:styleId="SraopastraipaDiagrama">
    <w:name w:val="Sąrašo pastraipa Diagrama"/>
    <w:aliases w:val="Summary Bullets Diagrama,Bullet 1 Diagrama,Bullet1 Diagrama,Bullet List Diagrama,Section 5 Diagrama,List Paragraph CCT minutes Diagrama,Table Legend Diagrama,Bullets Points Diagrama,Use Case List Paragraph Diagrama,Ref Diagrama"/>
    <w:basedOn w:val="Numatytasispastraiposriftas"/>
    <w:link w:val="Sraopastraipa"/>
    <w:uiPriority w:val="34"/>
    <w:rsid w:val="003D187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8C2A7-3274-4803-AE4C-CEE002373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10579</Words>
  <Characters>6031</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16577</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2024-07-22T10:20:00Z</dcterms:created>
  <dcterms:modified xsi:type="dcterms:W3CDTF">2024-07-22T15:09:00Z</dcterms:modified>
</cp:coreProperties>
</file>