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7F7DF59E" w14:textId="77777777" w:rsidR="0063234F" w:rsidRPr="00BC57EB" w:rsidRDefault="0063234F" w:rsidP="0063234F">
      <w:pPr>
        <w:pStyle w:val="Default"/>
        <w:jc w:val="center"/>
        <w:outlineLvl w:val="0"/>
        <w:rPr>
          <w:rFonts w:ascii="Times New Roman" w:hAnsi="Times New Roman" w:cs="Times New Roman"/>
          <w:b/>
          <w:szCs w:val="20"/>
        </w:rPr>
      </w:pPr>
      <w:r>
        <w:rPr>
          <w:rFonts w:ascii="Times New Roman" w:hAnsi="Times New Roman" w:cs="Times New Roman"/>
          <w:b/>
          <w:szCs w:val="20"/>
        </w:rPr>
        <w:t>Vyxeos Liposomal</w:t>
      </w:r>
      <w:r w:rsidRPr="00BC57EB">
        <w:rPr>
          <w:rFonts w:ascii="Times New Roman" w:hAnsi="Times New Roman" w:cs="Times New Roman"/>
          <w:b/>
          <w:szCs w:val="20"/>
        </w:rPr>
        <w:t xml:space="preserve"> </w:t>
      </w:r>
      <w:r w:rsidRPr="00BC57EB">
        <w:rPr>
          <w:rFonts w:ascii="Times New Roman" w:hAnsi="Times New Roman" w:cs="Times New Roman"/>
          <w:b/>
        </w:rPr>
        <w:t>44/100 mg milteliai infuzinio tirpalo koncentratui</w:t>
      </w:r>
    </w:p>
    <w:p w14:paraId="1E44ACCE" w14:textId="77777777" w:rsidR="0063234F" w:rsidRPr="00BC57EB" w:rsidRDefault="0063234F" w:rsidP="0063234F">
      <w:pPr>
        <w:jc w:val="center"/>
        <w:rPr>
          <w:b/>
          <w:color w:val="000000"/>
        </w:rPr>
      </w:pPr>
      <w:r w:rsidRPr="00BC57EB">
        <w:rPr>
          <w:b/>
          <w:color w:val="000000"/>
        </w:rPr>
        <w:t>Daunorubicinas/Citarabinas</w:t>
      </w:r>
    </w:p>
    <w:p w14:paraId="4BA61ECC" w14:textId="77777777" w:rsidR="0063234F" w:rsidRPr="00BC57EB" w:rsidRDefault="0063234F" w:rsidP="0063234F">
      <w:pPr>
        <w:jc w:val="center"/>
        <w:outlineLvl w:val="0"/>
        <w:rPr>
          <w:b/>
        </w:rPr>
      </w:pPr>
      <w:r w:rsidRPr="00BC57EB">
        <w:rPr>
          <w:b/>
        </w:rPr>
        <w:t>STV-99</w:t>
      </w:r>
      <w:r>
        <w:rPr>
          <w:b/>
        </w:rPr>
        <w:t>A</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63234F" w:rsidRPr="00E33EFF" w14:paraId="18A83EC2" w14:textId="77777777" w:rsidTr="0063234F">
        <w:trPr>
          <w:trHeight w:val="85"/>
        </w:trPr>
        <w:tc>
          <w:tcPr>
            <w:tcW w:w="632" w:type="dxa"/>
          </w:tcPr>
          <w:p w14:paraId="0646FBEA" w14:textId="77777777" w:rsidR="0063234F" w:rsidRPr="00E33EFF" w:rsidRDefault="0063234F" w:rsidP="0063234F">
            <w:pPr>
              <w:rPr>
                <w:rFonts w:eastAsia="Arial"/>
              </w:rPr>
            </w:pPr>
            <w:r w:rsidRPr="00E33EFF">
              <w:rPr>
                <w:rFonts w:eastAsia="Arial"/>
              </w:rPr>
              <w:t>1.1</w:t>
            </w:r>
          </w:p>
        </w:tc>
        <w:tc>
          <w:tcPr>
            <w:tcW w:w="3694" w:type="dxa"/>
          </w:tcPr>
          <w:p w14:paraId="6C3AE864" w14:textId="77777777" w:rsidR="0063234F" w:rsidRPr="00E33EFF" w:rsidRDefault="0063234F" w:rsidP="0063234F">
            <w:pPr>
              <w:rPr>
                <w:rFonts w:eastAsia="Arial"/>
              </w:rPr>
            </w:pPr>
            <w:r w:rsidRPr="00E33EFF">
              <w:rPr>
                <w:rFonts w:eastAsia="Arial"/>
              </w:rPr>
              <w:t>Pareiškėjas</w:t>
            </w:r>
          </w:p>
          <w:p w14:paraId="2AF240DC" w14:textId="77777777" w:rsidR="0063234F" w:rsidRPr="00E33EFF" w:rsidRDefault="0063234F" w:rsidP="0063234F">
            <w:pPr>
              <w:rPr>
                <w:rFonts w:eastAsia="Arial"/>
              </w:rPr>
            </w:pPr>
          </w:p>
        </w:tc>
        <w:tc>
          <w:tcPr>
            <w:tcW w:w="5167" w:type="dxa"/>
          </w:tcPr>
          <w:p w14:paraId="2AAF0D91" w14:textId="564B8626" w:rsidR="0063234F" w:rsidRPr="0063234F" w:rsidRDefault="0063234F" w:rsidP="0063234F">
            <w:pPr>
              <w:rPr>
                <w:rFonts w:eastAsia="Arial"/>
              </w:rPr>
            </w:pPr>
            <w:r w:rsidRPr="0063234F">
              <w:t>Jazz Pharmaceuticals Ireland Ltd.</w:t>
            </w:r>
          </w:p>
        </w:tc>
      </w:tr>
      <w:tr w:rsidR="0063234F" w:rsidRPr="00E33EFF" w14:paraId="31998B0D" w14:textId="77777777" w:rsidTr="0063234F">
        <w:trPr>
          <w:trHeight w:val="85"/>
        </w:trPr>
        <w:tc>
          <w:tcPr>
            <w:tcW w:w="632" w:type="dxa"/>
          </w:tcPr>
          <w:p w14:paraId="2005EC67" w14:textId="662300D0" w:rsidR="0063234F" w:rsidRPr="00E33EFF" w:rsidRDefault="0063234F" w:rsidP="0063234F">
            <w:pPr>
              <w:rPr>
                <w:rFonts w:eastAsia="Arial"/>
              </w:rPr>
            </w:pPr>
            <w:r w:rsidRPr="00E33EFF">
              <w:rPr>
                <w:rFonts w:eastAsia="Arial"/>
              </w:rPr>
              <w:t>1.2</w:t>
            </w:r>
          </w:p>
        </w:tc>
        <w:tc>
          <w:tcPr>
            <w:tcW w:w="3694" w:type="dxa"/>
          </w:tcPr>
          <w:p w14:paraId="1E4AE3B1" w14:textId="77777777" w:rsidR="0063234F" w:rsidRPr="00E33EFF" w:rsidRDefault="0063234F" w:rsidP="0063234F">
            <w:pPr>
              <w:rPr>
                <w:bCs/>
                <w:color w:val="000000"/>
                <w:lang w:eastAsia="lt-LT"/>
              </w:rPr>
            </w:pPr>
            <w:r w:rsidRPr="00E33EFF">
              <w:rPr>
                <w:bCs/>
                <w:color w:val="000000"/>
                <w:lang w:eastAsia="lt-LT"/>
              </w:rPr>
              <w:t xml:space="preserve">Registracijos data </w:t>
            </w:r>
          </w:p>
          <w:p w14:paraId="3A0DC096" w14:textId="77777777" w:rsidR="0063234F" w:rsidRPr="00E33EFF" w:rsidRDefault="0063234F" w:rsidP="0063234F">
            <w:pPr>
              <w:rPr>
                <w:bCs/>
                <w:color w:val="000000"/>
                <w:lang w:eastAsia="lt-LT"/>
              </w:rPr>
            </w:pPr>
          </w:p>
        </w:tc>
        <w:tc>
          <w:tcPr>
            <w:tcW w:w="5167" w:type="dxa"/>
          </w:tcPr>
          <w:p w14:paraId="3CA218AD" w14:textId="2EF7BE07" w:rsidR="0063234F" w:rsidRPr="0063234F" w:rsidRDefault="00000000" w:rsidP="0063234F">
            <w:pPr>
              <w:rPr>
                <w:rStyle w:val="Style2"/>
                <w:sz w:val="24"/>
              </w:rPr>
            </w:pPr>
            <w:sdt>
              <w:sdtPr>
                <w:rPr>
                  <w:sz w:val="32"/>
                </w:rPr>
                <w:alias w:val="Nurodykite konkrečią dieną"/>
                <w:tag w:val="Nurodykite pradžios datą"/>
                <w:id w:val="423238108"/>
                <w:placeholder>
                  <w:docPart w:val="B0B81E2588754E31AF8CE8A257AB4765"/>
                </w:placeholder>
                <w:date>
                  <w:dateFormat w:val="yyyy 'm.' MMMM d 'd.'"/>
                  <w:lid w:val="lt-LT"/>
                  <w:storeMappedDataAs w:val="dateTime"/>
                  <w:calendar w:val="gregorian"/>
                </w:date>
              </w:sdtPr>
              <w:sdtEndPr>
                <w:rPr>
                  <w:sz w:val="24"/>
                </w:rPr>
              </w:sdtEndPr>
              <w:sdtContent>
                <w:r w:rsidR="0063234F" w:rsidRPr="0063234F">
                  <w:t>2018 m. spalio 26 d.</w:t>
                </w:r>
              </w:sdtContent>
            </w:sdt>
          </w:p>
        </w:tc>
      </w:tr>
      <w:tr w:rsidR="0063234F" w:rsidRPr="00E33EFF" w14:paraId="15968AE1" w14:textId="77777777" w:rsidTr="0063234F">
        <w:trPr>
          <w:trHeight w:val="605"/>
        </w:trPr>
        <w:tc>
          <w:tcPr>
            <w:tcW w:w="632" w:type="dxa"/>
          </w:tcPr>
          <w:p w14:paraId="6A784245" w14:textId="1E461489" w:rsidR="0063234F" w:rsidRPr="00E33EFF" w:rsidRDefault="0063234F" w:rsidP="0063234F">
            <w:pPr>
              <w:rPr>
                <w:rFonts w:eastAsia="Arial"/>
              </w:rPr>
            </w:pPr>
            <w:r w:rsidRPr="00E33EFF">
              <w:rPr>
                <w:rFonts w:eastAsia="Arial"/>
              </w:rPr>
              <w:t>1.3</w:t>
            </w:r>
          </w:p>
        </w:tc>
        <w:tc>
          <w:tcPr>
            <w:tcW w:w="3694" w:type="dxa"/>
          </w:tcPr>
          <w:p w14:paraId="22933506" w14:textId="77777777" w:rsidR="0063234F" w:rsidRPr="00E33EFF" w:rsidRDefault="0063234F" w:rsidP="0063234F">
            <w:r w:rsidRPr="00E33EFF">
              <w:t xml:space="preserve">Paraiškos tipas </w:t>
            </w:r>
          </w:p>
          <w:p w14:paraId="0465E680" w14:textId="7F0A0714" w:rsidR="0063234F" w:rsidRPr="00E33EFF" w:rsidRDefault="0063234F" w:rsidP="0063234F">
            <w:r w:rsidRPr="00E33EFF">
              <w:t xml:space="preserve">(pagal </w:t>
            </w:r>
            <w:r w:rsidRPr="00E33EFF">
              <w:rPr>
                <w:color w:val="333333"/>
                <w:shd w:val="clear" w:color="auto" w:fill="FFFFFF"/>
              </w:rPr>
              <w:t>vaistinio preparato registracijos tipą, įtvirtintą</w:t>
            </w:r>
            <w:r w:rsidRPr="00E33EFF">
              <w:t xml:space="preserve"> Direktyvos 2001/83/EB straipsiuose)</w:t>
            </w:r>
          </w:p>
          <w:p w14:paraId="77089D80" w14:textId="6681D72A" w:rsidR="0063234F" w:rsidRPr="00E33EFF" w:rsidRDefault="0063234F" w:rsidP="0063234F">
            <w:pPr>
              <w:rPr>
                <w:bCs/>
                <w:color w:val="000000"/>
                <w:lang w:eastAsia="lt-LT"/>
              </w:rPr>
            </w:pPr>
          </w:p>
        </w:tc>
        <w:tc>
          <w:tcPr>
            <w:tcW w:w="5167" w:type="dxa"/>
          </w:tcPr>
          <w:p w14:paraId="459A1119" w14:textId="77777777" w:rsidR="0063234F" w:rsidRPr="0063234F" w:rsidRDefault="0063234F" w:rsidP="0063234F">
            <w:r w:rsidRPr="0063234F">
              <w:rPr>
                <w:rStyle w:val="Style2"/>
                <w:rFonts w:ascii="Segoe UI Symbol" w:eastAsia="MS Mincho" w:hAnsi="Segoe UI Symbol" w:cs="Segoe UI Symbol"/>
                <w:sz w:val="24"/>
              </w:rPr>
              <w:t>☒</w:t>
            </w:r>
            <w:r w:rsidRPr="0063234F">
              <w:t xml:space="preserve"> 8.3 str. (pilna byla, pagrįsta savais tyrimais) </w:t>
            </w:r>
          </w:p>
          <w:p w14:paraId="428EB596" w14:textId="77777777" w:rsidR="0063234F" w:rsidRPr="0063234F" w:rsidRDefault="0063234F" w:rsidP="0063234F">
            <w:r w:rsidRPr="0063234F">
              <w:rPr>
                <w:rStyle w:val="Style2"/>
                <w:rFonts w:ascii="Segoe UI Symbol" w:eastAsia="MS Mincho" w:hAnsi="Segoe UI Symbol" w:cs="Segoe UI Symbol"/>
                <w:sz w:val="24"/>
              </w:rPr>
              <w:t>☐</w:t>
            </w:r>
            <w:r w:rsidRPr="0063234F">
              <w:t xml:space="preserve"> 10 a str. (pripažintas medicininis vartojimas) </w:t>
            </w:r>
          </w:p>
          <w:p w14:paraId="77D91C99" w14:textId="77777777" w:rsidR="0063234F" w:rsidRPr="0063234F" w:rsidRDefault="0063234F" w:rsidP="0063234F">
            <w:r w:rsidRPr="0063234F">
              <w:rPr>
                <w:rStyle w:val="Style2"/>
                <w:rFonts w:ascii="Segoe UI Symbol" w:eastAsia="MS Mincho" w:hAnsi="Segoe UI Symbol" w:cs="Segoe UI Symbol"/>
                <w:sz w:val="24"/>
              </w:rPr>
              <w:t>☐</w:t>
            </w:r>
            <w:r w:rsidRPr="0063234F">
              <w:t xml:space="preserve"> 10.1 str. (generinis)</w:t>
            </w:r>
          </w:p>
          <w:p w14:paraId="3B0A4F72" w14:textId="5F2B0301" w:rsidR="0063234F" w:rsidRPr="0063234F" w:rsidRDefault="0063234F" w:rsidP="0063234F">
            <w:pPr>
              <w:rPr>
                <w:rStyle w:val="Style2"/>
                <w:sz w:val="24"/>
              </w:rPr>
            </w:pPr>
            <w:r w:rsidRPr="0063234F">
              <w:rPr>
                <w:rStyle w:val="Style2"/>
                <w:rFonts w:ascii="Segoe UI Symbol" w:eastAsia="MS Mincho" w:hAnsi="Segoe UI Symbol" w:cs="Segoe UI Symbol"/>
                <w:sz w:val="24"/>
              </w:rPr>
              <w:t>☐</w:t>
            </w:r>
            <w:r w:rsidRPr="0063234F">
              <w:t xml:space="preserve"> 10.3 str. (hibridinis)</w:t>
            </w:r>
          </w:p>
        </w:tc>
      </w:tr>
      <w:tr w:rsidR="0063234F" w:rsidRPr="00E33EFF" w14:paraId="310E9662" w14:textId="77777777" w:rsidTr="0063234F">
        <w:trPr>
          <w:trHeight w:val="502"/>
        </w:trPr>
        <w:tc>
          <w:tcPr>
            <w:tcW w:w="632" w:type="dxa"/>
          </w:tcPr>
          <w:p w14:paraId="4B5A91A2" w14:textId="561B5E5F" w:rsidR="0063234F" w:rsidRPr="00E33EFF" w:rsidRDefault="0063234F" w:rsidP="0063234F">
            <w:pPr>
              <w:rPr>
                <w:rFonts w:eastAsia="Arial"/>
              </w:rPr>
            </w:pPr>
            <w:r w:rsidRPr="00E33EFF">
              <w:rPr>
                <w:rFonts w:eastAsia="Arial"/>
              </w:rPr>
              <w:t>1.4</w:t>
            </w:r>
          </w:p>
        </w:tc>
        <w:tc>
          <w:tcPr>
            <w:tcW w:w="3694" w:type="dxa"/>
          </w:tcPr>
          <w:p w14:paraId="6C91E105" w14:textId="77777777" w:rsidR="0063234F" w:rsidRPr="00E33EFF" w:rsidRDefault="0063234F" w:rsidP="0063234F">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1E90AFDB" w:rsidR="0063234F" w:rsidRPr="00E33EFF" w:rsidRDefault="0063234F" w:rsidP="0063234F">
            <w:pPr>
              <w:rPr>
                <w:bCs/>
                <w:color w:val="000000"/>
                <w:lang w:eastAsia="lt-LT"/>
              </w:rPr>
            </w:pPr>
          </w:p>
        </w:tc>
        <w:tc>
          <w:tcPr>
            <w:tcW w:w="5167" w:type="dxa"/>
          </w:tcPr>
          <w:p w14:paraId="171151CD" w14:textId="77777777" w:rsidR="0063234F" w:rsidRPr="0063234F" w:rsidRDefault="0063234F" w:rsidP="0063234F">
            <w:r w:rsidRPr="0063234F">
              <w:rPr>
                <w:rStyle w:val="Style2"/>
                <w:rFonts w:ascii="Segoe UI Symbol" w:eastAsia="MS Mincho" w:hAnsi="Segoe UI Symbol" w:cs="Segoe UI Symbol"/>
                <w:sz w:val="24"/>
              </w:rPr>
              <w:t>☒</w:t>
            </w:r>
            <w:r w:rsidRPr="0063234F">
              <w:t xml:space="preserve"> Taip</w:t>
            </w:r>
          </w:p>
          <w:p w14:paraId="0E7BF0C7" w14:textId="77777777" w:rsidR="0063234F" w:rsidRPr="0063234F" w:rsidRDefault="0063234F" w:rsidP="0063234F">
            <w:r w:rsidRPr="0063234F">
              <w:rPr>
                <w:rStyle w:val="Style2"/>
                <w:rFonts w:ascii="Segoe UI Symbol" w:eastAsia="MS Mincho" w:hAnsi="Segoe UI Symbol" w:cs="Segoe UI Symbol"/>
                <w:sz w:val="24"/>
              </w:rPr>
              <w:t>☐</w:t>
            </w:r>
            <w:r w:rsidRPr="0063234F">
              <w:t xml:space="preserve"> Ne</w:t>
            </w:r>
          </w:p>
          <w:p w14:paraId="29C2CBBB" w14:textId="43D0CAD3" w:rsidR="0063234F" w:rsidRPr="0063234F" w:rsidRDefault="00000000" w:rsidP="0063234F">
            <w:pPr>
              <w:rPr>
                <w:rFonts w:eastAsia="Arial"/>
              </w:rPr>
            </w:pPr>
            <w:sdt>
              <w:sdtPr>
                <w:alias w:val="Nurodykite konkrečią dieną"/>
                <w:tag w:val="Nurodykite pradžios datą"/>
                <w:id w:val="693498901"/>
                <w15:color w:val="FFCC99"/>
                <w:date w:fullDate="2018-08-23T00:00:00Z">
                  <w:dateFormat w:val="yyyy 'm.' MMMM d 'd.'"/>
                  <w:lid w:val="lt-LT"/>
                  <w:storeMappedDataAs w:val="dateTime"/>
                  <w:calendar w:val="gregorian"/>
                </w:date>
              </w:sdtPr>
              <w:sdtContent>
                <w:r w:rsidR="0063234F" w:rsidRPr="0063234F">
                  <w:t>2018 m. rugpjūčio 23 d.</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70FFC381"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63234F">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63234F" w:rsidRPr="00E33EFF" w14:paraId="274D1DAF" w14:textId="77777777" w:rsidTr="00BE7489">
        <w:trPr>
          <w:trHeight w:val="1922"/>
        </w:trPr>
        <w:tc>
          <w:tcPr>
            <w:tcW w:w="632" w:type="dxa"/>
          </w:tcPr>
          <w:p w14:paraId="17ABF217" w14:textId="14AC00D7" w:rsidR="0063234F" w:rsidRPr="00E33EFF" w:rsidRDefault="0063234F" w:rsidP="0063234F">
            <w:pPr>
              <w:rPr>
                <w:rFonts w:eastAsia="Arial"/>
              </w:rPr>
            </w:pPr>
            <w:r w:rsidRPr="00E33EFF">
              <w:rPr>
                <w:rFonts w:eastAsia="Arial"/>
              </w:rPr>
              <w:t>1.6</w:t>
            </w:r>
          </w:p>
        </w:tc>
        <w:tc>
          <w:tcPr>
            <w:tcW w:w="3694" w:type="dxa"/>
          </w:tcPr>
          <w:p w14:paraId="4D49DBF5" w14:textId="77777777" w:rsidR="0063234F" w:rsidRPr="00E33EFF" w:rsidRDefault="0063234F" w:rsidP="0063234F">
            <w:pPr>
              <w:rPr>
                <w:bCs/>
                <w:color w:val="000000"/>
                <w:lang w:eastAsia="lt-LT"/>
              </w:rPr>
            </w:pPr>
            <w:r w:rsidRPr="00E33EFF">
              <w:rPr>
                <w:bCs/>
                <w:color w:val="000000"/>
                <w:lang w:eastAsia="lt-LT"/>
              </w:rPr>
              <w:t>Pareiškėjo teikiama (-os) kompensuoti vaistinio preparato indikacija (-os)</w:t>
            </w:r>
          </w:p>
          <w:p w14:paraId="3FB07EE5" w14:textId="77777777" w:rsidR="0063234F" w:rsidRDefault="0063234F" w:rsidP="0063234F">
            <w:pPr>
              <w:rPr>
                <w:bCs/>
                <w:color w:val="000000"/>
                <w:lang w:eastAsia="lt-LT"/>
              </w:rPr>
            </w:pPr>
          </w:p>
          <w:p w14:paraId="3A6B054C" w14:textId="77777777" w:rsidR="0063234F" w:rsidRDefault="0063234F" w:rsidP="0063234F">
            <w:pPr>
              <w:rPr>
                <w:bCs/>
                <w:color w:val="000000"/>
                <w:lang w:eastAsia="lt-LT"/>
              </w:rPr>
            </w:pPr>
          </w:p>
          <w:p w14:paraId="6B4FEEC1" w14:textId="378668B0" w:rsidR="0063234F" w:rsidRPr="00E33EFF" w:rsidRDefault="0063234F" w:rsidP="0063234F">
            <w:pPr>
              <w:rPr>
                <w:bCs/>
                <w:color w:val="000000"/>
                <w:lang w:eastAsia="lt-LT"/>
              </w:rPr>
            </w:pPr>
            <w:r w:rsidRPr="00E33EFF">
              <w:rPr>
                <w:bCs/>
                <w:color w:val="000000"/>
                <w:lang w:eastAsia="lt-LT"/>
              </w:rPr>
              <w:t>Kodas pagal TLK-10 AM</w:t>
            </w:r>
          </w:p>
        </w:tc>
        <w:tc>
          <w:tcPr>
            <w:tcW w:w="5167" w:type="dxa"/>
          </w:tcPr>
          <w:p w14:paraId="782617F7" w14:textId="77777777" w:rsidR="0063234F" w:rsidRDefault="0063234F" w:rsidP="0063234F">
            <w:pPr>
              <w:pStyle w:val="Default"/>
              <w:jc w:val="both"/>
              <w:rPr>
                <w:rFonts w:ascii="Times New Roman" w:hAnsi="Times New Roman" w:cs="Times New Roman"/>
              </w:rPr>
            </w:pPr>
            <w:r>
              <w:rPr>
                <w:rFonts w:ascii="Times New Roman" w:hAnsi="Times New Roman" w:cs="Times New Roman"/>
              </w:rPr>
              <w:t>Vyxeos Liposomal</w:t>
            </w:r>
            <w:r w:rsidRPr="00697CF5">
              <w:rPr>
                <w:rFonts w:ascii="Times New Roman" w:hAnsi="Times New Roman" w:cs="Times New Roman"/>
              </w:rPr>
              <w:t xml:space="preserve"> skirtas suaugusiųjų, sergančių naujai diagnozuota, su terapija susijusia ūmine mieloidine leukemija (t-ŪML) ar ŪML su mielodisplaziniais pakitimais (ŪML-MP), gydymui.</w:t>
            </w:r>
          </w:p>
          <w:p w14:paraId="13F7DFB0" w14:textId="68725D95" w:rsidR="0063234F" w:rsidRPr="00E33EFF" w:rsidRDefault="0063234F" w:rsidP="0063234F">
            <w:r w:rsidRPr="006057DF">
              <w:t>TLK kodas – C92.0 ir C92.8.</w:t>
            </w:r>
          </w:p>
        </w:tc>
      </w:tr>
      <w:tr w:rsidR="0063234F" w:rsidRPr="00E33EFF" w14:paraId="2F79DC08" w14:textId="77777777" w:rsidTr="00BE7489">
        <w:trPr>
          <w:trHeight w:val="378"/>
        </w:trPr>
        <w:tc>
          <w:tcPr>
            <w:tcW w:w="632" w:type="dxa"/>
          </w:tcPr>
          <w:p w14:paraId="547885A2" w14:textId="08AA8055" w:rsidR="0063234F" w:rsidRPr="00E33EFF" w:rsidRDefault="0063234F" w:rsidP="0063234F">
            <w:pPr>
              <w:rPr>
                <w:rFonts w:eastAsia="Arial"/>
              </w:rPr>
            </w:pPr>
            <w:r w:rsidRPr="00E33EFF">
              <w:rPr>
                <w:rFonts w:eastAsia="Arial"/>
              </w:rPr>
              <w:t>1.6</w:t>
            </w:r>
          </w:p>
        </w:tc>
        <w:tc>
          <w:tcPr>
            <w:tcW w:w="3694" w:type="dxa"/>
          </w:tcPr>
          <w:p w14:paraId="2EAB877F" w14:textId="39A36941" w:rsidR="0063234F" w:rsidRPr="00E33EFF" w:rsidRDefault="0063234F" w:rsidP="0063234F">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067D0AE7" w:rsidR="0063234F" w:rsidRPr="00E33EFF" w:rsidRDefault="0063234F" w:rsidP="0063234F">
            <w:r w:rsidRPr="00BC57EB">
              <w:t xml:space="preserve">Gydymą </w:t>
            </w:r>
            <w:r>
              <w:t>Vyxeos Liposomal</w:t>
            </w:r>
            <w:r w:rsidRPr="00BC57EB">
              <w:t xml:space="preserve"> reikia pradėti ir nuolat stebėti prižiūrint gydytojui, turinčiam patirties su chemoterapinių vaistinių preparatų naudojimu.</w:t>
            </w:r>
          </w:p>
        </w:tc>
      </w:tr>
      <w:tr w:rsidR="0063234F" w:rsidRPr="00E33EFF" w14:paraId="3B125269" w14:textId="77777777" w:rsidTr="0063234F">
        <w:trPr>
          <w:trHeight w:val="85"/>
        </w:trPr>
        <w:tc>
          <w:tcPr>
            <w:tcW w:w="632" w:type="dxa"/>
          </w:tcPr>
          <w:p w14:paraId="0058E11F" w14:textId="77777777" w:rsidR="0063234F" w:rsidRPr="00E33EFF" w:rsidRDefault="0063234F" w:rsidP="0063234F">
            <w:pPr>
              <w:rPr>
                <w:rFonts w:eastAsia="Arial"/>
              </w:rPr>
            </w:pPr>
            <w:r w:rsidRPr="00E33EFF">
              <w:rPr>
                <w:rFonts w:eastAsia="Arial"/>
              </w:rPr>
              <w:t>1.7</w:t>
            </w:r>
          </w:p>
        </w:tc>
        <w:tc>
          <w:tcPr>
            <w:tcW w:w="3694" w:type="dxa"/>
          </w:tcPr>
          <w:p w14:paraId="61EC5BBD" w14:textId="4FABFBA4" w:rsidR="0063234F" w:rsidRPr="00E33EFF" w:rsidRDefault="0063234F" w:rsidP="0063234F">
            <w:pPr>
              <w:rPr>
                <w:bCs/>
                <w:color w:val="000000"/>
                <w:lang w:eastAsia="lt-LT"/>
              </w:rPr>
            </w:pPr>
            <w:r w:rsidRPr="00E33EFF">
              <w:rPr>
                <w:bCs/>
                <w:color w:val="000000"/>
                <w:lang w:eastAsia="lt-LT"/>
              </w:rPr>
              <w:t xml:space="preserve">Pareiškėjo teikiamas palyginamasis </w:t>
            </w:r>
            <w:r>
              <w:rPr>
                <w:bCs/>
                <w:color w:val="000000"/>
                <w:lang w:eastAsia="lt-LT"/>
              </w:rPr>
              <w:t>gydymas</w:t>
            </w:r>
          </w:p>
          <w:p w14:paraId="62057D94" w14:textId="77777777" w:rsidR="0063234F" w:rsidRPr="00E33EFF" w:rsidRDefault="0063234F" w:rsidP="0063234F">
            <w:pPr>
              <w:rPr>
                <w:bCs/>
                <w:color w:val="000000"/>
                <w:lang w:eastAsia="lt-LT"/>
              </w:rPr>
            </w:pPr>
          </w:p>
          <w:p w14:paraId="6CC1022E" w14:textId="2B6BCEE1" w:rsidR="0063234F" w:rsidRPr="00E33EFF" w:rsidRDefault="0063234F" w:rsidP="0063234F">
            <w:pPr>
              <w:rPr>
                <w:bCs/>
                <w:color w:val="000000"/>
                <w:lang w:eastAsia="lt-LT"/>
              </w:rPr>
            </w:pPr>
          </w:p>
        </w:tc>
        <w:tc>
          <w:tcPr>
            <w:tcW w:w="5167" w:type="dxa"/>
          </w:tcPr>
          <w:p w14:paraId="1F113AC0" w14:textId="7DC78C39" w:rsidR="0063234F" w:rsidRPr="00E33EFF" w:rsidRDefault="00000000" w:rsidP="0063234F">
            <w:sdt>
              <w:sdtPr>
                <w:rPr>
                  <w:rStyle w:val="Style2"/>
                  <w:sz w:val="24"/>
                </w:rPr>
                <w:id w:val="1480955706"/>
                <w15:color w:val="FFCC00"/>
                <w14:checkbox>
                  <w14:checked w14:val="1"/>
                  <w14:checkedState w14:val="2612" w14:font="MS Gothic"/>
                  <w14:uncheckedState w14:val="2610" w14:font="MS Gothic"/>
                </w14:checkbox>
              </w:sdtPr>
              <w:sdtContent>
                <w:r w:rsidR="0063234F">
                  <w:rPr>
                    <w:rStyle w:val="Style2"/>
                    <w:rFonts w:ascii="MS Gothic" w:eastAsia="MS Gothic" w:hAnsi="MS Gothic" w:hint="eastAsia"/>
                    <w:sz w:val="24"/>
                  </w:rPr>
                  <w:t>☒</w:t>
                </w:r>
              </w:sdtContent>
            </w:sdt>
            <w:r w:rsidR="0063234F" w:rsidRPr="00E33EFF">
              <w:t xml:space="preserve"> Tinkamas</w:t>
            </w:r>
          </w:p>
          <w:p w14:paraId="41B44044" w14:textId="199BD9DF" w:rsidR="0063234F" w:rsidRPr="00E33EFF" w:rsidRDefault="00000000" w:rsidP="0063234F">
            <w:sdt>
              <w:sdtPr>
                <w:rPr>
                  <w:rStyle w:val="Style2"/>
                  <w:sz w:val="24"/>
                </w:rPr>
                <w:id w:val="-352420698"/>
                <w15:color w:val="FFCC00"/>
                <w14:checkbox>
                  <w14:checked w14:val="0"/>
                  <w14:checkedState w14:val="2612" w14:font="MS Gothic"/>
                  <w14:uncheckedState w14:val="2610" w14:font="MS Gothic"/>
                </w14:checkbox>
              </w:sdtPr>
              <w:sdtContent>
                <w:r w:rsidR="0063234F" w:rsidRPr="00E33EFF">
                  <w:rPr>
                    <w:rStyle w:val="Style2"/>
                    <w:rFonts w:ascii="MS Gothic" w:eastAsia="MS Gothic" w:hAnsi="MS Gothic" w:hint="eastAsia"/>
                    <w:sz w:val="24"/>
                  </w:rPr>
                  <w:t>☐</w:t>
                </w:r>
              </w:sdtContent>
            </w:sdt>
            <w:r w:rsidR="0063234F" w:rsidRPr="00E33EFF">
              <w:t xml:space="preserve"> Netinkama</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63234F" w:rsidRPr="00E33EFF" w14:paraId="129FA8F6" w14:textId="77777777" w:rsidTr="003C0727">
        <w:trPr>
          <w:trHeight w:val="2267"/>
        </w:trPr>
        <w:tc>
          <w:tcPr>
            <w:tcW w:w="2855" w:type="dxa"/>
          </w:tcPr>
          <w:p w14:paraId="70C60EDF" w14:textId="77777777" w:rsidR="0063234F" w:rsidRPr="003D2BFD" w:rsidRDefault="0063234F" w:rsidP="0063234F">
            <w:pPr>
              <w:autoSpaceDE w:val="0"/>
              <w:autoSpaceDN w:val="0"/>
              <w:adjustRightInd w:val="0"/>
              <w:rPr>
                <w:bCs/>
              </w:rPr>
            </w:pPr>
            <w:r w:rsidRPr="003D2BFD">
              <w:rPr>
                <w:bCs/>
              </w:rPr>
              <w:t>Nacionalinis sveikatos ir klinikinės kompetencijos institutas, Didžioji Britanija</w:t>
            </w:r>
          </w:p>
          <w:p w14:paraId="49C6520D" w14:textId="7935711A" w:rsidR="0063234F" w:rsidRPr="00E33EFF" w:rsidRDefault="0063234F" w:rsidP="0063234F">
            <w:pPr>
              <w:rPr>
                <w:rFonts w:eastAsia="Arial"/>
                <w:lang w:val="en-GB"/>
              </w:rPr>
            </w:pPr>
            <w:r w:rsidRPr="003D2BFD">
              <w:rPr>
                <w:rFonts w:eastAsia="Arial"/>
              </w:rPr>
              <w:t xml:space="preserve">(angl. </w:t>
            </w:r>
            <w:r w:rsidRPr="003D2BFD">
              <w:rPr>
                <w:rFonts w:eastAsia="Arial"/>
                <w:i/>
              </w:rPr>
              <w:t>National Institute for Health and Care Excellence, NICE</w:t>
            </w:r>
            <w:r w:rsidRPr="003D2BFD">
              <w:rPr>
                <w:rFonts w:eastAsia="Arial"/>
              </w:rPr>
              <w:t>)</w:t>
            </w:r>
          </w:p>
        </w:tc>
        <w:tc>
          <w:tcPr>
            <w:tcW w:w="1851" w:type="dxa"/>
          </w:tcPr>
          <w:p w14:paraId="5F22ADA3" w14:textId="77777777" w:rsidR="0063234F" w:rsidRPr="003D2BFD" w:rsidRDefault="0063234F" w:rsidP="0063234F">
            <w:r w:rsidRPr="003D2BFD">
              <w:rPr>
                <w:rStyle w:val="Style2"/>
                <w:rFonts w:ascii="MS Gothic" w:eastAsia="MS Gothic" w:hAnsi="MS Gothic" w:hint="eastAsia"/>
              </w:rPr>
              <w:t>☒</w:t>
            </w:r>
            <w:r w:rsidRPr="003D2BFD">
              <w:t xml:space="preserve"> Taip</w:t>
            </w:r>
          </w:p>
          <w:p w14:paraId="506C3DF3" w14:textId="77777777" w:rsidR="0063234F" w:rsidRPr="003D2BFD" w:rsidRDefault="0063234F" w:rsidP="0063234F">
            <w:r w:rsidRPr="003D2BFD">
              <w:rPr>
                <w:rStyle w:val="Style2"/>
                <w:rFonts w:ascii="MS Gothic" w:eastAsia="MS Gothic" w:hAnsi="MS Gothic" w:hint="eastAsia"/>
              </w:rPr>
              <w:t>☐</w:t>
            </w:r>
            <w:r w:rsidRPr="003D2BFD">
              <w:t xml:space="preserve"> Ne</w:t>
            </w:r>
          </w:p>
          <w:p w14:paraId="7916359D" w14:textId="63917728" w:rsidR="0063234F" w:rsidRPr="00E33EFF" w:rsidRDefault="00000000" w:rsidP="0063234F">
            <w:pPr>
              <w:rPr>
                <w:rFonts w:eastAsia="Arial"/>
              </w:rPr>
            </w:pPr>
            <w:sdt>
              <w:sdtPr>
                <w:alias w:val="Nurodykite konkrečią dieną"/>
                <w:tag w:val="Nurodykite pradžios datą"/>
                <w:id w:val="922837954"/>
                <w15:color w:val="FFCC99"/>
                <w:date>
                  <w:dateFormat w:val="yyyy 'm.' MMMM d 'd.'"/>
                  <w:lid w:val="lt-LT"/>
                  <w:storeMappedDataAs w:val="dateTime"/>
                  <w:calendar w:val="gregorian"/>
                </w:date>
              </w:sdtPr>
              <w:sdtContent>
                <w:r w:rsidR="0063234F" w:rsidRPr="003D2BFD">
                  <w:t xml:space="preserve">2019 m. gruodžio </w:t>
                </w:r>
                <w:r w:rsidR="0063234F" w:rsidRPr="003D2BFD">
                  <w:rPr>
                    <w:lang w:val="en-GB"/>
                  </w:rPr>
                  <w:t>19</w:t>
                </w:r>
                <w:r w:rsidR="0063234F" w:rsidRPr="003D2BFD">
                  <w:t xml:space="preserve"> d.</w:t>
                </w:r>
              </w:sdtContent>
            </w:sdt>
          </w:p>
        </w:tc>
        <w:tc>
          <w:tcPr>
            <w:tcW w:w="4787" w:type="dxa"/>
            <w:gridSpan w:val="2"/>
          </w:tcPr>
          <w:p w14:paraId="67430EE7" w14:textId="5E95183D" w:rsidR="0063234F" w:rsidRPr="00E33EFF" w:rsidRDefault="0063234F" w:rsidP="0063234F">
            <w:pPr>
              <w:rPr>
                <w:rFonts w:eastAsia="Arial"/>
              </w:rPr>
            </w:pPr>
            <w:r w:rsidRPr="003D2BFD">
              <w:rPr>
                <w:rFonts w:eastAsia="Arial"/>
              </w:rPr>
              <w:t>Rekomenduojamas kaip alternatyva suaugusiems pacientams, sergantiems negydyta ūmine mieloidine leukemija arba ūmine mieloidine leukemija su mielodisplazija susijusiais pokyčiais. Rekomenduojama tik tuo atveju, jei įmonė ją teikia pagal komercinį susitarimą.</w:t>
            </w:r>
          </w:p>
        </w:tc>
      </w:tr>
      <w:tr w:rsidR="0063234F" w:rsidRPr="00E33EFF" w14:paraId="1CC31474" w14:textId="77777777" w:rsidTr="008D2968">
        <w:trPr>
          <w:trHeight w:val="1547"/>
        </w:trPr>
        <w:tc>
          <w:tcPr>
            <w:tcW w:w="2855" w:type="dxa"/>
          </w:tcPr>
          <w:p w14:paraId="76EFC85B" w14:textId="77777777" w:rsidR="0063234F" w:rsidRPr="003D2BFD" w:rsidRDefault="0063234F" w:rsidP="0063234F">
            <w:pPr>
              <w:spacing w:line="276" w:lineRule="auto"/>
              <w:rPr>
                <w:rFonts w:eastAsia="Arial"/>
              </w:rPr>
            </w:pPr>
            <w:r w:rsidRPr="003D2BFD">
              <w:rPr>
                <w:rFonts w:eastAsia="Arial"/>
              </w:rPr>
              <w:t>Kanados sveikatos technologijų agentūra</w:t>
            </w:r>
          </w:p>
          <w:p w14:paraId="2C593A82" w14:textId="67E631A2" w:rsidR="0063234F" w:rsidRPr="00E33EFF" w:rsidRDefault="0063234F" w:rsidP="0063234F">
            <w:pPr>
              <w:rPr>
                <w:rFonts w:eastAsia="Arial"/>
                <w:lang w:val="en-GB"/>
              </w:rPr>
            </w:pPr>
            <w:r w:rsidRPr="003D2BFD">
              <w:rPr>
                <w:rFonts w:eastAsia="Arial"/>
              </w:rPr>
              <w:t xml:space="preserve">(angl. </w:t>
            </w:r>
            <w:r w:rsidRPr="003D2BFD">
              <w:rPr>
                <w:rFonts w:eastAsia="Arial"/>
                <w:i/>
              </w:rPr>
              <w:t>Canadian health Technology Assessment agency, CADTH</w:t>
            </w:r>
            <w:r w:rsidRPr="003D2BFD">
              <w:rPr>
                <w:rFonts w:eastAsia="Arial"/>
              </w:rPr>
              <w:t>)</w:t>
            </w:r>
          </w:p>
        </w:tc>
        <w:tc>
          <w:tcPr>
            <w:tcW w:w="1851" w:type="dxa"/>
          </w:tcPr>
          <w:p w14:paraId="132484BF" w14:textId="77777777" w:rsidR="0063234F" w:rsidRPr="003D2BFD" w:rsidRDefault="0063234F" w:rsidP="0063234F">
            <w:r w:rsidRPr="003D2BFD">
              <w:rPr>
                <w:rStyle w:val="Style2"/>
                <w:rFonts w:ascii="MS Gothic" w:eastAsia="MS Gothic" w:hAnsi="MS Gothic" w:hint="eastAsia"/>
              </w:rPr>
              <w:t>☒</w:t>
            </w:r>
            <w:r w:rsidRPr="003D2BFD">
              <w:t xml:space="preserve"> Taip</w:t>
            </w:r>
          </w:p>
          <w:p w14:paraId="7B055073" w14:textId="77777777" w:rsidR="0063234F" w:rsidRDefault="0063234F" w:rsidP="0063234F">
            <w:pPr>
              <w:rPr>
                <w:sz w:val="32"/>
              </w:rPr>
            </w:pPr>
            <w:r w:rsidRPr="003D2BFD">
              <w:rPr>
                <w:rStyle w:val="Style2"/>
                <w:rFonts w:ascii="MS Gothic" w:eastAsia="MS Gothic" w:hAnsi="MS Gothic" w:hint="eastAsia"/>
              </w:rPr>
              <w:t>☐</w:t>
            </w:r>
            <w:r w:rsidRPr="003D2BFD">
              <w:t xml:space="preserve"> Ne</w:t>
            </w:r>
            <w:r>
              <w:rPr>
                <w:sz w:val="32"/>
              </w:rPr>
              <w:t xml:space="preserve"> </w:t>
            </w:r>
          </w:p>
          <w:p w14:paraId="15EC4D68" w14:textId="77777777" w:rsidR="0063234F" w:rsidRPr="00220DC4" w:rsidRDefault="00000000" w:rsidP="0063234F">
            <w:pPr>
              <w:rPr>
                <w:sz w:val="20"/>
              </w:rPr>
            </w:pPr>
            <w:sdt>
              <w:sdtPr>
                <w:alias w:val="Nurodykite konkrečią dieną"/>
                <w:tag w:val="Nurodykite pradžios datą"/>
                <w:id w:val="1991669253"/>
                <w15:color w:val="FFCC99"/>
                <w:date>
                  <w:dateFormat w:val="yyyy 'm.' MMMM d 'd.'"/>
                  <w:lid w:val="lt-LT"/>
                  <w:storeMappedDataAs w:val="dateTime"/>
                  <w:calendar w:val="gregorian"/>
                </w:date>
              </w:sdtPr>
              <w:sdtContent>
                <w:r w:rsidR="0063234F" w:rsidRPr="00220DC4">
                  <w:t xml:space="preserve">2021 m. </w:t>
                </w:r>
                <w:r w:rsidR="0063234F">
                  <w:t>rugpjūčio 24 d.</w:t>
                </w:r>
              </w:sdtContent>
            </w:sdt>
          </w:p>
          <w:p w14:paraId="0C0988CC" w14:textId="050B0752" w:rsidR="0063234F" w:rsidRPr="00E33EFF" w:rsidRDefault="0063234F" w:rsidP="0063234F">
            <w:pPr>
              <w:rPr>
                <w:rFonts w:eastAsia="Arial"/>
              </w:rPr>
            </w:pPr>
          </w:p>
        </w:tc>
        <w:tc>
          <w:tcPr>
            <w:tcW w:w="4787" w:type="dxa"/>
            <w:gridSpan w:val="2"/>
          </w:tcPr>
          <w:p w14:paraId="5C8CB330" w14:textId="25624B8D" w:rsidR="0063234F" w:rsidRPr="00E33EFF" w:rsidRDefault="0063234F" w:rsidP="0063234F">
            <w:pPr>
              <w:rPr>
                <w:rFonts w:eastAsia="Arial"/>
              </w:rPr>
            </w:pPr>
            <w:r>
              <w:t>R</w:t>
            </w:r>
            <w:r w:rsidRPr="00142968">
              <w:t xml:space="preserve">ekomenduoja, kad </w:t>
            </w:r>
            <w:r w:rsidRPr="003D2BFD">
              <w:rPr>
                <w:rFonts w:eastAsia="Arial"/>
                <w:i/>
              </w:rPr>
              <w:t>Vyxeos Liposomal</w:t>
            </w:r>
            <w:r w:rsidRPr="00142968">
              <w:t xml:space="preserve"> būtų kompensuojamas pagal viešuosius vaistų planus </w:t>
            </w:r>
            <w:r>
              <w:t>s</w:t>
            </w:r>
            <w:r w:rsidRPr="00142968">
              <w:t xml:space="preserve">uaugusiųjų, kuriems </w:t>
            </w:r>
            <w:r>
              <w:t xml:space="preserve">yra </w:t>
            </w:r>
            <w:r w:rsidRPr="00142968">
              <w:t xml:space="preserve">naujai diagnozuota </w:t>
            </w:r>
            <w:r>
              <w:t>su terapija susijusia ūmine mieloidine leukemija ar ŪML su mielodisplaziniais pakitimais,  j</w:t>
            </w:r>
            <w:r w:rsidRPr="00142968">
              <w:t>ei yra tam tikros sąlygos.</w:t>
            </w:r>
          </w:p>
        </w:tc>
      </w:tr>
      <w:tr w:rsidR="0063234F" w:rsidRPr="00E33EFF" w14:paraId="21C94D47" w14:textId="77777777" w:rsidTr="00A35CC7">
        <w:trPr>
          <w:trHeight w:val="2160"/>
        </w:trPr>
        <w:tc>
          <w:tcPr>
            <w:tcW w:w="2855" w:type="dxa"/>
          </w:tcPr>
          <w:p w14:paraId="5E3E9723" w14:textId="77777777" w:rsidR="0063234F" w:rsidRPr="003D2BFD" w:rsidRDefault="0063234F" w:rsidP="0063234F">
            <w:pPr>
              <w:spacing w:line="276" w:lineRule="auto"/>
              <w:rPr>
                <w:rFonts w:eastAsia="Arial"/>
              </w:rPr>
            </w:pPr>
            <w:r w:rsidRPr="003D2BFD">
              <w:rPr>
                <w:rFonts w:eastAsia="Arial"/>
              </w:rPr>
              <w:t>Nacionalinis farmakoekonomikos centras, Airija</w:t>
            </w:r>
          </w:p>
          <w:p w14:paraId="736F5072" w14:textId="2238F009" w:rsidR="0063234F" w:rsidRPr="00E33EFF" w:rsidRDefault="0063234F" w:rsidP="0063234F">
            <w:pPr>
              <w:rPr>
                <w:rFonts w:eastAsia="Arial"/>
              </w:rPr>
            </w:pPr>
            <w:r w:rsidRPr="003D2BFD">
              <w:rPr>
                <w:rFonts w:eastAsia="Arial"/>
              </w:rPr>
              <w:t>(angl.</w:t>
            </w:r>
            <w:r w:rsidRPr="003D2BFD">
              <w:rPr>
                <w:rFonts w:eastAsia="Arial"/>
                <w:i/>
              </w:rPr>
              <w:t xml:space="preserve"> National Centre for Pharmacoeconomics, NCPE</w:t>
            </w:r>
            <w:r w:rsidRPr="003D2BFD">
              <w:rPr>
                <w:rFonts w:eastAsia="Arial"/>
              </w:rPr>
              <w:t>)</w:t>
            </w:r>
          </w:p>
        </w:tc>
        <w:tc>
          <w:tcPr>
            <w:tcW w:w="1851" w:type="dxa"/>
          </w:tcPr>
          <w:p w14:paraId="7E602C80" w14:textId="77777777" w:rsidR="0063234F" w:rsidRPr="003D2BFD" w:rsidRDefault="0063234F" w:rsidP="0063234F">
            <w:r w:rsidRPr="003D2BFD">
              <w:rPr>
                <w:rStyle w:val="Style2"/>
                <w:rFonts w:ascii="MS Gothic" w:eastAsia="MS Gothic" w:hAnsi="MS Gothic" w:hint="eastAsia"/>
              </w:rPr>
              <w:t>☒</w:t>
            </w:r>
            <w:r w:rsidRPr="003D2BFD">
              <w:t xml:space="preserve"> Taip</w:t>
            </w:r>
          </w:p>
          <w:p w14:paraId="4A9833FE" w14:textId="77777777" w:rsidR="0063234F" w:rsidRPr="003D2BFD" w:rsidRDefault="0063234F" w:rsidP="0063234F">
            <w:r w:rsidRPr="003D2BFD">
              <w:rPr>
                <w:rStyle w:val="Style2"/>
                <w:rFonts w:ascii="MS Gothic" w:eastAsia="MS Gothic" w:hAnsi="MS Gothic" w:hint="eastAsia"/>
              </w:rPr>
              <w:t>☐</w:t>
            </w:r>
            <w:r w:rsidRPr="003D2BFD">
              <w:t xml:space="preserve"> Ne</w:t>
            </w:r>
          </w:p>
          <w:p w14:paraId="4C0F7D1A" w14:textId="77777777" w:rsidR="0063234F" w:rsidRPr="003D2BFD" w:rsidRDefault="00000000" w:rsidP="0063234F">
            <w:pPr>
              <w:rPr>
                <w:rStyle w:val="Style2"/>
              </w:rPr>
            </w:pPr>
            <w:sdt>
              <w:sdtPr>
                <w:rPr>
                  <w:sz w:val="32"/>
                </w:rPr>
                <w:alias w:val="Nurodykite konkrečią dieną"/>
                <w:tag w:val="Nurodykite pradžios datą"/>
                <w:id w:val="2029437950"/>
                <w15:color w:val="FFCC99"/>
                <w:date>
                  <w:dateFormat w:val="yyyy 'm.' MMMM d 'd.'"/>
                  <w:lid w:val="lt-LT"/>
                  <w:storeMappedDataAs w:val="dateTime"/>
                  <w:calendar w:val="gregorian"/>
                </w:date>
              </w:sdtPr>
              <w:sdtContent>
                <w:r w:rsidR="0063234F" w:rsidRPr="003D2BFD">
                  <w:t>2020 m. balandžio 16 d.</w:t>
                </w:r>
              </w:sdtContent>
            </w:sdt>
          </w:p>
          <w:p w14:paraId="69AA1151" w14:textId="7D5D4655" w:rsidR="0063234F" w:rsidRPr="00E33EFF" w:rsidRDefault="0063234F" w:rsidP="0063234F">
            <w:pPr>
              <w:rPr>
                <w:rFonts w:eastAsia="Arial"/>
              </w:rPr>
            </w:pPr>
          </w:p>
        </w:tc>
        <w:tc>
          <w:tcPr>
            <w:tcW w:w="4787" w:type="dxa"/>
            <w:gridSpan w:val="2"/>
          </w:tcPr>
          <w:p w14:paraId="093F2285" w14:textId="77777777" w:rsidR="0063234F" w:rsidRPr="003D2BFD" w:rsidRDefault="0063234F" w:rsidP="0063234F">
            <w:pPr>
              <w:spacing w:line="276" w:lineRule="auto"/>
              <w:jc w:val="both"/>
              <w:rPr>
                <w:rFonts w:eastAsia="Arial"/>
              </w:rPr>
            </w:pPr>
            <w:r w:rsidRPr="003D2BFD">
              <w:rPr>
                <w:rFonts w:eastAsia="Arial"/>
              </w:rPr>
              <w:t xml:space="preserve">Rekomenduoja nekompensuoti </w:t>
            </w:r>
            <w:r w:rsidRPr="003D2BFD">
              <w:rPr>
                <w:rFonts w:eastAsia="Arial"/>
                <w:i/>
              </w:rPr>
              <w:t>Vyxeos Liposomal</w:t>
            </w:r>
            <w:r w:rsidRPr="003D2BFD">
              <w:rPr>
                <w:rFonts w:eastAsia="Arial"/>
              </w:rPr>
              <w:t>, nebent būtų galima pagerinti kąštų efektyvumą, palyginti su esamais gydymo būdais.</w:t>
            </w:r>
          </w:p>
          <w:p w14:paraId="60651AFD" w14:textId="561BF426" w:rsidR="0063234F" w:rsidRPr="00E33EFF" w:rsidRDefault="0063234F" w:rsidP="0063234F">
            <w:pPr>
              <w:rPr>
                <w:rFonts w:eastAsia="Arial"/>
              </w:rPr>
            </w:pPr>
            <w:r w:rsidRPr="003D2BFD">
              <w:rPr>
                <w:rFonts w:eastAsia="Arial"/>
              </w:rPr>
              <w:t>2021 m. vasario mėn. NCPE patvirtino kompensaciją po konfidencialių kainų derybų.</w:t>
            </w:r>
          </w:p>
        </w:tc>
      </w:tr>
    </w:tbl>
    <w:p w14:paraId="2EB7FD31" w14:textId="4D2A8479" w:rsidR="007A2B68" w:rsidRDefault="007A2B68" w:rsidP="00E03C3F">
      <w:pPr>
        <w:pStyle w:val="ListParagraph"/>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25F89291" w14:textId="37F2AD86" w:rsidR="00D4485B" w:rsidRDefault="00D4485B" w:rsidP="00A93AA6">
      <w:pPr>
        <w:pStyle w:val="ListParagraph"/>
        <w:tabs>
          <w:tab w:val="left" w:pos="426"/>
        </w:tabs>
        <w:ind w:left="0"/>
        <w:rPr>
          <w:b/>
          <w:bCs/>
          <w:caps/>
        </w:rPr>
      </w:pPr>
    </w:p>
    <w:p w14:paraId="28FD9FC7" w14:textId="255F2FC4" w:rsidR="0063234F" w:rsidRPr="00727F11" w:rsidRDefault="0063234F" w:rsidP="0063234F">
      <w:pPr>
        <w:spacing w:line="360" w:lineRule="auto"/>
        <w:ind w:firstLine="567"/>
        <w:jc w:val="both"/>
        <w:rPr>
          <w:rFonts w:eastAsia="Arial"/>
        </w:rPr>
      </w:pPr>
      <w:r w:rsidRPr="00727F11">
        <w:rPr>
          <w:rFonts w:eastAsia="Arial"/>
        </w:rPr>
        <w:t xml:space="preserve">Ūminė mieloidinė leukemija (ŪML) yra nevienalytė piktybinė </w:t>
      </w:r>
      <w:r w:rsidR="00431003">
        <w:rPr>
          <w:rFonts w:eastAsia="Arial"/>
        </w:rPr>
        <w:t xml:space="preserve">kraujo </w:t>
      </w:r>
      <w:r w:rsidRPr="00727F11">
        <w:rPr>
          <w:rFonts w:eastAsia="Arial"/>
        </w:rPr>
        <w:t xml:space="preserve">liga, kuriai būdingas nenormalus nesubrendusių mieloidinės </w:t>
      </w:r>
      <w:r w:rsidR="00661005">
        <w:rPr>
          <w:rFonts w:eastAsia="Arial"/>
        </w:rPr>
        <w:t>eilės</w:t>
      </w:r>
      <w:r w:rsidR="00661005" w:rsidRPr="00727F11">
        <w:rPr>
          <w:rFonts w:eastAsia="Arial"/>
        </w:rPr>
        <w:t xml:space="preserve"> </w:t>
      </w:r>
      <w:r w:rsidRPr="00727F11">
        <w:rPr>
          <w:rFonts w:eastAsia="Arial"/>
        </w:rPr>
        <w:t xml:space="preserve">kraujodaros pirmtakų ląstelių proliferacija. Didelės rizikos ŪML </w:t>
      </w:r>
      <w:r w:rsidR="00661005">
        <w:rPr>
          <w:rFonts w:eastAsia="Arial"/>
        </w:rPr>
        <w:t>yra</w:t>
      </w:r>
      <w:r w:rsidRPr="00727F11">
        <w:rPr>
          <w:rFonts w:eastAsia="Arial"/>
        </w:rPr>
        <w:t xml:space="preserve"> dviejų pagrindinių tipų:</w:t>
      </w:r>
    </w:p>
    <w:p w14:paraId="24E76BC3" w14:textId="6FFB6734" w:rsidR="0063234F" w:rsidRPr="00BC3CB1" w:rsidRDefault="0063234F" w:rsidP="0063234F">
      <w:pPr>
        <w:pStyle w:val="ListParagraph"/>
        <w:numPr>
          <w:ilvl w:val="0"/>
          <w:numId w:val="14"/>
        </w:numPr>
        <w:spacing w:line="360" w:lineRule="auto"/>
        <w:jc w:val="both"/>
        <w:rPr>
          <w:rFonts w:eastAsia="Arial"/>
        </w:rPr>
      </w:pPr>
      <w:r w:rsidRPr="00BC3CB1">
        <w:rPr>
          <w:rFonts w:eastAsia="Arial"/>
        </w:rPr>
        <w:t>su terapija susijusi ūmin</w:t>
      </w:r>
      <w:r w:rsidR="00661005">
        <w:rPr>
          <w:rFonts w:eastAsia="Arial"/>
        </w:rPr>
        <w:t>ė</w:t>
      </w:r>
      <w:r w:rsidRPr="00BC3CB1">
        <w:rPr>
          <w:rFonts w:eastAsia="Arial"/>
        </w:rPr>
        <w:t xml:space="preserve"> mieloidin</w:t>
      </w:r>
      <w:r w:rsidR="00661005">
        <w:rPr>
          <w:rFonts w:eastAsia="Arial"/>
        </w:rPr>
        <w:t>ė</w:t>
      </w:r>
      <w:r w:rsidRPr="00BC3CB1">
        <w:rPr>
          <w:rFonts w:eastAsia="Arial"/>
        </w:rPr>
        <w:t xml:space="preserve"> leukemija (t-ŪML) išsivysto kaip komplikacija po ankstesnės chemoterapijos arba jonizuojančiosios spinduliuotės poveikio</w:t>
      </w:r>
      <w:r w:rsidR="00661005">
        <w:rPr>
          <w:rFonts w:eastAsia="Arial"/>
        </w:rPr>
        <w:t>;</w:t>
      </w:r>
    </w:p>
    <w:p w14:paraId="5D1DE2D7" w14:textId="77777777" w:rsidR="0063234F" w:rsidRPr="00BC3CB1" w:rsidRDefault="0063234F" w:rsidP="0063234F">
      <w:pPr>
        <w:pStyle w:val="ListParagraph"/>
        <w:numPr>
          <w:ilvl w:val="0"/>
          <w:numId w:val="14"/>
        </w:numPr>
        <w:spacing w:line="360" w:lineRule="auto"/>
        <w:jc w:val="both"/>
        <w:rPr>
          <w:rFonts w:eastAsia="Arial"/>
        </w:rPr>
      </w:pPr>
      <w:r w:rsidRPr="00BC3CB1">
        <w:rPr>
          <w:rFonts w:eastAsia="Arial"/>
        </w:rPr>
        <w:t>ŪML su mielodisplaziniais pakitimais (ŪML-MP) pasireiškia pacientams, kuriems yra buvęs mielodisplazinis sindromas/mieloproliferacinis navikas (MDS/MPN) arba yra su MDS susijusių citogenetinių anomalijų.</w:t>
      </w:r>
    </w:p>
    <w:p w14:paraId="5E944B7D" w14:textId="247744DA" w:rsidR="0063234F" w:rsidRDefault="0063234F" w:rsidP="0063234F">
      <w:pPr>
        <w:spacing w:line="360" w:lineRule="auto"/>
        <w:ind w:firstLine="720"/>
        <w:jc w:val="both"/>
        <w:rPr>
          <w:rFonts w:eastAsia="Arial"/>
        </w:rPr>
      </w:pPr>
      <w:r w:rsidRPr="00727F11">
        <w:rPr>
          <w:rFonts w:eastAsia="Arial"/>
        </w:rPr>
        <w:t xml:space="preserve">ŪML paprastai </w:t>
      </w:r>
      <w:r w:rsidR="00661005">
        <w:rPr>
          <w:rFonts w:eastAsia="Arial"/>
        </w:rPr>
        <w:t xml:space="preserve">laikoma </w:t>
      </w:r>
      <w:r w:rsidRPr="00727F11">
        <w:rPr>
          <w:rFonts w:eastAsia="Arial"/>
        </w:rPr>
        <w:t xml:space="preserve">vyresnio amžiaus žmonių liga, vidutinis </w:t>
      </w:r>
      <w:r w:rsidR="00661005">
        <w:rPr>
          <w:rFonts w:eastAsia="Arial"/>
        </w:rPr>
        <w:t xml:space="preserve">pacientų </w:t>
      </w:r>
      <w:r w:rsidRPr="00727F11">
        <w:rPr>
          <w:rFonts w:eastAsia="Arial"/>
        </w:rPr>
        <w:t>amžius yra 68 metai. ŪML dažnis Europoje yra 3,7 atvejo iš 100 000 bendrosios populiacijos</w:t>
      </w:r>
      <w:r w:rsidR="00661005">
        <w:rPr>
          <w:rFonts w:eastAsia="Arial"/>
        </w:rPr>
        <w:t xml:space="preserve"> žmonių</w:t>
      </w:r>
      <w:r w:rsidRPr="00727F11">
        <w:rPr>
          <w:rFonts w:eastAsia="Arial"/>
        </w:rPr>
        <w:t xml:space="preserve">, bet padidėja iki 13,7 atvejo 100 000 tarp 65 metų ir vyresnių žmonių. </w:t>
      </w:r>
      <w:r w:rsidR="00661005">
        <w:rPr>
          <w:rFonts w:eastAsia="Arial"/>
        </w:rPr>
        <w:t>Sergant d</w:t>
      </w:r>
      <w:r w:rsidRPr="00727F11">
        <w:rPr>
          <w:rFonts w:eastAsia="Arial"/>
        </w:rPr>
        <w:t xml:space="preserve">idelės rizikos </w:t>
      </w:r>
      <w:r>
        <w:rPr>
          <w:rFonts w:eastAsia="Arial"/>
        </w:rPr>
        <w:t>Ū</w:t>
      </w:r>
      <w:r w:rsidRPr="00727F11">
        <w:rPr>
          <w:rFonts w:eastAsia="Arial"/>
        </w:rPr>
        <w:t>ML bendr</w:t>
      </w:r>
      <w:r w:rsidR="00661005">
        <w:rPr>
          <w:rFonts w:eastAsia="Arial"/>
        </w:rPr>
        <w:t>o</w:t>
      </w:r>
      <w:r w:rsidRPr="00727F11">
        <w:rPr>
          <w:rFonts w:eastAsia="Arial"/>
        </w:rPr>
        <w:t xml:space="preserve"> išgyvenamum</w:t>
      </w:r>
      <w:r w:rsidR="00661005">
        <w:rPr>
          <w:rFonts w:eastAsia="Arial"/>
        </w:rPr>
        <w:t>o</w:t>
      </w:r>
      <w:r w:rsidRPr="00727F11">
        <w:rPr>
          <w:rFonts w:eastAsia="Arial"/>
        </w:rPr>
        <w:t xml:space="preserve"> (</w:t>
      </w:r>
      <w:r>
        <w:rPr>
          <w:rFonts w:eastAsia="Arial"/>
        </w:rPr>
        <w:t>BI</w:t>
      </w:r>
      <w:r w:rsidRPr="00727F11">
        <w:rPr>
          <w:rFonts w:eastAsia="Arial"/>
        </w:rPr>
        <w:t xml:space="preserve">) </w:t>
      </w:r>
      <w:r w:rsidR="00661005">
        <w:rPr>
          <w:rFonts w:eastAsia="Arial"/>
        </w:rPr>
        <w:t>rodiklis mažas .B</w:t>
      </w:r>
      <w:r w:rsidRPr="00727F11">
        <w:rPr>
          <w:rFonts w:eastAsia="Arial"/>
        </w:rPr>
        <w:t xml:space="preserve">e gydymo, t-ŪML ir AML-MP 5 metų </w:t>
      </w:r>
      <w:r>
        <w:rPr>
          <w:rFonts w:eastAsia="Arial"/>
        </w:rPr>
        <w:t>BI</w:t>
      </w:r>
      <w:r w:rsidRPr="00727F11">
        <w:rPr>
          <w:rFonts w:eastAsia="Arial"/>
        </w:rPr>
        <w:t xml:space="preserve"> nuo diagnozės nustatymo yra atitinkamai 2,4 </w:t>
      </w:r>
      <w:r>
        <w:rPr>
          <w:rFonts w:eastAsia="Arial"/>
        </w:rPr>
        <w:t>proc.</w:t>
      </w:r>
      <w:r w:rsidRPr="00727F11">
        <w:rPr>
          <w:rFonts w:eastAsia="Arial"/>
        </w:rPr>
        <w:t xml:space="preserve"> ir 2,8 </w:t>
      </w:r>
      <w:r>
        <w:rPr>
          <w:rFonts w:eastAsia="Arial"/>
        </w:rPr>
        <w:t>proc.</w:t>
      </w:r>
    </w:p>
    <w:p w14:paraId="7A20DE23" w14:textId="2A585643" w:rsidR="0063234F" w:rsidRPr="00727F11" w:rsidRDefault="0063234F" w:rsidP="0063234F">
      <w:pPr>
        <w:spacing w:line="360" w:lineRule="auto"/>
        <w:ind w:firstLine="720"/>
        <w:jc w:val="both"/>
        <w:rPr>
          <w:rFonts w:eastAsia="Arial"/>
        </w:rPr>
      </w:pPr>
      <w:r w:rsidRPr="00727F11">
        <w:rPr>
          <w:rFonts w:eastAsia="Arial"/>
        </w:rPr>
        <w:t>ŪML gydymo metodo parinkimas priklauso nuo paciento tinkamumo gydyti. Sprendimas, ar pacientas tinkamas intensyviam gydymui, ar ne, yra subjektyvus gydančio gydytojo sprendimas paremtas biologinio amžiaus samprata. Tų pacientų, kuriems gali būti taikomas standartinis indukcinis ir konsoliduojamasis gydymas</w:t>
      </w:r>
      <w:r w:rsidR="00BD0141">
        <w:rPr>
          <w:rFonts w:eastAsia="Arial"/>
        </w:rPr>
        <w:t xml:space="preserve"> (</w:t>
      </w:r>
      <w:r w:rsidRPr="00727F11">
        <w:rPr>
          <w:rFonts w:eastAsia="Arial"/>
        </w:rPr>
        <w:t xml:space="preserve"> taip vadinam</w:t>
      </w:r>
      <w:r w:rsidR="00BD0141">
        <w:rPr>
          <w:rFonts w:eastAsia="Arial"/>
        </w:rPr>
        <w:t>i</w:t>
      </w:r>
      <w:r w:rsidRPr="00727F11">
        <w:rPr>
          <w:rFonts w:eastAsia="Arial"/>
        </w:rPr>
        <w:t xml:space="preserve"> „tinkamų“ pacient</w:t>
      </w:r>
      <w:r w:rsidR="00BD0141">
        <w:rPr>
          <w:rFonts w:eastAsia="Arial"/>
        </w:rPr>
        <w:t>ai)</w:t>
      </w:r>
      <w:r w:rsidRPr="00727F11">
        <w:rPr>
          <w:rFonts w:eastAsia="Arial"/>
        </w:rPr>
        <w:t>, apima du pagrindinius etapus</w:t>
      </w:r>
      <w:r w:rsidR="00BD0141">
        <w:rPr>
          <w:rFonts w:eastAsia="Arial"/>
        </w:rPr>
        <w:t>.</w:t>
      </w:r>
      <w:r>
        <w:rPr>
          <w:rFonts w:eastAsia="Arial"/>
        </w:rPr>
        <w:t xml:space="preserve"> 1. Remisijos pasiekimas. 2. H</w:t>
      </w:r>
      <w:r w:rsidRPr="00727F11">
        <w:rPr>
          <w:rFonts w:eastAsia="Arial"/>
        </w:rPr>
        <w:t>ematopoetinių kamieninių ląstelių transplantacij</w:t>
      </w:r>
      <w:r w:rsidR="00BD0141">
        <w:rPr>
          <w:rFonts w:eastAsia="Arial"/>
        </w:rPr>
        <w:t>a</w:t>
      </w:r>
      <w:r>
        <w:rPr>
          <w:rFonts w:eastAsia="Arial"/>
        </w:rPr>
        <w:t>s</w:t>
      </w:r>
      <w:r w:rsidRPr="00727F11">
        <w:rPr>
          <w:rFonts w:eastAsia="Arial"/>
        </w:rPr>
        <w:t xml:space="preserve"> (HKLT</w:t>
      </w:r>
      <w:r>
        <w:rPr>
          <w:rFonts w:eastAsia="Arial"/>
        </w:rPr>
        <w:t xml:space="preserve">). </w:t>
      </w:r>
      <w:r w:rsidRPr="00727F11">
        <w:rPr>
          <w:rFonts w:eastAsia="Arial"/>
        </w:rPr>
        <w:t>Mažiau intensyvus gydymas gali būti taikomas pacientams, sergantiems palankios ar vidutinės rizikos liga arba tiems, kurie laikomi netinkamais arba negali toleruoti didelių dozių intensyvios indukcijos režimų dėl medicininių būklių, neseniai atsiradusių komplikacijų, sveikatos būklės ir (arba) paciento pasirinkimo.</w:t>
      </w:r>
    </w:p>
    <w:p w14:paraId="59F6DBD9" w14:textId="19F20449" w:rsidR="0063234F" w:rsidRPr="002F331A" w:rsidRDefault="0063234F" w:rsidP="0063234F">
      <w:pPr>
        <w:spacing w:line="360" w:lineRule="auto"/>
        <w:ind w:firstLine="720"/>
        <w:jc w:val="both"/>
      </w:pPr>
      <w:r w:rsidRPr="002F331A">
        <w:t xml:space="preserve">Vyxeos Liposomal yra </w:t>
      </w:r>
      <w:r w:rsidR="00B5443F">
        <w:t xml:space="preserve">liposominės sudėties </w:t>
      </w:r>
      <w:r w:rsidRPr="002F331A">
        <w:t xml:space="preserve">daunorubicino ir citarabino </w:t>
      </w:r>
      <w:r w:rsidR="00B5443F">
        <w:t>derinys</w:t>
      </w:r>
      <w:r w:rsidRPr="002F331A">
        <w:t xml:space="preserve">, kurio molinis santykis 1:5. Molinis santykis 1:5 </w:t>
      </w:r>
      <w:r w:rsidRPr="002167F2">
        <w:rPr>
          <w:i/>
        </w:rPr>
        <w:t>in vitro</w:t>
      </w:r>
      <w:r w:rsidRPr="002F331A">
        <w:t xml:space="preserve"> ir </w:t>
      </w:r>
      <w:r w:rsidRPr="002167F2">
        <w:rPr>
          <w:i/>
        </w:rPr>
        <w:t>in vivo</w:t>
      </w:r>
      <w:r w:rsidRPr="002F331A">
        <w:t xml:space="preserve"> tyrimų metu pasižymėjo maksimaliu sinergistiniu priešnavikiniu poveikiu ŪML atveju.</w:t>
      </w:r>
    </w:p>
    <w:p w14:paraId="6E5D0CD7" w14:textId="77777777" w:rsidR="0063234F" w:rsidRPr="002F331A" w:rsidRDefault="0063234F" w:rsidP="0063234F">
      <w:pPr>
        <w:spacing w:line="360" w:lineRule="auto"/>
        <w:ind w:firstLine="720"/>
        <w:jc w:val="both"/>
      </w:pPr>
      <w:r w:rsidRPr="002F331A">
        <w:t xml:space="preserve">Daunorubicinas pasižymi antimitoziniu ir citotoksiniu veikimu, šis poveikis pasiekiamas jam sudarant kompleksus su DNR, inhibuojant topoizomerazės II aktyvumą, slopinant DNR polimerazės aktyvumą, paveikiant genų ekspresijos reguliaciją ir išgaunant DNR-pažeidžiančius laisvuosius radikalus. Citarabinas yra specifinis ląstelinio ciklo fazės antineoplastinis preparatas, pasižymintis poveikiu ląstelėms tik ląstelių dauginimosi S-fazėje. Ląstelės viduje citarabinas konvertuojamas į citarabino-5-trifosfatą (ara-CTP), aktyvų metabolitą. Veikimo mechanizmas nėra iki galo aiškus, bet atrodo, kad ara-CTP visų pirma veikia per DNR sintezės inhibiciją. Prisijungimas prie DNR ir RNR taip pat gali prisidėti prie citarabino citotoksiškumo. Citarabinas pasižymi citotoksinėmis savybėmis žinduolių proliferuojančių ląstelių kultūrose. </w:t>
      </w:r>
    </w:p>
    <w:p w14:paraId="02C27B5C" w14:textId="7EC04E9D" w:rsidR="0063234F" w:rsidRDefault="0063234F" w:rsidP="0063234F">
      <w:pPr>
        <w:spacing w:line="360" w:lineRule="auto"/>
        <w:ind w:firstLine="720"/>
        <w:jc w:val="both"/>
        <w:rPr>
          <w:color w:val="000000"/>
          <w:highlight w:val="yellow"/>
          <w:lang w:eastAsia="lt-LT"/>
        </w:rPr>
      </w:pPr>
      <w:r w:rsidRPr="002F331A">
        <w:rPr>
          <w:color w:val="000000"/>
          <w:lang w:eastAsia="lt-LT"/>
        </w:rPr>
        <w:t xml:space="preserve">Paraiškoje teikiama indikacija – </w:t>
      </w:r>
      <w:r w:rsidRPr="002F331A">
        <w:t>Vyxeos Liposomal skirtas suaugusiųjų</w:t>
      </w:r>
      <w:r>
        <w:t>, sergančių naujai diagnozuota</w:t>
      </w:r>
      <w:r w:rsidRPr="002F331A">
        <w:t xml:space="preserve"> t-ŪML ar ŪML-MP gydymui</w:t>
      </w:r>
      <w:r w:rsidRPr="002F331A">
        <w:rPr>
          <w:rFonts w:eastAsia="Arial"/>
        </w:rPr>
        <w:t xml:space="preserve">. </w:t>
      </w:r>
      <w:r w:rsidRPr="002F331A">
        <w:t xml:space="preserve">Vyxeos Liposomal </w:t>
      </w:r>
      <w:r w:rsidRPr="002F331A">
        <w:rPr>
          <w:rFonts w:eastAsia="Arial"/>
        </w:rPr>
        <w:t xml:space="preserve">būtų skiriamas vietoje šiuo metu, pasak Pareiškėjo, klinikinėje praktikoje naudojamo gydymo 7+3 schema. Toks </w:t>
      </w:r>
      <w:r w:rsidRPr="002F331A">
        <w:t xml:space="preserve">Vyxeos Liposomal </w:t>
      </w:r>
      <w:r w:rsidRPr="002F331A">
        <w:rPr>
          <w:rFonts w:eastAsia="Arial"/>
        </w:rPr>
        <w:t xml:space="preserve">skyrimas yra nurodytas tarptautinėse Europos Medicinos Onkologų draugijos (angl. European Society of Medical Oncology, ESMO) 2020 m. ŪML gydymo gairėse, kurios rekomenduoja </w:t>
      </w:r>
      <w:r w:rsidRPr="002F331A">
        <w:t>Vyxeos Liposomal</w:t>
      </w:r>
      <w:r w:rsidRPr="002F331A">
        <w:rPr>
          <w:rFonts w:eastAsia="Arial"/>
        </w:rPr>
        <w:t xml:space="preserve"> skirti visiems pacientams, kuriems yra nustatyta t-ŪML ar ŪML-MP bei paciento amžius &gt;60 m</w:t>
      </w:r>
      <w:r>
        <w:rPr>
          <w:rFonts w:eastAsia="Arial"/>
        </w:rPr>
        <w:t xml:space="preserve">. </w:t>
      </w:r>
      <w:r w:rsidR="00BD0141">
        <w:rPr>
          <w:rFonts w:eastAsia="Arial"/>
        </w:rPr>
        <w:t>Pažymėtina</w:t>
      </w:r>
      <w:r>
        <w:rPr>
          <w:rFonts w:eastAsia="Arial"/>
        </w:rPr>
        <w:t xml:space="preserve">, kad didžioji populiacijos dalis, kuriai šis gydymas yra aktualus, yra vyresnio amžiaus pacientai. </w:t>
      </w:r>
    </w:p>
    <w:p w14:paraId="7A033795" w14:textId="5F0A99B7" w:rsidR="0063234F" w:rsidRPr="00BC3CB1" w:rsidRDefault="0063234F" w:rsidP="0063234F">
      <w:pPr>
        <w:tabs>
          <w:tab w:val="left" w:pos="426"/>
        </w:tabs>
        <w:spacing w:line="360" w:lineRule="auto"/>
        <w:jc w:val="both"/>
        <w:rPr>
          <w:rFonts w:eastAsia="Arial"/>
        </w:rPr>
      </w:pPr>
      <w:r w:rsidRPr="00BC3CB1">
        <w:rPr>
          <w:bCs/>
        </w:rPr>
        <w:t xml:space="preserve"> </w:t>
      </w:r>
    </w:p>
    <w:p w14:paraId="6878540D" w14:textId="7B057A15" w:rsidR="0063234F" w:rsidRPr="00C25D91" w:rsidRDefault="0063234F" w:rsidP="002167F2">
      <w:pPr>
        <w:spacing w:line="360" w:lineRule="auto"/>
        <w:rPr>
          <w:rFonts w:eastAsia="Arial"/>
        </w:rPr>
      </w:pPr>
      <w:r w:rsidRPr="00BC3CB1">
        <w:rPr>
          <w:color w:val="000000"/>
          <w:lang w:eastAsia="lt-LT"/>
        </w:rPr>
        <w:tab/>
        <w:t xml:space="preserve">Šiuo metu Lietuvoje nėra ŪML gydymo tvarkos aprašo, todėl vertinant palyginamojo gydymo tinkamumą buvo remtasi </w:t>
      </w:r>
      <w:r>
        <w:rPr>
          <w:color w:val="000000"/>
          <w:lang w:eastAsia="lt-LT"/>
        </w:rPr>
        <w:t xml:space="preserve">Pareiškėjo pateiktais duomenis, </w:t>
      </w:r>
      <w:r w:rsidR="00852922">
        <w:rPr>
          <w:color w:val="000000"/>
          <w:lang w:eastAsia="lt-LT"/>
        </w:rPr>
        <w:t>Europos medicin</w:t>
      </w:r>
      <w:r w:rsidR="00674CAB">
        <w:rPr>
          <w:color w:val="000000"/>
          <w:lang w:eastAsia="lt-LT"/>
        </w:rPr>
        <w:t>i</w:t>
      </w:r>
      <w:r w:rsidR="00852922">
        <w:rPr>
          <w:color w:val="000000"/>
          <w:lang w:eastAsia="lt-LT"/>
        </w:rPr>
        <w:t>nės onkologijos draugijos (angl</w:t>
      </w:r>
      <w:r w:rsidR="007C7718">
        <w:rPr>
          <w:color w:val="000000"/>
          <w:lang w:eastAsia="lt-LT"/>
        </w:rPr>
        <w:t>.</w:t>
      </w:r>
      <w:r w:rsidR="00852922">
        <w:rPr>
          <w:color w:val="000000"/>
          <w:lang w:eastAsia="lt-LT"/>
        </w:rPr>
        <w:t xml:space="preserve"> </w:t>
      </w:r>
      <w:r w:rsidR="00852922" w:rsidRPr="002167F2">
        <w:rPr>
          <w:i/>
          <w:color w:val="000000"/>
          <w:lang w:eastAsia="lt-LT"/>
        </w:rPr>
        <w:t>European Society for Medicinal Oncology,</w:t>
      </w:r>
      <w:r w:rsidR="007C7718" w:rsidRPr="002167F2">
        <w:rPr>
          <w:i/>
          <w:color w:val="000000"/>
          <w:lang w:eastAsia="lt-LT"/>
        </w:rPr>
        <w:t xml:space="preserve"> </w:t>
      </w:r>
      <w:r w:rsidRPr="002167F2">
        <w:rPr>
          <w:i/>
          <w:color w:val="000000"/>
          <w:lang w:eastAsia="lt-LT"/>
        </w:rPr>
        <w:t>ESMO</w:t>
      </w:r>
      <w:r w:rsidR="00674CAB">
        <w:rPr>
          <w:color w:val="000000"/>
          <w:lang w:eastAsia="lt-LT"/>
        </w:rPr>
        <w:t>)</w:t>
      </w:r>
      <w:r>
        <w:rPr>
          <w:color w:val="000000"/>
          <w:lang w:eastAsia="lt-LT"/>
        </w:rPr>
        <w:t xml:space="preserve"> 2020 m. ŪML gydymo gairėmis bei Santaros ligoninės gydytojų specialistų </w:t>
      </w:r>
      <w:r w:rsidR="00852922">
        <w:rPr>
          <w:color w:val="000000"/>
          <w:lang w:eastAsia="lt-LT"/>
        </w:rPr>
        <w:t>nurodyta</w:t>
      </w:r>
      <w:r w:rsidR="00674CAB">
        <w:rPr>
          <w:color w:val="000000"/>
          <w:lang w:eastAsia="lt-LT"/>
        </w:rPr>
        <w:t xml:space="preserve"> informacija apie klinikinėje praktikoje taikomus</w:t>
      </w:r>
      <w:r w:rsidR="00852922">
        <w:rPr>
          <w:color w:val="000000"/>
          <w:lang w:eastAsia="lt-LT"/>
        </w:rPr>
        <w:t xml:space="preserve"> </w:t>
      </w:r>
      <w:r>
        <w:rPr>
          <w:color w:val="000000"/>
          <w:lang w:eastAsia="lt-LT"/>
        </w:rPr>
        <w:t>gydymo režim</w:t>
      </w:r>
      <w:r w:rsidR="00674CAB">
        <w:rPr>
          <w:color w:val="000000"/>
          <w:lang w:eastAsia="lt-LT"/>
        </w:rPr>
        <w:t>us</w:t>
      </w:r>
      <w:r>
        <w:rPr>
          <w:color w:val="000000"/>
          <w:lang w:eastAsia="lt-LT"/>
        </w:rPr>
        <w:t>.</w:t>
      </w:r>
      <w:r w:rsidRPr="00BC3CB1">
        <w:rPr>
          <w:color w:val="000000"/>
          <w:lang w:eastAsia="lt-LT"/>
        </w:rPr>
        <w:t xml:space="preserve"> </w:t>
      </w:r>
      <w:r w:rsidRPr="00BC3CB1">
        <w:rPr>
          <w:rFonts w:eastAsia="Arial"/>
        </w:rPr>
        <w:t xml:space="preserve">Įvertinus </w:t>
      </w:r>
      <w:r>
        <w:rPr>
          <w:rFonts w:eastAsia="Arial"/>
        </w:rPr>
        <w:t>gydytojų specialistų pateikt</w:t>
      </w:r>
      <w:r w:rsidR="00674CAB">
        <w:rPr>
          <w:rFonts w:eastAsia="Arial"/>
        </w:rPr>
        <w:t xml:space="preserve">ą informaciją  </w:t>
      </w:r>
      <w:r w:rsidR="00B020A7">
        <w:rPr>
          <w:rFonts w:eastAsia="Arial"/>
        </w:rPr>
        <w:t xml:space="preserve">apie </w:t>
      </w:r>
      <w:r w:rsidR="00674CAB">
        <w:rPr>
          <w:rFonts w:eastAsia="Arial"/>
        </w:rPr>
        <w:t xml:space="preserve">Lietuvos klinikinę praktiką ir vadovaujantis </w:t>
      </w:r>
      <w:r w:rsidR="00674CAB" w:rsidRPr="00BC3CB1">
        <w:rPr>
          <w:bCs/>
          <w:lang w:eastAsia="lt-LT"/>
        </w:rPr>
        <w:t>Lietuvos Respublikos sveikatos apsaugos ministro 2002 m. balandžio 5 d. įsakymą Nr. V-159 „Dė</w:t>
      </w:r>
      <w:r w:rsidR="00674CAB" w:rsidRPr="00BC3CB1">
        <w:rPr>
          <w:bCs/>
        </w:rPr>
        <w:t>l vaistinių preparatų ir medicinos pagalbos priemonių įrašymo į kompensavimo sąrašus ir jų keitimo tvarkos aprašo patvirtinimo“ 116-119 p</w:t>
      </w:r>
      <w:r w:rsidR="00674CAB">
        <w:rPr>
          <w:bCs/>
        </w:rPr>
        <w:t>unktus</w:t>
      </w:r>
      <w:r>
        <w:rPr>
          <w:rFonts w:eastAsia="Arial"/>
        </w:rPr>
        <w:t xml:space="preserve">, </w:t>
      </w:r>
      <w:r w:rsidR="00852922">
        <w:rPr>
          <w:rFonts w:eastAsia="Arial"/>
        </w:rPr>
        <w:t>nustatyta</w:t>
      </w:r>
      <w:r>
        <w:rPr>
          <w:rFonts w:eastAsia="Arial"/>
        </w:rPr>
        <w:t>, kad tinkam</w:t>
      </w:r>
      <w:r w:rsidR="00852922">
        <w:rPr>
          <w:rFonts w:eastAsia="Arial"/>
        </w:rPr>
        <w:t>u</w:t>
      </w:r>
      <w:r>
        <w:rPr>
          <w:rFonts w:eastAsia="Arial"/>
        </w:rPr>
        <w:t xml:space="preserve"> palyginam</w:t>
      </w:r>
      <w:r w:rsidR="00852922">
        <w:rPr>
          <w:rFonts w:eastAsia="Arial"/>
        </w:rPr>
        <w:t>uoju</w:t>
      </w:r>
      <w:r>
        <w:rPr>
          <w:rFonts w:eastAsia="Arial"/>
        </w:rPr>
        <w:t xml:space="preserve"> gydym</w:t>
      </w:r>
      <w:r w:rsidR="00852922">
        <w:rPr>
          <w:rFonts w:eastAsia="Arial"/>
        </w:rPr>
        <w:t>u</w:t>
      </w:r>
      <w:r>
        <w:rPr>
          <w:rFonts w:eastAsia="Arial"/>
        </w:rPr>
        <w:t xml:space="preserve"> gali būti </w:t>
      </w:r>
      <w:r w:rsidR="00852922">
        <w:rPr>
          <w:rFonts w:eastAsia="Arial"/>
        </w:rPr>
        <w:t xml:space="preserve">laikomas </w:t>
      </w:r>
      <w:r w:rsidRPr="00BC3CB1">
        <w:rPr>
          <w:bCs/>
        </w:rPr>
        <w:t>citarabino</w:t>
      </w:r>
      <w:r>
        <w:rPr>
          <w:bCs/>
        </w:rPr>
        <w:t xml:space="preserve"> ir </w:t>
      </w:r>
      <w:r w:rsidRPr="00BC3CB1">
        <w:rPr>
          <w:bCs/>
        </w:rPr>
        <w:t>daunorubicino gydymo schema 7+3</w:t>
      </w:r>
      <w:r>
        <w:rPr>
          <w:bCs/>
        </w:rPr>
        <w:t xml:space="preserve">. </w:t>
      </w:r>
    </w:p>
    <w:p w14:paraId="2B172740" w14:textId="77777777" w:rsidR="00852922" w:rsidRDefault="00852922" w:rsidP="0063234F">
      <w:pPr>
        <w:tabs>
          <w:tab w:val="left" w:pos="426"/>
        </w:tabs>
        <w:spacing w:line="360" w:lineRule="auto"/>
        <w:jc w:val="both"/>
        <w:rPr>
          <w:i/>
        </w:rPr>
      </w:pPr>
    </w:p>
    <w:p w14:paraId="6B3D707B" w14:textId="129CF95D" w:rsidR="0063234F" w:rsidRPr="00C77274" w:rsidRDefault="0063234F" w:rsidP="0063234F">
      <w:pPr>
        <w:tabs>
          <w:tab w:val="left" w:pos="426"/>
        </w:tabs>
        <w:spacing w:line="360" w:lineRule="auto"/>
        <w:jc w:val="both"/>
        <w:rPr>
          <w:i/>
        </w:rPr>
      </w:pPr>
      <w:r w:rsidRPr="00674CAB">
        <w:rPr>
          <w:i/>
        </w:rPr>
        <w:t>Tiesioginis palyginimas</w:t>
      </w:r>
    </w:p>
    <w:p w14:paraId="2F10FEE5" w14:textId="1C9B110C" w:rsidR="0063234F" w:rsidRPr="00BA70BC" w:rsidRDefault="0063234F" w:rsidP="0063234F">
      <w:pPr>
        <w:tabs>
          <w:tab w:val="left" w:pos="426"/>
        </w:tabs>
        <w:spacing w:line="360" w:lineRule="auto"/>
        <w:jc w:val="both"/>
        <w:rPr>
          <w:rFonts w:eastAsia="Arial"/>
        </w:rPr>
      </w:pPr>
      <w:r w:rsidRPr="00C77274">
        <w:rPr>
          <w:lang w:eastAsia="lt-LT"/>
        </w:rPr>
        <w:tab/>
      </w:r>
      <w:r w:rsidRPr="00C77274">
        <w:rPr>
          <w:lang w:eastAsia="lt-LT"/>
        </w:rPr>
        <w:tab/>
      </w:r>
      <w:r w:rsidR="00DE2BA8" w:rsidRPr="00012DB9">
        <w:rPr>
          <w:color w:val="000000"/>
          <w:lang w:eastAsia="lt-LT"/>
        </w:rPr>
        <w:t xml:space="preserve">Vaistinio preparato palyginamasis veiksmingumas grindžiamas tiesioginio palyginamojo </w:t>
      </w:r>
      <w:r w:rsidR="00DE2BA8">
        <w:rPr>
          <w:color w:val="000000"/>
          <w:lang w:eastAsia="lt-LT"/>
        </w:rPr>
        <w:t xml:space="preserve">registracinio klinikinio tyrimo </w:t>
      </w:r>
      <w:r w:rsidR="00DE2BA8" w:rsidRPr="00012DB9">
        <w:rPr>
          <w:rFonts w:eastAsia="Arial"/>
          <w:color w:val="000000" w:themeColor="text1"/>
        </w:rPr>
        <w:t>CLTR0310-301</w:t>
      </w:r>
      <w:r w:rsidR="00DE2BA8" w:rsidRPr="00012DB9">
        <w:rPr>
          <w:color w:val="000000"/>
          <w:lang w:eastAsia="lt-LT"/>
        </w:rPr>
        <w:t xml:space="preserve"> duomenimis</w:t>
      </w:r>
      <w:r w:rsidR="00DE2BA8">
        <w:rPr>
          <w:color w:val="000000"/>
          <w:lang w:eastAsia="lt-LT"/>
        </w:rPr>
        <w:t>.</w:t>
      </w:r>
      <w:r w:rsidR="00DE2BA8" w:rsidRPr="00C77274">
        <w:rPr>
          <w:lang w:eastAsia="lt-LT"/>
        </w:rPr>
        <w:t xml:space="preserve"> </w:t>
      </w:r>
      <w:r w:rsidRPr="00C77274">
        <w:t xml:space="preserve">CLTR0310-301 </w:t>
      </w:r>
      <w:r w:rsidR="00DE2BA8">
        <w:t>tyrimas  -</w:t>
      </w:r>
      <w:r w:rsidRPr="00C77274">
        <w:t xml:space="preserve"> atsitiktinių imčių, daugiacentris, atviras</w:t>
      </w:r>
      <w:r w:rsidR="00DE2BA8">
        <w:t>is</w:t>
      </w:r>
      <w:r w:rsidRPr="00C77274">
        <w:t xml:space="preserve">, lygiagrečių grupių pranašumo tyrimas, kurio metu buvo vertinamas Vyxeos Liposomal </w:t>
      </w:r>
      <w:r w:rsidR="00DE2BA8">
        <w:t>po</w:t>
      </w:r>
      <w:r w:rsidRPr="00C77274">
        <w:t>veikis, lyginant jį su citarabino ir daunorubicino (7+3) gydymo schema</w:t>
      </w:r>
      <w:r w:rsidR="00DE2BA8">
        <w:t xml:space="preserve"> (Lietuvos įprastinę klinikinę praktiką atitinkantis palyginamasis gydymas)</w:t>
      </w:r>
      <w:r w:rsidRPr="00C77274">
        <w:t xml:space="preserve">. </w:t>
      </w:r>
      <w:r w:rsidR="00DE2BA8">
        <w:t xml:space="preserve"> </w:t>
      </w:r>
      <w:r w:rsidRPr="00BA70BC">
        <w:t xml:space="preserve">Remiantis įtraukimo ir atmetimo kriterijais, parinkta pacientų populiacija </w:t>
      </w:r>
      <w:r w:rsidRPr="00BA70BC">
        <w:rPr>
          <w:rFonts w:eastAsia="Arial"/>
        </w:rPr>
        <w:t xml:space="preserve">atitinka Pareiškėjo siūlomą kompensuoti </w:t>
      </w:r>
      <w:r w:rsidR="00DE2BA8">
        <w:rPr>
          <w:rFonts w:eastAsia="Arial"/>
        </w:rPr>
        <w:t xml:space="preserve">terapinę </w:t>
      </w:r>
      <w:r w:rsidRPr="00BA70BC">
        <w:rPr>
          <w:rFonts w:eastAsia="Arial"/>
        </w:rPr>
        <w:t xml:space="preserve">indikaciją Lietuvoje. </w:t>
      </w:r>
    </w:p>
    <w:p w14:paraId="3A0F535C" w14:textId="51944FA0" w:rsidR="0063234F" w:rsidRPr="001E04ED" w:rsidRDefault="0063234F" w:rsidP="0063234F">
      <w:pPr>
        <w:tabs>
          <w:tab w:val="left" w:pos="426"/>
        </w:tabs>
        <w:spacing w:line="360" w:lineRule="auto"/>
        <w:jc w:val="both"/>
        <w:rPr>
          <w:rFonts w:eastAsia="Arial"/>
        </w:rPr>
      </w:pPr>
      <w:r w:rsidRPr="00BA70BC">
        <w:rPr>
          <w:rFonts w:eastAsia="Arial"/>
        </w:rPr>
        <w:tab/>
      </w:r>
      <w:r w:rsidRPr="00BA70BC">
        <w:rPr>
          <w:rFonts w:eastAsia="Arial"/>
        </w:rPr>
        <w:tab/>
      </w:r>
      <w:r w:rsidRPr="00BA70BC">
        <w:rPr>
          <w:bCs/>
          <w:iCs/>
          <w:lang w:eastAsia="lt-LT"/>
        </w:rPr>
        <w:t>P</w:t>
      </w:r>
      <w:r w:rsidRPr="00BA70BC">
        <w:t xml:space="preserve">acientai atsitiktiniu būdu santykiu 1:1 buvo suskirstyti į grupes ir jiems buvo paskirtas </w:t>
      </w:r>
      <w:r w:rsidRPr="00BA70BC">
        <w:rPr>
          <w:bCs/>
          <w:iCs/>
          <w:lang w:eastAsia="lt-LT"/>
        </w:rPr>
        <w:t>Vyxeos Liposomal</w:t>
      </w:r>
      <w:r w:rsidRPr="00BA70BC">
        <w:t xml:space="preserve">, arba citarabino ir daunorubicino (7+3) gydymo schema. Klinikinio tyrimo CLTR0310-301 ITT populiaciją sudarė 309 pacientai, iš kurių 153 pateko į </w:t>
      </w:r>
      <w:r w:rsidRPr="00BA70BC">
        <w:rPr>
          <w:bCs/>
          <w:iCs/>
          <w:lang w:eastAsia="lt-LT"/>
        </w:rPr>
        <w:t>Vyxeos Liposomal</w:t>
      </w:r>
      <w:r w:rsidRPr="00BA70BC">
        <w:t xml:space="preserve"> grupę, o 156 – į citarabino ir daunorubicino (7+3) grupę.</w:t>
      </w:r>
      <w:r w:rsidRPr="00BA70BC">
        <w:rPr>
          <w:rFonts w:eastAsia="Arial"/>
          <w:i/>
        </w:rPr>
        <w:t xml:space="preserve"> </w:t>
      </w:r>
      <w:r w:rsidRPr="00BA70BC">
        <w:rPr>
          <w:rFonts w:eastAsia="Arial"/>
        </w:rPr>
        <w:t>Tyrimo pagrindinė (</w:t>
      </w:r>
      <w:r w:rsidRPr="00BA70BC">
        <w:rPr>
          <w:rFonts w:eastAsia="Arial"/>
          <w:u w:val="single"/>
        </w:rPr>
        <w:t>pirminė</w:t>
      </w:r>
      <w:r w:rsidRPr="00BA70BC">
        <w:rPr>
          <w:rFonts w:eastAsia="Arial"/>
        </w:rPr>
        <w:t xml:space="preserve">) veiksmingumo </w:t>
      </w:r>
      <w:r w:rsidRPr="00BA70BC">
        <w:rPr>
          <w:rFonts w:eastAsia="Arial"/>
          <w:u w:val="single"/>
        </w:rPr>
        <w:t>vertinamoji baigtis</w:t>
      </w:r>
      <w:r w:rsidRPr="00BA70BC">
        <w:rPr>
          <w:rFonts w:eastAsia="Arial"/>
        </w:rPr>
        <w:t xml:space="preserve"> buvo </w:t>
      </w:r>
      <w:r w:rsidRPr="00BA70BC">
        <w:rPr>
          <w:rFonts w:eastAsia="Arial"/>
          <w:u w:val="single"/>
        </w:rPr>
        <w:t>bendrasis išgyvenamumas</w:t>
      </w:r>
      <w:r w:rsidR="00DE2BA8">
        <w:rPr>
          <w:rFonts w:eastAsia="Arial"/>
          <w:u w:val="single"/>
        </w:rPr>
        <w:t xml:space="preserve"> (</w:t>
      </w:r>
      <w:r w:rsidR="00DE2BA8" w:rsidRPr="00BA70BC">
        <w:rPr>
          <w:rFonts w:eastAsia="Arial"/>
        </w:rPr>
        <w:t>BI)</w:t>
      </w:r>
      <w:r w:rsidRPr="00BA70BC">
        <w:rPr>
          <w:rFonts w:eastAsia="Arial"/>
        </w:rPr>
        <w:t xml:space="preserve"> (angl. overall survival), antrinės baigtys buvo: </w:t>
      </w:r>
      <w:r w:rsidR="00DE2BA8">
        <w:rPr>
          <w:rFonts w:eastAsia="Arial"/>
        </w:rPr>
        <w:t>pilno</w:t>
      </w:r>
      <w:r w:rsidR="00DE2BA8" w:rsidRPr="00BA70BC">
        <w:rPr>
          <w:rFonts w:eastAsia="Arial"/>
        </w:rPr>
        <w:t xml:space="preserve"> </w:t>
      </w:r>
      <w:r w:rsidRPr="00BA70BC">
        <w:rPr>
          <w:rFonts w:eastAsia="Arial"/>
        </w:rPr>
        <w:t>atsako (</w:t>
      </w:r>
      <w:r w:rsidR="007E59A3">
        <w:rPr>
          <w:u w:val="single"/>
        </w:rPr>
        <w:t xml:space="preserve">angl. complete response, </w:t>
      </w:r>
      <w:r w:rsidRPr="00BA70BC">
        <w:rPr>
          <w:rFonts w:eastAsia="Arial"/>
        </w:rPr>
        <w:t xml:space="preserve">CR) bei </w:t>
      </w:r>
      <w:r w:rsidR="00DE2BA8">
        <w:rPr>
          <w:rFonts w:eastAsia="Arial"/>
        </w:rPr>
        <w:t>piln</w:t>
      </w:r>
      <w:r w:rsidR="00DE2BA8" w:rsidRPr="00BA70BC">
        <w:rPr>
          <w:rFonts w:eastAsia="Arial"/>
        </w:rPr>
        <w:t>o atsako</w:t>
      </w:r>
      <w:r w:rsidRPr="00BA70BC">
        <w:rPr>
          <w:rFonts w:eastAsia="Arial"/>
        </w:rPr>
        <w:t xml:space="preserve"> su nevisišku pasveikimu (</w:t>
      </w:r>
      <w:r w:rsidR="007E59A3">
        <w:rPr>
          <w:rFonts w:eastAsia="Arial"/>
        </w:rPr>
        <w:t xml:space="preserve">angl. </w:t>
      </w:r>
      <w:r w:rsidR="007E59A3">
        <w:rPr>
          <w:u w:val="single"/>
        </w:rPr>
        <w:t xml:space="preserve">complete response, </w:t>
      </w:r>
      <w:r w:rsidR="00A16D0D">
        <w:rPr>
          <w:u w:val="single"/>
        </w:rPr>
        <w:t>with incomplete hematological recovery</w:t>
      </w:r>
      <w:r w:rsidR="007E59A3" w:rsidRPr="00BA70BC">
        <w:rPr>
          <w:rFonts w:eastAsia="Arial"/>
        </w:rPr>
        <w:t xml:space="preserve"> </w:t>
      </w:r>
      <w:r w:rsidRPr="00BA70BC">
        <w:rPr>
          <w:rFonts w:eastAsia="Arial"/>
        </w:rPr>
        <w:t>CRi) dažnis, išgyvenamumas be įvykių</w:t>
      </w:r>
      <w:r w:rsidR="00F574B4">
        <w:rPr>
          <w:rFonts w:eastAsia="Arial"/>
        </w:rPr>
        <w:t xml:space="preserve"> </w:t>
      </w:r>
      <w:r w:rsidR="00F574B4">
        <w:rPr>
          <w:u w:val="single"/>
        </w:rPr>
        <w:t>(angl. event-free survival; EFS)</w:t>
      </w:r>
      <w:r w:rsidRPr="00BA70BC">
        <w:rPr>
          <w:rFonts w:eastAsia="Arial"/>
        </w:rPr>
        <w:t>, pac</w:t>
      </w:r>
      <w:r w:rsidR="00A536EE">
        <w:rPr>
          <w:rFonts w:eastAsia="Arial"/>
        </w:rPr>
        <w:t>i</w:t>
      </w:r>
      <w:r w:rsidRPr="00BA70BC">
        <w:rPr>
          <w:rFonts w:eastAsia="Arial"/>
        </w:rPr>
        <w:t>entų, kuriems buvo atlikta HLKT</w:t>
      </w:r>
      <w:r w:rsidRPr="001E04ED">
        <w:rPr>
          <w:rFonts w:eastAsia="Arial"/>
        </w:rPr>
        <w:t>, išeitys</w:t>
      </w:r>
      <w:r w:rsidRPr="001E04ED">
        <w:t xml:space="preserve">. Demografinės ir ligos charakteristikos pradinio vertinimo metu Vyxeos Liposomal ir citarabino ir daunorubicino (7+3) grupėje tiriamųjų grupėse buvo </w:t>
      </w:r>
      <w:r>
        <w:t>p</w:t>
      </w:r>
      <w:r w:rsidRPr="001E04ED">
        <w:t xml:space="preserve">anašios. </w:t>
      </w:r>
    </w:p>
    <w:p w14:paraId="78FDC4CA" w14:textId="13757C44" w:rsidR="0063234F" w:rsidRPr="001E04ED" w:rsidRDefault="0063234F" w:rsidP="0063234F">
      <w:pPr>
        <w:tabs>
          <w:tab w:val="left" w:pos="426"/>
        </w:tabs>
        <w:spacing w:line="360" w:lineRule="auto"/>
        <w:jc w:val="both"/>
        <w:rPr>
          <w:rFonts w:eastAsia="Arial"/>
          <w:color w:val="000000" w:themeColor="text1"/>
        </w:rPr>
      </w:pPr>
      <w:r w:rsidRPr="001E04ED">
        <w:tab/>
      </w:r>
      <w:r w:rsidRPr="001E04ED">
        <w:tab/>
        <w:t xml:space="preserve">Pirminės baigties analizė rodo, kad vidutinis išgyvenamumas Vyxeos Liposomal gydymo grupėje buvo 9,56 mėnesiai, lyginant su 5,95 mėnesiais 7+3 gydymo grupėje (RS 0,69, 95 proc. PI 0,52-0,90; p=0,005). Kaplan-Meier analizė nurodė, kad vienerių metų BI buvo 41,5 proc. Vyxeos Liposomal grupėje ir 27,6 proc. citarabino ir daunorubicino schemos 7+3 grupėje, atitinkamai dviejų metų analizė buvo 31,1 proc. ir 12,3 proc. </w:t>
      </w:r>
      <w:r w:rsidRPr="001E04ED">
        <w:rPr>
          <w:rFonts w:eastAsia="Arial"/>
          <w:color w:val="000000" w:themeColor="text1"/>
        </w:rPr>
        <w:t xml:space="preserve">Analizuojant </w:t>
      </w:r>
      <w:r w:rsidR="009957A9">
        <w:rPr>
          <w:rFonts w:eastAsia="Arial"/>
          <w:color w:val="000000" w:themeColor="text1"/>
        </w:rPr>
        <w:t xml:space="preserve">iš anksto numatytus </w:t>
      </w:r>
      <w:r w:rsidRPr="001E04ED">
        <w:rPr>
          <w:rFonts w:eastAsia="Arial"/>
          <w:color w:val="000000" w:themeColor="text1"/>
        </w:rPr>
        <w:t>pacientų pogrupius nustatyta, kad Vyxeos Liposomal</w:t>
      </w:r>
      <w:r w:rsidRPr="001E04ED">
        <w:t xml:space="preserve"> </w:t>
      </w:r>
      <w:r w:rsidR="002167F2">
        <w:t xml:space="preserve">taip pat </w:t>
      </w:r>
      <w:r w:rsidRPr="001E04ED">
        <w:t xml:space="preserve">sumažino pagrindinės vertinamosios baigties BI atvejų riziką. </w:t>
      </w:r>
    </w:p>
    <w:p w14:paraId="3A736774" w14:textId="6345AC82" w:rsidR="0063234F" w:rsidRPr="001E04ED" w:rsidRDefault="0063234F" w:rsidP="0063234F">
      <w:pPr>
        <w:tabs>
          <w:tab w:val="left" w:pos="426"/>
        </w:tabs>
        <w:spacing w:line="360" w:lineRule="auto"/>
        <w:jc w:val="both"/>
        <w:rPr>
          <w:noProof/>
        </w:rPr>
      </w:pPr>
      <w:r w:rsidRPr="001E04ED">
        <w:rPr>
          <w:rFonts w:eastAsia="Arial"/>
          <w:color w:val="000000" w:themeColor="text1"/>
        </w:rPr>
        <w:tab/>
      </w:r>
      <w:r w:rsidRPr="001E04ED">
        <w:rPr>
          <w:rFonts w:eastAsia="Arial"/>
          <w:color w:val="000000" w:themeColor="text1"/>
        </w:rPr>
        <w:tab/>
      </w:r>
      <w:r w:rsidR="00F574B4">
        <w:rPr>
          <w:rFonts w:eastAsia="Arial"/>
          <w:color w:val="000000" w:themeColor="text1"/>
        </w:rPr>
        <w:t xml:space="preserve">Vertinant antrines vertinamąsias baigtis, </w:t>
      </w:r>
      <w:r w:rsidRPr="001E04ED">
        <w:rPr>
          <w:noProof/>
        </w:rPr>
        <w:t xml:space="preserve">Vyxeos Liposomal </w:t>
      </w:r>
      <w:r w:rsidR="00F574B4">
        <w:rPr>
          <w:noProof/>
        </w:rPr>
        <w:t xml:space="preserve">buvo statistiškai patikimai </w:t>
      </w:r>
      <w:r w:rsidRPr="001E04ED">
        <w:rPr>
          <w:noProof/>
        </w:rPr>
        <w:t>pranaš</w:t>
      </w:r>
      <w:r w:rsidR="00F574B4">
        <w:rPr>
          <w:noProof/>
        </w:rPr>
        <w:t>esnis už</w:t>
      </w:r>
      <w:r w:rsidRPr="001E04ED">
        <w:rPr>
          <w:noProof/>
        </w:rPr>
        <w:t xml:space="preserve"> citaribino ir daunorubivino gydymo schemą:</w:t>
      </w:r>
    </w:p>
    <w:p w14:paraId="7854A088" w14:textId="77777777" w:rsidR="0063234F" w:rsidRPr="001E04ED" w:rsidRDefault="0063234F" w:rsidP="0063234F">
      <w:pPr>
        <w:pStyle w:val="ListParagraph"/>
        <w:numPr>
          <w:ilvl w:val="0"/>
          <w:numId w:val="15"/>
        </w:numPr>
        <w:tabs>
          <w:tab w:val="left" w:pos="426"/>
        </w:tabs>
        <w:spacing w:line="360" w:lineRule="auto"/>
        <w:jc w:val="both"/>
        <w:rPr>
          <w:rFonts w:eastAsia="Arial"/>
          <w:lang w:val="en-US"/>
        </w:rPr>
      </w:pPr>
      <w:r w:rsidRPr="001E04ED">
        <w:t>Vyxeos Liposomal buvo susijęs su žymiai didesniu bendru remisijos rodikliu (CR + CRi), palyginti su 7+3 schema (atitinkamai 47,7 proc. ir 33,3 proc.; p=0,016) ir CR dažniu (atitinkamai 37,3 proc. ir 25,6 proc.; p=0,04). CR + CRi dažnis tarp pacientų, kuriems buvo vienas indukcijos ciklas, buvo 55,2 proc. (58 iš 105 pacientų) Vyxeos Liposomal grupėje, palyginti su 34,0 proc. (34 iš 100 pacientų) 7+3 grupėje.</w:t>
      </w:r>
    </w:p>
    <w:p w14:paraId="619F87FA" w14:textId="77777777" w:rsidR="0063234F" w:rsidRPr="001E04ED" w:rsidRDefault="0063234F" w:rsidP="0063234F">
      <w:pPr>
        <w:pStyle w:val="ListParagraph"/>
        <w:numPr>
          <w:ilvl w:val="0"/>
          <w:numId w:val="15"/>
        </w:numPr>
        <w:tabs>
          <w:tab w:val="left" w:pos="426"/>
        </w:tabs>
        <w:spacing w:line="360" w:lineRule="auto"/>
        <w:jc w:val="both"/>
      </w:pPr>
      <w:r w:rsidRPr="001E04ED">
        <w:t xml:space="preserve">Vidutinis </w:t>
      </w:r>
      <w:r w:rsidRPr="00F574B4">
        <w:t>EFS</w:t>
      </w:r>
      <w:r w:rsidRPr="001E04ED">
        <w:t xml:space="preserve"> buvo reikšmingai pailgėjęs naudojant Vyxeos Liposomal, palyginti su 7+3 gydymo schema (atitinkamai 2,53 mėn. ir 1,31 mėn.; RS 0,74; 95 proc. PI, 0,58–0,96; p= 0,021). </w:t>
      </w:r>
    </w:p>
    <w:p w14:paraId="4030645A" w14:textId="77777777" w:rsidR="0063234F" w:rsidRPr="001E04ED" w:rsidRDefault="0063234F" w:rsidP="0063234F">
      <w:pPr>
        <w:pStyle w:val="ListParagraph"/>
        <w:numPr>
          <w:ilvl w:val="0"/>
          <w:numId w:val="15"/>
        </w:numPr>
        <w:tabs>
          <w:tab w:val="left" w:pos="426"/>
        </w:tabs>
        <w:spacing w:line="360" w:lineRule="auto"/>
        <w:jc w:val="both"/>
      </w:pPr>
      <w:r w:rsidRPr="001E04ED">
        <w:t>Daugumai pacientų, kuriems buvo atlikta alogeninė HKLT, buvo CR arba CRi Vyxeos Liposomal grupėje (atitinkamai 30 [57,7 proc.] iš 52 ir 10 [19,2 proc.] iš 52), ir 7+3 gydymo schemos grupėje (19 [48,7 proc.]). atitinkamai 39 ir 5 [12,8 proc.] iš 39). Tiriamoji BI analizė HKLT pacientų pogrupyje buvo palanki Vyxeos Liposomal (RS 0,46; 95 proc. PI, 0,24–0,89; p=0,009)</w:t>
      </w:r>
    </w:p>
    <w:p w14:paraId="1B86A511" w14:textId="77777777" w:rsidR="0063234F" w:rsidRPr="00111FC8" w:rsidRDefault="0063234F" w:rsidP="0063234F">
      <w:pPr>
        <w:tabs>
          <w:tab w:val="left" w:pos="426"/>
        </w:tabs>
        <w:spacing w:line="360" w:lineRule="auto"/>
        <w:jc w:val="both"/>
        <w:outlineLvl w:val="0"/>
        <w:rPr>
          <w:rFonts w:eastAsia="Arial"/>
          <w:bCs/>
        </w:rPr>
      </w:pPr>
      <w:r w:rsidRPr="001E04ED">
        <w:tab/>
      </w:r>
      <w:r w:rsidRPr="001E04ED">
        <w:tab/>
        <w:t xml:space="preserve">Pacientų praneštų baigčių analizė buvo atlikta naudojantis Q-TwiST metodologija. </w:t>
      </w:r>
      <w:r w:rsidRPr="001E04ED">
        <w:rPr>
          <w:rFonts w:eastAsia="Arial"/>
          <w:bCs/>
        </w:rPr>
        <w:t xml:space="preserve">Abiejose pacientų grupėse vidutinis laikas, praleistas esant „vertingam“ laikui TWiST būsenoje, buvo ilgesnis taikant Vyxeos Liposomal, palyginti su įprastine chemoterapija, o santykinis Q-TWiST padidėjimas buvo </w:t>
      </w:r>
      <w:r w:rsidRPr="00111FC8">
        <w:rPr>
          <w:rFonts w:eastAsia="Arial"/>
          <w:bCs/>
        </w:rPr>
        <w:t>gerokai didesnis už standartinę kliniškai svarbaus skirtumo slenkstį – 15 %:</w:t>
      </w:r>
    </w:p>
    <w:p w14:paraId="177744E3" w14:textId="77777777" w:rsidR="0063234F" w:rsidRPr="00111FC8" w:rsidRDefault="0063234F" w:rsidP="0063234F">
      <w:pPr>
        <w:pStyle w:val="ListParagraph"/>
        <w:numPr>
          <w:ilvl w:val="0"/>
          <w:numId w:val="13"/>
        </w:numPr>
        <w:tabs>
          <w:tab w:val="left" w:pos="426"/>
        </w:tabs>
        <w:spacing w:line="360" w:lineRule="auto"/>
        <w:jc w:val="both"/>
        <w:outlineLvl w:val="0"/>
        <w:rPr>
          <w:rFonts w:eastAsia="Arial"/>
          <w:bCs/>
        </w:rPr>
      </w:pPr>
      <w:r w:rsidRPr="00111FC8">
        <w:rPr>
          <w:rFonts w:eastAsia="Arial"/>
          <w:bCs/>
        </w:rPr>
        <w:t>Visa populiacija: santykinis Q-TWiST padidėjimas 53,6 %;</w:t>
      </w:r>
    </w:p>
    <w:p w14:paraId="559A656C" w14:textId="77777777" w:rsidR="0063234F" w:rsidRPr="00111FC8" w:rsidRDefault="0063234F" w:rsidP="0063234F">
      <w:pPr>
        <w:pStyle w:val="ListParagraph"/>
        <w:numPr>
          <w:ilvl w:val="0"/>
          <w:numId w:val="13"/>
        </w:numPr>
        <w:tabs>
          <w:tab w:val="left" w:pos="426"/>
        </w:tabs>
        <w:spacing w:line="360" w:lineRule="auto"/>
        <w:jc w:val="both"/>
        <w:outlineLvl w:val="0"/>
        <w:rPr>
          <w:rFonts w:eastAsia="Arial"/>
          <w:bCs/>
        </w:rPr>
      </w:pPr>
      <w:r w:rsidRPr="00111FC8">
        <w:rPr>
          <w:rFonts w:eastAsia="Arial"/>
          <w:bCs/>
        </w:rPr>
        <w:t>Pacientai, pasiekę CR arba CRi: santykinis Q-TWiST padidėjimas 39,8 %.</w:t>
      </w:r>
    </w:p>
    <w:p w14:paraId="1F31B97A" w14:textId="6B71AAE9" w:rsidR="0063234F" w:rsidRPr="00111FC8" w:rsidRDefault="0063234F" w:rsidP="0063234F">
      <w:pPr>
        <w:tabs>
          <w:tab w:val="left" w:pos="426"/>
        </w:tabs>
        <w:spacing w:line="360" w:lineRule="auto"/>
        <w:jc w:val="both"/>
        <w:rPr>
          <w:rFonts w:eastAsia="Arial"/>
          <w:bCs/>
        </w:rPr>
      </w:pPr>
      <w:r w:rsidRPr="00111FC8">
        <w:rPr>
          <w:rFonts w:eastAsia="Arial"/>
          <w:bCs/>
        </w:rPr>
        <w:tab/>
      </w:r>
      <w:r w:rsidRPr="00111FC8">
        <w:rPr>
          <w:rFonts w:eastAsia="Arial"/>
          <w:bCs/>
        </w:rPr>
        <w:tab/>
        <w:t xml:space="preserve">Pareiškėjas pateikė 5 metų (60 mėn.) stebėjimo analizės duomenis, kurie pagrindžia anksčiau </w:t>
      </w:r>
      <w:r w:rsidR="00F574B4">
        <w:rPr>
          <w:rFonts w:eastAsia="Arial"/>
          <w:bCs/>
        </w:rPr>
        <w:t>nustatytus</w:t>
      </w:r>
      <w:r w:rsidR="00F574B4" w:rsidRPr="00111FC8">
        <w:rPr>
          <w:rFonts w:eastAsia="Arial"/>
          <w:bCs/>
        </w:rPr>
        <w:t xml:space="preserve"> </w:t>
      </w:r>
      <w:r w:rsidRPr="00111FC8">
        <w:rPr>
          <w:rFonts w:eastAsia="Arial"/>
          <w:bCs/>
        </w:rPr>
        <w:t>rezultatus.</w:t>
      </w:r>
    </w:p>
    <w:p w14:paraId="51A53D9C" w14:textId="77777777" w:rsidR="0063234F" w:rsidRPr="00111FC8" w:rsidRDefault="0063234F" w:rsidP="0063234F">
      <w:pPr>
        <w:spacing w:line="360" w:lineRule="auto"/>
        <w:jc w:val="both"/>
        <w:outlineLvl w:val="0"/>
        <w:rPr>
          <w:rFonts w:eastAsia="Arial"/>
          <w:i/>
        </w:rPr>
      </w:pPr>
    </w:p>
    <w:p w14:paraId="4B395DAB" w14:textId="77777777" w:rsidR="0063234F" w:rsidRPr="00111FC8" w:rsidRDefault="0063234F" w:rsidP="0063234F">
      <w:pPr>
        <w:spacing w:line="360" w:lineRule="auto"/>
        <w:jc w:val="both"/>
        <w:outlineLvl w:val="0"/>
        <w:rPr>
          <w:rFonts w:eastAsia="Arial"/>
          <w:i/>
        </w:rPr>
      </w:pPr>
      <w:r w:rsidRPr="00111FC8">
        <w:rPr>
          <w:rFonts w:eastAsia="Arial"/>
          <w:i/>
        </w:rPr>
        <w:t>Kiti tyrimai</w:t>
      </w:r>
    </w:p>
    <w:p w14:paraId="72CB3459" w14:textId="4BDA025F" w:rsidR="0063234F" w:rsidRPr="00111FC8" w:rsidRDefault="0063234F" w:rsidP="0063234F">
      <w:pPr>
        <w:spacing w:line="360" w:lineRule="auto"/>
        <w:ind w:firstLine="720"/>
        <w:jc w:val="both"/>
        <w:outlineLvl w:val="0"/>
      </w:pPr>
      <w:r w:rsidRPr="00111FC8">
        <w:rPr>
          <w:rFonts w:eastAsia="Arial"/>
        </w:rPr>
        <w:t xml:space="preserve">Pareiškėjas pateikė realios klinikinės praktikos tyrimą </w:t>
      </w:r>
      <w:r w:rsidRPr="00111FC8">
        <w:t xml:space="preserve">CREST-UK, kuris pagrindė, kad Vyxeos Liposomal yra </w:t>
      </w:r>
      <w:r w:rsidR="00F574B4">
        <w:t xml:space="preserve">veiksmingas </w:t>
      </w:r>
      <w:r w:rsidRPr="00111FC8">
        <w:t xml:space="preserve">jaunesniems </w:t>
      </w:r>
      <w:r w:rsidR="00F574B4">
        <w:t>kaip</w:t>
      </w:r>
      <w:r w:rsidR="00F574B4" w:rsidRPr="00111FC8">
        <w:t xml:space="preserve"> </w:t>
      </w:r>
      <w:r w:rsidRPr="00111FC8">
        <w:t>60 m</w:t>
      </w:r>
      <w:r w:rsidR="00F574B4">
        <w:t>etų</w:t>
      </w:r>
      <w:r w:rsidR="00F574B4" w:rsidRPr="00F574B4">
        <w:t xml:space="preserve"> </w:t>
      </w:r>
      <w:r w:rsidR="00F574B4" w:rsidRPr="00111FC8">
        <w:t>pacientams</w:t>
      </w:r>
      <w:r w:rsidRPr="00111FC8">
        <w:t xml:space="preserve">. </w:t>
      </w:r>
      <w:r w:rsidR="00F574B4">
        <w:t>Į t</w:t>
      </w:r>
      <w:r w:rsidRPr="00111FC8">
        <w:t>yrim</w:t>
      </w:r>
      <w:r w:rsidR="00F574B4">
        <w:t>ą buvo</w:t>
      </w:r>
      <w:r w:rsidRPr="00111FC8">
        <w:t xml:space="preserve"> įtrauk</w:t>
      </w:r>
      <w:r w:rsidR="00F574B4">
        <w:t>ti</w:t>
      </w:r>
      <w:r w:rsidRPr="00111FC8">
        <w:t xml:space="preserve"> t-</w:t>
      </w:r>
      <w:r w:rsidR="00661005">
        <w:t>-</w:t>
      </w:r>
      <w:r w:rsidRPr="00111FC8">
        <w:t xml:space="preserve">ŪML ar ŪML-MP </w:t>
      </w:r>
      <w:r w:rsidR="00F574B4" w:rsidRPr="00111FC8">
        <w:t>sergan</w:t>
      </w:r>
      <w:r w:rsidR="00F574B4">
        <w:t>tys vyresni kaip 18 metų pacientai</w:t>
      </w:r>
      <w:r w:rsidRPr="00111FC8">
        <w:t>. Tyrimo tikslas buvo nu</w:t>
      </w:r>
      <w:r w:rsidR="00F574B4">
        <w:t>s</w:t>
      </w:r>
      <w:r w:rsidRPr="00111FC8">
        <w:t xml:space="preserve">tatyti </w:t>
      </w:r>
      <w:r w:rsidR="00F574B4" w:rsidRPr="00111FC8">
        <w:t>Vyxeos Liposomal</w:t>
      </w:r>
      <w:r w:rsidR="00F574B4" w:rsidRPr="00111FC8" w:rsidDel="00F574B4">
        <w:t xml:space="preserve"> </w:t>
      </w:r>
      <w:r w:rsidR="00F574B4">
        <w:t>veiksmingumą</w:t>
      </w:r>
      <w:r w:rsidR="00F574B4" w:rsidRPr="00111FC8">
        <w:t xml:space="preserve"> </w:t>
      </w:r>
      <w:r w:rsidRPr="00111FC8">
        <w:t>ir saugumą pacient</w:t>
      </w:r>
      <w:r w:rsidR="00F574B4">
        <w:t>u</w:t>
      </w:r>
      <w:r w:rsidRPr="00111FC8">
        <w:t>s grupuojant pagal amžių: &lt;60 m</w:t>
      </w:r>
      <w:r w:rsidR="007E59A3">
        <w:t>etų</w:t>
      </w:r>
      <w:r w:rsidRPr="00111FC8">
        <w:t xml:space="preserve"> ir  ≥60 m</w:t>
      </w:r>
      <w:r w:rsidR="007E59A3">
        <w:t>etų</w:t>
      </w:r>
      <w:r w:rsidRPr="00111FC8">
        <w:t>.</w:t>
      </w:r>
    </w:p>
    <w:p w14:paraId="78A42241" w14:textId="0599DC6B" w:rsidR="0063234F" w:rsidRPr="00111FC8" w:rsidRDefault="0063234F" w:rsidP="0063234F">
      <w:pPr>
        <w:spacing w:line="360" w:lineRule="auto"/>
        <w:ind w:firstLine="720"/>
        <w:jc w:val="both"/>
        <w:outlineLvl w:val="0"/>
        <w:rPr>
          <w:rFonts w:eastAsia="Arial"/>
        </w:rPr>
      </w:pPr>
      <w:r w:rsidRPr="00111FC8">
        <w:rPr>
          <w:rFonts w:eastAsia="Arial"/>
        </w:rPr>
        <w:t>Apskaičiuota, kad vidutinis BI buvo ilgesnis &lt;60 metų grupėje (20,0 mėn.), palyginti su ≥60 m</w:t>
      </w:r>
      <w:r w:rsidR="007E59A3">
        <w:rPr>
          <w:rFonts w:eastAsia="Arial"/>
        </w:rPr>
        <w:t>etų</w:t>
      </w:r>
      <w:r w:rsidRPr="00111FC8">
        <w:rPr>
          <w:rFonts w:eastAsia="Arial"/>
        </w:rPr>
        <w:t xml:space="preserve"> kohorta (9,9 mėn.). Pacientų, jaunesnių nei 60 metų, 3 metų BI buvo 42 proc., o 30 dienų mirtingumas dėl bet kokios priežasties – 5 proc.; atitinkamai ≥ 60 m. pacientų grupėje šie skaičiai buvo 29 proc. ir 8 proc. </w:t>
      </w:r>
    </w:p>
    <w:p w14:paraId="4BC3156B" w14:textId="77777777" w:rsidR="0063234F" w:rsidRPr="00111FC8" w:rsidRDefault="0063234F" w:rsidP="0063234F">
      <w:pPr>
        <w:spacing w:line="360" w:lineRule="auto"/>
        <w:ind w:firstLine="720"/>
        <w:jc w:val="both"/>
        <w:outlineLvl w:val="0"/>
        <w:rPr>
          <w:rFonts w:eastAsia="Arial"/>
        </w:rPr>
      </w:pPr>
      <w:r w:rsidRPr="00111FC8">
        <w:rPr>
          <w:rFonts w:eastAsia="Arial"/>
        </w:rPr>
        <w:t xml:space="preserve">Remiantis atsaku, CR/CRi dažnis buvo didesnis vertintiniems pacientams, kurių amžius &lt;60 metų (66 proc.), nei ≥60 metų (44 proc.). Atliekant daugiaveiksmę analizę, vyresnis amžius (dešimtmečiais) buvo susijęs su sumažėjusiu BI (RS 1,43, p=0,017), bet ne CR/CRi pasiekimu. &lt;60 ir ≥60 metų pacientams, kuriems po pirmosios indukcijos buvo pasiektas CR/CRi, vidutinis laikas iki neutrofilų atsigavimo buvo atitinkamai 33,5 d. (n=30), palyginti su 33,0 d. (n=34); trombocitų atstatymui tai buvo 34,0 d. (n=27), palyginti su 36,0 d. (n=33). </w:t>
      </w:r>
    </w:p>
    <w:p w14:paraId="161982D0" w14:textId="7AA9A98B" w:rsidR="0063234F" w:rsidRPr="00111FC8" w:rsidRDefault="0063234F" w:rsidP="0063234F">
      <w:pPr>
        <w:spacing w:line="360" w:lineRule="auto"/>
        <w:jc w:val="both"/>
        <w:outlineLvl w:val="0"/>
        <w:rPr>
          <w:rFonts w:eastAsia="Arial"/>
        </w:rPr>
      </w:pPr>
      <w:r w:rsidRPr="00111FC8">
        <w:rPr>
          <w:rFonts w:eastAsia="Arial"/>
        </w:rPr>
        <w:tab/>
        <w:t>Rezultatai rodo, kad Vyxeos Liposomal klinikinis veiksmingumas ir saugum</w:t>
      </w:r>
      <w:r w:rsidR="007E59A3">
        <w:rPr>
          <w:rFonts w:eastAsia="Arial"/>
        </w:rPr>
        <w:t>as</w:t>
      </w:r>
      <w:r w:rsidRPr="00111FC8">
        <w:rPr>
          <w:rFonts w:eastAsia="Arial"/>
        </w:rPr>
        <w:t xml:space="preserve"> suaugusiesiems, sergantiems ŪML, &lt;60 ir ≥60 metų, atitinka 3 fazės </w:t>
      </w:r>
      <w:r w:rsidR="007E59A3">
        <w:rPr>
          <w:rFonts w:eastAsia="Arial"/>
        </w:rPr>
        <w:t xml:space="preserve">klinikinių </w:t>
      </w:r>
      <w:r w:rsidRPr="00111FC8">
        <w:rPr>
          <w:rFonts w:eastAsia="Arial"/>
        </w:rPr>
        <w:t xml:space="preserve">tyrimų duomenis. </w:t>
      </w:r>
    </w:p>
    <w:p w14:paraId="2D975E16" w14:textId="3EB26236" w:rsidR="0063234F" w:rsidRDefault="0063234F" w:rsidP="0063234F">
      <w:pPr>
        <w:tabs>
          <w:tab w:val="left" w:pos="492"/>
        </w:tabs>
        <w:spacing w:line="360" w:lineRule="auto"/>
        <w:jc w:val="both"/>
        <w:outlineLvl w:val="1"/>
      </w:pPr>
      <w:r>
        <w:rPr>
          <w:rFonts w:eastAsia="Arial"/>
          <w:bCs/>
        </w:rPr>
        <w:tab/>
      </w:r>
      <w:r>
        <w:rPr>
          <w:rFonts w:eastAsia="Arial"/>
          <w:bCs/>
        </w:rPr>
        <w:tab/>
        <w:t xml:space="preserve">Apibendrinant klinikinio tyrimo </w:t>
      </w:r>
      <w:r w:rsidRPr="00C77274">
        <w:t xml:space="preserve">CLTR0310-301 </w:t>
      </w:r>
      <w:r>
        <w:t xml:space="preserve">rezultatus, pacientams, sergantiems </w:t>
      </w:r>
      <w:r w:rsidRPr="00111FC8">
        <w:t>t-ŪML ar ŪML-MP</w:t>
      </w:r>
      <w:r>
        <w:t>, gydymas Vyxeos Liposomal reikšmingai pagerino bendrojo išgyvenamumo rodmens rezultatus, o mirties įvykio tikimybę statistiškai reikšmingai sumažino 31 proc.</w:t>
      </w:r>
      <w:r w:rsidR="00A17585">
        <w:t xml:space="preserve"> </w:t>
      </w:r>
      <w:r w:rsidR="008E3102">
        <w:t>T</w:t>
      </w:r>
      <w:r w:rsidR="007E59A3">
        <w:t>aip pat</w:t>
      </w:r>
      <w:r>
        <w:t xml:space="preserve"> buvo </w:t>
      </w:r>
      <w:r w:rsidR="007E59A3">
        <w:t xml:space="preserve">nustatytas </w:t>
      </w:r>
      <w:r>
        <w:t xml:space="preserve">statistiškai reikšmingas poveikis išgyvenamumui be įvykių bei kitoms antrinėms vertinamosiomis baigtims. </w:t>
      </w:r>
      <w:r w:rsidR="007E59A3">
        <w:t>Atsižvelgiant į tai,  daroma</w:t>
      </w:r>
      <w:r>
        <w:t xml:space="preserve"> išvada</w:t>
      </w:r>
      <w:r w:rsidR="007E59A3">
        <w:t xml:space="preserve">, kad  </w:t>
      </w:r>
      <w:r w:rsidR="007E59A3" w:rsidRPr="00111FC8">
        <w:rPr>
          <w:rFonts w:eastAsia="Arial"/>
        </w:rPr>
        <w:t>Vyxeos Liposomal</w:t>
      </w:r>
      <w:r w:rsidR="007E59A3">
        <w:rPr>
          <w:rFonts w:eastAsia="Arial"/>
        </w:rPr>
        <w:t xml:space="preserve"> sukuria</w:t>
      </w:r>
      <w:r>
        <w:t xml:space="preserve"> papildom</w:t>
      </w:r>
      <w:r w:rsidR="007E59A3">
        <w:t>ą</w:t>
      </w:r>
      <w:r>
        <w:t xml:space="preserve"> naud</w:t>
      </w:r>
      <w:r w:rsidR="007E59A3">
        <w:t>ą pacientų sveikatai.</w:t>
      </w:r>
      <w:r>
        <w:t xml:space="preserve"> </w:t>
      </w:r>
    </w:p>
    <w:p w14:paraId="73F7C7F7" w14:textId="77777777" w:rsidR="0063234F" w:rsidRDefault="0063234F" w:rsidP="00A93AA6">
      <w:pPr>
        <w:pStyle w:val="ListParagraph"/>
        <w:tabs>
          <w:tab w:val="left" w:pos="426"/>
        </w:tabs>
        <w:ind w:left="0"/>
        <w:rPr>
          <w:b/>
          <w:bCs/>
          <w:caps/>
        </w:rPr>
      </w:pPr>
    </w:p>
    <w:p w14:paraId="1014165D" w14:textId="77777777" w:rsidR="0063234F" w:rsidRPr="00E33EFF" w:rsidRDefault="0063234F" w:rsidP="00A93AA6">
      <w:pPr>
        <w:pStyle w:val="ListParagraph"/>
        <w:tabs>
          <w:tab w:val="left" w:pos="426"/>
        </w:tabs>
        <w:ind w:left="0"/>
        <w:rPr>
          <w:b/>
          <w:bCs/>
          <w:caps/>
        </w:rPr>
      </w:pPr>
    </w:p>
    <w:p w14:paraId="7DE09EB5" w14:textId="69E9DD74" w:rsidR="00E03C3F" w:rsidRPr="004B35AE" w:rsidRDefault="00CC7832" w:rsidP="00CC09D4">
      <w:pPr>
        <w:pStyle w:val="ListParagraph"/>
        <w:numPr>
          <w:ilvl w:val="0"/>
          <w:numId w:val="12"/>
        </w:numPr>
        <w:tabs>
          <w:tab w:val="left" w:pos="567"/>
        </w:tabs>
        <w:ind w:hanging="720"/>
        <w:rPr>
          <w:b/>
          <w:bCs/>
          <w:caps/>
        </w:rPr>
      </w:pPr>
      <w:r w:rsidRPr="004B35AE">
        <w:rPr>
          <w:b/>
          <w:bCs/>
          <w:caps/>
        </w:rPr>
        <w:t xml:space="preserve">ekonominio vertinimo </w:t>
      </w:r>
      <w:r w:rsidR="002F0E4F" w:rsidRPr="004B35AE">
        <w:rPr>
          <w:b/>
          <w:bCs/>
          <w:caps/>
        </w:rPr>
        <w:t>apibendrinimas</w:t>
      </w:r>
    </w:p>
    <w:p w14:paraId="3F1A6808" w14:textId="77777777" w:rsidR="004B35AE" w:rsidRPr="000E59A8" w:rsidRDefault="004B35AE" w:rsidP="000E59A8">
      <w:pPr>
        <w:pStyle w:val="0TEXT"/>
        <w:spacing w:line="360" w:lineRule="auto"/>
        <w:rPr>
          <w:lang w:val="lt-LT"/>
        </w:rPr>
      </w:pPr>
      <w:r w:rsidRPr="000E59A8">
        <w:rPr>
          <w:lang w:val="lt-LT"/>
        </w:rPr>
        <w:t>Vertinimui pateikta kaštų naudingumo analizė, nagrinėjant Vyxeos kaštų nauginumą. Palyginamasis gydymas analizėje yra laikoma 7+3 chemoterpijos schema. Paraiška STV skyriui pateikta antra kartą. Tarnyba pirmojo vertinimo metu Pareiškėjui nurodė pastabas. Pareiškėjas pateikdamas Paraišką, kartu pateikė ir atsakymus į Tarnybos pastabas. Tarnyba siekdama pateikti konservatyvų analizės rezultatą, ekstrapoliuojant vertinamąsias baigtis pagrindinio atvejo scenarijuje taiko tinkamiausias pagal AIC ir BIC funkcijas. Taip pat, analizėje buvo koreguotos šios prielaidos:</w:t>
      </w:r>
    </w:p>
    <w:p w14:paraId="7315D245" w14:textId="77777777" w:rsidR="004B35AE" w:rsidRPr="00957A70" w:rsidRDefault="004B35AE" w:rsidP="000E59A8">
      <w:pPr>
        <w:pStyle w:val="ListParagraph"/>
        <w:numPr>
          <w:ilvl w:val="0"/>
          <w:numId w:val="16"/>
        </w:numPr>
        <w:tabs>
          <w:tab w:val="left" w:pos="567"/>
        </w:tabs>
        <w:spacing w:line="360" w:lineRule="auto"/>
        <w:jc w:val="both"/>
        <w:rPr>
          <w:lang w:eastAsia="lt-LT"/>
        </w:rPr>
      </w:pPr>
      <w:r w:rsidRPr="007E59A3">
        <w:rPr>
          <w:lang w:eastAsia="lt-LT"/>
        </w:rPr>
        <w:t>Pacientai, pasiekę atsaką į gydymą ir gavę transplantaciją, po 2 metų yra remisijoje. Tarnyba šios prielaidos pagrindinio atvejo analizėje netaiko, ir pacientų išeitys analizuojamos pagal klinikinio tyrimo duomenis.</w:t>
      </w:r>
    </w:p>
    <w:p w14:paraId="2730A4CB" w14:textId="77777777" w:rsidR="004B35AE" w:rsidRPr="007E59A3" w:rsidRDefault="004B35AE" w:rsidP="000E59A8">
      <w:pPr>
        <w:pStyle w:val="ListParagraph"/>
        <w:numPr>
          <w:ilvl w:val="0"/>
          <w:numId w:val="16"/>
        </w:numPr>
        <w:tabs>
          <w:tab w:val="left" w:pos="567"/>
        </w:tabs>
        <w:spacing w:line="360" w:lineRule="auto"/>
        <w:jc w:val="both"/>
        <w:rPr>
          <w:lang w:eastAsia="lt-LT"/>
        </w:rPr>
      </w:pPr>
      <w:r w:rsidRPr="007E59A3">
        <w:rPr>
          <w:lang w:eastAsia="lt-LT"/>
        </w:rPr>
        <w:t>Pareiškėjas modelyje pacientams, patyrusiems transplantaciją, taiko bendrosios populiacijos mirtingumą. Vis dėlto, modelyje suteikiama galimybė taikyti papildomą mirties riziką pacientams. Tarnyba pagrindinio atvejo analizėje taiko didesnio mirtingumo prielaidą pacientams po HSCT.</w:t>
      </w:r>
    </w:p>
    <w:p w14:paraId="102EBFD0" w14:textId="77777777" w:rsidR="004B35AE" w:rsidRPr="007E59A3" w:rsidRDefault="004B35AE" w:rsidP="000E59A8">
      <w:pPr>
        <w:tabs>
          <w:tab w:val="left" w:pos="567"/>
        </w:tabs>
        <w:spacing w:line="360" w:lineRule="auto"/>
        <w:jc w:val="both"/>
        <w:rPr>
          <w:bCs/>
          <w:caps/>
        </w:rPr>
      </w:pPr>
      <w:r w:rsidRPr="007E59A3">
        <w:rPr>
          <w:lang w:eastAsia="lt-LT"/>
        </w:rPr>
        <w:t>Pateikus konservatyvų analizės rezultatą, nustatyta, jog reikalinga papildoma nuolaida, jog Vyxeos būtų kaštams naudingu.</w:t>
      </w:r>
    </w:p>
    <w:p w14:paraId="1A900598" w14:textId="4826E5DF" w:rsidR="00C62B36" w:rsidRPr="004B35AE" w:rsidRDefault="00C62B36" w:rsidP="00A93AA6">
      <w:pPr>
        <w:tabs>
          <w:tab w:val="left" w:pos="426"/>
        </w:tabs>
        <w:rPr>
          <w:b/>
          <w:bCs/>
          <w:caps/>
        </w:rPr>
      </w:pPr>
    </w:p>
    <w:p w14:paraId="174D84D7" w14:textId="2A98EE7C" w:rsidR="0035172D" w:rsidRPr="004B35AE" w:rsidRDefault="0035172D" w:rsidP="00A93AA6">
      <w:pPr>
        <w:tabs>
          <w:tab w:val="left" w:pos="426"/>
        </w:tabs>
        <w:rPr>
          <w:b/>
          <w:lang w:eastAsia="lt-LT"/>
        </w:rPr>
      </w:pPr>
      <w:r w:rsidRPr="004B35AE">
        <w:rPr>
          <w:b/>
          <w:lang w:eastAsia="lt-LT"/>
        </w:rPr>
        <w:t>Ekonominės analizės rezultatas</w:t>
      </w:r>
    </w:p>
    <w:p w14:paraId="4801D227" w14:textId="77777777" w:rsidR="009E44AE" w:rsidRPr="0063234F" w:rsidRDefault="009E44AE" w:rsidP="00A93AA6">
      <w:pPr>
        <w:tabs>
          <w:tab w:val="left" w:pos="426"/>
        </w:tabs>
        <w:rPr>
          <w:b/>
          <w:highlight w:val="yellow"/>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4B35AE"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4B35AE" w:rsidRDefault="009E44AE" w:rsidP="009E44AE">
            <w:pPr>
              <w:tabs>
                <w:tab w:val="left" w:pos="567"/>
              </w:tabs>
              <w:jc w:val="center"/>
              <w:rPr>
                <w:b/>
                <w:bCs/>
                <w:sz w:val="26"/>
                <w:szCs w:val="26"/>
                <w:lang w:eastAsia="lt-LT"/>
              </w:rPr>
            </w:pPr>
            <w:r w:rsidRPr="004B35AE">
              <w:rPr>
                <w:b/>
                <w:bCs/>
                <w:sz w:val="26"/>
                <w:szCs w:val="26"/>
                <w:lang w:eastAsia="lt-LT"/>
              </w:rPr>
              <w:t>Rezultatai</w:t>
            </w:r>
          </w:p>
        </w:tc>
      </w:tr>
      <w:tr w:rsidR="00BA5DBC" w:rsidRPr="004B35AE" w14:paraId="319AF392" w14:textId="77777777" w:rsidTr="00BE7489">
        <w:trPr>
          <w:trHeight w:val="267"/>
          <w:jc w:val="center"/>
        </w:trPr>
        <w:tc>
          <w:tcPr>
            <w:tcW w:w="6200" w:type="dxa"/>
            <w:tcBorders>
              <w:left w:val="single" w:sz="4" w:space="0" w:color="auto"/>
            </w:tcBorders>
          </w:tcPr>
          <w:p w14:paraId="44CD8D27" w14:textId="27245A0B" w:rsidR="00BA5DBC" w:rsidRPr="004B35AE" w:rsidRDefault="00BA5DBC" w:rsidP="00BA5DBC">
            <w:pPr>
              <w:tabs>
                <w:tab w:val="left" w:pos="567"/>
              </w:tabs>
              <w:jc w:val="right"/>
              <w:rPr>
                <w:iCs/>
                <w:lang w:eastAsia="lt-LT"/>
              </w:rPr>
            </w:pPr>
            <w:r w:rsidRPr="004B35AE">
              <w:rPr>
                <w:iCs/>
                <w:lang w:eastAsia="lt-LT"/>
              </w:rPr>
              <w:t>Kaštų skirtumas</w:t>
            </w:r>
          </w:p>
        </w:tc>
        <w:tc>
          <w:tcPr>
            <w:tcW w:w="3238" w:type="dxa"/>
            <w:tcBorders>
              <w:right w:val="single" w:sz="4" w:space="0" w:color="auto"/>
            </w:tcBorders>
          </w:tcPr>
          <w:p w14:paraId="1CACF0B4" w14:textId="2C952DC4" w:rsidR="00BA5DBC" w:rsidRPr="009F1FB7" w:rsidRDefault="009F1FB7" w:rsidP="009F1FB7">
            <w:pPr>
              <w:tabs>
                <w:tab w:val="left" w:pos="567"/>
              </w:tabs>
              <w:spacing w:line="276" w:lineRule="auto"/>
              <w:jc w:val="both"/>
              <w:rPr>
                <w:b/>
                <w:iCs/>
                <w:lang w:eastAsia="lt-LT"/>
              </w:rPr>
            </w:pPr>
            <w:r>
              <w:rPr>
                <w:b/>
                <w:iCs/>
                <w:lang w:eastAsia="lt-LT"/>
              </w:rPr>
              <w:t>****</w:t>
            </w:r>
          </w:p>
        </w:tc>
      </w:tr>
      <w:tr w:rsidR="00BA5DBC" w:rsidRPr="004B35AE" w14:paraId="49F818A3" w14:textId="77777777" w:rsidTr="00BE7489">
        <w:trPr>
          <w:trHeight w:val="267"/>
          <w:jc w:val="center"/>
        </w:trPr>
        <w:tc>
          <w:tcPr>
            <w:tcW w:w="6200" w:type="dxa"/>
            <w:tcBorders>
              <w:left w:val="single" w:sz="4" w:space="0" w:color="auto"/>
            </w:tcBorders>
          </w:tcPr>
          <w:p w14:paraId="021DB925" w14:textId="389F1BF5" w:rsidR="00BA5DBC" w:rsidRPr="004B35AE" w:rsidRDefault="00BA5DBC" w:rsidP="00BA5DBC">
            <w:pPr>
              <w:tabs>
                <w:tab w:val="left" w:pos="567"/>
              </w:tabs>
              <w:jc w:val="right"/>
              <w:rPr>
                <w:iCs/>
                <w:lang w:eastAsia="lt-LT"/>
              </w:rPr>
            </w:pPr>
            <w:r w:rsidRPr="004B35AE">
              <w:rPr>
                <w:iCs/>
                <w:lang w:eastAsia="lt-LT"/>
              </w:rPr>
              <w:t>Papildomi gyvenimo metai (LY)</w:t>
            </w:r>
          </w:p>
        </w:tc>
        <w:tc>
          <w:tcPr>
            <w:tcW w:w="3238" w:type="dxa"/>
            <w:tcBorders>
              <w:right w:val="single" w:sz="4" w:space="0" w:color="auto"/>
            </w:tcBorders>
          </w:tcPr>
          <w:p w14:paraId="4954817B" w14:textId="2AB89A20" w:rsidR="00BA5DBC" w:rsidRPr="009F1FB7" w:rsidRDefault="009F1FB7" w:rsidP="009F1FB7">
            <w:pPr>
              <w:tabs>
                <w:tab w:val="left" w:pos="567"/>
              </w:tabs>
              <w:spacing w:line="276" w:lineRule="auto"/>
              <w:jc w:val="both"/>
              <w:rPr>
                <w:b/>
                <w:iCs/>
                <w:lang w:eastAsia="lt-LT"/>
              </w:rPr>
            </w:pPr>
            <w:r>
              <w:rPr>
                <w:b/>
                <w:iCs/>
                <w:lang w:eastAsia="lt-LT"/>
              </w:rPr>
              <w:t>****</w:t>
            </w:r>
          </w:p>
        </w:tc>
      </w:tr>
      <w:tr w:rsidR="00BA5DBC" w:rsidRPr="004B35AE" w14:paraId="20ADA742" w14:textId="77777777" w:rsidTr="00BE7489">
        <w:trPr>
          <w:trHeight w:val="267"/>
          <w:jc w:val="center"/>
        </w:trPr>
        <w:tc>
          <w:tcPr>
            <w:tcW w:w="6200" w:type="dxa"/>
            <w:tcBorders>
              <w:left w:val="single" w:sz="4" w:space="0" w:color="auto"/>
            </w:tcBorders>
          </w:tcPr>
          <w:p w14:paraId="0F567576" w14:textId="2606A2E9" w:rsidR="00BA5DBC" w:rsidRPr="004B35AE" w:rsidRDefault="0058712F" w:rsidP="00BA5DBC">
            <w:pPr>
              <w:tabs>
                <w:tab w:val="left" w:pos="567"/>
              </w:tabs>
              <w:jc w:val="right"/>
              <w:rPr>
                <w:iCs/>
                <w:lang w:eastAsia="lt-LT"/>
              </w:rPr>
            </w:pPr>
            <w:r w:rsidRPr="004B35AE">
              <w:rPr>
                <w:iCs/>
                <w:lang w:eastAsia="lt-LT"/>
              </w:rPr>
              <w:t>Papildomi k</w:t>
            </w:r>
            <w:r w:rsidR="00BA5DBC" w:rsidRPr="004B35AE">
              <w:rPr>
                <w:iCs/>
                <w:lang w:eastAsia="lt-LT"/>
              </w:rPr>
              <w:t>okybiški gyvenimo metai (QALY)</w:t>
            </w:r>
          </w:p>
        </w:tc>
        <w:tc>
          <w:tcPr>
            <w:tcW w:w="3238" w:type="dxa"/>
            <w:tcBorders>
              <w:right w:val="single" w:sz="4" w:space="0" w:color="auto"/>
            </w:tcBorders>
          </w:tcPr>
          <w:p w14:paraId="02E4DAE1" w14:textId="41FB9EE7" w:rsidR="00BA5DBC" w:rsidRPr="009F1FB7" w:rsidRDefault="009F1FB7" w:rsidP="009F1FB7">
            <w:pPr>
              <w:tabs>
                <w:tab w:val="left" w:pos="567"/>
              </w:tabs>
              <w:spacing w:line="276" w:lineRule="auto"/>
              <w:jc w:val="both"/>
              <w:rPr>
                <w:b/>
                <w:iCs/>
                <w:lang w:eastAsia="lt-LT"/>
              </w:rPr>
            </w:pPr>
            <w:r>
              <w:rPr>
                <w:b/>
                <w:iCs/>
                <w:lang w:eastAsia="lt-LT"/>
              </w:rPr>
              <w:t>****</w:t>
            </w:r>
          </w:p>
        </w:tc>
      </w:tr>
      <w:tr w:rsidR="00BA5DBC" w:rsidRPr="004B35AE" w14:paraId="1FADA2B3" w14:textId="77777777" w:rsidTr="00BE7489">
        <w:trPr>
          <w:trHeight w:val="267"/>
          <w:jc w:val="center"/>
        </w:trPr>
        <w:tc>
          <w:tcPr>
            <w:tcW w:w="6200" w:type="dxa"/>
            <w:tcBorders>
              <w:left w:val="single" w:sz="4" w:space="0" w:color="auto"/>
            </w:tcBorders>
          </w:tcPr>
          <w:p w14:paraId="13E089E8" w14:textId="0BCEB339" w:rsidR="00BA5DBC" w:rsidRPr="004B35AE" w:rsidRDefault="00BA5DBC" w:rsidP="009E44AE">
            <w:pPr>
              <w:tabs>
                <w:tab w:val="left" w:pos="567"/>
              </w:tabs>
              <w:jc w:val="right"/>
              <w:rPr>
                <w:iCs/>
                <w:lang w:eastAsia="lt-LT"/>
              </w:rPr>
            </w:pPr>
            <w:r w:rsidRPr="004B35AE">
              <w:rPr>
                <w:iCs/>
                <w:lang w:eastAsia="lt-LT"/>
              </w:rPr>
              <w:t>ICER už LY</w:t>
            </w:r>
          </w:p>
        </w:tc>
        <w:tc>
          <w:tcPr>
            <w:tcW w:w="3238" w:type="dxa"/>
            <w:tcBorders>
              <w:right w:val="single" w:sz="4" w:space="0" w:color="auto"/>
            </w:tcBorders>
          </w:tcPr>
          <w:p w14:paraId="2817448D" w14:textId="614E2CB0" w:rsidR="00BA5DBC" w:rsidRPr="009F1FB7" w:rsidRDefault="009F1FB7" w:rsidP="009F1FB7">
            <w:pPr>
              <w:tabs>
                <w:tab w:val="left" w:pos="567"/>
              </w:tabs>
              <w:spacing w:line="276" w:lineRule="auto"/>
              <w:jc w:val="both"/>
              <w:rPr>
                <w:b/>
                <w:iCs/>
                <w:lang w:eastAsia="lt-LT"/>
              </w:rPr>
            </w:pPr>
            <w:r>
              <w:rPr>
                <w:b/>
                <w:iCs/>
                <w:lang w:eastAsia="lt-LT"/>
              </w:rPr>
              <w:t>****</w:t>
            </w:r>
          </w:p>
        </w:tc>
      </w:tr>
      <w:tr w:rsidR="009E44AE" w:rsidRPr="004B35AE" w14:paraId="250DE960" w14:textId="77777777" w:rsidTr="00BE7489">
        <w:trPr>
          <w:trHeight w:val="267"/>
          <w:jc w:val="center"/>
        </w:trPr>
        <w:tc>
          <w:tcPr>
            <w:tcW w:w="6200" w:type="dxa"/>
            <w:tcBorders>
              <w:left w:val="single" w:sz="4" w:space="0" w:color="auto"/>
            </w:tcBorders>
          </w:tcPr>
          <w:p w14:paraId="207EFB23" w14:textId="77777777" w:rsidR="009E44AE" w:rsidRPr="004B35AE" w:rsidRDefault="009E44AE" w:rsidP="009E44AE">
            <w:pPr>
              <w:tabs>
                <w:tab w:val="left" w:pos="567"/>
              </w:tabs>
              <w:jc w:val="right"/>
              <w:rPr>
                <w:iCs/>
                <w:lang w:eastAsia="lt-LT"/>
              </w:rPr>
            </w:pPr>
            <w:r w:rsidRPr="004B35AE">
              <w:rPr>
                <w:iCs/>
                <w:lang w:eastAsia="lt-LT"/>
              </w:rPr>
              <w:t>ICER už QALY</w:t>
            </w:r>
          </w:p>
        </w:tc>
        <w:tc>
          <w:tcPr>
            <w:tcW w:w="3238" w:type="dxa"/>
            <w:tcBorders>
              <w:right w:val="single" w:sz="4" w:space="0" w:color="auto"/>
            </w:tcBorders>
          </w:tcPr>
          <w:p w14:paraId="4275320D" w14:textId="47CAB9DA" w:rsidR="009E44AE" w:rsidRPr="009F1FB7" w:rsidRDefault="009F1FB7" w:rsidP="009F1FB7">
            <w:pPr>
              <w:tabs>
                <w:tab w:val="left" w:pos="567"/>
              </w:tabs>
              <w:spacing w:line="276" w:lineRule="auto"/>
              <w:jc w:val="both"/>
              <w:rPr>
                <w:b/>
                <w:iCs/>
                <w:lang w:eastAsia="lt-LT"/>
              </w:rPr>
            </w:pPr>
            <w:r>
              <w:rPr>
                <w:b/>
                <w:iCs/>
                <w:lang w:eastAsia="lt-LT"/>
              </w:rPr>
              <w:t>****</w:t>
            </w:r>
          </w:p>
        </w:tc>
      </w:tr>
      <w:tr w:rsidR="009E44AE" w:rsidRPr="004B35AE" w14:paraId="2C4C68BA" w14:textId="77777777" w:rsidTr="004B35AE">
        <w:trPr>
          <w:trHeight w:val="267"/>
          <w:jc w:val="center"/>
        </w:trPr>
        <w:tc>
          <w:tcPr>
            <w:tcW w:w="6200" w:type="dxa"/>
            <w:tcBorders>
              <w:left w:val="single" w:sz="4" w:space="0" w:color="auto"/>
              <w:right w:val="single" w:sz="4" w:space="0" w:color="auto"/>
            </w:tcBorders>
          </w:tcPr>
          <w:p w14:paraId="21BEDABF" w14:textId="77777777" w:rsidR="009E44AE" w:rsidRPr="004B35AE" w:rsidRDefault="009E44AE" w:rsidP="009E44AE">
            <w:pPr>
              <w:tabs>
                <w:tab w:val="left" w:pos="567"/>
              </w:tabs>
              <w:jc w:val="right"/>
              <w:rPr>
                <w:iCs/>
                <w:lang w:eastAsia="lt-LT"/>
              </w:rPr>
            </w:pPr>
            <w:r w:rsidRPr="004B35AE">
              <w:rPr>
                <w:iCs/>
                <w:lang w:eastAsia="lt-LT"/>
              </w:rPr>
              <w:t>Referentinė kaštų naudingumo vertė</w:t>
            </w:r>
          </w:p>
        </w:tc>
        <w:tc>
          <w:tcPr>
            <w:tcW w:w="3238" w:type="dxa"/>
            <w:tcBorders>
              <w:left w:val="single" w:sz="4" w:space="0" w:color="auto"/>
              <w:right w:val="single" w:sz="4" w:space="0" w:color="auto"/>
            </w:tcBorders>
          </w:tcPr>
          <w:p w14:paraId="31DAA72E" w14:textId="75E636F3" w:rsidR="009E44AE" w:rsidRPr="009F1FB7" w:rsidRDefault="009F1FB7" w:rsidP="009F1FB7">
            <w:pPr>
              <w:tabs>
                <w:tab w:val="left" w:pos="567"/>
              </w:tabs>
              <w:spacing w:line="276" w:lineRule="auto"/>
              <w:jc w:val="both"/>
              <w:rPr>
                <w:b/>
                <w:iCs/>
                <w:lang w:eastAsia="lt-LT"/>
              </w:rPr>
            </w:pPr>
            <w:r>
              <w:rPr>
                <w:b/>
                <w:iCs/>
                <w:lang w:eastAsia="lt-LT"/>
              </w:rPr>
              <w:t>****</w:t>
            </w:r>
          </w:p>
        </w:tc>
      </w:tr>
      <w:tr w:rsidR="004B35AE" w:rsidRPr="004B35AE" w14:paraId="3E681618" w14:textId="77777777" w:rsidTr="00BE7489">
        <w:trPr>
          <w:trHeight w:val="267"/>
          <w:jc w:val="center"/>
        </w:trPr>
        <w:tc>
          <w:tcPr>
            <w:tcW w:w="6200" w:type="dxa"/>
            <w:tcBorders>
              <w:left w:val="single" w:sz="4" w:space="0" w:color="auto"/>
              <w:bottom w:val="single" w:sz="4" w:space="0" w:color="auto"/>
              <w:right w:val="single" w:sz="4" w:space="0" w:color="auto"/>
            </w:tcBorders>
          </w:tcPr>
          <w:p w14:paraId="2CDC8CDB" w14:textId="1593D2C6" w:rsidR="004B35AE" w:rsidRPr="004B35AE" w:rsidRDefault="004B35AE" w:rsidP="009E44AE">
            <w:pPr>
              <w:tabs>
                <w:tab w:val="left" w:pos="567"/>
              </w:tabs>
              <w:jc w:val="right"/>
              <w:rPr>
                <w:iCs/>
                <w:lang w:eastAsia="lt-LT"/>
              </w:rPr>
            </w:pPr>
            <w:r>
              <w:rPr>
                <w:iCs/>
                <w:lang w:eastAsia="lt-LT"/>
              </w:rPr>
              <w:t>Santykinis kokybiškos gyvenimo trukmės praradimas</w:t>
            </w:r>
          </w:p>
        </w:tc>
        <w:tc>
          <w:tcPr>
            <w:tcW w:w="3238" w:type="dxa"/>
            <w:tcBorders>
              <w:left w:val="single" w:sz="4" w:space="0" w:color="auto"/>
              <w:bottom w:val="single" w:sz="4" w:space="0" w:color="auto"/>
              <w:right w:val="single" w:sz="4" w:space="0" w:color="auto"/>
            </w:tcBorders>
          </w:tcPr>
          <w:p w14:paraId="24146B60" w14:textId="084557F1" w:rsidR="004B35AE" w:rsidRPr="009F1FB7" w:rsidRDefault="009F1FB7" w:rsidP="009F1FB7">
            <w:pPr>
              <w:tabs>
                <w:tab w:val="left" w:pos="567"/>
              </w:tabs>
              <w:spacing w:line="276" w:lineRule="auto"/>
              <w:jc w:val="both"/>
              <w:rPr>
                <w:b/>
                <w:iCs/>
                <w:lang w:eastAsia="lt-LT"/>
              </w:rPr>
            </w:pPr>
            <w:r>
              <w:rPr>
                <w:b/>
                <w:iCs/>
                <w:lang w:eastAsia="lt-LT"/>
              </w:rPr>
              <w:t>****</w:t>
            </w:r>
          </w:p>
        </w:tc>
      </w:tr>
    </w:tbl>
    <w:p w14:paraId="5FC8C737" w14:textId="4136B7F4" w:rsidR="0035172D" w:rsidRPr="00E33EFF" w:rsidRDefault="00E5102E" w:rsidP="0035172D">
      <w:pPr>
        <w:tabs>
          <w:tab w:val="left" w:pos="567"/>
        </w:tabs>
        <w:jc w:val="both"/>
        <w:rPr>
          <w:iCs/>
          <w:sz w:val="20"/>
          <w:lang w:eastAsia="lt-LT"/>
        </w:rPr>
      </w:pPr>
      <w:r w:rsidRPr="004B35AE">
        <w:rPr>
          <w:iCs/>
          <w:sz w:val="20"/>
          <w:lang w:eastAsia="lt-LT"/>
        </w:rPr>
        <w:t xml:space="preserve">ICER </w:t>
      </w:r>
      <w:r w:rsidR="00453862" w:rsidRPr="004B35AE">
        <w:rPr>
          <w:iCs/>
          <w:sz w:val="20"/>
          <w:lang w:eastAsia="lt-LT"/>
        </w:rPr>
        <w:t>– (</w:t>
      </w:r>
      <w:r w:rsidR="00453862" w:rsidRPr="004B35AE">
        <w:rPr>
          <w:i/>
          <w:sz w:val="20"/>
          <w:lang w:eastAsia="lt-LT"/>
        </w:rPr>
        <w:t>angl. incremental cost-effectiveness ratio</w:t>
      </w:r>
      <w:r w:rsidR="00453862" w:rsidRPr="004B35AE">
        <w:rPr>
          <w:iCs/>
          <w:sz w:val="20"/>
          <w:lang w:eastAsia="lt-LT"/>
        </w:rPr>
        <w:t>) inkrementinis kaštų naudingumo koeficientas</w:t>
      </w:r>
      <w:r w:rsidRPr="004B35AE">
        <w:rPr>
          <w:iCs/>
          <w:sz w:val="20"/>
          <w:lang w:eastAsia="lt-LT"/>
        </w:rPr>
        <w:t>; LY –</w:t>
      </w:r>
      <w:r w:rsidR="00453862" w:rsidRPr="004B35AE">
        <w:rPr>
          <w:iCs/>
          <w:sz w:val="20"/>
          <w:lang w:eastAsia="lt-LT"/>
        </w:rPr>
        <w:t xml:space="preserve"> (</w:t>
      </w:r>
      <w:r w:rsidR="00453862" w:rsidRPr="004B35AE">
        <w:rPr>
          <w:i/>
          <w:sz w:val="20"/>
          <w:lang w:eastAsia="lt-LT"/>
        </w:rPr>
        <w:t>angl. life years</w:t>
      </w:r>
      <w:r w:rsidR="00453862" w:rsidRPr="004B35AE">
        <w:rPr>
          <w:iCs/>
          <w:sz w:val="20"/>
          <w:lang w:eastAsia="lt-LT"/>
        </w:rPr>
        <w:t>) gyvenimo metai</w:t>
      </w:r>
      <w:r w:rsidRPr="004B35AE">
        <w:rPr>
          <w:iCs/>
          <w:sz w:val="20"/>
          <w:lang w:eastAsia="lt-LT"/>
        </w:rPr>
        <w:t xml:space="preserve">; QALY- </w:t>
      </w:r>
      <w:r w:rsidR="00453862" w:rsidRPr="004B35AE">
        <w:rPr>
          <w:iCs/>
          <w:sz w:val="20"/>
          <w:lang w:eastAsia="lt-LT"/>
        </w:rPr>
        <w:t>(</w:t>
      </w:r>
      <w:r w:rsidR="00453862" w:rsidRPr="004B35AE">
        <w:rPr>
          <w:i/>
          <w:sz w:val="20"/>
          <w:lang w:eastAsia="lt-LT"/>
        </w:rPr>
        <w:t xml:space="preserve">angl. quality adjusted life years) </w:t>
      </w:r>
      <w:r w:rsidR="00453862" w:rsidRPr="004B35AE">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265291E"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63234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32927CC9"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63234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6604B7B1"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2C6FDB7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63234F">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36509676" w:rsidR="00B13D65" w:rsidRPr="00E33EFF" w:rsidRDefault="00000000" w:rsidP="0063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0C5E755E"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63234F">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0D725CF"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4B35AE">
        <w:trPr>
          <w:trHeight w:val="510"/>
        </w:trPr>
        <w:tc>
          <w:tcPr>
            <w:tcW w:w="9629" w:type="dxa"/>
            <w:gridSpan w:val="2"/>
            <w:shd w:val="clear" w:color="auto" w:fill="auto"/>
            <w:vAlign w:val="center"/>
          </w:tcPr>
          <w:p w14:paraId="0247EDAD" w14:textId="7FBBB759" w:rsidR="00B13D65" w:rsidRPr="004B35AE"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B35AE">
              <w:rPr>
                <w:rStyle w:val="Style2"/>
                <w:rFonts w:eastAsia="MS Gothic"/>
                <w:b/>
                <w:bCs/>
                <w:sz w:val="24"/>
              </w:rPr>
              <w:t>Kaštų naudingumas</w:t>
            </w:r>
          </w:p>
        </w:tc>
      </w:tr>
      <w:tr w:rsidR="00B13D65" w:rsidRPr="00E33EFF" w14:paraId="7091A05B" w14:textId="77777777" w:rsidTr="004B35AE">
        <w:tc>
          <w:tcPr>
            <w:tcW w:w="4815" w:type="dxa"/>
            <w:shd w:val="clear" w:color="auto" w:fill="auto"/>
          </w:tcPr>
          <w:p w14:paraId="69B2A994" w14:textId="69C9B885" w:rsidR="00B13D65" w:rsidRPr="004B35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4B35AE">
                  <w:rPr>
                    <w:rStyle w:val="Style2"/>
                    <w:rFonts w:ascii="MS Gothic" w:eastAsia="MS Gothic" w:hAnsi="MS Gothic" w:hint="eastAsia"/>
                    <w:sz w:val="24"/>
                  </w:rPr>
                  <w:t>☐</w:t>
                </w:r>
              </w:sdtContent>
            </w:sdt>
            <w:r w:rsidR="00B13D65" w:rsidRPr="004B35AE">
              <w:t xml:space="preserve"> 32.3. atitinka referencinę naudingumo vertę, netaikant PGS</w:t>
            </w:r>
          </w:p>
          <w:p w14:paraId="3F76F153" w14:textId="77777777" w:rsidR="00662983" w:rsidRPr="004B35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21A45F6" w:rsidR="00B13D65" w:rsidRPr="004B35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4B35AE">
                  <w:rPr>
                    <w:rStyle w:val="Style2"/>
                    <w:rFonts w:ascii="Segoe UI Symbol" w:eastAsia="MS Gothic" w:hAnsi="Segoe UI Symbol" w:cs="Segoe UI Symbol"/>
                    <w:sz w:val="24"/>
                  </w:rPr>
                  <w:t>☐</w:t>
                </w:r>
              </w:sdtContent>
            </w:sdt>
            <w:r w:rsidR="00B13D65" w:rsidRPr="004B35AE">
              <w:t xml:space="preserve"> 32.3. gydymo juo kaštai yra mažesni ar tokie patys esant iš esmės nesiskiriančiam palyginamajam efektyvumui, netaikant PGS</w:t>
            </w:r>
            <w:r w:rsidR="00B00959" w:rsidRPr="004B35AE">
              <w:t>, lyginant su įprasta klinikine praktika</w:t>
            </w:r>
          </w:p>
          <w:p w14:paraId="25E4BD1E" w14:textId="77777777" w:rsidR="00B13D65" w:rsidRPr="004B35AE"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shd w:val="clear" w:color="auto" w:fill="auto"/>
          </w:tcPr>
          <w:p w14:paraId="53380063" w14:textId="0F6FE00D" w:rsidR="00B13D65" w:rsidRPr="004B35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4B35AE">
                  <w:rPr>
                    <w:rStyle w:val="Style2"/>
                    <w:rFonts w:ascii="MS Gothic" w:eastAsia="MS Gothic" w:hAnsi="MS Gothic" w:hint="eastAsia"/>
                    <w:sz w:val="24"/>
                  </w:rPr>
                  <w:t>☒</w:t>
                </w:r>
              </w:sdtContent>
            </w:sdt>
            <w:r w:rsidR="00B13D65" w:rsidRPr="004B35AE">
              <w:t xml:space="preserve"> 33.3. neatitinka referencinės naudingumo vertės Lietuvos Respublikoje</w:t>
            </w:r>
          </w:p>
          <w:p w14:paraId="229ED51A" w14:textId="77777777" w:rsidR="00662983" w:rsidRPr="004B35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A179F08" w:rsidR="00B13D65" w:rsidRPr="004B35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4B35AE">
                  <w:rPr>
                    <w:rStyle w:val="Style2"/>
                    <w:rFonts w:ascii="Segoe UI Symbol" w:eastAsia="MS Gothic" w:hAnsi="Segoe UI Symbol" w:cs="Segoe UI Symbol"/>
                    <w:sz w:val="24"/>
                  </w:rPr>
                  <w:t>☐</w:t>
                </w:r>
              </w:sdtContent>
            </w:sdt>
            <w:r w:rsidR="00B13D65" w:rsidRPr="004B35AE">
              <w:t xml:space="preserve"> 33.3. gydymo juo kaštai yra didesni esant iš esmės nesiskiriančiam palyginamajam efektyvumui, </w:t>
            </w:r>
            <w:r w:rsidR="004B35AE">
              <w:t>net</w:t>
            </w:r>
            <w:r w:rsidR="00B13D65" w:rsidRPr="004B35AE">
              <w:t>aikant PGS</w:t>
            </w:r>
            <w:r w:rsidR="00B00959" w:rsidRPr="004B35AE">
              <w:t>, lyginant su įprasta klinikine praktika</w:t>
            </w:r>
          </w:p>
          <w:p w14:paraId="4A9C7D2A" w14:textId="77777777" w:rsidR="00662983" w:rsidRPr="004B35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4B35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4B35AE">
                  <w:rPr>
                    <w:rStyle w:val="Style2"/>
                    <w:rFonts w:ascii="Segoe UI Symbol" w:eastAsia="MS Gothic" w:hAnsi="Segoe UI Symbol" w:cs="Segoe UI Symbol"/>
                    <w:sz w:val="24"/>
                  </w:rPr>
                  <w:t>☐</w:t>
                </w:r>
              </w:sdtContent>
            </w:sdt>
            <w:r w:rsidR="00B13D65" w:rsidRPr="004B35AE">
              <w:t xml:space="preserve"> 33.3. pateikti duomenys apie kaštų na</w:t>
            </w:r>
            <w:r w:rsidR="00662983" w:rsidRPr="004B35AE">
              <w:t>udingumą yra netinkami vertinti</w:t>
            </w:r>
          </w:p>
          <w:p w14:paraId="470A48A4" w14:textId="77777777" w:rsidR="00B13D65" w:rsidRPr="004B35AE"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3B2D1F25" w14:textId="3A80E19F" w:rsidR="000001B0" w:rsidRPr="004B35AE" w:rsidRDefault="000001B0" w:rsidP="00CC09D4">
      <w:pPr>
        <w:pStyle w:val="ListParagraph"/>
        <w:numPr>
          <w:ilvl w:val="0"/>
          <w:numId w:val="12"/>
        </w:numPr>
        <w:ind w:left="567" w:hanging="567"/>
      </w:pPr>
      <w:r w:rsidRPr="004B35AE">
        <w:rPr>
          <w:b/>
        </w:rPr>
        <w:t>REKOME</w:t>
      </w:r>
      <w:r w:rsidR="00D83182" w:rsidRPr="004B35AE">
        <w:rPr>
          <w:b/>
        </w:rPr>
        <w:t>N</w:t>
      </w:r>
      <w:r w:rsidRPr="004B35AE">
        <w:rPr>
          <w:b/>
        </w:rPr>
        <w:t>DACIJA</w:t>
      </w:r>
    </w:p>
    <w:p w14:paraId="7D5C6700" w14:textId="77777777" w:rsidR="00D5470B" w:rsidRPr="004B35AE" w:rsidRDefault="00D5470B" w:rsidP="00C712EA">
      <w:pPr>
        <w:pStyle w:val="ListParagraph"/>
        <w:ind w:left="426"/>
      </w:pPr>
    </w:p>
    <w:p w14:paraId="22325210" w14:textId="4C440C30" w:rsidR="004F3B2B" w:rsidRPr="004B35AE" w:rsidRDefault="004F3B2B" w:rsidP="000E59A8">
      <w:pPr>
        <w:spacing w:line="360" w:lineRule="auto"/>
        <w:jc w:val="both"/>
      </w:pPr>
      <w:r w:rsidRPr="004B35AE">
        <w:t xml:space="preserve">Vadovaujantis </w:t>
      </w:r>
      <w:r w:rsidR="00F259FC" w:rsidRPr="004B35AE">
        <w:t xml:space="preserve">Vaistinių preparatų ir medicinos pagalbos priemonių įrašymo į kompensavimo sąrašus ir jų keitimo tvarkos aprašo, patvirtinto </w:t>
      </w:r>
      <w:r w:rsidRPr="004B35AE">
        <w:t>Lietuvos Respublikos sveikatos apsaugos ministro 2002 m. balandžio 5 d. įsakymu Nr. V-159 „Dėl vaistinių preparatų ir medicinos pagalbos priemonių įrašymo į kompensavimo sąrašus ir jų keitimo tvarkos aprašo patvirtinimo“</w:t>
      </w:r>
      <w:r w:rsidR="00F259FC" w:rsidRPr="004B35AE">
        <w:t>,</w:t>
      </w:r>
      <w:r w:rsidRPr="004B35AE">
        <w:t xml:space="preserve"> punktu </w:t>
      </w:r>
    </w:p>
    <w:p w14:paraId="00098A62" w14:textId="7E829E78" w:rsidR="003D6208" w:rsidRDefault="004F3B2B" w:rsidP="000E59A8">
      <w:pPr>
        <w:spacing w:line="360" w:lineRule="auto"/>
        <w:jc w:val="both"/>
      </w:pPr>
      <w:r w:rsidRPr="004B35AE">
        <w:t xml:space="preserve">34.4. rekomenduojama </w:t>
      </w:r>
      <w:r w:rsidRPr="004B35AE">
        <w:rPr>
          <w:i/>
        </w:rPr>
        <w:t xml:space="preserve">nekompensuoti </w:t>
      </w:r>
      <w:r w:rsidRPr="004B35AE">
        <w:t>vaistinio preparato pagal paraiškoje nuro</w:t>
      </w:r>
      <w:r w:rsidR="004B35AE">
        <w:t xml:space="preserve">dytą </w:t>
      </w:r>
      <w:r w:rsidRPr="004B35AE">
        <w:t>indikaciją</w:t>
      </w:r>
      <w:r w:rsidR="004B35AE">
        <w:t>,</w:t>
      </w:r>
      <w:r w:rsidRPr="004B35AE">
        <w:t xml:space="preserve"> su skyrimo sąlygomis,</w:t>
      </w:r>
      <w:r w:rsidR="004B35AE">
        <w:t xml:space="preserve"> netaikant PGS</w:t>
      </w:r>
      <w:r w:rsidRPr="004B35AE">
        <w:t xml:space="preserve"> dėl vertinimo išvadų</w:t>
      </w:r>
      <w:r w:rsidR="00613143" w:rsidRPr="004B35AE">
        <w:t>, nurodytų 33.3 papunk</w:t>
      </w:r>
      <w:r w:rsidR="00E348BA" w:rsidRPr="004B35AE">
        <w:t xml:space="preserve">tyje (žr. 6 skyrių), </w:t>
      </w:r>
      <w:r w:rsidRPr="004B35AE">
        <w:t xml:space="preserve"> neatitikties 34.1 papunktyje išdėstyt</w:t>
      </w:r>
      <w:r w:rsidR="00CF27FD" w:rsidRPr="004B35AE">
        <w:t>oms</w:t>
      </w:r>
      <w:r w:rsidRPr="004B35AE">
        <w:t xml:space="preserve"> sąlyg</w:t>
      </w:r>
      <w:r w:rsidR="00CF27FD" w:rsidRPr="004B35AE">
        <w:t>oms</w:t>
      </w:r>
      <w:r w:rsidR="00BF3927" w:rsidRPr="004B35AE">
        <w:t>.</w:t>
      </w:r>
    </w:p>
    <w:p w14:paraId="740663BE" w14:textId="77777777" w:rsidR="004B35AE" w:rsidRDefault="004B35AE" w:rsidP="000E59A8">
      <w:pPr>
        <w:spacing w:line="360" w:lineRule="auto"/>
        <w:jc w:val="both"/>
      </w:pPr>
    </w:p>
    <w:p w14:paraId="57F2BC84" w14:textId="77777777" w:rsidR="004B35AE" w:rsidRPr="00131AB2" w:rsidRDefault="004B35AE" w:rsidP="000E59A8">
      <w:pPr>
        <w:spacing w:line="360" w:lineRule="auto"/>
        <w:rPr>
          <w:lang w:eastAsia="lt-LT"/>
        </w:rPr>
      </w:pPr>
      <w:r w:rsidRPr="00131AB2">
        <w:rPr>
          <w:b/>
          <w:bCs/>
          <w:lang w:eastAsia="lt-LT"/>
        </w:rPr>
        <w:t>Papildomos pastabos ir pasiūlymai</w:t>
      </w:r>
    </w:p>
    <w:p w14:paraId="1636F955" w14:textId="77777777" w:rsidR="004B35AE" w:rsidRPr="00131AB2" w:rsidRDefault="004B35AE" w:rsidP="000E59A8">
      <w:pPr>
        <w:spacing w:line="360" w:lineRule="auto"/>
        <w:rPr>
          <w:lang w:eastAsia="lt-LT"/>
        </w:rPr>
      </w:pPr>
      <w:r w:rsidRPr="00131AB2">
        <w:rPr>
          <w:lang w:eastAsia="lt-LT"/>
        </w:rPr>
        <w:t> </w:t>
      </w:r>
    </w:p>
    <w:p w14:paraId="56080280" w14:textId="60C51A52" w:rsidR="004B35AE" w:rsidRPr="009F1FB7" w:rsidRDefault="004B35AE" w:rsidP="009F1FB7">
      <w:pPr>
        <w:tabs>
          <w:tab w:val="left" w:pos="567"/>
        </w:tabs>
        <w:spacing w:line="276" w:lineRule="auto"/>
        <w:jc w:val="both"/>
        <w:rPr>
          <w:b/>
          <w:iCs/>
          <w:lang w:eastAsia="lt-LT"/>
        </w:rPr>
      </w:pPr>
      <w:r w:rsidRPr="00131AB2">
        <w:rPr>
          <w:lang w:eastAsia="lt-LT"/>
        </w:rPr>
        <w:t xml:space="preserve">Atsižvelgiant į tai, </w:t>
      </w:r>
      <w:r>
        <w:rPr>
          <w:lang w:eastAsia="lt-LT"/>
        </w:rPr>
        <w:t xml:space="preserve">kad </w:t>
      </w:r>
      <w:r w:rsidRPr="008E3102">
        <w:rPr>
          <w:lang w:eastAsia="lt-LT"/>
        </w:rPr>
        <w:t xml:space="preserve">Vyxeos </w:t>
      </w:r>
      <w:r w:rsidR="007E59A3" w:rsidRPr="008E3102">
        <w:rPr>
          <w:lang w:eastAsia="lt-LT"/>
        </w:rPr>
        <w:t>liposomal</w:t>
      </w:r>
      <w:r w:rsidR="007E59A3">
        <w:rPr>
          <w:lang w:eastAsia="lt-LT"/>
        </w:rPr>
        <w:t xml:space="preserve"> </w:t>
      </w:r>
      <w:r w:rsidRPr="00131AB2">
        <w:rPr>
          <w:lang w:eastAsia="lt-LT"/>
        </w:rPr>
        <w:t>klinikinis veiksmingumas yra įvertintas kaip pagrindžiantis papildomos naudos pacientų sveikatai sukūrimą, lyginan</w:t>
      </w:r>
      <w:r>
        <w:rPr>
          <w:lang w:eastAsia="lt-LT"/>
        </w:rPr>
        <w:t xml:space="preserve">t su įprasta klinikine praktika, </w:t>
      </w:r>
      <w:r w:rsidRPr="00131AB2">
        <w:rPr>
          <w:lang w:eastAsia="lt-LT"/>
        </w:rPr>
        <w:t>Tarnyba, vadovaudamasi Vaistinių preparatų ir medicinos pagalbos priemonių įrašymo į kompensavimo sąrašus ir jų keitimo tvarkos aprašo, patvirtinto Lietuvos Respublikos sveikatos apsaugos ministro 2002 m. balandžio 5 d. įsakymu Nr. 159 „Dėl Vaistinių preparatų ir medicinos pagalbos priemonių įrašymo į kompen</w:t>
      </w:r>
      <w:r w:rsidR="0032683E">
        <w:rPr>
          <w:lang w:eastAsia="lt-LT"/>
        </w:rPr>
        <w:t>g</w:t>
      </w:r>
      <w:r w:rsidRPr="00131AB2">
        <w:rPr>
          <w:lang w:eastAsia="lt-LT"/>
        </w:rPr>
        <w:t xml:space="preserve">savimo sąrašus ir jų keitimo tvarkos aprašo patvirtinimo“ 35 punktu, siūlo kompensuoti vaistinį preparatą </w:t>
      </w:r>
      <w:r w:rsidRPr="008E3102">
        <w:rPr>
          <w:lang w:eastAsia="lt-LT"/>
        </w:rPr>
        <w:t xml:space="preserve">Vyxeos </w:t>
      </w:r>
      <w:r w:rsidR="007E59A3" w:rsidRPr="008E3102">
        <w:rPr>
          <w:lang w:eastAsia="lt-LT"/>
        </w:rPr>
        <w:t>liposomal</w:t>
      </w:r>
      <w:r w:rsidR="007E59A3">
        <w:rPr>
          <w:lang w:eastAsia="lt-LT"/>
        </w:rPr>
        <w:t xml:space="preserve"> </w:t>
      </w:r>
      <w:r w:rsidRPr="00131AB2">
        <w:rPr>
          <w:lang w:eastAsia="lt-LT"/>
        </w:rPr>
        <w:t xml:space="preserve">su sąlyga, jog kaštų naudingumas bus pagerintas sumažinus </w:t>
      </w:r>
      <w:r w:rsidRPr="008E3102">
        <w:rPr>
          <w:lang w:eastAsia="lt-LT"/>
        </w:rPr>
        <w:t>Vyxeos</w:t>
      </w:r>
      <w:r w:rsidR="007E59A3" w:rsidRPr="008E3102">
        <w:rPr>
          <w:lang w:eastAsia="lt-LT"/>
        </w:rPr>
        <w:t xml:space="preserve"> liposomal</w:t>
      </w:r>
      <w:r>
        <w:rPr>
          <w:lang w:eastAsia="lt-LT"/>
        </w:rPr>
        <w:t xml:space="preserve"> </w:t>
      </w:r>
      <w:r w:rsidRPr="00131AB2">
        <w:rPr>
          <w:lang w:eastAsia="lt-LT"/>
        </w:rPr>
        <w:t>kainą</w:t>
      </w:r>
      <w:r>
        <w:rPr>
          <w:lang w:eastAsia="lt-LT"/>
        </w:rPr>
        <w:t xml:space="preserve"> bent </w:t>
      </w:r>
      <w:r w:rsidR="009F1FB7">
        <w:rPr>
          <w:b/>
          <w:iCs/>
          <w:lang w:eastAsia="lt-LT"/>
        </w:rPr>
        <w:t>***</w:t>
      </w:r>
      <w:r w:rsidRPr="00DC51B8">
        <w:rPr>
          <w:b/>
          <w:lang w:eastAsia="lt-LT"/>
        </w:rPr>
        <w:t xml:space="preserve"> proc.</w:t>
      </w:r>
      <w:r w:rsidRPr="00131AB2">
        <w:rPr>
          <w:lang w:eastAsia="lt-LT"/>
        </w:rPr>
        <w:t xml:space="preserve"> </w:t>
      </w:r>
    </w:p>
    <w:p w14:paraId="209C0E87" w14:textId="77777777" w:rsidR="004B35AE" w:rsidRPr="004B35AE" w:rsidRDefault="004B35AE" w:rsidP="000E59A8">
      <w:pPr>
        <w:spacing w:line="360" w:lineRule="auto"/>
        <w:jc w:val="both"/>
      </w:pPr>
    </w:p>
    <w:p w14:paraId="18B4292E" w14:textId="075048EF" w:rsidR="000723FF" w:rsidRPr="004B35AE" w:rsidRDefault="00CC09D4" w:rsidP="00CC09D4">
      <w:pPr>
        <w:tabs>
          <w:tab w:val="left" w:pos="567"/>
        </w:tabs>
        <w:ind w:left="567" w:hanging="567"/>
        <w:jc w:val="both"/>
        <w:rPr>
          <w:b/>
          <w:color w:val="000000"/>
          <w:lang w:eastAsia="lt-LT"/>
        </w:rPr>
      </w:pPr>
      <w:r w:rsidRPr="004B35AE">
        <w:rPr>
          <w:b/>
          <w:color w:val="000000"/>
          <w:lang w:eastAsia="lt-LT"/>
        </w:rPr>
        <w:t>8.</w:t>
      </w:r>
      <w:r w:rsidRPr="004B35AE">
        <w:rPr>
          <w:b/>
          <w:color w:val="000000"/>
          <w:lang w:eastAsia="lt-LT"/>
        </w:rPr>
        <w:tab/>
      </w:r>
      <w:r w:rsidR="000723FF" w:rsidRPr="004B35AE">
        <w:rPr>
          <w:b/>
          <w:color w:val="000000"/>
          <w:lang w:eastAsia="lt-LT"/>
        </w:rPr>
        <w:t xml:space="preserve">SIŪLOMOS KOMPENSUOTI TERAPINĖS </w:t>
      </w:r>
      <w:r w:rsidR="0063234F" w:rsidRPr="004B35AE">
        <w:rPr>
          <w:b/>
          <w:color w:val="000000"/>
          <w:lang w:eastAsia="lt-LT"/>
        </w:rPr>
        <w:t>INDIKACIJOS IR SKYRIMO SĄLYGOS</w:t>
      </w:r>
    </w:p>
    <w:p w14:paraId="691340BB" w14:textId="77777777" w:rsidR="000723FF" w:rsidRPr="004B35AE" w:rsidRDefault="000723FF" w:rsidP="000723FF">
      <w:pPr>
        <w:tabs>
          <w:tab w:val="left" w:pos="426"/>
        </w:tabs>
        <w:jc w:val="both"/>
        <w:rPr>
          <w:b/>
          <w:color w:val="000000"/>
          <w:lang w:eastAsia="lt-LT"/>
        </w:rPr>
      </w:pPr>
    </w:p>
    <w:p w14:paraId="150EF998" w14:textId="77777777" w:rsidR="0063234F" w:rsidRPr="004B35AE" w:rsidRDefault="0063234F" w:rsidP="0063234F">
      <w:pPr>
        <w:pStyle w:val="NoSpacing"/>
        <w:spacing w:line="360" w:lineRule="auto"/>
        <w:outlineLvl w:val="0"/>
        <w:rPr>
          <w:rFonts w:ascii="Times New Roman" w:hAnsi="Times New Roman"/>
          <w:b/>
          <w:sz w:val="24"/>
          <w:szCs w:val="24"/>
          <w:lang w:eastAsia="lt-LT"/>
        </w:rPr>
      </w:pPr>
      <w:r w:rsidRPr="004B35AE">
        <w:rPr>
          <w:rFonts w:ascii="Times New Roman" w:hAnsi="Times New Roman"/>
          <w:b/>
          <w:sz w:val="24"/>
          <w:szCs w:val="24"/>
          <w:lang w:eastAsia="lt-LT"/>
        </w:rPr>
        <w:t>Terapinės indikacijos</w:t>
      </w:r>
    </w:p>
    <w:p w14:paraId="7A8A05F2" w14:textId="41E364C9" w:rsidR="0063234F" w:rsidRPr="004B35AE" w:rsidRDefault="0063234F" w:rsidP="0063234F">
      <w:pPr>
        <w:pStyle w:val="NoSpacing"/>
        <w:spacing w:line="360" w:lineRule="auto"/>
        <w:rPr>
          <w:rFonts w:ascii="Times New Roman" w:hAnsi="Times New Roman"/>
          <w:sz w:val="24"/>
          <w:szCs w:val="24"/>
        </w:rPr>
      </w:pPr>
      <w:r w:rsidRPr="004B35AE">
        <w:rPr>
          <w:rStyle w:val="Style2"/>
          <w:rFonts w:ascii="MS Gothic" w:eastAsia="MS Gothic" w:hAnsi="MS Gothic" w:hint="eastAsia"/>
          <w:sz w:val="24"/>
          <w:szCs w:val="24"/>
        </w:rPr>
        <w:t>☒</w:t>
      </w:r>
      <w:r w:rsidRPr="004B35AE">
        <w:t xml:space="preserve"> </w:t>
      </w:r>
      <w:r w:rsidRPr="004B35AE">
        <w:rPr>
          <w:rFonts w:ascii="Times New Roman" w:hAnsi="Times New Roman"/>
          <w:sz w:val="24"/>
          <w:szCs w:val="24"/>
        </w:rPr>
        <w:t>Siūloma kompensuoti Pareiškėjo teikiamą indikaciją be pakeitimų</w:t>
      </w:r>
      <w:r w:rsidR="0032683E">
        <w:rPr>
          <w:rFonts w:ascii="Times New Roman" w:hAnsi="Times New Roman"/>
          <w:sz w:val="24"/>
          <w:szCs w:val="24"/>
        </w:rPr>
        <w:t>.</w:t>
      </w:r>
      <w:r w:rsidRPr="004B35AE">
        <w:rPr>
          <w:rFonts w:ascii="Times New Roman" w:hAnsi="Times New Roman"/>
          <w:sz w:val="24"/>
          <w:szCs w:val="24"/>
        </w:rPr>
        <w:t xml:space="preserve"> </w:t>
      </w:r>
    </w:p>
    <w:p w14:paraId="1C130AEE" w14:textId="4A3F74B0" w:rsidR="0063234F" w:rsidRPr="004B35AE" w:rsidRDefault="0063234F" w:rsidP="0063234F">
      <w:pPr>
        <w:pStyle w:val="NoSpacing"/>
        <w:spacing w:line="360" w:lineRule="auto"/>
        <w:jc w:val="both"/>
        <w:rPr>
          <w:rFonts w:ascii="Times New Roman" w:hAnsi="Times New Roman"/>
          <w:sz w:val="24"/>
          <w:szCs w:val="24"/>
        </w:rPr>
      </w:pPr>
      <w:r w:rsidRPr="004B35AE">
        <w:rPr>
          <w:rFonts w:ascii="Times New Roman" w:hAnsi="Times New Roman"/>
          <w:sz w:val="24"/>
          <w:szCs w:val="24"/>
        </w:rPr>
        <w:t>Vyxeos Liposomal skirtas suaugusiųjų, sergančių naujai diagnozuota, su terapija susijusia ūmine mieloidine leukemija (t-ŪML) ar ŪML su mielodisplaziniais pakitimais (ŪML-MP), gydymui.</w:t>
      </w:r>
    </w:p>
    <w:p w14:paraId="3963E62B" w14:textId="77777777" w:rsidR="0063234F" w:rsidRPr="004B35AE" w:rsidRDefault="0063234F" w:rsidP="0063234F">
      <w:pPr>
        <w:pStyle w:val="NoSpacing"/>
        <w:spacing w:line="360" w:lineRule="auto"/>
        <w:rPr>
          <w:rFonts w:ascii="Times New Roman" w:hAnsi="Times New Roman"/>
          <w:sz w:val="24"/>
          <w:szCs w:val="24"/>
        </w:rPr>
      </w:pPr>
    </w:p>
    <w:p w14:paraId="4881E380" w14:textId="77777777" w:rsidR="0063234F" w:rsidRPr="004B35AE" w:rsidRDefault="0063234F" w:rsidP="0063234F">
      <w:pPr>
        <w:pStyle w:val="NoSpacing"/>
        <w:spacing w:line="360" w:lineRule="auto"/>
        <w:outlineLvl w:val="0"/>
        <w:rPr>
          <w:rFonts w:ascii="Times New Roman" w:hAnsi="Times New Roman"/>
          <w:b/>
          <w:sz w:val="24"/>
          <w:szCs w:val="24"/>
        </w:rPr>
      </w:pPr>
      <w:r w:rsidRPr="004B35AE">
        <w:rPr>
          <w:rFonts w:ascii="Times New Roman" w:hAnsi="Times New Roman"/>
          <w:b/>
          <w:sz w:val="24"/>
          <w:szCs w:val="24"/>
        </w:rPr>
        <w:t>Skyrimo sąlygos</w:t>
      </w:r>
    </w:p>
    <w:p w14:paraId="6739D5DE" w14:textId="77777777" w:rsidR="0063234F" w:rsidRPr="004B35AE" w:rsidRDefault="00000000" w:rsidP="0063234F">
      <w:pPr>
        <w:pStyle w:val="NoSpacing"/>
        <w:spacing w:line="360" w:lineRule="auto"/>
        <w:rPr>
          <w:rFonts w:ascii="Times New Roman" w:hAnsi="Times New Roman"/>
          <w:sz w:val="24"/>
          <w:szCs w:val="24"/>
        </w:rPr>
      </w:pPr>
      <w:sdt>
        <w:sdtPr>
          <w:rPr>
            <w:rStyle w:val="Style2"/>
            <w:rFonts w:ascii="Times New Roman" w:hAnsi="Times New Roman"/>
            <w:sz w:val="24"/>
            <w:szCs w:val="24"/>
          </w:rPr>
          <w:id w:val="-394818678"/>
        </w:sdtPr>
        <w:sdtContent>
          <w:sdt>
            <w:sdtPr>
              <w:rPr>
                <w:rStyle w:val="Style2"/>
                <w:rFonts w:ascii="Times New Roman" w:hAnsi="Times New Roman"/>
                <w:sz w:val="24"/>
                <w:szCs w:val="24"/>
              </w:rPr>
              <w:id w:val="1402716141"/>
            </w:sdtPr>
            <w:sdtContent>
              <w:r w:rsidR="0063234F" w:rsidRPr="004B35AE">
                <w:rPr>
                  <w:rStyle w:val="Style2"/>
                  <w:rFonts w:ascii="MS Gothic" w:eastAsia="MS Gothic" w:hAnsi="MS Gothic" w:hint="eastAsia"/>
                  <w:sz w:val="24"/>
                  <w:szCs w:val="24"/>
                </w:rPr>
                <w:t>☒</w:t>
              </w:r>
            </w:sdtContent>
          </w:sdt>
        </w:sdtContent>
      </w:sdt>
      <w:r w:rsidR="0063234F" w:rsidRPr="004B35AE">
        <w:rPr>
          <w:rStyle w:val="Style2"/>
          <w:rFonts w:ascii="Times New Roman" w:eastAsia="MS Gothic" w:hAnsi="Times New Roman"/>
          <w:sz w:val="24"/>
          <w:szCs w:val="24"/>
        </w:rPr>
        <w:t xml:space="preserve"> </w:t>
      </w:r>
      <w:r w:rsidR="0063234F" w:rsidRPr="004B35AE">
        <w:rPr>
          <w:rFonts w:ascii="Times New Roman" w:hAnsi="Times New Roman"/>
          <w:sz w:val="24"/>
          <w:szCs w:val="24"/>
        </w:rPr>
        <w:t>Pareiškėjo siūlomos skyrimo sąlygos nepriimtinos:</w:t>
      </w:r>
    </w:p>
    <w:p w14:paraId="7CDFF220" w14:textId="03992EB6" w:rsidR="000723FF" w:rsidRPr="000E59A8" w:rsidRDefault="003153ED" w:rsidP="00824B92">
      <w:r w:rsidRPr="000E59A8">
        <w:t>Skiriamas pagal patvirtintas terapines indikacijas.</w:t>
      </w:r>
    </w:p>
    <w:p w14:paraId="5651264F" w14:textId="77777777" w:rsidR="007E4316" w:rsidRPr="000E59A8" w:rsidRDefault="007E4316" w:rsidP="003153ED"/>
    <w:sectPr w:rsidR="007E4316" w:rsidRPr="000E59A8"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26E47" w14:textId="77777777" w:rsidR="003E44A6" w:rsidRDefault="003E44A6">
      <w:r>
        <w:separator/>
      </w:r>
    </w:p>
  </w:endnote>
  <w:endnote w:type="continuationSeparator" w:id="0">
    <w:p w14:paraId="745B2312" w14:textId="77777777" w:rsidR="003E44A6" w:rsidRDefault="003E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72AE0" w14:textId="77777777" w:rsidR="003E44A6" w:rsidRDefault="003E44A6">
      <w:r>
        <w:separator/>
      </w:r>
    </w:p>
  </w:footnote>
  <w:footnote w:type="continuationSeparator" w:id="0">
    <w:p w14:paraId="64A9D1D5" w14:textId="77777777" w:rsidR="003E44A6" w:rsidRDefault="003E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1059ACB6"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683E">
      <w:rPr>
        <w:rStyle w:val="PageNumber"/>
        <w:noProof/>
      </w:rPr>
      <w:t>9</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D4D471C"/>
    <w:multiLevelType w:val="hybridMultilevel"/>
    <w:tmpl w:val="8A7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A31DD"/>
    <w:multiLevelType w:val="hybridMultilevel"/>
    <w:tmpl w:val="4E6E5EB4"/>
    <w:lvl w:ilvl="0" w:tplc="0409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7D537D"/>
    <w:multiLevelType w:val="hybridMultilevel"/>
    <w:tmpl w:val="CA8C0CF4"/>
    <w:lvl w:ilvl="0" w:tplc="A34AF8F0">
      <w:start w:val="30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057E3E"/>
    <w:multiLevelType w:val="hybridMultilevel"/>
    <w:tmpl w:val="C5BAF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7887411">
    <w:abstractNumId w:val="8"/>
  </w:num>
  <w:num w:numId="2" w16cid:durableId="1771311185">
    <w:abstractNumId w:val="1"/>
  </w:num>
  <w:num w:numId="3" w16cid:durableId="1228569810">
    <w:abstractNumId w:val="10"/>
  </w:num>
  <w:num w:numId="4" w16cid:durableId="2043050797">
    <w:abstractNumId w:val="9"/>
  </w:num>
  <w:num w:numId="5" w16cid:durableId="643895306">
    <w:abstractNumId w:val="7"/>
  </w:num>
  <w:num w:numId="6" w16cid:durableId="717121847">
    <w:abstractNumId w:val="6"/>
  </w:num>
  <w:num w:numId="7" w16cid:durableId="592084443">
    <w:abstractNumId w:val="3"/>
  </w:num>
  <w:num w:numId="8" w16cid:durableId="2067138465">
    <w:abstractNumId w:val="14"/>
  </w:num>
  <w:num w:numId="9" w16cid:durableId="1243102987">
    <w:abstractNumId w:val="0"/>
  </w:num>
  <w:num w:numId="10" w16cid:durableId="440493883">
    <w:abstractNumId w:val="11"/>
  </w:num>
  <w:num w:numId="11" w16cid:durableId="235745588">
    <w:abstractNumId w:val="13"/>
  </w:num>
  <w:num w:numId="12" w16cid:durableId="945381456">
    <w:abstractNumId w:val="2"/>
  </w:num>
  <w:num w:numId="13" w16cid:durableId="1394163585">
    <w:abstractNumId w:val="4"/>
  </w:num>
  <w:num w:numId="14" w16cid:durableId="739644279">
    <w:abstractNumId w:val="5"/>
  </w:num>
  <w:num w:numId="15" w16cid:durableId="1764254056">
    <w:abstractNumId w:val="15"/>
  </w:num>
  <w:num w:numId="16" w16cid:durableId="1044214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069B7"/>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7F9"/>
    <w:rsid w:val="00082907"/>
    <w:rsid w:val="0008378D"/>
    <w:rsid w:val="000908A5"/>
    <w:rsid w:val="00092805"/>
    <w:rsid w:val="000C454C"/>
    <w:rsid w:val="000D5038"/>
    <w:rsid w:val="000E29D4"/>
    <w:rsid w:val="000E59A8"/>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04C33"/>
    <w:rsid w:val="00213471"/>
    <w:rsid w:val="00215906"/>
    <w:rsid w:val="002167F2"/>
    <w:rsid w:val="00241CD8"/>
    <w:rsid w:val="00244B09"/>
    <w:rsid w:val="002519CB"/>
    <w:rsid w:val="0025697F"/>
    <w:rsid w:val="00260258"/>
    <w:rsid w:val="0026588E"/>
    <w:rsid w:val="00272428"/>
    <w:rsid w:val="00272948"/>
    <w:rsid w:val="00292392"/>
    <w:rsid w:val="002946C7"/>
    <w:rsid w:val="002948CC"/>
    <w:rsid w:val="002B3CC1"/>
    <w:rsid w:val="002C09E0"/>
    <w:rsid w:val="002C1BB1"/>
    <w:rsid w:val="002C2786"/>
    <w:rsid w:val="002C3A10"/>
    <w:rsid w:val="002C4A90"/>
    <w:rsid w:val="002C4ED5"/>
    <w:rsid w:val="002D02EF"/>
    <w:rsid w:val="002E0702"/>
    <w:rsid w:val="002E57AD"/>
    <w:rsid w:val="002E6F80"/>
    <w:rsid w:val="002F0E4F"/>
    <w:rsid w:val="002F1053"/>
    <w:rsid w:val="003153ED"/>
    <w:rsid w:val="00317B0E"/>
    <w:rsid w:val="0032683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3E44A6"/>
    <w:rsid w:val="00404E8A"/>
    <w:rsid w:val="0040622F"/>
    <w:rsid w:val="00410A8E"/>
    <w:rsid w:val="00413F24"/>
    <w:rsid w:val="00422853"/>
    <w:rsid w:val="00423160"/>
    <w:rsid w:val="00431003"/>
    <w:rsid w:val="00453862"/>
    <w:rsid w:val="0045469B"/>
    <w:rsid w:val="0046034C"/>
    <w:rsid w:val="00461338"/>
    <w:rsid w:val="004677DB"/>
    <w:rsid w:val="00476256"/>
    <w:rsid w:val="0048630F"/>
    <w:rsid w:val="004947A1"/>
    <w:rsid w:val="0049482A"/>
    <w:rsid w:val="004979D3"/>
    <w:rsid w:val="004A00E7"/>
    <w:rsid w:val="004A3A61"/>
    <w:rsid w:val="004B3287"/>
    <w:rsid w:val="004B35AE"/>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B6F9A"/>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234F"/>
    <w:rsid w:val="00633B49"/>
    <w:rsid w:val="0064297F"/>
    <w:rsid w:val="00645102"/>
    <w:rsid w:val="00646CF3"/>
    <w:rsid w:val="00653D11"/>
    <w:rsid w:val="00661005"/>
    <w:rsid w:val="00661277"/>
    <w:rsid w:val="00662983"/>
    <w:rsid w:val="00674CAB"/>
    <w:rsid w:val="006834D3"/>
    <w:rsid w:val="00691F88"/>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C7718"/>
    <w:rsid w:val="007D3347"/>
    <w:rsid w:val="007E4316"/>
    <w:rsid w:val="007E5466"/>
    <w:rsid w:val="007E57AE"/>
    <w:rsid w:val="007E59A3"/>
    <w:rsid w:val="007F1949"/>
    <w:rsid w:val="007F2592"/>
    <w:rsid w:val="00800A08"/>
    <w:rsid w:val="00806AD9"/>
    <w:rsid w:val="00817A84"/>
    <w:rsid w:val="008225A4"/>
    <w:rsid w:val="00824B92"/>
    <w:rsid w:val="00826D5E"/>
    <w:rsid w:val="00832013"/>
    <w:rsid w:val="00832DB7"/>
    <w:rsid w:val="00834732"/>
    <w:rsid w:val="0085200C"/>
    <w:rsid w:val="00852922"/>
    <w:rsid w:val="00857C52"/>
    <w:rsid w:val="00860D5F"/>
    <w:rsid w:val="00880A44"/>
    <w:rsid w:val="0088345E"/>
    <w:rsid w:val="0088656F"/>
    <w:rsid w:val="00891EF6"/>
    <w:rsid w:val="008A0303"/>
    <w:rsid w:val="008A2B23"/>
    <w:rsid w:val="008A5FDD"/>
    <w:rsid w:val="008C3947"/>
    <w:rsid w:val="008E3102"/>
    <w:rsid w:val="008E473B"/>
    <w:rsid w:val="008E51A6"/>
    <w:rsid w:val="008E7329"/>
    <w:rsid w:val="008F2ED5"/>
    <w:rsid w:val="00906E17"/>
    <w:rsid w:val="0092297E"/>
    <w:rsid w:val="00923651"/>
    <w:rsid w:val="00927B56"/>
    <w:rsid w:val="009341BF"/>
    <w:rsid w:val="00937907"/>
    <w:rsid w:val="00941739"/>
    <w:rsid w:val="00941B5D"/>
    <w:rsid w:val="009513C8"/>
    <w:rsid w:val="00951573"/>
    <w:rsid w:val="00957A70"/>
    <w:rsid w:val="00963003"/>
    <w:rsid w:val="00966EEF"/>
    <w:rsid w:val="00971B28"/>
    <w:rsid w:val="00983471"/>
    <w:rsid w:val="009909AB"/>
    <w:rsid w:val="009957A9"/>
    <w:rsid w:val="009B37DB"/>
    <w:rsid w:val="009C7A8C"/>
    <w:rsid w:val="009D23F9"/>
    <w:rsid w:val="009D4FA8"/>
    <w:rsid w:val="009E44AE"/>
    <w:rsid w:val="009E6CD6"/>
    <w:rsid w:val="009F1FB7"/>
    <w:rsid w:val="009F4D66"/>
    <w:rsid w:val="00A00C3C"/>
    <w:rsid w:val="00A01091"/>
    <w:rsid w:val="00A042B9"/>
    <w:rsid w:val="00A06DBB"/>
    <w:rsid w:val="00A16D0D"/>
    <w:rsid w:val="00A17585"/>
    <w:rsid w:val="00A22ADF"/>
    <w:rsid w:val="00A31E86"/>
    <w:rsid w:val="00A536EE"/>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20A7"/>
    <w:rsid w:val="00B04415"/>
    <w:rsid w:val="00B06509"/>
    <w:rsid w:val="00B11D60"/>
    <w:rsid w:val="00B13D65"/>
    <w:rsid w:val="00B21805"/>
    <w:rsid w:val="00B3072E"/>
    <w:rsid w:val="00B36E15"/>
    <w:rsid w:val="00B37245"/>
    <w:rsid w:val="00B4017A"/>
    <w:rsid w:val="00B4468D"/>
    <w:rsid w:val="00B5443F"/>
    <w:rsid w:val="00B71C72"/>
    <w:rsid w:val="00B81E92"/>
    <w:rsid w:val="00B908D7"/>
    <w:rsid w:val="00B915AB"/>
    <w:rsid w:val="00B935E8"/>
    <w:rsid w:val="00B93B30"/>
    <w:rsid w:val="00B94CB5"/>
    <w:rsid w:val="00BA0DD9"/>
    <w:rsid w:val="00BA5DBC"/>
    <w:rsid w:val="00BA7205"/>
    <w:rsid w:val="00BB6312"/>
    <w:rsid w:val="00BC4D06"/>
    <w:rsid w:val="00BD0141"/>
    <w:rsid w:val="00BD585E"/>
    <w:rsid w:val="00BD6919"/>
    <w:rsid w:val="00BE1EA7"/>
    <w:rsid w:val="00BE7489"/>
    <w:rsid w:val="00BF2E0D"/>
    <w:rsid w:val="00BF3927"/>
    <w:rsid w:val="00BF3F8B"/>
    <w:rsid w:val="00BF76DA"/>
    <w:rsid w:val="00C07C7B"/>
    <w:rsid w:val="00C16245"/>
    <w:rsid w:val="00C21A21"/>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1725D"/>
    <w:rsid w:val="00D21F3A"/>
    <w:rsid w:val="00D23808"/>
    <w:rsid w:val="00D3016A"/>
    <w:rsid w:val="00D417D2"/>
    <w:rsid w:val="00D42960"/>
    <w:rsid w:val="00D43BD7"/>
    <w:rsid w:val="00D4485B"/>
    <w:rsid w:val="00D4708D"/>
    <w:rsid w:val="00D4744C"/>
    <w:rsid w:val="00D521DE"/>
    <w:rsid w:val="00D5470B"/>
    <w:rsid w:val="00D63068"/>
    <w:rsid w:val="00D6498C"/>
    <w:rsid w:val="00D74DC4"/>
    <w:rsid w:val="00D76A70"/>
    <w:rsid w:val="00D83182"/>
    <w:rsid w:val="00D8521E"/>
    <w:rsid w:val="00D9291C"/>
    <w:rsid w:val="00D93A97"/>
    <w:rsid w:val="00DB1F64"/>
    <w:rsid w:val="00DC0341"/>
    <w:rsid w:val="00DC2F53"/>
    <w:rsid w:val="00DC51B8"/>
    <w:rsid w:val="00DC5BAC"/>
    <w:rsid w:val="00DC6816"/>
    <w:rsid w:val="00DC76C2"/>
    <w:rsid w:val="00DD1CF2"/>
    <w:rsid w:val="00DE2BA8"/>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7769C"/>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26FF7"/>
    <w:rsid w:val="00F36972"/>
    <w:rsid w:val="00F42426"/>
    <w:rsid w:val="00F456BC"/>
    <w:rsid w:val="00F50666"/>
    <w:rsid w:val="00F574B4"/>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paragraph" w:styleId="Heading3">
    <w:name w:val="heading 3"/>
    <w:basedOn w:val="Normal"/>
    <w:next w:val="Normal"/>
    <w:link w:val="Heading3Char"/>
    <w:semiHidden/>
    <w:unhideWhenUsed/>
    <w:qFormat/>
    <w:rsid w:val="0085292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List Paragraph CCT minutes,Section 5,Bullet List 2,Colorful List - Accent 1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Default">
    <w:name w:val="Default"/>
    <w:rsid w:val="0063234F"/>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Section 5 Char"/>
    <w:link w:val="ListParagraph"/>
    <w:uiPriority w:val="34"/>
    <w:rsid w:val="0063234F"/>
    <w:rPr>
      <w:sz w:val="24"/>
      <w:szCs w:val="24"/>
      <w:lang w:eastAsia="en-US"/>
    </w:rPr>
  </w:style>
  <w:style w:type="paragraph" w:customStyle="1" w:styleId="0TEXT">
    <w:name w:val="0: TEXT"/>
    <w:basedOn w:val="Normal"/>
    <w:link w:val="0TEXTChar"/>
    <w:qFormat/>
    <w:rsid w:val="004B35AE"/>
    <w:pPr>
      <w:spacing w:before="240"/>
      <w:ind w:firstLine="567"/>
      <w:jc w:val="both"/>
    </w:pPr>
    <w:rPr>
      <w:rFonts w:eastAsiaTheme="minorHAnsi"/>
      <w:bCs/>
      <w:color w:val="000000"/>
      <w:lang w:val="en-GB"/>
    </w:rPr>
  </w:style>
  <w:style w:type="character" w:customStyle="1" w:styleId="0TEXTChar">
    <w:name w:val="0: TEXT Char"/>
    <w:basedOn w:val="DefaultParagraphFont"/>
    <w:link w:val="0TEXT"/>
    <w:rsid w:val="004B35AE"/>
    <w:rPr>
      <w:rFonts w:eastAsiaTheme="minorHAnsi"/>
      <w:bCs/>
      <w:color w:val="000000"/>
      <w:sz w:val="24"/>
      <w:szCs w:val="24"/>
      <w:lang w:val="en-GB" w:eastAsia="en-US"/>
    </w:rPr>
  </w:style>
  <w:style w:type="character" w:customStyle="1" w:styleId="Heading3Char">
    <w:name w:val="Heading 3 Char"/>
    <w:basedOn w:val="DefaultParagraphFont"/>
    <w:link w:val="Heading3"/>
    <w:semiHidden/>
    <w:rsid w:val="0085292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126048">
      <w:bodyDiv w:val="1"/>
      <w:marLeft w:val="0"/>
      <w:marRight w:val="0"/>
      <w:marTop w:val="0"/>
      <w:marBottom w:val="0"/>
      <w:divBdr>
        <w:top w:val="none" w:sz="0" w:space="0" w:color="auto"/>
        <w:left w:val="none" w:sz="0" w:space="0" w:color="auto"/>
        <w:bottom w:val="none" w:sz="0" w:space="0" w:color="auto"/>
        <w:right w:val="none" w:sz="0" w:space="0" w:color="auto"/>
      </w:divBdr>
    </w:div>
    <w:div w:id="266354822">
      <w:bodyDiv w:val="1"/>
      <w:marLeft w:val="0"/>
      <w:marRight w:val="0"/>
      <w:marTop w:val="0"/>
      <w:marBottom w:val="0"/>
      <w:divBdr>
        <w:top w:val="none" w:sz="0" w:space="0" w:color="auto"/>
        <w:left w:val="none" w:sz="0" w:space="0" w:color="auto"/>
        <w:bottom w:val="none" w:sz="0" w:space="0" w:color="auto"/>
        <w:right w:val="none" w:sz="0" w:space="0" w:color="auto"/>
      </w:divBdr>
    </w:div>
    <w:div w:id="659695485">
      <w:bodyDiv w:val="1"/>
      <w:marLeft w:val="0"/>
      <w:marRight w:val="0"/>
      <w:marTop w:val="0"/>
      <w:marBottom w:val="0"/>
      <w:divBdr>
        <w:top w:val="none" w:sz="0" w:space="0" w:color="auto"/>
        <w:left w:val="none" w:sz="0" w:space="0" w:color="auto"/>
        <w:bottom w:val="none" w:sz="0" w:space="0" w:color="auto"/>
        <w:right w:val="none" w:sz="0" w:space="0" w:color="auto"/>
      </w:divBdr>
    </w:div>
    <w:div w:id="877425439">
      <w:bodyDiv w:val="1"/>
      <w:marLeft w:val="0"/>
      <w:marRight w:val="0"/>
      <w:marTop w:val="0"/>
      <w:marBottom w:val="0"/>
      <w:divBdr>
        <w:top w:val="none" w:sz="0" w:space="0" w:color="auto"/>
        <w:left w:val="none" w:sz="0" w:space="0" w:color="auto"/>
        <w:bottom w:val="none" w:sz="0" w:space="0" w:color="auto"/>
        <w:right w:val="none" w:sz="0" w:space="0" w:color="auto"/>
      </w:divBdr>
    </w:div>
    <w:div w:id="909774551">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441224649">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616407338">
      <w:bodyDiv w:val="1"/>
      <w:marLeft w:val="0"/>
      <w:marRight w:val="0"/>
      <w:marTop w:val="0"/>
      <w:marBottom w:val="0"/>
      <w:divBdr>
        <w:top w:val="none" w:sz="0" w:space="0" w:color="auto"/>
        <w:left w:val="none" w:sz="0" w:space="0" w:color="auto"/>
        <w:bottom w:val="none" w:sz="0" w:space="0" w:color="auto"/>
        <w:right w:val="none" w:sz="0" w:space="0" w:color="auto"/>
      </w:divBdr>
    </w:div>
    <w:div w:id="1688019503">
      <w:bodyDiv w:val="1"/>
      <w:marLeft w:val="0"/>
      <w:marRight w:val="0"/>
      <w:marTop w:val="0"/>
      <w:marBottom w:val="0"/>
      <w:divBdr>
        <w:top w:val="none" w:sz="0" w:space="0" w:color="auto"/>
        <w:left w:val="none" w:sz="0" w:space="0" w:color="auto"/>
        <w:bottom w:val="none" w:sz="0" w:space="0" w:color="auto"/>
        <w:right w:val="none" w:sz="0" w:space="0" w:color="auto"/>
      </w:divBdr>
    </w:div>
    <w:div w:id="20250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B81E2588754E31AF8CE8A257AB4765"/>
        <w:category>
          <w:name w:val="General"/>
          <w:gallery w:val="placeholder"/>
        </w:category>
        <w:types>
          <w:type w:val="bbPlcHdr"/>
        </w:types>
        <w:behaviors>
          <w:behavior w:val="content"/>
        </w:behaviors>
        <w:guid w:val="{1DF36190-0F71-40AB-BB8F-09536C704542}"/>
      </w:docPartPr>
      <w:docPartBody>
        <w:p w:rsidR="000E6D96" w:rsidRDefault="000325DB" w:rsidP="000325DB">
          <w:pPr>
            <w:pStyle w:val="B0B81E2588754E31AF8CE8A257AB476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25DB"/>
    <w:rsid w:val="00061157"/>
    <w:rsid w:val="000937FE"/>
    <w:rsid w:val="000A559A"/>
    <w:rsid w:val="000D24D4"/>
    <w:rsid w:val="000E6D96"/>
    <w:rsid w:val="00163B71"/>
    <w:rsid w:val="00163CB9"/>
    <w:rsid w:val="001C35A9"/>
    <w:rsid w:val="00237556"/>
    <w:rsid w:val="002C50BE"/>
    <w:rsid w:val="00306C2B"/>
    <w:rsid w:val="0039303B"/>
    <w:rsid w:val="004144A3"/>
    <w:rsid w:val="004160E7"/>
    <w:rsid w:val="004416C6"/>
    <w:rsid w:val="004F5AB2"/>
    <w:rsid w:val="005074B9"/>
    <w:rsid w:val="005C5F12"/>
    <w:rsid w:val="005E40DD"/>
    <w:rsid w:val="006A6F80"/>
    <w:rsid w:val="006E2A99"/>
    <w:rsid w:val="007219C1"/>
    <w:rsid w:val="00753462"/>
    <w:rsid w:val="00772325"/>
    <w:rsid w:val="007A2FE0"/>
    <w:rsid w:val="007C1D16"/>
    <w:rsid w:val="007C6D1D"/>
    <w:rsid w:val="0090074D"/>
    <w:rsid w:val="009513C8"/>
    <w:rsid w:val="009B3BF0"/>
    <w:rsid w:val="009D5E5E"/>
    <w:rsid w:val="009F1BB4"/>
    <w:rsid w:val="00A26A12"/>
    <w:rsid w:val="00AB6ED4"/>
    <w:rsid w:val="00B14210"/>
    <w:rsid w:val="00B23DC0"/>
    <w:rsid w:val="00B96656"/>
    <w:rsid w:val="00BE29C1"/>
    <w:rsid w:val="00C2401D"/>
    <w:rsid w:val="00C53A68"/>
    <w:rsid w:val="00CA5BB4"/>
    <w:rsid w:val="00CB4BD1"/>
    <w:rsid w:val="00CE2DA9"/>
    <w:rsid w:val="00CE44BE"/>
    <w:rsid w:val="00D1725D"/>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325DB"/>
    <w:rPr>
      <w:color w:val="808080"/>
    </w:rPr>
  </w:style>
  <w:style w:type="paragraph" w:customStyle="1" w:styleId="B0B81E2588754E31AF8CE8A257AB4765">
    <w:name w:val="B0B81E2588754E31AF8CE8A257AB4765"/>
    <w:rsid w:val="00032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AC8E-DBF1-4C5B-9520-9CCAB4B5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2789</Words>
  <Characters>15900</Characters>
  <Application>Microsoft Office Word</Application>
  <DocSecurity>0</DocSecurity>
  <Lines>132</Lines>
  <Paragraphs>37</Paragraphs>
  <ScaleCrop>false</ScaleCrop>
  <Company/>
  <LinksUpToDate>false</LinksUpToDate>
  <CharactersWithSpaces>18652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2024-07-21T19:31:00Z</dcterms:created>
  <dcterms:modified xsi:type="dcterms:W3CDTF">2024-07-25T08:34:00Z</dcterms:modified>
</cp:coreProperties>
</file>