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EB3" w14:textId="1955ADE3" w:rsidR="005F7602" w:rsidRDefault="005F7602" w:rsidP="002946C7">
      <w:pPr>
        <w:ind w:left="5529"/>
      </w:pPr>
    </w:p>
    <w:p w14:paraId="12FA4B9E" w14:textId="77777777" w:rsidR="001B3C5B" w:rsidRPr="00E33EFF" w:rsidRDefault="001B3C5B" w:rsidP="001B3C5B">
      <w:pPr>
        <w:ind w:left="6096"/>
      </w:pPr>
      <w:r w:rsidRPr="00E33EFF">
        <w:t>Forma patvirtinta</w:t>
      </w:r>
    </w:p>
    <w:p w14:paraId="7206970B" w14:textId="70E9BD2E" w:rsidR="004C263A" w:rsidRPr="00E33EFF" w:rsidRDefault="001B3C5B" w:rsidP="001B3C5B">
      <w:pPr>
        <w:ind w:left="6096"/>
      </w:pPr>
      <w:r w:rsidRPr="00E33EFF">
        <w:t>Valstybinės vaistų kontrolės tarnybos prie Lietuvos Respublikos sveikatos apsaugos ministerijos viršininko 2021 m</w:t>
      </w:r>
      <w:r w:rsidR="004C263A" w:rsidRPr="00E33EFF">
        <w:t xml:space="preserve">. lapkričio 12 </w:t>
      </w:r>
      <w:r w:rsidRPr="00E33EFF">
        <w:t>d. įsakymu Nr.</w:t>
      </w:r>
      <w:r w:rsidR="004C263A" w:rsidRPr="00E33EFF">
        <w:t xml:space="preserve"> (1.72E)1A-1418</w:t>
      </w:r>
    </w:p>
    <w:p w14:paraId="5B219AA6" w14:textId="520B9136" w:rsidR="001B3C5B" w:rsidRPr="00E33EFF" w:rsidRDefault="004C263A" w:rsidP="001B3C5B">
      <w:pPr>
        <w:ind w:left="6096"/>
      </w:pPr>
      <w:r w:rsidRPr="00E33EFF">
        <w:t>(Valstybinės vaistų kontrolės tarnybos prie Lietuvos Respublikos sveikatos apsaugos ministerijos viršininko 2022 m.                         d. įsakymo Nr.                    redakcija)</w:t>
      </w:r>
    </w:p>
    <w:p w14:paraId="3336BD74" w14:textId="77777777" w:rsidR="001B3C5B" w:rsidRPr="00E33EFF" w:rsidRDefault="001B3C5B" w:rsidP="00FA4169"/>
    <w:p w14:paraId="77AFB67E" w14:textId="16397257" w:rsidR="00613501" w:rsidRPr="00E33EFF" w:rsidRDefault="002F0E4F" w:rsidP="003B211A">
      <w:pPr>
        <w:jc w:val="center"/>
        <w:rPr>
          <w:b/>
          <w:bCs/>
          <w:caps/>
        </w:rPr>
      </w:pPr>
      <w:r w:rsidRPr="00E33EFF">
        <w:rPr>
          <w:b/>
        </w:rPr>
        <w:t xml:space="preserve">REKOMENDACIJA DĖL VAISTINIO PREPARATO </w:t>
      </w:r>
      <w:r w:rsidRPr="00E33EFF">
        <w:rPr>
          <w:b/>
          <w:bCs/>
          <w:caps/>
        </w:rPr>
        <w:t>Lietuvos Respublikos Sveikatos apsaugos ministerijos vaistinių preparatų ir medicinos pagalbos priemonių kompensavimo komisijai</w:t>
      </w:r>
    </w:p>
    <w:p w14:paraId="34E4395D" w14:textId="15FB10DF" w:rsidR="00B13D65" w:rsidRPr="00E33EFF" w:rsidRDefault="00B13D65" w:rsidP="003B211A">
      <w:pPr>
        <w:jc w:val="center"/>
        <w:rPr>
          <w:b/>
        </w:rPr>
      </w:pPr>
    </w:p>
    <w:p w14:paraId="39285784" w14:textId="2366CC33" w:rsidR="00253DDC" w:rsidRDefault="00253DDC" w:rsidP="00253DDC">
      <w:pPr>
        <w:jc w:val="center"/>
        <w:rPr>
          <w:b/>
        </w:rPr>
      </w:pPr>
      <w:r w:rsidRPr="0010060A">
        <w:rPr>
          <w:b/>
        </w:rPr>
        <w:t>Darzalex</w:t>
      </w:r>
      <w:r w:rsidRPr="004E28B7">
        <w:rPr>
          <w:b/>
        </w:rPr>
        <w:t xml:space="preserve"> </w:t>
      </w:r>
      <w:r w:rsidR="00003197">
        <w:rPr>
          <w:b/>
        </w:rPr>
        <w:t xml:space="preserve">20 mg/ml </w:t>
      </w:r>
      <w:r>
        <w:rPr>
          <w:b/>
        </w:rPr>
        <w:t>k</w:t>
      </w:r>
      <w:r w:rsidRPr="00F02C69">
        <w:rPr>
          <w:b/>
        </w:rPr>
        <w:t>oncentratas infuziniam tirpalui (</w:t>
      </w:r>
      <w:proofErr w:type="spellStart"/>
      <w:r w:rsidR="002F258B">
        <w:rPr>
          <w:b/>
        </w:rPr>
        <w:t>i.v</w:t>
      </w:r>
      <w:proofErr w:type="spellEnd"/>
      <w:r w:rsidR="002F258B">
        <w:rPr>
          <w:b/>
        </w:rPr>
        <w:t>.</w:t>
      </w:r>
      <w:r w:rsidRPr="00F02C69">
        <w:rPr>
          <w:b/>
        </w:rPr>
        <w:t xml:space="preserve">) </w:t>
      </w:r>
    </w:p>
    <w:p w14:paraId="5C802FB2" w14:textId="274C3F62" w:rsidR="00253DDC" w:rsidRDefault="008B46B7" w:rsidP="00253DDC">
      <w:pPr>
        <w:jc w:val="center"/>
        <w:rPr>
          <w:b/>
        </w:rPr>
      </w:pPr>
      <w:r w:rsidRPr="0010060A">
        <w:rPr>
          <w:b/>
        </w:rPr>
        <w:t>Darzalex</w:t>
      </w:r>
      <w:r w:rsidR="00253DDC">
        <w:rPr>
          <w:b/>
        </w:rPr>
        <w:t xml:space="preserve"> 1</w:t>
      </w:r>
      <w:r w:rsidR="00003197">
        <w:rPr>
          <w:b/>
        </w:rPr>
        <w:t>8</w:t>
      </w:r>
      <w:r w:rsidR="00253DDC">
        <w:rPr>
          <w:b/>
        </w:rPr>
        <w:t xml:space="preserve">00 mg </w:t>
      </w:r>
      <w:r w:rsidR="00253DDC" w:rsidRPr="00F02C69">
        <w:rPr>
          <w:b/>
        </w:rPr>
        <w:t>injekcinis tirpalas (</w:t>
      </w:r>
      <w:proofErr w:type="spellStart"/>
      <w:r w:rsidR="002F258B">
        <w:rPr>
          <w:b/>
        </w:rPr>
        <w:t>s.c</w:t>
      </w:r>
      <w:proofErr w:type="spellEnd"/>
      <w:r w:rsidR="002F258B">
        <w:rPr>
          <w:b/>
        </w:rPr>
        <w:t>.</w:t>
      </w:r>
      <w:r w:rsidR="00253DDC" w:rsidRPr="00F02C69">
        <w:rPr>
          <w:b/>
        </w:rPr>
        <w:t>)</w:t>
      </w:r>
    </w:p>
    <w:p w14:paraId="3CB2B7A0" w14:textId="77777777" w:rsidR="00253DDC" w:rsidRPr="004E28B7" w:rsidRDefault="00253DDC" w:rsidP="00253DDC">
      <w:pPr>
        <w:jc w:val="center"/>
        <w:rPr>
          <w:b/>
        </w:rPr>
      </w:pPr>
    </w:p>
    <w:p w14:paraId="2F3B478C" w14:textId="77777777" w:rsidR="00253DDC" w:rsidRPr="004E28B7" w:rsidRDefault="00253DDC" w:rsidP="00253DDC">
      <w:pPr>
        <w:jc w:val="center"/>
        <w:rPr>
          <w:b/>
        </w:rPr>
      </w:pPr>
      <w:r w:rsidRPr="004E28B7">
        <w:rPr>
          <w:b/>
        </w:rPr>
        <w:t>(</w:t>
      </w:r>
      <w:r w:rsidRPr="002F258B">
        <w:rPr>
          <w:b/>
        </w:rPr>
        <w:t>Daratumumabas</w:t>
      </w:r>
      <w:r w:rsidRPr="004E28B7">
        <w:rPr>
          <w:b/>
        </w:rPr>
        <w:t>)</w:t>
      </w:r>
    </w:p>
    <w:p w14:paraId="10349835" w14:textId="77777777" w:rsidR="00253DDC" w:rsidRPr="004E28B7" w:rsidRDefault="00253DDC" w:rsidP="00253DDC">
      <w:pPr>
        <w:jc w:val="center"/>
        <w:rPr>
          <w:b/>
        </w:rPr>
      </w:pPr>
    </w:p>
    <w:p w14:paraId="4CBFF4A2" w14:textId="6ECC0786" w:rsidR="00253DDC" w:rsidRPr="00D05364" w:rsidRDefault="00253DDC" w:rsidP="00253DDC">
      <w:pPr>
        <w:jc w:val="center"/>
        <w:rPr>
          <w:b/>
        </w:rPr>
      </w:pPr>
      <w:r>
        <w:rPr>
          <w:b/>
        </w:rPr>
        <w:t>STV</w:t>
      </w:r>
      <w:r w:rsidR="008B46B7">
        <w:rPr>
          <w:b/>
        </w:rPr>
        <w:t>-</w:t>
      </w:r>
      <w:r w:rsidR="00A648B3">
        <w:rPr>
          <w:b/>
        </w:rPr>
        <w:t>139</w:t>
      </w:r>
    </w:p>
    <w:p w14:paraId="453197C8" w14:textId="77777777" w:rsidR="00D4708D" w:rsidRPr="00E33EFF" w:rsidRDefault="00D4708D" w:rsidP="003B211A">
      <w:pPr>
        <w:jc w:val="center"/>
        <w:rPr>
          <w:b/>
        </w:rPr>
      </w:pPr>
    </w:p>
    <w:p w14:paraId="78C89D1C" w14:textId="0DEFFAA5" w:rsidR="00D4485B" w:rsidRPr="00E33EFF" w:rsidRDefault="00B13D65" w:rsidP="00CC09D4">
      <w:pPr>
        <w:pStyle w:val="ListParagraph"/>
        <w:numPr>
          <w:ilvl w:val="0"/>
          <w:numId w:val="12"/>
        </w:numPr>
        <w:tabs>
          <w:tab w:val="left" w:pos="567"/>
        </w:tabs>
        <w:ind w:left="567" w:hanging="567"/>
        <w:rPr>
          <w:b/>
          <w:bCs/>
          <w:caps/>
        </w:rPr>
      </w:pPr>
      <w:r w:rsidRPr="00E33EFF">
        <w:rPr>
          <w:b/>
          <w:bCs/>
          <w:caps/>
        </w:rPr>
        <w:t>Bendroji dalis</w:t>
      </w:r>
    </w:p>
    <w:p w14:paraId="04A7C7A7" w14:textId="77777777" w:rsidR="00B13D65" w:rsidRPr="00E33EFF" w:rsidRDefault="00B13D65" w:rsidP="00E03C3F">
      <w:pPr>
        <w:pStyle w:val="ListParagraph"/>
        <w:tabs>
          <w:tab w:val="left" w:pos="284"/>
        </w:tabs>
        <w:ind w:left="0"/>
        <w:rPr>
          <w:b/>
          <w:bCs/>
          <w:cap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32"/>
        <w:gridCol w:w="3694"/>
        <w:gridCol w:w="5167"/>
      </w:tblGrid>
      <w:tr w:rsidR="003D3A9D" w:rsidRPr="00E33EFF" w14:paraId="18A83EC2" w14:textId="77777777" w:rsidTr="00BE7489">
        <w:trPr>
          <w:trHeight w:val="538"/>
        </w:trPr>
        <w:tc>
          <w:tcPr>
            <w:tcW w:w="632" w:type="dxa"/>
          </w:tcPr>
          <w:p w14:paraId="0646FBEA" w14:textId="77777777" w:rsidR="003D3A9D" w:rsidRPr="00E33EFF" w:rsidRDefault="003D3A9D" w:rsidP="003D3A9D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1.1</w:t>
            </w:r>
          </w:p>
        </w:tc>
        <w:tc>
          <w:tcPr>
            <w:tcW w:w="3694" w:type="dxa"/>
          </w:tcPr>
          <w:p w14:paraId="6C3AE864" w14:textId="77777777" w:rsidR="003D3A9D" w:rsidRPr="00E33EFF" w:rsidRDefault="003D3A9D" w:rsidP="003D3A9D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Pareiškėjas</w:t>
            </w:r>
          </w:p>
          <w:p w14:paraId="2AF240DC" w14:textId="77777777" w:rsidR="003D3A9D" w:rsidRPr="00E33EFF" w:rsidRDefault="003D3A9D" w:rsidP="003D3A9D">
            <w:pPr>
              <w:rPr>
                <w:rFonts w:eastAsia="Arial"/>
              </w:rPr>
            </w:pPr>
          </w:p>
        </w:tc>
        <w:tc>
          <w:tcPr>
            <w:tcW w:w="5167" w:type="dxa"/>
          </w:tcPr>
          <w:p w14:paraId="2AAF0D91" w14:textId="6B25135D" w:rsidR="003D3A9D" w:rsidRPr="00E33EFF" w:rsidRDefault="003D3A9D" w:rsidP="003D3A9D">
            <w:pPr>
              <w:rPr>
                <w:rFonts w:eastAsia="Arial"/>
              </w:rPr>
            </w:pPr>
            <w:r w:rsidRPr="00314E63">
              <w:rPr>
                <w:rFonts w:eastAsia="Arial"/>
                <w:color w:val="000000"/>
              </w:rPr>
              <w:t>Janssen-</w:t>
            </w:r>
            <w:proofErr w:type="spellStart"/>
            <w:r w:rsidRPr="00314E63">
              <w:rPr>
                <w:rFonts w:eastAsia="Arial"/>
                <w:color w:val="000000"/>
              </w:rPr>
              <w:t>Cilag</w:t>
            </w:r>
            <w:proofErr w:type="spellEnd"/>
            <w:r w:rsidRPr="00314E63">
              <w:rPr>
                <w:rFonts w:eastAsia="Arial"/>
                <w:color w:val="000000"/>
              </w:rPr>
              <w:t xml:space="preserve"> International N.V., Belgija</w:t>
            </w:r>
          </w:p>
        </w:tc>
      </w:tr>
      <w:tr w:rsidR="003D3A9D" w:rsidRPr="00E33EFF" w14:paraId="31998B0D" w14:textId="77777777" w:rsidTr="00BE7489">
        <w:trPr>
          <w:trHeight w:val="538"/>
        </w:trPr>
        <w:tc>
          <w:tcPr>
            <w:tcW w:w="632" w:type="dxa"/>
          </w:tcPr>
          <w:p w14:paraId="2005EC67" w14:textId="662300D0" w:rsidR="003D3A9D" w:rsidRPr="00E33EFF" w:rsidRDefault="003D3A9D" w:rsidP="003D3A9D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1.2</w:t>
            </w:r>
          </w:p>
        </w:tc>
        <w:tc>
          <w:tcPr>
            <w:tcW w:w="3694" w:type="dxa"/>
          </w:tcPr>
          <w:p w14:paraId="1E4AE3B1" w14:textId="77777777" w:rsidR="003D3A9D" w:rsidRPr="003D7795" w:rsidRDefault="003D3A9D" w:rsidP="003D3A9D">
            <w:pPr>
              <w:rPr>
                <w:bCs/>
                <w:color w:val="000000"/>
                <w:lang w:eastAsia="lt-LT"/>
              </w:rPr>
            </w:pPr>
            <w:r w:rsidRPr="003D7795">
              <w:rPr>
                <w:bCs/>
                <w:color w:val="000000"/>
                <w:lang w:eastAsia="lt-LT"/>
              </w:rPr>
              <w:t xml:space="preserve">Registracijos data </w:t>
            </w:r>
          </w:p>
          <w:p w14:paraId="3A0DC096" w14:textId="77777777" w:rsidR="003D3A9D" w:rsidRPr="003D7795" w:rsidRDefault="003D3A9D" w:rsidP="003D3A9D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3CA218AD" w14:textId="363FD21E" w:rsidR="003D3A9D" w:rsidRPr="003D7795" w:rsidRDefault="00811242" w:rsidP="003D3A9D">
            <w:pPr>
              <w:rPr>
                <w:rStyle w:val="Style2"/>
                <w:sz w:val="24"/>
              </w:rPr>
            </w:pPr>
            <w:sdt>
              <w:sdtPr>
                <w:rPr>
                  <w:sz w:val="32"/>
                </w:rPr>
                <w:alias w:val="Nurodykite konkrečią dieną"/>
                <w:tag w:val="Nurodykite pradžios datą"/>
                <w:id w:val="423238108"/>
                <w:placeholder>
                  <w:docPart w:val="77A0BD9328394B7BBD0D736FCF92ABE0"/>
                </w:placeholder>
                <w15:color w:val="FFCC99"/>
                <w:date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>
                <w:rPr>
                  <w:sz w:val="24"/>
                </w:rPr>
              </w:sdtEndPr>
              <w:sdtContent>
                <w:r w:rsidR="003D7795" w:rsidRPr="003D7795">
                  <w:t>2017 m. balandžio 28 d.</w:t>
                </w:r>
              </w:sdtContent>
            </w:sdt>
          </w:p>
        </w:tc>
      </w:tr>
      <w:tr w:rsidR="003D3A9D" w:rsidRPr="00E33EFF" w14:paraId="15968AE1" w14:textId="77777777" w:rsidTr="00BE7489">
        <w:trPr>
          <w:trHeight w:val="1500"/>
        </w:trPr>
        <w:tc>
          <w:tcPr>
            <w:tcW w:w="632" w:type="dxa"/>
          </w:tcPr>
          <w:p w14:paraId="6A784245" w14:textId="1E461489" w:rsidR="003D3A9D" w:rsidRPr="00E33EFF" w:rsidRDefault="003D3A9D" w:rsidP="003D3A9D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1.3</w:t>
            </w:r>
          </w:p>
        </w:tc>
        <w:tc>
          <w:tcPr>
            <w:tcW w:w="3694" w:type="dxa"/>
          </w:tcPr>
          <w:p w14:paraId="22933506" w14:textId="77777777" w:rsidR="003D3A9D" w:rsidRPr="00E33EFF" w:rsidRDefault="003D3A9D" w:rsidP="003D3A9D">
            <w:r w:rsidRPr="00E33EFF">
              <w:t xml:space="preserve">Paraiškos tipas </w:t>
            </w:r>
          </w:p>
          <w:p w14:paraId="0465E680" w14:textId="7F0A0714" w:rsidR="003D3A9D" w:rsidRPr="00E33EFF" w:rsidRDefault="003D3A9D" w:rsidP="003D3A9D">
            <w:r w:rsidRPr="00E33EFF">
              <w:t xml:space="preserve">(pagal </w:t>
            </w:r>
            <w:r w:rsidRPr="00E33EFF">
              <w:rPr>
                <w:color w:val="333333"/>
                <w:shd w:val="clear" w:color="auto" w:fill="FFFFFF"/>
              </w:rPr>
              <w:t>vaistinio preparato registracijos tipą, įtvirtintą</w:t>
            </w:r>
            <w:r w:rsidRPr="00E33EFF">
              <w:t xml:space="preserve"> Direktyvos 2001/83/EB </w:t>
            </w:r>
            <w:proofErr w:type="spellStart"/>
            <w:r w:rsidRPr="00E33EFF">
              <w:t>straipsiuose</w:t>
            </w:r>
            <w:proofErr w:type="spellEnd"/>
            <w:r w:rsidRPr="00E33EFF">
              <w:t>)</w:t>
            </w:r>
          </w:p>
          <w:p w14:paraId="77089D80" w14:textId="6681D72A" w:rsidR="003D3A9D" w:rsidRPr="00E33EFF" w:rsidRDefault="003D3A9D" w:rsidP="003D3A9D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5FF0724E" w14:textId="77777777" w:rsidR="003D3A9D" w:rsidRPr="00D05364" w:rsidRDefault="00811242" w:rsidP="003D3A9D">
            <w:sdt>
              <w:sdtPr>
                <w:rPr>
                  <w:rStyle w:val="Style2"/>
                </w:rPr>
                <w:id w:val="-36659637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3D3A9D" w:rsidRPr="00D05364">
              <w:t xml:space="preserve"> 8.3 str. (pilna byla, pagrįsta savais tyrimais) </w:t>
            </w:r>
          </w:p>
          <w:p w14:paraId="265E0586" w14:textId="77777777" w:rsidR="003D3A9D" w:rsidRPr="00D05364" w:rsidRDefault="00811242" w:rsidP="003D3A9D">
            <w:sdt>
              <w:sdtPr>
                <w:rPr>
                  <w:rStyle w:val="Style2"/>
                </w:rPr>
                <w:id w:val="6754622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3A9D" w:rsidRPr="00D05364">
              <w:t xml:space="preserve"> 10 a str. (pripažintas medicininis vartojimas) </w:t>
            </w:r>
          </w:p>
          <w:p w14:paraId="0006A61F" w14:textId="77777777" w:rsidR="003D3A9D" w:rsidRPr="00D05364" w:rsidRDefault="00811242" w:rsidP="003D3A9D">
            <w:sdt>
              <w:sdtPr>
                <w:rPr>
                  <w:rStyle w:val="Style2"/>
                </w:rPr>
                <w:id w:val="-12904358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 w:rsidRPr="00D0536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A9D" w:rsidRPr="00D05364">
              <w:t xml:space="preserve"> 10.1 str. (</w:t>
            </w:r>
            <w:proofErr w:type="spellStart"/>
            <w:r w:rsidR="003D3A9D" w:rsidRPr="00D05364">
              <w:t>generinis</w:t>
            </w:r>
            <w:proofErr w:type="spellEnd"/>
            <w:r w:rsidR="003D3A9D" w:rsidRPr="00D05364">
              <w:t>)</w:t>
            </w:r>
          </w:p>
          <w:p w14:paraId="3B0A4F72" w14:textId="1A1FAED5" w:rsidR="003D3A9D" w:rsidRPr="00E33EFF" w:rsidRDefault="00811242" w:rsidP="003D3A9D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</w:rPr>
                <w:id w:val="-12454503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3A9D" w:rsidRPr="00D05364">
              <w:t xml:space="preserve"> 10.3 str. (hibridinis)</w:t>
            </w:r>
          </w:p>
        </w:tc>
      </w:tr>
      <w:tr w:rsidR="003D3A9D" w:rsidRPr="00E33EFF" w14:paraId="310E9662" w14:textId="77777777" w:rsidTr="00BE7489">
        <w:trPr>
          <w:trHeight w:val="1442"/>
        </w:trPr>
        <w:tc>
          <w:tcPr>
            <w:tcW w:w="632" w:type="dxa"/>
          </w:tcPr>
          <w:p w14:paraId="4B5A91A2" w14:textId="561B5E5F" w:rsidR="003D3A9D" w:rsidRPr="00E33EFF" w:rsidRDefault="003D3A9D" w:rsidP="003D3A9D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1.4</w:t>
            </w:r>
          </w:p>
        </w:tc>
        <w:tc>
          <w:tcPr>
            <w:tcW w:w="3694" w:type="dxa"/>
          </w:tcPr>
          <w:p w14:paraId="6C91E105" w14:textId="77777777" w:rsidR="003D3A9D" w:rsidRPr="00E33EFF" w:rsidRDefault="003D3A9D" w:rsidP="003D3A9D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Ar vaistinis preparatas įrašytas į Bendrijos retųjų vaistinių preparatų registrą? </w:t>
            </w:r>
          </w:p>
          <w:p w14:paraId="483071A3" w14:textId="2FEB27F0" w:rsidR="003D3A9D" w:rsidRPr="00E33EFF" w:rsidRDefault="003D3A9D" w:rsidP="003D3A9D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547FBA1D" w14:textId="77777777" w:rsidR="003D3A9D" w:rsidRPr="00D05364" w:rsidRDefault="00811242" w:rsidP="003D3A9D">
            <w:sdt>
              <w:sdtPr>
                <w:rPr>
                  <w:rStyle w:val="Style2"/>
                </w:rPr>
                <w:id w:val="2024432173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3D3A9D" w:rsidRPr="00D05364">
              <w:t xml:space="preserve"> Taip</w:t>
            </w:r>
          </w:p>
          <w:p w14:paraId="4313DB9A" w14:textId="77777777" w:rsidR="003D3A9D" w:rsidRPr="00D05364" w:rsidRDefault="00811242" w:rsidP="003D3A9D">
            <w:sdt>
              <w:sdtPr>
                <w:rPr>
                  <w:rStyle w:val="Style2"/>
                </w:rPr>
                <w:id w:val="-97050792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3A9D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3A9D" w:rsidRPr="00D05364">
              <w:t xml:space="preserve"> Ne</w:t>
            </w:r>
          </w:p>
          <w:p w14:paraId="6BDC8074" w14:textId="77777777" w:rsidR="003D3A9D" w:rsidRDefault="00811242" w:rsidP="003D3A9D">
            <w:sdt>
              <w:sdtPr>
                <w:alias w:val="Nurodykite konkrečią dieną"/>
                <w:tag w:val="Nurodykite pradžios datą"/>
                <w:id w:val="693498901"/>
                <w:placeholder>
                  <w:docPart w:val="6FF6573923764ED29D32A8F0CB837E97"/>
                </w:placeholder>
                <w15:color w:val="FFCC99"/>
                <w:date w:fullDate="2016-05-24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D3A9D">
                  <w:t>2016 m. gegužės 24 d.</w:t>
                </w:r>
              </w:sdtContent>
            </w:sdt>
          </w:p>
          <w:p w14:paraId="0538D65C" w14:textId="77777777" w:rsidR="003D3A9D" w:rsidRDefault="003D3A9D" w:rsidP="003D3A9D"/>
          <w:p w14:paraId="29C2CBBB" w14:textId="70843068" w:rsidR="003D3A9D" w:rsidRPr="00E33EFF" w:rsidRDefault="003D3A9D" w:rsidP="003D3A9D">
            <w:pPr>
              <w:rPr>
                <w:rFonts w:eastAsia="Arial"/>
              </w:rPr>
            </w:pPr>
            <w:r w:rsidRPr="00DE727D">
              <w:rPr>
                <w:rFonts w:eastAsia="Arial"/>
              </w:rPr>
              <w:t>EU/3/13/1153</w:t>
            </w:r>
          </w:p>
        </w:tc>
      </w:tr>
      <w:tr w:rsidR="00D417D2" w:rsidRPr="00E33EFF" w14:paraId="7841E5F8" w14:textId="77777777" w:rsidTr="00BE7489">
        <w:trPr>
          <w:trHeight w:val="476"/>
        </w:trPr>
        <w:tc>
          <w:tcPr>
            <w:tcW w:w="632" w:type="dxa"/>
          </w:tcPr>
          <w:p w14:paraId="109D2861" w14:textId="73BF27DF" w:rsidR="00D417D2" w:rsidRPr="00E33EFF" w:rsidRDefault="00D417D2" w:rsidP="00824B92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1.5</w:t>
            </w:r>
          </w:p>
        </w:tc>
        <w:tc>
          <w:tcPr>
            <w:tcW w:w="3694" w:type="dxa"/>
          </w:tcPr>
          <w:p w14:paraId="7822D63E" w14:textId="68C38334" w:rsidR="00D417D2" w:rsidRPr="00E33EFF" w:rsidRDefault="00D417D2" w:rsidP="00824B92">
            <w:pPr>
              <w:rPr>
                <w:bCs/>
                <w:color w:val="000000"/>
                <w:lang w:eastAsia="lt-LT"/>
              </w:rPr>
            </w:pPr>
            <w:r w:rsidRPr="00E33EFF">
              <w:t>STV paraiškos pobūdis</w:t>
            </w:r>
          </w:p>
        </w:tc>
        <w:tc>
          <w:tcPr>
            <w:tcW w:w="5167" w:type="dxa"/>
          </w:tcPr>
          <w:p w14:paraId="403461B9" w14:textId="68A37216" w:rsidR="00D417D2" w:rsidRPr="00E33EFF" w:rsidRDefault="00811242" w:rsidP="00824B92">
            <w:sdt>
              <w:sdtPr>
                <w:rPr>
                  <w:rStyle w:val="Style2"/>
                  <w:sz w:val="24"/>
                </w:rPr>
                <w:id w:val="-46843353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1877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D417D2" w:rsidRPr="00E33EFF">
              <w:t xml:space="preserve"> Pilna paraiška</w:t>
            </w:r>
          </w:p>
          <w:p w14:paraId="6B8213E3" w14:textId="3495CDF4" w:rsidR="00D417D2" w:rsidRPr="00E33EFF" w:rsidRDefault="00811242" w:rsidP="00824B92">
            <w:sdt>
              <w:sdtPr>
                <w:rPr>
                  <w:rStyle w:val="Style2"/>
                  <w:sz w:val="24"/>
                </w:rPr>
                <w:id w:val="-148901490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417D2" w:rsidRPr="00E33EFF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D417D2" w:rsidRPr="00E33EFF">
              <w:t xml:space="preserve"> Supaprastinta paraiška</w:t>
            </w:r>
          </w:p>
        </w:tc>
      </w:tr>
      <w:tr w:rsidR="003D7795" w:rsidRPr="00E33EFF" w14:paraId="274D1DAF" w14:textId="77777777" w:rsidTr="00BE7489">
        <w:trPr>
          <w:trHeight w:val="1922"/>
        </w:trPr>
        <w:tc>
          <w:tcPr>
            <w:tcW w:w="632" w:type="dxa"/>
          </w:tcPr>
          <w:p w14:paraId="17ABF217" w14:textId="14AC00D7" w:rsidR="003D7795" w:rsidRPr="00E33EFF" w:rsidRDefault="003D7795" w:rsidP="003D7795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1.6</w:t>
            </w:r>
          </w:p>
        </w:tc>
        <w:tc>
          <w:tcPr>
            <w:tcW w:w="3694" w:type="dxa"/>
          </w:tcPr>
          <w:p w14:paraId="150C5C6F" w14:textId="663562A3" w:rsidR="003D7795" w:rsidRDefault="003D7795" w:rsidP="003D7795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 kompensuoti vaistinio preparato indikacija (-</w:t>
            </w:r>
            <w:proofErr w:type="spellStart"/>
            <w:r w:rsidRPr="00E33EFF">
              <w:rPr>
                <w:bCs/>
                <w:color w:val="000000"/>
                <w:lang w:eastAsia="lt-LT"/>
              </w:rPr>
              <w:t>os</w:t>
            </w:r>
            <w:proofErr w:type="spellEnd"/>
            <w:r w:rsidRPr="00E33EFF">
              <w:rPr>
                <w:bCs/>
                <w:color w:val="000000"/>
                <w:lang w:eastAsia="lt-LT"/>
              </w:rPr>
              <w:t>)</w:t>
            </w:r>
          </w:p>
          <w:p w14:paraId="2915FC54" w14:textId="2A59B090" w:rsidR="003D7795" w:rsidRDefault="003D7795" w:rsidP="003D7795">
            <w:pPr>
              <w:rPr>
                <w:bCs/>
                <w:color w:val="000000"/>
                <w:lang w:eastAsia="lt-LT"/>
              </w:rPr>
            </w:pPr>
          </w:p>
          <w:p w14:paraId="3A6B054C" w14:textId="77777777" w:rsidR="003D7795" w:rsidRDefault="003D7795" w:rsidP="003D7795">
            <w:pPr>
              <w:rPr>
                <w:bCs/>
                <w:color w:val="000000"/>
                <w:lang w:eastAsia="lt-LT"/>
              </w:rPr>
            </w:pPr>
          </w:p>
          <w:p w14:paraId="6B4FEEC1" w14:textId="378668B0" w:rsidR="003D7795" w:rsidRPr="00E33EFF" w:rsidRDefault="003D7795" w:rsidP="003D7795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Kodas pagal TLK-10 AM</w:t>
            </w:r>
          </w:p>
        </w:tc>
        <w:tc>
          <w:tcPr>
            <w:tcW w:w="5167" w:type="dxa"/>
          </w:tcPr>
          <w:p w14:paraId="67EF384B" w14:textId="77777777" w:rsidR="003D7795" w:rsidRDefault="003D7795" w:rsidP="003D7795">
            <w:pPr>
              <w:pStyle w:val="ListParagraph"/>
              <w:spacing w:after="120"/>
              <w:ind w:left="0"/>
              <w:contextualSpacing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Prašoma kompensuoti registruotos terapinės indikacijos dalį:</w:t>
            </w:r>
          </w:p>
          <w:p w14:paraId="5F4F8470" w14:textId="77777777" w:rsidR="003D7795" w:rsidRDefault="003D7795" w:rsidP="003D7795">
            <w:pPr>
              <w:pStyle w:val="ListParagraph"/>
              <w:spacing w:after="120"/>
              <w:ind w:left="0"/>
              <w:contextualSpacing w:val="0"/>
              <w:jc w:val="both"/>
            </w:pPr>
            <w:r>
              <w:rPr>
                <w:rFonts w:eastAsia="Arial"/>
              </w:rPr>
              <w:t>D</w:t>
            </w:r>
            <w:r w:rsidRPr="002217A0">
              <w:rPr>
                <w:rFonts w:eastAsia="Arial"/>
              </w:rPr>
              <w:t xml:space="preserve">erinant su </w:t>
            </w:r>
            <w:proofErr w:type="spellStart"/>
            <w:r w:rsidRPr="002217A0">
              <w:rPr>
                <w:rFonts w:eastAsia="Arial"/>
              </w:rPr>
              <w:t>bortezomibu</w:t>
            </w:r>
            <w:proofErr w:type="spellEnd"/>
            <w:r w:rsidRPr="002217A0">
              <w:rPr>
                <w:rFonts w:eastAsia="Arial"/>
              </w:rPr>
              <w:t xml:space="preserve"> ir </w:t>
            </w:r>
            <w:proofErr w:type="spellStart"/>
            <w:r w:rsidRPr="002217A0">
              <w:rPr>
                <w:rFonts w:eastAsia="Arial"/>
              </w:rPr>
              <w:t>deksametazonu</w:t>
            </w:r>
            <w:proofErr w:type="spellEnd"/>
            <w:r w:rsidRPr="002217A0">
              <w:rPr>
                <w:rFonts w:eastAsia="Arial"/>
              </w:rPr>
              <w:t xml:space="preserve"> gydymui daugybine mieloma sergantiems suaugusiems pacientams, kuriems anksčiau buvo taikyta bent viena terapija</w:t>
            </w:r>
            <w:r w:rsidRPr="002217A0">
              <w:t>.</w:t>
            </w:r>
          </w:p>
          <w:p w14:paraId="13F7DFB0" w14:textId="0898ABCF" w:rsidR="003D7795" w:rsidRPr="00E33EFF" w:rsidRDefault="003D7795" w:rsidP="003D7795">
            <w:pPr>
              <w:pStyle w:val="ListParagraph"/>
              <w:spacing w:after="120" w:line="276" w:lineRule="auto"/>
              <w:ind w:left="0"/>
              <w:contextualSpacing w:val="0"/>
              <w:jc w:val="both"/>
            </w:pPr>
            <w:r w:rsidRPr="002217A0">
              <w:lastRenderedPageBreak/>
              <w:t>C90</w:t>
            </w:r>
          </w:p>
        </w:tc>
      </w:tr>
      <w:tr w:rsidR="003D7795" w:rsidRPr="00E33EFF" w14:paraId="2F79DC08" w14:textId="77777777" w:rsidTr="00BE7489">
        <w:trPr>
          <w:trHeight w:val="378"/>
        </w:trPr>
        <w:tc>
          <w:tcPr>
            <w:tcW w:w="632" w:type="dxa"/>
          </w:tcPr>
          <w:p w14:paraId="547885A2" w14:textId="08AA8055" w:rsidR="003D7795" w:rsidRPr="00E33EFF" w:rsidRDefault="003D7795" w:rsidP="003D7795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lastRenderedPageBreak/>
              <w:t>1.6</w:t>
            </w:r>
          </w:p>
        </w:tc>
        <w:tc>
          <w:tcPr>
            <w:tcW w:w="3694" w:type="dxa"/>
          </w:tcPr>
          <w:p w14:paraId="2EAB877F" w14:textId="39A36941" w:rsidR="003D7795" w:rsidRPr="00E33EFF" w:rsidRDefault="003D7795" w:rsidP="003D7795">
            <w:pPr>
              <w:rPr>
                <w:bCs/>
                <w:color w:val="000000"/>
                <w:u w:val="single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 xml:space="preserve">Pareiškėjo teikiamos skyrimo sąlygos </w:t>
            </w:r>
          </w:p>
        </w:tc>
        <w:tc>
          <w:tcPr>
            <w:tcW w:w="5167" w:type="dxa"/>
          </w:tcPr>
          <w:p w14:paraId="0579DF58" w14:textId="3A9790D7" w:rsidR="003D7795" w:rsidRPr="00E33EFF" w:rsidRDefault="003D7795" w:rsidP="003D7795">
            <w:r>
              <w:t>Pagal terapinės indikacijos dalį (neteikiamos)</w:t>
            </w:r>
          </w:p>
        </w:tc>
      </w:tr>
      <w:tr w:rsidR="003D7795" w:rsidRPr="00E33EFF" w14:paraId="3B125269" w14:textId="77777777" w:rsidTr="00BE7489">
        <w:trPr>
          <w:trHeight w:val="378"/>
        </w:trPr>
        <w:tc>
          <w:tcPr>
            <w:tcW w:w="632" w:type="dxa"/>
          </w:tcPr>
          <w:p w14:paraId="0058E11F" w14:textId="77777777" w:rsidR="003D7795" w:rsidRPr="00E33EFF" w:rsidRDefault="003D7795" w:rsidP="003D7795">
            <w:pPr>
              <w:rPr>
                <w:rFonts w:eastAsia="Arial"/>
              </w:rPr>
            </w:pPr>
            <w:r w:rsidRPr="00E33EFF">
              <w:rPr>
                <w:rFonts w:eastAsia="Arial"/>
              </w:rPr>
              <w:t>1.7</w:t>
            </w:r>
          </w:p>
        </w:tc>
        <w:tc>
          <w:tcPr>
            <w:tcW w:w="3694" w:type="dxa"/>
          </w:tcPr>
          <w:p w14:paraId="738E1926" w14:textId="50A9DC79" w:rsidR="003D7795" w:rsidRDefault="003D7795" w:rsidP="003D7795">
            <w:pPr>
              <w:rPr>
                <w:bCs/>
                <w:color w:val="000000"/>
                <w:lang w:eastAsia="lt-LT"/>
              </w:rPr>
            </w:pPr>
            <w:r w:rsidRPr="00E33EFF">
              <w:rPr>
                <w:bCs/>
                <w:color w:val="000000"/>
                <w:lang w:eastAsia="lt-LT"/>
              </w:rPr>
              <w:t>Pareiškėjo teikiamas palyginamasis gydymas</w:t>
            </w:r>
            <w:r>
              <w:rPr>
                <w:bCs/>
                <w:color w:val="000000"/>
                <w:lang w:eastAsia="lt-LT"/>
              </w:rPr>
              <w:t>:</w:t>
            </w:r>
            <w:r w:rsidRPr="00E33EFF">
              <w:rPr>
                <w:bCs/>
                <w:color w:val="000000"/>
                <w:lang w:eastAsia="lt-LT"/>
              </w:rPr>
              <w:t xml:space="preserve"> </w:t>
            </w:r>
          </w:p>
          <w:p w14:paraId="1F7BF92F" w14:textId="6E3AE3A9" w:rsidR="003D7795" w:rsidRDefault="003D7795" w:rsidP="003D7795">
            <w:pPr>
              <w:rPr>
                <w:bCs/>
                <w:i/>
                <w:color w:val="000000"/>
                <w:lang w:eastAsia="lt-LT"/>
              </w:rPr>
            </w:pPr>
            <w:r w:rsidRPr="007C7519">
              <w:rPr>
                <w:bCs/>
                <w:i/>
                <w:color w:val="000000"/>
                <w:lang w:eastAsia="lt-LT"/>
              </w:rPr>
              <w:t>Tiesioginis</w:t>
            </w:r>
          </w:p>
          <w:p w14:paraId="15E20A49" w14:textId="77777777" w:rsidR="005944D4" w:rsidRDefault="005944D4" w:rsidP="003D7795">
            <w:pPr>
              <w:rPr>
                <w:bCs/>
                <w:i/>
                <w:color w:val="000000"/>
                <w:lang w:eastAsia="lt-LT"/>
              </w:rPr>
            </w:pPr>
          </w:p>
          <w:p w14:paraId="643CC07B" w14:textId="53524305" w:rsidR="003D7795" w:rsidRDefault="003D7795" w:rsidP="003D7795">
            <w:pPr>
              <w:rPr>
                <w:bCs/>
                <w:i/>
                <w:color w:val="000000"/>
                <w:lang w:eastAsia="lt-LT"/>
              </w:rPr>
            </w:pPr>
            <w:r>
              <w:rPr>
                <w:bCs/>
                <w:i/>
                <w:color w:val="000000"/>
                <w:lang w:eastAsia="lt-LT"/>
              </w:rPr>
              <w:t>Netiesioginis</w:t>
            </w:r>
          </w:p>
          <w:p w14:paraId="62057D94" w14:textId="77777777" w:rsidR="003D7795" w:rsidRPr="00E33EFF" w:rsidRDefault="003D7795" w:rsidP="003D7795">
            <w:pPr>
              <w:rPr>
                <w:bCs/>
                <w:color w:val="000000"/>
                <w:lang w:eastAsia="lt-LT"/>
              </w:rPr>
            </w:pPr>
          </w:p>
          <w:p w14:paraId="6CC1022E" w14:textId="2B6BCEE1" w:rsidR="003D7795" w:rsidRPr="00E33EFF" w:rsidRDefault="003D7795" w:rsidP="003D7795">
            <w:pPr>
              <w:rPr>
                <w:bCs/>
                <w:color w:val="000000"/>
                <w:lang w:eastAsia="lt-LT"/>
              </w:rPr>
            </w:pPr>
          </w:p>
        </w:tc>
        <w:tc>
          <w:tcPr>
            <w:tcW w:w="5167" w:type="dxa"/>
          </w:tcPr>
          <w:p w14:paraId="3E389C70" w14:textId="22AFFC76" w:rsidR="003D7795" w:rsidRDefault="003D7795" w:rsidP="003D7795">
            <w:pPr>
              <w:rPr>
                <w:rStyle w:val="Style2"/>
                <w:sz w:val="24"/>
              </w:rPr>
            </w:pPr>
          </w:p>
          <w:p w14:paraId="0AC43073" w14:textId="77777777" w:rsidR="003D7795" w:rsidRPr="00E33EFF" w:rsidRDefault="003D7795" w:rsidP="003D7795"/>
          <w:p w14:paraId="2383573D" w14:textId="3709C75A" w:rsidR="003D7795" w:rsidRDefault="00811242" w:rsidP="003D7795">
            <w:sdt>
              <w:sdtPr>
                <w:rPr>
                  <w:rStyle w:val="Style2"/>
                  <w:sz w:val="24"/>
                </w:rPr>
                <w:id w:val="-439376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017272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D7795" w:rsidRPr="00E33EFF">
              <w:t xml:space="preserve"> </w:t>
            </w:r>
            <w:r w:rsidR="00017272">
              <w:t xml:space="preserve"> </w:t>
            </w:r>
            <w:r w:rsidR="00017272" w:rsidRPr="00BB66DC">
              <w:t>Net</w:t>
            </w:r>
            <w:r w:rsidR="003D7795" w:rsidRPr="00BB66DC">
              <w:t>inkamas</w:t>
            </w:r>
          </w:p>
          <w:p w14:paraId="2078F066" w14:textId="09403E81" w:rsidR="005944D4" w:rsidRDefault="005944D4" w:rsidP="003D7795"/>
          <w:p w14:paraId="1E18B7DE" w14:textId="33816BDE" w:rsidR="005944D4" w:rsidRDefault="00811242" w:rsidP="005944D4">
            <w:sdt>
              <w:sdtPr>
                <w:rPr>
                  <w:rStyle w:val="Style2"/>
                  <w:sz w:val="24"/>
                </w:rPr>
                <w:id w:val="-1714262495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5944D4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5944D4" w:rsidRPr="00E33EFF">
              <w:t xml:space="preserve"> Tinkamas</w:t>
            </w:r>
          </w:p>
          <w:p w14:paraId="00AA7FBB" w14:textId="77777777" w:rsidR="005944D4" w:rsidRPr="00E33EFF" w:rsidRDefault="005944D4" w:rsidP="003D7795"/>
          <w:p w14:paraId="5474EFC4" w14:textId="2185E622" w:rsidR="003D7795" w:rsidRDefault="00811242" w:rsidP="003D7795">
            <w:pPr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99160360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7795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D7795" w:rsidRPr="00E33EFF">
              <w:t xml:space="preserve"> Netinkama</w:t>
            </w:r>
            <w:r w:rsidR="003D7795">
              <w:t>s</w:t>
            </w:r>
          </w:p>
          <w:p w14:paraId="41B44044" w14:textId="7CC78EBA" w:rsidR="003D7795" w:rsidRPr="00E33EFF" w:rsidRDefault="003D7795" w:rsidP="003D7795"/>
        </w:tc>
      </w:tr>
    </w:tbl>
    <w:p w14:paraId="108176F7" w14:textId="640C6F75" w:rsidR="00F70C9E" w:rsidRPr="00E33EFF" w:rsidRDefault="00F70C9E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2871CA7F" w14:textId="2370BDDB" w:rsidR="00F70C9E" w:rsidRPr="00E33EFF" w:rsidRDefault="00F70C9E" w:rsidP="00880A44">
      <w:pPr>
        <w:spacing w:line="276" w:lineRule="auto"/>
        <w:jc w:val="both"/>
        <w:rPr>
          <w:rFonts w:eastAsia="Arial"/>
          <w:b/>
        </w:rPr>
      </w:pPr>
      <w:r w:rsidRPr="00E33EFF">
        <w:rPr>
          <w:rFonts w:eastAsia="Arial"/>
          <w:b/>
        </w:rPr>
        <w:t xml:space="preserve">1.8 Kitų </w:t>
      </w:r>
      <w:r w:rsidR="00DF583C" w:rsidRPr="00E33EFF">
        <w:rPr>
          <w:rFonts w:eastAsia="Arial"/>
          <w:b/>
        </w:rPr>
        <w:t xml:space="preserve">valstybių </w:t>
      </w:r>
      <w:r w:rsidRPr="00E33EFF">
        <w:rPr>
          <w:rFonts w:eastAsia="Arial"/>
          <w:b/>
        </w:rPr>
        <w:t xml:space="preserve">atsakingų institucijų atlikto </w:t>
      </w:r>
      <w:r w:rsidR="00DF583C" w:rsidRPr="00E33EFF">
        <w:rPr>
          <w:rFonts w:eastAsia="Arial"/>
          <w:b/>
        </w:rPr>
        <w:t>Sveikatos technologijų vertinimo (toliau – STV)</w:t>
      </w:r>
      <w:r w:rsidRPr="00E33EFF">
        <w:rPr>
          <w:rFonts w:eastAsia="Arial"/>
          <w:b/>
        </w:rPr>
        <w:t xml:space="preserve"> išvados</w:t>
      </w:r>
    </w:p>
    <w:p w14:paraId="30721FDD" w14:textId="77777777" w:rsidR="00F70C9E" w:rsidRPr="00E33EFF" w:rsidRDefault="00F70C9E" w:rsidP="00F70C9E">
      <w:pPr>
        <w:spacing w:line="276" w:lineRule="auto"/>
        <w:rPr>
          <w:rFonts w:eastAsia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27"/>
        <w:gridCol w:w="1915"/>
        <w:gridCol w:w="2351"/>
        <w:gridCol w:w="2725"/>
      </w:tblGrid>
      <w:tr w:rsidR="003D7795" w:rsidRPr="00D05364" w14:paraId="74A740CF" w14:textId="77777777" w:rsidTr="0016215B">
        <w:trPr>
          <w:trHeight w:val="924"/>
        </w:trPr>
        <w:tc>
          <w:tcPr>
            <w:tcW w:w="2927" w:type="dxa"/>
          </w:tcPr>
          <w:p w14:paraId="295F51A3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STV agentūros pavadinimas, šalis</w:t>
            </w:r>
          </w:p>
        </w:tc>
        <w:tc>
          <w:tcPr>
            <w:tcW w:w="1915" w:type="dxa"/>
          </w:tcPr>
          <w:p w14:paraId="48CB9CC0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STV vertinimas atliktas</w:t>
            </w:r>
          </w:p>
        </w:tc>
        <w:tc>
          <w:tcPr>
            <w:tcW w:w="2351" w:type="dxa"/>
          </w:tcPr>
          <w:p w14:paraId="464956FA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Klinikinio vertinimo išvada</w:t>
            </w:r>
          </w:p>
        </w:tc>
        <w:tc>
          <w:tcPr>
            <w:tcW w:w="2725" w:type="dxa"/>
          </w:tcPr>
          <w:p w14:paraId="069A9DE0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proofErr w:type="spellStart"/>
            <w:r w:rsidRPr="00D05364">
              <w:rPr>
                <w:rFonts w:eastAsia="Arial"/>
              </w:rPr>
              <w:t>Farmakoekonominio</w:t>
            </w:r>
            <w:proofErr w:type="spellEnd"/>
            <w:r w:rsidRPr="00D05364">
              <w:rPr>
                <w:rFonts w:eastAsia="Arial"/>
              </w:rPr>
              <w:t xml:space="preserve"> vertinimo išvada</w:t>
            </w:r>
          </w:p>
        </w:tc>
      </w:tr>
      <w:tr w:rsidR="001D3ECB" w:rsidRPr="00D05364" w14:paraId="5FE4C9E8" w14:textId="77777777" w:rsidTr="002D3E04">
        <w:trPr>
          <w:trHeight w:val="1765"/>
        </w:trPr>
        <w:tc>
          <w:tcPr>
            <w:tcW w:w="2927" w:type="dxa"/>
          </w:tcPr>
          <w:p w14:paraId="4F6E4C5F" w14:textId="77777777" w:rsidR="001D3ECB" w:rsidRPr="00D05364" w:rsidRDefault="001D3ECB" w:rsidP="0016215B">
            <w:pPr>
              <w:autoSpaceDE w:val="0"/>
              <w:autoSpaceDN w:val="0"/>
              <w:adjustRightInd w:val="0"/>
              <w:rPr>
                <w:bCs/>
              </w:rPr>
            </w:pPr>
            <w:r w:rsidRPr="00D05364">
              <w:rPr>
                <w:bCs/>
              </w:rPr>
              <w:t>Nacionalinis sveikatos ir klinikinės kompetencijos institutas, Didžioji Britanija</w:t>
            </w:r>
          </w:p>
          <w:p w14:paraId="5574A610" w14:textId="77777777" w:rsidR="001D3ECB" w:rsidRPr="00D05364" w:rsidRDefault="001D3ECB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Institute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and Care </w:t>
            </w:r>
            <w:proofErr w:type="spellStart"/>
            <w:r w:rsidRPr="00D05364">
              <w:rPr>
                <w:rFonts w:eastAsia="Arial"/>
                <w:i/>
              </w:rPr>
              <w:t>Excellence</w:t>
            </w:r>
            <w:proofErr w:type="spellEnd"/>
            <w:r w:rsidRPr="00D05364">
              <w:rPr>
                <w:rFonts w:eastAsia="Arial"/>
                <w:i/>
              </w:rPr>
              <w:t>, NICE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77138D93" w14:textId="33487879" w:rsidR="001D3ECB" w:rsidRPr="00D05364" w:rsidRDefault="00811242" w:rsidP="0016215B">
            <w:sdt>
              <w:sdtPr>
                <w:rPr>
                  <w:rStyle w:val="Style2"/>
                </w:rPr>
                <w:id w:val="1558205022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3ECB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1D3ECB" w:rsidRPr="00D05364">
              <w:t xml:space="preserve"> Taip</w:t>
            </w:r>
          </w:p>
          <w:p w14:paraId="442B3178" w14:textId="77777777" w:rsidR="001D3ECB" w:rsidRPr="00D05364" w:rsidRDefault="00811242" w:rsidP="0016215B">
            <w:sdt>
              <w:sdtPr>
                <w:rPr>
                  <w:rStyle w:val="Style2"/>
                </w:rPr>
                <w:id w:val="8660296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D3ECB" w:rsidRPr="00D05364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D3ECB" w:rsidRPr="00D05364">
              <w:t xml:space="preserve"> Ne</w:t>
            </w:r>
          </w:p>
          <w:p w14:paraId="4815A62E" w14:textId="489C07BD" w:rsidR="001D3ECB" w:rsidRPr="00D05364" w:rsidRDefault="00811242" w:rsidP="0016215B">
            <w:pPr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922837954"/>
                <w:placeholder>
                  <w:docPart w:val="2FC1EFE5A67A42DBA95712D7F84ECB44"/>
                </w:placeholder>
                <w15:color w:val="FFCC99"/>
                <w:date w:fullDate="2023-06-23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D3ECB">
                  <w:t>2023 m. birželio 23 d.</w:t>
                </w:r>
              </w:sdtContent>
            </w:sdt>
          </w:p>
        </w:tc>
        <w:tc>
          <w:tcPr>
            <w:tcW w:w="5076" w:type="dxa"/>
            <w:gridSpan w:val="2"/>
          </w:tcPr>
          <w:p w14:paraId="4C63CA15" w14:textId="77777777" w:rsidR="001D3ECB" w:rsidRDefault="001D3ECB" w:rsidP="001D3ECB">
            <w:pPr>
              <w:spacing w:line="276" w:lineRule="auto"/>
              <w:rPr>
                <w:rFonts w:eastAsia="Arial"/>
              </w:rPr>
            </w:pPr>
            <w:r w:rsidRPr="001D3ECB">
              <w:rPr>
                <w:rFonts w:eastAsia="Arial"/>
              </w:rPr>
              <w:t>Daratumumab</w:t>
            </w:r>
            <w:r>
              <w:rPr>
                <w:rFonts w:eastAsia="Arial"/>
              </w:rPr>
              <w:t xml:space="preserve">as derinyje su </w:t>
            </w:r>
            <w:proofErr w:type="spellStart"/>
            <w:r w:rsidRPr="001D3ECB">
              <w:rPr>
                <w:rFonts w:eastAsia="Arial"/>
              </w:rPr>
              <w:t>bortezomib</w:t>
            </w:r>
            <w:r>
              <w:rPr>
                <w:rFonts w:eastAsia="Arial"/>
              </w:rPr>
              <w:t>u</w:t>
            </w:r>
            <w:proofErr w:type="spellEnd"/>
            <w:r>
              <w:rPr>
                <w:rFonts w:eastAsia="Arial"/>
              </w:rPr>
              <w:t xml:space="preserve"> ir </w:t>
            </w:r>
            <w:r w:rsidRPr="001D3ECB">
              <w:rPr>
                <w:rFonts w:eastAsia="Arial"/>
              </w:rPr>
              <w:t xml:space="preserve"> </w:t>
            </w:r>
            <w:proofErr w:type="spellStart"/>
            <w:r w:rsidRPr="001D3ECB">
              <w:rPr>
                <w:rFonts w:eastAsia="Arial"/>
              </w:rPr>
              <w:t>de</w:t>
            </w:r>
            <w:r>
              <w:rPr>
                <w:rFonts w:eastAsia="Arial"/>
              </w:rPr>
              <w:t>ks</w:t>
            </w:r>
            <w:r w:rsidRPr="001D3ECB">
              <w:rPr>
                <w:rFonts w:eastAsia="Arial"/>
              </w:rPr>
              <w:t>ameta</w:t>
            </w:r>
            <w:r>
              <w:rPr>
                <w:rFonts w:eastAsia="Arial"/>
              </w:rPr>
              <w:t>zonu</w:t>
            </w:r>
            <w:proofErr w:type="spellEnd"/>
            <w:r>
              <w:rPr>
                <w:rFonts w:eastAsia="Arial"/>
              </w:rPr>
              <w:t xml:space="preserve"> rekomenduojamas kaip gydymo pasirinkimas suaugusiems pacientams, sergantiems daugine mieloma tik, jei jiems jau buvo taikomas pirmos eilės gydymas:</w:t>
            </w:r>
          </w:p>
          <w:p w14:paraId="6EB595BF" w14:textId="52AE74E0" w:rsidR="001D3ECB" w:rsidRDefault="001D3ECB" w:rsidP="001D3EC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Lenalidomidas</w:t>
            </w:r>
            <w:proofErr w:type="spellEnd"/>
          </w:p>
          <w:p w14:paraId="09C69DC1" w14:textId="76337302" w:rsidR="001D3ECB" w:rsidRPr="001D3ECB" w:rsidRDefault="001D3ECB" w:rsidP="001D3ECB">
            <w:pPr>
              <w:spacing w:line="276" w:lineRule="auto"/>
              <w:ind w:left="360"/>
              <w:rPr>
                <w:rFonts w:eastAsia="Arial"/>
              </w:rPr>
            </w:pPr>
            <w:r>
              <w:rPr>
                <w:rFonts w:eastAsia="Arial"/>
              </w:rPr>
              <w:t>arba</w:t>
            </w:r>
          </w:p>
          <w:p w14:paraId="5DB35C95" w14:textId="6AC4B5BA" w:rsidR="001D3ECB" w:rsidRPr="001D3ECB" w:rsidRDefault="001D3ECB" w:rsidP="001D3EC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Lenolidonidas</w:t>
            </w:r>
            <w:proofErr w:type="spellEnd"/>
            <w:r>
              <w:rPr>
                <w:rFonts w:eastAsia="Arial"/>
              </w:rPr>
              <w:t xml:space="preserve"> yra netinkamas antros eilės gydymas</w:t>
            </w:r>
          </w:p>
          <w:p w14:paraId="4D4EB78F" w14:textId="54AAF665" w:rsidR="001D3ECB" w:rsidRPr="00D05364" w:rsidRDefault="001D3ECB" w:rsidP="001D3ECB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Kompanija taip pat įpareigota sudaryti </w:t>
            </w:r>
            <w:r w:rsidR="009D2291">
              <w:rPr>
                <w:rFonts w:eastAsia="Arial"/>
              </w:rPr>
              <w:t>sutartį</w:t>
            </w:r>
            <w:r>
              <w:rPr>
                <w:rFonts w:eastAsia="Arial"/>
              </w:rPr>
              <w:t xml:space="preserve"> pagal </w:t>
            </w:r>
            <w:r w:rsidR="009D2291">
              <w:rPr>
                <w:rFonts w:eastAsia="Arial"/>
              </w:rPr>
              <w:t xml:space="preserve">nustatytas </w:t>
            </w:r>
            <w:r>
              <w:rPr>
                <w:rFonts w:eastAsia="Arial"/>
              </w:rPr>
              <w:t xml:space="preserve">komercines sąlygas. </w:t>
            </w:r>
          </w:p>
        </w:tc>
      </w:tr>
      <w:tr w:rsidR="00D06A7E" w:rsidRPr="00D05364" w14:paraId="5655557E" w14:textId="77777777" w:rsidTr="00C90D33">
        <w:trPr>
          <w:trHeight w:val="1547"/>
        </w:trPr>
        <w:tc>
          <w:tcPr>
            <w:tcW w:w="2927" w:type="dxa"/>
          </w:tcPr>
          <w:p w14:paraId="6722B03B" w14:textId="77777777" w:rsidR="00D06A7E" w:rsidRPr="00D05364" w:rsidRDefault="00D06A7E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Kanados sveikatos technologijų agentūra</w:t>
            </w:r>
          </w:p>
          <w:p w14:paraId="38CFB74D" w14:textId="77777777" w:rsidR="00D06A7E" w:rsidRPr="00D05364" w:rsidRDefault="00D06A7E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 xml:space="preserve">(angl. </w:t>
            </w:r>
            <w:proofErr w:type="spellStart"/>
            <w:r w:rsidRPr="00D05364">
              <w:rPr>
                <w:rFonts w:eastAsia="Arial"/>
                <w:i/>
              </w:rPr>
              <w:t>Canadian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health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Technology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Assessment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agency</w:t>
            </w:r>
            <w:proofErr w:type="spellEnd"/>
            <w:r w:rsidRPr="00D05364">
              <w:rPr>
                <w:rFonts w:eastAsia="Arial"/>
                <w:i/>
              </w:rPr>
              <w:t>, CADTH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13B7E615" w14:textId="1B9A5A6F" w:rsidR="00D06A7E" w:rsidRPr="00D05364" w:rsidRDefault="00811242" w:rsidP="00D06A7E">
            <w:pPr>
              <w:jc w:val="both"/>
            </w:pPr>
            <w:sdt>
              <w:sdtPr>
                <w:rPr>
                  <w:rStyle w:val="Style2"/>
                </w:rPr>
                <w:id w:val="-372539057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06A7E">
                  <w:rPr>
                    <w:rStyle w:val="Style2"/>
                    <w:rFonts w:ascii="MS Gothic" w:eastAsia="MS Gothic" w:hAnsi="MS Gothic" w:hint="eastAsia"/>
                  </w:rPr>
                  <w:t>☒</w:t>
                </w:r>
              </w:sdtContent>
            </w:sdt>
            <w:r w:rsidR="00D06A7E" w:rsidRPr="00D05364">
              <w:t xml:space="preserve"> Taip</w:t>
            </w:r>
          </w:p>
          <w:p w14:paraId="110276B1" w14:textId="77777777" w:rsidR="00D06A7E" w:rsidRPr="00D05364" w:rsidRDefault="00811242" w:rsidP="00D06A7E">
            <w:pPr>
              <w:jc w:val="both"/>
            </w:pPr>
            <w:sdt>
              <w:sdtPr>
                <w:rPr>
                  <w:rStyle w:val="Style2"/>
                </w:rPr>
                <w:id w:val="5944422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D06A7E" w:rsidRPr="00D05364">
                  <w:rPr>
                    <w:rStyle w:val="Style2"/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06A7E" w:rsidRPr="00D05364">
              <w:t xml:space="preserve"> Ne</w:t>
            </w:r>
          </w:p>
          <w:p w14:paraId="26902D95" w14:textId="34FC299C" w:rsidR="00D06A7E" w:rsidRPr="00D05364" w:rsidRDefault="00811242" w:rsidP="00D06A7E">
            <w:pPr>
              <w:spacing w:line="276" w:lineRule="auto"/>
              <w:jc w:val="both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1072468416"/>
                <w:placeholder>
                  <w:docPart w:val="12F3FD6823E84BFFA61B7239067B439A"/>
                </w:placeholder>
                <w15:color w:val="FFCC99"/>
                <w:date w:fullDate="2017-10-05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06A7E">
                  <w:t>2017 m. spalio 5 d.</w:t>
                </w:r>
              </w:sdtContent>
            </w:sdt>
          </w:p>
        </w:tc>
        <w:tc>
          <w:tcPr>
            <w:tcW w:w="5076" w:type="dxa"/>
            <w:gridSpan w:val="2"/>
          </w:tcPr>
          <w:p w14:paraId="1F8B282B" w14:textId="10EB4309" w:rsidR="00D06A7E" w:rsidRDefault="00D06A7E" w:rsidP="00D06A7E">
            <w:pPr>
              <w:spacing w:line="276" w:lineRule="auto"/>
              <w:jc w:val="both"/>
              <w:rPr>
                <w:rFonts w:eastAsia="Arial"/>
              </w:rPr>
            </w:pPr>
            <w:r w:rsidRPr="001D3ECB">
              <w:rPr>
                <w:rFonts w:eastAsia="Arial"/>
              </w:rPr>
              <w:t>Daratumumab</w:t>
            </w:r>
            <w:r>
              <w:rPr>
                <w:rFonts w:eastAsia="Arial"/>
              </w:rPr>
              <w:t xml:space="preserve">as derinyje su </w:t>
            </w:r>
            <w:proofErr w:type="spellStart"/>
            <w:r w:rsidRPr="001D3ECB">
              <w:rPr>
                <w:rFonts w:eastAsia="Arial"/>
              </w:rPr>
              <w:t>bortezomib</w:t>
            </w:r>
            <w:r>
              <w:rPr>
                <w:rFonts w:eastAsia="Arial"/>
              </w:rPr>
              <w:t>u</w:t>
            </w:r>
            <w:proofErr w:type="spellEnd"/>
            <w:r>
              <w:rPr>
                <w:rFonts w:eastAsia="Arial"/>
              </w:rPr>
              <w:t xml:space="preserve"> ir </w:t>
            </w:r>
            <w:r w:rsidRPr="001D3ECB">
              <w:rPr>
                <w:rFonts w:eastAsia="Arial"/>
              </w:rPr>
              <w:t xml:space="preserve"> </w:t>
            </w:r>
            <w:proofErr w:type="spellStart"/>
            <w:r w:rsidRPr="001D3ECB">
              <w:rPr>
                <w:rFonts w:eastAsia="Arial"/>
              </w:rPr>
              <w:t>de</w:t>
            </w:r>
            <w:r>
              <w:rPr>
                <w:rFonts w:eastAsia="Arial"/>
              </w:rPr>
              <w:t>ks</w:t>
            </w:r>
            <w:r w:rsidRPr="001D3ECB">
              <w:rPr>
                <w:rFonts w:eastAsia="Arial"/>
              </w:rPr>
              <w:t>ameta</w:t>
            </w:r>
            <w:r>
              <w:rPr>
                <w:rFonts w:eastAsia="Arial"/>
              </w:rPr>
              <w:t>zonu</w:t>
            </w:r>
            <w:proofErr w:type="spellEnd"/>
            <w:r>
              <w:rPr>
                <w:rFonts w:eastAsia="Arial"/>
              </w:rPr>
              <w:t xml:space="preserve"> rekomenduojamas kaip gydymo pasirinkimas suaugusiems pacientams, sergantiems daugine mieloma tik, jei jiems jau buvo taikomas pirmos eilės gydymas.</w:t>
            </w:r>
          </w:p>
          <w:p w14:paraId="2C775FDA" w14:textId="1428161A" w:rsidR="00D06A7E" w:rsidRDefault="00D06A7E" w:rsidP="00D06A7E">
            <w:pPr>
              <w:spacing w:line="276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Pacientų būklė turi būti įvertinta kaip gera. Teigiamas sprendimas buvo priimtas, nes kompanija pakoregavo produkto kaštų naudingumą.  </w:t>
            </w:r>
          </w:p>
          <w:p w14:paraId="7908814D" w14:textId="77777777" w:rsidR="00D06A7E" w:rsidRPr="00D05364" w:rsidRDefault="00D06A7E" w:rsidP="00D06A7E">
            <w:pPr>
              <w:pStyle w:val="NormalWeb"/>
              <w:shd w:val="clear" w:color="auto" w:fill="FBFAF8"/>
              <w:jc w:val="both"/>
              <w:rPr>
                <w:rFonts w:eastAsia="Arial"/>
              </w:rPr>
            </w:pPr>
          </w:p>
        </w:tc>
      </w:tr>
      <w:tr w:rsidR="003D7795" w:rsidRPr="00D05364" w14:paraId="6FDF745C" w14:textId="77777777" w:rsidTr="0016215B">
        <w:trPr>
          <w:trHeight w:val="1927"/>
        </w:trPr>
        <w:tc>
          <w:tcPr>
            <w:tcW w:w="2927" w:type="dxa"/>
          </w:tcPr>
          <w:p w14:paraId="22BD999E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lastRenderedPageBreak/>
              <w:t xml:space="preserve">Nacionalinis </w:t>
            </w:r>
            <w:proofErr w:type="spellStart"/>
            <w:r w:rsidRPr="00D05364">
              <w:rPr>
                <w:rFonts w:eastAsia="Arial"/>
              </w:rPr>
              <w:t>farmakoekonomikos</w:t>
            </w:r>
            <w:proofErr w:type="spellEnd"/>
            <w:r w:rsidRPr="00D05364">
              <w:rPr>
                <w:rFonts w:eastAsia="Arial"/>
              </w:rPr>
              <w:t xml:space="preserve"> centras, Airija</w:t>
            </w:r>
          </w:p>
          <w:p w14:paraId="5EBB09E1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  <w:r w:rsidRPr="00D05364">
              <w:rPr>
                <w:rFonts w:eastAsia="Arial"/>
              </w:rPr>
              <w:t>(angl.</w:t>
            </w:r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National</w:t>
            </w:r>
            <w:proofErr w:type="spellEnd"/>
            <w:r w:rsidRPr="00D05364">
              <w:rPr>
                <w:rFonts w:eastAsia="Arial"/>
                <w:i/>
              </w:rPr>
              <w:t xml:space="preserve"> Centre </w:t>
            </w:r>
            <w:proofErr w:type="spellStart"/>
            <w:r w:rsidRPr="00D05364">
              <w:rPr>
                <w:rFonts w:eastAsia="Arial"/>
                <w:i/>
              </w:rPr>
              <w:t>for</w:t>
            </w:r>
            <w:proofErr w:type="spellEnd"/>
            <w:r w:rsidRPr="00D05364">
              <w:rPr>
                <w:rFonts w:eastAsia="Arial"/>
                <w:i/>
              </w:rPr>
              <w:t xml:space="preserve"> </w:t>
            </w:r>
            <w:proofErr w:type="spellStart"/>
            <w:r w:rsidRPr="00D05364">
              <w:rPr>
                <w:rFonts w:eastAsia="Arial"/>
                <w:i/>
              </w:rPr>
              <w:t>Pharmacoeconomics</w:t>
            </w:r>
            <w:proofErr w:type="spellEnd"/>
            <w:r w:rsidRPr="00D05364">
              <w:rPr>
                <w:rFonts w:eastAsia="Arial"/>
                <w:i/>
              </w:rPr>
              <w:t>, NCPE</w:t>
            </w:r>
            <w:r w:rsidRPr="00D05364">
              <w:rPr>
                <w:rFonts w:eastAsia="Arial"/>
              </w:rPr>
              <w:t>)</w:t>
            </w:r>
          </w:p>
        </w:tc>
        <w:tc>
          <w:tcPr>
            <w:tcW w:w="1915" w:type="dxa"/>
          </w:tcPr>
          <w:p w14:paraId="4876E184" w14:textId="6D6E13AF" w:rsidR="003D7795" w:rsidRPr="00D05364" w:rsidRDefault="00811242" w:rsidP="0016215B">
            <w:sdt>
              <w:sdtPr>
                <w:rPr>
                  <w:rStyle w:val="Style2"/>
                </w:rPr>
                <w:id w:val="-18884037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32BE6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795" w:rsidRPr="00D05364">
              <w:t xml:space="preserve"> Taip</w:t>
            </w:r>
          </w:p>
          <w:p w14:paraId="13B66A8F" w14:textId="056B4A03" w:rsidR="003D7795" w:rsidRPr="00D05364" w:rsidRDefault="00811242" w:rsidP="0016215B">
            <w:sdt>
              <w:sdtPr>
                <w:rPr>
                  <w:rStyle w:val="Style2"/>
                </w:rPr>
                <w:id w:val="10922017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F0597"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795" w:rsidRPr="00D05364">
              <w:t xml:space="preserve"> Ne</w:t>
            </w:r>
          </w:p>
          <w:p w14:paraId="5822AF1D" w14:textId="77777777" w:rsidR="003D7795" w:rsidRPr="00D05364" w:rsidRDefault="00811242" w:rsidP="0016215B">
            <w:pPr>
              <w:spacing w:line="276" w:lineRule="auto"/>
              <w:rPr>
                <w:rFonts w:eastAsia="Arial"/>
              </w:rPr>
            </w:pPr>
            <w:sdt>
              <w:sdtPr>
                <w:alias w:val="Nurodykite konkrečią dieną"/>
                <w:tag w:val="Nurodykite pradžios datą"/>
                <w:id w:val="-198323198"/>
                <w:placeholder>
                  <w:docPart w:val="41664EB59578402888281243622543D3"/>
                </w:placeholder>
                <w:showingPlcHdr/>
                <w15:color w:val="FFCC99"/>
                <w:date w:fullDate="2022-05-18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D7795" w:rsidRPr="00D05364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2351" w:type="dxa"/>
          </w:tcPr>
          <w:p w14:paraId="45A4CA18" w14:textId="4019F7F0" w:rsidR="003D7795" w:rsidRPr="00D05364" w:rsidRDefault="00025032" w:rsidP="0016215B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>Duomenų nerasta</w:t>
            </w:r>
          </w:p>
        </w:tc>
        <w:tc>
          <w:tcPr>
            <w:tcW w:w="2725" w:type="dxa"/>
          </w:tcPr>
          <w:p w14:paraId="5DE9DD66" w14:textId="77777777" w:rsidR="003D7795" w:rsidRPr="00D05364" w:rsidRDefault="003D7795" w:rsidP="0016215B">
            <w:pPr>
              <w:spacing w:line="276" w:lineRule="auto"/>
              <w:rPr>
                <w:rFonts w:eastAsia="Arial"/>
              </w:rPr>
            </w:pPr>
          </w:p>
        </w:tc>
      </w:tr>
    </w:tbl>
    <w:p w14:paraId="2EB7FD31" w14:textId="4D2A8479" w:rsidR="007A2B68" w:rsidRDefault="007A2B68" w:rsidP="00E03C3F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73290081" w14:textId="2F77FD1A" w:rsidR="007A2B68" w:rsidRDefault="007A2B68">
      <w:pPr>
        <w:rPr>
          <w:b/>
          <w:bCs/>
          <w:caps/>
        </w:rPr>
      </w:pPr>
    </w:p>
    <w:p w14:paraId="5055E8A8" w14:textId="471A9757" w:rsidR="002E6F80" w:rsidRPr="00E33EFF" w:rsidRDefault="00CC7832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>Klinikinio vertinimo a</w:t>
      </w:r>
      <w:r w:rsidR="00D4485B" w:rsidRPr="00E33EFF">
        <w:rPr>
          <w:b/>
          <w:bCs/>
          <w:caps/>
        </w:rPr>
        <w:t>pibendrinimas</w:t>
      </w:r>
    </w:p>
    <w:p w14:paraId="135D9D54" w14:textId="77777777" w:rsidR="008E3C91" w:rsidRPr="004F0C8B" w:rsidRDefault="008E3C91" w:rsidP="00A93AA6">
      <w:pPr>
        <w:tabs>
          <w:tab w:val="left" w:pos="284"/>
        </w:tabs>
        <w:rPr>
          <w:i/>
          <w:sz w:val="22"/>
        </w:rPr>
      </w:pPr>
    </w:p>
    <w:p w14:paraId="5748473C" w14:textId="603B5319" w:rsidR="000F6DA9" w:rsidRDefault="000C1188" w:rsidP="000F6DA9">
      <w:pPr>
        <w:tabs>
          <w:tab w:val="left" w:pos="426"/>
        </w:tabs>
        <w:spacing w:line="276" w:lineRule="auto"/>
        <w:jc w:val="both"/>
        <w:rPr>
          <w:rFonts w:eastAsia="Arial"/>
        </w:rPr>
      </w:pPr>
      <w:r>
        <w:rPr>
          <w:rFonts w:eastAsia="Arial"/>
        </w:rPr>
        <w:tab/>
      </w:r>
      <w:r w:rsidR="000F6DA9" w:rsidRPr="00BA74FD">
        <w:rPr>
          <w:rFonts w:eastAsia="Arial"/>
        </w:rPr>
        <w:t>Lietuvoje nėra patvirtintos dauginės mielomos</w:t>
      </w:r>
      <w:r w:rsidR="00287636">
        <w:rPr>
          <w:rFonts w:eastAsia="Arial"/>
        </w:rPr>
        <w:t xml:space="preserve"> (DM)</w:t>
      </w:r>
      <w:r w:rsidR="000F6DA9" w:rsidRPr="00BA74FD">
        <w:rPr>
          <w:rFonts w:eastAsia="Arial"/>
        </w:rPr>
        <w:t xml:space="preserve"> gydymo metodikos</w:t>
      </w:r>
      <w:r w:rsidR="000F6DA9">
        <w:rPr>
          <w:rFonts w:eastAsia="Arial"/>
        </w:rPr>
        <w:t xml:space="preserve">. </w:t>
      </w:r>
      <w:r w:rsidR="000F6DA9" w:rsidRPr="000C4327">
        <w:rPr>
          <w:rFonts w:eastAsia="Arial"/>
        </w:rPr>
        <w:t xml:space="preserve">Lietuvoje DM yra gydoma atsižvelgiant į Europos </w:t>
      </w:r>
      <w:r w:rsidR="0060316F">
        <w:rPr>
          <w:rFonts w:eastAsia="Arial"/>
        </w:rPr>
        <w:t xml:space="preserve">hematologų draugijos ir Europos </w:t>
      </w:r>
      <w:r w:rsidR="00287636">
        <w:rPr>
          <w:rFonts w:eastAsia="Arial"/>
        </w:rPr>
        <w:t>medicininės onkologijos draugijo</w:t>
      </w:r>
      <w:r w:rsidR="00004871">
        <w:rPr>
          <w:rFonts w:eastAsia="Arial"/>
        </w:rPr>
        <w:t>s</w:t>
      </w:r>
      <w:r w:rsidR="000F6DA9" w:rsidRPr="000C4327">
        <w:rPr>
          <w:rFonts w:eastAsia="Arial"/>
        </w:rPr>
        <w:t xml:space="preserve"> DM gydymo rekomendacijas (</w:t>
      </w:r>
      <w:r w:rsidR="00032493">
        <w:rPr>
          <w:rFonts w:eastAsia="Arial"/>
        </w:rPr>
        <w:t xml:space="preserve">angl. </w:t>
      </w:r>
      <w:r w:rsidR="00004871" w:rsidRPr="00C477AD">
        <w:rPr>
          <w:rFonts w:eastAsia="Arial"/>
          <w:i/>
          <w:lang w:val="en-GB"/>
        </w:rPr>
        <w:t xml:space="preserve">European </w:t>
      </w:r>
      <w:r w:rsidR="00C477AD" w:rsidRPr="00C477AD">
        <w:rPr>
          <w:rFonts w:eastAsia="Arial"/>
          <w:i/>
          <w:lang w:val="en-GB"/>
        </w:rPr>
        <w:t>Haematology</w:t>
      </w:r>
      <w:r w:rsidR="00004871" w:rsidRPr="00C477AD">
        <w:rPr>
          <w:rFonts w:eastAsia="Arial"/>
          <w:i/>
          <w:lang w:val="en-GB"/>
        </w:rPr>
        <w:t xml:space="preserve"> Association-European Society for Medical </w:t>
      </w:r>
      <w:proofErr w:type="spellStart"/>
      <w:r w:rsidR="00004871" w:rsidRPr="00C477AD">
        <w:rPr>
          <w:rFonts w:eastAsia="Arial"/>
          <w:i/>
          <w:lang w:val="en-GB"/>
        </w:rPr>
        <w:t>Oncolog</w:t>
      </w:r>
      <w:proofErr w:type="spellEnd"/>
      <w:r w:rsidR="00C477AD">
        <w:rPr>
          <w:rFonts w:eastAsia="Arial"/>
        </w:rPr>
        <w:t xml:space="preserve">y, </w:t>
      </w:r>
      <w:r w:rsidR="000F6DA9" w:rsidRPr="000C4327">
        <w:rPr>
          <w:rFonts w:eastAsia="Arial"/>
        </w:rPr>
        <w:t>EHA-ESMO</w:t>
      </w:r>
      <w:r w:rsidR="000F6DA9">
        <w:rPr>
          <w:rFonts w:eastAsia="Arial"/>
        </w:rPr>
        <w:t>, 2021)</w:t>
      </w:r>
      <w:r w:rsidR="00F44DB2">
        <w:rPr>
          <w:rFonts w:eastAsia="Arial"/>
        </w:rPr>
        <w:t>, kurios yra nuolat atnaujinamos</w:t>
      </w:r>
      <w:r w:rsidR="00D74218">
        <w:rPr>
          <w:rFonts w:eastAsia="Arial"/>
          <w:strike/>
        </w:rPr>
        <w:t>.</w:t>
      </w:r>
      <w:r w:rsidR="000F6DA9" w:rsidRPr="000C4327">
        <w:rPr>
          <w:rFonts w:eastAsia="Arial"/>
        </w:rPr>
        <w:t xml:space="preserve"> Lietuvoje</w:t>
      </w:r>
      <w:r w:rsidR="0060316F">
        <w:rPr>
          <w:rFonts w:eastAsia="Arial"/>
        </w:rPr>
        <w:t xml:space="preserve"> DM gydymui</w:t>
      </w:r>
      <w:r w:rsidR="000F6DA9" w:rsidRPr="000C4327">
        <w:rPr>
          <w:rFonts w:eastAsia="Arial"/>
        </w:rPr>
        <w:t xml:space="preserve"> </w:t>
      </w:r>
      <w:r w:rsidR="0060316F">
        <w:rPr>
          <w:rFonts w:eastAsia="Arial"/>
        </w:rPr>
        <w:t>pirmos eilės</w:t>
      </w:r>
      <w:r w:rsidR="0060316F" w:rsidRPr="000C4327">
        <w:rPr>
          <w:rFonts w:eastAsia="Arial"/>
        </w:rPr>
        <w:t xml:space="preserve"> </w:t>
      </w:r>
      <w:r w:rsidR="000F6DA9" w:rsidRPr="000C4327">
        <w:rPr>
          <w:rFonts w:eastAsia="Arial"/>
        </w:rPr>
        <w:t xml:space="preserve">gydymui </w:t>
      </w:r>
      <w:r w:rsidR="0060316F">
        <w:rPr>
          <w:rFonts w:eastAsia="Arial"/>
        </w:rPr>
        <w:t xml:space="preserve">ne kompensuojami </w:t>
      </w:r>
      <w:proofErr w:type="spellStart"/>
      <w:r w:rsidR="0060316F">
        <w:rPr>
          <w:rFonts w:eastAsia="Arial"/>
        </w:rPr>
        <w:t>lenalidomidas</w:t>
      </w:r>
      <w:proofErr w:type="spellEnd"/>
      <w:r w:rsidR="000F6DA9" w:rsidRPr="000C4327">
        <w:rPr>
          <w:rFonts w:eastAsia="Arial"/>
        </w:rPr>
        <w:t xml:space="preserve"> ir biologinė terapija,</w:t>
      </w:r>
      <w:r w:rsidR="0060316F">
        <w:rPr>
          <w:rFonts w:eastAsia="Arial"/>
        </w:rPr>
        <w:t xml:space="preserve"> ir</w:t>
      </w:r>
      <w:r w:rsidR="000F6DA9" w:rsidRPr="000C4327">
        <w:rPr>
          <w:rFonts w:eastAsia="Arial"/>
        </w:rPr>
        <w:t xml:space="preserve"> nėra įmanoma pritaikyti visų derinių, kurie yra r</w:t>
      </w:r>
      <w:r w:rsidR="000F6DA9">
        <w:rPr>
          <w:rFonts w:eastAsia="Arial"/>
        </w:rPr>
        <w:t xml:space="preserve">ekomenduojami EHA-ESMO gairėse. </w:t>
      </w:r>
    </w:p>
    <w:p w14:paraId="0F4B4051" w14:textId="76237977" w:rsidR="000F6DA9" w:rsidRDefault="000F6DA9" w:rsidP="000F6DA9">
      <w:pPr>
        <w:tabs>
          <w:tab w:val="left" w:pos="426"/>
        </w:tabs>
        <w:spacing w:line="276" w:lineRule="auto"/>
        <w:jc w:val="both"/>
        <w:rPr>
          <w:rFonts w:eastAsia="Arial"/>
        </w:rPr>
      </w:pPr>
      <w:r>
        <w:rPr>
          <w:rFonts w:eastAsia="Arial"/>
        </w:rPr>
        <w:tab/>
      </w:r>
      <w:r w:rsidRPr="00393A26">
        <w:rPr>
          <w:rFonts w:eastAsia="Arial"/>
        </w:rPr>
        <w:t xml:space="preserve">Daratumumabas </w:t>
      </w:r>
      <w:r>
        <w:rPr>
          <w:rFonts w:eastAsia="Arial"/>
        </w:rPr>
        <w:t xml:space="preserve">- </w:t>
      </w:r>
      <w:proofErr w:type="spellStart"/>
      <w:r w:rsidRPr="00393A26">
        <w:rPr>
          <w:rFonts w:eastAsia="Arial"/>
        </w:rPr>
        <w:t>priešnavikini</w:t>
      </w:r>
      <w:r>
        <w:rPr>
          <w:rFonts w:eastAsia="Arial"/>
        </w:rPr>
        <w:t>s</w:t>
      </w:r>
      <w:proofErr w:type="spellEnd"/>
      <w:r w:rsidRPr="00393A26">
        <w:rPr>
          <w:rFonts w:eastAsia="Arial"/>
        </w:rPr>
        <w:t xml:space="preserve"> vaistini</w:t>
      </w:r>
      <w:r>
        <w:rPr>
          <w:rFonts w:eastAsia="Arial"/>
        </w:rPr>
        <w:t>s</w:t>
      </w:r>
      <w:r w:rsidRPr="00393A26">
        <w:rPr>
          <w:rFonts w:eastAsia="Arial"/>
        </w:rPr>
        <w:t xml:space="preserve"> preparat</w:t>
      </w:r>
      <w:r>
        <w:rPr>
          <w:rFonts w:eastAsia="Arial"/>
        </w:rPr>
        <w:t xml:space="preserve">as. Jis priklauso </w:t>
      </w:r>
      <w:proofErr w:type="spellStart"/>
      <w:r>
        <w:rPr>
          <w:rFonts w:eastAsia="Arial"/>
        </w:rPr>
        <w:t>monokloninių</w:t>
      </w:r>
      <w:proofErr w:type="spellEnd"/>
      <w:r>
        <w:rPr>
          <w:rFonts w:eastAsia="Arial"/>
        </w:rPr>
        <w:t xml:space="preserve"> </w:t>
      </w:r>
      <w:r w:rsidRPr="00393A26">
        <w:rPr>
          <w:rFonts w:eastAsia="Arial"/>
        </w:rPr>
        <w:t>antikūn</w:t>
      </w:r>
      <w:r>
        <w:rPr>
          <w:rFonts w:eastAsia="Arial"/>
        </w:rPr>
        <w:t>ų</w:t>
      </w:r>
      <w:r w:rsidRPr="00393A26">
        <w:rPr>
          <w:rFonts w:eastAsia="Arial"/>
        </w:rPr>
        <w:t xml:space="preserve"> ir antikūn</w:t>
      </w:r>
      <w:r w:rsidR="00287636">
        <w:rPr>
          <w:rFonts w:eastAsia="Arial"/>
        </w:rPr>
        <w:t>o ir vaisto derinio</w:t>
      </w:r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farma</w:t>
      </w:r>
      <w:r w:rsidR="00287636">
        <w:rPr>
          <w:rFonts w:eastAsia="Arial"/>
        </w:rPr>
        <w:t>k</w:t>
      </w:r>
      <w:r>
        <w:rPr>
          <w:rFonts w:eastAsia="Arial"/>
        </w:rPr>
        <w:t>oterapinei</w:t>
      </w:r>
      <w:proofErr w:type="spellEnd"/>
      <w:r>
        <w:rPr>
          <w:rFonts w:eastAsia="Arial"/>
        </w:rPr>
        <w:t xml:space="preserve"> grupei. </w:t>
      </w:r>
      <w:r w:rsidRPr="00393A26">
        <w:rPr>
          <w:rFonts w:eastAsia="Arial"/>
        </w:rPr>
        <w:t>Daratumumabas</w:t>
      </w:r>
      <w:r>
        <w:rPr>
          <w:rFonts w:eastAsia="Arial"/>
        </w:rPr>
        <w:t xml:space="preserve"> yra</w:t>
      </w:r>
      <w:r w:rsidRPr="00393A26">
        <w:rPr>
          <w:rFonts w:eastAsia="Arial"/>
        </w:rPr>
        <w:t xml:space="preserve"> CD38 (38 diferen</w:t>
      </w:r>
      <w:r>
        <w:rPr>
          <w:rFonts w:eastAsia="Arial"/>
        </w:rPr>
        <w:t>ciacijos klasterio) inhibitorius (</w:t>
      </w:r>
      <w:r w:rsidRPr="00393A26">
        <w:rPr>
          <w:rFonts w:eastAsia="Arial"/>
        </w:rPr>
        <w:t xml:space="preserve">IgG1κ žmogaus </w:t>
      </w:r>
      <w:proofErr w:type="spellStart"/>
      <w:r w:rsidRPr="00393A26">
        <w:rPr>
          <w:rFonts w:eastAsia="Arial"/>
        </w:rPr>
        <w:t>monokloninis</w:t>
      </w:r>
      <w:proofErr w:type="spellEnd"/>
      <w:r w:rsidRPr="00393A26">
        <w:rPr>
          <w:rFonts w:eastAsia="Arial"/>
        </w:rPr>
        <w:t xml:space="preserve"> antikūnas</w:t>
      </w:r>
      <w:r>
        <w:rPr>
          <w:rFonts w:eastAsia="Arial"/>
        </w:rPr>
        <w:t xml:space="preserve">). </w:t>
      </w:r>
      <w:r w:rsidRPr="00393A26">
        <w:rPr>
          <w:rFonts w:eastAsia="Arial"/>
        </w:rPr>
        <w:t>Daratumumabas prisijungia prie</w:t>
      </w:r>
      <w:r>
        <w:rPr>
          <w:rFonts w:eastAsia="Arial"/>
        </w:rPr>
        <w:t xml:space="preserve"> </w:t>
      </w:r>
      <w:r w:rsidRPr="00393A26">
        <w:rPr>
          <w:rFonts w:eastAsia="Arial"/>
        </w:rPr>
        <w:t>CD38 baltymo, kurio dideli kiekiai aptinkami daugybinės mielomos naviko ląstelių paviršiuje, o taip</w:t>
      </w:r>
      <w:r w:rsidR="00287636">
        <w:rPr>
          <w:rFonts w:eastAsia="Arial"/>
        </w:rPr>
        <w:t xml:space="preserve"> </w:t>
      </w:r>
      <w:r w:rsidRPr="00393A26">
        <w:rPr>
          <w:rFonts w:eastAsia="Arial"/>
        </w:rPr>
        <w:t xml:space="preserve">pat įvairūs šio baltymo kiekiai būna kitų rūšių ląstelių paviršiuje ir audiniuose. </w:t>
      </w:r>
      <w:r w:rsidRPr="00F61BD9">
        <w:rPr>
          <w:rFonts w:eastAsia="Arial"/>
        </w:rPr>
        <w:t xml:space="preserve">Įrodyta, kad daratumumabas stipriai slopina vėžio ląstelių, kurios </w:t>
      </w:r>
      <w:proofErr w:type="spellStart"/>
      <w:r w:rsidRPr="00F61BD9">
        <w:rPr>
          <w:rFonts w:eastAsia="Arial"/>
        </w:rPr>
        <w:t>ekspresuoja</w:t>
      </w:r>
      <w:proofErr w:type="spellEnd"/>
      <w:r w:rsidRPr="00F61BD9">
        <w:rPr>
          <w:rFonts w:eastAsia="Arial"/>
        </w:rPr>
        <w:t xml:space="preserve"> CD38, augimą </w:t>
      </w:r>
      <w:r w:rsidRPr="00F61BD9">
        <w:rPr>
          <w:rFonts w:eastAsia="Arial"/>
          <w:i/>
        </w:rPr>
        <w:t xml:space="preserve">in </w:t>
      </w:r>
      <w:proofErr w:type="spellStart"/>
      <w:r w:rsidRPr="00F61BD9">
        <w:rPr>
          <w:rFonts w:eastAsia="Arial"/>
          <w:i/>
        </w:rPr>
        <w:t>vivo</w:t>
      </w:r>
      <w:proofErr w:type="spellEnd"/>
      <w:r w:rsidRPr="00F61BD9">
        <w:rPr>
          <w:rFonts w:eastAsia="Arial"/>
        </w:rPr>
        <w:t>.</w:t>
      </w:r>
      <w:r>
        <w:rPr>
          <w:rFonts w:eastAsia="Arial"/>
        </w:rPr>
        <w:t xml:space="preserve"> </w:t>
      </w:r>
      <w:r w:rsidR="00287636">
        <w:rPr>
          <w:rFonts w:eastAsia="Arial"/>
        </w:rPr>
        <w:t>R</w:t>
      </w:r>
      <w:r w:rsidRPr="00F61BD9">
        <w:rPr>
          <w:rFonts w:eastAsia="Arial"/>
        </w:rPr>
        <w:t xml:space="preserve">emiantis tyrimų </w:t>
      </w:r>
      <w:r w:rsidRPr="00F61BD9">
        <w:rPr>
          <w:rFonts w:eastAsia="Arial"/>
          <w:i/>
        </w:rPr>
        <w:t xml:space="preserve">in </w:t>
      </w:r>
      <w:proofErr w:type="spellStart"/>
      <w:r w:rsidRPr="00F61BD9">
        <w:rPr>
          <w:rFonts w:eastAsia="Arial"/>
          <w:i/>
        </w:rPr>
        <w:t>vitro</w:t>
      </w:r>
      <w:proofErr w:type="spellEnd"/>
      <w:r w:rsidRPr="00F61BD9">
        <w:rPr>
          <w:rFonts w:eastAsia="Arial"/>
        </w:rPr>
        <w:t xml:space="preserve"> duomenimis, daratumumabas gali paveikti įvairias </w:t>
      </w:r>
      <w:proofErr w:type="spellStart"/>
      <w:r w:rsidRPr="00F61BD9">
        <w:rPr>
          <w:rFonts w:eastAsia="Arial"/>
        </w:rPr>
        <w:t>efektorines</w:t>
      </w:r>
      <w:proofErr w:type="spellEnd"/>
      <w:r w:rsidRPr="00F61BD9">
        <w:rPr>
          <w:rFonts w:eastAsia="Arial"/>
        </w:rPr>
        <w:t xml:space="preserve"> funkcijas,</w:t>
      </w:r>
      <w:r>
        <w:rPr>
          <w:rFonts w:eastAsia="Arial"/>
        </w:rPr>
        <w:t xml:space="preserve"> </w:t>
      </w:r>
      <w:r w:rsidRPr="00F61BD9">
        <w:rPr>
          <w:rFonts w:eastAsia="Arial"/>
        </w:rPr>
        <w:t>padėdamas imuninei sistemai sunaikinti vėžio ląsteles.</w:t>
      </w:r>
    </w:p>
    <w:p w14:paraId="54EF2D14" w14:textId="1536E6EE" w:rsidR="000F6DA9" w:rsidRDefault="000F6DA9" w:rsidP="000F6DA9">
      <w:pPr>
        <w:tabs>
          <w:tab w:val="left" w:pos="426"/>
        </w:tabs>
        <w:spacing w:line="276" w:lineRule="auto"/>
        <w:jc w:val="both"/>
        <w:rPr>
          <w:rFonts w:eastAsia="Arial"/>
        </w:rPr>
      </w:pPr>
      <w:r>
        <w:rPr>
          <w:rFonts w:eastAsia="Arial"/>
        </w:rPr>
        <w:tab/>
      </w:r>
      <w:r w:rsidR="00E558E9">
        <w:rPr>
          <w:rFonts w:eastAsia="Arial"/>
        </w:rPr>
        <w:t xml:space="preserve">Remiantis </w:t>
      </w:r>
      <w:r>
        <w:rPr>
          <w:rFonts w:eastAsia="Arial"/>
        </w:rPr>
        <w:t>patariamosios tarybos dėl v</w:t>
      </w:r>
      <w:r w:rsidR="00F44DB2">
        <w:rPr>
          <w:rFonts w:eastAsia="Arial"/>
        </w:rPr>
        <w:t>a</w:t>
      </w:r>
      <w:r>
        <w:rPr>
          <w:rFonts w:eastAsia="Arial"/>
        </w:rPr>
        <w:t>istinio preparato daratumumabo susirinkimo protokolu (2023 kovo mėn. 23 d.), Lietuvoje DM atkryčiui gydyti dažniausiai skiriami deriniai</w:t>
      </w:r>
      <w:r w:rsidR="00F44DB2" w:rsidRPr="00F44DB2">
        <w:rPr>
          <w:rFonts w:eastAsia="Arial"/>
        </w:rPr>
        <w:t xml:space="preserve"> </w:t>
      </w:r>
      <w:r w:rsidR="00F44DB2">
        <w:rPr>
          <w:rFonts w:eastAsia="Arial"/>
        </w:rPr>
        <w:t xml:space="preserve">su </w:t>
      </w:r>
      <w:proofErr w:type="spellStart"/>
      <w:r w:rsidR="00F44DB2">
        <w:rPr>
          <w:rFonts w:eastAsia="Arial"/>
        </w:rPr>
        <w:t>karfilzomibu</w:t>
      </w:r>
      <w:proofErr w:type="spellEnd"/>
      <w:r>
        <w:rPr>
          <w:rFonts w:eastAsia="Arial"/>
        </w:rPr>
        <w:t xml:space="preserve">, kurie sudaro apie </w:t>
      </w:r>
      <w:r w:rsidR="00D74218">
        <w:rPr>
          <w:rFonts w:eastAsia="Arial"/>
        </w:rPr>
        <w:t>&lt;...&gt;</w:t>
      </w:r>
      <w:r>
        <w:rPr>
          <w:rFonts w:eastAsia="Arial"/>
        </w:rPr>
        <w:t xml:space="preserve"> skiriamo medikamentinio gydymo. </w:t>
      </w:r>
      <w:proofErr w:type="spellStart"/>
      <w:r>
        <w:rPr>
          <w:rFonts w:eastAsia="Arial"/>
        </w:rPr>
        <w:t>Karfilozomibas</w:t>
      </w:r>
      <w:proofErr w:type="spellEnd"/>
      <w:r>
        <w:rPr>
          <w:rFonts w:eastAsia="Arial"/>
        </w:rPr>
        <w:t xml:space="preserve"> skiriamas derinyje su lenalidomidu ir </w:t>
      </w:r>
      <w:proofErr w:type="spellStart"/>
      <w:r>
        <w:rPr>
          <w:rFonts w:eastAsia="Arial"/>
        </w:rPr>
        <w:t>deksametazonu</w:t>
      </w:r>
      <w:proofErr w:type="spellEnd"/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KRd</w:t>
      </w:r>
      <w:proofErr w:type="spellEnd"/>
      <w:r>
        <w:rPr>
          <w:rFonts w:eastAsia="Arial"/>
        </w:rPr>
        <w:t xml:space="preserve">) arba derinyje su </w:t>
      </w:r>
      <w:proofErr w:type="spellStart"/>
      <w:r>
        <w:rPr>
          <w:rFonts w:eastAsia="Arial"/>
        </w:rPr>
        <w:t>deksametazonu</w:t>
      </w:r>
      <w:proofErr w:type="spellEnd"/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Kd</w:t>
      </w:r>
      <w:proofErr w:type="spellEnd"/>
      <w:r>
        <w:rPr>
          <w:rFonts w:eastAsia="Arial"/>
        </w:rPr>
        <w:t xml:space="preserve">). </w:t>
      </w:r>
      <w:proofErr w:type="spellStart"/>
      <w:r>
        <w:rPr>
          <w:rFonts w:eastAsia="Arial"/>
        </w:rPr>
        <w:t>KRd</w:t>
      </w:r>
      <w:proofErr w:type="spellEnd"/>
      <w:r>
        <w:rPr>
          <w:rFonts w:eastAsia="Arial"/>
        </w:rPr>
        <w:t xml:space="preserve"> deriniui teikiama pirmenybė, jis naudojimas </w:t>
      </w:r>
      <w:r w:rsidR="00D74218">
        <w:rPr>
          <w:rFonts w:eastAsia="Arial"/>
        </w:rPr>
        <w:t xml:space="preserve">&lt;...&gt; </w:t>
      </w:r>
      <w:r>
        <w:rPr>
          <w:rFonts w:eastAsia="Arial"/>
        </w:rPr>
        <w:t xml:space="preserve">visų dauginės mielomos atkryčio atvejų, o </w:t>
      </w:r>
      <w:proofErr w:type="spellStart"/>
      <w:r>
        <w:rPr>
          <w:rFonts w:eastAsia="Arial"/>
        </w:rPr>
        <w:t>Kd</w:t>
      </w:r>
      <w:proofErr w:type="spellEnd"/>
      <w:r>
        <w:rPr>
          <w:rFonts w:eastAsia="Arial"/>
        </w:rPr>
        <w:t xml:space="preserve"> derinys – </w:t>
      </w:r>
      <w:r w:rsidR="00D74218">
        <w:rPr>
          <w:rFonts w:eastAsia="Arial"/>
        </w:rPr>
        <w:t>&lt;...&gt;</w:t>
      </w:r>
      <w:r>
        <w:rPr>
          <w:rFonts w:eastAsia="Arial"/>
        </w:rPr>
        <w:t xml:space="preserve"> atvejų. </w:t>
      </w:r>
      <w:r>
        <w:rPr>
          <w:rFonts w:eastAsia="Arial"/>
        </w:rPr>
        <w:tab/>
        <w:t xml:space="preserve">Kitiems  pacientams skiriami </w:t>
      </w:r>
      <w:proofErr w:type="spellStart"/>
      <w:r>
        <w:rPr>
          <w:rFonts w:eastAsia="Arial"/>
        </w:rPr>
        <w:t>prote</w:t>
      </w:r>
      <w:r w:rsidR="00F44DB2">
        <w:rPr>
          <w:rFonts w:eastAsia="Arial"/>
        </w:rPr>
        <w:t>o</w:t>
      </w:r>
      <w:r>
        <w:rPr>
          <w:rFonts w:eastAsia="Arial"/>
        </w:rPr>
        <w:t>somų</w:t>
      </w:r>
      <w:proofErr w:type="spellEnd"/>
      <w:r>
        <w:rPr>
          <w:rFonts w:eastAsia="Arial"/>
        </w:rPr>
        <w:t xml:space="preserve"> inhibitoriai (bortezomibas) arba </w:t>
      </w:r>
      <w:proofErr w:type="spellStart"/>
      <w:r>
        <w:rPr>
          <w:rFonts w:eastAsia="Arial"/>
        </w:rPr>
        <w:t>imunosupresantai</w:t>
      </w:r>
      <w:proofErr w:type="spellEnd"/>
      <w:r>
        <w:rPr>
          <w:rFonts w:eastAsia="Arial"/>
        </w:rPr>
        <w:t xml:space="preserve"> (</w:t>
      </w:r>
      <w:proofErr w:type="spellStart"/>
      <w:r>
        <w:rPr>
          <w:rFonts w:eastAsia="Arial"/>
        </w:rPr>
        <w:t>lenalidomidas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pomalidomidas</w:t>
      </w:r>
      <w:proofErr w:type="spellEnd"/>
      <w:r>
        <w:rPr>
          <w:rFonts w:eastAsia="Arial"/>
        </w:rPr>
        <w:t xml:space="preserve">, talidomidas) derinant juos su </w:t>
      </w:r>
      <w:proofErr w:type="spellStart"/>
      <w:r>
        <w:rPr>
          <w:rFonts w:eastAsia="Arial"/>
        </w:rPr>
        <w:t>alkilinančiais</w:t>
      </w:r>
      <w:proofErr w:type="spellEnd"/>
      <w:r>
        <w:rPr>
          <w:rFonts w:eastAsia="Arial"/>
        </w:rPr>
        <w:t xml:space="preserve"> </w:t>
      </w:r>
      <w:r w:rsidR="00F44DB2">
        <w:rPr>
          <w:rFonts w:eastAsia="Arial"/>
        </w:rPr>
        <w:t xml:space="preserve">vaistiniais preparatais </w:t>
      </w:r>
      <w:r>
        <w:rPr>
          <w:rFonts w:eastAsia="Arial"/>
        </w:rPr>
        <w:t>(</w:t>
      </w:r>
      <w:proofErr w:type="spellStart"/>
      <w:r>
        <w:rPr>
          <w:rFonts w:eastAsia="Arial"/>
        </w:rPr>
        <w:t>ciklofosfamidas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bendamustinas</w:t>
      </w:r>
      <w:proofErr w:type="spellEnd"/>
      <w:r>
        <w:rPr>
          <w:rFonts w:eastAsia="Arial"/>
        </w:rPr>
        <w:t xml:space="preserve">, </w:t>
      </w:r>
      <w:proofErr w:type="spellStart"/>
      <w:r>
        <w:rPr>
          <w:rFonts w:eastAsia="Arial"/>
        </w:rPr>
        <w:t>melfalanas</w:t>
      </w:r>
      <w:proofErr w:type="spellEnd"/>
      <w:r>
        <w:rPr>
          <w:rFonts w:eastAsia="Arial"/>
        </w:rPr>
        <w:t xml:space="preserve">) ir sintetiniais </w:t>
      </w:r>
      <w:proofErr w:type="spellStart"/>
      <w:r>
        <w:rPr>
          <w:rFonts w:eastAsia="Arial"/>
        </w:rPr>
        <w:t>gliukokortikoidais</w:t>
      </w:r>
      <w:proofErr w:type="spellEnd"/>
      <w:r>
        <w:rPr>
          <w:rFonts w:eastAsia="Arial"/>
        </w:rPr>
        <w:t xml:space="preserve"> (deksametazonas, prednizolonas).</w:t>
      </w:r>
    </w:p>
    <w:p w14:paraId="2EAE0145" w14:textId="38FB6285" w:rsidR="00E568AD" w:rsidRDefault="00F44DB2" w:rsidP="00E568AD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bCs/>
        </w:rPr>
        <w:t>Vadovaujantis</w:t>
      </w:r>
      <w:r w:rsidRPr="00FC30A7">
        <w:rPr>
          <w:bCs/>
        </w:rPr>
        <w:t xml:space="preserve"> </w:t>
      </w:r>
      <w:r w:rsidR="000F6DA9" w:rsidRPr="00FC30A7">
        <w:rPr>
          <w:bCs/>
        </w:rPr>
        <w:t xml:space="preserve">į </w:t>
      </w:r>
      <w:r w:rsidR="000F6DA9" w:rsidRPr="004817CE">
        <w:rPr>
          <w:bCs/>
        </w:rPr>
        <w:t xml:space="preserve">Lietuvos Respublikos sveikatos apsaugos ministro </w:t>
      </w:r>
      <w:r>
        <w:rPr>
          <w:bCs/>
        </w:rPr>
        <w:t xml:space="preserve">įsakymo </w:t>
      </w:r>
      <w:r w:rsidR="000F6DA9" w:rsidRPr="004817CE">
        <w:rPr>
          <w:bCs/>
        </w:rPr>
        <w:t>„Dėl vaistinių preparatų ir medicinos pagalbos priemonių įrašymo į kompensavimo sąrašus ir jų keitimo tvarkos aprašo patvirtinimo“</w:t>
      </w:r>
      <w:r w:rsidR="000F6DA9">
        <w:rPr>
          <w:bCs/>
        </w:rPr>
        <w:t xml:space="preserve"> </w:t>
      </w:r>
      <w:r w:rsidRPr="004817CE">
        <w:rPr>
          <w:bCs/>
        </w:rPr>
        <w:t xml:space="preserve">2002 m. balandžio 5 d. Nr. V-159 </w:t>
      </w:r>
      <w:r w:rsidRPr="00FC30A7">
        <w:rPr>
          <w:bCs/>
          <w:lang w:eastAsia="lt-LT"/>
        </w:rPr>
        <w:t>(toliau</w:t>
      </w:r>
      <w:r>
        <w:rPr>
          <w:bCs/>
          <w:lang w:eastAsia="lt-LT"/>
        </w:rPr>
        <w:t xml:space="preserve"> -</w:t>
      </w:r>
      <w:r w:rsidRPr="00FC30A7">
        <w:rPr>
          <w:bCs/>
          <w:lang w:eastAsia="lt-LT"/>
        </w:rPr>
        <w:t xml:space="preserve"> </w:t>
      </w:r>
      <w:r>
        <w:rPr>
          <w:bCs/>
          <w:lang w:eastAsia="lt-LT"/>
        </w:rPr>
        <w:t>Aprašas</w:t>
      </w:r>
      <w:r w:rsidRPr="00FC30A7">
        <w:rPr>
          <w:bCs/>
          <w:lang w:eastAsia="lt-LT"/>
        </w:rPr>
        <w:t>)</w:t>
      </w:r>
      <w:r w:rsidR="000F6DA9">
        <w:rPr>
          <w:bCs/>
        </w:rPr>
        <w:t xml:space="preserve"> </w:t>
      </w:r>
      <w:r w:rsidR="000F6DA9" w:rsidRPr="00FC30A7">
        <w:rPr>
          <w:bCs/>
          <w:lang w:eastAsia="lt-LT"/>
        </w:rPr>
        <w:t xml:space="preserve">116 - 119 punktus nustatyta, kad tinkamas palyginamasis gydymas yra </w:t>
      </w:r>
      <w:proofErr w:type="spellStart"/>
      <w:r w:rsidR="000F6DA9">
        <w:rPr>
          <w:rFonts w:eastAsia="Arial"/>
          <w:i/>
        </w:rPr>
        <w:t>karfilzomibo</w:t>
      </w:r>
      <w:proofErr w:type="spellEnd"/>
      <w:r w:rsidR="000F6DA9">
        <w:rPr>
          <w:rFonts w:eastAsia="Arial"/>
          <w:i/>
        </w:rPr>
        <w:t xml:space="preserve"> ir </w:t>
      </w:r>
      <w:proofErr w:type="spellStart"/>
      <w:r w:rsidR="000F6DA9">
        <w:rPr>
          <w:rFonts w:eastAsia="Arial"/>
          <w:i/>
        </w:rPr>
        <w:t>deksametazono</w:t>
      </w:r>
      <w:proofErr w:type="spellEnd"/>
      <w:r w:rsidR="000F6DA9">
        <w:rPr>
          <w:rFonts w:eastAsia="Arial"/>
          <w:i/>
        </w:rPr>
        <w:t xml:space="preserve"> derinys.</w:t>
      </w:r>
    </w:p>
    <w:p w14:paraId="243982E2" w14:textId="7F1FA203" w:rsidR="000F6DA9" w:rsidRDefault="000F6DA9" w:rsidP="00E568AD">
      <w:pPr>
        <w:spacing w:line="276" w:lineRule="auto"/>
        <w:ind w:firstLine="720"/>
        <w:jc w:val="both"/>
        <w:rPr>
          <w:color w:val="000000"/>
          <w:lang w:eastAsia="lt-LT"/>
        </w:rPr>
      </w:pPr>
      <w:r w:rsidRPr="00FC4A43">
        <w:rPr>
          <w:color w:val="000000"/>
          <w:lang w:eastAsia="lt-LT"/>
        </w:rPr>
        <w:t xml:space="preserve">Klinikinis veiksmingumas buvo </w:t>
      </w:r>
      <w:r w:rsidR="00E568AD" w:rsidRPr="00FC4A43">
        <w:rPr>
          <w:color w:val="000000"/>
          <w:lang w:eastAsia="lt-LT"/>
        </w:rPr>
        <w:t>įv</w:t>
      </w:r>
      <w:r w:rsidRPr="00FC4A43">
        <w:rPr>
          <w:color w:val="000000"/>
          <w:lang w:eastAsia="lt-LT"/>
        </w:rPr>
        <w:t>ertin</w:t>
      </w:r>
      <w:r w:rsidR="00E568AD" w:rsidRPr="00FC4A43">
        <w:rPr>
          <w:color w:val="000000"/>
          <w:lang w:eastAsia="lt-LT"/>
        </w:rPr>
        <w:t>ta</w:t>
      </w:r>
      <w:r w:rsidRPr="00FC4A43">
        <w:rPr>
          <w:color w:val="000000"/>
          <w:lang w:eastAsia="lt-LT"/>
        </w:rPr>
        <w:t xml:space="preserve">s pagal netiesioginio </w:t>
      </w:r>
      <w:r w:rsidR="00E568AD" w:rsidRPr="00FC4A43">
        <w:rPr>
          <w:color w:val="000000"/>
          <w:lang w:eastAsia="lt-LT"/>
        </w:rPr>
        <w:t xml:space="preserve">klinikinių tyrimų </w:t>
      </w:r>
      <w:r w:rsidR="00E568AD" w:rsidRPr="00FC4A43">
        <w:t>CASTOR (DVd), ENDEAVOR (</w:t>
      </w:r>
      <w:proofErr w:type="spellStart"/>
      <w:r w:rsidR="00E568AD" w:rsidRPr="00FC4A43">
        <w:t>karfilzomibo</w:t>
      </w:r>
      <w:proofErr w:type="spellEnd"/>
      <w:r w:rsidR="00E568AD" w:rsidRPr="00FC4A43">
        <w:t xml:space="preserve"> ir </w:t>
      </w:r>
      <w:proofErr w:type="spellStart"/>
      <w:r w:rsidR="00E568AD" w:rsidRPr="00FC4A43">
        <w:t>deksametazono</w:t>
      </w:r>
      <w:proofErr w:type="spellEnd"/>
      <w:r w:rsidR="00E568AD" w:rsidRPr="00FC4A43">
        <w:t xml:space="preserve"> derinys, </w:t>
      </w:r>
      <w:proofErr w:type="spellStart"/>
      <w:r w:rsidR="00E568AD" w:rsidRPr="00FC4A43">
        <w:t>Kd</w:t>
      </w:r>
      <w:proofErr w:type="spellEnd"/>
      <w:r w:rsidR="00E568AD" w:rsidRPr="00FC4A43">
        <w:t>), CANDOR (</w:t>
      </w:r>
      <w:proofErr w:type="spellStart"/>
      <w:r w:rsidR="00E568AD" w:rsidRPr="00FC4A43">
        <w:t>Kd</w:t>
      </w:r>
      <w:proofErr w:type="spellEnd"/>
      <w:r w:rsidR="00E568AD" w:rsidRPr="00FC4A43">
        <w:t>) ir IKEMA (</w:t>
      </w:r>
      <w:proofErr w:type="spellStart"/>
      <w:r w:rsidR="00E568AD" w:rsidRPr="00FC4A43">
        <w:t>Kd</w:t>
      </w:r>
      <w:proofErr w:type="spellEnd"/>
      <w:r w:rsidR="00E568AD" w:rsidRPr="00FC4A43">
        <w:t>) duomenų</w:t>
      </w:r>
      <w:r w:rsidR="00E568AD" w:rsidRPr="00FC4A43">
        <w:rPr>
          <w:color w:val="000000"/>
          <w:lang w:eastAsia="lt-LT"/>
        </w:rPr>
        <w:t xml:space="preserve"> </w:t>
      </w:r>
      <w:r w:rsidRPr="00FC4A43">
        <w:rPr>
          <w:color w:val="000000"/>
          <w:lang w:eastAsia="lt-LT"/>
        </w:rPr>
        <w:t>palyginimo</w:t>
      </w:r>
      <w:r w:rsidR="00E568AD" w:rsidRPr="00FC4A43">
        <w:rPr>
          <w:color w:val="000000"/>
          <w:lang w:eastAsia="lt-LT"/>
        </w:rPr>
        <w:t>.</w:t>
      </w:r>
      <w:r w:rsidRPr="00FC4A43">
        <w:rPr>
          <w:color w:val="000000"/>
          <w:lang w:eastAsia="lt-LT"/>
        </w:rPr>
        <w:t xml:space="preserve"> </w:t>
      </w:r>
      <w:r w:rsidR="00E568AD" w:rsidRPr="00FC4A43">
        <w:rPr>
          <w:color w:val="000000"/>
          <w:lang w:eastAsia="lt-LT"/>
        </w:rPr>
        <w:t xml:space="preserve">Dėl netinkamo palyginamojo gydymo tiesioginio </w:t>
      </w:r>
      <w:r w:rsidR="00004871" w:rsidRPr="00FC4A43">
        <w:rPr>
          <w:color w:val="000000"/>
          <w:lang w:eastAsia="lt-LT"/>
        </w:rPr>
        <w:t xml:space="preserve">palyginimo tyrimo CASTOR </w:t>
      </w:r>
      <w:r w:rsidR="00E568AD" w:rsidRPr="00FC4A43">
        <w:rPr>
          <w:color w:val="000000"/>
          <w:lang w:eastAsia="lt-LT"/>
        </w:rPr>
        <w:t xml:space="preserve">rezultatai (IBLP ir BI) </w:t>
      </w:r>
      <w:r w:rsidR="00D07EBB" w:rsidRPr="00FC4A43">
        <w:rPr>
          <w:color w:val="000000"/>
          <w:lang w:eastAsia="lt-LT"/>
        </w:rPr>
        <w:t>laikomi</w:t>
      </w:r>
      <w:r w:rsidR="00004871" w:rsidRPr="00FC4A43">
        <w:rPr>
          <w:color w:val="000000"/>
          <w:lang w:eastAsia="lt-LT"/>
        </w:rPr>
        <w:t xml:space="preserve"> papildoma informacija</w:t>
      </w:r>
      <w:r w:rsidRPr="00FC4A43">
        <w:rPr>
          <w:color w:val="000000"/>
          <w:lang w:eastAsia="lt-LT"/>
        </w:rPr>
        <w:t>.</w:t>
      </w:r>
      <w:r>
        <w:rPr>
          <w:color w:val="000000"/>
          <w:lang w:eastAsia="lt-LT"/>
        </w:rPr>
        <w:t xml:space="preserve"> </w:t>
      </w:r>
    </w:p>
    <w:p w14:paraId="4C743CB4" w14:textId="77777777" w:rsidR="00F44DB2" w:rsidRDefault="00F44DB2" w:rsidP="000F6DA9">
      <w:pPr>
        <w:tabs>
          <w:tab w:val="left" w:pos="426"/>
        </w:tabs>
        <w:jc w:val="both"/>
        <w:rPr>
          <w:i/>
          <w:color w:val="000000"/>
          <w:lang w:eastAsia="lt-LT"/>
        </w:rPr>
      </w:pPr>
    </w:p>
    <w:p w14:paraId="4D5EE235" w14:textId="3ED35518" w:rsidR="000F6DA9" w:rsidRDefault="000F6DA9" w:rsidP="000F6DA9">
      <w:pPr>
        <w:tabs>
          <w:tab w:val="left" w:pos="426"/>
        </w:tabs>
        <w:jc w:val="both"/>
        <w:rPr>
          <w:i/>
          <w:color w:val="000000"/>
          <w:lang w:eastAsia="lt-LT"/>
        </w:rPr>
      </w:pPr>
      <w:r>
        <w:rPr>
          <w:i/>
          <w:color w:val="000000"/>
          <w:lang w:eastAsia="lt-LT"/>
        </w:rPr>
        <w:t>Tiesioginis palyginimas</w:t>
      </w:r>
    </w:p>
    <w:p w14:paraId="4C18D761" w14:textId="21DB79CA" w:rsidR="000F6DA9" w:rsidRPr="00BF461E" w:rsidRDefault="000F6DA9" w:rsidP="00495461">
      <w:pPr>
        <w:spacing w:line="276" w:lineRule="auto"/>
        <w:rPr>
          <w:rFonts w:eastAsia="Arial"/>
          <w:color w:val="000000" w:themeColor="text1"/>
        </w:rPr>
      </w:pPr>
      <w:r>
        <w:rPr>
          <w:rFonts w:eastAsia="Arial"/>
        </w:rPr>
        <w:tab/>
      </w:r>
      <w:r w:rsidRPr="001E51B8">
        <w:rPr>
          <w:rFonts w:eastAsia="Arial"/>
        </w:rPr>
        <w:t>C</w:t>
      </w:r>
      <w:r>
        <w:rPr>
          <w:rFonts w:eastAsia="Arial"/>
        </w:rPr>
        <w:t>A</w:t>
      </w:r>
      <w:r w:rsidRPr="001E51B8">
        <w:rPr>
          <w:rFonts w:eastAsia="Arial"/>
        </w:rPr>
        <w:t xml:space="preserve">STOR </w:t>
      </w:r>
      <w:r>
        <w:rPr>
          <w:rFonts w:eastAsia="Arial"/>
        </w:rPr>
        <w:t xml:space="preserve">klinikinis tyrimas yra 3 fazės registracinis tyrimas, kuriame daratumumabo derinio su </w:t>
      </w:r>
      <w:proofErr w:type="spellStart"/>
      <w:r>
        <w:rPr>
          <w:rFonts w:eastAsia="Arial"/>
        </w:rPr>
        <w:t>bortezomibu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deksametazonu</w:t>
      </w:r>
      <w:proofErr w:type="spellEnd"/>
      <w:r>
        <w:rPr>
          <w:rFonts w:eastAsia="Arial"/>
        </w:rPr>
        <w:t xml:space="preserve"> </w:t>
      </w:r>
      <w:r w:rsidR="00F44DB2">
        <w:rPr>
          <w:rFonts w:eastAsia="Arial"/>
        </w:rPr>
        <w:t xml:space="preserve">veiksmingumas </w:t>
      </w:r>
      <w:r>
        <w:rPr>
          <w:rFonts w:eastAsia="Arial"/>
        </w:rPr>
        <w:t xml:space="preserve">ir saugumas </w:t>
      </w:r>
      <w:r w:rsidR="00F44DB2">
        <w:rPr>
          <w:rFonts w:eastAsia="Arial"/>
        </w:rPr>
        <w:t>pa</w:t>
      </w:r>
      <w:r>
        <w:rPr>
          <w:rFonts w:eastAsia="Arial"/>
        </w:rPr>
        <w:t>lygin</w:t>
      </w:r>
      <w:r w:rsidR="00F44DB2">
        <w:rPr>
          <w:rFonts w:eastAsia="Arial"/>
        </w:rPr>
        <w:t>t</w:t>
      </w:r>
      <w:r>
        <w:rPr>
          <w:rFonts w:eastAsia="Arial"/>
        </w:rPr>
        <w:t xml:space="preserve">as su </w:t>
      </w:r>
      <w:proofErr w:type="spellStart"/>
      <w:r>
        <w:rPr>
          <w:rFonts w:eastAsia="Arial"/>
        </w:rPr>
        <w:t>bortezomibu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deksametazonu</w:t>
      </w:r>
      <w:proofErr w:type="spellEnd"/>
      <w:r>
        <w:rPr>
          <w:rFonts w:eastAsia="Arial"/>
        </w:rPr>
        <w:t xml:space="preserve">. Pažymėtina, kad palyginamasis gydymas </w:t>
      </w:r>
      <w:proofErr w:type="spellStart"/>
      <w:r>
        <w:rPr>
          <w:rFonts w:eastAsia="Arial"/>
        </w:rPr>
        <w:t>bortezomibu</w:t>
      </w:r>
      <w:proofErr w:type="spellEnd"/>
      <w:r>
        <w:rPr>
          <w:rFonts w:eastAsia="Arial"/>
        </w:rPr>
        <w:t xml:space="preserve"> ir </w:t>
      </w:r>
      <w:proofErr w:type="spellStart"/>
      <w:r>
        <w:rPr>
          <w:rFonts w:eastAsia="Arial"/>
        </w:rPr>
        <w:t>deksametazonu</w:t>
      </w:r>
      <w:proofErr w:type="spellEnd"/>
      <w:r>
        <w:rPr>
          <w:rFonts w:eastAsia="Arial"/>
        </w:rPr>
        <w:t xml:space="preserve"> </w:t>
      </w:r>
      <w:r w:rsidR="00032493">
        <w:rPr>
          <w:rFonts w:eastAsia="Arial"/>
        </w:rPr>
        <w:t>n</w:t>
      </w:r>
      <w:r>
        <w:rPr>
          <w:rFonts w:eastAsia="Arial"/>
        </w:rPr>
        <w:t xml:space="preserve">eatitinka </w:t>
      </w:r>
      <w:r>
        <w:rPr>
          <w:rFonts w:eastAsia="Arial"/>
        </w:rPr>
        <w:lastRenderedPageBreak/>
        <w:t>įprastin</w:t>
      </w:r>
      <w:r w:rsidR="00032493">
        <w:rPr>
          <w:rFonts w:eastAsia="Arial"/>
        </w:rPr>
        <w:t>ės</w:t>
      </w:r>
      <w:r w:rsidR="005274F2">
        <w:rPr>
          <w:rFonts w:eastAsia="Arial"/>
        </w:rPr>
        <w:t xml:space="preserve"> Lietuvos </w:t>
      </w:r>
      <w:r>
        <w:rPr>
          <w:rFonts w:eastAsia="Arial"/>
        </w:rPr>
        <w:t xml:space="preserve"> klinikin</w:t>
      </w:r>
      <w:r w:rsidR="00032493">
        <w:rPr>
          <w:rFonts w:eastAsia="Arial"/>
        </w:rPr>
        <w:t>ės</w:t>
      </w:r>
      <w:r>
        <w:rPr>
          <w:rFonts w:eastAsia="Arial"/>
        </w:rPr>
        <w:t xml:space="preserve"> praktik</w:t>
      </w:r>
      <w:r w:rsidR="00032493">
        <w:rPr>
          <w:rFonts w:eastAsia="Arial"/>
        </w:rPr>
        <w:t>os</w:t>
      </w:r>
      <w:r>
        <w:rPr>
          <w:rFonts w:eastAsia="Arial"/>
        </w:rPr>
        <w:t xml:space="preserve">. Remiantis įtraukimo ir atmetimo kriterijais, </w:t>
      </w:r>
      <w:r>
        <w:rPr>
          <w:rFonts w:eastAsia="Arial"/>
          <w:color w:val="000000" w:themeColor="text1"/>
        </w:rPr>
        <w:t>tyrimo populiacija atitinka vertinamą indikaciją. Pirminė ir antrinės vertin</w:t>
      </w:r>
      <w:r w:rsidR="00F44DB2">
        <w:rPr>
          <w:rFonts w:eastAsia="Arial"/>
          <w:color w:val="000000" w:themeColor="text1"/>
        </w:rPr>
        <w:t>amosios</w:t>
      </w:r>
      <w:r>
        <w:rPr>
          <w:rFonts w:eastAsia="Arial"/>
          <w:color w:val="000000" w:themeColor="text1"/>
        </w:rPr>
        <w:t xml:space="preserve"> baigtys buvo vertinamos bendroje pacientų populiacijoje (angl. ITT). </w:t>
      </w:r>
      <w:r w:rsidRPr="00BB0546">
        <w:rPr>
          <w:rFonts w:eastAsia="TimesNewRoman"/>
        </w:rPr>
        <w:t>Iš viso atsitiktiniu būdu buvo atrinkti 498 pacientai</w:t>
      </w:r>
      <w:r>
        <w:rPr>
          <w:rFonts w:eastAsia="TimesNewRoman"/>
        </w:rPr>
        <w:t xml:space="preserve">. Iš jų </w:t>
      </w:r>
      <w:r w:rsidRPr="00BB0546">
        <w:rPr>
          <w:rFonts w:eastAsia="TimesNewRoman"/>
        </w:rPr>
        <w:t xml:space="preserve">251 </w:t>
      </w:r>
      <w:r>
        <w:rPr>
          <w:rFonts w:eastAsia="TimesNewRoman"/>
        </w:rPr>
        <w:t xml:space="preserve">pacientas pateko </w:t>
      </w:r>
      <w:r w:rsidRPr="00BB0546">
        <w:rPr>
          <w:rFonts w:eastAsia="TimesNewRoman"/>
        </w:rPr>
        <w:t>į DVd grupę</w:t>
      </w:r>
      <w:r w:rsidR="00F44DB2">
        <w:rPr>
          <w:rFonts w:eastAsia="TimesNewRoman"/>
        </w:rPr>
        <w:t xml:space="preserve"> (daratumumabas derinyje su </w:t>
      </w:r>
      <w:proofErr w:type="spellStart"/>
      <w:r w:rsidR="00F44DB2" w:rsidRPr="00BB0546">
        <w:rPr>
          <w:rFonts w:eastAsia="TimesNewRoman"/>
        </w:rPr>
        <w:t>bortezomibu</w:t>
      </w:r>
      <w:proofErr w:type="spellEnd"/>
      <w:r w:rsidR="00F44DB2" w:rsidRPr="00BB0546">
        <w:rPr>
          <w:rFonts w:eastAsia="TimesNewRoman"/>
        </w:rPr>
        <w:t xml:space="preserve"> ir </w:t>
      </w:r>
      <w:proofErr w:type="spellStart"/>
      <w:r w:rsidR="00F44DB2" w:rsidRPr="00BB0546">
        <w:rPr>
          <w:rFonts w:eastAsia="TimesNewRoman"/>
        </w:rPr>
        <w:t>deksametazonu</w:t>
      </w:r>
      <w:proofErr w:type="spellEnd"/>
      <w:r w:rsidR="00F44DB2">
        <w:rPr>
          <w:rFonts w:eastAsia="TimesNewRoman"/>
        </w:rPr>
        <w:t xml:space="preserve">) </w:t>
      </w:r>
      <w:r w:rsidRPr="00BB0546">
        <w:rPr>
          <w:rFonts w:eastAsia="TimesNewRoman"/>
        </w:rPr>
        <w:t xml:space="preserve">ir 247 </w:t>
      </w:r>
      <w:r>
        <w:rPr>
          <w:rFonts w:eastAsia="TimesNewRoman"/>
        </w:rPr>
        <w:t xml:space="preserve">- </w:t>
      </w:r>
      <w:r w:rsidRPr="00BB0546">
        <w:rPr>
          <w:rFonts w:eastAsia="TimesNewRoman"/>
        </w:rPr>
        <w:t xml:space="preserve">į </w:t>
      </w:r>
      <w:proofErr w:type="spellStart"/>
      <w:r w:rsidRPr="00BB0546">
        <w:rPr>
          <w:rFonts w:eastAsia="TimesNewRoman"/>
        </w:rPr>
        <w:t>Vd</w:t>
      </w:r>
      <w:proofErr w:type="spellEnd"/>
      <w:r w:rsidRPr="00BB0546">
        <w:rPr>
          <w:rFonts w:eastAsia="TimesNewRoman"/>
        </w:rPr>
        <w:t xml:space="preserve"> grupę</w:t>
      </w:r>
      <w:r w:rsidR="00F44DB2">
        <w:rPr>
          <w:rFonts w:eastAsia="TimesNewRoman"/>
        </w:rPr>
        <w:t xml:space="preserve"> (</w:t>
      </w:r>
      <w:r>
        <w:rPr>
          <w:rFonts w:eastAsia="TimesNewRoman"/>
        </w:rPr>
        <w:t xml:space="preserve"> </w:t>
      </w:r>
      <w:r w:rsidR="00F44DB2">
        <w:rPr>
          <w:rFonts w:eastAsia="TimesNewRoman"/>
        </w:rPr>
        <w:t>b</w:t>
      </w:r>
      <w:r w:rsidR="00F44DB2" w:rsidRPr="00BB0546">
        <w:rPr>
          <w:rFonts w:eastAsia="TimesNewRoman"/>
        </w:rPr>
        <w:t>ortezomib</w:t>
      </w:r>
      <w:r w:rsidR="00F44DB2">
        <w:rPr>
          <w:rFonts w:eastAsia="TimesNewRoman"/>
        </w:rPr>
        <w:t xml:space="preserve">o ir </w:t>
      </w:r>
      <w:proofErr w:type="spellStart"/>
      <w:r w:rsidR="00F44DB2">
        <w:rPr>
          <w:rFonts w:eastAsia="TimesNewRoman"/>
        </w:rPr>
        <w:t>deksametazono</w:t>
      </w:r>
      <w:proofErr w:type="spellEnd"/>
      <w:r w:rsidR="00F44DB2">
        <w:rPr>
          <w:rFonts w:eastAsia="TimesNewRoman"/>
        </w:rPr>
        <w:t xml:space="preserve"> derinys).  </w:t>
      </w:r>
    </w:p>
    <w:p w14:paraId="700B930E" w14:textId="43853173" w:rsidR="000F6DA9" w:rsidRDefault="000F6DA9" w:rsidP="000F6DA9">
      <w:pPr>
        <w:tabs>
          <w:tab w:val="left" w:pos="426"/>
        </w:tabs>
        <w:spacing w:line="276" w:lineRule="auto"/>
        <w:jc w:val="both"/>
        <w:rPr>
          <w:rFonts w:eastAsia="Arial"/>
        </w:rPr>
      </w:pPr>
      <w:r w:rsidRPr="0044516C">
        <w:rPr>
          <w:rFonts w:eastAsia="Arial"/>
          <w:u w:val="single"/>
        </w:rPr>
        <w:t xml:space="preserve">Pirminė </w:t>
      </w:r>
      <w:r w:rsidR="00F44DB2">
        <w:rPr>
          <w:rFonts w:eastAsia="Arial"/>
          <w:u w:val="single"/>
        </w:rPr>
        <w:t xml:space="preserve">vertinamoji </w:t>
      </w:r>
      <w:r w:rsidRPr="0044516C">
        <w:rPr>
          <w:rFonts w:eastAsia="Arial"/>
          <w:u w:val="single"/>
        </w:rPr>
        <w:t>baigtis</w:t>
      </w:r>
      <w:r>
        <w:rPr>
          <w:rFonts w:eastAsia="Arial"/>
        </w:rPr>
        <w:t xml:space="preserve"> </w:t>
      </w:r>
    </w:p>
    <w:p w14:paraId="071572BB" w14:textId="0CFA2683" w:rsidR="000F6DA9" w:rsidRDefault="00F44DB2" w:rsidP="000F6DA9">
      <w:pPr>
        <w:tabs>
          <w:tab w:val="left" w:pos="426"/>
        </w:tabs>
        <w:spacing w:line="276" w:lineRule="auto"/>
        <w:jc w:val="both"/>
        <w:rPr>
          <w:rFonts w:eastAsia="Arial"/>
        </w:rPr>
      </w:pPr>
      <w:r>
        <w:rPr>
          <w:rFonts w:eastAsia="Arial"/>
        </w:rPr>
        <w:tab/>
      </w:r>
      <w:r w:rsidR="000F6DA9">
        <w:rPr>
          <w:rFonts w:eastAsia="Arial"/>
        </w:rPr>
        <w:t xml:space="preserve">Išgyvenamumas be ligos progresavimo (IBLP) apibrėžtas kaip laikas nuo atsitiktinės imties atrankos iki ligos progresavimo pagal </w:t>
      </w:r>
      <w:r>
        <w:rPr>
          <w:rFonts w:eastAsia="Arial"/>
        </w:rPr>
        <w:t xml:space="preserve">tarptautinės mielomos darbo grupės (angl. International </w:t>
      </w:r>
      <w:proofErr w:type="spellStart"/>
      <w:r>
        <w:rPr>
          <w:rFonts w:eastAsia="Arial"/>
        </w:rPr>
        <w:t>Myeloma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working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group</w:t>
      </w:r>
      <w:proofErr w:type="spellEnd"/>
      <w:r>
        <w:rPr>
          <w:rFonts w:eastAsia="Arial"/>
        </w:rPr>
        <w:t xml:space="preserve">, </w:t>
      </w:r>
      <w:r w:rsidR="000F6DA9">
        <w:rPr>
          <w:rFonts w:eastAsia="Arial"/>
        </w:rPr>
        <w:t>IMWG</w:t>
      </w:r>
      <w:r>
        <w:rPr>
          <w:rFonts w:eastAsia="Arial"/>
        </w:rPr>
        <w:t>)</w:t>
      </w:r>
      <w:r w:rsidR="000F6DA9">
        <w:rPr>
          <w:rFonts w:eastAsia="Arial"/>
        </w:rPr>
        <w:t xml:space="preserve"> kriterijus arba mirties dėl bet kokios priežasties. Bendra s</w:t>
      </w:r>
      <w:r w:rsidR="000F6DA9" w:rsidRPr="00117E5F">
        <w:rPr>
          <w:rFonts w:eastAsia="Arial"/>
          <w:color w:val="000000" w:themeColor="text1"/>
        </w:rPr>
        <w:t>tebėjimo laiko mediana</w:t>
      </w:r>
      <w:r w:rsidR="000F6DA9">
        <w:rPr>
          <w:rFonts w:eastAsia="Arial"/>
          <w:color w:val="000000" w:themeColor="text1"/>
        </w:rPr>
        <w:t xml:space="preserve"> DVd grupėje buvo </w:t>
      </w:r>
      <w:r w:rsidR="000F6DA9" w:rsidRPr="00117E5F">
        <w:rPr>
          <w:rFonts w:eastAsia="Arial"/>
          <w:color w:val="000000" w:themeColor="text1"/>
        </w:rPr>
        <w:t>7,4</w:t>
      </w:r>
      <w:r w:rsidR="000F6DA9">
        <w:rPr>
          <w:rFonts w:eastAsia="Arial"/>
          <w:color w:val="000000" w:themeColor="text1"/>
        </w:rPr>
        <w:t xml:space="preserve"> mėnesiai ir </w:t>
      </w:r>
      <w:proofErr w:type="spellStart"/>
      <w:r w:rsidR="000F6DA9">
        <w:rPr>
          <w:rFonts w:eastAsia="Arial"/>
          <w:color w:val="000000" w:themeColor="text1"/>
        </w:rPr>
        <w:t>Vd</w:t>
      </w:r>
      <w:proofErr w:type="spellEnd"/>
      <w:r w:rsidR="000F6DA9">
        <w:rPr>
          <w:rFonts w:eastAsia="Arial"/>
          <w:color w:val="000000" w:themeColor="text1"/>
        </w:rPr>
        <w:t xml:space="preserve"> grupėje – 7,2 mėnesiai. IBLP buvo ilgesnis DVd grupėje ir tarpinės analizės metu nebuvo pasiektas. IBLP </w:t>
      </w:r>
      <w:proofErr w:type="spellStart"/>
      <w:r w:rsidR="000F6DA9">
        <w:rPr>
          <w:rFonts w:eastAsia="Arial"/>
          <w:color w:val="000000" w:themeColor="text1"/>
        </w:rPr>
        <w:t>Vd</w:t>
      </w:r>
      <w:proofErr w:type="spellEnd"/>
      <w:r w:rsidR="000F6DA9">
        <w:rPr>
          <w:rFonts w:eastAsia="Arial"/>
          <w:color w:val="000000" w:themeColor="text1"/>
        </w:rPr>
        <w:t xml:space="preserve"> grupėje buvo 7,2 mėn. Rizikos santykis buvo 0,39 (95 proc. PI: 0,28-0,53, p&lt;0,001).</w:t>
      </w:r>
      <w:r w:rsidR="000F6DA9" w:rsidRPr="00197F11">
        <w:rPr>
          <w:rFonts w:eastAsia="Arial"/>
          <w:color w:val="000000" w:themeColor="text1"/>
        </w:rPr>
        <w:t xml:space="preserve"> </w:t>
      </w:r>
      <w:r w:rsidR="000F6DA9" w:rsidRPr="00117E5F">
        <w:rPr>
          <w:rFonts w:eastAsia="Arial"/>
          <w:color w:val="000000" w:themeColor="text1"/>
        </w:rPr>
        <w:t>IBLP</w:t>
      </w:r>
      <w:r w:rsidR="000F6DA9">
        <w:rPr>
          <w:rFonts w:eastAsia="Arial"/>
          <w:color w:val="000000" w:themeColor="text1"/>
        </w:rPr>
        <w:t xml:space="preserve"> </w:t>
      </w:r>
      <w:r w:rsidR="000F6DA9" w:rsidRPr="00117E5F">
        <w:rPr>
          <w:rFonts w:eastAsia="Arial"/>
          <w:color w:val="000000" w:themeColor="text1"/>
        </w:rPr>
        <w:t xml:space="preserve">analizės rezultatai esant 50 mėnesių stebėjimo laiko medianai ir toliau rodė DVd grupės pacientų </w:t>
      </w:r>
      <w:r w:rsidR="000F6DA9">
        <w:rPr>
          <w:rFonts w:eastAsia="Arial"/>
          <w:color w:val="000000" w:themeColor="text1"/>
        </w:rPr>
        <w:t xml:space="preserve">ilgesnį </w:t>
      </w:r>
      <w:r w:rsidR="000F6DA9" w:rsidRPr="00117E5F">
        <w:rPr>
          <w:rFonts w:eastAsia="Arial"/>
          <w:color w:val="000000" w:themeColor="text1"/>
        </w:rPr>
        <w:t xml:space="preserve">IBLP, lyginant su </w:t>
      </w:r>
      <w:proofErr w:type="spellStart"/>
      <w:r w:rsidR="000F6DA9" w:rsidRPr="00117E5F">
        <w:rPr>
          <w:rFonts w:eastAsia="Arial"/>
          <w:color w:val="000000" w:themeColor="text1"/>
        </w:rPr>
        <w:t>Vd</w:t>
      </w:r>
      <w:proofErr w:type="spellEnd"/>
      <w:r w:rsidR="000F6DA9" w:rsidRPr="00117E5F">
        <w:rPr>
          <w:rFonts w:eastAsia="Arial"/>
          <w:color w:val="000000" w:themeColor="text1"/>
        </w:rPr>
        <w:t xml:space="preserve"> grupe. IBLP mediana buvo 16,7 mėnesio DVd grupėje ir 7,1 mėnesio </w:t>
      </w:r>
      <w:proofErr w:type="spellStart"/>
      <w:r w:rsidR="000F6DA9" w:rsidRPr="00117E5F">
        <w:rPr>
          <w:rFonts w:eastAsia="Arial"/>
          <w:color w:val="000000" w:themeColor="text1"/>
        </w:rPr>
        <w:t>Vd</w:t>
      </w:r>
      <w:proofErr w:type="spellEnd"/>
      <w:r w:rsidR="000F6DA9">
        <w:rPr>
          <w:rFonts w:eastAsia="Arial"/>
          <w:color w:val="000000" w:themeColor="text1"/>
        </w:rPr>
        <w:t xml:space="preserve"> </w:t>
      </w:r>
      <w:r w:rsidR="000F6DA9" w:rsidRPr="00117E5F">
        <w:rPr>
          <w:rFonts w:eastAsia="Arial"/>
          <w:color w:val="000000" w:themeColor="text1"/>
        </w:rPr>
        <w:t>grupėje (</w:t>
      </w:r>
      <w:r w:rsidR="000F6DA9">
        <w:rPr>
          <w:rFonts w:eastAsia="Arial"/>
          <w:color w:val="000000" w:themeColor="text1"/>
        </w:rPr>
        <w:t xml:space="preserve">RS </w:t>
      </w:r>
      <w:r w:rsidR="000F6DA9">
        <w:rPr>
          <w:rFonts w:eastAsia="Arial"/>
          <w:color w:val="000000" w:themeColor="text1"/>
          <w:lang w:val="en-GB"/>
        </w:rPr>
        <w:t>=</w:t>
      </w:r>
      <w:r w:rsidR="000F6DA9" w:rsidRPr="00117E5F">
        <w:rPr>
          <w:rFonts w:eastAsia="Arial"/>
          <w:color w:val="000000" w:themeColor="text1"/>
        </w:rPr>
        <w:t xml:space="preserve"> 0,31</w:t>
      </w:r>
      <w:r w:rsidR="000F6DA9">
        <w:rPr>
          <w:rFonts w:eastAsia="Arial"/>
          <w:color w:val="000000" w:themeColor="text1"/>
        </w:rPr>
        <w:t xml:space="preserve">; 95 proc. PI: </w:t>
      </w:r>
      <w:r w:rsidR="000F6DA9" w:rsidRPr="00117E5F">
        <w:rPr>
          <w:rFonts w:eastAsia="Arial"/>
          <w:color w:val="000000" w:themeColor="text1"/>
        </w:rPr>
        <w:t>0,24, 0,39; p&lt; 0,0001)</w:t>
      </w:r>
      <w:r w:rsidR="000F6DA9">
        <w:rPr>
          <w:rFonts w:eastAsia="Arial"/>
          <w:color w:val="000000" w:themeColor="text1"/>
        </w:rPr>
        <w:t>. L</w:t>
      </w:r>
      <w:r w:rsidR="000F6DA9" w:rsidRPr="00117E5F">
        <w:rPr>
          <w:rFonts w:eastAsia="Arial"/>
          <w:color w:val="000000" w:themeColor="text1"/>
        </w:rPr>
        <w:t>igos progresavimo ar</w:t>
      </w:r>
      <w:r w:rsidR="000F6DA9">
        <w:rPr>
          <w:rFonts w:eastAsia="Arial"/>
          <w:color w:val="000000" w:themeColor="text1"/>
        </w:rPr>
        <w:t xml:space="preserve"> </w:t>
      </w:r>
      <w:r w:rsidR="000F6DA9" w:rsidRPr="00117E5F">
        <w:rPr>
          <w:rFonts w:eastAsia="Arial"/>
          <w:color w:val="000000" w:themeColor="text1"/>
        </w:rPr>
        <w:t xml:space="preserve">mirties </w:t>
      </w:r>
      <w:r w:rsidR="000F6DA9">
        <w:rPr>
          <w:rFonts w:eastAsia="Arial"/>
          <w:color w:val="000000" w:themeColor="text1"/>
        </w:rPr>
        <w:t>rizika</w:t>
      </w:r>
      <w:r w:rsidR="000F6DA9" w:rsidRPr="00117E5F">
        <w:rPr>
          <w:rFonts w:eastAsia="Arial"/>
          <w:color w:val="000000" w:themeColor="text1"/>
        </w:rPr>
        <w:t>, gyd</w:t>
      </w:r>
      <w:r w:rsidR="000F6DA9">
        <w:rPr>
          <w:rFonts w:eastAsia="Arial"/>
          <w:color w:val="000000" w:themeColor="text1"/>
        </w:rPr>
        <w:t>ant</w:t>
      </w:r>
      <w:r w:rsidR="000F6DA9" w:rsidRPr="00117E5F">
        <w:rPr>
          <w:rFonts w:eastAsia="Arial"/>
          <w:color w:val="000000" w:themeColor="text1"/>
        </w:rPr>
        <w:t xml:space="preserve"> </w:t>
      </w:r>
      <w:r w:rsidR="000F6DA9">
        <w:rPr>
          <w:rFonts w:eastAsia="Arial"/>
          <w:color w:val="000000" w:themeColor="text1"/>
        </w:rPr>
        <w:t>pacientu</w:t>
      </w:r>
      <w:r w:rsidR="000F6DA9" w:rsidRPr="00117E5F">
        <w:rPr>
          <w:rFonts w:eastAsia="Arial"/>
          <w:color w:val="000000" w:themeColor="text1"/>
        </w:rPr>
        <w:t>s</w:t>
      </w:r>
      <w:r w:rsidR="000F6DA9" w:rsidRPr="002A2AB1">
        <w:rPr>
          <w:rFonts w:eastAsia="Arial"/>
          <w:color w:val="000000" w:themeColor="text1"/>
        </w:rPr>
        <w:t xml:space="preserve"> </w:t>
      </w:r>
      <w:r w:rsidR="000F6DA9" w:rsidRPr="00117E5F">
        <w:rPr>
          <w:rFonts w:eastAsia="Arial"/>
          <w:color w:val="000000" w:themeColor="text1"/>
        </w:rPr>
        <w:t>DVd</w:t>
      </w:r>
      <w:r w:rsidR="000F6DA9">
        <w:rPr>
          <w:rFonts w:eastAsia="Arial"/>
          <w:color w:val="000000" w:themeColor="text1"/>
        </w:rPr>
        <w:t xml:space="preserve"> deriniu</w:t>
      </w:r>
      <w:r w:rsidR="000F6DA9" w:rsidRPr="00117E5F">
        <w:rPr>
          <w:rFonts w:eastAsia="Arial"/>
          <w:color w:val="000000" w:themeColor="text1"/>
        </w:rPr>
        <w:t xml:space="preserve">, </w:t>
      </w:r>
      <w:r w:rsidR="000F6DA9">
        <w:rPr>
          <w:rFonts w:eastAsia="Arial"/>
          <w:color w:val="000000" w:themeColor="text1"/>
        </w:rPr>
        <w:t>su</w:t>
      </w:r>
      <w:r w:rsidR="000F6DA9" w:rsidRPr="00117E5F">
        <w:rPr>
          <w:rFonts w:eastAsia="Arial"/>
          <w:color w:val="000000" w:themeColor="text1"/>
        </w:rPr>
        <w:t>mažėjim</w:t>
      </w:r>
      <w:r w:rsidR="000F6DA9">
        <w:rPr>
          <w:rFonts w:eastAsia="Arial"/>
          <w:color w:val="000000" w:themeColor="text1"/>
        </w:rPr>
        <w:t>o</w:t>
      </w:r>
      <w:r w:rsidR="000F6DA9" w:rsidRPr="00117E5F">
        <w:rPr>
          <w:rFonts w:eastAsia="Arial"/>
          <w:color w:val="000000" w:themeColor="text1"/>
        </w:rPr>
        <w:t xml:space="preserve"> 69 </w:t>
      </w:r>
      <w:r w:rsidR="000F6DA9">
        <w:rPr>
          <w:rFonts w:eastAsia="Arial"/>
          <w:color w:val="000000" w:themeColor="text1"/>
        </w:rPr>
        <w:t>proc.</w:t>
      </w:r>
      <w:r w:rsidR="000F6DA9" w:rsidRPr="00117E5F">
        <w:rPr>
          <w:rFonts w:eastAsia="Arial"/>
          <w:color w:val="000000" w:themeColor="text1"/>
        </w:rPr>
        <w:t xml:space="preserve">, lyginant su </w:t>
      </w:r>
      <w:r w:rsidR="000F6DA9">
        <w:rPr>
          <w:rFonts w:eastAsia="Arial"/>
          <w:color w:val="000000" w:themeColor="text1"/>
        </w:rPr>
        <w:t xml:space="preserve">IBLP trukme gydant pacientus </w:t>
      </w:r>
      <w:proofErr w:type="spellStart"/>
      <w:r w:rsidR="000F6DA9">
        <w:rPr>
          <w:rFonts w:eastAsia="Arial"/>
          <w:color w:val="000000" w:themeColor="text1"/>
        </w:rPr>
        <w:t>Vd</w:t>
      </w:r>
      <w:proofErr w:type="spellEnd"/>
      <w:r w:rsidR="000F6DA9">
        <w:rPr>
          <w:rFonts w:eastAsia="Arial"/>
          <w:color w:val="000000" w:themeColor="text1"/>
        </w:rPr>
        <w:t xml:space="preserve"> deriniu. Apibendrinant</w:t>
      </w:r>
      <w:r w:rsidR="00F63F3D">
        <w:rPr>
          <w:rFonts w:eastAsia="Arial"/>
          <w:color w:val="000000" w:themeColor="text1"/>
        </w:rPr>
        <w:t>,</w:t>
      </w:r>
      <w:r w:rsidR="00F63F3D" w:rsidRPr="00F63F3D">
        <w:rPr>
          <w:rFonts w:eastAsia="Arial"/>
        </w:rPr>
        <w:t xml:space="preserve"> </w:t>
      </w:r>
      <w:r w:rsidR="00F63F3D">
        <w:rPr>
          <w:rFonts w:eastAsia="Arial"/>
        </w:rPr>
        <w:t xml:space="preserve">nepriklausomai nuo ligos stadijos, atsparumo anksčiau taikytam gydymui ir nuo ankstesnių </w:t>
      </w:r>
      <w:proofErr w:type="spellStart"/>
      <w:r w:rsidR="00F63F3D">
        <w:rPr>
          <w:rFonts w:eastAsia="Arial"/>
        </w:rPr>
        <w:t>terapijų</w:t>
      </w:r>
      <w:proofErr w:type="spellEnd"/>
      <w:r w:rsidR="00F63F3D">
        <w:rPr>
          <w:rFonts w:eastAsia="Arial"/>
        </w:rPr>
        <w:t xml:space="preserve"> skaičiaus</w:t>
      </w:r>
      <w:r w:rsidR="00D07EBB">
        <w:rPr>
          <w:rFonts w:eastAsia="Arial"/>
        </w:rPr>
        <w:t xml:space="preserve"> </w:t>
      </w:r>
      <w:r w:rsidR="00F63F3D">
        <w:rPr>
          <w:rFonts w:eastAsia="Arial"/>
        </w:rPr>
        <w:t xml:space="preserve">DVd deriniu gydytiems pacientams </w:t>
      </w:r>
      <w:r w:rsidR="000F6DA9">
        <w:rPr>
          <w:rFonts w:eastAsia="Arial"/>
        </w:rPr>
        <w:t xml:space="preserve">buvo reikšmingai ilgesnis </w:t>
      </w:r>
      <w:r w:rsidR="00F63F3D">
        <w:rPr>
          <w:rFonts w:eastAsia="Arial"/>
        </w:rPr>
        <w:t>IBLP.</w:t>
      </w:r>
    </w:p>
    <w:p w14:paraId="5CDF201C" w14:textId="324780CB" w:rsidR="000F6DA9" w:rsidRDefault="000F6DA9" w:rsidP="000F6DA9">
      <w:pPr>
        <w:spacing w:line="276" w:lineRule="auto"/>
        <w:rPr>
          <w:rFonts w:eastAsia="Arial"/>
          <w:u w:val="single"/>
        </w:rPr>
      </w:pPr>
      <w:r w:rsidRPr="00724883">
        <w:rPr>
          <w:rFonts w:eastAsia="Arial"/>
          <w:u w:val="single"/>
        </w:rPr>
        <w:t xml:space="preserve">Antrinės </w:t>
      </w:r>
      <w:r w:rsidR="00AB42D5">
        <w:rPr>
          <w:rFonts w:eastAsia="Arial"/>
          <w:u w:val="single"/>
        </w:rPr>
        <w:t xml:space="preserve">vertinamosios </w:t>
      </w:r>
      <w:r w:rsidRPr="00724883">
        <w:rPr>
          <w:rFonts w:eastAsia="Arial"/>
          <w:u w:val="single"/>
        </w:rPr>
        <w:t>baigtys</w:t>
      </w:r>
    </w:p>
    <w:p w14:paraId="76DFCA81" w14:textId="2949853C" w:rsidR="000F6DA9" w:rsidRDefault="000F6DA9" w:rsidP="000F6DA9">
      <w:pPr>
        <w:spacing w:line="276" w:lineRule="auto"/>
        <w:ind w:firstLine="720"/>
        <w:jc w:val="both"/>
        <w:rPr>
          <w:rFonts w:eastAsia="Arial"/>
        </w:rPr>
      </w:pPr>
      <w:r w:rsidRPr="00DA4863">
        <w:rPr>
          <w:rFonts w:eastAsia="Arial"/>
          <w:i/>
        </w:rPr>
        <w:t>Bendras atsakas į gydymą</w:t>
      </w:r>
      <w:r>
        <w:rPr>
          <w:rFonts w:eastAsia="Arial"/>
        </w:rPr>
        <w:t xml:space="preserve">, išreikštas kaip pacientų, kuriems pagal IMWG kriterijus, dalis, buvo reikšmingai didesnis DVd grupėje, palyginus su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grupe: 85 proc. ir 63 proc. (p&lt;0,0001), atitinkamai. </w:t>
      </w:r>
      <w:r w:rsidR="00AB42D5">
        <w:rPr>
          <w:rFonts w:eastAsia="Arial"/>
          <w:i/>
        </w:rPr>
        <w:t>Pilną</w:t>
      </w:r>
      <w:r w:rsidR="00AB42D5" w:rsidRPr="00DA4863">
        <w:rPr>
          <w:rFonts w:eastAsia="Arial"/>
          <w:i/>
        </w:rPr>
        <w:t xml:space="preserve"> </w:t>
      </w:r>
      <w:r w:rsidRPr="00DA4863">
        <w:rPr>
          <w:rFonts w:eastAsia="Arial"/>
          <w:i/>
        </w:rPr>
        <w:t>atsaką gydymą</w:t>
      </w:r>
      <w:r>
        <w:rPr>
          <w:rFonts w:eastAsia="Arial"/>
        </w:rPr>
        <w:t xml:space="preserve"> pasiekė 30 proc. pacientų DVd grupėje ir tik 10 proc. pacientų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grupėje vertinant šį baigtį ITT populiacijoje. Atskirai įvertinus pacientų, kuriems buvo taikome tik 1 ankstesnė terapija dėl DM, DVd grupėje 92 proc. pacientų pasiekė BAG ir 74 proc. pacientų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grupėje (p&lt;0,0007). Visišką atsakas į gydymą, taikant IMWG kriterijus,  pasiekė 43 proc. ir 15 proc., atitinkamai.  </w:t>
      </w:r>
      <w:r w:rsidRPr="00DA4863">
        <w:rPr>
          <w:rFonts w:eastAsia="Arial"/>
          <w:i/>
        </w:rPr>
        <w:t>Minimali liekamoji liga</w:t>
      </w:r>
      <w:r>
        <w:rPr>
          <w:rFonts w:eastAsia="Arial"/>
        </w:rPr>
        <w:t xml:space="preserve"> buvo nustatyta 14 proc. pacientų DVd grupėje ir tik 2 proc. pacientų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grupėje (p&lt; 0,000001). </w:t>
      </w:r>
      <w:r w:rsidRPr="00C477AD">
        <w:rPr>
          <w:rFonts w:eastAsia="Arial"/>
        </w:rPr>
        <w:t>Bendr</w:t>
      </w:r>
      <w:r w:rsidR="00AB42D5" w:rsidRPr="00C477AD">
        <w:rPr>
          <w:rFonts w:eastAsia="Arial"/>
        </w:rPr>
        <w:t>o</w:t>
      </w:r>
      <w:r w:rsidRPr="00C477AD">
        <w:rPr>
          <w:rFonts w:eastAsia="Arial"/>
        </w:rPr>
        <w:t xml:space="preserve"> išgyvenamum</w:t>
      </w:r>
      <w:r w:rsidR="00AB42D5" w:rsidRPr="00C477AD">
        <w:rPr>
          <w:rFonts w:eastAsia="Arial"/>
        </w:rPr>
        <w:t>o</w:t>
      </w:r>
      <w:r>
        <w:rPr>
          <w:rFonts w:eastAsia="Arial"/>
        </w:rPr>
        <w:t xml:space="preserve"> </w:t>
      </w:r>
      <w:r w:rsidR="00AB42D5">
        <w:rPr>
          <w:rFonts w:eastAsia="Arial"/>
        </w:rPr>
        <w:t xml:space="preserve">(BI) </w:t>
      </w:r>
      <w:r>
        <w:rPr>
          <w:rFonts w:eastAsia="Arial"/>
        </w:rPr>
        <w:t xml:space="preserve">analizė buvo atlikta, kai bendras stebėjimo laikotarpis </w:t>
      </w:r>
      <w:r w:rsidR="00AB42D5">
        <w:rPr>
          <w:rFonts w:eastAsia="Arial"/>
        </w:rPr>
        <w:t xml:space="preserve">buvo  </w:t>
      </w:r>
      <w:r>
        <w:rPr>
          <w:rFonts w:eastAsia="Arial"/>
        </w:rPr>
        <w:t xml:space="preserve">72,6 mėnesiai. Visumoje 148 iš 251 (59 proc.) BI atvejai buvo užfiksuoti DVd grupėje ir 171 iš 247 (69,2 proc.) BI atvejai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grupėje. Rizikos santykis buvo 0,74 (95 proc. PI: 0,59-0,92, P&lt;0,0075). Pagal numatyta statistinę analizę iš anksto numatytas reikšmingumo lygis yra 0,0323, todėl tolimesnius duomenų rinkimas sustabdytas. B</w:t>
      </w:r>
      <w:r w:rsidR="00AB42D5">
        <w:rPr>
          <w:rFonts w:eastAsia="Arial"/>
        </w:rPr>
        <w:t>I</w:t>
      </w:r>
      <w:r>
        <w:rPr>
          <w:rFonts w:eastAsia="Arial"/>
        </w:rPr>
        <w:t xml:space="preserve"> mediana DVd grupėje 496 mėn. (95 proc. PI: 31,2-46,2) ir 38,5 mėn. (95 proc. PI: 31,2-46,2)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grupėje (pav. 6). BI analizė iš anksto numatytuose pogrupiuose taip pat parodė reikšming</w:t>
      </w:r>
      <w:r w:rsidR="00AB42D5">
        <w:rPr>
          <w:rFonts w:eastAsia="Arial"/>
        </w:rPr>
        <w:t>ą</w:t>
      </w:r>
      <w:r>
        <w:rPr>
          <w:rFonts w:eastAsia="Arial"/>
        </w:rPr>
        <w:t xml:space="preserve"> DVd gydymo režimo pranašumą prieš </w:t>
      </w:r>
      <w:proofErr w:type="spellStart"/>
      <w:r>
        <w:rPr>
          <w:rFonts w:eastAsia="Arial"/>
        </w:rPr>
        <w:t>Vd</w:t>
      </w:r>
      <w:proofErr w:type="spellEnd"/>
      <w:r>
        <w:rPr>
          <w:rFonts w:eastAsia="Arial"/>
        </w:rPr>
        <w:t xml:space="preserve"> gydymo režimą.</w:t>
      </w:r>
    </w:p>
    <w:p w14:paraId="6277BACF" w14:textId="128AEDD6" w:rsidR="007B3C8E" w:rsidRPr="00032493" w:rsidRDefault="000F6DA9" w:rsidP="00495461">
      <w:pPr>
        <w:spacing w:line="276" w:lineRule="auto"/>
        <w:ind w:firstLine="720"/>
        <w:jc w:val="both"/>
        <w:rPr>
          <w:rFonts w:eastAsia="Arial"/>
          <w:szCs w:val="22"/>
        </w:rPr>
      </w:pPr>
      <w:r w:rsidRPr="004A2C1B">
        <w:rPr>
          <w:rFonts w:eastAsia="Arial"/>
          <w:szCs w:val="22"/>
        </w:rPr>
        <w:t>Ilgalaikis stabėjimas parod</w:t>
      </w:r>
      <w:r>
        <w:rPr>
          <w:rFonts w:eastAsia="Arial"/>
          <w:szCs w:val="22"/>
        </w:rPr>
        <w:t>ė</w:t>
      </w:r>
      <w:r w:rsidRPr="004A2C1B">
        <w:rPr>
          <w:rFonts w:eastAsia="Arial"/>
          <w:szCs w:val="22"/>
        </w:rPr>
        <w:t>,</w:t>
      </w:r>
      <w:r>
        <w:rPr>
          <w:rFonts w:eastAsia="Arial"/>
          <w:szCs w:val="22"/>
        </w:rPr>
        <w:t xml:space="preserve"> kad DVd vartojimas susijęs su dažniau pasireiškusia  </w:t>
      </w:r>
      <w:proofErr w:type="spellStart"/>
      <w:r>
        <w:rPr>
          <w:rFonts w:eastAsia="Arial"/>
          <w:szCs w:val="22"/>
        </w:rPr>
        <w:t>trombocitopenija</w:t>
      </w:r>
      <w:proofErr w:type="spellEnd"/>
      <w:r>
        <w:rPr>
          <w:rFonts w:eastAsia="Arial"/>
          <w:szCs w:val="22"/>
        </w:rPr>
        <w:t xml:space="preserve">, anemija, </w:t>
      </w:r>
      <w:proofErr w:type="spellStart"/>
      <w:r>
        <w:rPr>
          <w:rFonts w:eastAsia="Arial"/>
          <w:szCs w:val="22"/>
        </w:rPr>
        <w:t>limfopenija</w:t>
      </w:r>
      <w:proofErr w:type="spellEnd"/>
      <w:r>
        <w:rPr>
          <w:rFonts w:eastAsia="Arial"/>
          <w:szCs w:val="22"/>
        </w:rPr>
        <w:t xml:space="preserve"> ir plaučių uždegimu, palyginus su </w:t>
      </w:r>
      <w:proofErr w:type="spellStart"/>
      <w:r>
        <w:rPr>
          <w:rFonts w:eastAsia="Arial"/>
          <w:szCs w:val="22"/>
        </w:rPr>
        <w:t>Vd</w:t>
      </w:r>
      <w:proofErr w:type="spellEnd"/>
      <w:r>
        <w:rPr>
          <w:rFonts w:eastAsia="Arial"/>
          <w:szCs w:val="22"/>
        </w:rPr>
        <w:t xml:space="preserve">. 3 ir 4 laipsnio </w:t>
      </w:r>
      <w:r w:rsidR="00AB42D5">
        <w:rPr>
          <w:rFonts w:eastAsia="Arial"/>
          <w:szCs w:val="22"/>
        </w:rPr>
        <w:t xml:space="preserve">nepageidaujami reakcijos (NR) </w:t>
      </w:r>
      <w:r>
        <w:rPr>
          <w:rFonts w:eastAsia="Arial"/>
          <w:szCs w:val="22"/>
        </w:rPr>
        <w:t>dažniau buvo registruojam</w:t>
      </w:r>
      <w:r w:rsidR="00AB42D5">
        <w:rPr>
          <w:rFonts w:eastAsia="Arial"/>
          <w:szCs w:val="22"/>
        </w:rPr>
        <w:t>os</w:t>
      </w:r>
      <w:r>
        <w:rPr>
          <w:rFonts w:eastAsia="Arial"/>
          <w:szCs w:val="22"/>
        </w:rPr>
        <w:t xml:space="preserve"> pacientams, vartojusiems DVd, nei </w:t>
      </w:r>
      <w:proofErr w:type="spellStart"/>
      <w:r>
        <w:rPr>
          <w:rFonts w:eastAsia="Arial"/>
          <w:szCs w:val="22"/>
        </w:rPr>
        <w:t>Vd</w:t>
      </w:r>
      <w:proofErr w:type="spellEnd"/>
      <w:r>
        <w:rPr>
          <w:rFonts w:eastAsia="Arial"/>
          <w:szCs w:val="22"/>
        </w:rPr>
        <w:t>: 29,6 proc. ir 19,0 proc., atitinkamai (4 lentelė). Sunk</w:t>
      </w:r>
      <w:r w:rsidR="00AB42D5">
        <w:rPr>
          <w:rFonts w:eastAsia="Arial"/>
          <w:szCs w:val="22"/>
        </w:rPr>
        <w:t>io</w:t>
      </w:r>
      <w:r>
        <w:rPr>
          <w:rFonts w:eastAsia="Arial"/>
          <w:szCs w:val="22"/>
        </w:rPr>
        <w:t>s NR susij</w:t>
      </w:r>
      <w:r w:rsidR="00AB42D5">
        <w:rPr>
          <w:rFonts w:eastAsia="Arial"/>
          <w:szCs w:val="22"/>
        </w:rPr>
        <w:t>usios</w:t>
      </w:r>
      <w:r>
        <w:rPr>
          <w:rFonts w:eastAsia="Arial"/>
          <w:szCs w:val="22"/>
        </w:rPr>
        <w:t xml:space="preserve"> buvo </w:t>
      </w:r>
      <w:r w:rsidR="00AB42D5">
        <w:rPr>
          <w:rFonts w:eastAsia="Arial"/>
          <w:szCs w:val="22"/>
        </w:rPr>
        <w:t xml:space="preserve">nustatytos </w:t>
      </w:r>
      <w:r>
        <w:rPr>
          <w:rFonts w:eastAsia="Arial"/>
          <w:szCs w:val="22"/>
        </w:rPr>
        <w:t xml:space="preserve">55,1 proc. pacientų DVd grupėje ir 34,2 proc. pacientų </w:t>
      </w:r>
      <w:proofErr w:type="spellStart"/>
      <w:r>
        <w:rPr>
          <w:rFonts w:eastAsia="Arial"/>
          <w:szCs w:val="22"/>
        </w:rPr>
        <w:t>Vd</w:t>
      </w:r>
      <w:proofErr w:type="spellEnd"/>
      <w:r>
        <w:rPr>
          <w:rFonts w:eastAsia="Arial"/>
          <w:szCs w:val="22"/>
        </w:rPr>
        <w:t xml:space="preserve"> grupėje. Pažymėtina, kad pacientų, nutraukusiu gydymą tyrimo metu dėl infekcijos, dalis ab</w:t>
      </w:r>
      <w:r w:rsidR="00AB42D5">
        <w:rPr>
          <w:rFonts w:eastAsia="Arial"/>
          <w:szCs w:val="22"/>
        </w:rPr>
        <w:t>i</w:t>
      </w:r>
      <w:r>
        <w:rPr>
          <w:rFonts w:eastAsia="Arial"/>
          <w:szCs w:val="22"/>
        </w:rPr>
        <w:t xml:space="preserve">ejose grupėse buvo panaši: 2,9 proc. DVd ir 2,1 proc. </w:t>
      </w:r>
      <w:proofErr w:type="spellStart"/>
      <w:r>
        <w:rPr>
          <w:rFonts w:eastAsia="Arial"/>
          <w:szCs w:val="22"/>
        </w:rPr>
        <w:t>Vd</w:t>
      </w:r>
      <w:proofErr w:type="spellEnd"/>
      <w:r>
        <w:rPr>
          <w:rFonts w:eastAsia="Arial"/>
          <w:szCs w:val="22"/>
        </w:rPr>
        <w:t>.</w:t>
      </w:r>
      <w:r w:rsidR="00495461" w:rsidDel="00495461">
        <w:rPr>
          <w:rFonts w:eastAsia="Arial"/>
          <w:szCs w:val="22"/>
        </w:rPr>
        <w:t xml:space="preserve"> </w:t>
      </w:r>
    </w:p>
    <w:p w14:paraId="21A4E227" w14:textId="77777777" w:rsidR="001D69BF" w:rsidRDefault="001D69BF" w:rsidP="000F6DA9">
      <w:pPr>
        <w:tabs>
          <w:tab w:val="left" w:pos="426"/>
        </w:tabs>
        <w:jc w:val="both"/>
        <w:rPr>
          <w:i/>
          <w:color w:val="000000"/>
          <w:lang w:eastAsia="lt-LT"/>
        </w:rPr>
      </w:pPr>
    </w:p>
    <w:p w14:paraId="2A4325FE" w14:textId="11DE8BC6" w:rsidR="000F6DA9" w:rsidRPr="008043C2" w:rsidRDefault="000F6DA9" w:rsidP="000F6DA9">
      <w:pPr>
        <w:tabs>
          <w:tab w:val="left" w:pos="426"/>
        </w:tabs>
        <w:jc w:val="both"/>
        <w:rPr>
          <w:i/>
          <w:color w:val="000000"/>
          <w:lang w:eastAsia="lt-LT"/>
        </w:rPr>
      </w:pPr>
      <w:r w:rsidRPr="008043C2">
        <w:rPr>
          <w:i/>
          <w:color w:val="000000"/>
          <w:lang w:eastAsia="lt-LT"/>
        </w:rPr>
        <w:t>Netiesioginis palyginimas</w:t>
      </w:r>
    </w:p>
    <w:p w14:paraId="6D1546BB" w14:textId="7BDBAC82" w:rsidR="000F6DA9" w:rsidRDefault="000F6DA9" w:rsidP="000F6DA9">
      <w:pPr>
        <w:tabs>
          <w:tab w:val="left" w:pos="426"/>
        </w:tabs>
        <w:jc w:val="both"/>
        <w:rPr>
          <w:rFonts w:eastAsia="Arial"/>
        </w:rPr>
      </w:pPr>
      <w:r>
        <w:tab/>
        <w:t xml:space="preserve">Vertinimui buvo atrinkti klinikiniai tyrimai, kuriuose buvo pacientų grupės su DVd gydymo režimu arba </w:t>
      </w:r>
      <w:proofErr w:type="spellStart"/>
      <w:r>
        <w:t>Kd</w:t>
      </w:r>
      <w:proofErr w:type="spellEnd"/>
      <w:r>
        <w:t xml:space="preserve"> gydymo režimu: CASTOR (DVd), ENDEAVOR (</w:t>
      </w:r>
      <w:proofErr w:type="spellStart"/>
      <w:r>
        <w:t>karfilzomibo</w:t>
      </w:r>
      <w:proofErr w:type="spellEnd"/>
      <w:r>
        <w:t xml:space="preserve"> ir </w:t>
      </w:r>
      <w:proofErr w:type="spellStart"/>
      <w:r>
        <w:t>deksametazono</w:t>
      </w:r>
      <w:proofErr w:type="spellEnd"/>
      <w:r>
        <w:t xml:space="preserve"> </w:t>
      </w:r>
      <w:r>
        <w:lastRenderedPageBreak/>
        <w:t xml:space="preserve">derinys, </w:t>
      </w:r>
      <w:proofErr w:type="spellStart"/>
      <w:r>
        <w:t>Kd</w:t>
      </w:r>
      <w:proofErr w:type="spellEnd"/>
      <w:r>
        <w:t>); CANDOR (</w:t>
      </w:r>
      <w:proofErr w:type="spellStart"/>
      <w:r>
        <w:t>Kd</w:t>
      </w:r>
      <w:proofErr w:type="spellEnd"/>
      <w:r>
        <w:t>) ir IKEMA (</w:t>
      </w:r>
      <w:proofErr w:type="spellStart"/>
      <w:r>
        <w:t>Kd</w:t>
      </w:r>
      <w:proofErr w:type="spellEnd"/>
      <w:r>
        <w:t xml:space="preserve">). </w:t>
      </w:r>
      <w:r w:rsidRPr="008043C2">
        <w:rPr>
          <w:color w:val="000000"/>
          <w:lang w:eastAsia="lt-LT"/>
        </w:rPr>
        <w:t xml:space="preserve"> </w:t>
      </w:r>
      <w:r w:rsidRPr="00A95FBE">
        <w:rPr>
          <w:rFonts w:eastAsia="Arial"/>
        </w:rPr>
        <w:t>Atri</w:t>
      </w:r>
      <w:r w:rsidR="00017272" w:rsidRPr="006F5B4B">
        <w:rPr>
          <w:rFonts w:eastAsia="Arial"/>
        </w:rPr>
        <w:t>n</w:t>
      </w:r>
      <w:r w:rsidRPr="006F5B4B">
        <w:rPr>
          <w:rFonts w:eastAsia="Arial"/>
        </w:rPr>
        <w:t>k</w:t>
      </w:r>
      <w:r w:rsidRPr="00A95FBE">
        <w:rPr>
          <w:rFonts w:eastAsia="Arial"/>
        </w:rPr>
        <w:t xml:space="preserve">tuose tyrimuose </w:t>
      </w:r>
      <w:r>
        <w:rPr>
          <w:rFonts w:eastAsia="Arial"/>
        </w:rPr>
        <w:t>pirminės ir antrinės baigtys buvo panašios: visuose tyrimuose IBLP buvo pirminė baigtis, o BI – antrinė baigtis.</w:t>
      </w:r>
    </w:p>
    <w:p w14:paraId="64475C62" w14:textId="6F9B174F" w:rsidR="000F6DA9" w:rsidRPr="002100E4" w:rsidRDefault="000F6DA9" w:rsidP="000F6DA9">
      <w:pPr>
        <w:tabs>
          <w:tab w:val="left" w:pos="426"/>
        </w:tabs>
        <w:jc w:val="both"/>
        <w:rPr>
          <w:rFonts w:eastAsia="Arial"/>
          <w:u w:val="single"/>
        </w:rPr>
      </w:pPr>
      <w:r w:rsidRPr="002100E4">
        <w:rPr>
          <w:rFonts w:eastAsia="Arial"/>
          <w:u w:val="single"/>
        </w:rPr>
        <w:t>Pirminė baigtis</w:t>
      </w:r>
    </w:p>
    <w:p w14:paraId="20AFFD89" w14:textId="728609A8" w:rsidR="000F6DA9" w:rsidRDefault="000F6DA9" w:rsidP="000F6DA9">
      <w:pPr>
        <w:tabs>
          <w:tab w:val="left" w:pos="492"/>
        </w:tabs>
        <w:spacing w:line="276" w:lineRule="auto"/>
        <w:jc w:val="both"/>
        <w:outlineLvl w:val="1"/>
        <w:rPr>
          <w:rFonts w:eastAsia="Arial"/>
        </w:rPr>
      </w:pPr>
      <w:r>
        <w:rPr>
          <w:rFonts w:eastAsia="Arial"/>
        </w:rPr>
        <w:tab/>
        <w:t xml:space="preserve">Vertinant IBLP, po vienerių metų stebėjimo pagal atliktą analizę RS buvo </w:t>
      </w:r>
      <w:r w:rsidR="001C01F9">
        <w:rPr>
          <w:rFonts w:eastAsia="Arial"/>
        </w:rPr>
        <w:t>&lt;...&gt;</w:t>
      </w:r>
      <w:r>
        <w:rPr>
          <w:rFonts w:eastAsia="Arial"/>
        </w:rPr>
        <w:t xml:space="preserve"> DVd </w:t>
      </w:r>
      <w:r w:rsidRPr="00B711DC">
        <w:rPr>
          <w:rFonts w:eastAsia="Arial"/>
        </w:rPr>
        <w:t xml:space="preserve">derinio naudai, palyginus su </w:t>
      </w:r>
      <w:proofErr w:type="spellStart"/>
      <w:r w:rsidRPr="00B711DC">
        <w:rPr>
          <w:rFonts w:eastAsia="Arial"/>
        </w:rPr>
        <w:t>Kd</w:t>
      </w:r>
      <w:proofErr w:type="spellEnd"/>
      <w:r w:rsidRPr="00B711DC">
        <w:rPr>
          <w:rFonts w:eastAsia="Arial"/>
        </w:rPr>
        <w:t xml:space="preserve"> režimu </w:t>
      </w:r>
      <w:r w:rsidR="00A96465">
        <w:rPr>
          <w:rFonts w:eastAsia="Arial"/>
        </w:rPr>
        <w:t>&lt;...&gt;</w:t>
      </w:r>
      <w:r w:rsidRPr="00B711DC">
        <w:rPr>
          <w:rFonts w:eastAsia="Arial"/>
        </w:rPr>
        <w:t xml:space="preserve"> Šis pranašumas IBLP atžv</w:t>
      </w:r>
      <w:r w:rsidR="00A96465">
        <w:rPr>
          <w:rFonts w:eastAsia="Arial"/>
        </w:rPr>
        <w:t>i</w:t>
      </w:r>
      <w:r w:rsidRPr="00B711DC">
        <w:rPr>
          <w:rFonts w:eastAsia="Arial"/>
        </w:rPr>
        <w:t xml:space="preserve">lgiu išliko ilgėjant stebėjimo laikui: 26 mėnesių stebėjimas pagal CASTOR tyrimą </w:t>
      </w:r>
      <w:r w:rsidR="00A96465">
        <w:rPr>
          <w:rFonts w:eastAsia="Arial"/>
        </w:rPr>
        <w:t>&lt;...&gt;</w:t>
      </w:r>
      <w:r w:rsidRPr="00B711DC">
        <w:rPr>
          <w:rFonts w:eastAsia="Arial"/>
        </w:rPr>
        <w:t xml:space="preserve"> ir 72 mėnesių </w:t>
      </w:r>
      <w:r w:rsidR="00A96465">
        <w:rPr>
          <w:rFonts w:eastAsia="Arial"/>
          <w:lang w:val="en-US"/>
        </w:rPr>
        <w:t>&lt;…&gt;</w:t>
      </w:r>
    </w:p>
    <w:p w14:paraId="07D1DA49" w14:textId="476CA243" w:rsidR="00D07EBB" w:rsidRPr="00A96465" w:rsidRDefault="00D07EBB" w:rsidP="000F6DA9">
      <w:pPr>
        <w:tabs>
          <w:tab w:val="left" w:pos="492"/>
        </w:tabs>
        <w:spacing w:line="276" w:lineRule="auto"/>
        <w:jc w:val="both"/>
        <w:outlineLvl w:val="1"/>
        <w:rPr>
          <w:rFonts w:eastAsia="Arial"/>
          <w:u w:val="single"/>
        </w:rPr>
      </w:pPr>
      <w:r w:rsidRPr="00A96465">
        <w:rPr>
          <w:rFonts w:eastAsia="Arial"/>
          <w:u w:val="single"/>
        </w:rPr>
        <w:t>Antrinė baigtis</w:t>
      </w:r>
    </w:p>
    <w:p w14:paraId="1A9E33C2" w14:textId="5F5BD273" w:rsidR="000F6DA9" w:rsidRDefault="000F6DA9" w:rsidP="000F6DA9">
      <w:pPr>
        <w:tabs>
          <w:tab w:val="left" w:pos="492"/>
        </w:tabs>
        <w:spacing w:line="276" w:lineRule="auto"/>
        <w:jc w:val="both"/>
        <w:outlineLvl w:val="1"/>
        <w:rPr>
          <w:rFonts w:eastAsia="Arial"/>
        </w:rPr>
      </w:pPr>
      <w:r>
        <w:rPr>
          <w:rFonts w:eastAsia="Arial"/>
        </w:rPr>
        <w:tab/>
        <w:t xml:space="preserve">Vertinant BI, po vienerių metų stebėjimo pagal atliktą analizę RS buvo </w:t>
      </w:r>
      <w:r w:rsidR="001C01F9">
        <w:rPr>
          <w:rFonts w:eastAsia="Arial"/>
        </w:rPr>
        <w:t>&lt;...&gt;</w:t>
      </w:r>
      <w:r>
        <w:rPr>
          <w:rFonts w:eastAsia="Arial"/>
        </w:rPr>
        <w:t xml:space="preserve"> DVd </w:t>
      </w:r>
      <w:r w:rsidRPr="00B711DC">
        <w:rPr>
          <w:rFonts w:eastAsia="Arial"/>
        </w:rPr>
        <w:t xml:space="preserve">derinio naudai, palyginus su </w:t>
      </w:r>
      <w:proofErr w:type="spellStart"/>
      <w:r w:rsidRPr="00B711DC">
        <w:rPr>
          <w:rFonts w:eastAsia="Arial"/>
        </w:rPr>
        <w:t>Kd</w:t>
      </w:r>
      <w:proofErr w:type="spellEnd"/>
      <w:r w:rsidRPr="00B711DC">
        <w:rPr>
          <w:rFonts w:eastAsia="Arial"/>
        </w:rPr>
        <w:t xml:space="preserve"> režimu</w:t>
      </w:r>
      <w:r w:rsidR="00A96465">
        <w:rPr>
          <w:rFonts w:eastAsia="Arial"/>
        </w:rPr>
        <w:t xml:space="preserve"> &lt;...&gt;</w:t>
      </w:r>
      <w:r w:rsidRPr="00B711DC">
        <w:rPr>
          <w:rFonts w:eastAsia="Arial"/>
        </w:rPr>
        <w:t xml:space="preserve"> Šis pranašumas </w:t>
      </w:r>
      <w:r>
        <w:rPr>
          <w:rFonts w:eastAsia="Arial"/>
        </w:rPr>
        <w:t>BI atžv</w:t>
      </w:r>
      <w:r w:rsidR="00A96465">
        <w:rPr>
          <w:rFonts w:eastAsia="Arial"/>
        </w:rPr>
        <w:t>i</w:t>
      </w:r>
      <w:r>
        <w:rPr>
          <w:rFonts w:eastAsia="Arial"/>
        </w:rPr>
        <w:t xml:space="preserve">lgiu nėra įrodytas, todėl tikėtina, kad DVd yra toks pats efektyvus kaip </w:t>
      </w:r>
      <w:proofErr w:type="spellStart"/>
      <w:r>
        <w:rPr>
          <w:rFonts w:eastAsia="Arial"/>
        </w:rPr>
        <w:t>Kd</w:t>
      </w:r>
      <w:proofErr w:type="spellEnd"/>
      <w:r>
        <w:rPr>
          <w:rFonts w:eastAsia="Arial"/>
        </w:rPr>
        <w:t xml:space="preserve">. Vertinant ilgesnius stebėjimo laikotarpius DVd ir </w:t>
      </w:r>
      <w:proofErr w:type="spellStart"/>
      <w:r>
        <w:rPr>
          <w:rFonts w:eastAsia="Arial"/>
        </w:rPr>
        <w:t>Kd</w:t>
      </w:r>
      <w:proofErr w:type="spellEnd"/>
      <w:r>
        <w:rPr>
          <w:rFonts w:eastAsia="Arial"/>
        </w:rPr>
        <w:t xml:space="preserve"> efektyvumas BI atžv</w:t>
      </w:r>
      <w:r w:rsidR="00A96465">
        <w:rPr>
          <w:rFonts w:eastAsia="Arial"/>
        </w:rPr>
        <w:t>i</w:t>
      </w:r>
      <w:r>
        <w:rPr>
          <w:rFonts w:eastAsia="Arial"/>
        </w:rPr>
        <w:t>lgiu lieka panašus.</w:t>
      </w:r>
    </w:p>
    <w:p w14:paraId="42345BCA" w14:textId="67AD1293" w:rsidR="000F6DA9" w:rsidRDefault="000F6DA9" w:rsidP="000F6DA9">
      <w:pPr>
        <w:tabs>
          <w:tab w:val="left" w:pos="492"/>
        </w:tabs>
        <w:spacing w:line="276" w:lineRule="auto"/>
        <w:jc w:val="both"/>
        <w:outlineLvl w:val="1"/>
      </w:pPr>
      <w:r>
        <w:rPr>
          <w:rFonts w:eastAsia="Arial"/>
        </w:rPr>
        <w:tab/>
      </w:r>
      <w:r w:rsidRPr="00FC4A43">
        <w:rPr>
          <w:rFonts w:eastAsia="Arial"/>
        </w:rPr>
        <w:t xml:space="preserve">Apibendrinant, </w:t>
      </w:r>
      <w:r w:rsidR="00D07EBB" w:rsidRPr="00FC4A43">
        <w:rPr>
          <w:rFonts w:eastAsia="Arial"/>
        </w:rPr>
        <w:t xml:space="preserve">daratumumabo, bortezomibo ir </w:t>
      </w:r>
      <w:proofErr w:type="spellStart"/>
      <w:r w:rsidR="00D07EBB" w:rsidRPr="00FC4A43">
        <w:rPr>
          <w:rFonts w:eastAsia="Arial"/>
        </w:rPr>
        <w:t>deksametazono</w:t>
      </w:r>
      <w:proofErr w:type="spellEnd"/>
      <w:r w:rsidR="00D07EBB" w:rsidRPr="00FC4A43">
        <w:rPr>
          <w:rFonts w:eastAsia="Arial"/>
        </w:rPr>
        <w:t xml:space="preserve"> derinio veiksmingumas </w:t>
      </w:r>
      <w:r w:rsidR="00923D12" w:rsidRPr="00FC4A43">
        <w:rPr>
          <w:rFonts w:eastAsia="Arial"/>
        </w:rPr>
        <w:t>grindžiamas</w:t>
      </w:r>
      <w:r w:rsidR="00D07EBB" w:rsidRPr="00FC4A43">
        <w:rPr>
          <w:rFonts w:eastAsia="Arial"/>
        </w:rPr>
        <w:t xml:space="preserve"> netiesioginiu palyginimu su </w:t>
      </w:r>
      <w:proofErr w:type="spellStart"/>
      <w:r w:rsidR="00923D12" w:rsidRPr="00FC4A43">
        <w:rPr>
          <w:rFonts w:eastAsia="Arial"/>
        </w:rPr>
        <w:t>karfilozomibu</w:t>
      </w:r>
      <w:proofErr w:type="spellEnd"/>
      <w:r w:rsidR="00923D12" w:rsidRPr="00FC4A43">
        <w:rPr>
          <w:rFonts w:eastAsia="Arial"/>
        </w:rPr>
        <w:t xml:space="preserve"> ir </w:t>
      </w:r>
      <w:proofErr w:type="spellStart"/>
      <w:r w:rsidR="00923D12" w:rsidRPr="00FC4A43">
        <w:rPr>
          <w:rFonts w:eastAsia="Arial"/>
        </w:rPr>
        <w:t>deksametazonu</w:t>
      </w:r>
      <w:proofErr w:type="spellEnd"/>
      <w:r w:rsidR="00923D12" w:rsidRPr="00FC4A43">
        <w:rPr>
          <w:rFonts w:eastAsia="Arial"/>
        </w:rPr>
        <w:t>. P</w:t>
      </w:r>
      <w:r w:rsidRPr="00FC4A43">
        <w:rPr>
          <w:rFonts w:eastAsia="Arial"/>
        </w:rPr>
        <w:t xml:space="preserve">ateikti netiesioginio </w:t>
      </w:r>
      <w:r w:rsidR="00D07EBB" w:rsidRPr="00FC4A43">
        <w:rPr>
          <w:rFonts w:eastAsia="Arial"/>
        </w:rPr>
        <w:t xml:space="preserve">palyginamosios analizės </w:t>
      </w:r>
      <w:r w:rsidRPr="00FC4A43">
        <w:rPr>
          <w:rFonts w:eastAsia="Arial"/>
        </w:rPr>
        <w:t xml:space="preserve">rezultatai rodo, kad daratumumabo, bortezomibo ir </w:t>
      </w:r>
      <w:proofErr w:type="spellStart"/>
      <w:r w:rsidRPr="00FC4A43">
        <w:rPr>
          <w:rFonts w:eastAsia="Arial"/>
        </w:rPr>
        <w:t>deksametazono</w:t>
      </w:r>
      <w:proofErr w:type="spellEnd"/>
      <w:r w:rsidRPr="00FC4A43">
        <w:rPr>
          <w:rFonts w:eastAsia="Arial"/>
        </w:rPr>
        <w:t xml:space="preserve"> derinio palyginamasis </w:t>
      </w:r>
      <w:r w:rsidR="00A27150" w:rsidRPr="00FC4A43">
        <w:rPr>
          <w:rFonts w:eastAsia="Arial"/>
        </w:rPr>
        <w:t xml:space="preserve">veiksmingumas </w:t>
      </w:r>
      <w:r w:rsidRPr="00FC4A43">
        <w:rPr>
          <w:rFonts w:eastAsia="Arial"/>
        </w:rPr>
        <w:t xml:space="preserve">tikėtina nesiskiria nuo </w:t>
      </w:r>
      <w:proofErr w:type="spellStart"/>
      <w:r w:rsidRPr="00FC4A43">
        <w:rPr>
          <w:rFonts w:eastAsia="Arial"/>
        </w:rPr>
        <w:t>k</w:t>
      </w:r>
      <w:r w:rsidRPr="00FC4A43">
        <w:rPr>
          <w:bCs/>
          <w:color w:val="000000" w:themeColor="text1"/>
          <w:lang w:eastAsia="lt-LT"/>
        </w:rPr>
        <w:t>arfilzomibo</w:t>
      </w:r>
      <w:proofErr w:type="spellEnd"/>
      <w:r w:rsidRPr="00FC4A43">
        <w:rPr>
          <w:bCs/>
          <w:color w:val="000000" w:themeColor="text1"/>
          <w:lang w:eastAsia="lt-LT"/>
        </w:rPr>
        <w:t xml:space="preserve"> ir </w:t>
      </w:r>
      <w:proofErr w:type="spellStart"/>
      <w:r w:rsidRPr="00FC4A43">
        <w:rPr>
          <w:bCs/>
          <w:color w:val="000000" w:themeColor="text1"/>
          <w:lang w:eastAsia="lt-LT"/>
        </w:rPr>
        <w:t>deksametazono</w:t>
      </w:r>
      <w:proofErr w:type="spellEnd"/>
      <w:r w:rsidRPr="00FC4A43">
        <w:rPr>
          <w:bCs/>
          <w:color w:val="000000" w:themeColor="text1"/>
          <w:lang w:eastAsia="lt-LT"/>
        </w:rPr>
        <w:t xml:space="preserve"> derinio efektyvumo</w:t>
      </w:r>
      <w:r w:rsidR="00F85E5F" w:rsidRPr="00FC4A43">
        <w:rPr>
          <w:bCs/>
          <w:color w:val="000000" w:themeColor="text1"/>
          <w:lang w:eastAsia="lt-LT"/>
        </w:rPr>
        <w:t>, todėl</w:t>
      </w:r>
      <w:r w:rsidRPr="00FC4A43">
        <w:rPr>
          <w:bCs/>
          <w:color w:val="000000" w:themeColor="text1"/>
          <w:lang w:eastAsia="lt-LT"/>
        </w:rPr>
        <w:t xml:space="preserve"> DVd klinikinis veiksmingumas gali būti įvertintas kaip </w:t>
      </w:r>
      <w:r w:rsidRPr="00FC4A43">
        <w:t>pagrindžiantis nesiskiriančios naudos pacientų sveikatai sukūrimą, lyginant su įprasta klinikine praktika.</w:t>
      </w:r>
      <w:r>
        <w:t xml:space="preserve"> </w:t>
      </w:r>
    </w:p>
    <w:p w14:paraId="25F89291" w14:textId="5C45C8FC" w:rsidR="00D4485B" w:rsidRPr="00E33EFF" w:rsidRDefault="00D4485B" w:rsidP="00A93AA6">
      <w:pPr>
        <w:pStyle w:val="ListParagraph"/>
        <w:tabs>
          <w:tab w:val="left" w:pos="426"/>
        </w:tabs>
        <w:ind w:left="0"/>
        <w:rPr>
          <w:b/>
          <w:bCs/>
          <w:caps/>
        </w:rPr>
      </w:pPr>
    </w:p>
    <w:p w14:paraId="7DE09EB5" w14:textId="69E9DD74" w:rsidR="00E03C3F" w:rsidRPr="00E33EFF" w:rsidRDefault="00CC7832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ekonominio vertinimo </w:t>
      </w:r>
      <w:r w:rsidR="002F0E4F" w:rsidRPr="00E33EFF">
        <w:rPr>
          <w:b/>
          <w:bCs/>
          <w:caps/>
        </w:rPr>
        <w:t>apibendrinimas</w:t>
      </w:r>
    </w:p>
    <w:p w14:paraId="1A900598" w14:textId="2B706A73" w:rsidR="00C62B36" w:rsidRDefault="00C62B36" w:rsidP="00A93AA6">
      <w:pPr>
        <w:tabs>
          <w:tab w:val="left" w:pos="426"/>
        </w:tabs>
        <w:rPr>
          <w:i/>
          <w:color w:val="00B050"/>
          <w:sz w:val="22"/>
          <w:szCs w:val="22"/>
        </w:rPr>
      </w:pPr>
    </w:p>
    <w:p w14:paraId="0F87A63B" w14:textId="77777777" w:rsidR="003D7795" w:rsidRPr="00EB5353" w:rsidRDefault="00B6585A" w:rsidP="003D7795">
      <w:pPr>
        <w:spacing w:line="276" w:lineRule="auto"/>
        <w:ind w:firstLine="540"/>
        <w:jc w:val="both"/>
        <w:rPr>
          <w:rFonts w:eastAsia="Arial"/>
        </w:rPr>
      </w:pPr>
      <w:r>
        <w:rPr>
          <w:lang w:eastAsia="lt-LT"/>
        </w:rPr>
        <w:tab/>
      </w:r>
      <w:r w:rsidR="003D7795">
        <w:t>Daratumumabo</w:t>
      </w:r>
      <w:r w:rsidR="003D7795" w:rsidRPr="0066432C">
        <w:t xml:space="preserve"> (Darzalex) </w:t>
      </w:r>
      <w:r w:rsidR="003D7795">
        <w:t xml:space="preserve">paraiška kompensavimui teikiama terapinės </w:t>
      </w:r>
      <w:r w:rsidR="003D7795" w:rsidRPr="002217A0">
        <w:rPr>
          <w:rFonts w:eastAsia="Arial"/>
        </w:rPr>
        <w:t>indikacijos dali</w:t>
      </w:r>
      <w:r w:rsidR="003D7795">
        <w:rPr>
          <w:rFonts w:eastAsia="Arial"/>
        </w:rPr>
        <w:t>ai</w:t>
      </w:r>
      <w:r w:rsidR="003D7795" w:rsidRPr="002217A0">
        <w:rPr>
          <w:rFonts w:eastAsia="Arial"/>
        </w:rPr>
        <w:t xml:space="preserve"> </w:t>
      </w:r>
      <w:r w:rsidR="003D7795">
        <w:rPr>
          <w:rFonts w:eastAsia="Arial"/>
        </w:rPr>
        <w:t>–</w:t>
      </w:r>
      <w:r w:rsidR="003D7795" w:rsidRPr="002217A0">
        <w:rPr>
          <w:rFonts w:eastAsia="Arial"/>
        </w:rPr>
        <w:t xml:space="preserve"> </w:t>
      </w:r>
      <w:r w:rsidR="003D7795">
        <w:rPr>
          <w:rFonts w:eastAsia="Arial"/>
        </w:rPr>
        <w:t>„</w:t>
      </w:r>
      <w:r w:rsidR="003D7795" w:rsidRPr="002217A0">
        <w:rPr>
          <w:rFonts w:eastAsia="Arial"/>
        </w:rPr>
        <w:t xml:space="preserve">derinant su </w:t>
      </w:r>
      <w:proofErr w:type="spellStart"/>
      <w:r w:rsidR="003D7795" w:rsidRPr="002217A0">
        <w:rPr>
          <w:rFonts w:eastAsia="Arial"/>
        </w:rPr>
        <w:t>bortezomibu</w:t>
      </w:r>
      <w:proofErr w:type="spellEnd"/>
      <w:r w:rsidR="003D7795" w:rsidRPr="002217A0">
        <w:rPr>
          <w:rFonts w:eastAsia="Arial"/>
        </w:rPr>
        <w:t xml:space="preserve"> ir </w:t>
      </w:r>
      <w:proofErr w:type="spellStart"/>
      <w:r w:rsidR="003D7795" w:rsidRPr="002217A0">
        <w:rPr>
          <w:rFonts w:eastAsia="Arial"/>
        </w:rPr>
        <w:t>deksametazonu</w:t>
      </w:r>
      <w:proofErr w:type="spellEnd"/>
      <w:r w:rsidR="003D7795" w:rsidRPr="002217A0">
        <w:rPr>
          <w:rFonts w:eastAsia="Arial"/>
        </w:rPr>
        <w:t xml:space="preserve"> gydymui daugybine mieloma</w:t>
      </w:r>
      <w:r w:rsidR="003D7795">
        <w:rPr>
          <w:rFonts w:eastAsia="Arial"/>
        </w:rPr>
        <w:t xml:space="preserve"> (DM)</w:t>
      </w:r>
      <w:r w:rsidR="003D7795" w:rsidRPr="002217A0">
        <w:rPr>
          <w:rFonts w:eastAsia="Arial"/>
        </w:rPr>
        <w:t xml:space="preserve"> sergantiems suaugusiems</w:t>
      </w:r>
      <w:r w:rsidR="003D7795" w:rsidRPr="00D93134">
        <w:rPr>
          <w:rFonts w:eastAsia="Arial"/>
        </w:rPr>
        <w:t xml:space="preserve"> pacientams, kuriems anksčiau buvo taikyta bent viena terapija</w:t>
      </w:r>
      <w:r w:rsidR="003D7795">
        <w:rPr>
          <w:rFonts w:eastAsia="Arial"/>
        </w:rPr>
        <w:t>“</w:t>
      </w:r>
      <w:r w:rsidR="003D7795" w:rsidRPr="000C2609">
        <w:rPr>
          <w:rFonts w:eastAsia="Arial"/>
        </w:rPr>
        <w:t>.</w:t>
      </w:r>
      <w:r w:rsidR="003D7795">
        <w:rPr>
          <w:rFonts w:eastAsia="Arial"/>
        </w:rPr>
        <w:t xml:space="preserve"> Ekonominė analizė atliekama iš kaštų mažinimo perspektyvos, modeliavimas nėra taikomas, todėl paciento lygmens duomenys ekonominėje analizėje neįtraukiami. Laikoma, kad</w:t>
      </w:r>
      <w:r w:rsidR="003D7795" w:rsidRPr="00E86F07">
        <w:t xml:space="preserve"> </w:t>
      </w:r>
      <w:r w:rsidR="003D7795">
        <w:t>daratumumabas bus skiriamas pacientams, kurie atitinka indikacijai teikiamą populiaciją pagal klinikinėje dalyje pateiktus netiesioginio palyginimo duomenis.</w:t>
      </w:r>
      <w:r w:rsidR="003D7795" w:rsidRPr="00954EE9">
        <w:rPr>
          <w:i/>
          <w:lang w:eastAsia="lt-LT"/>
        </w:rPr>
        <w:t xml:space="preserve"> </w:t>
      </w:r>
      <w:r w:rsidR="003D7795" w:rsidRPr="00EB5353">
        <w:rPr>
          <w:lang w:eastAsia="lt-LT"/>
        </w:rPr>
        <w:t xml:space="preserve">Ekonominėje analizėje </w:t>
      </w:r>
      <w:r w:rsidR="003D7795" w:rsidRPr="00EB5353">
        <w:rPr>
          <w:rFonts w:eastAsia="Arial"/>
        </w:rPr>
        <w:t xml:space="preserve">daratumumabas derinyje su </w:t>
      </w:r>
      <w:proofErr w:type="spellStart"/>
      <w:r w:rsidR="003D7795" w:rsidRPr="00EB5353">
        <w:rPr>
          <w:rFonts w:eastAsia="Arial"/>
        </w:rPr>
        <w:t>bortezomibu</w:t>
      </w:r>
      <w:proofErr w:type="spellEnd"/>
      <w:r w:rsidR="003D7795" w:rsidRPr="00EB5353">
        <w:rPr>
          <w:rFonts w:eastAsia="Arial"/>
        </w:rPr>
        <w:t xml:space="preserve"> ir </w:t>
      </w:r>
      <w:proofErr w:type="spellStart"/>
      <w:r w:rsidR="003D7795" w:rsidRPr="00EB5353">
        <w:rPr>
          <w:rFonts w:eastAsia="Arial"/>
        </w:rPr>
        <w:t>deksametazonu</w:t>
      </w:r>
      <w:proofErr w:type="spellEnd"/>
      <w:r w:rsidR="003D7795" w:rsidRPr="00EB5353">
        <w:rPr>
          <w:rFonts w:eastAsia="Arial"/>
        </w:rPr>
        <w:t xml:space="preserve"> (DVd) </w:t>
      </w:r>
      <w:r w:rsidR="003D7795" w:rsidRPr="00EB5353">
        <w:rPr>
          <w:lang w:eastAsia="lt-LT"/>
        </w:rPr>
        <w:t xml:space="preserve"> lyginamas su </w:t>
      </w:r>
      <w:proofErr w:type="spellStart"/>
      <w:r w:rsidR="003D7795" w:rsidRPr="00EB5353">
        <w:rPr>
          <w:lang w:eastAsia="lt-LT"/>
        </w:rPr>
        <w:t>karfilzomibo</w:t>
      </w:r>
      <w:proofErr w:type="spellEnd"/>
      <w:r w:rsidR="003D7795" w:rsidRPr="00EB5353">
        <w:rPr>
          <w:lang w:eastAsia="lt-LT"/>
        </w:rPr>
        <w:t xml:space="preserve"> </w:t>
      </w:r>
      <w:r w:rsidR="003D7795" w:rsidRPr="00EB5353">
        <w:rPr>
          <w:rFonts w:eastAsia="Arial"/>
        </w:rPr>
        <w:t xml:space="preserve">ir </w:t>
      </w:r>
      <w:proofErr w:type="spellStart"/>
      <w:r w:rsidR="003D7795" w:rsidRPr="00EB5353">
        <w:rPr>
          <w:rFonts w:eastAsia="Arial"/>
        </w:rPr>
        <w:t>dexametazono</w:t>
      </w:r>
      <w:proofErr w:type="spellEnd"/>
      <w:r w:rsidR="003D7795" w:rsidRPr="00EB5353">
        <w:rPr>
          <w:rFonts w:eastAsia="Arial"/>
        </w:rPr>
        <w:t xml:space="preserve"> </w:t>
      </w:r>
      <w:r w:rsidR="003D7795" w:rsidRPr="00EB5353">
        <w:t>deriniu (</w:t>
      </w:r>
      <w:proofErr w:type="spellStart"/>
      <w:r w:rsidR="003D7795" w:rsidRPr="00EB5353">
        <w:t>Kd</w:t>
      </w:r>
      <w:proofErr w:type="spellEnd"/>
      <w:r w:rsidR="003D7795" w:rsidRPr="00EB5353">
        <w:t>).</w:t>
      </w:r>
      <w:r w:rsidR="003D7795" w:rsidRPr="00EB5353">
        <w:rPr>
          <w:lang w:eastAsia="lt-LT"/>
        </w:rPr>
        <w:t xml:space="preserve"> Laikoma, kad palyginamasis atitinka Lietuvos klinikinę praktiką ir V</w:t>
      </w:r>
      <w:r w:rsidR="003D7795" w:rsidRPr="00EB5353">
        <w:rPr>
          <w:bCs/>
        </w:rPr>
        <w:t xml:space="preserve">aistinių preparatų ir medicinos pagalbos priemonių įrašymo į kompensavimo sąrašus tvarkos aprašo </w:t>
      </w:r>
      <w:r w:rsidR="003D7795" w:rsidRPr="00EB5353">
        <w:rPr>
          <w:bCs/>
          <w:lang w:eastAsia="lt-LT"/>
        </w:rPr>
        <w:t xml:space="preserve">116 - 119 punktus ir </w:t>
      </w:r>
      <w:r w:rsidR="003D7795" w:rsidRPr="00EB5353">
        <w:rPr>
          <w:lang w:eastAsia="lt-LT"/>
        </w:rPr>
        <w:t>yra tinkamas palyginamasis.</w:t>
      </w:r>
    </w:p>
    <w:p w14:paraId="6200E75E" w14:textId="77777777" w:rsidR="003D7795" w:rsidRDefault="003D7795" w:rsidP="003D7795">
      <w:pPr>
        <w:spacing w:line="276" w:lineRule="auto"/>
        <w:ind w:firstLine="720"/>
        <w:jc w:val="both"/>
        <w:rPr>
          <w:lang w:eastAsia="lt-LT"/>
        </w:rPr>
      </w:pPr>
      <w:r w:rsidRPr="00B81DA2">
        <w:t xml:space="preserve">Pradinės </w:t>
      </w:r>
      <w:r>
        <w:t>III</w:t>
      </w:r>
      <w:r w:rsidRPr="00B81DA2">
        <w:t xml:space="preserve"> fazės klinikinio tyrimo CASTOR analizės metu (stebėjimo mediana</w:t>
      </w:r>
      <w:r>
        <w:t xml:space="preserve"> - </w:t>
      </w:r>
      <w:r w:rsidRPr="00B81DA2">
        <w:t xml:space="preserve">7,4 mėn.), daratumumabas derinyje su </w:t>
      </w:r>
      <w:proofErr w:type="spellStart"/>
      <w:r w:rsidRPr="00B81DA2">
        <w:t>bortezomibu</w:t>
      </w:r>
      <w:proofErr w:type="spellEnd"/>
      <w:r w:rsidRPr="00B81DA2">
        <w:t xml:space="preserve"> ir </w:t>
      </w:r>
      <w:proofErr w:type="spellStart"/>
      <w:r w:rsidRPr="00B81DA2">
        <w:t>deksametazonu</w:t>
      </w:r>
      <w:proofErr w:type="spellEnd"/>
      <w:r w:rsidRPr="00B81DA2">
        <w:t xml:space="preserve"> (DVd), lyginant su </w:t>
      </w:r>
      <w:proofErr w:type="spellStart"/>
      <w:r w:rsidRPr="00B81DA2">
        <w:t>Vd</w:t>
      </w:r>
      <w:proofErr w:type="spellEnd"/>
      <w:r w:rsidRPr="00B81DA2">
        <w:t>, šios grupės pacientams statistiškai reikšmingai prailgino</w:t>
      </w:r>
      <w:r>
        <w:t xml:space="preserve"> išgyvenamumą be ligos progresavimo</w:t>
      </w:r>
      <w:r w:rsidRPr="00B81DA2">
        <w:t xml:space="preserve"> </w:t>
      </w:r>
      <w:r>
        <w:t>(</w:t>
      </w:r>
      <w:r w:rsidRPr="00B81DA2">
        <w:t>IBLP</w:t>
      </w:r>
      <w:r>
        <w:t>)</w:t>
      </w:r>
      <w:r w:rsidRPr="00B81DA2">
        <w:t xml:space="preserve"> – SR 0,39; 95% PI 0,28 – 0,53; P&lt;0,001)</w:t>
      </w:r>
      <w:r>
        <w:t>,</w:t>
      </w:r>
      <w:r w:rsidRPr="00B81DA2">
        <w:t xml:space="preserve"> ir didesnė DVd gydytų pacientų proporcija </w:t>
      </w:r>
      <w:r>
        <w:t>pasiekė gilesnį atsaką į gydymą. L</w:t>
      </w:r>
      <w:r w:rsidRPr="00A04105">
        <w:t xml:space="preserve">yginant su </w:t>
      </w:r>
      <w:proofErr w:type="spellStart"/>
      <w:r w:rsidRPr="00A04105">
        <w:t>Kd</w:t>
      </w:r>
      <w:proofErr w:type="spellEnd"/>
      <w:r w:rsidRPr="00A04105">
        <w:t xml:space="preserve">, DVd gydytų pacientų IBLP yra statistiškai reikšmingai ilgesnis, o bendrojo išgyvenamumo (BI) ir saugumo rezultatai rodo tikimybę, kad DVd deriniu gydytų pacientų rezultatai yra geresni už </w:t>
      </w:r>
      <w:proofErr w:type="spellStart"/>
      <w:r w:rsidRPr="00A04105">
        <w:t>Kd</w:t>
      </w:r>
      <w:proofErr w:type="spellEnd"/>
      <w:r w:rsidRPr="00A04105">
        <w:t xml:space="preserve"> deriniu gydytų pacientų rezultatus, todėl taikoma prielaida, kad vaistinių preparatų sukuriama nauda yra panaši (DVd neprastesnis nei </w:t>
      </w:r>
      <w:proofErr w:type="spellStart"/>
      <w:r w:rsidRPr="00A04105">
        <w:t>Kd</w:t>
      </w:r>
      <w:proofErr w:type="spellEnd"/>
      <w:r w:rsidRPr="00A04105">
        <w:t>)</w:t>
      </w:r>
      <w:r>
        <w:t>.</w:t>
      </w:r>
      <w:r w:rsidRPr="005B3ED4">
        <w:rPr>
          <w:lang w:eastAsia="lt-LT"/>
        </w:rPr>
        <w:t xml:space="preserve"> </w:t>
      </w:r>
      <w:r>
        <w:rPr>
          <w:lang w:eastAsia="lt-LT"/>
        </w:rPr>
        <w:t>Ekonominėje analizė įtraukiami esminius skirtumus lemiantys kaštai, šiuo atveju, KMA apima</w:t>
      </w:r>
      <w:r>
        <w:rPr>
          <w:bCs/>
          <w:lang w:eastAsia="lt-LT"/>
        </w:rPr>
        <w:t xml:space="preserve"> </w:t>
      </w:r>
      <w:r w:rsidRPr="006F53D0">
        <w:rPr>
          <w:bCs/>
          <w:lang w:eastAsia="lt-LT"/>
        </w:rPr>
        <w:t xml:space="preserve">DVd ir </w:t>
      </w:r>
      <w:proofErr w:type="spellStart"/>
      <w:r w:rsidRPr="006F53D0">
        <w:rPr>
          <w:bCs/>
          <w:lang w:eastAsia="lt-LT"/>
        </w:rPr>
        <w:t>Kd</w:t>
      </w:r>
      <w:proofErr w:type="spellEnd"/>
      <w:r w:rsidRPr="006F53D0">
        <w:rPr>
          <w:bCs/>
          <w:lang w:eastAsia="lt-LT"/>
        </w:rPr>
        <w:t xml:space="preserve"> vaistinių prepa</w:t>
      </w:r>
      <w:r>
        <w:rPr>
          <w:bCs/>
          <w:lang w:eastAsia="lt-LT"/>
        </w:rPr>
        <w:t>ratų įsigijimo ir skyrimo kaštus</w:t>
      </w:r>
      <w:r w:rsidRPr="006F53D0">
        <w:rPr>
          <w:bCs/>
          <w:lang w:eastAsia="lt-LT"/>
        </w:rPr>
        <w:t xml:space="preserve">, remiantis vaistinių preparatų charakteristikų santraukose (VPCS) numatytu dozavimu ir periodiškumu. </w:t>
      </w:r>
      <w:r>
        <w:rPr>
          <w:lang w:eastAsia="lt-LT"/>
        </w:rPr>
        <w:t xml:space="preserve">Kiti kaštai ekonominėje analizėje nėra įtraukiami, atsižvelgiant į klinikinių duomenų rezultatus, kuriais remiantis laikoma, kad sveikatai sukuriama nauda bei vaistinių preparatų nepageidaujamas poveikis yra panašūs ir išlaidos sveikatos sistemai bus panašios. </w:t>
      </w:r>
    </w:p>
    <w:p w14:paraId="2339D090" w14:textId="5393B556" w:rsidR="003D7795" w:rsidRDefault="003D7795" w:rsidP="003D7795">
      <w:pPr>
        <w:spacing w:line="276" w:lineRule="auto"/>
        <w:ind w:firstLine="360"/>
        <w:jc w:val="both"/>
        <w:rPr>
          <w:lang w:eastAsia="lt-LT"/>
        </w:rPr>
      </w:pPr>
      <w:r>
        <w:rPr>
          <w:lang w:eastAsia="lt-LT"/>
        </w:rPr>
        <w:t xml:space="preserve">Įprastinė atvejo analizė atliekama iš kaštų </w:t>
      </w:r>
      <w:r w:rsidRPr="00EB5353">
        <w:rPr>
          <w:lang w:eastAsia="lt-LT"/>
        </w:rPr>
        <w:t xml:space="preserve">mažinimo perspektyvos, įtraukiant metinius vaistinių preparatų įsigijimo ir skyrimo kaštus. Analizuojami du scenarijai: 1) vienerių metų laikotarpiu; 2) </w:t>
      </w:r>
      <w:r w:rsidRPr="00EB5353">
        <w:rPr>
          <w:lang w:eastAsia="lt-LT"/>
        </w:rPr>
        <w:lastRenderedPageBreak/>
        <w:t xml:space="preserve">taikant prielaidą, kad gydymo trukmę atspindi klinikinių tyrimų iki ligos progreso duomenys, kadangi vaistinių preparatų charakteristikų santraukose nurodyta, kad daratumumabo ir palyginamojo </w:t>
      </w:r>
      <w:proofErr w:type="spellStart"/>
      <w:r w:rsidRPr="00EB5353">
        <w:rPr>
          <w:lang w:eastAsia="lt-LT"/>
        </w:rPr>
        <w:t>karfilzomibo</w:t>
      </w:r>
      <w:proofErr w:type="spellEnd"/>
      <w:r w:rsidRPr="00EB5353">
        <w:rPr>
          <w:lang w:eastAsia="lt-LT"/>
        </w:rPr>
        <w:t xml:space="preserve"> deriniams gydymas yra tęsiamas iki ligos progreso arba toksinio poveikio. Tarnyba remiasi, Paraiškoje teikiamos netiesioginės meta analizės duomenimis: išgyvenamumo be ligos progreso mediana DVd grupėje siekia  - 16,7 mėn. (MMY3004</w:t>
      </w:r>
      <w:r w:rsidRPr="0027691E">
        <w:rPr>
          <w:lang w:eastAsia="lt-LT"/>
        </w:rPr>
        <w:t xml:space="preserve">), o </w:t>
      </w:r>
      <w:proofErr w:type="spellStart"/>
      <w:r w:rsidRPr="0027691E">
        <w:rPr>
          <w:lang w:eastAsia="lt-LT"/>
        </w:rPr>
        <w:t>karfilzomibo</w:t>
      </w:r>
      <w:proofErr w:type="spellEnd"/>
      <w:r w:rsidRPr="0027691E">
        <w:rPr>
          <w:lang w:eastAsia="lt-LT"/>
        </w:rPr>
        <w:t xml:space="preserve"> (</w:t>
      </w:r>
      <w:proofErr w:type="spellStart"/>
      <w:r w:rsidRPr="0027691E">
        <w:rPr>
          <w:lang w:eastAsia="lt-LT"/>
        </w:rPr>
        <w:t>Kd</w:t>
      </w:r>
      <w:proofErr w:type="spellEnd"/>
      <w:r w:rsidRPr="0027691E">
        <w:rPr>
          <w:lang w:eastAsia="lt-LT"/>
        </w:rPr>
        <w:t>) – 17,6 mėn. (</w:t>
      </w:r>
      <w:proofErr w:type="spellStart"/>
      <w:r w:rsidRPr="0027691E">
        <w:rPr>
          <w:lang w:eastAsia="lt-LT"/>
        </w:rPr>
        <w:t>Endeavor</w:t>
      </w:r>
      <w:proofErr w:type="spellEnd"/>
      <w:r w:rsidRPr="0027691E">
        <w:rPr>
          <w:lang w:eastAsia="lt-LT"/>
        </w:rPr>
        <w:t xml:space="preserve">; 8001 </w:t>
      </w:r>
      <w:proofErr w:type="spellStart"/>
      <w:r w:rsidRPr="0027691E">
        <w:rPr>
          <w:lang w:eastAsia="lt-LT"/>
        </w:rPr>
        <w:t>Siegel</w:t>
      </w:r>
      <w:proofErr w:type="spellEnd"/>
      <w:r w:rsidRPr="0027691E">
        <w:rPr>
          <w:lang w:eastAsia="lt-LT"/>
        </w:rPr>
        <w:t xml:space="preserve"> 2017). </w:t>
      </w:r>
    </w:p>
    <w:p w14:paraId="1B9595EC" w14:textId="357EB37C" w:rsidR="003D7795" w:rsidRPr="003D7795" w:rsidRDefault="003D7795" w:rsidP="003D7795">
      <w:pPr>
        <w:tabs>
          <w:tab w:val="left" w:pos="426"/>
        </w:tabs>
        <w:jc w:val="center"/>
        <w:rPr>
          <w:b/>
          <w:lang w:eastAsia="lt-LT"/>
        </w:rPr>
      </w:pPr>
      <w:r w:rsidRPr="00E33EFF">
        <w:rPr>
          <w:b/>
          <w:lang w:eastAsia="lt-LT"/>
        </w:rPr>
        <w:t>Ekonominės analizės rezultatas</w:t>
      </w:r>
    </w:p>
    <w:p w14:paraId="767069AE" w14:textId="1915B939" w:rsidR="003D7795" w:rsidRDefault="003D7795" w:rsidP="003D7795">
      <w:pPr>
        <w:spacing w:line="276" w:lineRule="auto"/>
        <w:ind w:firstLine="360"/>
        <w:jc w:val="both"/>
        <w:rPr>
          <w:lang w:eastAsia="lt-LT"/>
        </w:rPr>
      </w:pPr>
    </w:p>
    <w:tbl>
      <w:tblPr>
        <w:tblStyle w:val="TableGrid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7"/>
        <w:gridCol w:w="1613"/>
        <w:gridCol w:w="2019"/>
        <w:gridCol w:w="3579"/>
      </w:tblGrid>
      <w:tr w:rsidR="003D7795" w:rsidRPr="00811242" w14:paraId="1D3574F6" w14:textId="77777777" w:rsidTr="0016215B">
        <w:trPr>
          <w:trHeight w:val="364"/>
          <w:jc w:val="center"/>
        </w:trPr>
        <w:tc>
          <w:tcPr>
            <w:tcW w:w="990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9675E3" w14:textId="77777777" w:rsidR="003D7795" w:rsidRPr="00811242" w:rsidRDefault="003D7795" w:rsidP="0016215B">
            <w:pPr>
              <w:tabs>
                <w:tab w:val="left" w:pos="567"/>
              </w:tabs>
              <w:jc w:val="center"/>
              <w:rPr>
                <w:b/>
                <w:i/>
                <w:iCs/>
                <w:color w:val="00B050"/>
                <w:sz w:val="22"/>
                <w:szCs w:val="22"/>
                <w:lang w:eastAsia="lt-LT"/>
              </w:rPr>
            </w:pPr>
            <w:r w:rsidRPr="00811242">
              <w:rPr>
                <w:b/>
                <w:lang w:eastAsia="lt-LT"/>
              </w:rPr>
              <w:t>Kaštai</w:t>
            </w:r>
          </w:p>
        </w:tc>
      </w:tr>
      <w:tr w:rsidR="003D7795" w:rsidRPr="00811242" w14:paraId="4AC88184" w14:textId="77777777" w:rsidTr="0016215B">
        <w:trPr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D4BFA2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i/>
                <w:lang w:eastAsia="lt-LT"/>
              </w:rPr>
            </w:pPr>
            <w:r w:rsidRPr="00811242">
              <w:rPr>
                <w:b/>
                <w:i/>
                <w:lang w:eastAsia="lt-LT"/>
              </w:rPr>
              <w:t>Scenarijus 1.</w:t>
            </w:r>
            <w:r w:rsidRPr="00811242">
              <w:rPr>
                <w:lang w:eastAsia="lt-LT"/>
              </w:rPr>
              <w:t xml:space="preserve"> Vienerių metų kaštai (metiniai vaistinių preparatų įsigijimo ir skyrimo kaštai)</w:t>
            </w:r>
          </w:p>
        </w:tc>
      </w:tr>
      <w:tr w:rsidR="003D7795" w:rsidRPr="00811242" w14:paraId="196C4795" w14:textId="77777777" w:rsidTr="0016215B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091D92BA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iCs/>
                <w:color w:val="00B05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4E92A104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r w:rsidRPr="00811242">
              <w:rPr>
                <w:snapToGrid w:val="0"/>
              </w:rPr>
              <w:t>DVd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6A38002D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i/>
                <w:iCs/>
                <w:lang w:eastAsia="lt-LT"/>
              </w:rPr>
            </w:pPr>
            <w:proofErr w:type="spellStart"/>
            <w:r w:rsidRPr="00811242">
              <w:rPr>
                <w:snapToGrid w:val="0"/>
              </w:rPr>
              <w:t>Kd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016BA381" w14:textId="77777777" w:rsidR="003D7795" w:rsidRPr="00811242" w:rsidRDefault="003D7795" w:rsidP="0016215B">
            <w:pPr>
              <w:jc w:val="both"/>
            </w:pPr>
            <w:r w:rsidRPr="00811242">
              <w:rPr>
                <w:i/>
                <w:lang w:eastAsia="lt-LT"/>
              </w:rPr>
              <w:t>Skirtumas</w:t>
            </w:r>
          </w:p>
        </w:tc>
      </w:tr>
      <w:tr w:rsidR="003D7795" w:rsidRPr="00811242" w14:paraId="2792D963" w14:textId="77777777" w:rsidTr="0016215B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FA29F1A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b/>
                <w:iCs/>
                <w:color w:val="000000"/>
                <w:lang w:eastAsia="lt-LT"/>
              </w:rPr>
            </w:pPr>
            <w:r w:rsidRPr="00811242">
              <w:rPr>
                <w:b/>
                <w:iCs/>
                <w:color w:val="000000"/>
                <w:lang w:eastAsia="lt-LT"/>
              </w:rPr>
              <w:t>Bendrieji kaštai (viso):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E9DDB" w14:textId="3FAC2163" w:rsidR="003D7795" w:rsidRPr="00811242" w:rsidRDefault="00AF23FD" w:rsidP="0016215B">
            <w:pPr>
              <w:tabs>
                <w:tab w:val="left" w:pos="567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11242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*** </w:t>
            </w:r>
            <w:r w:rsidR="003D7795" w:rsidRPr="00811242">
              <w:rPr>
                <w:b/>
                <w:bCs/>
                <w:color w:val="000000"/>
                <w:sz w:val="22"/>
                <w:szCs w:val="22"/>
              </w:rPr>
              <w:t>Eur.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BACC9A" w14:textId="1EDF58D5" w:rsidR="003D7795" w:rsidRPr="00811242" w:rsidRDefault="006F5B4B" w:rsidP="006F5B4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811242">
              <w:rPr>
                <w:b/>
                <w:bCs/>
                <w:color w:val="000000"/>
                <w:sz w:val="22"/>
                <w:szCs w:val="22"/>
                <w:lang w:eastAsia="lt-LT"/>
              </w:rPr>
              <w:t>***</w:t>
            </w:r>
            <w:r w:rsidR="003D7795" w:rsidRPr="00811242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Eur.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7F51B" w14:textId="1E258440" w:rsidR="003D7795" w:rsidRPr="00811242" w:rsidRDefault="006F5B4B" w:rsidP="0016215B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242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 xml:space="preserve">*** </w:t>
            </w:r>
            <w:r w:rsidR="003D7795" w:rsidRPr="0081124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Eur., (</w:t>
            </w:r>
            <w:r w:rsidR="00AF23FD" w:rsidRPr="0081124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*** </w:t>
            </w:r>
            <w:r w:rsidR="003D7795" w:rsidRPr="0081124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lt-LT"/>
              </w:rPr>
              <w:t>proc.)</w:t>
            </w:r>
          </w:p>
        </w:tc>
      </w:tr>
      <w:tr w:rsidR="003D7795" w:rsidRPr="00811242" w14:paraId="719EFC8F" w14:textId="77777777" w:rsidTr="0016215B">
        <w:trPr>
          <w:jc w:val="center"/>
        </w:trPr>
        <w:tc>
          <w:tcPr>
            <w:tcW w:w="99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AA76DE" w14:textId="77777777" w:rsidR="003D7795" w:rsidRPr="00811242" w:rsidRDefault="003D7795" w:rsidP="0016215B">
            <w:pPr>
              <w:rPr>
                <w:i/>
                <w:color w:val="000000" w:themeColor="text1"/>
              </w:rPr>
            </w:pPr>
            <w:r w:rsidRPr="00811242">
              <w:rPr>
                <w:b/>
                <w:i/>
                <w:color w:val="000000" w:themeColor="text1"/>
                <w:lang w:eastAsia="lt-LT"/>
              </w:rPr>
              <w:t>Scenarijus 2.</w:t>
            </w:r>
            <w:r w:rsidRPr="00811242">
              <w:rPr>
                <w:i/>
                <w:color w:val="000000" w:themeColor="text1"/>
                <w:lang w:eastAsia="lt-LT"/>
              </w:rPr>
              <w:t xml:space="preserve"> </w:t>
            </w:r>
            <w:r w:rsidRPr="00811242">
              <w:rPr>
                <w:color w:val="000000" w:themeColor="text1"/>
                <w:lang w:eastAsia="lt-LT"/>
              </w:rPr>
              <w:t xml:space="preserve">Visos gydymo trukmės kaštai (taikoma gydymo trukmė pagal klinikinių tyrimų IBLP medianas: DVd – 16,7 mėn., </w:t>
            </w:r>
            <w:proofErr w:type="spellStart"/>
            <w:r w:rsidRPr="00811242">
              <w:rPr>
                <w:color w:val="000000" w:themeColor="text1"/>
                <w:lang w:eastAsia="lt-LT"/>
              </w:rPr>
              <w:t>Kd</w:t>
            </w:r>
            <w:proofErr w:type="spellEnd"/>
            <w:r w:rsidRPr="00811242">
              <w:rPr>
                <w:color w:val="000000" w:themeColor="text1"/>
                <w:lang w:eastAsia="lt-LT"/>
              </w:rPr>
              <w:t xml:space="preserve"> - 17.6 mėn.)</w:t>
            </w:r>
          </w:p>
        </w:tc>
      </w:tr>
      <w:tr w:rsidR="003D7795" w:rsidRPr="00811242" w14:paraId="62E67DBA" w14:textId="77777777" w:rsidTr="0016215B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7B4BF8F3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iCs/>
                <w:color w:val="000000"/>
                <w:lang w:eastAsia="lt-LT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14:paraId="2C9A7DFC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811242">
              <w:rPr>
                <w:snapToGrid w:val="0"/>
              </w:rPr>
              <w:t>DVd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4" w:space="0" w:color="auto"/>
            </w:tcBorders>
          </w:tcPr>
          <w:p w14:paraId="3DE00231" w14:textId="77777777" w:rsidR="003D7795" w:rsidRPr="00811242" w:rsidRDefault="003D7795" w:rsidP="006F5B4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811242">
              <w:rPr>
                <w:snapToGrid w:val="0"/>
              </w:rPr>
              <w:t>Kd</w:t>
            </w:r>
            <w:proofErr w:type="spellEnd"/>
          </w:p>
        </w:tc>
        <w:tc>
          <w:tcPr>
            <w:tcW w:w="3579" w:type="dxa"/>
            <w:tcBorders>
              <w:top w:val="single" w:sz="4" w:space="0" w:color="auto"/>
              <w:bottom w:val="single" w:sz="4" w:space="0" w:color="auto"/>
            </w:tcBorders>
          </w:tcPr>
          <w:p w14:paraId="55C0DCE1" w14:textId="77777777" w:rsidR="003D7795" w:rsidRPr="00811242" w:rsidRDefault="003D7795" w:rsidP="0016215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11242">
              <w:rPr>
                <w:i/>
                <w:color w:val="000000" w:themeColor="text1"/>
                <w:lang w:eastAsia="lt-LT"/>
              </w:rPr>
              <w:t>Skirtumas</w:t>
            </w:r>
          </w:p>
        </w:tc>
      </w:tr>
      <w:tr w:rsidR="003D7795" w:rsidRPr="00811242" w14:paraId="4DDB6DAA" w14:textId="77777777" w:rsidTr="0016215B">
        <w:trPr>
          <w:jc w:val="center"/>
        </w:trPr>
        <w:tc>
          <w:tcPr>
            <w:tcW w:w="2697" w:type="dxa"/>
            <w:tcBorders>
              <w:top w:val="single" w:sz="4" w:space="0" w:color="auto"/>
              <w:bottom w:val="single" w:sz="12" w:space="0" w:color="auto"/>
            </w:tcBorders>
          </w:tcPr>
          <w:p w14:paraId="00E6D861" w14:textId="77777777" w:rsidR="003D7795" w:rsidRPr="00811242" w:rsidRDefault="003D7795" w:rsidP="0016215B">
            <w:pPr>
              <w:tabs>
                <w:tab w:val="left" w:pos="567"/>
              </w:tabs>
              <w:jc w:val="both"/>
              <w:rPr>
                <w:b/>
                <w:iCs/>
                <w:color w:val="000000"/>
                <w:lang w:eastAsia="lt-LT"/>
              </w:rPr>
            </w:pPr>
            <w:r w:rsidRPr="00811242">
              <w:rPr>
                <w:b/>
                <w:iCs/>
                <w:color w:val="000000"/>
                <w:lang w:eastAsia="lt-LT"/>
              </w:rPr>
              <w:t>Bendrieji kaštai (viso):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307BCF5" w14:textId="79AA88B8" w:rsidR="003D7795" w:rsidRPr="00811242" w:rsidRDefault="00AF23FD" w:rsidP="0016215B">
            <w:pPr>
              <w:tabs>
                <w:tab w:val="left" w:pos="567"/>
              </w:tabs>
              <w:jc w:val="both"/>
              <w:rPr>
                <w:b/>
                <w:color w:val="000000"/>
                <w:sz w:val="22"/>
                <w:szCs w:val="22"/>
                <w:lang w:eastAsia="lt-LT"/>
              </w:rPr>
            </w:pPr>
            <w:r w:rsidRPr="00811242">
              <w:rPr>
                <w:b/>
                <w:color w:val="000000"/>
                <w:sz w:val="22"/>
                <w:szCs w:val="22"/>
              </w:rPr>
              <w:t>***</w:t>
            </w:r>
            <w:r w:rsidR="006F5B4B" w:rsidRPr="00811242">
              <w:rPr>
                <w:b/>
                <w:color w:val="000000"/>
                <w:sz w:val="22"/>
                <w:szCs w:val="22"/>
              </w:rPr>
              <w:t xml:space="preserve"> Eur.</w:t>
            </w:r>
          </w:p>
        </w:tc>
        <w:tc>
          <w:tcPr>
            <w:tcW w:w="201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4AE8D3ED" w14:textId="3108A49B" w:rsidR="003D7795" w:rsidRPr="00811242" w:rsidRDefault="006F5B4B" w:rsidP="006F5B4B">
            <w:pPr>
              <w:rPr>
                <w:b/>
                <w:color w:val="000000"/>
                <w:sz w:val="22"/>
                <w:szCs w:val="22"/>
                <w:lang w:val="en-US" w:eastAsia="lt-LT"/>
              </w:rPr>
            </w:pPr>
            <w:r w:rsidRPr="00811242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*** </w:t>
            </w:r>
            <w:r w:rsidRPr="00811242">
              <w:rPr>
                <w:b/>
                <w:color w:val="000000"/>
                <w:sz w:val="22"/>
                <w:szCs w:val="22"/>
                <w:lang w:val="en-US"/>
              </w:rPr>
              <w:t xml:space="preserve"> Eur.</w:t>
            </w:r>
          </w:p>
        </w:tc>
        <w:tc>
          <w:tcPr>
            <w:tcW w:w="3579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61171708" w14:textId="7B09B609" w:rsidR="003D7795" w:rsidRPr="00811242" w:rsidRDefault="006F5B4B" w:rsidP="003D7795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811242">
              <w:rPr>
                <w:b/>
                <w:bCs/>
                <w:color w:val="000000" w:themeColor="text1"/>
                <w:sz w:val="22"/>
                <w:szCs w:val="22"/>
                <w:lang w:eastAsia="lt-LT"/>
              </w:rPr>
              <w:t xml:space="preserve">*** </w:t>
            </w:r>
            <w:r w:rsidR="003D7795" w:rsidRPr="00811242">
              <w:rPr>
                <w:rFonts w:ascii="Calibri" w:hAnsi="Calibri"/>
                <w:b/>
                <w:color w:val="000000" w:themeColor="text1"/>
                <w:sz w:val="22"/>
                <w:szCs w:val="22"/>
                <w:lang w:eastAsia="lt-LT"/>
              </w:rPr>
              <w:t xml:space="preserve"> Eur., (</w:t>
            </w:r>
            <w:r w:rsidR="00AF23FD" w:rsidRPr="00811242">
              <w:rPr>
                <w:rFonts w:ascii="Calibri" w:hAnsi="Calibri"/>
                <w:b/>
                <w:color w:val="000000" w:themeColor="text1"/>
                <w:sz w:val="22"/>
                <w:szCs w:val="22"/>
                <w:lang w:eastAsia="lt-LT"/>
              </w:rPr>
              <w:t xml:space="preserve">*** </w:t>
            </w:r>
            <w:r w:rsidR="003D7795" w:rsidRPr="00811242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  <w:lang w:eastAsia="lt-LT"/>
              </w:rPr>
              <w:t>proc.)</w:t>
            </w:r>
          </w:p>
        </w:tc>
      </w:tr>
    </w:tbl>
    <w:p w14:paraId="716F9067" w14:textId="77777777" w:rsidR="003D7795" w:rsidRPr="00811242" w:rsidRDefault="003D7795" w:rsidP="003D7795">
      <w:pPr>
        <w:spacing w:line="276" w:lineRule="auto"/>
        <w:ind w:firstLine="360"/>
        <w:jc w:val="both"/>
        <w:rPr>
          <w:lang w:eastAsia="lt-LT"/>
        </w:rPr>
      </w:pPr>
    </w:p>
    <w:p w14:paraId="6E8FB5B6" w14:textId="3ED486C0" w:rsidR="003D7795" w:rsidRPr="0008307C" w:rsidRDefault="003D7795" w:rsidP="003D7795">
      <w:pPr>
        <w:pStyle w:val="Tekstas"/>
        <w:spacing w:after="0" w:line="276" w:lineRule="auto"/>
        <w:ind w:firstLine="360"/>
        <w:rPr>
          <w:bCs/>
        </w:rPr>
      </w:pPr>
      <w:r w:rsidRPr="00811242">
        <w:rPr>
          <w:color w:val="000000"/>
          <w:lang w:eastAsia="lt-LT"/>
        </w:rPr>
        <w:t xml:space="preserve">Gautais kaštų mažinimo analizės rezultatais, </w:t>
      </w:r>
      <w:r w:rsidRPr="00811242">
        <w:rPr>
          <w:bCs/>
        </w:rPr>
        <w:t xml:space="preserve">naudojant Pareiškėjo pateiktas galutines daratumumabo kainas ((su PVM): </w:t>
      </w:r>
      <w:proofErr w:type="spellStart"/>
      <w:r w:rsidRPr="00811242">
        <w:rPr>
          <w:i/>
        </w:rPr>
        <w:t>i.v</w:t>
      </w:r>
      <w:proofErr w:type="spellEnd"/>
      <w:r w:rsidRPr="00811242">
        <w:rPr>
          <w:i/>
        </w:rPr>
        <w:t>. 100 mg -</w:t>
      </w:r>
      <w:r w:rsidR="00AF23FD" w:rsidRPr="00811242">
        <w:rPr>
          <w:i/>
        </w:rPr>
        <w:t xml:space="preserve"> ***</w:t>
      </w:r>
      <w:r w:rsidRPr="00811242">
        <w:rPr>
          <w:i/>
        </w:rPr>
        <w:t xml:space="preserve"> Eur., 400 mg - </w:t>
      </w:r>
      <w:r w:rsidR="00AF23FD" w:rsidRPr="00811242">
        <w:rPr>
          <w:i/>
        </w:rPr>
        <w:t>***</w:t>
      </w:r>
      <w:r w:rsidRPr="00811242">
        <w:rPr>
          <w:i/>
        </w:rPr>
        <w:t xml:space="preserve"> Eur., </w:t>
      </w:r>
      <w:proofErr w:type="spellStart"/>
      <w:r w:rsidRPr="00811242">
        <w:rPr>
          <w:i/>
        </w:rPr>
        <w:t>p.o</w:t>
      </w:r>
      <w:proofErr w:type="spellEnd"/>
      <w:r w:rsidRPr="00811242">
        <w:rPr>
          <w:i/>
        </w:rPr>
        <w:t xml:space="preserve">. 1800 mg - </w:t>
      </w:r>
      <w:r w:rsidR="00AF23FD" w:rsidRPr="00811242">
        <w:rPr>
          <w:i/>
        </w:rPr>
        <w:t>***</w:t>
      </w:r>
      <w:r w:rsidRPr="00811242">
        <w:rPr>
          <w:i/>
          <w:lang w:val="en-US"/>
        </w:rPr>
        <w:t xml:space="preserve"> </w:t>
      </w:r>
      <w:r w:rsidRPr="00811242">
        <w:rPr>
          <w:i/>
        </w:rPr>
        <w:t xml:space="preserve">Eur.) </w:t>
      </w:r>
      <w:r w:rsidRPr="00811242">
        <w:t>ir</w:t>
      </w:r>
      <w:r w:rsidRPr="00811242">
        <w:rPr>
          <w:i/>
        </w:rPr>
        <w:t xml:space="preserve"> </w:t>
      </w:r>
      <w:r w:rsidRPr="00811242">
        <w:t xml:space="preserve">konfidencialią </w:t>
      </w:r>
      <w:proofErr w:type="spellStart"/>
      <w:r w:rsidRPr="00811242">
        <w:t>karfilzomibo</w:t>
      </w:r>
      <w:proofErr w:type="spellEnd"/>
      <w:r w:rsidRPr="00811242">
        <w:t xml:space="preserve"> kainą</w:t>
      </w:r>
      <w:r w:rsidRPr="00811242">
        <w:rPr>
          <w:i/>
        </w:rPr>
        <w:t xml:space="preserve"> (</w:t>
      </w:r>
      <w:r w:rsidR="006F5B4B" w:rsidRPr="00811242">
        <w:rPr>
          <w:b/>
          <w:bCs/>
          <w:color w:val="000000"/>
          <w:sz w:val="22"/>
          <w:szCs w:val="22"/>
          <w:lang w:eastAsia="lt-LT"/>
        </w:rPr>
        <w:t xml:space="preserve">*** </w:t>
      </w:r>
      <w:r w:rsidRPr="00811242">
        <w:rPr>
          <w:i/>
        </w:rPr>
        <w:t>Eur. su PGS),</w:t>
      </w:r>
      <w:r w:rsidRPr="00811242">
        <w:t xml:space="preserve"> DVd derinio gydymo kaštai vienerių metų laikotarpiu lyginant su </w:t>
      </w:r>
      <w:proofErr w:type="spellStart"/>
      <w:r w:rsidRPr="00811242">
        <w:t>Kd</w:t>
      </w:r>
      <w:proofErr w:type="spellEnd"/>
      <w:r w:rsidRPr="00811242">
        <w:t xml:space="preserve"> deriniu be skyrimo kaštų (onkologijos dienos stacionaro I paslaugos) yra</w:t>
      </w:r>
      <w:r w:rsidRPr="00945A82">
        <w:t xml:space="preserve"> mažesni </w:t>
      </w:r>
      <w:r w:rsidR="00AF23FD">
        <w:t xml:space="preserve">*** </w:t>
      </w:r>
      <w:r w:rsidRPr="00945A82">
        <w:t xml:space="preserve">proc., o su skyrimo </w:t>
      </w:r>
      <w:r w:rsidRPr="001C01F9">
        <w:t xml:space="preserve">kaštais - mažesni </w:t>
      </w:r>
      <w:r w:rsidR="00AF23FD" w:rsidRPr="001C01F9">
        <w:t>***</w:t>
      </w:r>
      <w:r w:rsidRPr="001C01F9">
        <w:t xml:space="preserve"> proc.</w:t>
      </w:r>
    </w:p>
    <w:p w14:paraId="1A3AF74A" w14:textId="5C40E588" w:rsidR="003D7795" w:rsidRDefault="003D7795" w:rsidP="003D7795">
      <w:pPr>
        <w:spacing w:line="276" w:lineRule="auto"/>
        <w:ind w:firstLine="360"/>
        <w:jc w:val="both"/>
      </w:pPr>
      <w:r w:rsidRPr="00945A82">
        <w:t xml:space="preserve">Taikant prielaidą, kad </w:t>
      </w:r>
      <w:r w:rsidRPr="00945A82">
        <w:rPr>
          <w:lang w:eastAsia="lt-LT"/>
        </w:rPr>
        <w:t>palyginamųjų gydymo trukmę atspindi klinikinių tyrimų iki ligos progreso duomenys (DVd - 16,7 mėn. (MMY3004), (</w:t>
      </w:r>
      <w:proofErr w:type="spellStart"/>
      <w:r w:rsidRPr="00945A82">
        <w:rPr>
          <w:lang w:eastAsia="lt-LT"/>
        </w:rPr>
        <w:t>Kd</w:t>
      </w:r>
      <w:proofErr w:type="spellEnd"/>
      <w:r w:rsidRPr="00945A82">
        <w:rPr>
          <w:lang w:eastAsia="lt-LT"/>
        </w:rPr>
        <w:t>) – 17,6 mėn. (</w:t>
      </w:r>
      <w:proofErr w:type="spellStart"/>
      <w:r w:rsidRPr="00945A82">
        <w:rPr>
          <w:lang w:eastAsia="lt-LT"/>
        </w:rPr>
        <w:t>Endeavor</w:t>
      </w:r>
      <w:proofErr w:type="spellEnd"/>
      <w:r w:rsidRPr="00945A82">
        <w:rPr>
          <w:lang w:eastAsia="lt-LT"/>
        </w:rPr>
        <w:t xml:space="preserve">; </w:t>
      </w:r>
      <w:r w:rsidRPr="001C01F9">
        <w:rPr>
          <w:lang w:eastAsia="lt-LT"/>
        </w:rPr>
        <w:t xml:space="preserve">8001 </w:t>
      </w:r>
      <w:proofErr w:type="spellStart"/>
      <w:r w:rsidRPr="001C01F9">
        <w:rPr>
          <w:lang w:eastAsia="lt-LT"/>
        </w:rPr>
        <w:t>Siegel</w:t>
      </w:r>
      <w:proofErr w:type="spellEnd"/>
      <w:r w:rsidRPr="001C01F9">
        <w:rPr>
          <w:lang w:eastAsia="lt-LT"/>
        </w:rPr>
        <w:t xml:space="preserve"> 2017), vertinami DVd įsigijimo ir skyrimo kaštai gydymo trukmės laikotarpiu lyginant su </w:t>
      </w:r>
      <w:proofErr w:type="spellStart"/>
      <w:r w:rsidRPr="001C01F9">
        <w:rPr>
          <w:lang w:eastAsia="lt-LT"/>
        </w:rPr>
        <w:t>Kd</w:t>
      </w:r>
      <w:proofErr w:type="spellEnd"/>
      <w:r w:rsidRPr="001C01F9">
        <w:rPr>
          <w:lang w:eastAsia="lt-LT"/>
        </w:rPr>
        <w:t xml:space="preserve"> - mažesni </w:t>
      </w:r>
      <w:r w:rsidR="00AF23FD" w:rsidRPr="001C01F9">
        <w:rPr>
          <w:lang w:eastAsia="lt-LT"/>
        </w:rPr>
        <w:t>***</w:t>
      </w:r>
      <w:r w:rsidRPr="001C01F9">
        <w:rPr>
          <w:lang w:eastAsia="lt-LT"/>
        </w:rPr>
        <w:t xml:space="preserve"> proc.</w:t>
      </w:r>
      <w:r w:rsidRPr="00945A82">
        <w:rPr>
          <w:lang w:eastAsia="lt-LT"/>
        </w:rPr>
        <w:t xml:space="preserve"> </w:t>
      </w:r>
    </w:p>
    <w:p w14:paraId="7072DE24" w14:textId="4230FE66" w:rsidR="00B6585A" w:rsidRPr="003D7795" w:rsidRDefault="003D7795" w:rsidP="003D7795">
      <w:pPr>
        <w:spacing w:line="276" w:lineRule="auto"/>
        <w:ind w:firstLine="360"/>
        <w:jc w:val="both"/>
      </w:pPr>
      <w:r w:rsidRPr="00945A82">
        <w:t xml:space="preserve">Šie kaštų minimizavimo analizės rezultatai atitinka SAM įsakymo Nr. 159 reikalavimus, </w:t>
      </w:r>
      <w:proofErr w:type="spellStart"/>
      <w:r w:rsidRPr="00945A82">
        <w:t>t.y</w:t>
      </w:r>
      <w:proofErr w:type="spellEnd"/>
      <w:r w:rsidRPr="00945A82">
        <w:t>. esant nesiskiriančiam gydymo efektyvumui ir saugumui vieno paciento gydymo DVd de</w:t>
      </w:r>
      <w:r>
        <w:t>riniu kaštai yra daugiau kaip 5 proc.</w:t>
      </w:r>
      <w:r w:rsidRPr="00945A82">
        <w:t xml:space="preserve"> mažesni už gydymo </w:t>
      </w:r>
      <w:proofErr w:type="spellStart"/>
      <w:r w:rsidRPr="00945A82">
        <w:t>Kd</w:t>
      </w:r>
      <w:proofErr w:type="spellEnd"/>
      <w:r w:rsidRPr="00945A82">
        <w:t xml:space="preserve"> deriniu kaštus</w:t>
      </w:r>
      <w:r>
        <w:t xml:space="preserve"> (abiem scenarijais) ir yra pasiekiamas kaštų mažinimas.</w:t>
      </w:r>
    </w:p>
    <w:p w14:paraId="4A9A2B31" w14:textId="77777777" w:rsidR="00B6585A" w:rsidRPr="00E33EFF" w:rsidRDefault="00B6585A" w:rsidP="00A93AA6">
      <w:pPr>
        <w:tabs>
          <w:tab w:val="left" w:pos="426"/>
        </w:tabs>
        <w:rPr>
          <w:b/>
          <w:bCs/>
          <w:caps/>
        </w:rPr>
      </w:pPr>
    </w:p>
    <w:p w14:paraId="4FC424F9" w14:textId="4E767245" w:rsidR="00C62B36" w:rsidRPr="0081376A" w:rsidRDefault="00C62B36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81376A">
        <w:rPr>
          <w:b/>
          <w:bCs/>
          <w:caps/>
        </w:rPr>
        <w:t xml:space="preserve">Pacientų organizacijų pateikti duomenys </w:t>
      </w:r>
    </w:p>
    <w:p w14:paraId="79BCFF40" w14:textId="1992DF4A" w:rsidR="00937907" w:rsidRPr="0081376A" w:rsidRDefault="00811242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15001417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81376A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937907" w:rsidRPr="0081376A">
        <w:t xml:space="preserve"> Pacientų organizacijos pozicija pateikta. Žr. priedą.</w:t>
      </w:r>
    </w:p>
    <w:p w14:paraId="62992180" w14:textId="5C7DC509" w:rsidR="00937907" w:rsidRPr="0081376A" w:rsidRDefault="00811242" w:rsidP="00937907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1545513810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25179" w:rsidRPr="0081376A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937907" w:rsidRPr="0081376A">
        <w:t xml:space="preserve"> Pacientų organizacijos pozicija </w:t>
      </w:r>
      <w:r w:rsidR="00880A44" w:rsidRPr="0081376A">
        <w:t>ne</w:t>
      </w:r>
      <w:r w:rsidR="00937907" w:rsidRPr="0081376A">
        <w:t>pateikta.</w:t>
      </w:r>
    </w:p>
    <w:p w14:paraId="03E73D82" w14:textId="77777777" w:rsidR="00D417D2" w:rsidRPr="0081376A" w:rsidRDefault="00D417D2" w:rsidP="00937907">
      <w:pPr>
        <w:spacing w:after="120"/>
        <w:jc w:val="both"/>
      </w:pPr>
    </w:p>
    <w:p w14:paraId="3D3277FA" w14:textId="3CEEB2D2" w:rsidR="00C62B36" w:rsidRPr="0081376A" w:rsidRDefault="00C62B36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81376A">
        <w:rPr>
          <w:b/>
          <w:bCs/>
          <w:caps/>
        </w:rPr>
        <w:t>Gydytojų organizacijų pateikti duomenys</w:t>
      </w:r>
    </w:p>
    <w:p w14:paraId="389A346C" w14:textId="17184B64" w:rsidR="00937907" w:rsidRPr="0081376A" w:rsidRDefault="00811242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1613862788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37907" w:rsidRPr="0081376A">
            <w:rPr>
              <w:rStyle w:val="Style2"/>
              <w:rFonts w:ascii="MS Gothic" w:eastAsia="MS Gothic" w:hAnsi="MS Gothic" w:hint="eastAsia"/>
              <w:sz w:val="24"/>
            </w:rPr>
            <w:t>☐</w:t>
          </w:r>
        </w:sdtContent>
      </w:sdt>
      <w:r w:rsidR="00662983" w:rsidRPr="0081376A">
        <w:t xml:space="preserve"> </w:t>
      </w:r>
      <w:r w:rsidR="00937907" w:rsidRPr="0081376A">
        <w:t xml:space="preserve">Gydytojų specialistų organizacijos pozicija pateikta. </w:t>
      </w:r>
      <w:r w:rsidR="00662983" w:rsidRPr="0081376A">
        <w:t>Žr. priedą</w:t>
      </w:r>
      <w:r w:rsidR="00937907" w:rsidRPr="0081376A">
        <w:t>.</w:t>
      </w:r>
    </w:p>
    <w:p w14:paraId="5D8CC48C" w14:textId="15C41AC2" w:rsidR="00662983" w:rsidRPr="00E33EFF" w:rsidRDefault="00811242" w:rsidP="00662983">
      <w:pPr>
        <w:spacing w:after="120"/>
        <w:jc w:val="both"/>
      </w:pPr>
      <w:sdt>
        <w:sdtPr>
          <w:rPr>
            <w:rStyle w:val="Style2"/>
            <w:rFonts w:ascii="MS Gothic" w:eastAsia="MS Gothic" w:hAnsi="MS Gothic"/>
            <w:sz w:val="24"/>
          </w:rPr>
          <w:id w:val="-41988141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25179" w:rsidRPr="0081376A">
            <w:rPr>
              <w:rStyle w:val="Style2"/>
              <w:rFonts w:ascii="MS Gothic" w:eastAsia="MS Gothic" w:hAnsi="MS Gothic" w:hint="eastAsia"/>
              <w:sz w:val="24"/>
            </w:rPr>
            <w:t>☒</w:t>
          </w:r>
        </w:sdtContent>
      </w:sdt>
      <w:r w:rsidR="00662983" w:rsidRPr="0081376A">
        <w:t xml:space="preserve"> </w:t>
      </w:r>
      <w:r w:rsidR="00937907" w:rsidRPr="0081376A">
        <w:t xml:space="preserve">Gydytojų specialistų organizacijos pozicija </w:t>
      </w:r>
      <w:r w:rsidR="00880A44" w:rsidRPr="0081376A">
        <w:t>ne</w:t>
      </w:r>
      <w:r w:rsidR="00937907" w:rsidRPr="0081376A">
        <w:t>pateikta.</w:t>
      </w:r>
    </w:p>
    <w:p w14:paraId="3701D46A" w14:textId="77777777" w:rsidR="00A042B9" w:rsidRPr="00E33EFF" w:rsidRDefault="00A042B9" w:rsidP="00662983">
      <w:pPr>
        <w:spacing w:after="120"/>
        <w:jc w:val="both"/>
      </w:pPr>
    </w:p>
    <w:p w14:paraId="78F23ECB" w14:textId="23A3A002" w:rsidR="002F0E4F" w:rsidRPr="00E33EFF" w:rsidRDefault="002F0E4F" w:rsidP="00CC09D4">
      <w:pPr>
        <w:pStyle w:val="ListParagraph"/>
        <w:numPr>
          <w:ilvl w:val="0"/>
          <w:numId w:val="12"/>
        </w:numPr>
        <w:tabs>
          <w:tab w:val="left" w:pos="567"/>
        </w:tabs>
        <w:ind w:hanging="720"/>
        <w:rPr>
          <w:b/>
          <w:bCs/>
          <w:caps/>
        </w:rPr>
      </w:pPr>
      <w:r w:rsidRPr="00E33EFF">
        <w:rPr>
          <w:b/>
          <w:bCs/>
          <w:caps/>
        </w:rPr>
        <w:t xml:space="preserve">Išvada </w:t>
      </w:r>
    </w:p>
    <w:p w14:paraId="08D5B3B6" w14:textId="5D93CDBF" w:rsidR="0061611B" w:rsidRPr="00E33EFF" w:rsidRDefault="0061611B" w:rsidP="0061611B">
      <w:pPr>
        <w:rPr>
          <w:i/>
          <w:color w:val="00B05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4"/>
      </w:tblGrid>
      <w:tr w:rsidR="00B13D65" w:rsidRPr="00E33EFF" w14:paraId="25A2473E" w14:textId="77777777" w:rsidTr="00C16245">
        <w:trPr>
          <w:trHeight w:val="510"/>
        </w:trPr>
        <w:tc>
          <w:tcPr>
            <w:tcW w:w="4815" w:type="dxa"/>
            <w:vAlign w:val="center"/>
          </w:tcPr>
          <w:p w14:paraId="7EFE6941" w14:textId="23B8BB6D" w:rsidR="00B13D65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Rekomenduojama kompensuoti</w:t>
            </w:r>
          </w:p>
        </w:tc>
        <w:tc>
          <w:tcPr>
            <w:tcW w:w="4814" w:type="dxa"/>
            <w:vAlign w:val="center"/>
          </w:tcPr>
          <w:p w14:paraId="330A1A5E" w14:textId="19247DC1" w:rsidR="00B13D65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 xml:space="preserve">Rekomenduojama nekompensuoti </w:t>
            </w:r>
          </w:p>
        </w:tc>
      </w:tr>
      <w:tr w:rsidR="00B13D65" w:rsidRPr="00E33EFF" w14:paraId="143A735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AF5D6B4" w14:textId="6D8B6C59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Palyginamasis efektyvumas</w:t>
            </w:r>
          </w:p>
        </w:tc>
      </w:tr>
      <w:tr w:rsidR="00B13D65" w:rsidRPr="00E33EFF" w14:paraId="28A0C814" w14:textId="77777777" w:rsidTr="0061611B">
        <w:tc>
          <w:tcPr>
            <w:tcW w:w="4815" w:type="dxa"/>
          </w:tcPr>
          <w:p w14:paraId="216769B5" w14:textId="5D1FF626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9732464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20D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32.1. yra didesnis</w:t>
            </w:r>
            <w:r w:rsidR="00B00959" w:rsidRPr="00E33EFF">
              <w:t>, lyginant su įprasta klinikine praktika</w:t>
            </w:r>
          </w:p>
          <w:p w14:paraId="3B48F372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F18D4" w14:textId="5D8142C3" w:rsidR="00B13D65" w:rsidRPr="00E33EFF" w:rsidRDefault="00811242" w:rsidP="006629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sz w:val="24"/>
              </w:rPr>
            </w:pPr>
            <w:sdt>
              <w:sdtPr>
                <w:rPr>
                  <w:rStyle w:val="Style2"/>
                  <w:sz w:val="24"/>
                </w:rPr>
                <w:id w:val="418297090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AE120D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32.1. iš esmės nesiskiria</w:t>
            </w:r>
            <w:r w:rsidR="00B00959" w:rsidRPr="00E33EFF">
              <w:t>, lyginant su įprasta klinikine praktika</w:t>
            </w:r>
          </w:p>
        </w:tc>
        <w:tc>
          <w:tcPr>
            <w:tcW w:w="4814" w:type="dxa"/>
          </w:tcPr>
          <w:p w14:paraId="507828D9" w14:textId="10556E28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72475559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mažesnis</w:t>
            </w:r>
            <w:r w:rsidR="00B00959" w:rsidRPr="00E33EFF">
              <w:t>, lyginant su įprasta klinikine praktika</w:t>
            </w:r>
          </w:p>
          <w:p w14:paraId="7F95DEEC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680682B8" w14:textId="1A29EA3B" w:rsidR="00662983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86216847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neįrodytas kaip toks pat</w:t>
            </w:r>
            <w:r w:rsidR="00B00959" w:rsidRPr="00E33EFF">
              <w:t>, lyginant su įprasta klinikine praktika</w:t>
            </w:r>
          </w:p>
          <w:p w14:paraId="35205E85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CC3F0A3" w14:textId="6D563DC8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85796018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2983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662983" w:rsidRPr="00E33EFF">
              <w:t xml:space="preserve"> 33.1 </w:t>
            </w:r>
            <w:r w:rsidR="00B00959" w:rsidRPr="00E33EFF">
              <w:t xml:space="preserve">yra </w:t>
            </w:r>
            <w:r w:rsidR="00B13D65" w:rsidRPr="00E33EFF">
              <w:t>neįrodytas kaip didesnis</w:t>
            </w:r>
            <w:r w:rsidR="00B00959" w:rsidRPr="00E33EFF">
              <w:t>, lyginant su įprasta klinikine praktika</w:t>
            </w:r>
          </w:p>
          <w:p w14:paraId="512E653B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73F374F4" w14:textId="77777777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206984211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pateikti duomenys apie palyginamąjį efektyvumą yra netinkami vertinti</w:t>
            </w:r>
          </w:p>
          <w:p w14:paraId="5DDAA961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61CC3FE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1AB46894" w14:textId="3E765638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Klinikinis veiksmingumas</w:t>
            </w:r>
          </w:p>
        </w:tc>
      </w:tr>
      <w:tr w:rsidR="00B13D65" w:rsidRPr="00E33EFF" w14:paraId="3C60570A" w14:textId="77777777" w:rsidTr="0061611B">
        <w:tc>
          <w:tcPr>
            <w:tcW w:w="4815" w:type="dxa"/>
          </w:tcPr>
          <w:p w14:paraId="6897B306" w14:textId="5F775372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48108000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7795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32.2. yra įvertintas kaip pagrindžiantis papildomos naudos pacientų sveikatai sukūrimą, lyginant su įprasta klinikine praktika</w:t>
            </w:r>
          </w:p>
          <w:p w14:paraId="71D57105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EBBDF86" w14:textId="4B7F9DC2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862061586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7795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32.2. </w:t>
            </w:r>
            <w:r w:rsidR="00B00959" w:rsidRPr="00E33EFF">
              <w:t xml:space="preserve">yra </w:t>
            </w:r>
            <w:r w:rsidR="00B13D65" w:rsidRPr="00E33EFF">
              <w:t>įvertintas kaip pagrindžiantis nesiskiriančios naudos pacientų sveikatai sukūrimą, lyginant su įprasta klinikine praktika</w:t>
            </w:r>
          </w:p>
          <w:p w14:paraId="287AD233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74A2DECF" w14:textId="682BFC3B" w:rsidR="00662983" w:rsidRPr="00E33EFF" w:rsidRDefault="00811242" w:rsidP="00662983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103457305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33.1. yra įvertintas kaip nepagrindžiantis papildomos </w:t>
            </w:r>
            <w:r w:rsidR="00662983" w:rsidRPr="00E33EFF">
              <w:t>naudos pacientų sveikatai sukūrimo, lyginant su  įprasta klinikine praktika</w:t>
            </w:r>
          </w:p>
          <w:p w14:paraId="6C70BCFC" w14:textId="77777777" w:rsidR="00662983" w:rsidRPr="00E33EFF" w:rsidRDefault="00662983" w:rsidP="00BD1E5A">
            <w:pPr>
              <w:jc w:val="both"/>
            </w:pPr>
          </w:p>
          <w:p w14:paraId="0ADEC30D" w14:textId="1353964F" w:rsidR="00B13D65" w:rsidRPr="00E33EFF" w:rsidRDefault="00811242" w:rsidP="00BD1E5A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1289549109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62983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</w:t>
            </w:r>
            <w:r w:rsidR="00662983" w:rsidRPr="00E33EFF">
              <w:t xml:space="preserve">33.1. </w:t>
            </w:r>
            <w:r w:rsidR="00B00959" w:rsidRPr="00E33EFF">
              <w:t xml:space="preserve">yra įvertintas kaip nepagrindžiantis </w:t>
            </w:r>
            <w:r w:rsidR="00B13D65" w:rsidRPr="00E33EFF">
              <w:t>nesiskiriančios naudos pacientų sveikatai sukūrimo, lyginant su įprasta klinikine praktika</w:t>
            </w:r>
          </w:p>
          <w:p w14:paraId="1EED7901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1747E672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  <w:tr w:rsidR="00B13D65" w:rsidRPr="00E33EFF" w14:paraId="1C75AE76" w14:textId="77777777" w:rsidTr="00C16245">
        <w:trPr>
          <w:trHeight w:val="510"/>
        </w:trPr>
        <w:tc>
          <w:tcPr>
            <w:tcW w:w="9629" w:type="dxa"/>
            <w:gridSpan w:val="2"/>
            <w:vAlign w:val="center"/>
          </w:tcPr>
          <w:p w14:paraId="0247EDAD" w14:textId="7FBBB759" w:rsidR="00B13D65" w:rsidRPr="00E33EFF" w:rsidRDefault="00B13D65" w:rsidP="00C16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Style2"/>
                <w:rFonts w:eastAsia="MS Gothic"/>
                <w:b/>
                <w:bCs/>
                <w:sz w:val="24"/>
              </w:rPr>
            </w:pPr>
            <w:r w:rsidRPr="00E33EFF">
              <w:rPr>
                <w:rStyle w:val="Style2"/>
                <w:rFonts w:eastAsia="MS Gothic"/>
                <w:b/>
                <w:bCs/>
                <w:sz w:val="24"/>
              </w:rPr>
              <w:t>Kaštų naudingumas</w:t>
            </w:r>
          </w:p>
        </w:tc>
      </w:tr>
      <w:tr w:rsidR="00B13D65" w:rsidRPr="00E33EFF" w14:paraId="7091A05B" w14:textId="77777777" w:rsidTr="0061611B">
        <w:tc>
          <w:tcPr>
            <w:tcW w:w="4815" w:type="dxa"/>
          </w:tcPr>
          <w:p w14:paraId="69B2A994" w14:textId="01A961CC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1975984416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7795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13D65" w:rsidRPr="00E33EFF">
              <w:t xml:space="preserve"> 32.3. atitinka referencinę naudingumo vertę, taikant</w:t>
            </w:r>
            <w:r w:rsidR="00B6585A">
              <w:t xml:space="preserve"> PGS</w:t>
            </w:r>
          </w:p>
          <w:p w14:paraId="3F76F153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062072E7" w14:textId="3D956BF6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308081728"/>
                <w15:color w:val="FFCC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3D7795">
                  <w:rPr>
                    <w:rStyle w:val="Style2"/>
                    <w:rFonts w:ascii="MS Gothic" w:eastAsia="MS Gothic" w:hAnsi="MS Gothic" w:hint="eastAsia"/>
                    <w:sz w:val="24"/>
                  </w:rPr>
                  <w:t>☒</w:t>
                </w:r>
              </w:sdtContent>
            </w:sdt>
            <w:r w:rsidR="00B13D65" w:rsidRPr="00E33EFF">
              <w:t xml:space="preserve"> 32.3. gydymo juo kaštai yra mažesni ar tokie patys esant iš esmės nesiskirian</w:t>
            </w:r>
            <w:r w:rsidR="00B6585A">
              <w:t>čiam palyginamajam efektyvumui</w:t>
            </w:r>
            <w:r w:rsidR="00B00959" w:rsidRPr="00E33EFF">
              <w:t>, lyginant su įprasta klinikine praktika</w:t>
            </w:r>
          </w:p>
          <w:p w14:paraId="25E4BD1E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  <w:tc>
          <w:tcPr>
            <w:tcW w:w="4814" w:type="dxa"/>
          </w:tcPr>
          <w:p w14:paraId="53380063" w14:textId="5EB8488A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136540511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neatitinka referencinės naudingumo vertės Lietuvos Respublikoje</w:t>
            </w:r>
          </w:p>
          <w:p w14:paraId="229ED51A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673C3A9" w14:textId="069A91B7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sdt>
              <w:sdtPr>
                <w:rPr>
                  <w:rStyle w:val="Style2"/>
                  <w:sz w:val="24"/>
                </w:rPr>
                <w:id w:val="-113547361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gydymo juo kaštai yra didesni esant iš esmės nesiskirian</w:t>
            </w:r>
            <w:r w:rsidR="00B6585A">
              <w:t>čiam palyginamajam efektyvumui,</w:t>
            </w:r>
            <w:r w:rsidR="00B00959" w:rsidRPr="00E33EFF">
              <w:t xml:space="preserve"> lyginant su įprasta klinikine praktika</w:t>
            </w:r>
          </w:p>
          <w:p w14:paraId="4A9C7D2A" w14:textId="77777777" w:rsidR="00662983" w:rsidRPr="00E33EFF" w:rsidRDefault="00662983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4226013D" w14:textId="4020B1AC" w:rsidR="00B13D65" w:rsidRPr="00E33EFF" w:rsidRDefault="00811242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sdt>
              <w:sdtPr>
                <w:rPr>
                  <w:rStyle w:val="Style2"/>
                  <w:sz w:val="24"/>
                </w:rPr>
                <w:id w:val="-200836002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13D65" w:rsidRPr="00E33EFF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13D65" w:rsidRPr="00E33EFF">
              <w:t xml:space="preserve"> 33.3. pateikti duomenys apie kaštų na</w:t>
            </w:r>
            <w:r w:rsidR="00662983" w:rsidRPr="00E33EFF">
              <w:t>udingumą yra netinkami vertinti</w:t>
            </w:r>
          </w:p>
          <w:p w14:paraId="470A48A4" w14:textId="77777777" w:rsidR="00B13D65" w:rsidRPr="00E33EFF" w:rsidRDefault="00B13D65" w:rsidP="00BD1E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Style2"/>
                <w:rFonts w:eastAsia="MS Gothic"/>
                <w:sz w:val="24"/>
              </w:rPr>
            </w:pPr>
          </w:p>
        </w:tc>
      </w:tr>
    </w:tbl>
    <w:p w14:paraId="29A90384" w14:textId="4772D5ED" w:rsidR="004A3A61" w:rsidRPr="00E33EFF" w:rsidRDefault="004A3A61" w:rsidP="00381024"/>
    <w:p w14:paraId="1B85C083" w14:textId="77777777" w:rsidR="009E44AE" w:rsidRPr="00E33EFF" w:rsidRDefault="009E44AE" w:rsidP="00381024"/>
    <w:p w14:paraId="3B2D1F25" w14:textId="3A80E19F" w:rsidR="000001B0" w:rsidRPr="00E33EFF" w:rsidRDefault="000001B0" w:rsidP="00CC09D4">
      <w:pPr>
        <w:pStyle w:val="ListParagraph"/>
        <w:numPr>
          <w:ilvl w:val="0"/>
          <w:numId w:val="12"/>
        </w:numPr>
        <w:ind w:left="567" w:hanging="567"/>
      </w:pPr>
      <w:r w:rsidRPr="00E33EFF">
        <w:rPr>
          <w:b/>
        </w:rPr>
        <w:t>REKOME</w:t>
      </w:r>
      <w:r w:rsidR="00D83182" w:rsidRPr="00E33EFF">
        <w:rPr>
          <w:b/>
        </w:rPr>
        <w:t>N</w:t>
      </w:r>
      <w:r w:rsidRPr="00E33EFF">
        <w:rPr>
          <w:b/>
        </w:rPr>
        <w:t>DACIJA</w:t>
      </w:r>
    </w:p>
    <w:p w14:paraId="54F4B94E" w14:textId="48C6D5A9" w:rsidR="003D7795" w:rsidRDefault="003D7795" w:rsidP="003D7795">
      <w:pPr>
        <w:rPr>
          <w:rFonts w:eastAsia="Arial"/>
          <w:b/>
          <w:szCs w:val="22"/>
        </w:rPr>
      </w:pPr>
    </w:p>
    <w:p w14:paraId="4B75CCD0" w14:textId="77777777" w:rsidR="003D7795" w:rsidRPr="00413423" w:rsidRDefault="003D7795" w:rsidP="003D7795">
      <w:pPr>
        <w:spacing w:line="276" w:lineRule="auto"/>
        <w:ind w:firstLine="567"/>
        <w:jc w:val="both"/>
        <w:rPr>
          <w:color w:val="000000" w:themeColor="text1"/>
        </w:rPr>
      </w:pPr>
      <w:r w:rsidRPr="003F514B">
        <w:t>Vadovaujantis</w:t>
      </w:r>
      <w:r w:rsidRPr="00B351ED">
        <w:rPr>
          <w:color w:val="000000" w:themeColor="text1"/>
        </w:rPr>
        <w:t xml:space="preserve"> Vaistinių preparatų ir medicinos pagalbos priemonių įrašymo į kompensavimo sąrašus ir jų keitimo tvarkos aprašo, patvirtinto Lietuvos Respublikos sveikatos apsaugos ministro 2002 m. balandžio 5 d. įsakymu Nr. V-159 „Dėl vaistinių preparatų ir medicinos pagalbos priemonių įrašymo į kompensavimo sąrašus ir jų keitimo tvarkos aprašo patvirtinimo“, punktu:</w:t>
      </w:r>
    </w:p>
    <w:p w14:paraId="0A459C28" w14:textId="2EC71838" w:rsidR="003D7795" w:rsidRDefault="003D7795" w:rsidP="003D7795">
      <w:pPr>
        <w:spacing w:line="276" w:lineRule="auto"/>
        <w:jc w:val="both"/>
      </w:pPr>
      <w:r w:rsidRPr="00513C05">
        <w:t xml:space="preserve">34.3. rekomenduojama kompensuoti vaistinį preparatą pagal paraiškoje nurodytą </w:t>
      </w:r>
      <w:r>
        <w:t xml:space="preserve">indikacijos dalį, </w:t>
      </w:r>
      <w:r w:rsidRPr="008B649B">
        <w:t>taikant PGS, dėl iš esmės nesiskiriančio gydymo efektyvumo ir sukuriamos naudos pacientų sveikatai, lyginant su įprasta klinikine praktika, ir dėl mažesnių gydymo kaštų dydžio (kaštų minimizavimas).</w:t>
      </w:r>
    </w:p>
    <w:p w14:paraId="2B846E58" w14:textId="41C21549" w:rsidR="003D7795" w:rsidRDefault="003D7795" w:rsidP="003D7795"/>
    <w:p w14:paraId="22295E5A" w14:textId="77777777" w:rsidR="00C52A22" w:rsidRPr="00FE303B" w:rsidRDefault="00C52A22" w:rsidP="00C52A22">
      <w:pPr>
        <w:shd w:val="clear" w:color="auto" w:fill="FFFFFF"/>
        <w:spacing w:line="276" w:lineRule="auto"/>
        <w:jc w:val="both"/>
        <w:rPr>
          <w:bCs/>
          <w:i/>
        </w:rPr>
      </w:pPr>
      <w:r w:rsidRPr="00FE303B">
        <w:rPr>
          <w:bCs/>
          <w:i/>
        </w:rPr>
        <w:t>Papildom</w:t>
      </w:r>
      <w:r>
        <w:rPr>
          <w:bCs/>
          <w:i/>
        </w:rPr>
        <w:t>os</w:t>
      </w:r>
      <w:r w:rsidRPr="00FE303B">
        <w:rPr>
          <w:bCs/>
          <w:i/>
        </w:rPr>
        <w:t xml:space="preserve"> pastabos ir pasiūlymai</w:t>
      </w:r>
    </w:p>
    <w:p w14:paraId="5663BE79" w14:textId="5DC38651" w:rsidR="00C52A22" w:rsidRDefault="00C52A22" w:rsidP="00C52A22">
      <w:pPr>
        <w:spacing w:line="276" w:lineRule="auto"/>
        <w:ind w:firstLine="720"/>
        <w:jc w:val="both"/>
        <w:rPr>
          <w:b/>
        </w:rPr>
      </w:pPr>
      <w:r w:rsidRPr="005838C0">
        <w:lastRenderedPageBreak/>
        <w:t xml:space="preserve">Tarnyba rekomenduoja sukurti </w:t>
      </w:r>
      <w:r w:rsidR="00F56F71">
        <w:t>dauginės</w:t>
      </w:r>
      <w:r>
        <w:t xml:space="preserve"> mielomos </w:t>
      </w:r>
      <w:r w:rsidRPr="005838C0">
        <w:t>gydymo tvarkos aprašą, kuriame būtų apib</w:t>
      </w:r>
      <w:r w:rsidR="004316D4">
        <w:t>ūdinta</w:t>
      </w:r>
      <w:r w:rsidRPr="005838C0">
        <w:t xml:space="preserve"> pacientų kuriai tinka </w:t>
      </w:r>
      <w:proofErr w:type="spellStart"/>
      <w:r>
        <w:t>farmakoterapinis</w:t>
      </w:r>
      <w:proofErr w:type="spellEnd"/>
      <w:r>
        <w:t xml:space="preserve"> </w:t>
      </w:r>
      <w:r w:rsidRPr="005838C0">
        <w:t xml:space="preserve">gydymas </w:t>
      </w:r>
      <w:r w:rsidR="004316D4" w:rsidRPr="005838C0">
        <w:t>populiacija</w:t>
      </w:r>
      <w:r w:rsidR="004316D4">
        <w:t xml:space="preserve"> ir nurodytos </w:t>
      </w:r>
      <w:r w:rsidRPr="005838C0">
        <w:t xml:space="preserve">skyrimo sąlygos pradedant gydymą; gydymo veiksmingumo </w:t>
      </w:r>
      <w:r w:rsidR="004316D4">
        <w:t>į</w:t>
      </w:r>
      <w:r w:rsidRPr="005838C0">
        <w:t>vertinimo kriterijai</w:t>
      </w:r>
      <w:r>
        <w:t xml:space="preserve"> bei </w:t>
      </w:r>
      <w:r w:rsidRPr="005838C0">
        <w:t>gydymo nutraukimo kriterijai</w:t>
      </w:r>
      <w:r>
        <w:t>.</w:t>
      </w:r>
    </w:p>
    <w:p w14:paraId="4C0D84B6" w14:textId="77777777" w:rsidR="00C52A22" w:rsidRPr="00E33EFF" w:rsidRDefault="00C52A22" w:rsidP="003D7795"/>
    <w:p w14:paraId="1289E835" w14:textId="77777777" w:rsidR="003D7795" w:rsidRPr="00E33EFF" w:rsidRDefault="003D7795" w:rsidP="003D7795">
      <w:pPr>
        <w:tabs>
          <w:tab w:val="left" w:pos="567"/>
        </w:tabs>
        <w:ind w:left="567" w:hanging="567"/>
        <w:jc w:val="both"/>
        <w:rPr>
          <w:b/>
          <w:color w:val="000000"/>
          <w:lang w:eastAsia="lt-LT"/>
        </w:rPr>
      </w:pPr>
      <w:r>
        <w:rPr>
          <w:b/>
          <w:color w:val="000000"/>
          <w:lang w:eastAsia="lt-LT"/>
        </w:rPr>
        <w:t>8.</w:t>
      </w:r>
      <w:r>
        <w:rPr>
          <w:b/>
          <w:color w:val="000000"/>
          <w:lang w:eastAsia="lt-LT"/>
        </w:rPr>
        <w:tab/>
      </w:r>
      <w:r w:rsidRPr="00E33EFF">
        <w:rPr>
          <w:b/>
          <w:color w:val="000000"/>
          <w:lang w:eastAsia="lt-LT"/>
        </w:rPr>
        <w:t xml:space="preserve">SIŪLOMOS KOMPENSUOTI TERAPINĖS INDIKACIJOS IR SKYRIMO SĄLYGOS </w:t>
      </w:r>
    </w:p>
    <w:p w14:paraId="6D0E284E" w14:textId="77777777" w:rsidR="003D7795" w:rsidRDefault="003D7795" w:rsidP="003D7795">
      <w:pPr>
        <w:rPr>
          <w:rFonts w:eastAsia="Arial"/>
          <w:b/>
          <w:szCs w:val="22"/>
        </w:rPr>
      </w:pPr>
    </w:p>
    <w:p w14:paraId="532D2462" w14:textId="77777777" w:rsidR="003D7795" w:rsidRPr="008B63AB" w:rsidRDefault="003D7795" w:rsidP="003D7795">
      <w:pPr>
        <w:outlineLvl w:val="0"/>
        <w:rPr>
          <w:b/>
          <w:lang w:eastAsia="lt-LT"/>
        </w:rPr>
      </w:pPr>
      <w:r w:rsidRPr="008B63AB">
        <w:rPr>
          <w:b/>
          <w:lang w:eastAsia="lt-LT"/>
        </w:rPr>
        <w:t>Terapinės indikacijos</w:t>
      </w:r>
    </w:p>
    <w:p w14:paraId="05D9A623" w14:textId="77777777" w:rsidR="003D7795" w:rsidRPr="008152AF" w:rsidRDefault="00811242" w:rsidP="003D7795">
      <w:sdt>
        <w:sdtPr>
          <w:rPr>
            <w:rStyle w:val="Style2"/>
          </w:rPr>
          <w:id w:val="-996187202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3D7795" w:rsidRPr="008152AF">
            <w:rPr>
              <w:rStyle w:val="Style2"/>
              <w:rFonts w:ascii="MS Gothic" w:eastAsia="MS Gothic" w:hAnsi="MS Gothic"/>
            </w:rPr>
            <w:t>☒</w:t>
          </w:r>
        </w:sdtContent>
      </w:sdt>
      <w:r w:rsidR="003D7795" w:rsidRPr="008152AF">
        <w:t xml:space="preserve"> Siūloma kompensuot</w:t>
      </w:r>
      <w:r w:rsidR="003D7795">
        <w:t>i Pareiškėjo teikiamą indikacijos dalį</w:t>
      </w:r>
      <w:r w:rsidR="003D7795" w:rsidRPr="008152AF">
        <w:t xml:space="preserve"> be pakeitimų.</w:t>
      </w:r>
    </w:p>
    <w:p w14:paraId="09C73AB9" w14:textId="77777777" w:rsidR="003D7795" w:rsidRDefault="003D7795" w:rsidP="003D7795">
      <w:pPr>
        <w:pStyle w:val="ListParagraph"/>
        <w:spacing w:line="276" w:lineRule="auto"/>
        <w:ind w:left="0"/>
        <w:contextualSpacing w:val="0"/>
        <w:jc w:val="both"/>
      </w:pPr>
      <w:r>
        <w:rPr>
          <w:rFonts w:eastAsia="Arial"/>
        </w:rPr>
        <w:t>D</w:t>
      </w:r>
      <w:r w:rsidRPr="002217A0">
        <w:rPr>
          <w:rFonts w:eastAsia="Arial"/>
        </w:rPr>
        <w:t xml:space="preserve">erinant su </w:t>
      </w:r>
      <w:proofErr w:type="spellStart"/>
      <w:r w:rsidRPr="002217A0">
        <w:rPr>
          <w:rFonts w:eastAsia="Arial"/>
        </w:rPr>
        <w:t>bortezomibu</w:t>
      </w:r>
      <w:proofErr w:type="spellEnd"/>
      <w:r w:rsidRPr="002217A0">
        <w:rPr>
          <w:rFonts w:eastAsia="Arial"/>
        </w:rPr>
        <w:t xml:space="preserve"> ir </w:t>
      </w:r>
      <w:proofErr w:type="spellStart"/>
      <w:r w:rsidRPr="002217A0">
        <w:rPr>
          <w:rFonts w:eastAsia="Arial"/>
        </w:rPr>
        <w:t>deksametazonu</w:t>
      </w:r>
      <w:proofErr w:type="spellEnd"/>
      <w:r w:rsidRPr="002217A0">
        <w:rPr>
          <w:rFonts w:eastAsia="Arial"/>
        </w:rPr>
        <w:t xml:space="preserve"> gydymui daugybine mieloma sergantiems suaugusiems pacientams, kuriems anksčiau buvo taikyta bent viena terapija</w:t>
      </w:r>
      <w:r w:rsidRPr="002217A0">
        <w:t>.</w:t>
      </w:r>
    </w:p>
    <w:p w14:paraId="3B2492EA" w14:textId="77777777" w:rsidR="003D7795" w:rsidRPr="008152AF" w:rsidRDefault="003D7795" w:rsidP="003D7795">
      <w:pPr>
        <w:rPr>
          <w:b/>
          <w:highlight w:val="yellow"/>
        </w:rPr>
      </w:pPr>
    </w:p>
    <w:p w14:paraId="0524EE55" w14:textId="77777777" w:rsidR="003D7795" w:rsidRPr="008152AF" w:rsidRDefault="003D7795" w:rsidP="003D7795">
      <w:pPr>
        <w:outlineLvl w:val="0"/>
        <w:rPr>
          <w:b/>
        </w:rPr>
      </w:pPr>
      <w:r w:rsidRPr="008152AF">
        <w:rPr>
          <w:b/>
        </w:rPr>
        <w:t>Skyrimo sąlygos</w:t>
      </w:r>
    </w:p>
    <w:p w14:paraId="74D7E5C1" w14:textId="3DBF1EE3" w:rsidR="003D7795" w:rsidRPr="00D05364" w:rsidRDefault="003D7795" w:rsidP="003D7795">
      <w:pPr>
        <w:rPr>
          <w:rFonts w:eastAsia="Arial"/>
          <w:b/>
          <w:szCs w:val="22"/>
        </w:rPr>
      </w:pPr>
    </w:p>
    <w:p w14:paraId="102463F2" w14:textId="512EDB7C" w:rsidR="009A4F96" w:rsidRPr="001477F2" w:rsidRDefault="00811242" w:rsidP="009A4F96">
      <w:sdt>
        <w:sdtPr>
          <w:rPr>
            <w:rStyle w:val="Style2"/>
          </w:rPr>
          <w:id w:val="169305347"/>
          <w15:color w:val="FFCC00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009A4F96">
            <w:rPr>
              <w:rStyle w:val="Style2"/>
              <w:rFonts w:ascii="MS Gothic" w:eastAsia="MS Gothic" w:hAnsi="MS Gothic" w:hint="eastAsia"/>
            </w:rPr>
            <w:t>☒</w:t>
          </w:r>
        </w:sdtContent>
      </w:sdt>
      <w:r w:rsidR="009A4F96" w:rsidRPr="001477F2">
        <w:t xml:space="preserve"> Pareiškėjo siūlomos skyrimo sąlygos priimtinos. </w:t>
      </w:r>
    </w:p>
    <w:p w14:paraId="5D2A0407" w14:textId="6D2A90B7" w:rsidR="003D7795" w:rsidRDefault="009A4F96" w:rsidP="001D647E">
      <w:pPr>
        <w:spacing w:line="276" w:lineRule="auto"/>
        <w:ind w:firstLine="360"/>
        <w:jc w:val="both"/>
      </w:pPr>
      <w:r>
        <w:t>Skiriamas pagal teikiamą patvirtintos terapinės indikacijos dalį.</w:t>
      </w:r>
    </w:p>
    <w:p w14:paraId="094A7B14" w14:textId="77777777" w:rsidR="003D7795" w:rsidRDefault="003D7795" w:rsidP="001D647E">
      <w:pPr>
        <w:spacing w:line="276" w:lineRule="auto"/>
        <w:ind w:firstLine="360"/>
        <w:jc w:val="both"/>
      </w:pPr>
    </w:p>
    <w:p w14:paraId="54F4B73B" w14:textId="77777777" w:rsidR="003D7795" w:rsidRDefault="003D7795" w:rsidP="001D647E">
      <w:pPr>
        <w:spacing w:line="276" w:lineRule="auto"/>
        <w:ind w:firstLine="360"/>
        <w:jc w:val="both"/>
      </w:pPr>
    </w:p>
    <w:p w14:paraId="691340BB" w14:textId="77777777" w:rsidR="000723FF" w:rsidRPr="00E33EFF" w:rsidRDefault="000723FF" w:rsidP="000723FF">
      <w:pPr>
        <w:tabs>
          <w:tab w:val="left" w:pos="426"/>
        </w:tabs>
        <w:jc w:val="both"/>
        <w:rPr>
          <w:b/>
          <w:color w:val="000000"/>
          <w:lang w:eastAsia="lt-LT"/>
        </w:rPr>
      </w:pPr>
    </w:p>
    <w:p w14:paraId="1C31B000" w14:textId="77777777" w:rsidR="00F46DA2" w:rsidRPr="006B24BA" w:rsidRDefault="00F46DA2">
      <w:pPr>
        <w:jc w:val="both"/>
        <w:rPr>
          <w:b/>
        </w:rPr>
      </w:pPr>
    </w:p>
    <w:sectPr w:rsidR="00F46DA2" w:rsidRPr="006B24BA" w:rsidSect="005D30E1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646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386E" w14:textId="77777777" w:rsidR="00B61745" w:rsidRDefault="00B61745">
      <w:r>
        <w:separator/>
      </w:r>
    </w:p>
  </w:endnote>
  <w:endnote w:type="continuationSeparator" w:id="0">
    <w:p w14:paraId="550C03E7" w14:textId="77777777" w:rsidR="00B61745" w:rsidRDefault="00B6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3368" w14:textId="77777777" w:rsidR="00347FAA" w:rsidRDefault="00347FAA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24CA" w14:textId="77777777" w:rsidR="00B61745" w:rsidRDefault="00B61745">
      <w:r>
        <w:separator/>
      </w:r>
    </w:p>
  </w:footnote>
  <w:footnote w:type="continuationSeparator" w:id="0">
    <w:p w14:paraId="6AC5EA9E" w14:textId="77777777" w:rsidR="00B61745" w:rsidRDefault="00B6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6FB2" w14:textId="77777777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81DB01" w14:textId="77777777" w:rsidR="00347FAA" w:rsidRDefault="00347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D5F9" w14:textId="76A16A86" w:rsidR="00347FAA" w:rsidRDefault="00347F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B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EC872E" w14:textId="77777777" w:rsidR="00347FAA" w:rsidRDefault="00347F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1C8F" w14:textId="77777777" w:rsidR="00347FAA" w:rsidRDefault="00347FAA" w:rsidP="00FD793C">
    <w:pPr>
      <w:pStyle w:val="Header"/>
      <w:ind w:left="61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D8E"/>
    <w:multiLevelType w:val="hybridMultilevel"/>
    <w:tmpl w:val="10FAC1C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008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8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D2E58"/>
    <w:multiLevelType w:val="hybridMultilevel"/>
    <w:tmpl w:val="F6943F7A"/>
    <w:lvl w:ilvl="0" w:tplc="AB64B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01C59"/>
    <w:multiLevelType w:val="hybridMultilevel"/>
    <w:tmpl w:val="64544F3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816B09"/>
    <w:multiLevelType w:val="hybridMultilevel"/>
    <w:tmpl w:val="8FBEE17A"/>
    <w:lvl w:ilvl="0" w:tplc="0427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39A0"/>
    <w:multiLevelType w:val="hybridMultilevel"/>
    <w:tmpl w:val="FD2294B2"/>
    <w:lvl w:ilvl="0" w:tplc="1D4671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0805"/>
    <w:multiLevelType w:val="hybridMultilevel"/>
    <w:tmpl w:val="6FB277EA"/>
    <w:lvl w:ilvl="0" w:tplc="A6D6CB36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5004F"/>
    <w:multiLevelType w:val="hybridMultilevel"/>
    <w:tmpl w:val="13E460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CC4222"/>
    <w:multiLevelType w:val="multilevel"/>
    <w:tmpl w:val="C9C6278E"/>
    <w:lvl w:ilvl="0">
      <w:start w:val="2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9" w15:restartNumberingAfterBreak="0">
    <w:nsid w:val="41953EAB"/>
    <w:multiLevelType w:val="hybridMultilevel"/>
    <w:tmpl w:val="D0F01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B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B83C1B"/>
    <w:multiLevelType w:val="multilevel"/>
    <w:tmpl w:val="5F3843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5A0D73F3"/>
    <w:multiLevelType w:val="hybridMultilevel"/>
    <w:tmpl w:val="CA9A2AC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7629B"/>
    <w:multiLevelType w:val="multilevel"/>
    <w:tmpl w:val="300C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27E1E"/>
    <w:multiLevelType w:val="hybridMultilevel"/>
    <w:tmpl w:val="3D568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6018"/>
    <w:multiLevelType w:val="hybridMultilevel"/>
    <w:tmpl w:val="AA9C98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00047">
    <w:abstractNumId w:val="9"/>
  </w:num>
  <w:num w:numId="2" w16cid:durableId="1599874355">
    <w:abstractNumId w:val="1"/>
  </w:num>
  <w:num w:numId="3" w16cid:durableId="1464470038">
    <w:abstractNumId w:val="11"/>
  </w:num>
  <w:num w:numId="4" w16cid:durableId="1064572150">
    <w:abstractNumId w:val="10"/>
  </w:num>
  <w:num w:numId="5" w16cid:durableId="2112506289">
    <w:abstractNumId w:val="8"/>
  </w:num>
  <w:num w:numId="6" w16cid:durableId="1207909202">
    <w:abstractNumId w:val="7"/>
  </w:num>
  <w:num w:numId="7" w16cid:durableId="1619875367">
    <w:abstractNumId w:val="3"/>
  </w:num>
  <w:num w:numId="8" w16cid:durableId="822966039">
    <w:abstractNumId w:val="15"/>
  </w:num>
  <w:num w:numId="9" w16cid:durableId="73430236">
    <w:abstractNumId w:val="0"/>
  </w:num>
  <w:num w:numId="10" w16cid:durableId="1305045245">
    <w:abstractNumId w:val="12"/>
  </w:num>
  <w:num w:numId="11" w16cid:durableId="2108845369">
    <w:abstractNumId w:val="14"/>
  </w:num>
  <w:num w:numId="12" w16cid:durableId="675303732">
    <w:abstractNumId w:val="2"/>
  </w:num>
  <w:num w:numId="13" w16cid:durableId="546139202">
    <w:abstractNumId w:val="5"/>
  </w:num>
  <w:num w:numId="14" w16cid:durableId="366755566">
    <w:abstractNumId w:val="4"/>
  </w:num>
  <w:num w:numId="15" w16cid:durableId="1028873797">
    <w:abstractNumId w:val="6"/>
  </w:num>
  <w:num w:numId="16" w16cid:durableId="15442929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E7"/>
    <w:rsid w:val="000001B0"/>
    <w:rsid w:val="00001401"/>
    <w:rsid w:val="00003197"/>
    <w:rsid w:val="00003F5B"/>
    <w:rsid w:val="00004871"/>
    <w:rsid w:val="000114DD"/>
    <w:rsid w:val="000136F7"/>
    <w:rsid w:val="00017272"/>
    <w:rsid w:val="00017410"/>
    <w:rsid w:val="00025032"/>
    <w:rsid w:val="0002686C"/>
    <w:rsid w:val="00031D0E"/>
    <w:rsid w:val="00032493"/>
    <w:rsid w:val="000337E6"/>
    <w:rsid w:val="0003402E"/>
    <w:rsid w:val="00034EAE"/>
    <w:rsid w:val="00042924"/>
    <w:rsid w:val="00053975"/>
    <w:rsid w:val="00057A2B"/>
    <w:rsid w:val="000606BE"/>
    <w:rsid w:val="000627F6"/>
    <w:rsid w:val="000723FF"/>
    <w:rsid w:val="000736B8"/>
    <w:rsid w:val="0008190F"/>
    <w:rsid w:val="00081D9C"/>
    <w:rsid w:val="00082907"/>
    <w:rsid w:val="0008378D"/>
    <w:rsid w:val="00083D56"/>
    <w:rsid w:val="000908A5"/>
    <w:rsid w:val="00092805"/>
    <w:rsid w:val="000C1188"/>
    <w:rsid w:val="000C35FA"/>
    <w:rsid w:val="000C454C"/>
    <w:rsid w:val="000D5038"/>
    <w:rsid w:val="000D5AAD"/>
    <w:rsid w:val="000E29D4"/>
    <w:rsid w:val="000F3540"/>
    <w:rsid w:val="000F6DA9"/>
    <w:rsid w:val="00100491"/>
    <w:rsid w:val="00104E2E"/>
    <w:rsid w:val="00107287"/>
    <w:rsid w:val="00117406"/>
    <w:rsid w:val="00121EF0"/>
    <w:rsid w:val="00124A9E"/>
    <w:rsid w:val="00130703"/>
    <w:rsid w:val="0013153F"/>
    <w:rsid w:val="00132BE6"/>
    <w:rsid w:val="00140832"/>
    <w:rsid w:val="001408B8"/>
    <w:rsid w:val="00142841"/>
    <w:rsid w:val="001517E2"/>
    <w:rsid w:val="001521D9"/>
    <w:rsid w:val="001554E2"/>
    <w:rsid w:val="00160105"/>
    <w:rsid w:val="00164146"/>
    <w:rsid w:val="0017369C"/>
    <w:rsid w:val="00175D57"/>
    <w:rsid w:val="00180C39"/>
    <w:rsid w:val="00180D96"/>
    <w:rsid w:val="00183519"/>
    <w:rsid w:val="00184BD3"/>
    <w:rsid w:val="001921F3"/>
    <w:rsid w:val="001B3C5B"/>
    <w:rsid w:val="001C01F9"/>
    <w:rsid w:val="001D039E"/>
    <w:rsid w:val="001D3ECB"/>
    <w:rsid w:val="001D647E"/>
    <w:rsid w:val="001D69BF"/>
    <w:rsid w:val="001D746F"/>
    <w:rsid w:val="001E4BBB"/>
    <w:rsid w:val="001E6304"/>
    <w:rsid w:val="001F0ADD"/>
    <w:rsid w:val="0020381E"/>
    <w:rsid w:val="00213471"/>
    <w:rsid w:val="00215906"/>
    <w:rsid w:val="00241CD8"/>
    <w:rsid w:val="00244B09"/>
    <w:rsid w:val="002519CB"/>
    <w:rsid w:val="00253DDC"/>
    <w:rsid w:val="0025697F"/>
    <w:rsid w:val="00260258"/>
    <w:rsid w:val="0026587E"/>
    <w:rsid w:val="0026588E"/>
    <w:rsid w:val="00272428"/>
    <w:rsid w:val="00272948"/>
    <w:rsid w:val="00287636"/>
    <w:rsid w:val="00292392"/>
    <w:rsid w:val="002946C7"/>
    <w:rsid w:val="002B3CC1"/>
    <w:rsid w:val="002B48F2"/>
    <w:rsid w:val="002C09E0"/>
    <w:rsid w:val="002C1BB1"/>
    <w:rsid w:val="002C2786"/>
    <w:rsid w:val="002C3A10"/>
    <w:rsid w:val="002C4A90"/>
    <w:rsid w:val="002C4ED5"/>
    <w:rsid w:val="002C5D67"/>
    <w:rsid w:val="002D02EF"/>
    <w:rsid w:val="002E0702"/>
    <w:rsid w:val="002E57AD"/>
    <w:rsid w:val="002E6F80"/>
    <w:rsid w:val="002F0597"/>
    <w:rsid w:val="002F0E4F"/>
    <w:rsid w:val="002F1053"/>
    <w:rsid w:val="002F258B"/>
    <w:rsid w:val="002F3AF6"/>
    <w:rsid w:val="00300573"/>
    <w:rsid w:val="00301E31"/>
    <w:rsid w:val="00317B0E"/>
    <w:rsid w:val="00326464"/>
    <w:rsid w:val="00336ADB"/>
    <w:rsid w:val="00347FAA"/>
    <w:rsid w:val="0035172D"/>
    <w:rsid w:val="0036187D"/>
    <w:rsid w:val="00364444"/>
    <w:rsid w:val="00367EDB"/>
    <w:rsid w:val="00370685"/>
    <w:rsid w:val="00372AFD"/>
    <w:rsid w:val="00375AD6"/>
    <w:rsid w:val="00381024"/>
    <w:rsid w:val="00386307"/>
    <w:rsid w:val="003874DE"/>
    <w:rsid w:val="00393E9F"/>
    <w:rsid w:val="0039696E"/>
    <w:rsid w:val="003B0FA4"/>
    <w:rsid w:val="003B211A"/>
    <w:rsid w:val="003B45D8"/>
    <w:rsid w:val="003C141F"/>
    <w:rsid w:val="003C43CC"/>
    <w:rsid w:val="003C6B0E"/>
    <w:rsid w:val="003C7257"/>
    <w:rsid w:val="003C7E35"/>
    <w:rsid w:val="003D1877"/>
    <w:rsid w:val="003D1E99"/>
    <w:rsid w:val="003D3A9D"/>
    <w:rsid w:val="003D6208"/>
    <w:rsid w:val="003D7795"/>
    <w:rsid w:val="003E676A"/>
    <w:rsid w:val="00404E8A"/>
    <w:rsid w:val="0040622F"/>
    <w:rsid w:val="0041059C"/>
    <w:rsid w:val="00413F24"/>
    <w:rsid w:val="004140C4"/>
    <w:rsid w:val="00422853"/>
    <w:rsid w:val="00423160"/>
    <w:rsid w:val="004316D4"/>
    <w:rsid w:val="0043489B"/>
    <w:rsid w:val="00446B21"/>
    <w:rsid w:val="00453862"/>
    <w:rsid w:val="00454313"/>
    <w:rsid w:val="0045469B"/>
    <w:rsid w:val="00461338"/>
    <w:rsid w:val="004677DB"/>
    <w:rsid w:val="0047414A"/>
    <w:rsid w:val="00476256"/>
    <w:rsid w:val="0048630F"/>
    <w:rsid w:val="004947A1"/>
    <w:rsid w:val="0049482A"/>
    <w:rsid w:val="00495461"/>
    <w:rsid w:val="004979D3"/>
    <w:rsid w:val="004A00E7"/>
    <w:rsid w:val="004A19E5"/>
    <w:rsid w:val="004A3A61"/>
    <w:rsid w:val="004A73E4"/>
    <w:rsid w:val="004B0472"/>
    <w:rsid w:val="004B205D"/>
    <w:rsid w:val="004B59BA"/>
    <w:rsid w:val="004B5A03"/>
    <w:rsid w:val="004C263A"/>
    <w:rsid w:val="004D48A6"/>
    <w:rsid w:val="004D7B8F"/>
    <w:rsid w:val="004E6458"/>
    <w:rsid w:val="004E6E7D"/>
    <w:rsid w:val="004F0C8B"/>
    <w:rsid w:val="004F1AAC"/>
    <w:rsid w:val="004F1AE2"/>
    <w:rsid w:val="004F1E92"/>
    <w:rsid w:val="004F34F0"/>
    <w:rsid w:val="004F3B2B"/>
    <w:rsid w:val="004F6050"/>
    <w:rsid w:val="005005EF"/>
    <w:rsid w:val="005123C2"/>
    <w:rsid w:val="00516EBE"/>
    <w:rsid w:val="005173F7"/>
    <w:rsid w:val="0052144B"/>
    <w:rsid w:val="00524066"/>
    <w:rsid w:val="005274F2"/>
    <w:rsid w:val="00534E11"/>
    <w:rsid w:val="005362D2"/>
    <w:rsid w:val="005378D8"/>
    <w:rsid w:val="005400D9"/>
    <w:rsid w:val="005476A4"/>
    <w:rsid w:val="0055019B"/>
    <w:rsid w:val="00556E63"/>
    <w:rsid w:val="005601A4"/>
    <w:rsid w:val="00566DBB"/>
    <w:rsid w:val="005767DB"/>
    <w:rsid w:val="005815E6"/>
    <w:rsid w:val="0058712F"/>
    <w:rsid w:val="005944D4"/>
    <w:rsid w:val="005976CE"/>
    <w:rsid w:val="005A23D4"/>
    <w:rsid w:val="005A2D1E"/>
    <w:rsid w:val="005B3756"/>
    <w:rsid w:val="005C493F"/>
    <w:rsid w:val="005C6BF7"/>
    <w:rsid w:val="005C71BF"/>
    <w:rsid w:val="005D002C"/>
    <w:rsid w:val="005D30E1"/>
    <w:rsid w:val="005D6555"/>
    <w:rsid w:val="005D7BDF"/>
    <w:rsid w:val="005E01A8"/>
    <w:rsid w:val="005E4870"/>
    <w:rsid w:val="005E4F6A"/>
    <w:rsid w:val="005F71D9"/>
    <w:rsid w:val="005F7602"/>
    <w:rsid w:val="006015B4"/>
    <w:rsid w:val="0060316F"/>
    <w:rsid w:val="006031C8"/>
    <w:rsid w:val="006060AE"/>
    <w:rsid w:val="006062BE"/>
    <w:rsid w:val="006069B4"/>
    <w:rsid w:val="00613143"/>
    <w:rsid w:val="00613501"/>
    <w:rsid w:val="0061611B"/>
    <w:rsid w:val="006166A8"/>
    <w:rsid w:val="006174A1"/>
    <w:rsid w:val="00621D6C"/>
    <w:rsid w:val="00633B49"/>
    <w:rsid w:val="0064297F"/>
    <w:rsid w:val="00645102"/>
    <w:rsid w:val="00646CF3"/>
    <w:rsid w:val="00653D11"/>
    <w:rsid w:val="0065648E"/>
    <w:rsid w:val="00662983"/>
    <w:rsid w:val="006807B3"/>
    <w:rsid w:val="0068291B"/>
    <w:rsid w:val="006834D3"/>
    <w:rsid w:val="00692625"/>
    <w:rsid w:val="00692A3C"/>
    <w:rsid w:val="006938A0"/>
    <w:rsid w:val="00694FAA"/>
    <w:rsid w:val="00695CD3"/>
    <w:rsid w:val="006966BA"/>
    <w:rsid w:val="006A38B6"/>
    <w:rsid w:val="006B1987"/>
    <w:rsid w:val="006B24BA"/>
    <w:rsid w:val="006B5B71"/>
    <w:rsid w:val="006B6CB0"/>
    <w:rsid w:val="006C0296"/>
    <w:rsid w:val="006C2B64"/>
    <w:rsid w:val="006C58C4"/>
    <w:rsid w:val="006D4C85"/>
    <w:rsid w:val="006D66AC"/>
    <w:rsid w:val="006E33F6"/>
    <w:rsid w:val="006F1251"/>
    <w:rsid w:val="006F1C23"/>
    <w:rsid w:val="006F5B4B"/>
    <w:rsid w:val="00702C18"/>
    <w:rsid w:val="00703166"/>
    <w:rsid w:val="007127F3"/>
    <w:rsid w:val="007301CF"/>
    <w:rsid w:val="007316FB"/>
    <w:rsid w:val="007374D0"/>
    <w:rsid w:val="00737E2D"/>
    <w:rsid w:val="007424D5"/>
    <w:rsid w:val="00750A88"/>
    <w:rsid w:val="007523DD"/>
    <w:rsid w:val="007547A8"/>
    <w:rsid w:val="00757B7E"/>
    <w:rsid w:val="007656B2"/>
    <w:rsid w:val="0077016F"/>
    <w:rsid w:val="007713AD"/>
    <w:rsid w:val="0077303C"/>
    <w:rsid w:val="00775512"/>
    <w:rsid w:val="00783695"/>
    <w:rsid w:val="00791AFA"/>
    <w:rsid w:val="00795DC5"/>
    <w:rsid w:val="00797153"/>
    <w:rsid w:val="007A21F7"/>
    <w:rsid w:val="007A2B68"/>
    <w:rsid w:val="007B0DDA"/>
    <w:rsid w:val="007B3C8E"/>
    <w:rsid w:val="007B68D0"/>
    <w:rsid w:val="007C39B8"/>
    <w:rsid w:val="007C4420"/>
    <w:rsid w:val="007C7519"/>
    <w:rsid w:val="007D3347"/>
    <w:rsid w:val="007E5466"/>
    <w:rsid w:val="007E58D3"/>
    <w:rsid w:val="007E6D07"/>
    <w:rsid w:val="007F1949"/>
    <w:rsid w:val="007F2592"/>
    <w:rsid w:val="00800A08"/>
    <w:rsid w:val="00811242"/>
    <w:rsid w:val="008130D8"/>
    <w:rsid w:val="0081376A"/>
    <w:rsid w:val="00817A84"/>
    <w:rsid w:val="008225A4"/>
    <w:rsid w:val="00824B92"/>
    <w:rsid w:val="00826D5E"/>
    <w:rsid w:val="00832013"/>
    <w:rsid w:val="00832022"/>
    <w:rsid w:val="00832DB7"/>
    <w:rsid w:val="00834732"/>
    <w:rsid w:val="00845797"/>
    <w:rsid w:val="0085200C"/>
    <w:rsid w:val="0085586D"/>
    <w:rsid w:val="00857C52"/>
    <w:rsid w:val="00860D5F"/>
    <w:rsid w:val="00880A44"/>
    <w:rsid w:val="0088345E"/>
    <w:rsid w:val="0088656F"/>
    <w:rsid w:val="00886E9E"/>
    <w:rsid w:val="00891EF6"/>
    <w:rsid w:val="008A0303"/>
    <w:rsid w:val="008A5FDD"/>
    <w:rsid w:val="008B46B7"/>
    <w:rsid w:val="008B4A88"/>
    <w:rsid w:val="008C3947"/>
    <w:rsid w:val="008E3C91"/>
    <w:rsid w:val="008E473B"/>
    <w:rsid w:val="008E51A6"/>
    <w:rsid w:val="008E7329"/>
    <w:rsid w:val="008F2ED5"/>
    <w:rsid w:val="00903D51"/>
    <w:rsid w:val="0092297E"/>
    <w:rsid w:val="00923651"/>
    <w:rsid w:val="00923B3F"/>
    <w:rsid w:val="00923D12"/>
    <w:rsid w:val="00925179"/>
    <w:rsid w:val="00927B56"/>
    <w:rsid w:val="009341BF"/>
    <w:rsid w:val="00937907"/>
    <w:rsid w:val="00941739"/>
    <w:rsid w:val="00943E06"/>
    <w:rsid w:val="00947BF9"/>
    <w:rsid w:val="00951573"/>
    <w:rsid w:val="00961ACF"/>
    <w:rsid w:val="00963003"/>
    <w:rsid w:val="00966EEF"/>
    <w:rsid w:val="00971B28"/>
    <w:rsid w:val="00983471"/>
    <w:rsid w:val="009909AB"/>
    <w:rsid w:val="009A4F96"/>
    <w:rsid w:val="009B37DB"/>
    <w:rsid w:val="009B5D80"/>
    <w:rsid w:val="009C7A8C"/>
    <w:rsid w:val="009D2291"/>
    <w:rsid w:val="009D23F9"/>
    <w:rsid w:val="009D4FA8"/>
    <w:rsid w:val="009E44AE"/>
    <w:rsid w:val="009E6CD6"/>
    <w:rsid w:val="009F4D66"/>
    <w:rsid w:val="009F7C7F"/>
    <w:rsid w:val="00A00C3C"/>
    <w:rsid w:val="00A01091"/>
    <w:rsid w:val="00A042B9"/>
    <w:rsid w:val="00A06DBB"/>
    <w:rsid w:val="00A14724"/>
    <w:rsid w:val="00A22ADF"/>
    <w:rsid w:val="00A27150"/>
    <w:rsid w:val="00A31E86"/>
    <w:rsid w:val="00A4366E"/>
    <w:rsid w:val="00A4579B"/>
    <w:rsid w:val="00A54D87"/>
    <w:rsid w:val="00A5553C"/>
    <w:rsid w:val="00A648B3"/>
    <w:rsid w:val="00A701C9"/>
    <w:rsid w:val="00A81785"/>
    <w:rsid w:val="00A84803"/>
    <w:rsid w:val="00A84C51"/>
    <w:rsid w:val="00A86F2B"/>
    <w:rsid w:val="00A91366"/>
    <w:rsid w:val="00A93AA6"/>
    <w:rsid w:val="00A96465"/>
    <w:rsid w:val="00AA2C42"/>
    <w:rsid w:val="00AA4E48"/>
    <w:rsid w:val="00AA6202"/>
    <w:rsid w:val="00AA7B57"/>
    <w:rsid w:val="00AB42D5"/>
    <w:rsid w:val="00AC26FC"/>
    <w:rsid w:val="00AC4A99"/>
    <w:rsid w:val="00AC64D2"/>
    <w:rsid w:val="00AD02E7"/>
    <w:rsid w:val="00AE0FE8"/>
    <w:rsid w:val="00AE120D"/>
    <w:rsid w:val="00AE1322"/>
    <w:rsid w:val="00AF23FD"/>
    <w:rsid w:val="00AF60D5"/>
    <w:rsid w:val="00B00959"/>
    <w:rsid w:val="00B04415"/>
    <w:rsid w:val="00B06509"/>
    <w:rsid w:val="00B11D60"/>
    <w:rsid w:val="00B12769"/>
    <w:rsid w:val="00B13D65"/>
    <w:rsid w:val="00B20885"/>
    <w:rsid w:val="00B21484"/>
    <w:rsid w:val="00B21805"/>
    <w:rsid w:val="00B3072E"/>
    <w:rsid w:val="00B32E5F"/>
    <w:rsid w:val="00B36E15"/>
    <w:rsid w:val="00B37245"/>
    <w:rsid w:val="00B4017A"/>
    <w:rsid w:val="00B4468D"/>
    <w:rsid w:val="00B61745"/>
    <w:rsid w:val="00B6585A"/>
    <w:rsid w:val="00B71C72"/>
    <w:rsid w:val="00B7488E"/>
    <w:rsid w:val="00B81E92"/>
    <w:rsid w:val="00B908D7"/>
    <w:rsid w:val="00B915AB"/>
    <w:rsid w:val="00B935E8"/>
    <w:rsid w:val="00B93B30"/>
    <w:rsid w:val="00B94CB5"/>
    <w:rsid w:val="00BA0DD9"/>
    <w:rsid w:val="00BA5DBC"/>
    <w:rsid w:val="00BA7A27"/>
    <w:rsid w:val="00BB6312"/>
    <w:rsid w:val="00BB66DC"/>
    <w:rsid w:val="00BC4D06"/>
    <w:rsid w:val="00BD09A5"/>
    <w:rsid w:val="00BD585E"/>
    <w:rsid w:val="00BD6919"/>
    <w:rsid w:val="00BE1EA7"/>
    <w:rsid w:val="00BE7489"/>
    <w:rsid w:val="00BF01EC"/>
    <w:rsid w:val="00BF2E0D"/>
    <w:rsid w:val="00BF3927"/>
    <w:rsid w:val="00BF3F8B"/>
    <w:rsid w:val="00BF76DA"/>
    <w:rsid w:val="00C07C7B"/>
    <w:rsid w:val="00C16245"/>
    <w:rsid w:val="00C22DC5"/>
    <w:rsid w:val="00C24479"/>
    <w:rsid w:val="00C273F2"/>
    <w:rsid w:val="00C37B53"/>
    <w:rsid w:val="00C477AD"/>
    <w:rsid w:val="00C517D2"/>
    <w:rsid w:val="00C52A22"/>
    <w:rsid w:val="00C5772E"/>
    <w:rsid w:val="00C62B36"/>
    <w:rsid w:val="00C7012C"/>
    <w:rsid w:val="00C712EA"/>
    <w:rsid w:val="00CA217D"/>
    <w:rsid w:val="00CC09D4"/>
    <w:rsid w:val="00CC668D"/>
    <w:rsid w:val="00CC7521"/>
    <w:rsid w:val="00CC7832"/>
    <w:rsid w:val="00CF0C1C"/>
    <w:rsid w:val="00CF27FD"/>
    <w:rsid w:val="00CF5F12"/>
    <w:rsid w:val="00CF6C57"/>
    <w:rsid w:val="00D00D8F"/>
    <w:rsid w:val="00D06A7E"/>
    <w:rsid w:val="00D07EBB"/>
    <w:rsid w:val="00D21F3A"/>
    <w:rsid w:val="00D23808"/>
    <w:rsid w:val="00D3016A"/>
    <w:rsid w:val="00D417D2"/>
    <w:rsid w:val="00D41A5D"/>
    <w:rsid w:val="00D42960"/>
    <w:rsid w:val="00D43BD7"/>
    <w:rsid w:val="00D4485B"/>
    <w:rsid w:val="00D4708D"/>
    <w:rsid w:val="00D4744C"/>
    <w:rsid w:val="00D521DE"/>
    <w:rsid w:val="00D5470B"/>
    <w:rsid w:val="00D63068"/>
    <w:rsid w:val="00D6498C"/>
    <w:rsid w:val="00D74218"/>
    <w:rsid w:val="00D76A70"/>
    <w:rsid w:val="00D83182"/>
    <w:rsid w:val="00D8521E"/>
    <w:rsid w:val="00D9291C"/>
    <w:rsid w:val="00D93A97"/>
    <w:rsid w:val="00D970E4"/>
    <w:rsid w:val="00DB1AC8"/>
    <w:rsid w:val="00DB1F64"/>
    <w:rsid w:val="00DC0C26"/>
    <w:rsid w:val="00DC23A6"/>
    <w:rsid w:val="00DC267F"/>
    <w:rsid w:val="00DC2F53"/>
    <w:rsid w:val="00DC5BAC"/>
    <w:rsid w:val="00DC6816"/>
    <w:rsid w:val="00DC76C2"/>
    <w:rsid w:val="00DD1CF2"/>
    <w:rsid w:val="00DE4484"/>
    <w:rsid w:val="00DF41B7"/>
    <w:rsid w:val="00DF4A4A"/>
    <w:rsid w:val="00DF583C"/>
    <w:rsid w:val="00E03C3F"/>
    <w:rsid w:val="00E06FD7"/>
    <w:rsid w:val="00E07417"/>
    <w:rsid w:val="00E24D45"/>
    <w:rsid w:val="00E33DB8"/>
    <w:rsid w:val="00E33EFF"/>
    <w:rsid w:val="00E34387"/>
    <w:rsid w:val="00E348BA"/>
    <w:rsid w:val="00E369FE"/>
    <w:rsid w:val="00E37C6F"/>
    <w:rsid w:val="00E475F8"/>
    <w:rsid w:val="00E5102E"/>
    <w:rsid w:val="00E558E9"/>
    <w:rsid w:val="00E568AD"/>
    <w:rsid w:val="00E5721C"/>
    <w:rsid w:val="00E619C6"/>
    <w:rsid w:val="00E745A1"/>
    <w:rsid w:val="00E81529"/>
    <w:rsid w:val="00E83A13"/>
    <w:rsid w:val="00EA3592"/>
    <w:rsid w:val="00EB6FC5"/>
    <w:rsid w:val="00EC2356"/>
    <w:rsid w:val="00EC2582"/>
    <w:rsid w:val="00EC337C"/>
    <w:rsid w:val="00ED0CFF"/>
    <w:rsid w:val="00ED31D2"/>
    <w:rsid w:val="00EE0EAC"/>
    <w:rsid w:val="00EE3322"/>
    <w:rsid w:val="00EE33CB"/>
    <w:rsid w:val="00F0061A"/>
    <w:rsid w:val="00F02834"/>
    <w:rsid w:val="00F04EEB"/>
    <w:rsid w:val="00F05467"/>
    <w:rsid w:val="00F055D2"/>
    <w:rsid w:val="00F07CD7"/>
    <w:rsid w:val="00F127E9"/>
    <w:rsid w:val="00F14353"/>
    <w:rsid w:val="00F14B5D"/>
    <w:rsid w:val="00F17A74"/>
    <w:rsid w:val="00F25476"/>
    <w:rsid w:val="00F259FC"/>
    <w:rsid w:val="00F36972"/>
    <w:rsid w:val="00F42426"/>
    <w:rsid w:val="00F44DB2"/>
    <w:rsid w:val="00F456BC"/>
    <w:rsid w:val="00F46DA2"/>
    <w:rsid w:val="00F50666"/>
    <w:rsid w:val="00F56F71"/>
    <w:rsid w:val="00F63F3D"/>
    <w:rsid w:val="00F70C9E"/>
    <w:rsid w:val="00F74A74"/>
    <w:rsid w:val="00F7572C"/>
    <w:rsid w:val="00F8382C"/>
    <w:rsid w:val="00F855D7"/>
    <w:rsid w:val="00F85E5F"/>
    <w:rsid w:val="00F92035"/>
    <w:rsid w:val="00F92748"/>
    <w:rsid w:val="00FA4169"/>
    <w:rsid w:val="00FB0D41"/>
    <w:rsid w:val="00FB2030"/>
    <w:rsid w:val="00FC4A43"/>
    <w:rsid w:val="00FD0E46"/>
    <w:rsid w:val="00FD12A7"/>
    <w:rsid w:val="00FD1CF2"/>
    <w:rsid w:val="00FD3EDF"/>
    <w:rsid w:val="00FD793C"/>
    <w:rsid w:val="00FE0FD5"/>
    <w:rsid w:val="00FE20E6"/>
    <w:rsid w:val="00FE3E3B"/>
    <w:rsid w:val="00FE44BC"/>
    <w:rsid w:val="00FF21EE"/>
    <w:rsid w:val="00FF4032"/>
    <w:rsid w:val="00FF6469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E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6A7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84C51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A84C51"/>
    <w:pPr>
      <w:keepNext/>
      <w:jc w:val="center"/>
      <w:outlineLvl w:val="1"/>
    </w:pPr>
    <w:rPr>
      <w:b/>
      <w:bCs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4C51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rsid w:val="00A84C5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A84C51"/>
  </w:style>
  <w:style w:type="character" w:styleId="Hyperlink">
    <w:name w:val="Hyperlink"/>
    <w:basedOn w:val="DefaultParagraphFont"/>
    <w:rsid w:val="00A84C51"/>
    <w:rPr>
      <w:color w:val="0000FF"/>
      <w:u w:val="single"/>
    </w:rPr>
  </w:style>
  <w:style w:type="paragraph" w:styleId="BalloonText">
    <w:name w:val="Balloon Text"/>
    <w:basedOn w:val="Normal"/>
    <w:semiHidden/>
    <w:rsid w:val="00EC235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37E2D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31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1E86"/>
    <w:rPr>
      <w:color w:val="800080" w:themeColor="followedHyperlink"/>
      <w:u w:val="single"/>
    </w:rPr>
  </w:style>
  <w:style w:type="table" w:styleId="TableGrid">
    <w:name w:val="Table Grid"/>
    <w:aliases w:val="Summary box,Dossier Table"/>
    <w:basedOn w:val="TableNormal"/>
    <w:uiPriority w:val="59"/>
    <w:rsid w:val="00D42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7012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01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1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0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012C"/>
    <w:rPr>
      <w:b/>
      <w:bCs/>
      <w:lang w:eastAsia="en-US"/>
    </w:rPr>
  </w:style>
  <w:style w:type="paragraph" w:styleId="ListParagraph">
    <w:name w:val="List Paragraph"/>
    <w:aliases w:val="Summary Bullets,Bullet 1,Bullet1,Bullet List,Section 5,List Paragraph CCT minutes,Table Legend,Bullets Points,Use Case List Paragraph,List Paragraph1,Body Bullet,Table Number Paragraph,Colorful List - Accent 11,List Paragraph 1,Ref,B1"/>
    <w:basedOn w:val="Normal"/>
    <w:link w:val="ListParagraphChar"/>
    <w:uiPriority w:val="34"/>
    <w:qFormat/>
    <w:rsid w:val="00104E2E"/>
    <w:pPr>
      <w:ind w:left="720"/>
      <w:contextualSpacing/>
    </w:pPr>
  </w:style>
  <w:style w:type="character" w:customStyle="1" w:styleId="Style2">
    <w:name w:val="Style2"/>
    <w:basedOn w:val="DefaultParagraphFont"/>
    <w:uiPriority w:val="1"/>
    <w:rsid w:val="00D6498C"/>
    <w:rPr>
      <w:sz w:val="32"/>
    </w:rPr>
  </w:style>
  <w:style w:type="character" w:styleId="PlaceholderText">
    <w:name w:val="Placeholder Text"/>
    <w:basedOn w:val="DefaultParagraphFont"/>
    <w:uiPriority w:val="99"/>
    <w:rsid w:val="00B13D65"/>
    <w:rPr>
      <w:color w:val="808080"/>
    </w:rPr>
  </w:style>
  <w:style w:type="paragraph" w:styleId="NoSpacing">
    <w:name w:val="No Spacing"/>
    <w:uiPriority w:val="1"/>
    <w:qFormat/>
    <w:rsid w:val="00B13D65"/>
    <w:rPr>
      <w:rFonts w:ascii="Calibri" w:eastAsia="Calibri" w:hAnsi="Calibri"/>
      <w:sz w:val="22"/>
      <w:szCs w:val="22"/>
      <w:lang w:eastAsia="en-US"/>
    </w:rPr>
  </w:style>
  <w:style w:type="table" w:customStyle="1" w:styleId="Lentelstinklelis1">
    <w:name w:val="Lentelės tinklelis1"/>
    <w:basedOn w:val="TableNormal"/>
    <w:next w:val="TableGrid"/>
    <w:rsid w:val="009E44AE"/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6256"/>
    <w:rPr>
      <w:sz w:val="24"/>
      <w:szCs w:val="24"/>
      <w:lang w:eastAsia="en-US"/>
    </w:rPr>
  </w:style>
  <w:style w:type="character" w:customStyle="1" w:styleId="ListParagraphChar">
    <w:name w:val="List Paragraph Char"/>
    <w:aliases w:val="Summary Bullets Char,Bullet 1 Char,Bullet1 Char,Bullet List Char,Section 5 Char,List Paragraph CCT minutes Char,Table Legend Char,Bullets Points Char,Use Case List Paragraph Char,List Paragraph1 Char,Body Bullet Char,Ref Char,B1 Char"/>
    <w:basedOn w:val="DefaultParagraphFont"/>
    <w:link w:val="ListParagraph"/>
    <w:uiPriority w:val="34"/>
    <w:qFormat/>
    <w:rsid w:val="003D1877"/>
    <w:rPr>
      <w:sz w:val="24"/>
      <w:szCs w:val="24"/>
      <w:lang w:eastAsia="en-US"/>
    </w:rPr>
  </w:style>
  <w:style w:type="paragraph" w:customStyle="1" w:styleId="Tekstas">
    <w:name w:val="Tekstas"/>
    <w:basedOn w:val="Normal"/>
    <w:link w:val="TekstasChar"/>
    <w:qFormat/>
    <w:rsid w:val="003D7795"/>
    <w:pPr>
      <w:spacing w:after="120"/>
      <w:jc w:val="both"/>
    </w:pPr>
  </w:style>
  <w:style w:type="character" w:customStyle="1" w:styleId="TekstasChar">
    <w:name w:val="Tekstas Char"/>
    <w:link w:val="Tekstas"/>
    <w:rsid w:val="003D7795"/>
    <w:rPr>
      <w:sz w:val="24"/>
      <w:szCs w:val="24"/>
      <w:lang w:eastAsia="en-US"/>
    </w:rPr>
  </w:style>
  <w:style w:type="paragraph" w:customStyle="1" w:styleId="numbered-paragraph">
    <w:name w:val="numbered-paragraph"/>
    <w:basedOn w:val="Normal"/>
    <w:rsid w:val="00D06A7E"/>
    <w:pPr>
      <w:spacing w:before="100" w:beforeAutospacing="1" w:after="100" w:afterAutospacing="1"/>
    </w:pPr>
    <w:rPr>
      <w:lang w:eastAsia="lt-LT"/>
    </w:rPr>
  </w:style>
  <w:style w:type="paragraph" w:styleId="NormalWeb">
    <w:name w:val="Normal (Web)"/>
    <w:basedOn w:val="Normal"/>
    <w:uiPriority w:val="99"/>
    <w:unhideWhenUsed/>
    <w:rsid w:val="00D06A7E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A0BD9328394B7BBD0D736FCF92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3756-FADB-4322-B023-DE7655182AC5}"/>
      </w:docPartPr>
      <w:docPartBody>
        <w:p w:rsidR="006109B9" w:rsidRDefault="00611FDE" w:rsidP="00611FDE">
          <w:pPr>
            <w:pStyle w:val="77A0BD9328394B7BBD0D736FCF92ABE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FF6573923764ED29D32A8F0CB837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D8300-7C9B-4051-92CC-63CB9869E151}"/>
      </w:docPartPr>
      <w:docPartBody>
        <w:p w:rsidR="006109B9" w:rsidRDefault="00611FDE" w:rsidP="00611FDE">
          <w:pPr>
            <w:pStyle w:val="6FF6573923764ED29D32A8F0CB837E9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1664EB595784028882812436225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2B66-D9C9-4879-B9D6-2BF96537E128}"/>
      </w:docPartPr>
      <w:docPartBody>
        <w:p w:rsidR="00A5528A" w:rsidRDefault="00110361" w:rsidP="00110361">
          <w:pPr>
            <w:pStyle w:val="41664EB59578402888281243622543D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FC1EFE5A67A42DBA95712D7F84E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AF57-0323-4500-940A-ECD442B32D1D}"/>
      </w:docPartPr>
      <w:docPartBody>
        <w:p w:rsidR="009E483B" w:rsidRDefault="00F0712C" w:rsidP="00F0712C">
          <w:pPr>
            <w:pStyle w:val="2FC1EFE5A67A42DBA95712D7F84ECB4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2F3FD6823E84BFFA61B7239067B4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5699-D2FC-4D14-BFBD-2B428D4687F8}"/>
      </w:docPartPr>
      <w:docPartBody>
        <w:p w:rsidR="009E483B" w:rsidRDefault="00F0712C" w:rsidP="00F0712C">
          <w:pPr>
            <w:pStyle w:val="12F3FD6823E84BFFA61B7239067B439A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D"/>
    <w:rsid w:val="0001247F"/>
    <w:rsid w:val="00061157"/>
    <w:rsid w:val="000937FE"/>
    <w:rsid w:val="000A559A"/>
    <w:rsid w:val="000C7B6D"/>
    <w:rsid w:val="000D24D4"/>
    <w:rsid w:val="00110361"/>
    <w:rsid w:val="0016504B"/>
    <w:rsid w:val="00197664"/>
    <w:rsid w:val="001B0EF2"/>
    <w:rsid w:val="001C35A9"/>
    <w:rsid w:val="001F47C5"/>
    <w:rsid w:val="00237556"/>
    <w:rsid w:val="00261FD4"/>
    <w:rsid w:val="002B48F2"/>
    <w:rsid w:val="0039303B"/>
    <w:rsid w:val="004144A3"/>
    <w:rsid w:val="004160E7"/>
    <w:rsid w:val="00420A59"/>
    <w:rsid w:val="004416C6"/>
    <w:rsid w:val="004B6D85"/>
    <w:rsid w:val="004F5AB2"/>
    <w:rsid w:val="005074B9"/>
    <w:rsid w:val="005542FA"/>
    <w:rsid w:val="005A1C78"/>
    <w:rsid w:val="005E40DD"/>
    <w:rsid w:val="006109B9"/>
    <w:rsid w:val="00611FDE"/>
    <w:rsid w:val="006C1BF3"/>
    <w:rsid w:val="00704286"/>
    <w:rsid w:val="007219C1"/>
    <w:rsid w:val="00753462"/>
    <w:rsid w:val="00772325"/>
    <w:rsid w:val="00784A59"/>
    <w:rsid w:val="007A2FE0"/>
    <w:rsid w:val="007C6D1D"/>
    <w:rsid w:val="007D24D1"/>
    <w:rsid w:val="0090074D"/>
    <w:rsid w:val="00947BF9"/>
    <w:rsid w:val="0095546A"/>
    <w:rsid w:val="009B3BF0"/>
    <w:rsid w:val="009D5E5E"/>
    <w:rsid w:val="009E483B"/>
    <w:rsid w:val="009F1BB4"/>
    <w:rsid w:val="00A5528A"/>
    <w:rsid w:val="00AB6ED4"/>
    <w:rsid w:val="00B14210"/>
    <w:rsid w:val="00B23DC0"/>
    <w:rsid w:val="00B300D2"/>
    <w:rsid w:val="00B55337"/>
    <w:rsid w:val="00B96656"/>
    <w:rsid w:val="00BE29C1"/>
    <w:rsid w:val="00C2401D"/>
    <w:rsid w:val="00C53A68"/>
    <w:rsid w:val="00CA5BB4"/>
    <w:rsid w:val="00CB4BD1"/>
    <w:rsid w:val="00CE2DA9"/>
    <w:rsid w:val="00CE44BE"/>
    <w:rsid w:val="00D107CD"/>
    <w:rsid w:val="00D4356B"/>
    <w:rsid w:val="00D6304E"/>
    <w:rsid w:val="00D7162F"/>
    <w:rsid w:val="00E42203"/>
    <w:rsid w:val="00E44A86"/>
    <w:rsid w:val="00E522EB"/>
    <w:rsid w:val="00E60827"/>
    <w:rsid w:val="00E73FF6"/>
    <w:rsid w:val="00E776E4"/>
    <w:rsid w:val="00E92CBC"/>
    <w:rsid w:val="00EF3D0F"/>
    <w:rsid w:val="00EF6E0C"/>
    <w:rsid w:val="00F0712C"/>
    <w:rsid w:val="00F55028"/>
    <w:rsid w:val="00F77BEF"/>
    <w:rsid w:val="00FC755C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0712C"/>
    <w:rPr>
      <w:color w:val="808080"/>
    </w:rPr>
  </w:style>
  <w:style w:type="paragraph" w:customStyle="1" w:styleId="77A0BD9328394B7BBD0D736FCF92ABE0">
    <w:name w:val="77A0BD9328394B7BBD0D736FCF92ABE0"/>
    <w:rsid w:val="00611FDE"/>
  </w:style>
  <w:style w:type="paragraph" w:customStyle="1" w:styleId="6FF6573923764ED29D32A8F0CB837E97">
    <w:name w:val="6FF6573923764ED29D32A8F0CB837E97"/>
    <w:rsid w:val="00611FDE"/>
  </w:style>
  <w:style w:type="paragraph" w:customStyle="1" w:styleId="41664EB59578402888281243622543D3">
    <w:name w:val="41664EB59578402888281243622543D3"/>
    <w:rsid w:val="00110361"/>
  </w:style>
  <w:style w:type="paragraph" w:customStyle="1" w:styleId="2FC1EFE5A67A42DBA95712D7F84ECB44">
    <w:name w:val="2FC1EFE5A67A42DBA95712D7F84ECB44"/>
    <w:rsid w:val="00F0712C"/>
  </w:style>
  <w:style w:type="paragraph" w:customStyle="1" w:styleId="12F3FD6823E84BFFA61B7239067B439A">
    <w:name w:val="12F3FD6823E84BFFA61B7239067B439A"/>
    <w:rsid w:val="00F07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DAC5-46A1-44B7-89B3-C648CA5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2438</Words>
  <Characters>16722</Characters>
  <Application>Microsoft Office Word</Application>
  <DocSecurity>0</DocSecurity>
  <Lines>139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19122</CharactersWithSpaces>
  <SharedDoc>false</SharedDoc>
  <HLinks>
    <vt:vector size="6" baseType="variant">
      <vt:variant>
        <vt:i4>5308539</vt:i4>
      </vt:variant>
      <vt:variant>
        <vt:i4>6</vt:i4>
      </vt:variant>
      <vt:variant>
        <vt:i4>0</vt:i4>
      </vt:variant>
      <vt:variant>
        <vt:i4>5</vt:i4>
      </vt:variant>
      <vt:variant>
        <vt:lpwstr>mailto:vvkt@vvkt.lt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2024-07-29T13:35:00Z</dcterms:created>
  <dcterms:modified xsi:type="dcterms:W3CDTF">2024-07-29T13:41:00Z</dcterms:modified>
</cp:coreProperties>
</file>