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5EB3" w14:textId="1955ADE3" w:rsidR="005F7602" w:rsidRDefault="005F7602" w:rsidP="002946C7">
      <w:pPr>
        <w:ind w:left="5529"/>
      </w:pPr>
    </w:p>
    <w:p w14:paraId="12FA4B9E" w14:textId="77777777" w:rsidR="001B3C5B" w:rsidRPr="00E33EFF" w:rsidRDefault="001B3C5B" w:rsidP="001B3C5B">
      <w:pPr>
        <w:ind w:left="6096"/>
      </w:pPr>
      <w:r w:rsidRPr="00E33EFF">
        <w:t>Forma patvirtinta</w:t>
      </w:r>
    </w:p>
    <w:p w14:paraId="7206970B" w14:textId="70E9BD2E" w:rsidR="004C263A" w:rsidRPr="00E33EFF" w:rsidRDefault="001B3C5B" w:rsidP="001B3C5B">
      <w:pPr>
        <w:ind w:left="6096"/>
      </w:pPr>
      <w:r w:rsidRPr="00E33EFF">
        <w:t>Valstybinės vaistų kontrolės tarnybos prie Lietuvos Respublikos sveikatos apsaugos ministerijos viršininko 2021 m</w:t>
      </w:r>
      <w:r w:rsidR="004C263A" w:rsidRPr="00E33EFF">
        <w:t xml:space="preserve">. lapkričio 12 </w:t>
      </w:r>
      <w:r w:rsidRPr="00E33EFF">
        <w:t>d. įsakymu Nr.</w:t>
      </w:r>
      <w:r w:rsidR="004C263A" w:rsidRPr="00E33EFF">
        <w:t xml:space="preserve"> (1.72E)1A-1418</w:t>
      </w:r>
    </w:p>
    <w:p w14:paraId="5B219AA6" w14:textId="520B9136" w:rsidR="001B3C5B" w:rsidRPr="00E33EFF" w:rsidRDefault="004C263A" w:rsidP="001B3C5B">
      <w:pPr>
        <w:ind w:left="6096"/>
      </w:pPr>
      <w:r w:rsidRPr="00E33EFF">
        <w:t>(Valstybinės vaistų kontrolės tarnybos prie Lietuvos Respublikos sveikatos apsaugos ministerijos viršininko 2022 m.                         d. įsakymo Nr.                    redakcija)</w:t>
      </w:r>
    </w:p>
    <w:p w14:paraId="3336BD74" w14:textId="77777777" w:rsidR="001B3C5B" w:rsidRPr="00E33EFF" w:rsidRDefault="001B3C5B" w:rsidP="00FA4169"/>
    <w:p w14:paraId="77AFB67E" w14:textId="16397257" w:rsidR="00613501" w:rsidRPr="00E33EFF" w:rsidRDefault="002F0E4F" w:rsidP="003B211A">
      <w:pPr>
        <w:jc w:val="center"/>
        <w:rPr>
          <w:b/>
          <w:bCs/>
          <w:caps/>
        </w:rPr>
      </w:pPr>
      <w:r w:rsidRPr="00E33EFF">
        <w:rPr>
          <w:b/>
        </w:rPr>
        <w:t xml:space="preserve">REKOMENDACIJA DĖL VAISTINIO PREPARATO </w:t>
      </w:r>
      <w:r w:rsidRPr="00E33EFF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E33EFF" w:rsidRDefault="00B13D65" w:rsidP="003B211A">
      <w:pPr>
        <w:jc w:val="center"/>
        <w:rPr>
          <w:b/>
        </w:rPr>
      </w:pPr>
    </w:p>
    <w:p w14:paraId="1323A812" w14:textId="541D1666" w:rsidR="005A73CE" w:rsidRPr="00D05364" w:rsidRDefault="005A73CE" w:rsidP="005A73CE">
      <w:pPr>
        <w:jc w:val="center"/>
        <w:rPr>
          <w:b/>
        </w:rPr>
      </w:pPr>
      <w:proofErr w:type="spellStart"/>
      <w:r>
        <w:rPr>
          <w:b/>
        </w:rPr>
        <w:t>Cabometyx</w:t>
      </w:r>
      <w:proofErr w:type="spellEnd"/>
      <w:r w:rsidR="00C52D9A">
        <w:rPr>
          <w:b/>
        </w:rPr>
        <w:t xml:space="preserve"> 20/40/60 mg</w:t>
      </w:r>
      <w:r>
        <w:rPr>
          <w:b/>
        </w:rPr>
        <w:t xml:space="preserve"> </w:t>
      </w:r>
      <w:r w:rsidRPr="00FE51B5">
        <w:rPr>
          <w:b/>
          <w:bCs/>
        </w:rPr>
        <w:t>plėvele dengtos tabletė</w:t>
      </w:r>
      <w:r>
        <w:rPr>
          <w:b/>
          <w:bCs/>
        </w:rPr>
        <w:t xml:space="preserve">s </w:t>
      </w:r>
    </w:p>
    <w:p w14:paraId="3B42AD7C" w14:textId="77777777" w:rsidR="004B205D" w:rsidRPr="004E28B7" w:rsidRDefault="004B205D" w:rsidP="004B205D">
      <w:pPr>
        <w:spacing w:line="276" w:lineRule="auto"/>
        <w:jc w:val="center"/>
        <w:rPr>
          <w:b/>
        </w:rPr>
      </w:pPr>
    </w:p>
    <w:p w14:paraId="080654B4" w14:textId="41C9332D" w:rsidR="004B205D" w:rsidRPr="004E28B7" w:rsidRDefault="005A73CE" w:rsidP="004B205D">
      <w:pPr>
        <w:spacing w:line="276" w:lineRule="auto"/>
        <w:jc w:val="center"/>
        <w:rPr>
          <w:b/>
        </w:rPr>
      </w:pPr>
      <w:proofErr w:type="spellStart"/>
      <w:r w:rsidRPr="005A73CE">
        <w:rPr>
          <w:b/>
          <w:bCs/>
        </w:rPr>
        <w:t>Kabozantinibas</w:t>
      </w:r>
      <w:proofErr w:type="spellEnd"/>
    </w:p>
    <w:p w14:paraId="7245D69E" w14:textId="77777777" w:rsidR="00937907" w:rsidRPr="00E33EFF" w:rsidRDefault="00937907" w:rsidP="00937907">
      <w:pPr>
        <w:jc w:val="center"/>
      </w:pPr>
    </w:p>
    <w:p w14:paraId="1D98E530" w14:textId="06EC9330" w:rsidR="00943E06" w:rsidRPr="00D05364" w:rsidRDefault="00937907" w:rsidP="00943E06">
      <w:pPr>
        <w:spacing w:line="276" w:lineRule="auto"/>
        <w:jc w:val="center"/>
        <w:rPr>
          <w:b/>
        </w:rPr>
      </w:pPr>
      <w:r w:rsidRPr="00E33EFF">
        <w:rPr>
          <w:b/>
        </w:rPr>
        <w:t>Paraiškos numeris</w:t>
      </w:r>
      <w:r w:rsidR="00943E06" w:rsidRPr="00943E06">
        <w:rPr>
          <w:b/>
        </w:rPr>
        <w:t xml:space="preserve"> </w:t>
      </w:r>
      <w:r w:rsidR="00943E06">
        <w:rPr>
          <w:b/>
        </w:rPr>
        <w:t>STV</w:t>
      </w:r>
      <w:r w:rsidR="00C52D9A">
        <w:rPr>
          <w:b/>
        </w:rPr>
        <w:t>-</w:t>
      </w:r>
      <w:r w:rsidR="005A73CE">
        <w:rPr>
          <w:b/>
        </w:rPr>
        <w:t>119</w:t>
      </w:r>
    </w:p>
    <w:p w14:paraId="5BC2EA5D" w14:textId="45A77B4A" w:rsidR="00937907" w:rsidRPr="00E33EFF" w:rsidRDefault="00937907" w:rsidP="003B211A">
      <w:pPr>
        <w:jc w:val="center"/>
        <w:rPr>
          <w:b/>
        </w:rPr>
      </w:pPr>
    </w:p>
    <w:p w14:paraId="453197C8" w14:textId="77777777" w:rsidR="00D4708D" w:rsidRPr="00E33EFF" w:rsidRDefault="00D4708D" w:rsidP="003B211A">
      <w:pPr>
        <w:jc w:val="center"/>
        <w:rPr>
          <w:b/>
        </w:rPr>
      </w:pPr>
    </w:p>
    <w:p w14:paraId="78C89D1C" w14:textId="0DEFFAA5" w:rsidR="00D4485B" w:rsidRPr="00E33EFF" w:rsidRDefault="00B13D65" w:rsidP="00CC09D4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bCs/>
          <w:caps/>
        </w:rPr>
      </w:pPr>
      <w:r w:rsidRPr="00E33EFF">
        <w:rPr>
          <w:b/>
          <w:bCs/>
          <w:caps/>
        </w:rPr>
        <w:t>Bendroji dalis</w:t>
      </w:r>
    </w:p>
    <w:p w14:paraId="04A7C7A7" w14:textId="77777777" w:rsidR="00B13D65" w:rsidRPr="00E33EFF" w:rsidRDefault="00B13D65" w:rsidP="00E03C3F">
      <w:pPr>
        <w:pStyle w:val="ListParagraph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32"/>
        <w:gridCol w:w="3694"/>
        <w:gridCol w:w="5167"/>
      </w:tblGrid>
      <w:tr w:rsidR="00B13D65" w:rsidRPr="00E33EFF" w14:paraId="18A83EC2" w14:textId="77777777" w:rsidTr="00BE7489">
        <w:trPr>
          <w:trHeight w:val="538"/>
        </w:trPr>
        <w:tc>
          <w:tcPr>
            <w:tcW w:w="632" w:type="dxa"/>
          </w:tcPr>
          <w:p w14:paraId="0646FBEA" w14:textId="77777777" w:rsidR="00B13D65" w:rsidRPr="00E33EFF" w:rsidRDefault="00B13D65" w:rsidP="00824B92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1.1</w:t>
            </w:r>
          </w:p>
        </w:tc>
        <w:tc>
          <w:tcPr>
            <w:tcW w:w="3694" w:type="dxa"/>
          </w:tcPr>
          <w:p w14:paraId="6C3AE864" w14:textId="77777777" w:rsidR="00B13D65" w:rsidRPr="00E33EFF" w:rsidRDefault="00B13D65" w:rsidP="00824B92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Pareiškėjas</w:t>
            </w:r>
          </w:p>
          <w:p w14:paraId="2AF240DC" w14:textId="77777777" w:rsidR="00B13D65" w:rsidRPr="00E33EFF" w:rsidRDefault="00B13D65" w:rsidP="00824B92">
            <w:pPr>
              <w:rPr>
                <w:rFonts w:eastAsia="Arial"/>
              </w:rPr>
            </w:pPr>
          </w:p>
        </w:tc>
        <w:tc>
          <w:tcPr>
            <w:tcW w:w="5167" w:type="dxa"/>
          </w:tcPr>
          <w:p w14:paraId="2AAF0D91" w14:textId="2BBD9BB3" w:rsidR="00B13D65" w:rsidRPr="00E33EFF" w:rsidRDefault="005A73CE" w:rsidP="00824B92">
            <w:pPr>
              <w:rPr>
                <w:rFonts w:eastAsia="Arial"/>
              </w:rPr>
            </w:pPr>
            <w:r w:rsidRPr="003F2D05">
              <w:t>Ipsen Pharma</w:t>
            </w:r>
          </w:p>
        </w:tc>
      </w:tr>
      <w:tr w:rsidR="005A73CE" w:rsidRPr="00E33EFF" w14:paraId="31998B0D" w14:textId="77777777" w:rsidTr="00BE7489">
        <w:trPr>
          <w:trHeight w:val="538"/>
        </w:trPr>
        <w:tc>
          <w:tcPr>
            <w:tcW w:w="632" w:type="dxa"/>
          </w:tcPr>
          <w:p w14:paraId="2005EC67" w14:textId="662300D0" w:rsidR="005A73CE" w:rsidRPr="00E33EFF" w:rsidRDefault="005A73CE" w:rsidP="005A73CE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1.2</w:t>
            </w:r>
          </w:p>
        </w:tc>
        <w:tc>
          <w:tcPr>
            <w:tcW w:w="3694" w:type="dxa"/>
          </w:tcPr>
          <w:p w14:paraId="1E4AE3B1" w14:textId="77777777" w:rsidR="005A73CE" w:rsidRPr="00E33EFF" w:rsidRDefault="005A73CE" w:rsidP="005A73CE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Registracijos data </w:t>
            </w:r>
          </w:p>
          <w:p w14:paraId="3A0DC096" w14:textId="77777777" w:rsidR="005A73CE" w:rsidRPr="00E33EFF" w:rsidRDefault="005A73CE" w:rsidP="005A73CE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3CA218AD" w14:textId="552B1D82" w:rsidR="005A73CE" w:rsidRPr="005A73CE" w:rsidRDefault="005A73CE" w:rsidP="005A73CE">
            <w:pPr>
              <w:rPr>
                <w:rStyle w:val="Style2"/>
                <w:sz w:val="24"/>
              </w:rPr>
            </w:pPr>
            <w:r w:rsidRPr="005A73CE">
              <w:rPr>
                <w:rStyle w:val="Style2"/>
                <w:sz w:val="24"/>
                <w:lang w:val="en-US"/>
              </w:rPr>
              <w:t>2016 09 09</w:t>
            </w:r>
          </w:p>
        </w:tc>
      </w:tr>
      <w:tr w:rsidR="005A73CE" w:rsidRPr="00E33EFF" w14:paraId="15968AE1" w14:textId="77777777" w:rsidTr="005A73CE">
        <w:trPr>
          <w:trHeight w:val="1341"/>
        </w:trPr>
        <w:tc>
          <w:tcPr>
            <w:tcW w:w="632" w:type="dxa"/>
          </w:tcPr>
          <w:p w14:paraId="6A784245" w14:textId="1E461489" w:rsidR="005A73CE" w:rsidRPr="00E33EFF" w:rsidRDefault="005A73CE" w:rsidP="005A73CE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1.3</w:t>
            </w:r>
          </w:p>
        </w:tc>
        <w:tc>
          <w:tcPr>
            <w:tcW w:w="3694" w:type="dxa"/>
          </w:tcPr>
          <w:p w14:paraId="22933506" w14:textId="77777777" w:rsidR="005A73CE" w:rsidRPr="00E33EFF" w:rsidRDefault="005A73CE" w:rsidP="005A73CE">
            <w:r w:rsidRPr="00E33EFF">
              <w:t xml:space="preserve">Paraiškos tipas </w:t>
            </w:r>
          </w:p>
          <w:p w14:paraId="0465E680" w14:textId="7F0A0714" w:rsidR="005A73CE" w:rsidRPr="00E33EFF" w:rsidRDefault="005A73CE" w:rsidP="005A73CE">
            <w:r w:rsidRPr="00E33EFF">
              <w:t xml:space="preserve">(pagal </w:t>
            </w:r>
            <w:r w:rsidRPr="00E33EFF">
              <w:rPr>
                <w:color w:val="333333"/>
                <w:shd w:val="clear" w:color="auto" w:fill="FFFFFF"/>
              </w:rPr>
              <w:t>vaistinio preparato registracijos tipą, įtvirtintą</w:t>
            </w:r>
            <w:r w:rsidRPr="00E33EFF">
              <w:t xml:space="preserve"> Direktyvos 2001/83/EB </w:t>
            </w:r>
            <w:proofErr w:type="spellStart"/>
            <w:r w:rsidRPr="00E33EFF">
              <w:t>straipsiuose</w:t>
            </w:r>
            <w:proofErr w:type="spellEnd"/>
            <w:r w:rsidRPr="00E33EFF">
              <w:t>)</w:t>
            </w:r>
          </w:p>
          <w:p w14:paraId="77089D80" w14:textId="6681D72A" w:rsidR="005A73CE" w:rsidRPr="00E33EFF" w:rsidRDefault="005A73CE" w:rsidP="005A73CE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208F40EC" w14:textId="2F4EA9C5" w:rsidR="005A73CE" w:rsidRPr="005A73CE" w:rsidRDefault="00242B21" w:rsidP="005A73CE">
            <w:sdt>
              <w:sdtPr>
                <w:rPr>
                  <w:rStyle w:val="Style2"/>
                  <w:sz w:val="24"/>
                </w:rPr>
                <w:id w:val="52629207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 w:rsidRPr="005A73C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5A73CE" w:rsidRPr="005A73CE">
              <w:t xml:space="preserve">8.3 str. (pilna byla, pagrįsta savais tyrimais) </w:t>
            </w:r>
          </w:p>
          <w:p w14:paraId="32BA564E" w14:textId="3FDA3E01" w:rsidR="005A73CE" w:rsidRPr="005A73CE" w:rsidRDefault="00242B21" w:rsidP="005A73CE">
            <w:sdt>
              <w:sdtPr>
                <w:rPr>
                  <w:rStyle w:val="Style2"/>
                  <w:sz w:val="24"/>
                </w:rPr>
                <w:id w:val="-149795373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 w:rsidRPr="005A73CE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A73CE" w:rsidRPr="005A73CE">
              <w:t xml:space="preserve">10 a str. (pripažintas medicininis vartojimas) </w:t>
            </w:r>
          </w:p>
          <w:p w14:paraId="318DCD7F" w14:textId="32333E53" w:rsidR="005A73CE" w:rsidRPr="005A73CE" w:rsidRDefault="00242B21" w:rsidP="005A73CE">
            <w:sdt>
              <w:sdtPr>
                <w:rPr>
                  <w:rStyle w:val="Style2"/>
                  <w:sz w:val="24"/>
                </w:rPr>
                <w:id w:val="2041424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 w:rsidRPr="005A73CE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A73CE" w:rsidRPr="005A73CE">
              <w:t>10.1 str. (</w:t>
            </w:r>
            <w:proofErr w:type="spellStart"/>
            <w:r w:rsidR="005A73CE" w:rsidRPr="005A73CE">
              <w:t>generinis</w:t>
            </w:r>
            <w:proofErr w:type="spellEnd"/>
            <w:r w:rsidR="005A73CE" w:rsidRPr="005A73CE">
              <w:t>)</w:t>
            </w:r>
          </w:p>
          <w:p w14:paraId="3B0A4F72" w14:textId="3F5FB073" w:rsidR="005A73CE" w:rsidRPr="005A73CE" w:rsidRDefault="00242B21" w:rsidP="005A73CE">
            <w:pPr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82030510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 w:rsidRPr="005A73CE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A73CE" w:rsidRPr="005A73CE">
              <w:t>10.3 str. (hibridinis)</w:t>
            </w:r>
          </w:p>
        </w:tc>
      </w:tr>
      <w:tr w:rsidR="005A73CE" w:rsidRPr="00E33EFF" w14:paraId="310E9662" w14:textId="77777777" w:rsidTr="005A73CE">
        <w:trPr>
          <w:trHeight w:val="940"/>
        </w:trPr>
        <w:tc>
          <w:tcPr>
            <w:tcW w:w="632" w:type="dxa"/>
          </w:tcPr>
          <w:p w14:paraId="4B5A91A2" w14:textId="561B5E5F" w:rsidR="005A73CE" w:rsidRPr="00E33EFF" w:rsidRDefault="005A73CE" w:rsidP="005A73CE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1.4</w:t>
            </w:r>
          </w:p>
        </w:tc>
        <w:tc>
          <w:tcPr>
            <w:tcW w:w="3694" w:type="dxa"/>
          </w:tcPr>
          <w:p w14:paraId="483071A3" w14:textId="61EB1AAA" w:rsidR="005A73CE" w:rsidRPr="00E33EFF" w:rsidRDefault="005A73CE" w:rsidP="005A73CE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Ar vaistinis preparatas įrašytas į Bendrijos retųjų vaistinių preparatų registrą? </w:t>
            </w:r>
          </w:p>
        </w:tc>
        <w:tc>
          <w:tcPr>
            <w:tcW w:w="5167" w:type="dxa"/>
          </w:tcPr>
          <w:p w14:paraId="05845C60" w14:textId="10CF4033" w:rsidR="005A73CE" w:rsidRPr="00E33EFF" w:rsidRDefault="00242B21" w:rsidP="005A73CE">
            <w:sdt>
              <w:sdtPr>
                <w:rPr>
                  <w:rStyle w:val="Style2"/>
                  <w:sz w:val="24"/>
                </w:rPr>
                <w:id w:val="2024432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 w:rsidRPr="00E33EF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A73CE" w:rsidRPr="00E33EFF">
              <w:t xml:space="preserve"> Taip</w:t>
            </w:r>
          </w:p>
          <w:p w14:paraId="29C2CBBB" w14:textId="545DE887" w:rsidR="005A73CE" w:rsidRPr="005A73CE" w:rsidRDefault="00242B21" w:rsidP="005A73CE">
            <w:sdt>
              <w:sdtPr>
                <w:rPr>
                  <w:rStyle w:val="Style2"/>
                  <w:sz w:val="24"/>
                </w:rPr>
                <w:id w:val="-97050792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5A73CE" w:rsidRPr="00E33EFF">
              <w:t xml:space="preserve"> Ne</w:t>
            </w:r>
          </w:p>
        </w:tc>
      </w:tr>
      <w:tr w:rsidR="005A73CE" w:rsidRPr="00E33EFF" w14:paraId="7841E5F8" w14:textId="77777777" w:rsidTr="00BE7489">
        <w:trPr>
          <w:trHeight w:val="476"/>
        </w:trPr>
        <w:tc>
          <w:tcPr>
            <w:tcW w:w="632" w:type="dxa"/>
          </w:tcPr>
          <w:p w14:paraId="109D2861" w14:textId="73BF27DF" w:rsidR="005A73CE" w:rsidRPr="00E33EFF" w:rsidRDefault="005A73CE" w:rsidP="005A73CE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1.5</w:t>
            </w:r>
          </w:p>
        </w:tc>
        <w:tc>
          <w:tcPr>
            <w:tcW w:w="3694" w:type="dxa"/>
          </w:tcPr>
          <w:p w14:paraId="7822D63E" w14:textId="68C38334" w:rsidR="005A73CE" w:rsidRPr="00E33EFF" w:rsidRDefault="005A73CE" w:rsidP="005A73CE">
            <w:pPr>
              <w:rPr>
                <w:bCs/>
                <w:color w:val="000000"/>
                <w:lang w:eastAsia="lt-LT"/>
              </w:rPr>
            </w:pPr>
            <w:r w:rsidRPr="00E33EFF">
              <w:t>STV paraiškos pobūdis</w:t>
            </w:r>
          </w:p>
        </w:tc>
        <w:tc>
          <w:tcPr>
            <w:tcW w:w="5167" w:type="dxa"/>
          </w:tcPr>
          <w:p w14:paraId="403461B9" w14:textId="68A37216" w:rsidR="005A73CE" w:rsidRPr="00E33EFF" w:rsidRDefault="00242B21" w:rsidP="005A73CE">
            <w:sdt>
              <w:sdtPr>
                <w:rPr>
                  <w:rStyle w:val="Style2"/>
                  <w:sz w:val="24"/>
                </w:rPr>
                <w:id w:val="-46843353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5A73CE" w:rsidRPr="00E33EFF">
              <w:t xml:space="preserve"> Pilna paraiška</w:t>
            </w:r>
          </w:p>
          <w:p w14:paraId="6B8213E3" w14:textId="3495CDF4" w:rsidR="005A73CE" w:rsidRPr="00E33EFF" w:rsidRDefault="00242B21" w:rsidP="005A73CE">
            <w:sdt>
              <w:sdtPr>
                <w:rPr>
                  <w:rStyle w:val="Style2"/>
                  <w:sz w:val="24"/>
                </w:rPr>
                <w:id w:val="-148901490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 w:rsidRPr="00E33EF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A73CE" w:rsidRPr="00E33EFF">
              <w:t xml:space="preserve"> Supaprastinta paraiška</w:t>
            </w:r>
          </w:p>
        </w:tc>
      </w:tr>
      <w:tr w:rsidR="005A73CE" w:rsidRPr="00E33EFF" w14:paraId="274D1DAF" w14:textId="77777777" w:rsidTr="005A73CE">
        <w:trPr>
          <w:trHeight w:val="1062"/>
        </w:trPr>
        <w:tc>
          <w:tcPr>
            <w:tcW w:w="632" w:type="dxa"/>
          </w:tcPr>
          <w:p w14:paraId="17ABF217" w14:textId="14AC00D7" w:rsidR="005A73CE" w:rsidRPr="00E33EFF" w:rsidRDefault="005A73CE" w:rsidP="005A73CE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1.6</w:t>
            </w:r>
          </w:p>
        </w:tc>
        <w:tc>
          <w:tcPr>
            <w:tcW w:w="3694" w:type="dxa"/>
          </w:tcPr>
          <w:p w14:paraId="3A6B054C" w14:textId="4872CC89" w:rsidR="005A73CE" w:rsidRDefault="005A73CE" w:rsidP="005A73CE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Pareiškėjo teikiama (-</w:t>
            </w:r>
            <w:proofErr w:type="spellStart"/>
            <w:r w:rsidRPr="00E33EFF">
              <w:rPr>
                <w:bCs/>
                <w:color w:val="000000"/>
                <w:lang w:eastAsia="lt-LT"/>
              </w:rPr>
              <w:t>os</w:t>
            </w:r>
            <w:proofErr w:type="spellEnd"/>
            <w:r w:rsidRPr="00E33EFF">
              <w:rPr>
                <w:bCs/>
                <w:color w:val="000000"/>
                <w:lang w:eastAsia="lt-LT"/>
              </w:rPr>
              <w:t>) kompensuoti vaistinio preparato indikacija (-</w:t>
            </w:r>
            <w:proofErr w:type="spellStart"/>
            <w:r w:rsidRPr="00E33EFF">
              <w:rPr>
                <w:bCs/>
                <w:color w:val="000000"/>
                <w:lang w:eastAsia="lt-LT"/>
              </w:rPr>
              <w:t>os</w:t>
            </w:r>
            <w:proofErr w:type="spellEnd"/>
            <w:r w:rsidRPr="00E33EFF">
              <w:rPr>
                <w:bCs/>
                <w:color w:val="000000"/>
                <w:lang w:eastAsia="lt-LT"/>
              </w:rPr>
              <w:t>)</w:t>
            </w:r>
          </w:p>
          <w:p w14:paraId="433D2644" w14:textId="77777777" w:rsidR="005A73CE" w:rsidRDefault="005A73CE" w:rsidP="005A73CE">
            <w:pPr>
              <w:rPr>
                <w:bCs/>
                <w:color w:val="000000"/>
                <w:lang w:eastAsia="lt-LT"/>
              </w:rPr>
            </w:pPr>
          </w:p>
          <w:p w14:paraId="50766B69" w14:textId="77777777" w:rsidR="005A73CE" w:rsidRDefault="005A73CE" w:rsidP="005A73CE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Kodas pagal TLK-10 AM</w:t>
            </w:r>
          </w:p>
          <w:p w14:paraId="6B4FEEC1" w14:textId="378668B0" w:rsidR="005A73CE" w:rsidRPr="00E33EFF" w:rsidRDefault="005A73CE" w:rsidP="005A73CE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2C8A421E" w14:textId="77777777" w:rsidR="005A73CE" w:rsidRPr="00572ECA" w:rsidRDefault="005A73CE" w:rsidP="005A73CE">
            <w:pPr>
              <w:pStyle w:val="ListParagraph"/>
              <w:spacing w:after="120"/>
              <w:ind w:left="0"/>
              <w:contextualSpacing w:val="0"/>
              <w:jc w:val="both"/>
              <w:rPr>
                <w:rFonts w:eastAsia="TimesNewRoman"/>
              </w:rPr>
            </w:pPr>
            <w:r w:rsidRPr="003F2D05">
              <w:rPr>
                <w:rFonts w:eastAsia="TimesNewRoman"/>
              </w:rPr>
              <w:t xml:space="preserve">CABOMETYX derinys su </w:t>
            </w:r>
            <w:proofErr w:type="spellStart"/>
            <w:r w:rsidRPr="003F2D05">
              <w:rPr>
                <w:rFonts w:eastAsia="TimesNewRoman"/>
              </w:rPr>
              <w:t>nivolumabu</w:t>
            </w:r>
            <w:proofErr w:type="spellEnd"/>
            <w:r w:rsidRPr="003F2D05">
              <w:rPr>
                <w:rFonts w:eastAsia="TimesNewRoman"/>
              </w:rPr>
              <w:t xml:space="preserve"> yra skirtas suaugusių pacientų išplitusios inkstų ląstelių  karcinomos pirmaeiliam gydymui.</w:t>
            </w:r>
          </w:p>
          <w:p w14:paraId="13F7DFB0" w14:textId="4F173D28" w:rsidR="005A73CE" w:rsidRPr="00E33EFF" w:rsidRDefault="005A73CE" w:rsidP="005A73CE">
            <w:pPr>
              <w:pStyle w:val="ListParagraph"/>
              <w:spacing w:after="120" w:line="276" w:lineRule="auto"/>
              <w:ind w:left="0"/>
              <w:contextualSpacing w:val="0"/>
              <w:jc w:val="both"/>
            </w:pPr>
            <w:r>
              <w:t>TLK-10 AM: C64.</w:t>
            </w:r>
          </w:p>
        </w:tc>
      </w:tr>
      <w:tr w:rsidR="005A73CE" w:rsidRPr="00E33EFF" w14:paraId="2F79DC08" w14:textId="77777777" w:rsidTr="00BE7489">
        <w:trPr>
          <w:trHeight w:val="378"/>
        </w:trPr>
        <w:tc>
          <w:tcPr>
            <w:tcW w:w="632" w:type="dxa"/>
          </w:tcPr>
          <w:p w14:paraId="547885A2" w14:textId="08AA8055" w:rsidR="005A73CE" w:rsidRPr="00E33EFF" w:rsidRDefault="005A73CE" w:rsidP="005A73CE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1.6</w:t>
            </w:r>
          </w:p>
        </w:tc>
        <w:tc>
          <w:tcPr>
            <w:tcW w:w="3694" w:type="dxa"/>
          </w:tcPr>
          <w:p w14:paraId="2EAB877F" w14:textId="39A36941" w:rsidR="005A73CE" w:rsidRPr="00E33EFF" w:rsidRDefault="005A73CE" w:rsidP="005A73CE">
            <w:pPr>
              <w:rPr>
                <w:bCs/>
                <w:color w:val="000000"/>
                <w:u w:val="single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Pareiškėjo teikiamos skyrimo sąlygos </w:t>
            </w:r>
          </w:p>
        </w:tc>
        <w:tc>
          <w:tcPr>
            <w:tcW w:w="5167" w:type="dxa"/>
          </w:tcPr>
          <w:p w14:paraId="0579DF58" w14:textId="4B155348" w:rsidR="005A73CE" w:rsidRPr="00E33EFF" w:rsidRDefault="005A73CE" w:rsidP="005A73CE">
            <w:r>
              <w:t>Neteikiamos</w:t>
            </w:r>
          </w:p>
        </w:tc>
      </w:tr>
      <w:tr w:rsidR="005A73CE" w:rsidRPr="00E33EFF" w14:paraId="3B125269" w14:textId="77777777" w:rsidTr="00BE7489">
        <w:trPr>
          <w:trHeight w:val="378"/>
        </w:trPr>
        <w:tc>
          <w:tcPr>
            <w:tcW w:w="632" w:type="dxa"/>
          </w:tcPr>
          <w:p w14:paraId="0058E11F" w14:textId="77777777" w:rsidR="005A73CE" w:rsidRPr="00E33EFF" w:rsidRDefault="005A73CE" w:rsidP="005A73CE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1.7</w:t>
            </w:r>
          </w:p>
        </w:tc>
        <w:tc>
          <w:tcPr>
            <w:tcW w:w="3694" w:type="dxa"/>
          </w:tcPr>
          <w:p w14:paraId="738E1926" w14:textId="50A9DC79" w:rsidR="005A73CE" w:rsidRDefault="005A73CE" w:rsidP="005A73CE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Pareiškėjo teikiamas palyginamasis gydymas</w:t>
            </w:r>
            <w:r>
              <w:rPr>
                <w:bCs/>
                <w:color w:val="000000"/>
                <w:lang w:eastAsia="lt-LT"/>
              </w:rPr>
              <w:t>:</w:t>
            </w:r>
            <w:r w:rsidRPr="00E33EFF">
              <w:rPr>
                <w:bCs/>
                <w:color w:val="000000"/>
                <w:lang w:eastAsia="lt-LT"/>
              </w:rPr>
              <w:t xml:space="preserve"> </w:t>
            </w:r>
          </w:p>
          <w:p w14:paraId="1F7BF92F" w14:textId="1810A9D9" w:rsidR="005A73CE" w:rsidRPr="007C7519" w:rsidRDefault="005A73CE" w:rsidP="005A73CE">
            <w:pPr>
              <w:rPr>
                <w:bCs/>
                <w:i/>
                <w:color w:val="000000"/>
                <w:lang w:eastAsia="lt-LT"/>
              </w:rPr>
            </w:pPr>
            <w:r w:rsidRPr="007C7519">
              <w:rPr>
                <w:bCs/>
                <w:i/>
                <w:color w:val="000000"/>
                <w:lang w:eastAsia="lt-LT"/>
              </w:rPr>
              <w:lastRenderedPageBreak/>
              <w:t>Tiesioginis</w:t>
            </w:r>
          </w:p>
          <w:p w14:paraId="61EC5BBD" w14:textId="14F8BBC7" w:rsidR="005A73CE" w:rsidRPr="00E33EFF" w:rsidRDefault="005A73CE" w:rsidP="005A73CE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 xml:space="preserve">Pacientai sergantys </w:t>
            </w:r>
            <w:r w:rsidR="001E3285">
              <w:rPr>
                <w:bCs/>
                <w:color w:val="000000"/>
                <w:lang w:eastAsia="lt-LT"/>
              </w:rPr>
              <w:t xml:space="preserve">geros </w:t>
            </w:r>
            <w:r w:rsidR="001E3285">
              <w:rPr>
                <w:rFonts w:eastAsia="Arial"/>
                <w:bCs/>
              </w:rPr>
              <w:t>prognozės</w:t>
            </w:r>
            <w:r>
              <w:rPr>
                <w:bCs/>
                <w:color w:val="000000"/>
                <w:lang w:eastAsia="lt-LT"/>
              </w:rPr>
              <w:t xml:space="preserve"> </w:t>
            </w:r>
            <w:r w:rsidRPr="003F2D05">
              <w:rPr>
                <w:rFonts w:eastAsia="TimesNewRoman"/>
              </w:rPr>
              <w:t>išplitusi</w:t>
            </w:r>
            <w:r>
              <w:rPr>
                <w:rFonts w:eastAsia="TimesNewRoman"/>
              </w:rPr>
              <w:t>a</w:t>
            </w:r>
            <w:r w:rsidRPr="003F2D05">
              <w:rPr>
                <w:rFonts w:eastAsia="TimesNewRoman"/>
              </w:rPr>
              <w:t xml:space="preserve"> inkstų ląstelių  karcinom</w:t>
            </w:r>
            <w:r>
              <w:rPr>
                <w:rFonts w:eastAsia="TimesNewRoman"/>
              </w:rPr>
              <w:t>a</w:t>
            </w:r>
          </w:p>
          <w:p w14:paraId="62057D94" w14:textId="77777777" w:rsidR="005A73CE" w:rsidRPr="00E33EFF" w:rsidRDefault="005A73CE" w:rsidP="005A73CE">
            <w:pPr>
              <w:rPr>
                <w:bCs/>
                <w:color w:val="000000"/>
                <w:lang w:eastAsia="lt-LT"/>
              </w:rPr>
            </w:pPr>
          </w:p>
          <w:p w14:paraId="004D0D25" w14:textId="77777777" w:rsidR="005A73CE" w:rsidRDefault="005A73CE" w:rsidP="005A73CE">
            <w:pPr>
              <w:rPr>
                <w:bCs/>
                <w:i/>
                <w:iCs/>
                <w:color w:val="000000"/>
                <w:lang w:eastAsia="lt-LT"/>
              </w:rPr>
            </w:pPr>
            <w:r>
              <w:rPr>
                <w:bCs/>
                <w:i/>
                <w:iCs/>
                <w:color w:val="000000"/>
                <w:lang w:eastAsia="lt-LT"/>
              </w:rPr>
              <w:t>Netiesioginis</w:t>
            </w:r>
          </w:p>
          <w:p w14:paraId="6CC1022E" w14:textId="38D9276C" w:rsidR="005A73CE" w:rsidRPr="005A73CE" w:rsidRDefault="005A73CE" w:rsidP="001E3285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 xml:space="preserve">Pacientai sergantys vidutinės ir </w:t>
            </w:r>
            <w:r w:rsidR="001E3285">
              <w:rPr>
                <w:bCs/>
                <w:color w:val="000000"/>
                <w:lang w:eastAsia="lt-LT"/>
              </w:rPr>
              <w:t xml:space="preserve">blogos </w:t>
            </w:r>
            <w:r w:rsidR="001E3285">
              <w:rPr>
                <w:rFonts w:eastAsia="Arial"/>
                <w:bCs/>
              </w:rPr>
              <w:t>prognozės</w:t>
            </w:r>
            <w:r>
              <w:rPr>
                <w:bCs/>
                <w:color w:val="000000"/>
                <w:lang w:eastAsia="lt-LT"/>
              </w:rPr>
              <w:t xml:space="preserve"> </w:t>
            </w:r>
            <w:r w:rsidRPr="003F2D05">
              <w:rPr>
                <w:rFonts w:eastAsia="TimesNewRoman"/>
              </w:rPr>
              <w:t>išplitusi</w:t>
            </w:r>
            <w:r>
              <w:rPr>
                <w:rFonts w:eastAsia="TimesNewRoman"/>
              </w:rPr>
              <w:t>a</w:t>
            </w:r>
            <w:r w:rsidRPr="003F2D05">
              <w:rPr>
                <w:rFonts w:eastAsia="TimesNewRoman"/>
              </w:rPr>
              <w:t xml:space="preserve"> inkstų ląstelių  karcinom</w:t>
            </w:r>
            <w:r>
              <w:rPr>
                <w:rFonts w:eastAsia="TimesNewRoman"/>
              </w:rPr>
              <w:t>a</w:t>
            </w:r>
          </w:p>
        </w:tc>
        <w:tc>
          <w:tcPr>
            <w:tcW w:w="5167" w:type="dxa"/>
          </w:tcPr>
          <w:p w14:paraId="3E389C70" w14:textId="22AFFC76" w:rsidR="005A73CE" w:rsidRDefault="005A73CE" w:rsidP="005A73CE">
            <w:pPr>
              <w:rPr>
                <w:rStyle w:val="Style2"/>
                <w:sz w:val="24"/>
              </w:rPr>
            </w:pPr>
          </w:p>
          <w:p w14:paraId="5474EFC4" w14:textId="79628B2B" w:rsidR="005A73CE" w:rsidRDefault="005A73CE" w:rsidP="005A73CE">
            <w:pPr>
              <w:rPr>
                <w:rStyle w:val="Style2"/>
                <w:sz w:val="24"/>
              </w:rPr>
            </w:pPr>
          </w:p>
          <w:p w14:paraId="5481FC83" w14:textId="77777777" w:rsidR="005A73CE" w:rsidRDefault="005A73CE" w:rsidP="005A73CE">
            <w:pPr>
              <w:rPr>
                <w:rStyle w:val="Style2"/>
                <w:sz w:val="24"/>
              </w:rPr>
            </w:pPr>
          </w:p>
          <w:p w14:paraId="66741CBF" w14:textId="03099B04" w:rsidR="005A73CE" w:rsidRDefault="00242B21" w:rsidP="005A73CE">
            <w:sdt>
              <w:sdtPr>
                <w:rPr>
                  <w:rStyle w:val="Style2"/>
                  <w:sz w:val="24"/>
                </w:rPr>
                <w:id w:val="-83430296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5A73CE" w:rsidRPr="00E33EFF">
              <w:t xml:space="preserve"> Tinkamas</w:t>
            </w:r>
          </w:p>
          <w:p w14:paraId="650910E1" w14:textId="77777777" w:rsidR="005A73CE" w:rsidRDefault="005A73CE" w:rsidP="005A73CE"/>
          <w:p w14:paraId="5CEC1F12" w14:textId="77777777" w:rsidR="005A73CE" w:rsidRPr="00E33EFF" w:rsidRDefault="005A73CE" w:rsidP="005A73CE"/>
          <w:p w14:paraId="41B44044" w14:textId="460BC1F0" w:rsidR="005A73CE" w:rsidRPr="00E33EFF" w:rsidRDefault="00242B21" w:rsidP="005A73CE">
            <w:sdt>
              <w:sdtPr>
                <w:rPr>
                  <w:rStyle w:val="Style2"/>
                  <w:sz w:val="24"/>
                </w:rPr>
                <w:id w:val="148095570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5A73CE" w:rsidRPr="00E33EFF">
              <w:t xml:space="preserve"> Tinkamas</w:t>
            </w:r>
          </w:p>
        </w:tc>
      </w:tr>
    </w:tbl>
    <w:p w14:paraId="108176F7" w14:textId="640C6F75" w:rsidR="00F70C9E" w:rsidRPr="00E33EFF" w:rsidRDefault="00F70C9E" w:rsidP="00E03C3F">
      <w:pPr>
        <w:pStyle w:val="ListParagraph"/>
        <w:tabs>
          <w:tab w:val="left" w:pos="426"/>
        </w:tabs>
        <w:ind w:left="0"/>
        <w:rPr>
          <w:b/>
          <w:bCs/>
          <w:caps/>
        </w:rPr>
      </w:pPr>
    </w:p>
    <w:p w14:paraId="2871CA7F" w14:textId="2370BDDB" w:rsidR="00F70C9E" w:rsidRPr="00E33EFF" w:rsidRDefault="00F70C9E" w:rsidP="00880A44">
      <w:pPr>
        <w:spacing w:line="276" w:lineRule="auto"/>
        <w:jc w:val="both"/>
        <w:rPr>
          <w:rFonts w:eastAsia="Arial"/>
          <w:b/>
        </w:rPr>
      </w:pPr>
      <w:r w:rsidRPr="00E33EFF">
        <w:rPr>
          <w:rFonts w:eastAsia="Arial"/>
          <w:b/>
        </w:rPr>
        <w:t xml:space="preserve">1.8 Kitų </w:t>
      </w:r>
      <w:r w:rsidR="00DF583C" w:rsidRPr="00E33EFF">
        <w:rPr>
          <w:rFonts w:eastAsia="Arial"/>
          <w:b/>
        </w:rPr>
        <w:t xml:space="preserve">valstybių </w:t>
      </w:r>
      <w:r w:rsidRPr="00E33EFF">
        <w:rPr>
          <w:rFonts w:eastAsia="Arial"/>
          <w:b/>
        </w:rPr>
        <w:t xml:space="preserve">atsakingų institucijų atlikto </w:t>
      </w:r>
      <w:r w:rsidR="00DF583C" w:rsidRPr="00E33EFF">
        <w:rPr>
          <w:rFonts w:eastAsia="Arial"/>
          <w:b/>
        </w:rPr>
        <w:t>Sveikatos technologijų vertinimo (toliau – STV)</w:t>
      </w:r>
      <w:r w:rsidRPr="00E33EFF">
        <w:rPr>
          <w:rFonts w:eastAsia="Arial"/>
          <w:b/>
        </w:rPr>
        <w:t xml:space="preserve"> išvados</w:t>
      </w:r>
    </w:p>
    <w:p w14:paraId="30721FDD" w14:textId="77777777" w:rsidR="00F70C9E" w:rsidRPr="00E33EFF" w:rsidRDefault="00F70C9E" w:rsidP="00F70C9E">
      <w:pPr>
        <w:spacing w:line="276" w:lineRule="auto"/>
        <w:rPr>
          <w:rFonts w:eastAsia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27"/>
        <w:gridCol w:w="1915"/>
        <w:gridCol w:w="2351"/>
        <w:gridCol w:w="2725"/>
      </w:tblGrid>
      <w:tr w:rsidR="00664199" w:rsidRPr="00D05364" w14:paraId="24CBE2BE" w14:textId="77777777" w:rsidTr="00574BB9">
        <w:trPr>
          <w:trHeight w:val="924"/>
        </w:trPr>
        <w:tc>
          <w:tcPr>
            <w:tcW w:w="2927" w:type="dxa"/>
          </w:tcPr>
          <w:p w14:paraId="00BF4349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STV agentūros pavadinimas, šalis</w:t>
            </w:r>
          </w:p>
        </w:tc>
        <w:tc>
          <w:tcPr>
            <w:tcW w:w="1915" w:type="dxa"/>
          </w:tcPr>
          <w:p w14:paraId="4484F97F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STV vertinimas atliktas</w:t>
            </w:r>
          </w:p>
        </w:tc>
        <w:tc>
          <w:tcPr>
            <w:tcW w:w="2351" w:type="dxa"/>
          </w:tcPr>
          <w:p w14:paraId="3C645CE6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Klinikinio vertinimo išvada</w:t>
            </w:r>
          </w:p>
        </w:tc>
        <w:tc>
          <w:tcPr>
            <w:tcW w:w="2725" w:type="dxa"/>
          </w:tcPr>
          <w:p w14:paraId="714CA7BD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proofErr w:type="spellStart"/>
            <w:r w:rsidRPr="00D05364">
              <w:rPr>
                <w:rFonts w:eastAsia="Arial"/>
              </w:rPr>
              <w:t>Farmakoekonominio</w:t>
            </w:r>
            <w:proofErr w:type="spellEnd"/>
            <w:r w:rsidRPr="00D05364">
              <w:rPr>
                <w:rFonts w:eastAsia="Arial"/>
              </w:rPr>
              <w:t xml:space="preserve"> vertinimo išvada</w:t>
            </w:r>
          </w:p>
        </w:tc>
      </w:tr>
      <w:tr w:rsidR="00664199" w:rsidRPr="00D05364" w14:paraId="0D0F9E86" w14:textId="77777777" w:rsidTr="00574BB9">
        <w:trPr>
          <w:trHeight w:val="1765"/>
        </w:trPr>
        <w:tc>
          <w:tcPr>
            <w:tcW w:w="2927" w:type="dxa"/>
          </w:tcPr>
          <w:p w14:paraId="3CC647D9" w14:textId="77777777" w:rsidR="00664199" w:rsidRPr="00D05364" w:rsidRDefault="00664199" w:rsidP="00574BB9">
            <w:pPr>
              <w:autoSpaceDE w:val="0"/>
              <w:autoSpaceDN w:val="0"/>
              <w:adjustRightInd w:val="0"/>
              <w:rPr>
                <w:bCs/>
              </w:rPr>
            </w:pPr>
            <w:r w:rsidRPr="00D05364">
              <w:rPr>
                <w:bCs/>
              </w:rPr>
              <w:t>Nacionalinis sveikatos ir klinikinės kompetencijos institutas, Didžioji Britanija</w:t>
            </w:r>
          </w:p>
          <w:p w14:paraId="1DBF2BD9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</w:rPr>
              <w:t>National</w:t>
            </w:r>
            <w:proofErr w:type="spellEnd"/>
            <w:r w:rsidRPr="00D05364">
              <w:rPr>
                <w:rFonts w:eastAsia="Arial"/>
                <w:i/>
              </w:rPr>
              <w:t xml:space="preserve"> Institute </w:t>
            </w:r>
            <w:proofErr w:type="spellStart"/>
            <w:r w:rsidRPr="00D05364">
              <w:rPr>
                <w:rFonts w:eastAsia="Arial"/>
                <w:i/>
              </w:rPr>
              <w:t>for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Health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and</w:t>
            </w:r>
            <w:proofErr w:type="spellEnd"/>
            <w:r w:rsidRPr="00D05364">
              <w:rPr>
                <w:rFonts w:eastAsia="Arial"/>
                <w:i/>
              </w:rPr>
              <w:t xml:space="preserve"> Care </w:t>
            </w:r>
            <w:proofErr w:type="spellStart"/>
            <w:r w:rsidRPr="00D05364">
              <w:rPr>
                <w:rFonts w:eastAsia="Arial"/>
                <w:i/>
              </w:rPr>
              <w:t>Excellence</w:t>
            </w:r>
            <w:proofErr w:type="spellEnd"/>
            <w:r w:rsidRPr="00D05364">
              <w:rPr>
                <w:rFonts w:eastAsia="Arial"/>
                <w:i/>
              </w:rPr>
              <w:t>, NICE</w:t>
            </w:r>
            <w:r w:rsidRPr="00D05364">
              <w:rPr>
                <w:rFonts w:eastAsia="Arial"/>
              </w:rPr>
              <w:t>)</w:t>
            </w:r>
          </w:p>
        </w:tc>
        <w:tc>
          <w:tcPr>
            <w:tcW w:w="1915" w:type="dxa"/>
          </w:tcPr>
          <w:p w14:paraId="4A01D968" w14:textId="77777777" w:rsidR="00664199" w:rsidRPr="00D05364" w:rsidRDefault="00242B21" w:rsidP="00574BB9">
            <w:sdt>
              <w:sdtPr>
                <w:rPr>
                  <w:rStyle w:val="Style2"/>
                </w:rPr>
                <w:id w:val="15582050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419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99" w:rsidRPr="00D05364">
              <w:t xml:space="preserve"> Taip</w:t>
            </w:r>
          </w:p>
          <w:p w14:paraId="43FE3FC0" w14:textId="77777777" w:rsidR="00664199" w:rsidRPr="00D05364" w:rsidRDefault="00242B21" w:rsidP="00574BB9">
            <w:sdt>
              <w:sdtPr>
                <w:rPr>
                  <w:rStyle w:val="Style2"/>
                </w:rPr>
                <w:id w:val="86602962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4199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664199" w:rsidRPr="00D05364">
              <w:t xml:space="preserve"> Ne</w:t>
            </w:r>
          </w:p>
          <w:p w14:paraId="0BE081D8" w14:textId="77777777" w:rsidR="00664199" w:rsidRPr="00D05364" w:rsidRDefault="00664199" w:rsidP="00574BB9">
            <w:pPr>
              <w:rPr>
                <w:rFonts w:eastAsia="Arial"/>
              </w:rPr>
            </w:pPr>
          </w:p>
        </w:tc>
        <w:tc>
          <w:tcPr>
            <w:tcW w:w="2351" w:type="dxa"/>
          </w:tcPr>
          <w:p w14:paraId="3EE1EDD2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2725" w:type="dxa"/>
          </w:tcPr>
          <w:p w14:paraId="7C6D6D86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</w:p>
        </w:tc>
      </w:tr>
      <w:tr w:rsidR="00664199" w:rsidRPr="00D05364" w14:paraId="6D359C57" w14:textId="77777777" w:rsidTr="00574BB9">
        <w:trPr>
          <w:trHeight w:val="1547"/>
        </w:trPr>
        <w:tc>
          <w:tcPr>
            <w:tcW w:w="2927" w:type="dxa"/>
          </w:tcPr>
          <w:p w14:paraId="2B414370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Kanados sveikatos technologijų agentūra</w:t>
            </w:r>
          </w:p>
          <w:p w14:paraId="01C4E17B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</w:rPr>
              <w:t>Canadian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health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Technology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Assessment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agency</w:t>
            </w:r>
            <w:proofErr w:type="spellEnd"/>
            <w:r w:rsidRPr="00D05364">
              <w:rPr>
                <w:rFonts w:eastAsia="Arial"/>
                <w:i/>
              </w:rPr>
              <w:t>, CADTH</w:t>
            </w:r>
            <w:r w:rsidRPr="00D05364">
              <w:rPr>
                <w:rFonts w:eastAsia="Arial"/>
              </w:rPr>
              <w:t>)</w:t>
            </w:r>
          </w:p>
        </w:tc>
        <w:tc>
          <w:tcPr>
            <w:tcW w:w="1915" w:type="dxa"/>
          </w:tcPr>
          <w:p w14:paraId="790ACB3A" w14:textId="77777777" w:rsidR="00664199" w:rsidRPr="00D05364" w:rsidRDefault="00242B21" w:rsidP="00574BB9">
            <w:sdt>
              <w:sdtPr>
                <w:rPr>
                  <w:rStyle w:val="Style2"/>
                </w:rPr>
                <w:id w:val="-37253905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4199" w:rsidRPr="00D05364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199" w:rsidRPr="00D05364">
              <w:t xml:space="preserve"> Taip</w:t>
            </w:r>
          </w:p>
          <w:p w14:paraId="2E235BF9" w14:textId="77777777" w:rsidR="00664199" w:rsidRPr="0041608C" w:rsidRDefault="00242B21" w:rsidP="00574BB9">
            <w:sdt>
              <w:sdtPr>
                <w:rPr>
                  <w:rStyle w:val="Style2"/>
                </w:rPr>
                <w:id w:val="59444222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4199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664199" w:rsidRPr="00D05364">
              <w:t xml:space="preserve"> Ne</w:t>
            </w:r>
          </w:p>
        </w:tc>
        <w:tc>
          <w:tcPr>
            <w:tcW w:w="2351" w:type="dxa"/>
          </w:tcPr>
          <w:p w14:paraId="1D8C193B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2725" w:type="dxa"/>
          </w:tcPr>
          <w:p w14:paraId="22B0A1A3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</w:p>
        </w:tc>
      </w:tr>
      <w:tr w:rsidR="00664199" w:rsidRPr="00D05364" w14:paraId="64D12061" w14:textId="77777777" w:rsidTr="00574BB9">
        <w:trPr>
          <w:trHeight w:val="1927"/>
        </w:trPr>
        <w:tc>
          <w:tcPr>
            <w:tcW w:w="2927" w:type="dxa"/>
          </w:tcPr>
          <w:p w14:paraId="3CBBA34D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 xml:space="preserve">Nacionalinis </w:t>
            </w:r>
            <w:proofErr w:type="spellStart"/>
            <w:r w:rsidRPr="00D05364">
              <w:rPr>
                <w:rFonts w:eastAsia="Arial"/>
              </w:rPr>
              <w:t>farmakoekonomikos</w:t>
            </w:r>
            <w:proofErr w:type="spellEnd"/>
            <w:r w:rsidRPr="00D05364">
              <w:rPr>
                <w:rFonts w:eastAsia="Arial"/>
              </w:rPr>
              <w:t xml:space="preserve"> centras, Airija</w:t>
            </w:r>
          </w:p>
          <w:p w14:paraId="057497D2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(angl.</w:t>
            </w:r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National</w:t>
            </w:r>
            <w:proofErr w:type="spellEnd"/>
            <w:r w:rsidRPr="00D05364">
              <w:rPr>
                <w:rFonts w:eastAsia="Arial"/>
                <w:i/>
              </w:rPr>
              <w:t xml:space="preserve"> Centre </w:t>
            </w:r>
            <w:proofErr w:type="spellStart"/>
            <w:r w:rsidRPr="00D05364">
              <w:rPr>
                <w:rFonts w:eastAsia="Arial"/>
                <w:i/>
              </w:rPr>
              <w:t>for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Pharmacoeconomics</w:t>
            </w:r>
            <w:proofErr w:type="spellEnd"/>
            <w:r w:rsidRPr="00D05364">
              <w:rPr>
                <w:rFonts w:eastAsia="Arial"/>
                <w:i/>
              </w:rPr>
              <w:t>, NCPE</w:t>
            </w:r>
            <w:r w:rsidRPr="00D05364">
              <w:rPr>
                <w:rFonts w:eastAsia="Arial"/>
              </w:rPr>
              <w:t>)</w:t>
            </w:r>
          </w:p>
        </w:tc>
        <w:tc>
          <w:tcPr>
            <w:tcW w:w="1915" w:type="dxa"/>
          </w:tcPr>
          <w:p w14:paraId="64F0F468" w14:textId="77777777" w:rsidR="00664199" w:rsidRPr="00D05364" w:rsidRDefault="00242B21" w:rsidP="00574BB9">
            <w:sdt>
              <w:sdtPr>
                <w:rPr>
                  <w:rStyle w:val="Style2"/>
                </w:rPr>
                <w:id w:val="-188840373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4199" w:rsidRPr="00D05364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199" w:rsidRPr="00D05364">
              <w:t xml:space="preserve"> Taip</w:t>
            </w:r>
          </w:p>
          <w:p w14:paraId="0ADD1E90" w14:textId="77777777" w:rsidR="00664199" w:rsidRPr="00D05364" w:rsidRDefault="00242B21" w:rsidP="00574BB9">
            <w:sdt>
              <w:sdtPr>
                <w:rPr>
                  <w:rStyle w:val="Style2"/>
                </w:rPr>
                <w:id w:val="1092201793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4199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664199" w:rsidRPr="00D05364">
              <w:t xml:space="preserve"> Ne</w:t>
            </w:r>
          </w:p>
          <w:p w14:paraId="5FEA398D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2351" w:type="dxa"/>
          </w:tcPr>
          <w:p w14:paraId="37AEBBC0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2725" w:type="dxa"/>
          </w:tcPr>
          <w:p w14:paraId="4565934F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</w:p>
        </w:tc>
      </w:tr>
      <w:tr w:rsidR="00664199" w:rsidRPr="00D05364" w14:paraId="242D070F" w14:textId="77777777" w:rsidTr="00574BB9">
        <w:trPr>
          <w:trHeight w:val="690"/>
        </w:trPr>
        <w:tc>
          <w:tcPr>
            <w:tcW w:w="2927" w:type="dxa"/>
          </w:tcPr>
          <w:p w14:paraId="45D40B8B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E6595A">
              <w:rPr>
                <w:rFonts w:eastAsia="Arial"/>
              </w:rPr>
              <w:t xml:space="preserve">Škotijos medicinos konsorciumas </w:t>
            </w:r>
            <w:r w:rsidRPr="001F216C">
              <w:rPr>
                <w:rFonts w:eastAsia="Arial"/>
              </w:rPr>
              <w:t xml:space="preserve">(angl. </w:t>
            </w:r>
            <w:proofErr w:type="spellStart"/>
            <w:r>
              <w:rPr>
                <w:rFonts w:eastAsia="Arial"/>
                <w:i/>
              </w:rPr>
              <w:t>Scottish</w:t>
            </w:r>
            <w:proofErr w:type="spellEnd"/>
            <w:r>
              <w:rPr>
                <w:rFonts w:eastAsia="Arial"/>
                <w:i/>
              </w:rPr>
              <w:t xml:space="preserve"> </w:t>
            </w:r>
            <w:proofErr w:type="spellStart"/>
            <w:r>
              <w:rPr>
                <w:rFonts w:eastAsia="Arial"/>
                <w:i/>
              </w:rPr>
              <w:t>Medicines</w:t>
            </w:r>
            <w:proofErr w:type="spellEnd"/>
            <w:r>
              <w:rPr>
                <w:rFonts w:eastAsia="Arial"/>
                <w:i/>
              </w:rPr>
              <w:t xml:space="preserve"> </w:t>
            </w:r>
            <w:proofErr w:type="spellStart"/>
            <w:r>
              <w:rPr>
                <w:rFonts w:eastAsia="Arial"/>
                <w:i/>
              </w:rPr>
              <w:t>Consortium</w:t>
            </w:r>
            <w:proofErr w:type="spellEnd"/>
            <w:r>
              <w:rPr>
                <w:rFonts w:eastAsia="Arial"/>
                <w:i/>
              </w:rPr>
              <w:t>, SMC</w:t>
            </w:r>
            <w:r w:rsidRPr="001F216C">
              <w:rPr>
                <w:rFonts w:eastAsia="Arial"/>
              </w:rPr>
              <w:t>)</w:t>
            </w:r>
            <w:r w:rsidRPr="00D05364">
              <w:rPr>
                <w:rFonts w:eastAsia="Arial"/>
              </w:rPr>
              <w:t xml:space="preserve"> </w:t>
            </w:r>
          </w:p>
        </w:tc>
        <w:tc>
          <w:tcPr>
            <w:tcW w:w="1915" w:type="dxa"/>
          </w:tcPr>
          <w:p w14:paraId="72CBB952" w14:textId="77777777" w:rsidR="00664199" w:rsidRPr="00D05364" w:rsidRDefault="00242B21" w:rsidP="00574BB9">
            <w:sdt>
              <w:sdtPr>
                <w:rPr>
                  <w:rStyle w:val="Style2"/>
                </w:rPr>
                <w:id w:val="163443788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4199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664199" w:rsidRPr="00D05364">
              <w:t xml:space="preserve"> Taip</w:t>
            </w:r>
          </w:p>
          <w:p w14:paraId="0C91793A" w14:textId="77777777" w:rsidR="00664199" w:rsidRPr="00D05364" w:rsidRDefault="00242B21" w:rsidP="00574BB9">
            <w:sdt>
              <w:sdtPr>
                <w:rPr>
                  <w:rStyle w:val="Style2"/>
                </w:rPr>
                <w:id w:val="8565538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419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99" w:rsidRPr="00D05364">
              <w:t xml:space="preserve"> Ne</w:t>
            </w:r>
          </w:p>
          <w:p w14:paraId="43E4520E" w14:textId="77777777" w:rsidR="00664199" w:rsidRPr="00D05364" w:rsidRDefault="00242B21" w:rsidP="00574BB9">
            <w:pPr>
              <w:pStyle w:val="ListParagraph"/>
              <w:spacing w:after="120"/>
              <w:ind w:left="0"/>
              <w:contextualSpacing w:val="0"/>
              <w:jc w:val="both"/>
              <w:rPr>
                <w:rStyle w:val="Style2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1004862963"/>
                <w:placeholder>
                  <w:docPart w:val="28B6686D221B46CCA3E090575759E2DF"/>
                </w:placeholder>
                <w15:color w:val="FFCC99"/>
                <w:date w:fullDate="2021-10-11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664199">
                  <w:t>2021 m. spalio 11 d.</w:t>
                </w:r>
              </w:sdtContent>
            </w:sdt>
          </w:p>
        </w:tc>
        <w:tc>
          <w:tcPr>
            <w:tcW w:w="2351" w:type="dxa"/>
          </w:tcPr>
          <w:p w14:paraId="292CAE77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3F2D05">
              <w:rPr>
                <w:rFonts w:eastAsia="TimesNewRoman"/>
              </w:rPr>
              <w:t>Derin</w:t>
            </w:r>
            <w:r>
              <w:rPr>
                <w:rFonts w:eastAsia="TimesNewRoman"/>
              </w:rPr>
              <w:t xml:space="preserve">yje </w:t>
            </w:r>
            <w:r w:rsidRPr="003F2D05">
              <w:rPr>
                <w:rFonts w:eastAsia="TimesNewRoman"/>
              </w:rPr>
              <w:t xml:space="preserve">su </w:t>
            </w:r>
            <w:proofErr w:type="spellStart"/>
            <w:r w:rsidRPr="003F2D05">
              <w:rPr>
                <w:rFonts w:eastAsia="TimesNewRoman"/>
              </w:rPr>
              <w:t>nivolumabu</w:t>
            </w:r>
            <w:proofErr w:type="spellEnd"/>
            <w:r>
              <w:rPr>
                <w:rFonts w:eastAsia="TimesNewRoman"/>
              </w:rPr>
              <w:t xml:space="preserve"> </w:t>
            </w:r>
            <w:r w:rsidRPr="003F2D05">
              <w:rPr>
                <w:rFonts w:eastAsia="TimesNewRoman"/>
              </w:rPr>
              <w:t>suaugusių pacientų išplitusios inkstų ląstelių  karcinomos pirmaeiliam gydymui.</w:t>
            </w:r>
          </w:p>
        </w:tc>
        <w:tc>
          <w:tcPr>
            <w:tcW w:w="2725" w:type="dxa"/>
          </w:tcPr>
          <w:p w14:paraId="322DDABB" w14:textId="77777777" w:rsidR="00664199" w:rsidRPr="00D05364" w:rsidRDefault="00664199" w:rsidP="00574BB9">
            <w:pPr>
              <w:spacing w:line="276" w:lineRule="auto"/>
              <w:rPr>
                <w:rFonts w:eastAsia="Arial"/>
              </w:rPr>
            </w:pPr>
            <w:r w:rsidRPr="00D028E7">
              <w:rPr>
                <w:rFonts w:eastAsia="Arial"/>
              </w:rPr>
              <w:t>Rekomenduo</w:t>
            </w:r>
            <w:r>
              <w:rPr>
                <w:rFonts w:eastAsia="Arial"/>
              </w:rPr>
              <w:t>ta</w:t>
            </w:r>
            <w:r w:rsidRPr="00D028E7">
              <w:rPr>
                <w:rFonts w:eastAsia="Arial"/>
              </w:rPr>
              <w:t xml:space="preserve"> kompensuoti sumažinus kainą.</w:t>
            </w:r>
          </w:p>
        </w:tc>
      </w:tr>
    </w:tbl>
    <w:p w14:paraId="2EB7FD31" w14:textId="4D2A8479" w:rsidR="007A2B68" w:rsidRDefault="007A2B68" w:rsidP="00E03C3F">
      <w:pPr>
        <w:pStyle w:val="ListParagraph"/>
        <w:tabs>
          <w:tab w:val="left" w:pos="426"/>
        </w:tabs>
        <w:ind w:left="0"/>
        <w:rPr>
          <w:b/>
          <w:bCs/>
          <w:caps/>
        </w:rPr>
      </w:pPr>
    </w:p>
    <w:p w14:paraId="73290081" w14:textId="77777777" w:rsidR="007A2B68" w:rsidRDefault="007A2B68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3F284A6B" w14:textId="5AB629BD" w:rsidR="005A73CE" w:rsidRDefault="00CC7832" w:rsidP="005A73CE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lastRenderedPageBreak/>
        <w:t>Klinikinio vertinimo a</w:t>
      </w:r>
      <w:r w:rsidR="00D4485B" w:rsidRPr="00E33EFF">
        <w:rPr>
          <w:b/>
          <w:bCs/>
          <w:caps/>
        </w:rPr>
        <w:t>pibendrinimas</w:t>
      </w:r>
    </w:p>
    <w:p w14:paraId="4F8788E7" w14:textId="77777777" w:rsidR="005A73CE" w:rsidRDefault="005A73CE" w:rsidP="005A73CE">
      <w:pPr>
        <w:tabs>
          <w:tab w:val="left" w:pos="426"/>
        </w:tabs>
        <w:spacing w:line="276" w:lineRule="auto"/>
        <w:jc w:val="both"/>
        <w:rPr>
          <w:b/>
          <w:bCs/>
          <w:caps/>
        </w:rPr>
      </w:pPr>
    </w:p>
    <w:p w14:paraId="1D9BF078" w14:textId="77777777" w:rsidR="005A73CE" w:rsidRDefault="005A73CE" w:rsidP="005A73CE">
      <w:pPr>
        <w:tabs>
          <w:tab w:val="left" w:pos="426"/>
        </w:tabs>
        <w:spacing w:line="276" w:lineRule="auto"/>
        <w:ind w:firstLine="425"/>
        <w:jc w:val="both"/>
        <w:rPr>
          <w:rFonts w:eastAsia="Arial"/>
          <w:bCs/>
        </w:rPr>
      </w:pPr>
      <w:bookmarkStart w:id="0" w:name="_Hlk172214461"/>
      <w:r w:rsidRPr="00814015">
        <w:rPr>
          <w:rFonts w:eastAsia="Arial"/>
          <w:bCs/>
        </w:rPr>
        <w:t xml:space="preserve">Inkstų ląstelių karcinoma </w:t>
      </w:r>
      <w:r>
        <w:rPr>
          <w:rFonts w:eastAsia="Arial"/>
          <w:bCs/>
        </w:rPr>
        <w:t xml:space="preserve">(ILK) yra </w:t>
      </w:r>
      <w:r w:rsidRPr="00814015">
        <w:rPr>
          <w:rFonts w:eastAsia="Arial"/>
          <w:bCs/>
        </w:rPr>
        <w:t>dažniausiai diagnozuojama</w:t>
      </w:r>
      <w:r>
        <w:rPr>
          <w:rFonts w:eastAsia="Arial"/>
          <w:bCs/>
        </w:rPr>
        <w:t>s</w:t>
      </w:r>
      <w:r w:rsidRPr="00814015">
        <w:rPr>
          <w:rFonts w:eastAsia="Arial"/>
          <w:bCs/>
        </w:rPr>
        <w:t xml:space="preserve"> inkstų vėžio tipas</w:t>
      </w:r>
      <w:r>
        <w:rPr>
          <w:rFonts w:eastAsia="Arial"/>
          <w:bCs/>
        </w:rPr>
        <w:t xml:space="preserve">, sudarantis daugiau nei </w:t>
      </w:r>
      <w:r w:rsidRPr="00814015">
        <w:rPr>
          <w:rFonts w:eastAsia="Arial"/>
          <w:bCs/>
        </w:rPr>
        <w:t>8</w:t>
      </w:r>
      <w:r>
        <w:rPr>
          <w:rFonts w:eastAsia="Arial"/>
          <w:bCs/>
        </w:rPr>
        <w:t>0 proc. inkstų piktybinių ligų</w:t>
      </w:r>
      <w:r w:rsidRPr="00814015">
        <w:rPr>
          <w:rFonts w:eastAsia="Arial"/>
          <w:bCs/>
        </w:rPr>
        <w:t>.</w:t>
      </w:r>
      <w:r>
        <w:rPr>
          <w:rFonts w:eastAsia="Arial"/>
          <w:bCs/>
        </w:rPr>
        <w:t xml:space="preserve"> ILK terminas apima įvairius inkstų, </w:t>
      </w:r>
      <w:r>
        <w:rPr>
          <w:color w:val="000000"/>
        </w:rPr>
        <w:t>išskyrus inksto geldelės, piktybinius navikus.</w:t>
      </w:r>
      <w:r>
        <w:rPr>
          <w:rFonts w:eastAsia="Arial"/>
          <w:bCs/>
        </w:rPr>
        <w:t xml:space="preserve"> P</w:t>
      </w:r>
      <w:r w:rsidRPr="009B602F">
        <w:rPr>
          <w:rFonts w:eastAsia="Arial"/>
          <w:bCs/>
        </w:rPr>
        <w:t xml:space="preserve">er pastaruosius du dešimtmečius sergamumas </w:t>
      </w:r>
      <w:r>
        <w:rPr>
          <w:rFonts w:eastAsia="Arial"/>
          <w:bCs/>
        </w:rPr>
        <w:t xml:space="preserve">ILK </w:t>
      </w:r>
      <w:r w:rsidRPr="009B602F">
        <w:rPr>
          <w:rFonts w:eastAsia="Arial"/>
          <w:bCs/>
        </w:rPr>
        <w:t xml:space="preserve">visame pasaulyje ir Europoje kasmet </w:t>
      </w:r>
      <w:r>
        <w:rPr>
          <w:rFonts w:eastAsia="Arial"/>
          <w:bCs/>
        </w:rPr>
        <w:t>augo</w:t>
      </w:r>
      <w:r w:rsidRPr="009B602F">
        <w:rPr>
          <w:rFonts w:eastAsia="Arial"/>
          <w:bCs/>
        </w:rPr>
        <w:t xml:space="preserve"> maždaug 2 </w:t>
      </w:r>
      <w:r>
        <w:rPr>
          <w:rFonts w:eastAsia="Arial"/>
          <w:bCs/>
        </w:rPr>
        <w:t>proc</w:t>
      </w:r>
      <w:r w:rsidRPr="009B602F">
        <w:rPr>
          <w:rFonts w:eastAsia="Arial"/>
          <w:bCs/>
        </w:rPr>
        <w:t xml:space="preserve">. 2022 m. pasaulinis mirtingumas nuo </w:t>
      </w:r>
      <w:r>
        <w:rPr>
          <w:rFonts w:eastAsia="Arial"/>
          <w:bCs/>
        </w:rPr>
        <w:t>ILK</w:t>
      </w:r>
      <w:r w:rsidRPr="009B602F">
        <w:rPr>
          <w:rFonts w:eastAsia="Arial"/>
          <w:bCs/>
        </w:rPr>
        <w:t xml:space="preserve"> buvo 179 368 (115 600 vyrų ir 63 768 moterų</w:t>
      </w:r>
      <w:r>
        <w:rPr>
          <w:rFonts w:eastAsia="Arial"/>
          <w:bCs/>
        </w:rPr>
        <w:t>), nors daugelyje Europos valstybių pastaraisiais metais mirtingumas nuo ILK mažėja. T</w:t>
      </w:r>
      <w:r w:rsidRPr="009B602F">
        <w:rPr>
          <w:rFonts w:eastAsia="Arial"/>
          <w:bCs/>
        </w:rPr>
        <w:t>arp Europos valstybių</w:t>
      </w:r>
      <w:r>
        <w:rPr>
          <w:rFonts w:eastAsia="Arial"/>
          <w:bCs/>
        </w:rPr>
        <w:t xml:space="preserve"> </w:t>
      </w:r>
      <w:r>
        <w:rPr>
          <w:rFonts w:eastAsia="Arial"/>
          <w:bCs/>
          <w:lang w:val="en-US"/>
        </w:rPr>
        <w:t>2020 m.</w:t>
      </w:r>
      <w:r w:rsidRPr="009B602F">
        <w:rPr>
          <w:rFonts w:eastAsia="Arial"/>
          <w:bCs/>
        </w:rPr>
        <w:t xml:space="preserve"> didžiausias ILK paplitimas nustatytas Lietuvoje – 14,5 atvej</w:t>
      </w:r>
      <w:r>
        <w:rPr>
          <w:rFonts w:eastAsia="Arial"/>
          <w:bCs/>
        </w:rPr>
        <w:t xml:space="preserve">ų </w:t>
      </w:r>
      <w:r w:rsidRPr="009B602F">
        <w:rPr>
          <w:rFonts w:eastAsia="Arial"/>
          <w:bCs/>
        </w:rPr>
        <w:t>100000 gyventoj</w:t>
      </w:r>
      <w:r>
        <w:rPr>
          <w:rFonts w:eastAsia="Arial"/>
          <w:bCs/>
        </w:rPr>
        <w:t xml:space="preserve">ų. </w:t>
      </w:r>
      <w:r>
        <w:rPr>
          <w:color w:val="000000" w:themeColor="text1"/>
        </w:rPr>
        <w:t>Remiantis Pareiškėjo pateikta Lietuvos Onkologų draugijos (LOD) pozicija (,,Standartizuota forma sveikatos priežiūros specialistų organizacijų pozicijai pateikti“ (</w:t>
      </w:r>
      <w:r w:rsidRPr="009B602F">
        <w:rPr>
          <w:color w:val="000000" w:themeColor="text1"/>
        </w:rPr>
        <w:t>20</w:t>
      </w:r>
      <w:r>
        <w:rPr>
          <w:color w:val="000000" w:themeColor="text1"/>
        </w:rPr>
        <w:t xml:space="preserve">22-12-05)) (toliau – LOD pozicija), </w:t>
      </w:r>
      <w:r w:rsidRPr="00546E4B">
        <w:rPr>
          <w:color w:val="000000" w:themeColor="text1"/>
        </w:rPr>
        <w:t>2020 m</w:t>
      </w:r>
      <w:r>
        <w:rPr>
          <w:color w:val="000000" w:themeColor="text1"/>
        </w:rPr>
        <w:t>.</w:t>
      </w:r>
      <w:r w:rsidRPr="00546E4B">
        <w:rPr>
          <w:color w:val="000000" w:themeColor="text1"/>
        </w:rPr>
        <w:t xml:space="preserve"> pirmos eilės gydymą dėl </w:t>
      </w:r>
      <w:proofErr w:type="spellStart"/>
      <w:r w:rsidRPr="00546E4B">
        <w:rPr>
          <w:color w:val="000000" w:themeColor="text1"/>
        </w:rPr>
        <w:t>metastazavusio</w:t>
      </w:r>
      <w:proofErr w:type="spellEnd"/>
      <w:r w:rsidRPr="00546E4B">
        <w:rPr>
          <w:color w:val="000000" w:themeColor="text1"/>
        </w:rPr>
        <w:t xml:space="preserve"> inkstų ląstelių vėžio gavo 370, </w:t>
      </w:r>
      <w:r>
        <w:rPr>
          <w:color w:val="000000" w:themeColor="text1"/>
        </w:rPr>
        <w:t xml:space="preserve">o </w:t>
      </w:r>
      <w:r w:rsidRPr="00546E4B">
        <w:rPr>
          <w:color w:val="000000" w:themeColor="text1"/>
        </w:rPr>
        <w:t>2021</w:t>
      </w:r>
      <w:r>
        <w:rPr>
          <w:color w:val="000000" w:themeColor="text1"/>
        </w:rPr>
        <w:t xml:space="preserve"> m. - </w:t>
      </w:r>
      <w:r w:rsidRPr="00546E4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apie </w:t>
      </w:r>
      <w:r w:rsidRPr="00546E4B">
        <w:rPr>
          <w:color w:val="000000" w:themeColor="text1"/>
        </w:rPr>
        <w:t xml:space="preserve">360 pacientų. </w:t>
      </w:r>
    </w:p>
    <w:p w14:paraId="0264EA50" w14:textId="77777777" w:rsidR="005A73CE" w:rsidRDefault="005A73CE" w:rsidP="005A73CE">
      <w:pPr>
        <w:tabs>
          <w:tab w:val="left" w:pos="426"/>
        </w:tabs>
        <w:spacing w:line="276" w:lineRule="auto"/>
        <w:ind w:firstLine="425"/>
        <w:jc w:val="both"/>
        <w:rPr>
          <w:rFonts w:eastAsia="Arial"/>
          <w:bCs/>
        </w:rPr>
      </w:pPr>
      <w:r w:rsidRPr="00876F44">
        <w:rPr>
          <w:rFonts w:eastAsia="Arial"/>
          <w:bCs/>
        </w:rPr>
        <w:t xml:space="preserve">Dauguma </w:t>
      </w:r>
      <w:r>
        <w:rPr>
          <w:rFonts w:eastAsia="Arial"/>
          <w:bCs/>
        </w:rPr>
        <w:t>ILK</w:t>
      </w:r>
      <w:r w:rsidRPr="00876F44">
        <w:rPr>
          <w:rFonts w:eastAsia="Arial"/>
          <w:bCs/>
        </w:rPr>
        <w:t xml:space="preserve"> atvejų nustatomi </w:t>
      </w:r>
      <w:r>
        <w:rPr>
          <w:rFonts w:eastAsia="Arial"/>
          <w:bCs/>
        </w:rPr>
        <w:t>atsitiktinių</w:t>
      </w:r>
      <w:r w:rsidRPr="00876F44">
        <w:rPr>
          <w:rFonts w:eastAsia="Arial"/>
          <w:bCs/>
        </w:rPr>
        <w:t xml:space="preserve"> </w:t>
      </w:r>
      <w:r>
        <w:rPr>
          <w:rFonts w:eastAsia="Arial"/>
          <w:bCs/>
        </w:rPr>
        <w:t>vaizdinių tyrimų metu.</w:t>
      </w:r>
      <w:r w:rsidRPr="00876F44">
        <w:rPr>
          <w:rFonts w:eastAsia="Arial"/>
          <w:bCs/>
        </w:rPr>
        <w:t xml:space="preserve"> </w:t>
      </w:r>
      <w:r>
        <w:rPr>
          <w:rFonts w:eastAsia="Arial"/>
          <w:bCs/>
        </w:rPr>
        <w:t xml:space="preserve">ILK dažniausiai nesukelia simptomų ar pasireiškia nespecifiniais simptomais - </w:t>
      </w:r>
      <w:r w:rsidRPr="00876F44">
        <w:rPr>
          <w:rFonts w:eastAsia="Arial"/>
          <w:bCs/>
        </w:rPr>
        <w:t>karščiavim</w:t>
      </w:r>
      <w:r>
        <w:rPr>
          <w:rFonts w:eastAsia="Arial"/>
          <w:bCs/>
        </w:rPr>
        <w:t>u</w:t>
      </w:r>
      <w:r w:rsidRPr="00876F44">
        <w:rPr>
          <w:rFonts w:eastAsia="Arial"/>
          <w:bCs/>
        </w:rPr>
        <w:t>, svorio kritim</w:t>
      </w:r>
      <w:r>
        <w:rPr>
          <w:rFonts w:eastAsia="Arial"/>
          <w:bCs/>
        </w:rPr>
        <w:t xml:space="preserve">u, </w:t>
      </w:r>
      <w:proofErr w:type="spellStart"/>
      <w:r w:rsidRPr="00876F44">
        <w:rPr>
          <w:rFonts w:eastAsia="Arial"/>
          <w:bCs/>
        </w:rPr>
        <w:t>leukocitoz</w:t>
      </w:r>
      <w:r>
        <w:rPr>
          <w:rFonts w:eastAsia="Arial"/>
          <w:bCs/>
        </w:rPr>
        <w:t>e</w:t>
      </w:r>
      <w:proofErr w:type="spellEnd"/>
      <w:r w:rsidRPr="00876F44">
        <w:rPr>
          <w:rFonts w:eastAsia="Arial"/>
          <w:bCs/>
        </w:rPr>
        <w:t>.</w:t>
      </w:r>
      <w:r>
        <w:rPr>
          <w:rFonts w:eastAsia="Arial"/>
          <w:bCs/>
        </w:rPr>
        <w:t xml:space="preserve"> K</w:t>
      </w:r>
      <w:r w:rsidRPr="00876F44">
        <w:rPr>
          <w:rFonts w:eastAsia="Arial"/>
          <w:bCs/>
        </w:rPr>
        <w:t>lasikinė simptomų triada</w:t>
      </w:r>
      <w:r>
        <w:rPr>
          <w:rFonts w:eastAsia="Arial"/>
          <w:bCs/>
        </w:rPr>
        <w:t xml:space="preserve"> -</w:t>
      </w:r>
      <w:r w:rsidRPr="00876F44">
        <w:rPr>
          <w:rFonts w:eastAsia="Arial"/>
          <w:bCs/>
        </w:rPr>
        <w:t xml:space="preserve"> </w:t>
      </w:r>
      <w:proofErr w:type="spellStart"/>
      <w:r w:rsidRPr="00876F44">
        <w:rPr>
          <w:rFonts w:eastAsia="Arial"/>
          <w:bCs/>
        </w:rPr>
        <w:t>hematurija</w:t>
      </w:r>
      <w:proofErr w:type="spellEnd"/>
      <w:r w:rsidRPr="00876F44">
        <w:rPr>
          <w:rFonts w:eastAsia="Arial"/>
          <w:bCs/>
        </w:rPr>
        <w:t>, šono skausmas ir apčiuopiamos masės</w:t>
      </w:r>
      <w:r>
        <w:rPr>
          <w:rFonts w:eastAsia="Arial"/>
          <w:bCs/>
        </w:rPr>
        <w:t xml:space="preserve"> – būdinga pažengusiai ligos formai ir siejama su blogomis išeitimis.</w:t>
      </w:r>
    </w:p>
    <w:p w14:paraId="747DB3CF" w14:textId="60E12070" w:rsidR="005A73CE" w:rsidRPr="005D4CD5" w:rsidRDefault="005A73CE" w:rsidP="005A73CE">
      <w:pPr>
        <w:tabs>
          <w:tab w:val="left" w:pos="426"/>
        </w:tabs>
        <w:spacing w:line="276" w:lineRule="auto"/>
        <w:ind w:firstLine="425"/>
        <w:jc w:val="both"/>
        <w:rPr>
          <w:rFonts w:eastAsia="Arial"/>
          <w:bCs/>
        </w:rPr>
      </w:pPr>
      <w:r w:rsidRPr="003A55D7">
        <w:rPr>
          <w:rFonts w:eastAsia="Arial"/>
          <w:bCs/>
        </w:rPr>
        <w:t>I-III stadijos pagal TNM ILK</w:t>
      </w:r>
      <w:r>
        <w:rPr>
          <w:rFonts w:eastAsia="Arial"/>
          <w:bCs/>
        </w:rPr>
        <w:t xml:space="preserve"> yra laikoma lokalia, o IV – išplitusia (angl</w:t>
      </w:r>
      <w:r w:rsidRPr="00D92A7F">
        <w:rPr>
          <w:rFonts w:eastAsia="Arial"/>
          <w:bCs/>
          <w:i/>
          <w:iCs/>
        </w:rPr>
        <w:t xml:space="preserve">. </w:t>
      </w:r>
      <w:proofErr w:type="spellStart"/>
      <w:r w:rsidRPr="00D92A7F">
        <w:rPr>
          <w:rFonts w:eastAsia="Arial"/>
          <w:bCs/>
          <w:i/>
          <w:iCs/>
        </w:rPr>
        <w:t>advanced</w:t>
      </w:r>
      <w:proofErr w:type="spellEnd"/>
      <w:r>
        <w:rPr>
          <w:rFonts w:eastAsia="Arial"/>
          <w:bCs/>
        </w:rPr>
        <w:t xml:space="preserve">) ILK. Iki trečdalio pacientų nustatoma išplitusi ILK ir trečdaliui pacientų, kuriems dėl neišplitusio ILK buvo taikytas chirurginis gydymas, vėliau nustatoma išplitusi ILK. </w:t>
      </w:r>
      <w:r>
        <w:rPr>
          <w:color w:val="000000"/>
        </w:rPr>
        <w:t xml:space="preserve">Išplitusi ILK pagal tarptautinės </w:t>
      </w:r>
      <w:proofErr w:type="spellStart"/>
      <w:r>
        <w:rPr>
          <w:color w:val="000000"/>
        </w:rPr>
        <w:t>metastatinio</w:t>
      </w:r>
      <w:proofErr w:type="spellEnd"/>
      <w:r>
        <w:rPr>
          <w:color w:val="000000"/>
        </w:rPr>
        <w:t xml:space="preserve"> ILK duomenų bazės konsorciumo (angl. </w:t>
      </w:r>
      <w:r w:rsidRPr="005D75A3">
        <w:rPr>
          <w:i/>
          <w:iCs/>
        </w:rPr>
        <w:t xml:space="preserve">International </w:t>
      </w:r>
      <w:proofErr w:type="spellStart"/>
      <w:r w:rsidRPr="005D75A3">
        <w:rPr>
          <w:i/>
          <w:iCs/>
        </w:rPr>
        <w:t>Metastatic</w:t>
      </w:r>
      <w:proofErr w:type="spellEnd"/>
      <w:r w:rsidRPr="005D75A3">
        <w:rPr>
          <w:i/>
          <w:iCs/>
        </w:rPr>
        <w:t xml:space="preserve"> RCC </w:t>
      </w:r>
      <w:proofErr w:type="spellStart"/>
      <w:r w:rsidRPr="005D75A3">
        <w:rPr>
          <w:i/>
          <w:iCs/>
        </w:rPr>
        <w:t>Database</w:t>
      </w:r>
      <w:proofErr w:type="spellEnd"/>
      <w:r w:rsidRPr="005D75A3">
        <w:rPr>
          <w:i/>
          <w:iCs/>
        </w:rPr>
        <w:t xml:space="preserve"> </w:t>
      </w:r>
      <w:proofErr w:type="spellStart"/>
      <w:r w:rsidRPr="005D75A3">
        <w:rPr>
          <w:i/>
          <w:iCs/>
        </w:rPr>
        <w:t>Consortium</w:t>
      </w:r>
      <w:proofErr w:type="spellEnd"/>
      <w:r w:rsidR="00D03F23">
        <w:rPr>
          <w:i/>
          <w:iCs/>
        </w:rPr>
        <w:t>,</w:t>
      </w:r>
      <w:r>
        <w:t xml:space="preserve"> IMDC) prognostinius veiksnius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t.y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Heng</w:t>
      </w:r>
      <w:proofErr w:type="spellEnd"/>
      <w:r>
        <w:rPr>
          <w:color w:val="000000"/>
        </w:rPr>
        <w:t xml:space="preserve"> skalę gali būti priskiriama geros, vidutinės ir blogos prognozės kategorijoms (toliau - ILK prognostiniai pogrupiai). </w:t>
      </w:r>
      <w:r>
        <w:rPr>
          <w:rFonts w:eastAsia="Arial"/>
          <w:bCs/>
        </w:rPr>
        <w:t>Pacientų sergančių ILK</w:t>
      </w:r>
      <w:r w:rsidRPr="00876F44">
        <w:rPr>
          <w:rFonts w:eastAsia="Arial"/>
          <w:bCs/>
        </w:rPr>
        <w:t xml:space="preserve"> išgyvenamumas priklauso nuo </w:t>
      </w:r>
      <w:r>
        <w:rPr>
          <w:rFonts w:eastAsia="Arial"/>
          <w:bCs/>
        </w:rPr>
        <w:t xml:space="preserve">ILK </w:t>
      </w:r>
      <w:r w:rsidRPr="00876F44">
        <w:rPr>
          <w:rFonts w:eastAsia="Arial"/>
          <w:bCs/>
        </w:rPr>
        <w:t>stadijos</w:t>
      </w:r>
      <w:r>
        <w:rPr>
          <w:rFonts w:eastAsia="Arial"/>
          <w:bCs/>
        </w:rPr>
        <w:t xml:space="preserve"> ir tipo - </w:t>
      </w:r>
      <w:r w:rsidRPr="00876F44">
        <w:rPr>
          <w:rFonts w:eastAsia="Arial"/>
          <w:bCs/>
        </w:rPr>
        <w:t xml:space="preserve"> </w:t>
      </w:r>
      <w:r>
        <w:rPr>
          <w:rFonts w:eastAsia="Arial"/>
          <w:bCs/>
        </w:rPr>
        <w:t xml:space="preserve">5 metų </w:t>
      </w:r>
      <w:proofErr w:type="spellStart"/>
      <w:r>
        <w:rPr>
          <w:rFonts w:eastAsia="Arial"/>
          <w:bCs/>
        </w:rPr>
        <w:t>nemetastazavusio</w:t>
      </w:r>
      <w:proofErr w:type="spellEnd"/>
      <w:r>
        <w:rPr>
          <w:rFonts w:eastAsia="Arial"/>
          <w:bCs/>
        </w:rPr>
        <w:t xml:space="preserve"> šviesiųjų, </w:t>
      </w:r>
      <w:proofErr w:type="spellStart"/>
      <w:r>
        <w:rPr>
          <w:rFonts w:eastAsia="Arial"/>
          <w:bCs/>
        </w:rPr>
        <w:t>papiliarinių</w:t>
      </w:r>
      <w:proofErr w:type="spellEnd"/>
      <w:r>
        <w:rPr>
          <w:rFonts w:eastAsia="Arial"/>
          <w:bCs/>
        </w:rPr>
        <w:t xml:space="preserve"> ir </w:t>
      </w:r>
      <w:proofErr w:type="spellStart"/>
      <w:r w:rsidRPr="00814015">
        <w:rPr>
          <w:rFonts w:eastAsia="Arial"/>
          <w:bCs/>
        </w:rPr>
        <w:t>chromofobinės</w:t>
      </w:r>
      <w:proofErr w:type="spellEnd"/>
      <w:r>
        <w:rPr>
          <w:rFonts w:eastAsia="Arial"/>
          <w:bCs/>
        </w:rPr>
        <w:t xml:space="preserve"> išgyvenamumas atitinkamai yra </w:t>
      </w:r>
      <w:r w:rsidRPr="001038CA">
        <w:rPr>
          <w:rFonts w:eastAsia="Arial"/>
          <w:bCs/>
        </w:rPr>
        <w:t>8</w:t>
      </w:r>
      <w:r w:rsidRPr="00A25B54">
        <w:rPr>
          <w:rFonts w:eastAsia="Arial"/>
          <w:bCs/>
        </w:rPr>
        <w:t>1</w:t>
      </w:r>
      <w:r>
        <w:rPr>
          <w:rFonts w:eastAsia="Arial"/>
          <w:bCs/>
        </w:rPr>
        <w:t xml:space="preserve"> proc.,</w:t>
      </w:r>
      <w:r w:rsidRPr="00A25B54">
        <w:rPr>
          <w:rFonts w:eastAsia="Arial"/>
          <w:bCs/>
        </w:rPr>
        <w:t xml:space="preserve"> 82 </w:t>
      </w:r>
      <w:r>
        <w:rPr>
          <w:rFonts w:eastAsia="Arial"/>
          <w:bCs/>
        </w:rPr>
        <w:t>proc. ir</w:t>
      </w:r>
      <w:r w:rsidRPr="00A25B54">
        <w:rPr>
          <w:rFonts w:eastAsia="Arial"/>
          <w:bCs/>
        </w:rPr>
        <w:t xml:space="preserve"> </w:t>
      </w:r>
      <w:r>
        <w:rPr>
          <w:rFonts w:eastAsia="Arial"/>
          <w:bCs/>
        </w:rPr>
        <w:t>9</w:t>
      </w:r>
      <w:r w:rsidRPr="00A25B54">
        <w:rPr>
          <w:rFonts w:eastAsia="Arial"/>
          <w:bCs/>
        </w:rPr>
        <w:t>1</w:t>
      </w:r>
      <w:r>
        <w:rPr>
          <w:rFonts w:eastAsia="Arial"/>
          <w:bCs/>
        </w:rPr>
        <w:t xml:space="preserve"> proc.</w:t>
      </w:r>
      <w:r>
        <w:rPr>
          <w:color w:val="000000"/>
        </w:rPr>
        <w:t xml:space="preserve"> Remiantis </w:t>
      </w:r>
      <w:proofErr w:type="spellStart"/>
      <w:r>
        <w:rPr>
          <w:color w:val="000000"/>
        </w:rPr>
        <w:t>Assi</w:t>
      </w:r>
      <w:proofErr w:type="spellEnd"/>
      <w:r>
        <w:rPr>
          <w:color w:val="000000"/>
        </w:rPr>
        <w:t xml:space="preserve"> ir kolegų retrospektyvinio stebėjimo tyrimo duomenimis, blogos prognozės</w:t>
      </w:r>
      <w:r w:rsidRPr="0000519C">
        <w:rPr>
          <w:color w:val="000000"/>
        </w:rPr>
        <w:t xml:space="preserve"> </w:t>
      </w:r>
      <w:r>
        <w:rPr>
          <w:color w:val="000000"/>
        </w:rPr>
        <w:t xml:space="preserve">pagal </w:t>
      </w:r>
      <w:proofErr w:type="spellStart"/>
      <w:r>
        <w:rPr>
          <w:color w:val="000000"/>
        </w:rPr>
        <w:t>Heng</w:t>
      </w:r>
      <w:proofErr w:type="spellEnd"/>
      <w:r>
        <w:rPr>
          <w:color w:val="000000"/>
        </w:rPr>
        <w:t xml:space="preserve"> skalę</w:t>
      </w:r>
      <w:r w:rsidRPr="0000519C">
        <w:rPr>
          <w:color w:val="000000"/>
        </w:rPr>
        <w:t xml:space="preserve"> pacientų išgyvenamumo mediana buvo </w:t>
      </w:r>
      <w:r w:rsidRPr="00F2335E">
        <w:rPr>
          <w:color w:val="000000"/>
        </w:rPr>
        <w:t>5,9 mėn., vidutinės prognozės -16,2 mėn., o geros prognozės grupės pacientų - 50,6 mėn.</w:t>
      </w:r>
    </w:p>
    <w:p w14:paraId="1568079D" w14:textId="77777777" w:rsidR="005A73CE" w:rsidRDefault="005A73CE" w:rsidP="005A73CE">
      <w:pPr>
        <w:widowControl w:val="0"/>
        <w:suppressAutoHyphens/>
        <w:spacing w:line="276" w:lineRule="auto"/>
        <w:ind w:firstLine="567"/>
        <w:jc w:val="both"/>
      </w:pPr>
      <w:r>
        <w:rPr>
          <w:rFonts w:eastAsia="Arial"/>
          <w:bCs/>
        </w:rPr>
        <w:t xml:space="preserve">Šiuo </w:t>
      </w:r>
      <w:r w:rsidRPr="00FE6FF6">
        <w:rPr>
          <w:rFonts w:eastAsia="Arial"/>
          <w:bCs/>
        </w:rPr>
        <w:t>metu ILK gydymas Lietuvoje reglamentuotas</w:t>
      </w:r>
      <w:r>
        <w:rPr>
          <w:rFonts w:eastAsia="Arial"/>
          <w:b/>
        </w:rPr>
        <w:t xml:space="preserve"> </w:t>
      </w:r>
      <w:r>
        <w:t>sveikatos apsaugos ministro nustatyta tvarka</w:t>
      </w:r>
      <w:r>
        <w:rPr>
          <w:rFonts w:eastAsia="Arial"/>
          <w:bCs/>
        </w:rPr>
        <w:t>. Remiantis Lietuvos Respublikos Sveikatos apsaugos ministro (LR SAM) įsakymu ,,Inksto piktybinio naviko ambulatorinio gydymo kompensuojamaisiais vaistais tvarkos aprašas“</w:t>
      </w:r>
      <w:r>
        <w:rPr>
          <w:color w:val="000000"/>
        </w:rPr>
        <w:t xml:space="preserve"> (toliau Aprašas), ILK </w:t>
      </w:r>
      <w:r w:rsidRPr="00F2335E">
        <w:rPr>
          <w:color w:val="000000"/>
        </w:rPr>
        <w:t>gydymui kaip pirmaeiliai vaistai</w:t>
      </w:r>
      <w:r>
        <w:rPr>
          <w:color w:val="000000"/>
        </w:rPr>
        <w:t xml:space="preserve"> </w:t>
      </w:r>
      <w:r w:rsidRPr="00F2335E">
        <w:rPr>
          <w:color w:val="000000"/>
        </w:rPr>
        <w:t xml:space="preserve">kai ligos prognozė pagal </w:t>
      </w:r>
      <w:proofErr w:type="spellStart"/>
      <w:r w:rsidRPr="00F2335E">
        <w:rPr>
          <w:color w:val="000000"/>
        </w:rPr>
        <w:t>Heng</w:t>
      </w:r>
      <w:proofErr w:type="spellEnd"/>
      <w:r w:rsidRPr="00F2335E">
        <w:rPr>
          <w:color w:val="000000"/>
        </w:rPr>
        <w:t xml:space="preserve"> skalę yra gera ir kliniškai neįtariamos metastazės galvos smegenyse</w:t>
      </w:r>
      <w:r>
        <w:rPr>
          <w:color w:val="000000"/>
        </w:rPr>
        <w:t xml:space="preserve"> skiriami </w:t>
      </w:r>
      <w:proofErr w:type="spellStart"/>
      <w:r>
        <w:rPr>
          <w:color w:val="000000"/>
        </w:rPr>
        <w:t>s</w:t>
      </w:r>
      <w:r w:rsidRPr="00F2335E">
        <w:rPr>
          <w:color w:val="000000"/>
        </w:rPr>
        <w:t>unitinibas</w:t>
      </w:r>
      <w:proofErr w:type="spellEnd"/>
      <w:r w:rsidRPr="00F2335E">
        <w:rPr>
          <w:color w:val="000000"/>
        </w:rPr>
        <w:t xml:space="preserve"> ar </w:t>
      </w:r>
      <w:proofErr w:type="spellStart"/>
      <w:r w:rsidRPr="00F2335E">
        <w:rPr>
          <w:color w:val="000000"/>
        </w:rPr>
        <w:t>pazopanibas</w:t>
      </w:r>
      <w:proofErr w:type="spellEnd"/>
      <w:r>
        <w:rPr>
          <w:color w:val="000000"/>
        </w:rPr>
        <w:t xml:space="preserve">. Kai </w:t>
      </w:r>
      <w:r w:rsidRPr="00F2335E">
        <w:rPr>
          <w:color w:val="000000"/>
        </w:rPr>
        <w:t xml:space="preserve">ligos prognozė pagal </w:t>
      </w:r>
      <w:proofErr w:type="spellStart"/>
      <w:r w:rsidRPr="00F2335E">
        <w:rPr>
          <w:color w:val="000000"/>
        </w:rPr>
        <w:t>Heng</w:t>
      </w:r>
      <w:proofErr w:type="spellEnd"/>
      <w:r w:rsidRPr="00F2335E">
        <w:rPr>
          <w:color w:val="000000"/>
        </w:rPr>
        <w:t xml:space="preserve"> skalę yra vidutinė ir kliniškai neįtariamos metastazės galvos smegenyse</w:t>
      </w:r>
      <w:r>
        <w:rPr>
          <w:color w:val="000000"/>
        </w:rPr>
        <w:t xml:space="preserve"> skiriamas </w:t>
      </w:r>
      <w:proofErr w:type="spellStart"/>
      <w:r>
        <w:rPr>
          <w:color w:val="000000"/>
        </w:rPr>
        <w:t>s</w:t>
      </w:r>
      <w:r w:rsidRPr="00F2335E">
        <w:t>unitinibas</w:t>
      </w:r>
      <w:proofErr w:type="spellEnd"/>
      <w:r w:rsidRPr="00F2335E">
        <w:t xml:space="preserve">, </w:t>
      </w:r>
      <w:proofErr w:type="spellStart"/>
      <w:r w:rsidRPr="00F2335E">
        <w:t>pazopanibas</w:t>
      </w:r>
      <w:proofErr w:type="spellEnd"/>
      <w:r w:rsidRPr="00F2335E">
        <w:t xml:space="preserve">, </w:t>
      </w:r>
      <w:proofErr w:type="spellStart"/>
      <w:r w:rsidRPr="00F2335E">
        <w:t>kabozantinibas</w:t>
      </w:r>
      <w:proofErr w:type="spellEnd"/>
      <w:r w:rsidRPr="00F2335E">
        <w:t xml:space="preserve"> ar </w:t>
      </w:r>
      <w:proofErr w:type="spellStart"/>
      <w:r w:rsidRPr="00F2335E">
        <w:t>ipilimumabo</w:t>
      </w:r>
      <w:proofErr w:type="spellEnd"/>
      <w:r w:rsidRPr="00F2335E">
        <w:t xml:space="preserve"> ir </w:t>
      </w:r>
      <w:proofErr w:type="spellStart"/>
      <w:r w:rsidRPr="00F2335E">
        <w:t>nivolumabo</w:t>
      </w:r>
      <w:proofErr w:type="spellEnd"/>
      <w:r w:rsidRPr="00F2335E">
        <w:t xml:space="preserve"> derinys</w:t>
      </w:r>
      <w:r w:rsidRPr="00F2335E">
        <w:rPr>
          <w:color w:val="000000"/>
        </w:rPr>
        <w:t>.</w:t>
      </w:r>
      <w:r>
        <w:rPr>
          <w:color w:val="000000"/>
        </w:rPr>
        <w:t xml:space="preserve"> Kai </w:t>
      </w:r>
      <w:r w:rsidRPr="00F2335E">
        <w:rPr>
          <w:color w:val="000000"/>
        </w:rPr>
        <w:t xml:space="preserve">ligos prognozė pagal </w:t>
      </w:r>
      <w:proofErr w:type="spellStart"/>
      <w:r w:rsidRPr="00F2335E">
        <w:rPr>
          <w:color w:val="000000"/>
        </w:rPr>
        <w:t>Heng</w:t>
      </w:r>
      <w:proofErr w:type="spellEnd"/>
      <w:r w:rsidRPr="00F2335E">
        <w:rPr>
          <w:color w:val="000000"/>
        </w:rPr>
        <w:t xml:space="preserve"> skalę yra blog</w:t>
      </w:r>
      <w:r>
        <w:rPr>
          <w:color w:val="000000"/>
        </w:rPr>
        <w:t xml:space="preserve">a, skiriamas </w:t>
      </w:r>
      <w:proofErr w:type="spellStart"/>
      <w:r>
        <w:rPr>
          <w:color w:val="000000"/>
        </w:rPr>
        <w:t>k</w:t>
      </w:r>
      <w:r w:rsidRPr="00F2335E">
        <w:t>abozantinibas</w:t>
      </w:r>
      <w:proofErr w:type="spellEnd"/>
      <w:r w:rsidRPr="00F2335E">
        <w:t xml:space="preserve">, </w:t>
      </w:r>
      <w:proofErr w:type="spellStart"/>
      <w:r w:rsidRPr="00F2335E">
        <w:t>ipilimumabo</w:t>
      </w:r>
      <w:proofErr w:type="spellEnd"/>
      <w:r w:rsidRPr="00F2335E">
        <w:t xml:space="preserve"> ir </w:t>
      </w:r>
      <w:proofErr w:type="spellStart"/>
      <w:r w:rsidRPr="00F2335E">
        <w:t>nivolumabo</w:t>
      </w:r>
      <w:proofErr w:type="spellEnd"/>
      <w:r w:rsidRPr="00F2335E">
        <w:t xml:space="preserve"> derinys arba taikomas simptominis gydymas</w:t>
      </w:r>
      <w:r>
        <w:rPr>
          <w:color w:val="000000"/>
        </w:rPr>
        <w:t xml:space="preserve">. </w:t>
      </w:r>
      <w:r w:rsidRPr="00F2335E">
        <w:rPr>
          <w:lang w:eastAsia="lt-LT"/>
        </w:rPr>
        <w:t xml:space="preserve">Kaip antraeilis vaistas inksto ląstelių vėžiui gydyti po neveiksmingo gydymo </w:t>
      </w:r>
      <w:proofErr w:type="spellStart"/>
      <w:r w:rsidRPr="00F2335E">
        <w:rPr>
          <w:lang w:eastAsia="lt-LT"/>
        </w:rPr>
        <w:t>sunitinibu</w:t>
      </w:r>
      <w:proofErr w:type="spellEnd"/>
      <w:r w:rsidRPr="00F2335E">
        <w:rPr>
          <w:lang w:eastAsia="lt-LT"/>
        </w:rPr>
        <w:t xml:space="preserve"> skiriamas </w:t>
      </w:r>
      <w:proofErr w:type="spellStart"/>
      <w:r w:rsidRPr="00F2335E">
        <w:rPr>
          <w:lang w:eastAsia="lt-LT"/>
        </w:rPr>
        <w:t>aksitinibas</w:t>
      </w:r>
      <w:proofErr w:type="spellEnd"/>
      <w:r w:rsidRPr="00F2335E">
        <w:rPr>
          <w:lang w:eastAsia="lt-LT"/>
        </w:rPr>
        <w:t>.</w:t>
      </w:r>
      <w:r>
        <w:rPr>
          <w:color w:val="000000"/>
        </w:rPr>
        <w:t xml:space="preserve"> </w:t>
      </w:r>
      <w:proofErr w:type="spellStart"/>
      <w:r w:rsidRPr="00F2335E">
        <w:t>Kabozantinibas</w:t>
      </w:r>
      <w:proofErr w:type="spellEnd"/>
      <w:r w:rsidRPr="00F2335E">
        <w:t xml:space="preserve">, </w:t>
      </w:r>
      <w:proofErr w:type="spellStart"/>
      <w:r w:rsidRPr="00F2335E">
        <w:t>e</w:t>
      </w:r>
      <w:r w:rsidRPr="00F2335E">
        <w:rPr>
          <w:lang w:eastAsia="lt-LT"/>
        </w:rPr>
        <w:t>verolimuzas</w:t>
      </w:r>
      <w:proofErr w:type="spellEnd"/>
      <w:r w:rsidRPr="00F2335E">
        <w:rPr>
          <w:lang w:eastAsia="lt-LT"/>
        </w:rPr>
        <w:t xml:space="preserve">, </w:t>
      </w:r>
      <w:proofErr w:type="spellStart"/>
      <w:r w:rsidRPr="00F2335E">
        <w:rPr>
          <w:lang w:eastAsia="lt-LT"/>
        </w:rPr>
        <w:t>n</w:t>
      </w:r>
      <w:r w:rsidRPr="00F2335E">
        <w:rPr>
          <w:color w:val="000000"/>
        </w:rPr>
        <w:t>ivolumabas</w:t>
      </w:r>
      <w:proofErr w:type="spellEnd"/>
      <w:r w:rsidRPr="00F2335E">
        <w:t xml:space="preserve"> skiriamas tik progresavusia inkstų ląstelių karcinoma sergantiems pacientams, kurių liga progresavo gydant arba po gydymo </w:t>
      </w:r>
      <w:proofErr w:type="spellStart"/>
      <w:r w:rsidRPr="00F2335E">
        <w:t>sunitinibu</w:t>
      </w:r>
      <w:proofErr w:type="spellEnd"/>
      <w:r w:rsidRPr="00F2335E">
        <w:t xml:space="preserve"> ar </w:t>
      </w:r>
      <w:proofErr w:type="spellStart"/>
      <w:r w:rsidRPr="00F2335E">
        <w:t>pazopanibu</w:t>
      </w:r>
      <w:proofErr w:type="spellEnd"/>
      <w:r w:rsidRPr="00F2335E">
        <w:t>.</w:t>
      </w:r>
    </w:p>
    <w:p w14:paraId="52F8BC5E" w14:textId="29ADA5B0" w:rsidR="005A73CE" w:rsidRDefault="005A73CE" w:rsidP="005A73CE">
      <w:pPr>
        <w:widowControl w:val="0"/>
        <w:suppressAutoHyphens/>
        <w:spacing w:line="276" w:lineRule="auto"/>
        <w:ind w:firstLine="567"/>
        <w:jc w:val="both"/>
      </w:pPr>
      <w:r>
        <w:rPr>
          <w:color w:val="000000"/>
        </w:rPr>
        <w:t xml:space="preserve">Remiantis Europos onkologų draugijos (angl. </w:t>
      </w:r>
      <w:proofErr w:type="spellStart"/>
      <w:r w:rsidRPr="00974866">
        <w:rPr>
          <w:i/>
          <w:iCs/>
          <w:color w:val="000000"/>
        </w:rPr>
        <w:t>European</w:t>
      </w:r>
      <w:proofErr w:type="spellEnd"/>
      <w:r w:rsidRPr="00974866">
        <w:rPr>
          <w:i/>
          <w:iCs/>
          <w:color w:val="000000"/>
        </w:rPr>
        <w:t xml:space="preserve"> </w:t>
      </w:r>
      <w:proofErr w:type="spellStart"/>
      <w:r w:rsidRPr="00974866">
        <w:rPr>
          <w:i/>
          <w:iCs/>
          <w:color w:val="000000"/>
        </w:rPr>
        <w:t>Society</w:t>
      </w:r>
      <w:proofErr w:type="spellEnd"/>
      <w:r w:rsidRPr="00974866">
        <w:rPr>
          <w:i/>
          <w:iCs/>
          <w:color w:val="000000"/>
        </w:rPr>
        <w:t xml:space="preserve"> </w:t>
      </w:r>
      <w:proofErr w:type="spellStart"/>
      <w:r w:rsidRPr="00974866">
        <w:rPr>
          <w:i/>
          <w:iCs/>
          <w:color w:val="000000"/>
        </w:rPr>
        <w:t>for</w:t>
      </w:r>
      <w:proofErr w:type="spellEnd"/>
      <w:r w:rsidRPr="00974866">
        <w:rPr>
          <w:i/>
          <w:iCs/>
          <w:color w:val="000000"/>
        </w:rPr>
        <w:t xml:space="preserve"> Medical </w:t>
      </w:r>
      <w:proofErr w:type="spellStart"/>
      <w:r w:rsidRPr="00974866">
        <w:rPr>
          <w:i/>
          <w:iCs/>
          <w:color w:val="000000"/>
        </w:rPr>
        <w:t>Oncology</w:t>
      </w:r>
      <w:proofErr w:type="spellEnd"/>
      <w:r>
        <w:rPr>
          <w:color w:val="000000"/>
        </w:rPr>
        <w:t>) (toliau – EOD) </w:t>
      </w:r>
      <w:r w:rsidRPr="006B0368">
        <w:rPr>
          <w:color w:val="000000"/>
        </w:rPr>
        <w:t xml:space="preserve">2021 m. atnaujintomis </w:t>
      </w:r>
      <w:r>
        <w:rPr>
          <w:color w:val="000000"/>
        </w:rPr>
        <w:t xml:space="preserve">praktinėmis gairėmis dėl imunoterapijos taikymo ankstyvai ir išplitusiai ILK bei Europos Urologų Asociacijos ILK gairėmis, pirmos eilės mažos, vidutinės ir </w:t>
      </w:r>
      <w:r w:rsidR="001E3285">
        <w:rPr>
          <w:color w:val="000000"/>
        </w:rPr>
        <w:t xml:space="preserve">blogos </w:t>
      </w:r>
      <w:r w:rsidR="001E3285">
        <w:rPr>
          <w:rFonts w:eastAsia="Arial"/>
          <w:bCs/>
        </w:rPr>
        <w:t>prognozės</w:t>
      </w:r>
      <w:r>
        <w:rPr>
          <w:color w:val="000000"/>
        </w:rPr>
        <w:t xml:space="preserve"> išplitusios šviesių ląstelių ILK gydymui rekomenduojami </w:t>
      </w:r>
      <w:proofErr w:type="spellStart"/>
      <w:r w:rsidRPr="00F2335E">
        <w:rPr>
          <w:color w:val="000000"/>
        </w:rPr>
        <w:t>kabozantinibo</w:t>
      </w:r>
      <w:proofErr w:type="spellEnd"/>
      <w:r w:rsidRPr="00F2335E">
        <w:rPr>
          <w:color w:val="000000"/>
        </w:rPr>
        <w:t xml:space="preserve"> ir </w:t>
      </w:r>
      <w:proofErr w:type="spellStart"/>
      <w:r w:rsidRPr="00F2335E">
        <w:rPr>
          <w:color w:val="000000"/>
        </w:rPr>
        <w:t>nivolumabo</w:t>
      </w:r>
      <w:proofErr w:type="spellEnd"/>
      <w:r w:rsidRPr="00F2335E">
        <w:rPr>
          <w:color w:val="000000"/>
        </w:rPr>
        <w:t xml:space="preserve"> (IA)</w:t>
      </w:r>
      <w:r>
        <w:rPr>
          <w:color w:val="000000"/>
        </w:rPr>
        <w:t xml:space="preserve">,  </w:t>
      </w:r>
      <w:proofErr w:type="spellStart"/>
      <w:r w:rsidRPr="006B0368">
        <w:rPr>
          <w:color w:val="000000"/>
        </w:rPr>
        <w:t>lenvatinibo</w:t>
      </w:r>
      <w:proofErr w:type="spellEnd"/>
      <w:r w:rsidRPr="006B0368">
        <w:rPr>
          <w:color w:val="000000"/>
        </w:rPr>
        <w:t xml:space="preserve"> ir </w:t>
      </w:r>
      <w:proofErr w:type="spellStart"/>
      <w:r w:rsidRPr="006B0368">
        <w:rPr>
          <w:color w:val="000000"/>
        </w:rPr>
        <w:t>pembrolizumabo</w:t>
      </w:r>
      <w:proofErr w:type="spellEnd"/>
      <w:r>
        <w:rPr>
          <w:color w:val="000000"/>
        </w:rPr>
        <w:t xml:space="preserve"> (IA), </w:t>
      </w:r>
      <w:proofErr w:type="spellStart"/>
      <w:r w:rsidRPr="00F2335E">
        <w:rPr>
          <w:color w:val="000000"/>
        </w:rPr>
        <w:t>aksitinibo</w:t>
      </w:r>
      <w:proofErr w:type="spellEnd"/>
      <w:r w:rsidRPr="00F2335E">
        <w:rPr>
          <w:color w:val="000000"/>
        </w:rPr>
        <w:t xml:space="preserve"> ir </w:t>
      </w:r>
      <w:proofErr w:type="spellStart"/>
      <w:r w:rsidRPr="00F2335E">
        <w:rPr>
          <w:color w:val="000000"/>
        </w:rPr>
        <w:t>pembrolizumabo</w:t>
      </w:r>
      <w:proofErr w:type="spellEnd"/>
      <w:r w:rsidRPr="00F2335E">
        <w:rPr>
          <w:color w:val="000000"/>
        </w:rPr>
        <w:t xml:space="preserve"> (IA) </w:t>
      </w:r>
      <w:r>
        <w:rPr>
          <w:color w:val="000000"/>
        </w:rPr>
        <w:t xml:space="preserve">deriniai, o </w:t>
      </w:r>
      <w:proofErr w:type="spellStart"/>
      <w:r w:rsidRPr="00F2335E">
        <w:rPr>
          <w:color w:val="000000"/>
        </w:rPr>
        <w:t>ipilumabo</w:t>
      </w:r>
      <w:proofErr w:type="spellEnd"/>
      <w:r w:rsidRPr="00F2335E">
        <w:rPr>
          <w:color w:val="000000"/>
        </w:rPr>
        <w:t xml:space="preserve"> ir </w:t>
      </w:r>
      <w:proofErr w:type="spellStart"/>
      <w:r w:rsidRPr="00F2335E">
        <w:rPr>
          <w:color w:val="000000"/>
        </w:rPr>
        <w:t>nivolumabo</w:t>
      </w:r>
      <w:proofErr w:type="spellEnd"/>
      <w:r w:rsidRPr="00F2335E">
        <w:rPr>
          <w:color w:val="000000"/>
        </w:rPr>
        <w:t xml:space="preserve"> (IA)</w:t>
      </w:r>
      <w:r>
        <w:rPr>
          <w:color w:val="000000"/>
        </w:rPr>
        <w:t xml:space="preserve"> derinys</w:t>
      </w:r>
      <w:r w:rsidRPr="00F2335E">
        <w:rPr>
          <w:color w:val="000000"/>
        </w:rPr>
        <w:t xml:space="preserve"> - vidutinės ir </w:t>
      </w:r>
      <w:r w:rsidR="001E3285">
        <w:rPr>
          <w:color w:val="000000"/>
        </w:rPr>
        <w:t xml:space="preserve">blogos </w:t>
      </w:r>
      <w:r w:rsidR="001E3285">
        <w:rPr>
          <w:rFonts w:eastAsia="Arial"/>
          <w:bCs/>
        </w:rPr>
        <w:t>prognozės</w:t>
      </w:r>
      <w:r w:rsidRPr="00F2335E">
        <w:rPr>
          <w:color w:val="000000"/>
        </w:rPr>
        <w:t xml:space="preserve"> ILK</w:t>
      </w:r>
      <w:r>
        <w:rPr>
          <w:color w:val="000000"/>
        </w:rPr>
        <w:t>.</w:t>
      </w:r>
    </w:p>
    <w:p w14:paraId="2B5F540B" w14:textId="780DA399" w:rsidR="005A73CE" w:rsidRDefault="005A73CE" w:rsidP="005A73CE">
      <w:pPr>
        <w:widowControl w:val="0"/>
        <w:suppressAutoHyphens/>
        <w:spacing w:line="276" w:lineRule="auto"/>
        <w:ind w:firstLine="567"/>
        <w:jc w:val="both"/>
      </w:pPr>
      <w:r w:rsidRPr="003D7AAB">
        <w:t>Tarnyba, išnagrinėjusi vaistinio preparato</w:t>
      </w:r>
      <w:r>
        <w:t xml:space="preserve"> </w:t>
      </w:r>
      <w:proofErr w:type="spellStart"/>
      <w:r>
        <w:t>Cabometyx</w:t>
      </w:r>
      <w:proofErr w:type="spellEnd"/>
      <w:r w:rsidRPr="003D7AAB">
        <w:t xml:space="preserve"> paraiškos įrašyti vaistinį preparatą į </w:t>
      </w:r>
      <w:r w:rsidRPr="003D7AAB">
        <w:lastRenderedPageBreak/>
        <w:t>kompensavimo sąrašus klinikinę dalį, padarė išvadą, kad</w:t>
      </w:r>
      <w:r>
        <w:t xml:space="preserve"> remiantis Aprašu,</w:t>
      </w:r>
      <w:r w:rsidRPr="003D7AAB">
        <w:t xml:space="preserve"> </w:t>
      </w:r>
      <w:r>
        <w:t xml:space="preserve">geros ir vidutinės prognozės pagal </w:t>
      </w:r>
      <w:proofErr w:type="spellStart"/>
      <w:r>
        <w:t>Heng</w:t>
      </w:r>
      <w:proofErr w:type="spellEnd"/>
      <w:r>
        <w:t xml:space="preserve"> skalę pacientams, sergantiems išplitusia ar </w:t>
      </w:r>
      <w:proofErr w:type="spellStart"/>
      <w:r>
        <w:t>metastazavusia</w:t>
      </w:r>
      <w:proofErr w:type="spellEnd"/>
      <w:r>
        <w:t xml:space="preserve"> ir anksčiau </w:t>
      </w:r>
      <w:r w:rsidR="00D03F23">
        <w:t xml:space="preserve">vaistiniais preparatais </w:t>
      </w:r>
      <w:r>
        <w:t xml:space="preserve">negydyta inkstų ląstelių karcinoma (ILK), tinkamas palyginamasis gydymas yra </w:t>
      </w:r>
      <w:proofErr w:type="spellStart"/>
      <w:r>
        <w:t>sunitinibas</w:t>
      </w:r>
      <w:proofErr w:type="spellEnd"/>
      <w:r>
        <w:t xml:space="preserve">, o vidutinės ir blogos – </w:t>
      </w:r>
      <w:proofErr w:type="spellStart"/>
      <w:r>
        <w:t>kabozantinibas</w:t>
      </w:r>
      <w:proofErr w:type="spellEnd"/>
      <w:r>
        <w:t xml:space="preserve"> ir </w:t>
      </w:r>
      <w:proofErr w:type="spellStart"/>
      <w:r>
        <w:t>nivolumabo</w:t>
      </w:r>
      <w:proofErr w:type="spellEnd"/>
      <w:r>
        <w:t xml:space="preserve"> bei </w:t>
      </w:r>
      <w:proofErr w:type="spellStart"/>
      <w:r>
        <w:t>ipilumabo</w:t>
      </w:r>
      <w:proofErr w:type="spellEnd"/>
      <w:r>
        <w:t xml:space="preserve"> derinys.</w:t>
      </w:r>
    </w:p>
    <w:p w14:paraId="0327E113" w14:textId="463B0A64" w:rsidR="005A73CE" w:rsidRDefault="005A73CE" w:rsidP="005A73CE">
      <w:pPr>
        <w:widowControl w:val="0"/>
        <w:suppressAutoHyphens/>
        <w:spacing w:line="276" w:lineRule="auto"/>
        <w:ind w:firstLine="567"/>
        <w:jc w:val="both"/>
      </w:pPr>
      <w:r>
        <w:rPr>
          <w:rFonts w:eastAsia="Arial"/>
          <w:bCs/>
        </w:rPr>
        <w:t xml:space="preserve">Pareiškėjas tiesioginių palyginamųjų tyrimų paraiškos dalyje pateikė </w:t>
      </w:r>
      <w:r>
        <w:rPr>
          <w:rFonts w:eastAsia="Arial"/>
        </w:rPr>
        <w:t>atviro, atsitiktinių imčių tyrimo</w:t>
      </w:r>
      <w:r w:rsidRPr="00EB1C05">
        <w:rPr>
          <w:rFonts w:eastAsia="Arial"/>
        </w:rPr>
        <w:t xml:space="preserve"> </w:t>
      </w:r>
      <w:proofErr w:type="spellStart"/>
      <w:r w:rsidRPr="00EB1C05">
        <w:rPr>
          <w:rFonts w:eastAsia="Arial"/>
        </w:rPr>
        <w:t>CheckMate</w:t>
      </w:r>
      <w:proofErr w:type="spellEnd"/>
      <w:r w:rsidRPr="00EB1C05">
        <w:rPr>
          <w:rFonts w:eastAsia="Arial"/>
        </w:rPr>
        <w:t xml:space="preserve"> 9ER</w:t>
      </w:r>
      <w:r>
        <w:rPr>
          <w:rFonts w:eastAsia="Arial"/>
        </w:rPr>
        <w:t xml:space="preserve"> bei jo tarpinio ir tęstinio stebėjimo duomenis. Tyrime lygintas </w:t>
      </w:r>
      <w:proofErr w:type="spellStart"/>
      <w:r>
        <w:rPr>
          <w:rFonts w:eastAsia="Arial"/>
        </w:rPr>
        <w:t>nivolumabo</w:t>
      </w:r>
      <w:proofErr w:type="spellEnd"/>
      <w:r>
        <w:rPr>
          <w:rFonts w:eastAsia="Arial"/>
        </w:rPr>
        <w:t xml:space="preserve"> su </w:t>
      </w:r>
      <w:proofErr w:type="spellStart"/>
      <w:r>
        <w:rPr>
          <w:rFonts w:eastAsia="Arial"/>
        </w:rPr>
        <w:t>kabozantinibu</w:t>
      </w:r>
      <w:proofErr w:type="spellEnd"/>
      <w:r>
        <w:rPr>
          <w:rFonts w:eastAsia="Arial"/>
        </w:rPr>
        <w:t xml:space="preserve"> (toliau NIVO</w:t>
      </w:r>
      <w:r w:rsidRPr="00162394">
        <w:rPr>
          <w:rFonts w:eastAsia="Arial"/>
        </w:rPr>
        <w:t>+KA</w:t>
      </w:r>
      <w:r>
        <w:rPr>
          <w:rFonts w:eastAsia="Arial"/>
        </w:rPr>
        <w:t xml:space="preserve">BO) derinio ir </w:t>
      </w:r>
      <w:proofErr w:type="spellStart"/>
      <w:r>
        <w:rPr>
          <w:rFonts w:eastAsia="Arial"/>
        </w:rPr>
        <w:t>sunitinibo</w:t>
      </w:r>
      <w:proofErr w:type="spellEnd"/>
      <w:r>
        <w:rPr>
          <w:rFonts w:eastAsia="Arial"/>
        </w:rPr>
        <w:t xml:space="preserve"> (toliau SUNI) efektyvumas išplitusios ILK prognostiniuose pogrupiuose. </w:t>
      </w:r>
      <w:r w:rsidRPr="00FF29B8">
        <w:rPr>
          <w:iCs/>
        </w:rPr>
        <w:t xml:space="preserve">Lietuvoje </w:t>
      </w:r>
      <w:proofErr w:type="spellStart"/>
      <w:r w:rsidRPr="00FF29B8">
        <w:rPr>
          <w:iCs/>
        </w:rPr>
        <w:t>sunitinibas</w:t>
      </w:r>
      <w:proofErr w:type="spellEnd"/>
      <w:r w:rsidRPr="00FF29B8">
        <w:rPr>
          <w:iCs/>
        </w:rPr>
        <w:t xml:space="preserve"> yra vienas iš išplitusios </w:t>
      </w:r>
      <w:r w:rsidRPr="00531424">
        <w:rPr>
          <w:iCs/>
        </w:rPr>
        <w:t>geros ir vidutinės</w:t>
      </w:r>
      <w:r w:rsidRPr="00FF29B8">
        <w:rPr>
          <w:iCs/>
        </w:rPr>
        <w:t xml:space="preserve"> prognozės pagal </w:t>
      </w:r>
      <w:proofErr w:type="spellStart"/>
      <w:r w:rsidRPr="00FF29B8">
        <w:rPr>
          <w:iCs/>
        </w:rPr>
        <w:t>Heng</w:t>
      </w:r>
      <w:proofErr w:type="spellEnd"/>
      <w:r w:rsidRPr="00FF29B8">
        <w:rPr>
          <w:iCs/>
        </w:rPr>
        <w:t xml:space="preserve"> skalę ILK gydymui taikomų </w:t>
      </w:r>
      <w:r w:rsidR="00D03F23">
        <w:rPr>
          <w:iCs/>
        </w:rPr>
        <w:t>vaistinių preparatų</w:t>
      </w:r>
      <w:r w:rsidRPr="00FF29B8">
        <w:rPr>
          <w:iCs/>
        </w:rPr>
        <w:t>. Dėl to</w:t>
      </w:r>
      <w:r>
        <w:rPr>
          <w:iCs/>
        </w:rPr>
        <w:t xml:space="preserve">, atliekant Paraiškos vertinimą, Tarnyba </w:t>
      </w:r>
      <w:r w:rsidRPr="00FF29B8">
        <w:rPr>
          <w:iCs/>
        </w:rPr>
        <w:t>r</w:t>
      </w:r>
      <w:r>
        <w:rPr>
          <w:iCs/>
        </w:rPr>
        <w:t>ėmėsi</w:t>
      </w:r>
      <w:r w:rsidRPr="00FF29B8">
        <w:rPr>
          <w:iCs/>
        </w:rPr>
        <w:t xml:space="preserve"> </w:t>
      </w:r>
      <w:proofErr w:type="spellStart"/>
      <w:r w:rsidRPr="00FF29B8">
        <w:rPr>
          <w:iCs/>
        </w:rPr>
        <w:t>CheckMate</w:t>
      </w:r>
      <w:proofErr w:type="spellEnd"/>
      <w:r w:rsidRPr="00FF29B8">
        <w:rPr>
          <w:iCs/>
        </w:rPr>
        <w:t xml:space="preserve"> 9ER geros ir vidutinės, bet ne blogos prognozės pacientų pogrupių rezultatais.</w:t>
      </w:r>
      <w:r>
        <w:rPr>
          <w:rFonts w:eastAsia="Arial"/>
        </w:rPr>
        <w:t xml:space="preserve"> </w:t>
      </w:r>
    </w:p>
    <w:p w14:paraId="2BF2366C" w14:textId="67C1CEEC" w:rsidR="005A73CE" w:rsidRDefault="005A73CE" w:rsidP="005A73CE">
      <w:pPr>
        <w:tabs>
          <w:tab w:val="left" w:pos="492"/>
        </w:tabs>
        <w:spacing w:line="276" w:lineRule="auto"/>
        <w:jc w:val="both"/>
        <w:outlineLvl w:val="1"/>
        <w:rPr>
          <w:iCs/>
        </w:rPr>
      </w:pPr>
      <w:r>
        <w:tab/>
        <w:t xml:space="preserve">Vertinant tyrimo </w:t>
      </w:r>
      <w:proofErr w:type="spellStart"/>
      <w:r w:rsidRPr="00EB1C05">
        <w:rPr>
          <w:rFonts w:eastAsia="Arial"/>
        </w:rPr>
        <w:t>CheckMate</w:t>
      </w:r>
      <w:proofErr w:type="spellEnd"/>
      <w:r w:rsidRPr="00EB1C05">
        <w:rPr>
          <w:rFonts w:eastAsia="Arial"/>
        </w:rPr>
        <w:t xml:space="preserve"> 9ER</w:t>
      </w:r>
      <w:r>
        <w:rPr>
          <w:rFonts w:eastAsia="Arial"/>
        </w:rPr>
        <w:t xml:space="preserve">  </w:t>
      </w:r>
      <w:r>
        <w:t xml:space="preserve">pirminę vertinamąja baigtį - </w:t>
      </w:r>
      <w:r w:rsidRPr="003D7AAB">
        <w:t>išgyvenamum</w:t>
      </w:r>
      <w:r>
        <w:t>ą</w:t>
      </w:r>
      <w:r w:rsidRPr="003D7AAB">
        <w:t xml:space="preserve"> be ligos progresavimo</w:t>
      </w:r>
      <w:r>
        <w:t xml:space="preserve"> </w:t>
      </w:r>
      <w:r w:rsidR="00D03F23">
        <w:t>(toliau – IBLP</w:t>
      </w:r>
      <w:r w:rsidR="00D03F23" w:rsidRPr="00086E82">
        <w:t>)</w:t>
      </w:r>
      <w:r w:rsidR="00D03F23">
        <w:t xml:space="preserve"> </w:t>
      </w:r>
      <w:r>
        <w:t xml:space="preserve">(angl. </w:t>
      </w:r>
      <w:proofErr w:type="spellStart"/>
      <w:r w:rsidRPr="00EA4460">
        <w:rPr>
          <w:i/>
          <w:iCs/>
        </w:rPr>
        <w:t>progression-free</w:t>
      </w:r>
      <w:proofErr w:type="spellEnd"/>
      <w:r w:rsidRPr="00EA4460">
        <w:rPr>
          <w:i/>
          <w:iCs/>
        </w:rPr>
        <w:t xml:space="preserve"> </w:t>
      </w:r>
      <w:proofErr w:type="spellStart"/>
      <w:r w:rsidRPr="00EA4460">
        <w:rPr>
          <w:i/>
          <w:iCs/>
        </w:rPr>
        <w:t>survival</w:t>
      </w:r>
      <w:proofErr w:type="spellEnd"/>
      <w:r w:rsidR="00D03F23">
        <w:t xml:space="preserve">), </w:t>
      </w:r>
      <w:r w:rsidRPr="00086E82">
        <w:rPr>
          <w:rFonts w:eastAsia="Arial"/>
        </w:rPr>
        <w:t>geros prognozės pacientams, vartojusiems NIVO+CABO</w:t>
      </w:r>
      <w:r>
        <w:rPr>
          <w:rFonts w:eastAsia="Arial"/>
        </w:rPr>
        <w:t>,</w:t>
      </w:r>
      <w:r w:rsidRPr="00086E82">
        <w:rPr>
          <w:rFonts w:eastAsia="Arial"/>
        </w:rPr>
        <w:t xml:space="preserve"> ligos progresavimo ar mirties rizika, lyginant su SUNI, reikšmingai nesumažėjo (HR 0,62 (PI 95 proc. 0,38-1,01)). Paminėtina, jog šiame pogrupyje</w:t>
      </w:r>
      <w:r w:rsidRPr="00086E82">
        <w:t xml:space="preserve">, NIVO+CABO gydytų pacientų </w:t>
      </w:r>
      <w:r>
        <w:t>IBLP</w:t>
      </w:r>
      <w:r>
        <w:rPr>
          <w:rFonts w:eastAsia="Arial"/>
        </w:rPr>
        <w:t xml:space="preserve"> </w:t>
      </w:r>
      <w:r w:rsidRPr="00086E82">
        <w:rPr>
          <w:rFonts w:eastAsia="Arial"/>
        </w:rPr>
        <w:t xml:space="preserve">trukmė nebuvo pateikta, nes dėl nepakankamos tyrimo trukmės (18,1 mėn.), tyrimo laikotarpiu nepasiektas pakankamas progresavusių ligos atvejų kiekis (rezultatai nebrandūs). NIVO+CABO vartojimas lyginant su SUNI, vidutinės prognozės pacientams </w:t>
      </w:r>
      <w:r>
        <w:t>IBLP</w:t>
      </w:r>
      <w:r w:rsidRPr="00086E82">
        <w:rPr>
          <w:rFonts w:eastAsia="Arial"/>
        </w:rPr>
        <w:t xml:space="preserve"> medianos trukmę prailgino 9,2 mėn. ir lėmė 63 proc. mažesnę ligos progresavimo ar mirties riziką</w:t>
      </w:r>
      <w:r>
        <w:rPr>
          <w:rFonts w:eastAsia="Arial"/>
        </w:rPr>
        <w:t xml:space="preserve">, tačiau </w:t>
      </w:r>
      <w:r>
        <w:rPr>
          <w:rFonts w:eastAsia="Arial"/>
          <w:bCs/>
        </w:rPr>
        <w:t xml:space="preserve">nesumažino mirties nuo bet kokios priežasties rizikos nei geros, nei vidutinės prognozės pacientų grupėse. </w:t>
      </w:r>
      <w:r w:rsidRPr="00086E82">
        <w:rPr>
          <w:iCs/>
        </w:rPr>
        <w:t xml:space="preserve">Tęstiniame tyrime </w:t>
      </w:r>
      <w:r>
        <w:rPr>
          <w:iCs/>
        </w:rPr>
        <w:t xml:space="preserve">pateikti duomenys bendroje populiacijoje (nevertinant atskirų </w:t>
      </w:r>
      <w:r w:rsidRPr="00086E82">
        <w:rPr>
          <w:iCs/>
        </w:rPr>
        <w:t>prognostinių pogrupi</w:t>
      </w:r>
      <w:r>
        <w:rPr>
          <w:iCs/>
        </w:rPr>
        <w:t>ų)</w:t>
      </w:r>
      <w:r w:rsidRPr="00086E82">
        <w:rPr>
          <w:iCs/>
        </w:rPr>
        <w:t>.</w:t>
      </w:r>
    </w:p>
    <w:p w14:paraId="061EA0A3" w14:textId="6890AF20" w:rsidR="005A73CE" w:rsidRPr="004E3679" w:rsidRDefault="005A73CE" w:rsidP="005A73CE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>
        <w:rPr>
          <w:iCs/>
        </w:rPr>
        <w:tab/>
        <w:t xml:space="preserve">Pareiškėjo buvo paprašyta pateikti naujausius </w:t>
      </w:r>
      <w:r w:rsidRPr="008D5C21">
        <w:t xml:space="preserve">klinikinio tyrimo </w:t>
      </w:r>
      <w:proofErr w:type="spellStart"/>
      <w:r w:rsidRPr="008D5C21">
        <w:t>CheckMate</w:t>
      </w:r>
      <w:proofErr w:type="spellEnd"/>
      <w:r w:rsidRPr="008D5C21">
        <w:t xml:space="preserve"> 9ER</w:t>
      </w:r>
      <w:r>
        <w:t xml:space="preserve"> IBLP ir BI duomenis ITT populiacijoje ir iš anksto numatytuose pogrupiuose. Pareiškėjas pateikė duomenų analizės</w:t>
      </w:r>
      <w:r w:rsidRPr="00D94B9F">
        <w:t xml:space="preserve"> </w:t>
      </w:r>
      <w:r w:rsidRPr="008D5C21">
        <w:t>rezultatus</w:t>
      </w:r>
      <w:r>
        <w:t xml:space="preserve"> atliktos 2022 metais gegužės 27 d duomenų bazės pagrindu, </w:t>
      </w:r>
      <w:proofErr w:type="spellStart"/>
      <w:r>
        <w:t>t.y</w:t>
      </w:r>
      <w:proofErr w:type="spellEnd"/>
      <w:r>
        <w:t xml:space="preserve">. esant 44 mėnesių stebėjimo laikotarpiui. ITT populiacijoje IBLP </w:t>
      </w:r>
      <w:r w:rsidRPr="008D5C21">
        <w:t xml:space="preserve">išliko dvigubai didesnė pacientams, gydytiems </w:t>
      </w:r>
      <w:r>
        <w:t>NIVO</w:t>
      </w:r>
      <w:r w:rsidRPr="00882A5B">
        <w:t>+</w:t>
      </w:r>
      <w:r>
        <w:t>CABO</w:t>
      </w:r>
      <w:r w:rsidRPr="008D5C21">
        <w:t xml:space="preserve">, o ligos progresavimo ar mirties rizika, palyginti su </w:t>
      </w:r>
      <w:r>
        <w:t>SUNI</w:t>
      </w:r>
      <w:r w:rsidRPr="008D5C21">
        <w:t xml:space="preserve">, sumažėjo 41 </w:t>
      </w:r>
      <w:r>
        <w:t>proc.</w:t>
      </w:r>
      <w:r w:rsidRPr="008D5C21">
        <w:t xml:space="preserve"> (16,6 ir 8,4 mėnesio, HR = 0,59, 95 % PI: 0,49–0,71</w:t>
      </w:r>
      <w:r>
        <w:t>, p&lt;0,0001)</w:t>
      </w:r>
      <w:r w:rsidRPr="008D5C21">
        <w:t>.</w:t>
      </w:r>
      <w:r>
        <w:t xml:space="preserve"> NIVO</w:t>
      </w:r>
      <w:r w:rsidRPr="00882A5B">
        <w:t>+</w:t>
      </w:r>
      <w:r>
        <w:t>CABO</w:t>
      </w:r>
      <w:r w:rsidRPr="008D5C21">
        <w:t xml:space="preserve"> gydytų pacientų palyginti su </w:t>
      </w:r>
      <w:r>
        <w:t>SUNI BI</w:t>
      </w:r>
      <w:r w:rsidRPr="008D5C21">
        <w:t xml:space="preserve"> pagerėjo ir mirties rizika sumažėjo 30 </w:t>
      </w:r>
      <w:r>
        <w:t>proc</w:t>
      </w:r>
      <w:r w:rsidRPr="008D5C21">
        <w:t xml:space="preserve">. </w:t>
      </w:r>
      <w:r>
        <w:t>NIVO</w:t>
      </w:r>
      <w:r w:rsidRPr="00882A5B">
        <w:t>+</w:t>
      </w:r>
      <w:r>
        <w:t>CABO</w:t>
      </w:r>
      <w:r w:rsidRPr="008D5C21">
        <w:t xml:space="preserve"> gydytiems pacientams </w:t>
      </w:r>
      <w:r>
        <w:t>BI mediana buvo</w:t>
      </w:r>
      <w:r w:rsidRPr="008D5C21">
        <w:t xml:space="preserve"> beveik 14 mėnesių</w:t>
      </w:r>
      <w:r>
        <w:t xml:space="preserve"> ilgesnė</w:t>
      </w:r>
      <w:r w:rsidRPr="008D5C21">
        <w:t xml:space="preserve">, </w:t>
      </w:r>
      <w:r>
        <w:t>nei gydytų</w:t>
      </w:r>
      <w:r w:rsidRPr="008D5C21">
        <w:t xml:space="preserve"> </w:t>
      </w:r>
      <w:r>
        <w:t>SUNI</w:t>
      </w:r>
      <w:r w:rsidRPr="008D5C21">
        <w:t xml:space="preserve"> grup</w:t>
      </w:r>
      <w:r>
        <w:t>ėje</w:t>
      </w:r>
      <w:r w:rsidRPr="008D5C21">
        <w:t xml:space="preserve"> (49,48 ir 35,52 mėn., </w:t>
      </w:r>
      <w:r>
        <w:t>HR</w:t>
      </w:r>
      <w:r w:rsidRPr="008D5C21">
        <w:t xml:space="preserve"> = 0,70, 95 </w:t>
      </w:r>
      <w:r>
        <w:t>proc.</w:t>
      </w:r>
      <w:r w:rsidRPr="008D5C21">
        <w:t xml:space="preserve"> PI: 0,56-0,87</w:t>
      </w:r>
      <w:r>
        <w:t xml:space="preserve">, p = 0,0014). Remiantis pateiktais duomenimis </w:t>
      </w:r>
      <w:r w:rsidRPr="00BB45FA">
        <w:rPr>
          <w:rFonts w:eastAsia="Arial"/>
          <w:bCs/>
        </w:rPr>
        <w:t>iš anksto numatytuose pogrupiuose</w:t>
      </w:r>
      <w:r>
        <w:rPr>
          <w:rFonts w:eastAsia="Arial"/>
          <w:bCs/>
        </w:rPr>
        <w:t xml:space="preserve">, </w:t>
      </w:r>
      <w:r w:rsidR="001E3285">
        <w:rPr>
          <w:rFonts w:eastAsia="Arial"/>
          <w:bCs/>
        </w:rPr>
        <w:t>geros prognozės</w:t>
      </w:r>
      <w:r w:rsidRPr="00BB45FA">
        <w:rPr>
          <w:rFonts w:eastAsia="Arial"/>
          <w:bCs/>
        </w:rPr>
        <w:t xml:space="preserve"> pagal </w:t>
      </w:r>
      <w:proofErr w:type="spellStart"/>
      <w:r w:rsidRPr="00BB45FA">
        <w:rPr>
          <w:rFonts w:eastAsia="Arial"/>
          <w:bCs/>
        </w:rPr>
        <w:t>Heng</w:t>
      </w:r>
      <w:proofErr w:type="spellEnd"/>
      <w:r w:rsidRPr="00BB45FA">
        <w:rPr>
          <w:rFonts w:eastAsia="Arial"/>
          <w:bCs/>
        </w:rPr>
        <w:t xml:space="preserve"> skalę pacientų pogrupyje NIVO+CABO derinio vartojimas lyginant </w:t>
      </w:r>
      <w:r>
        <w:rPr>
          <w:rFonts w:eastAsia="Arial"/>
          <w:bCs/>
        </w:rPr>
        <w:t xml:space="preserve">su SUNI vartojimu </w:t>
      </w:r>
      <w:r w:rsidRPr="00BB45FA">
        <w:rPr>
          <w:rFonts w:eastAsia="Arial"/>
          <w:bCs/>
        </w:rPr>
        <w:t>reikšmingai neprailgino</w:t>
      </w:r>
      <w:r>
        <w:rPr>
          <w:rFonts w:eastAsia="Arial"/>
          <w:bCs/>
        </w:rPr>
        <w:t xml:space="preserve"> nei</w:t>
      </w:r>
      <w:r w:rsidRPr="00BB45FA">
        <w:rPr>
          <w:rFonts w:eastAsia="Arial"/>
          <w:bCs/>
        </w:rPr>
        <w:t xml:space="preserve"> IBLP (atitinkamai 21,42 mėn. ir 13,86 mėn., RS=0,72, 95 proc. </w:t>
      </w:r>
      <w:r w:rsidRPr="00863161">
        <w:rPr>
          <w:rFonts w:eastAsia="Arial"/>
          <w:bCs/>
        </w:rPr>
        <w:t xml:space="preserve">PI 0,49-1,05), nei BI </w:t>
      </w:r>
      <w:r>
        <w:rPr>
          <w:rFonts w:eastAsia="Arial"/>
          <w:bCs/>
        </w:rPr>
        <w:t>(</w:t>
      </w:r>
      <w:r w:rsidRPr="00BB45FA">
        <w:rPr>
          <w:rFonts w:eastAsia="Arial"/>
          <w:bCs/>
        </w:rPr>
        <w:t>RS=1,07, 9</w:t>
      </w:r>
      <w:r w:rsidRPr="00863161">
        <w:rPr>
          <w:rFonts w:eastAsia="Arial"/>
          <w:bCs/>
        </w:rPr>
        <w:t xml:space="preserve">5 proc. PI 0,63-1,79). </w:t>
      </w:r>
      <w:r w:rsidRPr="002A6FA1">
        <w:rPr>
          <w:rFonts w:eastAsia="Arial"/>
          <w:bCs/>
        </w:rPr>
        <w:t>Vidutin</w:t>
      </w:r>
      <w:r w:rsidRPr="00BB45FA">
        <w:rPr>
          <w:rFonts w:eastAsia="Arial"/>
          <w:bCs/>
        </w:rPr>
        <w:t xml:space="preserve">ės </w:t>
      </w:r>
      <w:r w:rsidR="001E3285">
        <w:rPr>
          <w:rFonts w:eastAsia="Arial"/>
          <w:bCs/>
        </w:rPr>
        <w:t xml:space="preserve">prognozės </w:t>
      </w:r>
      <w:r w:rsidRPr="00BB45FA">
        <w:rPr>
          <w:rFonts w:eastAsia="Arial"/>
          <w:bCs/>
        </w:rPr>
        <w:t>pacientų pogrupyje vartojant NIVO</w:t>
      </w:r>
      <m:oMath>
        <m:r>
          <w:rPr>
            <w:rFonts w:ascii="Cambria Math" w:eastAsia="Arial" w:hAnsi="Cambria Math"/>
          </w:rPr>
          <m:t>+</m:t>
        </m:r>
      </m:oMath>
      <w:r w:rsidRPr="00BB45FA">
        <w:rPr>
          <w:rFonts w:eastAsia="Arial"/>
          <w:bCs/>
        </w:rPr>
        <w:t xml:space="preserve">CABO derinį IBLP buvo ilgesnis </w:t>
      </w:r>
      <w:r w:rsidRPr="002A6FA1">
        <w:rPr>
          <w:rFonts w:eastAsia="Arial"/>
          <w:bCs/>
        </w:rPr>
        <w:t>7,92 m</w:t>
      </w:r>
      <w:r w:rsidRPr="00BB45FA">
        <w:rPr>
          <w:rFonts w:eastAsia="Arial"/>
          <w:bCs/>
        </w:rPr>
        <w:t>ėn. nei vartojant SUNI (</w:t>
      </w:r>
      <w:r w:rsidRPr="002A6FA1">
        <w:rPr>
          <w:rFonts w:eastAsia="Arial"/>
          <w:bCs/>
        </w:rPr>
        <w:t>atitinkamai 16,59 m</w:t>
      </w:r>
      <w:r w:rsidRPr="00BB45FA">
        <w:rPr>
          <w:rFonts w:eastAsia="Arial"/>
          <w:bCs/>
        </w:rPr>
        <w:t>ėn. ir 8,67</w:t>
      </w:r>
      <w:r w:rsidRPr="002A6FA1">
        <w:rPr>
          <w:rFonts w:eastAsia="Arial"/>
          <w:bCs/>
        </w:rPr>
        <w:t xml:space="preserve"> m</w:t>
      </w:r>
      <w:r w:rsidRPr="00BB45FA">
        <w:rPr>
          <w:rFonts w:eastAsia="Arial"/>
          <w:bCs/>
        </w:rPr>
        <w:t>ėn., RS=0,63, 9</w:t>
      </w:r>
      <w:r w:rsidRPr="002A6FA1">
        <w:rPr>
          <w:rFonts w:eastAsia="Arial"/>
          <w:bCs/>
        </w:rPr>
        <w:t>5 proc. PI 0,49-0,80</w:t>
      </w:r>
      <w:r w:rsidRPr="00BB45FA">
        <w:rPr>
          <w:rFonts w:eastAsia="Arial"/>
          <w:bCs/>
        </w:rPr>
        <w:t>)</w:t>
      </w:r>
      <w:r>
        <w:rPr>
          <w:rFonts w:eastAsia="Arial"/>
          <w:bCs/>
        </w:rPr>
        <w:t xml:space="preserve">, tačiau BI šiame pogrupyje tarp lyginamų </w:t>
      </w:r>
      <w:r w:rsidR="00D03F23">
        <w:rPr>
          <w:rFonts w:eastAsia="Arial"/>
          <w:bCs/>
        </w:rPr>
        <w:t xml:space="preserve">vaistinių preparatų </w:t>
      </w:r>
      <w:r>
        <w:rPr>
          <w:rFonts w:eastAsia="Arial"/>
          <w:bCs/>
        </w:rPr>
        <w:t xml:space="preserve">nesiskyrė (BI medianos atitinkamai </w:t>
      </w:r>
      <w:r w:rsidRPr="002A6FA1">
        <w:rPr>
          <w:rFonts w:eastAsia="Arial"/>
          <w:bCs/>
        </w:rPr>
        <w:t>49,48 m</w:t>
      </w:r>
      <w:r>
        <w:rPr>
          <w:rFonts w:eastAsia="Arial"/>
          <w:bCs/>
        </w:rPr>
        <w:t xml:space="preserve">ėn. ir </w:t>
      </w:r>
      <w:r w:rsidRPr="002A6FA1">
        <w:rPr>
          <w:rFonts w:eastAsia="Arial"/>
          <w:bCs/>
        </w:rPr>
        <w:t>36,17 m</w:t>
      </w:r>
      <w:r>
        <w:rPr>
          <w:rFonts w:eastAsia="Arial"/>
          <w:bCs/>
        </w:rPr>
        <w:t>ėn., BI RS</w:t>
      </w:r>
      <w:r w:rsidRPr="002A6FA1">
        <w:rPr>
          <w:rFonts w:eastAsia="Arial"/>
          <w:bCs/>
        </w:rPr>
        <w:t>=0,75, 95 proc. 0,56-1,00</w:t>
      </w:r>
      <w:r>
        <w:rPr>
          <w:rFonts w:eastAsia="Arial"/>
          <w:bCs/>
        </w:rPr>
        <w:t xml:space="preserve">). </w:t>
      </w:r>
      <w:r>
        <w:rPr>
          <w:iCs/>
        </w:rPr>
        <w:t xml:space="preserve"> </w:t>
      </w:r>
    </w:p>
    <w:p w14:paraId="600537B3" w14:textId="464DADBF" w:rsidR="005A73CE" w:rsidRDefault="005A73CE" w:rsidP="005A73CE">
      <w:pPr>
        <w:tabs>
          <w:tab w:val="left" w:pos="492"/>
        </w:tabs>
        <w:spacing w:line="276" w:lineRule="auto"/>
        <w:jc w:val="both"/>
        <w:outlineLvl w:val="1"/>
        <w:rPr>
          <w:iCs/>
        </w:rPr>
      </w:pPr>
      <w:r>
        <w:rPr>
          <w:iCs/>
        </w:rPr>
        <w:tab/>
        <w:t xml:space="preserve">Vertinant </w:t>
      </w:r>
      <w:r w:rsidRPr="00086E82">
        <w:t>NIVO+CABO</w:t>
      </w:r>
      <w:r>
        <w:t xml:space="preserve"> saugum</w:t>
      </w:r>
      <w:r w:rsidR="00D03F23">
        <w:t>ą</w:t>
      </w:r>
      <w:r>
        <w:t xml:space="preserve">, nustatyta, jog </w:t>
      </w:r>
      <w:r w:rsidRPr="00086E82">
        <w:t>NIVO+CABO</w:t>
      </w:r>
      <w:r>
        <w:t xml:space="preserve"> </w:t>
      </w:r>
      <w:r w:rsidRPr="00531424">
        <w:t xml:space="preserve">deriniu gydytų pacientų grupėje pasireiškė 10 proc. daugiau 3 ar aukštesnio laipsnio </w:t>
      </w:r>
      <w:proofErr w:type="spellStart"/>
      <w:r w:rsidR="00D03F23">
        <w:t>nepageidaujamaos</w:t>
      </w:r>
      <w:proofErr w:type="spellEnd"/>
      <w:r w:rsidR="00D03F23">
        <w:t xml:space="preserve"> reakcijos (</w:t>
      </w:r>
      <w:r w:rsidRPr="00531424">
        <w:t>NR</w:t>
      </w:r>
      <w:r w:rsidR="00D03F23">
        <w:t>)</w:t>
      </w:r>
      <w:r w:rsidRPr="00531424">
        <w:t>, lyginant su SUNI gydytų pacientų grupe</w:t>
      </w:r>
      <w:r>
        <w:t xml:space="preserve">. Ilgalaikio stebėjimo tyrime, </w:t>
      </w:r>
      <w:r w:rsidRPr="00ED2FB7">
        <w:t>dėl su gydym</w:t>
      </w:r>
      <w:r>
        <w:t>u</w:t>
      </w:r>
      <w:r w:rsidRPr="00ED2FB7">
        <w:t xml:space="preserve"> susijusių NR</w:t>
      </w:r>
      <w:r>
        <w:t>, gydymas buvo nutrauktas</w:t>
      </w:r>
      <w:r w:rsidRPr="00ED2FB7">
        <w:t xml:space="preserve"> 23,4 proc. NIVO+CABO ir 9,1 proc. SUNI</w:t>
      </w:r>
      <w:r>
        <w:t xml:space="preserve"> gydytų pacientų. </w:t>
      </w:r>
    </w:p>
    <w:p w14:paraId="4336A77E" w14:textId="2CD63573" w:rsidR="005A73CE" w:rsidRDefault="005A73CE" w:rsidP="005A73CE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>
        <w:rPr>
          <w:rFonts w:eastAsia="Arial"/>
          <w:bCs/>
        </w:rPr>
        <w:tab/>
        <w:t xml:space="preserve">Pareiškėjas netiesioginių palyginamųjų tyrimų paraiškos dalyje pateikė tinklinę </w:t>
      </w:r>
      <w:proofErr w:type="spellStart"/>
      <w:r>
        <w:rPr>
          <w:rFonts w:eastAsia="Arial"/>
          <w:bCs/>
        </w:rPr>
        <w:t>metaanalizę</w:t>
      </w:r>
      <w:proofErr w:type="spellEnd"/>
      <w:r>
        <w:rPr>
          <w:rFonts w:eastAsia="Arial"/>
          <w:bCs/>
        </w:rPr>
        <w:t xml:space="preserve">, kurioje </w:t>
      </w:r>
      <w:r w:rsidRPr="006979AD">
        <w:rPr>
          <w:rFonts w:eastAsia="Arial"/>
          <w:bCs/>
        </w:rPr>
        <w:t xml:space="preserve">pateikiami bendri vidutinės ir blogos </w:t>
      </w:r>
      <w:r>
        <w:rPr>
          <w:rFonts w:eastAsia="Arial"/>
          <w:bCs/>
        </w:rPr>
        <w:t xml:space="preserve">prognostinių pogrupių </w:t>
      </w:r>
      <w:r w:rsidRPr="006979AD">
        <w:rPr>
          <w:rFonts w:eastAsia="Arial"/>
          <w:bCs/>
        </w:rPr>
        <w:t xml:space="preserve">gydymo </w:t>
      </w:r>
      <w:proofErr w:type="spellStart"/>
      <w:r w:rsidRPr="006979AD">
        <w:rPr>
          <w:rFonts w:eastAsia="Arial"/>
          <w:bCs/>
        </w:rPr>
        <w:t>sunitinibu</w:t>
      </w:r>
      <w:proofErr w:type="spellEnd"/>
      <w:r w:rsidRPr="006979AD">
        <w:rPr>
          <w:rFonts w:eastAsia="Arial"/>
          <w:bCs/>
        </w:rPr>
        <w:t xml:space="preserve">, </w:t>
      </w:r>
      <w:proofErr w:type="spellStart"/>
      <w:r w:rsidRPr="006979AD">
        <w:rPr>
          <w:rFonts w:eastAsia="Arial"/>
          <w:bCs/>
        </w:rPr>
        <w:t>kabozantinibu</w:t>
      </w:r>
      <w:proofErr w:type="spellEnd"/>
      <w:r w:rsidRPr="006979AD">
        <w:rPr>
          <w:rFonts w:eastAsia="Arial"/>
          <w:bCs/>
        </w:rPr>
        <w:t xml:space="preserve"> bei </w:t>
      </w:r>
      <w:proofErr w:type="spellStart"/>
      <w:r w:rsidRPr="006979AD">
        <w:rPr>
          <w:rFonts w:eastAsia="Arial"/>
          <w:bCs/>
        </w:rPr>
        <w:t>ibilumabo</w:t>
      </w:r>
      <w:proofErr w:type="spellEnd"/>
      <w:r w:rsidRPr="006979AD">
        <w:rPr>
          <w:rFonts w:eastAsia="Arial"/>
          <w:bCs/>
        </w:rPr>
        <w:t xml:space="preserve"> ir </w:t>
      </w:r>
      <w:proofErr w:type="spellStart"/>
      <w:r w:rsidRPr="006979AD">
        <w:rPr>
          <w:rFonts w:eastAsia="Arial"/>
          <w:bCs/>
        </w:rPr>
        <w:t>nivolumabo</w:t>
      </w:r>
      <w:proofErr w:type="spellEnd"/>
      <w:r w:rsidRPr="006979AD">
        <w:rPr>
          <w:rFonts w:eastAsia="Arial"/>
          <w:bCs/>
        </w:rPr>
        <w:t xml:space="preserve"> deriniu efektyvumo rezultatai. </w:t>
      </w:r>
      <w:r>
        <w:rPr>
          <w:rFonts w:eastAsia="Arial"/>
          <w:bCs/>
        </w:rPr>
        <w:t xml:space="preserve">Remiantis Aprašu, į paraiškos nagrinėjimą buvo įtraukti duomenys apie </w:t>
      </w:r>
      <w:r w:rsidR="00D03F23">
        <w:rPr>
          <w:rFonts w:eastAsia="Arial"/>
          <w:bCs/>
        </w:rPr>
        <w:t>vaistinius preparatus</w:t>
      </w:r>
      <w:r>
        <w:rPr>
          <w:rFonts w:eastAsia="Arial"/>
          <w:bCs/>
        </w:rPr>
        <w:t xml:space="preserve">, kuriais Lietuvoje gydomi </w:t>
      </w:r>
      <w:r>
        <w:rPr>
          <w:rFonts w:eastAsia="Arial"/>
          <w:bCs/>
        </w:rPr>
        <w:lastRenderedPageBreak/>
        <w:t xml:space="preserve">vidutinės ir blogos prognostinių pogrupių išplitusia ILK sergantys pacientai: </w:t>
      </w:r>
      <w:proofErr w:type="spellStart"/>
      <w:r w:rsidRPr="006979AD">
        <w:rPr>
          <w:rFonts w:eastAsia="Arial"/>
          <w:bCs/>
        </w:rPr>
        <w:t>kabozantinib</w:t>
      </w:r>
      <w:r>
        <w:rPr>
          <w:rFonts w:eastAsia="Arial"/>
          <w:bCs/>
        </w:rPr>
        <w:t>as</w:t>
      </w:r>
      <w:proofErr w:type="spellEnd"/>
      <w:r w:rsidRPr="006979AD">
        <w:rPr>
          <w:rFonts w:eastAsia="Arial"/>
          <w:bCs/>
        </w:rPr>
        <w:t xml:space="preserve"> bei </w:t>
      </w:r>
      <w:proofErr w:type="spellStart"/>
      <w:r w:rsidRPr="006979AD">
        <w:rPr>
          <w:rFonts w:eastAsia="Arial"/>
          <w:bCs/>
        </w:rPr>
        <w:t>ibilumabo</w:t>
      </w:r>
      <w:proofErr w:type="spellEnd"/>
      <w:r w:rsidRPr="006979AD">
        <w:rPr>
          <w:rFonts w:eastAsia="Arial"/>
          <w:bCs/>
        </w:rPr>
        <w:t xml:space="preserve"> ir </w:t>
      </w:r>
      <w:proofErr w:type="spellStart"/>
      <w:r w:rsidRPr="006979AD">
        <w:rPr>
          <w:rFonts w:eastAsia="Arial"/>
          <w:bCs/>
        </w:rPr>
        <w:t>nivolumabo</w:t>
      </w:r>
      <w:proofErr w:type="spellEnd"/>
      <w:r w:rsidRPr="006979AD">
        <w:rPr>
          <w:rFonts w:eastAsia="Arial"/>
          <w:bCs/>
        </w:rPr>
        <w:t xml:space="preserve"> derin</w:t>
      </w:r>
      <w:r>
        <w:rPr>
          <w:rFonts w:eastAsia="Arial"/>
          <w:bCs/>
        </w:rPr>
        <w:t xml:space="preserve">ys. </w:t>
      </w:r>
    </w:p>
    <w:p w14:paraId="2B948778" w14:textId="2704959B" w:rsidR="00173F5F" w:rsidRDefault="00173F5F" w:rsidP="005A73CE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>
        <w:rPr>
          <w:rFonts w:eastAsia="Arial"/>
          <w:bCs/>
        </w:rPr>
        <w:tab/>
        <w:t xml:space="preserve">Gydymo trukmė </w:t>
      </w:r>
      <w:proofErr w:type="spellStart"/>
      <w:r>
        <w:rPr>
          <w:rFonts w:eastAsia="Arial"/>
          <w:bCs/>
        </w:rPr>
        <w:t>nivolumabu</w:t>
      </w:r>
      <w:proofErr w:type="spellEnd"/>
      <w:r>
        <w:rPr>
          <w:rFonts w:eastAsia="Arial"/>
          <w:bCs/>
        </w:rPr>
        <w:t xml:space="preserve"> įtrauktuose tyrimuose skyrėsi - </w:t>
      </w:r>
      <w:proofErr w:type="spellStart"/>
      <w:r w:rsidRPr="006E3930">
        <w:rPr>
          <w:rFonts w:eastAsia="Arial"/>
          <w:bCs/>
        </w:rPr>
        <w:t>CheckMate</w:t>
      </w:r>
      <w:proofErr w:type="spellEnd"/>
      <w:r w:rsidRPr="006E3930">
        <w:rPr>
          <w:rFonts w:eastAsia="Arial"/>
          <w:bCs/>
        </w:rPr>
        <w:t xml:space="preserve"> 9ER tyrime </w:t>
      </w:r>
      <w:proofErr w:type="spellStart"/>
      <w:r w:rsidRPr="006E3930">
        <w:rPr>
          <w:rFonts w:eastAsia="Arial"/>
          <w:bCs/>
        </w:rPr>
        <w:t>nivolumabas</w:t>
      </w:r>
      <w:proofErr w:type="spellEnd"/>
      <w:r w:rsidRPr="006E3930">
        <w:rPr>
          <w:rFonts w:eastAsia="Arial"/>
          <w:bCs/>
        </w:rPr>
        <w:t xml:space="preserve"> skirtas iki ligos progresavimo, nepriimtino toksiškumo arba iki 2 metų, </w:t>
      </w:r>
      <w:r>
        <w:rPr>
          <w:rFonts w:eastAsia="Arial"/>
          <w:bCs/>
        </w:rPr>
        <w:t xml:space="preserve">o </w:t>
      </w:r>
      <w:proofErr w:type="spellStart"/>
      <w:r w:rsidRPr="006E3930">
        <w:rPr>
          <w:rFonts w:eastAsia="Arial"/>
          <w:bCs/>
        </w:rPr>
        <w:t>CheckMate</w:t>
      </w:r>
      <w:proofErr w:type="spellEnd"/>
      <w:r w:rsidRPr="006E3930">
        <w:rPr>
          <w:rFonts w:eastAsia="Arial"/>
          <w:bCs/>
        </w:rPr>
        <w:t xml:space="preserve"> 214 iki ligos progresavimo arba nepriimtino toksiškumo</w:t>
      </w:r>
      <w:r>
        <w:rPr>
          <w:rFonts w:eastAsia="Arial"/>
          <w:bCs/>
        </w:rPr>
        <w:t>, o p</w:t>
      </w:r>
      <w:r w:rsidRPr="006E3930">
        <w:rPr>
          <w:rFonts w:eastAsia="Arial"/>
          <w:bCs/>
        </w:rPr>
        <w:t xml:space="preserve">acientams pageidaujant po 2 metų buvo galima nutraukti </w:t>
      </w:r>
      <w:proofErr w:type="spellStart"/>
      <w:r w:rsidRPr="006E3930">
        <w:rPr>
          <w:rFonts w:eastAsia="Arial"/>
          <w:bCs/>
        </w:rPr>
        <w:t>nivolumabo</w:t>
      </w:r>
      <w:proofErr w:type="spellEnd"/>
      <w:r w:rsidRPr="006E3930">
        <w:rPr>
          <w:rFonts w:eastAsia="Arial"/>
          <w:bCs/>
        </w:rPr>
        <w:t xml:space="preserve"> vartojimą. </w:t>
      </w:r>
      <w:r>
        <w:rPr>
          <w:rFonts w:eastAsia="Arial"/>
          <w:bCs/>
        </w:rPr>
        <w:t xml:space="preserve">Dėl gydymo </w:t>
      </w:r>
      <w:proofErr w:type="spellStart"/>
      <w:r w:rsidR="00A244AE">
        <w:rPr>
          <w:rFonts w:eastAsia="Arial"/>
          <w:bCs/>
        </w:rPr>
        <w:t>nivolumabu</w:t>
      </w:r>
      <w:proofErr w:type="spellEnd"/>
      <w:r w:rsidR="00A244AE">
        <w:rPr>
          <w:rFonts w:eastAsia="Arial"/>
          <w:bCs/>
        </w:rPr>
        <w:t xml:space="preserve"> derinyje su </w:t>
      </w:r>
      <w:proofErr w:type="spellStart"/>
      <w:r w:rsidR="00A244AE">
        <w:rPr>
          <w:rFonts w:eastAsia="Arial"/>
          <w:bCs/>
        </w:rPr>
        <w:t>ipilimumabu</w:t>
      </w:r>
      <w:proofErr w:type="spellEnd"/>
      <w:r w:rsidR="00A244AE">
        <w:rPr>
          <w:rFonts w:eastAsia="Arial"/>
          <w:bCs/>
        </w:rPr>
        <w:t xml:space="preserve"> trukmės</w:t>
      </w:r>
      <w:r>
        <w:rPr>
          <w:rFonts w:eastAsia="Arial"/>
          <w:bCs/>
        </w:rPr>
        <w:t xml:space="preserve">, tarnyba rėmėsi </w:t>
      </w:r>
      <w:r w:rsidRPr="006E3930">
        <w:rPr>
          <w:rFonts w:eastAsia="Arial"/>
          <w:bCs/>
        </w:rPr>
        <w:t xml:space="preserve">Europos onkologų draugijos 2021 m. gairėmis dėl imunoterapijos taikymo ankstyvai ir išplitusiai ILK, </w:t>
      </w:r>
      <w:r>
        <w:rPr>
          <w:rFonts w:eastAsia="Arial"/>
          <w:bCs/>
        </w:rPr>
        <w:t xml:space="preserve">kuriose </w:t>
      </w:r>
      <w:r w:rsidRPr="006E3930">
        <w:rPr>
          <w:rFonts w:eastAsia="Arial"/>
          <w:bCs/>
        </w:rPr>
        <w:t xml:space="preserve">rekomenduojama apsvarstyti imuninės patikros </w:t>
      </w:r>
      <w:proofErr w:type="spellStart"/>
      <w:r w:rsidRPr="006E3930">
        <w:rPr>
          <w:rFonts w:eastAsia="Arial"/>
          <w:bCs/>
        </w:rPr>
        <w:t>slopiklių</w:t>
      </w:r>
      <w:proofErr w:type="spellEnd"/>
      <w:r w:rsidRPr="006E3930">
        <w:rPr>
          <w:rFonts w:eastAsia="Arial"/>
          <w:bCs/>
        </w:rPr>
        <w:t xml:space="preserve"> (pvz. </w:t>
      </w:r>
      <w:proofErr w:type="spellStart"/>
      <w:r w:rsidRPr="006E3930">
        <w:rPr>
          <w:rFonts w:eastAsia="Arial"/>
          <w:bCs/>
        </w:rPr>
        <w:t>nivolumabo</w:t>
      </w:r>
      <w:proofErr w:type="spellEnd"/>
      <w:r w:rsidRPr="006E3930">
        <w:rPr>
          <w:rFonts w:eastAsia="Arial"/>
          <w:bCs/>
        </w:rPr>
        <w:t>) nutraukimą po 2 metų vartojimo (IV rekomendacijų klasė, lygmuo C).</w:t>
      </w:r>
    </w:p>
    <w:p w14:paraId="22C461F8" w14:textId="59B69449" w:rsidR="005A73CE" w:rsidRDefault="005A73CE" w:rsidP="005A73CE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>
        <w:rPr>
          <w:rFonts w:eastAsia="Arial"/>
          <w:bCs/>
        </w:rPr>
        <w:tab/>
      </w:r>
      <w:r w:rsidR="005D7339">
        <w:rPr>
          <w:rFonts w:eastAsia="Arial"/>
          <w:bCs/>
        </w:rPr>
        <w:t>[</w:t>
      </w:r>
      <w:r w:rsidR="00FC3593">
        <w:rPr>
          <w:rFonts w:eastAsia="Arial"/>
          <w:bCs/>
        </w:rPr>
        <w:t>***</w:t>
      </w:r>
      <w:r w:rsidR="005D7339">
        <w:rPr>
          <w:rFonts w:eastAsia="Arial"/>
          <w:bCs/>
        </w:rPr>
        <w:t>]</w:t>
      </w:r>
      <w:r w:rsidRPr="00531424">
        <w:rPr>
          <w:rFonts w:eastAsia="Arial"/>
          <w:bCs/>
        </w:rPr>
        <w:t>.</w:t>
      </w:r>
    </w:p>
    <w:p w14:paraId="62EF2EB9" w14:textId="0CD4AFFB" w:rsidR="005A73CE" w:rsidRDefault="005A73CE" w:rsidP="005A73CE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>
        <w:rPr>
          <w:rFonts w:eastAsia="Arial"/>
          <w:bCs/>
        </w:rPr>
        <w:tab/>
        <w:t xml:space="preserve">Tinklinėje </w:t>
      </w:r>
      <w:proofErr w:type="spellStart"/>
      <w:r>
        <w:rPr>
          <w:rFonts w:eastAsia="Arial"/>
          <w:bCs/>
        </w:rPr>
        <w:t>metaanalizėje</w:t>
      </w:r>
      <w:proofErr w:type="spellEnd"/>
      <w:r>
        <w:rPr>
          <w:rFonts w:eastAsia="Arial"/>
          <w:bCs/>
        </w:rPr>
        <w:t xml:space="preserve">, nustatytas palankus </w:t>
      </w:r>
      <w:r w:rsidRPr="00531424">
        <w:rPr>
          <w:rFonts w:eastAsia="Arial"/>
          <w:bCs/>
        </w:rPr>
        <w:t>CABO+NIVO</w:t>
      </w:r>
      <w:r>
        <w:rPr>
          <w:rFonts w:eastAsia="Arial"/>
          <w:bCs/>
        </w:rPr>
        <w:t xml:space="preserve"> saugum</w:t>
      </w:r>
      <w:r w:rsidR="00CC5C59">
        <w:rPr>
          <w:rFonts w:eastAsia="Arial"/>
          <w:bCs/>
        </w:rPr>
        <w:t>as</w:t>
      </w:r>
      <w:r>
        <w:rPr>
          <w:rFonts w:eastAsia="Arial"/>
          <w:bCs/>
        </w:rPr>
        <w:t xml:space="preserve"> lyginant su </w:t>
      </w:r>
      <w:proofErr w:type="spellStart"/>
      <w:r>
        <w:rPr>
          <w:rFonts w:eastAsia="Arial"/>
          <w:bCs/>
        </w:rPr>
        <w:t>NIVO</w:t>
      </w:r>
      <w:r w:rsidRPr="00ED2FB7">
        <w:rPr>
          <w:rFonts w:eastAsia="Arial"/>
          <w:bCs/>
        </w:rPr>
        <w:t>+ipilumabu</w:t>
      </w:r>
      <w:proofErr w:type="spellEnd"/>
      <w:r w:rsidRPr="00ED2FB7">
        <w:rPr>
          <w:rFonts w:eastAsia="Arial"/>
          <w:bCs/>
        </w:rPr>
        <w:t xml:space="preserve"> – 2,4 karto re</w:t>
      </w:r>
      <w:r>
        <w:rPr>
          <w:rFonts w:eastAsia="Arial"/>
          <w:bCs/>
        </w:rPr>
        <w:t xml:space="preserve">čiau įvykę </w:t>
      </w:r>
      <w:r w:rsidRPr="00621F7A">
        <w:rPr>
          <w:rFonts w:eastAsia="Arial"/>
          <w:bCs/>
        </w:rPr>
        <w:t>3-5 laipsnio NR</w:t>
      </w:r>
      <w:r>
        <w:rPr>
          <w:rFonts w:eastAsia="Arial"/>
          <w:bCs/>
        </w:rPr>
        <w:t>, tačiau gydymo nutraukimo dažnis tarp grupių reikšmingai nesiskyrė.</w:t>
      </w:r>
    </w:p>
    <w:p w14:paraId="0CE061ED" w14:textId="77777777" w:rsidR="005A73CE" w:rsidRDefault="005A73CE" w:rsidP="005A73CE">
      <w:pPr>
        <w:tabs>
          <w:tab w:val="left" w:pos="426"/>
        </w:tabs>
        <w:spacing w:line="276" w:lineRule="auto"/>
        <w:jc w:val="both"/>
        <w:rPr>
          <w:bCs/>
          <w:i/>
          <w:color w:val="000000"/>
          <w:lang w:eastAsia="lt-LT"/>
        </w:rPr>
      </w:pPr>
    </w:p>
    <w:p w14:paraId="17197819" w14:textId="77777777" w:rsidR="005A73CE" w:rsidRPr="003B3450" w:rsidRDefault="005A73CE" w:rsidP="005A73CE">
      <w:pPr>
        <w:tabs>
          <w:tab w:val="left" w:pos="426"/>
        </w:tabs>
        <w:spacing w:line="276" w:lineRule="auto"/>
        <w:jc w:val="both"/>
        <w:rPr>
          <w:bCs/>
          <w:i/>
          <w:color w:val="000000"/>
          <w:lang w:eastAsia="lt-LT"/>
        </w:rPr>
      </w:pPr>
      <w:r w:rsidRPr="003B3450">
        <w:rPr>
          <w:bCs/>
          <w:i/>
          <w:color w:val="000000"/>
          <w:lang w:eastAsia="lt-LT"/>
        </w:rPr>
        <w:t>Privalumai ir trūkumai</w:t>
      </w:r>
    </w:p>
    <w:p w14:paraId="472116FF" w14:textId="77777777" w:rsidR="005A73CE" w:rsidRPr="003B3450" w:rsidRDefault="005A73CE" w:rsidP="005A73CE">
      <w:pPr>
        <w:tabs>
          <w:tab w:val="left" w:pos="426"/>
        </w:tabs>
        <w:spacing w:line="276" w:lineRule="auto"/>
        <w:jc w:val="both"/>
        <w:rPr>
          <w:iCs/>
        </w:rPr>
      </w:pPr>
      <w:r>
        <w:rPr>
          <w:bCs/>
          <w:color w:val="000000"/>
          <w:lang w:eastAsia="lt-LT"/>
        </w:rPr>
        <w:tab/>
      </w:r>
      <w:r w:rsidRPr="003B3450">
        <w:rPr>
          <w:bCs/>
          <w:color w:val="000000"/>
          <w:lang w:eastAsia="lt-LT"/>
        </w:rPr>
        <w:tab/>
        <w:t>Jei vaistinis preparatas būtų įrašytas į kompensavimo sąrašus, gydymo šiuo vaistiniu preparatu taikymas klinikinėje praktikoje galėtų turėti privalumų ir trūkumų medicininėms paslaugoms ar pacientams.</w:t>
      </w:r>
    </w:p>
    <w:p w14:paraId="5B7C0C27" w14:textId="5002EB97" w:rsidR="005A73CE" w:rsidRDefault="005A73CE" w:rsidP="005A73CE">
      <w:pPr>
        <w:tabs>
          <w:tab w:val="left" w:pos="426"/>
        </w:tabs>
        <w:spacing w:line="276" w:lineRule="auto"/>
        <w:jc w:val="both"/>
        <w:rPr>
          <w:bCs/>
          <w:color w:val="000000"/>
          <w:lang w:eastAsia="lt-LT"/>
        </w:rPr>
      </w:pPr>
      <w:r w:rsidRPr="003B3450">
        <w:rPr>
          <w:bCs/>
          <w:color w:val="000000"/>
          <w:lang w:eastAsia="lt-LT"/>
        </w:rPr>
        <w:tab/>
      </w:r>
      <w:r w:rsidRPr="003B3450">
        <w:rPr>
          <w:bCs/>
          <w:color w:val="000000"/>
          <w:lang w:eastAsia="lt-LT"/>
        </w:rPr>
        <w:tab/>
      </w:r>
      <w:r w:rsidRPr="003B3450">
        <w:rPr>
          <w:bCs/>
          <w:color w:val="000000"/>
          <w:u w:val="single"/>
          <w:lang w:eastAsia="lt-LT"/>
        </w:rPr>
        <w:t>Privalumai</w:t>
      </w:r>
      <w:r>
        <w:rPr>
          <w:bCs/>
          <w:color w:val="000000"/>
          <w:lang w:eastAsia="lt-LT"/>
        </w:rPr>
        <w:t xml:space="preserve">. </w:t>
      </w:r>
      <w:r w:rsidRPr="00A2739A">
        <w:rPr>
          <w:bCs/>
          <w:color w:val="000000"/>
          <w:lang w:eastAsia="lt-LT"/>
        </w:rPr>
        <w:t xml:space="preserve">Pacientams – didesnė </w:t>
      </w:r>
      <w:r w:rsidRPr="006020EA">
        <w:rPr>
          <w:bCs/>
          <w:color w:val="000000"/>
          <w:lang w:eastAsia="lt-LT"/>
        </w:rPr>
        <w:t xml:space="preserve">vidutinės ir </w:t>
      </w:r>
      <w:r w:rsidR="001E3285">
        <w:rPr>
          <w:bCs/>
          <w:color w:val="000000"/>
          <w:lang w:eastAsia="lt-LT"/>
        </w:rPr>
        <w:t xml:space="preserve">blogos </w:t>
      </w:r>
      <w:r w:rsidR="001E3285">
        <w:rPr>
          <w:rFonts w:eastAsia="Arial"/>
          <w:bCs/>
        </w:rPr>
        <w:t>prognozės</w:t>
      </w:r>
      <w:r w:rsidRPr="006020EA">
        <w:rPr>
          <w:bCs/>
          <w:color w:val="000000"/>
          <w:lang w:eastAsia="lt-LT"/>
        </w:rPr>
        <w:t xml:space="preserve"> progresavusios inkstų ląstelių karcinomos pirmaeili</w:t>
      </w:r>
      <w:r>
        <w:rPr>
          <w:bCs/>
          <w:color w:val="000000"/>
          <w:lang w:eastAsia="lt-LT"/>
        </w:rPr>
        <w:t xml:space="preserve">o gydymo </w:t>
      </w:r>
      <w:r w:rsidRPr="00A2739A">
        <w:rPr>
          <w:bCs/>
          <w:color w:val="000000"/>
          <w:lang w:eastAsia="lt-LT"/>
        </w:rPr>
        <w:t>pasirinkimo galimybė</w:t>
      </w:r>
      <w:r>
        <w:rPr>
          <w:bCs/>
          <w:color w:val="000000"/>
          <w:lang w:eastAsia="lt-LT"/>
        </w:rPr>
        <w:t>.</w:t>
      </w:r>
    </w:p>
    <w:p w14:paraId="40EB1400" w14:textId="77777777" w:rsidR="005A73CE" w:rsidRDefault="005A73CE" w:rsidP="005A73CE">
      <w:pPr>
        <w:tabs>
          <w:tab w:val="left" w:pos="426"/>
        </w:tabs>
        <w:spacing w:line="276" w:lineRule="auto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ab/>
      </w:r>
      <w:r>
        <w:rPr>
          <w:bCs/>
          <w:color w:val="000000"/>
          <w:lang w:eastAsia="lt-LT"/>
        </w:rPr>
        <w:tab/>
      </w:r>
      <w:r w:rsidRPr="003B3450">
        <w:rPr>
          <w:bCs/>
          <w:color w:val="000000"/>
          <w:u w:val="single"/>
          <w:lang w:eastAsia="lt-LT"/>
        </w:rPr>
        <w:t>Trūkumai</w:t>
      </w:r>
      <w:r w:rsidRPr="003B3450">
        <w:rPr>
          <w:bCs/>
          <w:color w:val="000000"/>
          <w:lang w:eastAsia="lt-LT"/>
        </w:rPr>
        <w:t>.</w:t>
      </w:r>
      <w:r>
        <w:rPr>
          <w:bCs/>
          <w:color w:val="000000"/>
          <w:lang w:eastAsia="lt-LT"/>
        </w:rPr>
        <w:t xml:space="preserve"> Pacientams – reikalinga kasdien vartoti vaistinio preparato (</w:t>
      </w:r>
      <w:proofErr w:type="spellStart"/>
      <w:r>
        <w:rPr>
          <w:bCs/>
          <w:color w:val="000000"/>
          <w:lang w:eastAsia="lt-LT"/>
        </w:rPr>
        <w:t>kabozantinibo</w:t>
      </w:r>
      <w:proofErr w:type="spellEnd"/>
      <w:r>
        <w:rPr>
          <w:bCs/>
          <w:color w:val="000000"/>
          <w:lang w:eastAsia="lt-LT"/>
        </w:rPr>
        <w:t>) tabletes, pacientams ir medicinos paslaugoms – intraveninis vaisto skyrimas (</w:t>
      </w:r>
      <w:proofErr w:type="spellStart"/>
      <w:r>
        <w:rPr>
          <w:bCs/>
          <w:color w:val="000000"/>
          <w:lang w:eastAsia="lt-LT"/>
        </w:rPr>
        <w:t>nivolumabo</w:t>
      </w:r>
      <w:proofErr w:type="spellEnd"/>
      <w:r>
        <w:rPr>
          <w:bCs/>
          <w:color w:val="000000"/>
          <w:lang w:eastAsia="lt-LT"/>
        </w:rPr>
        <w:t>), reikalaujantis papildomų apsilankymų gydymo įstaigoje.</w:t>
      </w:r>
    </w:p>
    <w:p w14:paraId="0BC3AC2C" w14:textId="77777777" w:rsidR="00CC5C59" w:rsidRPr="00A22F34" w:rsidRDefault="00CC5C59" w:rsidP="005A73CE">
      <w:pPr>
        <w:tabs>
          <w:tab w:val="left" w:pos="426"/>
        </w:tabs>
        <w:spacing w:line="276" w:lineRule="auto"/>
        <w:jc w:val="both"/>
        <w:rPr>
          <w:bCs/>
          <w:color w:val="000000"/>
          <w:lang w:eastAsia="lt-LT"/>
        </w:rPr>
      </w:pPr>
    </w:p>
    <w:p w14:paraId="1247F29D" w14:textId="66E309A2" w:rsidR="00CC5C59" w:rsidRPr="0098037E" w:rsidRDefault="00DE0D3D" w:rsidP="0098037E">
      <w:pPr>
        <w:tabs>
          <w:tab w:val="left" w:pos="567"/>
        </w:tabs>
        <w:spacing w:line="276" w:lineRule="auto"/>
        <w:jc w:val="both"/>
      </w:pPr>
      <w:r>
        <w:tab/>
      </w:r>
      <w:bookmarkEnd w:id="0"/>
      <w:r w:rsidR="0098037E">
        <w:t>A</w:t>
      </w:r>
      <w:r w:rsidR="0098037E" w:rsidRPr="00DE0D3D">
        <w:t xml:space="preserve">pibendrinant </w:t>
      </w:r>
      <w:r w:rsidR="0098037E" w:rsidRPr="008D5C21">
        <w:t xml:space="preserve">klinikinio tyrimo </w:t>
      </w:r>
      <w:proofErr w:type="spellStart"/>
      <w:r w:rsidR="0098037E" w:rsidRPr="008D5C21">
        <w:t>CheckMate</w:t>
      </w:r>
      <w:proofErr w:type="spellEnd"/>
      <w:r w:rsidR="0098037E">
        <w:t xml:space="preserve"> </w:t>
      </w:r>
      <w:r w:rsidR="0098037E" w:rsidRPr="00FF29B8">
        <w:rPr>
          <w:iCs/>
        </w:rPr>
        <w:t>9ER</w:t>
      </w:r>
      <w:r w:rsidR="0098037E">
        <w:t xml:space="preserve"> rezultatus ir tinklinės </w:t>
      </w:r>
      <w:proofErr w:type="spellStart"/>
      <w:r w:rsidR="0098037E">
        <w:t>metaanalizės</w:t>
      </w:r>
      <w:proofErr w:type="spellEnd"/>
      <w:r w:rsidR="0098037E">
        <w:t xml:space="preserve"> duomenis, </w:t>
      </w:r>
      <w:r w:rsidR="0098037E" w:rsidRPr="00DE0D3D">
        <w:t xml:space="preserve">geros prognozės pacientams pagal </w:t>
      </w:r>
      <w:proofErr w:type="spellStart"/>
      <w:r w:rsidR="0098037E" w:rsidRPr="00DE0D3D">
        <w:t>Heng</w:t>
      </w:r>
      <w:proofErr w:type="spellEnd"/>
      <w:r w:rsidR="0098037E" w:rsidRPr="00DE0D3D">
        <w:t xml:space="preserve"> skalę</w:t>
      </w:r>
      <w:r w:rsidR="0098037E">
        <w:t xml:space="preserve"> </w:t>
      </w:r>
      <w:proofErr w:type="spellStart"/>
      <w:r w:rsidR="0098037E">
        <w:t>nivolumabo</w:t>
      </w:r>
      <w:proofErr w:type="spellEnd"/>
      <w:r w:rsidR="0098037E">
        <w:t xml:space="preserve"> ir </w:t>
      </w:r>
      <w:proofErr w:type="spellStart"/>
      <w:r w:rsidR="0098037E">
        <w:t>kabozantinibo</w:t>
      </w:r>
      <w:proofErr w:type="spellEnd"/>
      <w:r w:rsidR="0098037E">
        <w:t xml:space="preserve"> </w:t>
      </w:r>
      <w:r w:rsidR="0098037E" w:rsidRPr="00DE0D3D">
        <w:t xml:space="preserve">derinio vartojimas yra nesiskiriančios naudos lyginant su </w:t>
      </w:r>
      <w:proofErr w:type="spellStart"/>
      <w:r w:rsidR="0098037E" w:rsidRPr="00DE0D3D">
        <w:t>sunitinibu</w:t>
      </w:r>
      <w:proofErr w:type="spellEnd"/>
      <w:r w:rsidR="0098037E">
        <w:t xml:space="preserve">, o </w:t>
      </w:r>
      <w:r w:rsidR="0098037E" w:rsidRPr="00DE0D3D">
        <w:t>vidutinės-blogos prognozė</w:t>
      </w:r>
      <w:r w:rsidR="0098037E">
        <w:t xml:space="preserve">s – nesiskiriančios naudos lyginant su </w:t>
      </w:r>
      <w:proofErr w:type="spellStart"/>
      <w:r w:rsidR="0098037E">
        <w:t>nivolumabo</w:t>
      </w:r>
      <w:proofErr w:type="spellEnd"/>
      <w:r w:rsidR="0098037E">
        <w:t xml:space="preserve"> ir </w:t>
      </w:r>
      <w:proofErr w:type="spellStart"/>
      <w:r w:rsidR="0098037E">
        <w:t>ipilumabo</w:t>
      </w:r>
      <w:proofErr w:type="spellEnd"/>
      <w:r w:rsidR="0098037E">
        <w:t xml:space="preserve"> deriniu. </w:t>
      </w:r>
      <w:r w:rsidR="00C52D9A">
        <w:t xml:space="preserve">Atsižvelgiant į tai, </w:t>
      </w:r>
      <w:r w:rsidR="0098037E">
        <w:t xml:space="preserve">daroma išvada, kad </w:t>
      </w:r>
      <w:proofErr w:type="spellStart"/>
      <w:r w:rsidR="0098037E">
        <w:rPr>
          <w:rFonts w:eastAsia="Arial"/>
        </w:rPr>
        <w:t>Cabometyx</w:t>
      </w:r>
      <w:proofErr w:type="spellEnd"/>
      <w:r w:rsidR="0098037E">
        <w:rPr>
          <w:rFonts w:eastAsia="Arial"/>
        </w:rPr>
        <w:t xml:space="preserve"> palyginamasis efektyvumas ir klinikinis veiksmingumas nesiskiria nuo šiuo metu Lietuvoje vidutinės ir didelės rizikos pacientams įprastoje klinikinėje praktikoje skiriamo gydymo</w:t>
      </w:r>
      <w:r w:rsidR="00C52D9A">
        <w:rPr>
          <w:rFonts w:eastAsia="Arial"/>
        </w:rPr>
        <w:t>.</w:t>
      </w:r>
      <w:r w:rsidR="0098037E">
        <w:rPr>
          <w:rFonts w:eastAsia="Arial"/>
        </w:rPr>
        <w:t xml:space="preserve"> </w:t>
      </w:r>
    </w:p>
    <w:p w14:paraId="49FED03D" w14:textId="77777777" w:rsidR="005A73CE" w:rsidRPr="005A73CE" w:rsidRDefault="005A73CE" w:rsidP="005A73CE">
      <w:pPr>
        <w:tabs>
          <w:tab w:val="left" w:pos="567"/>
        </w:tabs>
        <w:rPr>
          <w:b/>
          <w:bCs/>
          <w:caps/>
        </w:rPr>
      </w:pPr>
    </w:p>
    <w:p w14:paraId="7DE09EB5" w14:textId="69E9DD74" w:rsidR="00E03C3F" w:rsidRPr="00E33EFF" w:rsidRDefault="00CC7832" w:rsidP="00CC09D4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ekonominio vertinimo </w:t>
      </w:r>
      <w:r w:rsidR="002F0E4F" w:rsidRPr="00E33EFF">
        <w:rPr>
          <w:b/>
          <w:bCs/>
          <w:caps/>
        </w:rPr>
        <w:t>apibendrinimas</w:t>
      </w:r>
    </w:p>
    <w:p w14:paraId="1FAD772D" w14:textId="77777777" w:rsidR="008A7108" w:rsidRDefault="008A7108" w:rsidP="008A7108">
      <w:pPr>
        <w:shd w:val="clear" w:color="auto" w:fill="FFFFFF"/>
        <w:spacing w:line="276" w:lineRule="auto"/>
        <w:rPr>
          <w:rFonts w:eastAsia="Arial"/>
        </w:rPr>
      </w:pPr>
    </w:p>
    <w:p w14:paraId="1840E723" w14:textId="56D0B49B" w:rsidR="008A7108" w:rsidRPr="008A7108" w:rsidRDefault="008A7108" w:rsidP="008A7108">
      <w:pPr>
        <w:shd w:val="clear" w:color="auto" w:fill="FFFFFF"/>
        <w:spacing w:line="276" w:lineRule="auto"/>
        <w:ind w:firstLine="720"/>
        <w:rPr>
          <w:rFonts w:eastAsia="Arial"/>
        </w:rPr>
      </w:pPr>
      <w:r w:rsidRPr="008A7108">
        <w:rPr>
          <w:rFonts w:eastAsia="Arial"/>
        </w:rPr>
        <w:t xml:space="preserve">Vertinimui pateikta kaštų mažinimo analizė, lyginant gydymo </w:t>
      </w:r>
      <w:proofErr w:type="spellStart"/>
      <w:r w:rsidRPr="008A7108">
        <w:rPr>
          <w:rFonts w:eastAsia="Arial"/>
        </w:rPr>
        <w:t>kabozantinibo</w:t>
      </w:r>
      <w:proofErr w:type="spellEnd"/>
      <w:r w:rsidRPr="008A7108">
        <w:rPr>
          <w:rFonts w:eastAsia="Arial"/>
        </w:rPr>
        <w:t xml:space="preserve"> ir </w:t>
      </w:r>
      <w:proofErr w:type="spellStart"/>
      <w:r w:rsidRPr="008A7108">
        <w:rPr>
          <w:rFonts w:eastAsia="Arial"/>
        </w:rPr>
        <w:t>nivolumabo</w:t>
      </w:r>
      <w:proofErr w:type="spellEnd"/>
      <w:r w:rsidRPr="008A7108">
        <w:rPr>
          <w:rFonts w:eastAsia="Arial"/>
        </w:rPr>
        <w:t xml:space="preserve"> deriniu kaštus su gydymo </w:t>
      </w:r>
      <w:proofErr w:type="spellStart"/>
      <w:r w:rsidRPr="008A7108">
        <w:rPr>
          <w:rFonts w:eastAsia="Arial"/>
        </w:rPr>
        <w:t>nivolumabo</w:t>
      </w:r>
      <w:proofErr w:type="spellEnd"/>
      <w:r w:rsidRPr="008A7108">
        <w:rPr>
          <w:rFonts w:eastAsia="Arial"/>
        </w:rPr>
        <w:t xml:space="preserve"> ir </w:t>
      </w:r>
      <w:proofErr w:type="spellStart"/>
      <w:r w:rsidRPr="008A7108">
        <w:rPr>
          <w:rFonts w:eastAsia="Arial"/>
        </w:rPr>
        <w:t>ipilimumabo</w:t>
      </w:r>
      <w:proofErr w:type="spellEnd"/>
      <w:r w:rsidRPr="008A7108">
        <w:rPr>
          <w:rFonts w:eastAsia="Arial"/>
        </w:rPr>
        <w:t xml:space="preserve"> deriniu kaštais. Tarnyba atlikdama analizės rezultato perskaičiavimą, taiko vienodą gydymo trukmę lyginamosioms </w:t>
      </w:r>
      <w:proofErr w:type="spellStart"/>
      <w:r w:rsidRPr="008A7108">
        <w:rPr>
          <w:rFonts w:eastAsia="Arial"/>
        </w:rPr>
        <w:t>terapijoms</w:t>
      </w:r>
      <w:proofErr w:type="spellEnd"/>
      <w:r w:rsidRPr="008A7108">
        <w:rPr>
          <w:rFonts w:eastAsia="Arial"/>
        </w:rPr>
        <w:t xml:space="preserve">. Įvertinant analizės rezultatą, gydymas </w:t>
      </w:r>
      <w:proofErr w:type="spellStart"/>
      <w:r w:rsidRPr="008A7108">
        <w:rPr>
          <w:rFonts w:eastAsia="Arial"/>
        </w:rPr>
        <w:t>kabozantinibo</w:t>
      </w:r>
      <w:proofErr w:type="spellEnd"/>
      <w:r w:rsidRPr="008A7108">
        <w:rPr>
          <w:rFonts w:eastAsia="Arial"/>
        </w:rPr>
        <w:t xml:space="preserve"> ir </w:t>
      </w:r>
      <w:proofErr w:type="spellStart"/>
      <w:r w:rsidRPr="008A7108">
        <w:rPr>
          <w:rFonts w:eastAsia="Arial"/>
        </w:rPr>
        <w:t>nivolumabo</w:t>
      </w:r>
      <w:proofErr w:type="spellEnd"/>
      <w:r w:rsidRPr="008A7108">
        <w:rPr>
          <w:rFonts w:eastAsia="Arial"/>
        </w:rPr>
        <w:t xml:space="preserve"> deriniu yra brangesnis nei gydymas </w:t>
      </w:r>
      <w:proofErr w:type="spellStart"/>
      <w:r w:rsidRPr="008A7108">
        <w:rPr>
          <w:rFonts w:eastAsia="Arial"/>
        </w:rPr>
        <w:t>nivolumabo</w:t>
      </w:r>
      <w:proofErr w:type="spellEnd"/>
      <w:r w:rsidRPr="008A7108">
        <w:rPr>
          <w:rFonts w:eastAsia="Arial"/>
        </w:rPr>
        <w:t xml:space="preserve"> ir </w:t>
      </w:r>
      <w:proofErr w:type="spellStart"/>
      <w:r w:rsidRPr="008A7108">
        <w:rPr>
          <w:rFonts w:eastAsia="Arial"/>
        </w:rPr>
        <w:t>ipilimumabo</w:t>
      </w:r>
      <w:proofErr w:type="spellEnd"/>
      <w:r w:rsidRPr="008A7108">
        <w:rPr>
          <w:rFonts w:eastAsia="Arial"/>
        </w:rPr>
        <w:t xml:space="preserve"> deriniu.</w:t>
      </w:r>
    </w:p>
    <w:p w14:paraId="1A900598" w14:textId="4826E5DF" w:rsidR="00C62B36" w:rsidRPr="00E33EFF" w:rsidRDefault="00C62B36" w:rsidP="00A93AA6">
      <w:pPr>
        <w:tabs>
          <w:tab w:val="left" w:pos="426"/>
        </w:tabs>
        <w:rPr>
          <w:b/>
          <w:bCs/>
          <w:caps/>
        </w:rPr>
      </w:pPr>
    </w:p>
    <w:p w14:paraId="174D84D7" w14:textId="2A98EE7C" w:rsidR="0035172D" w:rsidRPr="00E33EFF" w:rsidRDefault="0035172D" w:rsidP="00A93AA6">
      <w:pPr>
        <w:tabs>
          <w:tab w:val="left" w:pos="426"/>
        </w:tabs>
        <w:rPr>
          <w:b/>
          <w:lang w:eastAsia="lt-LT"/>
        </w:rPr>
      </w:pPr>
      <w:r w:rsidRPr="00E33EFF">
        <w:rPr>
          <w:b/>
          <w:lang w:eastAsia="lt-LT"/>
        </w:rPr>
        <w:t>Ekonominės analizės rezultatas</w:t>
      </w:r>
    </w:p>
    <w:p w14:paraId="4801D227" w14:textId="77777777" w:rsidR="009E44AE" w:rsidRPr="00E33EFF" w:rsidRDefault="009E44AE" w:rsidP="00A93AA6">
      <w:pPr>
        <w:tabs>
          <w:tab w:val="left" w:pos="426"/>
        </w:tabs>
        <w:rPr>
          <w:b/>
          <w:lang w:eastAsia="lt-LT"/>
        </w:rPr>
      </w:pPr>
    </w:p>
    <w:tbl>
      <w:tblPr>
        <w:tblStyle w:val="TableGrid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56"/>
        <w:gridCol w:w="1790"/>
        <w:gridCol w:w="1996"/>
        <w:gridCol w:w="3466"/>
      </w:tblGrid>
      <w:tr w:rsidR="00DB0B93" w:rsidRPr="00D05364" w14:paraId="5C3E46D7" w14:textId="77777777" w:rsidTr="001C38A5">
        <w:trPr>
          <w:trHeight w:val="364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145CF0" w14:textId="77777777" w:rsidR="00DB0B93" w:rsidRPr="00D05364" w:rsidRDefault="00DB0B93" w:rsidP="001C38A5">
            <w:pPr>
              <w:tabs>
                <w:tab w:val="left" w:pos="567"/>
              </w:tabs>
              <w:jc w:val="center"/>
              <w:rPr>
                <w:b/>
                <w:i/>
                <w:iCs/>
                <w:color w:val="00B050"/>
                <w:sz w:val="22"/>
                <w:szCs w:val="22"/>
                <w:lang w:eastAsia="lt-LT"/>
              </w:rPr>
            </w:pPr>
            <w:r w:rsidRPr="00D05364">
              <w:rPr>
                <w:b/>
                <w:lang w:eastAsia="lt-LT"/>
              </w:rPr>
              <w:t>Kaštai</w:t>
            </w:r>
            <w:r>
              <w:rPr>
                <w:b/>
                <w:lang w:eastAsia="lt-LT"/>
              </w:rPr>
              <w:t xml:space="preserve"> – vienoda gydymo trukmė </w:t>
            </w:r>
          </w:p>
        </w:tc>
      </w:tr>
      <w:tr w:rsidR="00DB0B93" w:rsidRPr="00D05364" w14:paraId="45E1D53B" w14:textId="77777777" w:rsidTr="001C38A5">
        <w:trPr>
          <w:jc w:val="center"/>
        </w:trPr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14:paraId="5C309646" w14:textId="77777777" w:rsidR="00DB0B93" w:rsidRPr="00D05364" w:rsidRDefault="00DB0B93" w:rsidP="001C38A5">
            <w:pPr>
              <w:tabs>
                <w:tab w:val="left" w:pos="567"/>
              </w:tabs>
              <w:jc w:val="both"/>
              <w:rPr>
                <w:color w:val="00B050"/>
                <w:lang w:eastAsia="lt-LT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4F01D20C" w14:textId="77777777" w:rsidR="00DB0B93" w:rsidRPr="00D05364" w:rsidRDefault="00DB0B93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Kabozanitinibas</w:t>
            </w:r>
            <w:proofErr w:type="spellEnd"/>
            <w:r>
              <w:rPr>
                <w:i/>
                <w:iCs/>
                <w:lang w:eastAsia="lt-LT"/>
              </w:rPr>
              <w:t xml:space="preserve"> + </w:t>
            </w:r>
            <w:proofErr w:type="spellStart"/>
            <w:r>
              <w:rPr>
                <w:i/>
                <w:iCs/>
                <w:lang w:eastAsia="lt-LT"/>
              </w:rPr>
              <w:t>nivolumabas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13E3EF4D" w14:textId="77777777" w:rsidR="00DB0B93" w:rsidRPr="00D05364" w:rsidRDefault="00DB0B93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Nivolumabas</w:t>
            </w:r>
            <w:proofErr w:type="spellEnd"/>
            <w:r>
              <w:rPr>
                <w:i/>
                <w:iCs/>
                <w:lang w:eastAsia="lt-LT"/>
              </w:rPr>
              <w:t xml:space="preserve"> + </w:t>
            </w:r>
            <w:proofErr w:type="spellStart"/>
            <w:r>
              <w:rPr>
                <w:i/>
                <w:iCs/>
                <w:lang w:eastAsia="lt-LT"/>
              </w:rPr>
              <w:t>ipilimumabas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</w:tcPr>
          <w:p w14:paraId="2A6027C1" w14:textId="77777777" w:rsidR="00DB0B93" w:rsidRPr="00D05364" w:rsidRDefault="00DB0B93" w:rsidP="001C38A5">
            <w:pPr>
              <w:tabs>
                <w:tab w:val="left" w:pos="567"/>
              </w:tabs>
              <w:jc w:val="both"/>
              <w:rPr>
                <w:i/>
                <w:lang w:eastAsia="lt-LT"/>
              </w:rPr>
            </w:pPr>
            <w:r w:rsidRPr="00D05364">
              <w:rPr>
                <w:i/>
                <w:lang w:eastAsia="lt-LT"/>
              </w:rPr>
              <w:t>Skirtumas</w:t>
            </w:r>
          </w:p>
        </w:tc>
      </w:tr>
      <w:tr w:rsidR="00DB0B93" w:rsidRPr="00D05364" w14:paraId="12868397" w14:textId="77777777" w:rsidTr="001C38A5">
        <w:trPr>
          <w:jc w:val="center"/>
        </w:trPr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14:paraId="03BE022B" w14:textId="77777777" w:rsidR="00DB0B93" w:rsidRPr="00D05364" w:rsidRDefault="00DB0B93" w:rsidP="001C38A5">
            <w:pPr>
              <w:tabs>
                <w:tab w:val="left" w:pos="567"/>
              </w:tabs>
              <w:rPr>
                <w:iCs/>
                <w:color w:val="00000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t>Vaistinių preparatų įsigijimo kaštai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2B65D4E8" w14:textId="221F33A9" w:rsidR="00DB0B93" w:rsidRPr="00D05364" w:rsidRDefault="00303CF3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CA5A557" w14:textId="1E858BB6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</w:tcPr>
          <w:p w14:paraId="79C4EB5F" w14:textId="08ED5767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***</w:t>
            </w:r>
          </w:p>
        </w:tc>
      </w:tr>
      <w:tr w:rsidR="00DB0B93" w:rsidRPr="00D05364" w14:paraId="21B730EB" w14:textId="77777777" w:rsidTr="001C38A5">
        <w:trPr>
          <w:jc w:val="center"/>
        </w:trPr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14:paraId="4D72F6DF" w14:textId="77777777" w:rsidR="00DB0B93" w:rsidRPr="00D05364" w:rsidRDefault="00DB0B93" w:rsidP="001C38A5">
            <w:pPr>
              <w:tabs>
                <w:tab w:val="left" w:pos="567"/>
              </w:tabs>
              <w:jc w:val="both"/>
              <w:rPr>
                <w:iCs/>
                <w:color w:val="00B05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lastRenderedPageBreak/>
              <w:t>Nepageidaujamų reiškinių valdymo kaštai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4E7599A2" w14:textId="7A0EEDAA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1093C6C7" w14:textId="0C9D26A8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</w:tcPr>
          <w:p w14:paraId="103D7B7D" w14:textId="16970A7F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</w:tr>
      <w:tr w:rsidR="00DB0B93" w:rsidRPr="00D05364" w14:paraId="5695B664" w14:textId="77777777" w:rsidTr="001C38A5">
        <w:trPr>
          <w:jc w:val="center"/>
        </w:trPr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14:paraId="0BDC7E4B" w14:textId="77777777" w:rsidR="00DB0B93" w:rsidRPr="00D05364" w:rsidRDefault="00DB0B93" w:rsidP="001C38A5">
            <w:pPr>
              <w:tabs>
                <w:tab w:val="left" w:pos="567"/>
              </w:tabs>
              <w:jc w:val="both"/>
              <w:rPr>
                <w:iCs/>
                <w:color w:val="00000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t xml:space="preserve">Vaistų </w:t>
            </w:r>
            <w:r>
              <w:rPr>
                <w:iCs/>
                <w:color w:val="000000"/>
                <w:lang w:eastAsia="lt-LT"/>
              </w:rPr>
              <w:t>vartojimo kaštai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24E5AB56" w14:textId="38A62F3D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19EABC8A" w14:textId="598710A3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</w:tcPr>
          <w:p w14:paraId="5D4FB9BF" w14:textId="418C0034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</w:tr>
      <w:tr w:rsidR="00DB0B93" w:rsidRPr="00D05364" w14:paraId="6AD75580" w14:textId="77777777" w:rsidTr="001C38A5">
        <w:trPr>
          <w:jc w:val="center"/>
        </w:trPr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14:paraId="48830AA5" w14:textId="77777777" w:rsidR="00DB0B93" w:rsidRPr="00D05364" w:rsidRDefault="00DB0B93" w:rsidP="001C38A5">
            <w:pPr>
              <w:tabs>
                <w:tab w:val="left" w:pos="567"/>
              </w:tabs>
              <w:jc w:val="right"/>
              <w:rPr>
                <w:iCs/>
                <w:color w:val="000000"/>
                <w:lang w:eastAsia="lt-LT"/>
              </w:rPr>
            </w:pPr>
            <w:r>
              <w:rPr>
                <w:iCs/>
                <w:color w:val="000000"/>
                <w:lang w:eastAsia="lt-LT"/>
              </w:rPr>
              <w:t>Viso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663C407E" w14:textId="1BC20182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308318D6" w14:textId="0A7B5035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</w:tcPr>
          <w:p w14:paraId="305C9545" w14:textId="4A090250" w:rsidR="00DB0B93" w:rsidRPr="00D05364" w:rsidRDefault="00070B47" w:rsidP="001C38A5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</w:t>
            </w:r>
          </w:p>
        </w:tc>
      </w:tr>
    </w:tbl>
    <w:p w14:paraId="33875138" w14:textId="77777777" w:rsidR="0035172D" w:rsidRPr="00E33EFF" w:rsidRDefault="0035172D" w:rsidP="00A93AA6">
      <w:pPr>
        <w:tabs>
          <w:tab w:val="left" w:pos="426"/>
        </w:tabs>
        <w:rPr>
          <w:b/>
          <w:bCs/>
          <w:caps/>
        </w:rPr>
      </w:pPr>
    </w:p>
    <w:p w14:paraId="4FC424F9" w14:textId="4E767245" w:rsidR="00C62B36" w:rsidRPr="00E33EFF" w:rsidRDefault="00C62B36" w:rsidP="00CC09D4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Pacientų organizacijų pateikti duomenys </w:t>
      </w:r>
    </w:p>
    <w:p w14:paraId="79BCFF40" w14:textId="1992DF4A" w:rsidR="00937907" w:rsidRPr="00E33EFF" w:rsidRDefault="00242B21" w:rsidP="0093790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37907" w:rsidRPr="00E33EFF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937907" w:rsidRPr="00E33EFF">
        <w:t xml:space="preserve"> Pacientų organizacijos pozicija pateikta. Žr. priedą.</w:t>
      </w:r>
    </w:p>
    <w:p w14:paraId="62992180" w14:textId="5A5AB042" w:rsidR="00937907" w:rsidRPr="00E33EFF" w:rsidRDefault="00242B21" w:rsidP="0093790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5A73CE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937907" w:rsidRPr="00E33EFF">
        <w:t xml:space="preserve"> Pacientų organizacijos pozicija </w:t>
      </w:r>
      <w:r w:rsidR="00880A44" w:rsidRPr="00E33EFF">
        <w:t>ne</w:t>
      </w:r>
      <w:r w:rsidR="00937907" w:rsidRPr="00E33EFF">
        <w:t>pateikta.</w:t>
      </w:r>
    </w:p>
    <w:p w14:paraId="03E73D82" w14:textId="77777777" w:rsidR="00D417D2" w:rsidRPr="00E33EFF" w:rsidRDefault="00D417D2" w:rsidP="00937907">
      <w:pPr>
        <w:spacing w:after="120"/>
        <w:jc w:val="both"/>
      </w:pPr>
    </w:p>
    <w:p w14:paraId="3D3277FA" w14:textId="3CEEB2D2" w:rsidR="00C62B36" w:rsidRPr="00E33EFF" w:rsidRDefault="00C62B36" w:rsidP="00CC09D4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>Gydytojų organizacijų pateikti duomenys</w:t>
      </w:r>
    </w:p>
    <w:p w14:paraId="389A346C" w14:textId="0BEDF689" w:rsidR="00937907" w:rsidRPr="00E33EFF" w:rsidRDefault="00242B21" w:rsidP="00662983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613862788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5A73CE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662983" w:rsidRPr="00E33EFF">
        <w:t xml:space="preserve"> </w:t>
      </w:r>
      <w:r w:rsidR="00937907" w:rsidRPr="00E33EFF">
        <w:t xml:space="preserve">Gydytojų specialistų organizacijos pozicija pateikta. </w:t>
      </w:r>
      <w:r w:rsidR="00662983" w:rsidRPr="00E33EFF">
        <w:t>Žr. priedą</w:t>
      </w:r>
      <w:r w:rsidR="00937907" w:rsidRPr="00E33EFF">
        <w:t>.</w:t>
      </w:r>
    </w:p>
    <w:p w14:paraId="5D8CC48C" w14:textId="7AA56ADF" w:rsidR="00662983" w:rsidRPr="00E33EFF" w:rsidRDefault="00242B21" w:rsidP="00662983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4198814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37907" w:rsidRPr="00E33EFF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662983" w:rsidRPr="00E33EFF">
        <w:t xml:space="preserve"> </w:t>
      </w:r>
      <w:r w:rsidR="00937907" w:rsidRPr="00E33EFF">
        <w:t xml:space="preserve">Gydytojų specialistų organizacijos pozicija </w:t>
      </w:r>
      <w:r w:rsidR="00880A44" w:rsidRPr="00E33EFF">
        <w:t>ne</w:t>
      </w:r>
      <w:r w:rsidR="00937907" w:rsidRPr="00E33EFF">
        <w:t>pateikta.</w:t>
      </w:r>
    </w:p>
    <w:p w14:paraId="3701D46A" w14:textId="77777777" w:rsidR="00A042B9" w:rsidRPr="00E33EFF" w:rsidRDefault="00A042B9" w:rsidP="00662983">
      <w:pPr>
        <w:spacing w:after="120"/>
        <w:jc w:val="both"/>
      </w:pPr>
    </w:p>
    <w:p w14:paraId="78F23ECB" w14:textId="23A3A002" w:rsidR="002F0E4F" w:rsidRPr="00E33EFF" w:rsidRDefault="002F0E4F" w:rsidP="00CC09D4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Išvada </w:t>
      </w:r>
    </w:p>
    <w:p w14:paraId="08D5B3B6" w14:textId="0B34832F" w:rsidR="0061611B" w:rsidRPr="00E33EFF" w:rsidRDefault="0061611B" w:rsidP="0061611B">
      <w:pPr>
        <w:rPr>
          <w:i/>
          <w:color w:val="00B05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B13D65" w:rsidRPr="00E33EFF" w14:paraId="25A2473E" w14:textId="77777777" w:rsidTr="00C16245">
        <w:trPr>
          <w:trHeight w:val="510"/>
        </w:trPr>
        <w:tc>
          <w:tcPr>
            <w:tcW w:w="4815" w:type="dxa"/>
            <w:vAlign w:val="center"/>
          </w:tcPr>
          <w:p w14:paraId="7EFE6941" w14:textId="23B8BB6D" w:rsidR="00B13D65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Rekomenduojama kompensuoti</w:t>
            </w:r>
          </w:p>
        </w:tc>
        <w:tc>
          <w:tcPr>
            <w:tcW w:w="4814" w:type="dxa"/>
            <w:vAlign w:val="center"/>
          </w:tcPr>
          <w:p w14:paraId="330A1A5E" w14:textId="19247DC1" w:rsidR="00B13D65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 xml:space="preserve">Rekomenduojama nekompensuoti </w:t>
            </w:r>
          </w:p>
        </w:tc>
      </w:tr>
      <w:tr w:rsidR="00B13D65" w:rsidRPr="00E33EFF" w14:paraId="143A7356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0AF5D6B4" w14:textId="6D8B6C59" w:rsidR="00B13D65" w:rsidRPr="00E33EFF" w:rsidRDefault="00B13D65" w:rsidP="00C16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Palyginamasis efektyvumas</w:t>
            </w:r>
          </w:p>
        </w:tc>
      </w:tr>
      <w:tr w:rsidR="00B13D65" w:rsidRPr="00E33EFF" w14:paraId="28A0C814" w14:textId="77777777" w:rsidTr="0061611B">
        <w:tc>
          <w:tcPr>
            <w:tcW w:w="4815" w:type="dxa"/>
          </w:tcPr>
          <w:p w14:paraId="216769B5" w14:textId="144FEB07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13973246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32.1. yra didesnis</w:t>
            </w:r>
            <w:r w:rsidR="00B00959" w:rsidRPr="00E33EFF">
              <w:t>, lyginant su įprasta klinikine praktika</w:t>
            </w:r>
          </w:p>
          <w:p w14:paraId="3B48F372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174F18D4" w14:textId="79482F9C" w:rsidR="00B13D65" w:rsidRPr="00E33EFF" w:rsidRDefault="00242B21" w:rsidP="00662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41829709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E33EFF">
              <w:t xml:space="preserve"> 32.1. iš esmės nesiskiria</w:t>
            </w:r>
            <w:r w:rsidR="00B00959" w:rsidRPr="00E33EFF">
              <w:t>, lyginant su įprasta klinikine praktika</w:t>
            </w:r>
          </w:p>
        </w:tc>
        <w:tc>
          <w:tcPr>
            <w:tcW w:w="4814" w:type="dxa"/>
          </w:tcPr>
          <w:p w14:paraId="507828D9" w14:textId="10556E28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7247555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33.1. yra mažesnis</w:t>
            </w:r>
            <w:r w:rsidR="00B00959" w:rsidRPr="00E33EFF">
              <w:t>, lyginant su įprasta klinikine praktika</w:t>
            </w:r>
          </w:p>
          <w:p w14:paraId="7F95DEEC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680682B8" w14:textId="1A29EA3B" w:rsidR="00662983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186216847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33.1. yra neįrodytas kaip toks pat</w:t>
            </w:r>
            <w:r w:rsidR="00B00959" w:rsidRPr="00E33EFF">
              <w:t>, lyginant su įprasta klinikine praktika</w:t>
            </w:r>
          </w:p>
          <w:p w14:paraId="35205E85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2CC3F0A3" w14:textId="6D563DC8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18579601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2983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62983" w:rsidRPr="00E33EFF">
              <w:t xml:space="preserve"> 33.1 </w:t>
            </w:r>
            <w:r w:rsidR="00B00959" w:rsidRPr="00E33EFF">
              <w:t xml:space="preserve">yra </w:t>
            </w:r>
            <w:r w:rsidR="00B13D65" w:rsidRPr="00E33EFF">
              <w:t>neįrodytas kaip didesnis</w:t>
            </w:r>
            <w:r w:rsidR="00B00959" w:rsidRPr="00E33EFF">
              <w:t>, lyginant su įprasta klinikine praktika</w:t>
            </w:r>
          </w:p>
          <w:p w14:paraId="512E653B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73F374F4" w14:textId="77777777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206984211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33.1. pateikti duomenys apie palyginamąjį efektyvumą yra netinkami vertinti</w:t>
            </w:r>
          </w:p>
          <w:p w14:paraId="5DDAA961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  <w:tr w:rsidR="00B13D65" w:rsidRPr="00E33EFF" w14:paraId="161CC3FE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1AB46894" w14:textId="3E765638" w:rsidR="00B13D65" w:rsidRPr="00E33EFF" w:rsidRDefault="00B13D65" w:rsidP="00C16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Klinikinis veiksmingumas</w:t>
            </w:r>
          </w:p>
        </w:tc>
      </w:tr>
      <w:tr w:rsidR="00B13D65" w:rsidRPr="00E33EFF" w14:paraId="3C60570A" w14:textId="77777777" w:rsidTr="0061611B">
        <w:tc>
          <w:tcPr>
            <w:tcW w:w="4815" w:type="dxa"/>
          </w:tcPr>
          <w:p w14:paraId="6897B306" w14:textId="70C15EA4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48108000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32.2. yra įvertintas kaip pagrindžiantis papildomos naudos pacientų sveikatai sukūrimą, lyginant su įprasta klinikine praktika</w:t>
            </w:r>
          </w:p>
          <w:p w14:paraId="71D57105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1EBBDF86" w14:textId="72D72C30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86206158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A73C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E33EFF">
              <w:t xml:space="preserve"> 32.2. </w:t>
            </w:r>
            <w:r w:rsidR="00B00959" w:rsidRPr="00E33EFF">
              <w:t xml:space="preserve">yra </w:t>
            </w:r>
            <w:r w:rsidR="00B13D65" w:rsidRPr="00E33EFF">
              <w:t>įvertintas kaip pagrindžiantis nesiskiriančios naudos pacientų sveikatai sukūrimą, lyginant su įprasta klinikine praktika</w:t>
            </w:r>
          </w:p>
          <w:p w14:paraId="287AD233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  <w:tc>
          <w:tcPr>
            <w:tcW w:w="4814" w:type="dxa"/>
          </w:tcPr>
          <w:p w14:paraId="74A2DECF" w14:textId="682BFC3B" w:rsidR="00662983" w:rsidRPr="00E33EFF" w:rsidRDefault="00242B21" w:rsidP="00662983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-103457305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33.1. yra įvertintas kaip nepagrindžiantis papildomos </w:t>
            </w:r>
            <w:r w:rsidR="00662983" w:rsidRPr="00E33EFF">
              <w:t>naudos pacientų sveikatai sukūrimo, lyginant su  įprasta klinikine praktika</w:t>
            </w:r>
          </w:p>
          <w:p w14:paraId="6C70BCFC" w14:textId="77777777" w:rsidR="00662983" w:rsidRPr="00E33EFF" w:rsidRDefault="00662983" w:rsidP="00BD1E5A">
            <w:pPr>
              <w:jc w:val="both"/>
            </w:pPr>
          </w:p>
          <w:p w14:paraId="0ADEC30D" w14:textId="1353964F" w:rsidR="00B13D65" w:rsidRPr="00E33EFF" w:rsidRDefault="00242B21" w:rsidP="00BD1E5A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128954910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2983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</w:t>
            </w:r>
            <w:r w:rsidR="00662983" w:rsidRPr="00E33EFF">
              <w:t xml:space="preserve">33.1. </w:t>
            </w:r>
            <w:r w:rsidR="00B00959" w:rsidRPr="00E33EFF">
              <w:t xml:space="preserve">yra įvertintas kaip nepagrindžiantis </w:t>
            </w:r>
            <w:r w:rsidR="00B13D65" w:rsidRPr="00E33EFF">
              <w:t>nesiskiriančios naudos pacientų sveikatai sukūrimo, lyginant su įprasta klinikine praktika</w:t>
            </w:r>
          </w:p>
          <w:p w14:paraId="1EED7901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1747E672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  <w:tr w:rsidR="00B13D65" w:rsidRPr="00E33EFF" w14:paraId="1C75AE76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0247EDAD" w14:textId="7FBBB759" w:rsidR="00B13D65" w:rsidRPr="00E33EFF" w:rsidRDefault="00B13D65" w:rsidP="00C16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Kaštų naudingumas</w:t>
            </w:r>
          </w:p>
        </w:tc>
      </w:tr>
      <w:tr w:rsidR="00B13D65" w:rsidRPr="00E33EFF" w14:paraId="7091A05B" w14:textId="77777777" w:rsidTr="0061611B">
        <w:tc>
          <w:tcPr>
            <w:tcW w:w="4815" w:type="dxa"/>
          </w:tcPr>
          <w:p w14:paraId="69B2A994" w14:textId="4E18E1EC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197598441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06DBB" w:rsidRPr="00E33EF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E33EFF">
              <w:t xml:space="preserve"> 32.3. atitinka referencinę naudingumo vertę, taikant</w:t>
            </w:r>
            <w:r w:rsidR="008A7108">
              <w:t xml:space="preserve"> PGS</w:t>
            </w:r>
          </w:p>
          <w:p w14:paraId="3F76F153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062072E7" w14:textId="51D67116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sdt>
              <w:sdtPr>
                <w:rPr>
                  <w:rStyle w:val="Style2"/>
                  <w:sz w:val="24"/>
                </w:rPr>
                <w:id w:val="-130808172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32.3. gydymo juo kaštai yra mažesni ar tokie patys esant iš esmės nesiskiriančiam palyginamajam efektyvumui, taikant </w:t>
            </w:r>
            <w:r w:rsidR="008A7108">
              <w:t xml:space="preserve">PGS </w:t>
            </w:r>
            <w:r w:rsidR="00B00959" w:rsidRPr="00E33EFF">
              <w:t>lyginant su įprasta klinikine praktika</w:t>
            </w:r>
          </w:p>
          <w:p w14:paraId="25E4BD1E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  <w:tc>
          <w:tcPr>
            <w:tcW w:w="4814" w:type="dxa"/>
          </w:tcPr>
          <w:p w14:paraId="53380063" w14:textId="5EB8488A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136540511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33.3. neatitinka referencinės naudingumo vertės Lietuvos Respublikoje</w:t>
            </w:r>
          </w:p>
          <w:p w14:paraId="229ED51A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2673C3A9" w14:textId="7BE1CCE4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sdt>
              <w:sdtPr>
                <w:rPr>
                  <w:rStyle w:val="Style2"/>
                  <w:sz w:val="24"/>
                </w:rPr>
                <w:id w:val="-113547361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A7108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E33EFF">
              <w:t xml:space="preserve"> 33.3. gydymo juo kaštai yra didesni esant iš esmės nesiskiriančiam palyginamajam efektyvumui, taikant</w:t>
            </w:r>
            <w:r w:rsidR="008A7108">
              <w:t xml:space="preserve"> PGS</w:t>
            </w:r>
            <w:r w:rsidR="00B00959" w:rsidRPr="00E33EFF">
              <w:t>, lyginant su įprasta klinikine praktika</w:t>
            </w:r>
          </w:p>
          <w:p w14:paraId="4A9C7D2A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4226013D" w14:textId="4020B1AC" w:rsidR="00B13D65" w:rsidRPr="00E33EFF" w:rsidRDefault="00242B21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20083600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33.3. pateikti duomenys apie kaštų na</w:t>
            </w:r>
            <w:r w:rsidR="00662983" w:rsidRPr="00E33EFF">
              <w:t>udingumą yra netinkami vertinti</w:t>
            </w:r>
          </w:p>
          <w:p w14:paraId="470A48A4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</w:tbl>
    <w:p w14:paraId="29A90384" w14:textId="6BCD9E8F" w:rsidR="004A3A61" w:rsidRPr="00E33EFF" w:rsidRDefault="004A3A61" w:rsidP="00381024"/>
    <w:p w14:paraId="1B85C083" w14:textId="77777777" w:rsidR="009E44AE" w:rsidRPr="00E33EFF" w:rsidRDefault="009E44AE" w:rsidP="00381024"/>
    <w:p w14:paraId="3B2D1F25" w14:textId="3A80E19F" w:rsidR="000001B0" w:rsidRPr="00E33EFF" w:rsidRDefault="000001B0" w:rsidP="00CC09D4">
      <w:pPr>
        <w:pStyle w:val="ListParagraph"/>
        <w:numPr>
          <w:ilvl w:val="0"/>
          <w:numId w:val="12"/>
        </w:numPr>
        <w:ind w:left="567" w:hanging="567"/>
      </w:pPr>
      <w:r w:rsidRPr="00E33EFF">
        <w:rPr>
          <w:b/>
        </w:rPr>
        <w:t>REKOME</w:t>
      </w:r>
      <w:r w:rsidR="00D83182" w:rsidRPr="00E33EFF">
        <w:rPr>
          <w:b/>
        </w:rPr>
        <w:t>N</w:t>
      </w:r>
      <w:r w:rsidRPr="00E33EFF">
        <w:rPr>
          <w:b/>
        </w:rPr>
        <w:t>DACIJA</w:t>
      </w:r>
    </w:p>
    <w:p w14:paraId="7D5C6700" w14:textId="77777777" w:rsidR="00D5470B" w:rsidRPr="00E33EFF" w:rsidRDefault="00D5470B" w:rsidP="00C712EA">
      <w:pPr>
        <w:pStyle w:val="ListParagraph"/>
        <w:ind w:left="426"/>
      </w:pPr>
    </w:p>
    <w:p w14:paraId="077C84EA" w14:textId="77777777" w:rsidR="008A7108" w:rsidRPr="00E33EFF" w:rsidRDefault="008A7108" w:rsidP="00A47E99">
      <w:pPr>
        <w:spacing w:line="276" w:lineRule="auto"/>
        <w:jc w:val="both"/>
      </w:pPr>
      <w:r w:rsidRPr="00E33EFF">
        <w:t xml:space="preserve">Vadovaujantis </w:t>
      </w:r>
      <w:r>
        <w:t>V</w:t>
      </w:r>
      <w:r w:rsidRPr="00E33EFF">
        <w:t>aistinių preparatų ir medicinos pagalbos priemonių įrašymo į kompensavimo sąrašus ir jų keitimo tvarkos aprašo</w:t>
      </w:r>
      <w:r>
        <w:t>, patvirtinto</w:t>
      </w:r>
      <w:r w:rsidRPr="00E33EFF">
        <w:t xml:space="preserve"> Lietuvos Respublikos sveikatos apsaugos ministro 2002 m. balandžio 5 d. įsakymu Nr. V-159 „Dėl vaistinių preparatų ir medicinos pagalbos priemonių įrašymo į kompensavimo sąrašus ir jų keitimo tvarkos aprašo patvirtinimo“</w:t>
      </w:r>
      <w:r>
        <w:t>,</w:t>
      </w:r>
      <w:r w:rsidRPr="00E33EFF">
        <w:t xml:space="preserve"> punktu </w:t>
      </w:r>
    </w:p>
    <w:p w14:paraId="4F03CB37" w14:textId="79E5477D" w:rsidR="008A7108" w:rsidRDefault="008A7108" w:rsidP="00A47E99">
      <w:pPr>
        <w:spacing w:line="276" w:lineRule="auto"/>
        <w:jc w:val="both"/>
        <w:rPr>
          <w:color w:val="000000"/>
        </w:rPr>
      </w:pPr>
      <w:r w:rsidRPr="00E33EFF">
        <w:t xml:space="preserve">34.4. rekomenduojama </w:t>
      </w:r>
      <w:r w:rsidRPr="00E33EFF">
        <w:rPr>
          <w:i/>
        </w:rPr>
        <w:t xml:space="preserve">nekompensuoti </w:t>
      </w:r>
      <w:r w:rsidRPr="00E33EFF">
        <w:t>vaistinio preparato pagal paraiškoje nurodytą indikaciją su skyrimo sąlygomis, taikant PGS</w:t>
      </w:r>
      <w:r>
        <w:t xml:space="preserve"> </w:t>
      </w:r>
      <w:r w:rsidRPr="00E33EFF">
        <w:t>dėl vertinimo išvadų</w:t>
      </w:r>
      <w:r w:rsidR="00DB0B93">
        <w:t>, nurodytų 33.3 papunktyje</w:t>
      </w:r>
      <w:r>
        <w:t xml:space="preserve">, </w:t>
      </w:r>
      <w:r w:rsidR="0057172F">
        <w:t xml:space="preserve">neatitikties </w:t>
      </w:r>
      <w:r>
        <w:t>3</w:t>
      </w:r>
      <w:r w:rsidRPr="003D6208">
        <w:t>4.3 papunktyje išdėstytoms sąlygoms</w:t>
      </w:r>
      <w:r>
        <w:t>.</w:t>
      </w:r>
    </w:p>
    <w:p w14:paraId="06BC01EE" w14:textId="44333E0B" w:rsidR="000723FF" w:rsidRPr="00E33EFF" w:rsidRDefault="000723FF" w:rsidP="00381024"/>
    <w:p w14:paraId="0501ED36" w14:textId="2E79DCCA" w:rsidR="00EA51BD" w:rsidRPr="003D1733" w:rsidRDefault="00EA51BD" w:rsidP="00EA51BD">
      <w:pPr>
        <w:jc w:val="both"/>
        <w:rPr>
          <w:bCs/>
        </w:rPr>
      </w:pPr>
    </w:p>
    <w:sectPr w:rsidR="00EA51BD" w:rsidRPr="003D1733" w:rsidSect="00D02683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C693" w14:textId="77777777" w:rsidR="00F90707" w:rsidRDefault="00F90707">
      <w:r>
        <w:separator/>
      </w:r>
    </w:p>
  </w:endnote>
  <w:endnote w:type="continuationSeparator" w:id="0">
    <w:p w14:paraId="11C692C0" w14:textId="77777777" w:rsidR="00F90707" w:rsidRDefault="00F9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3368" w14:textId="77777777" w:rsidR="00347FAA" w:rsidRDefault="00347FAA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8CED" w14:textId="77777777" w:rsidR="00F90707" w:rsidRDefault="00F90707">
      <w:r>
        <w:separator/>
      </w:r>
    </w:p>
  </w:footnote>
  <w:footnote w:type="continuationSeparator" w:id="0">
    <w:p w14:paraId="2ADF8C58" w14:textId="77777777" w:rsidR="00F90707" w:rsidRDefault="00F9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6FB2" w14:textId="77777777" w:rsidR="00347FAA" w:rsidRDefault="00347F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81DB01" w14:textId="77777777" w:rsidR="00347FAA" w:rsidRDefault="00347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D5F9" w14:textId="5D533442" w:rsidR="00347FAA" w:rsidRDefault="00347F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41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EC872E" w14:textId="77777777" w:rsidR="00347FAA" w:rsidRDefault="00347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1C8F" w14:textId="77777777" w:rsidR="00347FAA" w:rsidRDefault="00347FAA" w:rsidP="00FD793C">
    <w:pPr>
      <w:pStyle w:val="Header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6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9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54648">
    <w:abstractNumId w:val="6"/>
  </w:num>
  <w:num w:numId="2" w16cid:durableId="656616320">
    <w:abstractNumId w:val="1"/>
  </w:num>
  <w:num w:numId="3" w16cid:durableId="210114468">
    <w:abstractNumId w:val="8"/>
  </w:num>
  <w:num w:numId="4" w16cid:durableId="218636186">
    <w:abstractNumId w:val="7"/>
  </w:num>
  <w:num w:numId="5" w16cid:durableId="1924682110">
    <w:abstractNumId w:val="5"/>
  </w:num>
  <w:num w:numId="6" w16cid:durableId="713427815">
    <w:abstractNumId w:val="4"/>
  </w:num>
  <w:num w:numId="7" w16cid:durableId="1809205838">
    <w:abstractNumId w:val="3"/>
  </w:num>
  <w:num w:numId="8" w16cid:durableId="26489739">
    <w:abstractNumId w:val="11"/>
  </w:num>
  <w:num w:numId="9" w16cid:durableId="406222113">
    <w:abstractNumId w:val="0"/>
  </w:num>
  <w:num w:numId="10" w16cid:durableId="435372569">
    <w:abstractNumId w:val="9"/>
  </w:num>
  <w:num w:numId="11" w16cid:durableId="575095022">
    <w:abstractNumId w:val="10"/>
  </w:num>
  <w:num w:numId="12" w16cid:durableId="1244754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3F5B"/>
    <w:rsid w:val="000114DD"/>
    <w:rsid w:val="000136F7"/>
    <w:rsid w:val="0002686C"/>
    <w:rsid w:val="00031D0E"/>
    <w:rsid w:val="000337E6"/>
    <w:rsid w:val="0003402E"/>
    <w:rsid w:val="00034EAE"/>
    <w:rsid w:val="00042924"/>
    <w:rsid w:val="00044EC0"/>
    <w:rsid w:val="00053975"/>
    <w:rsid w:val="00057A2B"/>
    <w:rsid w:val="000606BE"/>
    <w:rsid w:val="000707EC"/>
    <w:rsid w:val="00070B47"/>
    <w:rsid w:val="000723FF"/>
    <w:rsid w:val="000736B8"/>
    <w:rsid w:val="0008190F"/>
    <w:rsid w:val="00081D9C"/>
    <w:rsid w:val="00082907"/>
    <w:rsid w:val="0008378D"/>
    <w:rsid w:val="000908A5"/>
    <w:rsid w:val="00092805"/>
    <w:rsid w:val="000C454C"/>
    <w:rsid w:val="000D5038"/>
    <w:rsid w:val="000E29D4"/>
    <w:rsid w:val="000F3540"/>
    <w:rsid w:val="00100491"/>
    <w:rsid w:val="00104E2E"/>
    <w:rsid w:val="00107287"/>
    <w:rsid w:val="00107D86"/>
    <w:rsid w:val="00117406"/>
    <w:rsid w:val="00121EF0"/>
    <w:rsid w:val="00124A9E"/>
    <w:rsid w:val="00130703"/>
    <w:rsid w:val="0013153F"/>
    <w:rsid w:val="001408B8"/>
    <w:rsid w:val="001517E2"/>
    <w:rsid w:val="001521D9"/>
    <w:rsid w:val="001554E2"/>
    <w:rsid w:val="00164146"/>
    <w:rsid w:val="0017369C"/>
    <w:rsid w:val="00173F5F"/>
    <w:rsid w:val="00175D57"/>
    <w:rsid w:val="00180C39"/>
    <w:rsid w:val="00180D96"/>
    <w:rsid w:val="00184BD3"/>
    <w:rsid w:val="001921F3"/>
    <w:rsid w:val="001B3C5B"/>
    <w:rsid w:val="001D746F"/>
    <w:rsid w:val="001E3285"/>
    <w:rsid w:val="001E4BBB"/>
    <w:rsid w:val="001E6304"/>
    <w:rsid w:val="0020381E"/>
    <w:rsid w:val="00213471"/>
    <w:rsid w:val="00215906"/>
    <w:rsid w:val="00241CD8"/>
    <w:rsid w:val="00242B21"/>
    <w:rsid w:val="00244B09"/>
    <w:rsid w:val="002519CB"/>
    <w:rsid w:val="0025697F"/>
    <w:rsid w:val="00260258"/>
    <w:rsid w:val="0026588E"/>
    <w:rsid w:val="00272428"/>
    <w:rsid w:val="00272948"/>
    <w:rsid w:val="00292392"/>
    <w:rsid w:val="002946C7"/>
    <w:rsid w:val="002B3CC1"/>
    <w:rsid w:val="002C09E0"/>
    <w:rsid w:val="002C1BB1"/>
    <w:rsid w:val="002C2786"/>
    <w:rsid w:val="002C3A10"/>
    <w:rsid w:val="002C4A90"/>
    <w:rsid w:val="002C4ED5"/>
    <w:rsid w:val="002D02EF"/>
    <w:rsid w:val="002E0702"/>
    <w:rsid w:val="002E4D07"/>
    <w:rsid w:val="002E57AD"/>
    <w:rsid w:val="002E6F80"/>
    <w:rsid w:val="002F0E4F"/>
    <w:rsid w:val="002F1053"/>
    <w:rsid w:val="00303CF3"/>
    <w:rsid w:val="00317B0E"/>
    <w:rsid w:val="00347FAA"/>
    <w:rsid w:val="0035172D"/>
    <w:rsid w:val="00355860"/>
    <w:rsid w:val="0036187D"/>
    <w:rsid w:val="00367EDB"/>
    <w:rsid w:val="00381024"/>
    <w:rsid w:val="00386307"/>
    <w:rsid w:val="003874DE"/>
    <w:rsid w:val="00393E9F"/>
    <w:rsid w:val="0039696E"/>
    <w:rsid w:val="003A3ECC"/>
    <w:rsid w:val="003B211A"/>
    <w:rsid w:val="003C141F"/>
    <w:rsid w:val="003C6B0E"/>
    <w:rsid w:val="003C7257"/>
    <w:rsid w:val="003C7E35"/>
    <w:rsid w:val="003D1733"/>
    <w:rsid w:val="003D1877"/>
    <w:rsid w:val="003D1E99"/>
    <w:rsid w:val="003D6208"/>
    <w:rsid w:val="00404E8A"/>
    <w:rsid w:val="0040622F"/>
    <w:rsid w:val="00413F24"/>
    <w:rsid w:val="00422853"/>
    <w:rsid w:val="00423160"/>
    <w:rsid w:val="00453862"/>
    <w:rsid w:val="0045469B"/>
    <w:rsid w:val="00461338"/>
    <w:rsid w:val="004677DB"/>
    <w:rsid w:val="0047414A"/>
    <w:rsid w:val="00476256"/>
    <w:rsid w:val="00481C3C"/>
    <w:rsid w:val="0048630F"/>
    <w:rsid w:val="004947A1"/>
    <w:rsid w:val="0049482A"/>
    <w:rsid w:val="004979D3"/>
    <w:rsid w:val="004A00E7"/>
    <w:rsid w:val="004A3A61"/>
    <w:rsid w:val="004B205D"/>
    <w:rsid w:val="004B59BA"/>
    <w:rsid w:val="004B5A03"/>
    <w:rsid w:val="004C263A"/>
    <w:rsid w:val="004D48A6"/>
    <w:rsid w:val="004D7B8F"/>
    <w:rsid w:val="004E0801"/>
    <w:rsid w:val="004E6458"/>
    <w:rsid w:val="004E6E7D"/>
    <w:rsid w:val="004F1AAC"/>
    <w:rsid w:val="004F1AE2"/>
    <w:rsid w:val="004F34F0"/>
    <w:rsid w:val="004F3B2B"/>
    <w:rsid w:val="004F6050"/>
    <w:rsid w:val="005005EF"/>
    <w:rsid w:val="005123C2"/>
    <w:rsid w:val="0052144B"/>
    <w:rsid w:val="00524066"/>
    <w:rsid w:val="00534E11"/>
    <w:rsid w:val="005378D8"/>
    <w:rsid w:val="005400D9"/>
    <w:rsid w:val="005476A4"/>
    <w:rsid w:val="0055019B"/>
    <w:rsid w:val="00556E63"/>
    <w:rsid w:val="005601A4"/>
    <w:rsid w:val="00566DBB"/>
    <w:rsid w:val="0057172F"/>
    <w:rsid w:val="005767DB"/>
    <w:rsid w:val="005815E6"/>
    <w:rsid w:val="0058712F"/>
    <w:rsid w:val="005976CE"/>
    <w:rsid w:val="005A23D4"/>
    <w:rsid w:val="005A2D1E"/>
    <w:rsid w:val="005A73CE"/>
    <w:rsid w:val="005B3756"/>
    <w:rsid w:val="005C493F"/>
    <w:rsid w:val="005C6BF7"/>
    <w:rsid w:val="005C71BF"/>
    <w:rsid w:val="005D002C"/>
    <w:rsid w:val="005D30E1"/>
    <w:rsid w:val="005D6555"/>
    <w:rsid w:val="005D7339"/>
    <w:rsid w:val="005D7BDF"/>
    <w:rsid w:val="005E4870"/>
    <w:rsid w:val="005F71D9"/>
    <w:rsid w:val="005F7602"/>
    <w:rsid w:val="006031C8"/>
    <w:rsid w:val="006062BE"/>
    <w:rsid w:val="00613143"/>
    <w:rsid w:val="00613501"/>
    <w:rsid w:val="0061611B"/>
    <w:rsid w:val="006166A8"/>
    <w:rsid w:val="006174A1"/>
    <w:rsid w:val="00621D6C"/>
    <w:rsid w:val="00633B49"/>
    <w:rsid w:val="0064297F"/>
    <w:rsid w:val="00645102"/>
    <w:rsid w:val="00646CF3"/>
    <w:rsid w:val="00653D11"/>
    <w:rsid w:val="00662983"/>
    <w:rsid w:val="00664199"/>
    <w:rsid w:val="006834D3"/>
    <w:rsid w:val="00692625"/>
    <w:rsid w:val="00695CD3"/>
    <w:rsid w:val="006A38B6"/>
    <w:rsid w:val="006B1987"/>
    <w:rsid w:val="006B5B71"/>
    <w:rsid w:val="006B660B"/>
    <w:rsid w:val="006B6CB0"/>
    <w:rsid w:val="006C0296"/>
    <w:rsid w:val="006C2B64"/>
    <w:rsid w:val="006D4C85"/>
    <w:rsid w:val="006D66AC"/>
    <w:rsid w:val="006E33F6"/>
    <w:rsid w:val="006F1251"/>
    <w:rsid w:val="006F1C23"/>
    <w:rsid w:val="00702C18"/>
    <w:rsid w:val="00703166"/>
    <w:rsid w:val="007127F3"/>
    <w:rsid w:val="007301CF"/>
    <w:rsid w:val="007316FB"/>
    <w:rsid w:val="007374D0"/>
    <w:rsid w:val="00737E2D"/>
    <w:rsid w:val="007424D5"/>
    <w:rsid w:val="00750A88"/>
    <w:rsid w:val="007523DD"/>
    <w:rsid w:val="00757B7E"/>
    <w:rsid w:val="007656B2"/>
    <w:rsid w:val="0077016F"/>
    <w:rsid w:val="007713AD"/>
    <w:rsid w:val="00795DC5"/>
    <w:rsid w:val="00797153"/>
    <w:rsid w:val="007A21F7"/>
    <w:rsid w:val="007A2B68"/>
    <w:rsid w:val="007B0DDA"/>
    <w:rsid w:val="007C7519"/>
    <w:rsid w:val="007D3347"/>
    <w:rsid w:val="007E5466"/>
    <w:rsid w:val="007F1949"/>
    <w:rsid w:val="007F2592"/>
    <w:rsid w:val="00800A08"/>
    <w:rsid w:val="00817A84"/>
    <w:rsid w:val="00820628"/>
    <w:rsid w:val="008225A4"/>
    <w:rsid w:val="00824B92"/>
    <w:rsid w:val="00826D5E"/>
    <w:rsid w:val="00832013"/>
    <w:rsid w:val="00832DB7"/>
    <w:rsid w:val="00834732"/>
    <w:rsid w:val="0085200C"/>
    <w:rsid w:val="00857C52"/>
    <w:rsid w:val="00860D5F"/>
    <w:rsid w:val="00880A44"/>
    <w:rsid w:val="0088345E"/>
    <w:rsid w:val="0088656F"/>
    <w:rsid w:val="00891EF6"/>
    <w:rsid w:val="008A0303"/>
    <w:rsid w:val="008A5FDD"/>
    <w:rsid w:val="008A7108"/>
    <w:rsid w:val="008C01F8"/>
    <w:rsid w:val="008C3947"/>
    <w:rsid w:val="008E473B"/>
    <w:rsid w:val="008E51A6"/>
    <w:rsid w:val="008E7329"/>
    <w:rsid w:val="008F2ED5"/>
    <w:rsid w:val="00904901"/>
    <w:rsid w:val="0092297E"/>
    <w:rsid w:val="00923651"/>
    <w:rsid w:val="00927B56"/>
    <w:rsid w:val="009341BF"/>
    <w:rsid w:val="00937907"/>
    <w:rsid w:val="00941739"/>
    <w:rsid w:val="00943E06"/>
    <w:rsid w:val="00951573"/>
    <w:rsid w:val="0096214B"/>
    <w:rsid w:val="00963003"/>
    <w:rsid w:val="00966EEF"/>
    <w:rsid w:val="00971B28"/>
    <w:rsid w:val="0098037E"/>
    <w:rsid w:val="00983471"/>
    <w:rsid w:val="009909AB"/>
    <w:rsid w:val="00995F03"/>
    <w:rsid w:val="009B37DB"/>
    <w:rsid w:val="009C7A8C"/>
    <w:rsid w:val="009D23F9"/>
    <w:rsid w:val="009D4FA8"/>
    <w:rsid w:val="009E44AE"/>
    <w:rsid w:val="009E6CD6"/>
    <w:rsid w:val="009F10F2"/>
    <w:rsid w:val="009F4D66"/>
    <w:rsid w:val="00A00C3C"/>
    <w:rsid w:val="00A01091"/>
    <w:rsid w:val="00A042B9"/>
    <w:rsid w:val="00A06DBB"/>
    <w:rsid w:val="00A10B24"/>
    <w:rsid w:val="00A22ADF"/>
    <w:rsid w:val="00A244AE"/>
    <w:rsid w:val="00A31E86"/>
    <w:rsid w:val="00A4585E"/>
    <w:rsid w:val="00A47E99"/>
    <w:rsid w:val="00A54D87"/>
    <w:rsid w:val="00A5553C"/>
    <w:rsid w:val="00A564C3"/>
    <w:rsid w:val="00A701C9"/>
    <w:rsid w:val="00A81785"/>
    <w:rsid w:val="00A84803"/>
    <w:rsid w:val="00A84C51"/>
    <w:rsid w:val="00A86F2B"/>
    <w:rsid w:val="00A91366"/>
    <w:rsid w:val="00A93AA6"/>
    <w:rsid w:val="00AA4E48"/>
    <w:rsid w:val="00AA6202"/>
    <w:rsid w:val="00AA7B57"/>
    <w:rsid w:val="00AC26FC"/>
    <w:rsid w:val="00AC4A99"/>
    <w:rsid w:val="00AC64D2"/>
    <w:rsid w:val="00AD02E7"/>
    <w:rsid w:val="00AE0FE8"/>
    <w:rsid w:val="00AE1322"/>
    <w:rsid w:val="00AF60D5"/>
    <w:rsid w:val="00B00959"/>
    <w:rsid w:val="00B04415"/>
    <w:rsid w:val="00B06509"/>
    <w:rsid w:val="00B11D60"/>
    <w:rsid w:val="00B13D65"/>
    <w:rsid w:val="00B21805"/>
    <w:rsid w:val="00B3072E"/>
    <w:rsid w:val="00B31287"/>
    <w:rsid w:val="00B36E15"/>
    <w:rsid w:val="00B37245"/>
    <w:rsid w:val="00B4017A"/>
    <w:rsid w:val="00B4468D"/>
    <w:rsid w:val="00B71C72"/>
    <w:rsid w:val="00B81E92"/>
    <w:rsid w:val="00B82C42"/>
    <w:rsid w:val="00B908D7"/>
    <w:rsid w:val="00B915AB"/>
    <w:rsid w:val="00B935E8"/>
    <w:rsid w:val="00B93B30"/>
    <w:rsid w:val="00B94CB5"/>
    <w:rsid w:val="00BA0DD9"/>
    <w:rsid w:val="00BA5DBC"/>
    <w:rsid w:val="00BB6312"/>
    <w:rsid w:val="00BC4D06"/>
    <w:rsid w:val="00BD585E"/>
    <w:rsid w:val="00BD6919"/>
    <w:rsid w:val="00BE1EA7"/>
    <w:rsid w:val="00BE7489"/>
    <w:rsid w:val="00BF2E0D"/>
    <w:rsid w:val="00BF3927"/>
    <w:rsid w:val="00BF3F8B"/>
    <w:rsid w:val="00BF76DA"/>
    <w:rsid w:val="00C07C7B"/>
    <w:rsid w:val="00C16245"/>
    <w:rsid w:val="00C22DC5"/>
    <w:rsid w:val="00C24479"/>
    <w:rsid w:val="00C273F2"/>
    <w:rsid w:val="00C37B53"/>
    <w:rsid w:val="00C517D2"/>
    <w:rsid w:val="00C52D9A"/>
    <w:rsid w:val="00C5772E"/>
    <w:rsid w:val="00C610F2"/>
    <w:rsid w:val="00C62B36"/>
    <w:rsid w:val="00C7012C"/>
    <w:rsid w:val="00C712EA"/>
    <w:rsid w:val="00CA217D"/>
    <w:rsid w:val="00CC09D4"/>
    <w:rsid w:val="00CC5C59"/>
    <w:rsid w:val="00CC668D"/>
    <w:rsid w:val="00CC7832"/>
    <w:rsid w:val="00CF0C1C"/>
    <w:rsid w:val="00CF27FD"/>
    <w:rsid w:val="00CF5F12"/>
    <w:rsid w:val="00D00D8F"/>
    <w:rsid w:val="00D02683"/>
    <w:rsid w:val="00D03F23"/>
    <w:rsid w:val="00D21F3A"/>
    <w:rsid w:val="00D23808"/>
    <w:rsid w:val="00D3016A"/>
    <w:rsid w:val="00D417D2"/>
    <w:rsid w:val="00D42960"/>
    <w:rsid w:val="00D43BD7"/>
    <w:rsid w:val="00D4485B"/>
    <w:rsid w:val="00D4708D"/>
    <w:rsid w:val="00D4744C"/>
    <w:rsid w:val="00D521DE"/>
    <w:rsid w:val="00D5470B"/>
    <w:rsid w:val="00D63068"/>
    <w:rsid w:val="00D6498C"/>
    <w:rsid w:val="00D76A70"/>
    <w:rsid w:val="00D83182"/>
    <w:rsid w:val="00D8521E"/>
    <w:rsid w:val="00D9291C"/>
    <w:rsid w:val="00D9389F"/>
    <w:rsid w:val="00D93A97"/>
    <w:rsid w:val="00DB0B93"/>
    <w:rsid w:val="00DB1F64"/>
    <w:rsid w:val="00DC2F53"/>
    <w:rsid w:val="00DC5BAC"/>
    <w:rsid w:val="00DC6816"/>
    <w:rsid w:val="00DC76C2"/>
    <w:rsid w:val="00DD1CF2"/>
    <w:rsid w:val="00DE0D3D"/>
    <w:rsid w:val="00DE4484"/>
    <w:rsid w:val="00DF41B7"/>
    <w:rsid w:val="00DF4A4A"/>
    <w:rsid w:val="00DF583C"/>
    <w:rsid w:val="00E03C3F"/>
    <w:rsid w:val="00E06FD7"/>
    <w:rsid w:val="00E07417"/>
    <w:rsid w:val="00E228E8"/>
    <w:rsid w:val="00E24D45"/>
    <w:rsid w:val="00E33DB8"/>
    <w:rsid w:val="00E33EFF"/>
    <w:rsid w:val="00E34387"/>
    <w:rsid w:val="00E348BA"/>
    <w:rsid w:val="00E369FE"/>
    <w:rsid w:val="00E37C6F"/>
    <w:rsid w:val="00E475F8"/>
    <w:rsid w:val="00E5102E"/>
    <w:rsid w:val="00E5721C"/>
    <w:rsid w:val="00E619C6"/>
    <w:rsid w:val="00E745A1"/>
    <w:rsid w:val="00E81529"/>
    <w:rsid w:val="00E83A13"/>
    <w:rsid w:val="00EA51BD"/>
    <w:rsid w:val="00EB6FC5"/>
    <w:rsid w:val="00EC2356"/>
    <w:rsid w:val="00EC2582"/>
    <w:rsid w:val="00EC337C"/>
    <w:rsid w:val="00ED0CFF"/>
    <w:rsid w:val="00ED115C"/>
    <w:rsid w:val="00ED31D2"/>
    <w:rsid w:val="00EE0EAC"/>
    <w:rsid w:val="00EE3322"/>
    <w:rsid w:val="00EE33CB"/>
    <w:rsid w:val="00F0061A"/>
    <w:rsid w:val="00F02834"/>
    <w:rsid w:val="00F04EEB"/>
    <w:rsid w:val="00F05467"/>
    <w:rsid w:val="00F055D2"/>
    <w:rsid w:val="00F07CD7"/>
    <w:rsid w:val="00F127E9"/>
    <w:rsid w:val="00F14B5D"/>
    <w:rsid w:val="00F259FC"/>
    <w:rsid w:val="00F36972"/>
    <w:rsid w:val="00F42426"/>
    <w:rsid w:val="00F456BC"/>
    <w:rsid w:val="00F50666"/>
    <w:rsid w:val="00F70C9E"/>
    <w:rsid w:val="00F74A74"/>
    <w:rsid w:val="00F7572C"/>
    <w:rsid w:val="00F8382C"/>
    <w:rsid w:val="00F855D7"/>
    <w:rsid w:val="00F90707"/>
    <w:rsid w:val="00F92035"/>
    <w:rsid w:val="00F92748"/>
    <w:rsid w:val="00FA1571"/>
    <w:rsid w:val="00FA4169"/>
    <w:rsid w:val="00FB0D41"/>
    <w:rsid w:val="00FB2030"/>
    <w:rsid w:val="00FC013A"/>
    <w:rsid w:val="00FC3593"/>
    <w:rsid w:val="00FD0E46"/>
    <w:rsid w:val="00FD1CF2"/>
    <w:rsid w:val="00FD3EDF"/>
    <w:rsid w:val="00FD793C"/>
    <w:rsid w:val="00FE0FD5"/>
    <w:rsid w:val="00FE20E6"/>
    <w:rsid w:val="00FE3E3B"/>
    <w:rsid w:val="00FF4032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52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4C51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rsid w:val="00A84C51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A84C51"/>
  </w:style>
  <w:style w:type="character" w:styleId="Hyperlink">
    <w:name w:val="Hyperlink"/>
    <w:basedOn w:val="DefaultParagraphFont"/>
    <w:rsid w:val="00A84C51"/>
    <w:rPr>
      <w:color w:val="0000FF"/>
      <w:u w:val="single"/>
    </w:rPr>
  </w:style>
  <w:style w:type="paragraph" w:styleId="BalloonText">
    <w:name w:val="Balloon Text"/>
    <w:basedOn w:val="Normal"/>
    <w:semiHidden/>
    <w:rsid w:val="00EC235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31E8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701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0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1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0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012C"/>
    <w:rPr>
      <w:b/>
      <w:bCs/>
      <w:lang w:eastAsia="en-US"/>
    </w:rPr>
  </w:style>
  <w:style w:type="paragraph" w:styleId="ListParagraph">
    <w:name w:val="List Paragraph"/>
    <w:aliases w:val="Summary Bullets,Bullet 1,Bullet1,Bullet List,Section 5,List Paragraph CCT minutes,Table Legend,Bullets Points,Use Case List Paragraph,List Paragraph1,Body Bullet,Table Number Paragraph,Colorful List - Accent 11,List Paragraph 1,Ref,B1"/>
    <w:basedOn w:val="Normal"/>
    <w:link w:val="ListParagraphChar"/>
    <w:uiPriority w:val="34"/>
    <w:qFormat/>
    <w:rsid w:val="00104E2E"/>
    <w:pPr>
      <w:ind w:left="720"/>
      <w:contextualSpacing/>
    </w:pPr>
  </w:style>
  <w:style w:type="character" w:customStyle="1" w:styleId="Style2">
    <w:name w:val="Style2"/>
    <w:basedOn w:val="DefaultParagraphFont"/>
    <w:uiPriority w:val="1"/>
    <w:rsid w:val="00D6498C"/>
    <w:rPr>
      <w:sz w:val="32"/>
    </w:rPr>
  </w:style>
  <w:style w:type="character" w:styleId="PlaceholderText">
    <w:name w:val="Placeholder Text"/>
    <w:basedOn w:val="DefaultParagraphFont"/>
    <w:uiPriority w:val="99"/>
    <w:rsid w:val="00B13D65"/>
    <w:rPr>
      <w:color w:val="808080"/>
    </w:rPr>
  </w:style>
  <w:style w:type="paragraph" w:styleId="NoSpacing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TableNormal"/>
    <w:next w:val="TableGrid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6256"/>
    <w:rPr>
      <w:sz w:val="24"/>
      <w:szCs w:val="24"/>
      <w:lang w:eastAsia="en-US"/>
    </w:rPr>
  </w:style>
  <w:style w:type="character" w:customStyle="1" w:styleId="ListParagraphChar">
    <w:name w:val="List Paragraph Char"/>
    <w:aliases w:val="Summary Bullets Char,Bullet 1 Char,Bullet1 Char,Bullet List Char,Section 5 Char,List Paragraph CCT minutes Char,Table Legend Char,Bullets Points Char,Use Case List Paragraph Char,List Paragraph1 Char,Body Bullet Char,Ref Char,B1 Char"/>
    <w:basedOn w:val="DefaultParagraphFont"/>
    <w:link w:val="ListParagraph"/>
    <w:uiPriority w:val="34"/>
    <w:rsid w:val="003D18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B6686D221B46CCA3E090575759E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B9288-CE88-4C75-90FF-EBF975695BF1}"/>
      </w:docPartPr>
      <w:docPartBody>
        <w:p w:rsidR="005D570A" w:rsidRDefault="0089729D" w:rsidP="0089729D">
          <w:pPr>
            <w:pStyle w:val="28B6686D221B46CCA3E090575759E2DF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9D"/>
    <w:rsid w:val="00365886"/>
    <w:rsid w:val="00481C3C"/>
    <w:rsid w:val="005D570A"/>
    <w:rsid w:val="008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9729D"/>
    <w:rPr>
      <w:color w:val="808080"/>
    </w:rPr>
  </w:style>
  <w:style w:type="paragraph" w:customStyle="1" w:styleId="28B6686D221B46CCA3E090575759E2DF">
    <w:name w:val="28B6686D221B46CCA3E090575759E2DF"/>
    <w:rsid w:val="00897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1253-0BBB-4F2C-A363-99C4C956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2024-07-30T09:15:00Z</dcterms:created>
  <dcterms:modified xsi:type="dcterms:W3CDTF">2024-07-30T09:15:00Z</dcterms:modified>
</cp:coreProperties>
</file>