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28975C" w14:textId="77777777" w:rsidR="003D3228" w:rsidRPr="00AC739B" w:rsidRDefault="003D3228" w:rsidP="003D3228">
      <w:pPr>
        <w:ind w:left="5529"/>
      </w:pPr>
    </w:p>
    <w:p w14:paraId="154365D6" w14:textId="77777777" w:rsidR="003D3228" w:rsidRPr="00AC739B" w:rsidRDefault="003D3228" w:rsidP="003D3228">
      <w:pPr>
        <w:ind w:left="6096"/>
      </w:pPr>
      <w:r w:rsidRPr="00AC739B">
        <w:t>Forma patvirtinta</w:t>
      </w:r>
    </w:p>
    <w:p w14:paraId="55A68C2C" w14:textId="77777777" w:rsidR="003D3228" w:rsidRPr="00AC739B" w:rsidRDefault="003D3228" w:rsidP="003D3228">
      <w:pPr>
        <w:ind w:left="6096"/>
      </w:pPr>
      <w:r w:rsidRPr="00AC739B">
        <w:t>Valstybinės vaistų kontrolės tarnybos prie Lietuvos Respublikos sveikatos apsaugos ministerijos viršininko 2021 m. lapkričio 12 d. įsakymu Nr. (1.72E)1A-1418</w:t>
      </w:r>
    </w:p>
    <w:p w14:paraId="715C4E1F" w14:textId="77777777" w:rsidR="003D3228" w:rsidRPr="00AC739B" w:rsidRDefault="003D3228" w:rsidP="003D3228">
      <w:pPr>
        <w:ind w:left="6096"/>
      </w:pPr>
      <w:r w:rsidRPr="00AC739B">
        <w:t>(Valstybinės vaistų kontrolės tarnybos prie Lietuvos Respublikos sveikatos apsaugos ministerijos viršininko 2022 m.                         d. įsakymo Nr.                    redakcija)</w:t>
      </w:r>
    </w:p>
    <w:p w14:paraId="7D2DE8CE" w14:textId="77777777" w:rsidR="003D3228" w:rsidRPr="00AC739B" w:rsidRDefault="003D3228" w:rsidP="003D3228"/>
    <w:p w14:paraId="65491641" w14:textId="77777777" w:rsidR="003D3228" w:rsidRPr="00AC739B" w:rsidRDefault="003D3228" w:rsidP="003D3228"/>
    <w:p w14:paraId="3FE79959" w14:textId="77777777" w:rsidR="003D3228" w:rsidRPr="00AC739B" w:rsidRDefault="003D3228" w:rsidP="003D3228">
      <w:pPr>
        <w:jc w:val="center"/>
        <w:rPr>
          <w:b/>
          <w:bCs/>
          <w:caps/>
        </w:rPr>
      </w:pPr>
      <w:r w:rsidRPr="00AC739B">
        <w:rPr>
          <w:b/>
        </w:rPr>
        <w:t xml:space="preserve">REKOMENDACIJA DĖL VAISTINIO PREPARATO </w:t>
      </w:r>
      <w:r w:rsidRPr="00AC739B">
        <w:rPr>
          <w:b/>
          <w:bCs/>
          <w:caps/>
        </w:rPr>
        <w:t>Lietuvos Respublikos Sveikatos apsaugos ministerijos vaistinių preparatų ir medicinos pagalbos priemonių kompensavimo komisijai</w:t>
      </w:r>
    </w:p>
    <w:p w14:paraId="32F2CE17" w14:textId="77777777" w:rsidR="003D3228" w:rsidRPr="00AC739B" w:rsidRDefault="003D3228" w:rsidP="003D3228">
      <w:pPr>
        <w:jc w:val="center"/>
        <w:rPr>
          <w:b/>
        </w:rPr>
      </w:pPr>
    </w:p>
    <w:p w14:paraId="292FDB32" w14:textId="77777777" w:rsidR="00A66625" w:rsidRPr="00AC739B" w:rsidRDefault="00A66625" w:rsidP="00A66625">
      <w:pPr>
        <w:jc w:val="center"/>
        <w:rPr>
          <w:b/>
        </w:rPr>
      </w:pPr>
      <w:r w:rsidRPr="00AC739B">
        <w:rPr>
          <w:b/>
        </w:rPr>
        <w:t>Rinvoq 15 mg pailginto atpalaidavimo tabletės</w:t>
      </w:r>
    </w:p>
    <w:p w14:paraId="1E8726A5" w14:textId="75DFAB09" w:rsidR="00881DF5" w:rsidRPr="00AC739B" w:rsidRDefault="00881DF5" w:rsidP="00881DF5">
      <w:pPr>
        <w:jc w:val="center"/>
      </w:pPr>
    </w:p>
    <w:p w14:paraId="2EEDF9D4" w14:textId="77777777" w:rsidR="00A66625" w:rsidRPr="00AC739B" w:rsidRDefault="00A66625" w:rsidP="00A66625">
      <w:pPr>
        <w:jc w:val="center"/>
      </w:pPr>
      <w:r w:rsidRPr="00AC739B">
        <w:rPr>
          <w:b/>
        </w:rPr>
        <w:t xml:space="preserve">Upadacitinibas </w:t>
      </w:r>
    </w:p>
    <w:p w14:paraId="7A961414" w14:textId="77777777" w:rsidR="00A66625" w:rsidRPr="00AC739B" w:rsidRDefault="00A66625" w:rsidP="00A66625">
      <w:pPr>
        <w:jc w:val="center"/>
      </w:pPr>
    </w:p>
    <w:p w14:paraId="6A8D29D7" w14:textId="09AB1F3F" w:rsidR="00A66625" w:rsidRPr="00AC739B" w:rsidRDefault="00A66625" w:rsidP="00A66625">
      <w:pPr>
        <w:jc w:val="center"/>
        <w:rPr>
          <w:b/>
        </w:rPr>
      </w:pPr>
      <w:r w:rsidRPr="00AC739B">
        <w:rPr>
          <w:b/>
        </w:rPr>
        <w:t>STV-147</w:t>
      </w:r>
    </w:p>
    <w:p w14:paraId="1C3D5BED" w14:textId="77777777" w:rsidR="003D3228" w:rsidRPr="00AC739B" w:rsidRDefault="003D3228" w:rsidP="003D3228">
      <w:pPr>
        <w:jc w:val="center"/>
        <w:rPr>
          <w:b/>
        </w:rPr>
      </w:pPr>
    </w:p>
    <w:p w14:paraId="78FC4FDD" w14:textId="77777777" w:rsidR="003D3228" w:rsidRPr="00AC739B" w:rsidRDefault="003D3228" w:rsidP="003D3228">
      <w:pPr>
        <w:jc w:val="center"/>
        <w:rPr>
          <w:b/>
        </w:rPr>
      </w:pPr>
    </w:p>
    <w:p w14:paraId="0290B70B" w14:textId="77777777" w:rsidR="003D3228" w:rsidRPr="00AC739B" w:rsidRDefault="003D3228" w:rsidP="003D3228">
      <w:pPr>
        <w:pStyle w:val="ListParagraph"/>
        <w:numPr>
          <w:ilvl w:val="0"/>
          <w:numId w:val="1"/>
        </w:numPr>
        <w:tabs>
          <w:tab w:val="left" w:pos="567"/>
        </w:tabs>
        <w:ind w:left="567" w:hanging="567"/>
        <w:rPr>
          <w:b/>
          <w:bCs/>
          <w:caps/>
        </w:rPr>
      </w:pPr>
      <w:r w:rsidRPr="00AC739B">
        <w:rPr>
          <w:b/>
          <w:bCs/>
          <w:caps/>
        </w:rPr>
        <w:t>Bendroji dalis</w:t>
      </w:r>
    </w:p>
    <w:p w14:paraId="04CAC7E3" w14:textId="77777777" w:rsidR="003D3228" w:rsidRPr="00AC739B" w:rsidRDefault="003D3228" w:rsidP="003D3228">
      <w:pPr>
        <w:pStyle w:val="ListParagraph"/>
        <w:tabs>
          <w:tab w:val="left" w:pos="284"/>
        </w:tabs>
        <w:ind w:left="0"/>
        <w:rPr>
          <w:b/>
          <w:bCs/>
          <w:caps/>
        </w:rPr>
      </w:pPr>
    </w:p>
    <w:tbl>
      <w:tblPr>
        <w:tblStyle w:val="TableGrid"/>
        <w:tblW w:w="9493" w:type="dxa"/>
        <w:tblLook w:val="04A0" w:firstRow="1" w:lastRow="0" w:firstColumn="1" w:lastColumn="0" w:noHBand="0" w:noVBand="1"/>
      </w:tblPr>
      <w:tblGrid>
        <w:gridCol w:w="632"/>
        <w:gridCol w:w="3694"/>
        <w:gridCol w:w="5167"/>
      </w:tblGrid>
      <w:tr w:rsidR="00A66625" w:rsidRPr="00AC739B" w14:paraId="2027F97B" w14:textId="77777777" w:rsidTr="000A2C78">
        <w:trPr>
          <w:trHeight w:val="314"/>
        </w:trPr>
        <w:tc>
          <w:tcPr>
            <w:tcW w:w="632" w:type="dxa"/>
          </w:tcPr>
          <w:p w14:paraId="72630D5B" w14:textId="11E641A1" w:rsidR="00A66625" w:rsidRPr="00AC739B" w:rsidRDefault="00A66625" w:rsidP="00A66625">
            <w:pPr>
              <w:rPr>
                <w:rFonts w:eastAsia="Arial"/>
                <w:sz w:val="24"/>
                <w:szCs w:val="24"/>
              </w:rPr>
            </w:pPr>
            <w:r w:rsidRPr="00AC739B">
              <w:rPr>
                <w:rFonts w:eastAsia="Arial"/>
                <w:sz w:val="24"/>
                <w:szCs w:val="24"/>
              </w:rPr>
              <w:t>1.1</w:t>
            </w:r>
          </w:p>
        </w:tc>
        <w:tc>
          <w:tcPr>
            <w:tcW w:w="3694" w:type="dxa"/>
          </w:tcPr>
          <w:p w14:paraId="5D044E3D" w14:textId="7876F33D" w:rsidR="00A66625" w:rsidRPr="00AC739B" w:rsidRDefault="00A66625" w:rsidP="00A66625">
            <w:pPr>
              <w:rPr>
                <w:rFonts w:eastAsia="Arial"/>
                <w:sz w:val="24"/>
                <w:szCs w:val="24"/>
              </w:rPr>
            </w:pPr>
            <w:r w:rsidRPr="00AC739B">
              <w:rPr>
                <w:bCs/>
                <w:color w:val="000000"/>
                <w:sz w:val="24"/>
                <w:szCs w:val="24"/>
                <w:lang w:eastAsia="lt-LT"/>
              </w:rPr>
              <w:t>Pareiškėjas</w:t>
            </w:r>
          </w:p>
        </w:tc>
        <w:tc>
          <w:tcPr>
            <w:tcW w:w="5167" w:type="dxa"/>
          </w:tcPr>
          <w:p w14:paraId="093A6456" w14:textId="64626CCA" w:rsidR="00A66625" w:rsidRPr="00AC739B" w:rsidRDefault="00A66625" w:rsidP="00A66625">
            <w:pPr>
              <w:rPr>
                <w:sz w:val="24"/>
                <w:szCs w:val="24"/>
              </w:rPr>
            </w:pPr>
            <w:r w:rsidRPr="00AC739B">
              <w:rPr>
                <w:sz w:val="24"/>
              </w:rPr>
              <w:t>UAB „AbbVie“</w:t>
            </w:r>
          </w:p>
        </w:tc>
      </w:tr>
      <w:tr w:rsidR="00A66625" w:rsidRPr="00AC739B" w14:paraId="7D20B29B" w14:textId="77777777" w:rsidTr="000A2C78">
        <w:trPr>
          <w:trHeight w:val="156"/>
        </w:trPr>
        <w:tc>
          <w:tcPr>
            <w:tcW w:w="632" w:type="dxa"/>
          </w:tcPr>
          <w:p w14:paraId="389AAD0A" w14:textId="061ACA9E" w:rsidR="00A66625" w:rsidRPr="00AC739B" w:rsidRDefault="00A66625" w:rsidP="00A66625">
            <w:pPr>
              <w:rPr>
                <w:rFonts w:eastAsia="Arial"/>
                <w:sz w:val="24"/>
                <w:szCs w:val="24"/>
              </w:rPr>
            </w:pPr>
            <w:r w:rsidRPr="00AC739B">
              <w:rPr>
                <w:rFonts w:eastAsia="Arial"/>
                <w:sz w:val="24"/>
                <w:szCs w:val="24"/>
              </w:rPr>
              <w:t>1.2</w:t>
            </w:r>
          </w:p>
        </w:tc>
        <w:tc>
          <w:tcPr>
            <w:tcW w:w="3694" w:type="dxa"/>
          </w:tcPr>
          <w:p w14:paraId="27C6E66B" w14:textId="6F817F0C" w:rsidR="00A66625" w:rsidRPr="00AC739B" w:rsidRDefault="00A66625" w:rsidP="00A66625">
            <w:pPr>
              <w:tabs>
                <w:tab w:val="left" w:pos="284"/>
              </w:tabs>
              <w:spacing w:line="280" w:lineRule="atLeast"/>
              <w:rPr>
                <w:bCs/>
                <w:color w:val="000000"/>
                <w:sz w:val="24"/>
                <w:szCs w:val="24"/>
                <w:lang w:eastAsia="lt-LT"/>
              </w:rPr>
            </w:pPr>
            <w:r w:rsidRPr="00AC739B">
              <w:rPr>
                <w:bCs/>
                <w:color w:val="000000"/>
                <w:sz w:val="24"/>
                <w:szCs w:val="24"/>
                <w:lang w:eastAsia="lt-LT"/>
              </w:rPr>
              <w:t xml:space="preserve">Registracijos data </w:t>
            </w:r>
          </w:p>
          <w:p w14:paraId="20ED2BCE" w14:textId="4CDBCFFC" w:rsidR="00A66625" w:rsidRPr="00AC739B" w:rsidRDefault="00A66625" w:rsidP="00A66625">
            <w:pPr>
              <w:rPr>
                <w:bCs/>
                <w:color w:val="000000"/>
                <w:sz w:val="24"/>
                <w:szCs w:val="24"/>
                <w:lang w:eastAsia="lt-LT"/>
              </w:rPr>
            </w:pPr>
          </w:p>
        </w:tc>
        <w:tc>
          <w:tcPr>
            <w:tcW w:w="5167" w:type="dxa"/>
          </w:tcPr>
          <w:p w14:paraId="45B64924" w14:textId="6FB2A77F" w:rsidR="00A66625" w:rsidRPr="00AC739B" w:rsidRDefault="00000000" w:rsidP="00A66625">
            <w:pPr>
              <w:rPr>
                <w:rStyle w:val="Style2"/>
                <w:sz w:val="24"/>
                <w:szCs w:val="24"/>
                <w:lang w:eastAsia="en-US"/>
              </w:rPr>
            </w:pPr>
            <w:sdt>
              <w:sdtPr>
                <w:rPr>
                  <w:sz w:val="32"/>
                  <w:shd w:val="clear" w:color="auto" w:fill="FFFFFF"/>
                </w:rPr>
                <w:alias w:val="Nurodykite konkrečią dieną"/>
                <w:tag w:val="Nurodykite pradžios datą"/>
                <w:id w:val="423238108"/>
                <w:placeholder>
                  <w:docPart w:val="9554EC98EBDC47FAA74B5FFF9A133395"/>
                </w:placeholder>
                <w15:color w:val="FFCC99"/>
                <w:date w:fullDate="2019-12-16T00:00:00Z">
                  <w:dateFormat w:val="yyyy 'm.' MMMM d 'd.'"/>
                  <w:lid w:val="lt-LT"/>
                  <w:storeMappedDataAs w:val="dateTime"/>
                  <w:calendar w:val="gregorian"/>
                </w:date>
              </w:sdtPr>
              <w:sdtContent>
                <w:r w:rsidR="00A66625" w:rsidRPr="00AC739B">
                  <w:rPr>
                    <w:sz w:val="24"/>
                    <w:szCs w:val="24"/>
                    <w:shd w:val="clear" w:color="auto" w:fill="FFFFFF"/>
                  </w:rPr>
                  <w:t>2019 m. gruodžio 16 d.</w:t>
                </w:r>
              </w:sdtContent>
            </w:sdt>
          </w:p>
        </w:tc>
      </w:tr>
      <w:tr w:rsidR="00881DF5" w:rsidRPr="00AC739B" w14:paraId="5984B186" w14:textId="77777777" w:rsidTr="000A2C78">
        <w:trPr>
          <w:trHeight w:val="1500"/>
        </w:trPr>
        <w:tc>
          <w:tcPr>
            <w:tcW w:w="632" w:type="dxa"/>
          </w:tcPr>
          <w:p w14:paraId="6A70DDEA" w14:textId="1DDAB0CA" w:rsidR="00881DF5" w:rsidRPr="00AC739B" w:rsidRDefault="00881DF5" w:rsidP="00881DF5">
            <w:pPr>
              <w:rPr>
                <w:rFonts w:eastAsia="Arial"/>
                <w:sz w:val="24"/>
                <w:szCs w:val="24"/>
              </w:rPr>
            </w:pPr>
            <w:r w:rsidRPr="00AC739B">
              <w:rPr>
                <w:rFonts w:eastAsia="Arial"/>
                <w:sz w:val="24"/>
                <w:szCs w:val="24"/>
              </w:rPr>
              <w:t>1.3</w:t>
            </w:r>
          </w:p>
        </w:tc>
        <w:tc>
          <w:tcPr>
            <w:tcW w:w="3694" w:type="dxa"/>
          </w:tcPr>
          <w:p w14:paraId="69BCF43F" w14:textId="77777777" w:rsidR="00881DF5" w:rsidRPr="00AC739B" w:rsidRDefault="00881DF5" w:rsidP="00881DF5">
            <w:pPr>
              <w:pStyle w:val="NoSpacing"/>
              <w:rPr>
                <w:rFonts w:ascii="Times New Roman" w:hAnsi="Times New Roman"/>
                <w:sz w:val="24"/>
                <w:szCs w:val="24"/>
              </w:rPr>
            </w:pPr>
            <w:r w:rsidRPr="00AC739B">
              <w:rPr>
                <w:rFonts w:ascii="Times New Roman" w:hAnsi="Times New Roman"/>
                <w:sz w:val="24"/>
                <w:szCs w:val="24"/>
              </w:rPr>
              <w:t xml:space="preserve">Paraiškos tipas </w:t>
            </w:r>
          </w:p>
          <w:p w14:paraId="10F2FDF0" w14:textId="77777777" w:rsidR="00881DF5" w:rsidRPr="00AC739B" w:rsidRDefault="00881DF5" w:rsidP="00881DF5">
            <w:pPr>
              <w:rPr>
                <w:sz w:val="24"/>
                <w:szCs w:val="24"/>
              </w:rPr>
            </w:pPr>
            <w:r w:rsidRPr="00AC739B">
              <w:rPr>
                <w:sz w:val="24"/>
                <w:szCs w:val="24"/>
              </w:rPr>
              <w:t xml:space="preserve">(pagal </w:t>
            </w:r>
            <w:r w:rsidRPr="00AC739B">
              <w:rPr>
                <w:sz w:val="24"/>
                <w:szCs w:val="24"/>
                <w:shd w:val="clear" w:color="auto" w:fill="FFFFFF"/>
              </w:rPr>
              <w:t>vaistinio preparato registracijos tipą, įtvirtintą</w:t>
            </w:r>
            <w:r w:rsidRPr="00AC739B">
              <w:rPr>
                <w:sz w:val="24"/>
                <w:szCs w:val="24"/>
              </w:rPr>
              <w:t xml:space="preserve"> Direktyvos 2001/83/EB straipsniuose)</w:t>
            </w:r>
          </w:p>
          <w:p w14:paraId="64EBE234" w14:textId="77777777" w:rsidR="00881DF5" w:rsidRPr="00AC739B" w:rsidRDefault="00881DF5" w:rsidP="00881DF5">
            <w:pPr>
              <w:rPr>
                <w:bCs/>
                <w:color w:val="000000"/>
                <w:sz w:val="24"/>
                <w:szCs w:val="24"/>
                <w:lang w:eastAsia="lt-LT"/>
              </w:rPr>
            </w:pPr>
          </w:p>
        </w:tc>
        <w:tc>
          <w:tcPr>
            <w:tcW w:w="5167" w:type="dxa"/>
          </w:tcPr>
          <w:p w14:paraId="2F6D46B8" w14:textId="77777777" w:rsidR="00881DF5" w:rsidRPr="00AC739B" w:rsidRDefault="00000000" w:rsidP="00881DF5">
            <w:pPr>
              <w:rPr>
                <w:sz w:val="24"/>
                <w:szCs w:val="24"/>
              </w:rPr>
            </w:pPr>
            <w:sdt>
              <w:sdtPr>
                <w:rPr>
                  <w:rStyle w:val="Style2"/>
                  <w:sz w:val="24"/>
                </w:rPr>
                <w:id w:val="-366596377"/>
                <w15:color w:val="FFCC00"/>
                <w14:checkbox>
                  <w14:checked w14:val="1"/>
                  <w14:checkedState w14:val="2612" w14:font="MS Gothic"/>
                  <w14:uncheckedState w14:val="2610" w14:font="MS Gothic"/>
                </w14:checkbox>
              </w:sdtPr>
              <w:sdtContent>
                <w:r w:rsidR="00881DF5" w:rsidRPr="00AC739B">
                  <w:rPr>
                    <w:rStyle w:val="Style2"/>
                    <w:rFonts w:ascii="Segoe UI Symbol" w:eastAsia="MS Gothic" w:hAnsi="Segoe UI Symbol" w:cs="Segoe UI Symbol"/>
                    <w:sz w:val="24"/>
                    <w:szCs w:val="24"/>
                  </w:rPr>
                  <w:t>☒</w:t>
                </w:r>
              </w:sdtContent>
            </w:sdt>
            <w:r w:rsidR="00881DF5" w:rsidRPr="00AC739B">
              <w:rPr>
                <w:sz w:val="24"/>
                <w:szCs w:val="24"/>
              </w:rPr>
              <w:t xml:space="preserve"> 8.3 str. (pilna byla, pagrįsta savais tyrimais) </w:t>
            </w:r>
          </w:p>
          <w:p w14:paraId="0E3ECE66" w14:textId="77777777" w:rsidR="00881DF5" w:rsidRPr="00AC739B" w:rsidRDefault="00000000" w:rsidP="00881DF5">
            <w:pPr>
              <w:rPr>
                <w:sz w:val="24"/>
                <w:szCs w:val="24"/>
              </w:rPr>
            </w:pPr>
            <w:sdt>
              <w:sdtPr>
                <w:rPr>
                  <w:rStyle w:val="Style2"/>
                  <w:sz w:val="24"/>
                </w:rPr>
                <w:id w:val="675462298"/>
                <w15:color w:val="FFCC00"/>
                <w14:checkbox>
                  <w14:checked w14:val="0"/>
                  <w14:checkedState w14:val="2612" w14:font="MS Gothic"/>
                  <w14:uncheckedState w14:val="2610" w14:font="MS Gothic"/>
                </w14:checkbox>
              </w:sdtPr>
              <w:sdtContent>
                <w:r w:rsidR="00881DF5" w:rsidRPr="00AC739B">
                  <w:rPr>
                    <w:rStyle w:val="Style2"/>
                    <w:rFonts w:ascii="Segoe UI Symbol" w:eastAsia="MS Gothic" w:hAnsi="Segoe UI Symbol" w:cs="Segoe UI Symbol"/>
                    <w:sz w:val="24"/>
                    <w:szCs w:val="24"/>
                  </w:rPr>
                  <w:t>☐</w:t>
                </w:r>
              </w:sdtContent>
            </w:sdt>
            <w:r w:rsidR="00881DF5" w:rsidRPr="00AC739B">
              <w:rPr>
                <w:sz w:val="24"/>
                <w:szCs w:val="24"/>
              </w:rPr>
              <w:t xml:space="preserve"> 10 a str. (pripažintas medicininis vartojimas) </w:t>
            </w:r>
          </w:p>
          <w:p w14:paraId="1A80D275" w14:textId="77777777" w:rsidR="00881DF5" w:rsidRPr="00AC739B" w:rsidRDefault="00000000" w:rsidP="00881DF5">
            <w:pPr>
              <w:rPr>
                <w:sz w:val="24"/>
                <w:szCs w:val="24"/>
              </w:rPr>
            </w:pPr>
            <w:sdt>
              <w:sdtPr>
                <w:rPr>
                  <w:rStyle w:val="Style2"/>
                  <w:sz w:val="24"/>
                </w:rPr>
                <w:id w:val="-1290435890"/>
                <w15:color w:val="FFCC00"/>
                <w14:checkbox>
                  <w14:checked w14:val="0"/>
                  <w14:checkedState w14:val="2612" w14:font="MS Gothic"/>
                  <w14:uncheckedState w14:val="2610" w14:font="MS Gothic"/>
                </w14:checkbox>
              </w:sdtPr>
              <w:sdtContent>
                <w:r w:rsidR="00881DF5" w:rsidRPr="00AC739B">
                  <w:rPr>
                    <w:rStyle w:val="Style2"/>
                    <w:rFonts w:ascii="Segoe UI Symbol" w:eastAsia="MS Gothic" w:hAnsi="Segoe UI Symbol" w:cs="Segoe UI Symbol"/>
                    <w:sz w:val="24"/>
                    <w:szCs w:val="24"/>
                  </w:rPr>
                  <w:t>☐</w:t>
                </w:r>
              </w:sdtContent>
            </w:sdt>
            <w:r w:rsidR="00881DF5" w:rsidRPr="00AC739B">
              <w:rPr>
                <w:sz w:val="24"/>
                <w:szCs w:val="24"/>
              </w:rPr>
              <w:t xml:space="preserve"> 10.1 str. (generinis)</w:t>
            </w:r>
          </w:p>
          <w:p w14:paraId="55E8A813" w14:textId="5B169D35" w:rsidR="00881DF5" w:rsidRPr="00AC739B" w:rsidRDefault="00000000" w:rsidP="00881DF5">
            <w:pPr>
              <w:rPr>
                <w:rStyle w:val="Style2"/>
                <w:sz w:val="24"/>
                <w:szCs w:val="24"/>
              </w:rPr>
            </w:pPr>
            <w:sdt>
              <w:sdtPr>
                <w:rPr>
                  <w:rStyle w:val="Style2"/>
                  <w:sz w:val="24"/>
                </w:rPr>
                <w:id w:val="-124545030"/>
                <w15:color w:val="FFCC00"/>
                <w14:checkbox>
                  <w14:checked w14:val="0"/>
                  <w14:checkedState w14:val="2612" w14:font="MS Gothic"/>
                  <w14:uncheckedState w14:val="2610" w14:font="MS Gothic"/>
                </w14:checkbox>
              </w:sdtPr>
              <w:sdtContent>
                <w:r w:rsidR="00881DF5" w:rsidRPr="00AC739B">
                  <w:rPr>
                    <w:rStyle w:val="Style2"/>
                    <w:rFonts w:ascii="Segoe UI Symbol" w:eastAsia="MS Gothic" w:hAnsi="Segoe UI Symbol" w:cs="Segoe UI Symbol"/>
                    <w:sz w:val="24"/>
                    <w:szCs w:val="24"/>
                  </w:rPr>
                  <w:t>☐</w:t>
                </w:r>
              </w:sdtContent>
            </w:sdt>
            <w:r w:rsidR="00881DF5" w:rsidRPr="00AC739B">
              <w:rPr>
                <w:sz w:val="24"/>
                <w:szCs w:val="24"/>
              </w:rPr>
              <w:t xml:space="preserve"> 10.3 str. (hibridinis)</w:t>
            </w:r>
          </w:p>
        </w:tc>
      </w:tr>
      <w:tr w:rsidR="00881DF5" w:rsidRPr="00AC739B" w14:paraId="0B4151E1" w14:textId="77777777" w:rsidTr="000A2C78">
        <w:trPr>
          <w:trHeight w:val="1035"/>
        </w:trPr>
        <w:tc>
          <w:tcPr>
            <w:tcW w:w="632" w:type="dxa"/>
          </w:tcPr>
          <w:p w14:paraId="529B4C9A" w14:textId="61F7480D" w:rsidR="00881DF5" w:rsidRPr="00AC739B" w:rsidRDefault="00881DF5" w:rsidP="00881DF5">
            <w:pPr>
              <w:rPr>
                <w:rFonts w:eastAsia="Arial"/>
                <w:sz w:val="24"/>
                <w:szCs w:val="24"/>
              </w:rPr>
            </w:pPr>
            <w:r w:rsidRPr="00AC739B">
              <w:rPr>
                <w:rFonts w:eastAsia="Arial"/>
                <w:sz w:val="24"/>
                <w:szCs w:val="24"/>
              </w:rPr>
              <w:t>1.4</w:t>
            </w:r>
          </w:p>
        </w:tc>
        <w:tc>
          <w:tcPr>
            <w:tcW w:w="3694" w:type="dxa"/>
          </w:tcPr>
          <w:p w14:paraId="59447A01" w14:textId="77777777" w:rsidR="00881DF5" w:rsidRPr="00AC739B" w:rsidRDefault="00881DF5" w:rsidP="00881DF5">
            <w:pPr>
              <w:tabs>
                <w:tab w:val="left" w:pos="284"/>
              </w:tabs>
              <w:spacing w:line="280" w:lineRule="atLeast"/>
              <w:rPr>
                <w:bCs/>
                <w:color w:val="000000"/>
                <w:sz w:val="24"/>
                <w:szCs w:val="24"/>
                <w:lang w:eastAsia="lt-LT"/>
              </w:rPr>
            </w:pPr>
            <w:r w:rsidRPr="00AC739B">
              <w:rPr>
                <w:bCs/>
                <w:color w:val="000000"/>
                <w:sz w:val="24"/>
                <w:szCs w:val="24"/>
                <w:lang w:eastAsia="lt-LT"/>
              </w:rPr>
              <w:t>Ar vaistinis preparatas įrašytas į Bendrijos retųjų vaistinių preparatų registrą?</w:t>
            </w:r>
          </w:p>
          <w:p w14:paraId="33095760" w14:textId="77777777" w:rsidR="00881DF5" w:rsidRPr="00AC739B" w:rsidRDefault="00881DF5" w:rsidP="00881DF5">
            <w:pPr>
              <w:tabs>
                <w:tab w:val="left" w:pos="284"/>
              </w:tabs>
              <w:spacing w:line="280" w:lineRule="atLeast"/>
              <w:rPr>
                <w:bCs/>
                <w:i/>
                <w:color w:val="000000"/>
                <w:sz w:val="24"/>
                <w:szCs w:val="24"/>
                <w:lang w:eastAsia="lt-LT"/>
              </w:rPr>
            </w:pPr>
          </w:p>
          <w:p w14:paraId="2AD69181" w14:textId="6694105C" w:rsidR="00881DF5" w:rsidRPr="00AC739B" w:rsidRDefault="00881DF5" w:rsidP="00881DF5">
            <w:pPr>
              <w:rPr>
                <w:bCs/>
                <w:color w:val="000000"/>
                <w:sz w:val="24"/>
                <w:szCs w:val="24"/>
                <w:lang w:eastAsia="lt-LT"/>
              </w:rPr>
            </w:pPr>
          </w:p>
        </w:tc>
        <w:tc>
          <w:tcPr>
            <w:tcW w:w="5167" w:type="dxa"/>
          </w:tcPr>
          <w:p w14:paraId="5B9D0628" w14:textId="77777777" w:rsidR="00881DF5" w:rsidRPr="00AC739B" w:rsidRDefault="00000000" w:rsidP="00881DF5">
            <w:pPr>
              <w:rPr>
                <w:sz w:val="24"/>
                <w:szCs w:val="24"/>
              </w:rPr>
            </w:pPr>
            <w:sdt>
              <w:sdtPr>
                <w:rPr>
                  <w:rStyle w:val="Style2"/>
                  <w:sz w:val="24"/>
                </w:rPr>
                <w:id w:val="2024432173"/>
                <w15:color w:val="FFCC00"/>
                <w14:checkbox>
                  <w14:checked w14:val="0"/>
                  <w14:checkedState w14:val="2612" w14:font="MS Gothic"/>
                  <w14:uncheckedState w14:val="2610" w14:font="MS Gothic"/>
                </w14:checkbox>
              </w:sdtPr>
              <w:sdtContent>
                <w:r w:rsidR="00881DF5" w:rsidRPr="00AC739B">
                  <w:rPr>
                    <w:rStyle w:val="Style2"/>
                    <w:rFonts w:ascii="Segoe UI Symbol" w:eastAsia="MS Gothic" w:hAnsi="Segoe UI Symbol" w:cs="Segoe UI Symbol"/>
                    <w:sz w:val="24"/>
                    <w:szCs w:val="24"/>
                  </w:rPr>
                  <w:t>☐</w:t>
                </w:r>
              </w:sdtContent>
            </w:sdt>
            <w:r w:rsidR="00881DF5" w:rsidRPr="00AC739B">
              <w:rPr>
                <w:sz w:val="24"/>
                <w:szCs w:val="24"/>
              </w:rPr>
              <w:t xml:space="preserve"> Taip</w:t>
            </w:r>
          </w:p>
          <w:p w14:paraId="3202149C" w14:textId="77777777" w:rsidR="00881DF5" w:rsidRPr="00AC739B" w:rsidRDefault="00000000" w:rsidP="00881DF5">
            <w:pPr>
              <w:rPr>
                <w:sz w:val="24"/>
                <w:szCs w:val="24"/>
              </w:rPr>
            </w:pPr>
            <w:sdt>
              <w:sdtPr>
                <w:rPr>
                  <w:rStyle w:val="Style2"/>
                  <w:sz w:val="24"/>
                </w:rPr>
                <w:id w:val="-970507926"/>
                <w15:color w:val="FFCC00"/>
                <w14:checkbox>
                  <w14:checked w14:val="1"/>
                  <w14:checkedState w14:val="2612" w14:font="MS Gothic"/>
                  <w14:uncheckedState w14:val="2610" w14:font="MS Gothic"/>
                </w14:checkbox>
              </w:sdtPr>
              <w:sdtContent>
                <w:r w:rsidR="00881DF5" w:rsidRPr="00AC739B">
                  <w:rPr>
                    <w:rStyle w:val="Style2"/>
                    <w:rFonts w:ascii="Segoe UI Symbol" w:eastAsia="MS Gothic" w:hAnsi="Segoe UI Symbol" w:cs="Segoe UI Symbol"/>
                    <w:sz w:val="24"/>
                    <w:szCs w:val="24"/>
                  </w:rPr>
                  <w:t>☒</w:t>
                </w:r>
              </w:sdtContent>
            </w:sdt>
            <w:r w:rsidR="00881DF5" w:rsidRPr="00AC739B">
              <w:rPr>
                <w:sz w:val="24"/>
                <w:szCs w:val="24"/>
              </w:rPr>
              <w:t xml:space="preserve"> Ne</w:t>
            </w:r>
          </w:p>
          <w:p w14:paraId="1862396A" w14:textId="701A3FFB" w:rsidR="00881DF5" w:rsidRPr="00AC739B" w:rsidRDefault="00881DF5" w:rsidP="00CE43C2">
            <w:pPr>
              <w:jc w:val="both"/>
              <w:rPr>
                <w:rFonts w:eastAsia="Arial"/>
              </w:rPr>
            </w:pPr>
          </w:p>
        </w:tc>
      </w:tr>
      <w:tr w:rsidR="003D3228" w:rsidRPr="00AC739B" w14:paraId="33E77BB2" w14:textId="77777777" w:rsidTr="000A2C78">
        <w:trPr>
          <w:trHeight w:val="476"/>
        </w:trPr>
        <w:tc>
          <w:tcPr>
            <w:tcW w:w="632" w:type="dxa"/>
          </w:tcPr>
          <w:p w14:paraId="63EEEB52" w14:textId="77777777" w:rsidR="003D3228" w:rsidRPr="00AC739B" w:rsidRDefault="003D3228" w:rsidP="000A2C78">
            <w:pPr>
              <w:rPr>
                <w:rFonts w:eastAsia="Arial"/>
                <w:sz w:val="24"/>
                <w:szCs w:val="24"/>
              </w:rPr>
            </w:pPr>
            <w:r w:rsidRPr="00AC739B">
              <w:rPr>
                <w:rFonts w:eastAsia="Arial"/>
                <w:sz w:val="24"/>
                <w:szCs w:val="24"/>
              </w:rPr>
              <w:t>1.5</w:t>
            </w:r>
          </w:p>
        </w:tc>
        <w:tc>
          <w:tcPr>
            <w:tcW w:w="3694" w:type="dxa"/>
          </w:tcPr>
          <w:p w14:paraId="5FC686AC" w14:textId="77777777" w:rsidR="003D3228" w:rsidRPr="00AC739B" w:rsidRDefault="003D3228" w:rsidP="000A2C78">
            <w:pPr>
              <w:rPr>
                <w:bCs/>
                <w:color w:val="000000"/>
                <w:sz w:val="24"/>
                <w:szCs w:val="24"/>
                <w:lang w:eastAsia="lt-LT"/>
              </w:rPr>
            </w:pPr>
            <w:r w:rsidRPr="00AC739B">
              <w:rPr>
                <w:sz w:val="24"/>
                <w:szCs w:val="24"/>
              </w:rPr>
              <w:t>STV paraiškos pobūdis</w:t>
            </w:r>
          </w:p>
        </w:tc>
        <w:tc>
          <w:tcPr>
            <w:tcW w:w="5167" w:type="dxa"/>
          </w:tcPr>
          <w:p w14:paraId="5E29652D" w14:textId="77777777" w:rsidR="003D3228" w:rsidRPr="00AC739B" w:rsidRDefault="00000000" w:rsidP="000A2C78">
            <w:pPr>
              <w:rPr>
                <w:sz w:val="24"/>
                <w:szCs w:val="24"/>
              </w:rPr>
            </w:pPr>
            <w:sdt>
              <w:sdtPr>
                <w:rPr>
                  <w:rStyle w:val="Style2"/>
                  <w:sz w:val="24"/>
                </w:rPr>
                <w:id w:val="-468433535"/>
                <w15:color w:val="FFCC00"/>
                <w14:checkbox>
                  <w14:checked w14:val="1"/>
                  <w14:checkedState w14:val="2612" w14:font="MS Gothic"/>
                  <w14:uncheckedState w14:val="2610" w14:font="MS Gothic"/>
                </w14:checkbox>
              </w:sdtPr>
              <w:sdtContent>
                <w:r w:rsidR="003D3228" w:rsidRPr="00AC739B">
                  <w:rPr>
                    <w:rStyle w:val="Style2"/>
                    <w:rFonts w:ascii="Segoe UI Symbol" w:eastAsia="MS Gothic" w:hAnsi="Segoe UI Symbol" w:cs="Segoe UI Symbol"/>
                    <w:sz w:val="24"/>
                    <w:szCs w:val="24"/>
                  </w:rPr>
                  <w:t>☒</w:t>
                </w:r>
              </w:sdtContent>
            </w:sdt>
            <w:r w:rsidR="003D3228" w:rsidRPr="00AC739B">
              <w:rPr>
                <w:sz w:val="24"/>
                <w:szCs w:val="24"/>
              </w:rPr>
              <w:t xml:space="preserve"> Pilna paraiška</w:t>
            </w:r>
          </w:p>
          <w:p w14:paraId="751B5060" w14:textId="77777777" w:rsidR="003D3228" w:rsidRPr="00AC739B" w:rsidRDefault="00000000" w:rsidP="000A2C78">
            <w:pPr>
              <w:rPr>
                <w:sz w:val="24"/>
                <w:szCs w:val="24"/>
              </w:rPr>
            </w:pPr>
            <w:sdt>
              <w:sdtPr>
                <w:rPr>
                  <w:rStyle w:val="Style2"/>
                  <w:sz w:val="24"/>
                </w:rPr>
                <w:id w:val="-1489014904"/>
                <w15:color w:val="FFCC00"/>
                <w14:checkbox>
                  <w14:checked w14:val="0"/>
                  <w14:checkedState w14:val="2612" w14:font="MS Gothic"/>
                  <w14:uncheckedState w14:val="2610" w14:font="MS Gothic"/>
                </w14:checkbox>
              </w:sdtPr>
              <w:sdtContent>
                <w:r w:rsidR="003D3228" w:rsidRPr="00AC739B">
                  <w:rPr>
                    <w:rStyle w:val="Style2"/>
                    <w:rFonts w:ascii="Segoe UI Symbol" w:eastAsia="MS Gothic" w:hAnsi="Segoe UI Symbol" w:cs="Segoe UI Symbol"/>
                    <w:sz w:val="24"/>
                    <w:szCs w:val="24"/>
                  </w:rPr>
                  <w:t>☐</w:t>
                </w:r>
              </w:sdtContent>
            </w:sdt>
            <w:r w:rsidR="003D3228" w:rsidRPr="00AC739B">
              <w:rPr>
                <w:sz w:val="24"/>
                <w:szCs w:val="24"/>
              </w:rPr>
              <w:t xml:space="preserve"> Supaprastinta paraiška</w:t>
            </w:r>
          </w:p>
        </w:tc>
      </w:tr>
      <w:tr w:rsidR="00A66625" w:rsidRPr="00AC739B" w14:paraId="3FC8027D" w14:textId="77777777" w:rsidTr="000A2C78">
        <w:trPr>
          <w:trHeight w:val="1545"/>
        </w:trPr>
        <w:tc>
          <w:tcPr>
            <w:tcW w:w="632" w:type="dxa"/>
          </w:tcPr>
          <w:p w14:paraId="52812937" w14:textId="77777777" w:rsidR="00A66625" w:rsidRPr="00AC739B" w:rsidRDefault="00A66625" w:rsidP="00A66625">
            <w:pPr>
              <w:rPr>
                <w:rFonts w:eastAsia="Arial"/>
                <w:sz w:val="24"/>
                <w:szCs w:val="24"/>
              </w:rPr>
            </w:pPr>
            <w:r w:rsidRPr="00AC739B">
              <w:rPr>
                <w:rFonts w:eastAsia="Arial"/>
                <w:sz w:val="24"/>
                <w:szCs w:val="24"/>
              </w:rPr>
              <w:t>1.6</w:t>
            </w:r>
          </w:p>
        </w:tc>
        <w:tc>
          <w:tcPr>
            <w:tcW w:w="3694" w:type="dxa"/>
          </w:tcPr>
          <w:p w14:paraId="4016FCBF" w14:textId="77777777" w:rsidR="00A66625" w:rsidRPr="00AC739B" w:rsidRDefault="00A66625" w:rsidP="00A66625">
            <w:pPr>
              <w:rPr>
                <w:bCs/>
                <w:color w:val="000000"/>
                <w:sz w:val="24"/>
                <w:szCs w:val="24"/>
                <w:lang w:eastAsia="lt-LT"/>
              </w:rPr>
            </w:pPr>
            <w:r w:rsidRPr="00AC739B">
              <w:rPr>
                <w:bCs/>
                <w:color w:val="000000"/>
                <w:sz w:val="24"/>
                <w:szCs w:val="24"/>
                <w:lang w:eastAsia="lt-LT"/>
              </w:rPr>
              <w:t>Pareiškėjo teikiama (-os) kompensuoti vaistinio preparato indikacija (-os)</w:t>
            </w:r>
          </w:p>
          <w:p w14:paraId="4CEAF617" w14:textId="77777777" w:rsidR="00A66625" w:rsidRPr="00AC739B" w:rsidRDefault="00A66625" w:rsidP="00A66625">
            <w:pPr>
              <w:rPr>
                <w:bCs/>
                <w:color w:val="000000"/>
                <w:sz w:val="24"/>
                <w:szCs w:val="24"/>
                <w:lang w:eastAsia="lt-LT"/>
              </w:rPr>
            </w:pPr>
          </w:p>
          <w:p w14:paraId="6CEFADDD" w14:textId="77777777" w:rsidR="00A66625" w:rsidRPr="00AC739B" w:rsidRDefault="00A66625" w:rsidP="00A66625">
            <w:pPr>
              <w:rPr>
                <w:bCs/>
                <w:color w:val="000000"/>
                <w:sz w:val="24"/>
                <w:szCs w:val="24"/>
                <w:lang w:eastAsia="lt-LT"/>
              </w:rPr>
            </w:pPr>
          </w:p>
          <w:p w14:paraId="41EDEB80" w14:textId="77777777" w:rsidR="00A66625" w:rsidRPr="00AC739B" w:rsidRDefault="00A66625" w:rsidP="00A66625">
            <w:pPr>
              <w:rPr>
                <w:bCs/>
                <w:color w:val="000000"/>
                <w:sz w:val="24"/>
                <w:szCs w:val="24"/>
                <w:lang w:eastAsia="lt-LT"/>
              </w:rPr>
            </w:pPr>
            <w:r w:rsidRPr="00AC739B">
              <w:rPr>
                <w:bCs/>
                <w:color w:val="000000"/>
                <w:sz w:val="24"/>
                <w:szCs w:val="24"/>
                <w:lang w:eastAsia="lt-LT"/>
              </w:rPr>
              <w:t>Kodas pagal TLK-10 AM</w:t>
            </w:r>
          </w:p>
        </w:tc>
        <w:tc>
          <w:tcPr>
            <w:tcW w:w="5167" w:type="dxa"/>
          </w:tcPr>
          <w:p w14:paraId="49289C92" w14:textId="77777777" w:rsidR="009E07C3" w:rsidRPr="00AC739B" w:rsidRDefault="009E07C3" w:rsidP="009E07C3">
            <w:pPr>
              <w:spacing w:after="120" w:line="276" w:lineRule="auto"/>
              <w:jc w:val="both"/>
              <w:rPr>
                <w:sz w:val="24"/>
                <w:szCs w:val="24"/>
              </w:rPr>
            </w:pPr>
            <w:r w:rsidRPr="00AC739B">
              <w:rPr>
                <w:sz w:val="24"/>
                <w:szCs w:val="24"/>
              </w:rPr>
              <w:t>RINVOQ skiriamas vidutinio sunkumo arba sunkaus aktyvaus opinio kolito gydymui suaugusiesiems, kuriems atsakas į įprastą gydymą ar gydymą biologiniu vaistiniu preparatu buvo nepakankamas, buvo prarastas arba kurie minėtų gydymo būdų netoleravo.</w:t>
            </w:r>
          </w:p>
          <w:p w14:paraId="74A6D861" w14:textId="360B7112" w:rsidR="00A66625" w:rsidRPr="00AC739B" w:rsidRDefault="009E07C3" w:rsidP="009E07C3">
            <w:pPr>
              <w:pStyle w:val="ListParagraph"/>
              <w:spacing w:after="120"/>
              <w:ind w:left="0"/>
              <w:contextualSpacing w:val="0"/>
              <w:jc w:val="both"/>
              <w:rPr>
                <w:sz w:val="24"/>
                <w:szCs w:val="24"/>
              </w:rPr>
            </w:pPr>
            <w:r w:rsidRPr="00AC739B">
              <w:rPr>
                <w:color w:val="000000" w:themeColor="text1"/>
                <w:sz w:val="24"/>
                <w:szCs w:val="24"/>
              </w:rPr>
              <w:t>K51</w:t>
            </w:r>
          </w:p>
        </w:tc>
      </w:tr>
      <w:tr w:rsidR="00A66625" w:rsidRPr="00AC739B" w14:paraId="09EA0A53" w14:textId="77777777" w:rsidTr="009E07C3">
        <w:trPr>
          <w:trHeight w:val="983"/>
        </w:trPr>
        <w:tc>
          <w:tcPr>
            <w:tcW w:w="632" w:type="dxa"/>
          </w:tcPr>
          <w:p w14:paraId="77145BFC" w14:textId="77777777" w:rsidR="00A66625" w:rsidRPr="00AC739B" w:rsidRDefault="00A66625" w:rsidP="00A66625">
            <w:pPr>
              <w:rPr>
                <w:rFonts w:eastAsia="Arial"/>
                <w:sz w:val="24"/>
                <w:szCs w:val="24"/>
              </w:rPr>
            </w:pPr>
            <w:r w:rsidRPr="00AC739B">
              <w:rPr>
                <w:rFonts w:eastAsia="Arial"/>
                <w:sz w:val="24"/>
                <w:szCs w:val="24"/>
              </w:rPr>
              <w:lastRenderedPageBreak/>
              <w:t>1.6</w:t>
            </w:r>
          </w:p>
        </w:tc>
        <w:tc>
          <w:tcPr>
            <w:tcW w:w="3694" w:type="dxa"/>
          </w:tcPr>
          <w:p w14:paraId="6319C5EF" w14:textId="77777777" w:rsidR="00A66625" w:rsidRPr="00AC739B" w:rsidRDefault="00A66625" w:rsidP="00A66625">
            <w:pPr>
              <w:rPr>
                <w:bCs/>
                <w:color w:val="000000"/>
                <w:sz w:val="24"/>
                <w:szCs w:val="24"/>
                <w:u w:val="single"/>
                <w:lang w:eastAsia="lt-LT"/>
              </w:rPr>
            </w:pPr>
            <w:r w:rsidRPr="00AC739B">
              <w:rPr>
                <w:color w:val="000000"/>
                <w:sz w:val="24"/>
                <w:szCs w:val="24"/>
                <w:lang w:eastAsia="lt-LT"/>
              </w:rPr>
              <w:t>Pareiškėjo teikiamos skyrimo sąlygos</w:t>
            </w:r>
            <w:r w:rsidRPr="00AC739B">
              <w:rPr>
                <w:bCs/>
                <w:color w:val="000000"/>
                <w:sz w:val="24"/>
                <w:szCs w:val="24"/>
                <w:lang w:eastAsia="lt-LT"/>
              </w:rPr>
              <w:t xml:space="preserve"> </w:t>
            </w:r>
          </w:p>
        </w:tc>
        <w:tc>
          <w:tcPr>
            <w:tcW w:w="5167" w:type="dxa"/>
          </w:tcPr>
          <w:p w14:paraId="6ECB5789" w14:textId="097670D2" w:rsidR="00A66625" w:rsidRPr="00AC739B" w:rsidRDefault="009E07C3" w:rsidP="00A66625">
            <w:pPr>
              <w:jc w:val="both"/>
              <w:rPr>
                <w:sz w:val="24"/>
                <w:szCs w:val="24"/>
              </w:rPr>
            </w:pPr>
            <w:r w:rsidRPr="00AC739B">
              <w:rPr>
                <w:sz w:val="24"/>
                <w:szCs w:val="24"/>
              </w:rPr>
              <w:t>Neteikiamos</w:t>
            </w:r>
          </w:p>
        </w:tc>
      </w:tr>
      <w:tr w:rsidR="003D3228" w:rsidRPr="00AC739B" w14:paraId="5EE66732" w14:textId="77777777" w:rsidTr="000A2C78">
        <w:trPr>
          <w:trHeight w:val="378"/>
        </w:trPr>
        <w:tc>
          <w:tcPr>
            <w:tcW w:w="632" w:type="dxa"/>
          </w:tcPr>
          <w:p w14:paraId="729AC6D3" w14:textId="77777777" w:rsidR="003D3228" w:rsidRPr="00AC739B" w:rsidRDefault="003D3228" w:rsidP="000A2C78">
            <w:pPr>
              <w:rPr>
                <w:rFonts w:eastAsia="Arial"/>
                <w:sz w:val="24"/>
                <w:szCs w:val="24"/>
              </w:rPr>
            </w:pPr>
            <w:r w:rsidRPr="00AC739B">
              <w:rPr>
                <w:rFonts w:eastAsia="Arial"/>
                <w:sz w:val="24"/>
                <w:szCs w:val="24"/>
              </w:rPr>
              <w:t>1.7</w:t>
            </w:r>
          </w:p>
        </w:tc>
        <w:tc>
          <w:tcPr>
            <w:tcW w:w="3694" w:type="dxa"/>
          </w:tcPr>
          <w:p w14:paraId="36CA8118" w14:textId="6C7E6B24" w:rsidR="003D3228" w:rsidRPr="00AC739B" w:rsidRDefault="003D3228" w:rsidP="000A2C78">
            <w:pPr>
              <w:rPr>
                <w:bCs/>
                <w:color w:val="000000"/>
                <w:sz w:val="24"/>
                <w:szCs w:val="24"/>
                <w:lang w:eastAsia="lt-LT"/>
              </w:rPr>
            </w:pPr>
            <w:r w:rsidRPr="00AC739B">
              <w:rPr>
                <w:bCs/>
                <w:color w:val="000000"/>
                <w:sz w:val="24"/>
                <w:szCs w:val="24"/>
                <w:lang w:eastAsia="lt-LT"/>
              </w:rPr>
              <w:t xml:space="preserve">Pareiškėjo teikiamas palyginamasis gydymas </w:t>
            </w:r>
          </w:p>
          <w:p w14:paraId="48E14687" w14:textId="77777777" w:rsidR="009E07C3" w:rsidRPr="00AC739B" w:rsidRDefault="009E07C3" w:rsidP="000A2C78">
            <w:pPr>
              <w:rPr>
                <w:bCs/>
                <w:color w:val="000000"/>
                <w:sz w:val="24"/>
                <w:szCs w:val="24"/>
                <w:lang w:eastAsia="lt-LT"/>
              </w:rPr>
            </w:pPr>
          </w:p>
          <w:p w14:paraId="1311FFFE" w14:textId="7EADF62A" w:rsidR="009E07C3" w:rsidRPr="00AC739B" w:rsidRDefault="009E07C3" w:rsidP="000A2C78">
            <w:pPr>
              <w:rPr>
                <w:bCs/>
                <w:color w:val="000000"/>
                <w:sz w:val="24"/>
                <w:szCs w:val="24"/>
                <w:lang w:eastAsia="lt-LT"/>
              </w:rPr>
            </w:pPr>
            <w:r w:rsidRPr="00AC739B">
              <w:rPr>
                <w:bCs/>
                <w:color w:val="000000"/>
                <w:sz w:val="24"/>
                <w:szCs w:val="24"/>
                <w:lang w:eastAsia="lt-LT"/>
              </w:rPr>
              <w:t>Tiesioginis palyginimas su placebu</w:t>
            </w:r>
          </w:p>
          <w:p w14:paraId="4D31E8F3" w14:textId="0806E565" w:rsidR="009E07C3" w:rsidRPr="00AC739B" w:rsidRDefault="009E07C3" w:rsidP="000A2C78">
            <w:pPr>
              <w:rPr>
                <w:bCs/>
                <w:color w:val="000000"/>
                <w:sz w:val="24"/>
                <w:szCs w:val="24"/>
                <w:lang w:eastAsia="lt-LT"/>
              </w:rPr>
            </w:pPr>
          </w:p>
          <w:p w14:paraId="0B9AF962" w14:textId="77777777" w:rsidR="009E07C3" w:rsidRPr="00AC739B" w:rsidRDefault="009E07C3" w:rsidP="000A2C78">
            <w:pPr>
              <w:rPr>
                <w:bCs/>
                <w:color w:val="000000"/>
                <w:sz w:val="24"/>
                <w:szCs w:val="24"/>
                <w:lang w:eastAsia="lt-LT"/>
              </w:rPr>
            </w:pPr>
          </w:p>
          <w:p w14:paraId="596DB7D3" w14:textId="603CB398" w:rsidR="00685CA7" w:rsidRPr="00AC739B" w:rsidRDefault="00A66625" w:rsidP="000A2C78">
            <w:pPr>
              <w:rPr>
                <w:bCs/>
                <w:color w:val="000000"/>
                <w:sz w:val="24"/>
                <w:szCs w:val="24"/>
                <w:lang w:eastAsia="lt-LT"/>
              </w:rPr>
            </w:pPr>
            <w:r w:rsidRPr="00AC739B">
              <w:rPr>
                <w:bCs/>
                <w:color w:val="000000"/>
                <w:sz w:val="24"/>
                <w:szCs w:val="24"/>
                <w:lang w:eastAsia="lt-LT"/>
              </w:rPr>
              <w:t>Net</w:t>
            </w:r>
            <w:r w:rsidR="003D3228" w:rsidRPr="00AC739B">
              <w:rPr>
                <w:bCs/>
                <w:color w:val="000000"/>
                <w:sz w:val="24"/>
                <w:szCs w:val="24"/>
                <w:lang w:eastAsia="lt-LT"/>
              </w:rPr>
              <w:t>iesioginis palyginimas su</w:t>
            </w:r>
            <w:r w:rsidR="00881DF5" w:rsidRPr="00AC739B">
              <w:rPr>
                <w:bCs/>
                <w:color w:val="000000"/>
                <w:sz w:val="24"/>
                <w:szCs w:val="24"/>
                <w:lang w:eastAsia="lt-LT"/>
              </w:rPr>
              <w:t xml:space="preserve"> to</w:t>
            </w:r>
            <w:r w:rsidRPr="00AC739B">
              <w:rPr>
                <w:bCs/>
                <w:color w:val="000000"/>
                <w:sz w:val="24"/>
                <w:szCs w:val="24"/>
                <w:lang w:eastAsia="lt-LT"/>
              </w:rPr>
              <w:t>facitinibu</w:t>
            </w:r>
            <w:r w:rsidR="00881DF5" w:rsidRPr="00AC739B">
              <w:rPr>
                <w:bCs/>
                <w:color w:val="000000"/>
                <w:sz w:val="24"/>
                <w:szCs w:val="24"/>
                <w:lang w:eastAsia="lt-LT"/>
              </w:rPr>
              <w:t xml:space="preserve"> ir adalimumabu</w:t>
            </w:r>
            <w:r w:rsidRPr="00AC739B">
              <w:rPr>
                <w:bCs/>
                <w:color w:val="000000"/>
                <w:sz w:val="24"/>
                <w:szCs w:val="24"/>
                <w:lang w:eastAsia="lt-LT"/>
              </w:rPr>
              <w:t>, ustekinumabu, vedolizumabu.</w:t>
            </w:r>
          </w:p>
        </w:tc>
        <w:tc>
          <w:tcPr>
            <w:tcW w:w="5167" w:type="dxa"/>
          </w:tcPr>
          <w:p w14:paraId="262A3260" w14:textId="3B438795" w:rsidR="00685CA7" w:rsidRPr="00AC739B" w:rsidRDefault="00685CA7" w:rsidP="000A2C78">
            <w:pPr>
              <w:rPr>
                <w:rStyle w:val="Style2"/>
                <w:sz w:val="24"/>
                <w:szCs w:val="24"/>
              </w:rPr>
            </w:pPr>
          </w:p>
          <w:p w14:paraId="28B5457C" w14:textId="0E3D7821" w:rsidR="009E07C3" w:rsidRPr="00AC739B" w:rsidRDefault="009E07C3" w:rsidP="000A2C78">
            <w:pPr>
              <w:rPr>
                <w:rStyle w:val="Style2"/>
                <w:sz w:val="24"/>
                <w:szCs w:val="24"/>
              </w:rPr>
            </w:pPr>
          </w:p>
          <w:p w14:paraId="67363213" w14:textId="40E08665" w:rsidR="009E07C3" w:rsidRPr="00AC739B" w:rsidRDefault="009E07C3" w:rsidP="000A2C78">
            <w:pPr>
              <w:rPr>
                <w:rStyle w:val="Style2"/>
                <w:sz w:val="24"/>
                <w:szCs w:val="24"/>
              </w:rPr>
            </w:pPr>
          </w:p>
          <w:p w14:paraId="67ABBEF7" w14:textId="4EDA2489" w:rsidR="009E07C3" w:rsidRPr="00AC739B" w:rsidRDefault="00000000" w:rsidP="009E07C3">
            <w:pPr>
              <w:rPr>
                <w:sz w:val="24"/>
                <w:szCs w:val="24"/>
              </w:rPr>
            </w:pPr>
            <w:sdt>
              <w:sdtPr>
                <w:rPr>
                  <w:rStyle w:val="Style2"/>
                  <w:sz w:val="24"/>
                </w:rPr>
                <w:id w:val="-582993246"/>
                <w15:color w:val="FFCC00"/>
                <w14:checkbox>
                  <w14:checked w14:val="0"/>
                  <w14:checkedState w14:val="2612" w14:font="MS Gothic"/>
                  <w14:uncheckedState w14:val="2610" w14:font="MS Gothic"/>
                </w14:checkbox>
              </w:sdtPr>
              <w:sdtContent>
                <w:r w:rsidR="009E07C3" w:rsidRPr="00AC739B">
                  <w:rPr>
                    <w:rStyle w:val="Style2"/>
                    <w:rFonts w:ascii="MS Gothic" w:eastAsia="MS Gothic" w:hAnsi="MS Gothic"/>
                    <w:sz w:val="24"/>
                  </w:rPr>
                  <w:t>☐</w:t>
                </w:r>
              </w:sdtContent>
            </w:sdt>
            <w:r w:rsidR="009E07C3" w:rsidRPr="00AC739B">
              <w:rPr>
                <w:sz w:val="24"/>
                <w:szCs w:val="24"/>
              </w:rPr>
              <w:t xml:space="preserve"> Tinkamas</w:t>
            </w:r>
          </w:p>
          <w:p w14:paraId="42C9F195" w14:textId="60A98C11" w:rsidR="009E07C3" w:rsidRPr="00AC739B" w:rsidRDefault="00000000" w:rsidP="009E07C3">
            <w:pPr>
              <w:rPr>
                <w:sz w:val="24"/>
                <w:szCs w:val="24"/>
              </w:rPr>
            </w:pPr>
            <w:sdt>
              <w:sdtPr>
                <w:rPr>
                  <w:rStyle w:val="Style2"/>
                  <w:sz w:val="24"/>
                </w:rPr>
                <w:id w:val="-1167011080"/>
                <w15:color w:val="FFCC00"/>
                <w14:checkbox>
                  <w14:checked w14:val="1"/>
                  <w14:checkedState w14:val="2612" w14:font="MS Gothic"/>
                  <w14:uncheckedState w14:val="2610" w14:font="MS Gothic"/>
                </w14:checkbox>
              </w:sdtPr>
              <w:sdtContent>
                <w:r w:rsidR="009E07C3" w:rsidRPr="00AC739B">
                  <w:rPr>
                    <w:rStyle w:val="Style2"/>
                    <w:rFonts w:ascii="MS Gothic" w:eastAsia="MS Gothic" w:hAnsi="MS Gothic"/>
                    <w:sz w:val="24"/>
                  </w:rPr>
                  <w:t>☒</w:t>
                </w:r>
              </w:sdtContent>
            </w:sdt>
            <w:r w:rsidR="009E07C3" w:rsidRPr="00AC739B">
              <w:rPr>
                <w:sz w:val="24"/>
                <w:szCs w:val="24"/>
              </w:rPr>
              <w:t xml:space="preserve"> Netinkamas</w:t>
            </w:r>
          </w:p>
          <w:p w14:paraId="502F6A4C" w14:textId="046C6A7A" w:rsidR="009E07C3" w:rsidRPr="00AC739B" w:rsidRDefault="009E07C3" w:rsidP="000A2C78">
            <w:pPr>
              <w:rPr>
                <w:rStyle w:val="Style2"/>
                <w:sz w:val="24"/>
                <w:szCs w:val="24"/>
              </w:rPr>
            </w:pPr>
          </w:p>
          <w:p w14:paraId="6131F5F6" w14:textId="7DAF04AA" w:rsidR="003D3228" w:rsidRPr="00AC739B" w:rsidRDefault="00000000" w:rsidP="000A2C78">
            <w:pPr>
              <w:rPr>
                <w:sz w:val="24"/>
                <w:szCs w:val="24"/>
              </w:rPr>
            </w:pPr>
            <w:sdt>
              <w:sdtPr>
                <w:rPr>
                  <w:rStyle w:val="Style2"/>
                  <w:sz w:val="24"/>
                </w:rPr>
                <w:id w:val="1480955706"/>
                <w15:color w:val="FFCC00"/>
                <w14:checkbox>
                  <w14:checked w14:val="1"/>
                  <w14:checkedState w14:val="2612" w14:font="MS Gothic"/>
                  <w14:uncheckedState w14:val="2610" w14:font="MS Gothic"/>
                </w14:checkbox>
              </w:sdtPr>
              <w:sdtContent>
                <w:r w:rsidR="00024176" w:rsidRPr="00AC739B">
                  <w:rPr>
                    <w:rStyle w:val="Style2"/>
                    <w:rFonts w:ascii="Segoe UI Symbol" w:eastAsia="MS Gothic" w:hAnsi="Segoe UI Symbol" w:cs="Segoe UI Symbol"/>
                    <w:sz w:val="24"/>
                    <w:szCs w:val="24"/>
                  </w:rPr>
                  <w:t>☒</w:t>
                </w:r>
              </w:sdtContent>
            </w:sdt>
            <w:r w:rsidR="003D3228" w:rsidRPr="00AC739B">
              <w:rPr>
                <w:sz w:val="24"/>
                <w:szCs w:val="24"/>
              </w:rPr>
              <w:t xml:space="preserve"> Tinkamas</w:t>
            </w:r>
          </w:p>
          <w:p w14:paraId="54B5D62D" w14:textId="20EF0BB0" w:rsidR="009E07C3" w:rsidRPr="00AC739B" w:rsidRDefault="00000000" w:rsidP="00024176">
            <w:pPr>
              <w:rPr>
                <w:sz w:val="24"/>
                <w:szCs w:val="24"/>
              </w:rPr>
            </w:pPr>
            <w:sdt>
              <w:sdtPr>
                <w:rPr>
                  <w:rStyle w:val="Style2"/>
                  <w:sz w:val="24"/>
                </w:rPr>
                <w:id w:val="-352420698"/>
                <w15:color w:val="FFCC00"/>
                <w14:checkbox>
                  <w14:checked w14:val="0"/>
                  <w14:checkedState w14:val="2612" w14:font="MS Gothic"/>
                  <w14:uncheckedState w14:val="2610" w14:font="MS Gothic"/>
                </w14:checkbox>
              </w:sdtPr>
              <w:sdtContent>
                <w:r w:rsidR="00024176" w:rsidRPr="00AC739B">
                  <w:rPr>
                    <w:rStyle w:val="Style2"/>
                    <w:rFonts w:ascii="Segoe UI Symbol" w:eastAsia="MS Gothic" w:hAnsi="Segoe UI Symbol" w:cs="Segoe UI Symbol"/>
                    <w:sz w:val="24"/>
                    <w:szCs w:val="24"/>
                  </w:rPr>
                  <w:t>☐</w:t>
                </w:r>
              </w:sdtContent>
            </w:sdt>
            <w:r w:rsidR="003D3228" w:rsidRPr="00AC739B">
              <w:rPr>
                <w:sz w:val="24"/>
                <w:szCs w:val="24"/>
              </w:rPr>
              <w:t xml:space="preserve"> Netinkamas</w:t>
            </w:r>
          </w:p>
        </w:tc>
      </w:tr>
    </w:tbl>
    <w:p w14:paraId="4811C3C1" w14:textId="77777777" w:rsidR="003D3228" w:rsidRPr="00AC739B" w:rsidRDefault="003D3228" w:rsidP="003D3228">
      <w:pPr>
        <w:pStyle w:val="ListParagraph"/>
        <w:tabs>
          <w:tab w:val="left" w:pos="426"/>
        </w:tabs>
        <w:ind w:left="0"/>
        <w:rPr>
          <w:b/>
          <w:bCs/>
          <w:caps/>
        </w:rPr>
      </w:pPr>
    </w:p>
    <w:p w14:paraId="6C8F8DBD" w14:textId="77777777" w:rsidR="003D3228" w:rsidRPr="00AC739B" w:rsidRDefault="003D3228" w:rsidP="003D3228">
      <w:pPr>
        <w:spacing w:line="276" w:lineRule="auto"/>
        <w:jc w:val="both"/>
        <w:rPr>
          <w:rFonts w:eastAsia="Arial"/>
          <w:b/>
        </w:rPr>
      </w:pPr>
      <w:r w:rsidRPr="00AC739B">
        <w:rPr>
          <w:rFonts w:eastAsia="Arial"/>
          <w:b/>
        </w:rPr>
        <w:t>1.8 Kitų valstybių atsakingų institucijų atlikto Sveikatos technologijų vertinimo (toliau – STV) išvados</w:t>
      </w:r>
    </w:p>
    <w:p w14:paraId="5A3D8890" w14:textId="77777777" w:rsidR="003D3228" w:rsidRPr="00AC739B" w:rsidRDefault="003D3228" w:rsidP="003D3228">
      <w:pPr>
        <w:spacing w:line="276" w:lineRule="auto"/>
        <w:rPr>
          <w:rFonts w:eastAsia="Arial"/>
        </w:rPr>
      </w:pPr>
    </w:p>
    <w:tbl>
      <w:tblPr>
        <w:tblStyle w:val="TableGrid"/>
        <w:tblW w:w="9918" w:type="dxa"/>
        <w:tblLook w:val="04A0" w:firstRow="1" w:lastRow="0" w:firstColumn="1" w:lastColumn="0" w:noHBand="0" w:noVBand="1"/>
      </w:tblPr>
      <w:tblGrid>
        <w:gridCol w:w="2905"/>
        <w:gridCol w:w="1485"/>
        <w:gridCol w:w="3312"/>
        <w:gridCol w:w="2216"/>
      </w:tblGrid>
      <w:tr w:rsidR="009E07C3" w:rsidRPr="00AC739B" w14:paraId="0924B697" w14:textId="77777777" w:rsidTr="001700FB">
        <w:trPr>
          <w:trHeight w:val="924"/>
        </w:trPr>
        <w:tc>
          <w:tcPr>
            <w:tcW w:w="2905" w:type="dxa"/>
          </w:tcPr>
          <w:p w14:paraId="76BFC8C5" w14:textId="77777777" w:rsidR="009E07C3" w:rsidRPr="00AC739B" w:rsidRDefault="009E07C3" w:rsidP="001700FB">
            <w:pPr>
              <w:spacing w:line="276" w:lineRule="auto"/>
              <w:rPr>
                <w:rFonts w:eastAsia="Arial"/>
                <w:szCs w:val="24"/>
              </w:rPr>
            </w:pPr>
            <w:r w:rsidRPr="00AC739B">
              <w:rPr>
                <w:rFonts w:eastAsia="Arial"/>
                <w:szCs w:val="24"/>
              </w:rPr>
              <w:t>STV agentūros pavadinimas, šalis</w:t>
            </w:r>
          </w:p>
        </w:tc>
        <w:tc>
          <w:tcPr>
            <w:tcW w:w="1485" w:type="dxa"/>
          </w:tcPr>
          <w:p w14:paraId="36862142" w14:textId="77777777" w:rsidR="009E07C3" w:rsidRPr="00AC739B" w:rsidRDefault="009E07C3" w:rsidP="001700FB">
            <w:pPr>
              <w:spacing w:line="276" w:lineRule="auto"/>
              <w:rPr>
                <w:rFonts w:eastAsia="Arial"/>
                <w:szCs w:val="24"/>
              </w:rPr>
            </w:pPr>
            <w:r w:rsidRPr="00AC739B">
              <w:rPr>
                <w:rFonts w:eastAsia="Arial"/>
                <w:szCs w:val="24"/>
              </w:rPr>
              <w:t>STV vertinimas atliktas</w:t>
            </w:r>
          </w:p>
        </w:tc>
        <w:tc>
          <w:tcPr>
            <w:tcW w:w="3312" w:type="dxa"/>
          </w:tcPr>
          <w:p w14:paraId="52B6A5D6" w14:textId="77777777" w:rsidR="009E07C3" w:rsidRPr="00AC739B" w:rsidRDefault="009E07C3" w:rsidP="001700FB">
            <w:pPr>
              <w:spacing w:line="276" w:lineRule="auto"/>
              <w:rPr>
                <w:rFonts w:eastAsia="Arial"/>
                <w:szCs w:val="24"/>
              </w:rPr>
            </w:pPr>
            <w:r w:rsidRPr="00AC739B">
              <w:rPr>
                <w:rFonts w:eastAsia="Arial"/>
                <w:szCs w:val="24"/>
              </w:rPr>
              <w:t>Klinikinio vertinimo išvada</w:t>
            </w:r>
          </w:p>
        </w:tc>
        <w:tc>
          <w:tcPr>
            <w:tcW w:w="2216" w:type="dxa"/>
          </w:tcPr>
          <w:p w14:paraId="4404D9CF" w14:textId="77777777" w:rsidR="009E07C3" w:rsidRPr="00AC739B" w:rsidRDefault="009E07C3" w:rsidP="001700FB">
            <w:pPr>
              <w:spacing w:line="276" w:lineRule="auto"/>
              <w:rPr>
                <w:rFonts w:eastAsia="Arial"/>
                <w:szCs w:val="24"/>
              </w:rPr>
            </w:pPr>
            <w:r w:rsidRPr="00AC739B">
              <w:rPr>
                <w:rFonts w:eastAsia="Arial"/>
                <w:szCs w:val="24"/>
              </w:rPr>
              <w:t>Farmakoekonominio vertinimo išvada</w:t>
            </w:r>
          </w:p>
        </w:tc>
      </w:tr>
      <w:tr w:rsidR="009E07C3" w:rsidRPr="00AC739B" w14:paraId="3325440B" w14:textId="77777777" w:rsidTr="001700FB">
        <w:trPr>
          <w:trHeight w:val="1765"/>
        </w:trPr>
        <w:tc>
          <w:tcPr>
            <w:tcW w:w="2905" w:type="dxa"/>
          </w:tcPr>
          <w:p w14:paraId="607D70E8" w14:textId="77777777" w:rsidR="009E07C3" w:rsidRPr="00AC739B" w:rsidRDefault="009E07C3" w:rsidP="001700FB">
            <w:pPr>
              <w:autoSpaceDE w:val="0"/>
              <w:autoSpaceDN w:val="0"/>
              <w:adjustRightInd w:val="0"/>
              <w:rPr>
                <w:bCs/>
                <w:szCs w:val="24"/>
              </w:rPr>
            </w:pPr>
            <w:r w:rsidRPr="00AC739B">
              <w:rPr>
                <w:bCs/>
                <w:szCs w:val="24"/>
              </w:rPr>
              <w:t>Nacionalinis sveikatos ir klinikinės kompetencijos institutas, Didžioji Britanija</w:t>
            </w:r>
          </w:p>
          <w:p w14:paraId="47615B02" w14:textId="77777777" w:rsidR="009E07C3" w:rsidRPr="00AC739B" w:rsidRDefault="009E07C3" w:rsidP="001700FB">
            <w:pPr>
              <w:spacing w:line="276" w:lineRule="auto"/>
              <w:rPr>
                <w:rFonts w:eastAsia="Arial"/>
                <w:szCs w:val="24"/>
              </w:rPr>
            </w:pPr>
            <w:r w:rsidRPr="00AC739B">
              <w:rPr>
                <w:rFonts w:eastAsia="Arial"/>
                <w:szCs w:val="24"/>
              </w:rPr>
              <w:t xml:space="preserve">(angl. </w:t>
            </w:r>
            <w:r w:rsidRPr="00AC739B">
              <w:rPr>
                <w:rFonts w:eastAsia="Arial"/>
                <w:i/>
                <w:szCs w:val="24"/>
              </w:rPr>
              <w:t>National Institute for Health and Care Excellence, NICE</w:t>
            </w:r>
            <w:r w:rsidRPr="00AC739B">
              <w:rPr>
                <w:rFonts w:eastAsia="Arial"/>
                <w:szCs w:val="24"/>
              </w:rPr>
              <w:t>)</w:t>
            </w:r>
          </w:p>
        </w:tc>
        <w:tc>
          <w:tcPr>
            <w:tcW w:w="1485" w:type="dxa"/>
          </w:tcPr>
          <w:p w14:paraId="7CED36B0" w14:textId="77777777" w:rsidR="009E07C3" w:rsidRPr="00AC739B" w:rsidRDefault="00000000" w:rsidP="001700FB">
            <w:sdt>
              <w:sdtPr>
                <w:rPr>
                  <w:rStyle w:val="Style2"/>
                  <w:sz w:val="24"/>
                </w:rPr>
                <w:id w:val="1558205022"/>
                <w15:color w:val="FFCC00"/>
                <w14:checkbox>
                  <w14:checked w14:val="1"/>
                  <w14:checkedState w14:val="2612" w14:font="MS Gothic"/>
                  <w14:uncheckedState w14:val="2610" w14:font="MS Gothic"/>
                </w14:checkbox>
              </w:sdtPr>
              <w:sdtContent>
                <w:r w:rsidR="009E07C3" w:rsidRPr="00AC739B">
                  <w:rPr>
                    <w:rStyle w:val="Style2"/>
                    <w:rFonts w:ascii="MS Gothic" w:eastAsia="MS Gothic" w:hAnsi="MS Gothic"/>
                    <w:sz w:val="24"/>
                    <w:szCs w:val="24"/>
                  </w:rPr>
                  <w:t>☒</w:t>
                </w:r>
              </w:sdtContent>
            </w:sdt>
            <w:r w:rsidR="009E07C3" w:rsidRPr="00AC739B">
              <w:t xml:space="preserve"> Taip</w:t>
            </w:r>
          </w:p>
          <w:p w14:paraId="3357EB69" w14:textId="77777777" w:rsidR="009E07C3" w:rsidRPr="00AC739B" w:rsidRDefault="00000000" w:rsidP="001700FB">
            <w:sdt>
              <w:sdtPr>
                <w:rPr>
                  <w:rStyle w:val="Style2"/>
                  <w:sz w:val="24"/>
                </w:rPr>
                <w:id w:val="866029625"/>
                <w15:color w:val="FFCC00"/>
                <w14:checkbox>
                  <w14:checked w14:val="0"/>
                  <w14:checkedState w14:val="2612" w14:font="MS Gothic"/>
                  <w14:uncheckedState w14:val="2610" w14:font="MS Gothic"/>
                </w14:checkbox>
              </w:sdtPr>
              <w:sdtContent>
                <w:r w:rsidR="009E07C3" w:rsidRPr="00AC739B">
                  <w:rPr>
                    <w:rStyle w:val="Style2"/>
                    <w:rFonts w:ascii="MS Gothic" w:eastAsia="MS Gothic" w:hAnsi="MS Gothic"/>
                    <w:sz w:val="24"/>
                    <w:szCs w:val="24"/>
                  </w:rPr>
                  <w:t>☐</w:t>
                </w:r>
              </w:sdtContent>
            </w:sdt>
            <w:r w:rsidR="009E07C3" w:rsidRPr="00AC739B">
              <w:t xml:space="preserve"> Ne</w:t>
            </w:r>
          </w:p>
          <w:p w14:paraId="4EEEDD28" w14:textId="77777777" w:rsidR="009E07C3" w:rsidRPr="00AC739B" w:rsidRDefault="009E07C3" w:rsidP="001700FB">
            <w:pPr>
              <w:rPr>
                <w:rFonts w:eastAsia="Arial"/>
              </w:rPr>
            </w:pPr>
            <w:r w:rsidRPr="00AC739B">
              <w:t>2023 01 04</w:t>
            </w:r>
          </w:p>
        </w:tc>
        <w:tc>
          <w:tcPr>
            <w:tcW w:w="3312" w:type="dxa"/>
          </w:tcPr>
          <w:p w14:paraId="3CA72258" w14:textId="77777777" w:rsidR="009E07C3" w:rsidRPr="00AC739B" w:rsidRDefault="009E07C3" w:rsidP="001700FB">
            <w:pPr>
              <w:spacing w:after="120"/>
              <w:jc w:val="both"/>
              <w:rPr>
                <w:szCs w:val="24"/>
              </w:rPr>
            </w:pPr>
            <w:r w:rsidRPr="00AC739B">
              <w:rPr>
                <w:szCs w:val="24"/>
              </w:rPr>
              <w:t>Skiriamas pacientams, kuriems atsakas į įprastą gydymą ar gydymą biologiniu vaistiniu preparatu buvo nepakankamas, buvo prarastas arba kurie minėtų gydymo būdų netoleravo.</w:t>
            </w:r>
          </w:p>
        </w:tc>
        <w:tc>
          <w:tcPr>
            <w:tcW w:w="2216" w:type="dxa"/>
          </w:tcPr>
          <w:p w14:paraId="72DD6980" w14:textId="77777777" w:rsidR="009E07C3" w:rsidRPr="00AC739B" w:rsidRDefault="009E07C3" w:rsidP="001700FB">
            <w:pPr>
              <w:spacing w:line="276" w:lineRule="auto"/>
              <w:rPr>
                <w:rFonts w:eastAsia="Arial"/>
                <w:szCs w:val="24"/>
              </w:rPr>
            </w:pPr>
            <w:r w:rsidRPr="00AC739B">
              <w:rPr>
                <w:rFonts w:eastAsia="Arial"/>
                <w:szCs w:val="24"/>
              </w:rPr>
              <w:t xml:space="preserve">Kompensuojama pritaikius nuolaidą. </w:t>
            </w:r>
          </w:p>
        </w:tc>
      </w:tr>
      <w:tr w:rsidR="009E07C3" w:rsidRPr="00AC739B" w14:paraId="35A0DE3F" w14:textId="77777777" w:rsidTr="001700FB">
        <w:trPr>
          <w:trHeight w:val="1547"/>
        </w:trPr>
        <w:tc>
          <w:tcPr>
            <w:tcW w:w="2905" w:type="dxa"/>
          </w:tcPr>
          <w:p w14:paraId="37B02D3E" w14:textId="77777777" w:rsidR="009E07C3" w:rsidRPr="00AC739B" w:rsidRDefault="009E07C3" w:rsidP="001700FB">
            <w:pPr>
              <w:spacing w:line="276" w:lineRule="auto"/>
              <w:rPr>
                <w:rFonts w:eastAsia="Arial"/>
                <w:szCs w:val="24"/>
              </w:rPr>
            </w:pPr>
            <w:r w:rsidRPr="00AC739B">
              <w:rPr>
                <w:rFonts w:eastAsia="Arial"/>
                <w:szCs w:val="24"/>
              </w:rPr>
              <w:t>Kanados sveikatos technologijų agentūra</w:t>
            </w:r>
          </w:p>
          <w:p w14:paraId="7CC475CB" w14:textId="77777777" w:rsidR="009E07C3" w:rsidRPr="00AC739B" w:rsidRDefault="009E07C3" w:rsidP="001700FB">
            <w:pPr>
              <w:spacing w:line="276" w:lineRule="auto"/>
              <w:rPr>
                <w:rFonts w:eastAsia="Arial"/>
                <w:szCs w:val="24"/>
              </w:rPr>
            </w:pPr>
            <w:r w:rsidRPr="00AC739B">
              <w:rPr>
                <w:rFonts w:eastAsia="Arial"/>
                <w:szCs w:val="24"/>
              </w:rPr>
              <w:t xml:space="preserve">(angl. </w:t>
            </w:r>
            <w:r w:rsidRPr="00AC739B">
              <w:rPr>
                <w:rFonts w:eastAsia="Arial"/>
                <w:i/>
                <w:szCs w:val="24"/>
              </w:rPr>
              <w:t>Canadian health Technology Assessment agency, CADTH</w:t>
            </w:r>
            <w:r w:rsidRPr="00AC739B">
              <w:rPr>
                <w:rFonts w:eastAsia="Arial"/>
                <w:szCs w:val="24"/>
              </w:rPr>
              <w:t>)</w:t>
            </w:r>
          </w:p>
        </w:tc>
        <w:tc>
          <w:tcPr>
            <w:tcW w:w="1485" w:type="dxa"/>
          </w:tcPr>
          <w:p w14:paraId="17E7D786" w14:textId="77777777" w:rsidR="009E07C3" w:rsidRPr="00AC739B" w:rsidRDefault="00000000" w:rsidP="001700FB">
            <w:sdt>
              <w:sdtPr>
                <w:rPr>
                  <w:rStyle w:val="Style2"/>
                  <w:sz w:val="24"/>
                </w:rPr>
                <w:id w:val="-372539057"/>
                <w15:color w:val="FFCC00"/>
                <w14:checkbox>
                  <w14:checked w14:val="1"/>
                  <w14:checkedState w14:val="2612" w14:font="MS Gothic"/>
                  <w14:uncheckedState w14:val="2610" w14:font="MS Gothic"/>
                </w14:checkbox>
              </w:sdtPr>
              <w:sdtContent>
                <w:r w:rsidR="009E07C3" w:rsidRPr="00AC739B">
                  <w:rPr>
                    <w:rStyle w:val="Style2"/>
                    <w:rFonts w:ascii="MS Gothic" w:eastAsia="MS Gothic" w:hAnsi="MS Gothic"/>
                    <w:sz w:val="24"/>
                    <w:szCs w:val="24"/>
                  </w:rPr>
                  <w:t>☒</w:t>
                </w:r>
              </w:sdtContent>
            </w:sdt>
            <w:r w:rsidR="009E07C3" w:rsidRPr="00AC739B">
              <w:t xml:space="preserve"> Taip</w:t>
            </w:r>
          </w:p>
          <w:p w14:paraId="3443DD03" w14:textId="77777777" w:rsidR="009E07C3" w:rsidRPr="00AC739B" w:rsidRDefault="00000000" w:rsidP="001700FB">
            <w:sdt>
              <w:sdtPr>
                <w:rPr>
                  <w:rStyle w:val="Style2"/>
                  <w:sz w:val="24"/>
                </w:rPr>
                <w:id w:val="594442222"/>
                <w15:color w:val="FFCC00"/>
                <w14:checkbox>
                  <w14:checked w14:val="0"/>
                  <w14:checkedState w14:val="2612" w14:font="MS Gothic"/>
                  <w14:uncheckedState w14:val="2610" w14:font="MS Gothic"/>
                </w14:checkbox>
              </w:sdtPr>
              <w:sdtContent>
                <w:r w:rsidR="009E07C3" w:rsidRPr="00AC739B">
                  <w:rPr>
                    <w:rStyle w:val="Style2"/>
                    <w:rFonts w:ascii="Segoe UI Symbol" w:eastAsia="MS Gothic" w:hAnsi="Segoe UI Symbol" w:cs="Segoe UI Symbol"/>
                    <w:sz w:val="24"/>
                    <w:szCs w:val="24"/>
                  </w:rPr>
                  <w:t>☐</w:t>
                </w:r>
              </w:sdtContent>
            </w:sdt>
            <w:r w:rsidR="009E07C3" w:rsidRPr="00AC739B">
              <w:t xml:space="preserve"> Ne</w:t>
            </w:r>
          </w:p>
          <w:p w14:paraId="2A8291CF" w14:textId="77777777" w:rsidR="009E07C3" w:rsidRPr="00AC739B" w:rsidRDefault="009E07C3" w:rsidP="001700FB">
            <w:pPr>
              <w:spacing w:line="276" w:lineRule="auto"/>
              <w:rPr>
                <w:rFonts w:eastAsia="Arial"/>
                <w:szCs w:val="24"/>
              </w:rPr>
            </w:pPr>
            <w:r w:rsidRPr="00AC739B">
              <w:rPr>
                <w:rFonts w:eastAsia="Arial"/>
                <w:szCs w:val="24"/>
              </w:rPr>
              <w:t>2023 11 16</w:t>
            </w:r>
          </w:p>
        </w:tc>
        <w:tc>
          <w:tcPr>
            <w:tcW w:w="3312" w:type="dxa"/>
          </w:tcPr>
          <w:p w14:paraId="6E20843E" w14:textId="77777777" w:rsidR="009E07C3" w:rsidRPr="00AC739B" w:rsidRDefault="009E07C3" w:rsidP="001700FB">
            <w:pPr>
              <w:spacing w:line="276" w:lineRule="auto"/>
              <w:rPr>
                <w:rFonts w:eastAsia="Arial"/>
                <w:szCs w:val="24"/>
              </w:rPr>
            </w:pPr>
            <w:r w:rsidRPr="00AC739B">
              <w:rPr>
                <w:szCs w:val="24"/>
              </w:rPr>
              <w:t>Skiriamas pacientams, kuriems atsakas į įprastą gydymą ar gydymą biologiniu vaistiniu preparatu buvo nepakankamas, buvo prarastas arba kurie minėtų gydymo būdų netoleravo.</w:t>
            </w:r>
          </w:p>
        </w:tc>
        <w:tc>
          <w:tcPr>
            <w:tcW w:w="2216" w:type="dxa"/>
          </w:tcPr>
          <w:p w14:paraId="707E3AC0" w14:textId="77777777" w:rsidR="009E07C3" w:rsidRPr="00AC739B" w:rsidRDefault="009E07C3" w:rsidP="001700FB">
            <w:pPr>
              <w:spacing w:line="276" w:lineRule="auto"/>
              <w:rPr>
                <w:rFonts w:eastAsia="Arial"/>
                <w:szCs w:val="24"/>
              </w:rPr>
            </w:pPr>
            <w:r w:rsidRPr="00AC739B">
              <w:rPr>
                <w:rFonts w:eastAsia="Arial"/>
                <w:szCs w:val="24"/>
              </w:rPr>
              <w:t>Kompensuojama pritaikius nuolaidą.</w:t>
            </w:r>
          </w:p>
        </w:tc>
      </w:tr>
      <w:tr w:rsidR="009E07C3" w:rsidRPr="00AC739B" w14:paraId="5F2CC60A" w14:textId="77777777" w:rsidTr="001700FB">
        <w:trPr>
          <w:trHeight w:val="1927"/>
        </w:trPr>
        <w:tc>
          <w:tcPr>
            <w:tcW w:w="2905" w:type="dxa"/>
          </w:tcPr>
          <w:p w14:paraId="777AF285" w14:textId="77777777" w:rsidR="009E07C3" w:rsidRPr="00AC739B" w:rsidRDefault="009E07C3" w:rsidP="001700FB">
            <w:pPr>
              <w:spacing w:line="276" w:lineRule="auto"/>
              <w:rPr>
                <w:rFonts w:eastAsia="Arial"/>
                <w:szCs w:val="24"/>
              </w:rPr>
            </w:pPr>
            <w:r w:rsidRPr="00AC739B">
              <w:rPr>
                <w:rFonts w:eastAsia="Arial"/>
                <w:szCs w:val="24"/>
              </w:rPr>
              <w:t>Nacionalinis farmakoekonomikos centras, Airija</w:t>
            </w:r>
          </w:p>
          <w:p w14:paraId="42B6DE23" w14:textId="77777777" w:rsidR="009E07C3" w:rsidRPr="00AC739B" w:rsidRDefault="009E07C3" w:rsidP="001700FB">
            <w:pPr>
              <w:spacing w:line="276" w:lineRule="auto"/>
              <w:rPr>
                <w:rFonts w:eastAsia="Arial"/>
                <w:szCs w:val="24"/>
              </w:rPr>
            </w:pPr>
            <w:r w:rsidRPr="00AC739B">
              <w:rPr>
                <w:rFonts w:eastAsia="Arial"/>
                <w:szCs w:val="24"/>
              </w:rPr>
              <w:t>(angl.</w:t>
            </w:r>
            <w:r w:rsidRPr="00AC739B">
              <w:rPr>
                <w:rFonts w:eastAsia="Arial"/>
                <w:i/>
                <w:szCs w:val="24"/>
              </w:rPr>
              <w:t xml:space="preserve"> National Centre for Pharmacoeconomics, NCPE</w:t>
            </w:r>
            <w:r w:rsidRPr="00AC739B">
              <w:rPr>
                <w:rFonts w:eastAsia="Arial"/>
                <w:szCs w:val="24"/>
              </w:rPr>
              <w:t>)</w:t>
            </w:r>
          </w:p>
        </w:tc>
        <w:tc>
          <w:tcPr>
            <w:tcW w:w="1485" w:type="dxa"/>
          </w:tcPr>
          <w:p w14:paraId="7C74CE6F" w14:textId="77777777" w:rsidR="009E07C3" w:rsidRPr="00AC739B" w:rsidRDefault="00000000" w:rsidP="001700FB">
            <w:sdt>
              <w:sdtPr>
                <w:rPr>
                  <w:rStyle w:val="Style2"/>
                  <w:sz w:val="24"/>
                </w:rPr>
                <w:id w:val="-1888403732"/>
                <w15:color w:val="FFCC00"/>
                <w14:checkbox>
                  <w14:checked w14:val="1"/>
                  <w14:checkedState w14:val="2612" w14:font="MS Gothic"/>
                  <w14:uncheckedState w14:val="2610" w14:font="MS Gothic"/>
                </w14:checkbox>
              </w:sdtPr>
              <w:sdtContent>
                <w:r w:rsidR="009E07C3" w:rsidRPr="00AC739B">
                  <w:rPr>
                    <w:rStyle w:val="Style2"/>
                    <w:rFonts w:ascii="MS Gothic" w:eastAsia="MS Gothic" w:hAnsi="MS Gothic"/>
                    <w:sz w:val="24"/>
                    <w:szCs w:val="24"/>
                  </w:rPr>
                  <w:t>☒</w:t>
                </w:r>
              </w:sdtContent>
            </w:sdt>
            <w:r w:rsidR="009E07C3" w:rsidRPr="00AC739B">
              <w:t xml:space="preserve"> Taip</w:t>
            </w:r>
          </w:p>
          <w:p w14:paraId="282083D8" w14:textId="77777777" w:rsidR="009E07C3" w:rsidRPr="00AC739B" w:rsidRDefault="00000000" w:rsidP="001700FB">
            <w:sdt>
              <w:sdtPr>
                <w:rPr>
                  <w:rStyle w:val="Style2"/>
                  <w:sz w:val="24"/>
                </w:rPr>
                <w:id w:val="1092201793"/>
                <w15:color w:val="FFCC00"/>
                <w14:checkbox>
                  <w14:checked w14:val="0"/>
                  <w14:checkedState w14:val="2612" w14:font="MS Gothic"/>
                  <w14:uncheckedState w14:val="2610" w14:font="MS Gothic"/>
                </w14:checkbox>
              </w:sdtPr>
              <w:sdtContent>
                <w:r w:rsidR="009E07C3" w:rsidRPr="00AC739B">
                  <w:rPr>
                    <w:rStyle w:val="Style2"/>
                    <w:rFonts w:ascii="Segoe UI Symbol" w:eastAsia="MS Gothic" w:hAnsi="Segoe UI Symbol" w:cs="Segoe UI Symbol"/>
                    <w:sz w:val="24"/>
                    <w:szCs w:val="24"/>
                  </w:rPr>
                  <w:t>☐</w:t>
                </w:r>
              </w:sdtContent>
            </w:sdt>
            <w:r w:rsidR="009E07C3" w:rsidRPr="00AC739B">
              <w:t xml:space="preserve"> Ne</w:t>
            </w:r>
          </w:p>
          <w:p w14:paraId="026EB157" w14:textId="77777777" w:rsidR="009E07C3" w:rsidRPr="00AC739B" w:rsidRDefault="009E07C3" w:rsidP="001700FB">
            <w:pPr>
              <w:spacing w:line="276" w:lineRule="auto"/>
              <w:rPr>
                <w:rFonts w:eastAsia="Arial"/>
                <w:szCs w:val="24"/>
              </w:rPr>
            </w:pPr>
            <w:r w:rsidRPr="00AC739B">
              <w:rPr>
                <w:szCs w:val="24"/>
              </w:rPr>
              <w:t>2022 12</w:t>
            </w:r>
          </w:p>
        </w:tc>
        <w:tc>
          <w:tcPr>
            <w:tcW w:w="3312" w:type="dxa"/>
          </w:tcPr>
          <w:p w14:paraId="6B960F19" w14:textId="77777777" w:rsidR="009E07C3" w:rsidRPr="00AC739B" w:rsidRDefault="009E07C3" w:rsidP="001700FB">
            <w:pPr>
              <w:spacing w:line="276" w:lineRule="auto"/>
              <w:rPr>
                <w:rFonts w:eastAsia="Arial"/>
                <w:szCs w:val="24"/>
              </w:rPr>
            </w:pPr>
            <w:r w:rsidRPr="00AC739B">
              <w:rPr>
                <w:szCs w:val="24"/>
              </w:rPr>
              <w:t>Skiriamas pacientams, kuriems atsakas į įprastą gydymą ar gydymą biologiniu vaistiniu preparatu buvo nepakankamas, buvo prarastas arba kurie minėtų gydymo būdų netoleravo.</w:t>
            </w:r>
          </w:p>
        </w:tc>
        <w:tc>
          <w:tcPr>
            <w:tcW w:w="2216" w:type="dxa"/>
          </w:tcPr>
          <w:p w14:paraId="76CE30A3" w14:textId="77777777" w:rsidR="009E07C3" w:rsidRPr="00AC739B" w:rsidRDefault="009E07C3" w:rsidP="001700FB">
            <w:pPr>
              <w:spacing w:line="276" w:lineRule="auto"/>
              <w:rPr>
                <w:rFonts w:eastAsia="Arial"/>
                <w:szCs w:val="24"/>
              </w:rPr>
            </w:pPr>
            <w:r w:rsidRPr="00AC739B">
              <w:rPr>
                <w:rFonts w:eastAsia="Arial"/>
                <w:szCs w:val="24"/>
              </w:rPr>
              <w:t>Kompensuojama pritaikius nuolaidą.</w:t>
            </w:r>
          </w:p>
        </w:tc>
      </w:tr>
    </w:tbl>
    <w:p w14:paraId="107F0534" w14:textId="18B9327A" w:rsidR="003D3228" w:rsidRPr="00AC739B" w:rsidRDefault="003D3228" w:rsidP="003D3228">
      <w:pPr>
        <w:pStyle w:val="ListParagraph"/>
        <w:tabs>
          <w:tab w:val="left" w:pos="426"/>
        </w:tabs>
        <w:ind w:left="0"/>
        <w:rPr>
          <w:b/>
          <w:bCs/>
          <w:caps/>
        </w:rPr>
      </w:pPr>
    </w:p>
    <w:p w14:paraId="13D22EF1" w14:textId="77777777" w:rsidR="00685CA7" w:rsidRPr="00AC739B" w:rsidRDefault="00685CA7" w:rsidP="003D3228">
      <w:pPr>
        <w:pStyle w:val="ListParagraph"/>
        <w:tabs>
          <w:tab w:val="left" w:pos="426"/>
        </w:tabs>
        <w:ind w:left="0"/>
        <w:rPr>
          <w:b/>
          <w:bCs/>
          <w:caps/>
        </w:rPr>
      </w:pPr>
    </w:p>
    <w:p w14:paraId="73F763BE" w14:textId="77777777" w:rsidR="003D3228" w:rsidRPr="00AC739B" w:rsidRDefault="003D3228" w:rsidP="003D3228">
      <w:pPr>
        <w:pStyle w:val="ListParagraph"/>
        <w:numPr>
          <w:ilvl w:val="0"/>
          <w:numId w:val="1"/>
        </w:numPr>
        <w:rPr>
          <w:b/>
          <w:bCs/>
          <w:caps/>
        </w:rPr>
      </w:pPr>
      <w:r w:rsidRPr="00AC739B">
        <w:rPr>
          <w:b/>
          <w:bCs/>
          <w:caps/>
        </w:rPr>
        <w:t>Klinikinio vertinimo apibendrinimas</w:t>
      </w:r>
    </w:p>
    <w:p w14:paraId="649E8B3B" w14:textId="77777777" w:rsidR="00881DF5" w:rsidRPr="00AC739B" w:rsidRDefault="00881DF5" w:rsidP="00881DF5">
      <w:pPr>
        <w:tabs>
          <w:tab w:val="left" w:pos="284"/>
        </w:tabs>
        <w:spacing w:line="280" w:lineRule="atLeast"/>
        <w:rPr>
          <w:rFonts w:eastAsia="Arial"/>
          <w:i/>
        </w:rPr>
      </w:pPr>
    </w:p>
    <w:p w14:paraId="60A45739" w14:textId="3BD7B699" w:rsidR="009E07C3" w:rsidRPr="00AC739B" w:rsidRDefault="009E07C3" w:rsidP="009E07C3">
      <w:pPr>
        <w:tabs>
          <w:tab w:val="left" w:pos="426"/>
        </w:tabs>
        <w:spacing w:line="276" w:lineRule="auto"/>
        <w:jc w:val="both"/>
        <w:rPr>
          <w:rFonts w:eastAsia="Arial"/>
          <w:color w:val="000000" w:themeColor="text1"/>
        </w:rPr>
      </w:pPr>
      <w:r w:rsidRPr="00AC739B">
        <w:rPr>
          <w:rFonts w:eastAsia="Arial"/>
          <w:color w:val="000000" w:themeColor="text1"/>
        </w:rPr>
        <w:tab/>
        <w:t xml:space="preserve">Opinis kolitas (OK) yra lėtinė, autoimuninė intermituojančios eigos liga, sąlygojanti nuolatinį storosios žarnos gleivinės uždegimą ir paviršinių opų atsiradimą. OK būdingas </w:t>
      </w:r>
      <w:r w:rsidRPr="00AC739B">
        <w:rPr>
          <w:rFonts w:eastAsia="Calibri"/>
          <w:color w:val="000000"/>
        </w:rPr>
        <w:t>viduriavimas su krauju ir gleivėmis, tenezmai, kraujavimas iš tiesiosios žarnos, staigus noras tuštintis, naktinis tuštinimasis, spazminiai pilvo skausmai</w:t>
      </w:r>
      <w:r w:rsidRPr="00AC739B">
        <w:rPr>
          <w:rFonts w:eastAsia="Arial"/>
          <w:color w:val="000000" w:themeColor="text1"/>
        </w:rPr>
        <w:t xml:space="preserve">. Iki 15 proc. pacientų liga prasideda sunkia forma, kuriai būdingas svorio mažėjimas, karščiavimas, labai stiprūs pilvo skausmai. Lietuvos higienos instituto duomenimis, 2022 m. sergamumas OK Lietuvoje buvo 1,31 atvejų 1000 gyventojų. Lietuvoje OK diagnozuojamas </w:t>
      </w:r>
      <w:r w:rsidRPr="00AC739B">
        <w:rPr>
          <w:rFonts w:eastAsia="Arial"/>
          <w:color w:val="000000" w:themeColor="text1"/>
        </w:rPr>
        <w:lastRenderedPageBreak/>
        <w:t xml:space="preserve">remiantis </w:t>
      </w:r>
      <w:r w:rsidRPr="00AC739B">
        <w:rPr>
          <w:iCs/>
        </w:rPr>
        <w:t xml:space="preserve">Europos Krono ir opinio kolito organizacijos </w:t>
      </w:r>
      <w:r w:rsidRPr="00AC739B">
        <w:rPr>
          <w:rFonts w:eastAsia="Arial"/>
          <w:color w:val="000000" w:themeColor="text1"/>
        </w:rPr>
        <w:t xml:space="preserve">susitarimų gairėmis ir OK Monrealio klasifikacija. </w:t>
      </w:r>
    </w:p>
    <w:p w14:paraId="1BB314C1" w14:textId="7BD31C97" w:rsidR="009E07C3" w:rsidRPr="00AC739B" w:rsidRDefault="009E07C3" w:rsidP="009E07C3">
      <w:pPr>
        <w:tabs>
          <w:tab w:val="left" w:pos="426"/>
        </w:tabs>
        <w:spacing w:line="276" w:lineRule="auto"/>
        <w:jc w:val="both"/>
        <w:rPr>
          <w:rFonts w:eastAsia="Calibri"/>
          <w:color w:val="000000"/>
        </w:rPr>
      </w:pPr>
      <w:r w:rsidRPr="00AC739B">
        <w:rPr>
          <w:rFonts w:eastAsia="Arial"/>
          <w:color w:val="000000" w:themeColor="text1"/>
        </w:rPr>
        <w:tab/>
        <w:t>Lietuvoje OK gydymą reglamentuoja L</w:t>
      </w:r>
      <w:r w:rsidR="00AC739B">
        <w:rPr>
          <w:rFonts w:eastAsia="Arial"/>
          <w:color w:val="000000" w:themeColor="text1"/>
        </w:rPr>
        <w:t>ietuvos Respublikos sveikatos apsaugos ministro įsakymas</w:t>
      </w:r>
      <w:r w:rsidRPr="00AC739B">
        <w:rPr>
          <w:rFonts w:eastAsia="Arial"/>
          <w:color w:val="000000" w:themeColor="text1"/>
        </w:rPr>
        <w:t xml:space="preserve"> „</w:t>
      </w:r>
      <w:r w:rsidR="00AC739B">
        <w:rPr>
          <w:rFonts w:eastAsia="Arial"/>
          <w:color w:val="000000" w:themeColor="text1"/>
        </w:rPr>
        <w:t>Dėl o</w:t>
      </w:r>
      <w:r w:rsidRPr="00AC739B">
        <w:rPr>
          <w:rFonts w:eastAsia="Arial"/>
          <w:color w:val="000000" w:themeColor="text1"/>
        </w:rPr>
        <w:t>pinio kolito diagnostikos ir gydymo vaistais, kurių įsigijimo išlaidos apmokamos privalomojo sveikatos draudimo fondo biudžeto lėšomis tvarkos apraš</w:t>
      </w:r>
      <w:r w:rsidR="00AC739B">
        <w:rPr>
          <w:rFonts w:eastAsia="Arial"/>
          <w:color w:val="000000" w:themeColor="text1"/>
        </w:rPr>
        <w:t>o patvirtinimo</w:t>
      </w:r>
      <w:r w:rsidRPr="00AC739B">
        <w:rPr>
          <w:rFonts w:eastAsia="Arial"/>
          <w:color w:val="000000" w:themeColor="text1"/>
        </w:rPr>
        <w:t xml:space="preserve">“ </w:t>
      </w:r>
      <w:r w:rsidR="00AC739B">
        <w:rPr>
          <w:color w:val="000000"/>
        </w:rPr>
        <w:t>2018 m. vasario 12 d.,</w:t>
      </w:r>
      <w:r w:rsidR="00AC739B">
        <w:rPr>
          <w:rFonts w:eastAsia="Arial"/>
          <w:color w:val="000000" w:themeColor="text1"/>
        </w:rPr>
        <w:t xml:space="preserve"> </w:t>
      </w:r>
      <w:r w:rsidRPr="00AC739B">
        <w:rPr>
          <w:rFonts w:eastAsia="Arial"/>
          <w:color w:val="000000" w:themeColor="text1"/>
        </w:rPr>
        <w:t>Nr. V-159 (toliau – Aprašas). OK gydym</w:t>
      </w:r>
      <w:r w:rsidR="00AC739B">
        <w:rPr>
          <w:rFonts w:eastAsia="Arial"/>
          <w:color w:val="000000" w:themeColor="text1"/>
        </w:rPr>
        <w:t>as</w:t>
      </w:r>
      <w:r w:rsidRPr="00AC739B">
        <w:rPr>
          <w:rFonts w:eastAsia="Arial"/>
          <w:color w:val="000000" w:themeColor="text1"/>
        </w:rPr>
        <w:t xml:space="preserve"> </w:t>
      </w:r>
      <w:r w:rsidR="00DD230A" w:rsidRPr="00AC739B">
        <w:rPr>
          <w:rFonts w:eastAsia="Arial"/>
          <w:color w:val="000000" w:themeColor="text1"/>
        </w:rPr>
        <w:t>dažniausiai</w:t>
      </w:r>
      <w:r w:rsidRPr="00AC739B">
        <w:rPr>
          <w:rFonts w:eastAsia="Arial"/>
          <w:color w:val="000000" w:themeColor="text1"/>
        </w:rPr>
        <w:t xml:space="preserve"> pradeda</w:t>
      </w:r>
      <w:r w:rsidR="00AC739B">
        <w:rPr>
          <w:rFonts w:eastAsia="Arial"/>
          <w:color w:val="000000" w:themeColor="text1"/>
        </w:rPr>
        <w:t>mas</w:t>
      </w:r>
      <w:r w:rsidRPr="00AC739B">
        <w:rPr>
          <w:rFonts w:eastAsia="Arial"/>
          <w:color w:val="000000" w:themeColor="text1"/>
        </w:rPr>
        <w:t xml:space="preserve"> 5-aminosalicilo rūgšties dariniais. Jei </w:t>
      </w:r>
      <w:r w:rsidR="00AC739B">
        <w:rPr>
          <w:rFonts w:eastAsia="Arial"/>
          <w:color w:val="000000" w:themeColor="text1"/>
        </w:rPr>
        <w:t>toks</w:t>
      </w:r>
      <w:r w:rsidRPr="00AC739B">
        <w:rPr>
          <w:rFonts w:eastAsia="Arial"/>
          <w:color w:val="000000" w:themeColor="text1"/>
        </w:rPr>
        <w:t xml:space="preserve"> gydymas yra neefektyvus, gali būti skiriami kortikosteroidai (prednizolonas), azatioprinas. Jei atsakas į </w:t>
      </w:r>
      <w:r w:rsidR="00DD230A" w:rsidRPr="00AC739B">
        <w:rPr>
          <w:rFonts w:eastAsia="Arial"/>
          <w:color w:val="000000" w:themeColor="text1"/>
        </w:rPr>
        <w:t>gydymą</w:t>
      </w:r>
      <w:r w:rsidRPr="00AC739B">
        <w:rPr>
          <w:rFonts w:eastAsia="Arial"/>
          <w:color w:val="000000" w:themeColor="text1"/>
        </w:rPr>
        <w:t xml:space="preserve">̨ </w:t>
      </w:r>
      <w:r w:rsidR="00AC739B">
        <w:rPr>
          <w:rFonts w:eastAsia="Arial"/>
          <w:color w:val="000000" w:themeColor="text1"/>
        </w:rPr>
        <w:t xml:space="preserve">įprastiniais vaistiniais preparatais </w:t>
      </w:r>
      <w:r w:rsidRPr="00AC739B">
        <w:t>(mesalazinu, kortikosteroidais, azatioprinu)</w:t>
      </w:r>
      <w:r w:rsidRPr="00AC739B">
        <w:rPr>
          <w:rFonts w:eastAsia="Arial"/>
          <w:color w:val="000000" w:themeColor="text1"/>
        </w:rPr>
        <w:t xml:space="preserve"> nepakankamas, gali būti skiriamas gydymas biologiniais </w:t>
      </w:r>
      <w:r w:rsidR="00AC739B">
        <w:rPr>
          <w:rFonts w:eastAsia="Arial"/>
          <w:color w:val="000000" w:themeColor="text1"/>
        </w:rPr>
        <w:t xml:space="preserve">vaistiniais </w:t>
      </w:r>
      <w:r w:rsidRPr="00AC739B">
        <w:rPr>
          <w:rFonts w:eastAsia="Arial"/>
          <w:color w:val="000000" w:themeColor="text1"/>
        </w:rPr>
        <w:t xml:space="preserve">preparatais. </w:t>
      </w:r>
      <w:r w:rsidR="008D734F" w:rsidRPr="00AC739B">
        <w:t xml:space="preserve">Gydymas pradedamas pirmaeiliu biologiniu ligą modifikuojančiu vaistu, kurio kaina mažiausia: </w:t>
      </w:r>
      <w:r w:rsidR="008D734F" w:rsidRPr="00AC739B">
        <w:rPr>
          <w:rFonts w:eastAsia="Calibri"/>
        </w:rPr>
        <w:t>TNFα inhibitoriumi, kurio kaina mažiausia, arba</w:t>
      </w:r>
      <w:r w:rsidR="008D734F" w:rsidRPr="00AC739B">
        <w:rPr>
          <w:i/>
        </w:rPr>
        <w:t xml:space="preserve"> </w:t>
      </w:r>
      <w:r w:rsidR="008D734F" w:rsidRPr="00AC739B">
        <w:rPr>
          <w:rFonts w:eastAsia="Calibri"/>
        </w:rPr>
        <w:t xml:space="preserve">vedolizumabu, </w:t>
      </w:r>
      <w:r w:rsidR="008D734F" w:rsidRPr="00AC739B">
        <w:rPr>
          <w:rFonts w:eastAsia="Calibri"/>
          <w:color w:val="000000"/>
        </w:rPr>
        <w:t>arba</w:t>
      </w:r>
      <w:r w:rsidR="008D734F" w:rsidRPr="00AC739B">
        <w:rPr>
          <w:i/>
        </w:rPr>
        <w:t xml:space="preserve"> </w:t>
      </w:r>
      <w:r w:rsidR="008D734F" w:rsidRPr="00AC739B">
        <w:rPr>
          <w:rFonts w:eastAsia="Calibri"/>
          <w:color w:val="000000"/>
        </w:rPr>
        <w:t xml:space="preserve">tofacitinibu, arba ustekinumabu. Remiantis VLK pateiktais duomenimis, Lietuvoje </w:t>
      </w:r>
      <w:r w:rsidR="008D734F" w:rsidRPr="00AC739B">
        <w:t xml:space="preserve">dažniausiai skiriami </w:t>
      </w:r>
      <w:r w:rsidR="00FB6C10">
        <w:t>vaistiniai prepratai</w:t>
      </w:r>
      <w:r w:rsidR="008D734F" w:rsidRPr="00AC739B">
        <w:t xml:space="preserve"> yra vedolizumabas, adalimumabas, ustekinuambas, tofacitinibas. </w:t>
      </w:r>
    </w:p>
    <w:p w14:paraId="402FEAEF" w14:textId="58F6530B" w:rsidR="009E07C3" w:rsidRPr="00AC739B" w:rsidRDefault="009E07C3" w:rsidP="009E07C3">
      <w:pPr>
        <w:tabs>
          <w:tab w:val="left" w:pos="426"/>
        </w:tabs>
        <w:spacing w:line="276" w:lineRule="auto"/>
        <w:jc w:val="both"/>
        <w:rPr>
          <w:rFonts w:eastAsia="Calibri"/>
          <w:color w:val="000000"/>
        </w:rPr>
      </w:pPr>
      <w:r w:rsidRPr="00AC739B">
        <w:rPr>
          <w:rFonts w:eastAsia="Arial"/>
          <w:color w:val="000000" w:themeColor="text1"/>
        </w:rPr>
        <w:tab/>
        <w:t>Apraše nurod</w:t>
      </w:r>
      <w:r w:rsidR="00AC739B">
        <w:rPr>
          <w:rFonts w:eastAsia="Arial"/>
          <w:color w:val="000000" w:themeColor="text1"/>
        </w:rPr>
        <w:t>yt</w:t>
      </w:r>
      <w:r w:rsidRPr="00AC739B">
        <w:rPr>
          <w:rFonts w:eastAsia="Arial"/>
          <w:color w:val="000000" w:themeColor="text1"/>
        </w:rPr>
        <w:t>a, jog kai nėra apribojimų skirti biologin</w:t>
      </w:r>
      <w:r w:rsidR="00AC739B">
        <w:rPr>
          <w:rFonts w:eastAsia="Arial"/>
          <w:color w:val="000000" w:themeColor="text1"/>
        </w:rPr>
        <w:t>io</w:t>
      </w:r>
      <w:r w:rsidRPr="00AC739B">
        <w:rPr>
          <w:rFonts w:eastAsia="Arial"/>
          <w:color w:val="000000" w:themeColor="text1"/>
        </w:rPr>
        <w:t xml:space="preserve"> vaist</w:t>
      </w:r>
      <w:r w:rsidR="00AC739B">
        <w:rPr>
          <w:rFonts w:eastAsia="Arial"/>
          <w:color w:val="000000" w:themeColor="text1"/>
        </w:rPr>
        <w:t>inio preparato</w:t>
      </w:r>
      <w:r w:rsidRPr="00AC739B">
        <w:rPr>
          <w:rFonts w:eastAsia="Arial"/>
          <w:color w:val="000000" w:themeColor="text1"/>
        </w:rPr>
        <w:t xml:space="preserve">, </w:t>
      </w:r>
      <w:r w:rsidRPr="00AC739B">
        <w:t>gydymas pradedamas pirmaeiliu biologiniu ligą modifikuojančiu vaist</w:t>
      </w:r>
      <w:r w:rsidR="00AC739B">
        <w:t>ini</w:t>
      </w:r>
      <w:r w:rsidRPr="00AC739B">
        <w:t>u</w:t>
      </w:r>
      <w:r w:rsidR="00AC739B">
        <w:t xml:space="preserve"> preparatu</w:t>
      </w:r>
      <w:r w:rsidRPr="00AC739B">
        <w:t xml:space="preserve">, kurio kaina mažiausia: </w:t>
      </w:r>
      <w:r w:rsidRPr="00AC739B">
        <w:rPr>
          <w:rFonts w:eastAsia="Calibri"/>
        </w:rPr>
        <w:t>TNFα inhibitoriumi, kurio kaina mažiausia, arba</w:t>
      </w:r>
      <w:r w:rsidRPr="00AC739B">
        <w:rPr>
          <w:i/>
        </w:rPr>
        <w:t xml:space="preserve"> </w:t>
      </w:r>
      <w:r w:rsidRPr="00AC739B">
        <w:rPr>
          <w:iCs/>
        </w:rPr>
        <w:t xml:space="preserve">integrino α4β7 inhibitoriumi </w:t>
      </w:r>
      <w:r w:rsidRPr="00AC739B">
        <w:rPr>
          <w:rFonts w:eastAsia="Calibri"/>
        </w:rPr>
        <w:t xml:space="preserve">vedolizumabu, </w:t>
      </w:r>
      <w:r w:rsidRPr="00AC739B">
        <w:rPr>
          <w:rFonts w:eastAsia="Calibri"/>
          <w:color w:val="000000"/>
        </w:rPr>
        <w:t>arba</w:t>
      </w:r>
      <w:r w:rsidRPr="00AC739B">
        <w:rPr>
          <w:i/>
        </w:rPr>
        <w:t xml:space="preserve"> </w:t>
      </w:r>
      <w:r w:rsidRPr="00AC739B">
        <w:rPr>
          <w:iCs/>
        </w:rPr>
        <w:t xml:space="preserve">janus kinazės (JAK) inhibitoriumi </w:t>
      </w:r>
      <w:r w:rsidRPr="00AC739B">
        <w:rPr>
          <w:rFonts w:eastAsia="Calibri"/>
          <w:color w:val="000000"/>
        </w:rPr>
        <w:t xml:space="preserve">tofacitinibu, arba </w:t>
      </w:r>
      <w:r w:rsidRPr="00AC739B">
        <w:rPr>
          <w:iCs/>
        </w:rPr>
        <w:t>interleukinų (IL) 12 ir 23 inhibitoriumi</w:t>
      </w:r>
      <w:r w:rsidRPr="00AC739B">
        <w:rPr>
          <w:rFonts w:eastAsia="Calibri"/>
          <w:color w:val="000000"/>
        </w:rPr>
        <w:t xml:space="preserve"> ustekinumabu. Jei gydymas pirmaeiliu biologiniu ligą modifikuojančiu vaistu yra neveiksmingas ar kontraindikuotinas, skiriamas antraeilis ir tolesnis biologinis ligą modifikuojantis vaistas. </w:t>
      </w:r>
      <w:r w:rsidRPr="00AC739B">
        <w:t xml:space="preserve">Pagal Respublikos sveikatos apsaugos ministro  įsakymą „Dėl kompensuojamųjų vaistų sąrašų patvirtinimo“ </w:t>
      </w:r>
      <w:r w:rsidR="00AC739B" w:rsidRPr="00AC739B">
        <w:t>2000 m. sausio 28 d.</w:t>
      </w:r>
      <w:r w:rsidR="00AC739B">
        <w:t>, Nr. 49</w:t>
      </w:r>
      <w:r w:rsidRPr="00AC739B">
        <w:t xml:space="preserve">, visi </w:t>
      </w:r>
      <w:r w:rsidR="00A46B96" w:rsidRPr="00AC739B">
        <w:t>aukščiau</w:t>
      </w:r>
      <w:r w:rsidRPr="00AC739B">
        <w:t xml:space="preserve"> nurodyti </w:t>
      </w:r>
      <w:r w:rsidR="00AC739B">
        <w:t>vaistiniai preparatai</w:t>
      </w:r>
      <w:r w:rsidR="00AC739B" w:rsidRPr="00AC739B">
        <w:t xml:space="preserve"> </w:t>
      </w:r>
      <w:r w:rsidRPr="00AC739B">
        <w:t>yra kompensuojami OK gydymui (TLK-10 AM K51).</w:t>
      </w:r>
      <w:r w:rsidRPr="00AC739B">
        <w:rPr>
          <w:rFonts w:eastAsia="Calibri"/>
          <w:color w:val="000000"/>
        </w:rPr>
        <w:t xml:space="preserve"> </w:t>
      </w:r>
      <w:r w:rsidRPr="00AC739B">
        <w:t xml:space="preserve">Remiantis Valstybinės ligonių kasos duomenimis, 2023 metais opiniam kolitui pagal pacientų skaičių Lietuvoje 2023 m. dažniausiai skiriami </w:t>
      </w:r>
      <w:r w:rsidR="00AC739B">
        <w:t>vaistiniai preparatai</w:t>
      </w:r>
      <w:r w:rsidR="00AC739B" w:rsidRPr="00AC739B">
        <w:t xml:space="preserve"> </w:t>
      </w:r>
      <w:r w:rsidRPr="00AC739B">
        <w:t>buvo vedolizumabas (27,8 proc.), adalimumabas (27,3 proc.), ustekinumabas (18,4 proc.)</w:t>
      </w:r>
      <w:r w:rsidR="00AC739B">
        <w:t xml:space="preserve"> ir</w:t>
      </w:r>
      <w:r w:rsidRPr="00AC739B">
        <w:t xml:space="preserve"> tofacitinibas (13,8 proc.).</w:t>
      </w:r>
    </w:p>
    <w:p w14:paraId="09549CDB" w14:textId="18A8D7A4" w:rsidR="009E07C3" w:rsidRDefault="009E07C3" w:rsidP="009E07C3">
      <w:pPr>
        <w:tabs>
          <w:tab w:val="left" w:pos="426"/>
        </w:tabs>
        <w:spacing w:line="276" w:lineRule="auto"/>
        <w:jc w:val="both"/>
        <w:rPr>
          <w:rFonts w:eastAsia="Calibri"/>
          <w:color w:val="000000"/>
        </w:rPr>
      </w:pPr>
      <w:r w:rsidRPr="00AC739B">
        <w:tab/>
      </w:r>
      <w:r w:rsidRPr="00AC739B">
        <w:rPr>
          <w:rFonts w:eastAsia="Arial"/>
          <w:bCs/>
        </w:rPr>
        <w:t>Vadovaujantis Lietuvos Respublikos sveikatos apsaugos ministro</w:t>
      </w:r>
      <w:r w:rsidR="00A46B96">
        <w:rPr>
          <w:rFonts w:eastAsia="Arial"/>
          <w:bCs/>
        </w:rPr>
        <w:t xml:space="preserve"> </w:t>
      </w:r>
      <w:r w:rsidR="0091083C">
        <w:rPr>
          <w:rFonts w:eastAsia="Arial"/>
          <w:bCs/>
        </w:rPr>
        <w:t>įsakymo</w:t>
      </w:r>
      <w:r w:rsidRPr="00AC739B">
        <w:rPr>
          <w:rFonts w:eastAsia="Arial"/>
          <w:bCs/>
        </w:rPr>
        <w:t xml:space="preserve"> „Dėl vaistinių preparatų ir medicinos pagalbos priemonių įrašymo į kompensavimo sąrašus ir jų keitimo tvarkos aprašo patvirtinimo“ </w:t>
      </w:r>
      <w:r w:rsidR="0091083C" w:rsidRPr="00AC739B">
        <w:rPr>
          <w:rFonts w:eastAsia="Arial"/>
          <w:bCs/>
        </w:rPr>
        <w:t>2002 m. balandžio 5 d.</w:t>
      </w:r>
      <w:r w:rsidR="0091083C">
        <w:rPr>
          <w:rFonts w:eastAsia="Arial"/>
          <w:bCs/>
        </w:rPr>
        <w:t>,</w:t>
      </w:r>
      <w:r w:rsidR="00DD230A">
        <w:rPr>
          <w:rFonts w:eastAsia="Arial"/>
          <w:bCs/>
        </w:rPr>
        <w:t xml:space="preserve"> </w:t>
      </w:r>
      <w:r w:rsidR="0091083C" w:rsidRPr="00AC739B">
        <w:rPr>
          <w:rFonts w:eastAsia="Arial"/>
          <w:bCs/>
        </w:rPr>
        <w:t xml:space="preserve">Nr. V-159 </w:t>
      </w:r>
      <w:r w:rsidRPr="00AC739B">
        <w:rPr>
          <w:rFonts w:eastAsia="Arial"/>
          <w:bCs/>
        </w:rPr>
        <w:t xml:space="preserve">116-119 punktais, nustatyta, kad įprastinę klinikinę praktiką Lietuvoje atitinkantis palyginamasis gydymas yra </w:t>
      </w:r>
      <w:r w:rsidR="0091083C" w:rsidRPr="00AC739B">
        <w:rPr>
          <w:rFonts w:eastAsia="Calibri"/>
        </w:rPr>
        <w:t>vedolizumabas,</w:t>
      </w:r>
      <w:r w:rsidR="0091083C">
        <w:rPr>
          <w:rFonts w:eastAsia="Calibri"/>
        </w:rPr>
        <w:t xml:space="preserve"> </w:t>
      </w:r>
      <w:r w:rsidRPr="00AC739B">
        <w:rPr>
          <w:rFonts w:eastAsia="Arial"/>
          <w:bCs/>
        </w:rPr>
        <w:t xml:space="preserve">adalimumambas, </w:t>
      </w:r>
      <w:r w:rsidR="0091083C" w:rsidRPr="00AC739B">
        <w:rPr>
          <w:rFonts w:eastAsia="Calibri"/>
          <w:color w:val="000000"/>
        </w:rPr>
        <w:t xml:space="preserve">ustekinumabas </w:t>
      </w:r>
      <w:r w:rsidRPr="00AC739B">
        <w:rPr>
          <w:rFonts w:eastAsia="Calibri"/>
          <w:color w:val="000000"/>
        </w:rPr>
        <w:t>ir</w:t>
      </w:r>
      <w:r w:rsidR="00A46B96">
        <w:rPr>
          <w:rFonts w:eastAsia="Calibri"/>
          <w:color w:val="000000"/>
        </w:rPr>
        <w:t xml:space="preserve"> </w:t>
      </w:r>
      <w:r w:rsidR="0091083C" w:rsidRPr="00AC739B">
        <w:rPr>
          <w:rFonts w:eastAsia="Calibri"/>
          <w:color w:val="000000"/>
        </w:rPr>
        <w:t>tofacitinibas</w:t>
      </w:r>
      <w:r w:rsidR="0091083C" w:rsidRPr="00AC739B" w:rsidDel="0091083C">
        <w:rPr>
          <w:rFonts w:eastAsia="Calibri"/>
          <w:color w:val="000000"/>
        </w:rPr>
        <w:t xml:space="preserve"> </w:t>
      </w:r>
      <w:r w:rsidRPr="00AC739B">
        <w:rPr>
          <w:rFonts w:eastAsia="Calibri"/>
          <w:color w:val="000000"/>
        </w:rPr>
        <w:t xml:space="preserve">. </w:t>
      </w:r>
    </w:p>
    <w:p w14:paraId="0A1FA247" w14:textId="2B4D367F" w:rsidR="00674197" w:rsidRDefault="00674197" w:rsidP="00674197">
      <w:pPr>
        <w:spacing w:line="276" w:lineRule="auto"/>
        <w:ind w:firstLine="720"/>
        <w:jc w:val="both"/>
        <w:rPr>
          <w:color w:val="000000"/>
          <w:lang w:eastAsia="lt-LT"/>
        </w:rPr>
      </w:pPr>
      <w:r w:rsidRPr="0034379A">
        <w:rPr>
          <w:color w:val="000000"/>
          <w:lang w:eastAsia="lt-LT"/>
        </w:rPr>
        <w:t xml:space="preserve">Upadacitinibo klinikinis veiksmingumas buvo įvertintas pagal netiesioginio palyginimo </w:t>
      </w:r>
      <w:r w:rsidRPr="0034379A">
        <w:rPr>
          <w:bCs/>
          <w:color w:val="000000"/>
          <w:lang w:eastAsia="lt-LT"/>
        </w:rPr>
        <w:t xml:space="preserve">tinklinės meta-analizės, kurioje upadacitinibo klinikinis veiksmingumas ir saugumas lygintas su adalimumabu/ infliksimabu/ tofacitinibu/ vendolizumabu/ ustekinumabu, kas atitinka įprastą klinikinę praktiką Lietuvoje, </w:t>
      </w:r>
      <w:r w:rsidRPr="0034379A">
        <w:rPr>
          <w:color w:val="000000"/>
          <w:lang w:eastAsia="lt-LT"/>
        </w:rPr>
        <w:t xml:space="preserve">duomenims. Dėl netinkamo palyginamojo gydymo tiesioginio palyginimo tyrimų </w:t>
      </w:r>
      <w:r w:rsidRPr="0034379A">
        <w:rPr>
          <w:bCs/>
          <w:color w:val="000000"/>
          <w:lang w:eastAsia="lt-LT"/>
        </w:rPr>
        <w:t xml:space="preserve">U-ACHIEVE ir U-ACCOMPLISH </w:t>
      </w:r>
      <w:r w:rsidRPr="0034379A">
        <w:rPr>
          <w:color w:val="000000"/>
          <w:lang w:eastAsia="lt-LT"/>
        </w:rPr>
        <w:t>rezultatai laikomi papildoma informacija.</w:t>
      </w:r>
      <w:r>
        <w:rPr>
          <w:color w:val="000000"/>
          <w:lang w:eastAsia="lt-LT"/>
        </w:rPr>
        <w:t xml:space="preserve"> </w:t>
      </w:r>
    </w:p>
    <w:p w14:paraId="066D8A63" w14:textId="77777777" w:rsidR="00674197" w:rsidRPr="00AC739B" w:rsidRDefault="00674197" w:rsidP="009E07C3">
      <w:pPr>
        <w:tabs>
          <w:tab w:val="left" w:pos="426"/>
        </w:tabs>
        <w:spacing w:line="276" w:lineRule="auto"/>
        <w:jc w:val="both"/>
        <w:rPr>
          <w:rFonts w:eastAsia="Calibri"/>
          <w:color w:val="000000"/>
        </w:rPr>
      </w:pPr>
    </w:p>
    <w:p w14:paraId="3BF15023" w14:textId="46A1A82B" w:rsidR="009E07C3" w:rsidRPr="00BE6F06" w:rsidRDefault="009E07C3" w:rsidP="00674197">
      <w:pPr>
        <w:spacing w:line="276" w:lineRule="auto"/>
        <w:jc w:val="both"/>
        <w:rPr>
          <w:bCs/>
          <w:i/>
          <w:iCs/>
          <w:color w:val="000000"/>
          <w:lang w:eastAsia="lt-LT"/>
        </w:rPr>
      </w:pPr>
      <w:r w:rsidRPr="00BE6F06">
        <w:rPr>
          <w:bCs/>
          <w:i/>
          <w:iCs/>
          <w:color w:val="000000"/>
          <w:lang w:eastAsia="lt-LT"/>
        </w:rPr>
        <w:t>Tiesioginis palyginimas</w:t>
      </w:r>
    </w:p>
    <w:p w14:paraId="79DA8CCC" w14:textId="114FFE0A" w:rsidR="006E42B5" w:rsidRPr="00BE6F06" w:rsidRDefault="0091083C" w:rsidP="006E42B5">
      <w:pPr>
        <w:spacing w:line="276" w:lineRule="auto"/>
        <w:jc w:val="both"/>
        <w:rPr>
          <w:rFonts w:eastAsia="Arial"/>
        </w:rPr>
      </w:pPr>
      <w:r w:rsidRPr="00BE6F06">
        <w:tab/>
        <w:t xml:space="preserve">Upadacitinibo palyginamasis veiksmingumas grindžiamas tiesioginio palyginimo </w:t>
      </w:r>
      <w:r w:rsidR="00674197" w:rsidRPr="00BE6F06">
        <w:rPr>
          <w:rFonts w:eastAsia="Arial"/>
          <w:bCs/>
        </w:rPr>
        <w:t xml:space="preserve">III fazės </w:t>
      </w:r>
      <w:r w:rsidRPr="00BE6F06">
        <w:rPr>
          <w:rFonts w:eastAsia="Arial"/>
          <w:bCs/>
        </w:rPr>
        <w:t xml:space="preserve">daugiacentrių, randomizuotų, dvigubai koduotų, placebu kontroliuojamų klinikinių tyrimų duomenimis </w:t>
      </w:r>
      <w:r w:rsidR="00674197" w:rsidRPr="00BE6F06">
        <w:rPr>
          <w:rFonts w:eastAsia="Arial"/>
          <w:bCs/>
        </w:rPr>
        <w:t>(</w:t>
      </w:r>
      <w:r w:rsidRPr="00BE6F06">
        <w:rPr>
          <w:rFonts w:eastAsia="Arial"/>
          <w:bCs/>
        </w:rPr>
        <w:t>du indukcijos tyrim</w:t>
      </w:r>
      <w:r w:rsidR="00674197" w:rsidRPr="00BE6F06">
        <w:rPr>
          <w:rFonts w:eastAsia="Arial"/>
          <w:bCs/>
        </w:rPr>
        <w:t>ai</w:t>
      </w:r>
      <w:r w:rsidRPr="00BE6F06">
        <w:rPr>
          <w:rFonts w:eastAsia="Arial"/>
          <w:bCs/>
        </w:rPr>
        <w:t xml:space="preserve"> U-ACHIEVE substudy 2 (UC1) ir U-ACCOMPLISH (UC2) bei palaikomojo gydymo U-ACHIEVE substudy 3 (UC3) tyrim</w:t>
      </w:r>
      <w:r w:rsidR="00674197" w:rsidRPr="00BE6F06">
        <w:rPr>
          <w:rFonts w:eastAsia="Arial"/>
          <w:bCs/>
        </w:rPr>
        <w:t>as)</w:t>
      </w:r>
      <w:r w:rsidRPr="00BE6F06">
        <w:rPr>
          <w:rFonts w:eastAsia="Arial"/>
          <w:bCs/>
        </w:rPr>
        <w:t xml:space="preserve">. Indukcijos tyrimuose UC1 ir UC2 buvo skiriamas upadacitinbas 45 mg 8 arba 16 sav., palaikomojo gydymo tyrime UC3 – 15 arba 30 mg upadacitinibas 52 sav. </w:t>
      </w:r>
      <w:r w:rsidRPr="00BE6F06">
        <w:t>Įvertinus šių tyrimų duomenis</w:t>
      </w:r>
      <w:r w:rsidRPr="00BE6F06">
        <w:rPr>
          <w:rFonts w:eastAsia="Arial"/>
        </w:rPr>
        <w:t xml:space="preserve">, nustatyta, kad </w:t>
      </w:r>
      <w:r w:rsidR="006E42B5" w:rsidRPr="00BE6F06">
        <w:rPr>
          <w:rFonts w:eastAsia="Arial"/>
          <w:color w:val="000000" w:themeColor="text1"/>
        </w:rPr>
        <w:t>tyrimo populiacija atitinka vertinamą indikaciją</w:t>
      </w:r>
      <w:r w:rsidR="006E42B5" w:rsidRPr="00BE6F06">
        <w:rPr>
          <w:rFonts w:eastAsia="Arial"/>
        </w:rPr>
        <w:t xml:space="preserve">, o </w:t>
      </w:r>
      <w:r w:rsidRPr="00BE6F06">
        <w:rPr>
          <w:rFonts w:eastAsia="Arial"/>
        </w:rPr>
        <w:t>tyrimuose</w:t>
      </w:r>
      <w:r w:rsidRPr="00BE6F06">
        <w:rPr>
          <w:rFonts w:eastAsia="Arial"/>
          <w:bCs/>
        </w:rPr>
        <w:t xml:space="preserve"> U-ACHIEVE ir  U-ACCOMPLISH</w:t>
      </w:r>
      <w:r w:rsidRPr="00BE6F06">
        <w:rPr>
          <w:rFonts w:eastAsia="Arial"/>
        </w:rPr>
        <w:t xml:space="preserve"> naudotas palyginamasis gydymas, placebas, neatitinka įprastos klinikinės praktikos Lietuvoje. </w:t>
      </w:r>
      <w:r w:rsidR="006E42B5" w:rsidRPr="00BE6F06">
        <w:rPr>
          <w:color w:val="000000"/>
          <w:lang w:eastAsia="lt-LT"/>
        </w:rPr>
        <w:t xml:space="preserve">Dėl šios priežasties klinikinės </w:t>
      </w:r>
      <w:r w:rsidR="006E42B5" w:rsidRPr="00BE6F06">
        <w:rPr>
          <w:color w:val="000000"/>
          <w:lang w:eastAsia="lt-LT"/>
        </w:rPr>
        <w:lastRenderedPageBreak/>
        <w:t xml:space="preserve">remisijos, klinikinio atsako ir  endoskopinio pagerėjimo pacientų, gydytų </w:t>
      </w:r>
      <w:r w:rsidR="006E42B5" w:rsidRPr="00BE6F06">
        <w:rPr>
          <w:rFonts w:eastAsia="Arial"/>
        </w:rPr>
        <w:t xml:space="preserve">upadacitinibu, </w:t>
      </w:r>
      <w:r w:rsidR="006E42B5" w:rsidRPr="00BE6F06">
        <w:rPr>
          <w:color w:val="000000"/>
          <w:lang w:eastAsia="lt-LT"/>
        </w:rPr>
        <w:t xml:space="preserve">duomenys </w:t>
      </w:r>
      <w:r w:rsidR="00D260FF" w:rsidRPr="00BE6F06">
        <w:rPr>
          <w:color w:val="000000"/>
          <w:lang w:eastAsia="lt-LT"/>
        </w:rPr>
        <w:t>buvo</w:t>
      </w:r>
      <w:r w:rsidR="006E42B5" w:rsidRPr="00BE6F06">
        <w:rPr>
          <w:color w:val="000000"/>
          <w:lang w:eastAsia="lt-LT"/>
        </w:rPr>
        <w:t xml:space="preserve"> vertinami netiesioginėje analizėje atsižvelgiant į įprastą klinikinę praktik</w:t>
      </w:r>
      <w:r w:rsidR="00230DD9" w:rsidRPr="00BE6F06">
        <w:rPr>
          <w:color w:val="000000"/>
          <w:lang w:eastAsia="lt-LT"/>
        </w:rPr>
        <w:t>ą</w:t>
      </w:r>
      <w:r w:rsidR="006E42B5" w:rsidRPr="00BE6F06">
        <w:rPr>
          <w:color w:val="000000"/>
          <w:lang w:eastAsia="lt-LT"/>
        </w:rPr>
        <w:t xml:space="preserve"> Lietuvoje. </w:t>
      </w:r>
    </w:p>
    <w:p w14:paraId="31D75AA1" w14:textId="3ED7347E" w:rsidR="009E07C3" w:rsidRPr="006E42B5" w:rsidRDefault="009E07C3" w:rsidP="009E07C3">
      <w:pPr>
        <w:tabs>
          <w:tab w:val="left" w:pos="492"/>
        </w:tabs>
        <w:spacing w:line="276" w:lineRule="auto"/>
        <w:jc w:val="both"/>
        <w:outlineLvl w:val="1"/>
        <w:rPr>
          <w:rFonts w:eastAsia="Arial"/>
        </w:rPr>
      </w:pPr>
    </w:p>
    <w:p w14:paraId="39966AEA" w14:textId="2D9760FB" w:rsidR="009E07C3" w:rsidRPr="00AC739B" w:rsidRDefault="009E07C3" w:rsidP="009E07C3">
      <w:pPr>
        <w:tabs>
          <w:tab w:val="left" w:pos="492"/>
        </w:tabs>
        <w:spacing w:line="276" w:lineRule="auto"/>
        <w:jc w:val="both"/>
        <w:outlineLvl w:val="1"/>
        <w:rPr>
          <w:rFonts w:eastAsia="Arial"/>
          <w:bCs/>
          <w:i/>
          <w:iCs/>
        </w:rPr>
      </w:pPr>
      <w:r w:rsidRPr="00AC739B">
        <w:rPr>
          <w:rFonts w:eastAsia="Arial"/>
          <w:bCs/>
          <w:i/>
          <w:iCs/>
        </w:rPr>
        <w:t xml:space="preserve">Netiesioginis palyginimas </w:t>
      </w:r>
    </w:p>
    <w:p w14:paraId="5A905C83" w14:textId="15AB8DB6" w:rsidR="009E07C3" w:rsidRPr="00AC739B" w:rsidRDefault="00674197" w:rsidP="009E07C3">
      <w:pPr>
        <w:spacing w:line="276" w:lineRule="auto"/>
        <w:ind w:firstLine="720"/>
        <w:jc w:val="both"/>
        <w:rPr>
          <w:rFonts w:eastAsia="Arial"/>
          <w:bCs/>
        </w:rPr>
      </w:pPr>
      <w:r>
        <w:t>Upadacitinibo klinikinis</w:t>
      </w:r>
      <w:r w:rsidRPr="00B301CF">
        <w:t xml:space="preserve"> veiksmingumas grindžiamas</w:t>
      </w:r>
      <w:r w:rsidRPr="00AC739B">
        <w:rPr>
          <w:rFonts w:eastAsia="Arial"/>
          <w:bCs/>
        </w:rPr>
        <w:t xml:space="preserve"> </w:t>
      </w:r>
      <w:r>
        <w:rPr>
          <w:rFonts w:eastAsia="Arial"/>
          <w:bCs/>
        </w:rPr>
        <w:t>n</w:t>
      </w:r>
      <w:r w:rsidR="009E07C3" w:rsidRPr="00AC739B">
        <w:rPr>
          <w:rFonts w:eastAsia="Arial"/>
          <w:bCs/>
        </w:rPr>
        <w:t>etiesioginio palyginimo tinklin</w:t>
      </w:r>
      <w:r>
        <w:rPr>
          <w:rFonts w:eastAsia="Arial"/>
          <w:bCs/>
        </w:rPr>
        <w:t>ės</w:t>
      </w:r>
      <w:r w:rsidR="009E07C3" w:rsidRPr="00AC739B">
        <w:rPr>
          <w:rFonts w:eastAsia="Arial"/>
          <w:bCs/>
        </w:rPr>
        <w:t xml:space="preserve"> meta-an</w:t>
      </w:r>
      <w:r>
        <w:rPr>
          <w:rFonts w:eastAsia="Arial"/>
          <w:bCs/>
        </w:rPr>
        <w:t>a</w:t>
      </w:r>
      <w:r w:rsidR="009E07C3" w:rsidRPr="00AC739B">
        <w:rPr>
          <w:rFonts w:eastAsia="Arial"/>
          <w:bCs/>
        </w:rPr>
        <w:t>liz</w:t>
      </w:r>
      <w:r>
        <w:rPr>
          <w:rFonts w:eastAsia="Arial"/>
          <w:bCs/>
        </w:rPr>
        <w:t>ės</w:t>
      </w:r>
      <w:r w:rsidR="009E07C3" w:rsidRPr="00AC739B">
        <w:rPr>
          <w:rFonts w:eastAsia="Arial"/>
          <w:bCs/>
        </w:rPr>
        <w:t xml:space="preserve"> (2022 m.) į kurią įtraukti klinikiniai tyrimai, vertinę Europos vaistų agentūros EMA patvirtintus JAK inhibitorius ir biologinius vaistus skirtus vidutinio aktyvumo ir sunkaus OK gydymui, taip pat naujus gydymo būdus su atitinkamais ir turimais 3 klinikinės fazės duomenimis, įskaitant upadacitinibą</w:t>
      </w:r>
      <w:r>
        <w:rPr>
          <w:rFonts w:eastAsia="Arial"/>
          <w:bCs/>
        </w:rPr>
        <w:t>, duomenimis</w:t>
      </w:r>
      <w:r w:rsidR="009E07C3" w:rsidRPr="00AC739B">
        <w:rPr>
          <w:rFonts w:eastAsia="Arial"/>
          <w:bCs/>
        </w:rPr>
        <w:t xml:space="preserve">. Pagal Lietuvoje šiuo metu galiojančią OK gydymo tvarką, aktualiais laikyti tie tyrimai, kuriuose vertintas gydymas LR kompensuojamaisiais </w:t>
      </w:r>
      <w:r w:rsidR="00FB6C10">
        <w:rPr>
          <w:rFonts w:eastAsia="Arial"/>
          <w:bCs/>
        </w:rPr>
        <w:t>vaistiniais preparatais</w:t>
      </w:r>
      <w:r w:rsidR="009E07C3" w:rsidRPr="00AC739B">
        <w:rPr>
          <w:rFonts w:eastAsia="Arial"/>
          <w:bCs/>
        </w:rPr>
        <w:t xml:space="preserve"> (infliksimambu, adalimumabu, vedolizumabu, tofacitinibu ir ustekinumabu) bei svarstomu kompensuoti vaistiniu preparatu upacitinibu. Į netiesioginio palyginimo meta</w:t>
      </w:r>
      <w:r w:rsidR="00317D96">
        <w:rPr>
          <w:rFonts w:eastAsia="Arial"/>
          <w:bCs/>
        </w:rPr>
        <w:t>-</w:t>
      </w:r>
      <w:r w:rsidR="009E07C3" w:rsidRPr="00AC739B">
        <w:rPr>
          <w:rFonts w:eastAsia="Arial"/>
          <w:bCs/>
        </w:rPr>
        <w:t>an</w:t>
      </w:r>
      <w:r>
        <w:rPr>
          <w:rFonts w:eastAsia="Arial"/>
          <w:bCs/>
        </w:rPr>
        <w:t>a</w:t>
      </w:r>
      <w:r w:rsidR="009E07C3" w:rsidRPr="00AC739B">
        <w:rPr>
          <w:rFonts w:eastAsia="Arial"/>
          <w:bCs/>
        </w:rPr>
        <w:t xml:space="preserve">lizę įtraukti 18 aktualių placebu kontroliuojamų, dvigubai </w:t>
      </w:r>
      <w:r>
        <w:rPr>
          <w:rFonts w:eastAsia="Arial"/>
          <w:bCs/>
        </w:rPr>
        <w:t>koduotų</w:t>
      </w:r>
      <w:r w:rsidRPr="00AC739B">
        <w:rPr>
          <w:rFonts w:eastAsia="Arial"/>
          <w:bCs/>
        </w:rPr>
        <w:t xml:space="preserve"> </w:t>
      </w:r>
      <w:r w:rsidR="009E07C3" w:rsidRPr="00AC739B">
        <w:rPr>
          <w:rFonts w:eastAsia="Arial"/>
          <w:bCs/>
        </w:rPr>
        <w:t xml:space="preserve">tyrimų. </w:t>
      </w:r>
    </w:p>
    <w:p w14:paraId="6F39EEB2" w14:textId="5C927407" w:rsidR="009E07C3" w:rsidRPr="00AC739B" w:rsidRDefault="009E07C3" w:rsidP="009E07C3">
      <w:pPr>
        <w:tabs>
          <w:tab w:val="left" w:pos="492"/>
        </w:tabs>
        <w:spacing w:line="276" w:lineRule="auto"/>
        <w:jc w:val="both"/>
        <w:outlineLvl w:val="1"/>
        <w:rPr>
          <w:rFonts w:eastAsia="Arial"/>
          <w:bCs/>
        </w:rPr>
      </w:pPr>
      <w:r w:rsidRPr="00AC739B">
        <w:rPr>
          <w:rFonts w:eastAsia="Arial"/>
          <w:bCs/>
        </w:rPr>
        <w:tab/>
        <w:t xml:space="preserve">Į tyrimus įtraukti ≥16 metų pacientai, sergantys vidutinio sunkumo arba sunkiu OK, kuriems ankstesnis gydymas įprastais </w:t>
      </w:r>
      <w:r w:rsidR="00FB6C10">
        <w:rPr>
          <w:rFonts w:eastAsia="Arial"/>
          <w:bCs/>
        </w:rPr>
        <w:t>vaistiniais preparatais</w:t>
      </w:r>
      <w:r w:rsidRPr="00AC739B">
        <w:rPr>
          <w:rFonts w:eastAsia="Arial"/>
          <w:bCs/>
        </w:rPr>
        <w:t xml:space="preserve"> (t.y.kortikosteroidais, merkaptopurinu ar azatioprinu) arba biologiniais preparatais buvo neefektyvus, jo netoleravo ar buvo kontraindikacijų jų vartojimui. Vidutinio sunkumo ir sunkus OK daugelyje tyrimų apibrėžtas pagal Mayo skalę, įtraukti pacientai surinkę nuo 6 iki 12 balų arba nuo 5 iki 9 balų pagal adaptuotą Mayo skale. </w:t>
      </w:r>
    </w:p>
    <w:p w14:paraId="4E44AAE7" w14:textId="18D0BF1A" w:rsidR="008D734F" w:rsidRDefault="009E07C3" w:rsidP="009E07C3">
      <w:pPr>
        <w:tabs>
          <w:tab w:val="left" w:pos="492"/>
        </w:tabs>
        <w:spacing w:line="276" w:lineRule="auto"/>
        <w:jc w:val="both"/>
        <w:outlineLvl w:val="1"/>
        <w:rPr>
          <w:rFonts w:eastAsia="Arial"/>
          <w:bCs/>
        </w:rPr>
      </w:pPr>
      <w:r w:rsidRPr="00AC739B">
        <w:rPr>
          <w:rFonts w:eastAsia="Arial"/>
          <w:bCs/>
        </w:rPr>
        <w:tab/>
        <w:t xml:space="preserve">Netiesioginio palyginimo tinklinėje meta-analizėje pateiktas palyginimas </w:t>
      </w:r>
      <w:r w:rsidR="0015562D" w:rsidRPr="00AC739B">
        <w:rPr>
          <w:rFonts w:eastAsia="Arial"/>
          <w:bCs/>
        </w:rPr>
        <w:t>žvaig</w:t>
      </w:r>
      <w:r w:rsidR="0015562D">
        <w:rPr>
          <w:rFonts w:eastAsia="Arial"/>
          <w:bCs/>
        </w:rPr>
        <w:t>ž</w:t>
      </w:r>
      <w:r w:rsidR="0015562D" w:rsidRPr="00AC739B">
        <w:rPr>
          <w:rFonts w:eastAsia="Arial"/>
          <w:bCs/>
        </w:rPr>
        <w:t>dės</w:t>
      </w:r>
      <w:r w:rsidRPr="00AC739B">
        <w:rPr>
          <w:rFonts w:eastAsia="Arial"/>
          <w:bCs/>
        </w:rPr>
        <w:t xml:space="preserve"> formos tinkle (t.y. visi </w:t>
      </w:r>
      <w:r w:rsidR="00674197">
        <w:rPr>
          <w:rFonts w:eastAsia="Arial"/>
          <w:bCs/>
        </w:rPr>
        <w:t>vaistiniai preparatai</w:t>
      </w:r>
      <w:r w:rsidR="00674197" w:rsidRPr="00AC739B">
        <w:rPr>
          <w:rFonts w:eastAsia="Arial"/>
          <w:bCs/>
        </w:rPr>
        <w:t xml:space="preserve"> </w:t>
      </w:r>
      <w:r w:rsidRPr="00AC739B">
        <w:rPr>
          <w:rFonts w:eastAsia="Arial"/>
          <w:bCs/>
        </w:rPr>
        <w:t xml:space="preserve">lyginti tik su placebu). Tokio </w:t>
      </w:r>
      <w:r w:rsidR="008B6DB8">
        <w:rPr>
          <w:rFonts w:eastAsia="Arial"/>
          <w:bCs/>
        </w:rPr>
        <w:t xml:space="preserve"> </w:t>
      </w:r>
      <w:r w:rsidR="0015562D">
        <w:rPr>
          <w:rFonts w:eastAsia="Arial"/>
          <w:bCs/>
        </w:rPr>
        <w:t>tipo</w:t>
      </w:r>
      <w:r w:rsidR="0015562D" w:rsidRPr="00AC739B">
        <w:rPr>
          <w:rFonts w:eastAsia="Arial"/>
          <w:bCs/>
        </w:rPr>
        <w:t xml:space="preserve"> </w:t>
      </w:r>
      <w:r w:rsidRPr="00AC739B">
        <w:rPr>
          <w:rFonts w:eastAsia="Arial"/>
          <w:bCs/>
        </w:rPr>
        <w:t>analizė yra jautri įtrauktų tyrimų metodologiniam skirtumams. Atsižvelgiant į tinklinę meta-analizę įtrauktų tyrimų metodologinius skirtumus ir sugretinamo pobūdžio analizę (kai rezultatai pateikiami sulyginant vaistinių preparatų efektyvumą su placebu), analizės rezultatai vertinami kaip pakankami pagrįsti iš esmės nesiskiriantį efektyvumą ir veiksmingumą lyginant su  įprasta klinikine praktika.</w:t>
      </w:r>
    </w:p>
    <w:p w14:paraId="1AAD8250" w14:textId="5B0EBA60" w:rsidR="008D734F" w:rsidRPr="00961218" w:rsidRDefault="0034379A" w:rsidP="009E07C3">
      <w:pPr>
        <w:tabs>
          <w:tab w:val="left" w:pos="492"/>
        </w:tabs>
        <w:spacing w:line="276" w:lineRule="auto"/>
        <w:jc w:val="both"/>
        <w:outlineLvl w:val="1"/>
        <w:rPr>
          <w:rFonts w:eastAsia="Arial"/>
          <w:b/>
          <w:i/>
          <w:iCs/>
        </w:rPr>
      </w:pPr>
      <w:r>
        <w:rPr>
          <w:rFonts w:eastAsia="Arial"/>
          <w:b/>
        </w:rPr>
        <w:tab/>
      </w:r>
      <w:r w:rsidR="008D734F" w:rsidRPr="00961218">
        <w:rPr>
          <w:rFonts w:eastAsia="Arial"/>
          <w:b/>
          <w:i/>
          <w:iCs/>
        </w:rPr>
        <w:t xml:space="preserve">Indukcijos tyrimai: </w:t>
      </w:r>
    </w:p>
    <w:p w14:paraId="13BB1403" w14:textId="4EB793CE" w:rsidR="008D734F" w:rsidRDefault="009E07C3" w:rsidP="009E07C3">
      <w:pPr>
        <w:tabs>
          <w:tab w:val="left" w:pos="492"/>
        </w:tabs>
        <w:spacing w:line="276" w:lineRule="auto"/>
        <w:jc w:val="both"/>
        <w:outlineLvl w:val="1"/>
        <w:rPr>
          <w:rFonts w:eastAsia="Arial"/>
          <w:bCs/>
        </w:rPr>
      </w:pPr>
      <w:r w:rsidRPr="00AC739B">
        <w:rPr>
          <w:rFonts w:eastAsia="Arial"/>
          <w:bCs/>
        </w:rPr>
        <w:tab/>
      </w:r>
      <w:r w:rsidR="008D734F" w:rsidRPr="00722694">
        <w:rPr>
          <w:rFonts w:eastAsia="Arial"/>
          <w:bCs/>
          <w:u w:val="single"/>
        </w:rPr>
        <w:t>Klinikinė remisija:</w:t>
      </w:r>
      <w:r w:rsidR="008D734F">
        <w:rPr>
          <w:rFonts w:eastAsia="Arial"/>
          <w:bCs/>
        </w:rPr>
        <w:t xml:space="preserve"> </w:t>
      </w:r>
      <w:r w:rsidRPr="00AC739B">
        <w:rPr>
          <w:rFonts w:eastAsia="Arial"/>
          <w:bCs/>
        </w:rPr>
        <w:t xml:space="preserve">lyginant su placebu,  klinikinę remisiją didžiausias šansas buvo vartojant upadacitinibą 45 mg </w:t>
      </w:r>
      <w:r w:rsidR="008D734F" w:rsidRPr="00AC739B">
        <w:rPr>
          <w:rFonts w:eastAsia="Arial"/>
          <w:bCs/>
        </w:rPr>
        <w:t>(ŠS: 9,80 [95 proc. PI 5,23 – 24,98])</w:t>
      </w:r>
      <w:r w:rsidR="008D734F">
        <w:rPr>
          <w:rFonts w:eastAsia="Arial"/>
          <w:bCs/>
        </w:rPr>
        <w:t xml:space="preserve">, </w:t>
      </w:r>
      <w:r w:rsidRPr="00AC739B">
        <w:rPr>
          <w:rFonts w:eastAsia="Arial"/>
          <w:bCs/>
        </w:rPr>
        <w:t>(ŠS mediana: 9,58 [95 proc. PI 4,02-25,83])</w:t>
      </w:r>
      <w:r w:rsidR="008D734F">
        <w:rPr>
          <w:rFonts w:eastAsia="Arial"/>
          <w:bCs/>
        </w:rPr>
        <w:t xml:space="preserve">, nepriklausomai, nuo to ar buvo vartoję biologinius vaistus, ar ne. Biologinių vaistų nevartojusių </w:t>
      </w:r>
      <w:r w:rsidR="00743730">
        <w:rPr>
          <w:rFonts w:eastAsia="Arial"/>
          <w:bCs/>
        </w:rPr>
        <w:t xml:space="preserve">pacientų populiacijoje </w:t>
      </w:r>
      <w:r w:rsidRPr="00AC739B">
        <w:rPr>
          <w:rFonts w:eastAsia="Arial"/>
          <w:bCs/>
        </w:rPr>
        <w:t xml:space="preserve">klinikinės remisijos šansas lyginant su placebu vartojant vedolizumabą 300 mg </w:t>
      </w:r>
      <w:r w:rsidR="00743730">
        <w:rPr>
          <w:rFonts w:eastAsia="Arial"/>
          <w:bCs/>
        </w:rPr>
        <w:t xml:space="preserve">buvo </w:t>
      </w:r>
      <w:r w:rsidRPr="00AC739B">
        <w:rPr>
          <w:rFonts w:eastAsia="Arial"/>
          <w:bCs/>
        </w:rPr>
        <w:t>3,28 [95 proc. PI 1,44-7,92], tofacitinibą 10 mg</w:t>
      </w:r>
      <w:r w:rsidR="00743730">
        <w:rPr>
          <w:rFonts w:eastAsia="Arial"/>
          <w:bCs/>
        </w:rPr>
        <w:t xml:space="preserve"> </w:t>
      </w:r>
      <w:r w:rsidRPr="00AC739B">
        <w:rPr>
          <w:rFonts w:eastAsia="Arial"/>
          <w:bCs/>
        </w:rPr>
        <w:t>2,3 [95 proc. PI 1,07-5,27]</w:t>
      </w:r>
      <w:r w:rsidR="00743730">
        <w:rPr>
          <w:rFonts w:eastAsia="Arial"/>
          <w:bCs/>
        </w:rPr>
        <w:t xml:space="preserve">, o vartojusiems -  </w:t>
      </w:r>
      <w:r w:rsidRPr="00AC739B">
        <w:rPr>
          <w:rFonts w:eastAsia="Arial"/>
          <w:bCs/>
        </w:rPr>
        <w:t>5,90 [95 proc. PI 2,57 – 17,08]</w:t>
      </w:r>
      <w:r w:rsidR="00743730">
        <w:rPr>
          <w:rFonts w:eastAsia="Arial"/>
          <w:bCs/>
        </w:rPr>
        <w:t xml:space="preserve"> vartojant </w:t>
      </w:r>
      <w:r w:rsidR="00743730" w:rsidRPr="00AC739B">
        <w:rPr>
          <w:rFonts w:eastAsia="Arial"/>
          <w:bCs/>
        </w:rPr>
        <w:t>ustekinumabą 6 mg</w:t>
      </w:r>
      <w:r w:rsidRPr="00AC739B">
        <w:rPr>
          <w:rFonts w:eastAsia="Arial"/>
          <w:bCs/>
        </w:rPr>
        <w:t xml:space="preserve">, </w:t>
      </w:r>
      <w:r w:rsidR="00743730" w:rsidRPr="00AC739B">
        <w:rPr>
          <w:rFonts w:eastAsia="Arial"/>
          <w:bCs/>
        </w:rPr>
        <w:t>5,20</w:t>
      </w:r>
      <w:r w:rsidR="00743730">
        <w:rPr>
          <w:rFonts w:eastAsia="Arial"/>
          <w:bCs/>
        </w:rPr>
        <w:t xml:space="preserve"> </w:t>
      </w:r>
      <w:r w:rsidR="00743730" w:rsidRPr="00AC739B">
        <w:rPr>
          <w:rFonts w:eastAsia="Arial"/>
          <w:bCs/>
        </w:rPr>
        <w:t>[95 proc. PI 2,73 – 12,20]</w:t>
      </w:r>
      <w:r w:rsidR="00743730">
        <w:rPr>
          <w:rFonts w:eastAsia="Arial"/>
          <w:bCs/>
        </w:rPr>
        <w:t>)</w:t>
      </w:r>
      <w:r w:rsidR="00743730" w:rsidRPr="00AC739B">
        <w:rPr>
          <w:rFonts w:eastAsia="Arial"/>
          <w:bCs/>
        </w:rPr>
        <w:t xml:space="preserve"> </w:t>
      </w:r>
      <w:r w:rsidRPr="00AC739B">
        <w:rPr>
          <w:rFonts w:eastAsia="Arial"/>
          <w:bCs/>
        </w:rPr>
        <w:t xml:space="preserve">tofacitinibą 10 mg, </w:t>
      </w:r>
      <w:r w:rsidR="00743730" w:rsidRPr="00AC739B">
        <w:rPr>
          <w:rFonts w:eastAsia="Arial"/>
          <w:bCs/>
        </w:rPr>
        <w:t>3,2 [95 proc. PI 1,34 – 7,08]</w:t>
      </w:r>
      <w:r w:rsidR="00743730">
        <w:rPr>
          <w:rFonts w:eastAsia="Arial"/>
          <w:bCs/>
        </w:rPr>
        <w:t xml:space="preserve"> </w:t>
      </w:r>
      <w:r w:rsidRPr="00AC739B">
        <w:rPr>
          <w:rFonts w:eastAsia="Arial"/>
          <w:bCs/>
        </w:rPr>
        <w:t>vedolizumabą 300 mg</w:t>
      </w:r>
      <w:r w:rsidR="00743730">
        <w:rPr>
          <w:rFonts w:eastAsia="Arial"/>
          <w:bCs/>
        </w:rPr>
        <w:t>.</w:t>
      </w:r>
    </w:p>
    <w:p w14:paraId="050790E1" w14:textId="336D77EB" w:rsidR="00743730" w:rsidRDefault="00743730" w:rsidP="009E07C3">
      <w:pPr>
        <w:tabs>
          <w:tab w:val="left" w:pos="492"/>
        </w:tabs>
        <w:spacing w:line="276" w:lineRule="auto"/>
        <w:jc w:val="both"/>
        <w:outlineLvl w:val="1"/>
        <w:rPr>
          <w:rFonts w:eastAsia="Arial"/>
          <w:bCs/>
        </w:rPr>
      </w:pPr>
      <w:r>
        <w:rPr>
          <w:rFonts w:eastAsia="Arial"/>
          <w:bCs/>
        </w:rPr>
        <w:tab/>
      </w:r>
      <w:r w:rsidRPr="00722694">
        <w:rPr>
          <w:rFonts w:eastAsia="Arial"/>
          <w:bCs/>
          <w:u w:val="single"/>
        </w:rPr>
        <w:t>Klinikinis atsakas:</w:t>
      </w:r>
      <w:r>
        <w:rPr>
          <w:rFonts w:eastAsia="Arial"/>
          <w:bCs/>
        </w:rPr>
        <w:t xml:space="preserve"> </w:t>
      </w:r>
      <w:r w:rsidRPr="00AC739B">
        <w:rPr>
          <w:rFonts w:eastAsia="Arial"/>
          <w:bCs/>
        </w:rPr>
        <w:t>lyginant su placebu,</w:t>
      </w:r>
      <w:r>
        <w:rPr>
          <w:rFonts w:eastAsia="Arial"/>
          <w:bCs/>
        </w:rPr>
        <w:t xml:space="preserve"> klinikinį atsaką pasiekti didžiausias šansas buvo vartojant  </w:t>
      </w:r>
      <w:r w:rsidRPr="00AC739B">
        <w:rPr>
          <w:rFonts w:eastAsia="Arial"/>
          <w:bCs/>
        </w:rPr>
        <w:t>upadacitinibą 45 mg (ŠS:</w:t>
      </w:r>
      <w:r w:rsidRPr="00AC739B">
        <w:rPr>
          <w:bCs/>
        </w:rPr>
        <w:t xml:space="preserve"> </w:t>
      </w:r>
      <w:r w:rsidRPr="00AC739B">
        <w:rPr>
          <w:rFonts w:eastAsia="Arial"/>
          <w:bCs/>
        </w:rPr>
        <w:t>13,56 [95 proc. PI 7,23 – 26,41]</w:t>
      </w:r>
      <w:r>
        <w:rPr>
          <w:rFonts w:eastAsia="Arial"/>
          <w:bCs/>
        </w:rPr>
        <w:t xml:space="preserve">), </w:t>
      </w:r>
      <w:r w:rsidRPr="00AC739B">
        <w:rPr>
          <w:rFonts w:eastAsia="Arial"/>
          <w:bCs/>
        </w:rPr>
        <w:t>(ŠS: 6,9 [95 proc. PI 4,59 – 10,53])</w:t>
      </w:r>
      <w:r>
        <w:rPr>
          <w:rFonts w:eastAsia="Arial"/>
          <w:bCs/>
        </w:rPr>
        <w:t xml:space="preserve"> nepriklausomai, nuo to ar buvo vartoję biologinius vaistus, ar ne. Biologinių vaistų nevartojusių pacientų populiacijoje klinikinio atsako šansas vartojant </w:t>
      </w:r>
      <w:r w:rsidR="009E07C3" w:rsidRPr="00AC739B">
        <w:rPr>
          <w:rFonts w:eastAsia="Arial"/>
          <w:bCs/>
        </w:rPr>
        <w:t xml:space="preserve">ustekinumabą 6 mg </w:t>
      </w:r>
      <w:r>
        <w:rPr>
          <w:rFonts w:eastAsia="Arial"/>
          <w:bCs/>
        </w:rPr>
        <w:t xml:space="preserve"> buvo</w:t>
      </w:r>
      <w:r w:rsidR="009E07C3" w:rsidRPr="00AC739B">
        <w:rPr>
          <w:rFonts w:eastAsia="Arial"/>
          <w:bCs/>
        </w:rPr>
        <w:t xml:space="preserve"> 3,62 [95 proc. PI 2,12 – 6,23], tofacitinibą</w:t>
      </w:r>
      <w:r w:rsidR="009E07C3" w:rsidRPr="00AC739B">
        <w:rPr>
          <w:bCs/>
        </w:rPr>
        <w:t xml:space="preserve"> </w:t>
      </w:r>
      <w:r>
        <w:rPr>
          <w:bCs/>
        </w:rPr>
        <w:t xml:space="preserve">- </w:t>
      </w:r>
      <w:r w:rsidR="009E07C3" w:rsidRPr="00AC739B">
        <w:rPr>
          <w:rFonts w:eastAsia="Arial"/>
          <w:bCs/>
        </w:rPr>
        <w:t xml:space="preserve">3,13 [95 proc. PI 2,05 – 4,67], vedolizumabą 300 mg </w:t>
      </w:r>
      <w:r>
        <w:rPr>
          <w:rFonts w:eastAsia="Arial"/>
          <w:bCs/>
        </w:rPr>
        <w:t xml:space="preserve">- </w:t>
      </w:r>
      <w:r w:rsidR="009E07C3" w:rsidRPr="00AC739B">
        <w:rPr>
          <w:rFonts w:eastAsia="Arial"/>
          <w:bCs/>
        </w:rPr>
        <w:t xml:space="preserve"> 2,11 [95 proc. PI 1,33 – 3,39], adalimumabą 160/80 2,17 [95 proc. PI 1,53 – 3,03]. Biologinius vaistus vartojusių pacientų populiacijoje </w:t>
      </w:r>
      <w:r>
        <w:rPr>
          <w:rFonts w:eastAsia="Arial"/>
          <w:bCs/>
        </w:rPr>
        <w:t xml:space="preserve">- </w:t>
      </w:r>
      <w:r w:rsidRPr="00AC739B">
        <w:rPr>
          <w:rFonts w:eastAsia="Arial"/>
          <w:bCs/>
        </w:rPr>
        <w:t>3,84</w:t>
      </w:r>
      <w:r>
        <w:rPr>
          <w:rFonts w:eastAsia="Arial"/>
          <w:bCs/>
        </w:rPr>
        <w:t xml:space="preserve"> </w:t>
      </w:r>
      <w:r w:rsidRPr="00AC739B">
        <w:rPr>
          <w:rFonts w:eastAsia="Arial"/>
          <w:bCs/>
        </w:rPr>
        <w:t>[95 proc. PI 2,08 – 7,24]</w:t>
      </w:r>
      <w:r>
        <w:rPr>
          <w:rFonts w:eastAsia="Arial"/>
          <w:bCs/>
        </w:rPr>
        <w:t xml:space="preserve"> vartojant </w:t>
      </w:r>
      <w:r w:rsidR="009E07C3" w:rsidRPr="00AC739B">
        <w:rPr>
          <w:rFonts w:eastAsia="Arial"/>
          <w:bCs/>
        </w:rPr>
        <w:t>tofacitinibą 10 mg</w:t>
      </w:r>
      <w:r>
        <w:rPr>
          <w:rFonts w:eastAsia="Arial"/>
          <w:bCs/>
        </w:rPr>
        <w:t xml:space="preserve">, </w:t>
      </w:r>
      <w:r w:rsidRPr="00AC739B">
        <w:rPr>
          <w:rFonts w:eastAsia="Arial"/>
          <w:bCs/>
        </w:rPr>
        <w:t>3,59 [95 proc. PI 1,66 – 7,71]</w:t>
      </w:r>
      <w:r>
        <w:rPr>
          <w:rFonts w:eastAsia="Arial"/>
          <w:bCs/>
        </w:rPr>
        <w:t xml:space="preserve"> - </w:t>
      </w:r>
      <w:r w:rsidR="009E07C3" w:rsidRPr="00AC739B">
        <w:rPr>
          <w:rFonts w:eastAsia="Arial"/>
          <w:bCs/>
        </w:rPr>
        <w:t>ustekinumabą 6 mg</w:t>
      </w:r>
      <w:r>
        <w:rPr>
          <w:rFonts w:eastAsia="Arial"/>
          <w:bCs/>
        </w:rPr>
        <w:t xml:space="preserve">. </w:t>
      </w:r>
    </w:p>
    <w:p w14:paraId="03E797B7" w14:textId="401BBE5A" w:rsidR="009E07C3" w:rsidRDefault="00743730" w:rsidP="009E07C3">
      <w:pPr>
        <w:tabs>
          <w:tab w:val="left" w:pos="492"/>
        </w:tabs>
        <w:spacing w:line="276" w:lineRule="auto"/>
        <w:jc w:val="both"/>
        <w:outlineLvl w:val="1"/>
        <w:rPr>
          <w:rFonts w:eastAsia="Arial"/>
          <w:bCs/>
        </w:rPr>
      </w:pPr>
      <w:r>
        <w:rPr>
          <w:rFonts w:eastAsia="Arial"/>
          <w:bCs/>
        </w:rPr>
        <w:tab/>
      </w:r>
      <w:r w:rsidRPr="00722694">
        <w:rPr>
          <w:rFonts w:eastAsia="Arial"/>
          <w:bCs/>
          <w:u w:val="single"/>
        </w:rPr>
        <w:t xml:space="preserve">Endoskopinis pagerėjimas: </w:t>
      </w:r>
      <w:r w:rsidRPr="00AC739B">
        <w:rPr>
          <w:rFonts w:eastAsia="Arial"/>
          <w:bCs/>
        </w:rPr>
        <w:t>lyginant su placebu,</w:t>
      </w:r>
      <w:r>
        <w:rPr>
          <w:rFonts w:eastAsia="Arial"/>
          <w:bCs/>
        </w:rPr>
        <w:t xml:space="preserve"> endoskopinį pagerėjimą pasiekti didžiausias šansas buvo vartojant  </w:t>
      </w:r>
      <w:r w:rsidRPr="00AC739B">
        <w:rPr>
          <w:rFonts w:eastAsia="Arial"/>
          <w:bCs/>
        </w:rPr>
        <w:t>upadacitinibą 45 mg</w:t>
      </w:r>
      <w:r>
        <w:rPr>
          <w:rFonts w:eastAsia="Arial"/>
          <w:bCs/>
        </w:rPr>
        <w:t xml:space="preserve"> </w:t>
      </w:r>
      <w:r w:rsidRPr="00AC739B">
        <w:rPr>
          <w:rFonts w:eastAsia="Arial"/>
          <w:bCs/>
        </w:rPr>
        <w:t>(ŠS:</w:t>
      </w:r>
      <w:r w:rsidRPr="00AC739B">
        <w:rPr>
          <w:bCs/>
        </w:rPr>
        <w:t xml:space="preserve"> </w:t>
      </w:r>
      <w:r w:rsidRPr="00AC739B">
        <w:rPr>
          <w:rFonts w:eastAsia="Arial"/>
          <w:bCs/>
        </w:rPr>
        <w:t>15,08 [95 proc. PI 6,29 – 43,88]</w:t>
      </w:r>
      <w:r>
        <w:rPr>
          <w:rFonts w:eastAsia="Arial"/>
          <w:bCs/>
        </w:rPr>
        <w:t xml:space="preserve">), </w:t>
      </w:r>
      <w:r w:rsidRPr="00AC739B">
        <w:rPr>
          <w:rFonts w:eastAsia="Arial"/>
          <w:bCs/>
        </w:rPr>
        <w:t>(ŠS: 6,93 [95 proc. PI 3,92 – 12,81])</w:t>
      </w:r>
      <w:r>
        <w:rPr>
          <w:rFonts w:eastAsia="Arial"/>
          <w:bCs/>
        </w:rPr>
        <w:t xml:space="preserve"> nepriklausomai, nuo to ar buvo vartoję biologinius vaistus, ar ne.</w:t>
      </w:r>
      <w:r w:rsidRPr="00743730">
        <w:rPr>
          <w:rFonts w:eastAsia="Arial"/>
          <w:bCs/>
        </w:rPr>
        <w:t xml:space="preserve"> </w:t>
      </w:r>
      <w:r>
        <w:rPr>
          <w:rFonts w:eastAsia="Arial"/>
          <w:bCs/>
        </w:rPr>
        <w:t xml:space="preserve">Biologinių vaistų nevartojusių pacientų populiacijoje endoskopinio pagerėjimo šansas vartojant </w:t>
      </w:r>
      <w:r w:rsidR="009E07C3" w:rsidRPr="00AC739B">
        <w:rPr>
          <w:rFonts w:eastAsia="Arial"/>
          <w:bCs/>
        </w:rPr>
        <w:t xml:space="preserve">vedolizumabą 300 mg </w:t>
      </w:r>
      <w:r>
        <w:rPr>
          <w:rFonts w:eastAsia="Arial"/>
          <w:bCs/>
        </w:rPr>
        <w:t xml:space="preserve">buvo </w:t>
      </w:r>
      <w:r w:rsidR="009E07C3" w:rsidRPr="00AC739B">
        <w:rPr>
          <w:rFonts w:eastAsia="Arial"/>
          <w:bCs/>
        </w:rPr>
        <w:t xml:space="preserve"> 2,53 [95 proc. PI 1,47 – 4,42], tofacitinibą 10 mg</w:t>
      </w:r>
      <w:r>
        <w:rPr>
          <w:rFonts w:eastAsia="Arial"/>
          <w:bCs/>
        </w:rPr>
        <w:t xml:space="preserve"> -</w:t>
      </w:r>
      <w:r w:rsidR="009E07C3" w:rsidRPr="00AC739B">
        <w:rPr>
          <w:rFonts w:eastAsia="Arial"/>
          <w:bCs/>
        </w:rPr>
        <w:t xml:space="preserve"> 2,07 [95 proc. PI 1,23 – 3,69], ustekinumabą 6 mg </w:t>
      </w:r>
      <w:r>
        <w:rPr>
          <w:rFonts w:eastAsia="Arial"/>
          <w:bCs/>
        </w:rPr>
        <w:t>-</w:t>
      </w:r>
      <w:r w:rsidR="009E07C3" w:rsidRPr="00AC739B">
        <w:rPr>
          <w:bCs/>
        </w:rPr>
        <w:t xml:space="preserve"> </w:t>
      </w:r>
      <w:r w:rsidR="009E07C3" w:rsidRPr="00AC739B">
        <w:rPr>
          <w:rFonts w:eastAsia="Arial"/>
          <w:bCs/>
        </w:rPr>
        <w:t xml:space="preserve">1,88 [95 proc. PI 1,02 – 3,54], adalimumabą 160/80 </w:t>
      </w:r>
      <w:r>
        <w:rPr>
          <w:rFonts w:eastAsia="Arial"/>
          <w:bCs/>
        </w:rPr>
        <w:t xml:space="preserve">- </w:t>
      </w:r>
      <w:r w:rsidR="009E07C3" w:rsidRPr="00AC739B">
        <w:rPr>
          <w:rFonts w:eastAsia="Arial"/>
          <w:bCs/>
        </w:rPr>
        <w:t xml:space="preserve">1,59 [95 proc. PI 1,12 – 2,27]. </w:t>
      </w:r>
      <w:r w:rsidR="009E07C3" w:rsidRPr="00AC739B">
        <w:rPr>
          <w:rFonts w:eastAsia="Arial"/>
          <w:bCs/>
        </w:rPr>
        <w:lastRenderedPageBreak/>
        <w:t xml:space="preserve">Biologinius vaistus vartojusių pacientų populiacijoje endoskopinio pagerėjimo šansas buvo </w:t>
      </w:r>
      <w:r w:rsidR="00312BA0" w:rsidRPr="00AC739B">
        <w:rPr>
          <w:rFonts w:eastAsia="Arial"/>
          <w:bCs/>
        </w:rPr>
        <w:t>4,79 [95 proc. PI 2,13 – 12,12</w:t>
      </w:r>
      <w:r w:rsidR="00312BA0">
        <w:rPr>
          <w:rFonts w:eastAsia="Arial"/>
          <w:bCs/>
        </w:rPr>
        <w:t xml:space="preserve">] vartojant </w:t>
      </w:r>
      <w:r w:rsidR="009E07C3" w:rsidRPr="00AC739B">
        <w:rPr>
          <w:rFonts w:eastAsia="Arial"/>
          <w:bCs/>
        </w:rPr>
        <w:t xml:space="preserve">tofacitinibą 10 mg, </w:t>
      </w:r>
      <w:r w:rsidR="00312BA0" w:rsidRPr="00AC739B">
        <w:rPr>
          <w:rFonts w:eastAsia="Arial"/>
          <w:bCs/>
        </w:rPr>
        <w:t>3,69 [95 proc. PI 1,53 – 9,58]</w:t>
      </w:r>
      <w:r w:rsidR="00312BA0">
        <w:rPr>
          <w:rFonts w:eastAsia="Arial"/>
          <w:bCs/>
        </w:rPr>
        <w:t xml:space="preserve"> - </w:t>
      </w:r>
      <w:r w:rsidR="009E07C3" w:rsidRPr="00AC739B">
        <w:rPr>
          <w:rFonts w:eastAsia="Arial"/>
          <w:bCs/>
        </w:rPr>
        <w:t>ustekinumabą 6 m</w:t>
      </w:r>
      <w:r w:rsidR="00312BA0">
        <w:rPr>
          <w:rFonts w:eastAsia="Arial"/>
          <w:bCs/>
        </w:rPr>
        <w:t xml:space="preserve">g. </w:t>
      </w:r>
    </w:p>
    <w:p w14:paraId="032716CA" w14:textId="5F10DBC0" w:rsidR="00312BA0" w:rsidRPr="00961218" w:rsidRDefault="0034379A" w:rsidP="009E07C3">
      <w:pPr>
        <w:tabs>
          <w:tab w:val="left" w:pos="492"/>
        </w:tabs>
        <w:spacing w:line="276" w:lineRule="auto"/>
        <w:jc w:val="both"/>
        <w:outlineLvl w:val="1"/>
        <w:rPr>
          <w:rFonts w:eastAsia="Arial"/>
          <w:b/>
          <w:i/>
          <w:iCs/>
        </w:rPr>
      </w:pPr>
      <w:r>
        <w:rPr>
          <w:rFonts w:eastAsia="Arial"/>
          <w:b/>
        </w:rPr>
        <w:tab/>
      </w:r>
      <w:r w:rsidR="00312BA0" w:rsidRPr="00961218">
        <w:rPr>
          <w:rFonts w:eastAsia="Arial"/>
          <w:b/>
          <w:i/>
          <w:iCs/>
        </w:rPr>
        <w:t xml:space="preserve">Palaikomasis gydymas: </w:t>
      </w:r>
    </w:p>
    <w:p w14:paraId="407086C5" w14:textId="518CACD8" w:rsidR="00B15675" w:rsidRDefault="009E07C3" w:rsidP="00312BA0">
      <w:pPr>
        <w:tabs>
          <w:tab w:val="left" w:pos="492"/>
        </w:tabs>
        <w:spacing w:line="276" w:lineRule="auto"/>
        <w:jc w:val="both"/>
        <w:outlineLvl w:val="1"/>
        <w:rPr>
          <w:rFonts w:eastAsia="Arial"/>
          <w:bCs/>
        </w:rPr>
      </w:pPr>
      <w:r w:rsidRPr="00AC739B">
        <w:rPr>
          <w:rFonts w:eastAsia="Arial"/>
          <w:bCs/>
        </w:rPr>
        <w:tab/>
      </w:r>
      <w:r w:rsidR="00312BA0" w:rsidRPr="00722694">
        <w:rPr>
          <w:rFonts w:eastAsia="Arial"/>
          <w:bCs/>
          <w:u w:val="single"/>
        </w:rPr>
        <w:t>Klinikinė remisija:</w:t>
      </w:r>
      <w:r w:rsidR="00312BA0">
        <w:rPr>
          <w:rFonts w:eastAsia="Arial"/>
          <w:bCs/>
        </w:rPr>
        <w:t xml:space="preserve"> </w:t>
      </w:r>
      <w:r w:rsidRPr="00AC739B">
        <w:rPr>
          <w:rFonts w:eastAsia="Arial"/>
          <w:bCs/>
        </w:rPr>
        <w:t>pacientams nevartojusiems biologinių vaistų</w:t>
      </w:r>
      <w:r w:rsidR="00312BA0">
        <w:rPr>
          <w:rFonts w:eastAsia="Arial"/>
          <w:bCs/>
        </w:rPr>
        <w:t>,</w:t>
      </w:r>
      <w:r w:rsidRPr="00AC739B">
        <w:rPr>
          <w:rFonts w:eastAsia="Arial"/>
          <w:bCs/>
        </w:rPr>
        <w:t xml:space="preserve"> klinikinę remisiją išlaikyti didžiausias šansas buvo vartojant tofacitinibą 10 mg (ŠS: 6,57 [95 proc. PI 2,22 – 20,07])</w:t>
      </w:r>
      <w:r w:rsidR="00312BA0">
        <w:rPr>
          <w:rFonts w:eastAsia="Arial"/>
          <w:bCs/>
        </w:rPr>
        <w:t xml:space="preserve">, vartojusiems - </w:t>
      </w:r>
      <w:r w:rsidR="00312BA0" w:rsidRPr="00AC739B">
        <w:rPr>
          <w:rFonts w:eastAsia="Arial"/>
          <w:bCs/>
        </w:rPr>
        <w:t>upadacitinibą 30 mg (ŠS:</w:t>
      </w:r>
      <w:r w:rsidR="00312BA0" w:rsidRPr="00AC739B">
        <w:t xml:space="preserve"> </w:t>
      </w:r>
      <w:r w:rsidR="00312BA0" w:rsidRPr="00AC739B">
        <w:rPr>
          <w:rFonts w:eastAsia="Arial"/>
          <w:bCs/>
        </w:rPr>
        <w:t>19,37 [95 proc. PI 5,82 – 80,30]) ir upadacitinibą 15 mg (ŠS: 15,37 [95 proc. PI 4,62 – 64,31]).</w:t>
      </w:r>
      <w:r w:rsidR="00312BA0">
        <w:rPr>
          <w:rFonts w:eastAsia="Arial"/>
          <w:bCs/>
        </w:rPr>
        <w:t xml:space="preserve"> Biologinių vaistų nevartojusiems pacientams, klinikinės remisijos šansas </w:t>
      </w:r>
      <w:r w:rsidRPr="00AC739B">
        <w:rPr>
          <w:rFonts w:eastAsia="Arial"/>
          <w:bCs/>
        </w:rPr>
        <w:t>vartojant tofacitinibą 5 mg</w:t>
      </w:r>
      <w:r w:rsidR="00312BA0">
        <w:rPr>
          <w:rFonts w:eastAsia="Arial"/>
          <w:bCs/>
        </w:rPr>
        <w:t xml:space="preserve"> buvo</w:t>
      </w:r>
      <w:r w:rsidRPr="00AC739B">
        <w:rPr>
          <w:rFonts w:eastAsia="Arial"/>
          <w:bCs/>
        </w:rPr>
        <w:t xml:space="preserve"> 5,91 [95 proc. PI 2,00 – 18,04], upadacitinibą 30 mg </w:t>
      </w:r>
      <w:r w:rsidR="00312BA0">
        <w:rPr>
          <w:rFonts w:eastAsia="Arial"/>
          <w:bCs/>
        </w:rPr>
        <w:t>-</w:t>
      </w:r>
      <w:r w:rsidRPr="00AC739B">
        <w:rPr>
          <w:rFonts w:eastAsia="Arial"/>
          <w:bCs/>
        </w:rPr>
        <w:t xml:space="preserve"> 4,20 [95 proc. PI 1,37 – 13,19], vedolizumabą 300 mg kas 4 sav. </w:t>
      </w:r>
      <w:r w:rsidR="00312BA0">
        <w:rPr>
          <w:rFonts w:eastAsia="Arial"/>
          <w:bCs/>
        </w:rPr>
        <w:t xml:space="preserve">- </w:t>
      </w:r>
      <w:r w:rsidRPr="00AC739B">
        <w:rPr>
          <w:rFonts w:eastAsia="Arial"/>
          <w:bCs/>
        </w:rPr>
        <w:t xml:space="preserve">3,28 [95 proc. PI 1,44-7,92], vedolizumabą 300 mg kas 8 sav. </w:t>
      </w:r>
      <w:r w:rsidR="00312BA0">
        <w:rPr>
          <w:rFonts w:eastAsia="Arial"/>
          <w:bCs/>
        </w:rPr>
        <w:t xml:space="preserve">- </w:t>
      </w:r>
      <w:r w:rsidRPr="00AC739B">
        <w:rPr>
          <w:rFonts w:eastAsia="Arial"/>
          <w:bCs/>
        </w:rPr>
        <w:t xml:space="preserve">3,52 [95 proc. PI 1,70 – 7,30]. Upadacitinibo 15 mg klinikinės remisijos išlaikymo šansai nesiskyrė nuo placebo (ŠS: 3,01 [95 proc. PI 0,98 – 9,62]. Biologinius vaistus vartojusių pacientų </w:t>
      </w:r>
      <w:r w:rsidR="00312BA0">
        <w:rPr>
          <w:rFonts w:eastAsia="Arial"/>
          <w:bCs/>
        </w:rPr>
        <w:t xml:space="preserve">populiacijoje </w:t>
      </w:r>
      <w:r w:rsidRPr="00AC739B">
        <w:rPr>
          <w:rFonts w:eastAsia="Arial"/>
          <w:bCs/>
        </w:rPr>
        <w:t xml:space="preserve"> vartojant vedolizumabą 300 mg kas 8 savaites</w:t>
      </w:r>
      <w:r w:rsidR="00312BA0">
        <w:rPr>
          <w:rFonts w:eastAsia="Arial"/>
          <w:bCs/>
        </w:rPr>
        <w:t xml:space="preserve"> klinikinės remisijos šansas buvo</w:t>
      </w:r>
      <w:r w:rsidRPr="00AC739B">
        <w:t xml:space="preserve"> </w:t>
      </w:r>
      <w:r w:rsidRPr="00AC739B">
        <w:rPr>
          <w:rFonts w:eastAsia="Arial"/>
          <w:bCs/>
        </w:rPr>
        <w:t xml:space="preserve">8,22 [95 proc. PI 2,98 – 26,73], vedolizumabą 300 mg kas 4 savaites </w:t>
      </w:r>
      <w:r w:rsidR="00312BA0">
        <w:rPr>
          <w:rFonts w:eastAsia="Arial"/>
          <w:bCs/>
        </w:rPr>
        <w:t>-</w:t>
      </w:r>
      <w:r w:rsidRPr="00AC739B">
        <w:t xml:space="preserve"> </w:t>
      </w:r>
      <w:r w:rsidRPr="00AC739B">
        <w:rPr>
          <w:rFonts w:eastAsia="Arial"/>
          <w:bCs/>
        </w:rPr>
        <w:t xml:space="preserve">8,04 [95 proc. PI 2,25 – 32,76], tofacitinibą 10 mg </w:t>
      </w:r>
      <w:r w:rsidR="00312BA0">
        <w:rPr>
          <w:rFonts w:eastAsia="Arial"/>
          <w:bCs/>
        </w:rPr>
        <w:t xml:space="preserve">- </w:t>
      </w:r>
      <w:r w:rsidRPr="00AC739B">
        <w:rPr>
          <w:rFonts w:eastAsia="Arial"/>
          <w:bCs/>
        </w:rPr>
        <w:t xml:space="preserve">4,72 [95 proc. PI 1,79 – 13,07], ustekinumabą 90 mg kas 8 savaites </w:t>
      </w:r>
      <w:r w:rsidR="00312BA0">
        <w:rPr>
          <w:rFonts w:eastAsia="Arial"/>
          <w:bCs/>
        </w:rPr>
        <w:t>-</w:t>
      </w:r>
      <w:r w:rsidRPr="00AC739B">
        <w:t xml:space="preserve"> </w:t>
      </w:r>
      <w:r w:rsidRPr="00AC739B">
        <w:rPr>
          <w:rFonts w:eastAsia="Arial"/>
          <w:bCs/>
        </w:rPr>
        <w:t xml:space="preserve">3,17 [95 proc. PI 1,27 – 8,07]. </w:t>
      </w:r>
    </w:p>
    <w:p w14:paraId="5DA522B3" w14:textId="62CF5209" w:rsidR="00B15675" w:rsidRDefault="00B15675" w:rsidP="00312BA0">
      <w:pPr>
        <w:tabs>
          <w:tab w:val="left" w:pos="492"/>
        </w:tabs>
        <w:spacing w:line="276" w:lineRule="auto"/>
        <w:jc w:val="both"/>
        <w:outlineLvl w:val="1"/>
        <w:rPr>
          <w:rFonts w:eastAsia="Arial"/>
          <w:bCs/>
        </w:rPr>
      </w:pPr>
      <w:r>
        <w:rPr>
          <w:rFonts w:eastAsia="Arial"/>
          <w:bCs/>
        </w:rPr>
        <w:tab/>
      </w:r>
      <w:r w:rsidRPr="00722694">
        <w:rPr>
          <w:rFonts w:eastAsia="Arial"/>
          <w:bCs/>
          <w:u w:val="single"/>
        </w:rPr>
        <w:t>Klinikinis atsakas:</w:t>
      </w:r>
      <w:r>
        <w:rPr>
          <w:rFonts w:eastAsia="Arial"/>
          <w:bCs/>
        </w:rPr>
        <w:t xml:space="preserve"> </w:t>
      </w:r>
      <w:r w:rsidR="009E07C3" w:rsidRPr="00AC739B">
        <w:rPr>
          <w:rFonts w:eastAsia="Arial"/>
          <w:bCs/>
        </w:rPr>
        <w:t xml:space="preserve">didžiausias šansas </w:t>
      </w:r>
      <w:r>
        <w:rPr>
          <w:rFonts w:eastAsia="Arial"/>
          <w:bCs/>
        </w:rPr>
        <w:t xml:space="preserve">pasiekti klinikinį atsaką </w:t>
      </w:r>
      <w:r w:rsidR="009E07C3" w:rsidRPr="00AC739B">
        <w:rPr>
          <w:rFonts w:eastAsia="Arial"/>
          <w:bCs/>
        </w:rPr>
        <w:t>buvo vartojant upadacitinibą 30 mg</w:t>
      </w:r>
      <w:r>
        <w:rPr>
          <w:rFonts w:eastAsia="Arial"/>
          <w:bCs/>
        </w:rPr>
        <w:t xml:space="preserve"> (</w:t>
      </w:r>
      <w:r w:rsidRPr="00AC739B">
        <w:rPr>
          <w:rFonts w:eastAsia="Arial"/>
          <w:bCs/>
        </w:rPr>
        <w:t>ŠS:</w:t>
      </w:r>
      <w:r w:rsidRPr="00AC739B">
        <w:t xml:space="preserve"> </w:t>
      </w:r>
      <w:r w:rsidRPr="00AC739B">
        <w:rPr>
          <w:rFonts w:eastAsia="Arial"/>
          <w:bCs/>
        </w:rPr>
        <w:t>13,56 [95 proc. PI 7,23 – 26,41]</w:t>
      </w:r>
      <w:r>
        <w:rPr>
          <w:rFonts w:eastAsia="Arial"/>
          <w:bCs/>
        </w:rPr>
        <w:t>),</w:t>
      </w:r>
      <w:r w:rsidR="009E07C3" w:rsidRPr="00AC739B">
        <w:rPr>
          <w:rFonts w:eastAsia="Arial"/>
          <w:bCs/>
        </w:rPr>
        <w:t xml:space="preserve"> (ŠS: 10,40 [95 proc. PI 3,91 – 28,3])</w:t>
      </w:r>
      <w:r>
        <w:rPr>
          <w:rFonts w:eastAsia="Arial"/>
          <w:bCs/>
        </w:rPr>
        <w:t>, nepriklausomai, nuo to ar buvo vartoję biologinius vaistus, ar ne</w:t>
      </w:r>
      <w:r w:rsidR="009E07C3" w:rsidRPr="00AC739B">
        <w:rPr>
          <w:rFonts w:eastAsia="Arial"/>
          <w:bCs/>
        </w:rPr>
        <w:t xml:space="preserve">. </w:t>
      </w:r>
      <w:r>
        <w:rPr>
          <w:rFonts w:eastAsia="Arial"/>
          <w:bCs/>
        </w:rPr>
        <w:t>Biologinių vaistų nav</w:t>
      </w:r>
      <w:r w:rsidR="00722694">
        <w:rPr>
          <w:rFonts w:eastAsia="Arial"/>
          <w:bCs/>
        </w:rPr>
        <w:t>a</w:t>
      </w:r>
      <w:r>
        <w:rPr>
          <w:rFonts w:eastAsia="Arial"/>
          <w:bCs/>
        </w:rPr>
        <w:t xml:space="preserve">rtojusiems pacientams, </w:t>
      </w:r>
      <w:r w:rsidR="009E07C3" w:rsidRPr="00AC739B">
        <w:rPr>
          <w:rFonts w:eastAsia="Arial"/>
          <w:bCs/>
        </w:rPr>
        <w:t xml:space="preserve">klinikinės remisijos šansas vartojant tofacitinibą 10 mg </w:t>
      </w:r>
      <w:r>
        <w:rPr>
          <w:rFonts w:eastAsia="Arial"/>
          <w:bCs/>
        </w:rPr>
        <w:t xml:space="preserve">buvo </w:t>
      </w:r>
      <w:r w:rsidR="009E07C3" w:rsidRPr="00AC739B">
        <w:rPr>
          <w:rFonts w:eastAsia="Arial"/>
          <w:bCs/>
        </w:rPr>
        <w:t xml:space="preserve">5,59 [95 proc. PI 2,38 – 13,20], vedolizumabą 300 mg kas 8 savaites </w:t>
      </w:r>
      <w:r>
        <w:rPr>
          <w:rFonts w:eastAsia="Arial"/>
          <w:bCs/>
        </w:rPr>
        <w:t xml:space="preserve">- </w:t>
      </w:r>
      <w:r w:rsidR="009E07C3" w:rsidRPr="00AC739B">
        <w:rPr>
          <w:rFonts w:eastAsia="Arial"/>
          <w:bCs/>
        </w:rPr>
        <w:t xml:space="preserve"> 4,74 [95 proc. PI 2,21 – 10,10], upadacitinibą 15 mg </w:t>
      </w:r>
      <w:r>
        <w:rPr>
          <w:rFonts w:eastAsia="Arial"/>
          <w:bCs/>
        </w:rPr>
        <w:t xml:space="preserve">- </w:t>
      </w:r>
      <w:r w:rsidR="009E07C3" w:rsidRPr="00AC739B">
        <w:rPr>
          <w:rFonts w:eastAsia="Arial"/>
          <w:bCs/>
        </w:rPr>
        <w:t xml:space="preserve"> 4,64 [95 proc. PI 1,85 – 12,05],  tofacitinibą 5 mg </w:t>
      </w:r>
      <w:r>
        <w:rPr>
          <w:rFonts w:eastAsia="Arial"/>
          <w:bCs/>
        </w:rPr>
        <w:t>-</w:t>
      </w:r>
      <w:r w:rsidR="009E07C3" w:rsidRPr="00AC739B">
        <w:rPr>
          <w:rFonts w:eastAsia="Arial"/>
          <w:bCs/>
        </w:rPr>
        <w:t xml:space="preserve"> 4,00 [95 proc. PI 1,73 – 9,28], vedolizumabą 300 mg kas 4 savaites </w:t>
      </w:r>
      <w:r>
        <w:rPr>
          <w:rFonts w:eastAsia="Arial"/>
          <w:bCs/>
        </w:rPr>
        <w:t>-</w:t>
      </w:r>
      <w:r w:rsidR="009E07C3" w:rsidRPr="00AC739B">
        <w:t xml:space="preserve"> </w:t>
      </w:r>
      <w:r w:rsidR="009E07C3" w:rsidRPr="00AC739B">
        <w:rPr>
          <w:rFonts w:eastAsia="Arial"/>
          <w:bCs/>
        </w:rPr>
        <w:t xml:space="preserve">3,40 (95 proc. [PI 1,42 – 8,19], ustekinumabą 90 mg kas 8 savaites (ŠS: 3,13 [95 proc. PI 1,27 – 7,98]), ustekinumabą 90 mg kas 12 savaičių </w:t>
      </w:r>
      <w:r>
        <w:rPr>
          <w:rFonts w:eastAsia="Arial"/>
          <w:bCs/>
        </w:rPr>
        <w:t xml:space="preserve">- </w:t>
      </w:r>
      <w:r w:rsidR="009E07C3" w:rsidRPr="00AC739B">
        <w:rPr>
          <w:rFonts w:eastAsia="Arial"/>
          <w:bCs/>
        </w:rPr>
        <w:t>3,04 [95 proc. PI 1,27 – 7,54]</w:t>
      </w:r>
      <w:r>
        <w:rPr>
          <w:rFonts w:eastAsia="Arial"/>
          <w:bCs/>
        </w:rPr>
        <w:t>.</w:t>
      </w:r>
      <w:r w:rsidR="009E07C3" w:rsidRPr="00AC739B">
        <w:rPr>
          <w:rFonts w:eastAsia="Arial"/>
          <w:bCs/>
        </w:rPr>
        <w:t xml:space="preserve"> Biologinius vaistus vartojusių pacientų populiacijoje </w:t>
      </w:r>
      <w:r>
        <w:rPr>
          <w:rFonts w:eastAsia="Arial"/>
          <w:bCs/>
        </w:rPr>
        <w:t>gydant</w:t>
      </w:r>
      <w:r w:rsidR="009E07C3" w:rsidRPr="00AC739B">
        <w:rPr>
          <w:rFonts w:eastAsia="Arial"/>
          <w:bCs/>
        </w:rPr>
        <w:t xml:space="preserve"> tofacitinib</w:t>
      </w:r>
      <w:r>
        <w:rPr>
          <w:rFonts w:eastAsia="Arial"/>
          <w:bCs/>
        </w:rPr>
        <w:t>u</w:t>
      </w:r>
      <w:r w:rsidR="009E07C3" w:rsidRPr="00AC739B">
        <w:rPr>
          <w:rFonts w:eastAsia="Arial"/>
          <w:bCs/>
        </w:rPr>
        <w:t xml:space="preserve"> 10 mg</w:t>
      </w:r>
      <w:r>
        <w:rPr>
          <w:rFonts w:eastAsia="Arial"/>
          <w:bCs/>
        </w:rPr>
        <w:t xml:space="preserve"> klinikinio atsako šansas buvo</w:t>
      </w:r>
      <w:r w:rsidR="009E07C3" w:rsidRPr="00AC739B">
        <w:rPr>
          <w:rFonts w:eastAsia="Arial"/>
          <w:bCs/>
        </w:rPr>
        <w:t xml:space="preserve"> 3,84 [95 proc. PI 2,08 – 7,24], ustekinumab</w:t>
      </w:r>
      <w:r>
        <w:rPr>
          <w:rFonts w:eastAsia="Arial"/>
          <w:bCs/>
        </w:rPr>
        <w:t>u</w:t>
      </w:r>
      <w:r w:rsidR="009E07C3" w:rsidRPr="00AC739B">
        <w:rPr>
          <w:rFonts w:eastAsia="Arial"/>
          <w:bCs/>
        </w:rPr>
        <w:t xml:space="preserve"> 6 mg </w:t>
      </w:r>
      <w:r>
        <w:rPr>
          <w:rFonts w:eastAsia="Arial"/>
          <w:bCs/>
        </w:rPr>
        <w:t xml:space="preserve">- </w:t>
      </w:r>
      <w:r w:rsidR="009E07C3" w:rsidRPr="00AC739B">
        <w:rPr>
          <w:rFonts w:eastAsia="Arial"/>
          <w:bCs/>
        </w:rPr>
        <w:t>3,59 [95 proc. PI 1,66 – 7,71].</w:t>
      </w:r>
    </w:p>
    <w:p w14:paraId="66B3F449" w14:textId="3CBD9E6B" w:rsidR="009E07C3" w:rsidRPr="00AC739B" w:rsidRDefault="00B15675" w:rsidP="00312BA0">
      <w:pPr>
        <w:tabs>
          <w:tab w:val="left" w:pos="492"/>
        </w:tabs>
        <w:spacing w:line="276" w:lineRule="auto"/>
        <w:jc w:val="both"/>
        <w:outlineLvl w:val="1"/>
        <w:rPr>
          <w:rFonts w:eastAsia="Arial"/>
          <w:bCs/>
        </w:rPr>
      </w:pPr>
      <w:r>
        <w:rPr>
          <w:rFonts w:eastAsia="Arial"/>
          <w:bCs/>
        </w:rPr>
        <w:tab/>
      </w:r>
      <w:r w:rsidRPr="00722694">
        <w:rPr>
          <w:rFonts w:eastAsia="Arial"/>
          <w:bCs/>
          <w:u w:val="single"/>
        </w:rPr>
        <w:t>Endoskopinis pagerėjimas:</w:t>
      </w:r>
      <w:r>
        <w:rPr>
          <w:rFonts w:eastAsia="Arial"/>
          <w:bCs/>
        </w:rPr>
        <w:t xml:space="preserve"> </w:t>
      </w:r>
      <w:r w:rsidR="009E07C3" w:rsidRPr="00AC739B">
        <w:rPr>
          <w:rFonts w:eastAsia="Arial"/>
          <w:bCs/>
        </w:rPr>
        <w:t>endoskopinį pagerėjimą palaikomojo gydymo fazėje pasiekti didžiausias šansas buvo vartojant upadacitinibą 30 mg</w:t>
      </w:r>
      <w:r w:rsidR="00722694">
        <w:rPr>
          <w:rFonts w:eastAsia="Arial"/>
          <w:bCs/>
        </w:rPr>
        <w:t xml:space="preserve"> </w:t>
      </w:r>
      <w:r w:rsidR="00722694" w:rsidRPr="00AC739B">
        <w:rPr>
          <w:rFonts w:eastAsia="Arial"/>
          <w:bCs/>
        </w:rPr>
        <w:t>(ŠS:</w:t>
      </w:r>
      <w:r w:rsidR="00722694" w:rsidRPr="00AC739B">
        <w:rPr>
          <w:bCs/>
        </w:rPr>
        <w:t xml:space="preserve"> </w:t>
      </w:r>
      <w:r w:rsidR="00722694" w:rsidRPr="00AC739B">
        <w:rPr>
          <w:rFonts w:eastAsia="Arial"/>
          <w:bCs/>
        </w:rPr>
        <w:t>14,59 [95 proc. PI 5,09 – 47,46])</w:t>
      </w:r>
      <w:r w:rsidR="00722694">
        <w:rPr>
          <w:rFonts w:eastAsia="Arial"/>
          <w:bCs/>
        </w:rPr>
        <w:t>,</w:t>
      </w:r>
      <w:r w:rsidR="009E07C3" w:rsidRPr="00AC739B">
        <w:rPr>
          <w:rFonts w:eastAsia="Arial"/>
          <w:bCs/>
        </w:rPr>
        <w:t xml:space="preserve"> (ŠS: 7,17 [95 proc. PI 2,46 – 21,26]</w:t>
      </w:r>
      <w:r w:rsidR="00722694">
        <w:rPr>
          <w:rFonts w:eastAsia="Arial"/>
          <w:bCs/>
        </w:rPr>
        <w:t>) nepriklausomai, nuo to ar pacientai buvo vartoję biologinius vaistus, ar ne</w:t>
      </w:r>
      <w:r w:rsidR="009E07C3" w:rsidRPr="00AC739B">
        <w:rPr>
          <w:rFonts w:eastAsia="Arial"/>
          <w:bCs/>
        </w:rPr>
        <w:t xml:space="preserve">. </w:t>
      </w:r>
      <w:r w:rsidR="00722694">
        <w:rPr>
          <w:rFonts w:eastAsia="Arial"/>
          <w:bCs/>
        </w:rPr>
        <w:t xml:space="preserve">Biologinių vaistų navartojusiems pacientams </w:t>
      </w:r>
      <w:r w:rsidR="009E07C3" w:rsidRPr="00AC739B">
        <w:rPr>
          <w:rFonts w:eastAsia="Arial"/>
          <w:bCs/>
        </w:rPr>
        <w:t>vartojant tofacitinibą 10 mg</w:t>
      </w:r>
      <w:r w:rsidR="00722694">
        <w:rPr>
          <w:rFonts w:eastAsia="Arial"/>
          <w:bCs/>
        </w:rPr>
        <w:t xml:space="preserve"> endoskopinio pagerėjimo šansas buvo</w:t>
      </w:r>
      <w:r w:rsidR="009E07C3" w:rsidRPr="00AC739B">
        <w:rPr>
          <w:rFonts w:eastAsia="Arial"/>
          <w:bCs/>
        </w:rPr>
        <w:t xml:space="preserve"> 6,69 [95 proc. PI 2,44 – 18,82], tofacitinibą 5 mg</w:t>
      </w:r>
      <w:r w:rsidR="00722694">
        <w:rPr>
          <w:rFonts w:eastAsia="Arial"/>
          <w:bCs/>
        </w:rPr>
        <w:t xml:space="preserve"> -</w:t>
      </w:r>
      <w:r w:rsidR="009E07C3" w:rsidRPr="00AC739B">
        <w:rPr>
          <w:rFonts w:eastAsia="Arial"/>
          <w:bCs/>
        </w:rPr>
        <w:t xml:space="preserve"> 4,78 [95 proc. PI 1,74 – 13,33], vedolizumabą 300 mg kas 4 savaites </w:t>
      </w:r>
      <w:r w:rsidR="00722694">
        <w:rPr>
          <w:rFonts w:eastAsia="Arial"/>
          <w:bCs/>
        </w:rPr>
        <w:t>-</w:t>
      </w:r>
      <w:r w:rsidR="009E07C3" w:rsidRPr="00AC739B">
        <w:rPr>
          <w:rFonts w:eastAsia="Arial"/>
          <w:bCs/>
        </w:rPr>
        <w:t xml:space="preserve"> 4,57 [95 proc. PI 1,69 – 12,10], vedolizumabą 300 mg kas 8 savaites </w:t>
      </w:r>
      <w:r w:rsidR="00722694">
        <w:rPr>
          <w:rFonts w:eastAsia="Arial"/>
          <w:bCs/>
        </w:rPr>
        <w:t>-</w:t>
      </w:r>
      <w:r w:rsidR="009E07C3" w:rsidRPr="00AC739B">
        <w:rPr>
          <w:rFonts w:eastAsia="Arial"/>
          <w:bCs/>
        </w:rPr>
        <w:t xml:space="preserve"> 4,15 [95 proc. PI 1,78 – 9,36], upadacitinibą 15 mg </w:t>
      </w:r>
      <w:r w:rsidR="00722694">
        <w:rPr>
          <w:rFonts w:eastAsia="Arial"/>
          <w:bCs/>
        </w:rPr>
        <w:t>-</w:t>
      </w:r>
      <w:r w:rsidR="009E07C3" w:rsidRPr="00AC739B">
        <w:rPr>
          <w:bCs/>
        </w:rPr>
        <w:t xml:space="preserve"> </w:t>
      </w:r>
      <w:r w:rsidR="009E07C3" w:rsidRPr="00AC739B">
        <w:rPr>
          <w:rFonts w:eastAsia="Arial"/>
          <w:bCs/>
        </w:rPr>
        <w:t xml:space="preserve">3,71 [95 proc. PI 1,29 – 10,81]. Biologinius vaistus vartojusių pacientų populiacijoje </w:t>
      </w:r>
      <w:r w:rsidR="00722694">
        <w:rPr>
          <w:rFonts w:eastAsia="Arial"/>
          <w:bCs/>
        </w:rPr>
        <w:t xml:space="preserve">- </w:t>
      </w:r>
      <w:r w:rsidR="009E07C3" w:rsidRPr="00AC739B">
        <w:rPr>
          <w:rFonts w:eastAsia="Arial"/>
          <w:bCs/>
        </w:rPr>
        <w:t xml:space="preserve"> </w:t>
      </w:r>
      <w:r w:rsidR="00722694" w:rsidRPr="00AC739B">
        <w:rPr>
          <w:rFonts w:eastAsia="Arial"/>
          <w:bCs/>
        </w:rPr>
        <w:t>9,57 [95 proc. PI 2,79 – 37,45]</w:t>
      </w:r>
      <w:r w:rsidR="00722694">
        <w:rPr>
          <w:rFonts w:eastAsia="Arial"/>
          <w:bCs/>
        </w:rPr>
        <w:t xml:space="preserve"> vartojant </w:t>
      </w:r>
      <w:r w:rsidR="009E07C3" w:rsidRPr="00AC739B">
        <w:rPr>
          <w:rFonts w:eastAsia="Arial"/>
          <w:bCs/>
        </w:rPr>
        <w:t>vedolizumabą 300 mg kas 4 savaite</w:t>
      </w:r>
      <w:r w:rsidR="00722694">
        <w:rPr>
          <w:rFonts w:eastAsia="Arial"/>
          <w:bCs/>
        </w:rPr>
        <w:t>s</w:t>
      </w:r>
      <w:r w:rsidR="009E07C3" w:rsidRPr="00AC739B">
        <w:rPr>
          <w:rFonts w:eastAsia="Arial"/>
          <w:bCs/>
        </w:rPr>
        <w:t xml:space="preserve">, </w:t>
      </w:r>
      <w:r w:rsidR="00722694" w:rsidRPr="00AC739B">
        <w:rPr>
          <w:bCs/>
        </w:rPr>
        <w:t>9,52 [9</w:t>
      </w:r>
      <w:r w:rsidR="00722694" w:rsidRPr="00AC739B">
        <w:rPr>
          <w:rFonts w:eastAsia="Arial"/>
          <w:bCs/>
        </w:rPr>
        <w:t>5 proc. PI</w:t>
      </w:r>
      <w:r w:rsidR="00722694" w:rsidRPr="00AC739B">
        <w:rPr>
          <w:bCs/>
        </w:rPr>
        <w:t xml:space="preserve"> 3,25 – 31,08</w:t>
      </w:r>
      <w:r w:rsidR="00722694" w:rsidRPr="00AC739B">
        <w:rPr>
          <w:rFonts w:eastAsia="Arial"/>
          <w:bCs/>
        </w:rPr>
        <w:t>]</w:t>
      </w:r>
      <w:r w:rsidR="00722694">
        <w:rPr>
          <w:rFonts w:eastAsia="Arial"/>
          <w:bCs/>
        </w:rPr>
        <w:t xml:space="preserve"> - </w:t>
      </w:r>
      <w:r w:rsidR="009E07C3" w:rsidRPr="00AC739B">
        <w:rPr>
          <w:rFonts w:eastAsia="Arial"/>
          <w:bCs/>
        </w:rPr>
        <w:t xml:space="preserve">upadacitinibą 15 </w:t>
      </w:r>
      <w:r w:rsidR="00722694">
        <w:rPr>
          <w:rFonts w:eastAsia="Arial"/>
          <w:bCs/>
        </w:rPr>
        <w:t>mg</w:t>
      </w:r>
      <w:r w:rsidR="009E07C3" w:rsidRPr="00AC739B">
        <w:rPr>
          <w:rFonts w:eastAsia="Arial"/>
          <w:bCs/>
        </w:rPr>
        <w:t xml:space="preserve">, </w:t>
      </w:r>
      <w:r w:rsidR="00722694" w:rsidRPr="00AC739B">
        <w:rPr>
          <w:rFonts w:eastAsia="Arial"/>
          <w:bCs/>
        </w:rPr>
        <w:t>7,11 [95 proc. PI 2,49 – 22,66]</w:t>
      </w:r>
      <w:r w:rsidR="00722694">
        <w:rPr>
          <w:rFonts w:eastAsia="Arial"/>
          <w:bCs/>
        </w:rPr>
        <w:t xml:space="preserve"> - </w:t>
      </w:r>
      <w:r w:rsidR="009E07C3" w:rsidRPr="00AC739B">
        <w:rPr>
          <w:rFonts w:eastAsia="Arial"/>
          <w:bCs/>
        </w:rPr>
        <w:t>vedolizumabą 300 mg kas 8 savaite</w:t>
      </w:r>
      <w:r w:rsidR="00722694">
        <w:rPr>
          <w:rFonts w:eastAsia="Arial"/>
          <w:bCs/>
        </w:rPr>
        <w:t>s</w:t>
      </w:r>
      <w:r w:rsidR="009E07C3" w:rsidRPr="00AC739B">
        <w:rPr>
          <w:rFonts w:eastAsia="Arial"/>
          <w:bCs/>
        </w:rPr>
        <w:t xml:space="preserve">, </w:t>
      </w:r>
      <w:r w:rsidR="00722694" w:rsidRPr="00AC739B">
        <w:rPr>
          <w:rFonts w:eastAsia="Arial"/>
          <w:bCs/>
        </w:rPr>
        <w:t>4,79 [95 proc. PI 1,84 – 13,14]</w:t>
      </w:r>
      <w:r w:rsidR="00722694">
        <w:rPr>
          <w:rFonts w:eastAsia="Arial"/>
          <w:bCs/>
        </w:rPr>
        <w:t xml:space="preserve"> - </w:t>
      </w:r>
      <w:r w:rsidR="009E07C3" w:rsidRPr="00AC739B">
        <w:rPr>
          <w:rFonts w:eastAsia="Arial"/>
          <w:bCs/>
        </w:rPr>
        <w:t xml:space="preserve">tofacitinibą 10 mg, </w:t>
      </w:r>
      <w:r w:rsidR="00722694" w:rsidRPr="00AC739B">
        <w:rPr>
          <w:rFonts w:eastAsia="Arial"/>
          <w:bCs/>
        </w:rPr>
        <w:t>3,11 [95 proc. PI 1,18 – 8,74]</w:t>
      </w:r>
      <w:r w:rsidR="00722694">
        <w:rPr>
          <w:rFonts w:eastAsia="Arial"/>
          <w:bCs/>
        </w:rPr>
        <w:t xml:space="preserve"> - </w:t>
      </w:r>
      <w:r w:rsidR="009E07C3" w:rsidRPr="00AC739B">
        <w:rPr>
          <w:rFonts w:eastAsia="Arial"/>
          <w:bCs/>
        </w:rPr>
        <w:t>tofacitinibą 5 mg</w:t>
      </w:r>
      <w:r w:rsidR="00722694">
        <w:rPr>
          <w:rFonts w:eastAsia="Arial"/>
          <w:bCs/>
        </w:rPr>
        <w:t xml:space="preserve">, </w:t>
      </w:r>
      <w:r w:rsidR="00722694" w:rsidRPr="00AC739B">
        <w:rPr>
          <w:rFonts w:eastAsia="Arial"/>
          <w:bCs/>
        </w:rPr>
        <w:t>2,82 [95 proc. PI 1,16 – 7,00</w:t>
      </w:r>
      <w:r w:rsidR="00722694">
        <w:rPr>
          <w:rFonts w:eastAsia="Arial"/>
          <w:bCs/>
        </w:rPr>
        <w:t>] -</w:t>
      </w:r>
      <w:r w:rsidR="009E07C3" w:rsidRPr="00AC739B">
        <w:rPr>
          <w:rFonts w:eastAsia="Arial"/>
          <w:bCs/>
        </w:rPr>
        <w:t>ustekinumabą 90 mg kas 8 savaites</w:t>
      </w:r>
      <w:r w:rsidR="00722694">
        <w:rPr>
          <w:rFonts w:eastAsia="Arial"/>
          <w:bCs/>
        </w:rPr>
        <w:t>.</w:t>
      </w:r>
    </w:p>
    <w:p w14:paraId="20AF8630" w14:textId="77777777" w:rsidR="009E07C3" w:rsidRPr="00AC739B" w:rsidRDefault="009E07C3" w:rsidP="009E07C3">
      <w:pPr>
        <w:tabs>
          <w:tab w:val="left" w:pos="426"/>
        </w:tabs>
        <w:spacing w:line="276" w:lineRule="auto"/>
        <w:jc w:val="both"/>
      </w:pPr>
    </w:p>
    <w:p w14:paraId="08BBA7F9" w14:textId="77777777" w:rsidR="009E07C3" w:rsidRPr="00AC739B" w:rsidRDefault="009E07C3" w:rsidP="009E07C3">
      <w:pPr>
        <w:tabs>
          <w:tab w:val="left" w:pos="426"/>
        </w:tabs>
        <w:spacing w:line="276" w:lineRule="auto"/>
        <w:jc w:val="both"/>
        <w:rPr>
          <w:rFonts w:eastAsia="Arial"/>
          <w:bCs/>
          <w:i/>
          <w:color w:val="000000" w:themeColor="text1"/>
        </w:rPr>
      </w:pPr>
      <w:r w:rsidRPr="00AC739B">
        <w:rPr>
          <w:rFonts w:eastAsia="Arial"/>
          <w:bCs/>
          <w:i/>
          <w:color w:val="000000" w:themeColor="text1"/>
        </w:rPr>
        <w:t>Privalumai ir trūkumai</w:t>
      </w:r>
    </w:p>
    <w:p w14:paraId="2227A857" w14:textId="77777777" w:rsidR="009E07C3" w:rsidRPr="00AC739B" w:rsidRDefault="009E07C3" w:rsidP="009E07C3">
      <w:pPr>
        <w:tabs>
          <w:tab w:val="left" w:pos="426"/>
        </w:tabs>
        <w:spacing w:line="276" w:lineRule="auto"/>
        <w:jc w:val="both"/>
        <w:rPr>
          <w:rFonts w:eastAsia="Arial"/>
          <w:bCs/>
          <w:iCs/>
          <w:color w:val="000000" w:themeColor="text1"/>
        </w:rPr>
      </w:pPr>
      <w:r w:rsidRPr="00AC739B">
        <w:rPr>
          <w:rFonts w:eastAsia="Arial"/>
          <w:bCs/>
          <w:iCs/>
          <w:color w:val="000000" w:themeColor="text1"/>
        </w:rPr>
        <w:tab/>
        <w:t>Jei vaistinis preparatas būtų įrašytas į kompensavimo sąrašus, gydymo šiuo vaistiniu preparatu taikymas klinikinėje praktikoje galėtų turėti privalumų ir trūkumų medicininėms paslaugoms ar pacientams.</w:t>
      </w:r>
    </w:p>
    <w:p w14:paraId="6671E3E0" w14:textId="77777777" w:rsidR="009E07C3" w:rsidRPr="00AC739B" w:rsidRDefault="009E07C3" w:rsidP="009E07C3">
      <w:pPr>
        <w:tabs>
          <w:tab w:val="left" w:pos="426"/>
        </w:tabs>
        <w:spacing w:line="276" w:lineRule="auto"/>
        <w:jc w:val="both"/>
        <w:rPr>
          <w:rFonts w:eastAsia="Arial"/>
          <w:bCs/>
          <w:iCs/>
          <w:color w:val="000000" w:themeColor="text1"/>
        </w:rPr>
      </w:pPr>
      <w:r w:rsidRPr="00AC739B">
        <w:rPr>
          <w:rFonts w:eastAsia="Arial"/>
          <w:bCs/>
          <w:iCs/>
          <w:color w:val="000000" w:themeColor="text1"/>
        </w:rPr>
        <w:tab/>
      </w:r>
      <w:r w:rsidRPr="00AC739B">
        <w:rPr>
          <w:rFonts w:eastAsia="Arial"/>
          <w:b/>
          <w:iCs/>
          <w:color w:val="000000" w:themeColor="text1"/>
        </w:rPr>
        <w:t xml:space="preserve">Privalumai. </w:t>
      </w:r>
      <w:r w:rsidRPr="00AC739B">
        <w:rPr>
          <w:rFonts w:eastAsia="Arial"/>
          <w:bCs/>
          <w:iCs/>
          <w:color w:val="000000" w:themeColor="text1"/>
        </w:rPr>
        <w:t xml:space="preserve">Pacientams – upadacitinibas yra pirmasis biologinis vaistas geriamąja tabletine forma. </w:t>
      </w:r>
    </w:p>
    <w:p w14:paraId="3A3FF326" w14:textId="77777777" w:rsidR="009E07C3" w:rsidRPr="00AC739B" w:rsidRDefault="009E07C3" w:rsidP="009E07C3">
      <w:pPr>
        <w:tabs>
          <w:tab w:val="left" w:pos="426"/>
        </w:tabs>
        <w:spacing w:line="276" w:lineRule="auto"/>
        <w:jc w:val="both"/>
        <w:rPr>
          <w:rFonts w:eastAsia="Arial"/>
          <w:bCs/>
          <w:iCs/>
          <w:color w:val="000000" w:themeColor="text1"/>
        </w:rPr>
      </w:pPr>
      <w:r w:rsidRPr="00AC739B">
        <w:rPr>
          <w:rFonts w:eastAsia="Arial"/>
          <w:bCs/>
          <w:iCs/>
          <w:color w:val="000000" w:themeColor="text1"/>
        </w:rPr>
        <w:lastRenderedPageBreak/>
        <w:tab/>
      </w:r>
      <w:r w:rsidRPr="00AC739B">
        <w:rPr>
          <w:rFonts w:eastAsia="Arial"/>
          <w:b/>
          <w:iCs/>
          <w:color w:val="000000" w:themeColor="text1"/>
        </w:rPr>
        <w:t>Trūkumai</w:t>
      </w:r>
      <w:r w:rsidRPr="00AC739B">
        <w:rPr>
          <w:rFonts w:eastAsia="Arial"/>
          <w:bCs/>
          <w:iCs/>
          <w:color w:val="000000" w:themeColor="text1"/>
        </w:rPr>
        <w:t>. Pacientams vartojantiems Rinvoq reikalingas pastovus laboratorinių tyrimų rodmenų nenormalumų stebėjimas ir suvaldymas dėl kurių gali reikėti laikinai nutraukti vaistinio preparato vartojimą. Jeigu pacientui išsivysto sunki infekcija, gydymą reikia laikinai nutraukti, kol infekcija bus suvaldyta.</w:t>
      </w:r>
    </w:p>
    <w:p w14:paraId="425FCC6D" w14:textId="77777777" w:rsidR="009E07C3" w:rsidRPr="00AC739B" w:rsidRDefault="009E07C3" w:rsidP="009E07C3">
      <w:pPr>
        <w:tabs>
          <w:tab w:val="left" w:pos="426"/>
        </w:tabs>
        <w:spacing w:line="276" w:lineRule="auto"/>
        <w:jc w:val="both"/>
        <w:rPr>
          <w:rFonts w:eastAsia="Arial"/>
          <w:bCs/>
          <w:iCs/>
          <w:color w:val="000000" w:themeColor="text1"/>
        </w:rPr>
      </w:pPr>
      <w:r w:rsidRPr="00AC739B">
        <w:rPr>
          <w:rFonts w:eastAsia="Arial"/>
          <w:bCs/>
          <w:iCs/>
          <w:color w:val="000000" w:themeColor="text1"/>
        </w:rPr>
        <w:tab/>
        <w:t xml:space="preserve">Medicinos paslaugoms - padidėjęs infekcijų stebėsenos poreikis dėl imunosupresijos, vartojant upadacitinibą. </w:t>
      </w:r>
    </w:p>
    <w:p w14:paraId="70324058" w14:textId="77777777" w:rsidR="009E07C3" w:rsidRPr="00AC739B" w:rsidRDefault="009E07C3" w:rsidP="009E07C3">
      <w:pPr>
        <w:tabs>
          <w:tab w:val="left" w:pos="426"/>
        </w:tabs>
        <w:spacing w:line="276" w:lineRule="auto"/>
        <w:jc w:val="both"/>
        <w:rPr>
          <w:rFonts w:eastAsia="Arial"/>
          <w:bCs/>
          <w:iCs/>
          <w:color w:val="000000" w:themeColor="text1"/>
        </w:rPr>
      </w:pPr>
      <w:r w:rsidRPr="00AC739B">
        <w:rPr>
          <w:rFonts w:eastAsia="Arial"/>
          <w:bCs/>
          <w:iCs/>
          <w:color w:val="000000" w:themeColor="text1"/>
        </w:rPr>
        <w:tab/>
      </w:r>
      <w:r w:rsidRPr="00AC739B">
        <w:rPr>
          <w:rFonts w:eastAsia="Arial"/>
          <w:b/>
          <w:iCs/>
          <w:color w:val="000000" w:themeColor="text1"/>
        </w:rPr>
        <w:t>Praktinės problemos pacientui ar jo globėjui</w:t>
      </w:r>
      <w:r w:rsidRPr="00AC739B">
        <w:rPr>
          <w:rFonts w:eastAsia="Arial"/>
          <w:bCs/>
          <w:iCs/>
          <w:color w:val="000000" w:themeColor="text1"/>
        </w:rPr>
        <w:t xml:space="preserve">. Pastovus laboratorinių tyrimų rodmenų nenormalumų stebėjimas ir suvaldymas poreikis, sukelia papildomą naštą pacientui ir jo globėjams dėl papildomo poreikio vykti į gydymo įstaigą. </w:t>
      </w:r>
    </w:p>
    <w:p w14:paraId="52DB6C80" w14:textId="5880318D" w:rsidR="009E07C3" w:rsidRPr="00AC739B" w:rsidRDefault="009E07C3" w:rsidP="009E07C3">
      <w:pPr>
        <w:tabs>
          <w:tab w:val="left" w:pos="426"/>
        </w:tabs>
        <w:spacing w:line="276" w:lineRule="auto"/>
        <w:jc w:val="both"/>
        <w:rPr>
          <w:rFonts w:eastAsia="Arial"/>
          <w:bCs/>
          <w:iCs/>
          <w:color w:val="000000" w:themeColor="text1"/>
        </w:rPr>
      </w:pPr>
      <w:r w:rsidRPr="00AC739B">
        <w:rPr>
          <w:rFonts w:eastAsia="Arial"/>
          <w:b/>
          <w:iCs/>
          <w:color w:val="000000" w:themeColor="text1"/>
        </w:rPr>
        <w:tab/>
        <w:t>Pasekmės teikiamoms paslaugoms.</w:t>
      </w:r>
      <w:r w:rsidRPr="00AC739B">
        <w:rPr>
          <w:rFonts w:eastAsia="Arial"/>
          <w:bCs/>
          <w:iCs/>
          <w:color w:val="000000" w:themeColor="text1"/>
        </w:rPr>
        <w:t xml:space="preserve"> Nebūtų, gydymas nereikalautų pokyčių organizaciniame gydymo įgyvendinimo lygmenyje.</w:t>
      </w:r>
    </w:p>
    <w:p w14:paraId="48F9CBA8" w14:textId="35414F56" w:rsidR="009E07C3" w:rsidRPr="00AC739B" w:rsidRDefault="009E07C3" w:rsidP="009E07C3">
      <w:pPr>
        <w:tabs>
          <w:tab w:val="left" w:pos="426"/>
        </w:tabs>
        <w:spacing w:line="276" w:lineRule="auto"/>
        <w:jc w:val="both"/>
        <w:rPr>
          <w:rFonts w:eastAsia="Arial"/>
          <w:bCs/>
          <w:iCs/>
          <w:color w:val="000000" w:themeColor="text1"/>
        </w:rPr>
      </w:pPr>
    </w:p>
    <w:p w14:paraId="454FA2BE" w14:textId="69655B1D" w:rsidR="009E07C3" w:rsidRPr="0034379A" w:rsidRDefault="009E07C3" w:rsidP="0034379A">
      <w:pPr>
        <w:tabs>
          <w:tab w:val="left" w:pos="426"/>
        </w:tabs>
        <w:spacing w:line="276" w:lineRule="auto"/>
        <w:jc w:val="both"/>
        <w:rPr>
          <w:bCs/>
          <w:iCs/>
          <w:color w:val="000000" w:themeColor="text1"/>
          <w:lang w:eastAsia="en-US"/>
        </w:rPr>
      </w:pPr>
      <w:r w:rsidRPr="00AC739B">
        <w:rPr>
          <w:bCs/>
          <w:iCs/>
          <w:color w:val="000000" w:themeColor="text1"/>
          <w:lang w:eastAsia="en-US"/>
        </w:rPr>
        <w:tab/>
        <w:t>Apibendrinant, upadacitinibo klinikinis veiksmingumas ir saugumas pagrįstas netiesioginio palyginimo duomenimis</w:t>
      </w:r>
      <w:r w:rsidR="00042150">
        <w:rPr>
          <w:bCs/>
          <w:iCs/>
          <w:color w:val="000000" w:themeColor="text1"/>
          <w:lang w:eastAsia="en-US"/>
        </w:rPr>
        <w:t xml:space="preserve">. </w:t>
      </w:r>
      <w:r w:rsidR="00C25D9E">
        <w:rPr>
          <w:rFonts w:eastAsia="Arial"/>
        </w:rPr>
        <w:t xml:space="preserve">Pateikti netiesioginio palyginamosios analizės rezultatai rodo, kad </w:t>
      </w:r>
      <w:r w:rsidR="00722694">
        <w:rPr>
          <w:rFonts w:eastAsia="Arial"/>
        </w:rPr>
        <w:t>upadacitinibo</w:t>
      </w:r>
      <w:r w:rsidR="00C25D9E">
        <w:rPr>
          <w:rFonts w:eastAsia="Arial"/>
        </w:rPr>
        <w:t xml:space="preserve"> palyginamasis veiksmingumas tikėtina nesiskiria nuo</w:t>
      </w:r>
      <w:r w:rsidR="0034379A">
        <w:rPr>
          <w:rFonts w:eastAsia="Arial"/>
        </w:rPr>
        <w:t xml:space="preserve"> </w:t>
      </w:r>
      <w:r w:rsidR="0034379A" w:rsidRPr="0034379A">
        <w:rPr>
          <w:bCs/>
          <w:color w:val="000000"/>
          <w:lang w:eastAsia="lt-LT"/>
        </w:rPr>
        <w:t>adalimumabo, infliksimabo, tofacitinibo, vendolizumabo bei ustekinumabo</w:t>
      </w:r>
      <w:r w:rsidR="00C25D9E">
        <w:rPr>
          <w:bCs/>
          <w:color w:val="000000" w:themeColor="text1"/>
          <w:lang w:eastAsia="lt-LT"/>
        </w:rPr>
        <w:t xml:space="preserve"> efektyvumo. Remiantis šiais duomenimis</w:t>
      </w:r>
      <w:r w:rsidRPr="00AC739B">
        <w:rPr>
          <w:bCs/>
          <w:iCs/>
          <w:color w:val="000000" w:themeColor="text1"/>
          <w:lang w:eastAsia="en-US"/>
        </w:rPr>
        <w:t xml:space="preserve"> </w:t>
      </w:r>
      <w:r w:rsidR="00C25D9E">
        <w:rPr>
          <w:bCs/>
          <w:iCs/>
          <w:color w:val="000000" w:themeColor="text1"/>
          <w:lang w:eastAsia="en-US"/>
        </w:rPr>
        <w:t xml:space="preserve">daroma išvada, kad upadacitinibas sukuria </w:t>
      </w:r>
      <w:r w:rsidRPr="00AC739B">
        <w:rPr>
          <w:bCs/>
          <w:iCs/>
          <w:color w:val="000000" w:themeColor="text1"/>
          <w:lang w:eastAsia="en-US"/>
        </w:rPr>
        <w:t>nesiskirianči</w:t>
      </w:r>
      <w:r w:rsidR="00C25D9E">
        <w:rPr>
          <w:bCs/>
          <w:iCs/>
          <w:color w:val="000000" w:themeColor="text1"/>
          <w:lang w:eastAsia="en-US"/>
        </w:rPr>
        <w:t>ą</w:t>
      </w:r>
      <w:r w:rsidRPr="00AC739B">
        <w:rPr>
          <w:bCs/>
          <w:iCs/>
          <w:color w:val="000000" w:themeColor="text1"/>
          <w:lang w:eastAsia="en-US"/>
        </w:rPr>
        <w:t xml:space="preserve"> naud</w:t>
      </w:r>
      <w:r w:rsidR="00C25D9E">
        <w:rPr>
          <w:bCs/>
          <w:iCs/>
          <w:color w:val="000000" w:themeColor="text1"/>
          <w:lang w:eastAsia="en-US"/>
        </w:rPr>
        <w:t>ą</w:t>
      </w:r>
      <w:r w:rsidRPr="00AC739B">
        <w:rPr>
          <w:bCs/>
          <w:iCs/>
          <w:color w:val="000000" w:themeColor="text1"/>
          <w:lang w:eastAsia="en-US"/>
        </w:rPr>
        <w:t xml:space="preserve"> pacientų sveikat</w:t>
      </w:r>
      <w:r w:rsidR="00C25D9E">
        <w:rPr>
          <w:bCs/>
          <w:iCs/>
          <w:color w:val="000000" w:themeColor="text1"/>
          <w:lang w:eastAsia="en-US"/>
        </w:rPr>
        <w:t>ai</w:t>
      </w:r>
      <w:r w:rsidRPr="00AC739B">
        <w:rPr>
          <w:bCs/>
          <w:iCs/>
          <w:color w:val="000000" w:themeColor="text1"/>
          <w:lang w:eastAsia="en-US"/>
        </w:rPr>
        <w:t>, lyginant su įprastą klinikine praktika.</w:t>
      </w:r>
    </w:p>
    <w:p w14:paraId="33471A50" w14:textId="77777777" w:rsidR="003D3228" w:rsidRPr="00AC739B" w:rsidRDefault="003D3228" w:rsidP="003D3228">
      <w:pPr>
        <w:shd w:val="clear" w:color="auto" w:fill="FFFFFF" w:themeFill="background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both"/>
        <w:rPr>
          <w:color w:val="202124"/>
        </w:rPr>
      </w:pPr>
    </w:p>
    <w:p w14:paraId="49C93293" w14:textId="77777777" w:rsidR="003D3228" w:rsidRPr="00AC739B" w:rsidRDefault="003D3228" w:rsidP="003D3228">
      <w:pPr>
        <w:pStyle w:val="ListParagraph"/>
        <w:numPr>
          <w:ilvl w:val="0"/>
          <w:numId w:val="1"/>
        </w:numPr>
        <w:tabs>
          <w:tab w:val="left" w:pos="567"/>
        </w:tabs>
        <w:ind w:hanging="720"/>
        <w:rPr>
          <w:b/>
          <w:bCs/>
          <w:caps/>
        </w:rPr>
      </w:pPr>
      <w:r w:rsidRPr="00AC739B">
        <w:rPr>
          <w:b/>
          <w:bCs/>
          <w:caps/>
        </w:rPr>
        <w:t>ekonominio vertinimo apibendrinimas</w:t>
      </w:r>
    </w:p>
    <w:p w14:paraId="46A5FE21" w14:textId="77777777" w:rsidR="003D3228" w:rsidRPr="00AC739B" w:rsidRDefault="003D3228" w:rsidP="003D3228">
      <w:pPr>
        <w:tabs>
          <w:tab w:val="left" w:pos="426"/>
        </w:tabs>
        <w:rPr>
          <w:i/>
          <w:sz w:val="22"/>
          <w:szCs w:val="22"/>
        </w:rPr>
      </w:pPr>
    </w:p>
    <w:p w14:paraId="3CFA5F5F" w14:textId="77777777" w:rsidR="00A66625" w:rsidRPr="00AC739B" w:rsidRDefault="00615244" w:rsidP="00A66625">
      <w:pPr>
        <w:tabs>
          <w:tab w:val="left" w:pos="492"/>
        </w:tabs>
        <w:spacing w:line="276" w:lineRule="auto"/>
        <w:jc w:val="both"/>
        <w:outlineLvl w:val="1"/>
      </w:pPr>
      <w:r w:rsidRPr="00AC739B">
        <w:rPr>
          <w:color w:val="000000"/>
        </w:rPr>
        <w:tab/>
      </w:r>
      <w:r w:rsidR="00A66625" w:rsidRPr="00AC739B">
        <w:t xml:space="preserve">Upadacitinibo palyginamasis veiksmingumas grindžiamas tiesioginio palyginimo su placebu </w:t>
      </w:r>
      <w:r w:rsidR="00A66625" w:rsidRPr="00AC739B">
        <w:rPr>
          <w:rFonts w:eastAsia="Arial"/>
        </w:rPr>
        <w:t>klinikinių tyrimų</w:t>
      </w:r>
      <w:r w:rsidR="00A66625" w:rsidRPr="00AC739B">
        <w:rPr>
          <w:rFonts w:eastAsia="Arial"/>
          <w:bCs/>
        </w:rPr>
        <w:t xml:space="preserve"> U-ACHIEVE, U-ACCOMPLISH</w:t>
      </w:r>
      <w:r w:rsidR="00A66625" w:rsidRPr="00AC739B">
        <w:t xml:space="preserve"> duomenimis. Remiantis </w:t>
      </w:r>
      <w:r w:rsidR="00A66625" w:rsidRPr="00AC739B">
        <w:rPr>
          <w:color w:val="000000"/>
        </w:rPr>
        <w:t xml:space="preserve">2018 m. vasario 12 d. </w:t>
      </w:r>
      <w:r w:rsidR="00A66625" w:rsidRPr="00AC739B">
        <w:t>Sveikatos apsaugos ministro įsakymu Nr.</w:t>
      </w:r>
      <w:r w:rsidR="00A66625" w:rsidRPr="00AC739B">
        <w:rPr>
          <w:color w:val="000000"/>
        </w:rPr>
        <w:t xml:space="preserve"> V-159 </w:t>
      </w:r>
      <w:r w:rsidR="00A66625" w:rsidRPr="00AC739B">
        <w:t>„</w:t>
      </w:r>
      <w:r w:rsidR="00A66625" w:rsidRPr="00AC739B">
        <w:rPr>
          <w:i/>
        </w:rPr>
        <w:t>Dėl Opinio kolito diagnostikos ir gydymo vaistais, kurių įsigijimo išlaidos apmokamos Privalomojo sveikatos draudimo fondo biudžeto lėšomis, tvarkos aprašo patvirtinimo</w:t>
      </w:r>
      <w:r w:rsidR="00A66625" w:rsidRPr="00AC739B">
        <w:t>“ tvarkos aprašu (toliau – tvarkos aprašas),</w:t>
      </w:r>
      <w:r w:rsidR="00A66625" w:rsidRPr="00AC739B">
        <w:rPr>
          <w:bCs/>
          <w:shd w:val="clear" w:color="auto" w:fill="FFFFFF"/>
        </w:rPr>
        <w:t xml:space="preserve"> pagal biologinių ligą modifikuojančių vaistų skyrimo eiliškumą, pradedant gydymą opiniu kolitu (K51) skiriamas </w:t>
      </w:r>
      <w:r w:rsidR="00A66625" w:rsidRPr="00AC739B">
        <w:rPr>
          <w:color w:val="000000"/>
        </w:rPr>
        <w:t>TNFα inhibitorius, kurio kaina mažiausia, arba vedolizumabas, arba tofacitinibas, arba ustekinumabas. Pareiškėjo pateiktos n</w:t>
      </w:r>
      <w:r w:rsidR="00A66625" w:rsidRPr="00AC739B">
        <w:t>etiesioginio palyginimo tinklinės meta-analizės, kurioje upadacitinibo klinikinis  veiksmingumas ir saugumas lygintas su gydymu adalimumabu/ infliksimabu/ tofacitinibu/ vendolizumabu/ ustekinumabu, palyginamasis gydymas atitinka įprastą klinikinę praktiką Lietuvoje.</w:t>
      </w:r>
    </w:p>
    <w:p w14:paraId="6C29A1AA" w14:textId="5610B340" w:rsidR="00A66625" w:rsidRPr="00AC739B" w:rsidRDefault="002F334E" w:rsidP="00A66625">
      <w:pPr>
        <w:tabs>
          <w:tab w:val="left" w:pos="492"/>
        </w:tabs>
        <w:spacing w:line="276" w:lineRule="auto"/>
        <w:jc w:val="both"/>
        <w:outlineLvl w:val="1"/>
        <w:rPr>
          <w:color w:val="000000"/>
        </w:rPr>
      </w:pPr>
      <w:r w:rsidRPr="00AC739B">
        <w:tab/>
      </w:r>
      <w:r w:rsidR="00A66625" w:rsidRPr="00AC739B">
        <w:t xml:space="preserve">Įprastinėje atvejo analizėje Tarnyba atsižvelgia, kad </w:t>
      </w:r>
      <w:r w:rsidR="00A66625" w:rsidRPr="00AC739B">
        <w:rPr>
          <w:color w:val="000000"/>
        </w:rPr>
        <w:t>Lietuvoje opiniam kolitui yra kompensuojamas</w:t>
      </w:r>
      <w:r w:rsidR="00A66625" w:rsidRPr="00AC739B">
        <w:t xml:space="preserve"> panašaus veikimo mechanizmo (JAK inhibitorius) vaistinis preparatas – tofacitinibas, kuris laikomas pagrindiniu palyginamuoju (duomenis patvirtina </w:t>
      </w:r>
      <w:r w:rsidR="00A66625" w:rsidRPr="00AC739B">
        <w:rPr>
          <w:rFonts w:eastAsia="TimesNewRomanPSMT"/>
        </w:rPr>
        <w:t>Valstybinės ligonių kasos</w:t>
      </w:r>
      <w:r w:rsidR="00A66625" w:rsidRPr="00AC739B">
        <w:t xml:space="preserve"> bei Lietuvos </w:t>
      </w:r>
      <w:r w:rsidR="00A66625" w:rsidRPr="00AC739B">
        <w:rPr>
          <w:rFonts w:eastAsia="TimesNewRomanPSMT"/>
        </w:rPr>
        <w:t>gastroenterologų draugijos nuomonė dėl vaistų pakeičiamumo).</w:t>
      </w:r>
      <w:r w:rsidR="00A66625" w:rsidRPr="00AC739B">
        <w:t xml:space="preserve"> </w:t>
      </w:r>
      <w:r w:rsidR="00A66625" w:rsidRPr="00AC739B">
        <w:rPr>
          <w:color w:val="000000"/>
        </w:rPr>
        <w:t>Kadangi Pareiškėjas teikia indikaciją (</w:t>
      </w:r>
      <w:r w:rsidR="00A66625" w:rsidRPr="00AC739B">
        <w:rPr>
          <w:i/>
        </w:rPr>
        <w:t>opinio kolito gydymui suaugusiesiems, kuriems atsakas į įprastą gydymą ar gydymą biologiniu vaistiniu preparatu buvo nepakankamas, buvo prarastas arba kurie minėtų gydymo būdų netoleravo</w:t>
      </w:r>
      <w:r w:rsidR="00A66625" w:rsidRPr="00AC739B">
        <w:t>)</w:t>
      </w:r>
      <w:r w:rsidR="00A66625" w:rsidRPr="00AC739B">
        <w:rPr>
          <w:color w:val="000000"/>
        </w:rPr>
        <w:t>, kurios pacientams gali būti skiriami tiek I tiek II eilės biologinės terapijos vaistiniai preparatai Lietuvoje kompensuojami opiniam kolitui  bei pradedant gydymą yra taikomas mažiausios metinės gydymo kainos kriterijus (skelbiama VLK interneto svetainėje), alternatyviai atliekama kaštų mažinimo analizė upadacitinibą lyginant su adalimumabu (pigiausias TNF alfa inhibitorius), vedolizumabu (</w:t>
      </w:r>
      <w:r w:rsidR="00A66625" w:rsidRPr="00AC739B">
        <w:rPr>
          <w:color w:val="202124"/>
          <w:shd w:val="clear" w:color="auto" w:fill="FFFFFF"/>
        </w:rPr>
        <w:t>integrinas α</w:t>
      </w:r>
      <w:r w:rsidR="00A66625" w:rsidRPr="00AC739B">
        <w:rPr>
          <w:color w:val="202124"/>
          <w:shd w:val="clear" w:color="auto" w:fill="FFFFFF"/>
          <w:vertAlign w:val="subscript"/>
        </w:rPr>
        <w:t>4</w:t>
      </w:r>
      <w:r w:rsidR="00A66625" w:rsidRPr="00AC739B">
        <w:rPr>
          <w:color w:val="202124"/>
          <w:shd w:val="clear" w:color="auto" w:fill="FFFFFF"/>
        </w:rPr>
        <w:t>β</w:t>
      </w:r>
      <w:r w:rsidR="00A66625" w:rsidRPr="00AC739B">
        <w:rPr>
          <w:color w:val="202124"/>
          <w:shd w:val="clear" w:color="auto" w:fill="FFFFFF"/>
          <w:vertAlign w:val="subscript"/>
        </w:rPr>
        <w:t>7</w:t>
      </w:r>
      <w:r w:rsidR="00A66625" w:rsidRPr="00AC739B">
        <w:rPr>
          <w:color w:val="000000"/>
        </w:rPr>
        <w:t>) ir ustekinumabu (interleukinas).</w:t>
      </w:r>
    </w:p>
    <w:p w14:paraId="142BF504" w14:textId="77777777" w:rsidR="00A66625" w:rsidRPr="00AC739B" w:rsidRDefault="00A66625" w:rsidP="00A66625">
      <w:pPr>
        <w:tabs>
          <w:tab w:val="left" w:pos="492"/>
        </w:tabs>
        <w:spacing w:line="276" w:lineRule="auto"/>
        <w:jc w:val="both"/>
        <w:outlineLvl w:val="1"/>
      </w:pPr>
      <w:r w:rsidRPr="00AC739B">
        <w:rPr>
          <w:rFonts w:eastAsia="Arial"/>
        </w:rPr>
        <w:tab/>
        <w:t>Atsižvelgiant, kad pagal klinikinius duomenis vertinama, jog upadacitinibo ir palyginamųjų vaistinių preparatų sveikatai sukuriama nauda yra panaši, ekonominėje analizėje ICER (ir QALYS) nėra vertinami, laikomasi prielaidos, kad gydymo (sveikatos būklių) kaštai yra panašūs ir ekonominėje analizėje yra netaikomi.</w:t>
      </w:r>
    </w:p>
    <w:p w14:paraId="7E1330BB" w14:textId="30964F6F" w:rsidR="00A66625" w:rsidRPr="00AC739B" w:rsidRDefault="002F334E" w:rsidP="00A66625">
      <w:pPr>
        <w:tabs>
          <w:tab w:val="left" w:pos="567"/>
        </w:tabs>
        <w:spacing w:line="276" w:lineRule="auto"/>
        <w:jc w:val="both"/>
      </w:pPr>
      <w:r w:rsidRPr="00AC739B">
        <w:lastRenderedPageBreak/>
        <w:tab/>
      </w:r>
      <w:r w:rsidR="00A66625" w:rsidRPr="00AC739B">
        <w:t>Tarnyba vertina, kad stebėsenos kaštai (</w:t>
      </w:r>
      <w:r w:rsidR="00A66625" w:rsidRPr="00AC739B">
        <w:rPr>
          <w:color w:val="000000"/>
          <w:lang w:eastAsia="lt-LT"/>
        </w:rPr>
        <w:t>gastroenterologo</w:t>
      </w:r>
      <w:r w:rsidR="00A66625" w:rsidRPr="00AC739B">
        <w:t xml:space="preserve"> konsultacijos apimtyje), visiems palyginamiesiems vaistiniams preparatams (bLMV) bus vienodi, kadangi priežiūra pagal opinio kolito tvarkos aprašą yra vykdoma tuo pačiu periodiškumu visiems bLMV. Tarnyba ekonominėje analizėje įtraukia tik tuos kaštus, kurie tarp palyginamųjų skiriasi ir turi esminės įtakos kaštų analizės rezultatams: </w:t>
      </w:r>
      <w:r w:rsidR="00A66625" w:rsidRPr="00AC739B">
        <w:rPr>
          <w:rFonts w:eastAsia="Arial"/>
        </w:rPr>
        <w:t>vaistinių preparatų įsigijimo ir skyrimo b</w:t>
      </w:r>
      <w:r w:rsidR="00882C31">
        <w:rPr>
          <w:rFonts w:eastAsia="Arial"/>
        </w:rPr>
        <w:t>ei nepageidaujamo poveikio vien</w:t>
      </w:r>
      <w:r w:rsidR="00A66625" w:rsidRPr="00AC739B">
        <w:rPr>
          <w:rFonts w:eastAsia="Arial"/>
        </w:rPr>
        <w:t>kartiniai kaštai penkerių metų laiko perspektyvoje (kadangi pirmaisiais ir sekančiais metais kaštai skiriasi priklausomai nuo dozavimo, lentelė 16.1).</w:t>
      </w:r>
    </w:p>
    <w:p w14:paraId="386D9D5B" w14:textId="312A4088" w:rsidR="00CE43C2" w:rsidRPr="00AC739B" w:rsidRDefault="00CE43C2" w:rsidP="00A66625">
      <w:pPr>
        <w:tabs>
          <w:tab w:val="left" w:pos="360"/>
        </w:tabs>
        <w:spacing w:line="276" w:lineRule="auto"/>
        <w:jc w:val="both"/>
        <w:rPr>
          <w:i/>
          <w:iCs/>
          <w:color w:val="00B050"/>
          <w:lang w:eastAsia="lt-LT"/>
        </w:rPr>
      </w:pPr>
    </w:p>
    <w:p w14:paraId="0588020B" w14:textId="6B9893EB" w:rsidR="00CE43C2" w:rsidRPr="00AC739B" w:rsidRDefault="00615244" w:rsidP="00A66625">
      <w:pPr>
        <w:shd w:val="clear" w:color="auto" w:fill="FFFFFF"/>
        <w:spacing w:line="276" w:lineRule="auto"/>
        <w:jc w:val="center"/>
        <w:rPr>
          <w:b/>
          <w:iCs/>
          <w:lang w:eastAsia="lt-LT"/>
        </w:rPr>
      </w:pPr>
      <w:r w:rsidRPr="00AC739B">
        <w:rPr>
          <w:b/>
          <w:iCs/>
          <w:lang w:eastAsia="lt-LT"/>
        </w:rPr>
        <w:t xml:space="preserve">Pagrindinis ekonominės analizės rezultatas </w:t>
      </w:r>
    </w:p>
    <w:tbl>
      <w:tblPr>
        <w:tblStyle w:val="TableGrid"/>
        <w:tblW w:w="9629" w:type="dxa"/>
        <w:jc w:val="center"/>
        <w:tblLook w:val="04A0" w:firstRow="1" w:lastRow="0" w:firstColumn="1" w:lastColumn="0" w:noHBand="0" w:noVBand="1"/>
      </w:tblPr>
      <w:tblGrid>
        <w:gridCol w:w="2065"/>
        <w:gridCol w:w="2276"/>
        <w:gridCol w:w="2193"/>
        <w:gridCol w:w="3095"/>
      </w:tblGrid>
      <w:tr w:rsidR="00A66625" w:rsidRPr="00AC739B" w14:paraId="0D76488F" w14:textId="77777777" w:rsidTr="00A66625">
        <w:trPr>
          <w:trHeight w:val="317"/>
          <w:jc w:val="center"/>
        </w:trPr>
        <w:tc>
          <w:tcPr>
            <w:tcW w:w="2065" w:type="dxa"/>
            <w:noWrap/>
            <w:hideMark/>
          </w:tcPr>
          <w:p w14:paraId="6F5E4718" w14:textId="089A0C49" w:rsidR="00A66625" w:rsidRPr="00AC739B" w:rsidRDefault="00A66625" w:rsidP="000E1774">
            <w:pPr>
              <w:rPr>
                <w:sz w:val="24"/>
                <w:szCs w:val="24"/>
                <w:lang w:eastAsia="lt-LT"/>
              </w:rPr>
            </w:pPr>
            <w:r w:rsidRPr="00AC739B">
              <w:rPr>
                <w:sz w:val="24"/>
                <w:szCs w:val="24"/>
                <w:lang w:eastAsia="lt-LT"/>
              </w:rPr>
              <w:t>Kaštai</w:t>
            </w:r>
          </w:p>
        </w:tc>
        <w:tc>
          <w:tcPr>
            <w:tcW w:w="2276" w:type="dxa"/>
            <w:noWrap/>
            <w:hideMark/>
          </w:tcPr>
          <w:p w14:paraId="0EDA6799" w14:textId="77777777" w:rsidR="00A66625" w:rsidRPr="00AC739B" w:rsidRDefault="00A66625" w:rsidP="000E1774">
            <w:pPr>
              <w:jc w:val="center"/>
              <w:rPr>
                <w:color w:val="000000" w:themeColor="text1"/>
                <w:sz w:val="24"/>
                <w:szCs w:val="24"/>
                <w:lang w:eastAsia="lt-LT"/>
              </w:rPr>
            </w:pPr>
            <w:r w:rsidRPr="00AC739B">
              <w:rPr>
                <w:color w:val="000000" w:themeColor="text1"/>
                <w:sz w:val="24"/>
                <w:szCs w:val="24"/>
                <w:lang w:eastAsia="lt-LT"/>
              </w:rPr>
              <w:t>Upadacitinibas</w:t>
            </w:r>
          </w:p>
          <w:p w14:paraId="6BC50011" w14:textId="5CAB03B2" w:rsidR="00A66625" w:rsidRPr="00AC739B" w:rsidRDefault="00A66625" w:rsidP="000E1774">
            <w:pPr>
              <w:jc w:val="center"/>
              <w:rPr>
                <w:color w:val="000000" w:themeColor="text1"/>
                <w:sz w:val="24"/>
                <w:szCs w:val="24"/>
                <w:lang w:eastAsia="lt-LT"/>
              </w:rPr>
            </w:pPr>
            <w:r w:rsidRPr="00AC739B">
              <w:rPr>
                <w:color w:val="000000" w:themeColor="text1"/>
                <w:sz w:val="24"/>
                <w:szCs w:val="24"/>
                <w:lang w:eastAsia="lt-LT"/>
              </w:rPr>
              <w:t>(</w:t>
            </w:r>
            <w:r w:rsidRPr="00AC739B">
              <w:rPr>
                <w:color w:val="000000" w:themeColor="text1"/>
                <w:sz w:val="24"/>
                <w:szCs w:val="24"/>
                <w:shd w:val="clear" w:color="auto" w:fill="FFFFFF"/>
              </w:rPr>
              <w:t>JAK inhibitorius)</w:t>
            </w:r>
          </w:p>
        </w:tc>
        <w:tc>
          <w:tcPr>
            <w:tcW w:w="2193" w:type="dxa"/>
            <w:noWrap/>
            <w:hideMark/>
          </w:tcPr>
          <w:p w14:paraId="7FA081CF" w14:textId="77777777" w:rsidR="00A66625" w:rsidRPr="00AC739B" w:rsidRDefault="00A66625" w:rsidP="000E1774">
            <w:pPr>
              <w:jc w:val="center"/>
              <w:rPr>
                <w:color w:val="000000" w:themeColor="text1"/>
                <w:sz w:val="24"/>
                <w:szCs w:val="24"/>
                <w:lang w:eastAsia="lt-LT"/>
              </w:rPr>
            </w:pPr>
            <w:r w:rsidRPr="00AC739B">
              <w:rPr>
                <w:color w:val="000000" w:themeColor="text1"/>
                <w:sz w:val="24"/>
                <w:szCs w:val="24"/>
                <w:lang w:eastAsia="lt-LT"/>
              </w:rPr>
              <w:t>Tofacitinibas</w:t>
            </w:r>
          </w:p>
          <w:p w14:paraId="4BA0E94B" w14:textId="64EE9419" w:rsidR="00A66625" w:rsidRPr="00AC739B" w:rsidRDefault="00A66625" w:rsidP="000E1774">
            <w:pPr>
              <w:jc w:val="center"/>
              <w:rPr>
                <w:color w:val="000000" w:themeColor="text1"/>
                <w:sz w:val="24"/>
                <w:szCs w:val="24"/>
                <w:lang w:eastAsia="lt-LT"/>
              </w:rPr>
            </w:pPr>
            <w:r w:rsidRPr="00AC739B">
              <w:rPr>
                <w:color w:val="000000" w:themeColor="text1"/>
                <w:sz w:val="24"/>
                <w:szCs w:val="24"/>
                <w:lang w:eastAsia="lt-LT"/>
              </w:rPr>
              <w:t>(</w:t>
            </w:r>
            <w:r w:rsidRPr="00AC739B">
              <w:rPr>
                <w:color w:val="000000" w:themeColor="text1"/>
                <w:sz w:val="24"/>
                <w:szCs w:val="24"/>
                <w:shd w:val="clear" w:color="auto" w:fill="FFFFFF"/>
              </w:rPr>
              <w:t>JAK inhibitorius)</w:t>
            </w:r>
          </w:p>
        </w:tc>
        <w:tc>
          <w:tcPr>
            <w:tcW w:w="3095" w:type="dxa"/>
            <w:noWrap/>
            <w:hideMark/>
          </w:tcPr>
          <w:p w14:paraId="7722CF44" w14:textId="77777777" w:rsidR="00A66625" w:rsidRPr="00AC739B" w:rsidRDefault="00A66625" w:rsidP="000E1774">
            <w:pPr>
              <w:jc w:val="center"/>
              <w:rPr>
                <w:sz w:val="24"/>
                <w:szCs w:val="24"/>
                <w:lang w:eastAsia="lt-LT"/>
              </w:rPr>
            </w:pPr>
            <w:r w:rsidRPr="00AC739B">
              <w:rPr>
                <w:sz w:val="24"/>
                <w:szCs w:val="24"/>
                <w:lang w:eastAsia="lt-LT"/>
              </w:rPr>
              <w:t>Skirtumas</w:t>
            </w:r>
          </w:p>
        </w:tc>
      </w:tr>
      <w:tr w:rsidR="00A66625" w:rsidRPr="00AC739B" w14:paraId="75B368B5" w14:textId="77777777" w:rsidTr="00A66625">
        <w:trPr>
          <w:trHeight w:val="289"/>
          <w:jc w:val="center"/>
        </w:trPr>
        <w:tc>
          <w:tcPr>
            <w:tcW w:w="2065" w:type="dxa"/>
            <w:noWrap/>
            <w:hideMark/>
          </w:tcPr>
          <w:p w14:paraId="72BE00D7" w14:textId="4F3FA8FD" w:rsidR="00A66625" w:rsidRPr="00AC739B" w:rsidRDefault="00A66625" w:rsidP="000E1774">
            <w:pPr>
              <w:rPr>
                <w:b/>
                <w:bCs/>
                <w:sz w:val="24"/>
                <w:szCs w:val="24"/>
                <w:lang w:eastAsia="lt-LT"/>
              </w:rPr>
            </w:pPr>
            <w:r w:rsidRPr="00AC739B">
              <w:rPr>
                <w:b/>
                <w:bCs/>
                <w:sz w:val="24"/>
                <w:szCs w:val="24"/>
                <w:lang w:eastAsia="lt-LT"/>
              </w:rPr>
              <w:t xml:space="preserve">Viso bendrieji kaštai (Eur.) </w:t>
            </w:r>
          </w:p>
        </w:tc>
        <w:tc>
          <w:tcPr>
            <w:tcW w:w="2276" w:type="dxa"/>
            <w:noWrap/>
          </w:tcPr>
          <w:p w14:paraId="7E33330F" w14:textId="7C0E6AF0" w:rsidR="00A66625" w:rsidRPr="00AC739B" w:rsidRDefault="00A66625" w:rsidP="000E1774">
            <w:pPr>
              <w:jc w:val="center"/>
              <w:rPr>
                <w:b/>
                <w:bCs/>
                <w:sz w:val="24"/>
                <w:szCs w:val="24"/>
                <w:lang w:eastAsia="lt-LT"/>
              </w:rPr>
            </w:pPr>
            <w:r w:rsidRPr="00AC739B">
              <w:rPr>
                <w:b/>
                <w:bCs/>
                <w:color w:val="000000"/>
                <w:sz w:val="24"/>
                <w:szCs w:val="24"/>
                <w:lang w:eastAsia="lt-LT"/>
              </w:rPr>
              <w:t>33397,5 Eur.</w:t>
            </w:r>
          </w:p>
        </w:tc>
        <w:tc>
          <w:tcPr>
            <w:tcW w:w="2193" w:type="dxa"/>
            <w:noWrap/>
          </w:tcPr>
          <w:p w14:paraId="0D3AC981" w14:textId="058217F7" w:rsidR="00A66625" w:rsidRPr="00AC739B" w:rsidRDefault="00882C31" w:rsidP="000E1774">
            <w:pPr>
              <w:jc w:val="center"/>
              <w:rPr>
                <w:b/>
                <w:bCs/>
                <w:sz w:val="24"/>
                <w:szCs w:val="24"/>
                <w:lang w:eastAsia="lt-LT"/>
              </w:rPr>
            </w:pPr>
            <w:r w:rsidRPr="0053553D">
              <w:rPr>
                <w:sz w:val="22"/>
                <w:szCs w:val="22"/>
                <w:highlight w:val="red"/>
                <w:lang w:eastAsia="lt-LT"/>
              </w:rPr>
              <w:t>**</w:t>
            </w:r>
            <w:r w:rsidRPr="00882C31">
              <w:rPr>
                <w:sz w:val="22"/>
                <w:szCs w:val="22"/>
                <w:highlight w:val="red"/>
                <w:lang w:eastAsia="lt-LT"/>
              </w:rPr>
              <w:t>*</w:t>
            </w:r>
            <w:r>
              <w:rPr>
                <w:sz w:val="22"/>
                <w:szCs w:val="22"/>
                <w:lang w:eastAsia="lt-LT"/>
              </w:rPr>
              <w:t xml:space="preserve"> </w:t>
            </w:r>
            <w:r w:rsidR="00A66625" w:rsidRPr="00AC739B">
              <w:rPr>
                <w:b/>
                <w:bCs/>
                <w:color w:val="000000"/>
                <w:sz w:val="24"/>
                <w:szCs w:val="24"/>
                <w:lang w:eastAsia="lt-LT"/>
              </w:rPr>
              <w:t>Eur.</w:t>
            </w:r>
          </w:p>
        </w:tc>
        <w:tc>
          <w:tcPr>
            <w:tcW w:w="3095" w:type="dxa"/>
            <w:noWrap/>
          </w:tcPr>
          <w:p w14:paraId="23510181" w14:textId="6A751102" w:rsidR="00A66625" w:rsidRPr="00AC739B" w:rsidRDefault="00882C31" w:rsidP="000E1774">
            <w:pPr>
              <w:jc w:val="center"/>
              <w:rPr>
                <w:b/>
                <w:bCs/>
                <w:sz w:val="24"/>
                <w:szCs w:val="24"/>
                <w:lang w:eastAsia="lt-LT"/>
              </w:rPr>
            </w:pPr>
            <w:r w:rsidRPr="0053553D">
              <w:rPr>
                <w:sz w:val="22"/>
                <w:szCs w:val="22"/>
                <w:highlight w:val="red"/>
                <w:lang w:eastAsia="lt-LT"/>
              </w:rPr>
              <w:t>**</w:t>
            </w:r>
            <w:r w:rsidRPr="00882C31">
              <w:rPr>
                <w:sz w:val="22"/>
                <w:szCs w:val="22"/>
                <w:highlight w:val="red"/>
                <w:lang w:eastAsia="lt-LT"/>
              </w:rPr>
              <w:t>*</w:t>
            </w:r>
            <w:r>
              <w:rPr>
                <w:sz w:val="22"/>
                <w:szCs w:val="22"/>
                <w:lang w:eastAsia="lt-LT"/>
              </w:rPr>
              <w:t xml:space="preserve"> </w:t>
            </w:r>
            <w:r w:rsidR="00A66625" w:rsidRPr="00AC739B">
              <w:rPr>
                <w:b/>
                <w:bCs/>
                <w:color w:val="000000"/>
                <w:sz w:val="24"/>
                <w:szCs w:val="24"/>
                <w:lang w:eastAsia="lt-LT"/>
              </w:rPr>
              <w:t>Eur.</w:t>
            </w:r>
          </w:p>
        </w:tc>
      </w:tr>
    </w:tbl>
    <w:p w14:paraId="553B0909" w14:textId="4BA9F6EB" w:rsidR="00A66625" w:rsidRPr="00AC739B" w:rsidRDefault="00A66625" w:rsidP="00CE43C2">
      <w:pPr>
        <w:shd w:val="clear" w:color="auto" w:fill="FFFFFF"/>
        <w:spacing w:line="276" w:lineRule="auto"/>
        <w:rPr>
          <w:i/>
          <w:iCs/>
          <w:color w:val="00B050"/>
          <w:lang w:eastAsia="lt-LT"/>
        </w:rPr>
      </w:pPr>
      <w:r w:rsidRPr="00AC739B">
        <w:rPr>
          <w:b/>
          <w:sz w:val="20"/>
          <w:szCs w:val="20"/>
          <w:lang w:eastAsia="lt-LT"/>
        </w:rPr>
        <w:t xml:space="preserve">*KMA apima: </w:t>
      </w:r>
      <w:r w:rsidRPr="00AC739B">
        <w:rPr>
          <w:i/>
          <w:iCs/>
          <w:color w:val="000000" w:themeColor="text1"/>
          <w:sz w:val="20"/>
          <w:szCs w:val="20"/>
          <w:lang w:eastAsia="lt-LT"/>
        </w:rPr>
        <w:t>Vaistinių preparatų įsigijimo ir skyrimo penkerių metų laikotarpiu bei vienkartinius nepageidaujamo poveikio valdymo kaštus</w:t>
      </w:r>
    </w:p>
    <w:p w14:paraId="2DFA51B2" w14:textId="77777777" w:rsidR="00A66625" w:rsidRPr="00AC739B" w:rsidRDefault="00A66625" w:rsidP="00CE43C2">
      <w:pPr>
        <w:shd w:val="clear" w:color="auto" w:fill="FFFFFF"/>
        <w:spacing w:line="276" w:lineRule="auto"/>
        <w:rPr>
          <w:i/>
          <w:iCs/>
          <w:color w:val="00B050"/>
          <w:lang w:eastAsia="lt-LT"/>
        </w:rPr>
      </w:pPr>
    </w:p>
    <w:p w14:paraId="66A1F370" w14:textId="3F6407DC" w:rsidR="0097229D" w:rsidRPr="00AC739B" w:rsidRDefault="00A66625" w:rsidP="0097229D">
      <w:pPr>
        <w:tabs>
          <w:tab w:val="left" w:pos="492"/>
        </w:tabs>
        <w:spacing w:line="276" w:lineRule="auto"/>
        <w:jc w:val="both"/>
        <w:outlineLvl w:val="1"/>
        <w:rPr>
          <w:b/>
          <w:color w:val="000000"/>
        </w:rPr>
      </w:pPr>
      <w:r w:rsidRPr="00AC739B">
        <w:rPr>
          <w:rFonts w:eastAsia="Arial"/>
        </w:rPr>
        <w:tab/>
      </w:r>
      <w:r w:rsidR="00882C31" w:rsidRPr="0053553D">
        <w:rPr>
          <w:rFonts w:eastAsia="Arial"/>
        </w:rPr>
        <w:t>Gautais duomenimis, vertinant penkerių metų laiko perspektyvoje, upadacitinibo kaštai mažesni nei tofac</w:t>
      </w:r>
      <w:r w:rsidR="00882C31">
        <w:rPr>
          <w:rFonts w:eastAsia="Arial"/>
        </w:rPr>
        <w:t>itinibo</w:t>
      </w:r>
      <w:r w:rsidR="00882C31" w:rsidRPr="0053553D">
        <w:rPr>
          <w:rFonts w:eastAsia="Arial"/>
        </w:rPr>
        <w:t>, apskaičiuojant su upadacitinibo Lietuvai taikoma bazine kaina su nuolaida (</w:t>
      </w:r>
      <w:r w:rsidR="000E262B">
        <w:rPr>
          <w:lang w:eastAsia="lt-LT"/>
        </w:rPr>
        <w:t>***</w:t>
      </w:r>
      <w:r w:rsidR="00882C31" w:rsidRPr="0053553D">
        <w:rPr>
          <w:lang w:eastAsia="lt-LT"/>
        </w:rPr>
        <w:t xml:space="preserve"> Eur</w:t>
      </w:r>
      <w:r w:rsidR="00882C31" w:rsidRPr="0053553D">
        <w:rPr>
          <w:rFonts w:eastAsia="Arial"/>
        </w:rPr>
        <w:t xml:space="preserve">. ir </w:t>
      </w:r>
      <w:r w:rsidR="000E262B">
        <w:rPr>
          <w:rFonts w:eastAsia="Arial"/>
          <w:lang w:val="en-US"/>
        </w:rPr>
        <w:t>***</w:t>
      </w:r>
      <w:r w:rsidR="00882C31" w:rsidRPr="0053553D">
        <w:rPr>
          <w:rFonts w:eastAsia="Arial"/>
        </w:rPr>
        <w:t xml:space="preserve"> Eur.,) ir tofacitinibo kainos nuolaida pagal prieinamumo gerinimo sutartį (</w:t>
      </w:r>
      <w:r w:rsidR="00882C31" w:rsidRPr="0053553D">
        <w:rPr>
          <w:rFonts w:eastAsia="Arial"/>
          <w:color w:val="000000" w:themeColor="text1"/>
        </w:rPr>
        <w:t xml:space="preserve">konfidenciali kaina - </w:t>
      </w:r>
      <w:r w:rsidR="00882C31" w:rsidRPr="0053553D">
        <w:rPr>
          <w:rFonts w:eastAsia="Arial"/>
        </w:rPr>
        <w:t>(</w:t>
      </w:r>
      <w:r w:rsidR="00882C31" w:rsidRPr="0053553D">
        <w:rPr>
          <w:highlight w:val="red"/>
          <w:lang w:eastAsia="lt-LT"/>
        </w:rPr>
        <w:t>***</w:t>
      </w:r>
      <w:r w:rsidR="00882C31" w:rsidRPr="0053553D">
        <w:rPr>
          <w:lang w:eastAsia="lt-LT"/>
        </w:rPr>
        <w:t xml:space="preserve"> Eur.</w:t>
      </w:r>
      <w:r w:rsidR="00882C31" w:rsidRPr="0053553D">
        <w:rPr>
          <w:rFonts w:eastAsia="Arial"/>
          <w:color w:val="000000" w:themeColor="text1"/>
        </w:rPr>
        <w:t xml:space="preserve">). </w:t>
      </w:r>
      <w:r w:rsidR="00882C31" w:rsidRPr="0053553D">
        <w:rPr>
          <w:rFonts w:eastAsia="Arial"/>
        </w:rPr>
        <w:t>Alternatyviai vertinant penkerių metų laiko perspektyvoje, upadacitinibo bendrieji kaštai mažesni nei ustekinumabo (</w:t>
      </w:r>
      <w:r w:rsidR="00882C31" w:rsidRPr="0053553D">
        <w:rPr>
          <w:highlight w:val="red"/>
          <w:lang w:eastAsia="lt-LT"/>
        </w:rPr>
        <w:t>***</w:t>
      </w:r>
      <w:r w:rsidR="00882C31" w:rsidRPr="0053553D">
        <w:rPr>
          <w:lang w:eastAsia="lt-LT"/>
        </w:rPr>
        <w:t xml:space="preserve"> Eur.</w:t>
      </w:r>
      <w:r w:rsidR="00882C31" w:rsidRPr="0053553D">
        <w:rPr>
          <w:rFonts w:eastAsia="Arial"/>
        </w:rPr>
        <w:t>) ir vedolizu</w:t>
      </w:r>
      <w:r w:rsidR="00882C31">
        <w:rPr>
          <w:rFonts w:eastAsia="Arial"/>
        </w:rPr>
        <w:t xml:space="preserve">mabo, skiriant intravenine forma </w:t>
      </w:r>
      <w:r w:rsidR="00882C31" w:rsidRPr="0053553D">
        <w:rPr>
          <w:rFonts w:eastAsia="Arial"/>
        </w:rPr>
        <w:t>(</w:t>
      </w:r>
      <w:r w:rsidR="00882C31" w:rsidRPr="0053553D">
        <w:rPr>
          <w:highlight w:val="red"/>
          <w:lang w:eastAsia="lt-LT"/>
        </w:rPr>
        <w:t>***</w:t>
      </w:r>
      <w:r w:rsidR="00882C31" w:rsidRPr="0053553D">
        <w:rPr>
          <w:lang w:eastAsia="lt-LT"/>
        </w:rPr>
        <w:t xml:space="preserve"> Eur.</w:t>
      </w:r>
      <w:r w:rsidR="00882C31">
        <w:rPr>
          <w:rFonts w:eastAsia="Arial"/>
        </w:rPr>
        <w:t>)</w:t>
      </w:r>
      <w:r w:rsidR="00882C31" w:rsidRPr="0053553D">
        <w:rPr>
          <w:rFonts w:eastAsia="Arial"/>
        </w:rPr>
        <w:t xml:space="preserve"> ir poodine (</w:t>
      </w:r>
      <w:r w:rsidR="00882C31" w:rsidRPr="0053553D">
        <w:rPr>
          <w:highlight w:val="red"/>
          <w:lang w:eastAsia="lt-LT"/>
        </w:rPr>
        <w:t>***</w:t>
      </w:r>
      <w:r w:rsidR="00882C31" w:rsidRPr="0053553D">
        <w:rPr>
          <w:lang w:eastAsia="lt-LT"/>
        </w:rPr>
        <w:t xml:space="preserve"> Eur.</w:t>
      </w:r>
      <w:r w:rsidR="00882C31">
        <w:rPr>
          <w:rFonts w:eastAsia="Arial"/>
        </w:rPr>
        <w:t xml:space="preserve">), </w:t>
      </w:r>
      <w:r w:rsidR="00882C31" w:rsidRPr="0053553D">
        <w:rPr>
          <w:bCs/>
          <w:color w:val="000000"/>
          <w:lang w:eastAsia="lt-LT"/>
        </w:rPr>
        <w:t>bei didesni nei adalimumabo (</w:t>
      </w:r>
      <w:r w:rsidR="00882C31" w:rsidRPr="0053553D">
        <w:rPr>
          <w:highlight w:val="red"/>
          <w:lang w:eastAsia="lt-LT"/>
        </w:rPr>
        <w:t>***</w:t>
      </w:r>
      <w:r w:rsidR="00882C31" w:rsidRPr="0053553D">
        <w:rPr>
          <w:lang w:eastAsia="lt-LT"/>
        </w:rPr>
        <w:t xml:space="preserve"> Eur.</w:t>
      </w:r>
      <w:r w:rsidR="00882C31" w:rsidRPr="0053553D">
        <w:rPr>
          <w:rFonts w:eastAsia="Arial"/>
        </w:rPr>
        <w:t>)</w:t>
      </w:r>
      <w:r w:rsidR="00882C31" w:rsidRPr="0053553D">
        <w:rPr>
          <w:bCs/>
          <w:color w:val="000000"/>
          <w:lang w:eastAsia="lt-LT"/>
        </w:rPr>
        <w:t xml:space="preserve">, </w:t>
      </w:r>
      <w:r w:rsidR="00882C31" w:rsidRPr="0053553D">
        <w:rPr>
          <w:rFonts w:eastAsia="Arial"/>
        </w:rPr>
        <w:t>apskaičiuojant su upadacitinibo Lietuvai taikoma bazine kaina su nuolaida (</w:t>
      </w:r>
      <w:r w:rsidR="000E262B">
        <w:rPr>
          <w:lang w:eastAsia="lt-LT"/>
        </w:rPr>
        <w:t>***</w:t>
      </w:r>
      <w:r w:rsidR="00882C31" w:rsidRPr="0053553D">
        <w:rPr>
          <w:lang w:eastAsia="lt-LT"/>
        </w:rPr>
        <w:t xml:space="preserve"> Eur</w:t>
      </w:r>
      <w:r w:rsidR="00882C31" w:rsidRPr="0053553D">
        <w:rPr>
          <w:rFonts w:eastAsia="Arial"/>
        </w:rPr>
        <w:t xml:space="preserve">. ir </w:t>
      </w:r>
      <w:r w:rsidR="000E262B">
        <w:rPr>
          <w:rFonts w:eastAsia="Arial"/>
        </w:rPr>
        <w:t xml:space="preserve"> ***</w:t>
      </w:r>
      <w:r w:rsidR="00882C31" w:rsidRPr="0053553D">
        <w:rPr>
          <w:rFonts w:eastAsia="Arial"/>
        </w:rPr>
        <w:t xml:space="preserve"> Eur.,) ir palyginamųjų kainomis pagal prieinamumo gerinimo sutartis (</w:t>
      </w:r>
      <w:r w:rsidR="00882C31" w:rsidRPr="0053553D">
        <w:rPr>
          <w:rFonts w:eastAsia="Arial"/>
          <w:color w:val="000000" w:themeColor="text1"/>
        </w:rPr>
        <w:t>konfidencialias kainas).</w:t>
      </w:r>
    </w:p>
    <w:p w14:paraId="30F638BA" w14:textId="3FEB34D1" w:rsidR="0097229D" w:rsidRPr="00AC739B" w:rsidRDefault="0097229D" w:rsidP="0097229D">
      <w:pPr>
        <w:tabs>
          <w:tab w:val="left" w:pos="492"/>
        </w:tabs>
        <w:spacing w:line="276" w:lineRule="auto"/>
        <w:jc w:val="both"/>
        <w:outlineLvl w:val="1"/>
        <w:rPr>
          <w:b/>
          <w:color w:val="000000"/>
        </w:rPr>
      </w:pPr>
      <w:r w:rsidRPr="00AC739B">
        <w:rPr>
          <w:b/>
          <w:color w:val="000000"/>
        </w:rPr>
        <w:tab/>
      </w:r>
      <w:r w:rsidRPr="00AC739B">
        <w:rPr>
          <w:rFonts w:eastAsia="Arial"/>
        </w:rPr>
        <w:t>Tarnyba laiko, kad pagrindinis analizės palyginamasis dėl panašaus veikimo mechanizmo (JAK inhibitorius ir vienodos skyrimo sąlygos) yra tofacitinibas. Remiantis palyginamąja kaštų analize, upadacitinibas laikomas pigesniu nei tofacitinibas ir pasiekiamas kaštų mažinimas.  Paminėtina, kad upadacitinibo kaštai mažesni lyginant ir su kitais Lietuvai aktualiais (kompensuojamais) palyginamaisiais: ustekinumabu ir vedolizumabu. Upadacitinibas brangesnė gydymo alternatyva nei adalimumabas, tačiau Tarnyba vertina, kad dėl taikomo pigiausios kainos kriterijaus (vadovaujantis gydymo Tvarkos aprašu) realioje gydymo praktikoje pirmiausiai bus skiriamas pigesnis vaistinis preparatas (adalimumabas).</w:t>
      </w:r>
    </w:p>
    <w:p w14:paraId="7EB0E373" w14:textId="004D4FAC" w:rsidR="003D3228" w:rsidRPr="00AC739B" w:rsidRDefault="003D3228" w:rsidP="002F334E">
      <w:pPr>
        <w:tabs>
          <w:tab w:val="left" w:pos="492"/>
        </w:tabs>
        <w:spacing w:line="276" w:lineRule="auto"/>
        <w:jc w:val="both"/>
        <w:outlineLvl w:val="1"/>
        <w:rPr>
          <w:b/>
          <w:color w:val="000000"/>
        </w:rPr>
      </w:pPr>
    </w:p>
    <w:p w14:paraId="6312BA19" w14:textId="77777777" w:rsidR="003D3228" w:rsidRPr="00AC739B" w:rsidRDefault="003D3228" w:rsidP="003D3228">
      <w:pPr>
        <w:tabs>
          <w:tab w:val="left" w:pos="426"/>
        </w:tabs>
        <w:rPr>
          <w:b/>
          <w:bCs/>
          <w:caps/>
        </w:rPr>
      </w:pPr>
    </w:p>
    <w:p w14:paraId="607A2CB8" w14:textId="77777777" w:rsidR="003D3228" w:rsidRPr="00AC739B" w:rsidRDefault="003D3228" w:rsidP="003D3228">
      <w:pPr>
        <w:pStyle w:val="ListParagraph"/>
        <w:numPr>
          <w:ilvl w:val="0"/>
          <w:numId w:val="1"/>
        </w:numPr>
        <w:tabs>
          <w:tab w:val="left" w:pos="567"/>
        </w:tabs>
        <w:ind w:hanging="720"/>
        <w:rPr>
          <w:b/>
          <w:bCs/>
          <w:caps/>
        </w:rPr>
      </w:pPr>
      <w:r w:rsidRPr="00AC739B">
        <w:rPr>
          <w:b/>
          <w:bCs/>
          <w:caps/>
        </w:rPr>
        <w:t xml:space="preserve">Pacientų organizacijų pateikti duomenys </w:t>
      </w:r>
    </w:p>
    <w:p w14:paraId="4A126E4D" w14:textId="67D7BBBA" w:rsidR="003D3228" w:rsidRPr="00AC739B" w:rsidRDefault="00000000" w:rsidP="003D3228">
      <w:pPr>
        <w:spacing w:after="120"/>
        <w:jc w:val="both"/>
      </w:pPr>
      <w:sdt>
        <w:sdtPr>
          <w:rPr>
            <w:rStyle w:val="Style2"/>
            <w:rFonts w:ascii="MS Gothic" w:eastAsia="MS Gothic" w:hAnsi="MS Gothic"/>
          </w:rPr>
          <w:id w:val="1150014178"/>
          <w15:color w:val="FFCC00"/>
          <w14:checkbox>
            <w14:checked w14:val="0"/>
            <w14:checkedState w14:val="2612" w14:font="MS Gothic"/>
            <w14:uncheckedState w14:val="2610" w14:font="MS Gothic"/>
          </w14:checkbox>
        </w:sdtPr>
        <w:sdtContent>
          <w:r w:rsidR="00685CA7" w:rsidRPr="00AC739B">
            <w:rPr>
              <w:rStyle w:val="Style2"/>
              <w:rFonts w:ascii="MS Gothic" w:eastAsia="MS Gothic" w:hAnsi="MS Gothic"/>
            </w:rPr>
            <w:t>☐</w:t>
          </w:r>
        </w:sdtContent>
      </w:sdt>
      <w:r w:rsidR="003D3228" w:rsidRPr="00AC739B">
        <w:t xml:space="preserve"> Pacientų organizacijos pozicija pateikta. Žr. priedą.</w:t>
      </w:r>
    </w:p>
    <w:p w14:paraId="401E698C" w14:textId="2F9DAC79" w:rsidR="003D3228" w:rsidRPr="00AC739B" w:rsidRDefault="00000000" w:rsidP="003D3228">
      <w:pPr>
        <w:spacing w:after="120"/>
        <w:jc w:val="both"/>
      </w:pPr>
      <w:sdt>
        <w:sdtPr>
          <w:rPr>
            <w:rStyle w:val="Style2"/>
            <w:rFonts w:ascii="MS Gothic" w:eastAsia="MS Gothic" w:hAnsi="MS Gothic"/>
          </w:rPr>
          <w:id w:val="-1545513810"/>
          <w15:color w:val="FFCC00"/>
          <w14:checkbox>
            <w14:checked w14:val="1"/>
            <w14:checkedState w14:val="2612" w14:font="MS Gothic"/>
            <w14:uncheckedState w14:val="2610" w14:font="MS Gothic"/>
          </w14:checkbox>
        </w:sdtPr>
        <w:sdtContent>
          <w:r w:rsidR="00024CC4" w:rsidRPr="00AC739B">
            <w:rPr>
              <w:rStyle w:val="Style2"/>
              <w:rFonts w:ascii="MS Gothic" w:eastAsia="MS Gothic" w:hAnsi="MS Gothic"/>
            </w:rPr>
            <w:t>☒</w:t>
          </w:r>
        </w:sdtContent>
      </w:sdt>
      <w:r w:rsidR="003D3228" w:rsidRPr="00AC739B">
        <w:t xml:space="preserve"> Pacientų organizacijos pozicija nepateikta.</w:t>
      </w:r>
    </w:p>
    <w:p w14:paraId="69C3F713" w14:textId="77777777" w:rsidR="003D3228" w:rsidRPr="00AC739B" w:rsidRDefault="003D3228" w:rsidP="003D3228">
      <w:pPr>
        <w:spacing w:after="120"/>
        <w:jc w:val="both"/>
      </w:pPr>
    </w:p>
    <w:p w14:paraId="1DEA7E3A" w14:textId="77777777" w:rsidR="003D3228" w:rsidRPr="00AC739B" w:rsidRDefault="003D3228" w:rsidP="003D3228">
      <w:pPr>
        <w:pStyle w:val="ListParagraph"/>
        <w:numPr>
          <w:ilvl w:val="0"/>
          <w:numId w:val="1"/>
        </w:numPr>
        <w:tabs>
          <w:tab w:val="left" w:pos="567"/>
        </w:tabs>
        <w:ind w:hanging="720"/>
        <w:rPr>
          <w:b/>
          <w:bCs/>
          <w:caps/>
        </w:rPr>
      </w:pPr>
      <w:r w:rsidRPr="00AC739B">
        <w:rPr>
          <w:b/>
          <w:bCs/>
          <w:caps/>
        </w:rPr>
        <w:t>Gydytojų organizacijų pateikti duomenys</w:t>
      </w:r>
    </w:p>
    <w:p w14:paraId="47F9473E" w14:textId="22F14186" w:rsidR="003D3228" w:rsidRPr="00AC739B" w:rsidRDefault="00000000" w:rsidP="003D3228">
      <w:pPr>
        <w:spacing w:after="120"/>
        <w:jc w:val="both"/>
      </w:pPr>
      <w:sdt>
        <w:sdtPr>
          <w:rPr>
            <w:rStyle w:val="Style2"/>
            <w:rFonts w:ascii="MS Gothic" w:eastAsia="MS Gothic" w:hAnsi="MS Gothic"/>
          </w:rPr>
          <w:id w:val="1613862788"/>
          <w15:color w:val="FFCC00"/>
          <w14:checkbox>
            <w14:checked w14:val="0"/>
            <w14:checkedState w14:val="2612" w14:font="MS Gothic"/>
            <w14:uncheckedState w14:val="2610" w14:font="MS Gothic"/>
          </w14:checkbox>
        </w:sdtPr>
        <w:sdtContent>
          <w:r w:rsidR="00685CA7" w:rsidRPr="00AC739B">
            <w:rPr>
              <w:rStyle w:val="Style2"/>
              <w:rFonts w:ascii="MS Gothic" w:eastAsia="MS Gothic" w:hAnsi="MS Gothic"/>
            </w:rPr>
            <w:t>☐</w:t>
          </w:r>
        </w:sdtContent>
      </w:sdt>
      <w:r w:rsidR="003D3228" w:rsidRPr="00AC739B">
        <w:t xml:space="preserve"> Gydytojų specialistų organizacijos pozicija pateikta. </w:t>
      </w:r>
    </w:p>
    <w:p w14:paraId="412EFD00" w14:textId="4EEE7BB1" w:rsidR="003D3228" w:rsidRPr="00AC739B" w:rsidRDefault="00000000" w:rsidP="003D3228">
      <w:pPr>
        <w:spacing w:after="120"/>
        <w:jc w:val="both"/>
      </w:pPr>
      <w:sdt>
        <w:sdtPr>
          <w:rPr>
            <w:rStyle w:val="Style2"/>
            <w:rFonts w:ascii="MS Gothic" w:eastAsia="MS Gothic" w:hAnsi="MS Gothic"/>
          </w:rPr>
          <w:id w:val="-41988141"/>
          <w15:color w:val="FFCC00"/>
          <w14:checkbox>
            <w14:checked w14:val="1"/>
            <w14:checkedState w14:val="2612" w14:font="MS Gothic"/>
            <w14:uncheckedState w14:val="2610" w14:font="MS Gothic"/>
          </w14:checkbox>
        </w:sdtPr>
        <w:sdtContent>
          <w:r w:rsidR="00024CC4" w:rsidRPr="00AC739B">
            <w:rPr>
              <w:rStyle w:val="Style2"/>
              <w:rFonts w:ascii="MS Gothic" w:eastAsia="MS Gothic" w:hAnsi="MS Gothic"/>
            </w:rPr>
            <w:t>☒</w:t>
          </w:r>
        </w:sdtContent>
      </w:sdt>
      <w:r w:rsidR="003D3228" w:rsidRPr="00AC739B">
        <w:t xml:space="preserve"> Gydytojų specialistų organizacijos pozicija nepateikta.</w:t>
      </w:r>
    </w:p>
    <w:p w14:paraId="42ACBCEB" w14:textId="77777777" w:rsidR="003D3228" w:rsidRPr="00AC739B" w:rsidRDefault="003D3228" w:rsidP="003D3228">
      <w:pPr>
        <w:spacing w:after="120"/>
        <w:jc w:val="both"/>
      </w:pPr>
    </w:p>
    <w:p w14:paraId="77D86DFE" w14:textId="77777777" w:rsidR="003D3228" w:rsidRPr="00AC739B" w:rsidRDefault="003D3228" w:rsidP="003D3228">
      <w:pPr>
        <w:pStyle w:val="ListParagraph"/>
        <w:numPr>
          <w:ilvl w:val="0"/>
          <w:numId w:val="1"/>
        </w:numPr>
        <w:tabs>
          <w:tab w:val="left" w:pos="567"/>
        </w:tabs>
        <w:ind w:hanging="720"/>
        <w:rPr>
          <w:b/>
          <w:bCs/>
          <w:caps/>
        </w:rPr>
      </w:pPr>
      <w:r w:rsidRPr="00AC739B">
        <w:rPr>
          <w:b/>
          <w:bCs/>
          <w:caps/>
        </w:rPr>
        <w:t xml:space="preserve">Išvada </w:t>
      </w:r>
    </w:p>
    <w:p w14:paraId="45009552" w14:textId="77777777" w:rsidR="003D3228" w:rsidRPr="00AC739B" w:rsidRDefault="003D3228" w:rsidP="003D3228">
      <w:pPr>
        <w:rPr>
          <w:i/>
          <w:color w:val="00B050"/>
          <w:szCs w:val="22"/>
        </w:rPr>
      </w:pPr>
    </w:p>
    <w:tbl>
      <w:tblPr>
        <w:tblStyle w:val="TableGrid"/>
        <w:tblW w:w="9918" w:type="dxa"/>
        <w:jc w:val="center"/>
        <w:tblLook w:val="04A0" w:firstRow="1" w:lastRow="0" w:firstColumn="1" w:lastColumn="0" w:noHBand="0" w:noVBand="1"/>
      </w:tblPr>
      <w:tblGrid>
        <w:gridCol w:w="4815"/>
        <w:gridCol w:w="71"/>
        <w:gridCol w:w="5032"/>
      </w:tblGrid>
      <w:tr w:rsidR="00685CA7" w:rsidRPr="00F52D04" w14:paraId="0E6FBC72" w14:textId="77777777" w:rsidTr="000A2C78">
        <w:trPr>
          <w:trHeight w:val="532"/>
          <w:jc w:val="center"/>
        </w:trPr>
        <w:tc>
          <w:tcPr>
            <w:tcW w:w="4886" w:type="dxa"/>
            <w:gridSpan w:val="2"/>
            <w:vAlign w:val="center"/>
          </w:tcPr>
          <w:p w14:paraId="65253F50" w14:textId="77777777" w:rsidR="00685CA7" w:rsidRPr="00F52D0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F52D04">
              <w:rPr>
                <w:rStyle w:val="Style2"/>
                <w:rFonts w:eastAsia="MS Gothic"/>
                <w:b/>
                <w:bCs/>
                <w:sz w:val="24"/>
                <w:szCs w:val="24"/>
              </w:rPr>
              <w:lastRenderedPageBreak/>
              <w:t>Rekomenduojama kompensuoti</w:t>
            </w:r>
          </w:p>
        </w:tc>
        <w:tc>
          <w:tcPr>
            <w:tcW w:w="5032" w:type="dxa"/>
            <w:vAlign w:val="center"/>
          </w:tcPr>
          <w:p w14:paraId="60FABE9F" w14:textId="77777777" w:rsidR="00685CA7" w:rsidRPr="00F52D0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F52D04">
              <w:rPr>
                <w:rStyle w:val="Style2"/>
                <w:rFonts w:eastAsia="MS Gothic"/>
                <w:b/>
                <w:bCs/>
                <w:sz w:val="24"/>
                <w:szCs w:val="24"/>
              </w:rPr>
              <w:t>Rekomenduojama nekompensuoti</w:t>
            </w:r>
          </w:p>
        </w:tc>
      </w:tr>
      <w:tr w:rsidR="00685CA7" w:rsidRPr="00F52D04" w14:paraId="797C11E2" w14:textId="77777777" w:rsidTr="000A2C78">
        <w:trPr>
          <w:trHeight w:val="494"/>
          <w:jc w:val="center"/>
        </w:trPr>
        <w:tc>
          <w:tcPr>
            <w:tcW w:w="9918" w:type="dxa"/>
            <w:gridSpan w:val="3"/>
            <w:vAlign w:val="center"/>
          </w:tcPr>
          <w:p w14:paraId="6F9D1D5B" w14:textId="77777777" w:rsidR="00685CA7" w:rsidRPr="00F52D0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F52D04">
              <w:rPr>
                <w:rStyle w:val="Style2"/>
                <w:rFonts w:eastAsia="MS Gothic"/>
                <w:b/>
                <w:bCs/>
                <w:sz w:val="24"/>
              </w:rPr>
              <w:t>Palyginamasis efektyvumas</w:t>
            </w:r>
          </w:p>
        </w:tc>
      </w:tr>
      <w:tr w:rsidR="00685CA7" w:rsidRPr="00F52D04" w14:paraId="1A099485" w14:textId="77777777" w:rsidTr="000A2C78">
        <w:trPr>
          <w:trHeight w:val="1546"/>
          <w:jc w:val="center"/>
        </w:trPr>
        <w:tc>
          <w:tcPr>
            <w:tcW w:w="4886" w:type="dxa"/>
            <w:gridSpan w:val="2"/>
          </w:tcPr>
          <w:p w14:paraId="27C7059C" w14:textId="7CE940E4" w:rsidR="00685CA7" w:rsidRPr="00F52D0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253974781"/>
                <w15:color w:val="FFCC00"/>
                <w14:checkbox>
                  <w14:checked w14:val="0"/>
                  <w14:checkedState w14:val="2612" w14:font="MS Gothic"/>
                  <w14:uncheckedState w14:val="2610" w14:font="MS Gothic"/>
                </w14:checkbox>
              </w:sdtPr>
              <w:sdtContent>
                <w:r w:rsidR="00881DF5" w:rsidRPr="00F52D04">
                  <w:rPr>
                    <w:rStyle w:val="Style2"/>
                    <w:rFonts w:ascii="Segoe UI Symbol" w:eastAsia="MS Gothic" w:hAnsi="Segoe UI Symbol" w:cs="Segoe UI Symbol"/>
                    <w:sz w:val="24"/>
                    <w:szCs w:val="24"/>
                  </w:rPr>
                  <w:t>☐</w:t>
                </w:r>
              </w:sdtContent>
            </w:sdt>
            <w:r w:rsidR="00685CA7" w:rsidRPr="00F52D04">
              <w:rPr>
                <w:sz w:val="24"/>
                <w:szCs w:val="24"/>
              </w:rPr>
              <w:t xml:space="preserve"> 32.1. yra didesnis</w:t>
            </w:r>
          </w:p>
          <w:p w14:paraId="192F0AEA" w14:textId="77777777" w:rsidR="00685CA7" w:rsidRPr="00F52D0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3CC2734C" w14:textId="007200A0" w:rsidR="00685CA7" w:rsidRPr="00F52D0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szCs w:val="24"/>
              </w:rPr>
            </w:pPr>
            <w:sdt>
              <w:sdtPr>
                <w:rPr>
                  <w:rStyle w:val="Style2"/>
                  <w:sz w:val="24"/>
                </w:rPr>
                <w:id w:val="-2042735340"/>
                <w15:color w:val="FFCC00"/>
                <w14:checkbox>
                  <w14:checked w14:val="1"/>
                  <w14:checkedState w14:val="2612" w14:font="MS Gothic"/>
                  <w14:uncheckedState w14:val="2610" w14:font="MS Gothic"/>
                </w14:checkbox>
              </w:sdtPr>
              <w:sdtContent>
                <w:r w:rsidR="00881DF5" w:rsidRPr="00F52D04">
                  <w:rPr>
                    <w:rStyle w:val="Style2"/>
                    <w:rFonts w:ascii="Segoe UI Symbol" w:eastAsia="MS Gothic" w:hAnsi="Segoe UI Symbol" w:cs="Segoe UI Symbol"/>
                    <w:sz w:val="24"/>
                    <w:szCs w:val="24"/>
                  </w:rPr>
                  <w:t>☒</w:t>
                </w:r>
              </w:sdtContent>
            </w:sdt>
            <w:r w:rsidR="00685CA7" w:rsidRPr="00F52D04">
              <w:rPr>
                <w:sz w:val="24"/>
                <w:szCs w:val="24"/>
              </w:rPr>
              <w:t xml:space="preserve"> 32.1. iš esmės nesiskiria</w:t>
            </w:r>
          </w:p>
        </w:tc>
        <w:tc>
          <w:tcPr>
            <w:tcW w:w="5032" w:type="dxa"/>
          </w:tcPr>
          <w:p w14:paraId="0ACDFE9C" w14:textId="77777777" w:rsidR="00685CA7" w:rsidRPr="00F52D0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223253010"/>
                <w15:color w:val="FFCC00"/>
                <w14:checkbox>
                  <w14:checked w14:val="0"/>
                  <w14:checkedState w14:val="2612" w14:font="MS Gothic"/>
                  <w14:uncheckedState w14:val="2610" w14:font="MS Gothic"/>
                </w14:checkbox>
              </w:sdtPr>
              <w:sdtContent>
                <w:r w:rsidR="00685CA7" w:rsidRPr="00F52D04">
                  <w:rPr>
                    <w:rStyle w:val="Style2"/>
                    <w:rFonts w:ascii="Segoe UI Symbol" w:eastAsia="MS Gothic" w:hAnsi="Segoe UI Symbol" w:cs="Segoe UI Symbol"/>
                    <w:sz w:val="24"/>
                    <w:szCs w:val="24"/>
                  </w:rPr>
                  <w:t>☐</w:t>
                </w:r>
              </w:sdtContent>
            </w:sdt>
            <w:r w:rsidR="00685CA7" w:rsidRPr="00F52D04">
              <w:rPr>
                <w:sz w:val="24"/>
                <w:szCs w:val="24"/>
              </w:rPr>
              <w:t xml:space="preserve"> 33.1. yra mažesnis</w:t>
            </w:r>
          </w:p>
          <w:p w14:paraId="1BAD4B8A" w14:textId="77777777" w:rsidR="00685CA7" w:rsidRPr="00F52D0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237AEB1" w14:textId="77777777" w:rsidR="00685CA7" w:rsidRPr="00F52D0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2100856797"/>
                <w15:color w:val="FFCC00"/>
                <w14:checkbox>
                  <w14:checked w14:val="0"/>
                  <w14:checkedState w14:val="2612" w14:font="MS Gothic"/>
                  <w14:uncheckedState w14:val="2610" w14:font="MS Gothic"/>
                </w14:checkbox>
              </w:sdtPr>
              <w:sdtContent>
                <w:r w:rsidR="00685CA7" w:rsidRPr="00F52D04">
                  <w:rPr>
                    <w:rStyle w:val="Style2"/>
                    <w:rFonts w:ascii="Segoe UI Symbol" w:eastAsia="MS Gothic" w:hAnsi="Segoe UI Symbol" w:cs="Segoe UI Symbol"/>
                    <w:sz w:val="24"/>
                    <w:szCs w:val="24"/>
                  </w:rPr>
                  <w:t>☐</w:t>
                </w:r>
              </w:sdtContent>
            </w:sdt>
            <w:r w:rsidR="00685CA7" w:rsidRPr="00F52D04">
              <w:rPr>
                <w:sz w:val="24"/>
                <w:szCs w:val="24"/>
              </w:rPr>
              <w:t xml:space="preserve"> 33.1. yra neįrodytas kaip toks pat</w:t>
            </w:r>
          </w:p>
          <w:p w14:paraId="0D35BA09" w14:textId="77777777" w:rsidR="00685CA7" w:rsidRPr="00F52D0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612E96CD" w14:textId="77777777" w:rsidR="00685CA7" w:rsidRPr="00F52D0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085991623"/>
                <w15:color w:val="FFCC00"/>
                <w14:checkbox>
                  <w14:checked w14:val="0"/>
                  <w14:checkedState w14:val="2612" w14:font="MS Gothic"/>
                  <w14:uncheckedState w14:val="2610" w14:font="MS Gothic"/>
                </w14:checkbox>
              </w:sdtPr>
              <w:sdtContent>
                <w:r w:rsidR="00685CA7" w:rsidRPr="00F52D04">
                  <w:rPr>
                    <w:rStyle w:val="Style2"/>
                    <w:rFonts w:ascii="Segoe UI Symbol" w:eastAsia="MS Gothic" w:hAnsi="Segoe UI Symbol" w:cs="Segoe UI Symbol"/>
                    <w:sz w:val="24"/>
                    <w:szCs w:val="24"/>
                  </w:rPr>
                  <w:t>☐</w:t>
                </w:r>
              </w:sdtContent>
            </w:sdt>
            <w:r w:rsidR="00685CA7" w:rsidRPr="00F52D04">
              <w:rPr>
                <w:sz w:val="24"/>
                <w:szCs w:val="24"/>
              </w:rPr>
              <w:t xml:space="preserve"> 33.1. yra neįrodytas kaip didesnis</w:t>
            </w:r>
          </w:p>
          <w:p w14:paraId="535C24C4" w14:textId="77777777" w:rsidR="00685CA7" w:rsidRPr="00F52D0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0FB5B6E" w14:textId="77777777" w:rsidR="00685CA7" w:rsidRPr="00F52D0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908262085"/>
                <w15:color w:val="FFCC00"/>
                <w14:checkbox>
                  <w14:checked w14:val="0"/>
                  <w14:checkedState w14:val="2612" w14:font="MS Gothic"/>
                  <w14:uncheckedState w14:val="2610" w14:font="MS Gothic"/>
                </w14:checkbox>
              </w:sdtPr>
              <w:sdtContent>
                <w:r w:rsidR="00685CA7" w:rsidRPr="00F52D04">
                  <w:rPr>
                    <w:rStyle w:val="Style2"/>
                    <w:rFonts w:ascii="Segoe UI Symbol" w:eastAsia="MS Gothic" w:hAnsi="Segoe UI Symbol" w:cs="Segoe UI Symbol"/>
                    <w:sz w:val="24"/>
                    <w:szCs w:val="24"/>
                  </w:rPr>
                  <w:t>☐</w:t>
                </w:r>
              </w:sdtContent>
            </w:sdt>
            <w:r w:rsidR="00685CA7" w:rsidRPr="00F52D04">
              <w:rPr>
                <w:sz w:val="24"/>
                <w:szCs w:val="24"/>
              </w:rPr>
              <w:t xml:space="preserve"> 33.1. pateikti duomenys apie palyginamąjį efektyvumą yra netinkami vertinti</w:t>
            </w:r>
          </w:p>
          <w:p w14:paraId="15EF57D7" w14:textId="77777777" w:rsidR="00685CA7" w:rsidRPr="00F52D0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r w:rsidR="00685CA7" w:rsidRPr="00F52D04" w14:paraId="40FF2887" w14:textId="77777777" w:rsidTr="000A2C78">
        <w:trPr>
          <w:trHeight w:val="485"/>
          <w:jc w:val="center"/>
        </w:trPr>
        <w:tc>
          <w:tcPr>
            <w:tcW w:w="9918" w:type="dxa"/>
            <w:gridSpan w:val="3"/>
            <w:vAlign w:val="center"/>
          </w:tcPr>
          <w:p w14:paraId="7C937BBE" w14:textId="77777777" w:rsidR="00685CA7" w:rsidRPr="00F52D0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F52D04">
              <w:rPr>
                <w:rStyle w:val="Style2"/>
                <w:rFonts w:eastAsia="MS Gothic"/>
                <w:b/>
                <w:bCs/>
                <w:sz w:val="24"/>
              </w:rPr>
              <w:t>Klinikinis veiksmingumas</w:t>
            </w:r>
          </w:p>
        </w:tc>
      </w:tr>
      <w:tr w:rsidR="00685CA7" w:rsidRPr="00F52D04" w14:paraId="626180B2" w14:textId="77777777" w:rsidTr="000A2C78">
        <w:trPr>
          <w:jc w:val="center"/>
        </w:trPr>
        <w:tc>
          <w:tcPr>
            <w:tcW w:w="4886" w:type="dxa"/>
            <w:gridSpan w:val="2"/>
          </w:tcPr>
          <w:p w14:paraId="17C28A4D" w14:textId="6DFCCF3A" w:rsidR="00685CA7" w:rsidRPr="00F52D0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127164120"/>
                <w15:color w:val="FFCC00"/>
                <w14:checkbox>
                  <w14:checked w14:val="0"/>
                  <w14:checkedState w14:val="2612" w14:font="MS Gothic"/>
                  <w14:uncheckedState w14:val="2610" w14:font="MS Gothic"/>
                </w14:checkbox>
              </w:sdtPr>
              <w:sdtContent>
                <w:r w:rsidR="00881DF5" w:rsidRPr="00F52D04">
                  <w:rPr>
                    <w:rStyle w:val="Style2"/>
                    <w:rFonts w:ascii="Segoe UI Symbol" w:eastAsia="MS Gothic" w:hAnsi="Segoe UI Symbol" w:cs="Segoe UI Symbol"/>
                    <w:sz w:val="24"/>
                    <w:szCs w:val="24"/>
                  </w:rPr>
                  <w:t>☐</w:t>
                </w:r>
              </w:sdtContent>
            </w:sdt>
            <w:r w:rsidR="00685CA7" w:rsidRPr="00F52D04">
              <w:rPr>
                <w:sz w:val="24"/>
                <w:szCs w:val="24"/>
              </w:rPr>
              <w:t xml:space="preserve"> 32.2. yra įvertintas kaip pagrindžiantis papildomos naudos pacientų sveikatai sukūrimą</w:t>
            </w:r>
          </w:p>
          <w:p w14:paraId="1D407BD9" w14:textId="77777777" w:rsidR="00685CA7" w:rsidRPr="00F52D0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DDBFF6F" w14:textId="18B773ED" w:rsidR="00685CA7" w:rsidRPr="00F52D0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2108182463"/>
                <w15:color w:val="FFCC00"/>
                <w14:checkbox>
                  <w14:checked w14:val="1"/>
                  <w14:checkedState w14:val="2612" w14:font="MS Gothic"/>
                  <w14:uncheckedState w14:val="2610" w14:font="MS Gothic"/>
                </w14:checkbox>
              </w:sdtPr>
              <w:sdtContent>
                <w:r w:rsidR="00881DF5" w:rsidRPr="00F52D04">
                  <w:rPr>
                    <w:rStyle w:val="Style2"/>
                    <w:rFonts w:ascii="Segoe UI Symbol" w:eastAsia="MS Gothic" w:hAnsi="Segoe UI Symbol" w:cs="Segoe UI Symbol"/>
                    <w:sz w:val="24"/>
                    <w:szCs w:val="24"/>
                  </w:rPr>
                  <w:t>☒</w:t>
                </w:r>
              </w:sdtContent>
            </w:sdt>
            <w:r w:rsidR="00685CA7" w:rsidRPr="00F52D04">
              <w:rPr>
                <w:sz w:val="24"/>
                <w:szCs w:val="24"/>
              </w:rPr>
              <w:t xml:space="preserve"> 32.2. yra įvertintas kaip pagrindžiantis nesiskiriančios naudos pacientų sveikatai sukūrimą</w:t>
            </w:r>
          </w:p>
          <w:p w14:paraId="0BE329BB" w14:textId="77777777" w:rsidR="00685CA7" w:rsidRPr="00F52D0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c>
          <w:tcPr>
            <w:tcW w:w="5032" w:type="dxa"/>
          </w:tcPr>
          <w:p w14:paraId="24C4ADB2" w14:textId="77777777" w:rsidR="00685CA7" w:rsidRPr="00F52D04" w:rsidRDefault="00000000" w:rsidP="000A2C78">
            <w:pPr>
              <w:jc w:val="both"/>
              <w:rPr>
                <w:sz w:val="24"/>
                <w:szCs w:val="24"/>
              </w:rPr>
            </w:pPr>
            <w:sdt>
              <w:sdtPr>
                <w:rPr>
                  <w:rStyle w:val="Style2"/>
                  <w:sz w:val="24"/>
                </w:rPr>
                <w:id w:val="90213628"/>
                <w15:color w:val="FFCC00"/>
                <w14:checkbox>
                  <w14:checked w14:val="0"/>
                  <w14:checkedState w14:val="2612" w14:font="MS Gothic"/>
                  <w14:uncheckedState w14:val="2610" w14:font="MS Gothic"/>
                </w14:checkbox>
              </w:sdtPr>
              <w:sdtContent>
                <w:r w:rsidR="00685CA7" w:rsidRPr="00F52D04">
                  <w:rPr>
                    <w:rStyle w:val="Style2"/>
                    <w:rFonts w:ascii="Segoe UI Symbol" w:eastAsia="MS Gothic" w:hAnsi="Segoe UI Symbol" w:cs="Segoe UI Symbol"/>
                    <w:sz w:val="24"/>
                    <w:szCs w:val="24"/>
                  </w:rPr>
                  <w:t>☐</w:t>
                </w:r>
              </w:sdtContent>
            </w:sdt>
            <w:r w:rsidR="00685CA7" w:rsidRPr="00F52D04">
              <w:rPr>
                <w:sz w:val="24"/>
                <w:szCs w:val="24"/>
              </w:rPr>
              <w:t xml:space="preserve"> 33.1. yra įvertintas kaip nepagrindžiantis papildomos naudos pacientų sveikatai sukūrimo</w:t>
            </w:r>
          </w:p>
          <w:p w14:paraId="28485970" w14:textId="77777777" w:rsidR="00685CA7" w:rsidRPr="00F52D04" w:rsidRDefault="00685CA7" w:rsidP="000A2C78">
            <w:pPr>
              <w:jc w:val="both"/>
              <w:rPr>
                <w:sz w:val="24"/>
                <w:szCs w:val="24"/>
              </w:rPr>
            </w:pPr>
          </w:p>
          <w:p w14:paraId="7A9BD402" w14:textId="77777777" w:rsidR="00685CA7" w:rsidRPr="00F52D04" w:rsidRDefault="00000000" w:rsidP="000A2C78">
            <w:pPr>
              <w:jc w:val="both"/>
              <w:rPr>
                <w:sz w:val="24"/>
                <w:szCs w:val="24"/>
              </w:rPr>
            </w:pPr>
            <w:sdt>
              <w:sdtPr>
                <w:rPr>
                  <w:rStyle w:val="Style2"/>
                  <w:sz w:val="24"/>
                </w:rPr>
                <w:id w:val="47114242"/>
                <w15:color w:val="FFCC00"/>
                <w14:checkbox>
                  <w14:checked w14:val="0"/>
                  <w14:checkedState w14:val="2612" w14:font="MS Gothic"/>
                  <w14:uncheckedState w14:val="2610" w14:font="MS Gothic"/>
                </w14:checkbox>
              </w:sdtPr>
              <w:sdtContent>
                <w:r w:rsidR="00685CA7" w:rsidRPr="00F52D04">
                  <w:rPr>
                    <w:rStyle w:val="Style2"/>
                    <w:rFonts w:ascii="Segoe UI Symbol" w:eastAsia="MS Gothic" w:hAnsi="Segoe UI Symbol" w:cs="Segoe UI Symbol"/>
                    <w:sz w:val="24"/>
                    <w:szCs w:val="24"/>
                  </w:rPr>
                  <w:t>☐</w:t>
                </w:r>
              </w:sdtContent>
            </w:sdt>
            <w:r w:rsidR="00685CA7" w:rsidRPr="00F52D04">
              <w:rPr>
                <w:sz w:val="24"/>
                <w:szCs w:val="24"/>
              </w:rPr>
              <w:t xml:space="preserve"> 33.1. yra įvertintas kaip nepagrindžiantis nesiskiriančios naudos pacientų sveikatai sukūrimo</w:t>
            </w:r>
          </w:p>
          <w:p w14:paraId="47214504" w14:textId="77777777" w:rsidR="00685CA7" w:rsidRPr="00F52D04" w:rsidRDefault="00685CA7"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r w:rsidR="003D3228" w:rsidRPr="00F52D04" w14:paraId="38FE3D8A" w14:textId="77777777" w:rsidTr="00685CA7">
        <w:tblPrEx>
          <w:jc w:val="left"/>
        </w:tblPrEx>
        <w:trPr>
          <w:trHeight w:val="510"/>
        </w:trPr>
        <w:tc>
          <w:tcPr>
            <w:tcW w:w="9918" w:type="dxa"/>
            <w:gridSpan w:val="3"/>
            <w:vAlign w:val="center"/>
          </w:tcPr>
          <w:p w14:paraId="20B41E61" w14:textId="77777777" w:rsidR="003D3228" w:rsidRPr="00F52D04"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szCs w:val="24"/>
              </w:rPr>
            </w:pPr>
            <w:r w:rsidRPr="00F52D04">
              <w:rPr>
                <w:rStyle w:val="Style2"/>
                <w:rFonts w:eastAsia="MS Gothic"/>
                <w:b/>
                <w:bCs/>
                <w:sz w:val="24"/>
              </w:rPr>
              <w:t>Kaštų naudingumas</w:t>
            </w:r>
          </w:p>
        </w:tc>
      </w:tr>
      <w:tr w:rsidR="003D3228" w:rsidRPr="00F52D04" w14:paraId="21B53462" w14:textId="77777777" w:rsidTr="00685CA7">
        <w:tblPrEx>
          <w:jc w:val="left"/>
        </w:tblPrEx>
        <w:tc>
          <w:tcPr>
            <w:tcW w:w="4815" w:type="dxa"/>
          </w:tcPr>
          <w:p w14:paraId="0C8BA9DB" w14:textId="77777777" w:rsidR="003D3228" w:rsidRPr="00F52D0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975984416"/>
                <w15:color w:val="FFCC00"/>
                <w14:checkbox>
                  <w14:checked w14:val="0"/>
                  <w14:checkedState w14:val="2612" w14:font="MS Gothic"/>
                  <w14:uncheckedState w14:val="2610" w14:font="MS Gothic"/>
                </w14:checkbox>
              </w:sdtPr>
              <w:sdtContent>
                <w:r w:rsidR="003D3228" w:rsidRPr="00F52D04">
                  <w:rPr>
                    <w:rStyle w:val="Style2"/>
                    <w:rFonts w:ascii="Segoe UI Symbol" w:eastAsia="MS Gothic" w:hAnsi="Segoe UI Symbol" w:cs="Segoe UI Symbol"/>
                    <w:sz w:val="24"/>
                    <w:szCs w:val="24"/>
                  </w:rPr>
                  <w:t>☐</w:t>
                </w:r>
              </w:sdtContent>
            </w:sdt>
            <w:r w:rsidR="003D3228" w:rsidRPr="00F52D04">
              <w:rPr>
                <w:sz w:val="24"/>
                <w:szCs w:val="24"/>
              </w:rPr>
              <w:t xml:space="preserve"> 32.3. atitinka referencinę naudingumo vertę</w:t>
            </w:r>
          </w:p>
          <w:p w14:paraId="64FFFE6A" w14:textId="77777777" w:rsidR="003D3228" w:rsidRPr="00F52D04"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4BD009C4" w14:textId="74AE8D31" w:rsidR="003D3228" w:rsidRPr="00F52D0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sdt>
              <w:sdtPr>
                <w:rPr>
                  <w:rStyle w:val="Style2"/>
                  <w:sz w:val="24"/>
                </w:rPr>
                <w:id w:val="-1308081728"/>
                <w15:color w:val="FFCC00"/>
                <w14:checkbox>
                  <w14:checked w14:val="1"/>
                  <w14:checkedState w14:val="2612" w14:font="MS Gothic"/>
                  <w14:uncheckedState w14:val="2610" w14:font="MS Gothic"/>
                </w14:checkbox>
              </w:sdtPr>
              <w:sdtContent>
                <w:r w:rsidR="0097229D" w:rsidRPr="00F52D04">
                  <w:rPr>
                    <w:rStyle w:val="Style2"/>
                    <w:rFonts w:ascii="Segoe UI Symbol" w:eastAsia="MS Gothic" w:hAnsi="Segoe UI Symbol" w:cs="Segoe UI Symbol"/>
                    <w:sz w:val="24"/>
                  </w:rPr>
                  <w:t>☒</w:t>
                </w:r>
              </w:sdtContent>
            </w:sdt>
            <w:r w:rsidR="003D3228" w:rsidRPr="00F52D04">
              <w:rPr>
                <w:sz w:val="24"/>
                <w:szCs w:val="24"/>
              </w:rPr>
              <w:t xml:space="preserve"> 32.3. gydymo juo kaštai yra mažesni ar tokie patys esant iš esmės nesiskiriančiam palyginamajam efektyvumui, lyginant su įprasta klinikine praktika</w:t>
            </w:r>
          </w:p>
          <w:p w14:paraId="07137534" w14:textId="77777777" w:rsidR="003D3228" w:rsidRPr="00F52D04"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c>
          <w:tcPr>
            <w:tcW w:w="5103" w:type="dxa"/>
            <w:gridSpan w:val="2"/>
          </w:tcPr>
          <w:p w14:paraId="10840CEE" w14:textId="77777777" w:rsidR="003D3228" w:rsidRPr="00F52D0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1365405113"/>
                <w15:color w:val="FFCC00"/>
                <w14:checkbox>
                  <w14:checked w14:val="0"/>
                  <w14:checkedState w14:val="2612" w14:font="MS Gothic"/>
                  <w14:uncheckedState w14:val="2610" w14:font="MS Gothic"/>
                </w14:checkbox>
              </w:sdtPr>
              <w:sdtContent>
                <w:r w:rsidR="003D3228" w:rsidRPr="00F52D04">
                  <w:rPr>
                    <w:rStyle w:val="Style2"/>
                    <w:rFonts w:ascii="Segoe UI Symbol" w:eastAsia="MS Gothic" w:hAnsi="Segoe UI Symbol" w:cs="Segoe UI Symbol"/>
                    <w:sz w:val="24"/>
                    <w:szCs w:val="24"/>
                  </w:rPr>
                  <w:t>☐</w:t>
                </w:r>
              </w:sdtContent>
            </w:sdt>
            <w:r w:rsidR="003D3228" w:rsidRPr="00F52D04">
              <w:rPr>
                <w:sz w:val="24"/>
                <w:szCs w:val="24"/>
              </w:rPr>
              <w:t xml:space="preserve"> 33.3. neatitinka referencinės naudingumo vertės Lietuvos Respublikoje</w:t>
            </w:r>
          </w:p>
          <w:p w14:paraId="34F0D36A" w14:textId="77777777" w:rsidR="003D3228" w:rsidRPr="00F52D04"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15EB51E4" w14:textId="4A0F1219" w:rsidR="003D3228" w:rsidRPr="00F52D0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sz w:val="24"/>
                <w:szCs w:val="24"/>
              </w:rPr>
            </w:pPr>
            <w:sdt>
              <w:sdtPr>
                <w:rPr>
                  <w:rStyle w:val="Style2"/>
                  <w:sz w:val="24"/>
                </w:rPr>
                <w:id w:val="-1135473618"/>
                <w15:color w:val="FFCC00"/>
                <w14:checkbox>
                  <w14:checked w14:val="0"/>
                  <w14:checkedState w14:val="2612" w14:font="MS Gothic"/>
                  <w14:uncheckedState w14:val="2610" w14:font="MS Gothic"/>
                </w14:checkbox>
              </w:sdtPr>
              <w:sdtContent>
                <w:r w:rsidR="0097229D" w:rsidRPr="00F52D04">
                  <w:rPr>
                    <w:rStyle w:val="Style2"/>
                    <w:rFonts w:ascii="Segoe UI Symbol" w:eastAsia="MS Gothic" w:hAnsi="Segoe UI Symbol" w:cs="Segoe UI Symbol"/>
                    <w:sz w:val="24"/>
                  </w:rPr>
                  <w:t>☐</w:t>
                </w:r>
              </w:sdtContent>
            </w:sdt>
            <w:r w:rsidR="003D3228" w:rsidRPr="00F52D04">
              <w:rPr>
                <w:sz w:val="24"/>
                <w:szCs w:val="24"/>
              </w:rPr>
              <w:t xml:space="preserve"> 33.3. gydymo juo kaštai yra didesni esant iš esmės nesiskiriančiam palyginamajam efektyvumui, lyginant su įprasta klinikine praktika</w:t>
            </w:r>
          </w:p>
          <w:p w14:paraId="7FB15D22" w14:textId="77777777" w:rsidR="003D3228" w:rsidRPr="00F52D04"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p>
          <w:p w14:paraId="524EE23A" w14:textId="77777777" w:rsidR="003D3228" w:rsidRPr="00F52D04" w:rsidRDefault="00000000"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sz w:val="24"/>
                <w:szCs w:val="24"/>
              </w:rPr>
            </w:pPr>
            <w:sdt>
              <w:sdtPr>
                <w:rPr>
                  <w:rStyle w:val="Style2"/>
                  <w:sz w:val="24"/>
                </w:rPr>
                <w:id w:val="-2008360022"/>
                <w15:color w:val="FFCC00"/>
                <w14:checkbox>
                  <w14:checked w14:val="0"/>
                  <w14:checkedState w14:val="2612" w14:font="MS Gothic"/>
                  <w14:uncheckedState w14:val="2610" w14:font="MS Gothic"/>
                </w14:checkbox>
              </w:sdtPr>
              <w:sdtContent>
                <w:r w:rsidR="003D3228" w:rsidRPr="00F52D04">
                  <w:rPr>
                    <w:rStyle w:val="Style2"/>
                    <w:rFonts w:ascii="Segoe UI Symbol" w:eastAsia="MS Gothic" w:hAnsi="Segoe UI Symbol" w:cs="Segoe UI Symbol"/>
                    <w:sz w:val="24"/>
                    <w:szCs w:val="24"/>
                  </w:rPr>
                  <w:t>☐</w:t>
                </w:r>
              </w:sdtContent>
            </w:sdt>
            <w:r w:rsidR="003D3228" w:rsidRPr="00F52D04">
              <w:rPr>
                <w:sz w:val="24"/>
                <w:szCs w:val="24"/>
              </w:rPr>
              <w:t xml:space="preserve"> 33.3. pateikti duomenys apie kaštų naudingumą yra netinkami vertinti</w:t>
            </w:r>
          </w:p>
          <w:p w14:paraId="3749B518" w14:textId="77777777" w:rsidR="003D3228" w:rsidRPr="00F52D04" w:rsidRDefault="003D3228" w:rsidP="000A2C7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szCs w:val="24"/>
              </w:rPr>
            </w:pPr>
          </w:p>
        </w:tc>
      </w:tr>
    </w:tbl>
    <w:p w14:paraId="3FA76533" w14:textId="77777777" w:rsidR="003D3228" w:rsidRPr="00AC739B" w:rsidRDefault="003D3228" w:rsidP="003D3228"/>
    <w:p w14:paraId="13E227F4" w14:textId="77777777" w:rsidR="003D3228" w:rsidRPr="00AC739B" w:rsidRDefault="003D3228" w:rsidP="003D3228"/>
    <w:p w14:paraId="6623679F" w14:textId="77777777" w:rsidR="003D3228" w:rsidRPr="00AC739B" w:rsidRDefault="003D3228" w:rsidP="003D3228">
      <w:pPr>
        <w:pStyle w:val="ListParagraph"/>
        <w:numPr>
          <w:ilvl w:val="0"/>
          <w:numId w:val="1"/>
        </w:numPr>
        <w:ind w:left="567" w:hanging="567"/>
      </w:pPr>
      <w:r w:rsidRPr="00AC739B">
        <w:rPr>
          <w:b/>
        </w:rPr>
        <w:t>REKOMENDACIJA</w:t>
      </w:r>
    </w:p>
    <w:p w14:paraId="5FB068F8" w14:textId="4476094C" w:rsidR="00A66625" w:rsidRPr="00AC739B" w:rsidRDefault="00A66625" w:rsidP="00A66625">
      <w:pPr>
        <w:rPr>
          <w:i/>
          <w:color w:val="000000" w:themeColor="text1"/>
        </w:rPr>
      </w:pPr>
    </w:p>
    <w:p w14:paraId="59F60D77" w14:textId="77777777" w:rsidR="0097229D" w:rsidRPr="00AC739B" w:rsidRDefault="0097229D" w:rsidP="0097229D">
      <w:pPr>
        <w:spacing w:line="276" w:lineRule="auto"/>
        <w:ind w:firstLine="567"/>
        <w:jc w:val="both"/>
        <w:rPr>
          <w:color w:val="000000" w:themeColor="text1"/>
        </w:rPr>
      </w:pPr>
      <w:r w:rsidRPr="00AC739B">
        <w:t>Vadovaujantis</w:t>
      </w:r>
      <w:r w:rsidRPr="00AC739B">
        <w:rPr>
          <w:color w:val="000000" w:themeColor="text1"/>
        </w:rPr>
        <w:t xml:space="preserve">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w:t>
      </w:r>
    </w:p>
    <w:p w14:paraId="4F6F8092" w14:textId="25644A1F" w:rsidR="0097229D" w:rsidRPr="00AC739B" w:rsidRDefault="0097229D" w:rsidP="0097229D">
      <w:pPr>
        <w:spacing w:line="276" w:lineRule="auto"/>
        <w:jc w:val="both"/>
        <w:rPr>
          <w:szCs w:val="20"/>
        </w:rPr>
      </w:pPr>
      <w:r w:rsidRPr="00AC739B">
        <w:t xml:space="preserve">34.3. rekomenduojama kompensuoti vaistinį preparatą pagal paraiškoje nurodytą </w:t>
      </w:r>
      <w:r w:rsidR="00F52D04" w:rsidRPr="00513C05">
        <w:t xml:space="preserve">paraiškoje nurodytą </w:t>
      </w:r>
      <w:r w:rsidR="00F52D04">
        <w:t>indikacijos dalį</w:t>
      </w:r>
      <w:r w:rsidRPr="00AC739B">
        <w:t xml:space="preserve"> be skyrimo sąlygų, taikant PGS, dėl iš esmės nesiskiriančio gydymo efektyvumo ir sukuriamos naudos pacientų sveikatai, lyginant su įprasta klinikine ir dėl mažesnių gydymo kaštų dydžio (kaštų minimizavimas).</w:t>
      </w:r>
    </w:p>
    <w:p w14:paraId="03A441ED" w14:textId="676D6552" w:rsidR="0097229D" w:rsidRDefault="0097229D" w:rsidP="0097229D">
      <w:pPr>
        <w:spacing w:line="276" w:lineRule="auto"/>
        <w:jc w:val="both"/>
        <w:rPr>
          <w:rFonts w:eastAsia="Arial"/>
        </w:rPr>
      </w:pPr>
    </w:p>
    <w:p w14:paraId="6AD4EC74" w14:textId="4E2FC4DF" w:rsidR="00F52D04" w:rsidRPr="00AC739B" w:rsidRDefault="00F52D04" w:rsidP="0097229D">
      <w:pPr>
        <w:spacing w:line="276" w:lineRule="auto"/>
        <w:jc w:val="both"/>
        <w:rPr>
          <w:rFonts w:eastAsia="Arial"/>
        </w:rPr>
      </w:pPr>
      <w:r>
        <w:rPr>
          <w:rFonts w:eastAsia="Arial"/>
        </w:rPr>
        <w:t>Pastaba</w:t>
      </w:r>
    </w:p>
    <w:p w14:paraId="4F81CF41" w14:textId="78DA047E" w:rsidR="0097229D" w:rsidRPr="00AC739B" w:rsidRDefault="0097229D" w:rsidP="0097229D">
      <w:pPr>
        <w:shd w:val="clear" w:color="auto" w:fill="FFFFFF"/>
        <w:spacing w:line="276" w:lineRule="auto"/>
        <w:ind w:firstLine="720"/>
        <w:jc w:val="both"/>
        <w:rPr>
          <w:rFonts w:eastAsia="Arial"/>
          <w:i/>
        </w:rPr>
      </w:pPr>
      <w:r w:rsidRPr="00AC739B">
        <w:rPr>
          <w:rFonts w:eastAsia="Arial"/>
          <w:i/>
        </w:rPr>
        <w:t xml:space="preserve">Atkreiptinas dėmesys, kad siekiant jog upadacitinibo teikiama kaina atitiktų Tvarkos aprašo Nr.159 papunktį </w:t>
      </w:r>
      <w:r w:rsidRPr="00AC739B">
        <w:rPr>
          <w:i/>
          <w:color w:val="000000"/>
        </w:rPr>
        <w:t>54.1</w:t>
      </w:r>
      <w:r w:rsidRPr="00AC739B">
        <w:rPr>
          <w:i/>
          <w:color w:val="000000"/>
          <w:vertAlign w:val="superscript"/>
        </w:rPr>
        <w:t>1</w:t>
      </w:r>
      <w:r w:rsidRPr="00AC739B">
        <w:rPr>
          <w:rFonts w:eastAsia="Arial"/>
          <w:i/>
        </w:rPr>
        <w:t xml:space="preserve"> </w:t>
      </w:r>
      <w:r w:rsidRPr="00AC739B">
        <w:rPr>
          <w:i/>
          <w:color w:val="000000"/>
        </w:rPr>
        <w:t>&lt;...gydymo vaistiniu preparatu kaštai, mažėja ne mažiau kaip 5 proc....&gt;,</w:t>
      </w:r>
      <w:r w:rsidRPr="00AC739B">
        <w:rPr>
          <w:rFonts w:eastAsia="Arial"/>
          <w:i/>
        </w:rPr>
        <w:t xml:space="preserve"> </w:t>
      </w:r>
      <w:r w:rsidRPr="00AC739B">
        <w:rPr>
          <w:rFonts w:eastAsia="Arial"/>
          <w:i/>
        </w:rPr>
        <w:lastRenderedPageBreak/>
        <w:t xml:space="preserve">upadacitinibo pakuočių (30 mg ir 45 mg) kaina atitinkamai turi būti sumažinta ne mažiau 5 proc., kadangi pagal ekonominės analizės rezultatus kaštai yra mažinami </w:t>
      </w:r>
      <w:r w:rsidR="00882C31" w:rsidRPr="00882C31">
        <w:rPr>
          <w:rFonts w:eastAsia="Arial"/>
          <w:i/>
          <w:highlight w:val="red"/>
        </w:rPr>
        <w:t>**</w:t>
      </w:r>
      <w:r w:rsidRPr="00AC739B">
        <w:rPr>
          <w:rFonts w:eastAsia="Arial"/>
          <w:i/>
        </w:rPr>
        <w:t xml:space="preserve"> proc. ir KMA analizei taikomo 5 proc. kaštų mažinimo kriterijaus neatitinka.</w:t>
      </w:r>
    </w:p>
    <w:p w14:paraId="379882FC" w14:textId="77777777" w:rsidR="003D3228" w:rsidRPr="00AC739B" w:rsidRDefault="003D3228" w:rsidP="003D3228">
      <w:pPr>
        <w:jc w:val="both"/>
      </w:pPr>
    </w:p>
    <w:p w14:paraId="70E5D729" w14:textId="77777777" w:rsidR="003D3228" w:rsidRPr="00AC739B" w:rsidRDefault="003D3228" w:rsidP="003D3228">
      <w:pPr>
        <w:jc w:val="both"/>
      </w:pPr>
    </w:p>
    <w:p w14:paraId="3C7C2306" w14:textId="77777777" w:rsidR="003D3228" w:rsidRPr="00AC739B" w:rsidRDefault="003D3228" w:rsidP="003D3228">
      <w:pPr>
        <w:rPr>
          <w:b/>
        </w:rPr>
      </w:pPr>
    </w:p>
    <w:p w14:paraId="585F87BA" w14:textId="77777777" w:rsidR="00C25D9E" w:rsidRPr="00E33EFF" w:rsidRDefault="00C25D9E" w:rsidP="00C25D9E">
      <w:pPr>
        <w:tabs>
          <w:tab w:val="left" w:pos="567"/>
        </w:tabs>
        <w:ind w:left="567" w:hanging="567"/>
        <w:jc w:val="both"/>
        <w:rPr>
          <w:b/>
          <w:color w:val="000000"/>
          <w:lang w:eastAsia="lt-LT"/>
        </w:rPr>
      </w:pPr>
      <w:r>
        <w:rPr>
          <w:b/>
          <w:color w:val="000000"/>
          <w:lang w:eastAsia="lt-LT"/>
        </w:rPr>
        <w:t>8.</w:t>
      </w:r>
      <w:r>
        <w:rPr>
          <w:b/>
          <w:color w:val="000000"/>
          <w:lang w:eastAsia="lt-LT"/>
        </w:rPr>
        <w:tab/>
      </w:r>
      <w:r w:rsidRPr="00E33EFF">
        <w:rPr>
          <w:b/>
          <w:color w:val="000000"/>
          <w:lang w:eastAsia="lt-LT"/>
        </w:rPr>
        <w:t xml:space="preserve">SIŪLOMOS KOMPENSUOTI TERAPINĖS INDIKACIJOS IR SKYRIMO SĄLYGOS </w:t>
      </w:r>
    </w:p>
    <w:p w14:paraId="63E6C5FB" w14:textId="77777777" w:rsidR="00C25D9E" w:rsidRDefault="00C25D9E" w:rsidP="00C25D9E">
      <w:pPr>
        <w:rPr>
          <w:rFonts w:eastAsia="Arial"/>
          <w:b/>
          <w:szCs w:val="22"/>
        </w:rPr>
      </w:pPr>
    </w:p>
    <w:p w14:paraId="27461F1A" w14:textId="77777777" w:rsidR="00C25D9E" w:rsidRPr="008B63AB" w:rsidRDefault="00C25D9E" w:rsidP="00C25D9E">
      <w:pPr>
        <w:outlineLvl w:val="0"/>
        <w:rPr>
          <w:b/>
          <w:lang w:eastAsia="lt-LT"/>
        </w:rPr>
      </w:pPr>
      <w:r w:rsidRPr="008B63AB">
        <w:rPr>
          <w:b/>
          <w:lang w:eastAsia="lt-LT"/>
        </w:rPr>
        <w:t>Terapinės indikacijos</w:t>
      </w:r>
    </w:p>
    <w:p w14:paraId="4823F805" w14:textId="77777777" w:rsidR="00C25D9E" w:rsidRDefault="00000000" w:rsidP="00C25D9E">
      <w:sdt>
        <w:sdtPr>
          <w:rPr>
            <w:rStyle w:val="Style2"/>
          </w:rPr>
          <w:id w:val="-996187202"/>
          <w15:color w:val="FFCC00"/>
          <w14:checkbox>
            <w14:checked w14:val="1"/>
            <w14:checkedState w14:val="2612" w14:font="MS Gothic"/>
            <w14:uncheckedState w14:val="2610" w14:font="MS Gothic"/>
          </w14:checkbox>
        </w:sdtPr>
        <w:sdtContent>
          <w:r w:rsidR="00C25D9E" w:rsidRPr="008152AF">
            <w:rPr>
              <w:rStyle w:val="Style2"/>
              <w:rFonts w:ascii="MS Gothic" w:eastAsia="MS Gothic" w:hAnsi="MS Gothic"/>
            </w:rPr>
            <w:t>☒</w:t>
          </w:r>
        </w:sdtContent>
      </w:sdt>
      <w:r w:rsidR="00C25D9E" w:rsidRPr="008152AF">
        <w:t xml:space="preserve"> Siūloma kompensuot</w:t>
      </w:r>
      <w:r w:rsidR="00C25D9E">
        <w:t>i Pareiškėjo teikiamą indikacijos dalį</w:t>
      </w:r>
      <w:r w:rsidR="00C25D9E" w:rsidRPr="008152AF">
        <w:t xml:space="preserve"> be pakeitimų.</w:t>
      </w:r>
    </w:p>
    <w:p w14:paraId="0FE43614" w14:textId="77777777" w:rsidR="0034379A" w:rsidRPr="008152AF" w:rsidRDefault="0034379A" w:rsidP="00C25D9E"/>
    <w:p w14:paraId="63F88395" w14:textId="77777777" w:rsidR="0034379A" w:rsidRPr="00AC739B" w:rsidRDefault="0034379A" w:rsidP="0034379A">
      <w:pPr>
        <w:spacing w:after="120" w:line="276" w:lineRule="auto"/>
        <w:jc w:val="both"/>
      </w:pPr>
      <w:r w:rsidRPr="00AC739B">
        <w:t>RINVOQ skiriamas vidutinio sunkumo arba sunkaus aktyvaus opinio kolito gydymui suaugusiesiems, kuriems atsakas į įprastą gydymą ar gydymą biologiniu vaistiniu preparatu buvo nepakankamas, buvo prarastas arba kurie minėtų gydymo būdų netoleravo.</w:t>
      </w:r>
    </w:p>
    <w:p w14:paraId="3ED80A18" w14:textId="77777777" w:rsidR="00C25D9E" w:rsidRPr="008152AF" w:rsidRDefault="00C25D9E" w:rsidP="00C25D9E">
      <w:pPr>
        <w:rPr>
          <w:b/>
          <w:highlight w:val="yellow"/>
        </w:rPr>
      </w:pPr>
    </w:p>
    <w:p w14:paraId="6AFE633F" w14:textId="77777777" w:rsidR="00C25D9E" w:rsidRPr="008152AF" w:rsidRDefault="00C25D9E" w:rsidP="00C25D9E">
      <w:pPr>
        <w:outlineLvl w:val="0"/>
        <w:rPr>
          <w:b/>
        </w:rPr>
      </w:pPr>
      <w:r w:rsidRPr="008152AF">
        <w:rPr>
          <w:b/>
        </w:rPr>
        <w:t>Skyrimo sąlygos</w:t>
      </w:r>
    </w:p>
    <w:p w14:paraId="7043E08D" w14:textId="77777777" w:rsidR="00C25D9E" w:rsidRDefault="00C25D9E" w:rsidP="0034379A"/>
    <w:p w14:paraId="770A7BF4" w14:textId="77777777" w:rsidR="00C25D9E" w:rsidRPr="001477F2" w:rsidRDefault="00000000" w:rsidP="00C25D9E">
      <w:sdt>
        <w:sdtPr>
          <w:rPr>
            <w:rStyle w:val="Style2"/>
          </w:rPr>
          <w:id w:val="169305347"/>
          <w15:color w:val="FFCC00"/>
          <w14:checkbox>
            <w14:checked w14:val="1"/>
            <w14:checkedState w14:val="2612" w14:font="MS Gothic"/>
            <w14:uncheckedState w14:val="2610" w14:font="MS Gothic"/>
          </w14:checkbox>
        </w:sdtPr>
        <w:sdtContent>
          <w:r w:rsidR="00C25D9E">
            <w:rPr>
              <w:rStyle w:val="Style2"/>
              <w:rFonts w:ascii="MS Gothic" w:eastAsia="MS Gothic" w:hAnsi="MS Gothic" w:hint="eastAsia"/>
            </w:rPr>
            <w:t>☒</w:t>
          </w:r>
        </w:sdtContent>
      </w:sdt>
      <w:r w:rsidR="00C25D9E" w:rsidRPr="001477F2">
        <w:t xml:space="preserve"> Pareiškėjo siūlomos skyrimo sąlygos priimtinos. </w:t>
      </w:r>
    </w:p>
    <w:p w14:paraId="68422DDC" w14:textId="77777777" w:rsidR="00C25D9E" w:rsidRDefault="00C25D9E" w:rsidP="00C25D9E">
      <w:pPr>
        <w:spacing w:line="276" w:lineRule="auto"/>
        <w:ind w:firstLine="360"/>
        <w:jc w:val="both"/>
      </w:pPr>
      <w:r>
        <w:t>Skiriamas pagal teikiamą patvirtintos terapinės indikacijos dalį.</w:t>
      </w:r>
    </w:p>
    <w:p w14:paraId="4DE63241" w14:textId="77777777" w:rsidR="00C25D9E" w:rsidRDefault="00C25D9E" w:rsidP="00C25D9E">
      <w:pPr>
        <w:spacing w:line="276" w:lineRule="auto"/>
        <w:ind w:firstLine="360"/>
        <w:jc w:val="both"/>
      </w:pPr>
    </w:p>
    <w:p w14:paraId="6DFBB571" w14:textId="77777777" w:rsidR="002355BE" w:rsidRPr="00AC739B" w:rsidRDefault="002355BE"/>
    <w:sectPr w:rsidR="002355BE" w:rsidRPr="00AC739B" w:rsidSect="005D30E1">
      <w:headerReference w:type="even" r:id="rId7"/>
      <w:headerReference w:type="default" r:id="rId8"/>
      <w:headerReference w:type="first" r:id="rId9"/>
      <w:footerReference w:type="first" r:id="rId10"/>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24A9CE" w14:textId="77777777" w:rsidR="008B3449" w:rsidRDefault="008B3449">
      <w:r>
        <w:separator/>
      </w:r>
    </w:p>
  </w:endnote>
  <w:endnote w:type="continuationSeparator" w:id="0">
    <w:p w14:paraId="460F33C0" w14:textId="77777777" w:rsidR="008B3449" w:rsidRDefault="008B3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0472E8" w14:textId="77777777" w:rsidR="002355BE" w:rsidRDefault="002355BE">
    <w:pPr>
      <w:pStyle w:val="Footer"/>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3676C6" w14:textId="77777777" w:rsidR="008B3449" w:rsidRDefault="008B3449">
      <w:r>
        <w:separator/>
      </w:r>
    </w:p>
  </w:footnote>
  <w:footnote w:type="continuationSeparator" w:id="0">
    <w:p w14:paraId="29FCBF20" w14:textId="77777777" w:rsidR="008B3449" w:rsidRDefault="008B3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1588303" w14:textId="77777777" w:rsidR="002355BE" w:rsidRDefault="00685C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BA6B7CC" w14:textId="77777777" w:rsidR="002355BE" w:rsidRDefault="002355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B4A29A" w14:textId="214E7BE9" w:rsidR="002355BE" w:rsidRDefault="00685CA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82C31">
      <w:rPr>
        <w:rStyle w:val="PageNumber"/>
        <w:noProof/>
      </w:rPr>
      <w:t>7</w:t>
    </w:r>
    <w:r>
      <w:rPr>
        <w:rStyle w:val="PageNumber"/>
      </w:rPr>
      <w:fldChar w:fldCharType="end"/>
    </w:r>
  </w:p>
  <w:p w14:paraId="52CEE408" w14:textId="77777777" w:rsidR="002355BE" w:rsidRDefault="002355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57BF78" w14:textId="77777777" w:rsidR="002355BE" w:rsidRDefault="002355BE" w:rsidP="00FD793C">
    <w:pPr>
      <w:pStyle w:val="Header"/>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21E75"/>
    <w:multiLevelType w:val="hybridMultilevel"/>
    <w:tmpl w:val="49967D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B849E4"/>
    <w:multiLevelType w:val="hybridMultilevel"/>
    <w:tmpl w:val="8E748C9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2AD2E58"/>
    <w:multiLevelType w:val="hybridMultilevel"/>
    <w:tmpl w:val="F6943F7A"/>
    <w:lvl w:ilvl="0" w:tplc="AB64BC8E">
      <w:start w:val="1"/>
      <w:numFmt w:val="decimal"/>
      <w:lvlText w:val="%1."/>
      <w:lvlJc w:val="left"/>
      <w:pPr>
        <w:ind w:left="720" w:hanging="360"/>
      </w:pPr>
      <w:rPr>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A816B09"/>
    <w:multiLevelType w:val="hybridMultilevel"/>
    <w:tmpl w:val="8FBEE17A"/>
    <w:lvl w:ilvl="0" w:tplc="0427000F">
      <w:start w:val="1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80A3773"/>
    <w:multiLevelType w:val="hybridMultilevel"/>
    <w:tmpl w:val="E01A00CC"/>
    <w:lvl w:ilvl="0" w:tplc="9A82F144">
      <w:start w:val="1"/>
      <w:numFmt w:val="bullet"/>
      <w:lvlText w:val=""/>
      <w:lvlJc w:val="left"/>
      <w:pPr>
        <w:ind w:left="2498" w:hanging="360"/>
      </w:pPr>
      <w:rPr>
        <w:rFonts w:ascii="Symbol" w:hAnsi="Symbol" w:hint="default"/>
        <w:strike w:val="0"/>
      </w:rPr>
    </w:lvl>
    <w:lvl w:ilvl="1" w:tplc="04090003" w:tentative="1">
      <w:start w:val="1"/>
      <w:numFmt w:val="bullet"/>
      <w:lvlText w:val="o"/>
      <w:lvlJc w:val="left"/>
      <w:pPr>
        <w:ind w:left="2509" w:hanging="360"/>
      </w:pPr>
      <w:rPr>
        <w:rFonts w:ascii="Courier New" w:hAnsi="Courier New" w:cs="Courier New" w:hint="default"/>
      </w:rPr>
    </w:lvl>
    <w:lvl w:ilvl="2" w:tplc="04090005" w:tentative="1">
      <w:start w:val="1"/>
      <w:numFmt w:val="bullet"/>
      <w:lvlText w:val=""/>
      <w:lvlJc w:val="left"/>
      <w:pPr>
        <w:ind w:left="3229" w:hanging="360"/>
      </w:pPr>
      <w:rPr>
        <w:rFonts w:ascii="Wingdings" w:hAnsi="Wingdings" w:hint="default"/>
      </w:rPr>
    </w:lvl>
    <w:lvl w:ilvl="3" w:tplc="04090001" w:tentative="1">
      <w:start w:val="1"/>
      <w:numFmt w:val="bullet"/>
      <w:lvlText w:val=""/>
      <w:lvlJc w:val="left"/>
      <w:pPr>
        <w:ind w:left="3949" w:hanging="360"/>
      </w:pPr>
      <w:rPr>
        <w:rFonts w:ascii="Symbol" w:hAnsi="Symbol" w:hint="default"/>
      </w:rPr>
    </w:lvl>
    <w:lvl w:ilvl="4" w:tplc="04090003" w:tentative="1">
      <w:start w:val="1"/>
      <w:numFmt w:val="bullet"/>
      <w:lvlText w:val="o"/>
      <w:lvlJc w:val="left"/>
      <w:pPr>
        <w:ind w:left="4669" w:hanging="360"/>
      </w:pPr>
      <w:rPr>
        <w:rFonts w:ascii="Courier New" w:hAnsi="Courier New" w:cs="Courier New" w:hint="default"/>
      </w:rPr>
    </w:lvl>
    <w:lvl w:ilvl="5" w:tplc="04090005" w:tentative="1">
      <w:start w:val="1"/>
      <w:numFmt w:val="bullet"/>
      <w:lvlText w:val=""/>
      <w:lvlJc w:val="left"/>
      <w:pPr>
        <w:ind w:left="5389" w:hanging="360"/>
      </w:pPr>
      <w:rPr>
        <w:rFonts w:ascii="Wingdings" w:hAnsi="Wingdings" w:hint="default"/>
      </w:rPr>
    </w:lvl>
    <w:lvl w:ilvl="6" w:tplc="04090001" w:tentative="1">
      <w:start w:val="1"/>
      <w:numFmt w:val="bullet"/>
      <w:lvlText w:val=""/>
      <w:lvlJc w:val="left"/>
      <w:pPr>
        <w:ind w:left="6109" w:hanging="360"/>
      </w:pPr>
      <w:rPr>
        <w:rFonts w:ascii="Symbol" w:hAnsi="Symbol" w:hint="default"/>
      </w:rPr>
    </w:lvl>
    <w:lvl w:ilvl="7" w:tplc="04090003" w:tentative="1">
      <w:start w:val="1"/>
      <w:numFmt w:val="bullet"/>
      <w:lvlText w:val="o"/>
      <w:lvlJc w:val="left"/>
      <w:pPr>
        <w:ind w:left="6829" w:hanging="360"/>
      </w:pPr>
      <w:rPr>
        <w:rFonts w:ascii="Courier New" w:hAnsi="Courier New" w:cs="Courier New" w:hint="default"/>
      </w:rPr>
    </w:lvl>
    <w:lvl w:ilvl="8" w:tplc="04090005" w:tentative="1">
      <w:start w:val="1"/>
      <w:numFmt w:val="bullet"/>
      <w:lvlText w:val=""/>
      <w:lvlJc w:val="left"/>
      <w:pPr>
        <w:ind w:left="7549" w:hanging="360"/>
      </w:pPr>
      <w:rPr>
        <w:rFonts w:ascii="Wingdings" w:hAnsi="Wingdings" w:hint="default"/>
      </w:rPr>
    </w:lvl>
  </w:abstractNum>
  <w:abstractNum w:abstractNumId="5" w15:restartNumberingAfterBreak="0">
    <w:nsid w:val="296E21F7"/>
    <w:multiLevelType w:val="hybridMultilevel"/>
    <w:tmpl w:val="F780B04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2B15C10"/>
    <w:multiLevelType w:val="hybridMultilevel"/>
    <w:tmpl w:val="58B44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88D3529"/>
    <w:multiLevelType w:val="hybridMultilevel"/>
    <w:tmpl w:val="4A3AF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6A6BFC"/>
    <w:multiLevelType w:val="hybridMultilevel"/>
    <w:tmpl w:val="1946FD6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FD4BA4"/>
    <w:multiLevelType w:val="hybridMultilevel"/>
    <w:tmpl w:val="4140A2FC"/>
    <w:lvl w:ilvl="0" w:tplc="D59AF96C">
      <w:start w:val="1"/>
      <w:numFmt w:val="decimal"/>
      <w:lvlText w:val="%1."/>
      <w:lvlJc w:val="left"/>
      <w:pPr>
        <w:ind w:left="927" w:hanging="360"/>
      </w:pPr>
      <w:rPr>
        <w:rFonts w:eastAsia="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52C16F8D"/>
    <w:multiLevelType w:val="hybridMultilevel"/>
    <w:tmpl w:val="A34C0904"/>
    <w:lvl w:ilvl="0" w:tplc="04090001">
      <w:start w:val="1"/>
      <w:numFmt w:val="bullet"/>
      <w:lvlText w:val=""/>
      <w:lvlJc w:val="left"/>
      <w:pPr>
        <w:ind w:left="1854" w:hanging="360"/>
      </w:pPr>
      <w:rPr>
        <w:rFonts w:ascii="Symbol" w:hAnsi="Symbol" w:hint="default"/>
      </w:rPr>
    </w:lvl>
    <w:lvl w:ilvl="1" w:tplc="04090003" w:tentative="1">
      <w:start w:val="1"/>
      <w:numFmt w:val="bullet"/>
      <w:lvlText w:val="o"/>
      <w:lvlJc w:val="left"/>
      <w:pPr>
        <w:ind w:left="2574" w:hanging="360"/>
      </w:pPr>
      <w:rPr>
        <w:rFonts w:ascii="Courier New" w:hAnsi="Courier New" w:cs="Courier New" w:hint="default"/>
      </w:rPr>
    </w:lvl>
    <w:lvl w:ilvl="2" w:tplc="04090005" w:tentative="1">
      <w:start w:val="1"/>
      <w:numFmt w:val="bullet"/>
      <w:lvlText w:val=""/>
      <w:lvlJc w:val="left"/>
      <w:pPr>
        <w:ind w:left="3294" w:hanging="360"/>
      </w:pPr>
      <w:rPr>
        <w:rFonts w:ascii="Wingdings" w:hAnsi="Wingdings" w:hint="default"/>
      </w:rPr>
    </w:lvl>
    <w:lvl w:ilvl="3" w:tplc="04090001" w:tentative="1">
      <w:start w:val="1"/>
      <w:numFmt w:val="bullet"/>
      <w:lvlText w:val=""/>
      <w:lvlJc w:val="left"/>
      <w:pPr>
        <w:ind w:left="4014" w:hanging="360"/>
      </w:pPr>
      <w:rPr>
        <w:rFonts w:ascii="Symbol" w:hAnsi="Symbol" w:hint="default"/>
      </w:rPr>
    </w:lvl>
    <w:lvl w:ilvl="4" w:tplc="04090003" w:tentative="1">
      <w:start w:val="1"/>
      <w:numFmt w:val="bullet"/>
      <w:lvlText w:val="o"/>
      <w:lvlJc w:val="left"/>
      <w:pPr>
        <w:ind w:left="4734" w:hanging="360"/>
      </w:pPr>
      <w:rPr>
        <w:rFonts w:ascii="Courier New" w:hAnsi="Courier New" w:cs="Courier New" w:hint="default"/>
      </w:rPr>
    </w:lvl>
    <w:lvl w:ilvl="5" w:tplc="04090005" w:tentative="1">
      <w:start w:val="1"/>
      <w:numFmt w:val="bullet"/>
      <w:lvlText w:val=""/>
      <w:lvlJc w:val="left"/>
      <w:pPr>
        <w:ind w:left="5454" w:hanging="360"/>
      </w:pPr>
      <w:rPr>
        <w:rFonts w:ascii="Wingdings" w:hAnsi="Wingdings" w:hint="default"/>
      </w:rPr>
    </w:lvl>
    <w:lvl w:ilvl="6" w:tplc="04090001" w:tentative="1">
      <w:start w:val="1"/>
      <w:numFmt w:val="bullet"/>
      <w:lvlText w:val=""/>
      <w:lvlJc w:val="left"/>
      <w:pPr>
        <w:ind w:left="6174" w:hanging="360"/>
      </w:pPr>
      <w:rPr>
        <w:rFonts w:ascii="Symbol" w:hAnsi="Symbol" w:hint="default"/>
      </w:rPr>
    </w:lvl>
    <w:lvl w:ilvl="7" w:tplc="04090003" w:tentative="1">
      <w:start w:val="1"/>
      <w:numFmt w:val="bullet"/>
      <w:lvlText w:val="o"/>
      <w:lvlJc w:val="left"/>
      <w:pPr>
        <w:ind w:left="6894" w:hanging="360"/>
      </w:pPr>
      <w:rPr>
        <w:rFonts w:ascii="Courier New" w:hAnsi="Courier New" w:cs="Courier New" w:hint="default"/>
      </w:rPr>
    </w:lvl>
    <w:lvl w:ilvl="8" w:tplc="04090005" w:tentative="1">
      <w:start w:val="1"/>
      <w:numFmt w:val="bullet"/>
      <w:lvlText w:val=""/>
      <w:lvlJc w:val="left"/>
      <w:pPr>
        <w:ind w:left="7614" w:hanging="360"/>
      </w:pPr>
      <w:rPr>
        <w:rFonts w:ascii="Wingdings" w:hAnsi="Wingdings" w:hint="default"/>
      </w:rPr>
    </w:lvl>
  </w:abstractNum>
  <w:abstractNum w:abstractNumId="11" w15:restartNumberingAfterBreak="0">
    <w:nsid w:val="59380CB9"/>
    <w:multiLevelType w:val="hybridMultilevel"/>
    <w:tmpl w:val="94668D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27D2182"/>
    <w:multiLevelType w:val="hybridMultilevel"/>
    <w:tmpl w:val="EAF45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B2D5B5C"/>
    <w:multiLevelType w:val="hybridMultilevel"/>
    <w:tmpl w:val="3A1CBA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AB733C"/>
    <w:multiLevelType w:val="hybridMultilevel"/>
    <w:tmpl w:val="11A67BEC"/>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5" w15:restartNumberingAfterBreak="0">
    <w:nsid w:val="75F63C08"/>
    <w:multiLevelType w:val="hybridMultilevel"/>
    <w:tmpl w:val="5A9463C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86649845">
    <w:abstractNumId w:val="2"/>
  </w:num>
  <w:num w:numId="2" w16cid:durableId="437333399">
    <w:abstractNumId w:val="12"/>
  </w:num>
  <w:num w:numId="3" w16cid:durableId="784883499">
    <w:abstractNumId w:val="0"/>
  </w:num>
  <w:num w:numId="4" w16cid:durableId="619993066">
    <w:abstractNumId w:val="10"/>
  </w:num>
  <w:num w:numId="5" w16cid:durableId="789013198">
    <w:abstractNumId w:val="6"/>
  </w:num>
  <w:num w:numId="6" w16cid:durableId="1698462665">
    <w:abstractNumId w:val="14"/>
  </w:num>
  <w:num w:numId="7" w16cid:durableId="1708791652">
    <w:abstractNumId w:val="9"/>
  </w:num>
  <w:num w:numId="8" w16cid:durableId="299963472">
    <w:abstractNumId w:val="11"/>
  </w:num>
  <w:num w:numId="9" w16cid:durableId="1699348851">
    <w:abstractNumId w:val="4"/>
  </w:num>
  <w:num w:numId="10" w16cid:durableId="522128900">
    <w:abstractNumId w:val="13"/>
  </w:num>
  <w:num w:numId="11" w16cid:durableId="1271352758">
    <w:abstractNumId w:val="7"/>
  </w:num>
  <w:num w:numId="12" w16cid:durableId="1196851006">
    <w:abstractNumId w:val="15"/>
  </w:num>
  <w:num w:numId="13" w16cid:durableId="2144225472">
    <w:abstractNumId w:val="1"/>
  </w:num>
  <w:num w:numId="14" w16cid:durableId="603070944">
    <w:abstractNumId w:val="8"/>
  </w:num>
  <w:num w:numId="15" w16cid:durableId="834299052">
    <w:abstractNumId w:val="5"/>
  </w:num>
  <w:num w:numId="16" w16cid:durableId="20889142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removePersonalInformation/>
  <w:removeDateAndTime/>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3228"/>
    <w:rsid w:val="00024176"/>
    <w:rsid w:val="00024CC4"/>
    <w:rsid w:val="00025E44"/>
    <w:rsid w:val="00042150"/>
    <w:rsid w:val="00080DB9"/>
    <w:rsid w:val="000D345D"/>
    <w:rsid w:val="000E262B"/>
    <w:rsid w:val="000F59C6"/>
    <w:rsid w:val="001137F1"/>
    <w:rsid w:val="0015562D"/>
    <w:rsid w:val="00197042"/>
    <w:rsid w:val="001A465F"/>
    <w:rsid w:val="001C3896"/>
    <w:rsid w:val="001D516F"/>
    <w:rsid w:val="00230DD9"/>
    <w:rsid w:val="002355BE"/>
    <w:rsid w:val="002365B7"/>
    <w:rsid w:val="002953FC"/>
    <w:rsid w:val="002A0C91"/>
    <w:rsid w:val="002A4216"/>
    <w:rsid w:val="002C0709"/>
    <w:rsid w:val="002F334E"/>
    <w:rsid w:val="0030743D"/>
    <w:rsid w:val="00312BA0"/>
    <w:rsid w:val="00312BC5"/>
    <w:rsid w:val="00317D96"/>
    <w:rsid w:val="0034379A"/>
    <w:rsid w:val="003607DF"/>
    <w:rsid w:val="0038441A"/>
    <w:rsid w:val="003A3136"/>
    <w:rsid w:val="003C32CC"/>
    <w:rsid w:val="003D3228"/>
    <w:rsid w:val="004039B0"/>
    <w:rsid w:val="004546C4"/>
    <w:rsid w:val="00470B48"/>
    <w:rsid w:val="004A1B95"/>
    <w:rsid w:val="004A2713"/>
    <w:rsid w:val="004C47BC"/>
    <w:rsid w:val="004D1F5A"/>
    <w:rsid w:val="004D4889"/>
    <w:rsid w:val="004E1C88"/>
    <w:rsid w:val="004E2B3F"/>
    <w:rsid w:val="00537EC4"/>
    <w:rsid w:val="00563FAC"/>
    <w:rsid w:val="00595C48"/>
    <w:rsid w:val="005D6F7A"/>
    <w:rsid w:val="00613362"/>
    <w:rsid w:val="00615244"/>
    <w:rsid w:val="00622897"/>
    <w:rsid w:val="00652902"/>
    <w:rsid w:val="0065771F"/>
    <w:rsid w:val="00674197"/>
    <w:rsid w:val="00685CA7"/>
    <w:rsid w:val="006A1333"/>
    <w:rsid w:val="006A50E8"/>
    <w:rsid w:val="006C6423"/>
    <w:rsid w:val="006E42B5"/>
    <w:rsid w:val="006F64F1"/>
    <w:rsid w:val="006F7769"/>
    <w:rsid w:val="006F7D17"/>
    <w:rsid w:val="00720AFF"/>
    <w:rsid w:val="00722694"/>
    <w:rsid w:val="00743730"/>
    <w:rsid w:val="00753ABA"/>
    <w:rsid w:val="007729C0"/>
    <w:rsid w:val="007A4532"/>
    <w:rsid w:val="007B3F58"/>
    <w:rsid w:val="007D62AA"/>
    <w:rsid w:val="007F376F"/>
    <w:rsid w:val="0080114F"/>
    <w:rsid w:val="008141A6"/>
    <w:rsid w:val="00881DF5"/>
    <w:rsid w:val="00882C31"/>
    <w:rsid w:val="00892F58"/>
    <w:rsid w:val="008B3449"/>
    <w:rsid w:val="008B6DB8"/>
    <w:rsid w:val="008D734F"/>
    <w:rsid w:val="00901398"/>
    <w:rsid w:val="0091083C"/>
    <w:rsid w:val="0091634E"/>
    <w:rsid w:val="00953939"/>
    <w:rsid w:val="00954853"/>
    <w:rsid w:val="00961218"/>
    <w:rsid w:val="0097229D"/>
    <w:rsid w:val="00995F03"/>
    <w:rsid w:val="009E07C3"/>
    <w:rsid w:val="009E6591"/>
    <w:rsid w:val="009F06B7"/>
    <w:rsid w:val="00A23063"/>
    <w:rsid w:val="00A260B3"/>
    <w:rsid w:val="00A46B96"/>
    <w:rsid w:val="00A573E7"/>
    <w:rsid w:val="00A66625"/>
    <w:rsid w:val="00A72C58"/>
    <w:rsid w:val="00AA288A"/>
    <w:rsid w:val="00AC739B"/>
    <w:rsid w:val="00AF15D3"/>
    <w:rsid w:val="00B15675"/>
    <w:rsid w:val="00B27917"/>
    <w:rsid w:val="00BE6F06"/>
    <w:rsid w:val="00BF5F9B"/>
    <w:rsid w:val="00C25D9E"/>
    <w:rsid w:val="00C266B2"/>
    <w:rsid w:val="00C603B9"/>
    <w:rsid w:val="00C87FFC"/>
    <w:rsid w:val="00CE43C2"/>
    <w:rsid w:val="00CF7088"/>
    <w:rsid w:val="00D030A5"/>
    <w:rsid w:val="00D05CAA"/>
    <w:rsid w:val="00D260FF"/>
    <w:rsid w:val="00D268F8"/>
    <w:rsid w:val="00D46E0B"/>
    <w:rsid w:val="00DB6B58"/>
    <w:rsid w:val="00DD230A"/>
    <w:rsid w:val="00DF2DB6"/>
    <w:rsid w:val="00E070B6"/>
    <w:rsid w:val="00E75EED"/>
    <w:rsid w:val="00E94588"/>
    <w:rsid w:val="00EB41DB"/>
    <w:rsid w:val="00EC0FC7"/>
    <w:rsid w:val="00EC27C2"/>
    <w:rsid w:val="00F52739"/>
    <w:rsid w:val="00F52D04"/>
    <w:rsid w:val="00FB6C10"/>
    <w:rsid w:val="00FE35D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D2F77D"/>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228"/>
    <w:rPr>
      <w:rFonts w:ascii="Times New Roman" w:eastAsia="Times New Roman" w:hAnsi="Times New Roman" w:cs="Times New Roman"/>
      <w:lang w:val="lt-LT"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3D3228"/>
    <w:pPr>
      <w:tabs>
        <w:tab w:val="center" w:pos="4986"/>
        <w:tab w:val="right" w:pos="9972"/>
      </w:tabs>
    </w:pPr>
    <w:rPr>
      <w:lang w:eastAsia="en-US"/>
    </w:rPr>
  </w:style>
  <w:style w:type="character" w:customStyle="1" w:styleId="HeaderChar">
    <w:name w:val="Header Char"/>
    <w:basedOn w:val="DefaultParagraphFont"/>
    <w:link w:val="Header"/>
    <w:rsid w:val="003D3228"/>
    <w:rPr>
      <w:rFonts w:ascii="Times New Roman" w:eastAsia="Times New Roman" w:hAnsi="Times New Roman" w:cs="Times New Roman"/>
      <w:lang w:val="lt-LT"/>
    </w:rPr>
  </w:style>
  <w:style w:type="paragraph" w:styleId="Footer">
    <w:name w:val="footer"/>
    <w:basedOn w:val="Normal"/>
    <w:link w:val="FooterChar"/>
    <w:uiPriority w:val="99"/>
    <w:rsid w:val="003D3228"/>
    <w:pPr>
      <w:tabs>
        <w:tab w:val="center" w:pos="4986"/>
        <w:tab w:val="right" w:pos="9972"/>
      </w:tabs>
    </w:pPr>
    <w:rPr>
      <w:lang w:eastAsia="en-US"/>
    </w:rPr>
  </w:style>
  <w:style w:type="character" w:customStyle="1" w:styleId="FooterChar">
    <w:name w:val="Footer Char"/>
    <w:basedOn w:val="DefaultParagraphFont"/>
    <w:link w:val="Footer"/>
    <w:uiPriority w:val="99"/>
    <w:rsid w:val="003D3228"/>
    <w:rPr>
      <w:rFonts w:ascii="Times New Roman" w:eastAsia="Times New Roman" w:hAnsi="Times New Roman" w:cs="Times New Roman"/>
      <w:lang w:val="lt-LT"/>
    </w:rPr>
  </w:style>
  <w:style w:type="character" w:styleId="PageNumber">
    <w:name w:val="page number"/>
    <w:basedOn w:val="DefaultParagraphFont"/>
    <w:rsid w:val="003D3228"/>
  </w:style>
  <w:style w:type="table" w:styleId="TableGrid">
    <w:name w:val="Table Grid"/>
    <w:aliases w:val="Summary box,Dossier Table"/>
    <w:basedOn w:val="TableNormal"/>
    <w:uiPriority w:val="39"/>
    <w:rsid w:val="003D3228"/>
    <w:rPr>
      <w:rFonts w:ascii="Times New Roman" w:eastAsia="Times New Roman" w:hAnsi="Times New Roman"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Styl moj,Akapit z listą11,aotm_załączniki,Akapit z listą1,List Paragraph1,Bullet1,Table Legend,Dot pt,F5 List Paragraph,No Spacing1,List Paragraph Char Char Char,Indicator Text,Colorful List - Accent 11,Numbered Para 1,Bullet 1"/>
    <w:basedOn w:val="Normal"/>
    <w:link w:val="ListParagraphChar"/>
    <w:uiPriority w:val="34"/>
    <w:qFormat/>
    <w:rsid w:val="003D3228"/>
    <w:pPr>
      <w:ind w:left="720"/>
      <w:contextualSpacing/>
    </w:pPr>
    <w:rPr>
      <w:lang w:eastAsia="en-US"/>
    </w:rPr>
  </w:style>
  <w:style w:type="character" w:customStyle="1" w:styleId="Style2">
    <w:name w:val="Style2"/>
    <w:basedOn w:val="DefaultParagraphFont"/>
    <w:uiPriority w:val="1"/>
    <w:rsid w:val="003D3228"/>
    <w:rPr>
      <w:sz w:val="32"/>
    </w:rPr>
  </w:style>
  <w:style w:type="character" w:styleId="Emphasis">
    <w:name w:val="Emphasis"/>
    <w:basedOn w:val="DefaultParagraphFont"/>
    <w:uiPriority w:val="20"/>
    <w:qFormat/>
    <w:rsid w:val="003D3228"/>
    <w:rPr>
      <w:i/>
      <w:iCs/>
    </w:rPr>
  </w:style>
  <w:style w:type="character" w:customStyle="1" w:styleId="ListParagraphChar">
    <w:name w:val="List Paragraph Char"/>
    <w:aliases w:val="Styl moj Char,Akapit z listą11 Char,aotm_załączniki Char,Akapit z listą1 Char,List Paragraph1 Char,Bullet1 Char,Table Legend Char,Dot pt Char,F5 List Paragraph Char,No Spacing1 Char,List Paragraph Char Char Char Char,Bullet 1 Char"/>
    <w:link w:val="ListParagraph"/>
    <w:uiPriority w:val="34"/>
    <w:qFormat/>
    <w:locked/>
    <w:rsid w:val="003D3228"/>
    <w:rPr>
      <w:rFonts w:ascii="Times New Roman" w:eastAsia="Times New Roman" w:hAnsi="Times New Roman" w:cs="Times New Roman"/>
      <w:lang w:val="lt-LT"/>
    </w:rPr>
  </w:style>
  <w:style w:type="character" w:customStyle="1" w:styleId="y2iqfc">
    <w:name w:val="y2iqfc"/>
    <w:basedOn w:val="DefaultParagraphFont"/>
    <w:rsid w:val="003D3228"/>
  </w:style>
  <w:style w:type="paragraph" w:customStyle="1" w:styleId="Tekstas">
    <w:name w:val="Tekstas"/>
    <w:basedOn w:val="Normal"/>
    <w:link w:val="TekstasChar"/>
    <w:qFormat/>
    <w:rsid w:val="003D3228"/>
    <w:pPr>
      <w:spacing w:after="120"/>
      <w:jc w:val="both"/>
    </w:pPr>
    <w:rPr>
      <w:lang w:eastAsia="lt-LT"/>
    </w:rPr>
  </w:style>
  <w:style w:type="paragraph" w:styleId="Caption">
    <w:name w:val="caption"/>
    <w:aliases w:val="Tables and Figures,NICE Caption,- H17,Caption 3,TableCaption,Table caption,Char1,c,fig cadre,Caption Char Char,Caption Char Char Char Char,fig cadre Char2,Caption Char2,fig cadre Char Char,Char,SMC Caption,AW Caption,IB Caption,Medical Caption"/>
    <w:basedOn w:val="Normal"/>
    <w:next w:val="Normal"/>
    <w:link w:val="CaptionChar"/>
    <w:unhideWhenUsed/>
    <w:qFormat/>
    <w:rsid w:val="003D3228"/>
    <w:pPr>
      <w:keepNext/>
      <w:spacing w:after="60"/>
      <w:jc w:val="both"/>
    </w:pPr>
    <w:rPr>
      <w:bCs/>
      <w:color w:val="2F5496" w:themeColor="accent1" w:themeShade="BF"/>
      <w:sz w:val="23"/>
      <w:szCs w:val="18"/>
      <w:lang w:eastAsia="lt-LT"/>
    </w:rPr>
  </w:style>
  <w:style w:type="character" w:customStyle="1" w:styleId="CaptionChar">
    <w:name w:val="Caption Char"/>
    <w:aliases w:val="Tables and Figures Char,NICE Caption Char,- H17 Char,Caption 3 Char,TableCaption Char,Table caption Char,Char1 Char,c Char,fig cadre Char,Caption Char Char Char,Caption Char Char Char Char Char,fig cadre Char2 Char,Caption Char2 Char"/>
    <w:basedOn w:val="DefaultParagraphFont"/>
    <w:link w:val="Caption"/>
    <w:rsid w:val="003D3228"/>
    <w:rPr>
      <w:rFonts w:ascii="Times New Roman" w:eastAsia="Times New Roman" w:hAnsi="Times New Roman" w:cs="Times New Roman"/>
      <w:bCs/>
      <w:color w:val="2F5496" w:themeColor="accent1" w:themeShade="BF"/>
      <w:sz w:val="23"/>
      <w:szCs w:val="18"/>
      <w:lang w:val="lt-LT" w:eastAsia="lt-LT"/>
    </w:rPr>
  </w:style>
  <w:style w:type="paragraph" w:customStyle="1" w:styleId="VVKT">
    <w:name w:val="VVKT"/>
    <w:link w:val="VVKTChar"/>
    <w:qFormat/>
    <w:rsid w:val="003D3228"/>
    <w:pPr>
      <w:widowControl w:val="0"/>
      <w:spacing w:after="60" w:line="276" w:lineRule="auto"/>
      <w:ind w:firstLine="576"/>
    </w:pPr>
    <w:rPr>
      <w:rFonts w:ascii="Times New Roman" w:eastAsia="Times New Roman" w:hAnsi="Times New Roman" w:cs="Times New Roman"/>
      <w:szCs w:val="20"/>
      <w:lang w:val="lt-LT"/>
    </w:rPr>
  </w:style>
  <w:style w:type="character" w:customStyle="1" w:styleId="VVKTChar">
    <w:name w:val="VVKT Char"/>
    <w:link w:val="VVKT"/>
    <w:rsid w:val="003D3228"/>
    <w:rPr>
      <w:rFonts w:ascii="Times New Roman" w:eastAsia="Times New Roman" w:hAnsi="Times New Roman" w:cs="Times New Roman"/>
      <w:szCs w:val="20"/>
      <w:lang w:val="lt-LT"/>
    </w:rPr>
  </w:style>
  <w:style w:type="character" w:styleId="PlaceholderText">
    <w:name w:val="Placeholder Text"/>
    <w:basedOn w:val="DefaultParagraphFont"/>
    <w:uiPriority w:val="99"/>
    <w:rsid w:val="00685CA7"/>
    <w:rPr>
      <w:color w:val="808080"/>
    </w:rPr>
  </w:style>
  <w:style w:type="character" w:styleId="CommentReference">
    <w:name w:val="annotation reference"/>
    <w:basedOn w:val="DefaultParagraphFont"/>
    <w:semiHidden/>
    <w:unhideWhenUsed/>
    <w:rsid w:val="007A4532"/>
    <w:rPr>
      <w:sz w:val="16"/>
      <w:szCs w:val="16"/>
    </w:rPr>
  </w:style>
  <w:style w:type="paragraph" w:styleId="CommentText">
    <w:name w:val="annotation text"/>
    <w:basedOn w:val="Normal"/>
    <w:link w:val="CommentTextChar"/>
    <w:semiHidden/>
    <w:unhideWhenUsed/>
    <w:rsid w:val="007A4532"/>
    <w:rPr>
      <w:sz w:val="20"/>
      <w:szCs w:val="20"/>
    </w:rPr>
  </w:style>
  <w:style w:type="character" w:customStyle="1" w:styleId="CommentTextChar">
    <w:name w:val="Comment Text Char"/>
    <w:basedOn w:val="DefaultParagraphFont"/>
    <w:link w:val="CommentText"/>
    <w:semiHidden/>
    <w:rsid w:val="007A4532"/>
    <w:rPr>
      <w:rFonts w:ascii="Times New Roman" w:eastAsia="Times New Roman" w:hAnsi="Times New Roman" w:cs="Times New Roman"/>
      <w:sz w:val="20"/>
      <w:szCs w:val="20"/>
      <w:lang w:val="lt-LT" w:eastAsia="en-GB"/>
    </w:rPr>
  </w:style>
  <w:style w:type="paragraph" w:styleId="CommentSubject">
    <w:name w:val="annotation subject"/>
    <w:basedOn w:val="CommentText"/>
    <w:next w:val="CommentText"/>
    <w:link w:val="CommentSubjectChar"/>
    <w:uiPriority w:val="99"/>
    <w:semiHidden/>
    <w:unhideWhenUsed/>
    <w:rsid w:val="007A4532"/>
    <w:rPr>
      <w:b/>
      <w:bCs/>
    </w:rPr>
  </w:style>
  <w:style w:type="character" w:customStyle="1" w:styleId="CommentSubjectChar">
    <w:name w:val="Comment Subject Char"/>
    <w:basedOn w:val="CommentTextChar"/>
    <w:link w:val="CommentSubject"/>
    <w:uiPriority w:val="99"/>
    <w:semiHidden/>
    <w:rsid w:val="007A4532"/>
    <w:rPr>
      <w:rFonts w:ascii="Times New Roman" w:eastAsia="Times New Roman" w:hAnsi="Times New Roman" w:cs="Times New Roman"/>
      <w:b/>
      <w:bCs/>
      <w:sz w:val="20"/>
      <w:szCs w:val="20"/>
      <w:lang w:val="lt-LT" w:eastAsia="en-GB"/>
    </w:rPr>
  </w:style>
  <w:style w:type="paragraph" w:styleId="BalloonText">
    <w:name w:val="Balloon Text"/>
    <w:basedOn w:val="Normal"/>
    <w:link w:val="BalloonTextChar"/>
    <w:semiHidden/>
    <w:unhideWhenUsed/>
    <w:rsid w:val="002953FC"/>
    <w:rPr>
      <w:sz w:val="18"/>
      <w:szCs w:val="18"/>
    </w:rPr>
  </w:style>
  <w:style w:type="character" w:customStyle="1" w:styleId="BalloonTextChar">
    <w:name w:val="Balloon Text Char"/>
    <w:basedOn w:val="DefaultParagraphFont"/>
    <w:link w:val="BalloonText"/>
    <w:semiHidden/>
    <w:rsid w:val="002953FC"/>
    <w:rPr>
      <w:rFonts w:ascii="Times New Roman" w:eastAsia="Times New Roman" w:hAnsi="Times New Roman" w:cs="Times New Roman"/>
      <w:sz w:val="18"/>
      <w:szCs w:val="18"/>
      <w:lang w:val="lt-LT" w:eastAsia="en-GB"/>
    </w:rPr>
  </w:style>
  <w:style w:type="character" w:customStyle="1" w:styleId="TekstasChar">
    <w:name w:val="Tekstas Char"/>
    <w:link w:val="Tekstas"/>
    <w:rsid w:val="00024176"/>
    <w:rPr>
      <w:rFonts w:ascii="Times New Roman" w:eastAsia="Times New Roman" w:hAnsi="Times New Roman" w:cs="Times New Roman"/>
      <w:lang w:val="lt-LT" w:eastAsia="lt-LT"/>
    </w:rPr>
  </w:style>
  <w:style w:type="paragraph" w:styleId="NoSpacing">
    <w:name w:val="No Spacing"/>
    <w:uiPriority w:val="1"/>
    <w:qFormat/>
    <w:rsid w:val="00EB41DB"/>
    <w:rPr>
      <w:rFonts w:ascii="Calibri" w:eastAsia="Calibri" w:hAnsi="Calibri" w:cs="Times New Roman"/>
      <w:sz w:val="22"/>
      <w:szCs w:val="22"/>
      <w:lang w:val="lt-LT"/>
    </w:rPr>
  </w:style>
  <w:style w:type="character" w:styleId="Hyperlink">
    <w:name w:val="Hyperlink"/>
    <w:basedOn w:val="DefaultParagraphFont"/>
    <w:semiHidden/>
    <w:unhideWhenUsed/>
    <w:rsid w:val="00A66625"/>
    <w:rPr>
      <w:color w:val="0563C1" w:themeColor="hyperlink"/>
      <w:u w:val="single"/>
    </w:rPr>
  </w:style>
  <w:style w:type="paragraph" w:styleId="Revision">
    <w:name w:val="Revision"/>
    <w:hidden/>
    <w:uiPriority w:val="99"/>
    <w:semiHidden/>
    <w:rsid w:val="008D734F"/>
    <w:rPr>
      <w:rFonts w:ascii="Times New Roman" w:eastAsia="Times New Roman" w:hAnsi="Times New Roman" w:cs="Times New Roman"/>
      <w:lang w:val="lt-LT"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82857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554EC98EBDC47FAA74B5FFF9A133395"/>
        <w:category>
          <w:name w:val="General"/>
          <w:gallery w:val="placeholder"/>
        </w:category>
        <w:types>
          <w:type w:val="bbPlcHdr"/>
        </w:types>
        <w:behaviors>
          <w:behavior w:val="content"/>
        </w:behaviors>
        <w:guid w:val="{B5603B73-8366-45B8-A5DF-4B1E560E501C}"/>
      </w:docPartPr>
      <w:docPartBody>
        <w:p w:rsidR="00565A1A" w:rsidRDefault="00EA6A93" w:rsidP="00EA6A93">
          <w:pPr>
            <w:pStyle w:val="9554EC98EBDC47FAA74B5FFF9A133395"/>
          </w:pPr>
          <w:r>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NewRomanPSMT">
    <w:altName w:val="MS Gothic"/>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2767"/>
    <w:rsid w:val="000E2767"/>
    <w:rsid w:val="00130D2E"/>
    <w:rsid w:val="001526E2"/>
    <w:rsid w:val="003A666A"/>
    <w:rsid w:val="00441B9D"/>
    <w:rsid w:val="004B7268"/>
    <w:rsid w:val="004E1C88"/>
    <w:rsid w:val="00545E00"/>
    <w:rsid w:val="00565A1A"/>
    <w:rsid w:val="00580E0B"/>
    <w:rsid w:val="005B433E"/>
    <w:rsid w:val="005B5528"/>
    <w:rsid w:val="00754376"/>
    <w:rsid w:val="00782AD8"/>
    <w:rsid w:val="008E12F4"/>
    <w:rsid w:val="00980FFE"/>
    <w:rsid w:val="00995F03"/>
    <w:rsid w:val="00A27B77"/>
    <w:rsid w:val="00AE36F2"/>
    <w:rsid w:val="00B14550"/>
    <w:rsid w:val="00B4070C"/>
    <w:rsid w:val="00B505A9"/>
    <w:rsid w:val="00B719F0"/>
    <w:rsid w:val="00C13EF2"/>
    <w:rsid w:val="00C603B9"/>
    <w:rsid w:val="00CB60CD"/>
    <w:rsid w:val="00DE619F"/>
    <w:rsid w:val="00E34660"/>
    <w:rsid w:val="00EA6A93"/>
    <w:rsid w:val="00F20544"/>
    <w:rsid w:val="00F63D3E"/>
    <w:rsid w:val="00FD57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65A1A"/>
    <w:rPr>
      <w:color w:val="808080"/>
    </w:rPr>
  </w:style>
  <w:style w:type="paragraph" w:customStyle="1" w:styleId="9554EC98EBDC47FAA74B5FFF9A133395">
    <w:name w:val="9554EC98EBDC47FAA74B5FFF9A133395"/>
    <w:rsid w:val="00EA6A93"/>
    <w:pPr>
      <w:spacing w:after="160" w:line="259" w:lineRule="auto"/>
    </w:pPr>
    <w:rPr>
      <w:sz w:val="22"/>
      <w:szCs w:val="22"/>
      <w:lang w:val="lt-LT" w:eastAsia="lt-LT"/>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3670</Words>
  <Characters>20919</Characters>
  <Application>Microsoft Office Word</Application>
  <DocSecurity>0</DocSecurity>
  <Lines>174</Lines>
  <Paragraphs>49</Paragraphs>
  <ScaleCrop>false</ScaleCrop>
  <Company/>
  <LinksUpToDate>false</LinksUpToDate>
  <CharactersWithSpaces>24540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2024-07-31T11:49:00Z</dcterms:created>
  <dcterms:modified xsi:type="dcterms:W3CDTF">2024-07-31T11:50:00Z</dcterms:modified>
</cp:coreProperties>
</file>