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7F75E8" w:rsidRDefault="005F7602" w:rsidP="002946C7">
      <w:pPr>
        <w:ind w:left="5529"/>
        <w:rPr>
          <w:lang w:val="en-US"/>
        </w:rPr>
      </w:pPr>
    </w:p>
    <w:p w14:paraId="12FA4B9E" w14:textId="77777777" w:rsidR="001B3C5B" w:rsidRPr="00511BEA" w:rsidRDefault="001B3C5B" w:rsidP="001B3C5B">
      <w:pPr>
        <w:ind w:left="6096"/>
      </w:pPr>
      <w:r w:rsidRPr="00511BEA">
        <w:t>Forma patvirtinta</w:t>
      </w:r>
    </w:p>
    <w:p w14:paraId="7206970B" w14:textId="70E9BD2E" w:rsidR="004C263A" w:rsidRPr="00511BEA" w:rsidRDefault="001B3C5B" w:rsidP="001B3C5B">
      <w:pPr>
        <w:ind w:left="6096"/>
      </w:pPr>
      <w:r w:rsidRPr="00511BEA">
        <w:t>Valstybinės vaistų kontrolės tarnybos prie Lietuvos Respublikos sveikatos apsaugos ministerijos viršininko 2021 m</w:t>
      </w:r>
      <w:r w:rsidR="004C263A" w:rsidRPr="00511BEA">
        <w:t xml:space="preserve">. lapkričio 12 </w:t>
      </w:r>
      <w:r w:rsidRPr="00511BEA">
        <w:t>d. įsakymu Nr.</w:t>
      </w:r>
      <w:r w:rsidR="004C263A" w:rsidRPr="00511BEA">
        <w:t xml:space="preserve"> (1.72E)1A-1418</w:t>
      </w:r>
    </w:p>
    <w:p w14:paraId="5B219AA6" w14:textId="520B9136" w:rsidR="001B3C5B" w:rsidRPr="00511BEA" w:rsidRDefault="004C263A" w:rsidP="001B3C5B">
      <w:pPr>
        <w:ind w:left="6096"/>
      </w:pPr>
      <w:r w:rsidRPr="00511BEA">
        <w:t>(Valstybinės vaistų kontrolės tarnybos prie Lietuvos Respublikos sveikatos apsaugos ministerijos viršininko 2022 m.                         d. įsakymo Nr.                    redakcija)</w:t>
      </w:r>
    </w:p>
    <w:p w14:paraId="3336BD74" w14:textId="77777777" w:rsidR="001B3C5B" w:rsidRPr="00511BEA" w:rsidRDefault="001B3C5B" w:rsidP="00FA4169"/>
    <w:p w14:paraId="77AFB67E" w14:textId="30A18499" w:rsidR="00613501" w:rsidRPr="00511BEA" w:rsidRDefault="002F0E4F" w:rsidP="003B211A">
      <w:pPr>
        <w:jc w:val="center"/>
        <w:rPr>
          <w:b/>
          <w:bCs/>
          <w:caps/>
        </w:rPr>
      </w:pPr>
      <w:r w:rsidRPr="00511BEA">
        <w:rPr>
          <w:b/>
        </w:rPr>
        <w:t xml:space="preserve">REKOMENDACIJA DĖL VAISTINIO PREPARATO </w:t>
      </w:r>
      <w:r w:rsidRPr="00511BEA">
        <w:rPr>
          <w:b/>
          <w:bCs/>
          <w:caps/>
        </w:rPr>
        <w:t>Lietuvos Respublikos Sveikatos apsaugos ministerijos vaistinių preparatų ir medicinos pagalbos priemonių kompensavimo komisijai</w:t>
      </w:r>
    </w:p>
    <w:p w14:paraId="3F689FFF" w14:textId="2BCEDF3E" w:rsidR="001E3C7E" w:rsidRPr="00511BEA" w:rsidRDefault="001E3C7E" w:rsidP="003B211A">
      <w:pPr>
        <w:jc w:val="center"/>
        <w:rPr>
          <w:b/>
          <w:bCs/>
          <w:caps/>
        </w:rPr>
      </w:pPr>
    </w:p>
    <w:p w14:paraId="17535E03" w14:textId="77777777" w:rsidR="00BA59C6" w:rsidRPr="00511BEA" w:rsidRDefault="00BA59C6" w:rsidP="00BA59C6">
      <w:pPr>
        <w:pStyle w:val="drug-info"/>
        <w:shd w:val="clear" w:color="auto" w:fill="FFFFFF"/>
        <w:spacing w:before="0" w:beforeAutospacing="0" w:after="150" w:afterAutospacing="0"/>
        <w:jc w:val="center"/>
        <w:rPr>
          <w:b/>
          <w:bCs/>
          <w:color w:val="333333"/>
        </w:rPr>
      </w:pPr>
      <w:r w:rsidRPr="00511BEA">
        <w:rPr>
          <w:b/>
          <w:bCs/>
        </w:rPr>
        <w:t xml:space="preserve">KEYTRUDA, </w:t>
      </w:r>
      <w:r w:rsidRPr="00511BEA">
        <w:rPr>
          <w:b/>
          <w:bCs/>
          <w:color w:val="333333"/>
        </w:rPr>
        <w:t>25 mg/ml</w:t>
      </w:r>
      <w:r w:rsidRPr="00511BEA">
        <w:rPr>
          <w:b/>
          <w:bCs/>
          <w:color w:val="333333"/>
          <w:lang w:val="en-US"/>
        </w:rPr>
        <w:t xml:space="preserve"> </w:t>
      </w:r>
      <w:r w:rsidRPr="00511BEA">
        <w:rPr>
          <w:b/>
          <w:bCs/>
          <w:color w:val="333333"/>
        </w:rPr>
        <w:t>koncentratas infuziniam tirpalui</w:t>
      </w:r>
    </w:p>
    <w:p w14:paraId="744A51F5" w14:textId="77777777" w:rsidR="00BA59C6" w:rsidRPr="00511BEA" w:rsidRDefault="00BA59C6" w:rsidP="00BA59C6">
      <w:pPr>
        <w:jc w:val="center"/>
        <w:rPr>
          <w:lang w:val="en-US"/>
        </w:rPr>
      </w:pPr>
      <w:proofErr w:type="spellStart"/>
      <w:r w:rsidRPr="00511BEA">
        <w:rPr>
          <w:lang w:val="en-US"/>
        </w:rPr>
        <w:t>Pembrolizumabas</w:t>
      </w:r>
      <w:proofErr w:type="spellEnd"/>
    </w:p>
    <w:p w14:paraId="62371F09" w14:textId="0C7E5462" w:rsidR="00BA59C6" w:rsidRPr="00511BEA" w:rsidRDefault="00085A2A" w:rsidP="00BA59C6">
      <w:pPr>
        <w:jc w:val="center"/>
      </w:pPr>
      <w:r w:rsidRPr="00511BEA">
        <w:t xml:space="preserve"> </w:t>
      </w:r>
    </w:p>
    <w:p w14:paraId="38CDCF54" w14:textId="00332792" w:rsidR="001E3C7E" w:rsidRPr="00511BEA" w:rsidRDefault="00BA59C6" w:rsidP="00BA59C6">
      <w:pPr>
        <w:jc w:val="center"/>
        <w:rPr>
          <w:lang w:val="en-US"/>
        </w:rPr>
      </w:pPr>
      <w:r w:rsidRPr="00511BEA">
        <w:t xml:space="preserve">STV – </w:t>
      </w:r>
      <w:r w:rsidR="002D2025" w:rsidRPr="00511BEA">
        <w:rPr>
          <w:lang w:val="en-US"/>
        </w:rPr>
        <w:t>118</w:t>
      </w:r>
    </w:p>
    <w:p w14:paraId="6CC65D42" w14:textId="77777777" w:rsidR="001E3C7E" w:rsidRPr="00511BEA" w:rsidRDefault="001E3C7E" w:rsidP="003B211A">
      <w:pPr>
        <w:jc w:val="center"/>
        <w:rPr>
          <w:b/>
          <w:bCs/>
          <w:caps/>
        </w:rPr>
      </w:pPr>
    </w:p>
    <w:p w14:paraId="34E4395D" w14:textId="15FB10DF" w:rsidR="00B13D65" w:rsidRPr="00511BEA" w:rsidRDefault="00B13D65" w:rsidP="003B211A">
      <w:pPr>
        <w:jc w:val="center"/>
        <w:rPr>
          <w:b/>
        </w:rPr>
      </w:pPr>
    </w:p>
    <w:p w14:paraId="78C89D1C" w14:textId="35EBE8F4" w:rsidR="00D4485B" w:rsidRPr="00511BEA" w:rsidRDefault="00B13D65" w:rsidP="001E3C7E">
      <w:pPr>
        <w:pStyle w:val="ListParagraph"/>
        <w:numPr>
          <w:ilvl w:val="0"/>
          <w:numId w:val="12"/>
        </w:numPr>
        <w:tabs>
          <w:tab w:val="left" w:pos="284"/>
        </w:tabs>
        <w:rPr>
          <w:b/>
          <w:bCs/>
          <w:caps/>
        </w:rPr>
      </w:pPr>
      <w:r w:rsidRPr="00511BEA">
        <w:rPr>
          <w:b/>
          <w:bCs/>
          <w:caps/>
        </w:rPr>
        <w:t>Bendroji dalis</w:t>
      </w:r>
    </w:p>
    <w:p w14:paraId="04A7C7A7" w14:textId="77777777" w:rsidR="00B13D65" w:rsidRPr="00511BEA" w:rsidRDefault="00B13D65" w:rsidP="00E03C3F">
      <w:pPr>
        <w:pStyle w:val="ListParagraph"/>
        <w:tabs>
          <w:tab w:val="left" w:pos="284"/>
        </w:tabs>
        <w:ind w:left="0"/>
        <w:rPr>
          <w:b/>
          <w:bCs/>
          <w:caps/>
        </w:rPr>
      </w:pPr>
    </w:p>
    <w:tbl>
      <w:tblPr>
        <w:tblStyle w:val="TableGrid"/>
        <w:tblW w:w="9918" w:type="dxa"/>
        <w:tblLook w:val="04A0" w:firstRow="1" w:lastRow="0" w:firstColumn="1" w:lastColumn="0" w:noHBand="0" w:noVBand="1"/>
      </w:tblPr>
      <w:tblGrid>
        <w:gridCol w:w="705"/>
        <w:gridCol w:w="4117"/>
        <w:gridCol w:w="5096"/>
      </w:tblGrid>
      <w:tr w:rsidR="001E3C7E" w:rsidRPr="00511BEA" w14:paraId="45AD6F32" w14:textId="77777777" w:rsidTr="00F414C7">
        <w:trPr>
          <w:trHeight w:val="342"/>
        </w:trPr>
        <w:tc>
          <w:tcPr>
            <w:tcW w:w="705" w:type="dxa"/>
          </w:tcPr>
          <w:p w14:paraId="3842AF06" w14:textId="77777777" w:rsidR="001E3C7E" w:rsidRPr="00511BEA" w:rsidRDefault="001E3C7E" w:rsidP="00F414C7">
            <w:pPr>
              <w:tabs>
                <w:tab w:val="left" w:pos="284"/>
              </w:tabs>
              <w:spacing w:line="280" w:lineRule="atLeast"/>
              <w:rPr>
                <w:rFonts w:eastAsia="Arial"/>
                <w:b/>
              </w:rPr>
            </w:pPr>
            <w:r w:rsidRPr="00511BEA">
              <w:rPr>
                <w:rFonts w:eastAsia="Arial"/>
                <w:b/>
              </w:rPr>
              <w:t>1.1</w:t>
            </w:r>
          </w:p>
        </w:tc>
        <w:tc>
          <w:tcPr>
            <w:tcW w:w="4117" w:type="dxa"/>
          </w:tcPr>
          <w:p w14:paraId="71413E30" w14:textId="77777777" w:rsidR="001E3C7E" w:rsidRPr="00511BEA" w:rsidRDefault="001E3C7E" w:rsidP="00F414C7">
            <w:pPr>
              <w:tabs>
                <w:tab w:val="left" w:pos="284"/>
              </w:tabs>
              <w:spacing w:line="280" w:lineRule="atLeast"/>
              <w:rPr>
                <w:b/>
                <w:bCs/>
                <w:color w:val="000000"/>
                <w:lang w:eastAsia="lt-LT"/>
              </w:rPr>
            </w:pPr>
            <w:r w:rsidRPr="00511BEA">
              <w:rPr>
                <w:b/>
                <w:bCs/>
                <w:color w:val="000000"/>
                <w:lang w:eastAsia="lt-LT"/>
              </w:rPr>
              <w:t>Pareiškėjas</w:t>
            </w:r>
          </w:p>
        </w:tc>
        <w:tc>
          <w:tcPr>
            <w:tcW w:w="5096" w:type="dxa"/>
          </w:tcPr>
          <w:p w14:paraId="6EFB9C70" w14:textId="190FA848" w:rsidR="001E3C7E" w:rsidRPr="00511BEA" w:rsidRDefault="00BA59C6" w:rsidP="00F414C7">
            <w:pPr>
              <w:pStyle w:val="ListParagraph"/>
              <w:spacing w:after="120"/>
              <w:ind w:left="0"/>
              <w:contextualSpacing w:val="0"/>
              <w:jc w:val="both"/>
              <w:rPr>
                <w:lang w:val="en-US"/>
              </w:rPr>
            </w:pPr>
            <w:r w:rsidRPr="00511BEA">
              <w:t>UAB “Merck Sharp &amp; Dohme“</w:t>
            </w:r>
          </w:p>
        </w:tc>
      </w:tr>
      <w:tr w:rsidR="001E3C7E" w:rsidRPr="00511BEA" w14:paraId="116DE9AF" w14:textId="77777777" w:rsidTr="00F414C7">
        <w:trPr>
          <w:trHeight w:val="479"/>
        </w:trPr>
        <w:tc>
          <w:tcPr>
            <w:tcW w:w="705" w:type="dxa"/>
          </w:tcPr>
          <w:p w14:paraId="298FAA68" w14:textId="77777777" w:rsidR="001E3C7E" w:rsidRPr="00511BEA" w:rsidRDefault="001E3C7E" w:rsidP="00F414C7">
            <w:pPr>
              <w:tabs>
                <w:tab w:val="left" w:pos="284"/>
              </w:tabs>
              <w:spacing w:line="280" w:lineRule="atLeast"/>
              <w:rPr>
                <w:rFonts w:eastAsia="Arial"/>
                <w:b/>
              </w:rPr>
            </w:pPr>
            <w:r w:rsidRPr="00511BEA">
              <w:rPr>
                <w:rFonts w:eastAsia="Arial"/>
                <w:b/>
              </w:rPr>
              <w:t>1.2</w:t>
            </w:r>
          </w:p>
        </w:tc>
        <w:tc>
          <w:tcPr>
            <w:tcW w:w="4117" w:type="dxa"/>
          </w:tcPr>
          <w:p w14:paraId="07891813" w14:textId="77777777" w:rsidR="001E3C7E" w:rsidRPr="00511BEA" w:rsidRDefault="001E3C7E" w:rsidP="00F414C7">
            <w:pPr>
              <w:tabs>
                <w:tab w:val="left" w:pos="284"/>
              </w:tabs>
              <w:spacing w:line="280" w:lineRule="atLeast"/>
              <w:rPr>
                <w:b/>
                <w:bCs/>
                <w:color w:val="000000"/>
                <w:lang w:eastAsia="lt-LT"/>
              </w:rPr>
            </w:pPr>
            <w:r w:rsidRPr="00511BEA">
              <w:rPr>
                <w:b/>
                <w:bCs/>
                <w:color w:val="000000"/>
                <w:lang w:eastAsia="lt-LT"/>
              </w:rPr>
              <w:t>Registracijos data (EVA)</w:t>
            </w:r>
          </w:p>
          <w:p w14:paraId="316D3E89" w14:textId="77777777" w:rsidR="001E3C7E" w:rsidRPr="00511BEA" w:rsidRDefault="001E3C7E" w:rsidP="00F414C7">
            <w:pPr>
              <w:tabs>
                <w:tab w:val="left" w:pos="284"/>
              </w:tabs>
              <w:spacing w:line="280" w:lineRule="atLeast"/>
              <w:rPr>
                <w:bCs/>
                <w:color w:val="000000"/>
                <w:lang w:eastAsia="lt-LT"/>
              </w:rPr>
            </w:pPr>
          </w:p>
        </w:tc>
        <w:tc>
          <w:tcPr>
            <w:tcW w:w="5096" w:type="dxa"/>
          </w:tcPr>
          <w:p w14:paraId="20059691" w14:textId="7133C60E" w:rsidR="001E3C7E" w:rsidRPr="00511BEA" w:rsidRDefault="002D6184" w:rsidP="00BA59C6">
            <w:pPr>
              <w:rPr>
                <w:rStyle w:val="Style2"/>
                <w:lang w:val="en-US"/>
              </w:rPr>
            </w:pPr>
            <w:sdt>
              <w:sdtPr>
                <w:rPr>
                  <w:sz w:val="32"/>
                </w:rPr>
                <w:alias w:val="Nurodykite konkrečią dieną"/>
                <w:tag w:val="Nurodykite pradžios datą"/>
                <w:id w:val="423238108"/>
                <w:placeholder>
                  <w:docPart w:val="9836E1CD8011654E862FD96753EA7918"/>
                </w:placeholder>
                <w15:color w:val="FFCC99"/>
                <w:date>
                  <w:dateFormat w:val="yyyy 'm.' MMMM d 'd.'"/>
                  <w:lid w:val="lt-LT"/>
                  <w:storeMappedDataAs w:val="dateTime"/>
                  <w:calendar w:val="gregorian"/>
                </w:date>
              </w:sdtPr>
              <w:sdtEndPr/>
              <w:sdtContent>
                <w:r w:rsidR="00BA59C6" w:rsidRPr="00511BEA">
                  <w:t>2015 m. liepos 17 d.</w:t>
                </w:r>
              </w:sdtContent>
            </w:sdt>
            <w:r w:rsidR="00BA59C6" w:rsidRPr="00511BEA">
              <w:t xml:space="preserve">, </w:t>
            </w:r>
            <w:r w:rsidR="00BA59C6" w:rsidRPr="00511BEA">
              <w:rPr>
                <w:rFonts w:eastAsia="Arial"/>
                <w:color w:val="000000"/>
              </w:rPr>
              <w:t>taikant centralizuotą registracijos procedūrą.</w:t>
            </w:r>
          </w:p>
        </w:tc>
      </w:tr>
      <w:tr w:rsidR="001E3C7E" w:rsidRPr="00511BEA" w14:paraId="4AE5C03C" w14:textId="77777777" w:rsidTr="00F414C7">
        <w:trPr>
          <w:trHeight w:val="1328"/>
        </w:trPr>
        <w:tc>
          <w:tcPr>
            <w:tcW w:w="705" w:type="dxa"/>
          </w:tcPr>
          <w:p w14:paraId="40AA8A1C" w14:textId="77777777" w:rsidR="001E3C7E" w:rsidRPr="00511BEA" w:rsidRDefault="001E3C7E" w:rsidP="00F414C7">
            <w:pPr>
              <w:tabs>
                <w:tab w:val="left" w:pos="284"/>
              </w:tabs>
              <w:spacing w:line="280" w:lineRule="atLeast"/>
              <w:rPr>
                <w:rFonts w:eastAsia="Arial"/>
                <w:b/>
              </w:rPr>
            </w:pPr>
            <w:r w:rsidRPr="00511BEA">
              <w:rPr>
                <w:rFonts w:eastAsia="Arial"/>
                <w:b/>
              </w:rPr>
              <w:t>1.3</w:t>
            </w:r>
          </w:p>
        </w:tc>
        <w:tc>
          <w:tcPr>
            <w:tcW w:w="4117" w:type="dxa"/>
          </w:tcPr>
          <w:p w14:paraId="69811C1A" w14:textId="77777777" w:rsidR="001E3C7E" w:rsidRPr="00511BEA" w:rsidRDefault="001E3C7E" w:rsidP="00F414C7">
            <w:pPr>
              <w:pStyle w:val="NoSpacing"/>
              <w:rPr>
                <w:rFonts w:ascii="Times New Roman" w:hAnsi="Times New Roman"/>
                <w:b/>
                <w:sz w:val="24"/>
                <w:szCs w:val="24"/>
              </w:rPr>
            </w:pPr>
            <w:r w:rsidRPr="00511BEA">
              <w:rPr>
                <w:rFonts w:ascii="Times New Roman" w:hAnsi="Times New Roman"/>
                <w:b/>
                <w:sz w:val="24"/>
                <w:szCs w:val="24"/>
              </w:rPr>
              <w:t xml:space="preserve">Paraiškos tipas </w:t>
            </w:r>
          </w:p>
          <w:p w14:paraId="191FF9AC" w14:textId="77777777" w:rsidR="001E3C7E" w:rsidRPr="00511BEA" w:rsidRDefault="001E3C7E" w:rsidP="00F414C7">
            <w:pPr>
              <w:rPr>
                <w:b/>
              </w:rPr>
            </w:pPr>
            <w:r w:rsidRPr="00511BEA">
              <w:rPr>
                <w:b/>
              </w:rPr>
              <w:t xml:space="preserve">(pagal </w:t>
            </w:r>
            <w:r w:rsidRPr="00511BEA">
              <w:rPr>
                <w:b/>
                <w:shd w:val="clear" w:color="auto" w:fill="FFFFFF"/>
              </w:rPr>
              <w:t>vaistinio preparato registracijos tipą, įtvirtintą</w:t>
            </w:r>
            <w:r w:rsidRPr="00511BEA">
              <w:rPr>
                <w:b/>
              </w:rPr>
              <w:t xml:space="preserve"> Direktyvos 2001/83/EB straipsniuose)</w:t>
            </w:r>
          </w:p>
          <w:p w14:paraId="7ABA085C" w14:textId="77777777" w:rsidR="001E3C7E" w:rsidRPr="00511BEA" w:rsidRDefault="001E3C7E" w:rsidP="00F414C7">
            <w:pPr>
              <w:tabs>
                <w:tab w:val="left" w:pos="284"/>
              </w:tabs>
              <w:spacing w:line="280" w:lineRule="atLeast"/>
              <w:rPr>
                <w:b/>
                <w:bCs/>
                <w:color w:val="000000"/>
                <w:lang w:eastAsia="lt-LT"/>
              </w:rPr>
            </w:pPr>
          </w:p>
        </w:tc>
        <w:tc>
          <w:tcPr>
            <w:tcW w:w="5096" w:type="dxa"/>
          </w:tcPr>
          <w:p w14:paraId="4DDF9932" w14:textId="77777777" w:rsidR="001E3C7E" w:rsidRPr="00511BEA" w:rsidRDefault="002D6184" w:rsidP="00F414C7">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1E3C7E" w:rsidRPr="00511BEA">
                  <w:rPr>
                    <w:rStyle w:val="Style2"/>
                    <w:rFonts w:ascii="MS Gothic" w:eastAsia="MS Gothic" w:hAnsi="MS Gothic" w:hint="eastAsia"/>
                  </w:rPr>
                  <w:t>☒</w:t>
                </w:r>
              </w:sdtContent>
            </w:sdt>
            <w:r w:rsidR="001E3C7E" w:rsidRPr="00511BEA">
              <w:t xml:space="preserve"> 8.3 str. (pilna byla, pagrįsta savais tyrimais) </w:t>
            </w:r>
          </w:p>
          <w:p w14:paraId="16050309" w14:textId="77777777" w:rsidR="001E3C7E" w:rsidRPr="00511BEA" w:rsidRDefault="002D6184" w:rsidP="00F414C7">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1E3C7E" w:rsidRPr="00511BEA">
                  <w:rPr>
                    <w:rStyle w:val="Style2"/>
                    <w:rFonts w:ascii="Segoe UI Symbol" w:eastAsia="MS Gothic" w:hAnsi="Segoe UI Symbol" w:cs="Segoe UI Symbol"/>
                  </w:rPr>
                  <w:t>☐</w:t>
                </w:r>
              </w:sdtContent>
            </w:sdt>
            <w:r w:rsidR="001E3C7E" w:rsidRPr="00511BEA">
              <w:t xml:space="preserve"> 10 a str. (pripažintas medicininis vartojimas) </w:t>
            </w:r>
          </w:p>
          <w:p w14:paraId="59522B03" w14:textId="77777777" w:rsidR="001E3C7E" w:rsidRPr="00511BEA" w:rsidRDefault="002D6184" w:rsidP="00F414C7">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1E3C7E" w:rsidRPr="00511BEA">
                  <w:rPr>
                    <w:rStyle w:val="Style2"/>
                    <w:rFonts w:ascii="MS Gothic" w:eastAsia="MS Gothic" w:hAnsi="MS Gothic" w:hint="eastAsia"/>
                  </w:rPr>
                  <w:t>☐</w:t>
                </w:r>
              </w:sdtContent>
            </w:sdt>
            <w:r w:rsidR="001E3C7E" w:rsidRPr="00511BEA">
              <w:t xml:space="preserve"> 10.1 str. (generinis)</w:t>
            </w:r>
          </w:p>
          <w:p w14:paraId="4048FB84" w14:textId="77777777" w:rsidR="001E3C7E" w:rsidRPr="00511BEA" w:rsidRDefault="002D6184" w:rsidP="00F414C7">
            <w:pPr>
              <w:rPr>
                <w:rStyle w:val="Style2"/>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1E3C7E" w:rsidRPr="00511BEA">
                  <w:rPr>
                    <w:rStyle w:val="Style2"/>
                    <w:rFonts w:ascii="Segoe UI Symbol" w:eastAsia="MS Gothic" w:hAnsi="Segoe UI Symbol" w:cs="Segoe UI Symbol"/>
                  </w:rPr>
                  <w:t>☐</w:t>
                </w:r>
              </w:sdtContent>
            </w:sdt>
            <w:r w:rsidR="001E3C7E" w:rsidRPr="00511BEA">
              <w:t xml:space="preserve"> 10.3 str. (hibridinis)</w:t>
            </w:r>
          </w:p>
        </w:tc>
      </w:tr>
      <w:tr w:rsidR="001E3C7E" w:rsidRPr="00511BEA" w14:paraId="0630AB0E" w14:textId="77777777" w:rsidTr="00F414C7">
        <w:trPr>
          <w:trHeight w:val="1109"/>
        </w:trPr>
        <w:tc>
          <w:tcPr>
            <w:tcW w:w="705" w:type="dxa"/>
          </w:tcPr>
          <w:p w14:paraId="6B0C89FF" w14:textId="77777777" w:rsidR="001E3C7E" w:rsidRPr="00511BEA" w:rsidRDefault="001E3C7E" w:rsidP="00F414C7">
            <w:pPr>
              <w:tabs>
                <w:tab w:val="left" w:pos="284"/>
              </w:tabs>
              <w:spacing w:line="280" w:lineRule="atLeast"/>
              <w:rPr>
                <w:rFonts w:eastAsia="Arial"/>
                <w:b/>
              </w:rPr>
            </w:pPr>
            <w:r w:rsidRPr="00511BEA">
              <w:rPr>
                <w:rFonts w:eastAsia="Arial"/>
                <w:b/>
              </w:rPr>
              <w:t>1.4</w:t>
            </w:r>
          </w:p>
        </w:tc>
        <w:tc>
          <w:tcPr>
            <w:tcW w:w="4117" w:type="dxa"/>
          </w:tcPr>
          <w:p w14:paraId="5B16F16C" w14:textId="77777777" w:rsidR="001E3C7E" w:rsidRPr="00511BEA" w:rsidRDefault="001E3C7E" w:rsidP="00F414C7">
            <w:pPr>
              <w:tabs>
                <w:tab w:val="left" w:pos="284"/>
              </w:tabs>
              <w:spacing w:line="280" w:lineRule="atLeast"/>
              <w:rPr>
                <w:b/>
                <w:bCs/>
                <w:color w:val="000000"/>
                <w:lang w:eastAsia="lt-LT"/>
              </w:rPr>
            </w:pPr>
            <w:r w:rsidRPr="00511BEA">
              <w:rPr>
                <w:b/>
                <w:bCs/>
                <w:color w:val="000000"/>
                <w:lang w:eastAsia="lt-LT"/>
              </w:rPr>
              <w:t>Ar vaistinis preparatas įrašytas į Bendrijos retųjų vaistinių preparatų registrą?</w:t>
            </w:r>
          </w:p>
          <w:p w14:paraId="1A38AAC2" w14:textId="77777777" w:rsidR="001E3C7E" w:rsidRPr="00511BEA" w:rsidRDefault="001E3C7E" w:rsidP="00F414C7">
            <w:pPr>
              <w:tabs>
                <w:tab w:val="left" w:pos="284"/>
              </w:tabs>
              <w:spacing w:line="280" w:lineRule="atLeast"/>
              <w:jc w:val="both"/>
              <w:rPr>
                <w:b/>
                <w:bCs/>
                <w:color w:val="000000"/>
                <w:sz w:val="22"/>
                <w:szCs w:val="22"/>
                <w:lang w:eastAsia="lt-LT"/>
              </w:rPr>
            </w:pPr>
          </w:p>
        </w:tc>
        <w:tc>
          <w:tcPr>
            <w:tcW w:w="5096" w:type="dxa"/>
          </w:tcPr>
          <w:p w14:paraId="0AFB84E2" w14:textId="77777777" w:rsidR="001E3C7E" w:rsidRPr="00511BEA" w:rsidRDefault="002D6184" w:rsidP="00F414C7">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1E3C7E" w:rsidRPr="00511BEA">
                  <w:rPr>
                    <w:rStyle w:val="Style2"/>
                    <w:rFonts w:ascii="Segoe UI Symbol" w:eastAsia="MS Gothic" w:hAnsi="Segoe UI Symbol" w:cs="Segoe UI Symbol"/>
                  </w:rPr>
                  <w:t>☐</w:t>
                </w:r>
              </w:sdtContent>
            </w:sdt>
            <w:r w:rsidR="001E3C7E" w:rsidRPr="00511BEA">
              <w:t xml:space="preserve"> Taip</w:t>
            </w:r>
          </w:p>
          <w:p w14:paraId="6E25929D" w14:textId="77777777" w:rsidR="001E3C7E" w:rsidRPr="00511BEA" w:rsidRDefault="002D6184" w:rsidP="00F414C7">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1E3C7E" w:rsidRPr="00511BEA">
                  <w:rPr>
                    <w:rStyle w:val="Style2"/>
                    <w:rFonts w:ascii="MS Gothic" w:eastAsia="MS Gothic" w:hAnsi="MS Gothic" w:hint="eastAsia"/>
                  </w:rPr>
                  <w:t>☒</w:t>
                </w:r>
              </w:sdtContent>
            </w:sdt>
            <w:r w:rsidR="001E3C7E" w:rsidRPr="00511BEA">
              <w:t xml:space="preserve"> Ne</w:t>
            </w:r>
          </w:p>
          <w:p w14:paraId="327679F0" w14:textId="77777777" w:rsidR="001E3C7E" w:rsidRPr="00511BEA" w:rsidRDefault="001E3C7E" w:rsidP="00F414C7">
            <w:pPr>
              <w:rPr>
                <w:rFonts w:eastAsia="Arial"/>
                <w:b/>
              </w:rPr>
            </w:pPr>
          </w:p>
        </w:tc>
      </w:tr>
      <w:tr w:rsidR="001E3C7E" w:rsidRPr="00511BEA" w14:paraId="6BEB1F8D" w14:textId="77777777" w:rsidTr="00F414C7">
        <w:trPr>
          <w:trHeight w:val="958"/>
        </w:trPr>
        <w:tc>
          <w:tcPr>
            <w:tcW w:w="705" w:type="dxa"/>
            <w:tcBorders>
              <w:bottom w:val="single" w:sz="4" w:space="0" w:color="auto"/>
            </w:tcBorders>
          </w:tcPr>
          <w:p w14:paraId="141EFAC6" w14:textId="77777777" w:rsidR="001E3C7E" w:rsidRPr="00511BEA" w:rsidRDefault="001E3C7E" w:rsidP="00F414C7">
            <w:pPr>
              <w:tabs>
                <w:tab w:val="left" w:pos="284"/>
              </w:tabs>
              <w:spacing w:line="280" w:lineRule="atLeast"/>
              <w:rPr>
                <w:rFonts w:eastAsia="Arial"/>
                <w:b/>
              </w:rPr>
            </w:pPr>
            <w:r w:rsidRPr="00511BEA">
              <w:rPr>
                <w:rFonts w:eastAsia="Arial"/>
                <w:b/>
              </w:rPr>
              <w:t>1.5</w:t>
            </w:r>
          </w:p>
        </w:tc>
        <w:tc>
          <w:tcPr>
            <w:tcW w:w="4117" w:type="dxa"/>
            <w:tcBorders>
              <w:bottom w:val="single" w:sz="4" w:space="0" w:color="auto"/>
            </w:tcBorders>
          </w:tcPr>
          <w:p w14:paraId="03874ABC" w14:textId="77777777" w:rsidR="001E3C7E" w:rsidRPr="00511BEA" w:rsidRDefault="001E3C7E" w:rsidP="00F414C7">
            <w:pPr>
              <w:tabs>
                <w:tab w:val="left" w:pos="284"/>
              </w:tabs>
              <w:spacing w:line="280" w:lineRule="atLeast"/>
              <w:rPr>
                <w:b/>
                <w:bCs/>
                <w:color w:val="000000"/>
                <w:lang w:eastAsia="lt-LT"/>
              </w:rPr>
            </w:pPr>
            <w:r w:rsidRPr="00511BEA">
              <w:rPr>
                <w:b/>
                <w:bCs/>
                <w:color w:val="000000"/>
                <w:lang w:eastAsia="lt-LT"/>
              </w:rPr>
              <w:t>Pareiškėjo teikiama (-os) kompensuoti preparato indikacija (-os)</w:t>
            </w:r>
          </w:p>
          <w:p w14:paraId="784AC8BD" w14:textId="77777777" w:rsidR="001E3C7E" w:rsidRPr="00511BEA" w:rsidRDefault="001E3C7E" w:rsidP="00F414C7">
            <w:pPr>
              <w:tabs>
                <w:tab w:val="left" w:pos="284"/>
              </w:tabs>
              <w:spacing w:line="280" w:lineRule="atLeast"/>
              <w:rPr>
                <w:b/>
                <w:bCs/>
                <w:color w:val="000000"/>
                <w:lang w:eastAsia="lt-LT"/>
              </w:rPr>
            </w:pPr>
            <w:r w:rsidRPr="00511BEA">
              <w:rPr>
                <w:b/>
                <w:bCs/>
                <w:color w:val="000000"/>
                <w:lang w:eastAsia="lt-LT"/>
              </w:rPr>
              <w:t xml:space="preserve">Kodas pagal TLK-10 AM  </w:t>
            </w:r>
          </w:p>
        </w:tc>
        <w:tc>
          <w:tcPr>
            <w:tcW w:w="5096" w:type="dxa"/>
            <w:tcBorders>
              <w:bottom w:val="single" w:sz="4" w:space="0" w:color="auto"/>
            </w:tcBorders>
          </w:tcPr>
          <w:p w14:paraId="1AA8C871" w14:textId="2290C65E" w:rsidR="002D2025" w:rsidRPr="00511BEA" w:rsidRDefault="002D2025" w:rsidP="002D2025">
            <w:pPr>
              <w:pStyle w:val="Tekstas"/>
              <w:spacing w:line="276" w:lineRule="auto"/>
            </w:pPr>
            <w:r w:rsidRPr="00511BEA">
              <w:t>Monoterapija KEYTRUDA skirta adjuvantiniam gydymui suaugusiems pacientams, kuriems nustatyta III stadij</w:t>
            </w:r>
            <w:r w:rsidR="00B32B87" w:rsidRPr="00511BEA">
              <w:t>os</w:t>
            </w:r>
            <w:r w:rsidRPr="00511BEA">
              <w:t xml:space="preserve"> melanoma ir kuriems buvo atlikta visiška rezekcija.</w:t>
            </w:r>
          </w:p>
          <w:p w14:paraId="6BC7D2B3" w14:textId="2779CA92" w:rsidR="006C428F" w:rsidRPr="00511BEA" w:rsidRDefault="002D2025" w:rsidP="002D2025">
            <w:pPr>
              <w:autoSpaceDE w:val="0"/>
              <w:autoSpaceDN w:val="0"/>
              <w:adjustRightInd w:val="0"/>
              <w:jc w:val="both"/>
              <w:rPr>
                <w:lang w:val="en-US"/>
              </w:rPr>
            </w:pPr>
            <w:r w:rsidRPr="00511BEA">
              <w:t>TLK-10-AM koda</w:t>
            </w:r>
            <w:r w:rsidRPr="00511BEA">
              <w:rPr>
                <w:lang w:val="en-US"/>
              </w:rPr>
              <w:t xml:space="preserve">s </w:t>
            </w:r>
            <w:r w:rsidRPr="00511BEA">
              <w:t>C</w:t>
            </w:r>
            <w:r w:rsidRPr="00511BEA">
              <w:rPr>
                <w:lang w:val="en-GB"/>
              </w:rPr>
              <w:t>43.</w:t>
            </w:r>
          </w:p>
        </w:tc>
      </w:tr>
      <w:tr w:rsidR="001E3C7E" w:rsidRPr="00511BEA" w14:paraId="634307C0"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36264E3F" w14:textId="77777777" w:rsidR="001E3C7E" w:rsidRPr="00511BEA" w:rsidRDefault="001E3C7E" w:rsidP="00F414C7">
            <w:pPr>
              <w:tabs>
                <w:tab w:val="left" w:pos="284"/>
              </w:tabs>
              <w:spacing w:line="280" w:lineRule="atLeast"/>
              <w:rPr>
                <w:rFonts w:eastAsia="Arial"/>
                <w:b/>
              </w:rPr>
            </w:pPr>
            <w:r w:rsidRPr="00511BEA">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7694A19F" w14:textId="77777777" w:rsidR="001E3C7E" w:rsidRPr="00511BEA" w:rsidRDefault="001E3C7E" w:rsidP="00F414C7">
            <w:pPr>
              <w:tabs>
                <w:tab w:val="left" w:pos="284"/>
              </w:tabs>
              <w:spacing w:line="280" w:lineRule="atLeast"/>
              <w:rPr>
                <w:bCs/>
                <w:color w:val="000000"/>
                <w:u w:val="single"/>
                <w:lang w:eastAsia="lt-LT"/>
              </w:rPr>
            </w:pPr>
            <w:r w:rsidRPr="00511BEA">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3F094FB1" w14:textId="01FCDA14" w:rsidR="001E3C7E" w:rsidRPr="00511BEA" w:rsidRDefault="002D2025" w:rsidP="002D2025">
            <w:pPr>
              <w:pStyle w:val="ListParagraph"/>
              <w:spacing w:after="120" w:line="276" w:lineRule="auto"/>
              <w:ind w:left="0"/>
              <w:contextualSpacing w:val="0"/>
              <w:jc w:val="both"/>
            </w:pPr>
            <w:r w:rsidRPr="00511BEA">
              <w:t xml:space="preserve">Monoterapija KEYTRUDA skirta adjuvantiniam gydymui suaugusiesiems, kuriems </w:t>
            </w:r>
            <w:r w:rsidRPr="00511BEA">
              <w:rPr>
                <w:b/>
                <w:bCs/>
              </w:rPr>
              <w:t>nustatyta III stadijos melanoma ir metastazių limfmazgiuose</w:t>
            </w:r>
            <w:r w:rsidRPr="00511BEA">
              <w:t xml:space="preserve"> ir kuriems buvo atlikta visiška rezekcija.</w:t>
            </w:r>
          </w:p>
        </w:tc>
      </w:tr>
      <w:tr w:rsidR="001E3C7E" w:rsidRPr="00511BEA" w14:paraId="2E43638E"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1D8D3169" w14:textId="77777777" w:rsidR="001E3C7E" w:rsidRPr="00511BEA" w:rsidRDefault="001E3C7E" w:rsidP="00F414C7">
            <w:pPr>
              <w:tabs>
                <w:tab w:val="left" w:pos="284"/>
              </w:tabs>
              <w:spacing w:line="280" w:lineRule="atLeast"/>
              <w:rPr>
                <w:rFonts w:eastAsia="Arial"/>
                <w:b/>
              </w:rPr>
            </w:pPr>
            <w:r w:rsidRPr="00511BEA">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4CAD48C2" w14:textId="77777777" w:rsidR="001E3C7E" w:rsidRPr="00511BEA" w:rsidRDefault="001E3C7E" w:rsidP="00F414C7">
            <w:pPr>
              <w:tabs>
                <w:tab w:val="left" w:pos="284"/>
              </w:tabs>
              <w:spacing w:line="280" w:lineRule="atLeast"/>
              <w:rPr>
                <w:b/>
                <w:bCs/>
                <w:color w:val="000000"/>
                <w:lang w:eastAsia="lt-LT"/>
              </w:rPr>
            </w:pPr>
            <w:r w:rsidRPr="00511BEA">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2ECD1C7C" w14:textId="77777777" w:rsidR="001E3C7E" w:rsidRPr="00511BEA" w:rsidRDefault="002D6184" w:rsidP="00F414C7">
            <w:sdt>
              <w:sdtPr>
                <w:rPr>
                  <w:rStyle w:val="Style2"/>
                </w:rPr>
                <w:id w:val="-468433535"/>
                <w15:color w:val="FFCC00"/>
                <w14:checkbox>
                  <w14:checked w14:val="1"/>
                  <w14:checkedState w14:val="2612" w14:font="MS Gothic"/>
                  <w14:uncheckedState w14:val="2610" w14:font="MS Gothic"/>
                </w14:checkbox>
              </w:sdtPr>
              <w:sdtEndPr>
                <w:rPr>
                  <w:rStyle w:val="Style2"/>
                </w:rPr>
              </w:sdtEndPr>
              <w:sdtContent>
                <w:r w:rsidR="001E3C7E" w:rsidRPr="00511BEA">
                  <w:rPr>
                    <w:rStyle w:val="Style2"/>
                    <w:rFonts w:ascii="MS Gothic" w:eastAsia="MS Gothic" w:hAnsi="MS Gothic" w:hint="eastAsia"/>
                  </w:rPr>
                  <w:t>☒</w:t>
                </w:r>
              </w:sdtContent>
            </w:sdt>
            <w:r w:rsidR="001E3C7E" w:rsidRPr="00511BEA">
              <w:t xml:space="preserve"> Pilna paraiška</w:t>
            </w:r>
          </w:p>
          <w:p w14:paraId="0DCA8B01" w14:textId="77777777" w:rsidR="001E3C7E" w:rsidRPr="00511BEA" w:rsidRDefault="002D6184" w:rsidP="00F414C7">
            <w:pPr>
              <w:rPr>
                <w:rStyle w:val="Style2"/>
              </w:rPr>
            </w:pPr>
            <w:sdt>
              <w:sdtPr>
                <w:rPr>
                  <w:rStyle w:val="Style2"/>
                </w:rPr>
                <w:id w:val="-1489014904"/>
                <w15:color w:val="FFCC00"/>
                <w14:checkbox>
                  <w14:checked w14:val="0"/>
                  <w14:checkedState w14:val="2612" w14:font="MS Gothic"/>
                  <w14:uncheckedState w14:val="2610" w14:font="MS Gothic"/>
                </w14:checkbox>
              </w:sdtPr>
              <w:sdtEndPr>
                <w:rPr>
                  <w:rStyle w:val="Style2"/>
                </w:rPr>
              </w:sdtEndPr>
              <w:sdtContent>
                <w:r w:rsidR="001E3C7E" w:rsidRPr="00511BEA">
                  <w:rPr>
                    <w:rStyle w:val="Style2"/>
                    <w:rFonts w:ascii="MS Gothic" w:eastAsia="MS Gothic" w:hAnsi="MS Gothic" w:hint="eastAsia"/>
                  </w:rPr>
                  <w:t>☐</w:t>
                </w:r>
              </w:sdtContent>
            </w:sdt>
            <w:r w:rsidR="001E3C7E" w:rsidRPr="00511BEA">
              <w:t xml:space="preserve"> Supaprastinta paraiška</w:t>
            </w:r>
          </w:p>
        </w:tc>
      </w:tr>
      <w:tr w:rsidR="001E3C7E" w:rsidRPr="00511BEA" w14:paraId="1137579E"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6A4F0F48" w14:textId="77777777" w:rsidR="001E3C7E" w:rsidRPr="00511BEA" w:rsidRDefault="001E3C7E" w:rsidP="00F414C7">
            <w:pPr>
              <w:tabs>
                <w:tab w:val="left" w:pos="284"/>
              </w:tabs>
              <w:spacing w:line="280" w:lineRule="atLeast"/>
              <w:rPr>
                <w:rFonts w:eastAsia="Arial"/>
                <w:b/>
              </w:rPr>
            </w:pPr>
            <w:r w:rsidRPr="00511BEA">
              <w:rPr>
                <w:rFonts w:eastAsia="Arial"/>
                <w:b/>
              </w:rPr>
              <w:lastRenderedPageBreak/>
              <w:t>1.8</w:t>
            </w:r>
          </w:p>
        </w:tc>
        <w:tc>
          <w:tcPr>
            <w:tcW w:w="4117" w:type="dxa"/>
            <w:tcBorders>
              <w:top w:val="single" w:sz="4" w:space="0" w:color="auto"/>
              <w:left w:val="single" w:sz="4" w:space="0" w:color="auto"/>
              <w:bottom w:val="single" w:sz="4" w:space="0" w:color="auto"/>
              <w:right w:val="single" w:sz="4" w:space="0" w:color="auto"/>
            </w:tcBorders>
          </w:tcPr>
          <w:p w14:paraId="1E1E8D0E" w14:textId="019A7790" w:rsidR="002D2025" w:rsidRPr="00511BEA" w:rsidRDefault="002D2025" w:rsidP="002D2025">
            <w:pPr>
              <w:tabs>
                <w:tab w:val="left" w:pos="284"/>
              </w:tabs>
              <w:spacing w:line="280" w:lineRule="atLeast"/>
              <w:rPr>
                <w:color w:val="000000"/>
                <w:lang w:eastAsia="lt-LT"/>
              </w:rPr>
            </w:pPr>
            <w:r w:rsidRPr="00511BEA">
              <w:rPr>
                <w:color w:val="000000"/>
                <w:u w:val="single"/>
                <w:lang w:eastAsia="lt-LT"/>
              </w:rPr>
              <w:t>Tiesioginis</w:t>
            </w:r>
            <w:r w:rsidRPr="00511BEA">
              <w:rPr>
                <w:color w:val="000000"/>
                <w:lang w:eastAsia="lt-LT"/>
              </w:rPr>
              <w:t xml:space="preserve"> – pemrolizumabas lygintas su stebėjimo ir laukimo taktika bendroje pacientų populiacijoje su ir be BFAF V600 mutacijų.</w:t>
            </w:r>
          </w:p>
          <w:p w14:paraId="151625DC" w14:textId="77777777" w:rsidR="002D2025" w:rsidRPr="00511BEA" w:rsidRDefault="002D2025" w:rsidP="002D2025">
            <w:pPr>
              <w:tabs>
                <w:tab w:val="left" w:pos="284"/>
              </w:tabs>
              <w:spacing w:line="280" w:lineRule="atLeast"/>
              <w:rPr>
                <w:b/>
                <w:bCs/>
                <w:color w:val="000000"/>
                <w:lang w:eastAsia="lt-LT"/>
              </w:rPr>
            </w:pPr>
          </w:p>
          <w:p w14:paraId="760A2F0B" w14:textId="5EBBB161" w:rsidR="007C1237" w:rsidRPr="00511BEA" w:rsidRDefault="002D2025" w:rsidP="002D2025">
            <w:pPr>
              <w:widowControl w:val="0"/>
              <w:pBdr>
                <w:top w:val="nil"/>
                <w:left w:val="nil"/>
                <w:bottom w:val="nil"/>
                <w:right w:val="nil"/>
                <w:between w:val="nil"/>
              </w:pBdr>
              <w:spacing w:line="280" w:lineRule="atLeast"/>
              <w:rPr>
                <w:rFonts w:eastAsia="Arial"/>
                <w:lang w:val="en-US"/>
              </w:rPr>
            </w:pPr>
            <w:r w:rsidRPr="00511BEA">
              <w:rPr>
                <w:color w:val="000000"/>
                <w:u w:val="single"/>
                <w:lang w:eastAsia="lt-LT"/>
              </w:rPr>
              <w:t>Netiesiogini</w:t>
            </w:r>
            <w:r w:rsidRPr="00511BEA">
              <w:rPr>
                <w:color w:val="000000"/>
                <w:lang w:eastAsia="lt-LT"/>
              </w:rPr>
              <w:t xml:space="preserve">s – pembrolizumabas lygintas </w:t>
            </w:r>
            <w:proofErr w:type="spellStart"/>
            <w:r w:rsidRPr="00511BEA">
              <w:rPr>
                <w:rFonts w:eastAsia="Arial"/>
                <w:lang w:val="en-US"/>
              </w:rPr>
              <w:t>su</w:t>
            </w:r>
            <w:proofErr w:type="spellEnd"/>
            <w:r w:rsidRPr="00511BEA">
              <w:rPr>
                <w:rFonts w:eastAsia="Arial"/>
                <w:lang w:val="en-US"/>
              </w:rPr>
              <w:t xml:space="preserve"> </w:t>
            </w:r>
            <w:r w:rsidRPr="00511BEA">
              <w:t>trametinibu/dabrafenibu pacientams su  BRAF V600 mutacijomis.</w:t>
            </w:r>
          </w:p>
        </w:tc>
        <w:tc>
          <w:tcPr>
            <w:tcW w:w="5096" w:type="dxa"/>
            <w:tcBorders>
              <w:top w:val="single" w:sz="4" w:space="0" w:color="auto"/>
              <w:left w:val="single" w:sz="4" w:space="0" w:color="auto"/>
              <w:bottom w:val="single" w:sz="4" w:space="0" w:color="auto"/>
              <w:right w:val="single" w:sz="4" w:space="0" w:color="auto"/>
            </w:tcBorders>
          </w:tcPr>
          <w:p w14:paraId="7FBBBCCB" w14:textId="77777777" w:rsidR="001E3C7E" w:rsidRPr="00511BEA" w:rsidRDefault="002D6184" w:rsidP="00F414C7">
            <w:sdt>
              <w:sdtPr>
                <w:rPr>
                  <w:rStyle w:val="Style2"/>
                  <w:sz w:val="24"/>
                </w:rPr>
                <w:id w:val="1348903796"/>
                <w15:color w:val="FFCC00"/>
                <w14:checkbox>
                  <w14:checked w14:val="1"/>
                  <w14:checkedState w14:val="2612" w14:font="MS Gothic"/>
                  <w14:uncheckedState w14:val="2610" w14:font="MS Gothic"/>
                </w14:checkbox>
              </w:sdtPr>
              <w:sdtEndPr>
                <w:rPr>
                  <w:rStyle w:val="Style2"/>
                </w:rPr>
              </w:sdtEndPr>
              <w:sdtContent>
                <w:r w:rsidR="001E3C7E" w:rsidRPr="00511BEA">
                  <w:rPr>
                    <w:rStyle w:val="Style2"/>
                    <w:rFonts w:ascii="Segoe UI Symbol" w:eastAsia="MS Gothic" w:hAnsi="Segoe UI Symbol" w:cs="Segoe UI Symbol"/>
                    <w:sz w:val="24"/>
                  </w:rPr>
                  <w:t>☒</w:t>
                </w:r>
              </w:sdtContent>
            </w:sdt>
            <w:r w:rsidR="001E3C7E" w:rsidRPr="00511BEA">
              <w:t xml:space="preserve"> Tiesioginis palyginimas</w:t>
            </w:r>
          </w:p>
          <w:p w14:paraId="6046A511" w14:textId="77777777" w:rsidR="001E3C7E" w:rsidRPr="00511BEA" w:rsidRDefault="002D6184" w:rsidP="00F414C7">
            <w:sdt>
              <w:sdtPr>
                <w:id w:val="-210416744"/>
                <w15:color w:val="FFCC00"/>
                <w14:checkbox>
                  <w14:checked w14:val="1"/>
                  <w14:checkedState w14:val="2612" w14:font="MS Gothic"/>
                  <w14:uncheckedState w14:val="2610" w14:font="MS Gothic"/>
                </w14:checkbox>
              </w:sdtPr>
              <w:sdtEndPr/>
              <w:sdtContent>
                <w:r w:rsidR="001E3C7E" w:rsidRPr="00511BEA">
                  <w:rPr>
                    <w:rFonts w:ascii="Segoe UI Symbol" w:eastAsia="MS Gothic" w:hAnsi="Segoe UI Symbol" w:cs="Segoe UI Symbol"/>
                  </w:rPr>
                  <w:t>☒</w:t>
                </w:r>
              </w:sdtContent>
            </w:sdt>
            <w:r w:rsidR="001E3C7E" w:rsidRPr="00511BEA">
              <w:t xml:space="preserve"> Netiesioginis palyginimas</w:t>
            </w:r>
          </w:p>
        </w:tc>
      </w:tr>
      <w:tr w:rsidR="001E3C7E" w:rsidRPr="00511BEA" w14:paraId="0EAAA8BF"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13290518" w14:textId="77777777" w:rsidR="001E3C7E" w:rsidRPr="00511BEA" w:rsidRDefault="001E3C7E" w:rsidP="00F414C7">
            <w:pPr>
              <w:tabs>
                <w:tab w:val="left" w:pos="284"/>
              </w:tabs>
              <w:spacing w:line="280" w:lineRule="atLeast"/>
              <w:rPr>
                <w:rFonts w:eastAsia="Arial"/>
                <w:b/>
              </w:rPr>
            </w:pPr>
            <w:r w:rsidRPr="00511BEA">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27B52224" w14:textId="77777777" w:rsidR="001E3C7E" w:rsidRPr="00511BEA" w:rsidRDefault="001E3C7E" w:rsidP="00F414C7">
            <w:pPr>
              <w:tabs>
                <w:tab w:val="left" w:pos="284"/>
              </w:tabs>
              <w:spacing w:line="280" w:lineRule="atLeast"/>
              <w:rPr>
                <w:b/>
                <w:bCs/>
                <w:color w:val="000000"/>
                <w:lang w:eastAsia="lt-LT"/>
              </w:rPr>
            </w:pPr>
            <w:r w:rsidRPr="00511BEA">
              <w:rPr>
                <w:b/>
                <w:bCs/>
                <w:color w:val="000000"/>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6AEB904C" w14:textId="2158D65B" w:rsidR="001E3C7E" w:rsidRPr="00511BEA" w:rsidRDefault="002D6184" w:rsidP="00F414C7">
            <w:sdt>
              <w:sdtPr>
                <w:rPr>
                  <w:rStyle w:val="Style2"/>
                </w:rPr>
                <w:id w:val="-836689216"/>
                <w15:color w:val="FFCC00"/>
                <w14:checkbox>
                  <w14:checked w14:val="1"/>
                  <w14:checkedState w14:val="2612" w14:font="MS Gothic"/>
                  <w14:uncheckedState w14:val="2610" w14:font="MS Gothic"/>
                </w14:checkbox>
              </w:sdtPr>
              <w:sdtEndPr>
                <w:rPr>
                  <w:rStyle w:val="Style2"/>
                </w:rPr>
              </w:sdtEndPr>
              <w:sdtContent>
                <w:r w:rsidR="002D2025" w:rsidRPr="00511BEA">
                  <w:rPr>
                    <w:rStyle w:val="Style2"/>
                    <w:rFonts w:ascii="MS Gothic" w:eastAsia="MS Gothic" w:hAnsi="MS Gothic" w:hint="eastAsia"/>
                  </w:rPr>
                  <w:t>☒</w:t>
                </w:r>
              </w:sdtContent>
            </w:sdt>
            <w:r w:rsidR="001E3C7E" w:rsidRPr="00511BEA">
              <w:t xml:space="preserve"> Kaštų naudingumo analizė</w:t>
            </w:r>
          </w:p>
          <w:p w14:paraId="6A0BAFEA" w14:textId="53AF5960" w:rsidR="001E3C7E" w:rsidRPr="00511BEA" w:rsidRDefault="002D6184" w:rsidP="00F414C7">
            <w:sdt>
              <w:sdtPr>
                <w:rPr>
                  <w:rStyle w:val="Style2"/>
                </w:rPr>
                <w:id w:val="2013950720"/>
                <w15:color w:val="FFCC00"/>
                <w14:checkbox>
                  <w14:checked w14:val="0"/>
                  <w14:checkedState w14:val="2612" w14:font="MS Gothic"/>
                  <w14:uncheckedState w14:val="2610" w14:font="MS Gothic"/>
                </w14:checkbox>
              </w:sdtPr>
              <w:sdtEndPr>
                <w:rPr>
                  <w:rStyle w:val="Style2"/>
                </w:rPr>
              </w:sdtEndPr>
              <w:sdtContent>
                <w:r w:rsidR="00E75AE0" w:rsidRPr="00511BEA">
                  <w:rPr>
                    <w:rStyle w:val="Style2"/>
                    <w:rFonts w:ascii="MS Gothic" w:eastAsia="MS Gothic" w:hAnsi="MS Gothic" w:hint="eastAsia"/>
                  </w:rPr>
                  <w:t>☐</w:t>
                </w:r>
              </w:sdtContent>
            </w:sdt>
            <w:r w:rsidR="001E3C7E" w:rsidRPr="00511BEA">
              <w:t xml:space="preserve"> Kaštų mažinimo analizė</w:t>
            </w:r>
          </w:p>
          <w:p w14:paraId="5D688B08" w14:textId="77777777" w:rsidR="001E3C7E" w:rsidRPr="00511BEA" w:rsidRDefault="002D6184" w:rsidP="00F414C7">
            <w:sdt>
              <w:sdtPr>
                <w:rPr>
                  <w:rStyle w:val="Style2"/>
                </w:rPr>
                <w:id w:val="362025833"/>
                <w15:color w:val="FFCC00"/>
                <w14:checkbox>
                  <w14:checked w14:val="0"/>
                  <w14:checkedState w14:val="2612" w14:font="MS Gothic"/>
                  <w14:uncheckedState w14:val="2610" w14:font="MS Gothic"/>
                </w14:checkbox>
              </w:sdtPr>
              <w:sdtEndPr>
                <w:rPr>
                  <w:rStyle w:val="Style2"/>
                </w:rPr>
              </w:sdtEndPr>
              <w:sdtContent>
                <w:r w:rsidR="001E3C7E" w:rsidRPr="00511BEA">
                  <w:rPr>
                    <w:rStyle w:val="Style2"/>
                    <w:rFonts w:ascii="Segoe UI Symbol" w:eastAsia="MS Gothic" w:hAnsi="Segoe UI Symbol" w:cs="Segoe UI Symbol"/>
                  </w:rPr>
                  <w:t>☐</w:t>
                </w:r>
              </w:sdtContent>
            </w:sdt>
            <w:r w:rsidR="001E3C7E" w:rsidRPr="00511BEA">
              <w:t xml:space="preserve"> Kita: </w:t>
            </w:r>
            <w:sdt>
              <w:sdtPr>
                <w:alias w:val="Įrašykite"/>
                <w:tag w:val="Įrašykite"/>
                <w:id w:val="-16472040"/>
                <w:placeholder>
                  <w:docPart w:val="9691A7D77D987F40A9B3B435AFBF91F6"/>
                </w:placeholder>
                <w15:color w:val="FFCC99"/>
              </w:sdtPr>
              <w:sdtEndPr/>
              <w:sdtContent>
                <w:r w:rsidR="001E3C7E" w:rsidRPr="00511BEA">
                  <w:t>_________________</w:t>
                </w:r>
              </w:sdtContent>
            </w:sdt>
            <w:r w:rsidR="001E3C7E" w:rsidRPr="00511BEA">
              <w:t xml:space="preserve"> </w:t>
            </w:r>
          </w:p>
        </w:tc>
      </w:tr>
    </w:tbl>
    <w:p w14:paraId="108176F7" w14:textId="640C6F75" w:rsidR="00F70C9E" w:rsidRPr="00511BEA" w:rsidRDefault="00F70C9E" w:rsidP="00E03C3F">
      <w:pPr>
        <w:pStyle w:val="ListParagraph"/>
        <w:tabs>
          <w:tab w:val="left" w:pos="426"/>
        </w:tabs>
        <w:ind w:left="0"/>
        <w:rPr>
          <w:b/>
          <w:bCs/>
          <w:caps/>
        </w:rPr>
      </w:pPr>
    </w:p>
    <w:p w14:paraId="2871CA7F" w14:textId="2370BDDB" w:rsidR="00F70C9E" w:rsidRPr="00511BEA" w:rsidRDefault="00F70C9E" w:rsidP="00880A44">
      <w:pPr>
        <w:spacing w:line="276" w:lineRule="auto"/>
        <w:jc w:val="both"/>
        <w:rPr>
          <w:rFonts w:eastAsia="Arial"/>
          <w:b/>
        </w:rPr>
      </w:pPr>
      <w:r w:rsidRPr="00511BEA">
        <w:rPr>
          <w:rFonts w:eastAsia="Arial"/>
          <w:b/>
        </w:rPr>
        <w:t xml:space="preserve">1.8 Kitų </w:t>
      </w:r>
      <w:r w:rsidR="00DF583C" w:rsidRPr="00511BEA">
        <w:rPr>
          <w:rFonts w:eastAsia="Arial"/>
          <w:b/>
        </w:rPr>
        <w:t xml:space="preserve">valstybių </w:t>
      </w:r>
      <w:r w:rsidRPr="00511BEA">
        <w:rPr>
          <w:rFonts w:eastAsia="Arial"/>
          <w:b/>
        </w:rPr>
        <w:t xml:space="preserve">atsakingų institucijų atlikto </w:t>
      </w:r>
      <w:r w:rsidR="00DF583C" w:rsidRPr="00511BEA">
        <w:rPr>
          <w:rFonts w:eastAsia="Arial"/>
          <w:b/>
        </w:rPr>
        <w:t>Sveikatos technologijų vertinimo (toliau – STV)</w:t>
      </w:r>
      <w:r w:rsidRPr="00511BEA">
        <w:rPr>
          <w:rFonts w:eastAsia="Arial"/>
          <w:b/>
        </w:rPr>
        <w:t xml:space="preserve"> išvados</w:t>
      </w:r>
    </w:p>
    <w:p w14:paraId="30721FDD" w14:textId="77777777" w:rsidR="00F70C9E" w:rsidRPr="00511BEA"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2D2025" w:rsidRPr="00511BEA" w14:paraId="65128CFD" w14:textId="77777777" w:rsidTr="00B12733">
        <w:trPr>
          <w:trHeight w:val="924"/>
        </w:trPr>
        <w:tc>
          <w:tcPr>
            <w:tcW w:w="2927" w:type="dxa"/>
          </w:tcPr>
          <w:p w14:paraId="291A919A" w14:textId="77777777" w:rsidR="002D2025" w:rsidRPr="00511BEA" w:rsidRDefault="002D2025" w:rsidP="00B12733">
            <w:pPr>
              <w:spacing w:line="276" w:lineRule="auto"/>
              <w:rPr>
                <w:rFonts w:eastAsia="Arial"/>
              </w:rPr>
            </w:pPr>
            <w:r w:rsidRPr="00511BEA">
              <w:rPr>
                <w:rFonts w:eastAsia="Arial"/>
              </w:rPr>
              <w:t>STV agentūros pavadinimas, šalis</w:t>
            </w:r>
          </w:p>
        </w:tc>
        <w:tc>
          <w:tcPr>
            <w:tcW w:w="1915" w:type="dxa"/>
          </w:tcPr>
          <w:p w14:paraId="7B508A5F" w14:textId="77777777" w:rsidR="002D2025" w:rsidRPr="00511BEA" w:rsidRDefault="002D2025" w:rsidP="00B12733">
            <w:pPr>
              <w:spacing w:line="276" w:lineRule="auto"/>
              <w:rPr>
                <w:rFonts w:eastAsia="Arial"/>
              </w:rPr>
            </w:pPr>
            <w:r w:rsidRPr="00511BEA">
              <w:rPr>
                <w:rFonts w:eastAsia="Arial"/>
              </w:rPr>
              <w:t>STV vertinimas atliktas</w:t>
            </w:r>
          </w:p>
        </w:tc>
        <w:tc>
          <w:tcPr>
            <w:tcW w:w="2351" w:type="dxa"/>
          </w:tcPr>
          <w:p w14:paraId="5BD95F03" w14:textId="77777777" w:rsidR="002D2025" w:rsidRPr="00511BEA" w:rsidRDefault="002D2025" w:rsidP="00B12733">
            <w:pPr>
              <w:spacing w:line="276" w:lineRule="auto"/>
              <w:rPr>
                <w:rFonts w:eastAsia="Arial"/>
              </w:rPr>
            </w:pPr>
            <w:r w:rsidRPr="00511BEA">
              <w:rPr>
                <w:rFonts w:eastAsia="Arial"/>
              </w:rPr>
              <w:t>Klinikinio vertinimo išvada</w:t>
            </w:r>
          </w:p>
        </w:tc>
        <w:tc>
          <w:tcPr>
            <w:tcW w:w="2725" w:type="dxa"/>
          </w:tcPr>
          <w:p w14:paraId="3D1EE3B6" w14:textId="77777777" w:rsidR="002D2025" w:rsidRPr="00511BEA" w:rsidRDefault="002D2025" w:rsidP="00B12733">
            <w:pPr>
              <w:spacing w:line="276" w:lineRule="auto"/>
              <w:rPr>
                <w:rFonts w:eastAsia="Arial"/>
              </w:rPr>
            </w:pPr>
            <w:r w:rsidRPr="00511BEA">
              <w:rPr>
                <w:rFonts w:eastAsia="Arial"/>
              </w:rPr>
              <w:t>Farmakoekonominio vertinimo išvada</w:t>
            </w:r>
          </w:p>
        </w:tc>
      </w:tr>
      <w:tr w:rsidR="002D2025" w:rsidRPr="00511BEA" w14:paraId="1A4A734A" w14:textId="77777777" w:rsidTr="00B12733">
        <w:trPr>
          <w:trHeight w:val="1765"/>
        </w:trPr>
        <w:tc>
          <w:tcPr>
            <w:tcW w:w="2927" w:type="dxa"/>
          </w:tcPr>
          <w:p w14:paraId="13B7B7E1" w14:textId="77777777" w:rsidR="002D2025" w:rsidRPr="00511BEA" w:rsidRDefault="002D2025" w:rsidP="00B12733">
            <w:pPr>
              <w:autoSpaceDE w:val="0"/>
              <w:autoSpaceDN w:val="0"/>
              <w:adjustRightInd w:val="0"/>
              <w:rPr>
                <w:bCs/>
              </w:rPr>
            </w:pPr>
            <w:r w:rsidRPr="00511BEA">
              <w:rPr>
                <w:bCs/>
              </w:rPr>
              <w:t>Nacionalinis sveikatos ir klinikinės kompetencijos institutas, Didžioji Britanija</w:t>
            </w:r>
          </w:p>
          <w:p w14:paraId="0A15F0C8" w14:textId="77777777" w:rsidR="002D2025" w:rsidRPr="00511BEA" w:rsidRDefault="002D2025" w:rsidP="00B12733">
            <w:pPr>
              <w:spacing w:line="276" w:lineRule="auto"/>
              <w:rPr>
                <w:rFonts w:eastAsia="Arial"/>
              </w:rPr>
            </w:pPr>
            <w:r w:rsidRPr="00511BEA">
              <w:rPr>
                <w:rFonts w:eastAsia="Arial"/>
              </w:rPr>
              <w:t xml:space="preserve">(angl. </w:t>
            </w:r>
            <w:r w:rsidRPr="00511BEA">
              <w:rPr>
                <w:rFonts w:eastAsia="Arial"/>
                <w:i/>
              </w:rPr>
              <w:t>National Institute for Health and Care Excellence, NICE</w:t>
            </w:r>
            <w:r w:rsidRPr="00511BEA">
              <w:rPr>
                <w:rFonts w:eastAsia="Arial"/>
              </w:rPr>
              <w:t>)</w:t>
            </w:r>
          </w:p>
        </w:tc>
        <w:tc>
          <w:tcPr>
            <w:tcW w:w="1915" w:type="dxa"/>
          </w:tcPr>
          <w:p w14:paraId="06C2EB6C" w14:textId="77777777" w:rsidR="002D2025" w:rsidRPr="00511BEA" w:rsidRDefault="002D6184" w:rsidP="00B12733">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2D2025" w:rsidRPr="00511BEA">
                  <w:rPr>
                    <w:rStyle w:val="Style2"/>
                    <w:rFonts w:ascii="MS Gothic" w:eastAsia="MS Gothic" w:hAnsi="MS Gothic" w:hint="eastAsia"/>
                  </w:rPr>
                  <w:t>☒</w:t>
                </w:r>
              </w:sdtContent>
            </w:sdt>
            <w:r w:rsidR="002D2025" w:rsidRPr="00511BEA">
              <w:t xml:space="preserve"> Taip</w:t>
            </w:r>
          </w:p>
          <w:p w14:paraId="7ECE3BA3" w14:textId="77777777" w:rsidR="002D2025" w:rsidRPr="00511BEA" w:rsidRDefault="002D6184" w:rsidP="00B12733">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2D2025" w:rsidRPr="00511BEA">
                  <w:rPr>
                    <w:rStyle w:val="Style2"/>
                    <w:rFonts w:ascii="MS Gothic" w:eastAsia="MS Gothic" w:hAnsi="MS Gothic" w:hint="eastAsia"/>
                  </w:rPr>
                  <w:t>☐</w:t>
                </w:r>
              </w:sdtContent>
            </w:sdt>
            <w:r w:rsidR="002D2025" w:rsidRPr="00511BEA">
              <w:t xml:space="preserve"> Ne</w:t>
            </w:r>
          </w:p>
          <w:p w14:paraId="48D2DF44" w14:textId="77777777" w:rsidR="002D2025" w:rsidRPr="00511BEA" w:rsidRDefault="002D6184" w:rsidP="00B12733">
            <w:pPr>
              <w:rPr>
                <w:rFonts w:eastAsia="Arial"/>
              </w:rPr>
            </w:pPr>
            <w:sdt>
              <w:sdtPr>
                <w:alias w:val="Nurodykite konkrečią dieną"/>
                <w:tag w:val="Nurodykite pradžios datą"/>
                <w:id w:val="922837954"/>
                <w:placeholder>
                  <w:docPart w:val="A5FA40582FB53D428CAE0709416C9BD6"/>
                </w:placeholder>
                <w15:color w:val="FFCC99"/>
                <w:date>
                  <w:dateFormat w:val="yyyy 'm.' MMMM d 'd.'"/>
                  <w:lid w:val="lt-LT"/>
                  <w:storeMappedDataAs w:val="dateTime"/>
                  <w:calendar w:val="gregorian"/>
                </w:date>
              </w:sdtPr>
              <w:sdtEndPr/>
              <w:sdtContent>
                <w:r w:rsidR="002D2025" w:rsidRPr="00511BEA">
                  <w:t>2021 m. rugpjūčio mėn.</w:t>
                </w:r>
              </w:sdtContent>
            </w:sdt>
          </w:p>
        </w:tc>
        <w:tc>
          <w:tcPr>
            <w:tcW w:w="2351" w:type="dxa"/>
            <w:shd w:val="clear" w:color="auto" w:fill="FFFFFF" w:themeFill="background1"/>
          </w:tcPr>
          <w:p w14:paraId="5CCC01B4" w14:textId="0E2BF89B" w:rsidR="002D2025" w:rsidRPr="00511BEA" w:rsidRDefault="002D2025" w:rsidP="00E75AE0">
            <w:pPr>
              <w:pStyle w:val="HTMLPreformatted"/>
              <w:shd w:val="clear" w:color="auto" w:fill="FFFFFF" w:themeFill="background1"/>
              <w:rPr>
                <w:rFonts w:ascii="Times New Roman" w:hAnsi="Times New Roman" w:cs="Times New Roman"/>
                <w:color w:val="202124"/>
                <w:sz w:val="24"/>
              </w:rPr>
            </w:pPr>
            <w:r w:rsidRPr="00511BEA">
              <w:rPr>
                <w:rStyle w:val="y2iqfc"/>
                <w:rFonts w:ascii="Times New Roman" w:hAnsi="Times New Roman" w:cs="Times New Roman"/>
                <w:color w:val="202124"/>
                <w:sz w:val="24"/>
              </w:rPr>
              <w:t xml:space="preserve">Pembrolizumabą rekomenduojama skirti kaip adjuvantinį suaugusiųjų visiškai pašalintos 3 stadijos melanomos su limfmazgių pažeidimais gydymą. </w:t>
            </w:r>
          </w:p>
        </w:tc>
        <w:tc>
          <w:tcPr>
            <w:tcW w:w="2725" w:type="dxa"/>
          </w:tcPr>
          <w:p w14:paraId="196A339B" w14:textId="7BED8390" w:rsidR="002D2025" w:rsidRPr="00511BEA" w:rsidRDefault="00E75AE0" w:rsidP="00E75AE0">
            <w:pPr>
              <w:rPr>
                <w:rFonts w:eastAsia="Arial"/>
              </w:rPr>
            </w:pPr>
            <w:r w:rsidRPr="00511BEA">
              <w:rPr>
                <w:rStyle w:val="y2iqfc"/>
                <w:color w:val="202124"/>
              </w:rPr>
              <w:t>Rekomenduojama tik tuo atveju, jeigu kompanija tiekia pembrolizumabą pagal komercinį susitarimą.</w:t>
            </w:r>
          </w:p>
        </w:tc>
      </w:tr>
      <w:tr w:rsidR="00E75AE0" w:rsidRPr="00511BEA" w14:paraId="56532B28" w14:textId="77777777" w:rsidTr="00BF5D0B">
        <w:trPr>
          <w:trHeight w:val="1125"/>
        </w:trPr>
        <w:tc>
          <w:tcPr>
            <w:tcW w:w="2927" w:type="dxa"/>
          </w:tcPr>
          <w:p w14:paraId="35359747" w14:textId="77777777" w:rsidR="00E75AE0" w:rsidRPr="00511BEA" w:rsidRDefault="00E75AE0" w:rsidP="00B12733">
            <w:pPr>
              <w:spacing w:line="276" w:lineRule="auto"/>
              <w:rPr>
                <w:rFonts w:eastAsia="Arial"/>
              </w:rPr>
            </w:pPr>
            <w:r w:rsidRPr="00511BEA">
              <w:rPr>
                <w:rFonts w:eastAsia="Arial"/>
              </w:rPr>
              <w:t>Kanados sveikatos technologijų agentūra</w:t>
            </w:r>
          </w:p>
          <w:p w14:paraId="63F95DE0" w14:textId="77777777" w:rsidR="00E75AE0" w:rsidRPr="00511BEA" w:rsidRDefault="00E75AE0" w:rsidP="00B12733">
            <w:pPr>
              <w:spacing w:line="276" w:lineRule="auto"/>
              <w:rPr>
                <w:rFonts w:eastAsia="Arial"/>
              </w:rPr>
            </w:pPr>
            <w:r w:rsidRPr="00511BEA">
              <w:rPr>
                <w:rFonts w:eastAsia="Arial"/>
              </w:rPr>
              <w:t xml:space="preserve">(angl. </w:t>
            </w:r>
            <w:r w:rsidRPr="00511BEA">
              <w:rPr>
                <w:rFonts w:eastAsia="Arial"/>
                <w:i/>
              </w:rPr>
              <w:t>Canadian health Technology Assessment agency, CADTH</w:t>
            </w:r>
            <w:r w:rsidRPr="00511BEA">
              <w:rPr>
                <w:rFonts w:eastAsia="Arial"/>
              </w:rPr>
              <w:t>)</w:t>
            </w:r>
          </w:p>
        </w:tc>
        <w:tc>
          <w:tcPr>
            <w:tcW w:w="1915" w:type="dxa"/>
          </w:tcPr>
          <w:p w14:paraId="70934778" w14:textId="77777777" w:rsidR="00E75AE0" w:rsidRPr="00511BEA" w:rsidRDefault="002D6184" w:rsidP="00B12733">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E75AE0" w:rsidRPr="00511BEA">
                  <w:rPr>
                    <w:rStyle w:val="Style2"/>
                    <w:rFonts w:ascii="MS Gothic" w:eastAsia="MS Gothic" w:hAnsi="MS Gothic" w:hint="eastAsia"/>
                  </w:rPr>
                  <w:t>☐</w:t>
                </w:r>
              </w:sdtContent>
            </w:sdt>
            <w:r w:rsidR="00E75AE0" w:rsidRPr="00511BEA">
              <w:t xml:space="preserve"> Taip</w:t>
            </w:r>
          </w:p>
          <w:p w14:paraId="5D29B26A" w14:textId="77777777" w:rsidR="00E75AE0" w:rsidRPr="00511BEA" w:rsidRDefault="002D6184" w:rsidP="00B12733">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E75AE0" w:rsidRPr="00511BEA">
                  <w:rPr>
                    <w:rStyle w:val="Style2"/>
                    <w:rFonts w:ascii="MS Gothic" w:eastAsia="MS Gothic" w:hAnsi="MS Gothic" w:hint="eastAsia"/>
                  </w:rPr>
                  <w:t>☒</w:t>
                </w:r>
              </w:sdtContent>
            </w:sdt>
            <w:r w:rsidR="00E75AE0" w:rsidRPr="00511BEA">
              <w:t xml:space="preserve"> Ne</w:t>
            </w:r>
          </w:p>
          <w:p w14:paraId="23AE7509" w14:textId="77777777" w:rsidR="00E75AE0" w:rsidRPr="00511BEA" w:rsidRDefault="00E75AE0" w:rsidP="00B12733">
            <w:pPr>
              <w:spacing w:line="276" w:lineRule="auto"/>
              <w:rPr>
                <w:rFonts w:eastAsia="Arial"/>
              </w:rPr>
            </w:pPr>
          </w:p>
        </w:tc>
        <w:tc>
          <w:tcPr>
            <w:tcW w:w="5076" w:type="dxa"/>
            <w:gridSpan w:val="2"/>
          </w:tcPr>
          <w:p w14:paraId="22A2B053" w14:textId="26E65F0D" w:rsidR="00E75AE0" w:rsidRPr="00511BEA" w:rsidRDefault="00E75AE0" w:rsidP="00B12733">
            <w:pPr>
              <w:spacing w:line="276" w:lineRule="auto"/>
              <w:rPr>
                <w:rFonts w:eastAsia="Arial"/>
              </w:rPr>
            </w:pPr>
            <w:r w:rsidRPr="00511BEA">
              <w:rPr>
                <w:rFonts w:eastAsia="Arial"/>
              </w:rPr>
              <w:t>Vertinimas III st. melanomai atliktas nebuvo.</w:t>
            </w:r>
          </w:p>
        </w:tc>
      </w:tr>
      <w:tr w:rsidR="00E75AE0" w:rsidRPr="00511BEA" w14:paraId="12067FF0" w14:textId="77777777" w:rsidTr="00B41015">
        <w:trPr>
          <w:trHeight w:val="1927"/>
        </w:trPr>
        <w:tc>
          <w:tcPr>
            <w:tcW w:w="2927" w:type="dxa"/>
          </w:tcPr>
          <w:p w14:paraId="4FAB708D" w14:textId="77777777" w:rsidR="00E75AE0" w:rsidRPr="00511BEA" w:rsidRDefault="00E75AE0" w:rsidP="00B12733">
            <w:pPr>
              <w:spacing w:line="276" w:lineRule="auto"/>
              <w:rPr>
                <w:rFonts w:eastAsia="Arial"/>
              </w:rPr>
            </w:pPr>
            <w:r w:rsidRPr="00511BEA">
              <w:rPr>
                <w:rFonts w:eastAsia="Arial"/>
              </w:rPr>
              <w:t>Nacionalinis farmakoekonomikos centras, Airija</w:t>
            </w:r>
          </w:p>
          <w:p w14:paraId="7F09B4F3" w14:textId="77777777" w:rsidR="00E75AE0" w:rsidRPr="00511BEA" w:rsidRDefault="00E75AE0" w:rsidP="00B12733">
            <w:pPr>
              <w:spacing w:line="276" w:lineRule="auto"/>
              <w:rPr>
                <w:rFonts w:eastAsia="Arial"/>
              </w:rPr>
            </w:pPr>
            <w:r w:rsidRPr="00511BEA">
              <w:rPr>
                <w:rFonts w:eastAsia="Arial"/>
              </w:rPr>
              <w:t>(angl.</w:t>
            </w:r>
            <w:r w:rsidRPr="00511BEA">
              <w:rPr>
                <w:rFonts w:eastAsia="Arial"/>
                <w:i/>
              </w:rPr>
              <w:t xml:space="preserve"> National Centre for Pharmacoeconomics, NCPE</w:t>
            </w:r>
            <w:r w:rsidRPr="00511BEA">
              <w:rPr>
                <w:rFonts w:eastAsia="Arial"/>
              </w:rPr>
              <w:t>)</w:t>
            </w:r>
          </w:p>
        </w:tc>
        <w:tc>
          <w:tcPr>
            <w:tcW w:w="1915" w:type="dxa"/>
          </w:tcPr>
          <w:p w14:paraId="326FC56A" w14:textId="77777777" w:rsidR="00E75AE0" w:rsidRPr="00511BEA" w:rsidRDefault="002D6184" w:rsidP="00B12733">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E75AE0" w:rsidRPr="00511BEA">
                  <w:rPr>
                    <w:rStyle w:val="Style2"/>
                    <w:rFonts w:ascii="MS Gothic" w:eastAsia="MS Gothic" w:hAnsi="MS Gothic" w:hint="eastAsia"/>
                  </w:rPr>
                  <w:t>☒</w:t>
                </w:r>
              </w:sdtContent>
            </w:sdt>
            <w:r w:rsidR="00E75AE0" w:rsidRPr="00511BEA">
              <w:t xml:space="preserve"> Taip</w:t>
            </w:r>
          </w:p>
          <w:p w14:paraId="04F54628" w14:textId="77777777" w:rsidR="00E75AE0" w:rsidRPr="00511BEA" w:rsidRDefault="002D6184" w:rsidP="00B12733">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E75AE0" w:rsidRPr="00511BEA">
                  <w:rPr>
                    <w:rStyle w:val="Style2"/>
                    <w:rFonts w:ascii="Segoe UI Symbol" w:eastAsia="MS Gothic" w:hAnsi="Segoe UI Symbol" w:cs="Segoe UI Symbol"/>
                  </w:rPr>
                  <w:t>☐</w:t>
                </w:r>
              </w:sdtContent>
            </w:sdt>
            <w:r w:rsidR="00E75AE0" w:rsidRPr="00511BEA">
              <w:t xml:space="preserve"> Ne</w:t>
            </w:r>
          </w:p>
          <w:p w14:paraId="50912D6B" w14:textId="77777777" w:rsidR="00E75AE0" w:rsidRPr="00511BEA" w:rsidRDefault="002D6184" w:rsidP="00B12733">
            <w:pPr>
              <w:spacing w:line="276" w:lineRule="auto"/>
              <w:rPr>
                <w:rFonts w:eastAsia="Arial"/>
              </w:rPr>
            </w:pPr>
            <w:sdt>
              <w:sdtPr>
                <w:alias w:val="Nurodykite konkrečią dieną"/>
                <w:tag w:val="Nurodykite pradžios datą"/>
                <w:id w:val="-198323198"/>
                <w:placeholder>
                  <w:docPart w:val="A72AD652D15E4CD6AEDA7B6B9E4A9EEB"/>
                </w:placeholder>
                <w15:color w:val="FFCC99"/>
                <w:date>
                  <w:dateFormat w:val="yyyy 'm.' MMMM d 'd.'"/>
                  <w:lid w:val="lt-LT"/>
                  <w:storeMappedDataAs w:val="dateTime"/>
                  <w:calendar w:val="gregorian"/>
                </w:date>
              </w:sdtPr>
              <w:sdtEndPr/>
              <w:sdtContent>
                <w:r w:rsidR="00E75AE0" w:rsidRPr="00511BEA">
                  <w:t>2020 m. gegužės 15 d.</w:t>
                </w:r>
              </w:sdtContent>
            </w:sdt>
          </w:p>
        </w:tc>
        <w:tc>
          <w:tcPr>
            <w:tcW w:w="5076" w:type="dxa"/>
            <w:gridSpan w:val="2"/>
            <w:shd w:val="clear" w:color="auto" w:fill="auto"/>
          </w:tcPr>
          <w:p w14:paraId="432232DF" w14:textId="09560700" w:rsidR="00E75AE0" w:rsidRPr="00511BEA" w:rsidRDefault="00E75AE0" w:rsidP="00B12733">
            <w:pPr>
              <w:spacing w:line="276" w:lineRule="auto"/>
              <w:rPr>
                <w:rFonts w:eastAsia="Arial"/>
              </w:rPr>
            </w:pPr>
            <w:r w:rsidRPr="00511BEA">
              <w:rPr>
                <w:rStyle w:val="y2iqfc"/>
                <w:color w:val="202124"/>
              </w:rPr>
              <w:t>Rekomenduoja apsvarstyti galimybę kompensuoti pembrolizumabą, jei galima pagerinti ekonominį efektyvumą, palyginti su esamais gydymo būdais.</w:t>
            </w:r>
          </w:p>
        </w:tc>
      </w:tr>
    </w:tbl>
    <w:p w14:paraId="2EB7FD31" w14:textId="69A0F277" w:rsidR="00F70C9E" w:rsidRPr="00511BEA" w:rsidRDefault="00F70C9E" w:rsidP="00E03C3F">
      <w:pPr>
        <w:pStyle w:val="ListParagraph"/>
        <w:tabs>
          <w:tab w:val="left" w:pos="426"/>
        </w:tabs>
        <w:ind w:left="0"/>
        <w:rPr>
          <w:b/>
          <w:bCs/>
          <w:caps/>
        </w:rPr>
      </w:pPr>
    </w:p>
    <w:p w14:paraId="5E82BD7C" w14:textId="77777777" w:rsidR="008651E2" w:rsidRPr="00511BEA" w:rsidRDefault="008651E2" w:rsidP="00E03C3F">
      <w:pPr>
        <w:pStyle w:val="ListParagraph"/>
        <w:tabs>
          <w:tab w:val="left" w:pos="426"/>
        </w:tabs>
        <w:ind w:left="0"/>
        <w:rPr>
          <w:b/>
          <w:bCs/>
          <w:caps/>
        </w:rPr>
      </w:pPr>
    </w:p>
    <w:p w14:paraId="1963B1F2" w14:textId="77777777" w:rsidR="00E75AE0" w:rsidRPr="00511BEA" w:rsidRDefault="00E75AE0" w:rsidP="00E03C3F">
      <w:pPr>
        <w:pStyle w:val="ListParagraph"/>
        <w:tabs>
          <w:tab w:val="left" w:pos="426"/>
        </w:tabs>
        <w:ind w:left="0"/>
        <w:rPr>
          <w:b/>
          <w:bCs/>
          <w:caps/>
        </w:rPr>
      </w:pPr>
    </w:p>
    <w:p w14:paraId="57EFE898" w14:textId="77777777" w:rsidR="00E75AE0" w:rsidRPr="00511BEA" w:rsidRDefault="00E75AE0" w:rsidP="00E03C3F">
      <w:pPr>
        <w:pStyle w:val="ListParagraph"/>
        <w:tabs>
          <w:tab w:val="left" w:pos="426"/>
        </w:tabs>
        <w:ind w:left="0"/>
        <w:rPr>
          <w:b/>
          <w:bCs/>
          <w:caps/>
        </w:rPr>
      </w:pPr>
    </w:p>
    <w:p w14:paraId="053AB737" w14:textId="77777777" w:rsidR="00E75AE0" w:rsidRPr="00511BEA" w:rsidRDefault="00E75AE0" w:rsidP="00E03C3F">
      <w:pPr>
        <w:pStyle w:val="ListParagraph"/>
        <w:tabs>
          <w:tab w:val="left" w:pos="426"/>
        </w:tabs>
        <w:ind w:left="0"/>
        <w:rPr>
          <w:b/>
          <w:bCs/>
          <w:caps/>
        </w:rPr>
      </w:pPr>
    </w:p>
    <w:p w14:paraId="0C83615C" w14:textId="77777777" w:rsidR="00E75AE0" w:rsidRPr="00511BEA" w:rsidRDefault="00E75AE0" w:rsidP="00E03C3F">
      <w:pPr>
        <w:pStyle w:val="ListParagraph"/>
        <w:tabs>
          <w:tab w:val="left" w:pos="426"/>
        </w:tabs>
        <w:ind w:left="0"/>
        <w:rPr>
          <w:b/>
          <w:bCs/>
          <w:caps/>
        </w:rPr>
      </w:pPr>
    </w:p>
    <w:p w14:paraId="11373289" w14:textId="47EED7D2" w:rsidR="005967BB" w:rsidRPr="00511BEA" w:rsidRDefault="005967BB">
      <w:pPr>
        <w:rPr>
          <w:b/>
          <w:bCs/>
          <w:caps/>
        </w:rPr>
      </w:pPr>
      <w:r w:rsidRPr="00511BEA">
        <w:rPr>
          <w:b/>
          <w:bCs/>
          <w:caps/>
        </w:rPr>
        <w:br w:type="page"/>
      </w:r>
    </w:p>
    <w:p w14:paraId="5055E8A8" w14:textId="471A9757" w:rsidR="002E6F80" w:rsidRPr="00511BEA" w:rsidRDefault="00CC7832" w:rsidP="00937907">
      <w:pPr>
        <w:pStyle w:val="ListParagraph"/>
        <w:numPr>
          <w:ilvl w:val="0"/>
          <w:numId w:val="12"/>
        </w:numPr>
        <w:tabs>
          <w:tab w:val="left" w:pos="284"/>
        </w:tabs>
        <w:rPr>
          <w:b/>
          <w:bCs/>
          <w:caps/>
        </w:rPr>
      </w:pPr>
      <w:r w:rsidRPr="00511BEA">
        <w:rPr>
          <w:b/>
          <w:bCs/>
          <w:caps/>
        </w:rPr>
        <w:lastRenderedPageBreak/>
        <w:t>Klinikinio vertinimo a</w:t>
      </w:r>
      <w:r w:rsidR="00D4485B" w:rsidRPr="00511BEA">
        <w:rPr>
          <w:b/>
          <w:bCs/>
          <w:caps/>
        </w:rPr>
        <w:t>pibendrinimas</w:t>
      </w:r>
    </w:p>
    <w:p w14:paraId="25F89291" w14:textId="6149D863" w:rsidR="00D4485B" w:rsidRPr="00511BEA" w:rsidRDefault="00D4485B" w:rsidP="00A93AA6">
      <w:pPr>
        <w:pStyle w:val="ListParagraph"/>
        <w:tabs>
          <w:tab w:val="left" w:pos="426"/>
        </w:tabs>
        <w:ind w:left="0"/>
        <w:rPr>
          <w:b/>
          <w:bCs/>
          <w:caps/>
        </w:rPr>
      </w:pPr>
    </w:p>
    <w:p w14:paraId="76E81FAC" w14:textId="77777777" w:rsidR="00884C60" w:rsidRPr="00511BEA" w:rsidRDefault="00884C60" w:rsidP="00884C60">
      <w:pPr>
        <w:spacing w:after="120" w:line="276" w:lineRule="auto"/>
        <w:ind w:firstLine="720"/>
        <w:jc w:val="both"/>
      </w:pPr>
      <w:r w:rsidRPr="00511BEA">
        <w:t xml:space="preserve">Siūlomas kompensuoti vaistinis preparatas pembrolizumabas skirtas adjuvantiniam gydymui suaugusiesiems, kuriems nustatyta III stadijos melanoma ir metastazių limfmazgiuose ir kuriems buvo atlikta visiška rezekcija. </w:t>
      </w:r>
      <w:bookmarkStart w:id="0" w:name="_Hlk92682320"/>
      <w:r w:rsidRPr="00511BEA">
        <w:t xml:space="preserve">Ligos kodas pagal TLK-10-AM klasifikaciją </w:t>
      </w:r>
      <w:bookmarkEnd w:id="0"/>
      <w:r w:rsidRPr="00511BEA">
        <w:t xml:space="preserve">– C43. </w:t>
      </w:r>
    </w:p>
    <w:p w14:paraId="4213F9F4" w14:textId="77777777" w:rsidR="00884C60" w:rsidRPr="00511BEA" w:rsidRDefault="00884C60" w:rsidP="002310DA">
      <w:pPr>
        <w:pStyle w:val="Tekstas"/>
        <w:spacing w:line="276" w:lineRule="auto"/>
        <w:ind w:firstLine="720"/>
      </w:pPr>
      <w:r w:rsidRPr="00511BEA">
        <w:t>Remiantis GLOBOCAN  duomenimis, ekstrapoliuotais iš Lietuvos nacionalinio vėžio registro 2015 m. duomenų, 2020 m. melanoma naujai susirgo 461 suaugęs pacientas (20,09 atv. iš 100,000 gyv.), iš viso sirgo 279 suaugę pacientai (65,6 atv. iš 100,000 gyv.), ir numirė 100 suaugusių pacientų (4,36 atv. iš 100,000 gyv.). Remiantis vėžio registro 2015 m. duomenimis, naujai diagnozuotų II st. pacientų proporcija - apie 37%, o remiantis KantarHealth  duomenimis, progresuojančių iš II st. į III st. pacientų proporcija – apie 22%. Remiantis vėžio registro 2015 m. duomenimis naujai diagnozuotų III st. pacientų proporcija - apie 8%, remiantis SEER 2004-2015 m. duomenimis pacientų, kuriems galima atlikti pilną rezekciją, proporcija – 92,2%, ir remiantis KEYNOTE-054 tyrimo duomenimis pacientų, kuriems po pilnos rezekcijos galima skirti adjuvantinį gydymą pembrolizumabu, proporcija – 80,81%. Pritaikius šias proporcijas apskaičiuotas prognozuojamas metinis pacientų, kuriems gydymas galėtų būti skiriamas pagal registruotą pembrolizumabo indikaciją, skaičius – 123, 122, 120, 119 ir 118 atitinkamai pirmais-penktais metais. Kadangi analogiškai indikacijai (tačiau tik  BRAF+ pacientams) į kompensuojamųjų vaistų sąrašus įtraukto gydymo trametinibo/dabrafenibo deriniu planuojamas  pacientų skaičius – apie 20 pacientų kasmet, planuojamas pembrolizumabu gydyti pacientų skaičius – po 100 pacientų kasmet.</w:t>
      </w:r>
    </w:p>
    <w:p w14:paraId="1368D1D9" w14:textId="453DA396" w:rsidR="00884C60" w:rsidRPr="00511BEA" w:rsidRDefault="00884C60" w:rsidP="0055714A">
      <w:pPr>
        <w:pStyle w:val="Tekstas"/>
        <w:spacing w:line="276" w:lineRule="auto"/>
        <w:ind w:firstLine="720"/>
      </w:pPr>
      <w:r w:rsidRPr="00511BEA">
        <w:t xml:space="preserve">Lietuvoje šios indikacijos patvirtintų gydymo rekomendacijų, gairių ar tvarkos aprašo nėra. Tarptautiniu mastu gydymas reglamentuojamas </w:t>
      </w:r>
      <w:r w:rsidR="002310DA" w:rsidRPr="00511BEA">
        <w:rPr>
          <w:rFonts w:eastAsia="Arial"/>
        </w:rPr>
        <w:t>Europos medicininės onkologijos draugijos (</w:t>
      </w:r>
      <w:r w:rsidR="002310DA" w:rsidRPr="00511BEA">
        <w:rPr>
          <w:rFonts w:eastAsia="Arial"/>
          <w:i/>
        </w:rPr>
        <w:t>angl. European society of medical oncology, ESMO</w:t>
      </w:r>
      <w:r w:rsidR="002310DA" w:rsidRPr="00511BEA">
        <w:rPr>
          <w:rFonts w:eastAsia="Arial"/>
        </w:rPr>
        <w:t>)</w:t>
      </w:r>
      <w:r w:rsidRPr="00511BEA">
        <w:t xml:space="preserve"> ir </w:t>
      </w:r>
      <w:r w:rsidR="007F75E8" w:rsidRPr="00511BEA">
        <w:t>Nacionalini</w:t>
      </w:r>
      <w:r w:rsidR="0055714A" w:rsidRPr="00511BEA">
        <w:t>o</w:t>
      </w:r>
      <w:r w:rsidR="007F75E8" w:rsidRPr="00511BEA">
        <w:t xml:space="preserve"> </w:t>
      </w:r>
      <w:r w:rsidR="0055714A" w:rsidRPr="00511BEA">
        <w:t>išsamaus</w:t>
      </w:r>
      <w:r w:rsidR="007F75E8" w:rsidRPr="00511BEA">
        <w:t xml:space="preserve"> vėžio tinklo</w:t>
      </w:r>
      <w:r w:rsidR="0055714A" w:rsidRPr="00511BEA">
        <w:t xml:space="preserve"> </w:t>
      </w:r>
      <w:r w:rsidR="002310DA" w:rsidRPr="00511BEA">
        <w:t xml:space="preserve">(angl. </w:t>
      </w:r>
      <w:r w:rsidR="007F75E8" w:rsidRPr="00511BEA">
        <w:rPr>
          <w:i/>
        </w:rPr>
        <w:t xml:space="preserve">National Comprehensive Cancer Network, </w:t>
      </w:r>
      <w:r w:rsidRPr="00511BEA">
        <w:rPr>
          <w:i/>
        </w:rPr>
        <w:t>NCCN</w:t>
      </w:r>
      <w:r w:rsidR="002310DA" w:rsidRPr="00511BEA">
        <w:t>)</w:t>
      </w:r>
      <w:r w:rsidRPr="00511BEA">
        <w:t xml:space="preserve"> rekomendacijose. Abiejose rekomendacijose prašomai kompensuoti indikacijai pembrolizumabas yra rekomenduojamas. </w:t>
      </w:r>
    </w:p>
    <w:p w14:paraId="37471AE5" w14:textId="77777777" w:rsidR="00884C60" w:rsidRPr="00511BEA" w:rsidRDefault="00884C60" w:rsidP="0055714A">
      <w:pPr>
        <w:widowControl w:val="0"/>
        <w:suppressAutoHyphens/>
        <w:spacing w:after="120" w:line="276" w:lineRule="auto"/>
        <w:ind w:firstLine="720"/>
        <w:jc w:val="both"/>
      </w:pPr>
      <w:r w:rsidRPr="00511BEA">
        <w:t xml:space="preserve">Pembrolizumabas yra humanizuotas monokloninis antikūnas, kuris prisijungia prie programuotos ląstelės žūties (PD-1) receptoriaus ir blokuoja jo sąveiką su ligandais PD-L1 ir PD-L2. Receptorius PD-1 yra neigiamas T-ląstelių aktyvumo reguliatorius, kuris, įrodyta, dalyvauja kontroliuojant T-ląstelių imuninį atsaką. Slopindamas PD-1 receptoriaus susijungimą su PD-L1 ir PD-L2 ligandais, kurie naviko mikroaplinkoje yra ekspresuojami naviką pateikiančiose ląstelėse ir gali būti ekspresuojami naviko ar kitose ląstelėse, pembrolizumabas sustiprina T-ląstelių atsaką, įskaitant priešvėžinį aktyvumą. </w:t>
      </w:r>
    </w:p>
    <w:p w14:paraId="20F75B6A" w14:textId="77777777" w:rsidR="00884C60" w:rsidRPr="00511BEA" w:rsidRDefault="00884C60" w:rsidP="00884C60">
      <w:pPr>
        <w:spacing w:line="276" w:lineRule="auto"/>
        <w:ind w:firstLine="720"/>
        <w:jc w:val="both"/>
      </w:pPr>
      <w:r w:rsidRPr="00511BEA">
        <w:t>Lietuvoje gydymo gairių nėra, naujos gairės nekuriamos. Tarptautiniu mastu paskelbtos ESMO (</w:t>
      </w:r>
      <w:r w:rsidRPr="00511BEA">
        <w:rPr>
          <w:lang w:val="en-US"/>
        </w:rPr>
        <w:t xml:space="preserve">2019 m.) </w:t>
      </w:r>
      <w:proofErr w:type="spellStart"/>
      <w:r w:rsidRPr="00511BEA">
        <w:rPr>
          <w:lang w:val="en-US"/>
        </w:rPr>
        <w:t>ir</w:t>
      </w:r>
      <w:proofErr w:type="spellEnd"/>
      <w:r w:rsidRPr="00511BEA">
        <w:rPr>
          <w:lang w:val="en-US"/>
        </w:rPr>
        <w:t xml:space="preserve"> NCCN (2022 m.) </w:t>
      </w:r>
      <w:proofErr w:type="spellStart"/>
      <w:r w:rsidRPr="00511BEA">
        <w:rPr>
          <w:lang w:val="en-US"/>
        </w:rPr>
        <w:t>rekomendacijos</w:t>
      </w:r>
      <w:proofErr w:type="spellEnd"/>
      <w:r w:rsidRPr="00511BEA">
        <w:rPr>
          <w:lang w:val="en-US"/>
        </w:rPr>
        <w:t xml:space="preserve">. Jose </w:t>
      </w:r>
      <w:r w:rsidRPr="00511BEA">
        <w:t>prašomai kompensuoti indikacijai pembrolizumabas rekomenduojamas.</w:t>
      </w:r>
    </w:p>
    <w:p w14:paraId="4C7AC880" w14:textId="77777777" w:rsidR="00884C60" w:rsidRPr="00511BEA" w:rsidRDefault="00884C60" w:rsidP="00884C60">
      <w:pPr>
        <w:spacing w:line="276" w:lineRule="auto"/>
        <w:jc w:val="both"/>
      </w:pPr>
      <w:r w:rsidRPr="00511BEA">
        <w:t>Pacientams, kuriems diagnozuota III stadijos melanoma be BRAF V600 mutacijos, adjuvantiniam gydymui po visiškos rezekcijos pembrolizumabas pakeis aktyvų stebėjimą. Pacientams, kuriems diagnozuota III stadijos melanoma su BRAF V600 mutacija, adjuvantiniam gydymui po visiškos rezekcijos pembrolizumabas galėtų pakeisti dabrafenibo ir trametinibo derinį.</w:t>
      </w:r>
    </w:p>
    <w:p w14:paraId="205232E9" w14:textId="7FAF12CE" w:rsidR="00884C60" w:rsidRPr="00511BEA" w:rsidRDefault="00884C60" w:rsidP="00EF3DE8">
      <w:pPr>
        <w:spacing w:line="276" w:lineRule="auto"/>
        <w:jc w:val="both"/>
        <w:rPr>
          <w:rFonts w:eastAsia="Arial"/>
          <w:b/>
          <w:i/>
        </w:rPr>
      </w:pPr>
      <w:r w:rsidRPr="00511BEA">
        <w:t xml:space="preserve">Pacientams, kuriems nustatyta prašoma kompensuoti </w:t>
      </w:r>
      <w:proofErr w:type="spellStart"/>
      <w:r w:rsidRPr="00511BEA">
        <w:rPr>
          <w:lang w:val="en-US"/>
        </w:rPr>
        <w:t>indikacija</w:t>
      </w:r>
      <w:proofErr w:type="spellEnd"/>
      <w:r w:rsidRPr="00511BEA">
        <w:rPr>
          <w:lang w:val="en-US"/>
        </w:rPr>
        <w:t xml:space="preserve">, </w:t>
      </w:r>
      <w:proofErr w:type="spellStart"/>
      <w:r w:rsidRPr="00511BEA">
        <w:rPr>
          <w:lang w:val="en-US"/>
        </w:rPr>
        <w:t>dabar</w:t>
      </w:r>
      <w:proofErr w:type="spellEnd"/>
      <w:r w:rsidRPr="00511BEA">
        <w:rPr>
          <w:lang w:val="en-US"/>
        </w:rPr>
        <w:t xml:space="preserve"> </w:t>
      </w:r>
      <w:proofErr w:type="spellStart"/>
      <w:r w:rsidRPr="00511BEA">
        <w:rPr>
          <w:lang w:val="en-US"/>
        </w:rPr>
        <w:t>taikomas</w:t>
      </w:r>
      <w:proofErr w:type="spellEnd"/>
      <w:r w:rsidRPr="00511BEA">
        <w:rPr>
          <w:lang w:val="en-US"/>
        </w:rPr>
        <w:t xml:space="preserve"> tik </w:t>
      </w:r>
      <w:proofErr w:type="spellStart"/>
      <w:r w:rsidRPr="00511BEA">
        <w:rPr>
          <w:lang w:val="en-US"/>
        </w:rPr>
        <w:t>aktyvus</w:t>
      </w:r>
      <w:proofErr w:type="spellEnd"/>
      <w:r w:rsidRPr="00511BEA">
        <w:rPr>
          <w:lang w:val="en-US"/>
        </w:rPr>
        <w:t xml:space="preserve"> </w:t>
      </w:r>
      <w:proofErr w:type="spellStart"/>
      <w:r w:rsidRPr="00511BEA">
        <w:rPr>
          <w:lang w:val="en-US"/>
        </w:rPr>
        <w:t>stebėjimas</w:t>
      </w:r>
      <w:proofErr w:type="spellEnd"/>
      <w:r w:rsidRPr="00511BEA">
        <w:rPr>
          <w:lang w:val="en-US"/>
        </w:rPr>
        <w:t>.</w:t>
      </w:r>
      <w:r w:rsidR="00EF3DE8" w:rsidRPr="00511BEA">
        <w:rPr>
          <w:lang w:val="en-US"/>
        </w:rPr>
        <w:t xml:space="preserve"> </w:t>
      </w:r>
      <w:proofErr w:type="spellStart"/>
      <w:r w:rsidRPr="00511BEA">
        <w:rPr>
          <w:lang w:val="en-US"/>
        </w:rPr>
        <w:t>Pacientams</w:t>
      </w:r>
      <w:proofErr w:type="spellEnd"/>
      <w:r w:rsidRPr="00511BEA">
        <w:rPr>
          <w:lang w:val="en-US"/>
        </w:rPr>
        <w:t xml:space="preserve">, </w:t>
      </w:r>
      <w:proofErr w:type="spellStart"/>
      <w:r w:rsidRPr="00511BEA">
        <w:rPr>
          <w:lang w:val="en-US"/>
        </w:rPr>
        <w:t>kuriems</w:t>
      </w:r>
      <w:proofErr w:type="spellEnd"/>
      <w:r w:rsidRPr="00511BEA">
        <w:rPr>
          <w:lang w:val="en-US"/>
        </w:rPr>
        <w:t xml:space="preserve"> </w:t>
      </w:r>
      <w:proofErr w:type="spellStart"/>
      <w:r w:rsidRPr="00511BEA">
        <w:rPr>
          <w:lang w:val="en-US"/>
        </w:rPr>
        <w:t>diagnozuota</w:t>
      </w:r>
      <w:proofErr w:type="spellEnd"/>
      <w:r w:rsidRPr="00511BEA">
        <w:rPr>
          <w:lang w:val="en-US"/>
        </w:rPr>
        <w:t xml:space="preserve"> III </w:t>
      </w:r>
      <w:proofErr w:type="spellStart"/>
      <w:r w:rsidRPr="00511BEA">
        <w:rPr>
          <w:lang w:val="en-US"/>
        </w:rPr>
        <w:t>stadijos</w:t>
      </w:r>
      <w:proofErr w:type="spellEnd"/>
      <w:r w:rsidRPr="00511BEA">
        <w:rPr>
          <w:lang w:val="en-US"/>
        </w:rPr>
        <w:t xml:space="preserve"> melanoma </w:t>
      </w:r>
      <w:proofErr w:type="spellStart"/>
      <w:r w:rsidRPr="00511BEA">
        <w:rPr>
          <w:lang w:val="en-US"/>
        </w:rPr>
        <w:t>su</w:t>
      </w:r>
      <w:proofErr w:type="spellEnd"/>
      <w:r w:rsidRPr="00511BEA">
        <w:rPr>
          <w:lang w:val="en-US"/>
        </w:rPr>
        <w:t xml:space="preserve"> BRAF V600</w:t>
      </w:r>
      <w:r w:rsidRPr="00511BEA">
        <w:t xml:space="preserve"> mutacija, adjuvantiniam gydymui po visiškos rezekcijos neseniai pradėtas kompensuoti dabrafenibo ir trametinibo derinys.</w:t>
      </w:r>
    </w:p>
    <w:p w14:paraId="68FF4147" w14:textId="23782F8A" w:rsidR="00DF7012" w:rsidRPr="00511BEA" w:rsidRDefault="00DF7012" w:rsidP="00884C60">
      <w:pPr>
        <w:pStyle w:val="ListParagraph"/>
        <w:tabs>
          <w:tab w:val="left" w:pos="426"/>
        </w:tabs>
        <w:spacing w:line="276" w:lineRule="auto"/>
        <w:ind w:left="0"/>
        <w:rPr>
          <w:b/>
          <w:bCs/>
          <w:caps/>
        </w:rPr>
      </w:pPr>
    </w:p>
    <w:p w14:paraId="01A91362" w14:textId="3BDBB1EE" w:rsidR="00EF3DE8" w:rsidRPr="00511BEA" w:rsidRDefault="00884C60" w:rsidP="00EF3DE8">
      <w:pPr>
        <w:pStyle w:val="ListParagraph"/>
        <w:tabs>
          <w:tab w:val="left" w:pos="426"/>
        </w:tabs>
        <w:spacing w:line="276" w:lineRule="auto"/>
        <w:ind w:left="0"/>
        <w:jc w:val="both"/>
        <w:rPr>
          <w:b/>
          <w:bCs/>
          <w:caps/>
        </w:rPr>
      </w:pPr>
      <w:r w:rsidRPr="00511BEA">
        <w:lastRenderedPageBreak/>
        <w:t>Palyginamajam efektyvumui ir klinikiniam veiksmingumui įvertinti pareiškėjas pateikė tiesioginį klinikinį tyrimą KEYNOTE-054 bei netiesioginį pembrolizumabo palyginimą su dabrafenibo ir trametinibo deriniu pacientams, kuriems buvo nustatytos BRAF V600 mutacijos.</w:t>
      </w:r>
      <w:r w:rsidR="00EF3DE8" w:rsidRPr="00511BEA">
        <w:t xml:space="preserve"> Šiame tyrime</w:t>
      </w:r>
      <w:r w:rsidR="00EF3DE8" w:rsidRPr="00511BEA">
        <w:rPr>
          <w:rFonts w:eastAsia="Arial"/>
        </w:rPr>
        <w:t xml:space="preserve"> pacientų populiacij</w:t>
      </w:r>
      <w:r w:rsidR="005967BB" w:rsidRPr="00511BEA">
        <w:rPr>
          <w:rFonts w:eastAsia="Arial"/>
        </w:rPr>
        <w:t>ą</w:t>
      </w:r>
      <w:r w:rsidR="00EF3DE8" w:rsidRPr="00511BEA">
        <w:rPr>
          <w:rFonts w:eastAsia="Arial"/>
        </w:rPr>
        <w:t xml:space="preserve"> sudarė</w:t>
      </w:r>
      <w:r w:rsidR="005967BB" w:rsidRPr="00511BEA">
        <w:rPr>
          <w:rFonts w:eastAsia="Arial"/>
        </w:rPr>
        <w:t xml:space="preserve"> vyresni kaip 18 metų </w:t>
      </w:r>
      <w:r w:rsidR="00EF3DE8" w:rsidRPr="00511BEA">
        <w:rPr>
          <w:rFonts w:eastAsia="Arial"/>
        </w:rPr>
        <w:t xml:space="preserve">suaugusieji, kuriems </w:t>
      </w:r>
      <w:r w:rsidR="005967BB" w:rsidRPr="00511BEA">
        <w:rPr>
          <w:rFonts w:eastAsia="Arial"/>
        </w:rPr>
        <w:t xml:space="preserve">buvo diagnozuota III stadijos </w:t>
      </w:r>
      <w:r w:rsidR="00EF3DE8" w:rsidRPr="00511BEA">
        <w:rPr>
          <w:rFonts w:eastAsia="Arial"/>
        </w:rPr>
        <w:t>melanoma. Remiantis pradinėmis pacientų charakteristikomis KEYNOTE</w:t>
      </w:r>
      <w:r w:rsidR="005967BB" w:rsidRPr="00511BEA">
        <w:rPr>
          <w:rFonts w:eastAsia="Arial"/>
        </w:rPr>
        <w:t>-</w:t>
      </w:r>
      <w:r w:rsidR="00EF3DE8" w:rsidRPr="00511BEA">
        <w:rPr>
          <w:rFonts w:eastAsia="Arial"/>
        </w:rPr>
        <w:t xml:space="preserve">054 tyrime, pembrolizumabo monoterapijos efektyvumas gali būti vertinamas tik pagal registruotos terapinės indikacijos dalį: </w:t>
      </w:r>
      <w:r w:rsidR="00EF3DE8" w:rsidRPr="00511BEA">
        <w:rPr>
          <w:i/>
        </w:rPr>
        <w:t>&lt;... adjuvantiniam gydymui suaugusiems pacientams&lt;...&gt;, kuriems nustatyta &lt;...&gt; III stadijų melanoma ir kuriems buvo atlikta visiška rezekcija.</w:t>
      </w:r>
    </w:p>
    <w:p w14:paraId="0005B957" w14:textId="77777777" w:rsidR="00DF7012" w:rsidRPr="00511BEA" w:rsidRDefault="00DF7012" w:rsidP="00A93AA6">
      <w:pPr>
        <w:pStyle w:val="ListParagraph"/>
        <w:tabs>
          <w:tab w:val="left" w:pos="426"/>
        </w:tabs>
        <w:ind w:left="0"/>
        <w:rPr>
          <w:b/>
          <w:bCs/>
          <w:caps/>
        </w:rPr>
      </w:pPr>
    </w:p>
    <w:p w14:paraId="5715147B" w14:textId="18590276" w:rsidR="008075B7" w:rsidRPr="00511BEA" w:rsidRDefault="008075B7" w:rsidP="005967BB">
      <w:pPr>
        <w:pStyle w:val="ListParagraph"/>
        <w:tabs>
          <w:tab w:val="left" w:pos="426"/>
        </w:tabs>
        <w:spacing w:line="360" w:lineRule="auto"/>
        <w:ind w:left="0"/>
        <w:rPr>
          <w:i/>
          <w:iCs/>
        </w:rPr>
      </w:pPr>
      <w:r w:rsidRPr="00511BEA">
        <w:rPr>
          <w:i/>
          <w:iCs/>
        </w:rPr>
        <w:t>Tiesioginis palyginimas</w:t>
      </w:r>
    </w:p>
    <w:p w14:paraId="70874A8E" w14:textId="012FDE6C" w:rsidR="009C2C0D" w:rsidRPr="00511BEA" w:rsidRDefault="00576154" w:rsidP="00576154">
      <w:pPr>
        <w:tabs>
          <w:tab w:val="left" w:pos="492"/>
        </w:tabs>
        <w:spacing w:line="276" w:lineRule="auto"/>
        <w:jc w:val="both"/>
        <w:outlineLvl w:val="1"/>
      </w:pPr>
      <w:r w:rsidRPr="00511BEA">
        <w:tab/>
      </w:r>
      <w:r w:rsidR="00553E16" w:rsidRPr="00511BEA">
        <w:t>KEYNOTE-0</w:t>
      </w:r>
      <w:r w:rsidR="00884C60" w:rsidRPr="00511BEA">
        <w:t xml:space="preserve">54 – tai daugiacentris, atsitiktinių imčių, dvigubai maskuotas, placebu kontroliuojamas III-ios fazės klinikinis tyrimas. Į įtraukti III stadijos metastazavusia limfmazgiuose melanoma sergantys pacientai, kuriems atlikta visiška melanomos rezekcija nepriklausaomai nuo BRAF V600 mutacijos statuso. </w:t>
      </w:r>
      <w:r w:rsidR="009C5A9E" w:rsidRPr="00511BEA">
        <w:t>Tyrime iš viso dalyvavo 1 019 suaugusių pacientų, kuriems atsitiktine tvarka (santykiu 1:1) buvo paskirta vartoti pembrolizumabo po 200 mg dozę kas tris savaites (n = 514) arba placebą (n = 505). Pembrolizumabą buvo skiriama iki vienerių metų trukmės laikotarpiu iki ligos atsinaujinimo arba iki nepriimtino toksinio poveikio pasireiškimo.</w:t>
      </w:r>
      <w:r w:rsidR="00275F69" w:rsidRPr="00511BEA">
        <w:t xml:space="preserve"> </w:t>
      </w:r>
      <w:r w:rsidR="009C2C0D" w:rsidRPr="00511BEA">
        <w:t xml:space="preserve">Pažymėtina, kad remiantis pradinėmis pacientų charakteristikomis, visų pacientų naviko stadija buvo įvertinta kaip IIIA-IIID remiantis </w:t>
      </w:r>
      <w:r w:rsidR="00192B40" w:rsidRPr="00511BEA">
        <w:t>Amerikos jungtinio vėžio komiteto redakcija dėl melanomos auglio stadijų (</w:t>
      </w:r>
      <w:r w:rsidR="00192B40" w:rsidRPr="00511BEA">
        <w:rPr>
          <w:i/>
        </w:rPr>
        <w:t>angl. The American Joint Cancer Committee 8-th Edition</w:t>
      </w:r>
      <w:r w:rsidR="00192B40" w:rsidRPr="00511BEA">
        <w:t xml:space="preserve">). </w:t>
      </w:r>
    </w:p>
    <w:p w14:paraId="06431685" w14:textId="2D5DB128" w:rsidR="00576154" w:rsidRPr="00511BEA" w:rsidRDefault="00192B40" w:rsidP="00576154">
      <w:pPr>
        <w:tabs>
          <w:tab w:val="left" w:pos="492"/>
        </w:tabs>
        <w:spacing w:line="276" w:lineRule="auto"/>
        <w:jc w:val="both"/>
        <w:outlineLvl w:val="1"/>
        <w:rPr>
          <w:rFonts w:eastAsia="Arial"/>
        </w:rPr>
      </w:pPr>
      <w:r w:rsidRPr="00511BEA">
        <w:rPr>
          <w:color w:val="000000" w:themeColor="text1"/>
        </w:rPr>
        <w:tab/>
      </w:r>
      <w:r w:rsidR="00275F69" w:rsidRPr="00511BEA">
        <w:rPr>
          <w:color w:val="000000" w:themeColor="text1"/>
          <w:u w:val="single"/>
        </w:rPr>
        <w:t>Pirminė vertinamoji baigtis</w:t>
      </w:r>
      <w:r w:rsidR="00275F69" w:rsidRPr="00511BEA">
        <w:t xml:space="preserve"> buvo tyrėjo įvertintas išgyvenamumas be ligos atsinaujinimo (IBLA; angl. </w:t>
      </w:r>
      <w:r w:rsidR="00275F69" w:rsidRPr="00511BEA">
        <w:rPr>
          <w:i/>
          <w:iCs/>
        </w:rPr>
        <w:t>reccurence-free survival [RFS]</w:t>
      </w:r>
      <w:r w:rsidR="00275F69" w:rsidRPr="00511BEA">
        <w:t xml:space="preserve">). IBLA buvo apibrėžiamas kaip laikas nuo atsitiktinės atrankos datos iki pirmojo ligos atsinaujinimo (vietinių, regioninių ar atokiųjų metastazių atsiradimo) arba mirties datos, priklausomai nuo to, kas pasireikš pirmiau. Šių analizių atlikimo metu bendrojo išgyvenamumo rodmuo formaliai neįvertintas. </w:t>
      </w:r>
      <w:r w:rsidR="00275F69" w:rsidRPr="00511BEA">
        <w:rPr>
          <w:color w:val="202124"/>
        </w:rPr>
        <w:t xml:space="preserve">IBLA rezultatai buvo geresni lyginant su placebo grupe: pembrolizumabo grupėje 1 metų IBLA pasiekė 75,4 % (95 % PI 1,3–78,9) pacientų lyginant su placebo grupe, kur IBLA pasiekė 61,0 % (95 % PI, 56,5–65,1) pacientų; pasikartojimo ar mirties rizikos santykis 0,57; (98,4 % PI, 0,43–0,74; P&lt;0,001). Galutinė IBLA mediana nebuvo pasiekta pembrolizumabo grupėje, placebo grupėje ši mediana buvo 20,4 mėn. Taip pat buvo pateikti IBLA rezultatai po 45 mėnesių stebėjimo trukmės: buvo nustatyta, jog skiriant pembrolizumabą, yra  41 %  tikimybė sumažės mirties ar ligos atsinaujinimo tikimybė lyginant su placebu RS </w:t>
      </w:r>
      <w:r w:rsidR="00275F69" w:rsidRPr="00511BEA">
        <w:t>0,59 (95% PI: 0,49, 0,70).</w:t>
      </w:r>
      <w:r w:rsidR="008250F6" w:rsidRPr="00511BEA">
        <w:t xml:space="preserve"> </w:t>
      </w:r>
      <w:r w:rsidR="00576154" w:rsidRPr="00511BEA">
        <w:rPr>
          <w:rFonts w:eastAsia="Arial"/>
        </w:rPr>
        <w:t>Statistiškai reikšmingo gyvenimo kokybės pablogėjimo pembrolizumabo grupėje lyginant su placebo grupe, nustatyta nebuvo.</w:t>
      </w:r>
    </w:p>
    <w:p w14:paraId="1DAE356B" w14:textId="1A1C038B" w:rsidR="00576154" w:rsidRPr="00511BEA" w:rsidRDefault="002310DA" w:rsidP="00D27AFA">
      <w:pPr>
        <w:pStyle w:val="Tekstas"/>
        <w:spacing w:line="276" w:lineRule="auto"/>
        <w:ind w:firstLine="720"/>
        <w:rPr>
          <w:rFonts w:eastAsiaTheme="minorHAnsi"/>
          <w:bCs/>
        </w:rPr>
      </w:pPr>
      <w:r w:rsidRPr="00511BEA">
        <w:t>Pažymėtina, kad s</w:t>
      </w:r>
      <w:r w:rsidR="008250F6" w:rsidRPr="00511BEA">
        <w:t>tebėjimo ir laukimo taktika tinkamas palyginamasis tiems pacientams, kuriems nėra nustatyta BRAF V</w:t>
      </w:r>
      <w:r w:rsidR="008250F6" w:rsidRPr="00511BEA">
        <w:rPr>
          <w:lang w:val="en-US"/>
        </w:rPr>
        <w:t xml:space="preserve">600 </w:t>
      </w:r>
      <w:r w:rsidR="008250F6" w:rsidRPr="00511BEA">
        <w:t>mutacijų. Pateiktame tiesioginiame klinikiniame tyrime KEYNOTE</w:t>
      </w:r>
      <w:r w:rsidR="00576154" w:rsidRPr="00511BEA">
        <w:t>-</w:t>
      </w:r>
      <w:r w:rsidR="008250F6" w:rsidRPr="00511BEA">
        <w:t>054 pembrolizumabas buvo lygintas su stebėjimo ir laukimo taktika visiems pacientams nepriklausomai nuo BRAF V600 mutacijos statuso. Pareiškėjo buvo paprašyta pateikti pacientų, kuriems nebuvo nustatyta BRAF V600 mutacijų pogrupio rezultatus lyginant su stebėjimo ir laukimo taktika</w:t>
      </w:r>
      <w:r w:rsidR="00576154" w:rsidRPr="00511BEA">
        <w:t xml:space="preserve">. </w:t>
      </w:r>
      <w:r w:rsidR="00576154" w:rsidRPr="00511BEA">
        <w:rPr>
          <w:bCs/>
        </w:rPr>
        <w:t xml:space="preserve">Atsakydamas į iškeltą esminio prieštaravimo klausimą, pareiškėjas pateikė pacientų, kuriems nenustatytos BRAF V600 mutacijos pogrupio palyginimą su stebėjimo ir laukimo taktika remdamasis KEYNOTE-054 tyrimo rezultatais. Pateikti rezultatai įrodo prembrolizumabo pranašumą prieš stebėjimo ir laukimo taktiką:  </w:t>
      </w:r>
      <w:r w:rsidR="00576154" w:rsidRPr="00511BEA">
        <w:rPr>
          <w:rFonts w:eastAsiaTheme="minorHAnsi"/>
          <w:bCs/>
        </w:rPr>
        <w:t xml:space="preserve">I-osios tarpinės duomenų analizės rezultatai: IBLA RS 0,61 (0,41–0,92). II-osios tarpinės duomenų analizės rezultatai: IBLA RS 0,65 (0,50 – 0,85). 5-erių metų analizės rezultatai : IBLA  RS 0,68 (0,49–0,95). Kadangi protokole numatytas mirčių skaičius (380) dar nebuvo pasiektas, bendro išgyvenamumo analizė nebuvo atlikta. Nurodoma, kad registruotojas turi </w:t>
      </w:r>
      <w:r w:rsidR="00576154" w:rsidRPr="00511BEA">
        <w:rPr>
          <w:rFonts w:eastAsiaTheme="minorHAnsi"/>
          <w:bCs/>
        </w:rPr>
        <w:lastRenderedPageBreak/>
        <w:t xml:space="preserve">pateikti galutinę KN054 tyrimo IBLA/išgyvenamumo be atokiųjų metastazių, IBAMA (angl. </w:t>
      </w:r>
      <w:r w:rsidR="00576154" w:rsidRPr="00511BEA">
        <w:rPr>
          <w:rFonts w:eastAsiaTheme="minorHAnsi"/>
          <w:bCs/>
          <w:i/>
          <w:iCs/>
        </w:rPr>
        <w:t>distant metastasis free survival</w:t>
      </w:r>
      <w:r w:rsidR="00576154" w:rsidRPr="00511BEA">
        <w:rPr>
          <w:rFonts w:eastAsiaTheme="minorHAnsi"/>
          <w:bCs/>
        </w:rPr>
        <w:t xml:space="preserve"> (DMFS)) ir BI duomenų ataskaitą 2027 m. IV ketvirtį.</w:t>
      </w:r>
    </w:p>
    <w:p w14:paraId="5191B07C" w14:textId="45C8B5BC" w:rsidR="00576154" w:rsidRPr="00511BEA" w:rsidRDefault="00576154" w:rsidP="00576154">
      <w:pPr>
        <w:spacing w:line="276" w:lineRule="auto"/>
        <w:jc w:val="both"/>
        <w:rPr>
          <w:rFonts w:eastAsia="Arial"/>
          <w:bCs/>
        </w:rPr>
      </w:pPr>
      <w:r w:rsidRPr="00511BEA">
        <w:t xml:space="preserve">Vertinant pembrolizumabo saugumą KEYNOTE-054 tyrime </w:t>
      </w:r>
      <w:r w:rsidRPr="00511BEA">
        <w:rPr>
          <w:rFonts w:eastAsia="Arial"/>
          <w:bCs/>
        </w:rPr>
        <w:t xml:space="preserve">bent viena nepageidaujama reakcija pembrolizumabo grupėje pasireiškė 94,3 % pacientų, placebo grupėje bent viena nepageidaujama reakcija pasireiškė 90,4 % pacientų. Dažniausios pasireiškusios nepageidaujamos reakcijos pembrolizumabo grupėje buvo nuovargis (33,4 %), viduriavimas (27,3 %), niežulys (20,2 %), galvos skausmas (18,7 %). Dažniausios pasireiškusios nepageidaujamos reakcijos placebo grupėje buvo tokios pačios kaip ir pembrolizumabo grupėje: buvo nuovargis (33,9 %), viduriavimas (27,3 %), niežulys (11,8 %), galvos skausmas (18,5 %). </w:t>
      </w:r>
      <w:r w:rsidRPr="00511BEA">
        <w:t>3-5 laipsnio nepageidaujamos reakcijos pembrolizumabo grupėje pasireiškė 31,8 % pacientų, placebo grupėje 19,1 % pacientų.</w:t>
      </w:r>
    </w:p>
    <w:p w14:paraId="1B9114D7" w14:textId="6850AE7A" w:rsidR="007B5334" w:rsidRPr="00511BEA" w:rsidRDefault="007B5334" w:rsidP="005967BB">
      <w:pPr>
        <w:tabs>
          <w:tab w:val="left" w:pos="426"/>
        </w:tabs>
        <w:spacing w:line="360" w:lineRule="auto"/>
        <w:jc w:val="both"/>
        <w:rPr>
          <w:rFonts w:eastAsia="Arial"/>
          <w:iCs/>
          <w:color w:val="000000" w:themeColor="text1"/>
        </w:rPr>
      </w:pPr>
    </w:p>
    <w:p w14:paraId="2B04E685" w14:textId="64C2D3F5" w:rsidR="00553E16" w:rsidRPr="00511BEA" w:rsidRDefault="004B088A" w:rsidP="005967BB">
      <w:pPr>
        <w:tabs>
          <w:tab w:val="left" w:pos="492"/>
        </w:tabs>
        <w:spacing w:line="360" w:lineRule="auto"/>
        <w:jc w:val="both"/>
        <w:outlineLvl w:val="1"/>
        <w:rPr>
          <w:i/>
          <w:iCs/>
        </w:rPr>
      </w:pPr>
      <w:r w:rsidRPr="00511BEA">
        <w:rPr>
          <w:i/>
          <w:iCs/>
        </w:rPr>
        <w:t>Netiesioginis palyginimas</w:t>
      </w:r>
    </w:p>
    <w:p w14:paraId="44C5097E" w14:textId="2373E747" w:rsidR="00AB0B5F" w:rsidRPr="00511BEA" w:rsidRDefault="007C1237" w:rsidP="008053A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US"/>
        </w:rPr>
      </w:pPr>
      <w:r w:rsidRPr="00511BEA">
        <w:tab/>
      </w:r>
      <w:r w:rsidR="00AB0B5F" w:rsidRPr="00511BEA">
        <w:rPr>
          <w:color w:val="202124"/>
        </w:rPr>
        <w:t>Kadangi KEYNOTE-054 tyrime pacientų, kuriems nustatyta BRAF V600 mutacijų, sudarė 49,8 %, pareiškėjas pateikė</w:t>
      </w:r>
      <w:r w:rsidR="008053A3" w:rsidRPr="00511BEA">
        <w:rPr>
          <w:color w:val="202124"/>
        </w:rPr>
        <w:t xml:space="preserve"> netiesioginį palyginimą</w:t>
      </w:r>
      <w:r w:rsidR="00AB0B5F" w:rsidRPr="00511BEA">
        <w:rPr>
          <w:color w:val="202124"/>
        </w:rPr>
        <w:t>, kuri</w:t>
      </w:r>
      <w:r w:rsidR="008053A3" w:rsidRPr="00511BEA">
        <w:rPr>
          <w:color w:val="202124"/>
        </w:rPr>
        <w:t>ame</w:t>
      </w:r>
      <w:r w:rsidR="00AB0B5F" w:rsidRPr="00511BEA">
        <w:rPr>
          <w:color w:val="202124"/>
        </w:rPr>
        <w:t xml:space="preserve"> lyginamas pembrolizumabo veiksmingumas su </w:t>
      </w:r>
      <w:r w:rsidR="00AB0B5F" w:rsidRPr="00511BEA">
        <w:t xml:space="preserve">trametinibo/dabrafenibo </w:t>
      </w:r>
      <w:r w:rsidR="00AB0B5F" w:rsidRPr="00511BEA">
        <w:rPr>
          <w:color w:val="202124"/>
        </w:rPr>
        <w:t xml:space="preserve">deriniu suaugusiems pacientams, sergantiems III stadijos melanoma po atliktos pilnos rezekcijos. </w:t>
      </w:r>
      <w:r w:rsidR="008053A3" w:rsidRPr="00511BEA">
        <w:rPr>
          <w:color w:val="202124"/>
        </w:rPr>
        <w:t>Trametinibo ir dabrafenibo derinys laikomas tinkamu palyginamuoju gydymu pacientams su nustatytomis BRAF V</w:t>
      </w:r>
      <w:r w:rsidR="008053A3" w:rsidRPr="00511BEA">
        <w:rPr>
          <w:color w:val="202124"/>
          <w:lang w:val="en-US"/>
        </w:rPr>
        <w:t xml:space="preserve">600 </w:t>
      </w:r>
      <w:proofErr w:type="spellStart"/>
      <w:r w:rsidR="008053A3" w:rsidRPr="00511BEA">
        <w:rPr>
          <w:color w:val="202124"/>
          <w:lang w:val="en-US"/>
        </w:rPr>
        <w:t>mutacijomis</w:t>
      </w:r>
      <w:proofErr w:type="spellEnd"/>
      <w:r w:rsidR="008053A3" w:rsidRPr="00511BEA">
        <w:rPr>
          <w:color w:val="202124"/>
          <w:lang w:val="en-US"/>
        </w:rPr>
        <w:t>.</w:t>
      </w:r>
    </w:p>
    <w:p w14:paraId="560A08A1" w14:textId="7FB71D53" w:rsidR="00AB0B5F" w:rsidRPr="00511BEA" w:rsidRDefault="00AB0B5F" w:rsidP="008053A3">
      <w:pPr>
        <w:pStyle w:val="Tekstas"/>
        <w:spacing w:line="276" w:lineRule="auto"/>
      </w:pPr>
      <w:r w:rsidRPr="00511BEA">
        <w:rPr>
          <w:lang w:eastAsia="en-GB"/>
        </w:rPr>
        <w:t xml:space="preserve">Netiesioginiame palyginime vertinant IBLA pacientų, kuriems nustatytas BRAF mutacija, pogrupyje, pembrolizumabo </w:t>
      </w:r>
      <w:r w:rsidR="008053A3" w:rsidRPr="00511BEA">
        <w:rPr>
          <w:lang w:eastAsia="en-GB"/>
        </w:rPr>
        <w:t xml:space="preserve">veiksmingumas </w:t>
      </w:r>
      <w:r w:rsidRPr="00511BEA">
        <w:rPr>
          <w:lang w:eastAsia="en-GB"/>
        </w:rPr>
        <w:t xml:space="preserve">lyginant su trametinibu/dabrafenibu </w:t>
      </w:r>
      <w:r w:rsidR="008053A3" w:rsidRPr="00511BEA">
        <w:rPr>
          <w:lang w:eastAsia="en-GB"/>
        </w:rPr>
        <w:t xml:space="preserve">pagal IBLA statistiškai reikšmingai nesiskyrė </w:t>
      </w:r>
      <w:r w:rsidRPr="00511BEA">
        <w:rPr>
          <w:lang w:eastAsia="en-GB"/>
        </w:rPr>
        <w:t xml:space="preserve">– </w:t>
      </w:r>
      <w:r w:rsidR="008053A3" w:rsidRPr="00511BEA">
        <w:rPr>
          <w:lang w:eastAsia="en-GB"/>
        </w:rPr>
        <w:t xml:space="preserve">RS </w:t>
      </w:r>
      <w:r w:rsidRPr="00511BEA">
        <w:t>0,75, 95% PI: 0,50-1,14</w:t>
      </w:r>
      <w:r w:rsidR="008053A3" w:rsidRPr="00511BEA">
        <w:t>.</w:t>
      </w:r>
    </w:p>
    <w:p w14:paraId="6B9ABEB1" w14:textId="7133B282" w:rsidR="005A4D92" w:rsidRPr="00511BEA" w:rsidRDefault="005A4D92" w:rsidP="005A4D92">
      <w:pPr>
        <w:spacing w:after="120" w:line="276" w:lineRule="auto"/>
        <w:ind w:firstLine="720"/>
        <w:jc w:val="both"/>
        <w:rPr>
          <w:rFonts w:eastAsia="Arial"/>
          <w:color w:val="000000" w:themeColor="text1"/>
          <w:lang w:eastAsia="lt-LT"/>
        </w:rPr>
      </w:pPr>
      <w:r w:rsidRPr="00511BEA">
        <w:rPr>
          <w:rFonts w:eastAsia="Arial"/>
          <w:lang w:eastAsia="lt-LT"/>
        </w:rPr>
        <w:t xml:space="preserve">Atsižvelgiant į klinikinių tyrimų duomenis bei </w:t>
      </w:r>
      <w:r w:rsidR="00B353D4" w:rsidRPr="00511BEA">
        <w:rPr>
          <w:rFonts w:eastAsia="Arial"/>
          <w:lang w:eastAsia="lt-LT"/>
        </w:rPr>
        <w:t xml:space="preserve">Europos medicininės onkologijos draugijos (angl. European society of medical oncology, </w:t>
      </w:r>
      <w:r w:rsidRPr="00511BEA">
        <w:rPr>
          <w:rFonts w:eastAsia="Arial"/>
          <w:lang w:eastAsia="lt-LT"/>
        </w:rPr>
        <w:t>ESMO</w:t>
      </w:r>
      <w:r w:rsidR="00B353D4" w:rsidRPr="00511BEA">
        <w:rPr>
          <w:rFonts w:eastAsia="Arial"/>
          <w:lang w:eastAsia="lt-LT"/>
        </w:rPr>
        <w:t>)</w:t>
      </w:r>
      <w:r w:rsidRPr="00511BEA">
        <w:rPr>
          <w:rFonts w:eastAsia="Arial"/>
          <w:lang w:eastAsia="lt-LT"/>
        </w:rPr>
        <w:t xml:space="preserve"> gydymo rekomendacijas dėl tikslinės adjuvantinės terapijos, dabrafenibo ir trametinibo derinys yra </w:t>
      </w:r>
      <w:r w:rsidR="00B353D4" w:rsidRPr="00511BEA">
        <w:rPr>
          <w:rFonts w:eastAsia="Arial"/>
          <w:lang w:eastAsia="lt-LT"/>
        </w:rPr>
        <w:t xml:space="preserve">laikomas </w:t>
      </w:r>
      <w:r w:rsidRPr="00511BEA">
        <w:rPr>
          <w:rFonts w:eastAsia="Arial"/>
          <w:lang w:eastAsia="lt-LT"/>
        </w:rPr>
        <w:t>standartini</w:t>
      </w:r>
      <w:r w:rsidR="00B353D4" w:rsidRPr="00511BEA">
        <w:rPr>
          <w:rFonts w:eastAsia="Arial"/>
          <w:lang w:eastAsia="lt-LT"/>
        </w:rPr>
        <w:t>u</w:t>
      </w:r>
      <w:r w:rsidRPr="00511BEA">
        <w:rPr>
          <w:rFonts w:eastAsia="Arial"/>
          <w:lang w:eastAsia="lt-LT"/>
        </w:rPr>
        <w:t xml:space="preserve"> adjuvantini</w:t>
      </w:r>
      <w:r w:rsidR="00B353D4" w:rsidRPr="00511BEA">
        <w:rPr>
          <w:rFonts w:eastAsia="Arial"/>
          <w:lang w:eastAsia="lt-LT"/>
        </w:rPr>
        <w:t>u</w:t>
      </w:r>
      <w:r w:rsidRPr="00511BEA">
        <w:rPr>
          <w:rFonts w:eastAsia="Arial"/>
          <w:lang w:eastAsia="lt-LT"/>
        </w:rPr>
        <w:t xml:space="preserve"> </w:t>
      </w:r>
      <w:r w:rsidR="00B353D4" w:rsidRPr="00511BEA">
        <w:rPr>
          <w:rFonts w:eastAsia="Arial"/>
          <w:lang w:eastAsia="lt-LT"/>
        </w:rPr>
        <w:t xml:space="preserve">melanomos su BRAF mutacija </w:t>
      </w:r>
      <w:r w:rsidRPr="00511BEA">
        <w:rPr>
          <w:rFonts w:eastAsia="Arial"/>
          <w:lang w:eastAsia="lt-LT"/>
        </w:rPr>
        <w:t>gydym</w:t>
      </w:r>
      <w:r w:rsidR="00B353D4" w:rsidRPr="00511BEA">
        <w:rPr>
          <w:rFonts w:eastAsia="Arial"/>
          <w:lang w:eastAsia="lt-LT"/>
        </w:rPr>
        <w:t>u</w:t>
      </w:r>
      <w:r w:rsidRPr="00511BEA">
        <w:rPr>
          <w:rFonts w:eastAsia="Arial"/>
          <w:lang w:eastAsia="lt-LT"/>
        </w:rPr>
        <w:t xml:space="preserve"> (įrodymų lygmuo I, A ESMO, 2019). Šiuo metu nėra tiesioginio palyginimo klinikinių tyrimų, kuriuose būtų įvertintas dabrafenibo ir trametinibo derinio bei P</w:t>
      </w:r>
      <w:r w:rsidR="005F034B" w:rsidRPr="00511BEA">
        <w:rPr>
          <w:rFonts w:eastAsia="Arial"/>
          <w:lang w:eastAsia="lt-LT"/>
        </w:rPr>
        <w:t>D</w:t>
      </w:r>
      <w:r w:rsidRPr="00511BEA">
        <w:rPr>
          <w:rFonts w:eastAsia="Arial"/>
          <w:lang w:eastAsia="lt-LT"/>
        </w:rPr>
        <w:t>-</w:t>
      </w:r>
      <w:r w:rsidR="005F034B" w:rsidRPr="00511BEA">
        <w:rPr>
          <w:rFonts w:eastAsia="Arial"/>
          <w:lang w:eastAsia="lt-LT"/>
        </w:rPr>
        <w:t>L</w:t>
      </w:r>
      <w:r w:rsidRPr="00511BEA">
        <w:rPr>
          <w:rFonts w:eastAsia="Arial"/>
          <w:lang w:eastAsia="lt-LT"/>
        </w:rPr>
        <w:t xml:space="preserve">1 blokados palyginamasis veiksmingumas, todėl sprendimas dėl gydymo pasirinkimo tarp dabrafenibo ir trametinibo derinio </w:t>
      </w:r>
      <w:r w:rsidRPr="00511BEA">
        <w:rPr>
          <w:rFonts w:eastAsia="Arial"/>
          <w:color w:val="000000" w:themeColor="text1"/>
          <w:lang w:eastAsia="lt-LT"/>
        </w:rPr>
        <w:t>bei P</w:t>
      </w:r>
      <w:r w:rsidR="005F034B" w:rsidRPr="00511BEA">
        <w:rPr>
          <w:rFonts w:eastAsia="Arial"/>
          <w:color w:val="000000" w:themeColor="text1"/>
          <w:lang w:eastAsia="lt-LT"/>
        </w:rPr>
        <w:t>D</w:t>
      </w:r>
      <w:r w:rsidRPr="00511BEA">
        <w:rPr>
          <w:rFonts w:eastAsia="Arial"/>
          <w:color w:val="000000" w:themeColor="text1"/>
          <w:lang w:eastAsia="lt-LT"/>
        </w:rPr>
        <w:t>-</w:t>
      </w:r>
      <w:r w:rsidR="005F034B" w:rsidRPr="00511BEA">
        <w:rPr>
          <w:rFonts w:eastAsia="Arial"/>
          <w:color w:val="000000" w:themeColor="text1"/>
          <w:lang w:eastAsia="lt-LT"/>
        </w:rPr>
        <w:t>L</w:t>
      </w:r>
      <w:r w:rsidRPr="00511BEA">
        <w:rPr>
          <w:rFonts w:eastAsia="Arial"/>
          <w:color w:val="000000" w:themeColor="text1"/>
          <w:lang w:eastAsia="lt-LT"/>
        </w:rPr>
        <w:t xml:space="preserve">1 blokados terapijos pacientams, kuriems diagnozuota melanoma su BRAF mutacija, turi būti grindžiamas kuo mažesne nepageidaujamų reiškinių atsiradimo tikimybe konkrečiam pacientui (ESMO, 2019).  </w:t>
      </w:r>
    </w:p>
    <w:p w14:paraId="60DC647C" w14:textId="015AC079" w:rsidR="00B353D4" w:rsidRPr="00511BEA" w:rsidRDefault="005A4D92" w:rsidP="005A4D92">
      <w:pPr>
        <w:spacing w:line="276" w:lineRule="auto"/>
        <w:ind w:firstLine="720"/>
        <w:jc w:val="both"/>
        <w:rPr>
          <w:color w:val="000000" w:themeColor="text1"/>
        </w:rPr>
      </w:pPr>
      <w:r w:rsidRPr="00511BEA">
        <w:rPr>
          <w:rFonts w:eastAsia="Arial"/>
          <w:color w:val="000000" w:themeColor="text1"/>
        </w:rPr>
        <w:t xml:space="preserve">Pembrolizumabas </w:t>
      </w:r>
      <w:r w:rsidRPr="00511BEA">
        <w:rPr>
          <w:color w:val="000000" w:themeColor="text1"/>
        </w:rPr>
        <w:t xml:space="preserve">yra humanizuotas monokloninis antikūnas, kuris prisijungia prie programuotos ląstelės žūties (PD-1) receptoriaus ir blokuoja jo sąveiką su PD-L1 ir PD-L2. Pažymėtina, kad </w:t>
      </w:r>
      <w:r w:rsidR="00B353D4" w:rsidRPr="00511BEA">
        <w:rPr>
          <w:color w:val="000000" w:themeColor="text1"/>
        </w:rPr>
        <w:t xml:space="preserve">KEYNOTE-054 tyrime </w:t>
      </w:r>
      <w:r w:rsidRPr="00511BEA">
        <w:rPr>
          <w:color w:val="000000" w:themeColor="text1"/>
        </w:rPr>
        <w:t xml:space="preserve">didžiajai daliai pacientų (virš 80 proc.) buvo nustatyta PD-L1 raiška ir tik apie 50 proc. visų pacientų nustatyta BRAF mutacija. Remiantis pradinėmis pacientų charakteristikomis ir KEYNOTE-054 tyrimo rezultatais, daroma išvada, kad adjuvantinis gydymas pembrolizumabu gali būti naudingas pacientams, kuriems diagnozuota melanoma, nepriklausomai nuo BRAF mutacijos buvimo, t.y. bendroje pacientų su odos melanoma populiacijoje. </w:t>
      </w:r>
    </w:p>
    <w:p w14:paraId="2A928E87" w14:textId="46CE03AA" w:rsidR="005A4D92" w:rsidRPr="00511BEA" w:rsidRDefault="00B353D4" w:rsidP="005A4D92">
      <w:pPr>
        <w:spacing w:line="276" w:lineRule="auto"/>
        <w:ind w:firstLine="720"/>
        <w:jc w:val="both"/>
        <w:rPr>
          <w:rFonts w:eastAsia="Arial"/>
          <w:iCs/>
          <w:color w:val="00B050"/>
        </w:rPr>
      </w:pPr>
      <w:r w:rsidRPr="00511BEA">
        <w:rPr>
          <w:color w:val="000000" w:themeColor="text1"/>
        </w:rPr>
        <w:t xml:space="preserve">Apibendrinant, </w:t>
      </w:r>
      <w:r w:rsidR="005A4D92" w:rsidRPr="00511BEA">
        <w:rPr>
          <w:color w:val="000000" w:themeColor="text1"/>
        </w:rPr>
        <w:t xml:space="preserve">pembrolizumabo klinikinis veiksmingumas įvertintas kaip pagrindžiantis papildomos naudos pacientų, kuriems </w:t>
      </w:r>
      <w:r w:rsidR="005A4D92" w:rsidRPr="00511BEA">
        <w:rPr>
          <w:b/>
          <w:bCs/>
          <w:color w:val="000000" w:themeColor="text1"/>
        </w:rPr>
        <w:t xml:space="preserve">nustatyta III stadijos melanoma </w:t>
      </w:r>
      <w:r w:rsidR="005A4D92" w:rsidRPr="00511BEA">
        <w:rPr>
          <w:b/>
          <w:bCs/>
        </w:rPr>
        <w:t>ir metastazių limfmazgiuose</w:t>
      </w:r>
      <w:r w:rsidR="005A4D92" w:rsidRPr="00511BEA">
        <w:t xml:space="preserve"> ir kuriems buvo atlikta visiška rezekcija, sveikatai s</w:t>
      </w:r>
      <w:r w:rsidR="003A5CCF" w:rsidRPr="00511BEA">
        <w:t>ukūrimą, lyginant su įprastu ad</w:t>
      </w:r>
      <w:r w:rsidR="005A4D92" w:rsidRPr="00511BEA">
        <w:t>juvantiniu gydymu.</w:t>
      </w:r>
    </w:p>
    <w:p w14:paraId="05435903" w14:textId="77777777" w:rsidR="008651E2" w:rsidRPr="00511BEA" w:rsidRDefault="008651E2" w:rsidP="00A93AA6">
      <w:pPr>
        <w:pStyle w:val="ListParagraph"/>
        <w:tabs>
          <w:tab w:val="left" w:pos="426"/>
        </w:tabs>
        <w:ind w:left="0"/>
        <w:rPr>
          <w:b/>
          <w:bCs/>
          <w:caps/>
        </w:rPr>
      </w:pPr>
    </w:p>
    <w:p w14:paraId="7DE09EB5" w14:textId="04C72FFD" w:rsidR="00E03C3F" w:rsidRPr="00511BEA" w:rsidRDefault="00CC7832" w:rsidP="00937907">
      <w:pPr>
        <w:pStyle w:val="ListParagraph"/>
        <w:numPr>
          <w:ilvl w:val="0"/>
          <w:numId w:val="12"/>
        </w:numPr>
        <w:tabs>
          <w:tab w:val="left" w:pos="426"/>
        </w:tabs>
        <w:rPr>
          <w:b/>
          <w:bCs/>
          <w:caps/>
        </w:rPr>
      </w:pPr>
      <w:r w:rsidRPr="00511BEA">
        <w:rPr>
          <w:b/>
          <w:bCs/>
          <w:caps/>
        </w:rPr>
        <w:t xml:space="preserve">Farmakoekonominio vertinimo </w:t>
      </w:r>
      <w:r w:rsidR="002F0E4F" w:rsidRPr="00511BEA">
        <w:rPr>
          <w:b/>
          <w:bCs/>
          <w:caps/>
        </w:rPr>
        <w:t>apibendrinimas</w:t>
      </w:r>
    </w:p>
    <w:p w14:paraId="1A900598" w14:textId="65638B29" w:rsidR="00C62B36" w:rsidRPr="00511BEA" w:rsidRDefault="00C62B36" w:rsidP="00A93AA6">
      <w:pPr>
        <w:tabs>
          <w:tab w:val="left" w:pos="426"/>
        </w:tabs>
        <w:rPr>
          <w:i/>
          <w:color w:val="00B050"/>
          <w:sz w:val="22"/>
          <w:szCs w:val="22"/>
        </w:rPr>
      </w:pPr>
    </w:p>
    <w:p w14:paraId="08F08413" w14:textId="77777777" w:rsidR="007F1DB8" w:rsidRPr="00511BEA" w:rsidRDefault="007F1DB8" w:rsidP="007F1DB8">
      <w:pPr>
        <w:pStyle w:val="VVKT"/>
        <w:spacing w:after="0"/>
        <w:ind w:left="144" w:firstLine="432"/>
        <w:jc w:val="both"/>
      </w:pPr>
      <w:r w:rsidRPr="00511BEA">
        <w:rPr>
          <w:iCs/>
        </w:rPr>
        <w:t xml:space="preserve">Pareiškėjas vertinimui pateikė kaštų naudingumo analizę, kurioje pembrolizumabo kaštų </w:t>
      </w:r>
      <w:r w:rsidRPr="00511BEA">
        <w:rPr>
          <w:iCs/>
        </w:rPr>
        <w:lastRenderedPageBreak/>
        <w:t xml:space="preserve">naudingumas yra lyginamas su stebėjimo ir laukimo gydymo taktikos kaštų naudingumu gydant </w:t>
      </w:r>
      <w:r w:rsidRPr="00511BEA">
        <w:t>suaugusius pacientus, kuriems nustatyta III stadijos melanoma ir metastazių limfmazgiuose ir kuriems buvo atlikta visiška naviko rezekcija. Pacientų populiacija analizėje sutampa su klinikinio tyrimo KEYNOTE-054 tiriamųjų populiacija. Ekonominėje analizėje pacientų pogrupiai (pvz. išskirti pagal BRAF mutaciją) nagrinėjami nebuvo.</w:t>
      </w:r>
    </w:p>
    <w:p w14:paraId="0E07755E" w14:textId="77777777" w:rsidR="007F1DB8" w:rsidRPr="00511BEA" w:rsidRDefault="007F1DB8" w:rsidP="007F1DB8">
      <w:pPr>
        <w:tabs>
          <w:tab w:val="left" w:pos="426"/>
        </w:tabs>
        <w:spacing w:line="276" w:lineRule="auto"/>
        <w:ind w:left="144" w:firstLine="432"/>
        <w:jc w:val="both"/>
      </w:pPr>
      <w:r w:rsidRPr="00511BEA">
        <w:rPr>
          <w:rFonts w:eastAsia="Arial"/>
          <w:bCs/>
          <w:szCs w:val="22"/>
        </w:rPr>
        <w:t xml:space="preserve">Ekonominėje analizėje pateiktas palyginamasis gydymas tik iš dalies atitinka įprastą Lietuvos Respublikos klinikinę praktiką. </w:t>
      </w:r>
      <w:r w:rsidRPr="00511BEA">
        <w:t xml:space="preserve">Stebėjimo ir laukimo taktika yra tinkamas palyginamasis tiems pacientams, kuriems nėra nustatyta BRAF mutacijų. Kai nustatytos BRAF mutacijos, </w:t>
      </w:r>
      <w:r w:rsidRPr="00511BEA">
        <w:rPr>
          <w:rFonts w:eastAsia="Calibri"/>
        </w:rPr>
        <w:t xml:space="preserve">suaugusiems pacientams, kuriems diagnozuota III stadijos melanoma su BRAF V600 mutacija, adjuvantiniam gydymui </w:t>
      </w:r>
      <w:r w:rsidRPr="00511BEA">
        <w:t>kompensuojamas dabrafenibas ir trametinibas ir šie vaistai laikomi tinkamu palyginamuoju gydymu. </w:t>
      </w:r>
    </w:p>
    <w:p w14:paraId="4F2E4DEC" w14:textId="77777777" w:rsidR="007F1DB8" w:rsidRPr="00511BEA" w:rsidRDefault="007F1DB8" w:rsidP="007F1DB8">
      <w:pPr>
        <w:pStyle w:val="VVKT"/>
        <w:spacing w:after="0"/>
        <w:ind w:left="144" w:firstLine="432"/>
        <w:jc w:val="both"/>
      </w:pPr>
      <w:r w:rsidRPr="00511BEA">
        <w:t>Analizėje taikomi modeliavimo metodai. Atliekant analizę naudojamas Markovo modelis, sudarytas naudojant Microsoft Excel 2016 programą. Modeliuojant išskiriamos 4 sveikatos būklės:</w:t>
      </w:r>
    </w:p>
    <w:p w14:paraId="3E70281B" w14:textId="77777777" w:rsidR="007F1DB8" w:rsidRPr="00511BEA" w:rsidRDefault="007F1DB8" w:rsidP="007F1DB8">
      <w:pPr>
        <w:pStyle w:val="ListParagraph"/>
        <w:numPr>
          <w:ilvl w:val="0"/>
          <w:numId w:val="28"/>
        </w:numPr>
        <w:spacing w:line="276" w:lineRule="auto"/>
        <w:ind w:left="144" w:firstLine="432"/>
        <w:jc w:val="both"/>
        <w:rPr>
          <w:iCs/>
          <w:lang w:eastAsia="lt-LT"/>
        </w:rPr>
      </w:pPr>
      <w:r w:rsidRPr="00511BEA">
        <w:rPr>
          <w:iCs/>
          <w:lang w:eastAsia="lt-LT"/>
        </w:rPr>
        <w:t xml:space="preserve">būklė be ligos atsinaujinimo (angl. </w:t>
      </w:r>
      <w:r w:rsidRPr="00511BEA">
        <w:rPr>
          <w:i/>
          <w:lang w:eastAsia="lt-LT"/>
        </w:rPr>
        <w:t>recurrence-free</w:t>
      </w:r>
      <w:r w:rsidRPr="00511BEA">
        <w:rPr>
          <w:iCs/>
          <w:lang w:eastAsia="lt-LT"/>
        </w:rPr>
        <w:t>);</w:t>
      </w:r>
    </w:p>
    <w:p w14:paraId="6FBF77AF" w14:textId="77777777" w:rsidR="007F1DB8" w:rsidRPr="00511BEA" w:rsidRDefault="007F1DB8" w:rsidP="007F1DB8">
      <w:pPr>
        <w:pStyle w:val="ListParagraph"/>
        <w:numPr>
          <w:ilvl w:val="0"/>
          <w:numId w:val="28"/>
        </w:numPr>
        <w:spacing w:line="276" w:lineRule="auto"/>
        <w:ind w:left="144" w:firstLine="432"/>
        <w:jc w:val="both"/>
        <w:rPr>
          <w:iCs/>
          <w:lang w:eastAsia="lt-LT"/>
        </w:rPr>
      </w:pPr>
      <w:r w:rsidRPr="00511BEA">
        <w:rPr>
          <w:iCs/>
          <w:lang w:eastAsia="lt-LT"/>
        </w:rPr>
        <w:t xml:space="preserve">lokoregioninis ligos atsinaujinimas (angl. </w:t>
      </w:r>
      <w:r w:rsidRPr="00511BEA">
        <w:rPr>
          <w:i/>
          <w:lang w:eastAsia="lt-LT"/>
        </w:rPr>
        <w:t>locoregional recurrence</w:t>
      </w:r>
      <w:r w:rsidRPr="00511BEA">
        <w:rPr>
          <w:iCs/>
          <w:lang w:eastAsia="lt-LT"/>
        </w:rPr>
        <w:t>);</w:t>
      </w:r>
    </w:p>
    <w:p w14:paraId="1F5F79A6" w14:textId="77777777" w:rsidR="007F1DB8" w:rsidRPr="00511BEA" w:rsidRDefault="007F1DB8" w:rsidP="007F1DB8">
      <w:pPr>
        <w:pStyle w:val="ListParagraph"/>
        <w:numPr>
          <w:ilvl w:val="0"/>
          <w:numId w:val="28"/>
        </w:numPr>
        <w:spacing w:line="276" w:lineRule="auto"/>
        <w:ind w:left="144" w:firstLine="432"/>
        <w:jc w:val="both"/>
        <w:rPr>
          <w:iCs/>
          <w:lang w:eastAsia="lt-LT"/>
        </w:rPr>
      </w:pPr>
      <w:r w:rsidRPr="00511BEA">
        <w:rPr>
          <w:iCs/>
          <w:lang w:eastAsia="lt-LT"/>
        </w:rPr>
        <w:t xml:space="preserve">metastazinis ligos atsinaujimas (angl. </w:t>
      </w:r>
      <w:r w:rsidRPr="00511BEA">
        <w:rPr>
          <w:i/>
          <w:lang w:eastAsia="lt-LT"/>
        </w:rPr>
        <w:t>distant metastases</w:t>
      </w:r>
      <w:r w:rsidRPr="00511BEA">
        <w:rPr>
          <w:iCs/>
          <w:lang w:eastAsia="lt-LT"/>
        </w:rPr>
        <w:t>);</w:t>
      </w:r>
    </w:p>
    <w:p w14:paraId="2CCA9F8F" w14:textId="77777777" w:rsidR="007F1DB8" w:rsidRPr="00511BEA" w:rsidRDefault="007F1DB8" w:rsidP="007F1DB8">
      <w:pPr>
        <w:pStyle w:val="ListParagraph"/>
        <w:numPr>
          <w:ilvl w:val="0"/>
          <w:numId w:val="28"/>
        </w:numPr>
        <w:spacing w:line="276" w:lineRule="auto"/>
        <w:ind w:left="144" w:firstLine="432"/>
        <w:jc w:val="both"/>
        <w:rPr>
          <w:iCs/>
          <w:lang w:eastAsia="lt-LT"/>
        </w:rPr>
      </w:pPr>
      <w:r w:rsidRPr="00511BEA">
        <w:rPr>
          <w:iCs/>
          <w:lang w:eastAsia="lt-LT"/>
        </w:rPr>
        <w:t xml:space="preserve">mirties būklė. </w:t>
      </w:r>
    </w:p>
    <w:p w14:paraId="74580B03" w14:textId="77777777" w:rsidR="007F1DB8" w:rsidRPr="00511BEA" w:rsidRDefault="007F1DB8" w:rsidP="007F1DB8">
      <w:pPr>
        <w:tabs>
          <w:tab w:val="left" w:pos="426"/>
        </w:tabs>
        <w:spacing w:line="276" w:lineRule="auto"/>
        <w:ind w:left="144" w:firstLine="432"/>
        <w:jc w:val="both"/>
        <w:rPr>
          <w:iCs/>
        </w:rPr>
      </w:pPr>
      <w:r w:rsidRPr="00511BEA">
        <w:rPr>
          <w:iCs/>
        </w:rPr>
        <w:t>Atsižvelgiant į tai, kad ekonominėje analizėje palyginamasis gydymas yra tinkamas tik daliai nagrinėjamos populiacijos, o ekonominėje analizėje nėra vertinami atskiri pacientų pogrupiai, pareiškėjo pateiktos ekonominės analizės struktūra nėra tinkama vertinimui – nėra atsižvelgiama į tai, kad reikšminga dalis pacientų, turėdami BRAF V600 mutaciją, Lietuvos klinikinėje praktikoje gauna efektyvesnį gydymą, todėl pembrolizumabo kaštų naudingumo įvertinimas neišskiriant analizės populiacijos pagal BRAF V600 mutaciją yra neįmanomas.</w:t>
      </w:r>
    </w:p>
    <w:p w14:paraId="70AB58AA" w14:textId="77777777" w:rsidR="007F1DB8" w:rsidRPr="00511BEA" w:rsidRDefault="007F1DB8" w:rsidP="007F1DB8">
      <w:pPr>
        <w:pStyle w:val="VVKT"/>
        <w:spacing w:after="0"/>
        <w:ind w:left="144" w:firstLine="432"/>
        <w:jc w:val="both"/>
      </w:pPr>
      <w:r w:rsidRPr="00511BEA">
        <w:t xml:space="preserve">Pagrindinis klinikinių įrodymų šaltinis yra klinikinis tyrimas KEYNOTE-054 - daugiacentris, atsitiktinių imčių, dvigubai koduotas, placebu kontroliuojamas klinikinis tyrimas pacientams, kuriems atlikta visiška IIIA stadijos (nustatyta &gt; 1 mm dydžio metastazių limfmazgiuose), IIIB arba IIIC stadijų melanomos rezekcija. </w:t>
      </w:r>
    </w:p>
    <w:p w14:paraId="78756538" w14:textId="77777777" w:rsidR="007F1DB8" w:rsidRPr="00511BEA" w:rsidRDefault="007F1DB8" w:rsidP="007F1DB8">
      <w:pPr>
        <w:pStyle w:val="ListParagraph"/>
        <w:spacing w:line="276" w:lineRule="auto"/>
        <w:ind w:left="144" w:firstLine="432"/>
        <w:jc w:val="both"/>
      </w:pPr>
      <w:r w:rsidRPr="00511BEA">
        <w:t xml:space="preserve">Analizė atlikta iš PSDF biudžeto perspektyvos, įtraukti tiesiogiai su sveikatos sistema susiję kaštai. Tai atitinka teisės aktuose nustatytus paraiškos rengimo taisyklių reikalavimus. </w:t>
      </w:r>
    </w:p>
    <w:p w14:paraId="4AB91219" w14:textId="77777777" w:rsidR="007F1DB8" w:rsidRPr="00511BEA" w:rsidRDefault="007F1DB8" w:rsidP="007F1DB8">
      <w:pPr>
        <w:pStyle w:val="ListParagraph"/>
        <w:spacing w:line="276" w:lineRule="auto"/>
        <w:ind w:left="144" w:firstLine="432"/>
        <w:jc w:val="both"/>
        <w:rPr>
          <w:iCs/>
          <w:lang w:eastAsia="lt-LT"/>
        </w:rPr>
      </w:pPr>
      <w:r w:rsidRPr="00511BEA">
        <w:rPr>
          <w:lang w:eastAsia="lt-LT"/>
        </w:rPr>
        <w:t xml:space="preserve">Analizėje taikoma 46 metų laiko perspektyva, kuri atsižvelgiant į klinikinio tyrimo KEYNOTE-054 populiacijos amžiaus vidurkį (54 metai) laikoma viso gyvenimo laiko perspektyva. Pasirinkta laiko perspektyva yra </w:t>
      </w:r>
      <w:r w:rsidRPr="00511BEA">
        <w:rPr>
          <w:iCs/>
          <w:lang w:eastAsia="lt-LT"/>
        </w:rPr>
        <w:t xml:space="preserve">tinkama. </w:t>
      </w:r>
    </w:p>
    <w:p w14:paraId="38F8338E" w14:textId="77777777" w:rsidR="007F1DB8" w:rsidRPr="00511BEA" w:rsidRDefault="007F1DB8" w:rsidP="007F1DB8">
      <w:pPr>
        <w:pStyle w:val="ListParagraph"/>
        <w:spacing w:line="276" w:lineRule="auto"/>
        <w:ind w:left="144" w:firstLine="432"/>
        <w:jc w:val="both"/>
        <w:rPr>
          <w:lang w:eastAsia="lt-LT"/>
        </w:rPr>
      </w:pPr>
      <w:r w:rsidRPr="00511BEA">
        <w:rPr>
          <w:lang w:eastAsia="lt-LT"/>
        </w:rPr>
        <w:t xml:space="preserve">Sveikatai sukuriama nauda ekonominėje analizėje vertinama apskaičiuojant kokybiškus gyvenimo metus. Apskaičiuojant kokybiškus gyvenimo metus naudojami gyvenimo kokybės įverčiai, gauti remiantis KEYNOTE-054 klinikinio tyrimo atliktu gyvenimo kokybės vertinimu pildant </w:t>
      </w:r>
      <w:r w:rsidRPr="00511BEA">
        <w:rPr>
          <w:snapToGrid w:val="0"/>
        </w:rPr>
        <w:t>EQ-5D-3L gyvenimo kokybės vertinimo klausimyną</w:t>
      </w:r>
      <w:r w:rsidRPr="00511BEA">
        <w:rPr>
          <w:lang w:eastAsia="lt-LT"/>
        </w:rPr>
        <w:t>.</w:t>
      </w:r>
    </w:p>
    <w:p w14:paraId="24DEACB3" w14:textId="77777777" w:rsidR="007F1DB8" w:rsidRPr="00511BEA" w:rsidRDefault="007F1DB8" w:rsidP="007F1DB8">
      <w:pPr>
        <w:pStyle w:val="ListParagraph"/>
        <w:spacing w:line="276" w:lineRule="auto"/>
        <w:ind w:left="144" w:firstLine="432"/>
        <w:jc w:val="both"/>
      </w:pPr>
      <w:r w:rsidRPr="00511BEA">
        <w:rPr>
          <w:lang w:eastAsia="lt-LT"/>
        </w:rPr>
        <w:t>Atliekant ekonominę analizę buvo įtrauktos šios kaštų grupės:</w:t>
      </w:r>
    </w:p>
    <w:p w14:paraId="0D9407E7" w14:textId="77777777" w:rsidR="007F1DB8" w:rsidRPr="00511BEA" w:rsidRDefault="007F1DB8" w:rsidP="007F1DB8">
      <w:pPr>
        <w:pStyle w:val="ListParagraph"/>
        <w:numPr>
          <w:ilvl w:val="0"/>
          <w:numId w:val="28"/>
        </w:numPr>
        <w:tabs>
          <w:tab w:val="left" w:pos="567"/>
        </w:tabs>
        <w:spacing w:line="276" w:lineRule="auto"/>
        <w:ind w:left="144" w:firstLine="432"/>
        <w:jc w:val="both"/>
        <w:rPr>
          <w:lang w:eastAsia="lt-LT"/>
        </w:rPr>
      </w:pPr>
      <w:r w:rsidRPr="00511BEA">
        <w:rPr>
          <w:lang w:eastAsia="lt-LT"/>
        </w:rPr>
        <w:t>vaistų įsigijimo kaštai;</w:t>
      </w:r>
    </w:p>
    <w:p w14:paraId="02FFD73A" w14:textId="77777777" w:rsidR="007F1DB8" w:rsidRPr="00511BEA" w:rsidRDefault="007F1DB8" w:rsidP="007F1DB8">
      <w:pPr>
        <w:pStyle w:val="ListParagraph"/>
        <w:numPr>
          <w:ilvl w:val="0"/>
          <w:numId w:val="28"/>
        </w:numPr>
        <w:tabs>
          <w:tab w:val="left" w:pos="567"/>
        </w:tabs>
        <w:spacing w:line="276" w:lineRule="auto"/>
        <w:ind w:left="144" w:firstLine="432"/>
        <w:jc w:val="both"/>
        <w:rPr>
          <w:lang w:eastAsia="lt-LT"/>
        </w:rPr>
      </w:pPr>
      <w:r w:rsidRPr="00511BEA">
        <w:rPr>
          <w:lang w:eastAsia="lt-LT"/>
        </w:rPr>
        <w:t>vaistų administravimo (suleidimo) kaštai;</w:t>
      </w:r>
    </w:p>
    <w:p w14:paraId="2BF0894A" w14:textId="77777777" w:rsidR="007F1DB8" w:rsidRPr="00511BEA" w:rsidRDefault="007F1DB8" w:rsidP="007F1DB8">
      <w:pPr>
        <w:pStyle w:val="ListParagraph"/>
        <w:numPr>
          <w:ilvl w:val="0"/>
          <w:numId w:val="28"/>
        </w:numPr>
        <w:tabs>
          <w:tab w:val="left" w:pos="567"/>
        </w:tabs>
        <w:spacing w:line="276" w:lineRule="auto"/>
        <w:ind w:left="144" w:firstLine="432"/>
        <w:jc w:val="both"/>
        <w:rPr>
          <w:lang w:eastAsia="lt-LT"/>
        </w:rPr>
      </w:pPr>
      <w:r w:rsidRPr="00511BEA">
        <w:rPr>
          <w:lang w:eastAsia="lt-LT"/>
        </w:rPr>
        <w:t>tolimesnio gydymo kaštai;</w:t>
      </w:r>
    </w:p>
    <w:p w14:paraId="45CF9EB9" w14:textId="77777777" w:rsidR="007F1DB8" w:rsidRPr="00511BEA" w:rsidRDefault="007F1DB8" w:rsidP="007F1DB8">
      <w:pPr>
        <w:pStyle w:val="ListParagraph"/>
        <w:numPr>
          <w:ilvl w:val="0"/>
          <w:numId w:val="28"/>
        </w:numPr>
        <w:tabs>
          <w:tab w:val="left" w:pos="567"/>
        </w:tabs>
        <w:spacing w:line="276" w:lineRule="auto"/>
        <w:ind w:left="144" w:firstLine="432"/>
        <w:jc w:val="both"/>
        <w:rPr>
          <w:lang w:eastAsia="lt-LT"/>
        </w:rPr>
      </w:pPr>
      <w:r w:rsidRPr="00511BEA">
        <w:rPr>
          <w:lang w:eastAsia="lt-LT"/>
        </w:rPr>
        <w:t>sveikatos priežiūros paslaugų kaštai;</w:t>
      </w:r>
    </w:p>
    <w:p w14:paraId="4908EA96" w14:textId="77777777" w:rsidR="007F1DB8" w:rsidRPr="00511BEA" w:rsidRDefault="007F1DB8" w:rsidP="007F1DB8">
      <w:pPr>
        <w:pStyle w:val="ListParagraph"/>
        <w:numPr>
          <w:ilvl w:val="0"/>
          <w:numId w:val="28"/>
        </w:numPr>
        <w:tabs>
          <w:tab w:val="left" w:pos="567"/>
        </w:tabs>
        <w:spacing w:line="276" w:lineRule="auto"/>
        <w:ind w:left="144" w:firstLine="432"/>
        <w:jc w:val="both"/>
        <w:rPr>
          <w:lang w:eastAsia="lt-LT"/>
        </w:rPr>
      </w:pPr>
      <w:r w:rsidRPr="00511BEA">
        <w:rPr>
          <w:lang w:eastAsia="lt-LT"/>
        </w:rPr>
        <w:t xml:space="preserve">nepageidaujamų reakcijų valdymo kaštai. </w:t>
      </w:r>
    </w:p>
    <w:p w14:paraId="761C4BFD" w14:textId="77777777" w:rsidR="007F1DB8" w:rsidRPr="00511BEA" w:rsidRDefault="007F1DB8" w:rsidP="007F1DB8">
      <w:pPr>
        <w:pStyle w:val="VVKT"/>
        <w:spacing w:after="0"/>
        <w:ind w:left="144" w:firstLine="432"/>
        <w:jc w:val="both"/>
      </w:pPr>
      <w:r w:rsidRPr="00511BEA">
        <w:t xml:space="preserve">Tarnyba kreipėsi į pareiškėją dėl nustatytų ekonominės analizės trūkumų ir esminių prieštaravimų, dalį jų pareiškėjas išsprendė – pateikė ekonominį modelį, kuris leidžia vertinti pembrolizumabo kaštų naudingumą pagal pacientų pogrupius. Dalis neapibrėžtumų pareiškėjo nebuvo išspręsta, todėl Tarnyba perskaičiuodama analizės rezultatus atliko ekonominio modelio </w:t>
      </w:r>
      <w:r w:rsidRPr="00511BEA">
        <w:lastRenderedPageBreak/>
        <w:t xml:space="preserve">prielaidų ir parametrų pakeitimus, kurie detalizuoti vertinimo protokolo 15 skyriuje. </w:t>
      </w:r>
    </w:p>
    <w:p w14:paraId="7635640E" w14:textId="671AAE08" w:rsidR="00C66A31" w:rsidRPr="00511BEA" w:rsidRDefault="007F1DB8" w:rsidP="00C66A31">
      <w:pPr>
        <w:pStyle w:val="VVKT"/>
        <w:spacing w:after="0"/>
        <w:ind w:left="144" w:firstLine="432"/>
        <w:jc w:val="both"/>
      </w:pPr>
      <w:r w:rsidRPr="00511BEA">
        <w:t xml:space="preserve">Gauti ekonominės analizės rezultatai rodo, kad pembrolizumabo inkrementinė kaštų naudingumo vertė neviršija referencinės kaštų naudingumo vertės. Vertinant pacientų pogrupį su BRAF V600 mutacijomis, gautas analizės rezultatas rodo, kad pembrolizumabo gydymo kaštai yra pigesni už gydymo dabrafenibo ir trametinibo derinio gydymo kaštus. </w:t>
      </w:r>
      <w:r w:rsidRPr="00511BEA">
        <w:rPr>
          <w:rFonts w:eastAsia="Arial"/>
        </w:rPr>
        <w:t xml:space="preserve">Tarnybai yra žinoma, kad dabrafenibo ir trametinibo gamintojas yra sudaręs PGS sutartis su Valstybine ligonių kasa dėl vaistinių preparatų dabrafenibo ir trametinibo kainos sumažinimo. Nuolaidos dydis yra konfidencialus, todėl skaičiavimai pateikiami vertinimo protokolo priede, kuris bus siunčiamas tik Kompensavimo komisijai. </w:t>
      </w:r>
      <w:r w:rsidR="00C66A31" w:rsidRPr="00511BEA">
        <w:rPr>
          <w:rFonts w:eastAsia="Arial"/>
          <w:bCs/>
          <w:szCs w:val="28"/>
        </w:rPr>
        <w:t xml:space="preserve">Tarnyba, įvertinusi ekonominės analizės rezultatus palyginamajam gydymui taikant PGS kainą, teikia išvadą, kad gydymo Keytruda kaštai yra iš esmės vienodi, palyginus su pacientų turinčių </w:t>
      </w:r>
      <w:r w:rsidR="00C66A31" w:rsidRPr="00511BEA">
        <w:t>BRAF V600 mutacijomis</w:t>
      </w:r>
      <w:r w:rsidR="00C66A31" w:rsidRPr="00511BEA">
        <w:rPr>
          <w:rFonts w:eastAsia="Arial"/>
          <w:bCs/>
          <w:szCs w:val="28"/>
        </w:rPr>
        <w:t xml:space="preserve"> gydymu </w:t>
      </w:r>
      <w:r w:rsidR="00C66A31" w:rsidRPr="00511BEA">
        <w:rPr>
          <w:rFonts w:eastAsia="Arial"/>
        </w:rPr>
        <w:t>dabrafenibo ir trametinibo deriniu</w:t>
      </w:r>
      <w:r w:rsidR="00C66A31" w:rsidRPr="00511BEA">
        <w:rPr>
          <w:rFonts w:eastAsia="Arial"/>
          <w:bCs/>
          <w:szCs w:val="28"/>
        </w:rPr>
        <w:t xml:space="preserve">. </w:t>
      </w:r>
    </w:p>
    <w:p w14:paraId="58EBB157" w14:textId="77777777" w:rsidR="00336E12" w:rsidRPr="00511BEA" w:rsidRDefault="00336E12" w:rsidP="00255CDC">
      <w:pPr>
        <w:tabs>
          <w:tab w:val="left" w:pos="426"/>
        </w:tabs>
        <w:spacing w:line="276" w:lineRule="auto"/>
        <w:jc w:val="both"/>
        <w:rPr>
          <w:iCs/>
        </w:rPr>
      </w:pPr>
    </w:p>
    <w:p w14:paraId="7CCF5EAD" w14:textId="161FF1D7" w:rsidR="00336E12" w:rsidRPr="00511BEA" w:rsidRDefault="00336E12" w:rsidP="00336E12">
      <w:pPr>
        <w:tabs>
          <w:tab w:val="left" w:pos="426"/>
        </w:tabs>
        <w:rPr>
          <w:b/>
          <w:lang w:eastAsia="lt-LT"/>
        </w:rPr>
      </w:pPr>
      <w:r w:rsidRPr="00511BEA">
        <w:rPr>
          <w:b/>
          <w:lang w:eastAsia="lt-LT"/>
        </w:rPr>
        <w:t>Ekonominės analizės rezultatas</w:t>
      </w:r>
    </w:p>
    <w:p w14:paraId="68889B9A" w14:textId="77777777" w:rsidR="00336E12" w:rsidRPr="00511BEA" w:rsidRDefault="00336E12" w:rsidP="00336E12">
      <w:pPr>
        <w:tabs>
          <w:tab w:val="left" w:pos="426"/>
        </w:tabs>
        <w:rPr>
          <w:b/>
          <w:lang w:eastAsia="lt-LT"/>
        </w:rPr>
      </w:pPr>
    </w:p>
    <w:p w14:paraId="0331E6ED" w14:textId="461B4F38" w:rsidR="00336E12" w:rsidRPr="00511BEA" w:rsidRDefault="00336E12" w:rsidP="00336E12">
      <w:pPr>
        <w:tabs>
          <w:tab w:val="left" w:pos="426"/>
        </w:tabs>
        <w:spacing w:line="276" w:lineRule="auto"/>
        <w:jc w:val="both"/>
        <w:rPr>
          <w:iCs/>
        </w:rPr>
      </w:pPr>
      <w:r w:rsidRPr="00511BEA">
        <w:rPr>
          <w:iCs/>
        </w:rPr>
        <w:tab/>
        <w:t>Pacientams, kuriems nustatyta III stadijos melanoma be BRAF V600 mutacijų ir metastazių limfmazgiuose ir kuriems buvo atlikta visiška rezekcija, adjuvantiniam gydymui, kai pembrolizumabas buvo lygintas su stebėjimo ir laukimo taktika.</w:t>
      </w:r>
    </w:p>
    <w:p w14:paraId="3A700F28" w14:textId="77777777" w:rsidR="00336E12" w:rsidRPr="00511BEA" w:rsidRDefault="00336E12" w:rsidP="00336E12">
      <w:pPr>
        <w:tabs>
          <w:tab w:val="left" w:pos="426"/>
        </w:tabs>
        <w:rPr>
          <w:lang w:eastAsia="lt-LT"/>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6"/>
        <w:gridCol w:w="5513"/>
      </w:tblGrid>
      <w:tr w:rsidR="00336E12" w:rsidRPr="00511BEA" w14:paraId="074C78A4" w14:textId="77777777" w:rsidTr="000766C2">
        <w:tc>
          <w:tcPr>
            <w:tcW w:w="9609" w:type="dxa"/>
            <w:gridSpan w:val="2"/>
            <w:tcBorders>
              <w:top w:val="single" w:sz="12" w:space="0" w:color="auto"/>
            </w:tcBorders>
          </w:tcPr>
          <w:p w14:paraId="78023231" w14:textId="77777777" w:rsidR="00336E12" w:rsidRPr="00511BEA" w:rsidRDefault="00336E12" w:rsidP="000766C2">
            <w:pPr>
              <w:tabs>
                <w:tab w:val="left" w:pos="567"/>
              </w:tabs>
              <w:jc w:val="center"/>
              <w:rPr>
                <w:b/>
                <w:bCs/>
                <w:sz w:val="26"/>
                <w:szCs w:val="26"/>
                <w:lang w:eastAsia="lt-LT"/>
              </w:rPr>
            </w:pPr>
            <w:r w:rsidRPr="00511BEA">
              <w:rPr>
                <w:b/>
                <w:bCs/>
                <w:sz w:val="26"/>
                <w:szCs w:val="26"/>
                <w:lang w:eastAsia="lt-LT"/>
              </w:rPr>
              <w:t>Rezultatai</w:t>
            </w:r>
          </w:p>
        </w:tc>
      </w:tr>
      <w:tr w:rsidR="00336E12" w:rsidRPr="00511BEA" w14:paraId="3359380E" w14:textId="77777777" w:rsidTr="000766C2">
        <w:tc>
          <w:tcPr>
            <w:tcW w:w="4096" w:type="dxa"/>
          </w:tcPr>
          <w:p w14:paraId="1BBCE25A" w14:textId="77777777" w:rsidR="00336E12" w:rsidRPr="00511BEA" w:rsidRDefault="00336E12" w:rsidP="00336E12">
            <w:pPr>
              <w:tabs>
                <w:tab w:val="left" w:pos="567"/>
              </w:tabs>
              <w:jc w:val="right"/>
              <w:rPr>
                <w:iCs/>
                <w:lang w:eastAsia="lt-LT"/>
              </w:rPr>
            </w:pPr>
            <w:r w:rsidRPr="00511BEA">
              <w:rPr>
                <w:iCs/>
                <w:lang w:eastAsia="lt-LT"/>
              </w:rPr>
              <w:t>ICER už LY</w:t>
            </w:r>
          </w:p>
        </w:tc>
        <w:tc>
          <w:tcPr>
            <w:tcW w:w="5513" w:type="dxa"/>
          </w:tcPr>
          <w:p w14:paraId="38446811" w14:textId="16FC60AB" w:rsidR="00336E12" w:rsidRPr="00511BEA" w:rsidRDefault="00336E12" w:rsidP="00336E12">
            <w:pPr>
              <w:tabs>
                <w:tab w:val="left" w:pos="567"/>
              </w:tabs>
              <w:jc w:val="center"/>
              <w:rPr>
                <w:i/>
                <w:iCs/>
                <w:lang w:eastAsia="lt-LT"/>
              </w:rPr>
            </w:pPr>
          </w:p>
        </w:tc>
      </w:tr>
      <w:tr w:rsidR="00336E12" w:rsidRPr="00511BEA" w14:paraId="5A1C3CD9" w14:textId="77777777" w:rsidTr="000766C2">
        <w:tc>
          <w:tcPr>
            <w:tcW w:w="4096" w:type="dxa"/>
          </w:tcPr>
          <w:p w14:paraId="00C84FCD" w14:textId="77777777" w:rsidR="00336E12" w:rsidRPr="00511BEA" w:rsidRDefault="00336E12" w:rsidP="00336E12">
            <w:pPr>
              <w:tabs>
                <w:tab w:val="left" w:pos="567"/>
              </w:tabs>
              <w:jc w:val="right"/>
              <w:rPr>
                <w:iCs/>
                <w:lang w:eastAsia="lt-LT"/>
              </w:rPr>
            </w:pPr>
            <w:r w:rsidRPr="00511BEA">
              <w:rPr>
                <w:iCs/>
                <w:lang w:eastAsia="lt-LT"/>
              </w:rPr>
              <w:t>ICER už QALY</w:t>
            </w:r>
          </w:p>
        </w:tc>
        <w:tc>
          <w:tcPr>
            <w:tcW w:w="5513" w:type="dxa"/>
          </w:tcPr>
          <w:p w14:paraId="1FAA0F5E" w14:textId="6B154A4C" w:rsidR="00336E12" w:rsidRPr="00511BEA" w:rsidRDefault="00336E12" w:rsidP="00336E12">
            <w:pPr>
              <w:tabs>
                <w:tab w:val="left" w:pos="567"/>
              </w:tabs>
              <w:jc w:val="center"/>
              <w:rPr>
                <w:i/>
                <w:iCs/>
                <w:lang w:eastAsia="lt-LT"/>
              </w:rPr>
            </w:pPr>
          </w:p>
        </w:tc>
      </w:tr>
      <w:tr w:rsidR="00336E12" w:rsidRPr="00511BEA" w14:paraId="4916497C" w14:textId="77777777" w:rsidTr="000766C2">
        <w:tc>
          <w:tcPr>
            <w:tcW w:w="4096" w:type="dxa"/>
          </w:tcPr>
          <w:p w14:paraId="085742EA" w14:textId="77777777" w:rsidR="00336E12" w:rsidRPr="00511BEA" w:rsidRDefault="00336E12" w:rsidP="00336E12">
            <w:pPr>
              <w:tabs>
                <w:tab w:val="left" w:pos="567"/>
              </w:tabs>
              <w:jc w:val="right"/>
              <w:rPr>
                <w:iCs/>
                <w:lang w:eastAsia="lt-LT"/>
              </w:rPr>
            </w:pPr>
            <w:r w:rsidRPr="00511BEA">
              <w:rPr>
                <w:iCs/>
                <w:lang w:eastAsia="lt-LT"/>
              </w:rPr>
              <w:t>Referentinė kaštų naudingumo vertė</w:t>
            </w:r>
          </w:p>
        </w:tc>
        <w:tc>
          <w:tcPr>
            <w:tcW w:w="5513" w:type="dxa"/>
          </w:tcPr>
          <w:p w14:paraId="16AEC05C" w14:textId="620E9241" w:rsidR="00336E12" w:rsidRPr="00511BEA" w:rsidRDefault="00336E12" w:rsidP="00336E12">
            <w:pPr>
              <w:tabs>
                <w:tab w:val="left" w:pos="567"/>
              </w:tabs>
              <w:jc w:val="center"/>
              <w:rPr>
                <w:i/>
                <w:iCs/>
                <w:lang w:eastAsia="lt-LT"/>
              </w:rPr>
            </w:pPr>
            <w:r w:rsidRPr="00511BEA">
              <w:rPr>
                <w:lang w:eastAsia="lt-LT"/>
              </w:rPr>
              <w:t>71 406</w:t>
            </w:r>
          </w:p>
        </w:tc>
      </w:tr>
    </w:tbl>
    <w:p w14:paraId="770DFF7F" w14:textId="77777777" w:rsidR="00336E12" w:rsidRPr="00511BEA" w:rsidRDefault="00336E12" w:rsidP="00336E12">
      <w:pPr>
        <w:tabs>
          <w:tab w:val="left" w:pos="567"/>
        </w:tabs>
        <w:jc w:val="both"/>
        <w:rPr>
          <w:iCs/>
          <w:sz w:val="20"/>
          <w:lang w:eastAsia="lt-LT"/>
        </w:rPr>
      </w:pPr>
      <w:r w:rsidRPr="00511BEA">
        <w:rPr>
          <w:iCs/>
          <w:sz w:val="20"/>
          <w:lang w:eastAsia="lt-LT"/>
        </w:rPr>
        <w:t>ICER – (</w:t>
      </w:r>
      <w:r w:rsidRPr="00511BEA">
        <w:rPr>
          <w:i/>
          <w:sz w:val="20"/>
          <w:lang w:eastAsia="lt-LT"/>
        </w:rPr>
        <w:t>angl. incremental cost-effectiveness ratio</w:t>
      </w:r>
      <w:r w:rsidRPr="00511BEA">
        <w:rPr>
          <w:iCs/>
          <w:sz w:val="20"/>
          <w:lang w:eastAsia="lt-LT"/>
        </w:rPr>
        <w:t>) inkrementinis kaštų naudingumo koeficientas; LY – (</w:t>
      </w:r>
      <w:r w:rsidRPr="00511BEA">
        <w:rPr>
          <w:i/>
          <w:sz w:val="20"/>
          <w:lang w:eastAsia="lt-LT"/>
        </w:rPr>
        <w:t>angl. life years</w:t>
      </w:r>
      <w:r w:rsidRPr="00511BEA">
        <w:rPr>
          <w:iCs/>
          <w:sz w:val="20"/>
          <w:lang w:eastAsia="lt-LT"/>
        </w:rPr>
        <w:t>) gyvenimo metai; QALY- (</w:t>
      </w:r>
      <w:r w:rsidRPr="00511BEA">
        <w:rPr>
          <w:i/>
          <w:sz w:val="20"/>
          <w:lang w:eastAsia="lt-LT"/>
        </w:rPr>
        <w:t xml:space="preserve">angl. quality adjusted life years) </w:t>
      </w:r>
      <w:r w:rsidRPr="00511BEA">
        <w:rPr>
          <w:iCs/>
          <w:sz w:val="20"/>
          <w:lang w:eastAsia="lt-LT"/>
        </w:rPr>
        <w:t>kokybiški gyvenimo metai.</w:t>
      </w:r>
    </w:p>
    <w:p w14:paraId="2C657D6D" w14:textId="77777777" w:rsidR="00336E12" w:rsidRPr="00511BEA" w:rsidRDefault="00336E12" w:rsidP="00255CDC">
      <w:pPr>
        <w:tabs>
          <w:tab w:val="left" w:pos="426"/>
        </w:tabs>
        <w:spacing w:line="276" w:lineRule="auto"/>
        <w:jc w:val="both"/>
        <w:rPr>
          <w:iCs/>
        </w:rPr>
      </w:pPr>
    </w:p>
    <w:p w14:paraId="500911E2" w14:textId="71F6B067" w:rsidR="00336E12" w:rsidRPr="00511BEA" w:rsidRDefault="00336E12" w:rsidP="00255CDC">
      <w:pPr>
        <w:tabs>
          <w:tab w:val="left" w:pos="426"/>
        </w:tabs>
        <w:spacing w:line="276" w:lineRule="auto"/>
        <w:jc w:val="both"/>
        <w:rPr>
          <w:iCs/>
        </w:rPr>
      </w:pPr>
      <w:r w:rsidRPr="00511BEA">
        <w:rPr>
          <w:iCs/>
        </w:rPr>
        <w:t>Pacientams, kuriems  nustatyta III stadijos melanoma su BRAF V600 mutacijomis  be metastazių limfmazgiuose ir kuriems buvo atlikta visiška rezekcija, adjuvantiniam gydymui, kai pembrolizumabas buvo lygintas su dabrafenibo ir trametinibo deriniu.</w:t>
      </w:r>
    </w:p>
    <w:p w14:paraId="15993F46" w14:textId="77777777" w:rsidR="00336E12" w:rsidRPr="00511BEA" w:rsidRDefault="00336E12" w:rsidP="00255CDC">
      <w:pPr>
        <w:tabs>
          <w:tab w:val="left" w:pos="426"/>
        </w:tabs>
        <w:spacing w:line="276" w:lineRule="auto"/>
        <w:jc w:val="both"/>
        <w:rPr>
          <w:iCs/>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2340"/>
        <w:gridCol w:w="3208"/>
        <w:gridCol w:w="2125"/>
      </w:tblGrid>
      <w:tr w:rsidR="00336E12" w:rsidRPr="00511BEA" w14:paraId="69A56B87" w14:textId="77777777" w:rsidTr="00336E12">
        <w:trPr>
          <w:trHeight w:val="364"/>
          <w:jc w:val="center"/>
        </w:trPr>
        <w:tc>
          <w:tcPr>
            <w:tcW w:w="9908" w:type="dxa"/>
            <w:gridSpan w:val="4"/>
            <w:shd w:val="clear" w:color="auto" w:fill="auto"/>
            <w:vAlign w:val="center"/>
          </w:tcPr>
          <w:p w14:paraId="210F7919" w14:textId="155CC3AB" w:rsidR="00336E12" w:rsidRPr="00511BEA" w:rsidRDefault="00336E12" w:rsidP="000766C2">
            <w:pPr>
              <w:tabs>
                <w:tab w:val="left" w:pos="567"/>
              </w:tabs>
              <w:jc w:val="center"/>
              <w:rPr>
                <w:b/>
                <w:i/>
                <w:iCs/>
                <w:sz w:val="22"/>
                <w:szCs w:val="22"/>
                <w:lang w:eastAsia="lt-LT"/>
              </w:rPr>
            </w:pPr>
            <w:r w:rsidRPr="00511BEA">
              <w:rPr>
                <w:b/>
                <w:bCs/>
                <w:sz w:val="26"/>
                <w:szCs w:val="26"/>
                <w:lang w:eastAsia="lt-LT"/>
              </w:rPr>
              <w:t>Rezultatai</w:t>
            </w:r>
          </w:p>
        </w:tc>
      </w:tr>
      <w:tr w:rsidR="00336E12" w:rsidRPr="00511BEA" w14:paraId="52E7B26F" w14:textId="77777777" w:rsidTr="00B65488">
        <w:trPr>
          <w:jc w:val="center"/>
        </w:trPr>
        <w:tc>
          <w:tcPr>
            <w:tcW w:w="2235" w:type="dxa"/>
          </w:tcPr>
          <w:p w14:paraId="0A1B03C5" w14:textId="77777777" w:rsidR="00336E12" w:rsidRPr="00511BEA" w:rsidRDefault="00336E12" w:rsidP="000766C2">
            <w:pPr>
              <w:tabs>
                <w:tab w:val="left" w:pos="567"/>
              </w:tabs>
              <w:jc w:val="both"/>
              <w:rPr>
                <w:lang w:eastAsia="lt-LT"/>
              </w:rPr>
            </w:pPr>
          </w:p>
        </w:tc>
        <w:tc>
          <w:tcPr>
            <w:tcW w:w="2340" w:type="dxa"/>
          </w:tcPr>
          <w:p w14:paraId="496C5B5B" w14:textId="77777777" w:rsidR="00336E12" w:rsidRPr="00511BEA" w:rsidRDefault="00336E12" w:rsidP="000766C2">
            <w:pPr>
              <w:tabs>
                <w:tab w:val="left" w:pos="567"/>
              </w:tabs>
              <w:jc w:val="center"/>
              <w:rPr>
                <w:i/>
                <w:iCs/>
                <w:lang w:eastAsia="lt-LT"/>
              </w:rPr>
            </w:pPr>
            <w:r w:rsidRPr="00511BEA">
              <w:rPr>
                <w:i/>
                <w:iCs/>
                <w:lang w:eastAsia="lt-LT"/>
              </w:rPr>
              <w:t>Pembrolizumabas</w:t>
            </w:r>
          </w:p>
        </w:tc>
        <w:tc>
          <w:tcPr>
            <w:tcW w:w="3208" w:type="dxa"/>
          </w:tcPr>
          <w:p w14:paraId="5CF99423" w14:textId="77777777" w:rsidR="00336E12" w:rsidRPr="00511BEA" w:rsidRDefault="00336E12" w:rsidP="000766C2">
            <w:pPr>
              <w:tabs>
                <w:tab w:val="left" w:pos="567"/>
              </w:tabs>
              <w:jc w:val="center"/>
              <w:rPr>
                <w:i/>
                <w:iCs/>
                <w:lang w:val="en-GB" w:eastAsia="lt-LT"/>
              </w:rPr>
            </w:pPr>
            <w:r w:rsidRPr="00511BEA">
              <w:rPr>
                <w:i/>
                <w:iCs/>
                <w:lang w:eastAsia="lt-LT"/>
              </w:rPr>
              <w:t>Dabrafenibas ir trametinibas</w:t>
            </w:r>
          </w:p>
        </w:tc>
        <w:tc>
          <w:tcPr>
            <w:tcW w:w="2125" w:type="dxa"/>
          </w:tcPr>
          <w:p w14:paraId="6DB4FA00" w14:textId="77777777" w:rsidR="00336E12" w:rsidRPr="00511BEA" w:rsidRDefault="00336E12" w:rsidP="000766C2">
            <w:pPr>
              <w:tabs>
                <w:tab w:val="left" w:pos="567"/>
              </w:tabs>
              <w:jc w:val="center"/>
              <w:rPr>
                <w:b/>
                <w:bCs/>
                <w:lang w:eastAsia="lt-LT"/>
              </w:rPr>
            </w:pPr>
            <w:r w:rsidRPr="00511BEA">
              <w:rPr>
                <w:b/>
                <w:bCs/>
                <w:lang w:eastAsia="lt-LT"/>
              </w:rPr>
              <w:t>Skirtumas</w:t>
            </w:r>
          </w:p>
        </w:tc>
      </w:tr>
      <w:tr w:rsidR="00336E12" w:rsidRPr="00511BEA" w14:paraId="5B30C3F1" w14:textId="77777777" w:rsidTr="00B65488">
        <w:trPr>
          <w:jc w:val="center"/>
        </w:trPr>
        <w:tc>
          <w:tcPr>
            <w:tcW w:w="2235" w:type="dxa"/>
          </w:tcPr>
          <w:p w14:paraId="6AD85B38" w14:textId="122047D2" w:rsidR="00336E12" w:rsidRPr="00511BEA" w:rsidRDefault="00336E12" w:rsidP="000766C2">
            <w:pPr>
              <w:tabs>
                <w:tab w:val="left" w:pos="567"/>
              </w:tabs>
              <w:jc w:val="both"/>
              <w:rPr>
                <w:iCs/>
                <w:lang w:eastAsia="lt-LT"/>
              </w:rPr>
            </w:pPr>
            <w:r w:rsidRPr="00511BEA">
              <w:rPr>
                <w:iCs/>
              </w:rPr>
              <w:t>Kaštai, Eur</w:t>
            </w:r>
          </w:p>
        </w:tc>
        <w:tc>
          <w:tcPr>
            <w:tcW w:w="2340" w:type="dxa"/>
          </w:tcPr>
          <w:p w14:paraId="09306683" w14:textId="2AD03F12" w:rsidR="00336E12" w:rsidRPr="00511BEA" w:rsidRDefault="00336E12" w:rsidP="000766C2">
            <w:pPr>
              <w:tabs>
                <w:tab w:val="left" w:pos="567"/>
              </w:tabs>
              <w:jc w:val="center"/>
              <w:rPr>
                <w:i/>
                <w:iCs/>
                <w:lang w:eastAsia="lt-LT"/>
              </w:rPr>
            </w:pPr>
          </w:p>
        </w:tc>
        <w:tc>
          <w:tcPr>
            <w:tcW w:w="3208" w:type="dxa"/>
          </w:tcPr>
          <w:p w14:paraId="20D96A1C" w14:textId="121059F4" w:rsidR="00336E12" w:rsidRPr="00511BEA" w:rsidRDefault="00336E12" w:rsidP="000766C2">
            <w:pPr>
              <w:tabs>
                <w:tab w:val="left" w:pos="567"/>
              </w:tabs>
              <w:jc w:val="center"/>
              <w:rPr>
                <w:i/>
                <w:iCs/>
                <w:lang w:eastAsia="lt-LT"/>
              </w:rPr>
            </w:pPr>
          </w:p>
        </w:tc>
        <w:tc>
          <w:tcPr>
            <w:tcW w:w="2125" w:type="dxa"/>
          </w:tcPr>
          <w:p w14:paraId="4FC888B1" w14:textId="185792E6" w:rsidR="00336E12" w:rsidRPr="00511BEA" w:rsidRDefault="00336E12" w:rsidP="000766C2">
            <w:pPr>
              <w:tabs>
                <w:tab w:val="left" w:pos="567"/>
              </w:tabs>
              <w:jc w:val="center"/>
              <w:rPr>
                <w:i/>
                <w:iCs/>
                <w:lang w:eastAsia="lt-LT"/>
              </w:rPr>
            </w:pPr>
          </w:p>
        </w:tc>
      </w:tr>
    </w:tbl>
    <w:p w14:paraId="7D4E7D81" w14:textId="77777777" w:rsidR="00E75AE0" w:rsidRPr="00511BEA" w:rsidRDefault="00E75AE0" w:rsidP="00A93AA6">
      <w:pPr>
        <w:tabs>
          <w:tab w:val="left" w:pos="426"/>
        </w:tabs>
        <w:rPr>
          <w:i/>
          <w:color w:val="00B050"/>
          <w:sz w:val="22"/>
          <w:szCs w:val="22"/>
        </w:rPr>
      </w:pPr>
    </w:p>
    <w:p w14:paraId="36DEA333" w14:textId="79D3460C" w:rsidR="00E84FAD" w:rsidRPr="00511BEA" w:rsidRDefault="00E84FAD" w:rsidP="00AF3EBC">
      <w:pPr>
        <w:ind w:firstLine="709"/>
        <w:jc w:val="both"/>
      </w:pPr>
      <w:r w:rsidRPr="00511BEA">
        <w:t xml:space="preserve">. </w:t>
      </w:r>
    </w:p>
    <w:p w14:paraId="4FC424F9" w14:textId="4E767245" w:rsidR="00C62B36" w:rsidRPr="00511BEA" w:rsidRDefault="00C62B36" w:rsidP="00937907">
      <w:pPr>
        <w:pStyle w:val="ListParagraph"/>
        <w:numPr>
          <w:ilvl w:val="0"/>
          <w:numId w:val="12"/>
        </w:numPr>
        <w:tabs>
          <w:tab w:val="left" w:pos="284"/>
        </w:tabs>
        <w:rPr>
          <w:b/>
          <w:bCs/>
          <w:caps/>
        </w:rPr>
      </w:pPr>
      <w:r w:rsidRPr="00511BEA">
        <w:rPr>
          <w:b/>
          <w:bCs/>
          <w:caps/>
        </w:rPr>
        <w:t xml:space="preserve">Pacientų organizacijų pateikti duomenys </w:t>
      </w:r>
    </w:p>
    <w:p w14:paraId="62992180" w14:textId="0088C13E" w:rsidR="00937907" w:rsidRPr="00511BEA" w:rsidRDefault="002D6184"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DF7012" w:rsidRPr="00511BEA">
            <w:rPr>
              <w:rStyle w:val="Style2"/>
              <w:rFonts w:ascii="MS Gothic" w:eastAsia="MS Gothic" w:hAnsi="MS Gothic" w:hint="eastAsia"/>
            </w:rPr>
            <w:t>☒</w:t>
          </w:r>
        </w:sdtContent>
      </w:sdt>
      <w:r w:rsidR="00937907" w:rsidRPr="00511BEA">
        <w:t xml:space="preserve"> Pacientų organizacijos pozicija </w:t>
      </w:r>
      <w:r w:rsidR="00880A44" w:rsidRPr="00511BEA">
        <w:t>ne</w:t>
      </w:r>
      <w:r w:rsidR="00937907" w:rsidRPr="00511BEA">
        <w:t>pateikta.</w:t>
      </w:r>
    </w:p>
    <w:p w14:paraId="196A1D06" w14:textId="77777777" w:rsidR="00D27AFA" w:rsidRPr="00511BEA" w:rsidRDefault="00D27AFA" w:rsidP="00937907">
      <w:pPr>
        <w:spacing w:after="120"/>
        <w:jc w:val="both"/>
      </w:pPr>
    </w:p>
    <w:p w14:paraId="3D3277FA" w14:textId="3CEEB2D2" w:rsidR="00C62B36" w:rsidRPr="00511BEA" w:rsidRDefault="00C62B36" w:rsidP="00937907">
      <w:pPr>
        <w:pStyle w:val="ListParagraph"/>
        <w:numPr>
          <w:ilvl w:val="0"/>
          <w:numId w:val="12"/>
        </w:numPr>
        <w:tabs>
          <w:tab w:val="left" w:pos="426"/>
        </w:tabs>
        <w:rPr>
          <w:b/>
          <w:bCs/>
          <w:caps/>
        </w:rPr>
      </w:pPr>
      <w:r w:rsidRPr="00511BEA">
        <w:rPr>
          <w:b/>
          <w:bCs/>
          <w:caps/>
        </w:rPr>
        <w:t>Gydytojų organizacijų pateikti duomenys</w:t>
      </w:r>
    </w:p>
    <w:p w14:paraId="389A346C" w14:textId="3BEED720" w:rsidR="00937907" w:rsidRPr="00511BEA" w:rsidRDefault="002D6184"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EndPr>
          <w:rPr>
            <w:rStyle w:val="Style2"/>
          </w:rPr>
        </w:sdtEndPr>
        <w:sdtContent>
          <w:r w:rsidR="00341BF0" w:rsidRPr="00511BEA">
            <w:rPr>
              <w:rStyle w:val="Style2"/>
              <w:rFonts w:ascii="MS Gothic" w:eastAsia="MS Gothic" w:hAnsi="MS Gothic" w:hint="eastAsia"/>
            </w:rPr>
            <w:t>☒</w:t>
          </w:r>
        </w:sdtContent>
      </w:sdt>
      <w:r w:rsidR="00662983" w:rsidRPr="00511BEA">
        <w:t xml:space="preserve"> </w:t>
      </w:r>
      <w:r w:rsidR="00937907" w:rsidRPr="00511BEA">
        <w:t xml:space="preserve">Gydytojų specialistų organizacijos pozicija pateikta. </w:t>
      </w:r>
      <w:r w:rsidR="00662983" w:rsidRPr="00511BEA">
        <w:t>Žr. priedą</w:t>
      </w:r>
      <w:r w:rsidR="00937907" w:rsidRPr="00511BEA">
        <w:t>.</w:t>
      </w:r>
    </w:p>
    <w:p w14:paraId="667FF66C" w14:textId="77777777" w:rsidR="00D27AFA" w:rsidRPr="00511BEA" w:rsidRDefault="00D27AFA" w:rsidP="00662983">
      <w:pPr>
        <w:spacing w:after="120"/>
        <w:jc w:val="both"/>
      </w:pPr>
    </w:p>
    <w:p w14:paraId="2E7B9816" w14:textId="3F165A0F" w:rsidR="00D27AFA" w:rsidRPr="00511BEA" w:rsidRDefault="002F0E4F" w:rsidP="00D27AFA">
      <w:pPr>
        <w:pStyle w:val="ListParagraph"/>
        <w:numPr>
          <w:ilvl w:val="0"/>
          <w:numId w:val="12"/>
        </w:numPr>
        <w:tabs>
          <w:tab w:val="left" w:pos="426"/>
        </w:tabs>
        <w:rPr>
          <w:b/>
          <w:bCs/>
          <w:caps/>
        </w:rPr>
      </w:pPr>
      <w:r w:rsidRPr="00511BEA">
        <w:rPr>
          <w:b/>
          <w:bCs/>
          <w:caps/>
        </w:rPr>
        <w:t xml:space="preserve">Išvada </w:t>
      </w:r>
    </w:p>
    <w:p w14:paraId="5789BA21" w14:textId="29561F1A" w:rsidR="00D27AFA" w:rsidRPr="00511BEA" w:rsidRDefault="00D27AFA" w:rsidP="00D27AFA">
      <w:pPr>
        <w:tabs>
          <w:tab w:val="left" w:pos="426"/>
        </w:tabs>
        <w:rPr>
          <w:b/>
          <w:bCs/>
          <w:caps/>
        </w:rPr>
      </w:pPr>
    </w:p>
    <w:tbl>
      <w:tblPr>
        <w:tblStyle w:val="TableGrid"/>
        <w:tblW w:w="9918" w:type="dxa"/>
        <w:jc w:val="center"/>
        <w:tblLook w:val="04A0" w:firstRow="1" w:lastRow="0" w:firstColumn="1" w:lastColumn="0" w:noHBand="0" w:noVBand="1"/>
      </w:tblPr>
      <w:tblGrid>
        <w:gridCol w:w="4886"/>
        <w:gridCol w:w="5032"/>
      </w:tblGrid>
      <w:tr w:rsidR="00D27AFA" w:rsidRPr="00511BEA" w14:paraId="23025D40" w14:textId="77777777" w:rsidTr="00B12733">
        <w:trPr>
          <w:trHeight w:val="532"/>
          <w:jc w:val="center"/>
        </w:trPr>
        <w:tc>
          <w:tcPr>
            <w:tcW w:w="4886" w:type="dxa"/>
            <w:vAlign w:val="center"/>
          </w:tcPr>
          <w:p w14:paraId="3246B87E" w14:textId="77777777" w:rsidR="00D27AFA" w:rsidRPr="00511BEA" w:rsidRDefault="00D27AF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11BEA">
              <w:rPr>
                <w:rStyle w:val="Style2"/>
                <w:rFonts w:eastAsia="MS Gothic"/>
                <w:b/>
                <w:bCs/>
                <w:sz w:val="24"/>
              </w:rPr>
              <w:t>Rekomenduojama kompensuoti</w:t>
            </w:r>
          </w:p>
        </w:tc>
        <w:tc>
          <w:tcPr>
            <w:tcW w:w="5032" w:type="dxa"/>
            <w:vAlign w:val="center"/>
          </w:tcPr>
          <w:p w14:paraId="5E209509" w14:textId="77777777" w:rsidR="00D27AFA" w:rsidRPr="00511BEA" w:rsidRDefault="00D27AF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11BEA">
              <w:rPr>
                <w:rStyle w:val="Style2"/>
                <w:rFonts w:eastAsia="MS Gothic"/>
                <w:b/>
                <w:bCs/>
                <w:sz w:val="24"/>
              </w:rPr>
              <w:t>Rekomenduojama nekompensuoti</w:t>
            </w:r>
          </w:p>
        </w:tc>
      </w:tr>
      <w:tr w:rsidR="00D27AFA" w:rsidRPr="00511BEA" w14:paraId="6533B984" w14:textId="77777777" w:rsidTr="00B12733">
        <w:trPr>
          <w:trHeight w:val="494"/>
          <w:jc w:val="center"/>
        </w:trPr>
        <w:tc>
          <w:tcPr>
            <w:tcW w:w="9918" w:type="dxa"/>
            <w:gridSpan w:val="2"/>
            <w:vAlign w:val="center"/>
          </w:tcPr>
          <w:p w14:paraId="2CC03811" w14:textId="77777777" w:rsidR="00D27AFA" w:rsidRPr="00511BEA" w:rsidRDefault="00D27AF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11BEA">
              <w:rPr>
                <w:rStyle w:val="Style2"/>
                <w:rFonts w:eastAsia="MS Gothic"/>
                <w:b/>
                <w:bCs/>
                <w:sz w:val="24"/>
              </w:rPr>
              <w:t>Palyginamasis efektyvumas</w:t>
            </w:r>
          </w:p>
        </w:tc>
      </w:tr>
      <w:tr w:rsidR="00D27AFA" w:rsidRPr="00511BEA" w14:paraId="2E0946F8" w14:textId="77777777" w:rsidTr="00B12733">
        <w:trPr>
          <w:trHeight w:val="1546"/>
          <w:jc w:val="center"/>
        </w:trPr>
        <w:tc>
          <w:tcPr>
            <w:tcW w:w="4886" w:type="dxa"/>
          </w:tcPr>
          <w:p w14:paraId="0C60F8E3" w14:textId="77777777" w:rsidR="00D27AFA" w:rsidRPr="00511BEA" w:rsidRDefault="002D6184"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8"/>
                </w:rPr>
                <w:id w:val="-253974781"/>
                <w15:color w:val="FFCC00"/>
                <w14:checkbox>
                  <w14:checked w14:val="1"/>
                  <w14:checkedState w14:val="2612" w14:font="MS Gothic"/>
                  <w14:uncheckedState w14:val="2610" w14:font="MS Gothic"/>
                </w14:checkbox>
              </w:sdtPr>
              <w:sdtEndPr>
                <w:rPr>
                  <w:rStyle w:val="Style2"/>
                </w:rPr>
              </w:sdtEndPr>
              <w:sdtContent>
                <w:r w:rsidR="00D27AFA" w:rsidRPr="00511BEA">
                  <w:rPr>
                    <w:rStyle w:val="Style2"/>
                    <w:rFonts w:ascii="Segoe UI Symbol" w:eastAsia="MS Gothic" w:hAnsi="Segoe UI Symbol" w:cs="Segoe UI Symbol"/>
                    <w:sz w:val="28"/>
                  </w:rPr>
                  <w:t>☒</w:t>
                </w:r>
              </w:sdtContent>
            </w:sdt>
            <w:r w:rsidR="00D27AFA" w:rsidRPr="00511BEA">
              <w:t xml:space="preserve"> 32.1. yra didesnis</w:t>
            </w:r>
          </w:p>
          <w:p w14:paraId="7F38E092" w14:textId="77777777" w:rsidR="00D27AFA" w:rsidRPr="00511BEA" w:rsidRDefault="00D27AF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40C4583" w14:textId="77777777" w:rsidR="00D27AFA" w:rsidRPr="00511BEA" w:rsidRDefault="002D6184"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2042735340"/>
                <w15:color w:val="FFCC00"/>
                <w14:checkbox>
                  <w14:checked w14:val="0"/>
                  <w14:checkedState w14:val="2612" w14:font="MS Gothic"/>
                  <w14:uncheckedState w14:val="2610" w14:font="MS Gothic"/>
                </w14:checkbox>
              </w:sdtPr>
              <w:sdtEndPr>
                <w:rPr>
                  <w:rStyle w:val="Style2"/>
                </w:rPr>
              </w:sdtEndPr>
              <w:sdtContent>
                <w:r w:rsidR="00D27AFA" w:rsidRPr="00511BEA">
                  <w:rPr>
                    <w:rStyle w:val="Style2"/>
                    <w:rFonts w:ascii="Segoe UI Symbol" w:eastAsia="MS Gothic" w:hAnsi="Segoe UI Symbol" w:cs="Segoe UI Symbol"/>
                    <w:sz w:val="24"/>
                  </w:rPr>
                  <w:t>☐</w:t>
                </w:r>
              </w:sdtContent>
            </w:sdt>
            <w:r w:rsidR="00D27AFA" w:rsidRPr="00511BEA">
              <w:t xml:space="preserve"> 32.1. iš esmės nesiskiria</w:t>
            </w:r>
          </w:p>
        </w:tc>
        <w:tc>
          <w:tcPr>
            <w:tcW w:w="5032" w:type="dxa"/>
          </w:tcPr>
          <w:p w14:paraId="25D391D3" w14:textId="77777777" w:rsidR="00D27AFA" w:rsidRPr="00511BEA" w:rsidRDefault="002D6184"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223253010"/>
                <w15:color w:val="FFCC00"/>
                <w14:checkbox>
                  <w14:checked w14:val="0"/>
                  <w14:checkedState w14:val="2612" w14:font="MS Gothic"/>
                  <w14:uncheckedState w14:val="2610" w14:font="MS Gothic"/>
                </w14:checkbox>
              </w:sdtPr>
              <w:sdtEndPr>
                <w:rPr>
                  <w:rStyle w:val="Style2"/>
                </w:rPr>
              </w:sdtEndPr>
              <w:sdtContent>
                <w:r w:rsidR="00D27AFA" w:rsidRPr="00511BEA">
                  <w:rPr>
                    <w:rStyle w:val="Style2"/>
                    <w:rFonts w:ascii="Segoe UI Symbol" w:eastAsia="MS Gothic" w:hAnsi="Segoe UI Symbol" w:cs="Segoe UI Symbol"/>
                    <w:sz w:val="24"/>
                  </w:rPr>
                  <w:t>☐</w:t>
                </w:r>
              </w:sdtContent>
            </w:sdt>
            <w:r w:rsidR="00D27AFA" w:rsidRPr="00511BEA">
              <w:t xml:space="preserve"> 33.1. yra mažesnis</w:t>
            </w:r>
          </w:p>
          <w:p w14:paraId="408E2052" w14:textId="77777777" w:rsidR="00D27AFA" w:rsidRPr="00511BEA" w:rsidRDefault="00D27AF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77ACD5F" w14:textId="77777777" w:rsidR="00D27AFA" w:rsidRPr="00511BEA" w:rsidRDefault="002D6184"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100856797"/>
                <w15:color w:val="FFCC00"/>
                <w14:checkbox>
                  <w14:checked w14:val="0"/>
                  <w14:checkedState w14:val="2612" w14:font="MS Gothic"/>
                  <w14:uncheckedState w14:val="2610" w14:font="MS Gothic"/>
                </w14:checkbox>
              </w:sdtPr>
              <w:sdtEndPr>
                <w:rPr>
                  <w:rStyle w:val="Style2"/>
                </w:rPr>
              </w:sdtEndPr>
              <w:sdtContent>
                <w:r w:rsidR="00D27AFA" w:rsidRPr="00511BEA">
                  <w:rPr>
                    <w:rStyle w:val="Style2"/>
                    <w:rFonts w:ascii="Segoe UI Symbol" w:eastAsia="MS Gothic" w:hAnsi="Segoe UI Symbol" w:cs="Segoe UI Symbol"/>
                    <w:sz w:val="24"/>
                  </w:rPr>
                  <w:t>☐</w:t>
                </w:r>
              </w:sdtContent>
            </w:sdt>
            <w:r w:rsidR="00D27AFA" w:rsidRPr="00511BEA">
              <w:t xml:space="preserve"> 33.1. yra neįrodytas kaip toks pat</w:t>
            </w:r>
          </w:p>
          <w:p w14:paraId="2D257859" w14:textId="77777777" w:rsidR="00D27AFA" w:rsidRPr="00511BEA" w:rsidRDefault="00D27AF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186C913" w14:textId="77777777" w:rsidR="00D27AFA" w:rsidRPr="00511BEA" w:rsidRDefault="002D6184"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085991623"/>
                <w15:color w:val="FFCC00"/>
                <w14:checkbox>
                  <w14:checked w14:val="0"/>
                  <w14:checkedState w14:val="2612" w14:font="MS Gothic"/>
                  <w14:uncheckedState w14:val="2610" w14:font="MS Gothic"/>
                </w14:checkbox>
              </w:sdtPr>
              <w:sdtEndPr>
                <w:rPr>
                  <w:rStyle w:val="Style2"/>
                </w:rPr>
              </w:sdtEndPr>
              <w:sdtContent>
                <w:r w:rsidR="00D27AFA" w:rsidRPr="00511BEA">
                  <w:rPr>
                    <w:rStyle w:val="Style2"/>
                    <w:rFonts w:ascii="Segoe UI Symbol" w:eastAsia="MS Gothic" w:hAnsi="Segoe UI Symbol" w:cs="Segoe UI Symbol"/>
                    <w:sz w:val="24"/>
                  </w:rPr>
                  <w:t>☐</w:t>
                </w:r>
              </w:sdtContent>
            </w:sdt>
            <w:r w:rsidR="00D27AFA" w:rsidRPr="00511BEA">
              <w:t xml:space="preserve"> 33.1. yra neįrodytas kaip didesnis</w:t>
            </w:r>
          </w:p>
          <w:p w14:paraId="7ADC901A" w14:textId="77777777" w:rsidR="00D27AFA" w:rsidRPr="00511BEA" w:rsidRDefault="002D6184"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908262085"/>
                <w15:color w:val="FFCC00"/>
                <w14:checkbox>
                  <w14:checked w14:val="0"/>
                  <w14:checkedState w14:val="2612" w14:font="MS Gothic"/>
                  <w14:uncheckedState w14:val="2610" w14:font="MS Gothic"/>
                </w14:checkbox>
              </w:sdtPr>
              <w:sdtEndPr>
                <w:rPr>
                  <w:rStyle w:val="Style2"/>
                </w:rPr>
              </w:sdtEndPr>
              <w:sdtContent>
                <w:r w:rsidR="00D27AFA" w:rsidRPr="00511BEA">
                  <w:rPr>
                    <w:rStyle w:val="Style2"/>
                    <w:rFonts w:ascii="Segoe UI Symbol" w:eastAsia="MS Gothic" w:hAnsi="Segoe UI Symbol" w:cs="Segoe UI Symbol"/>
                    <w:sz w:val="24"/>
                  </w:rPr>
                  <w:t>☐</w:t>
                </w:r>
              </w:sdtContent>
            </w:sdt>
            <w:r w:rsidR="00D27AFA" w:rsidRPr="00511BEA">
              <w:t xml:space="preserve"> 33.1. pateikti duomenys apie palyginamąjį efektyvumą yra netinkami vertinti</w:t>
            </w:r>
          </w:p>
          <w:p w14:paraId="7A912A1B" w14:textId="77777777" w:rsidR="00D27AFA" w:rsidRPr="00511BEA" w:rsidRDefault="00D27AF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D27AFA" w:rsidRPr="00511BEA" w14:paraId="1F200261" w14:textId="77777777" w:rsidTr="00B12733">
        <w:trPr>
          <w:trHeight w:val="485"/>
          <w:jc w:val="center"/>
        </w:trPr>
        <w:tc>
          <w:tcPr>
            <w:tcW w:w="9918" w:type="dxa"/>
            <w:gridSpan w:val="2"/>
            <w:vAlign w:val="center"/>
          </w:tcPr>
          <w:p w14:paraId="34F466FF" w14:textId="77777777" w:rsidR="00D27AFA" w:rsidRPr="00511BEA" w:rsidRDefault="00D27AF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11BEA">
              <w:rPr>
                <w:rStyle w:val="Style2"/>
                <w:rFonts w:eastAsia="MS Gothic"/>
                <w:b/>
                <w:bCs/>
                <w:sz w:val="24"/>
              </w:rPr>
              <w:t>Klinikinis veiksmingumas</w:t>
            </w:r>
          </w:p>
        </w:tc>
      </w:tr>
      <w:tr w:rsidR="00D27AFA" w:rsidRPr="00511BEA" w14:paraId="40AB1FF8" w14:textId="77777777" w:rsidTr="00B12733">
        <w:trPr>
          <w:jc w:val="center"/>
        </w:trPr>
        <w:tc>
          <w:tcPr>
            <w:tcW w:w="4886" w:type="dxa"/>
          </w:tcPr>
          <w:p w14:paraId="2A08107E" w14:textId="77777777" w:rsidR="00D27AFA" w:rsidRPr="00511BEA" w:rsidRDefault="002D6184"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8"/>
                </w:rPr>
                <w:id w:val="-1127164120"/>
                <w15:color w:val="FFCC00"/>
                <w14:checkbox>
                  <w14:checked w14:val="1"/>
                  <w14:checkedState w14:val="2612" w14:font="MS Gothic"/>
                  <w14:uncheckedState w14:val="2610" w14:font="MS Gothic"/>
                </w14:checkbox>
              </w:sdtPr>
              <w:sdtEndPr>
                <w:rPr>
                  <w:rStyle w:val="Style2"/>
                </w:rPr>
              </w:sdtEndPr>
              <w:sdtContent>
                <w:r w:rsidR="00D27AFA" w:rsidRPr="00511BEA">
                  <w:rPr>
                    <w:rStyle w:val="Style2"/>
                    <w:rFonts w:ascii="Segoe UI Symbol" w:eastAsia="MS Gothic" w:hAnsi="Segoe UI Symbol" w:cs="Segoe UI Symbol"/>
                    <w:sz w:val="28"/>
                  </w:rPr>
                  <w:t>☒</w:t>
                </w:r>
              </w:sdtContent>
            </w:sdt>
            <w:r w:rsidR="00D27AFA" w:rsidRPr="00511BEA">
              <w:t xml:space="preserve"> 32.2. yra įvertintas kaip pagrindžiantis papildomos naudos pacientų sveikatai sukūrimą, lyginant su įprasta klinikine praktika</w:t>
            </w:r>
          </w:p>
          <w:p w14:paraId="126D6FAB" w14:textId="77777777" w:rsidR="00D27AFA" w:rsidRPr="00511BEA" w:rsidRDefault="00D27AF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B61A7F3" w14:textId="77777777" w:rsidR="00D27AFA" w:rsidRPr="00511BEA" w:rsidRDefault="002D6184"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108182463"/>
                <w15:color w:val="FFCC00"/>
                <w14:checkbox>
                  <w14:checked w14:val="0"/>
                  <w14:checkedState w14:val="2612" w14:font="MS Gothic"/>
                  <w14:uncheckedState w14:val="2610" w14:font="MS Gothic"/>
                </w14:checkbox>
              </w:sdtPr>
              <w:sdtEndPr>
                <w:rPr>
                  <w:rStyle w:val="Style2"/>
                </w:rPr>
              </w:sdtEndPr>
              <w:sdtContent>
                <w:r w:rsidR="00D27AFA" w:rsidRPr="00511BEA">
                  <w:rPr>
                    <w:rStyle w:val="Style2"/>
                    <w:rFonts w:ascii="Segoe UI Symbol" w:eastAsia="MS Gothic" w:hAnsi="Segoe UI Symbol" w:cs="Segoe UI Symbol"/>
                    <w:sz w:val="24"/>
                  </w:rPr>
                  <w:t>☐</w:t>
                </w:r>
              </w:sdtContent>
            </w:sdt>
            <w:r w:rsidR="00D27AFA" w:rsidRPr="00511BEA">
              <w:t xml:space="preserve"> 32.2. yra įvertintas kaip pagrindžiantis nesiskiriančios naudos pacientų sveikatai sukūrimą, lyginant su įprasta klinikine praktika</w:t>
            </w:r>
          </w:p>
          <w:p w14:paraId="3C74CAED" w14:textId="77777777" w:rsidR="00D27AFA" w:rsidRPr="00511BEA" w:rsidRDefault="00D27AF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5032" w:type="dxa"/>
          </w:tcPr>
          <w:p w14:paraId="6799C208" w14:textId="77777777" w:rsidR="00D27AFA" w:rsidRPr="00511BEA" w:rsidRDefault="002D6184" w:rsidP="00B12733">
            <w:pPr>
              <w:jc w:val="both"/>
            </w:pPr>
            <w:sdt>
              <w:sdtPr>
                <w:rPr>
                  <w:rStyle w:val="Style2"/>
                  <w:sz w:val="24"/>
                </w:rPr>
                <w:id w:val="90213628"/>
                <w15:color w:val="FFCC00"/>
                <w14:checkbox>
                  <w14:checked w14:val="0"/>
                  <w14:checkedState w14:val="2612" w14:font="MS Gothic"/>
                  <w14:uncheckedState w14:val="2610" w14:font="MS Gothic"/>
                </w14:checkbox>
              </w:sdtPr>
              <w:sdtEndPr>
                <w:rPr>
                  <w:rStyle w:val="Style2"/>
                </w:rPr>
              </w:sdtEndPr>
              <w:sdtContent>
                <w:r w:rsidR="00D27AFA" w:rsidRPr="00511BEA">
                  <w:rPr>
                    <w:rStyle w:val="Style2"/>
                    <w:rFonts w:ascii="Segoe UI Symbol" w:eastAsia="MS Gothic" w:hAnsi="Segoe UI Symbol" w:cs="Segoe UI Symbol"/>
                    <w:sz w:val="24"/>
                  </w:rPr>
                  <w:t>☐</w:t>
                </w:r>
              </w:sdtContent>
            </w:sdt>
            <w:r w:rsidR="00D27AFA" w:rsidRPr="00511BEA">
              <w:t xml:space="preserve"> 33.1. yra įvertintas kaip nepagrindžiantis papildomos naudos pacientų sveikatai sukūrimo, lyginant su įprasta klinikine praktika</w:t>
            </w:r>
          </w:p>
          <w:p w14:paraId="10B5A83E" w14:textId="77777777" w:rsidR="00D27AFA" w:rsidRPr="00511BEA" w:rsidRDefault="00D27AFA" w:rsidP="00B12733">
            <w:pPr>
              <w:jc w:val="both"/>
            </w:pPr>
          </w:p>
          <w:p w14:paraId="24040540" w14:textId="77777777" w:rsidR="00D27AFA" w:rsidRPr="00511BEA" w:rsidRDefault="002D6184" w:rsidP="00B12733">
            <w:pPr>
              <w:jc w:val="both"/>
            </w:pPr>
            <w:sdt>
              <w:sdtPr>
                <w:rPr>
                  <w:rStyle w:val="Style2"/>
                  <w:sz w:val="24"/>
                </w:rPr>
                <w:id w:val="47114242"/>
                <w15:color w:val="FFCC00"/>
                <w14:checkbox>
                  <w14:checked w14:val="0"/>
                  <w14:checkedState w14:val="2612" w14:font="MS Gothic"/>
                  <w14:uncheckedState w14:val="2610" w14:font="MS Gothic"/>
                </w14:checkbox>
              </w:sdtPr>
              <w:sdtEndPr>
                <w:rPr>
                  <w:rStyle w:val="Style2"/>
                </w:rPr>
              </w:sdtEndPr>
              <w:sdtContent>
                <w:r w:rsidR="00D27AFA" w:rsidRPr="00511BEA">
                  <w:rPr>
                    <w:rStyle w:val="Style2"/>
                    <w:rFonts w:ascii="Segoe UI Symbol" w:eastAsia="MS Gothic" w:hAnsi="Segoe UI Symbol" w:cs="Segoe UI Symbol"/>
                    <w:sz w:val="24"/>
                  </w:rPr>
                  <w:t>☐</w:t>
                </w:r>
              </w:sdtContent>
            </w:sdt>
            <w:r w:rsidR="00D27AFA" w:rsidRPr="00511BEA">
              <w:t xml:space="preserve"> 33.1. yra įvertintas kaip nepagrindžiantis nesiskiriančios naudos pacientų sveikatai sukūrimo, lyginant su įprasta klinikine praktika</w:t>
            </w:r>
          </w:p>
          <w:p w14:paraId="494A40F7" w14:textId="77777777" w:rsidR="00D27AFA" w:rsidRPr="00511BEA" w:rsidRDefault="00D27AF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F536EA" w:rsidRPr="00511BEA" w14:paraId="336FA156" w14:textId="77777777" w:rsidTr="00F536EA">
        <w:trPr>
          <w:trHeight w:val="359"/>
          <w:jc w:val="center"/>
        </w:trPr>
        <w:tc>
          <w:tcPr>
            <w:tcW w:w="9918" w:type="dxa"/>
            <w:gridSpan w:val="2"/>
            <w:vAlign w:val="center"/>
          </w:tcPr>
          <w:p w14:paraId="07110814" w14:textId="553FEA08" w:rsidR="00F536EA" w:rsidRPr="00511BEA" w:rsidRDefault="00F536EA" w:rsidP="00F536EA">
            <w:pPr>
              <w:tabs>
                <w:tab w:val="left" w:pos="4373"/>
              </w:tabs>
              <w:jc w:val="center"/>
              <w:rPr>
                <w:rStyle w:val="Style2"/>
                <w:sz w:val="24"/>
              </w:rPr>
            </w:pPr>
            <w:r w:rsidRPr="00511BEA">
              <w:rPr>
                <w:rStyle w:val="Style2"/>
                <w:rFonts w:eastAsia="MS Gothic"/>
                <w:b/>
                <w:bCs/>
                <w:sz w:val="24"/>
              </w:rPr>
              <w:t>Kaštų naudingumas</w:t>
            </w:r>
          </w:p>
        </w:tc>
      </w:tr>
      <w:tr w:rsidR="00F536EA" w:rsidRPr="00511BEA" w14:paraId="1D154328" w14:textId="77777777" w:rsidTr="00B12733">
        <w:trPr>
          <w:jc w:val="center"/>
        </w:trPr>
        <w:tc>
          <w:tcPr>
            <w:tcW w:w="4886" w:type="dxa"/>
          </w:tcPr>
          <w:p w14:paraId="4454400E" w14:textId="77777777" w:rsidR="00F536EA" w:rsidRPr="00511BEA" w:rsidRDefault="002D6184" w:rsidP="00F5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8"/>
                </w:rPr>
                <w:id w:val="-1975984416"/>
                <w15:color w:val="FFCC00"/>
                <w14:checkbox>
                  <w14:checked w14:val="1"/>
                  <w14:checkedState w14:val="2612" w14:font="MS Gothic"/>
                  <w14:uncheckedState w14:val="2610" w14:font="MS Gothic"/>
                </w14:checkbox>
              </w:sdtPr>
              <w:sdtEndPr>
                <w:rPr>
                  <w:rStyle w:val="Style2"/>
                </w:rPr>
              </w:sdtEndPr>
              <w:sdtContent>
                <w:r w:rsidR="00F536EA" w:rsidRPr="00511BEA">
                  <w:rPr>
                    <w:rStyle w:val="Style2"/>
                    <w:rFonts w:ascii="MS Gothic" w:eastAsia="MS Gothic" w:hAnsi="MS Gothic" w:hint="eastAsia"/>
                    <w:sz w:val="28"/>
                  </w:rPr>
                  <w:t>☒</w:t>
                </w:r>
              </w:sdtContent>
            </w:sdt>
            <w:r w:rsidR="00F536EA" w:rsidRPr="00511BEA">
              <w:rPr>
                <w:sz w:val="22"/>
              </w:rPr>
              <w:t xml:space="preserve"> </w:t>
            </w:r>
            <w:r w:rsidR="00F536EA" w:rsidRPr="00511BEA">
              <w:t>32.3. atitinka referencinę naudingumo vertę, taikant PGS</w:t>
            </w:r>
          </w:p>
          <w:p w14:paraId="6F2A2356" w14:textId="77777777" w:rsidR="00F536EA" w:rsidRPr="00511BEA" w:rsidRDefault="00F536EA" w:rsidP="00F5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E9A9AAB" w14:textId="77777777" w:rsidR="00F536EA" w:rsidRPr="00511BEA" w:rsidRDefault="002D6184" w:rsidP="00F5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308081728"/>
                <w15:color w:val="FFCC00"/>
                <w14:checkbox>
                  <w14:checked w14:val="0"/>
                  <w14:checkedState w14:val="2612" w14:font="MS Gothic"/>
                  <w14:uncheckedState w14:val="2610" w14:font="MS Gothic"/>
                </w14:checkbox>
              </w:sdtPr>
              <w:sdtEndPr>
                <w:rPr>
                  <w:rStyle w:val="Style2"/>
                </w:rPr>
              </w:sdtEndPr>
              <w:sdtContent>
                <w:r w:rsidR="00F536EA" w:rsidRPr="00511BEA">
                  <w:rPr>
                    <w:rStyle w:val="Style2"/>
                    <w:rFonts w:ascii="Segoe UI Symbol" w:eastAsia="MS Gothic" w:hAnsi="Segoe UI Symbol" w:cs="Segoe UI Symbol"/>
                  </w:rPr>
                  <w:t>☐</w:t>
                </w:r>
              </w:sdtContent>
            </w:sdt>
            <w:r w:rsidR="00F536EA" w:rsidRPr="00511BEA">
              <w:t xml:space="preserve"> 32.3. gydymo juo kaštai yra mažesni ar tokie patys esant iš esmės nesiskiriančiam palyginamajam efektyvumui, lyginant su įprasta klinikine praktika</w:t>
            </w:r>
          </w:p>
          <w:p w14:paraId="5C8D3150" w14:textId="77777777" w:rsidR="00F536EA" w:rsidRPr="00511BEA" w:rsidRDefault="00F536EA" w:rsidP="00B1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p>
        </w:tc>
        <w:tc>
          <w:tcPr>
            <w:tcW w:w="5032" w:type="dxa"/>
          </w:tcPr>
          <w:p w14:paraId="2644E87C" w14:textId="77777777" w:rsidR="00F536EA" w:rsidRPr="00511BEA" w:rsidRDefault="002D6184" w:rsidP="00F5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365405113"/>
                <w15:color w:val="FFCC00"/>
                <w14:checkbox>
                  <w14:checked w14:val="0"/>
                  <w14:checkedState w14:val="2612" w14:font="MS Gothic"/>
                  <w14:uncheckedState w14:val="2610" w14:font="MS Gothic"/>
                </w14:checkbox>
              </w:sdtPr>
              <w:sdtEndPr>
                <w:rPr>
                  <w:rStyle w:val="Style2"/>
                </w:rPr>
              </w:sdtEndPr>
              <w:sdtContent>
                <w:r w:rsidR="00F536EA" w:rsidRPr="00511BEA">
                  <w:rPr>
                    <w:rStyle w:val="Style2"/>
                    <w:rFonts w:ascii="Segoe UI Symbol" w:eastAsia="MS Gothic" w:hAnsi="Segoe UI Symbol" w:cs="Segoe UI Symbol"/>
                  </w:rPr>
                  <w:t>☐</w:t>
                </w:r>
              </w:sdtContent>
            </w:sdt>
            <w:r w:rsidR="00F536EA" w:rsidRPr="00511BEA">
              <w:t xml:space="preserve"> 33.3. neatitinka referencinės naudingumo vertės Lietuvos Respublikoje</w:t>
            </w:r>
          </w:p>
          <w:p w14:paraId="3C97AE92" w14:textId="77777777" w:rsidR="00F536EA" w:rsidRPr="00511BEA" w:rsidRDefault="00F536EA" w:rsidP="00F5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210E27E" w14:textId="77777777" w:rsidR="00F536EA" w:rsidRPr="00511BEA" w:rsidRDefault="002D6184" w:rsidP="00F5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135473618"/>
                <w15:color w:val="FFCC00"/>
                <w14:checkbox>
                  <w14:checked w14:val="0"/>
                  <w14:checkedState w14:val="2612" w14:font="MS Gothic"/>
                  <w14:uncheckedState w14:val="2610" w14:font="MS Gothic"/>
                </w14:checkbox>
              </w:sdtPr>
              <w:sdtEndPr>
                <w:rPr>
                  <w:rStyle w:val="Style2"/>
                </w:rPr>
              </w:sdtEndPr>
              <w:sdtContent>
                <w:r w:rsidR="00F536EA" w:rsidRPr="00511BEA">
                  <w:rPr>
                    <w:rStyle w:val="Style2"/>
                    <w:rFonts w:ascii="Segoe UI Symbol" w:eastAsia="MS Gothic" w:hAnsi="Segoe UI Symbol" w:cs="Segoe UI Symbol"/>
                  </w:rPr>
                  <w:t>☐</w:t>
                </w:r>
              </w:sdtContent>
            </w:sdt>
            <w:r w:rsidR="00F536EA" w:rsidRPr="00511BEA">
              <w:t xml:space="preserve"> 33.3. gydymo juo kaštai yra didesni esant iš esmės nesiskiriančiam palyginamajam efektyvumui, lyginant su įprasta klinikine praktika</w:t>
            </w:r>
          </w:p>
          <w:p w14:paraId="7CCDD23D" w14:textId="77777777" w:rsidR="00F536EA" w:rsidRPr="00511BEA" w:rsidRDefault="00F536EA" w:rsidP="00F5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F075F86" w14:textId="77777777" w:rsidR="00F536EA" w:rsidRPr="00511BEA" w:rsidRDefault="002D6184" w:rsidP="00F5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2008360022"/>
                <w15:color w:val="FFCC00"/>
                <w14:checkbox>
                  <w14:checked w14:val="0"/>
                  <w14:checkedState w14:val="2612" w14:font="MS Gothic"/>
                  <w14:uncheckedState w14:val="2610" w14:font="MS Gothic"/>
                </w14:checkbox>
              </w:sdtPr>
              <w:sdtEndPr>
                <w:rPr>
                  <w:rStyle w:val="Style2"/>
                </w:rPr>
              </w:sdtEndPr>
              <w:sdtContent>
                <w:r w:rsidR="00F536EA" w:rsidRPr="00511BEA">
                  <w:rPr>
                    <w:rStyle w:val="Style2"/>
                    <w:rFonts w:ascii="Segoe UI Symbol" w:eastAsia="MS Gothic" w:hAnsi="Segoe UI Symbol" w:cs="Segoe UI Symbol"/>
                  </w:rPr>
                  <w:t>☐</w:t>
                </w:r>
              </w:sdtContent>
            </w:sdt>
            <w:r w:rsidR="00F536EA" w:rsidRPr="00511BEA">
              <w:t xml:space="preserve"> 33.3. pateikti duomenys apie kaštų naudingumą yra netinkami vertinti</w:t>
            </w:r>
          </w:p>
          <w:p w14:paraId="2FA9B86F" w14:textId="38FB930B" w:rsidR="00F536EA" w:rsidRPr="00511BEA" w:rsidRDefault="00F536EA" w:rsidP="00F536EA">
            <w:pPr>
              <w:tabs>
                <w:tab w:val="left" w:pos="1147"/>
              </w:tabs>
            </w:pPr>
            <w:r w:rsidRPr="00511BEA">
              <w:tab/>
            </w:r>
          </w:p>
        </w:tc>
      </w:tr>
    </w:tbl>
    <w:p w14:paraId="6E54D44C" w14:textId="77777777" w:rsidR="0055060B" w:rsidRPr="00511BEA" w:rsidRDefault="0055060B" w:rsidP="0055060B">
      <w:pPr>
        <w:rPr>
          <w:b/>
        </w:rPr>
      </w:pPr>
    </w:p>
    <w:p w14:paraId="4761590D" w14:textId="77777777" w:rsidR="0055060B" w:rsidRPr="00511BEA" w:rsidRDefault="0055060B" w:rsidP="0055060B">
      <w:pPr>
        <w:pStyle w:val="ListParagraph"/>
        <w:numPr>
          <w:ilvl w:val="0"/>
          <w:numId w:val="12"/>
        </w:numPr>
        <w:ind w:left="567" w:hanging="567"/>
        <w:rPr>
          <w:b/>
        </w:rPr>
      </w:pPr>
      <w:r w:rsidRPr="00511BEA">
        <w:rPr>
          <w:b/>
        </w:rPr>
        <w:t>REKOMENDACIJA</w:t>
      </w:r>
    </w:p>
    <w:p w14:paraId="20BC1834" w14:textId="77777777" w:rsidR="00F536EA" w:rsidRPr="00511BEA" w:rsidRDefault="00F536EA" w:rsidP="00F536EA">
      <w:pPr>
        <w:jc w:val="both"/>
        <w:rPr>
          <w:i/>
        </w:rPr>
      </w:pPr>
    </w:p>
    <w:p w14:paraId="0D45B677" w14:textId="47304992" w:rsidR="0055060B" w:rsidRPr="00511BEA" w:rsidRDefault="00F536EA" w:rsidP="0055714A">
      <w:pPr>
        <w:spacing w:line="276" w:lineRule="auto"/>
        <w:ind w:firstLine="567"/>
        <w:jc w:val="both"/>
      </w:pPr>
      <w:r w:rsidRPr="00511BEA">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34.1, </w:t>
      </w:r>
      <w:r w:rsidRPr="00511BEA">
        <w:rPr>
          <w:bCs/>
        </w:rPr>
        <w:t>rekomenduojama</w:t>
      </w:r>
      <w:r w:rsidRPr="00511BEA">
        <w:rPr>
          <w:b/>
          <w:bCs/>
        </w:rPr>
        <w:t xml:space="preserve"> </w:t>
      </w:r>
      <w:r w:rsidRPr="00511BEA">
        <w:rPr>
          <w:i/>
        </w:rPr>
        <w:t xml:space="preserve">kompensuoti </w:t>
      </w:r>
      <w:r w:rsidRPr="00511BEA">
        <w:t>vaistinį preparatą pagal paraiškoje nurodytą indikaciją be skyrimo sąlygų, taikant PGS, dėl didesnio palyginamojo efektyvumo ir gydymo sukuriamos papildomos naudos pacientų sveikatai, lyginant su įprasta klinikine praktika, ir atitikties referencinei naudingumo vertei.</w:t>
      </w:r>
    </w:p>
    <w:p w14:paraId="4675BD1C" w14:textId="77777777" w:rsidR="0055060B" w:rsidRPr="00511BEA" w:rsidRDefault="0055060B" w:rsidP="0055060B"/>
    <w:p w14:paraId="2DE4B8C2" w14:textId="77777777" w:rsidR="0055060B" w:rsidRPr="00511BEA" w:rsidRDefault="0055060B" w:rsidP="0055060B">
      <w:pPr>
        <w:tabs>
          <w:tab w:val="left" w:pos="567"/>
        </w:tabs>
        <w:ind w:left="567" w:hanging="567"/>
        <w:jc w:val="both"/>
        <w:rPr>
          <w:b/>
          <w:color w:val="000000"/>
          <w:lang w:eastAsia="lt-LT"/>
        </w:rPr>
      </w:pPr>
      <w:r w:rsidRPr="00511BEA">
        <w:rPr>
          <w:b/>
          <w:color w:val="000000"/>
          <w:lang w:eastAsia="lt-LT"/>
        </w:rPr>
        <w:t>8.</w:t>
      </w:r>
      <w:r w:rsidRPr="00511BEA">
        <w:rPr>
          <w:b/>
          <w:color w:val="000000"/>
          <w:lang w:eastAsia="lt-LT"/>
        </w:rPr>
        <w:tab/>
        <w:t xml:space="preserve">SIŪLOMOS KOMPENSUOTI TERAPINĖS INDIKACIJOS IR SKYRIMO SĄLYGOS </w:t>
      </w:r>
    </w:p>
    <w:p w14:paraId="542E45AA" w14:textId="77777777" w:rsidR="00EF3DE8" w:rsidRPr="00511BEA" w:rsidRDefault="00EF3DE8" w:rsidP="00EF3DE8">
      <w:pPr>
        <w:pStyle w:val="NoSpacing"/>
        <w:rPr>
          <w:rFonts w:ascii="Times New Roman" w:hAnsi="Times New Roman"/>
          <w:b/>
          <w:sz w:val="24"/>
          <w:szCs w:val="24"/>
          <w:lang w:eastAsia="lt-LT"/>
        </w:rPr>
      </w:pPr>
      <w:r w:rsidRPr="00511BEA">
        <w:rPr>
          <w:rFonts w:ascii="Times New Roman" w:hAnsi="Times New Roman"/>
          <w:b/>
          <w:sz w:val="24"/>
          <w:szCs w:val="24"/>
          <w:lang w:eastAsia="lt-LT"/>
        </w:rPr>
        <w:t>Terapinės indikacijos</w:t>
      </w:r>
    </w:p>
    <w:p w14:paraId="0E3366C6" w14:textId="77777777" w:rsidR="00EF3DE8" w:rsidRPr="00511BEA" w:rsidRDefault="00EF3DE8" w:rsidP="00EF3DE8">
      <w:pPr>
        <w:pStyle w:val="NoSpacing"/>
        <w:rPr>
          <w:rFonts w:ascii="Times New Roman" w:hAnsi="Times New Roman"/>
          <w:b/>
          <w:sz w:val="24"/>
          <w:szCs w:val="24"/>
          <w:lang w:eastAsia="lt-LT"/>
        </w:rPr>
      </w:pPr>
    </w:p>
    <w:p w14:paraId="64FA6F80" w14:textId="39B8019F" w:rsidR="00EF3DE8" w:rsidRPr="00511BEA" w:rsidRDefault="002D6184" w:rsidP="00EF3DE8">
      <w:pPr>
        <w:pStyle w:val="NoSpacing"/>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EndPr>
          <w:rPr>
            <w:rStyle w:val="Style2"/>
          </w:rPr>
        </w:sdtEndPr>
        <w:sdtContent>
          <w:r w:rsidR="005967BB" w:rsidRPr="00511BEA">
            <w:rPr>
              <w:rStyle w:val="Style2"/>
              <w:rFonts w:ascii="MS Gothic" w:eastAsia="MS Gothic" w:hAnsi="MS Gothic" w:hint="eastAsia"/>
              <w:sz w:val="24"/>
              <w:szCs w:val="24"/>
            </w:rPr>
            <w:t>☒</w:t>
          </w:r>
        </w:sdtContent>
      </w:sdt>
      <w:r w:rsidR="00EF3DE8" w:rsidRPr="00511BEA">
        <w:rPr>
          <w:rFonts w:ascii="Times New Roman" w:hAnsi="Times New Roman"/>
          <w:sz w:val="24"/>
          <w:szCs w:val="24"/>
        </w:rPr>
        <w:t xml:space="preserve"> Siūloma kompensuoti Pareiškėjo teikiamą indikaciją be pakeitimų.</w:t>
      </w:r>
    </w:p>
    <w:p w14:paraId="76947CD4" w14:textId="77777777" w:rsidR="00EF3DE8" w:rsidRPr="00511BEA" w:rsidRDefault="00EF3DE8" w:rsidP="00EF3DE8">
      <w:pPr>
        <w:pStyle w:val="Tekstas"/>
        <w:rPr>
          <w:i/>
        </w:rPr>
      </w:pPr>
      <w:r w:rsidRPr="00511BEA">
        <w:rPr>
          <w:i/>
        </w:rPr>
        <w:t>Monoterapija KEYTRUDA skirta adjuvantiniam gydymui suaugusiesiems, kuriems nustatyta III stadijos melanoma ir metastazių limfmazgiuose ir kuriems buvo atlikta visiška rezekcija.</w:t>
      </w:r>
    </w:p>
    <w:tbl>
      <w:tblPr>
        <w:tblStyle w:val="TableGrid"/>
        <w:tblW w:w="0" w:type="auto"/>
        <w:tblLook w:val="04A0" w:firstRow="1" w:lastRow="0" w:firstColumn="1" w:lastColumn="0" w:noHBand="0" w:noVBand="1"/>
      </w:tblPr>
      <w:tblGrid>
        <w:gridCol w:w="9629"/>
      </w:tblGrid>
      <w:tr w:rsidR="00EF3DE8" w:rsidRPr="00511BEA" w14:paraId="2D66E6CF" w14:textId="77777777" w:rsidTr="00B23E10">
        <w:tc>
          <w:tcPr>
            <w:tcW w:w="9771" w:type="dxa"/>
          </w:tcPr>
          <w:p w14:paraId="3985D078" w14:textId="737896E5" w:rsidR="00EF3DE8" w:rsidRPr="00511BEA" w:rsidRDefault="005967BB" w:rsidP="00B23E10">
            <w:pPr>
              <w:pStyle w:val="NoSpacing"/>
              <w:rPr>
                <w:rFonts w:ascii="Times New Roman" w:hAnsi="Times New Roman"/>
                <w:i/>
                <w:sz w:val="24"/>
                <w:szCs w:val="24"/>
              </w:rPr>
            </w:pPr>
            <w:r w:rsidRPr="00511BEA">
              <w:rPr>
                <w:rFonts w:ascii="Times New Roman" w:hAnsi="Times New Roman"/>
                <w:i/>
                <w:sz w:val="24"/>
                <w:szCs w:val="24"/>
              </w:rPr>
              <w:lastRenderedPageBreak/>
              <w:t>Eksperto komentaras</w:t>
            </w:r>
          </w:p>
          <w:p w14:paraId="0FFDCA91" w14:textId="77777777" w:rsidR="0058324E" w:rsidRPr="00511BEA" w:rsidRDefault="0058324E" w:rsidP="0058324E">
            <w:pPr>
              <w:pStyle w:val="NoSpacing"/>
              <w:jc w:val="both"/>
              <w:rPr>
                <w:rFonts w:ascii="Times New Roman" w:hAnsi="Times New Roman"/>
                <w:sz w:val="24"/>
                <w:szCs w:val="24"/>
              </w:rPr>
            </w:pPr>
            <w:r w:rsidRPr="00511BEA">
              <w:rPr>
                <w:rFonts w:ascii="Times New Roman" w:hAnsi="Times New Roman"/>
                <w:sz w:val="24"/>
                <w:szCs w:val="24"/>
              </w:rPr>
              <w:t>Kompensavimui teikiama dalis registruotos indikacijos „Melanoma“, neįtraukiant vyresnių kaip 12 metų paauglių, kuriems nustatyta III stadijos melanoma ir vyresnių kaip 12 metų paauglių ir suaugusiųjų, kuriems nustatyta IIB ir IIC stadijų melanoma.</w:t>
            </w:r>
          </w:p>
          <w:p w14:paraId="5D9B6462" w14:textId="51AFECB7" w:rsidR="00EF3DE8" w:rsidRPr="00511BEA" w:rsidRDefault="00EF3DE8" w:rsidP="005967BB">
            <w:pPr>
              <w:pStyle w:val="NoSpacing"/>
              <w:jc w:val="both"/>
              <w:rPr>
                <w:rFonts w:ascii="Times New Roman" w:hAnsi="Times New Roman"/>
                <w:sz w:val="24"/>
                <w:szCs w:val="24"/>
              </w:rPr>
            </w:pPr>
            <w:r w:rsidRPr="00511BEA">
              <w:rPr>
                <w:rFonts w:ascii="Times New Roman" w:hAnsi="Times New Roman"/>
                <w:sz w:val="24"/>
                <w:szCs w:val="24"/>
              </w:rPr>
              <w:t xml:space="preserve"> </w:t>
            </w:r>
          </w:p>
        </w:tc>
      </w:tr>
    </w:tbl>
    <w:p w14:paraId="5FB1598E" w14:textId="77777777" w:rsidR="00EF3DE8" w:rsidRPr="00511BEA" w:rsidRDefault="00EF3DE8" w:rsidP="00EF3DE8">
      <w:pPr>
        <w:pStyle w:val="NoSpacing"/>
        <w:rPr>
          <w:rFonts w:ascii="Times New Roman" w:hAnsi="Times New Roman"/>
          <w:sz w:val="24"/>
          <w:szCs w:val="24"/>
        </w:rPr>
      </w:pPr>
    </w:p>
    <w:p w14:paraId="02960028" w14:textId="77777777" w:rsidR="00EF3DE8" w:rsidRPr="00511BEA" w:rsidRDefault="00EF3DE8" w:rsidP="00EF3DE8">
      <w:pPr>
        <w:pStyle w:val="NoSpacing"/>
        <w:rPr>
          <w:rFonts w:ascii="Times New Roman" w:hAnsi="Times New Roman"/>
          <w:sz w:val="24"/>
          <w:szCs w:val="24"/>
        </w:rPr>
      </w:pPr>
    </w:p>
    <w:p w14:paraId="4F90B813" w14:textId="77777777" w:rsidR="00EF3DE8" w:rsidRPr="00511BEA" w:rsidRDefault="00EF3DE8" w:rsidP="00EF3DE8">
      <w:pPr>
        <w:pStyle w:val="NoSpacing"/>
        <w:rPr>
          <w:rFonts w:ascii="Times New Roman" w:hAnsi="Times New Roman"/>
          <w:b/>
          <w:sz w:val="24"/>
          <w:szCs w:val="24"/>
        </w:rPr>
      </w:pPr>
      <w:r w:rsidRPr="00511BEA">
        <w:rPr>
          <w:rFonts w:ascii="Times New Roman" w:hAnsi="Times New Roman"/>
          <w:b/>
          <w:sz w:val="24"/>
          <w:szCs w:val="24"/>
        </w:rPr>
        <w:t>Skyrimo sąlygos</w:t>
      </w:r>
    </w:p>
    <w:p w14:paraId="7DF29DEC" w14:textId="77777777" w:rsidR="00EF3DE8" w:rsidRPr="00511BEA" w:rsidRDefault="00EF3DE8" w:rsidP="00EF3DE8">
      <w:pPr>
        <w:pStyle w:val="NoSpacing"/>
        <w:rPr>
          <w:rFonts w:ascii="Times New Roman" w:hAnsi="Times New Roman"/>
          <w:b/>
          <w:sz w:val="24"/>
          <w:szCs w:val="24"/>
        </w:rPr>
      </w:pPr>
    </w:p>
    <w:p w14:paraId="15F18546" w14:textId="77777777" w:rsidR="00F66973" w:rsidRPr="00511BEA" w:rsidRDefault="002D6184" w:rsidP="00EF3DE8">
      <w:pPr>
        <w:pStyle w:val="NoSpacing"/>
        <w:rPr>
          <w:rFonts w:ascii="Times New Roman" w:hAnsi="Times New Roman"/>
          <w:sz w:val="24"/>
          <w:szCs w:val="24"/>
        </w:rPr>
      </w:pPr>
      <w:sdt>
        <w:sdtPr>
          <w:rPr>
            <w:rStyle w:val="Style2"/>
            <w:rFonts w:ascii="Times New Roman" w:hAnsi="Times New Roman"/>
            <w:sz w:val="24"/>
            <w:szCs w:val="24"/>
          </w:rPr>
          <w:id w:val="169305347"/>
          <w15:color w:val="FFCC00"/>
          <w14:checkbox>
            <w14:checked w14:val="1"/>
            <w14:checkedState w14:val="2612" w14:font="MS Gothic"/>
            <w14:uncheckedState w14:val="2610" w14:font="MS Gothic"/>
          </w14:checkbox>
        </w:sdtPr>
        <w:sdtEndPr>
          <w:rPr>
            <w:rStyle w:val="Style2"/>
          </w:rPr>
        </w:sdtEndPr>
        <w:sdtContent>
          <w:r w:rsidR="00EF3DE8" w:rsidRPr="00511BEA">
            <w:rPr>
              <w:rStyle w:val="Style2"/>
              <w:rFonts w:ascii="MS Gothic" w:eastAsia="MS Gothic" w:hAnsi="MS Gothic" w:hint="eastAsia"/>
              <w:sz w:val="24"/>
              <w:szCs w:val="24"/>
            </w:rPr>
            <w:t>☒</w:t>
          </w:r>
        </w:sdtContent>
      </w:sdt>
      <w:r w:rsidR="00EF3DE8" w:rsidRPr="00511BEA">
        <w:rPr>
          <w:rFonts w:ascii="Times New Roman" w:hAnsi="Times New Roman"/>
          <w:sz w:val="24"/>
          <w:szCs w:val="24"/>
        </w:rPr>
        <w:t xml:space="preserve"> Pareiškėjo siūlomos skyrimo sąlygos priimtinos.</w:t>
      </w:r>
    </w:p>
    <w:p w14:paraId="5FA16297" w14:textId="48036004" w:rsidR="00EF3DE8" w:rsidRPr="00511BEA" w:rsidRDefault="00EF3DE8" w:rsidP="00EF3DE8">
      <w:pPr>
        <w:pStyle w:val="NoSpacing"/>
        <w:rPr>
          <w:rFonts w:ascii="Times New Roman" w:hAnsi="Times New Roman"/>
          <w:sz w:val="24"/>
          <w:szCs w:val="24"/>
        </w:rPr>
      </w:pPr>
    </w:p>
    <w:p w14:paraId="335DF395" w14:textId="71093ED2" w:rsidR="000C74AB" w:rsidRPr="003847C7" w:rsidRDefault="000C74AB" w:rsidP="000C74AB">
      <w:pPr>
        <w:rPr>
          <w:i/>
          <w:iCs/>
        </w:rPr>
      </w:pPr>
      <w:r w:rsidRPr="00511BEA">
        <w:rPr>
          <w:i/>
          <w:iCs/>
        </w:rPr>
        <w:t xml:space="preserve">Skirtas monoterapijai </w:t>
      </w:r>
      <w:r w:rsidRPr="00511BEA">
        <w:rPr>
          <w:i/>
        </w:rPr>
        <w:t>adjuvantiniam gydymui suaugusiesiems, kuriems nustatyta III stadijos melanoma ir metastazių limfmazgiuose ir atlikta visiška rezekcija.</w:t>
      </w:r>
    </w:p>
    <w:p w14:paraId="7C5F6D6F" w14:textId="77777777" w:rsidR="00EF3DE8" w:rsidRPr="00223C23" w:rsidRDefault="00EF3DE8" w:rsidP="00EF3DE8">
      <w:pPr>
        <w:pStyle w:val="NoSpacing"/>
        <w:rPr>
          <w:rFonts w:ascii="Times New Roman" w:hAnsi="Times New Roman"/>
          <w:i/>
          <w:sz w:val="24"/>
          <w:szCs w:val="24"/>
        </w:rPr>
      </w:pPr>
    </w:p>
    <w:p w14:paraId="3A90BF4C" w14:textId="77777777" w:rsidR="0055060B" w:rsidRPr="008B63AB" w:rsidRDefault="0055060B" w:rsidP="0055060B">
      <w:pPr>
        <w:tabs>
          <w:tab w:val="left" w:pos="426"/>
        </w:tabs>
        <w:jc w:val="both"/>
        <w:rPr>
          <w:b/>
          <w:color w:val="000000"/>
          <w:lang w:eastAsia="lt-LT"/>
        </w:rPr>
      </w:pPr>
    </w:p>
    <w:sectPr w:rsidR="0055060B" w:rsidRPr="008B63AB"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30AF" w14:textId="77777777" w:rsidR="007A3A76" w:rsidRDefault="007A3A76">
      <w:r>
        <w:separator/>
      </w:r>
    </w:p>
  </w:endnote>
  <w:endnote w:type="continuationSeparator" w:id="0">
    <w:p w14:paraId="596BFD4D" w14:textId="77777777" w:rsidR="007A3A76" w:rsidRDefault="007A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12E1" w14:textId="77777777" w:rsidR="007A3A76" w:rsidRDefault="007A3A76">
      <w:r>
        <w:separator/>
      </w:r>
    </w:p>
  </w:footnote>
  <w:footnote w:type="continuationSeparator" w:id="0">
    <w:p w14:paraId="22270326" w14:textId="77777777" w:rsidR="007A3A76" w:rsidRDefault="007A3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2D13A774"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1BEA">
      <w:rPr>
        <w:rStyle w:val="PageNumber"/>
        <w:noProof/>
      </w:rPr>
      <w:t>9</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22A31C1"/>
    <w:multiLevelType w:val="hybridMultilevel"/>
    <w:tmpl w:val="DA00F4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53EFA"/>
    <w:multiLevelType w:val="hybridMultilevel"/>
    <w:tmpl w:val="8A2073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1F343E14"/>
    <w:multiLevelType w:val="hybridMultilevel"/>
    <w:tmpl w:val="51882046"/>
    <w:lvl w:ilvl="0" w:tplc="86C222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0137B"/>
    <w:multiLevelType w:val="hybridMultilevel"/>
    <w:tmpl w:val="1BEC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B1B10"/>
    <w:multiLevelType w:val="hybridMultilevel"/>
    <w:tmpl w:val="BCF0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16174"/>
    <w:multiLevelType w:val="hybridMultilevel"/>
    <w:tmpl w:val="DBD4D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3" w15:restartNumberingAfterBreak="0">
    <w:nsid w:val="3D7D2C47"/>
    <w:multiLevelType w:val="hybridMultilevel"/>
    <w:tmpl w:val="AA3AF2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51EF9"/>
    <w:multiLevelType w:val="hybridMultilevel"/>
    <w:tmpl w:val="B6FA3734"/>
    <w:lvl w:ilvl="0" w:tplc="E8E8C15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872DD8"/>
    <w:multiLevelType w:val="hybridMultilevel"/>
    <w:tmpl w:val="1D42D0E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9F0317"/>
    <w:multiLevelType w:val="hybridMultilevel"/>
    <w:tmpl w:val="645E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71E77D60"/>
    <w:multiLevelType w:val="hybridMultilevel"/>
    <w:tmpl w:val="1E9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1F7883"/>
    <w:multiLevelType w:val="hybridMultilevel"/>
    <w:tmpl w:val="87B2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117447">
    <w:abstractNumId w:val="14"/>
  </w:num>
  <w:num w:numId="2" w16cid:durableId="280646807">
    <w:abstractNumId w:val="3"/>
  </w:num>
  <w:num w:numId="3" w16cid:durableId="1450389224">
    <w:abstractNumId w:val="17"/>
  </w:num>
  <w:num w:numId="4" w16cid:durableId="2007050314">
    <w:abstractNumId w:val="16"/>
  </w:num>
  <w:num w:numId="5" w16cid:durableId="975261535">
    <w:abstractNumId w:val="12"/>
  </w:num>
  <w:num w:numId="6" w16cid:durableId="2051177629">
    <w:abstractNumId w:val="11"/>
  </w:num>
  <w:num w:numId="7" w16cid:durableId="1286304267">
    <w:abstractNumId w:val="6"/>
  </w:num>
  <w:num w:numId="8" w16cid:durableId="874150560">
    <w:abstractNumId w:val="25"/>
  </w:num>
  <w:num w:numId="9" w16cid:durableId="148375247">
    <w:abstractNumId w:val="0"/>
  </w:num>
  <w:num w:numId="10" w16cid:durableId="684786157">
    <w:abstractNumId w:val="18"/>
  </w:num>
  <w:num w:numId="11" w16cid:durableId="471294443">
    <w:abstractNumId w:val="22"/>
  </w:num>
  <w:num w:numId="12" w16cid:durableId="1529025577">
    <w:abstractNumId w:val="5"/>
  </w:num>
  <w:num w:numId="13" w16cid:durableId="997532787">
    <w:abstractNumId w:val="2"/>
  </w:num>
  <w:num w:numId="14" w16cid:durableId="439644095">
    <w:abstractNumId w:val="21"/>
  </w:num>
  <w:num w:numId="15" w16cid:durableId="591860684">
    <w:abstractNumId w:val="27"/>
  </w:num>
  <w:num w:numId="16" w16cid:durableId="1763335370">
    <w:abstractNumId w:val="23"/>
  </w:num>
  <w:num w:numId="17" w16cid:durableId="452362159">
    <w:abstractNumId w:val="1"/>
  </w:num>
  <w:num w:numId="18" w16cid:durableId="2145611508">
    <w:abstractNumId w:val="24"/>
  </w:num>
  <w:num w:numId="19" w16cid:durableId="613681019">
    <w:abstractNumId w:val="7"/>
  </w:num>
  <w:num w:numId="20" w16cid:durableId="2077165115">
    <w:abstractNumId w:val="26"/>
  </w:num>
  <w:num w:numId="21" w16cid:durableId="1827739835">
    <w:abstractNumId w:val="10"/>
  </w:num>
  <w:num w:numId="22" w16cid:durableId="1345403590">
    <w:abstractNumId w:val="20"/>
  </w:num>
  <w:num w:numId="23" w16cid:durableId="1707680456">
    <w:abstractNumId w:val="9"/>
  </w:num>
  <w:num w:numId="24" w16cid:durableId="1379283314">
    <w:abstractNumId w:val="8"/>
  </w:num>
  <w:num w:numId="25" w16cid:durableId="1818843426">
    <w:abstractNumId w:val="13"/>
  </w:num>
  <w:num w:numId="26" w16cid:durableId="174540806">
    <w:abstractNumId w:val="19"/>
  </w:num>
  <w:num w:numId="27" w16cid:durableId="1204291725">
    <w:abstractNumId w:val="4"/>
  </w:num>
  <w:num w:numId="28" w16cid:durableId="1209532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2A74"/>
    <w:rsid w:val="00003F5B"/>
    <w:rsid w:val="000114DD"/>
    <w:rsid w:val="000136F7"/>
    <w:rsid w:val="0002686C"/>
    <w:rsid w:val="00031D0E"/>
    <w:rsid w:val="000337E6"/>
    <w:rsid w:val="0003402E"/>
    <w:rsid w:val="00034EAE"/>
    <w:rsid w:val="000606BE"/>
    <w:rsid w:val="00060FF4"/>
    <w:rsid w:val="000736B8"/>
    <w:rsid w:val="0008190F"/>
    <w:rsid w:val="00081D9C"/>
    <w:rsid w:val="00082907"/>
    <w:rsid w:val="00082963"/>
    <w:rsid w:val="0008378D"/>
    <w:rsid w:val="000846D5"/>
    <w:rsid w:val="00085A2A"/>
    <w:rsid w:val="000908A5"/>
    <w:rsid w:val="00092805"/>
    <w:rsid w:val="000B0071"/>
    <w:rsid w:val="000C454C"/>
    <w:rsid w:val="000C74AB"/>
    <w:rsid w:val="000D5038"/>
    <w:rsid w:val="000E29D4"/>
    <w:rsid w:val="000F3540"/>
    <w:rsid w:val="00100491"/>
    <w:rsid w:val="00104E2E"/>
    <w:rsid w:val="00107287"/>
    <w:rsid w:val="00117406"/>
    <w:rsid w:val="00121EF0"/>
    <w:rsid w:val="00124A9E"/>
    <w:rsid w:val="00130703"/>
    <w:rsid w:val="0013153F"/>
    <w:rsid w:val="001408B8"/>
    <w:rsid w:val="001521D9"/>
    <w:rsid w:val="001554E2"/>
    <w:rsid w:val="00164146"/>
    <w:rsid w:val="0017369C"/>
    <w:rsid w:val="00180C39"/>
    <w:rsid w:val="00180D96"/>
    <w:rsid w:val="00186C3A"/>
    <w:rsid w:val="001921F3"/>
    <w:rsid w:val="00192B40"/>
    <w:rsid w:val="001A7168"/>
    <w:rsid w:val="001B3C5B"/>
    <w:rsid w:val="001D7A9E"/>
    <w:rsid w:val="001E3C7E"/>
    <w:rsid w:val="001E4BBB"/>
    <w:rsid w:val="001E6304"/>
    <w:rsid w:val="0020381E"/>
    <w:rsid w:val="00213471"/>
    <w:rsid w:val="00214F6C"/>
    <w:rsid w:val="00215906"/>
    <w:rsid w:val="002310DA"/>
    <w:rsid w:val="00255CDC"/>
    <w:rsid w:val="0025697F"/>
    <w:rsid w:val="00260258"/>
    <w:rsid w:val="00272428"/>
    <w:rsid w:val="00272948"/>
    <w:rsid w:val="00275F69"/>
    <w:rsid w:val="00293ECA"/>
    <w:rsid w:val="002946C7"/>
    <w:rsid w:val="002A3421"/>
    <w:rsid w:val="002A6B73"/>
    <w:rsid w:val="002B3CC1"/>
    <w:rsid w:val="002C09E0"/>
    <w:rsid w:val="002C3A10"/>
    <w:rsid w:val="002C4A90"/>
    <w:rsid w:val="002D02EF"/>
    <w:rsid w:val="002D2025"/>
    <w:rsid w:val="002D6184"/>
    <w:rsid w:val="002E0702"/>
    <w:rsid w:val="002E6F80"/>
    <w:rsid w:val="002F0E4F"/>
    <w:rsid w:val="002F1053"/>
    <w:rsid w:val="00306D00"/>
    <w:rsid w:val="00317B0E"/>
    <w:rsid w:val="00333B00"/>
    <w:rsid w:val="003346C8"/>
    <w:rsid w:val="0033601E"/>
    <w:rsid w:val="00336488"/>
    <w:rsid w:val="00336E12"/>
    <w:rsid w:val="00341BF0"/>
    <w:rsid w:val="00343ADF"/>
    <w:rsid w:val="00347FAA"/>
    <w:rsid w:val="0035172D"/>
    <w:rsid w:val="0036187D"/>
    <w:rsid w:val="00381024"/>
    <w:rsid w:val="003847C7"/>
    <w:rsid w:val="00386307"/>
    <w:rsid w:val="003874DE"/>
    <w:rsid w:val="00390F3E"/>
    <w:rsid w:val="00393E9F"/>
    <w:rsid w:val="0039696E"/>
    <w:rsid w:val="003A5CCF"/>
    <w:rsid w:val="003B211A"/>
    <w:rsid w:val="003C12B3"/>
    <w:rsid w:val="003C141F"/>
    <w:rsid w:val="003C6B0E"/>
    <w:rsid w:val="003C7257"/>
    <w:rsid w:val="003C7E35"/>
    <w:rsid w:val="003E5FCD"/>
    <w:rsid w:val="00404E8A"/>
    <w:rsid w:val="0040622F"/>
    <w:rsid w:val="00413904"/>
    <w:rsid w:val="00423160"/>
    <w:rsid w:val="00453862"/>
    <w:rsid w:val="00461338"/>
    <w:rsid w:val="004677DB"/>
    <w:rsid w:val="0048630F"/>
    <w:rsid w:val="004947A1"/>
    <w:rsid w:val="0049482A"/>
    <w:rsid w:val="004979D3"/>
    <w:rsid w:val="004A00E7"/>
    <w:rsid w:val="004A3A61"/>
    <w:rsid w:val="004A3BED"/>
    <w:rsid w:val="004B088A"/>
    <w:rsid w:val="004B59BA"/>
    <w:rsid w:val="004C263A"/>
    <w:rsid w:val="004D7B8F"/>
    <w:rsid w:val="004E6458"/>
    <w:rsid w:val="004E6E7D"/>
    <w:rsid w:val="004F11C8"/>
    <w:rsid w:val="004F1AAC"/>
    <w:rsid w:val="004F1AE2"/>
    <w:rsid w:val="004F34F0"/>
    <w:rsid w:val="005005EF"/>
    <w:rsid w:val="00511BEA"/>
    <w:rsid w:val="005270F1"/>
    <w:rsid w:val="00534E11"/>
    <w:rsid w:val="005400D9"/>
    <w:rsid w:val="005476A4"/>
    <w:rsid w:val="0055019B"/>
    <w:rsid w:val="0055060B"/>
    <w:rsid w:val="00553E16"/>
    <w:rsid w:val="00556627"/>
    <w:rsid w:val="00556E63"/>
    <w:rsid w:val="0055714A"/>
    <w:rsid w:val="005601A4"/>
    <w:rsid w:val="00566DBB"/>
    <w:rsid w:val="00576154"/>
    <w:rsid w:val="00577D3A"/>
    <w:rsid w:val="0058324E"/>
    <w:rsid w:val="005967BB"/>
    <w:rsid w:val="005976CE"/>
    <w:rsid w:val="005A23D4"/>
    <w:rsid w:val="005A2D1E"/>
    <w:rsid w:val="005A4D92"/>
    <w:rsid w:val="005A657C"/>
    <w:rsid w:val="005C493F"/>
    <w:rsid w:val="005C6BF7"/>
    <w:rsid w:val="005C71BF"/>
    <w:rsid w:val="005D002C"/>
    <w:rsid w:val="005D30E1"/>
    <w:rsid w:val="005D6555"/>
    <w:rsid w:val="005D7BDF"/>
    <w:rsid w:val="005F034B"/>
    <w:rsid w:val="005F71D9"/>
    <w:rsid w:val="005F7602"/>
    <w:rsid w:val="00600040"/>
    <w:rsid w:val="006108BA"/>
    <w:rsid w:val="00613501"/>
    <w:rsid w:val="006166A8"/>
    <w:rsid w:val="006174A1"/>
    <w:rsid w:val="00620C31"/>
    <w:rsid w:val="00633B49"/>
    <w:rsid w:val="0064297F"/>
    <w:rsid w:val="00646CF3"/>
    <w:rsid w:val="00662983"/>
    <w:rsid w:val="006661F8"/>
    <w:rsid w:val="006705B8"/>
    <w:rsid w:val="006834D3"/>
    <w:rsid w:val="00692625"/>
    <w:rsid w:val="00695CD3"/>
    <w:rsid w:val="006A38B6"/>
    <w:rsid w:val="006A7628"/>
    <w:rsid w:val="006B1987"/>
    <w:rsid w:val="006B5B71"/>
    <w:rsid w:val="006B6CB0"/>
    <w:rsid w:val="006C14E8"/>
    <w:rsid w:val="006C1D30"/>
    <w:rsid w:val="006C2B64"/>
    <w:rsid w:val="006C428F"/>
    <w:rsid w:val="006D4C85"/>
    <w:rsid w:val="006E33F6"/>
    <w:rsid w:val="006F1251"/>
    <w:rsid w:val="006F1C23"/>
    <w:rsid w:val="00703166"/>
    <w:rsid w:val="007127F3"/>
    <w:rsid w:val="007301CF"/>
    <w:rsid w:val="007316FB"/>
    <w:rsid w:val="00737E2D"/>
    <w:rsid w:val="007424D5"/>
    <w:rsid w:val="00751669"/>
    <w:rsid w:val="007523DD"/>
    <w:rsid w:val="00756DCD"/>
    <w:rsid w:val="00757B7E"/>
    <w:rsid w:val="00786632"/>
    <w:rsid w:val="00786B0E"/>
    <w:rsid w:val="00795DC5"/>
    <w:rsid w:val="00797153"/>
    <w:rsid w:val="007A3A76"/>
    <w:rsid w:val="007B0DDA"/>
    <w:rsid w:val="007B5334"/>
    <w:rsid w:val="007C1237"/>
    <w:rsid w:val="007C1D16"/>
    <w:rsid w:val="007C664B"/>
    <w:rsid w:val="007D6482"/>
    <w:rsid w:val="007E5466"/>
    <w:rsid w:val="007F1949"/>
    <w:rsid w:val="007F1DB8"/>
    <w:rsid w:val="007F75E8"/>
    <w:rsid w:val="00802956"/>
    <w:rsid w:val="008053A3"/>
    <w:rsid w:val="008075B7"/>
    <w:rsid w:val="00817A84"/>
    <w:rsid w:val="008225A4"/>
    <w:rsid w:val="008250F6"/>
    <w:rsid w:val="00826D5E"/>
    <w:rsid w:val="00832013"/>
    <w:rsid w:val="00834732"/>
    <w:rsid w:val="00843554"/>
    <w:rsid w:val="0085200C"/>
    <w:rsid w:val="00857C52"/>
    <w:rsid w:val="008651E2"/>
    <w:rsid w:val="00880A44"/>
    <w:rsid w:val="0088345E"/>
    <w:rsid w:val="00884C60"/>
    <w:rsid w:val="0088577F"/>
    <w:rsid w:val="0088656F"/>
    <w:rsid w:val="008A0303"/>
    <w:rsid w:val="008A5FDD"/>
    <w:rsid w:val="008C3947"/>
    <w:rsid w:val="008E7329"/>
    <w:rsid w:val="008F2ED5"/>
    <w:rsid w:val="009145D2"/>
    <w:rsid w:val="00916202"/>
    <w:rsid w:val="009169B7"/>
    <w:rsid w:val="0092297E"/>
    <w:rsid w:val="0093069F"/>
    <w:rsid w:val="009341BF"/>
    <w:rsid w:val="00937907"/>
    <w:rsid w:val="00941739"/>
    <w:rsid w:val="00951573"/>
    <w:rsid w:val="009545AB"/>
    <w:rsid w:val="00963003"/>
    <w:rsid w:val="00970309"/>
    <w:rsid w:val="00973253"/>
    <w:rsid w:val="00983471"/>
    <w:rsid w:val="009909AB"/>
    <w:rsid w:val="009B37DB"/>
    <w:rsid w:val="009C2C0D"/>
    <w:rsid w:val="009C5A9E"/>
    <w:rsid w:val="009C7A8C"/>
    <w:rsid w:val="009D23F9"/>
    <w:rsid w:val="009D4FA8"/>
    <w:rsid w:val="009E6CD6"/>
    <w:rsid w:val="00A00C3C"/>
    <w:rsid w:val="00A01091"/>
    <w:rsid w:val="00A06DBB"/>
    <w:rsid w:val="00A11891"/>
    <w:rsid w:val="00A31E86"/>
    <w:rsid w:val="00A32A95"/>
    <w:rsid w:val="00A54D87"/>
    <w:rsid w:val="00A5553C"/>
    <w:rsid w:val="00A71554"/>
    <w:rsid w:val="00A81785"/>
    <w:rsid w:val="00A84803"/>
    <w:rsid w:val="00A84C51"/>
    <w:rsid w:val="00A86F2B"/>
    <w:rsid w:val="00A91366"/>
    <w:rsid w:val="00A93AA6"/>
    <w:rsid w:val="00AA4E48"/>
    <w:rsid w:val="00AA6202"/>
    <w:rsid w:val="00AB0B5F"/>
    <w:rsid w:val="00AC4A99"/>
    <w:rsid w:val="00AC64D2"/>
    <w:rsid w:val="00AE0FE8"/>
    <w:rsid w:val="00AF3EBC"/>
    <w:rsid w:val="00AF60D5"/>
    <w:rsid w:val="00B04415"/>
    <w:rsid w:val="00B11D60"/>
    <w:rsid w:val="00B11E4B"/>
    <w:rsid w:val="00B13D65"/>
    <w:rsid w:val="00B32B87"/>
    <w:rsid w:val="00B35176"/>
    <w:rsid w:val="00B351ED"/>
    <w:rsid w:val="00B353D4"/>
    <w:rsid w:val="00B37245"/>
    <w:rsid w:val="00B4017A"/>
    <w:rsid w:val="00B4468D"/>
    <w:rsid w:val="00B507C0"/>
    <w:rsid w:val="00B50B27"/>
    <w:rsid w:val="00B53A7E"/>
    <w:rsid w:val="00B65488"/>
    <w:rsid w:val="00B71C72"/>
    <w:rsid w:val="00B81E92"/>
    <w:rsid w:val="00B93B30"/>
    <w:rsid w:val="00B94CB5"/>
    <w:rsid w:val="00BA0DD9"/>
    <w:rsid w:val="00BA4F88"/>
    <w:rsid w:val="00BA59C6"/>
    <w:rsid w:val="00BB6312"/>
    <w:rsid w:val="00BC4D06"/>
    <w:rsid w:val="00BD585E"/>
    <w:rsid w:val="00BF2E0D"/>
    <w:rsid w:val="00BF3F8B"/>
    <w:rsid w:val="00BF76DA"/>
    <w:rsid w:val="00C07C7B"/>
    <w:rsid w:val="00C24479"/>
    <w:rsid w:val="00C37B53"/>
    <w:rsid w:val="00C517D2"/>
    <w:rsid w:val="00C62B36"/>
    <w:rsid w:val="00C638D6"/>
    <w:rsid w:val="00C66A31"/>
    <w:rsid w:val="00C7012C"/>
    <w:rsid w:val="00C96915"/>
    <w:rsid w:val="00CB1C5E"/>
    <w:rsid w:val="00CC668D"/>
    <w:rsid w:val="00CC7832"/>
    <w:rsid w:val="00CF0C1C"/>
    <w:rsid w:val="00CF1FFA"/>
    <w:rsid w:val="00D0495C"/>
    <w:rsid w:val="00D134FD"/>
    <w:rsid w:val="00D17134"/>
    <w:rsid w:val="00D17A5E"/>
    <w:rsid w:val="00D2102A"/>
    <w:rsid w:val="00D23808"/>
    <w:rsid w:val="00D2781D"/>
    <w:rsid w:val="00D27AFA"/>
    <w:rsid w:val="00D3016A"/>
    <w:rsid w:val="00D42960"/>
    <w:rsid w:val="00D43BD7"/>
    <w:rsid w:val="00D4485B"/>
    <w:rsid w:val="00D4708D"/>
    <w:rsid w:val="00D4744C"/>
    <w:rsid w:val="00D63068"/>
    <w:rsid w:val="00D6498C"/>
    <w:rsid w:val="00D8521E"/>
    <w:rsid w:val="00D9291C"/>
    <w:rsid w:val="00D93A97"/>
    <w:rsid w:val="00DB1F64"/>
    <w:rsid w:val="00DC2F53"/>
    <w:rsid w:val="00DC6816"/>
    <w:rsid w:val="00DC6E78"/>
    <w:rsid w:val="00DC76C2"/>
    <w:rsid w:val="00DD1CF2"/>
    <w:rsid w:val="00DF41B7"/>
    <w:rsid w:val="00DF4A4A"/>
    <w:rsid w:val="00DF583C"/>
    <w:rsid w:val="00DF7012"/>
    <w:rsid w:val="00E03C3F"/>
    <w:rsid w:val="00E24D45"/>
    <w:rsid w:val="00E33DB8"/>
    <w:rsid w:val="00E34387"/>
    <w:rsid w:val="00E369FE"/>
    <w:rsid w:val="00E37C6F"/>
    <w:rsid w:val="00E475F8"/>
    <w:rsid w:val="00E5102E"/>
    <w:rsid w:val="00E5721C"/>
    <w:rsid w:val="00E619C6"/>
    <w:rsid w:val="00E745A1"/>
    <w:rsid w:val="00E75AE0"/>
    <w:rsid w:val="00E81529"/>
    <w:rsid w:val="00E83A13"/>
    <w:rsid w:val="00E84FAD"/>
    <w:rsid w:val="00E93228"/>
    <w:rsid w:val="00EB1A3E"/>
    <w:rsid w:val="00EC2356"/>
    <w:rsid w:val="00EC2582"/>
    <w:rsid w:val="00EC337C"/>
    <w:rsid w:val="00ED0CFF"/>
    <w:rsid w:val="00ED31D2"/>
    <w:rsid w:val="00EE0ACF"/>
    <w:rsid w:val="00EE0EAC"/>
    <w:rsid w:val="00EE33CB"/>
    <w:rsid w:val="00EE6DB6"/>
    <w:rsid w:val="00EF3DE8"/>
    <w:rsid w:val="00F0061A"/>
    <w:rsid w:val="00F02834"/>
    <w:rsid w:val="00F07CD7"/>
    <w:rsid w:val="00F127E9"/>
    <w:rsid w:val="00F174C8"/>
    <w:rsid w:val="00F36972"/>
    <w:rsid w:val="00F42426"/>
    <w:rsid w:val="00F456BC"/>
    <w:rsid w:val="00F50666"/>
    <w:rsid w:val="00F536EA"/>
    <w:rsid w:val="00F60C95"/>
    <w:rsid w:val="00F66973"/>
    <w:rsid w:val="00F70C9E"/>
    <w:rsid w:val="00F74A74"/>
    <w:rsid w:val="00F8382C"/>
    <w:rsid w:val="00F855D7"/>
    <w:rsid w:val="00F92035"/>
    <w:rsid w:val="00F92748"/>
    <w:rsid w:val="00F953C7"/>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uiPriority w:val="99"/>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uiPriority w:val="5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Use Case List Paragraph,List Paragraph1,Body Bullet,Table Number Paragraph,Ref,B1,bu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Use Case List Paragraph Char"/>
    <w:link w:val="ListParagraph"/>
    <w:uiPriority w:val="34"/>
    <w:locked/>
    <w:rsid w:val="0055060B"/>
    <w:rPr>
      <w:sz w:val="24"/>
      <w:szCs w:val="24"/>
      <w:lang w:eastAsia="en-US"/>
    </w:rPr>
  </w:style>
  <w:style w:type="paragraph" w:styleId="EndnoteText">
    <w:name w:val="endnote text"/>
    <w:basedOn w:val="Normal"/>
    <w:link w:val="EndnoteTextChar"/>
    <w:semiHidden/>
    <w:unhideWhenUsed/>
    <w:rsid w:val="0055060B"/>
    <w:rPr>
      <w:sz w:val="20"/>
      <w:szCs w:val="20"/>
    </w:rPr>
  </w:style>
  <w:style w:type="character" w:customStyle="1" w:styleId="EndnoteTextChar">
    <w:name w:val="Endnote Text Char"/>
    <w:basedOn w:val="DefaultParagraphFont"/>
    <w:link w:val="EndnoteText"/>
    <w:semiHidden/>
    <w:rsid w:val="0055060B"/>
    <w:rPr>
      <w:lang w:eastAsia="en-US"/>
    </w:rPr>
  </w:style>
  <w:style w:type="character" w:styleId="EndnoteReference">
    <w:name w:val="endnote reference"/>
    <w:basedOn w:val="DefaultParagraphFont"/>
    <w:semiHidden/>
    <w:unhideWhenUsed/>
    <w:rsid w:val="0055060B"/>
    <w:rPr>
      <w:vertAlign w:val="superscript"/>
    </w:rPr>
  </w:style>
  <w:style w:type="paragraph" w:styleId="HTMLPreformatted">
    <w:name w:val="HTML Preformatted"/>
    <w:basedOn w:val="Normal"/>
    <w:link w:val="HTMLPreformattedChar"/>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651E2"/>
    <w:rPr>
      <w:rFonts w:ascii="Courier New" w:hAnsi="Courier New" w:cs="Courier New"/>
      <w:lang w:eastAsia="en-GB"/>
    </w:rPr>
  </w:style>
  <w:style w:type="character" w:customStyle="1" w:styleId="y2iqfc">
    <w:name w:val="y2iqfc"/>
    <w:basedOn w:val="DefaultParagraphFont"/>
    <w:rsid w:val="008651E2"/>
  </w:style>
  <w:style w:type="paragraph" w:styleId="NormalWeb">
    <w:name w:val="Normal (Web)"/>
    <w:basedOn w:val="Normal"/>
    <w:uiPriority w:val="99"/>
    <w:unhideWhenUsed/>
    <w:rsid w:val="003C12B3"/>
    <w:pPr>
      <w:spacing w:before="100" w:beforeAutospacing="1" w:after="100" w:afterAutospacing="1"/>
    </w:pPr>
    <w:rPr>
      <w:lang w:val="en-US"/>
    </w:rPr>
  </w:style>
  <w:style w:type="paragraph" w:customStyle="1" w:styleId="drug-info">
    <w:name w:val="drug-info"/>
    <w:basedOn w:val="Normal"/>
    <w:rsid w:val="00BA59C6"/>
    <w:pPr>
      <w:spacing w:before="100" w:beforeAutospacing="1" w:after="100" w:afterAutospacing="1"/>
    </w:pPr>
    <w:rPr>
      <w:lang w:eastAsia="en-GB"/>
    </w:rPr>
  </w:style>
  <w:style w:type="paragraph" w:customStyle="1" w:styleId="Tekstas">
    <w:name w:val="Tekstas"/>
    <w:basedOn w:val="Normal"/>
    <w:link w:val="TekstasChar"/>
    <w:qFormat/>
    <w:rsid w:val="006C428F"/>
    <w:pPr>
      <w:spacing w:after="120"/>
      <w:jc w:val="both"/>
    </w:pPr>
    <w:rPr>
      <w:lang w:eastAsia="lt-LT"/>
    </w:rPr>
  </w:style>
  <w:style w:type="character" w:customStyle="1" w:styleId="TekstasChar">
    <w:name w:val="Tekstas Char"/>
    <w:link w:val="Tekstas"/>
    <w:rsid w:val="006C428F"/>
    <w:rPr>
      <w:sz w:val="24"/>
      <w:szCs w:val="24"/>
    </w:rPr>
  </w:style>
  <w:style w:type="paragraph" w:styleId="Caption">
    <w:name w:val="caption"/>
    <w:aliases w:val="Tables and Figures,NICE Caption,- H17,Caption 3,TableCaption,Table caption,Char1,c,fig cadre,Caption Char Char,Caption Char Char Char Char,fig cadre Char2,Caption Char2,fig cadre Char Char,Char,SMC Caption,AW Caption,IB Caption,Medical Caption"/>
    <w:basedOn w:val="Normal"/>
    <w:next w:val="Normal"/>
    <w:link w:val="CaptionChar"/>
    <w:uiPriority w:val="35"/>
    <w:unhideWhenUsed/>
    <w:qFormat/>
    <w:rsid w:val="00884C60"/>
    <w:pPr>
      <w:keepNext/>
      <w:spacing w:after="60"/>
      <w:jc w:val="both"/>
    </w:pPr>
    <w:rPr>
      <w:bCs/>
      <w:color w:val="365F91" w:themeColor="accent1" w:themeShade="BF"/>
      <w:sz w:val="23"/>
      <w:szCs w:val="18"/>
      <w:lang w:eastAsia="lt-LT"/>
    </w:rPr>
  </w:style>
  <w:style w:type="character" w:customStyle="1" w:styleId="CaptionChar">
    <w:name w:val="Caption Char"/>
    <w:aliases w:val="Tables and Figures Char,NICE Caption Char,- H17 Char,Caption 3 Char,TableCaption Char,Table caption Char,Char1 Char,c Char,fig cadre Char,Caption Char Char Char,Caption Char Char Char Char Char,fig cadre Char2 Char,Caption Char2 Char"/>
    <w:basedOn w:val="DefaultParagraphFont"/>
    <w:link w:val="Caption"/>
    <w:uiPriority w:val="35"/>
    <w:rsid w:val="00884C60"/>
    <w:rPr>
      <w:bCs/>
      <w:color w:val="365F91" w:themeColor="accent1" w:themeShade="BF"/>
      <w:sz w:val="23"/>
      <w:szCs w:val="18"/>
    </w:rPr>
  </w:style>
  <w:style w:type="paragraph" w:customStyle="1" w:styleId="VVKT">
    <w:name w:val="VVKT"/>
    <w:link w:val="VVKTChar"/>
    <w:qFormat/>
    <w:rsid w:val="00255CDC"/>
    <w:pPr>
      <w:widowControl w:val="0"/>
      <w:spacing w:after="60" w:line="276" w:lineRule="auto"/>
      <w:ind w:firstLine="576"/>
    </w:pPr>
    <w:rPr>
      <w:sz w:val="24"/>
      <w:lang w:eastAsia="en-US"/>
    </w:rPr>
  </w:style>
  <w:style w:type="character" w:customStyle="1" w:styleId="VVKTChar">
    <w:name w:val="VVKT Char"/>
    <w:link w:val="VVKT"/>
    <w:rsid w:val="00255CD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17809">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6424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91A7D77D987F40A9B3B435AFBF91F6"/>
        <w:category>
          <w:name w:val="General"/>
          <w:gallery w:val="placeholder"/>
        </w:category>
        <w:types>
          <w:type w:val="bbPlcHdr"/>
        </w:types>
        <w:behaviors>
          <w:behavior w:val="content"/>
        </w:behaviors>
        <w:guid w:val="{6839AF33-A846-3241-8F66-EBF58AE81E3D}"/>
      </w:docPartPr>
      <w:docPartBody>
        <w:p w:rsidR="00D274F7" w:rsidRDefault="00E70FD5" w:rsidP="00E70FD5">
          <w:pPr>
            <w:pStyle w:val="9691A7D77D987F40A9B3B435AFBF91F6"/>
          </w:pPr>
          <w:r w:rsidRPr="00546469">
            <w:rPr>
              <w:rStyle w:val="PlaceholderText"/>
            </w:rPr>
            <w:t>Click or tap here to enter text.</w:t>
          </w:r>
        </w:p>
      </w:docPartBody>
    </w:docPart>
    <w:docPart>
      <w:docPartPr>
        <w:name w:val="9836E1CD8011654E862FD96753EA7918"/>
        <w:category>
          <w:name w:val="General"/>
          <w:gallery w:val="placeholder"/>
        </w:category>
        <w:types>
          <w:type w:val="bbPlcHdr"/>
        </w:types>
        <w:behaviors>
          <w:behavior w:val="content"/>
        </w:behaviors>
        <w:guid w:val="{522F3629-7FEB-BA4B-A53A-BA516642A5ED}"/>
      </w:docPartPr>
      <w:docPartBody>
        <w:p w:rsidR="00584667" w:rsidRDefault="00D274F7" w:rsidP="00D274F7">
          <w:pPr>
            <w:pStyle w:val="9836E1CD8011654E862FD96753EA7918"/>
          </w:pPr>
          <w:r>
            <w:rPr>
              <w:rStyle w:val="PlaceholderText"/>
            </w:rPr>
            <w:t>Click here to enter a date.</w:t>
          </w:r>
        </w:p>
      </w:docPartBody>
    </w:docPart>
    <w:docPart>
      <w:docPartPr>
        <w:name w:val="A5FA40582FB53D428CAE0709416C9BD6"/>
        <w:category>
          <w:name w:val="General"/>
          <w:gallery w:val="placeholder"/>
        </w:category>
        <w:types>
          <w:type w:val="bbPlcHdr"/>
        </w:types>
        <w:behaviors>
          <w:behavior w:val="content"/>
        </w:behaviors>
        <w:guid w:val="{2331BA6A-CB0D-5544-AABD-76967E5D2C60}"/>
      </w:docPartPr>
      <w:docPartBody>
        <w:p w:rsidR="000755E1" w:rsidRDefault="004101A2" w:rsidP="004101A2">
          <w:pPr>
            <w:pStyle w:val="A5FA40582FB53D428CAE0709416C9BD6"/>
          </w:pPr>
          <w:r>
            <w:rPr>
              <w:rStyle w:val="PlaceholderText"/>
            </w:rPr>
            <w:t>Click here to enter a date.</w:t>
          </w:r>
        </w:p>
      </w:docPartBody>
    </w:docPart>
    <w:docPart>
      <w:docPartPr>
        <w:name w:val="A72AD652D15E4CD6AEDA7B6B9E4A9EEB"/>
        <w:category>
          <w:name w:val="General"/>
          <w:gallery w:val="placeholder"/>
        </w:category>
        <w:types>
          <w:type w:val="bbPlcHdr"/>
        </w:types>
        <w:behaviors>
          <w:behavior w:val="content"/>
        </w:behaviors>
        <w:guid w:val="{58F0B442-4519-4BA0-9878-99BD3B461768}"/>
      </w:docPartPr>
      <w:docPartBody>
        <w:p w:rsidR="000755E1" w:rsidRDefault="000755E1" w:rsidP="000755E1">
          <w:pPr>
            <w:pStyle w:val="A72AD652D15E4CD6AEDA7B6B9E4A9EEB"/>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755E1"/>
    <w:rsid w:val="000937FE"/>
    <w:rsid w:val="000A559A"/>
    <w:rsid w:val="001227E4"/>
    <w:rsid w:val="001A7168"/>
    <w:rsid w:val="002962AA"/>
    <w:rsid w:val="00366391"/>
    <w:rsid w:val="003A2F2A"/>
    <w:rsid w:val="003C1AE1"/>
    <w:rsid w:val="004101A2"/>
    <w:rsid w:val="004144A3"/>
    <w:rsid w:val="004160E7"/>
    <w:rsid w:val="00483201"/>
    <w:rsid w:val="005074B9"/>
    <w:rsid w:val="00584667"/>
    <w:rsid w:val="005E40DD"/>
    <w:rsid w:val="006047AF"/>
    <w:rsid w:val="007427F3"/>
    <w:rsid w:val="00751669"/>
    <w:rsid w:val="007C6D1D"/>
    <w:rsid w:val="00843AE5"/>
    <w:rsid w:val="008C49D4"/>
    <w:rsid w:val="008E53D4"/>
    <w:rsid w:val="008F566D"/>
    <w:rsid w:val="00936288"/>
    <w:rsid w:val="009B3BF0"/>
    <w:rsid w:val="009D5E5E"/>
    <w:rsid w:val="00B23DC0"/>
    <w:rsid w:val="00B766C7"/>
    <w:rsid w:val="00BA1063"/>
    <w:rsid w:val="00CB4BD1"/>
    <w:rsid w:val="00CE2DA9"/>
    <w:rsid w:val="00CE44BE"/>
    <w:rsid w:val="00CE49F2"/>
    <w:rsid w:val="00CF1DC4"/>
    <w:rsid w:val="00D17134"/>
    <w:rsid w:val="00D274F7"/>
    <w:rsid w:val="00D86B23"/>
    <w:rsid w:val="00E44A86"/>
    <w:rsid w:val="00E70FD5"/>
    <w:rsid w:val="00EF6E0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55E1"/>
    <w:rPr>
      <w:color w:val="808080"/>
    </w:rPr>
  </w:style>
  <w:style w:type="paragraph" w:customStyle="1" w:styleId="9836E1CD8011654E862FD96753EA7918">
    <w:name w:val="9836E1CD8011654E862FD96753EA7918"/>
    <w:rsid w:val="00D274F7"/>
    <w:pPr>
      <w:spacing w:after="0" w:line="240" w:lineRule="auto"/>
    </w:pPr>
    <w:rPr>
      <w:sz w:val="24"/>
      <w:szCs w:val="24"/>
      <w:lang w:eastAsia="en-GB"/>
    </w:rPr>
  </w:style>
  <w:style w:type="paragraph" w:customStyle="1" w:styleId="9691A7D77D987F40A9B3B435AFBF91F6">
    <w:name w:val="9691A7D77D987F40A9B3B435AFBF91F6"/>
    <w:rsid w:val="00E70FD5"/>
    <w:pPr>
      <w:spacing w:after="0" w:line="240" w:lineRule="auto"/>
    </w:pPr>
    <w:rPr>
      <w:sz w:val="24"/>
      <w:szCs w:val="24"/>
      <w:lang w:eastAsia="en-GB"/>
    </w:rPr>
  </w:style>
  <w:style w:type="paragraph" w:customStyle="1" w:styleId="A72AD652D15E4CD6AEDA7B6B9E4A9EEB">
    <w:name w:val="A72AD652D15E4CD6AEDA7B6B9E4A9EEB"/>
    <w:rsid w:val="000755E1"/>
    <w:pPr>
      <w:spacing w:line="278" w:lineRule="auto"/>
    </w:pPr>
    <w:rPr>
      <w:kern w:val="2"/>
      <w:sz w:val="24"/>
      <w:szCs w:val="24"/>
      <w:lang w:val="en-GB" w:eastAsia="en-GB"/>
      <w14:ligatures w14:val="standardContextual"/>
    </w:rPr>
  </w:style>
  <w:style w:type="paragraph" w:customStyle="1" w:styleId="A5FA40582FB53D428CAE0709416C9BD6">
    <w:name w:val="A5FA40582FB53D428CAE0709416C9BD6"/>
    <w:rsid w:val="004101A2"/>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2723</Words>
  <Characters>20018</Characters>
  <Application>Microsoft Office Word</Application>
  <DocSecurity>0</DocSecurity>
  <Lines>166</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22696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2024-07-26T21:42:00Z</dcterms:created>
  <dcterms:modified xsi:type="dcterms:W3CDTF">2024-08-05T08:06:00Z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2024-08-05T08:04:43Z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fbba5b07-e61b-4c0a-a4c8-d1cb7157641f</vt:lpwstr>
  </property>
  <property fmtid="{D5CDD505-2E9C-101B-9397-08002B2CF9AE}" pid="8" name="MSIP_Label_e81acc0d-dcc4-4dc9-a2c5-be70b05a2fe6_ContentBits">
    <vt:lpwstr>0</vt:lpwstr>
  </property>
  <property fmtid="{D5CDD505-2E9C-101B-9397-08002B2CF9AE}" pid="10" name="_NewReviewCycle">
    <vt:lpwstr/>
  </property>
</Properties>
</file>