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2A024D" w:rsidRDefault="005F7602" w:rsidP="002946C7">
      <w:pPr>
        <w:ind w:left="5529"/>
      </w:pPr>
    </w:p>
    <w:p w14:paraId="12FA4B9E" w14:textId="77777777" w:rsidR="001B3C5B" w:rsidRPr="002A024D" w:rsidRDefault="001B3C5B" w:rsidP="001B3C5B">
      <w:pPr>
        <w:ind w:left="6096"/>
      </w:pPr>
      <w:r w:rsidRPr="002A024D">
        <w:t>Forma patvirtinta</w:t>
      </w:r>
    </w:p>
    <w:p w14:paraId="7206970B" w14:textId="70E9BD2E" w:rsidR="004C263A" w:rsidRPr="002A024D" w:rsidRDefault="001B3C5B" w:rsidP="001B3C5B">
      <w:pPr>
        <w:ind w:left="6096"/>
      </w:pPr>
      <w:r w:rsidRPr="002A024D">
        <w:t>Valstybinės vaistų kontrolės tarnybos prie Lietuvos Respublikos sveikatos apsaugos ministerijos viršininko 2021 m</w:t>
      </w:r>
      <w:r w:rsidR="004C263A" w:rsidRPr="002A024D">
        <w:t xml:space="preserve">. lapkričio 12 </w:t>
      </w:r>
      <w:r w:rsidRPr="002A024D">
        <w:t>d. įsakymu Nr.</w:t>
      </w:r>
      <w:r w:rsidR="004C263A" w:rsidRPr="002A024D">
        <w:t xml:space="preserve"> (1.72E)1A-1418</w:t>
      </w:r>
    </w:p>
    <w:p w14:paraId="5B219AA6" w14:textId="520B9136" w:rsidR="001B3C5B" w:rsidRPr="002A024D" w:rsidRDefault="004C263A" w:rsidP="001B3C5B">
      <w:pPr>
        <w:ind w:left="6096"/>
      </w:pPr>
      <w:r w:rsidRPr="002A024D">
        <w:t>(Valstybinės vaistų kontrolės tarnybos prie Lietuvos Respublikos sveikatos apsaugos ministerijos viršininko 2022 m.                         d. įsakymo Nr.                    redakcija)</w:t>
      </w:r>
    </w:p>
    <w:p w14:paraId="3336BD74" w14:textId="77777777" w:rsidR="001B3C5B" w:rsidRPr="002A024D" w:rsidRDefault="001B3C5B" w:rsidP="00FA4169"/>
    <w:p w14:paraId="77AFB67E" w14:textId="16397257" w:rsidR="00613501" w:rsidRPr="002A024D" w:rsidRDefault="002F0E4F" w:rsidP="003B211A">
      <w:pPr>
        <w:jc w:val="center"/>
        <w:rPr>
          <w:b/>
          <w:bCs/>
          <w:caps/>
        </w:rPr>
      </w:pPr>
      <w:r w:rsidRPr="002A024D">
        <w:rPr>
          <w:b/>
        </w:rPr>
        <w:t xml:space="preserve">REKOMENDACIJA DĖL VAISTINIO PREPARATO </w:t>
      </w:r>
      <w:r w:rsidRPr="002A024D">
        <w:rPr>
          <w:b/>
          <w:bCs/>
          <w:caps/>
        </w:rPr>
        <w:t>Lietuvos Respublikos Sveikatos apsaugos ministerijos vaistinių preparatų ir medicinos pagalbos priemonių kompensavimo komisijai</w:t>
      </w:r>
    </w:p>
    <w:p w14:paraId="34E4395D" w14:textId="15FB10DF" w:rsidR="00B13D65" w:rsidRPr="002A024D" w:rsidRDefault="00B13D65" w:rsidP="003B211A">
      <w:pPr>
        <w:jc w:val="center"/>
        <w:rPr>
          <w:b/>
        </w:rPr>
      </w:pPr>
    </w:p>
    <w:p w14:paraId="1022DB9C" w14:textId="77777777" w:rsidR="00295926" w:rsidRPr="002A024D" w:rsidRDefault="00295926" w:rsidP="00295926">
      <w:pPr>
        <w:jc w:val="center"/>
        <w:rPr>
          <w:b/>
          <w:sz w:val="26"/>
          <w:szCs w:val="26"/>
        </w:rPr>
      </w:pPr>
      <w:r w:rsidRPr="002A024D">
        <w:rPr>
          <w:b/>
          <w:sz w:val="26"/>
          <w:szCs w:val="26"/>
        </w:rPr>
        <w:t>Trepulmix 1 mg/ml, 2,5 mg/ml, 5 mg/ml, 10 mg/ml 10 ml infuzinis tirpalas</w:t>
      </w:r>
    </w:p>
    <w:p w14:paraId="244FA64C" w14:textId="77777777" w:rsidR="00295926" w:rsidRPr="002A024D" w:rsidRDefault="00295926" w:rsidP="00295926">
      <w:pPr>
        <w:jc w:val="center"/>
        <w:rPr>
          <w:sz w:val="26"/>
          <w:szCs w:val="26"/>
        </w:rPr>
      </w:pPr>
    </w:p>
    <w:p w14:paraId="1EAB750C" w14:textId="77777777" w:rsidR="00295926" w:rsidRPr="002A024D" w:rsidRDefault="00295926" w:rsidP="00295926">
      <w:pPr>
        <w:jc w:val="center"/>
        <w:rPr>
          <w:sz w:val="26"/>
          <w:szCs w:val="26"/>
        </w:rPr>
      </w:pPr>
      <w:r w:rsidRPr="002A024D">
        <w:rPr>
          <w:b/>
          <w:sz w:val="26"/>
          <w:szCs w:val="26"/>
        </w:rPr>
        <w:t>Treprostinilis</w:t>
      </w:r>
    </w:p>
    <w:p w14:paraId="32B6131E" w14:textId="77777777" w:rsidR="00295926" w:rsidRPr="002A024D" w:rsidRDefault="00295926" w:rsidP="00295926">
      <w:pPr>
        <w:rPr>
          <w:sz w:val="26"/>
          <w:szCs w:val="26"/>
        </w:rPr>
      </w:pPr>
    </w:p>
    <w:p w14:paraId="0E0843DD" w14:textId="77777777" w:rsidR="00295926" w:rsidRPr="002A024D" w:rsidRDefault="00295926" w:rsidP="00295926">
      <w:pPr>
        <w:jc w:val="center"/>
        <w:rPr>
          <w:b/>
        </w:rPr>
      </w:pPr>
      <w:r w:rsidRPr="002A024D">
        <w:rPr>
          <w:b/>
        </w:rPr>
        <w:t>STV-132</w:t>
      </w:r>
    </w:p>
    <w:p w14:paraId="1987A5B5" w14:textId="77777777" w:rsidR="00CE12C2" w:rsidRPr="002A024D" w:rsidRDefault="00CE12C2" w:rsidP="00CE12C2">
      <w:pPr>
        <w:jc w:val="center"/>
        <w:rPr>
          <w:b/>
        </w:rPr>
      </w:pPr>
    </w:p>
    <w:p w14:paraId="78C89D1C" w14:textId="095241E9" w:rsidR="00D4485B" w:rsidRPr="002A024D" w:rsidRDefault="00B13D65" w:rsidP="00937907">
      <w:pPr>
        <w:pStyle w:val="Sraopastraipa"/>
        <w:numPr>
          <w:ilvl w:val="0"/>
          <w:numId w:val="12"/>
        </w:numPr>
        <w:tabs>
          <w:tab w:val="left" w:pos="284"/>
        </w:tabs>
        <w:rPr>
          <w:b/>
          <w:bCs/>
          <w:caps/>
        </w:rPr>
      </w:pPr>
      <w:r w:rsidRPr="002A024D">
        <w:rPr>
          <w:b/>
          <w:bCs/>
          <w:caps/>
        </w:rPr>
        <w:t>Bendroji dalis</w:t>
      </w:r>
    </w:p>
    <w:p w14:paraId="04A7C7A7" w14:textId="77777777" w:rsidR="00B13D65" w:rsidRPr="002A024D" w:rsidRDefault="00B13D65" w:rsidP="00E03C3F">
      <w:pPr>
        <w:pStyle w:val="Sraopastraipa"/>
        <w:tabs>
          <w:tab w:val="left" w:pos="284"/>
        </w:tabs>
        <w:ind w:left="0"/>
        <w:rPr>
          <w:b/>
          <w:bCs/>
          <w:caps/>
        </w:rPr>
      </w:pPr>
    </w:p>
    <w:tbl>
      <w:tblPr>
        <w:tblStyle w:val="Lentelstinklelis"/>
        <w:tblW w:w="9039" w:type="dxa"/>
        <w:tblLook w:val="04A0" w:firstRow="1" w:lastRow="0" w:firstColumn="1" w:lastColumn="0" w:noHBand="0" w:noVBand="1"/>
      </w:tblPr>
      <w:tblGrid>
        <w:gridCol w:w="632"/>
        <w:gridCol w:w="3694"/>
        <w:gridCol w:w="4713"/>
      </w:tblGrid>
      <w:tr w:rsidR="00295926" w:rsidRPr="002A024D" w14:paraId="18A83EC2" w14:textId="77777777" w:rsidTr="006834D3">
        <w:trPr>
          <w:trHeight w:val="538"/>
        </w:trPr>
        <w:tc>
          <w:tcPr>
            <w:tcW w:w="632" w:type="dxa"/>
          </w:tcPr>
          <w:p w14:paraId="0646FBEA" w14:textId="77777777" w:rsidR="00295926" w:rsidRPr="002A024D" w:rsidRDefault="00295926" w:rsidP="00295926">
            <w:pPr>
              <w:tabs>
                <w:tab w:val="left" w:pos="284"/>
              </w:tabs>
              <w:spacing w:line="280" w:lineRule="atLeast"/>
              <w:rPr>
                <w:rFonts w:eastAsia="Arial"/>
                <w:b/>
              </w:rPr>
            </w:pPr>
            <w:r w:rsidRPr="002A024D">
              <w:rPr>
                <w:rFonts w:eastAsia="Arial"/>
                <w:b/>
              </w:rPr>
              <w:t>1.1</w:t>
            </w:r>
          </w:p>
        </w:tc>
        <w:tc>
          <w:tcPr>
            <w:tcW w:w="3694" w:type="dxa"/>
          </w:tcPr>
          <w:p w14:paraId="6C3AE864" w14:textId="77777777" w:rsidR="00295926" w:rsidRPr="002A024D" w:rsidRDefault="00295926" w:rsidP="00295926">
            <w:pPr>
              <w:tabs>
                <w:tab w:val="left" w:pos="284"/>
              </w:tabs>
              <w:spacing w:line="280" w:lineRule="atLeast"/>
              <w:rPr>
                <w:rFonts w:eastAsia="Arial"/>
                <w:b/>
              </w:rPr>
            </w:pPr>
            <w:r w:rsidRPr="002A024D">
              <w:rPr>
                <w:rFonts w:eastAsia="Arial"/>
                <w:b/>
              </w:rPr>
              <w:t>Pareiškėjas</w:t>
            </w:r>
          </w:p>
          <w:p w14:paraId="2AF240DC" w14:textId="77777777" w:rsidR="00295926" w:rsidRPr="002A024D" w:rsidRDefault="00295926" w:rsidP="00295926">
            <w:pPr>
              <w:tabs>
                <w:tab w:val="left" w:pos="284"/>
              </w:tabs>
              <w:spacing w:line="280" w:lineRule="atLeast"/>
              <w:rPr>
                <w:rFonts w:eastAsia="Arial"/>
                <w:b/>
              </w:rPr>
            </w:pPr>
          </w:p>
        </w:tc>
        <w:tc>
          <w:tcPr>
            <w:tcW w:w="4713" w:type="dxa"/>
          </w:tcPr>
          <w:p w14:paraId="2AAF0D91" w14:textId="29FE43E2" w:rsidR="00295926" w:rsidRPr="002A024D" w:rsidRDefault="00295926" w:rsidP="00295926">
            <w:pPr>
              <w:tabs>
                <w:tab w:val="left" w:pos="284"/>
              </w:tabs>
              <w:spacing w:line="280" w:lineRule="atLeast"/>
              <w:rPr>
                <w:rFonts w:eastAsia="Arial"/>
                <w:b/>
              </w:rPr>
            </w:pPr>
            <w:r w:rsidRPr="002A024D">
              <w:t>AOP Orphan Pharmaceuticals GmbH atstovybė Baltijos šalims</w:t>
            </w:r>
          </w:p>
        </w:tc>
      </w:tr>
      <w:tr w:rsidR="007646F9" w:rsidRPr="002A024D" w14:paraId="31998B0D" w14:textId="77777777" w:rsidTr="006834D3">
        <w:trPr>
          <w:trHeight w:val="538"/>
        </w:trPr>
        <w:tc>
          <w:tcPr>
            <w:tcW w:w="632" w:type="dxa"/>
          </w:tcPr>
          <w:p w14:paraId="2005EC67" w14:textId="662300D0" w:rsidR="007646F9" w:rsidRPr="002A024D" w:rsidRDefault="007646F9" w:rsidP="007646F9">
            <w:pPr>
              <w:tabs>
                <w:tab w:val="left" w:pos="284"/>
              </w:tabs>
              <w:spacing w:line="280" w:lineRule="atLeast"/>
              <w:rPr>
                <w:rFonts w:eastAsia="Arial"/>
                <w:b/>
              </w:rPr>
            </w:pPr>
            <w:r w:rsidRPr="002A024D">
              <w:rPr>
                <w:rFonts w:eastAsia="Arial"/>
                <w:b/>
              </w:rPr>
              <w:t>1.2</w:t>
            </w:r>
          </w:p>
        </w:tc>
        <w:tc>
          <w:tcPr>
            <w:tcW w:w="3694" w:type="dxa"/>
          </w:tcPr>
          <w:p w14:paraId="1E4AE3B1" w14:textId="77777777" w:rsidR="007646F9" w:rsidRPr="002A024D" w:rsidRDefault="007646F9" w:rsidP="007646F9">
            <w:pPr>
              <w:tabs>
                <w:tab w:val="left" w:pos="284"/>
              </w:tabs>
              <w:spacing w:line="280" w:lineRule="atLeast"/>
              <w:rPr>
                <w:b/>
                <w:bCs/>
                <w:color w:val="000000"/>
                <w:lang w:eastAsia="lt-LT"/>
              </w:rPr>
            </w:pPr>
            <w:r w:rsidRPr="002A024D">
              <w:rPr>
                <w:b/>
                <w:bCs/>
                <w:color w:val="000000"/>
                <w:lang w:eastAsia="lt-LT"/>
              </w:rPr>
              <w:t xml:space="preserve">Registracijos data </w:t>
            </w:r>
          </w:p>
          <w:p w14:paraId="3A0DC096" w14:textId="77777777" w:rsidR="007646F9" w:rsidRPr="002A024D" w:rsidRDefault="007646F9" w:rsidP="007646F9">
            <w:pPr>
              <w:tabs>
                <w:tab w:val="left" w:pos="284"/>
              </w:tabs>
              <w:spacing w:line="280" w:lineRule="atLeast"/>
              <w:rPr>
                <w:bCs/>
                <w:color w:val="000000"/>
                <w:lang w:eastAsia="lt-LT"/>
              </w:rPr>
            </w:pPr>
          </w:p>
        </w:tc>
        <w:tc>
          <w:tcPr>
            <w:tcW w:w="4713" w:type="dxa"/>
          </w:tcPr>
          <w:p w14:paraId="3CA218AD" w14:textId="4194954B" w:rsidR="007646F9" w:rsidRPr="002A024D" w:rsidRDefault="00000000" w:rsidP="007646F9">
            <w:pPr>
              <w:pStyle w:val="Sraopastraipa"/>
              <w:spacing w:after="120"/>
              <w:ind w:left="0"/>
              <w:contextualSpacing w:val="0"/>
              <w:jc w:val="both"/>
              <w:rPr>
                <w:rStyle w:val="Style2"/>
              </w:rPr>
            </w:pPr>
            <w:sdt>
              <w:sdtPr>
                <w:rPr>
                  <w:sz w:val="32"/>
                </w:rPr>
                <w:alias w:val="Nurodykite konkrečią dieną"/>
                <w:tag w:val="Nurodykite pradžios datą"/>
                <w:id w:val="-1286042050"/>
                <w:placeholder>
                  <w:docPart w:val="A086C5B0C68C47BCAA763C6C41A2F59A"/>
                </w:placeholder>
                <w15:color w:val="FFCC99"/>
                <w:date>
                  <w:dateFormat w:val="yyyy 'm.' MMMM d 'd.'"/>
                  <w:lid w:val="lt-LT"/>
                  <w:storeMappedDataAs w:val="dateTime"/>
                  <w:calendar w:val="gregorian"/>
                </w:date>
              </w:sdtPr>
              <w:sdtEndPr>
                <w:rPr>
                  <w:sz w:val="24"/>
                </w:rPr>
              </w:sdtEndPr>
              <w:sdtContent>
                <w:r w:rsidR="007646F9" w:rsidRPr="002A024D">
                  <w:t xml:space="preserve">2020 m. balandžio </w:t>
                </w:r>
                <w:r w:rsidR="00295926" w:rsidRPr="002A024D">
                  <w:t xml:space="preserve">3 </w:t>
                </w:r>
                <w:r w:rsidR="007646F9" w:rsidRPr="002A024D">
                  <w:t>d.</w:t>
                </w:r>
              </w:sdtContent>
            </w:sdt>
          </w:p>
        </w:tc>
      </w:tr>
      <w:tr w:rsidR="00CE12C2" w:rsidRPr="002A024D" w14:paraId="15968AE1" w14:textId="77777777" w:rsidTr="006834D3">
        <w:trPr>
          <w:trHeight w:val="1500"/>
        </w:trPr>
        <w:tc>
          <w:tcPr>
            <w:tcW w:w="632" w:type="dxa"/>
          </w:tcPr>
          <w:p w14:paraId="6A784245" w14:textId="1E461489" w:rsidR="00CE12C2" w:rsidRPr="002A024D" w:rsidRDefault="00CE12C2" w:rsidP="00CE12C2">
            <w:pPr>
              <w:tabs>
                <w:tab w:val="left" w:pos="284"/>
              </w:tabs>
              <w:spacing w:line="280" w:lineRule="atLeast"/>
              <w:rPr>
                <w:rFonts w:eastAsia="Arial"/>
                <w:b/>
              </w:rPr>
            </w:pPr>
            <w:r w:rsidRPr="002A024D">
              <w:rPr>
                <w:rFonts w:eastAsia="Arial"/>
                <w:b/>
              </w:rPr>
              <w:t>1.3</w:t>
            </w:r>
          </w:p>
        </w:tc>
        <w:tc>
          <w:tcPr>
            <w:tcW w:w="3694" w:type="dxa"/>
          </w:tcPr>
          <w:p w14:paraId="22933506" w14:textId="77777777" w:rsidR="00CE12C2" w:rsidRPr="002A024D" w:rsidRDefault="00CE12C2" w:rsidP="00CE12C2">
            <w:pPr>
              <w:pStyle w:val="Betarp"/>
              <w:rPr>
                <w:rFonts w:ascii="Times New Roman" w:hAnsi="Times New Roman"/>
                <w:b/>
                <w:sz w:val="24"/>
                <w:szCs w:val="24"/>
              </w:rPr>
            </w:pPr>
            <w:r w:rsidRPr="002A024D">
              <w:rPr>
                <w:rFonts w:ascii="Times New Roman" w:hAnsi="Times New Roman"/>
                <w:b/>
                <w:sz w:val="24"/>
                <w:szCs w:val="24"/>
              </w:rPr>
              <w:t xml:space="preserve">Paraiškos tipas </w:t>
            </w:r>
          </w:p>
          <w:p w14:paraId="0465E680" w14:textId="7F0A0714" w:rsidR="00CE12C2" w:rsidRPr="002A024D" w:rsidRDefault="00CE12C2" w:rsidP="00CE12C2">
            <w:pPr>
              <w:rPr>
                <w:b/>
              </w:rPr>
            </w:pPr>
            <w:r w:rsidRPr="002A024D">
              <w:rPr>
                <w:b/>
              </w:rPr>
              <w:t xml:space="preserve">(pagal </w:t>
            </w:r>
            <w:r w:rsidRPr="002A024D">
              <w:rPr>
                <w:b/>
                <w:color w:val="333333"/>
                <w:shd w:val="clear" w:color="auto" w:fill="FFFFFF"/>
              </w:rPr>
              <w:t>vaistinio preparato registracijos tipą, įtvirtintą</w:t>
            </w:r>
            <w:r w:rsidRPr="002A024D">
              <w:rPr>
                <w:b/>
              </w:rPr>
              <w:t xml:space="preserve"> Direktyvos 2001/83/EB straipsiuose)</w:t>
            </w:r>
          </w:p>
          <w:p w14:paraId="77089D80" w14:textId="6681D72A" w:rsidR="00CE12C2" w:rsidRPr="002A024D" w:rsidRDefault="00CE12C2" w:rsidP="00CE12C2">
            <w:pPr>
              <w:tabs>
                <w:tab w:val="left" w:pos="284"/>
              </w:tabs>
              <w:spacing w:line="280" w:lineRule="atLeast"/>
              <w:rPr>
                <w:b/>
                <w:bCs/>
                <w:color w:val="000000"/>
                <w:lang w:eastAsia="lt-LT"/>
              </w:rPr>
            </w:pPr>
          </w:p>
        </w:tc>
        <w:tc>
          <w:tcPr>
            <w:tcW w:w="4713" w:type="dxa"/>
          </w:tcPr>
          <w:p w14:paraId="22612E6E" w14:textId="77777777" w:rsidR="00CE12C2" w:rsidRPr="002A024D" w:rsidRDefault="00000000" w:rsidP="00CE12C2">
            <w:pPr>
              <w:pStyle w:val="Betarp"/>
              <w:rPr>
                <w:rFonts w:ascii="Times New Roman" w:hAnsi="Times New Roman"/>
                <w:sz w:val="24"/>
                <w:szCs w:val="24"/>
              </w:rPr>
            </w:pPr>
            <w:sdt>
              <w:sdtPr>
                <w:rPr>
                  <w:rStyle w:val="Style2"/>
                  <w:rFonts w:ascii="Times New Roman" w:hAnsi="Times New Roman"/>
                  <w:sz w:val="24"/>
                  <w:szCs w:val="24"/>
                </w:rPr>
                <w:id w:val="235292487"/>
                <w15:color w:val="FFCC00"/>
                <w14:checkbox>
                  <w14:checked w14:val="1"/>
                  <w14:checkedState w14:val="2612" w14:font="MS Gothic"/>
                  <w14:uncheckedState w14:val="2610" w14:font="MS Gothic"/>
                </w14:checkbox>
              </w:sdtPr>
              <w:sdtContent>
                <w:r w:rsidR="00CE12C2" w:rsidRPr="002A024D">
                  <w:rPr>
                    <w:rStyle w:val="Style2"/>
                    <w:rFonts w:ascii="MS Gothic" w:eastAsia="MS Gothic" w:hAnsi="MS Gothic"/>
                    <w:sz w:val="24"/>
                    <w:szCs w:val="24"/>
                  </w:rPr>
                  <w:t>☒</w:t>
                </w:r>
              </w:sdtContent>
            </w:sdt>
            <w:r w:rsidR="00CE12C2" w:rsidRPr="002A024D">
              <w:rPr>
                <w:rFonts w:ascii="Times New Roman" w:hAnsi="Times New Roman"/>
                <w:szCs w:val="24"/>
              </w:rPr>
              <w:t xml:space="preserve"> </w:t>
            </w:r>
            <w:r w:rsidR="00CE12C2" w:rsidRPr="002A024D">
              <w:rPr>
                <w:rFonts w:ascii="Times New Roman" w:hAnsi="Times New Roman"/>
                <w:sz w:val="24"/>
                <w:szCs w:val="24"/>
              </w:rPr>
              <w:t xml:space="preserve">8.3 str. (pilna byla, pagrįsta savais tyrimais) </w:t>
            </w:r>
          </w:p>
          <w:p w14:paraId="053EFBB2" w14:textId="77777777" w:rsidR="00CE12C2" w:rsidRPr="002A024D" w:rsidRDefault="00000000" w:rsidP="00CE12C2">
            <w:pPr>
              <w:pStyle w:val="Betarp"/>
              <w:rPr>
                <w:rFonts w:ascii="Times New Roman" w:hAnsi="Times New Roman"/>
                <w:sz w:val="24"/>
                <w:szCs w:val="24"/>
              </w:rPr>
            </w:pPr>
            <w:sdt>
              <w:sdtPr>
                <w:rPr>
                  <w:rStyle w:val="Style2"/>
                  <w:rFonts w:ascii="Times New Roman" w:hAnsi="Times New Roman"/>
                  <w:sz w:val="24"/>
                  <w:szCs w:val="24"/>
                </w:rPr>
                <w:id w:val="-1323436409"/>
                <w15:color w:val="FFCC00"/>
                <w14:checkbox>
                  <w14:checked w14:val="0"/>
                  <w14:checkedState w14:val="2612" w14:font="MS Gothic"/>
                  <w14:uncheckedState w14:val="2610" w14:font="MS Gothic"/>
                </w14:checkbox>
              </w:sdtPr>
              <w:sdtContent>
                <w:r w:rsidR="00CE12C2" w:rsidRPr="002A024D">
                  <w:rPr>
                    <w:rStyle w:val="Style2"/>
                    <w:rFonts w:ascii="Segoe UI Symbol" w:eastAsia="MS Gothic" w:hAnsi="Segoe UI Symbol" w:cs="Segoe UI Symbol"/>
                    <w:sz w:val="24"/>
                    <w:szCs w:val="24"/>
                  </w:rPr>
                  <w:t>☐</w:t>
                </w:r>
              </w:sdtContent>
            </w:sdt>
            <w:r w:rsidR="00CE12C2" w:rsidRPr="002A024D">
              <w:rPr>
                <w:rFonts w:ascii="Times New Roman" w:hAnsi="Times New Roman"/>
                <w:szCs w:val="24"/>
              </w:rPr>
              <w:t xml:space="preserve"> </w:t>
            </w:r>
            <w:r w:rsidR="00CE12C2" w:rsidRPr="002A024D">
              <w:rPr>
                <w:rFonts w:ascii="Times New Roman" w:hAnsi="Times New Roman"/>
                <w:sz w:val="24"/>
                <w:szCs w:val="24"/>
              </w:rPr>
              <w:t xml:space="preserve">10 a str. (pripažintas medicininis vartojimas) </w:t>
            </w:r>
          </w:p>
          <w:p w14:paraId="5C4A84F3" w14:textId="77777777" w:rsidR="00CE12C2" w:rsidRPr="002A024D" w:rsidRDefault="00000000" w:rsidP="00CE12C2">
            <w:pPr>
              <w:pStyle w:val="Betarp"/>
              <w:rPr>
                <w:rFonts w:ascii="Times New Roman" w:hAnsi="Times New Roman"/>
                <w:sz w:val="24"/>
                <w:szCs w:val="24"/>
              </w:rPr>
            </w:pPr>
            <w:sdt>
              <w:sdtPr>
                <w:rPr>
                  <w:rStyle w:val="Style2"/>
                  <w:rFonts w:ascii="Times New Roman" w:hAnsi="Times New Roman"/>
                  <w:sz w:val="24"/>
                  <w:szCs w:val="24"/>
                </w:rPr>
                <w:id w:val="211626681"/>
                <w15:color w:val="FFCC00"/>
                <w14:checkbox>
                  <w14:checked w14:val="0"/>
                  <w14:checkedState w14:val="2612" w14:font="MS Gothic"/>
                  <w14:uncheckedState w14:val="2610" w14:font="MS Gothic"/>
                </w14:checkbox>
              </w:sdtPr>
              <w:sdtContent>
                <w:r w:rsidR="00CE12C2" w:rsidRPr="002A024D">
                  <w:rPr>
                    <w:rStyle w:val="Style2"/>
                    <w:rFonts w:ascii="Segoe UI Symbol" w:eastAsia="MS Gothic" w:hAnsi="Segoe UI Symbol" w:cs="Segoe UI Symbol"/>
                    <w:sz w:val="24"/>
                    <w:szCs w:val="24"/>
                  </w:rPr>
                  <w:t>☐</w:t>
                </w:r>
              </w:sdtContent>
            </w:sdt>
            <w:r w:rsidR="00CE12C2" w:rsidRPr="002A024D">
              <w:rPr>
                <w:rFonts w:ascii="Times New Roman" w:hAnsi="Times New Roman"/>
                <w:szCs w:val="24"/>
              </w:rPr>
              <w:t xml:space="preserve"> </w:t>
            </w:r>
            <w:r w:rsidR="00CE12C2" w:rsidRPr="002A024D">
              <w:rPr>
                <w:rFonts w:ascii="Times New Roman" w:hAnsi="Times New Roman"/>
                <w:sz w:val="24"/>
                <w:szCs w:val="24"/>
              </w:rPr>
              <w:t>10.1 str. (generinis)</w:t>
            </w:r>
          </w:p>
          <w:p w14:paraId="31DB3B57" w14:textId="77777777" w:rsidR="00CE12C2" w:rsidRPr="002A024D" w:rsidRDefault="00000000" w:rsidP="00CE12C2">
            <w:pPr>
              <w:pStyle w:val="Betarp"/>
              <w:rPr>
                <w:rFonts w:ascii="Times New Roman" w:hAnsi="Times New Roman"/>
                <w:sz w:val="24"/>
                <w:szCs w:val="24"/>
              </w:rPr>
            </w:pPr>
            <w:sdt>
              <w:sdtPr>
                <w:rPr>
                  <w:rStyle w:val="Style2"/>
                  <w:rFonts w:ascii="Times New Roman" w:hAnsi="Times New Roman"/>
                  <w:sz w:val="24"/>
                  <w:szCs w:val="24"/>
                </w:rPr>
                <w:id w:val="938490710"/>
                <w15:color w:val="FFCC00"/>
                <w14:checkbox>
                  <w14:checked w14:val="0"/>
                  <w14:checkedState w14:val="2612" w14:font="MS Gothic"/>
                  <w14:uncheckedState w14:val="2610" w14:font="MS Gothic"/>
                </w14:checkbox>
              </w:sdtPr>
              <w:sdtContent>
                <w:r w:rsidR="00CE12C2" w:rsidRPr="002A024D">
                  <w:rPr>
                    <w:rStyle w:val="Style2"/>
                    <w:rFonts w:ascii="Segoe UI Symbol" w:eastAsia="MS Gothic" w:hAnsi="Segoe UI Symbol" w:cs="Segoe UI Symbol"/>
                    <w:sz w:val="24"/>
                    <w:szCs w:val="24"/>
                  </w:rPr>
                  <w:t>☐</w:t>
                </w:r>
              </w:sdtContent>
            </w:sdt>
            <w:r w:rsidR="00CE12C2" w:rsidRPr="002A024D">
              <w:rPr>
                <w:rFonts w:ascii="Times New Roman" w:hAnsi="Times New Roman"/>
                <w:szCs w:val="24"/>
              </w:rPr>
              <w:t xml:space="preserve"> </w:t>
            </w:r>
            <w:r w:rsidR="00CE12C2" w:rsidRPr="002A024D">
              <w:rPr>
                <w:rFonts w:ascii="Times New Roman" w:hAnsi="Times New Roman"/>
                <w:sz w:val="24"/>
                <w:szCs w:val="24"/>
              </w:rPr>
              <w:t>10.3 str. (hibridinis)</w:t>
            </w:r>
          </w:p>
          <w:p w14:paraId="3B0A4F72" w14:textId="0F148C90" w:rsidR="00CE12C2" w:rsidRPr="002A024D" w:rsidRDefault="00CE12C2" w:rsidP="00CE12C2">
            <w:pPr>
              <w:pStyle w:val="Sraopastraipa"/>
              <w:spacing w:after="120"/>
              <w:ind w:left="0"/>
              <w:contextualSpacing w:val="0"/>
              <w:jc w:val="both"/>
              <w:rPr>
                <w:rStyle w:val="Style2"/>
                <w:sz w:val="24"/>
              </w:rPr>
            </w:pPr>
          </w:p>
        </w:tc>
      </w:tr>
      <w:tr w:rsidR="00CE12C2" w:rsidRPr="002A024D" w14:paraId="310E9662" w14:textId="77777777" w:rsidTr="006834D3">
        <w:trPr>
          <w:trHeight w:val="1442"/>
        </w:trPr>
        <w:tc>
          <w:tcPr>
            <w:tcW w:w="632" w:type="dxa"/>
          </w:tcPr>
          <w:p w14:paraId="4B5A91A2" w14:textId="561B5E5F" w:rsidR="00CE12C2" w:rsidRPr="002A024D" w:rsidRDefault="00CE12C2" w:rsidP="00CE12C2">
            <w:pPr>
              <w:tabs>
                <w:tab w:val="left" w:pos="284"/>
              </w:tabs>
              <w:spacing w:line="280" w:lineRule="atLeast"/>
              <w:rPr>
                <w:rFonts w:eastAsia="Arial"/>
                <w:b/>
              </w:rPr>
            </w:pPr>
            <w:r w:rsidRPr="002A024D">
              <w:rPr>
                <w:rFonts w:eastAsia="Arial"/>
                <w:b/>
              </w:rPr>
              <w:t>1.4</w:t>
            </w:r>
          </w:p>
        </w:tc>
        <w:tc>
          <w:tcPr>
            <w:tcW w:w="3694" w:type="dxa"/>
          </w:tcPr>
          <w:p w14:paraId="483071A3" w14:textId="5FC691C1" w:rsidR="00CE12C2" w:rsidRPr="002A024D" w:rsidRDefault="00CE12C2" w:rsidP="00CE12C2">
            <w:pPr>
              <w:tabs>
                <w:tab w:val="left" w:pos="284"/>
              </w:tabs>
              <w:spacing w:line="280" w:lineRule="atLeast"/>
              <w:rPr>
                <w:b/>
                <w:bCs/>
                <w:color w:val="000000"/>
                <w:lang w:eastAsia="lt-LT"/>
              </w:rPr>
            </w:pPr>
            <w:r w:rsidRPr="002A024D">
              <w:rPr>
                <w:b/>
                <w:bCs/>
                <w:color w:val="000000"/>
                <w:lang w:eastAsia="lt-LT"/>
              </w:rPr>
              <w:t xml:space="preserve">Ar vaistinis preparatas įrašytas į Bendrijos retųjų vaistinių preparatų registrą? </w:t>
            </w:r>
          </w:p>
        </w:tc>
        <w:tc>
          <w:tcPr>
            <w:tcW w:w="4713" w:type="dxa"/>
          </w:tcPr>
          <w:p w14:paraId="42804302" w14:textId="13457514" w:rsidR="00CE12C2" w:rsidRPr="002A024D" w:rsidRDefault="00000000" w:rsidP="00CE12C2">
            <w:pPr>
              <w:pStyle w:val="Sraopastraipa"/>
              <w:spacing w:after="120"/>
              <w:ind w:left="0"/>
              <w:contextualSpacing w:val="0"/>
              <w:jc w:val="both"/>
            </w:pPr>
            <w:sdt>
              <w:sdtPr>
                <w:rPr>
                  <w:rStyle w:val="Style2"/>
                </w:rPr>
                <w:id w:val="540011877"/>
                <w15:color w:val="FFCC00"/>
                <w14:checkbox>
                  <w14:checked w14:val="1"/>
                  <w14:checkedState w14:val="2612" w14:font="MS Gothic"/>
                  <w14:uncheckedState w14:val="2610" w14:font="MS Gothic"/>
                </w14:checkbox>
              </w:sdtPr>
              <w:sdtContent>
                <w:r w:rsidR="00295926" w:rsidRPr="002A024D">
                  <w:rPr>
                    <w:rStyle w:val="Style2"/>
                    <w:rFonts w:ascii="MS Gothic" w:eastAsia="MS Gothic" w:hAnsi="MS Gothic"/>
                  </w:rPr>
                  <w:t>☒</w:t>
                </w:r>
              </w:sdtContent>
            </w:sdt>
            <w:r w:rsidR="00CE12C2" w:rsidRPr="002A024D">
              <w:t xml:space="preserve"> Taip</w:t>
            </w:r>
          </w:p>
          <w:p w14:paraId="4D978BBA" w14:textId="62B2DE03" w:rsidR="00CE12C2" w:rsidRPr="002A024D" w:rsidRDefault="00000000" w:rsidP="00CE12C2">
            <w:pPr>
              <w:pStyle w:val="Sraopastraipa"/>
              <w:spacing w:after="120"/>
              <w:ind w:left="0"/>
              <w:contextualSpacing w:val="0"/>
              <w:jc w:val="both"/>
            </w:pPr>
            <w:sdt>
              <w:sdtPr>
                <w:rPr>
                  <w:rStyle w:val="Style2"/>
                </w:rPr>
                <w:id w:val="-1594777257"/>
                <w15:color w:val="FFCC00"/>
                <w14:checkbox>
                  <w14:checked w14:val="0"/>
                  <w14:checkedState w14:val="2612" w14:font="MS Gothic"/>
                  <w14:uncheckedState w14:val="2610" w14:font="MS Gothic"/>
                </w14:checkbox>
              </w:sdtPr>
              <w:sdtContent>
                <w:r w:rsidR="00295926" w:rsidRPr="002A024D">
                  <w:rPr>
                    <w:rStyle w:val="Style2"/>
                    <w:rFonts w:ascii="MS Gothic" w:eastAsia="MS Gothic" w:hAnsi="MS Gothic"/>
                  </w:rPr>
                  <w:t>☐</w:t>
                </w:r>
              </w:sdtContent>
            </w:sdt>
            <w:r w:rsidR="00CE12C2" w:rsidRPr="002A024D">
              <w:t xml:space="preserve"> Ne</w:t>
            </w:r>
          </w:p>
          <w:p w14:paraId="29C2CBBB" w14:textId="474EA03C" w:rsidR="00CE12C2" w:rsidRPr="002A024D" w:rsidRDefault="00000000" w:rsidP="00CE12C2">
            <w:pPr>
              <w:pStyle w:val="Sraopastraipa"/>
              <w:spacing w:after="120"/>
              <w:ind w:left="0"/>
              <w:contextualSpacing w:val="0"/>
              <w:jc w:val="both"/>
              <w:rPr>
                <w:rFonts w:eastAsia="Arial"/>
                <w:b/>
              </w:rPr>
            </w:pPr>
            <w:sdt>
              <w:sdtPr>
                <w:rPr>
                  <w:szCs w:val="20"/>
                </w:rPr>
                <w:alias w:val="Nurodykite konkrečią dieną"/>
                <w:tag w:val="Nurodykite pradžios datą"/>
                <w:id w:val="-705571527"/>
                <w:placeholder>
                  <w:docPart w:val="90A209D6E08E4B0AA4860806018C291A"/>
                </w:placeholder>
                <w15:color w:val="FFCC99"/>
                <w:date>
                  <w:dateFormat w:val="yyyy 'm.' MMMM d 'd.'"/>
                  <w:lid w:val="lt-LT"/>
                  <w:storeMappedDataAs w:val="dateTime"/>
                  <w:calendar w:val="gregorian"/>
                </w:date>
              </w:sdtPr>
              <w:sdtContent>
                <w:r w:rsidR="00295926" w:rsidRPr="002A024D">
                  <w:rPr>
                    <w:szCs w:val="20"/>
                  </w:rPr>
                  <w:t>2013 m. vasario 8 d.</w:t>
                </w:r>
              </w:sdtContent>
            </w:sdt>
          </w:p>
        </w:tc>
      </w:tr>
      <w:tr w:rsidR="007646F9" w:rsidRPr="002A024D" w14:paraId="274D1DAF" w14:textId="77777777" w:rsidTr="00295926">
        <w:trPr>
          <w:trHeight w:val="132"/>
        </w:trPr>
        <w:tc>
          <w:tcPr>
            <w:tcW w:w="632" w:type="dxa"/>
          </w:tcPr>
          <w:p w14:paraId="17ABF217" w14:textId="6D9EE8BB" w:rsidR="007646F9" w:rsidRPr="002A024D" w:rsidRDefault="007646F9" w:rsidP="007646F9">
            <w:pPr>
              <w:tabs>
                <w:tab w:val="left" w:pos="284"/>
              </w:tabs>
              <w:spacing w:line="280" w:lineRule="atLeast"/>
              <w:rPr>
                <w:rFonts w:eastAsia="Arial"/>
                <w:b/>
              </w:rPr>
            </w:pPr>
            <w:r w:rsidRPr="002A024D">
              <w:rPr>
                <w:rFonts w:eastAsia="Arial"/>
                <w:b/>
              </w:rPr>
              <w:t>1.5</w:t>
            </w:r>
          </w:p>
        </w:tc>
        <w:tc>
          <w:tcPr>
            <w:tcW w:w="3694" w:type="dxa"/>
          </w:tcPr>
          <w:p w14:paraId="3A731095" w14:textId="15E6927F" w:rsidR="007646F9" w:rsidRPr="002A024D" w:rsidRDefault="007646F9" w:rsidP="007646F9">
            <w:pPr>
              <w:tabs>
                <w:tab w:val="left" w:pos="284"/>
              </w:tabs>
              <w:spacing w:line="280" w:lineRule="atLeast"/>
              <w:rPr>
                <w:b/>
                <w:bCs/>
                <w:color w:val="000000"/>
                <w:lang w:eastAsia="lt-LT"/>
              </w:rPr>
            </w:pPr>
            <w:r w:rsidRPr="002A024D">
              <w:rPr>
                <w:b/>
                <w:bCs/>
                <w:color w:val="000000"/>
                <w:lang w:eastAsia="lt-LT"/>
              </w:rPr>
              <w:t xml:space="preserve">Teikiama (-os) kompensuoti registruota (-os) vaistinio preparato indikacija (-os), </w:t>
            </w:r>
          </w:p>
          <w:p w14:paraId="6B4FEEC1" w14:textId="39613EA1" w:rsidR="007646F9" w:rsidRPr="002A024D" w:rsidRDefault="007646F9" w:rsidP="007646F9">
            <w:pPr>
              <w:tabs>
                <w:tab w:val="left" w:pos="284"/>
              </w:tabs>
              <w:spacing w:line="280" w:lineRule="atLeast"/>
              <w:rPr>
                <w:b/>
                <w:bCs/>
                <w:color w:val="000000"/>
                <w:lang w:eastAsia="lt-LT"/>
              </w:rPr>
            </w:pPr>
            <w:r w:rsidRPr="002A024D">
              <w:rPr>
                <w:b/>
                <w:bCs/>
                <w:color w:val="000000"/>
                <w:lang w:eastAsia="lt-LT"/>
              </w:rPr>
              <w:t>TLK kodas</w:t>
            </w:r>
          </w:p>
        </w:tc>
        <w:tc>
          <w:tcPr>
            <w:tcW w:w="4713" w:type="dxa"/>
          </w:tcPr>
          <w:p w14:paraId="3F499960" w14:textId="77777777" w:rsidR="00295926" w:rsidRPr="002A024D" w:rsidRDefault="00295926" w:rsidP="00295926">
            <w:pPr>
              <w:pStyle w:val="Default"/>
              <w:jc w:val="both"/>
              <w:rPr>
                <w:lang w:val="lt-LT"/>
              </w:rPr>
            </w:pPr>
            <w:r w:rsidRPr="002A024D">
              <w:rPr>
                <w:lang w:val="lt-LT"/>
              </w:rPr>
              <w:t>Trepulmix skirtas suaugusių pacientų, sergančių III arba IV funkcinės klasės pagal PSO:</w:t>
            </w:r>
          </w:p>
          <w:p w14:paraId="058DD10B" w14:textId="77777777" w:rsidR="00295926" w:rsidRPr="002A024D" w:rsidRDefault="00295926" w:rsidP="00295926">
            <w:pPr>
              <w:pStyle w:val="Default"/>
              <w:numPr>
                <w:ilvl w:val="0"/>
                <w:numId w:val="23"/>
              </w:numPr>
              <w:jc w:val="both"/>
              <w:rPr>
                <w:lang w:val="lt-LT"/>
              </w:rPr>
            </w:pPr>
            <w:r w:rsidRPr="002A024D">
              <w:rPr>
                <w:lang w:val="lt-LT"/>
              </w:rPr>
              <w:t xml:space="preserve">neoperuotina lėtine tromboemboline plautine hipertenzija (LTPH) arba </w:t>
            </w:r>
          </w:p>
          <w:p w14:paraId="2C994C51" w14:textId="77777777" w:rsidR="00295926" w:rsidRPr="002A024D" w:rsidRDefault="00295926" w:rsidP="00295926">
            <w:pPr>
              <w:pStyle w:val="Default"/>
              <w:numPr>
                <w:ilvl w:val="0"/>
                <w:numId w:val="23"/>
              </w:numPr>
              <w:jc w:val="both"/>
              <w:rPr>
                <w:lang w:val="lt-LT"/>
              </w:rPr>
            </w:pPr>
            <w:r w:rsidRPr="002A024D">
              <w:rPr>
                <w:lang w:val="lt-LT"/>
              </w:rPr>
              <w:t xml:space="preserve">po chirurginio gydymo persistuojančia arba recidyvuojančia LTPH, </w:t>
            </w:r>
          </w:p>
          <w:p w14:paraId="1011978B" w14:textId="77777777" w:rsidR="00295926" w:rsidRPr="002A024D" w:rsidRDefault="00295926" w:rsidP="00295926">
            <w:pPr>
              <w:pStyle w:val="Sraopastraipa"/>
              <w:spacing w:after="120"/>
              <w:ind w:left="0"/>
              <w:contextualSpacing w:val="0"/>
              <w:jc w:val="both"/>
            </w:pPr>
            <w:r w:rsidRPr="002A024D">
              <w:t>gydymui, siekiant pagerinti jų fizinį pajėgumą.</w:t>
            </w:r>
          </w:p>
          <w:p w14:paraId="13F7DFB0" w14:textId="0DEF7A5A" w:rsidR="007646F9" w:rsidRPr="002A024D" w:rsidRDefault="00295926" w:rsidP="00295926">
            <w:pPr>
              <w:pStyle w:val="Sraopastraipa"/>
              <w:spacing w:after="120"/>
              <w:ind w:left="0"/>
              <w:contextualSpacing w:val="0"/>
              <w:jc w:val="both"/>
            </w:pPr>
            <w:r w:rsidRPr="002A024D">
              <w:lastRenderedPageBreak/>
              <w:t>TLK kodas – I27.2.</w:t>
            </w:r>
          </w:p>
        </w:tc>
      </w:tr>
      <w:tr w:rsidR="007646F9" w:rsidRPr="002A024D" w14:paraId="2F79DC08" w14:textId="77777777" w:rsidTr="006834D3">
        <w:trPr>
          <w:trHeight w:val="378"/>
        </w:trPr>
        <w:tc>
          <w:tcPr>
            <w:tcW w:w="632" w:type="dxa"/>
          </w:tcPr>
          <w:p w14:paraId="547885A2" w14:textId="08AA8055" w:rsidR="007646F9" w:rsidRPr="002A024D" w:rsidRDefault="007646F9" w:rsidP="007646F9">
            <w:pPr>
              <w:tabs>
                <w:tab w:val="left" w:pos="284"/>
              </w:tabs>
              <w:spacing w:line="280" w:lineRule="atLeast"/>
              <w:rPr>
                <w:rFonts w:eastAsia="Arial"/>
                <w:b/>
              </w:rPr>
            </w:pPr>
            <w:r w:rsidRPr="002A024D">
              <w:rPr>
                <w:rFonts w:eastAsia="Arial"/>
                <w:b/>
              </w:rPr>
              <w:lastRenderedPageBreak/>
              <w:t>1.6</w:t>
            </w:r>
          </w:p>
        </w:tc>
        <w:tc>
          <w:tcPr>
            <w:tcW w:w="3694" w:type="dxa"/>
          </w:tcPr>
          <w:p w14:paraId="2EAB877F" w14:textId="4D3F62F5" w:rsidR="007646F9" w:rsidRPr="002A024D" w:rsidRDefault="007646F9" w:rsidP="007646F9">
            <w:pPr>
              <w:tabs>
                <w:tab w:val="left" w:pos="284"/>
              </w:tabs>
              <w:spacing w:line="280" w:lineRule="atLeast"/>
              <w:rPr>
                <w:bCs/>
                <w:color w:val="000000"/>
                <w:u w:val="single"/>
                <w:lang w:eastAsia="lt-LT"/>
              </w:rPr>
            </w:pPr>
            <w:r w:rsidRPr="002A024D">
              <w:rPr>
                <w:b/>
                <w:bCs/>
                <w:color w:val="000000"/>
                <w:lang w:eastAsia="lt-LT"/>
              </w:rPr>
              <w:t xml:space="preserve">Teikiamos skyrimo sąlygos </w:t>
            </w:r>
          </w:p>
        </w:tc>
        <w:tc>
          <w:tcPr>
            <w:tcW w:w="4713" w:type="dxa"/>
          </w:tcPr>
          <w:p w14:paraId="0579DF58" w14:textId="04F9EE98" w:rsidR="007646F9" w:rsidRPr="002A024D" w:rsidRDefault="00295926" w:rsidP="007646F9">
            <w:pPr>
              <w:pStyle w:val="Sraopastraipa"/>
              <w:spacing w:after="120"/>
              <w:ind w:left="0"/>
              <w:contextualSpacing w:val="0"/>
              <w:jc w:val="both"/>
            </w:pPr>
            <w:r w:rsidRPr="002A024D">
              <w:t>Neteikiamos</w:t>
            </w:r>
          </w:p>
        </w:tc>
      </w:tr>
      <w:tr w:rsidR="001141D2" w:rsidRPr="002A024D" w14:paraId="3B125269" w14:textId="77777777" w:rsidTr="006834D3">
        <w:trPr>
          <w:trHeight w:val="378"/>
        </w:trPr>
        <w:tc>
          <w:tcPr>
            <w:tcW w:w="632" w:type="dxa"/>
          </w:tcPr>
          <w:p w14:paraId="0058E11F" w14:textId="77777777" w:rsidR="001141D2" w:rsidRPr="002A024D" w:rsidRDefault="001141D2" w:rsidP="001141D2">
            <w:pPr>
              <w:tabs>
                <w:tab w:val="left" w:pos="284"/>
              </w:tabs>
              <w:spacing w:line="280" w:lineRule="atLeast"/>
              <w:rPr>
                <w:rFonts w:eastAsia="Arial"/>
                <w:b/>
              </w:rPr>
            </w:pPr>
            <w:r w:rsidRPr="002A024D">
              <w:rPr>
                <w:rFonts w:eastAsia="Arial"/>
                <w:b/>
              </w:rPr>
              <w:t>1.7</w:t>
            </w:r>
          </w:p>
        </w:tc>
        <w:tc>
          <w:tcPr>
            <w:tcW w:w="3694" w:type="dxa"/>
          </w:tcPr>
          <w:p w14:paraId="6CC1022E" w14:textId="67D8C43B" w:rsidR="001141D2" w:rsidRPr="002A024D" w:rsidRDefault="001141D2" w:rsidP="001141D2">
            <w:pPr>
              <w:tabs>
                <w:tab w:val="left" w:pos="284"/>
              </w:tabs>
              <w:spacing w:line="280" w:lineRule="atLeast"/>
              <w:rPr>
                <w:b/>
                <w:bCs/>
                <w:color w:val="000000"/>
                <w:lang w:eastAsia="lt-LT"/>
              </w:rPr>
            </w:pPr>
            <w:r w:rsidRPr="002A024D">
              <w:rPr>
                <w:b/>
                <w:bCs/>
                <w:color w:val="000000"/>
                <w:lang w:eastAsia="lt-LT"/>
              </w:rPr>
              <w:t xml:space="preserve">Palyginamasis gydymas </w:t>
            </w:r>
          </w:p>
        </w:tc>
        <w:tc>
          <w:tcPr>
            <w:tcW w:w="4713" w:type="dxa"/>
          </w:tcPr>
          <w:p w14:paraId="2BDBEED2" w14:textId="5F019749" w:rsidR="00C62822" w:rsidRPr="000203E1" w:rsidRDefault="00000000" w:rsidP="00C62822">
            <w:sdt>
              <w:sdtPr>
                <w:rPr>
                  <w:rStyle w:val="Style2"/>
                  <w:sz w:val="24"/>
                </w:rPr>
                <w:id w:val="1480955706"/>
                <w15:color w:val="FFCC00"/>
                <w14:checkbox>
                  <w14:checked w14:val="1"/>
                  <w14:checkedState w14:val="2612" w14:font="MS Gothic"/>
                  <w14:uncheckedState w14:val="2610" w14:font="MS Gothic"/>
                </w14:checkbox>
              </w:sdtPr>
              <w:sdtContent>
                <w:r w:rsidR="00C62822">
                  <w:rPr>
                    <w:rStyle w:val="Style2"/>
                    <w:rFonts w:ascii="MS Gothic" w:eastAsia="MS Gothic" w:hAnsi="MS Gothic" w:hint="eastAsia"/>
                    <w:sz w:val="24"/>
                  </w:rPr>
                  <w:t>☒</w:t>
                </w:r>
              </w:sdtContent>
            </w:sdt>
            <w:r w:rsidR="00C62822" w:rsidRPr="000203E1">
              <w:t xml:space="preserve"> Tinkamas</w:t>
            </w:r>
            <w:r w:rsidR="00C62822" w:rsidRPr="002A024D">
              <w:t xml:space="preserve"> </w:t>
            </w:r>
            <w:r w:rsidR="00C62822">
              <w:t>(</w:t>
            </w:r>
            <w:r w:rsidR="00C62822" w:rsidRPr="002A024D">
              <w:t>Riociguatas</w:t>
            </w:r>
            <w:r w:rsidR="00C62822">
              <w:t>)</w:t>
            </w:r>
          </w:p>
          <w:p w14:paraId="41B44044" w14:textId="2FFB572A" w:rsidR="007646F9" w:rsidRPr="002A024D" w:rsidRDefault="00000000" w:rsidP="00C62822">
            <w:pPr>
              <w:spacing w:after="120"/>
              <w:jc w:val="both"/>
            </w:pPr>
            <w:sdt>
              <w:sdtPr>
                <w:rPr>
                  <w:rStyle w:val="Style2"/>
                  <w:sz w:val="24"/>
                </w:rPr>
                <w:id w:val="-352420698"/>
                <w15:color w:val="FFCC00"/>
                <w14:checkbox>
                  <w14:checked w14:val="0"/>
                  <w14:checkedState w14:val="2612" w14:font="MS Gothic"/>
                  <w14:uncheckedState w14:val="2610" w14:font="MS Gothic"/>
                </w14:checkbox>
              </w:sdtPr>
              <w:sdtContent>
                <w:r w:rsidR="00C62822" w:rsidRPr="000203E1">
                  <w:rPr>
                    <w:rStyle w:val="Style2"/>
                    <w:rFonts w:ascii="MS Gothic" w:eastAsia="MS Gothic" w:hAnsi="MS Gothic" w:hint="eastAsia"/>
                    <w:sz w:val="24"/>
                  </w:rPr>
                  <w:t>☐</w:t>
                </w:r>
              </w:sdtContent>
            </w:sdt>
            <w:r w:rsidR="00C62822" w:rsidRPr="000203E1">
              <w:t xml:space="preserve"> Netinkama</w:t>
            </w:r>
            <w:r w:rsidR="00BB3A7E">
              <w:t>s</w:t>
            </w:r>
            <w:r w:rsidR="00C62822" w:rsidRPr="002A024D">
              <w:t xml:space="preserve"> </w:t>
            </w:r>
          </w:p>
        </w:tc>
      </w:tr>
    </w:tbl>
    <w:p w14:paraId="2D4DA360" w14:textId="77777777" w:rsidR="00377D96" w:rsidRPr="002A024D" w:rsidRDefault="00377D96" w:rsidP="00E03C3F">
      <w:pPr>
        <w:pStyle w:val="Sraopastraipa"/>
        <w:tabs>
          <w:tab w:val="left" w:pos="426"/>
        </w:tabs>
        <w:ind w:left="0"/>
        <w:rPr>
          <w:b/>
          <w:bCs/>
          <w:caps/>
        </w:rPr>
      </w:pPr>
    </w:p>
    <w:p w14:paraId="2871CA7F" w14:textId="2370BDDB" w:rsidR="00F70C9E" w:rsidRPr="002A024D" w:rsidRDefault="00F70C9E" w:rsidP="00880A44">
      <w:pPr>
        <w:spacing w:line="276" w:lineRule="auto"/>
        <w:jc w:val="both"/>
        <w:rPr>
          <w:rFonts w:eastAsia="Arial"/>
          <w:b/>
        </w:rPr>
      </w:pPr>
      <w:r w:rsidRPr="002A024D">
        <w:rPr>
          <w:rFonts w:eastAsia="Arial"/>
          <w:b/>
        </w:rPr>
        <w:t xml:space="preserve">1.8 Kitų </w:t>
      </w:r>
      <w:r w:rsidR="00DF583C" w:rsidRPr="002A024D">
        <w:rPr>
          <w:rFonts w:eastAsia="Arial"/>
          <w:b/>
        </w:rPr>
        <w:t xml:space="preserve">valstybių </w:t>
      </w:r>
      <w:r w:rsidRPr="002A024D">
        <w:rPr>
          <w:rFonts w:eastAsia="Arial"/>
          <w:b/>
        </w:rPr>
        <w:t xml:space="preserve">atsakingų institucijų atlikto </w:t>
      </w:r>
      <w:r w:rsidR="00DF583C" w:rsidRPr="002A024D">
        <w:rPr>
          <w:rFonts w:eastAsia="Arial"/>
          <w:b/>
        </w:rPr>
        <w:t>Sveikatos technologijų vertinimo (toliau – STV)</w:t>
      </w:r>
      <w:r w:rsidRPr="002A024D">
        <w:rPr>
          <w:rFonts w:eastAsia="Arial"/>
          <w:b/>
        </w:rPr>
        <w:t xml:space="preserve"> išvados</w:t>
      </w:r>
    </w:p>
    <w:p w14:paraId="30721FDD" w14:textId="77777777" w:rsidR="00F70C9E" w:rsidRPr="002A024D" w:rsidRDefault="00F70C9E" w:rsidP="00F70C9E">
      <w:pPr>
        <w:spacing w:line="276" w:lineRule="auto"/>
        <w:rPr>
          <w:rFonts w:eastAsia="Arial"/>
        </w:rPr>
      </w:pPr>
    </w:p>
    <w:tbl>
      <w:tblPr>
        <w:tblStyle w:val="Lentelstinklelis"/>
        <w:tblW w:w="9209" w:type="dxa"/>
        <w:tblLook w:val="04A0" w:firstRow="1" w:lastRow="0" w:firstColumn="1" w:lastColumn="0" w:noHBand="0" w:noVBand="1"/>
      </w:tblPr>
      <w:tblGrid>
        <w:gridCol w:w="2767"/>
        <w:gridCol w:w="1744"/>
        <w:gridCol w:w="2288"/>
        <w:gridCol w:w="2410"/>
      </w:tblGrid>
      <w:tr w:rsidR="00295926" w:rsidRPr="002A024D" w14:paraId="1256C59A" w14:textId="77777777" w:rsidTr="00A40D10">
        <w:trPr>
          <w:trHeight w:val="924"/>
        </w:trPr>
        <w:tc>
          <w:tcPr>
            <w:tcW w:w="2767" w:type="dxa"/>
          </w:tcPr>
          <w:p w14:paraId="5F88D758" w14:textId="77777777" w:rsidR="00295926" w:rsidRPr="002A024D" w:rsidRDefault="00295926" w:rsidP="0073571C">
            <w:pPr>
              <w:spacing w:line="276" w:lineRule="auto"/>
              <w:rPr>
                <w:rFonts w:eastAsia="Arial"/>
              </w:rPr>
            </w:pPr>
            <w:r w:rsidRPr="002A024D">
              <w:rPr>
                <w:rFonts w:eastAsia="Arial"/>
              </w:rPr>
              <w:t>STV agentūros pavadinimas, šalis</w:t>
            </w:r>
          </w:p>
        </w:tc>
        <w:tc>
          <w:tcPr>
            <w:tcW w:w="1744" w:type="dxa"/>
          </w:tcPr>
          <w:p w14:paraId="1FBA2E67" w14:textId="77777777" w:rsidR="00295926" w:rsidRPr="002A024D" w:rsidRDefault="00295926" w:rsidP="0073571C">
            <w:pPr>
              <w:spacing w:line="276" w:lineRule="auto"/>
              <w:rPr>
                <w:rFonts w:eastAsia="Arial"/>
              </w:rPr>
            </w:pPr>
            <w:r w:rsidRPr="002A024D">
              <w:rPr>
                <w:rFonts w:eastAsia="Arial"/>
              </w:rPr>
              <w:t>STV vertinimas atliktas</w:t>
            </w:r>
          </w:p>
        </w:tc>
        <w:tc>
          <w:tcPr>
            <w:tcW w:w="2288" w:type="dxa"/>
          </w:tcPr>
          <w:p w14:paraId="4492DA51" w14:textId="77777777" w:rsidR="00295926" w:rsidRPr="002A024D" w:rsidRDefault="00295926" w:rsidP="0073571C">
            <w:pPr>
              <w:spacing w:line="276" w:lineRule="auto"/>
              <w:rPr>
                <w:rFonts w:eastAsia="Arial"/>
              </w:rPr>
            </w:pPr>
            <w:r w:rsidRPr="002A024D">
              <w:rPr>
                <w:rFonts w:eastAsia="Arial"/>
              </w:rPr>
              <w:t>Klinikinio vertinimo išvada</w:t>
            </w:r>
          </w:p>
        </w:tc>
        <w:tc>
          <w:tcPr>
            <w:tcW w:w="2410" w:type="dxa"/>
          </w:tcPr>
          <w:p w14:paraId="50CE3868" w14:textId="77777777" w:rsidR="00295926" w:rsidRPr="002A024D" w:rsidRDefault="00295926" w:rsidP="0073571C">
            <w:pPr>
              <w:spacing w:line="276" w:lineRule="auto"/>
              <w:rPr>
                <w:rFonts w:eastAsia="Arial"/>
              </w:rPr>
            </w:pPr>
            <w:r w:rsidRPr="002A024D">
              <w:rPr>
                <w:rFonts w:eastAsia="Arial"/>
              </w:rPr>
              <w:t>Farmakoekonominio vertinimo išvada</w:t>
            </w:r>
          </w:p>
        </w:tc>
      </w:tr>
      <w:tr w:rsidR="00295926" w:rsidRPr="002A024D" w14:paraId="7E844178" w14:textId="77777777" w:rsidTr="00A40D10">
        <w:trPr>
          <w:trHeight w:val="1765"/>
        </w:trPr>
        <w:tc>
          <w:tcPr>
            <w:tcW w:w="2767" w:type="dxa"/>
            <w:vAlign w:val="center"/>
          </w:tcPr>
          <w:p w14:paraId="25E753ED" w14:textId="77777777" w:rsidR="00295926" w:rsidRPr="002A024D" w:rsidRDefault="00295926" w:rsidP="00E52796">
            <w:pPr>
              <w:autoSpaceDE w:val="0"/>
              <w:autoSpaceDN w:val="0"/>
              <w:adjustRightInd w:val="0"/>
              <w:rPr>
                <w:bCs/>
              </w:rPr>
            </w:pPr>
            <w:r w:rsidRPr="002A024D">
              <w:rPr>
                <w:bCs/>
              </w:rPr>
              <w:t>Nacionalinis sveikatos ir klinikinės kompetencijos institutas, Didžioji Britanija</w:t>
            </w:r>
          </w:p>
          <w:p w14:paraId="368B80AB" w14:textId="77777777" w:rsidR="00295926" w:rsidRPr="002A024D" w:rsidRDefault="00295926" w:rsidP="00E52796">
            <w:pPr>
              <w:spacing w:line="276" w:lineRule="auto"/>
              <w:rPr>
                <w:rFonts w:eastAsia="Arial"/>
              </w:rPr>
            </w:pPr>
            <w:r w:rsidRPr="002A024D">
              <w:rPr>
                <w:rFonts w:eastAsia="Arial"/>
              </w:rPr>
              <w:t xml:space="preserve">(angl. </w:t>
            </w:r>
            <w:r w:rsidRPr="002A024D">
              <w:rPr>
                <w:rFonts w:eastAsia="Arial"/>
                <w:i/>
              </w:rPr>
              <w:t>National Institute for Health and Care Excellence, NICE</w:t>
            </w:r>
            <w:r w:rsidRPr="002A024D">
              <w:rPr>
                <w:rFonts w:eastAsia="Arial"/>
              </w:rPr>
              <w:t>)</w:t>
            </w:r>
          </w:p>
        </w:tc>
        <w:tc>
          <w:tcPr>
            <w:tcW w:w="1744" w:type="dxa"/>
            <w:vAlign w:val="center"/>
          </w:tcPr>
          <w:p w14:paraId="20D3E43C" w14:textId="77777777" w:rsidR="00295926" w:rsidRPr="002A024D" w:rsidRDefault="00295926" w:rsidP="00E52796">
            <w:pPr>
              <w:rPr>
                <w:rFonts w:ascii="MS Gothic" w:eastAsia="MS Gothic" w:hAnsi="MS Gothic"/>
                <w:sz w:val="32"/>
              </w:rPr>
            </w:pPr>
            <w:r w:rsidRPr="002A024D">
              <w:rPr>
                <w:rStyle w:val="Style2"/>
                <w:rFonts w:ascii="MS Gothic" w:eastAsia="MS Gothic" w:hAnsi="MS Gothic"/>
              </w:rPr>
              <w:t>☐</w:t>
            </w:r>
            <w:r w:rsidRPr="002A024D">
              <w:t xml:space="preserve"> Taip</w:t>
            </w:r>
          </w:p>
          <w:p w14:paraId="7BE7898A" w14:textId="77777777" w:rsidR="00295926" w:rsidRPr="002A024D" w:rsidRDefault="00295926" w:rsidP="00E52796">
            <w:r w:rsidRPr="002A024D">
              <w:rPr>
                <w:rStyle w:val="Style2"/>
                <w:rFonts w:ascii="MS Gothic" w:eastAsia="MS Gothic" w:hAnsi="MS Gothic"/>
              </w:rPr>
              <w:t>☒</w:t>
            </w:r>
            <w:r w:rsidRPr="002A024D">
              <w:t xml:space="preserve"> Ne</w:t>
            </w:r>
          </w:p>
          <w:p w14:paraId="7C9478BA" w14:textId="77777777" w:rsidR="00295926" w:rsidRPr="002A024D" w:rsidRDefault="00000000" w:rsidP="00E52796">
            <w:pPr>
              <w:rPr>
                <w:rFonts w:eastAsia="Arial"/>
              </w:rPr>
            </w:pPr>
            <w:sdt>
              <w:sdtPr>
                <w:alias w:val="Nurodykite konkrečią dieną"/>
                <w:tag w:val="Nurodykite pradžios datą"/>
                <w:id w:val="922837954"/>
                <w:placeholder>
                  <w:docPart w:val="0C76291DED3A447DA034D12195423229"/>
                </w:placeholder>
                <w:showingPlcHdr/>
                <w15:color w:val="FFCC99"/>
                <w:date>
                  <w:dateFormat w:val="yyyy 'm.' MMMM d 'd.'"/>
                  <w:lid w:val="lt-LT"/>
                  <w:storeMappedDataAs w:val="dateTime"/>
                  <w:calendar w:val="gregorian"/>
                </w:date>
              </w:sdtPr>
              <w:sdtContent>
                <w:r w:rsidR="00295926" w:rsidRPr="002A024D">
                  <w:rPr>
                    <w:rStyle w:val="Vietosrezervavimoenklotekstas"/>
                  </w:rPr>
                  <w:t>Click here to enter a date.</w:t>
                </w:r>
              </w:sdtContent>
            </w:sdt>
          </w:p>
        </w:tc>
        <w:tc>
          <w:tcPr>
            <w:tcW w:w="4698" w:type="dxa"/>
            <w:gridSpan w:val="2"/>
            <w:vAlign w:val="center"/>
          </w:tcPr>
          <w:p w14:paraId="66E872AD" w14:textId="77777777" w:rsidR="00295926" w:rsidRPr="002A024D" w:rsidRDefault="00295926" w:rsidP="00E52796">
            <w:pPr>
              <w:spacing w:line="276" w:lineRule="auto"/>
              <w:rPr>
                <w:rFonts w:eastAsia="Arial"/>
              </w:rPr>
            </w:pPr>
            <w:r w:rsidRPr="002A024D">
              <w:rPr>
                <w:rFonts w:eastAsia="Arial"/>
              </w:rPr>
              <w:t>–</w:t>
            </w:r>
          </w:p>
        </w:tc>
      </w:tr>
      <w:tr w:rsidR="00295926" w:rsidRPr="002A024D" w14:paraId="39249AC5" w14:textId="77777777" w:rsidTr="00A40D10">
        <w:trPr>
          <w:trHeight w:val="1547"/>
        </w:trPr>
        <w:tc>
          <w:tcPr>
            <w:tcW w:w="2767" w:type="dxa"/>
            <w:vAlign w:val="center"/>
          </w:tcPr>
          <w:p w14:paraId="32D084A4" w14:textId="77777777" w:rsidR="00295926" w:rsidRPr="002A024D" w:rsidRDefault="00295926" w:rsidP="00E52796">
            <w:pPr>
              <w:rPr>
                <w:rFonts w:eastAsia="Arial"/>
              </w:rPr>
            </w:pPr>
            <w:r w:rsidRPr="002A024D">
              <w:rPr>
                <w:rFonts w:eastAsia="Arial"/>
              </w:rPr>
              <w:t>Kanados sveikatos technologijų agentūra</w:t>
            </w:r>
          </w:p>
          <w:p w14:paraId="047D5EB9" w14:textId="77777777" w:rsidR="00295926" w:rsidRPr="002A024D" w:rsidRDefault="00295926" w:rsidP="00E52796">
            <w:pPr>
              <w:spacing w:line="276" w:lineRule="auto"/>
              <w:rPr>
                <w:rFonts w:eastAsia="Arial"/>
              </w:rPr>
            </w:pPr>
            <w:r w:rsidRPr="002A024D">
              <w:rPr>
                <w:rFonts w:eastAsia="Arial"/>
              </w:rPr>
              <w:t xml:space="preserve">(angl. </w:t>
            </w:r>
            <w:r w:rsidRPr="002A024D">
              <w:rPr>
                <w:rFonts w:eastAsia="Arial"/>
                <w:i/>
              </w:rPr>
              <w:t>Canadian health Technology Assessment agency, CADTH</w:t>
            </w:r>
            <w:r w:rsidRPr="002A024D">
              <w:rPr>
                <w:rFonts w:eastAsia="Arial"/>
              </w:rPr>
              <w:t>)</w:t>
            </w:r>
          </w:p>
        </w:tc>
        <w:tc>
          <w:tcPr>
            <w:tcW w:w="1744" w:type="dxa"/>
            <w:vAlign w:val="center"/>
          </w:tcPr>
          <w:p w14:paraId="58A79C33" w14:textId="77777777" w:rsidR="00295926" w:rsidRPr="002A024D" w:rsidRDefault="00295926" w:rsidP="00E52796">
            <w:r w:rsidRPr="002A024D">
              <w:rPr>
                <w:rStyle w:val="Style2"/>
                <w:rFonts w:ascii="MS Gothic" w:eastAsia="MS Gothic" w:hAnsi="MS Gothic"/>
              </w:rPr>
              <w:t>☐</w:t>
            </w:r>
            <w:r w:rsidRPr="002A024D">
              <w:t xml:space="preserve"> Taip</w:t>
            </w:r>
          </w:p>
          <w:p w14:paraId="312024D3" w14:textId="77777777" w:rsidR="00295926" w:rsidRPr="002A024D" w:rsidRDefault="00295926" w:rsidP="00E52796">
            <w:r w:rsidRPr="002A024D">
              <w:rPr>
                <w:rStyle w:val="Style2"/>
                <w:rFonts w:ascii="MS Gothic" w:eastAsia="MS Gothic" w:hAnsi="MS Gothic"/>
              </w:rPr>
              <w:t>☒</w:t>
            </w:r>
            <w:r w:rsidRPr="002A024D">
              <w:t xml:space="preserve"> Ne</w:t>
            </w:r>
          </w:p>
        </w:tc>
        <w:tc>
          <w:tcPr>
            <w:tcW w:w="4698" w:type="dxa"/>
            <w:gridSpan w:val="2"/>
            <w:vAlign w:val="center"/>
          </w:tcPr>
          <w:p w14:paraId="39317364" w14:textId="77777777" w:rsidR="00295926" w:rsidRPr="002A024D" w:rsidRDefault="00295926" w:rsidP="00E52796">
            <w:pPr>
              <w:spacing w:line="276" w:lineRule="auto"/>
              <w:rPr>
                <w:rFonts w:eastAsia="Arial"/>
              </w:rPr>
            </w:pPr>
            <w:r w:rsidRPr="002A024D">
              <w:rPr>
                <w:rFonts w:eastAsia="Arial"/>
              </w:rPr>
              <w:t>–</w:t>
            </w:r>
          </w:p>
        </w:tc>
      </w:tr>
      <w:tr w:rsidR="00295926" w:rsidRPr="002A024D" w14:paraId="6D017922" w14:textId="77777777" w:rsidTr="00A40D10">
        <w:trPr>
          <w:trHeight w:val="1547"/>
        </w:trPr>
        <w:tc>
          <w:tcPr>
            <w:tcW w:w="2767" w:type="dxa"/>
            <w:vAlign w:val="center"/>
          </w:tcPr>
          <w:p w14:paraId="4C52506E" w14:textId="77777777" w:rsidR="00295926" w:rsidRPr="002A024D" w:rsidRDefault="00295926" w:rsidP="00E52796">
            <w:pPr>
              <w:rPr>
                <w:rFonts w:eastAsia="Arial"/>
              </w:rPr>
            </w:pPr>
            <w:r w:rsidRPr="002A024D">
              <w:rPr>
                <w:rFonts w:eastAsia="Arial"/>
              </w:rPr>
              <w:t>Nacionalinis farmakoekonomikos centras, Airija</w:t>
            </w:r>
          </w:p>
          <w:p w14:paraId="0CE47623" w14:textId="77777777" w:rsidR="00295926" w:rsidRPr="002A024D" w:rsidRDefault="00295926" w:rsidP="00E52796">
            <w:pPr>
              <w:spacing w:line="276" w:lineRule="auto"/>
              <w:rPr>
                <w:rFonts w:eastAsia="Arial"/>
              </w:rPr>
            </w:pPr>
            <w:r w:rsidRPr="002A024D">
              <w:rPr>
                <w:rFonts w:eastAsia="Arial"/>
              </w:rPr>
              <w:t>(angl.</w:t>
            </w:r>
            <w:r w:rsidRPr="002A024D">
              <w:rPr>
                <w:rFonts w:eastAsia="Arial"/>
                <w:i/>
              </w:rPr>
              <w:t xml:space="preserve"> National Centre for Pharmacoeconomics, NCPE</w:t>
            </w:r>
            <w:r w:rsidRPr="002A024D">
              <w:rPr>
                <w:rFonts w:eastAsia="Arial"/>
              </w:rPr>
              <w:t>)</w:t>
            </w:r>
          </w:p>
        </w:tc>
        <w:tc>
          <w:tcPr>
            <w:tcW w:w="1744" w:type="dxa"/>
            <w:vAlign w:val="center"/>
          </w:tcPr>
          <w:p w14:paraId="3394DEF4" w14:textId="77777777" w:rsidR="00295926" w:rsidRPr="002A024D" w:rsidRDefault="00295926" w:rsidP="00E52796">
            <w:r w:rsidRPr="002A024D">
              <w:rPr>
                <w:rStyle w:val="Style2"/>
                <w:rFonts w:ascii="MS Gothic" w:eastAsia="MS Gothic" w:hAnsi="MS Gothic"/>
              </w:rPr>
              <w:t>☐</w:t>
            </w:r>
            <w:r w:rsidRPr="002A024D">
              <w:t xml:space="preserve"> Taip</w:t>
            </w:r>
          </w:p>
          <w:p w14:paraId="7139FFFE" w14:textId="77777777" w:rsidR="00295926" w:rsidRPr="002A024D" w:rsidRDefault="00295926" w:rsidP="00E52796">
            <w:r w:rsidRPr="002A024D">
              <w:rPr>
                <w:rStyle w:val="Style2"/>
                <w:rFonts w:ascii="MS Gothic" w:eastAsia="MS Gothic" w:hAnsi="MS Gothic"/>
              </w:rPr>
              <w:t>☒</w:t>
            </w:r>
            <w:r w:rsidRPr="002A024D">
              <w:t xml:space="preserve"> Ne</w:t>
            </w:r>
          </w:p>
          <w:p w14:paraId="591EACCE" w14:textId="77777777" w:rsidR="00295926" w:rsidRPr="002A024D" w:rsidRDefault="00000000" w:rsidP="00E52796">
            <w:pPr>
              <w:rPr>
                <w:rStyle w:val="Style2"/>
                <w:rFonts w:ascii="MS Gothic" w:eastAsia="MS Gothic" w:hAnsi="MS Gothic"/>
              </w:rPr>
            </w:pPr>
            <w:sdt>
              <w:sdtPr>
                <w:rPr>
                  <w:sz w:val="32"/>
                </w:rPr>
                <w:alias w:val="Nurodykite konkrečią dieną"/>
                <w:tag w:val="Nurodykite pradžios datą"/>
                <w:id w:val="1236126774"/>
                <w:placeholder>
                  <w:docPart w:val="1A76A8B9FEBA4DF3B42E73B8245175A8"/>
                </w:placeholder>
                <w:showingPlcHdr/>
                <w15:color w:val="FFCC99"/>
                <w:date>
                  <w:dateFormat w:val="yyyy 'm.' MMMM d 'd.'"/>
                  <w:lid w:val="lt-LT"/>
                  <w:storeMappedDataAs w:val="dateTime"/>
                  <w:calendar w:val="gregorian"/>
                </w:date>
              </w:sdtPr>
              <w:sdtEndPr>
                <w:rPr>
                  <w:sz w:val="24"/>
                </w:rPr>
              </w:sdtEndPr>
              <w:sdtContent>
                <w:r w:rsidR="00295926" w:rsidRPr="002A024D">
                  <w:rPr>
                    <w:rStyle w:val="Vietosrezervavimoenklotekstas"/>
                  </w:rPr>
                  <w:t>Click here to enter a date.</w:t>
                </w:r>
              </w:sdtContent>
            </w:sdt>
          </w:p>
        </w:tc>
        <w:tc>
          <w:tcPr>
            <w:tcW w:w="4698" w:type="dxa"/>
            <w:gridSpan w:val="2"/>
            <w:vAlign w:val="center"/>
          </w:tcPr>
          <w:p w14:paraId="08D84CA8" w14:textId="77777777" w:rsidR="00295926" w:rsidRPr="002A024D" w:rsidRDefault="00295926" w:rsidP="00E52796">
            <w:pPr>
              <w:spacing w:line="276" w:lineRule="auto"/>
              <w:rPr>
                <w:rFonts w:eastAsia="Arial"/>
              </w:rPr>
            </w:pPr>
            <w:r w:rsidRPr="002A024D">
              <w:rPr>
                <w:rFonts w:eastAsia="Arial"/>
              </w:rPr>
              <w:t>–</w:t>
            </w:r>
          </w:p>
        </w:tc>
      </w:tr>
    </w:tbl>
    <w:p w14:paraId="51E6FB5A" w14:textId="77777777" w:rsidR="00AC33D8" w:rsidRPr="002A024D" w:rsidRDefault="00AC33D8" w:rsidP="00E03C3F">
      <w:pPr>
        <w:pStyle w:val="Sraopastraipa"/>
        <w:tabs>
          <w:tab w:val="left" w:pos="426"/>
        </w:tabs>
        <w:ind w:left="0"/>
        <w:rPr>
          <w:b/>
          <w:bCs/>
          <w:caps/>
        </w:rPr>
      </w:pPr>
    </w:p>
    <w:p w14:paraId="0569C57E" w14:textId="426CC639" w:rsidR="00AC33D8" w:rsidRPr="002A024D" w:rsidRDefault="00CC7832" w:rsidP="00AC33D8">
      <w:pPr>
        <w:pStyle w:val="Sraopastraipa"/>
        <w:numPr>
          <w:ilvl w:val="0"/>
          <w:numId w:val="12"/>
        </w:numPr>
        <w:tabs>
          <w:tab w:val="left" w:pos="284"/>
        </w:tabs>
        <w:rPr>
          <w:b/>
          <w:bCs/>
          <w:caps/>
        </w:rPr>
      </w:pPr>
      <w:r w:rsidRPr="002A024D">
        <w:rPr>
          <w:b/>
          <w:bCs/>
          <w:caps/>
        </w:rPr>
        <w:t>Klinikinio vertinimo a</w:t>
      </w:r>
      <w:r w:rsidR="00D4485B" w:rsidRPr="002A024D">
        <w:rPr>
          <w:b/>
          <w:bCs/>
          <w:caps/>
        </w:rPr>
        <w:t>pibendrinimas</w:t>
      </w:r>
    </w:p>
    <w:p w14:paraId="61FD41C3" w14:textId="21891E8A" w:rsidR="00AC33D8" w:rsidRPr="002A024D" w:rsidRDefault="00AC33D8" w:rsidP="00AC33D8">
      <w:pPr>
        <w:tabs>
          <w:tab w:val="left" w:pos="284"/>
        </w:tabs>
        <w:rPr>
          <w:b/>
          <w:bCs/>
          <w:caps/>
        </w:rPr>
      </w:pPr>
    </w:p>
    <w:p w14:paraId="0797C38C" w14:textId="77777777" w:rsidR="00501607" w:rsidRPr="00501607" w:rsidRDefault="00501607" w:rsidP="00501607">
      <w:pPr>
        <w:spacing w:line="276" w:lineRule="auto"/>
        <w:ind w:firstLine="720"/>
        <w:jc w:val="both"/>
        <w:rPr>
          <w:rFonts w:eastAsia="Arial"/>
          <w:iCs/>
        </w:rPr>
      </w:pPr>
      <w:r w:rsidRPr="00501607">
        <w:rPr>
          <w:rFonts w:eastAsia="Arial"/>
          <w:iCs/>
        </w:rPr>
        <w:t xml:space="preserve">Plautinė hipertenzija (PH) yra dėl patologinių plaučių, širdies ir/ar kitų ligų sukeltų struktūrinių ar funkcinių pokyčių besivystantis klinikinis </w:t>
      </w:r>
      <w:r w:rsidRPr="00501607">
        <w:rPr>
          <w:rFonts w:eastAsia="Arial"/>
          <w:bCs/>
          <w:iCs/>
        </w:rPr>
        <w:t>sindromas</w:t>
      </w:r>
      <w:r w:rsidRPr="00501607">
        <w:rPr>
          <w:rFonts w:eastAsia="Arial"/>
          <w:iCs/>
        </w:rPr>
        <w:t>, kuriam būdingi specifiniai simptomai (dusulys fizinio krūvio metu, greitas nuovargis, atsikosėjimas krauju) ir klinikiniai požymiai (centrinė ir periferinė cianzozė, padidėjęs jungo venos spaudimas, kepenų ir pilvo apimties didėjimas, periferinės edemos), atsirandantys dėl padidėjusio spaudimo plaučių arterijose. Lėtinė Tromboembolinė PH (LTPH) yra reta ūminė plautinės embolijos komplikacija. Ji nustatoma iki 1% visų pacientų, kurie patyrė ūminę plautinę emboliją (pastarosios paplitimas Europoje yra nuo 3 iki 5 atvejų 100 000 gyventojų per metus).</w:t>
      </w:r>
    </w:p>
    <w:p w14:paraId="643578BF" w14:textId="77777777" w:rsidR="00501607" w:rsidRPr="00501607" w:rsidRDefault="00501607" w:rsidP="00501607">
      <w:pPr>
        <w:spacing w:line="276" w:lineRule="auto"/>
        <w:ind w:firstLine="720"/>
        <w:jc w:val="both"/>
        <w:rPr>
          <w:rFonts w:eastAsia="Arial"/>
          <w:bCs/>
          <w:iCs/>
        </w:rPr>
      </w:pPr>
      <w:r w:rsidRPr="00501607">
        <w:rPr>
          <w:rFonts w:eastAsia="Arial"/>
          <w:bCs/>
          <w:iCs/>
        </w:rPr>
        <w:t xml:space="preserve">Lietuvoje LTPH (pagal TLK-10 kodą I27.2) specifiniam gydymui kompensuojamas tik </w:t>
      </w:r>
      <w:r w:rsidRPr="00501607">
        <w:rPr>
          <w:rFonts w:eastAsia="Arial"/>
          <w:b/>
          <w:iCs/>
        </w:rPr>
        <w:t>riociguatas</w:t>
      </w:r>
      <w:r w:rsidRPr="00501607">
        <w:rPr>
          <w:rFonts w:eastAsia="Arial"/>
          <w:bCs/>
          <w:iCs/>
        </w:rPr>
        <w:t xml:space="preserve">. Pareiškėjas pateikdamas paraišką nenurodė, kada Lietuvoje taikomoje gydymo schemoje turėtų būti skiriamas treprostinilis. Svarbu paminėti, kad Lietuvoje šiems pacientams gali būti kompensuojamas alternatyvus plautinės hipertenzijos gydymas (pagal TLK – 10 kodą I27.8) sildenafiliu (I pakopa) ir/ar ambrisentanu/bosentanu (II pakopa, kai I pakopa nepakankamai </w:t>
      </w:r>
      <w:r w:rsidRPr="00501607">
        <w:rPr>
          <w:rFonts w:eastAsia="Arial"/>
          <w:bCs/>
          <w:iCs/>
        </w:rPr>
        <w:lastRenderedPageBreak/>
        <w:t>veiksminga ar kontraindikuotina) ir/ar treprostiniliu/iloprostu/seleksipagu (III pakopa, kai I ir II pakopos nepakankamai veiksmingos ir/ar kontraindikuotinos).</w:t>
      </w:r>
    </w:p>
    <w:p w14:paraId="72661BA3" w14:textId="77777777" w:rsidR="00501607" w:rsidRPr="00501607" w:rsidRDefault="00501607" w:rsidP="00501607">
      <w:pPr>
        <w:spacing w:line="276" w:lineRule="auto"/>
        <w:ind w:firstLine="720"/>
        <w:jc w:val="both"/>
        <w:rPr>
          <w:rFonts w:eastAsia="Arial"/>
          <w:bCs/>
          <w:iCs/>
        </w:rPr>
      </w:pPr>
    </w:p>
    <w:p w14:paraId="523F3DC4" w14:textId="77777777" w:rsidR="00501607" w:rsidRPr="00501607" w:rsidRDefault="00501607" w:rsidP="00501607">
      <w:pPr>
        <w:spacing w:line="276" w:lineRule="auto"/>
        <w:jc w:val="both"/>
        <w:rPr>
          <w:rFonts w:eastAsia="Arial"/>
          <w:bCs/>
          <w:i/>
          <w:iCs/>
        </w:rPr>
      </w:pPr>
      <w:r w:rsidRPr="00501607">
        <w:rPr>
          <w:rFonts w:eastAsia="Arial"/>
          <w:bCs/>
          <w:i/>
          <w:iCs/>
        </w:rPr>
        <w:t>Tiesioginis palyginimas</w:t>
      </w:r>
    </w:p>
    <w:p w14:paraId="04E14DCB" w14:textId="77777777" w:rsidR="00501607" w:rsidRPr="00501607" w:rsidRDefault="00501607" w:rsidP="00501607">
      <w:pPr>
        <w:spacing w:line="276" w:lineRule="auto"/>
        <w:ind w:firstLine="720"/>
        <w:jc w:val="both"/>
        <w:rPr>
          <w:rFonts w:eastAsia="Arial"/>
          <w:bCs/>
          <w:i/>
          <w:iCs/>
        </w:rPr>
      </w:pPr>
      <w:r w:rsidRPr="00501607">
        <w:rPr>
          <w:rFonts w:eastAsia="Arial"/>
          <w:iCs/>
        </w:rPr>
        <w:t>Atsižvelgiant į Pareiškėjo pateiktą siūlomą kompensuoti indikaciją ir įprastą klinikinę praktiką Lietuvoje, nustatyta, kad LTPH sergančių pacientų populiacijoje tinkamas palyginamasis gydymas yra riociguatas.</w:t>
      </w:r>
    </w:p>
    <w:p w14:paraId="52720F3B" w14:textId="7490E0D2" w:rsidR="00501607" w:rsidRPr="00501607" w:rsidRDefault="00501607" w:rsidP="00501607">
      <w:pPr>
        <w:spacing w:line="276" w:lineRule="auto"/>
        <w:ind w:firstLine="720"/>
        <w:jc w:val="both"/>
        <w:rPr>
          <w:rFonts w:eastAsia="Arial"/>
          <w:bCs/>
          <w:iCs/>
        </w:rPr>
      </w:pPr>
      <w:r w:rsidRPr="00501607">
        <w:rPr>
          <w:rFonts w:eastAsia="Arial"/>
          <w:bCs/>
          <w:iCs/>
        </w:rPr>
        <w:t>Klinikinis vertinimas buvo atliktas pagal paraiškoje pateiktus mažomis tiriamojo vaistinio preparato dozėmis (prilyginta placebui) kontroliuojamo (CTREPH) bei placebu kontroliuojamą (CHEST-1) tyrimus (pastarasis aktualus netiesioginio palyginimo analizėje).</w:t>
      </w:r>
    </w:p>
    <w:p w14:paraId="7CBF23E5" w14:textId="0C6AB43B" w:rsidR="00501607" w:rsidRPr="00501607" w:rsidRDefault="00501607" w:rsidP="00501607">
      <w:pPr>
        <w:spacing w:line="276" w:lineRule="auto"/>
        <w:ind w:firstLine="720"/>
        <w:jc w:val="both"/>
        <w:rPr>
          <w:rFonts w:eastAsia="Arial"/>
          <w:bCs/>
          <w:iCs/>
        </w:rPr>
      </w:pPr>
      <w:r w:rsidRPr="00501607">
        <w:rPr>
          <w:rFonts w:eastAsia="Arial"/>
          <w:bCs/>
          <w:iCs/>
        </w:rPr>
        <w:t>CTREPH klinikiniame tyrime, 6 minučių ėjimo testo metu nueinamas atstumas po 24 savaičių (pirminė vertinamoji baigtis) didelės treprostinilio dozės grupėje padidėjo 40,7 metrais daugiau (95% PI 15,9 – 65,5; P=0,0016), lyginant su mažos treprostinilio dozės grupe. Svarbu atkreipti dėmesį, jog statistiškai reikšmingas skirtumas gautas tik III funkcinės klasės pacientų pogrupyje.</w:t>
      </w:r>
    </w:p>
    <w:p w14:paraId="4BD103BF" w14:textId="346B1E00" w:rsidR="00501607" w:rsidRPr="00501607" w:rsidRDefault="00501607" w:rsidP="00501607">
      <w:pPr>
        <w:spacing w:line="276" w:lineRule="auto"/>
        <w:ind w:firstLine="720"/>
        <w:jc w:val="both"/>
        <w:rPr>
          <w:rFonts w:eastAsia="Arial"/>
          <w:bCs/>
          <w:iCs/>
        </w:rPr>
      </w:pPr>
      <w:r w:rsidRPr="00501607">
        <w:rPr>
          <w:rFonts w:eastAsia="Arial"/>
          <w:bCs/>
          <w:iCs/>
        </w:rPr>
        <w:t xml:space="preserve">Vertinant antrines vertinamąsias baigtis, 6 minučių ėjimo testo metu nueinamas atstumas po 12 savaičių tarp didelės ir mažos treprostinilio dozės grupių statistiškai reikšmingai nesiskyrė (P=0,270). Pacientų funkcinė klasė dažniau pagerėjo didelės treprostinilio dozės grupėje (P=0,0019), klinikinės būklės pablogėjimo atvejų dažnis per 24 savaites tarp didelės ir mažos treprostinilio dozės grupių nesiskyrė. Vertinant pacientų praneštas baigtis, </w:t>
      </w:r>
      <w:r w:rsidRPr="00501607">
        <w:rPr>
          <w:rFonts w:eastAsia="Arial"/>
          <w:iCs/>
        </w:rPr>
        <w:t xml:space="preserve">pacientų gyvenimo kokybė nesiskyrė tarp didelės ir mažos treprostinilio grupių visą tyrimo laikotarpį. </w:t>
      </w:r>
      <w:r w:rsidRPr="00501607">
        <w:rPr>
          <w:rFonts w:eastAsia="Arial"/>
          <w:i/>
          <w:iCs/>
        </w:rPr>
        <w:t xml:space="preserve">Ad hoc </w:t>
      </w:r>
      <w:r w:rsidRPr="00501607">
        <w:rPr>
          <w:rFonts w:eastAsia="Arial"/>
          <w:iCs/>
        </w:rPr>
        <w:t xml:space="preserve">analizėje nustatyta, kad pagal specifinę RRS (angl. </w:t>
      </w:r>
      <w:r w:rsidRPr="00501607">
        <w:rPr>
          <w:rFonts w:eastAsia="Arial"/>
          <w:i/>
          <w:iCs/>
        </w:rPr>
        <w:t>REVEAL risk score</w:t>
      </w:r>
      <w:r w:rsidRPr="00501607">
        <w:rPr>
          <w:rFonts w:eastAsia="Arial"/>
          <w:iCs/>
        </w:rPr>
        <w:t xml:space="preserve">) rizikos skaičiuoklę pacientų būklė </w:t>
      </w:r>
      <w:r w:rsidRPr="00501607">
        <w:rPr>
          <w:rFonts w:eastAsia="Arial"/>
          <w:bCs/>
          <w:iCs/>
        </w:rPr>
        <w:t>pagerėjo dažniau ir pablogėjo rečiau didelės treprostinilio dozės grupėje (-0,70; 95% PI -1,36 – -0,05; p=0,0352).</w:t>
      </w:r>
    </w:p>
    <w:p w14:paraId="2C89A475" w14:textId="77777777" w:rsidR="00501607" w:rsidRPr="00501607" w:rsidRDefault="00501607" w:rsidP="00501607">
      <w:pPr>
        <w:spacing w:line="276" w:lineRule="auto"/>
        <w:ind w:firstLine="720"/>
        <w:jc w:val="both"/>
        <w:rPr>
          <w:rFonts w:eastAsia="Arial"/>
          <w:bCs/>
          <w:i/>
          <w:iCs/>
        </w:rPr>
      </w:pPr>
    </w:p>
    <w:p w14:paraId="3776EFD3" w14:textId="77777777" w:rsidR="00501607" w:rsidRPr="00501607" w:rsidRDefault="00501607" w:rsidP="00501607">
      <w:pPr>
        <w:spacing w:line="276" w:lineRule="auto"/>
        <w:jc w:val="both"/>
        <w:rPr>
          <w:rFonts w:eastAsia="Arial"/>
          <w:bCs/>
          <w:i/>
          <w:iCs/>
        </w:rPr>
      </w:pPr>
      <w:r w:rsidRPr="00501607">
        <w:rPr>
          <w:rFonts w:eastAsia="Arial"/>
          <w:bCs/>
          <w:i/>
          <w:iCs/>
        </w:rPr>
        <w:t>Netiesioginis palyginimas</w:t>
      </w:r>
    </w:p>
    <w:p w14:paraId="3FD4F37B" w14:textId="7D0A2730" w:rsidR="00501607" w:rsidRPr="00501607" w:rsidRDefault="00501607" w:rsidP="00501607">
      <w:pPr>
        <w:spacing w:line="276" w:lineRule="auto"/>
        <w:ind w:firstLine="720"/>
        <w:jc w:val="both"/>
        <w:rPr>
          <w:rFonts w:eastAsia="Arial"/>
          <w:bCs/>
          <w:i/>
          <w:iCs/>
        </w:rPr>
      </w:pPr>
      <w:r w:rsidRPr="00501607">
        <w:rPr>
          <w:rFonts w:eastAsia="Arial"/>
          <w:bCs/>
          <w:iCs/>
        </w:rPr>
        <w:t xml:space="preserve">Pareiškėjas atliko netiesioginę pagal sutapatinimą koreguotą (angl. </w:t>
      </w:r>
      <w:r w:rsidRPr="00501607">
        <w:rPr>
          <w:rFonts w:eastAsia="Arial"/>
          <w:bCs/>
          <w:i/>
          <w:iCs/>
        </w:rPr>
        <w:t>matching-adjusted indirect comparison</w:t>
      </w:r>
      <w:r w:rsidRPr="00501607">
        <w:rPr>
          <w:rFonts w:eastAsia="Arial"/>
          <w:bCs/>
          <w:iCs/>
        </w:rPr>
        <w:t>) treprostinilio ir riociguato palyginimąją analizę naudojant individualių CTREPH tyrimo pacientų ir apibendrinus CHEST-1 duomenis. Įvertinus CHEST-1 ir CTREPH tyrimų duomenis nustatyta, kad tyrimų populiacijų charakteristikos (pacientų amžiaus vidurkis, vyraujanti lytis, pradinė funkcinė klasė, skiriamas specifinis medikamentinis plautinės hipertenzijos gydymas) reikšmingai skyrėsi, o netiesioginio palyginimo analizės duomenys turėjo reikšmingų trūkumų (mažos treprostinilio dozės prilygintos placebui, neaišku, kaip atrodė pacientų populiacijos po sutapatinimo, platūs pasikliautiniai klinikinių baigčių duomenų intervalai).</w:t>
      </w:r>
    </w:p>
    <w:p w14:paraId="678D89AD" w14:textId="77777777" w:rsidR="00501607" w:rsidRPr="00501607" w:rsidRDefault="00501607" w:rsidP="00501607">
      <w:pPr>
        <w:spacing w:line="276" w:lineRule="auto"/>
        <w:ind w:firstLine="720"/>
        <w:jc w:val="both"/>
        <w:rPr>
          <w:rFonts w:eastAsia="Arial"/>
          <w:iCs/>
        </w:rPr>
      </w:pPr>
      <w:r w:rsidRPr="00501607">
        <w:rPr>
          <w:rFonts w:eastAsia="Arial"/>
          <w:iCs/>
        </w:rPr>
        <w:t>Dėl šios priežasties pareiškėjui pateikti esminiai prieštaravimai dėl netinkamų vertinti netiesioginio palyginimo analizės duomenų. Pareiškėjas pateikė pagal nurodymus atnaujintą netiesioginio palyginimo analizę</w:t>
      </w:r>
      <w:r w:rsidRPr="00501607">
        <w:rPr>
          <w:rFonts w:eastAsia="Arial"/>
          <w:bCs/>
          <w:iCs/>
        </w:rPr>
        <w:t xml:space="preserve">. </w:t>
      </w:r>
      <w:r w:rsidRPr="00501607">
        <w:rPr>
          <w:rFonts w:eastAsia="Arial"/>
          <w:iCs/>
        </w:rPr>
        <w:t xml:space="preserve">Įvertinus pateiktus duomenis, atsižvelgiant į jų metodologinius trūkumus ir neapibrėžtumus, prieita išvados, kad </w:t>
      </w:r>
      <w:r w:rsidRPr="00501607">
        <w:rPr>
          <w:rFonts w:eastAsia="Arial"/>
          <w:b/>
          <w:bCs/>
          <w:iCs/>
        </w:rPr>
        <w:t>riociguato efektyvumas nesiskyrė nuo treprostinilio</w:t>
      </w:r>
      <w:r w:rsidRPr="00501607">
        <w:rPr>
          <w:rFonts w:eastAsia="Arial"/>
          <w:iCs/>
        </w:rPr>
        <w:t xml:space="preserve">. Atsižvelgiant į tokią vertinimo išvadą kartotinai pateikti esminiai prieštaravimai ir paprašyta pateikti kaštų mažinimo analizę. </w:t>
      </w:r>
      <w:r w:rsidRPr="00501607">
        <w:rPr>
          <w:rFonts w:eastAsia="Arial"/>
          <w:b/>
          <w:bCs/>
          <w:iCs/>
        </w:rPr>
        <w:t>Pareiškėjas su vertinimo išvada nesutiko ir kaštų mažinimo analizės nepateikė</w:t>
      </w:r>
      <w:r w:rsidRPr="00501607">
        <w:rPr>
          <w:rFonts w:eastAsia="Arial"/>
          <w:iCs/>
        </w:rPr>
        <w:t>.</w:t>
      </w:r>
    </w:p>
    <w:p w14:paraId="3BE7A371" w14:textId="77777777" w:rsidR="00501607" w:rsidRPr="00501607" w:rsidRDefault="00501607" w:rsidP="00501607">
      <w:pPr>
        <w:spacing w:line="276" w:lineRule="auto"/>
        <w:ind w:firstLine="720"/>
        <w:jc w:val="both"/>
        <w:rPr>
          <w:rFonts w:eastAsia="Arial"/>
          <w:iCs/>
        </w:rPr>
      </w:pPr>
      <w:r w:rsidRPr="00501607">
        <w:rPr>
          <w:rFonts w:eastAsia="Arial"/>
          <w:iCs/>
        </w:rPr>
        <w:t>Atsižvelgiant į tai, kad pareiškėjas atsakydamas į esminį prieštaravimą nepateikė tinkamų tiesioginio ar netiesioginio palyginimo duomenų, kurie įrodytų didesnį treprostinilio efektyvumą lyginant su riociguatu, esminis prieštaravimas laikomas neišspręstu ir daroma išvada, kad pateikti duomenys apie palyginamąjį efektyvumą yra netinkami vertinti, o klinikinis veiksmingumas įvertintas kaip nepagrindžiantis papildomos naudos pacientų sveikatai sukūrimo, lyginant su įprasta klinikine praktika.</w:t>
      </w:r>
    </w:p>
    <w:p w14:paraId="1987A7DD" w14:textId="11078E21" w:rsidR="000E4ECE" w:rsidRPr="002A024D" w:rsidRDefault="000E4ECE" w:rsidP="00295926">
      <w:pPr>
        <w:spacing w:line="276" w:lineRule="auto"/>
        <w:ind w:firstLine="720"/>
        <w:jc w:val="both"/>
        <w:rPr>
          <w:iCs/>
        </w:rPr>
      </w:pPr>
    </w:p>
    <w:p w14:paraId="6643C683" w14:textId="2607B680" w:rsidR="000E4ECE" w:rsidRPr="002A024D" w:rsidRDefault="000E4ECE" w:rsidP="000E4ECE">
      <w:pPr>
        <w:pStyle w:val="Sraopastraipa"/>
        <w:numPr>
          <w:ilvl w:val="0"/>
          <w:numId w:val="12"/>
        </w:numPr>
        <w:tabs>
          <w:tab w:val="left" w:pos="567"/>
        </w:tabs>
        <w:rPr>
          <w:b/>
          <w:bCs/>
          <w:caps/>
        </w:rPr>
      </w:pPr>
      <w:r w:rsidRPr="002A024D">
        <w:rPr>
          <w:b/>
          <w:bCs/>
          <w:caps/>
        </w:rPr>
        <w:lastRenderedPageBreak/>
        <w:t xml:space="preserve"> ekonominio vertinimo apibendrinimas</w:t>
      </w:r>
    </w:p>
    <w:p w14:paraId="50DD7307" w14:textId="77777777" w:rsidR="001D1D6A" w:rsidRPr="002A024D" w:rsidRDefault="001D1D6A" w:rsidP="001D1D6A">
      <w:pPr>
        <w:shd w:val="clear" w:color="auto" w:fill="FFFFFF"/>
        <w:spacing w:line="276" w:lineRule="auto"/>
        <w:rPr>
          <w:rFonts w:eastAsia="Arial"/>
          <w:b/>
        </w:rPr>
      </w:pPr>
    </w:p>
    <w:p w14:paraId="5A92A4FD" w14:textId="77777777" w:rsidR="001D1D6A" w:rsidRPr="002A024D" w:rsidRDefault="001D1D6A" w:rsidP="001D1D6A">
      <w:pPr>
        <w:pStyle w:val="Default"/>
        <w:spacing w:line="276" w:lineRule="auto"/>
        <w:ind w:firstLine="360"/>
        <w:jc w:val="both"/>
        <w:rPr>
          <w:lang w:val="lt-LT"/>
        </w:rPr>
      </w:pPr>
      <w:r w:rsidRPr="002A024D">
        <w:rPr>
          <w:lang w:val="lt-LT"/>
        </w:rPr>
        <w:t>Trepulmix skirtas suaugusių pacientų, sergančių III arba IV funkcinės klasės pagal PSO neoperuotina lėtine tromboemboline plautine hipertenzija (LTPH) arba po chirurginio gydymo persistuojančia arba recidyvuojančia LTPH, gydymui, siekiant pagerinti jų fizinį pajėgumą (TLK kodas – I27.2.). Lietuvoje, suaugusiems</w:t>
      </w:r>
      <w:r w:rsidRPr="002A024D">
        <w:rPr>
          <w:rFonts w:eastAsia="Arial"/>
          <w:color w:val="000000" w:themeColor="text1"/>
          <w:lang w:val="lt-LT"/>
        </w:rPr>
        <w:t xml:space="preserve"> neoperuotinos arba po chirurginio gydymo persistuojančios arba recidyvuojančios LTPH </w:t>
      </w:r>
      <w:r w:rsidRPr="002A024D">
        <w:rPr>
          <w:lang w:val="lt-LT"/>
        </w:rPr>
        <w:t xml:space="preserve">gydymui, siekiant padidinti jų fizinį pajėgumą, nuo 2014 m. kovo mėn. registruotas ir kompensuojamas riociguatas (Adempas). Atkreipiamas dėmesys, kad riociguato skyrimas ribojamas pagal PSO klasifikaciją II ar III funkcinės klasės LTEPH pacientams, todėl ekonominėje analizėje yra tinkamas palyginamasis pagal dalį kompensavimui teikiamos indikacijos (III NYHA klasės pacientams). Atitinkamai Tarnyba išskiria dvi ekonomines analizes pagal pacientų pogrupius: </w:t>
      </w:r>
    </w:p>
    <w:p w14:paraId="46D068C2" w14:textId="77777777" w:rsidR="001D1D6A" w:rsidRPr="002A024D" w:rsidRDefault="001D1D6A" w:rsidP="001D1D6A">
      <w:pPr>
        <w:pStyle w:val="Sraopastraipa"/>
        <w:numPr>
          <w:ilvl w:val="0"/>
          <w:numId w:val="26"/>
        </w:numPr>
        <w:spacing w:line="276" w:lineRule="auto"/>
        <w:jc w:val="both"/>
        <w:rPr>
          <w:bCs/>
          <w:i/>
        </w:rPr>
      </w:pPr>
      <w:r w:rsidRPr="002A024D">
        <w:t xml:space="preserve">treprostinilį lyginant su Lietuvoje </w:t>
      </w:r>
      <w:r w:rsidRPr="002A024D">
        <w:rPr>
          <w:rFonts w:eastAsia="Arial"/>
          <w:color w:val="000000" w:themeColor="text1"/>
        </w:rPr>
        <w:t xml:space="preserve">neoperuotinos arba po chirurginio gydymo persistuojančios arba recidyvuojančios LTPH </w:t>
      </w:r>
      <w:r w:rsidRPr="002A024D">
        <w:t xml:space="preserve">gydymui kompensuojamu </w:t>
      </w:r>
      <w:r w:rsidRPr="002A024D">
        <w:rPr>
          <w:bCs/>
          <w:u w:val="single"/>
        </w:rPr>
        <w:t>riociguatu,</w:t>
      </w:r>
      <w:r w:rsidRPr="002A024D">
        <w:rPr>
          <w:bCs/>
          <w:i/>
        </w:rPr>
        <w:t xml:space="preserve"> </w:t>
      </w:r>
      <w:r w:rsidRPr="002A024D">
        <w:rPr>
          <w:bCs/>
        </w:rPr>
        <w:t>atsižvelgiant, kad treprostinilis keistų dalies pacientų gydymą riociguatu (III NYHA klasės);</w:t>
      </w:r>
    </w:p>
    <w:p w14:paraId="444FB511" w14:textId="77777777" w:rsidR="001D1D6A" w:rsidRPr="002A024D" w:rsidRDefault="001D1D6A" w:rsidP="001D1D6A">
      <w:pPr>
        <w:pStyle w:val="Sraopastraipa"/>
        <w:numPr>
          <w:ilvl w:val="0"/>
          <w:numId w:val="26"/>
        </w:numPr>
        <w:tabs>
          <w:tab w:val="left" w:pos="450"/>
        </w:tabs>
        <w:spacing w:line="276" w:lineRule="auto"/>
        <w:jc w:val="both"/>
      </w:pPr>
      <w:r w:rsidRPr="002A024D">
        <w:t xml:space="preserve">tiems pacientams, kurių sveikatos būklė yra sunkesnė (IV NYHA funkcinės klasės) arba kuriems riociguatas yra kontraindikuotinas arba neefektyvus ir kompensuojamo </w:t>
      </w:r>
      <w:r w:rsidRPr="002A024D">
        <w:rPr>
          <w:rFonts w:eastAsia="Arial"/>
          <w:color w:val="000000" w:themeColor="text1"/>
        </w:rPr>
        <w:t>LTPH</w:t>
      </w:r>
      <w:r w:rsidRPr="002A024D">
        <w:t xml:space="preserve"> gydymo Lietuvoje nėra,</w:t>
      </w:r>
      <w:r w:rsidRPr="002A024D">
        <w:rPr>
          <w:i/>
        </w:rPr>
        <w:t xml:space="preserve"> </w:t>
      </w:r>
      <w:r w:rsidRPr="002A024D">
        <w:t xml:space="preserve">ekonominė analizė yra atliekama lyginant </w:t>
      </w:r>
      <w:r w:rsidRPr="002A024D">
        <w:rPr>
          <w:u w:val="single"/>
        </w:rPr>
        <w:t>su standartiniu gydymu (placebu)</w:t>
      </w:r>
      <w:r w:rsidRPr="002A024D">
        <w:t>.</w:t>
      </w:r>
    </w:p>
    <w:p w14:paraId="40E217CE" w14:textId="77777777" w:rsidR="001D1D6A" w:rsidRPr="002A024D" w:rsidRDefault="001D1D6A" w:rsidP="001D1D6A">
      <w:pPr>
        <w:pStyle w:val="Default"/>
        <w:spacing w:line="276" w:lineRule="auto"/>
        <w:ind w:firstLine="360"/>
        <w:jc w:val="both"/>
        <w:rPr>
          <w:rFonts w:eastAsia="Arial"/>
          <w:bCs/>
          <w:lang w:val="lt-LT"/>
        </w:rPr>
      </w:pPr>
      <w:r w:rsidRPr="002A024D">
        <w:rPr>
          <w:lang w:val="lt-LT"/>
        </w:rPr>
        <w:t xml:space="preserve">Siekiant atlikti palyginimą su riociguatu Pareiškėjas teikia netiesioginio palyginimo duomenis, tačiau Tarnybos vertinimu, analizė pasižymi reikšmingais neapibrėžtumais dėl pernelyg heterogeniškų populiacijų ir jų klinikinių tyrimų: </w:t>
      </w:r>
      <w:r w:rsidRPr="002A024D">
        <w:rPr>
          <w:rFonts w:eastAsia="Arial"/>
          <w:bCs/>
          <w:lang w:val="lt-LT"/>
        </w:rPr>
        <w:t xml:space="preserve">CTREPH tyrime buvo statistiškai reikšmingai daugiau pacientų vyriškosios lyties, vyresnio amžiaus, blogesnės funkcinės klasės (CTREPH tyrime vyravo III – 87%, CHEST-1 – II ir III funkcinės klasės pacientai – 31% ir 64%) bei nueinantys mažesnį atstumą 6 minučių ėjimo testo metu (303,4 ± 77,4 ir 347,0 ± 80,0), lyginant su CHEST-1 tyrimu. CHEST-1 tyrime buvo statistiškai reikšmingai daugiau pacientų (28% ir 8%), kuriems po plautinės endarterektomijos nustatyta liekamoji PH. Skyrėsi ir pacientų stebėjimo trukmė: CTREPH tyrime pacientai buvo stebimi 24 sav., CHEST-1 (16 sav.), (pastarojo rezultatai buvo koreguoti pagal CTREPH tyrimo stebėjimo laikotarpį taikant prielaidą, kad pacientų būklės gerėjimas ir blogėjimas tęsis tokiu pat greičiu). </w:t>
      </w:r>
    </w:p>
    <w:p w14:paraId="3CB81061" w14:textId="189A02C6" w:rsidR="001D1D6A" w:rsidRPr="002A024D" w:rsidRDefault="001D1D6A" w:rsidP="001D1D6A">
      <w:pPr>
        <w:pStyle w:val="Default"/>
        <w:spacing w:line="276" w:lineRule="auto"/>
        <w:ind w:firstLine="360"/>
        <w:jc w:val="both"/>
        <w:rPr>
          <w:rFonts w:eastAsia="Arial"/>
          <w:bCs/>
          <w:lang w:val="lt-LT"/>
        </w:rPr>
      </w:pPr>
      <w:r w:rsidRPr="002A024D">
        <w:rPr>
          <w:rFonts w:eastAsia="Arial"/>
          <w:bCs/>
          <w:lang w:val="lt-LT"/>
        </w:rPr>
        <w:t xml:space="preserve">Tarnyba, </w:t>
      </w:r>
      <w:r w:rsidRPr="002A024D">
        <w:rPr>
          <w:rFonts w:eastAsia="Arial"/>
          <w:b/>
          <w:bCs/>
          <w:lang w:val="lt-LT"/>
        </w:rPr>
        <w:t>lyginant treprostinilį su riociguatu</w:t>
      </w:r>
      <w:r w:rsidRPr="002A024D">
        <w:rPr>
          <w:rFonts w:eastAsia="Arial"/>
          <w:bCs/>
          <w:lang w:val="lt-LT"/>
        </w:rPr>
        <w:t xml:space="preserve">, atkreipia dėmesį į: 1) </w:t>
      </w:r>
      <w:r w:rsidRPr="002A024D">
        <w:rPr>
          <w:rFonts w:eastAsia="Arial"/>
          <w:bCs/>
          <w:u w:val="single"/>
          <w:lang w:val="lt-LT"/>
        </w:rPr>
        <w:t>netiesioginio palyginimo duomenų analizės metodo (šaltinio) įtaką ekonominės analizės rezultatui</w:t>
      </w:r>
      <w:r w:rsidRPr="002A024D">
        <w:rPr>
          <w:rFonts w:eastAsia="Arial"/>
          <w:bCs/>
          <w:lang w:val="lt-LT"/>
        </w:rPr>
        <w:t xml:space="preserve">. Pareiškėjas įprastinę atvejo analizę atlieka remiantis netiesioginio palyginimo pagal sutapatinimą koreguotą (angl. </w:t>
      </w:r>
      <w:r w:rsidRPr="002A024D">
        <w:rPr>
          <w:rFonts w:eastAsia="Arial"/>
          <w:bCs/>
          <w:i/>
          <w:iCs/>
          <w:lang w:val="lt-LT"/>
        </w:rPr>
        <w:t>matching-adjusted indirect comparison, MAIC</w:t>
      </w:r>
      <w:r w:rsidRPr="002A024D">
        <w:rPr>
          <w:rFonts w:eastAsia="Arial"/>
          <w:bCs/>
          <w:lang w:val="lt-LT"/>
        </w:rPr>
        <w:t xml:space="preserve">) treprostinilio ir riociguato analizę naudojant individualių CTREPH tyrimo pacientų ir apibendrinus CHEST-1 duomenis, kurioje populiacijos buvo koreguotos pagal pacientų funkcinę klasę, 6 minučių ėjimo testo metu nueinamą atstumą ir taikytą chirurginį gydymą. Tarnyba alternatyviai vertina netiesioginio palygimo duomenis, taikant Bucher metodą (duomenys nėra tapatinami) ir sutinka, kad duomenys yra pernelyg heterogeniški, kad būtų galima atlikti patikimą palyginamąją analizę jų nekoreguojant (ypatingai, dėl pacientų ligos būklės skirtumų), tačiau svarbu atkreipti dėmesį, kad taikant Bucher metodo palyginamąją analizę apskaičiuotas ICER – </w:t>
      </w:r>
      <w:r w:rsidR="00B57F53">
        <w:rPr>
          <w:rFonts w:eastAsia="Arial"/>
          <w:bCs/>
          <w:lang w:val="lt-LT"/>
        </w:rPr>
        <w:t>----------------------</w:t>
      </w:r>
      <w:r w:rsidRPr="002A024D">
        <w:rPr>
          <w:lang w:val="lt-LT" w:eastAsia="lt-LT"/>
        </w:rPr>
        <w:t xml:space="preserve"> – 5 metų laiko perspektyvoje), kas</w:t>
      </w:r>
      <w:r w:rsidRPr="002A024D">
        <w:rPr>
          <w:rFonts w:eastAsia="Arial"/>
          <w:bCs/>
          <w:lang w:val="lt-LT"/>
        </w:rPr>
        <w:t xml:space="preserve"> rodo analizės mažą patikimumą ir didelę įtaką ekonominės analizės rezultatams priklausomai nuo taikomo duomenų koregavimo; 2) </w:t>
      </w:r>
      <w:r w:rsidRPr="002A024D">
        <w:rPr>
          <w:rFonts w:eastAsia="Arial"/>
          <w:bCs/>
          <w:u w:val="single"/>
          <w:lang w:val="lt-LT"/>
        </w:rPr>
        <w:t>KNA laiko trukmę</w:t>
      </w:r>
      <w:r w:rsidRPr="002A024D">
        <w:rPr>
          <w:rFonts w:eastAsia="Arial"/>
          <w:bCs/>
          <w:lang w:val="lt-LT"/>
        </w:rPr>
        <w:t xml:space="preserve">: vertinant pagal sutapatinimą koreguotus MAIC analizės duomenis ir atsižvelgiant į klinikinių duomenų trūkumus bei trumpą klinikinių tyrimų trukmę, duomenų ekstrapoliacija ir jai taikomos prielaidos ilguoju laikotarpiu - didina analizės neapibrėžtumą. Tarnybai trumpinant laiko trukmę ir vertinant treprostinilio ir riociguato KNA 5 m. </w:t>
      </w:r>
      <w:r w:rsidRPr="002A024D">
        <w:rPr>
          <w:rFonts w:eastAsia="Arial"/>
          <w:bCs/>
          <w:lang w:val="lt-LT"/>
        </w:rPr>
        <w:lastRenderedPageBreak/>
        <w:t>laikotarpiu (pritaikius galutines Pareiškėjo siūlomas kainas pagal 2024 m. I pusm. kainyną), apskaičiuotas ICER viršija referencinės kaštų naudingumo vertės slenkstį, taikomą vidutinei ligos naštai (ICER-</w:t>
      </w:r>
      <w:r w:rsidR="00B57F53">
        <w:rPr>
          <w:lang w:val="lt-LT" w:eastAsia="lt-LT"/>
        </w:rPr>
        <w:t>________</w:t>
      </w:r>
      <w:r w:rsidRPr="002A024D">
        <w:rPr>
          <w:rFonts w:eastAsia="Arial"/>
          <w:bCs/>
          <w:lang w:val="lt-LT"/>
        </w:rPr>
        <w:t xml:space="preserve"> Eur./QALY); 3) </w:t>
      </w:r>
      <w:r w:rsidRPr="002A024D">
        <w:rPr>
          <w:rFonts w:eastAsia="Arial"/>
          <w:bCs/>
          <w:u w:val="single"/>
          <w:lang w:val="lt-LT"/>
        </w:rPr>
        <w:t>netiesioginio palyginimo (MAIC) rezultatus (ir kaštų analizės tipą)</w:t>
      </w:r>
      <w:r w:rsidRPr="002A024D">
        <w:rPr>
          <w:rFonts w:eastAsia="Arial"/>
          <w:bCs/>
          <w:lang w:val="lt-LT"/>
        </w:rPr>
        <w:t>: P</w:t>
      </w:r>
      <w:r w:rsidRPr="002A024D">
        <w:rPr>
          <w:lang w:val="lt-LT"/>
        </w:rPr>
        <w:t>areiškėjui atnaujintus klinikinėje dalyje pateiktus netiesioginio palyginimo  (MAIC) analizės duomenis, vertinta, kad treprostinilis sukuria nesiskiriančią naudą pacientų sveikatai, lyginant su riociguatu</w:t>
      </w:r>
      <w:r w:rsidRPr="002A024D">
        <w:rPr>
          <w:rFonts w:eastAsia="Arial"/>
          <w:bCs/>
          <w:lang w:val="lt-LT"/>
        </w:rPr>
        <w:t xml:space="preserve"> (platūs pasikliautiniai intervalai, statistiškai nereikšmingas skirtumas). Vadovaujantis Tvarkos aprašu (Nr.159), dėl iš esmės nesiskiriančio gydymo efektyvumo ir sukuriamos naudos pacientų sveikatai, lyginant su įprasta klinikine praktika, Pareiškėjo prašyta pateikti kaštų lyginamąją analizę iš kaštų mažinimo perspektyvos (KMA, laikant, kad dėl didelių neapibrėžtumų ir įrodymų patikimumo sveikatai sukuriama nauda laikoma panašia). Paminėtina, kad Tarnybai lyginant treprostinilio ir riociguato vaistinių preparatų įsigijimo ir nepageidaujamo poveikio kaštus penkerių metų laikotarpiu (pagrindiniai skirtumus lemiantys kaštai) – treprostinilio bendrieji kaštai yra didesni (</w:t>
      </w:r>
      <w:r w:rsidR="00833993">
        <w:rPr>
          <w:rFonts w:eastAsia="Arial"/>
          <w:bCs/>
          <w:lang w:val="lt-LT"/>
        </w:rPr>
        <w:t>--------</w:t>
      </w:r>
      <w:r w:rsidRPr="002A024D">
        <w:rPr>
          <w:rFonts w:eastAsia="Arial"/>
          <w:bCs/>
          <w:lang w:val="lt-LT"/>
        </w:rPr>
        <w:t xml:space="preserve"> Eur.), tačiau </w:t>
      </w:r>
      <w:r w:rsidRPr="002A024D">
        <w:rPr>
          <w:rFonts w:eastAsia="Arial"/>
          <w:lang w:val="lt-LT"/>
        </w:rPr>
        <w:t>Pareiškėjas nesutinka dėl kaštų mažinimo analizės perspektyvos taikymo ir siūlo atnaujintas treprostinilio skyrimo sąlygas:</w:t>
      </w:r>
    </w:p>
    <w:p w14:paraId="7C592B35" w14:textId="77777777" w:rsidR="001D1D6A" w:rsidRPr="002A024D" w:rsidRDefault="001D1D6A" w:rsidP="001D1D6A">
      <w:pPr>
        <w:pStyle w:val="Default"/>
        <w:spacing w:line="276" w:lineRule="auto"/>
        <w:jc w:val="both"/>
        <w:rPr>
          <w:rFonts w:eastAsia="Arial"/>
          <w:bCs/>
          <w:lang w:val="lt-LT"/>
        </w:rPr>
      </w:pPr>
    </w:p>
    <w:p w14:paraId="03DB8585" w14:textId="77777777" w:rsidR="001D1D6A" w:rsidRPr="002A024D" w:rsidRDefault="001D1D6A" w:rsidP="001D1D6A">
      <w:pPr>
        <w:spacing w:line="276" w:lineRule="auto"/>
        <w:jc w:val="both"/>
        <w:rPr>
          <w:rFonts w:eastAsia="Arial"/>
          <w:bCs/>
        </w:rPr>
      </w:pPr>
      <w:r w:rsidRPr="002A024D">
        <w:rPr>
          <w:rFonts w:eastAsia="Arial"/>
          <w:bCs/>
          <w:noProof/>
          <w:lang w:eastAsia="lt-LT"/>
        </w:rPr>
        <w:drawing>
          <wp:inline distT="0" distB="0" distL="0" distR="0" wp14:anchorId="4E8B4C59" wp14:editId="50FCE007">
            <wp:extent cx="6241138" cy="135445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0678" cy="1365206"/>
                    </a:xfrm>
                    <a:prstGeom prst="rect">
                      <a:avLst/>
                    </a:prstGeom>
                  </pic:spPr>
                </pic:pic>
              </a:graphicData>
            </a:graphic>
          </wp:inline>
        </w:drawing>
      </w:r>
    </w:p>
    <w:p w14:paraId="179DFD23" w14:textId="77777777" w:rsidR="001D1D6A" w:rsidRPr="002A024D" w:rsidRDefault="001D1D6A" w:rsidP="001D1D6A">
      <w:pPr>
        <w:spacing w:line="276" w:lineRule="auto"/>
        <w:ind w:firstLine="720"/>
        <w:jc w:val="both"/>
        <w:rPr>
          <w:rFonts w:eastAsia="Arial"/>
          <w:bCs/>
        </w:rPr>
      </w:pPr>
    </w:p>
    <w:p w14:paraId="2304D593" w14:textId="77777777" w:rsidR="001D1D6A" w:rsidRPr="002A024D" w:rsidRDefault="001D1D6A" w:rsidP="001D1D6A">
      <w:pPr>
        <w:pStyle w:val="Default"/>
        <w:spacing w:line="276" w:lineRule="auto"/>
        <w:ind w:firstLine="446"/>
        <w:jc w:val="both"/>
        <w:rPr>
          <w:rFonts w:eastAsia="Arial"/>
          <w:lang w:val="lt-LT"/>
        </w:rPr>
      </w:pPr>
      <w:r w:rsidRPr="002A024D">
        <w:rPr>
          <w:rFonts w:eastAsia="Arial"/>
          <w:bCs/>
          <w:lang w:val="lt-LT"/>
        </w:rPr>
        <w:t xml:space="preserve">Tarnyba sutinka su Pareiškėju, kad dėl skirtingų pacientų populiacijų, gydymo indikacijų ir ligos sunkumo treprostinilio ir riociguato kaštų palyginamoji analizė (KMA) yra netinkama. Tarnyba vertina, kad tapačiai dėl minėtų trūkumų ir pernelyg heterogeniškų tiriamųjų populiacijų lyginant su riociguatu nėra galimybių įvertinti treprostinilio sveikatai sukuriamos naudos ir įvertinti kaštų naudingumą (KNA). </w:t>
      </w:r>
    </w:p>
    <w:p w14:paraId="0B82222D" w14:textId="06CC1E81" w:rsidR="001D1D6A" w:rsidRPr="002A024D" w:rsidRDefault="001D1D6A" w:rsidP="001D1D6A">
      <w:pPr>
        <w:pStyle w:val="Default"/>
        <w:spacing w:line="276" w:lineRule="auto"/>
        <w:ind w:firstLine="446"/>
        <w:jc w:val="both"/>
        <w:rPr>
          <w:rFonts w:eastAsia="Arial"/>
          <w:lang w:val="lt-LT"/>
        </w:rPr>
      </w:pPr>
      <w:r w:rsidRPr="002A024D">
        <w:rPr>
          <w:rFonts w:eastAsia="Arial"/>
          <w:lang w:val="lt-LT"/>
        </w:rPr>
        <w:t xml:space="preserve">Tarnyba atlieka KNA lyginant treprostinilį </w:t>
      </w:r>
      <w:r w:rsidRPr="002A024D">
        <w:rPr>
          <w:rFonts w:eastAsia="Arial"/>
          <w:b/>
          <w:lang w:val="lt-LT"/>
        </w:rPr>
        <w:t>su standartiniu gydymu Lietuvoje (</w:t>
      </w:r>
      <w:r w:rsidRPr="002A024D">
        <w:rPr>
          <w:rFonts w:eastAsia="Arial"/>
          <w:lang w:val="lt-LT"/>
        </w:rPr>
        <w:t xml:space="preserve">geriausias palaikomasis gydymas), įtraukiant visą populiaciją pagal kompensavimui teikiamą indikaciją (duomenys pagrįsti </w:t>
      </w:r>
      <w:r w:rsidRPr="002A024D">
        <w:rPr>
          <w:lang w:val="lt-LT"/>
        </w:rPr>
        <w:t>CTREPH klinikiniu tyrimu, kuriame treprostinilis tiesiogiai lyginamas su placebu</w:t>
      </w:r>
      <w:r w:rsidRPr="002A024D">
        <w:rPr>
          <w:rFonts w:eastAsia="Arial"/>
          <w:lang w:val="lt-LT"/>
        </w:rPr>
        <w:t>), su Pareiškėjo pateiktomis galutinėmis nuolaidomis kainai (pagal 2024 m. I pusm. kainyno kainas)). Gautais duomenimis, apskaičiuotas ICER (</w:t>
      </w:r>
      <w:r w:rsidR="00B57F53">
        <w:rPr>
          <w:rFonts w:eastAsia="Arial"/>
          <w:lang w:val="lt-LT"/>
        </w:rPr>
        <w:t>---------</w:t>
      </w:r>
      <w:r w:rsidRPr="002A024D">
        <w:rPr>
          <w:rFonts w:eastAsia="Arial"/>
          <w:lang w:val="lt-LT"/>
        </w:rPr>
        <w:t xml:space="preserve"> Eur.) neatitinka vidutinei ligos naštai taikomos referencinės kaštų naudingumo vertės (&gt;</w:t>
      </w:r>
      <w:r w:rsidR="00B620DE">
        <w:rPr>
          <w:u w:val="single"/>
          <w:lang w:val="lt-LT"/>
        </w:rPr>
        <w:t>***</w:t>
      </w:r>
      <w:r w:rsidRPr="002A024D">
        <w:rPr>
          <w:u w:val="single"/>
          <w:lang w:val="lt-LT"/>
        </w:rPr>
        <w:t>Eur./QALY)</w:t>
      </w:r>
      <w:r w:rsidRPr="002A024D">
        <w:rPr>
          <w:rFonts w:eastAsia="Arial"/>
          <w:lang w:val="lt-LT"/>
        </w:rPr>
        <w:t xml:space="preserve">, todėl vertinama, kad gydymas treprostiniliu kaštų naudingumo prasme yra neefektyvus.  Paminėtina, kad KNA pasižymi dideliais neapibrėžtumais dėl trumpos klinikinių tyrimų trukmės ir mažų pacientų imčių jose: </w:t>
      </w:r>
      <w:r w:rsidRPr="002A024D">
        <w:rPr>
          <w:lang w:val="lt-LT"/>
        </w:rPr>
        <w:t xml:space="preserve">perėjimo tarp būklių tikimybės pagrįstos remiantis pokyčiu po 26 sav., kai tuo tarpu duomenys ekstrapoliuojami ilguoju laikotarpiu (30 m. laiko perspektyvoje). Mažas pacientų apimčių pasiskirstymas sveikatos būklėse (tam tikrose sveikatos būklėse pavieniai atvejai arba visiškai nefiksuojami), lemia ženklias tikimybių variacijas jose. Atitinkamai, kadangi stebėjimo trukmė CTREPH ir CHEST klinikiniuose tyrimuose trumpa ir nė viename tyrimo dizainų nebuvo planuota vertinti bendrąjį išgyvenamumą, </w:t>
      </w:r>
      <w:r w:rsidRPr="002A024D">
        <w:rPr>
          <w:i/>
          <w:lang w:val="lt-LT"/>
        </w:rPr>
        <w:t>mirčių rizikos</w:t>
      </w:r>
      <w:r w:rsidRPr="002A024D">
        <w:rPr>
          <w:lang w:val="lt-LT"/>
        </w:rPr>
        <w:t xml:space="preserve"> ir kiti modelyje taikomi koeficientai bei prielaidos (pvz.: </w:t>
      </w:r>
      <w:r w:rsidRPr="002A024D">
        <w:rPr>
          <w:bCs/>
          <w:lang w:val="lt-LT" w:eastAsia="lt-LT"/>
        </w:rPr>
        <w:t xml:space="preserve">paskutiniojo ciklo metu stebėtų perėjimo tarp būklių tęstinumo principas </w:t>
      </w:r>
      <w:r w:rsidRPr="002A024D">
        <w:rPr>
          <w:lang w:val="lt-LT"/>
        </w:rPr>
        <w:t xml:space="preserve">duomenis ekstrapoliuojant ilguoju laikotarpiu didina neapibrėžtumus ir lemia analizės rezultatų mažą patikimumą. </w:t>
      </w:r>
      <w:r w:rsidRPr="002A024D">
        <w:rPr>
          <w:rFonts w:eastAsia="Arial"/>
          <w:bCs/>
          <w:lang w:val="lt-LT"/>
        </w:rPr>
        <w:t>Tarnyba, vertindama pareiškėjo teikiamą skyrimo sąlygų siūlymą (atsakymas po klausimų), atkreipia dėmesį, kad: 1)</w:t>
      </w:r>
      <w:r w:rsidRPr="002A024D">
        <w:rPr>
          <w:rFonts w:eastAsia="Arial"/>
          <w:lang w:val="lt-LT"/>
        </w:rPr>
        <w:t xml:space="preserve"> siūlomai analizei atlikti nepakanka pateiktų klinikinių duomenų, t.y. nėra aiškus </w:t>
      </w:r>
      <w:r w:rsidRPr="002A024D">
        <w:rPr>
          <w:rFonts w:eastAsia="Arial"/>
          <w:color w:val="auto"/>
          <w:lang w:val="lt-LT"/>
        </w:rPr>
        <w:t xml:space="preserve">treprostinilio veiksmingumas </w:t>
      </w:r>
      <w:r w:rsidRPr="002A024D">
        <w:rPr>
          <w:rFonts w:eastAsia="Arial"/>
          <w:color w:val="auto"/>
          <w:lang w:val="lt-LT"/>
        </w:rPr>
        <w:lastRenderedPageBreak/>
        <w:t xml:space="preserve">po skirto riociguato (CHTRECH klinikinio tyrimo metu pacientams riociguatas nebuvo skiriamas); </w:t>
      </w:r>
      <w:r w:rsidRPr="002A024D">
        <w:rPr>
          <w:rFonts w:eastAsia="Arial"/>
          <w:lang w:val="lt-LT"/>
        </w:rPr>
        <w:t xml:space="preserve">2) Tarnyba negali atlikti išskirtinai IV NYHA grupės pogrupio analizės dėl ypatingai mažos imties (ir perėjimo tarp būklių tikimybių apskaičiuotų pagal visas NYHA klases). </w:t>
      </w:r>
    </w:p>
    <w:p w14:paraId="1A65CD8D" w14:textId="77777777" w:rsidR="001D1D6A" w:rsidRPr="002A024D" w:rsidRDefault="001D1D6A" w:rsidP="001D1D6A">
      <w:pPr>
        <w:pStyle w:val="Default"/>
        <w:spacing w:line="276" w:lineRule="auto"/>
        <w:ind w:firstLine="446"/>
        <w:jc w:val="both"/>
        <w:rPr>
          <w:lang w:val="lt-LT"/>
        </w:rPr>
      </w:pPr>
      <w:r w:rsidRPr="002A024D">
        <w:rPr>
          <w:rFonts w:eastAsia="Arial"/>
          <w:lang w:val="lt-LT"/>
        </w:rPr>
        <w:t xml:space="preserve">Apibendrinant, laikoma, kad </w:t>
      </w:r>
      <w:r w:rsidRPr="002A024D">
        <w:rPr>
          <w:lang w:val="lt-LT"/>
        </w:rPr>
        <w:t xml:space="preserve">pateikti duomenys apie kaštų naudingumą (tiek su riociguatu, tiek su standartiniu gydymu) </w:t>
      </w:r>
      <w:r w:rsidRPr="002A024D">
        <w:rPr>
          <w:rFonts w:eastAsia="Arial"/>
          <w:lang w:val="lt-LT"/>
        </w:rPr>
        <w:t>dėl aukščiau išvardintų trūkumų</w:t>
      </w:r>
      <w:r w:rsidRPr="002A024D">
        <w:rPr>
          <w:lang w:val="lt-LT"/>
        </w:rPr>
        <w:t xml:space="preserve"> yra netinkami vertinti.</w:t>
      </w:r>
    </w:p>
    <w:p w14:paraId="251ADEF5" w14:textId="77777777" w:rsidR="001D1D6A" w:rsidRPr="002A024D" w:rsidRDefault="001D1D6A" w:rsidP="000E4ECE">
      <w:pPr>
        <w:shd w:val="clear" w:color="auto" w:fill="FFFFFF"/>
        <w:spacing w:line="276" w:lineRule="auto"/>
        <w:rPr>
          <w:rFonts w:eastAsia="Arial"/>
          <w:b/>
        </w:rPr>
      </w:pPr>
    </w:p>
    <w:p w14:paraId="4FC424F9" w14:textId="2D9A92D8" w:rsidR="00C62B36" w:rsidRPr="002A024D" w:rsidRDefault="00C62B36" w:rsidP="000E4ECE">
      <w:pPr>
        <w:pStyle w:val="Default"/>
        <w:numPr>
          <w:ilvl w:val="0"/>
          <w:numId w:val="12"/>
        </w:numPr>
        <w:spacing w:before="240" w:line="276" w:lineRule="auto"/>
        <w:jc w:val="both"/>
        <w:rPr>
          <w:b/>
          <w:bCs/>
          <w:caps/>
          <w:lang w:val="lt-LT"/>
        </w:rPr>
      </w:pPr>
      <w:r w:rsidRPr="002A024D">
        <w:rPr>
          <w:b/>
          <w:bCs/>
          <w:caps/>
          <w:lang w:val="lt-LT"/>
        </w:rPr>
        <w:t xml:space="preserve">Pacientų organizacijų pateikti duomenys </w:t>
      </w:r>
    </w:p>
    <w:p w14:paraId="62992180" w14:textId="5930977B" w:rsidR="00937907" w:rsidRPr="002A024D"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AD10ED" w:rsidRPr="002A024D">
            <w:rPr>
              <w:rStyle w:val="Style2"/>
              <w:rFonts w:ascii="MS Gothic" w:eastAsia="MS Gothic" w:hAnsi="MS Gothic"/>
            </w:rPr>
            <w:t>☒</w:t>
          </w:r>
        </w:sdtContent>
      </w:sdt>
      <w:r w:rsidR="00937907" w:rsidRPr="002A024D">
        <w:t xml:space="preserve"> Pacientų organizacijos pozicija </w:t>
      </w:r>
      <w:r w:rsidR="00880A44" w:rsidRPr="002A024D">
        <w:t>ne</w:t>
      </w:r>
      <w:r w:rsidR="00937907" w:rsidRPr="002A024D">
        <w:t>pateikta.</w:t>
      </w:r>
    </w:p>
    <w:p w14:paraId="7CBBA1A8" w14:textId="77777777" w:rsidR="004D5192" w:rsidRPr="002A024D" w:rsidRDefault="004D5192" w:rsidP="00937907">
      <w:pPr>
        <w:spacing w:after="120"/>
        <w:jc w:val="both"/>
      </w:pPr>
    </w:p>
    <w:p w14:paraId="3D3277FA" w14:textId="3CEEB2D2" w:rsidR="00C62B36" w:rsidRPr="002A024D" w:rsidRDefault="00C62B36" w:rsidP="00937907">
      <w:pPr>
        <w:pStyle w:val="Sraopastraipa"/>
        <w:numPr>
          <w:ilvl w:val="0"/>
          <w:numId w:val="12"/>
        </w:numPr>
        <w:tabs>
          <w:tab w:val="left" w:pos="426"/>
        </w:tabs>
        <w:rPr>
          <w:b/>
          <w:bCs/>
          <w:caps/>
        </w:rPr>
      </w:pPr>
      <w:r w:rsidRPr="002A024D">
        <w:rPr>
          <w:b/>
          <w:bCs/>
          <w:caps/>
        </w:rPr>
        <w:t>Gydytojų organizacijų pateikti duomenys</w:t>
      </w:r>
    </w:p>
    <w:p w14:paraId="5D8CC48C" w14:textId="310D74B0" w:rsidR="00662983" w:rsidRPr="002A024D"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581413" w:rsidRPr="002A024D">
            <w:rPr>
              <w:rStyle w:val="Style2"/>
              <w:rFonts w:ascii="MS Gothic" w:eastAsia="MS Gothic" w:hAnsi="MS Gothic"/>
            </w:rPr>
            <w:t>☒</w:t>
          </w:r>
        </w:sdtContent>
      </w:sdt>
      <w:r w:rsidR="00662983" w:rsidRPr="002A024D">
        <w:t xml:space="preserve"> </w:t>
      </w:r>
      <w:r w:rsidR="00937907" w:rsidRPr="002A024D">
        <w:t xml:space="preserve">Gydytojų specialistų organizacijos pozicija </w:t>
      </w:r>
      <w:r w:rsidR="00880A44" w:rsidRPr="002A024D">
        <w:t>ne</w:t>
      </w:r>
      <w:r w:rsidR="00937907" w:rsidRPr="002A024D">
        <w:t>pateikta.</w:t>
      </w:r>
    </w:p>
    <w:p w14:paraId="19373095" w14:textId="77777777" w:rsidR="00AD10ED" w:rsidRPr="002A024D" w:rsidRDefault="00AD10ED" w:rsidP="00662983">
      <w:pPr>
        <w:spacing w:after="120"/>
        <w:jc w:val="both"/>
      </w:pPr>
    </w:p>
    <w:p w14:paraId="78F23ECB" w14:textId="23A3A002" w:rsidR="002F0E4F" w:rsidRPr="002A024D" w:rsidRDefault="002F0E4F" w:rsidP="00937907">
      <w:pPr>
        <w:pStyle w:val="Sraopastraipa"/>
        <w:numPr>
          <w:ilvl w:val="0"/>
          <w:numId w:val="12"/>
        </w:numPr>
        <w:tabs>
          <w:tab w:val="left" w:pos="426"/>
        </w:tabs>
        <w:rPr>
          <w:b/>
          <w:bCs/>
          <w:caps/>
        </w:rPr>
      </w:pPr>
      <w:r w:rsidRPr="002A024D">
        <w:rPr>
          <w:b/>
          <w:bCs/>
          <w:caps/>
        </w:rPr>
        <w:t xml:space="preserve">Išvada </w:t>
      </w:r>
    </w:p>
    <w:p w14:paraId="573E407F" w14:textId="77777777" w:rsidR="00797153" w:rsidRPr="002A024D"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2A024D" w14:paraId="25A2473E" w14:textId="77777777" w:rsidTr="007646F9">
        <w:tc>
          <w:tcPr>
            <w:tcW w:w="4815" w:type="dxa"/>
          </w:tcPr>
          <w:p w14:paraId="7EFE6941" w14:textId="23B8BB6D" w:rsidR="00B13D65" w:rsidRPr="002A024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A024D">
              <w:rPr>
                <w:rStyle w:val="Style2"/>
                <w:rFonts w:eastAsia="MS Gothic"/>
                <w:b/>
                <w:bCs/>
                <w:sz w:val="24"/>
              </w:rPr>
              <w:t>Rekomenduojama kompensuoti</w:t>
            </w:r>
          </w:p>
        </w:tc>
        <w:tc>
          <w:tcPr>
            <w:tcW w:w="4814" w:type="dxa"/>
          </w:tcPr>
          <w:p w14:paraId="330A1A5E" w14:textId="19247DC1" w:rsidR="00B13D65" w:rsidRPr="002A024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A024D">
              <w:rPr>
                <w:rStyle w:val="Style2"/>
                <w:rFonts w:eastAsia="MS Gothic"/>
                <w:b/>
                <w:bCs/>
                <w:sz w:val="24"/>
              </w:rPr>
              <w:t xml:space="preserve">Rekomenduojama nekompensuoti </w:t>
            </w:r>
          </w:p>
        </w:tc>
      </w:tr>
      <w:tr w:rsidR="00B13D65" w:rsidRPr="002A024D" w14:paraId="143A7356" w14:textId="77777777" w:rsidTr="007646F9">
        <w:tc>
          <w:tcPr>
            <w:tcW w:w="9629" w:type="dxa"/>
            <w:gridSpan w:val="2"/>
          </w:tcPr>
          <w:p w14:paraId="5D93D240"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A024D">
              <w:rPr>
                <w:rStyle w:val="Style2"/>
                <w:rFonts w:eastAsia="MS Gothic"/>
                <w:b/>
                <w:bCs/>
                <w:sz w:val="24"/>
              </w:rPr>
              <w:t>Palyginamasis efektyvumas</w:t>
            </w:r>
          </w:p>
          <w:p w14:paraId="0AF5D6B4"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2A024D" w14:paraId="28A0C814" w14:textId="77777777" w:rsidTr="007646F9">
        <w:tc>
          <w:tcPr>
            <w:tcW w:w="4815" w:type="dxa"/>
          </w:tcPr>
          <w:p w14:paraId="216769B5" w14:textId="721D5D23" w:rsidR="00B13D65" w:rsidRPr="002A024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5C1A9D" w:rsidRPr="002A024D">
                  <w:rPr>
                    <w:rStyle w:val="Style2"/>
                    <w:rFonts w:ascii="MS Gothic" w:eastAsia="MS Gothic" w:hAnsi="MS Gothic"/>
                    <w:sz w:val="24"/>
                  </w:rPr>
                  <w:t>☐</w:t>
                </w:r>
              </w:sdtContent>
            </w:sdt>
            <w:r w:rsidR="00B13D65" w:rsidRPr="002A024D">
              <w:t xml:space="preserve"> 32.1. yra didesnis</w:t>
            </w:r>
          </w:p>
          <w:p w14:paraId="3B48F372" w14:textId="77777777" w:rsidR="00662983" w:rsidRPr="002A024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2A024D"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2A024D">
                  <w:rPr>
                    <w:rStyle w:val="Style2"/>
                    <w:rFonts w:ascii="Segoe UI Symbol" w:eastAsia="MS Gothic" w:hAnsi="Segoe UI Symbol" w:cs="Segoe UI Symbol"/>
                    <w:sz w:val="24"/>
                  </w:rPr>
                  <w:t>☐</w:t>
                </w:r>
              </w:sdtContent>
            </w:sdt>
            <w:r w:rsidR="00B13D65" w:rsidRPr="002A024D">
              <w:t xml:space="preserve"> 32.1. iš esmės nesiskiria</w:t>
            </w:r>
          </w:p>
        </w:tc>
        <w:tc>
          <w:tcPr>
            <w:tcW w:w="4814" w:type="dxa"/>
          </w:tcPr>
          <w:p w14:paraId="507828D9" w14:textId="09AE523F" w:rsidR="00B13D65" w:rsidRPr="002A024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2A024D">
                  <w:rPr>
                    <w:rStyle w:val="Style2"/>
                    <w:rFonts w:ascii="Segoe UI Symbol" w:eastAsia="MS Gothic" w:hAnsi="Segoe UI Symbol" w:cs="Segoe UI Symbol"/>
                    <w:sz w:val="24"/>
                  </w:rPr>
                  <w:t>☐</w:t>
                </w:r>
              </w:sdtContent>
            </w:sdt>
            <w:r w:rsidR="00B13D65" w:rsidRPr="002A024D">
              <w:t xml:space="preserve"> 33.1. yra mažesnis</w:t>
            </w:r>
          </w:p>
          <w:p w14:paraId="7F95DEEC" w14:textId="77777777" w:rsidR="00662983" w:rsidRPr="002A024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2A024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2A024D">
                  <w:rPr>
                    <w:rStyle w:val="Style2"/>
                    <w:rFonts w:ascii="Segoe UI Symbol" w:eastAsia="MS Gothic" w:hAnsi="Segoe UI Symbol" w:cs="Segoe UI Symbol"/>
                    <w:sz w:val="24"/>
                  </w:rPr>
                  <w:t>☐</w:t>
                </w:r>
              </w:sdtContent>
            </w:sdt>
            <w:r w:rsidR="00B13D65" w:rsidRPr="002A024D">
              <w:t xml:space="preserve"> 33.1. yra neįrodytas kaip toks pat</w:t>
            </w:r>
          </w:p>
          <w:p w14:paraId="35205E85" w14:textId="77777777" w:rsidR="00662983" w:rsidRPr="002A024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2A024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2A024D">
                  <w:rPr>
                    <w:rStyle w:val="Style2"/>
                    <w:rFonts w:ascii="Segoe UI Symbol" w:eastAsia="MS Gothic" w:hAnsi="Segoe UI Symbol" w:cs="Segoe UI Symbol"/>
                    <w:sz w:val="24"/>
                  </w:rPr>
                  <w:t>☐</w:t>
                </w:r>
              </w:sdtContent>
            </w:sdt>
            <w:r w:rsidR="00662983" w:rsidRPr="002A024D">
              <w:t xml:space="preserve"> 33.1 </w:t>
            </w:r>
            <w:r w:rsidR="00B13D65" w:rsidRPr="002A024D">
              <w:t>neįrodytas kaip didesnis</w:t>
            </w:r>
          </w:p>
          <w:p w14:paraId="512E653B" w14:textId="77777777" w:rsidR="00662983" w:rsidRPr="002A024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1AD68FCB" w:rsidR="00B13D65" w:rsidRPr="002A024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Content>
                <w:r w:rsidR="007646F9" w:rsidRPr="002A024D">
                  <w:rPr>
                    <w:rStyle w:val="Style2"/>
                    <w:rFonts w:ascii="MS Gothic" w:eastAsia="MS Gothic" w:hAnsi="MS Gothic"/>
                    <w:sz w:val="24"/>
                  </w:rPr>
                  <w:t>☒</w:t>
                </w:r>
              </w:sdtContent>
            </w:sdt>
            <w:r w:rsidR="00B13D65" w:rsidRPr="002A024D">
              <w:t xml:space="preserve"> 33.1. pateikti duomenys apie palyginamąjį efektyvumą yra netinkami vertinti</w:t>
            </w:r>
          </w:p>
          <w:p w14:paraId="5DDAA961"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2A024D" w14:paraId="161CC3FE" w14:textId="77777777" w:rsidTr="007646F9">
        <w:tc>
          <w:tcPr>
            <w:tcW w:w="9629" w:type="dxa"/>
            <w:gridSpan w:val="2"/>
          </w:tcPr>
          <w:p w14:paraId="3B2878F0"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A024D">
              <w:rPr>
                <w:rStyle w:val="Style2"/>
                <w:rFonts w:eastAsia="MS Gothic"/>
                <w:b/>
                <w:bCs/>
                <w:sz w:val="24"/>
              </w:rPr>
              <w:t>Klinikinis veiksmingumas</w:t>
            </w:r>
          </w:p>
          <w:p w14:paraId="1AB46894"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2A024D" w14:paraId="3C60570A" w14:textId="77777777" w:rsidTr="007646F9">
        <w:tc>
          <w:tcPr>
            <w:tcW w:w="4815" w:type="dxa"/>
          </w:tcPr>
          <w:p w14:paraId="6897B306" w14:textId="380E77F0" w:rsidR="00B13D65" w:rsidRPr="002A024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5C1A9D" w:rsidRPr="002A024D">
                  <w:rPr>
                    <w:rStyle w:val="Style2"/>
                    <w:rFonts w:ascii="MS Gothic" w:eastAsia="MS Gothic" w:hAnsi="MS Gothic"/>
                    <w:sz w:val="24"/>
                  </w:rPr>
                  <w:t>☐</w:t>
                </w:r>
              </w:sdtContent>
            </w:sdt>
            <w:r w:rsidR="00B13D65" w:rsidRPr="002A024D">
              <w:t xml:space="preserve"> 32.2. yra įvertintas kaip pagrindžiantis papildomos naudos pacientų sveikatai sukūrimą, lyginant su įprasta klinikine praktika</w:t>
            </w:r>
          </w:p>
          <w:p w14:paraId="71D57105" w14:textId="77777777" w:rsidR="00662983" w:rsidRPr="002A024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2A024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2A024D">
                  <w:rPr>
                    <w:rStyle w:val="Style2"/>
                    <w:rFonts w:ascii="Segoe UI Symbol" w:eastAsia="MS Gothic" w:hAnsi="Segoe UI Symbol" w:cs="Segoe UI Symbol"/>
                    <w:sz w:val="24"/>
                  </w:rPr>
                  <w:t>☐</w:t>
                </w:r>
              </w:sdtContent>
            </w:sdt>
            <w:r w:rsidR="00B13D65" w:rsidRPr="002A024D">
              <w:t xml:space="preserve"> 32.2. įvertintas kaip pagrindžiantis nesiskiriančios naudos pacientų sveikatai sukūrimą, lyginant su įprasta klinikine praktika</w:t>
            </w:r>
          </w:p>
          <w:p w14:paraId="287AD233"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29D7DECF" w:rsidR="00662983" w:rsidRPr="002A024D" w:rsidRDefault="00000000" w:rsidP="00662983">
            <w:pPr>
              <w:jc w:val="both"/>
            </w:pPr>
            <w:sdt>
              <w:sdtPr>
                <w:rPr>
                  <w:rStyle w:val="Style2"/>
                  <w:sz w:val="24"/>
                </w:rPr>
                <w:id w:val="-1034573056"/>
                <w15:color w:val="FFCC00"/>
                <w14:checkbox>
                  <w14:checked w14:val="1"/>
                  <w14:checkedState w14:val="2612" w14:font="MS Gothic"/>
                  <w14:uncheckedState w14:val="2610" w14:font="MS Gothic"/>
                </w14:checkbox>
              </w:sdtPr>
              <w:sdtContent>
                <w:r w:rsidR="007646F9" w:rsidRPr="002A024D">
                  <w:rPr>
                    <w:rStyle w:val="Style2"/>
                    <w:rFonts w:ascii="MS Gothic" w:eastAsia="MS Gothic" w:hAnsi="MS Gothic"/>
                    <w:sz w:val="24"/>
                  </w:rPr>
                  <w:t>☒</w:t>
                </w:r>
              </w:sdtContent>
            </w:sdt>
            <w:r w:rsidR="00B13D65" w:rsidRPr="002A024D">
              <w:t xml:space="preserve"> 33.1. yra įvertintas kaip nepagrindžiantis papildomos </w:t>
            </w:r>
            <w:r w:rsidR="00662983" w:rsidRPr="002A024D">
              <w:t>naudos pacientų sveikatai sukūrimo, lyginant su  įprasta klinikine praktika.</w:t>
            </w:r>
          </w:p>
          <w:p w14:paraId="6C70BCFC" w14:textId="77777777" w:rsidR="00662983" w:rsidRPr="002A024D" w:rsidRDefault="00662983" w:rsidP="00BD1E5A">
            <w:pPr>
              <w:jc w:val="both"/>
            </w:pPr>
          </w:p>
          <w:p w14:paraId="0ADEC30D" w14:textId="25150412" w:rsidR="00B13D65" w:rsidRPr="002A024D"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2A024D">
                  <w:rPr>
                    <w:rStyle w:val="Style2"/>
                    <w:rFonts w:ascii="Segoe UI Symbol" w:eastAsia="MS Gothic" w:hAnsi="Segoe UI Symbol" w:cs="Segoe UI Symbol"/>
                    <w:sz w:val="24"/>
                  </w:rPr>
                  <w:t>☐</w:t>
                </w:r>
              </w:sdtContent>
            </w:sdt>
            <w:r w:rsidR="00B13D65" w:rsidRPr="002A024D">
              <w:t xml:space="preserve"> </w:t>
            </w:r>
            <w:r w:rsidR="00662983" w:rsidRPr="002A024D">
              <w:t xml:space="preserve">33.1. </w:t>
            </w:r>
            <w:r w:rsidR="00B13D65" w:rsidRPr="002A024D">
              <w:t>nesiskiriančios naudos pacientų sveikatai sukūrimo, lyginant su įprasta klinikine praktika.</w:t>
            </w:r>
          </w:p>
          <w:p w14:paraId="1EED7901"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2A024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E4ECE" w:rsidRPr="002A024D" w14:paraId="7A255E9E" w14:textId="77777777" w:rsidTr="00F43231">
        <w:tc>
          <w:tcPr>
            <w:tcW w:w="9629" w:type="dxa"/>
            <w:gridSpan w:val="2"/>
          </w:tcPr>
          <w:p w14:paraId="2EEDF6E4" w14:textId="45164CA9" w:rsidR="000E4ECE" w:rsidRPr="002A024D" w:rsidRDefault="000E4ECE" w:rsidP="000E4ECE">
            <w:pPr>
              <w:jc w:val="center"/>
              <w:rPr>
                <w:rStyle w:val="Style2"/>
                <w:sz w:val="24"/>
              </w:rPr>
            </w:pPr>
            <w:r w:rsidRPr="002A024D">
              <w:rPr>
                <w:rStyle w:val="Style2"/>
                <w:rFonts w:eastAsia="MS Gothic"/>
                <w:b/>
                <w:bCs/>
                <w:sz w:val="24"/>
              </w:rPr>
              <w:t>Kaštų naudingumas</w:t>
            </w:r>
          </w:p>
        </w:tc>
      </w:tr>
      <w:tr w:rsidR="000E4ECE" w:rsidRPr="002A024D" w14:paraId="34710107" w14:textId="77777777" w:rsidTr="007646F9">
        <w:tc>
          <w:tcPr>
            <w:tcW w:w="4815" w:type="dxa"/>
          </w:tcPr>
          <w:p w14:paraId="425B70C6" w14:textId="77777777" w:rsidR="000E4ECE" w:rsidRPr="002A024D"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024D">
              <w:rPr>
                <w:rStyle w:val="Style2"/>
                <w:rFonts w:ascii="Segoe UI Symbol" w:eastAsia="MS Gothic" w:hAnsi="Segoe UI Symbol" w:cs="Segoe UI Symbol"/>
                <w:sz w:val="24"/>
              </w:rPr>
              <w:t>☐</w:t>
            </w:r>
            <w:r w:rsidRPr="002A024D">
              <w:t xml:space="preserve"> 32.3. atitinka referencinę naudingumo vertę, taikant PGS</w:t>
            </w:r>
          </w:p>
          <w:p w14:paraId="49022848" w14:textId="77777777" w:rsidR="000E4ECE" w:rsidRPr="002A024D"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D02F84" w14:textId="77777777" w:rsidR="000E4ECE" w:rsidRPr="002A024D"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2A024D">
              <w:rPr>
                <w:rStyle w:val="Style2"/>
                <w:rFonts w:ascii="Segoe UI Symbol" w:eastAsia="MS Gothic" w:hAnsi="Segoe UI Symbol" w:cs="Segoe UI Symbol"/>
                <w:sz w:val="24"/>
              </w:rPr>
              <w:t>☐</w:t>
            </w:r>
            <w:r w:rsidRPr="002A024D">
              <w:t>32.3. gydymo juo kaštai yra mažesni ar tokie patys esant iš esmės nesiskiriančiam palyginamajam efektyvumui, taikant PGS, lyginant su įprasta klinikine praktika</w:t>
            </w:r>
          </w:p>
          <w:p w14:paraId="1834F237" w14:textId="77777777" w:rsidR="000E4ECE" w:rsidRPr="002A024D" w:rsidRDefault="000E4EC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c>
          <w:tcPr>
            <w:tcW w:w="4814" w:type="dxa"/>
          </w:tcPr>
          <w:p w14:paraId="6184D0ED" w14:textId="52E9C841" w:rsidR="000E4ECE" w:rsidRPr="002A024D" w:rsidRDefault="001D1D6A"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024D">
              <w:rPr>
                <w:rStyle w:val="Style2"/>
                <w:rFonts w:ascii="Segoe UI Symbol" w:eastAsia="MS Gothic" w:hAnsi="Segoe UI Symbol" w:cs="Segoe UI Symbol"/>
                <w:sz w:val="24"/>
              </w:rPr>
              <w:t>☐</w:t>
            </w:r>
            <w:r w:rsidRPr="002A024D">
              <w:t xml:space="preserve"> </w:t>
            </w:r>
            <w:r w:rsidR="000E4ECE" w:rsidRPr="002A024D">
              <w:t>33.3. neatitinka referencinės naudingumo vertės Lietuvos Respublikoje</w:t>
            </w:r>
          </w:p>
          <w:p w14:paraId="3F4FF701" w14:textId="77777777" w:rsidR="000E4ECE" w:rsidRPr="002A024D"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C3B235" w14:textId="77777777" w:rsidR="000E4ECE" w:rsidRPr="002A024D"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024D">
              <w:rPr>
                <w:rStyle w:val="Style2"/>
                <w:rFonts w:ascii="Segoe UI Symbol" w:eastAsia="MS Gothic" w:hAnsi="Segoe UI Symbol" w:cs="Segoe UI Symbol"/>
                <w:sz w:val="24"/>
              </w:rPr>
              <w:t>☐</w:t>
            </w:r>
            <w:r w:rsidRPr="002A024D">
              <w:t xml:space="preserve"> 33.3. gydymo juo kaštai yra didesni esant iš esmės nesiskiriančiam palyginamajam efektyvumui, taikant PGS, lyginant su įprasta klinikine praktika</w:t>
            </w:r>
          </w:p>
          <w:p w14:paraId="63989B14" w14:textId="77777777" w:rsidR="000E4ECE" w:rsidRPr="002A024D"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08249F8" w14:textId="189BC4B8" w:rsidR="000E4ECE" w:rsidRPr="002A024D" w:rsidRDefault="001D1D6A"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024D">
              <w:rPr>
                <w:rStyle w:val="Style2"/>
                <w:rFonts w:ascii="Segoe UI Symbol" w:eastAsia="MS Gothic" w:hAnsi="Segoe UI Symbol" w:cs="Segoe UI Symbol"/>
                <w:sz w:val="24"/>
              </w:rPr>
              <w:lastRenderedPageBreak/>
              <w:t>☒</w:t>
            </w:r>
            <w:r w:rsidRPr="002A024D">
              <w:t xml:space="preserve"> </w:t>
            </w:r>
            <w:r w:rsidR="000E4ECE" w:rsidRPr="002A024D">
              <w:t>33.3. pateikti duomenys apie kaštų naudingumą yra netinkami vertinti</w:t>
            </w:r>
          </w:p>
          <w:p w14:paraId="423CE02D" w14:textId="77777777" w:rsidR="000E4ECE" w:rsidRPr="002A024D" w:rsidRDefault="000E4ECE" w:rsidP="00662983">
            <w:pPr>
              <w:jc w:val="both"/>
              <w:rPr>
                <w:rStyle w:val="Style2"/>
                <w:sz w:val="24"/>
              </w:rPr>
            </w:pPr>
          </w:p>
        </w:tc>
      </w:tr>
    </w:tbl>
    <w:p w14:paraId="29A90384" w14:textId="392787F7" w:rsidR="004A3A61" w:rsidRPr="002A024D" w:rsidRDefault="004A3A61" w:rsidP="00381024"/>
    <w:p w14:paraId="154D0E30" w14:textId="2A329E85" w:rsidR="0067695E" w:rsidRPr="002A024D" w:rsidRDefault="007F7AC4" w:rsidP="0067695E">
      <w:pPr>
        <w:ind w:firstLine="360"/>
        <w:rPr>
          <w:b/>
        </w:rPr>
      </w:pPr>
      <w:r w:rsidRPr="002A024D">
        <w:rPr>
          <w:b/>
        </w:rPr>
        <w:t>6</w:t>
      </w:r>
      <w:r w:rsidR="0067695E" w:rsidRPr="002A024D">
        <w:rPr>
          <w:b/>
        </w:rPr>
        <w:t>. REKOMENDACIJA</w:t>
      </w:r>
    </w:p>
    <w:p w14:paraId="4825FA77" w14:textId="77777777" w:rsidR="0067695E" w:rsidRPr="002A024D" w:rsidRDefault="0067695E" w:rsidP="0067695E">
      <w:pPr>
        <w:rPr>
          <w:b/>
        </w:rPr>
      </w:pPr>
    </w:p>
    <w:p w14:paraId="5BCA8332" w14:textId="77777777" w:rsidR="000E4ECE" w:rsidRPr="002A024D" w:rsidRDefault="000E4ECE" w:rsidP="000E4ECE">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03180676" w14:textId="77777777" w:rsidR="000E4ECE" w:rsidRPr="002A024D" w:rsidRDefault="000E4ECE" w:rsidP="000E4ECE">
      <w:pPr>
        <w:spacing w:line="276" w:lineRule="auto"/>
        <w:jc w:val="both"/>
      </w:pPr>
      <w:r w:rsidRPr="002A024D">
        <w:t xml:space="preserve">34.4. rekomenduojama </w:t>
      </w:r>
      <w:r w:rsidRPr="002A024D">
        <w:rPr>
          <w:i/>
          <w:iCs/>
        </w:rPr>
        <w:t xml:space="preserve">nekompensuoti </w:t>
      </w:r>
      <w:r w:rsidRPr="002A024D">
        <w:t>vaistinio preparato pagal paraiškoje nurodytą indikaciją su skyrimo sąlygomis, taikant PGS, dėl vertinimo išvadų, nurodytų 33.1 papunktyje, neatitikties 34.1 papunktyje išdėstytoms sąlygoms.</w:t>
      </w:r>
    </w:p>
    <w:p w14:paraId="147E477E" w14:textId="77777777" w:rsidR="00C52397" w:rsidRPr="002A024D" w:rsidRDefault="00C52397" w:rsidP="007646F9">
      <w:pPr>
        <w:spacing w:after="120" w:line="276" w:lineRule="auto"/>
        <w:jc w:val="both"/>
        <w:rPr>
          <w:rFonts w:eastAsia="Arial"/>
        </w:rPr>
      </w:pPr>
    </w:p>
    <w:sectPr w:rsidR="00C52397" w:rsidRPr="002A024D" w:rsidSect="005D30E1">
      <w:headerReference w:type="even" r:id="rId9"/>
      <w:head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6676" w14:textId="77777777" w:rsidR="00E51D32" w:rsidRDefault="00E51D32">
      <w:r>
        <w:separator/>
      </w:r>
    </w:p>
  </w:endnote>
  <w:endnote w:type="continuationSeparator" w:id="0">
    <w:p w14:paraId="0544EAC6" w14:textId="77777777" w:rsidR="00E51D32" w:rsidRDefault="00E5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99D17" w14:textId="77777777" w:rsidR="00E51D32" w:rsidRDefault="00E51D32">
      <w:r>
        <w:separator/>
      </w:r>
    </w:p>
  </w:footnote>
  <w:footnote w:type="continuationSeparator" w:id="0">
    <w:p w14:paraId="58DB9030" w14:textId="77777777" w:rsidR="00E51D32" w:rsidRDefault="00E51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6922F3CB"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0277">
      <w:rPr>
        <w:rStyle w:val="Puslapionumeris"/>
        <w:noProof/>
      </w:rPr>
      <w:t>2</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32E5E"/>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2F1A41"/>
    <w:multiLevelType w:val="hybridMultilevel"/>
    <w:tmpl w:val="880EF4CC"/>
    <w:lvl w:ilvl="0" w:tplc="5920B9B2">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504EE8"/>
    <w:multiLevelType w:val="hybridMultilevel"/>
    <w:tmpl w:val="C93C8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91505"/>
    <w:multiLevelType w:val="hybridMultilevel"/>
    <w:tmpl w:val="9D7E6CB4"/>
    <w:lvl w:ilvl="0" w:tplc="B3FC5D38">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4B0B45"/>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19695D"/>
    <w:multiLevelType w:val="hybridMultilevel"/>
    <w:tmpl w:val="9A867F62"/>
    <w:lvl w:ilvl="0" w:tplc="B3FC5D38">
      <w:start w:val="2020"/>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636C6F7D"/>
    <w:multiLevelType w:val="hybridMultilevel"/>
    <w:tmpl w:val="D9227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9D5BF2"/>
    <w:multiLevelType w:val="hybridMultilevel"/>
    <w:tmpl w:val="452E80EA"/>
    <w:lvl w:ilvl="0" w:tplc="1C8810F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556BD7"/>
    <w:multiLevelType w:val="hybridMultilevel"/>
    <w:tmpl w:val="DFFC556E"/>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5590252">
    <w:abstractNumId w:val="11"/>
  </w:num>
  <w:num w:numId="2" w16cid:durableId="688684090">
    <w:abstractNumId w:val="1"/>
  </w:num>
  <w:num w:numId="3" w16cid:durableId="1990134598">
    <w:abstractNumId w:val="14"/>
  </w:num>
  <w:num w:numId="4" w16cid:durableId="1025642903">
    <w:abstractNumId w:val="13"/>
  </w:num>
  <w:num w:numId="5" w16cid:durableId="1653750879">
    <w:abstractNumId w:val="9"/>
  </w:num>
  <w:num w:numId="6" w16cid:durableId="284235942">
    <w:abstractNumId w:val="8"/>
  </w:num>
  <w:num w:numId="7" w16cid:durableId="1240603874">
    <w:abstractNumId w:val="5"/>
  </w:num>
  <w:num w:numId="8" w16cid:durableId="1316911659">
    <w:abstractNumId w:val="22"/>
  </w:num>
  <w:num w:numId="9" w16cid:durableId="1512642741">
    <w:abstractNumId w:val="0"/>
  </w:num>
  <w:num w:numId="10" w16cid:durableId="268975503">
    <w:abstractNumId w:val="15"/>
  </w:num>
  <w:num w:numId="11" w16cid:durableId="701903739">
    <w:abstractNumId w:val="20"/>
  </w:num>
  <w:num w:numId="12" w16cid:durableId="511922113">
    <w:abstractNumId w:val="3"/>
  </w:num>
  <w:num w:numId="13" w16cid:durableId="683046343">
    <w:abstractNumId w:val="7"/>
  </w:num>
  <w:num w:numId="14" w16cid:durableId="683022841">
    <w:abstractNumId w:val="24"/>
  </w:num>
  <w:num w:numId="15" w16cid:durableId="1231692244">
    <w:abstractNumId w:val="25"/>
  </w:num>
  <w:num w:numId="16" w16cid:durableId="1097873953">
    <w:abstractNumId w:val="21"/>
  </w:num>
  <w:num w:numId="17" w16cid:durableId="1456145044">
    <w:abstractNumId w:val="10"/>
  </w:num>
  <w:num w:numId="18" w16cid:durableId="466976136">
    <w:abstractNumId w:val="19"/>
  </w:num>
  <w:num w:numId="19" w16cid:durableId="1802726709">
    <w:abstractNumId w:val="12"/>
  </w:num>
  <w:num w:numId="20" w16cid:durableId="1517113525">
    <w:abstractNumId w:val="18"/>
  </w:num>
  <w:num w:numId="21" w16cid:durableId="373194321">
    <w:abstractNumId w:val="2"/>
  </w:num>
  <w:num w:numId="22" w16cid:durableId="594554556">
    <w:abstractNumId w:val="16"/>
  </w:num>
  <w:num w:numId="23" w16cid:durableId="545457124">
    <w:abstractNumId w:val="4"/>
  </w:num>
  <w:num w:numId="24" w16cid:durableId="1185677582">
    <w:abstractNumId w:val="17"/>
  </w:num>
  <w:num w:numId="25" w16cid:durableId="938949187">
    <w:abstractNumId w:val="6"/>
  </w:num>
  <w:num w:numId="26" w16cid:durableId="5855043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067C7"/>
    <w:rsid w:val="000114DD"/>
    <w:rsid w:val="00011737"/>
    <w:rsid w:val="000136F7"/>
    <w:rsid w:val="0002686C"/>
    <w:rsid w:val="00031D0E"/>
    <w:rsid w:val="000337E6"/>
    <w:rsid w:val="0003402E"/>
    <w:rsid w:val="00034EAE"/>
    <w:rsid w:val="000606BE"/>
    <w:rsid w:val="000736B8"/>
    <w:rsid w:val="0008190F"/>
    <w:rsid w:val="00081D9C"/>
    <w:rsid w:val="00082907"/>
    <w:rsid w:val="0008378D"/>
    <w:rsid w:val="000908A5"/>
    <w:rsid w:val="00092805"/>
    <w:rsid w:val="00097EFB"/>
    <w:rsid w:val="000A3817"/>
    <w:rsid w:val="000C454C"/>
    <w:rsid w:val="000C64F4"/>
    <w:rsid w:val="000D43C9"/>
    <w:rsid w:val="000D5038"/>
    <w:rsid w:val="000E23F8"/>
    <w:rsid w:val="000E29D4"/>
    <w:rsid w:val="000E4ECE"/>
    <w:rsid w:val="000F3540"/>
    <w:rsid w:val="000F7BB1"/>
    <w:rsid w:val="00100491"/>
    <w:rsid w:val="00104E2E"/>
    <w:rsid w:val="00107287"/>
    <w:rsid w:val="001141D2"/>
    <w:rsid w:val="00117406"/>
    <w:rsid w:val="00121EF0"/>
    <w:rsid w:val="00124A9E"/>
    <w:rsid w:val="00130703"/>
    <w:rsid w:val="0013153F"/>
    <w:rsid w:val="001408B8"/>
    <w:rsid w:val="00151EF1"/>
    <w:rsid w:val="001521D9"/>
    <w:rsid w:val="001554E2"/>
    <w:rsid w:val="00163CCD"/>
    <w:rsid w:val="00164146"/>
    <w:rsid w:val="0017369C"/>
    <w:rsid w:val="00180C39"/>
    <w:rsid w:val="00180D96"/>
    <w:rsid w:val="001921F3"/>
    <w:rsid w:val="001B3C5B"/>
    <w:rsid w:val="001D1D6A"/>
    <w:rsid w:val="001E4BBB"/>
    <w:rsid w:val="001E5EE8"/>
    <w:rsid w:val="001E6304"/>
    <w:rsid w:val="001F7333"/>
    <w:rsid w:val="00200A65"/>
    <w:rsid w:val="0020381E"/>
    <w:rsid w:val="00212BA2"/>
    <w:rsid w:val="00213471"/>
    <w:rsid w:val="00215906"/>
    <w:rsid w:val="00221996"/>
    <w:rsid w:val="0025697F"/>
    <w:rsid w:val="00260258"/>
    <w:rsid w:val="002646C7"/>
    <w:rsid w:val="00272428"/>
    <w:rsid w:val="00272948"/>
    <w:rsid w:val="002946C7"/>
    <w:rsid w:val="00295926"/>
    <w:rsid w:val="002A024D"/>
    <w:rsid w:val="002B3CC1"/>
    <w:rsid w:val="002C09E0"/>
    <w:rsid w:val="002C3A10"/>
    <w:rsid w:val="002C4A90"/>
    <w:rsid w:val="002D02EF"/>
    <w:rsid w:val="002E0702"/>
    <w:rsid w:val="002E0B89"/>
    <w:rsid w:val="002E6F80"/>
    <w:rsid w:val="002F0E4F"/>
    <w:rsid w:val="002F1053"/>
    <w:rsid w:val="00306064"/>
    <w:rsid w:val="00316E63"/>
    <w:rsid w:val="00317B0E"/>
    <w:rsid w:val="003449AA"/>
    <w:rsid w:val="00347965"/>
    <w:rsid w:val="00347FAA"/>
    <w:rsid w:val="0035172D"/>
    <w:rsid w:val="0036187D"/>
    <w:rsid w:val="00377D96"/>
    <w:rsid w:val="00381024"/>
    <w:rsid w:val="00386307"/>
    <w:rsid w:val="003874DE"/>
    <w:rsid w:val="00393E9F"/>
    <w:rsid w:val="0039696E"/>
    <w:rsid w:val="00397B77"/>
    <w:rsid w:val="003B211A"/>
    <w:rsid w:val="003C0277"/>
    <w:rsid w:val="003C141F"/>
    <w:rsid w:val="003C6B0E"/>
    <w:rsid w:val="003C7257"/>
    <w:rsid w:val="003C7E35"/>
    <w:rsid w:val="003E2B81"/>
    <w:rsid w:val="003F3FBD"/>
    <w:rsid w:val="00404E8A"/>
    <w:rsid w:val="0040622F"/>
    <w:rsid w:val="00412447"/>
    <w:rsid w:val="00423160"/>
    <w:rsid w:val="00453862"/>
    <w:rsid w:val="00461338"/>
    <w:rsid w:val="004677DB"/>
    <w:rsid w:val="00467E9F"/>
    <w:rsid w:val="0048630F"/>
    <w:rsid w:val="004947A1"/>
    <w:rsid w:val="0049482A"/>
    <w:rsid w:val="004979D3"/>
    <w:rsid w:val="004A00E7"/>
    <w:rsid w:val="004A3A61"/>
    <w:rsid w:val="004B59BA"/>
    <w:rsid w:val="004C263A"/>
    <w:rsid w:val="004D377E"/>
    <w:rsid w:val="004D5192"/>
    <w:rsid w:val="004D7B8F"/>
    <w:rsid w:val="004E6458"/>
    <w:rsid w:val="004E6E7D"/>
    <w:rsid w:val="004F1AAC"/>
    <w:rsid w:val="004F1AE2"/>
    <w:rsid w:val="004F34F0"/>
    <w:rsid w:val="005005EF"/>
    <w:rsid w:val="00501607"/>
    <w:rsid w:val="0051063B"/>
    <w:rsid w:val="00534E11"/>
    <w:rsid w:val="005400D9"/>
    <w:rsid w:val="005476A4"/>
    <w:rsid w:val="00547FF7"/>
    <w:rsid w:val="0055019B"/>
    <w:rsid w:val="00556E63"/>
    <w:rsid w:val="005601A4"/>
    <w:rsid w:val="00564D09"/>
    <w:rsid w:val="00566DBB"/>
    <w:rsid w:val="00577760"/>
    <w:rsid w:val="00581413"/>
    <w:rsid w:val="005976CE"/>
    <w:rsid w:val="005A23D4"/>
    <w:rsid w:val="005A2D1E"/>
    <w:rsid w:val="005B07AA"/>
    <w:rsid w:val="005C1A9D"/>
    <w:rsid w:val="005C493F"/>
    <w:rsid w:val="005C6BF7"/>
    <w:rsid w:val="005C6EC1"/>
    <w:rsid w:val="005C71BF"/>
    <w:rsid w:val="005D002C"/>
    <w:rsid w:val="005D30E1"/>
    <w:rsid w:val="005D5BE7"/>
    <w:rsid w:val="005D6555"/>
    <w:rsid w:val="005D7BDF"/>
    <w:rsid w:val="005F71D9"/>
    <w:rsid w:val="005F7602"/>
    <w:rsid w:val="0060039E"/>
    <w:rsid w:val="00613501"/>
    <w:rsid w:val="006166A8"/>
    <w:rsid w:val="006174A1"/>
    <w:rsid w:val="00633B49"/>
    <w:rsid w:val="0064297F"/>
    <w:rsid w:val="00646CF3"/>
    <w:rsid w:val="00646CF6"/>
    <w:rsid w:val="0064739E"/>
    <w:rsid w:val="00662983"/>
    <w:rsid w:val="0067695E"/>
    <w:rsid w:val="006834D3"/>
    <w:rsid w:val="00692625"/>
    <w:rsid w:val="00695CD3"/>
    <w:rsid w:val="006A38B6"/>
    <w:rsid w:val="006A68DE"/>
    <w:rsid w:val="006B1987"/>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646F9"/>
    <w:rsid w:val="007857B8"/>
    <w:rsid w:val="007935A9"/>
    <w:rsid w:val="00795DC5"/>
    <w:rsid w:val="00797153"/>
    <w:rsid w:val="007978B7"/>
    <w:rsid w:val="007B0DDA"/>
    <w:rsid w:val="007B2D8B"/>
    <w:rsid w:val="007C32DC"/>
    <w:rsid w:val="007E5466"/>
    <w:rsid w:val="007F1949"/>
    <w:rsid w:val="007F41F1"/>
    <w:rsid w:val="007F7AC4"/>
    <w:rsid w:val="00802F25"/>
    <w:rsid w:val="00817A84"/>
    <w:rsid w:val="008225A4"/>
    <w:rsid w:val="00824C80"/>
    <w:rsid w:val="00826D5E"/>
    <w:rsid w:val="00832013"/>
    <w:rsid w:val="00833993"/>
    <w:rsid w:val="00834732"/>
    <w:rsid w:val="00847A3C"/>
    <w:rsid w:val="0085200C"/>
    <w:rsid w:val="00857C52"/>
    <w:rsid w:val="00880A44"/>
    <w:rsid w:val="0088345E"/>
    <w:rsid w:val="0088656F"/>
    <w:rsid w:val="0089753D"/>
    <w:rsid w:val="008A0303"/>
    <w:rsid w:val="008A5FDD"/>
    <w:rsid w:val="008C3947"/>
    <w:rsid w:val="008E7329"/>
    <w:rsid w:val="008F2ED5"/>
    <w:rsid w:val="008F59D1"/>
    <w:rsid w:val="009061EA"/>
    <w:rsid w:val="0092297E"/>
    <w:rsid w:val="0092546E"/>
    <w:rsid w:val="009306C7"/>
    <w:rsid w:val="009341BF"/>
    <w:rsid w:val="009375DF"/>
    <w:rsid w:val="00937907"/>
    <w:rsid w:val="00941739"/>
    <w:rsid w:val="00946715"/>
    <w:rsid w:val="00951573"/>
    <w:rsid w:val="00963003"/>
    <w:rsid w:val="00983471"/>
    <w:rsid w:val="009909AB"/>
    <w:rsid w:val="009B37DB"/>
    <w:rsid w:val="009C14DD"/>
    <w:rsid w:val="009C317D"/>
    <w:rsid w:val="009C6C40"/>
    <w:rsid w:val="009C7A8C"/>
    <w:rsid w:val="009D23F9"/>
    <w:rsid w:val="009D4FA8"/>
    <w:rsid w:val="009E6CD6"/>
    <w:rsid w:val="00A00C3C"/>
    <w:rsid w:val="00A01091"/>
    <w:rsid w:val="00A02417"/>
    <w:rsid w:val="00A06DBB"/>
    <w:rsid w:val="00A0704D"/>
    <w:rsid w:val="00A2059E"/>
    <w:rsid w:val="00A2292D"/>
    <w:rsid w:val="00A31E86"/>
    <w:rsid w:val="00A37FBB"/>
    <w:rsid w:val="00A40D10"/>
    <w:rsid w:val="00A54D87"/>
    <w:rsid w:val="00A5553C"/>
    <w:rsid w:val="00A81785"/>
    <w:rsid w:val="00A83922"/>
    <w:rsid w:val="00A84803"/>
    <w:rsid w:val="00A84C51"/>
    <w:rsid w:val="00A86F2B"/>
    <w:rsid w:val="00A91366"/>
    <w:rsid w:val="00A93AA6"/>
    <w:rsid w:val="00A95103"/>
    <w:rsid w:val="00AA4E48"/>
    <w:rsid w:val="00AA6202"/>
    <w:rsid w:val="00AC33D8"/>
    <w:rsid w:val="00AC4A99"/>
    <w:rsid w:val="00AC64D2"/>
    <w:rsid w:val="00AD10ED"/>
    <w:rsid w:val="00AE0FE8"/>
    <w:rsid w:val="00AF60D5"/>
    <w:rsid w:val="00B04415"/>
    <w:rsid w:val="00B11D60"/>
    <w:rsid w:val="00B13D65"/>
    <w:rsid w:val="00B37245"/>
    <w:rsid w:val="00B4017A"/>
    <w:rsid w:val="00B4468D"/>
    <w:rsid w:val="00B5014B"/>
    <w:rsid w:val="00B57F53"/>
    <w:rsid w:val="00B620DE"/>
    <w:rsid w:val="00B71C72"/>
    <w:rsid w:val="00B81E92"/>
    <w:rsid w:val="00B93B30"/>
    <w:rsid w:val="00B94CB5"/>
    <w:rsid w:val="00BA0DD9"/>
    <w:rsid w:val="00BA19F7"/>
    <w:rsid w:val="00BB3A7E"/>
    <w:rsid w:val="00BB6312"/>
    <w:rsid w:val="00BC4D06"/>
    <w:rsid w:val="00BC4FC8"/>
    <w:rsid w:val="00BD2BA2"/>
    <w:rsid w:val="00BD585E"/>
    <w:rsid w:val="00BF206B"/>
    <w:rsid w:val="00BF2E0D"/>
    <w:rsid w:val="00BF3F8B"/>
    <w:rsid w:val="00BF76DA"/>
    <w:rsid w:val="00C07C7B"/>
    <w:rsid w:val="00C24479"/>
    <w:rsid w:val="00C33602"/>
    <w:rsid w:val="00C37B53"/>
    <w:rsid w:val="00C46309"/>
    <w:rsid w:val="00C517D2"/>
    <w:rsid w:val="00C52397"/>
    <w:rsid w:val="00C62822"/>
    <w:rsid w:val="00C62B36"/>
    <w:rsid w:val="00C7012C"/>
    <w:rsid w:val="00CC2E22"/>
    <w:rsid w:val="00CC668D"/>
    <w:rsid w:val="00CC7832"/>
    <w:rsid w:val="00CD429B"/>
    <w:rsid w:val="00CE12C2"/>
    <w:rsid w:val="00CF0C1C"/>
    <w:rsid w:val="00D23808"/>
    <w:rsid w:val="00D3016A"/>
    <w:rsid w:val="00D36CD4"/>
    <w:rsid w:val="00D42960"/>
    <w:rsid w:val="00D43BD7"/>
    <w:rsid w:val="00D4485B"/>
    <w:rsid w:val="00D4708D"/>
    <w:rsid w:val="00D4744C"/>
    <w:rsid w:val="00D555EC"/>
    <w:rsid w:val="00D63068"/>
    <w:rsid w:val="00D6498C"/>
    <w:rsid w:val="00D8521E"/>
    <w:rsid w:val="00D9291C"/>
    <w:rsid w:val="00D93A97"/>
    <w:rsid w:val="00DB1F64"/>
    <w:rsid w:val="00DC2F53"/>
    <w:rsid w:val="00DC6816"/>
    <w:rsid w:val="00DC76C2"/>
    <w:rsid w:val="00DD1CF2"/>
    <w:rsid w:val="00DD6582"/>
    <w:rsid w:val="00DE1992"/>
    <w:rsid w:val="00DE680E"/>
    <w:rsid w:val="00DF41B7"/>
    <w:rsid w:val="00DF4A4A"/>
    <w:rsid w:val="00DF583C"/>
    <w:rsid w:val="00E03C3F"/>
    <w:rsid w:val="00E24D45"/>
    <w:rsid w:val="00E33DB8"/>
    <w:rsid w:val="00E34387"/>
    <w:rsid w:val="00E369FE"/>
    <w:rsid w:val="00E37C6F"/>
    <w:rsid w:val="00E475F8"/>
    <w:rsid w:val="00E5102E"/>
    <w:rsid w:val="00E51D32"/>
    <w:rsid w:val="00E52796"/>
    <w:rsid w:val="00E5721C"/>
    <w:rsid w:val="00E619C6"/>
    <w:rsid w:val="00E65643"/>
    <w:rsid w:val="00E66270"/>
    <w:rsid w:val="00E745A1"/>
    <w:rsid w:val="00E8142F"/>
    <w:rsid w:val="00E81529"/>
    <w:rsid w:val="00E83A13"/>
    <w:rsid w:val="00EA1D8C"/>
    <w:rsid w:val="00EB2EBD"/>
    <w:rsid w:val="00EC2356"/>
    <w:rsid w:val="00EC2582"/>
    <w:rsid w:val="00EC337C"/>
    <w:rsid w:val="00ED0CFF"/>
    <w:rsid w:val="00ED31D2"/>
    <w:rsid w:val="00EE0EAC"/>
    <w:rsid w:val="00EE33CB"/>
    <w:rsid w:val="00EF1CD0"/>
    <w:rsid w:val="00F0061A"/>
    <w:rsid w:val="00F02834"/>
    <w:rsid w:val="00F07CD7"/>
    <w:rsid w:val="00F127E9"/>
    <w:rsid w:val="00F30D4D"/>
    <w:rsid w:val="00F3346D"/>
    <w:rsid w:val="00F36972"/>
    <w:rsid w:val="00F42426"/>
    <w:rsid w:val="00F4280E"/>
    <w:rsid w:val="00F456BC"/>
    <w:rsid w:val="00F50666"/>
    <w:rsid w:val="00F61448"/>
    <w:rsid w:val="00F65741"/>
    <w:rsid w:val="00F70C9E"/>
    <w:rsid w:val="00F74A74"/>
    <w:rsid w:val="00F832F8"/>
    <w:rsid w:val="00F8382C"/>
    <w:rsid w:val="00F855D7"/>
    <w:rsid w:val="00F857A3"/>
    <w:rsid w:val="00F92035"/>
    <w:rsid w:val="00F92748"/>
    <w:rsid w:val="00FA4169"/>
    <w:rsid w:val="00FB0D41"/>
    <w:rsid w:val="00FB2030"/>
    <w:rsid w:val="00FB472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qFormat/>
    <w:rsid w:val="001E5EE8"/>
    <w:rPr>
      <w:sz w:val="24"/>
      <w:szCs w:val="24"/>
      <w:lang w:eastAsia="en-US"/>
    </w:rPr>
  </w:style>
  <w:style w:type="paragraph" w:styleId="prastasiniatinklio">
    <w:name w:val="Normal (Web)"/>
    <w:basedOn w:val="prastasis"/>
    <w:uiPriority w:val="99"/>
    <w:semiHidden/>
    <w:unhideWhenUsed/>
    <w:rsid w:val="0067695E"/>
    <w:pPr>
      <w:spacing w:before="100" w:beforeAutospacing="1" w:after="100" w:afterAutospacing="1"/>
    </w:pPr>
    <w:rPr>
      <w:lang w:eastAsia="lt-LT"/>
    </w:rPr>
  </w:style>
  <w:style w:type="paragraph" w:styleId="Pataisymai">
    <w:name w:val="Revision"/>
    <w:hidden/>
    <w:uiPriority w:val="99"/>
    <w:semiHidden/>
    <w:rsid w:val="005D5BE7"/>
    <w:rPr>
      <w:sz w:val="24"/>
      <w:szCs w:val="24"/>
      <w:lang w:eastAsia="en-US"/>
    </w:rPr>
  </w:style>
  <w:style w:type="paragraph" w:customStyle="1" w:styleId="Default">
    <w:name w:val="Default"/>
    <w:rsid w:val="007646F9"/>
    <w:pPr>
      <w:autoSpaceDE w:val="0"/>
      <w:autoSpaceDN w:val="0"/>
      <w:adjustRightInd w:val="0"/>
    </w:pPr>
    <w:rPr>
      <w:color w:val="000000"/>
      <w:sz w:val="24"/>
      <w:szCs w:val="24"/>
      <w:lang w:val="en-GB" w:eastAsia="en-US"/>
    </w:rPr>
  </w:style>
  <w:style w:type="table" w:customStyle="1" w:styleId="TableGrid1">
    <w:name w:val="Table Grid1"/>
    <w:basedOn w:val="prastojilentel"/>
    <w:next w:val="Lentelstinklelis"/>
    <w:uiPriority w:val="39"/>
    <w:rsid w:val="000E4EC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757395">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664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A209D6E08E4B0AA4860806018C291A"/>
        <w:category>
          <w:name w:val="General"/>
          <w:gallery w:val="placeholder"/>
        </w:category>
        <w:types>
          <w:type w:val="bbPlcHdr"/>
        </w:types>
        <w:behaviors>
          <w:behavior w:val="content"/>
        </w:behaviors>
        <w:guid w:val="{19B92077-9EF7-4FE8-89CA-201302E6922B}"/>
      </w:docPartPr>
      <w:docPartBody>
        <w:p w:rsidR="00B107CB" w:rsidRDefault="004C3E01" w:rsidP="004C3E01">
          <w:pPr>
            <w:pStyle w:val="90A209D6E08E4B0AA4860806018C291A"/>
          </w:pPr>
          <w:r>
            <w:rPr>
              <w:rStyle w:val="Vietosrezervavimoenklotekstas"/>
            </w:rPr>
            <w:t>Click here to enter a date.</w:t>
          </w:r>
        </w:p>
      </w:docPartBody>
    </w:docPart>
    <w:docPart>
      <w:docPartPr>
        <w:name w:val="A086C5B0C68C47BCAA763C6C41A2F59A"/>
        <w:category>
          <w:name w:val="General"/>
          <w:gallery w:val="placeholder"/>
        </w:category>
        <w:types>
          <w:type w:val="bbPlcHdr"/>
        </w:types>
        <w:behaviors>
          <w:behavior w:val="content"/>
        </w:behaviors>
        <w:guid w:val="{B5F766ED-081F-4B84-A0E6-89E9199B5307}"/>
      </w:docPartPr>
      <w:docPartBody>
        <w:p w:rsidR="00736CD6" w:rsidRDefault="00C170D3" w:rsidP="00C170D3">
          <w:pPr>
            <w:pStyle w:val="A086C5B0C68C47BCAA763C6C41A2F59A"/>
          </w:pPr>
          <w:r>
            <w:rPr>
              <w:rStyle w:val="Vietosrezervavimoenklotekstas"/>
            </w:rPr>
            <w:t>Click here to enter a date.</w:t>
          </w:r>
        </w:p>
      </w:docPartBody>
    </w:docPart>
    <w:docPart>
      <w:docPartPr>
        <w:name w:val="0C76291DED3A447DA034D12195423229"/>
        <w:category>
          <w:name w:val="General"/>
          <w:gallery w:val="placeholder"/>
        </w:category>
        <w:types>
          <w:type w:val="bbPlcHdr"/>
        </w:types>
        <w:behaviors>
          <w:behavior w:val="content"/>
        </w:behaviors>
        <w:guid w:val="{D1DCB977-E44F-4383-A503-B1B5DC7BD442}"/>
      </w:docPartPr>
      <w:docPartBody>
        <w:p w:rsidR="00C64FE0" w:rsidRDefault="00736CD6" w:rsidP="00736CD6">
          <w:pPr>
            <w:pStyle w:val="0C76291DED3A447DA034D12195423229"/>
          </w:pPr>
          <w:r>
            <w:rPr>
              <w:rStyle w:val="Vietosrezervavimoenklotekstas"/>
            </w:rPr>
            <w:t>Click here to enter a date.</w:t>
          </w:r>
        </w:p>
      </w:docPartBody>
    </w:docPart>
    <w:docPart>
      <w:docPartPr>
        <w:name w:val="1A76A8B9FEBA4DF3B42E73B8245175A8"/>
        <w:category>
          <w:name w:val="General"/>
          <w:gallery w:val="placeholder"/>
        </w:category>
        <w:types>
          <w:type w:val="bbPlcHdr"/>
        </w:types>
        <w:behaviors>
          <w:behavior w:val="content"/>
        </w:behaviors>
        <w:guid w:val="{D3928C8D-A662-4CCD-ACB4-BF29996FB2D4}"/>
      </w:docPartPr>
      <w:docPartBody>
        <w:p w:rsidR="00C64FE0" w:rsidRDefault="00736CD6" w:rsidP="00736CD6">
          <w:pPr>
            <w:pStyle w:val="1A76A8B9FEBA4DF3B42E73B8245175A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0D43C9"/>
    <w:rsid w:val="001607D6"/>
    <w:rsid w:val="001D7AD5"/>
    <w:rsid w:val="00265CF8"/>
    <w:rsid w:val="002A2D57"/>
    <w:rsid w:val="00306064"/>
    <w:rsid w:val="003661F6"/>
    <w:rsid w:val="004144A3"/>
    <w:rsid w:val="004160E7"/>
    <w:rsid w:val="004C3E01"/>
    <w:rsid w:val="005074B9"/>
    <w:rsid w:val="00550F3C"/>
    <w:rsid w:val="005A4147"/>
    <w:rsid w:val="005C76A4"/>
    <w:rsid w:val="005E40DD"/>
    <w:rsid w:val="006151E0"/>
    <w:rsid w:val="00631703"/>
    <w:rsid w:val="00736CD6"/>
    <w:rsid w:val="007A31E1"/>
    <w:rsid w:val="007B7612"/>
    <w:rsid w:val="007C32DC"/>
    <w:rsid w:val="007C6D1D"/>
    <w:rsid w:val="00847A3C"/>
    <w:rsid w:val="00871A0B"/>
    <w:rsid w:val="00893FC6"/>
    <w:rsid w:val="008F59D1"/>
    <w:rsid w:val="00946715"/>
    <w:rsid w:val="009B3BF0"/>
    <w:rsid w:val="009D5E5E"/>
    <w:rsid w:val="009F08E3"/>
    <w:rsid w:val="00A0704D"/>
    <w:rsid w:val="00B107CB"/>
    <w:rsid w:val="00B23DC0"/>
    <w:rsid w:val="00B35F6F"/>
    <w:rsid w:val="00B57B36"/>
    <w:rsid w:val="00C058E8"/>
    <w:rsid w:val="00C170D3"/>
    <w:rsid w:val="00C64FE0"/>
    <w:rsid w:val="00CB4BD1"/>
    <w:rsid w:val="00CE2DA9"/>
    <w:rsid w:val="00CE44BE"/>
    <w:rsid w:val="00DA69AD"/>
    <w:rsid w:val="00E23093"/>
    <w:rsid w:val="00E44A86"/>
    <w:rsid w:val="00E7458F"/>
    <w:rsid w:val="00EA5866"/>
    <w:rsid w:val="00EC0BE0"/>
    <w:rsid w:val="00EF6E0C"/>
    <w:rsid w:val="00F46FEE"/>
    <w:rsid w:val="00F61448"/>
    <w:rsid w:val="00F8347E"/>
    <w:rsid w:val="00F93E7F"/>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36CD6"/>
    <w:rPr>
      <w:color w:val="808080"/>
    </w:rPr>
  </w:style>
  <w:style w:type="paragraph" w:customStyle="1" w:styleId="90A209D6E08E4B0AA4860806018C291A">
    <w:name w:val="90A209D6E08E4B0AA4860806018C291A"/>
    <w:rsid w:val="004C3E01"/>
    <w:rPr>
      <w:lang w:val="en-GB" w:eastAsia="en-GB"/>
    </w:rPr>
  </w:style>
  <w:style w:type="paragraph" w:customStyle="1" w:styleId="0C76291DED3A447DA034D12195423229">
    <w:name w:val="0C76291DED3A447DA034D12195423229"/>
    <w:rsid w:val="00736CD6"/>
    <w:pPr>
      <w:spacing w:line="278" w:lineRule="auto"/>
    </w:pPr>
    <w:rPr>
      <w:kern w:val="2"/>
      <w:sz w:val="24"/>
      <w:szCs w:val="24"/>
      <w:lang w:val="en-GB" w:eastAsia="en-GB"/>
      <w14:ligatures w14:val="standardContextual"/>
    </w:rPr>
  </w:style>
  <w:style w:type="paragraph" w:customStyle="1" w:styleId="1A76A8B9FEBA4DF3B42E73B8245175A8">
    <w:name w:val="1A76A8B9FEBA4DF3B42E73B8245175A8"/>
    <w:rsid w:val="00736CD6"/>
    <w:pPr>
      <w:spacing w:line="278" w:lineRule="auto"/>
    </w:pPr>
    <w:rPr>
      <w:kern w:val="2"/>
      <w:sz w:val="24"/>
      <w:szCs w:val="24"/>
      <w:lang w:val="en-GB" w:eastAsia="en-GB"/>
      <w14:ligatures w14:val="standardContextual"/>
    </w:rPr>
  </w:style>
  <w:style w:type="paragraph" w:customStyle="1" w:styleId="A086C5B0C68C47BCAA763C6C41A2F59A">
    <w:name w:val="A086C5B0C68C47BCAA763C6C41A2F59A"/>
    <w:rsid w:val="00C170D3"/>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9625-08D2-4060-8CF9-97FE6631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10975</Words>
  <Characters>6257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17198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2024-07-26T08:00:00Z</dcterms:created>
  <dcterms:modified xsi:type="dcterms:W3CDTF">2024-08-05T12:01:00Z</dcterms:modified>
</cp:coreProperties>
</file>