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5D5BE7" w:rsidRDefault="005F7602" w:rsidP="002946C7">
      <w:pPr>
        <w:ind w:left="5529"/>
      </w:pPr>
    </w:p>
    <w:p w14:paraId="12FA4B9E" w14:textId="77777777" w:rsidR="001B3C5B" w:rsidRPr="00F832F8" w:rsidRDefault="001B3C5B" w:rsidP="001B3C5B">
      <w:pPr>
        <w:ind w:left="6096"/>
      </w:pPr>
      <w:r w:rsidRPr="00F832F8">
        <w:t>Forma patvirtinta</w:t>
      </w:r>
    </w:p>
    <w:p w14:paraId="7206970B" w14:textId="70E9BD2E" w:rsidR="004C263A" w:rsidRPr="00F832F8" w:rsidRDefault="001B3C5B" w:rsidP="001B3C5B">
      <w:pPr>
        <w:ind w:left="6096"/>
      </w:pPr>
      <w:r w:rsidRPr="00F832F8">
        <w:t>Valstybinės vaistų kontrolės tarnybos prie Lietuvos Respublikos sveikatos apsaugos ministerijos viršininko 2021 m</w:t>
      </w:r>
      <w:r w:rsidR="004C263A" w:rsidRPr="00F832F8">
        <w:t xml:space="preserve">. lapkričio 12 </w:t>
      </w:r>
      <w:r w:rsidRPr="00F832F8">
        <w:t>d. įsakymu Nr.</w:t>
      </w:r>
      <w:r w:rsidR="004C263A" w:rsidRPr="00F832F8">
        <w:t xml:space="preserve"> (1.72E)1A-1418</w:t>
      </w:r>
    </w:p>
    <w:p w14:paraId="5B219AA6" w14:textId="520B9136" w:rsidR="001B3C5B" w:rsidRPr="00F832F8" w:rsidRDefault="004C263A" w:rsidP="001B3C5B">
      <w:pPr>
        <w:ind w:left="6096"/>
      </w:pPr>
      <w:r w:rsidRPr="00F832F8">
        <w:t>(Valstybinės vaistų kontrolės tarnybos prie Lietuvos Respublikos sveikatos apsaugos ministerijos viršininko 2022 m.                         d. įsakymo Nr.                    redakcija)</w:t>
      </w:r>
    </w:p>
    <w:p w14:paraId="3336BD74" w14:textId="77777777" w:rsidR="001B3C5B" w:rsidRPr="00F832F8" w:rsidRDefault="001B3C5B" w:rsidP="00FA4169"/>
    <w:p w14:paraId="77AFB67E" w14:textId="16397257" w:rsidR="00613501" w:rsidRPr="00F832F8" w:rsidRDefault="002F0E4F" w:rsidP="003B211A">
      <w:pPr>
        <w:jc w:val="center"/>
        <w:rPr>
          <w:b/>
          <w:bCs/>
          <w:caps/>
        </w:rPr>
      </w:pPr>
      <w:r w:rsidRPr="00F832F8">
        <w:rPr>
          <w:b/>
        </w:rPr>
        <w:t xml:space="preserve">REKOMENDACIJA DĖL VAISTINIO PREPARATO </w:t>
      </w:r>
      <w:r w:rsidRPr="00F832F8">
        <w:rPr>
          <w:b/>
          <w:bCs/>
          <w:caps/>
        </w:rPr>
        <w:t>Lietuvos Respublikos Sveikatos apsaugos ministerijos vaistinių preparatų ir medicinos pagalbos priemonių kompensavimo komisijai</w:t>
      </w:r>
    </w:p>
    <w:p w14:paraId="34E4395D" w14:textId="15FB10DF" w:rsidR="00B13D65" w:rsidRPr="00F832F8" w:rsidRDefault="00B13D65" w:rsidP="003B211A">
      <w:pPr>
        <w:jc w:val="center"/>
        <w:rPr>
          <w:b/>
        </w:rPr>
      </w:pPr>
    </w:p>
    <w:p w14:paraId="7AD5106C" w14:textId="77777777" w:rsidR="007646F9" w:rsidRPr="001A5F98" w:rsidRDefault="007646F9" w:rsidP="007646F9">
      <w:pPr>
        <w:jc w:val="center"/>
        <w:rPr>
          <w:b/>
          <w:sz w:val="26"/>
          <w:szCs w:val="26"/>
        </w:rPr>
      </w:pPr>
      <w:r>
        <w:rPr>
          <w:b/>
          <w:sz w:val="26"/>
          <w:szCs w:val="26"/>
        </w:rPr>
        <w:t>Repatha</w:t>
      </w:r>
      <w:r w:rsidRPr="001A5F98">
        <w:rPr>
          <w:b/>
          <w:sz w:val="26"/>
          <w:szCs w:val="26"/>
        </w:rPr>
        <w:t xml:space="preserve"> </w:t>
      </w:r>
      <w:r>
        <w:rPr>
          <w:b/>
          <w:sz w:val="26"/>
          <w:szCs w:val="26"/>
        </w:rPr>
        <w:t>140</w:t>
      </w:r>
      <w:r w:rsidRPr="001A5F98">
        <w:rPr>
          <w:b/>
          <w:sz w:val="26"/>
          <w:szCs w:val="26"/>
        </w:rPr>
        <w:t xml:space="preserve"> mg </w:t>
      </w:r>
      <w:r>
        <w:rPr>
          <w:b/>
          <w:sz w:val="26"/>
          <w:szCs w:val="26"/>
        </w:rPr>
        <w:t>injekcinis tirpalas užpildytame švirkšte</w:t>
      </w:r>
    </w:p>
    <w:p w14:paraId="5AE3EBCE" w14:textId="77777777" w:rsidR="007646F9" w:rsidRPr="001A5F98" w:rsidRDefault="007646F9" w:rsidP="007646F9">
      <w:pPr>
        <w:jc w:val="center"/>
        <w:rPr>
          <w:sz w:val="26"/>
          <w:szCs w:val="26"/>
        </w:rPr>
      </w:pPr>
    </w:p>
    <w:p w14:paraId="74DA1F51" w14:textId="77777777" w:rsidR="007646F9" w:rsidRPr="001A5F98" w:rsidRDefault="007646F9" w:rsidP="007646F9">
      <w:pPr>
        <w:jc w:val="center"/>
        <w:rPr>
          <w:sz w:val="26"/>
          <w:szCs w:val="26"/>
        </w:rPr>
      </w:pPr>
      <w:r>
        <w:rPr>
          <w:b/>
          <w:sz w:val="26"/>
          <w:szCs w:val="26"/>
        </w:rPr>
        <w:t>Evolokumabas</w:t>
      </w:r>
    </w:p>
    <w:p w14:paraId="6EF04C53" w14:textId="77777777" w:rsidR="007646F9" w:rsidRPr="001A5F98" w:rsidRDefault="007646F9" w:rsidP="007646F9">
      <w:pPr>
        <w:rPr>
          <w:sz w:val="26"/>
          <w:szCs w:val="26"/>
        </w:rPr>
      </w:pPr>
    </w:p>
    <w:p w14:paraId="13AD0D8E" w14:textId="77777777" w:rsidR="007646F9" w:rsidRPr="001A5F98" w:rsidRDefault="007646F9" w:rsidP="007646F9">
      <w:pPr>
        <w:jc w:val="center"/>
        <w:rPr>
          <w:b/>
        </w:rPr>
      </w:pPr>
      <w:r w:rsidRPr="001A5F98">
        <w:rPr>
          <w:b/>
        </w:rPr>
        <w:t>STV-</w:t>
      </w:r>
      <w:r>
        <w:rPr>
          <w:b/>
        </w:rPr>
        <w:t>107</w:t>
      </w:r>
    </w:p>
    <w:p w14:paraId="1987A5B5" w14:textId="77777777" w:rsidR="00CE12C2" w:rsidRPr="00F832F8" w:rsidRDefault="00CE12C2" w:rsidP="00CE12C2">
      <w:pPr>
        <w:jc w:val="center"/>
        <w:rPr>
          <w:b/>
        </w:rPr>
      </w:pPr>
    </w:p>
    <w:p w14:paraId="78C89D1C" w14:textId="095241E9" w:rsidR="00D4485B" w:rsidRDefault="00B13D65" w:rsidP="00937907">
      <w:pPr>
        <w:pStyle w:val="Sraopastraipa"/>
        <w:numPr>
          <w:ilvl w:val="0"/>
          <w:numId w:val="12"/>
        </w:numPr>
        <w:tabs>
          <w:tab w:val="left" w:pos="284"/>
        </w:tabs>
        <w:rPr>
          <w:b/>
          <w:bCs/>
          <w:caps/>
        </w:rPr>
      </w:pPr>
      <w:r w:rsidRPr="00F832F8">
        <w:rPr>
          <w:b/>
          <w:bCs/>
          <w:caps/>
        </w:rPr>
        <w:t>Bendroji dalis</w:t>
      </w:r>
    </w:p>
    <w:p w14:paraId="52414134" w14:textId="77777777" w:rsidR="004F3193" w:rsidRDefault="004F3193" w:rsidP="004F3193">
      <w:pPr>
        <w:tabs>
          <w:tab w:val="left" w:pos="284"/>
        </w:tabs>
        <w:rPr>
          <w:b/>
          <w:bCs/>
          <w:caps/>
        </w:rPr>
      </w:pPr>
    </w:p>
    <w:tbl>
      <w:tblPr>
        <w:tblStyle w:val="Lentelstinklelis"/>
        <w:tblW w:w="9629" w:type="dxa"/>
        <w:tblLook w:val="04A0" w:firstRow="1" w:lastRow="0" w:firstColumn="1" w:lastColumn="0" w:noHBand="0" w:noVBand="1"/>
      </w:tblPr>
      <w:tblGrid>
        <w:gridCol w:w="516"/>
        <w:gridCol w:w="3369"/>
        <w:gridCol w:w="5744"/>
      </w:tblGrid>
      <w:tr w:rsidR="004F3193" w:rsidRPr="000203E1" w14:paraId="3B747719" w14:textId="77777777" w:rsidTr="004F3193">
        <w:trPr>
          <w:trHeight w:val="538"/>
        </w:trPr>
        <w:tc>
          <w:tcPr>
            <w:tcW w:w="421" w:type="dxa"/>
          </w:tcPr>
          <w:p w14:paraId="280A0A1D" w14:textId="12D4D40D" w:rsidR="004F3193" w:rsidRPr="000203E1" w:rsidRDefault="004F3193" w:rsidP="004F3193">
            <w:pPr>
              <w:rPr>
                <w:rFonts w:eastAsia="Arial"/>
              </w:rPr>
            </w:pPr>
            <w:r w:rsidRPr="000203E1">
              <w:rPr>
                <w:rFonts w:eastAsia="Arial"/>
              </w:rPr>
              <w:t>1.1</w:t>
            </w:r>
          </w:p>
        </w:tc>
        <w:tc>
          <w:tcPr>
            <w:tcW w:w="3402" w:type="dxa"/>
          </w:tcPr>
          <w:p w14:paraId="29A2832F" w14:textId="38699E5A" w:rsidR="004F3193" w:rsidRPr="000203E1" w:rsidRDefault="004F3193" w:rsidP="004F3193">
            <w:pPr>
              <w:rPr>
                <w:rFonts w:eastAsia="Arial"/>
              </w:rPr>
            </w:pPr>
            <w:r w:rsidRPr="000203E1">
              <w:rPr>
                <w:rFonts w:eastAsia="Arial"/>
              </w:rPr>
              <w:t>Pareiškėjas</w:t>
            </w:r>
          </w:p>
          <w:p w14:paraId="5A8F643C" w14:textId="77777777" w:rsidR="004F3193" w:rsidRPr="000203E1" w:rsidRDefault="004F3193" w:rsidP="004F3193">
            <w:pPr>
              <w:rPr>
                <w:rFonts w:eastAsia="Arial"/>
              </w:rPr>
            </w:pPr>
          </w:p>
        </w:tc>
        <w:tc>
          <w:tcPr>
            <w:tcW w:w="5806" w:type="dxa"/>
          </w:tcPr>
          <w:p w14:paraId="4A053A8C" w14:textId="240F6FC5" w:rsidR="004F3193" w:rsidRPr="000203E1" w:rsidRDefault="004F3193" w:rsidP="004F3193">
            <w:r>
              <w:t>Amgen Switzerland AG Vilniaus filialas</w:t>
            </w:r>
          </w:p>
          <w:p w14:paraId="45A3E427" w14:textId="77777777" w:rsidR="004F3193" w:rsidRPr="000203E1" w:rsidRDefault="004F3193" w:rsidP="004F3193">
            <w:pPr>
              <w:rPr>
                <w:rFonts w:eastAsia="Arial"/>
              </w:rPr>
            </w:pPr>
          </w:p>
        </w:tc>
      </w:tr>
      <w:tr w:rsidR="004F3193" w:rsidRPr="000203E1" w14:paraId="569ED9A4" w14:textId="77777777" w:rsidTr="004F3193">
        <w:trPr>
          <w:trHeight w:val="538"/>
        </w:trPr>
        <w:tc>
          <w:tcPr>
            <w:tcW w:w="421" w:type="dxa"/>
          </w:tcPr>
          <w:p w14:paraId="4C693FCA" w14:textId="09D7AC86" w:rsidR="004F3193" w:rsidRPr="000203E1" w:rsidRDefault="004F3193" w:rsidP="004F3193">
            <w:pPr>
              <w:rPr>
                <w:bCs/>
                <w:lang w:eastAsia="lt-LT"/>
              </w:rPr>
            </w:pPr>
            <w:r w:rsidRPr="000203E1">
              <w:rPr>
                <w:rFonts w:eastAsia="Arial"/>
              </w:rPr>
              <w:t>1.2</w:t>
            </w:r>
          </w:p>
        </w:tc>
        <w:tc>
          <w:tcPr>
            <w:tcW w:w="3402" w:type="dxa"/>
          </w:tcPr>
          <w:p w14:paraId="7E09C621" w14:textId="0007481B" w:rsidR="004F3193" w:rsidRPr="000203E1" w:rsidRDefault="004F3193" w:rsidP="004F3193">
            <w:pPr>
              <w:rPr>
                <w:bCs/>
                <w:lang w:eastAsia="lt-LT"/>
              </w:rPr>
            </w:pPr>
            <w:r w:rsidRPr="000203E1">
              <w:rPr>
                <w:bCs/>
                <w:lang w:eastAsia="lt-LT"/>
              </w:rPr>
              <w:t xml:space="preserve">Registracijos data </w:t>
            </w:r>
          </w:p>
          <w:p w14:paraId="5802EE33" w14:textId="77777777" w:rsidR="004F3193" w:rsidRPr="000203E1" w:rsidRDefault="004F3193" w:rsidP="004F3193">
            <w:pPr>
              <w:rPr>
                <w:bCs/>
                <w:lang w:eastAsia="lt-LT"/>
              </w:rPr>
            </w:pPr>
          </w:p>
        </w:tc>
        <w:tc>
          <w:tcPr>
            <w:tcW w:w="5806" w:type="dxa"/>
          </w:tcPr>
          <w:p w14:paraId="03791171" w14:textId="622E2C1D" w:rsidR="005D2690" w:rsidRPr="0098051D" w:rsidRDefault="004F66D6" w:rsidP="004F66D6">
            <w:pPr>
              <w:rPr>
                <w:rStyle w:val="Style2"/>
                <w:lang w:val="en-GB"/>
              </w:rPr>
            </w:pPr>
            <w:r>
              <w:t>2015 m. liepos 17 d.</w:t>
            </w:r>
          </w:p>
        </w:tc>
      </w:tr>
      <w:tr w:rsidR="004F3193" w:rsidRPr="000203E1" w14:paraId="3EF15F1C" w14:textId="77777777" w:rsidTr="004F3193">
        <w:trPr>
          <w:trHeight w:val="1500"/>
        </w:trPr>
        <w:tc>
          <w:tcPr>
            <w:tcW w:w="421" w:type="dxa"/>
          </w:tcPr>
          <w:p w14:paraId="1384D620" w14:textId="32025431" w:rsidR="004F3193" w:rsidRPr="000203E1" w:rsidRDefault="004F3193" w:rsidP="004F3193">
            <w:r w:rsidRPr="000203E1">
              <w:rPr>
                <w:rFonts w:eastAsia="Arial"/>
              </w:rPr>
              <w:t>1.3</w:t>
            </w:r>
          </w:p>
        </w:tc>
        <w:tc>
          <w:tcPr>
            <w:tcW w:w="3402" w:type="dxa"/>
          </w:tcPr>
          <w:p w14:paraId="27104E42" w14:textId="091EFBF1" w:rsidR="004F3193" w:rsidRPr="000203E1" w:rsidRDefault="004F3193" w:rsidP="004F3193">
            <w:r w:rsidRPr="000203E1">
              <w:t xml:space="preserve">Paraiškos tipas </w:t>
            </w:r>
          </w:p>
          <w:p w14:paraId="3797001C" w14:textId="77777777" w:rsidR="004F3193" w:rsidRPr="000203E1" w:rsidRDefault="004F3193" w:rsidP="004F3193">
            <w:r w:rsidRPr="000203E1">
              <w:t xml:space="preserve">(pagal </w:t>
            </w:r>
            <w:r w:rsidRPr="000203E1">
              <w:rPr>
                <w:shd w:val="clear" w:color="auto" w:fill="FFFFFF"/>
              </w:rPr>
              <w:t>vaistinio preparato registracijos tipą, įtvirtintą</w:t>
            </w:r>
            <w:r w:rsidRPr="000203E1">
              <w:t xml:space="preserve"> Direktyvos 2001/83/EB straipsiuose)</w:t>
            </w:r>
          </w:p>
          <w:p w14:paraId="36EC0C9C" w14:textId="77777777" w:rsidR="004F3193" w:rsidRPr="000203E1" w:rsidRDefault="004F3193" w:rsidP="004F3193">
            <w:pPr>
              <w:rPr>
                <w:bCs/>
                <w:lang w:eastAsia="lt-LT"/>
              </w:rPr>
            </w:pPr>
          </w:p>
        </w:tc>
        <w:tc>
          <w:tcPr>
            <w:tcW w:w="5806" w:type="dxa"/>
          </w:tcPr>
          <w:p w14:paraId="18AC9FBB" w14:textId="2845D023" w:rsidR="004F3193" w:rsidRPr="000203E1" w:rsidRDefault="00000000" w:rsidP="004F3193">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4F3193">
                  <w:rPr>
                    <w:rStyle w:val="Style2"/>
                    <w:rFonts w:ascii="MS Gothic" w:eastAsia="MS Gothic" w:hAnsi="MS Gothic" w:hint="eastAsia"/>
                    <w:sz w:val="22"/>
                    <w:szCs w:val="22"/>
                  </w:rPr>
                  <w:t>☒</w:t>
                </w:r>
              </w:sdtContent>
            </w:sdt>
            <w:r w:rsidR="004F3193" w:rsidRPr="000203E1">
              <w:rPr>
                <w:sz w:val="22"/>
                <w:szCs w:val="22"/>
              </w:rPr>
              <w:t xml:space="preserve">8.3 str. (pilna byla, pagrįsta savais tyrimais) </w:t>
            </w:r>
          </w:p>
          <w:p w14:paraId="3178815B" w14:textId="77777777" w:rsidR="004F3193" w:rsidRPr="000203E1" w:rsidRDefault="00000000" w:rsidP="004F3193">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4F3193" w:rsidRPr="000203E1">
                  <w:rPr>
                    <w:rStyle w:val="Style2"/>
                    <w:rFonts w:ascii="Segoe UI Symbol" w:eastAsia="MS Gothic" w:hAnsi="Segoe UI Symbol" w:cs="Segoe UI Symbol"/>
                    <w:sz w:val="22"/>
                    <w:szCs w:val="22"/>
                  </w:rPr>
                  <w:t>☐</w:t>
                </w:r>
              </w:sdtContent>
            </w:sdt>
            <w:r w:rsidR="004F3193" w:rsidRPr="000203E1">
              <w:rPr>
                <w:sz w:val="22"/>
                <w:szCs w:val="22"/>
              </w:rPr>
              <w:t xml:space="preserve">10 a str. (pripažintas medicininis vartojimas) </w:t>
            </w:r>
          </w:p>
          <w:p w14:paraId="77075147" w14:textId="77777777" w:rsidR="004F3193" w:rsidRPr="000203E1" w:rsidRDefault="00000000" w:rsidP="004F3193">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4F3193" w:rsidRPr="000203E1">
                  <w:rPr>
                    <w:rStyle w:val="Style2"/>
                    <w:rFonts w:ascii="Segoe UI Symbol" w:eastAsia="MS Gothic" w:hAnsi="Segoe UI Symbol" w:cs="Segoe UI Symbol"/>
                    <w:sz w:val="22"/>
                    <w:szCs w:val="22"/>
                  </w:rPr>
                  <w:t>☐</w:t>
                </w:r>
              </w:sdtContent>
            </w:sdt>
            <w:r w:rsidR="004F3193" w:rsidRPr="000203E1">
              <w:rPr>
                <w:sz w:val="22"/>
                <w:szCs w:val="22"/>
              </w:rPr>
              <w:t>10.1 str. (generinis)</w:t>
            </w:r>
          </w:p>
          <w:p w14:paraId="6EC60D19" w14:textId="77777777" w:rsidR="004F3193" w:rsidRPr="000203E1" w:rsidRDefault="00000000" w:rsidP="004F3193">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4F3193" w:rsidRPr="000203E1">
                  <w:rPr>
                    <w:rStyle w:val="Style2"/>
                    <w:rFonts w:ascii="Segoe UI Symbol" w:eastAsia="MS Gothic" w:hAnsi="Segoe UI Symbol" w:cs="Segoe UI Symbol"/>
                    <w:sz w:val="22"/>
                    <w:szCs w:val="22"/>
                  </w:rPr>
                  <w:t>☐</w:t>
                </w:r>
              </w:sdtContent>
            </w:sdt>
            <w:r w:rsidR="004F3193" w:rsidRPr="000203E1">
              <w:rPr>
                <w:sz w:val="22"/>
                <w:szCs w:val="22"/>
              </w:rPr>
              <w:t>10.3 str. (hibridinis)</w:t>
            </w:r>
          </w:p>
        </w:tc>
      </w:tr>
      <w:tr w:rsidR="004F3193" w:rsidRPr="000203E1" w14:paraId="572BB80D" w14:textId="77777777" w:rsidTr="004F3193">
        <w:trPr>
          <w:trHeight w:val="1442"/>
        </w:trPr>
        <w:tc>
          <w:tcPr>
            <w:tcW w:w="421" w:type="dxa"/>
          </w:tcPr>
          <w:p w14:paraId="17426F1F" w14:textId="1E64A888" w:rsidR="004F3193" w:rsidRPr="000203E1" w:rsidRDefault="004F3193" w:rsidP="004F3193">
            <w:pPr>
              <w:rPr>
                <w:bCs/>
                <w:lang w:eastAsia="lt-LT"/>
              </w:rPr>
            </w:pPr>
            <w:r w:rsidRPr="000203E1">
              <w:rPr>
                <w:rFonts w:eastAsia="Arial"/>
              </w:rPr>
              <w:t>1.4</w:t>
            </w:r>
          </w:p>
        </w:tc>
        <w:tc>
          <w:tcPr>
            <w:tcW w:w="3402" w:type="dxa"/>
          </w:tcPr>
          <w:p w14:paraId="4CDA85B8" w14:textId="06163961" w:rsidR="004F3193" w:rsidRPr="000203E1" w:rsidRDefault="004F3193" w:rsidP="004F3193">
            <w:pPr>
              <w:rPr>
                <w:bCs/>
                <w:lang w:eastAsia="lt-LT"/>
              </w:rPr>
            </w:pPr>
            <w:r w:rsidRPr="000203E1">
              <w:rPr>
                <w:bCs/>
                <w:lang w:eastAsia="lt-LT"/>
              </w:rPr>
              <w:t xml:space="preserve">Ar vaistinis preparatas įrašytas į Bendrijos retųjų vaistinių preparatų registrą? </w:t>
            </w:r>
          </w:p>
          <w:p w14:paraId="6125C2C9" w14:textId="0D747A1C" w:rsidR="004F3193" w:rsidRPr="000203E1" w:rsidRDefault="004F3193" w:rsidP="004F3193">
            <w:pPr>
              <w:rPr>
                <w:bCs/>
                <w:lang w:eastAsia="lt-LT"/>
              </w:rPr>
            </w:pPr>
          </w:p>
        </w:tc>
        <w:tc>
          <w:tcPr>
            <w:tcW w:w="5806" w:type="dxa"/>
          </w:tcPr>
          <w:p w14:paraId="00AE8598" w14:textId="77777777" w:rsidR="004F3193" w:rsidRPr="000203E1" w:rsidRDefault="00000000" w:rsidP="004F3193">
            <w:sdt>
              <w:sdtPr>
                <w:rPr>
                  <w:rStyle w:val="Style2"/>
                  <w:sz w:val="24"/>
                </w:rPr>
                <w:id w:val="2024432173"/>
                <w15:color w:val="FFCC00"/>
                <w14:checkbox>
                  <w14:checked w14:val="0"/>
                  <w14:checkedState w14:val="2612" w14:font="MS Gothic"/>
                  <w14:uncheckedState w14:val="2610" w14:font="MS Gothic"/>
                </w14:checkbox>
              </w:sdtPr>
              <w:sdtContent>
                <w:r w:rsidR="004F3193" w:rsidRPr="000203E1">
                  <w:rPr>
                    <w:rStyle w:val="Style2"/>
                    <w:rFonts w:ascii="MS Gothic" w:eastAsia="MS Gothic" w:hAnsi="MS Gothic" w:hint="eastAsia"/>
                    <w:sz w:val="24"/>
                  </w:rPr>
                  <w:t>☐</w:t>
                </w:r>
              </w:sdtContent>
            </w:sdt>
            <w:r w:rsidR="004F3193" w:rsidRPr="000203E1">
              <w:t xml:space="preserve"> Taip</w:t>
            </w:r>
          </w:p>
          <w:p w14:paraId="4247D343" w14:textId="46EF9E18" w:rsidR="004F3193" w:rsidRPr="000203E1" w:rsidRDefault="00000000" w:rsidP="004F3193">
            <w:sdt>
              <w:sdtPr>
                <w:rPr>
                  <w:rStyle w:val="Style2"/>
                  <w:sz w:val="24"/>
                </w:rPr>
                <w:id w:val="-970507926"/>
                <w15:color w:val="FFCC00"/>
                <w14:checkbox>
                  <w14:checked w14:val="1"/>
                  <w14:checkedState w14:val="2612" w14:font="MS Gothic"/>
                  <w14:uncheckedState w14:val="2610" w14:font="MS Gothic"/>
                </w14:checkbox>
              </w:sdtPr>
              <w:sdtContent>
                <w:r w:rsidR="004F3193">
                  <w:rPr>
                    <w:rStyle w:val="Style2"/>
                    <w:rFonts w:ascii="MS Gothic" w:eastAsia="MS Gothic" w:hAnsi="MS Gothic" w:hint="eastAsia"/>
                    <w:sz w:val="24"/>
                  </w:rPr>
                  <w:t>☒</w:t>
                </w:r>
              </w:sdtContent>
            </w:sdt>
            <w:r w:rsidR="004F3193" w:rsidRPr="000203E1">
              <w:t xml:space="preserve"> Ne</w:t>
            </w:r>
          </w:p>
          <w:p w14:paraId="58809046" w14:textId="77777777" w:rsidR="004F3193" w:rsidRPr="000203E1" w:rsidRDefault="00000000" w:rsidP="004F3193">
            <w:pPr>
              <w:rPr>
                <w:rFonts w:eastAsia="Arial"/>
              </w:rPr>
            </w:pPr>
            <w:sdt>
              <w:sdtPr>
                <w:alias w:val="Nurodykite konkrečią dieną"/>
                <w:tag w:val="Nurodykite pradžios datą"/>
                <w:id w:val="693498901"/>
                <w:placeholder>
                  <w:docPart w:val="1E4E14E47D6B48E6881F64D9F316775B"/>
                </w:placeholder>
                <w:showingPlcHdr/>
                <w15:color w:val="FFCC99"/>
                <w:date w:fullDate="2022-05-18T00:00:00Z">
                  <w:dateFormat w:val="yyyy 'm.' MMMM d 'd.'"/>
                  <w:lid w:val="lt-LT"/>
                  <w:storeMappedDataAs w:val="dateTime"/>
                  <w:calendar w:val="gregorian"/>
                </w:date>
              </w:sdtPr>
              <w:sdtContent>
                <w:r w:rsidR="004F3193" w:rsidRPr="000203E1">
                  <w:rPr>
                    <w:rStyle w:val="Vietosrezervavimoenklotekstas"/>
                    <w:color w:val="auto"/>
                  </w:rPr>
                  <w:t>Click here to enter a date.</w:t>
                </w:r>
              </w:sdtContent>
            </w:sdt>
          </w:p>
        </w:tc>
      </w:tr>
      <w:tr w:rsidR="004F3193" w:rsidRPr="000203E1" w14:paraId="2B2113B0" w14:textId="77777777" w:rsidTr="004F3193">
        <w:trPr>
          <w:trHeight w:val="476"/>
        </w:trPr>
        <w:tc>
          <w:tcPr>
            <w:tcW w:w="421" w:type="dxa"/>
          </w:tcPr>
          <w:p w14:paraId="26376597" w14:textId="16A21CE3" w:rsidR="004F3193" w:rsidRPr="000203E1" w:rsidRDefault="004F3193" w:rsidP="004F3193">
            <w:r w:rsidRPr="000203E1">
              <w:rPr>
                <w:rFonts w:eastAsia="Arial"/>
              </w:rPr>
              <w:t>1.5</w:t>
            </w:r>
          </w:p>
        </w:tc>
        <w:tc>
          <w:tcPr>
            <w:tcW w:w="3402" w:type="dxa"/>
          </w:tcPr>
          <w:p w14:paraId="4340B6C5" w14:textId="32E1E928" w:rsidR="004F3193" w:rsidRPr="000203E1" w:rsidRDefault="004F3193" w:rsidP="004F3193">
            <w:pPr>
              <w:rPr>
                <w:bCs/>
                <w:lang w:eastAsia="lt-LT"/>
              </w:rPr>
            </w:pPr>
            <w:r w:rsidRPr="000203E1">
              <w:t>STV paraiškos pobūdis</w:t>
            </w:r>
          </w:p>
        </w:tc>
        <w:tc>
          <w:tcPr>
            <w:tcW w:w="5806" w:type="dxa"/>
          </w:tcPr>
          <w:p w14:paraId="24B07A8F" w14:textId="550365BD" w:rsidR="004F3193" w:rsidRPr="000203E1" w:rsidRDefault="00000000" w:rsidP="004F3193">
            <w:sdt>
              <w:sdtPr>
                <w:rPr>
                  <w:rStyle w:val="Style2"/>
                  <w:sz w:val="24"/>
                </w:rPr>
                <w:id w:val="-468433535"/>
                <w15:color w:val="FFCC00"/>
                <w14:checkbox>
                  <w14:checked w14:val="1"/>
                  <w14:checkedState w14:val="2612" w14:font="MS Gothic"/>
                  <w14:uncheckedState w14:val="2610" w14:font="MS Gothic"/>
                </w14:checkbox>
              </w:sdtPr>
              <w:sdtContent>
                <w:r w:rsidR="004F3193">
                  <w:rPr>
                    <w:rStyle w:val="Style2"/>
                    <w:rFonts w:ascii="MS Gothic" w:eastAsia="MS Gothic" w:hAnsi="MS Gothic" w:hint="eastAsia"/>
                    <w:sz w:val="24"/>
                  </w:rPr>
                  <w:t>☒</w:t>
                </w:r>
              </w:sdtContent>
            </w:sdt>
            <w:r w:rsidR="004F3193" w:rsidRPr="000203E1">
              <w:t xml:space="preserve"> Pilna paraiška</w:t>
            </w:r>
          </w:p>
          <w:p w14:paraId="215A955F" w14:textId="77777777" w:rsidR="004F3193" w:rsidRPr="000203E1" w:rsidRDefault="00000000" w:rsidP="004F3193">
            <w:sdt>
              <w:sdtPr>
                <w:rPr>
                  <w:rStyle w:val="Style2"/>
                  <w:sz w:val="24"/>
                </w:rPr>
                <w:id w:val="-1489014904"/>
                <w15:color w:val="FFCC00"/>
                <w14:checkbox>
                  <w14:checked w14:val="0"/>
                  <w14:checkedState w14:val="2612" w14:font="MS Gothic"/>
                  <w14:uncheckedState w14:val="2610" w14:font="MS Gothic"/>
                </w14:checkbox>
              </w:sdtPr>
              <w:sdtContent>
                <w:r w:rsidR="004F3193" w:rsidRPr="000203E1">
                  <w:rPr>
                    <w:rStyle w:val="Style2"/>
                    <w:rFonts w:ascii="MS Gothic" w:eastAsia="MS Gothic" w:hAnsi="MS Gothic" w:hint="eastAsia"/>
                    <w:sz w:val="24"/>
                  </w:rPr>
                  <w:t>☐</w:t>
                </w:r>
              </w:sdtContent>
            </w:sdt>
            <w:r w:rsidR="004F3193" w:rsidRPr="000203E1">
              <w:t xml:space="preserve"> Supaprastinta paraiška</w:t>
            </w:r>
          </w:p>
        </w:tc>
      </w:tr>
      <w:tr w:rsidR="004F3193" w:rsidRPr="000203E1" w14:paraId="2998F665" w14:textId="77777777" w:rsidTr="004F3193">
        <w:trPr>
          <w:trHeight w:val="1124"/>
        </w:trPr>
        <w:tc>
          <w:tcPr>
            <w:tcW w:w="421" w:type="dxa"/>
          </w:tcPr>
          <w:p w14:paraId="79144CED" w14:textId="643ADBC6" w:rsidR="004F3193" w:rsidRPr="000203E1" w:rsidRDefault="004F3193" w:rsidP="004F3193">
            <w:pPr>
              <w:rPr>
                <w:bCs/>
                <w:lang w:eastAsia="lt-LT"/>
              </w:rPr>
            </w:pPr>
            <w:r w:rsidRPr="000203E1">
              <w:rPr>
                <w:rFonts w:eastAsia="Arial"/>
              </w:rPr>
              <w:t>1.6</w:t>
            </w:r>
          </w:p>
        </w:tc>
        <w:tc>
          <w:tcPr>
            <w:tcW w:w="3402" w:type="dxa"/>
          </w:tcPr>
          <w:p w14:paraId="2EFD06ED" w14:textId="4FE43D22" w:rsidR="004F3193" w:rsidRPr="000203E1" w:rsidRDefault="004F3193" w:rsidP="004F3193">
            <w:pPr>
              <w:rPr>
                <w:bCs/>
                <w:lang w:eastAsia="lt-LT"/>
              </w:rPr>
            </w:pPr>
            <w:r w:rsidRPr="000203E1">
              <w:rPr>
                <w:bCs/>
                <w:lang w:eastAsia="lt-LT"/>
              </w:rPr>
              <w:t>Pareiškėjo teikiama (-os) kompensuoti vaistinio preparato indikacija (-os)</w:t>
            </w:r>
          </w:p>
          <w:p w14:paraId="3BFF9095" w14:textId="77777777" w:rsidR="004F3193" w:rsidRPr="000203E1" w:rsidRDefault="004F3193" w:rsidP="004F3193">
            <w:pPr>
              <w:rPr>
                <w:bCs/>
                <w:lang w:eastAsia="lt-LT"/>
              </w:rPr>
            </w:pPr>
            <w:r w:rsidRPr="000203E1">
              <w:rPr>
                <w:bCs/>
                <w:lang w:eastAsia="lt-LT"/>
              </w:rPr>
              <w:t>Kodas pagal TLK-10 AM</w:t>
            </w:r>
          </w:p>
        </w:tc>
        <w:tc>
          <w:tcPr>
            <w:tcW w:w="5806" w:type="dxa"/>
          </w:tcPr>
          <w:p w14:paraId="71CA3404" w14:textId="77777777" w:rsidR="004F3193" w:rsidRPr="00F92067" w:rsidRDefault="004F3193" w:rsidP="004F3193">
            <w:pPr>
              <w:pStyle w:val="Default"/>
              <w:jc w:val="both"/>
              <w:rPr>
                <w:lang w:val="lt-LT"/>
              </w:rPr>
            </w:pPr>
            <w:r w:rsidRPr="00F92067">
              <w:rPr>
                <w:lang w:val="lt-LT"/>
              </w:rPr>
              <w:t xml:space="preserve">Patvirtinta </w:t>
            </w:r>
            <w:r w:rsidRPr="00090592">
              <w:rPr>
                <w:lang w:val="lt-LT"/>
              </w:rPr>
              <w:t>aterosklerozinė kardiovaskulinė liga</w:t>
            </w:r>
            <w:r w:rsidRPr="00F92067">
              <w:rPr>
                <w:lang w:val="lt-LT"/>
              </w:rPr>
              <w:t>:</w:t>
            </w:r>
          </w:p>
          <w:p w14:paraId="753A8359" w14:textId="77777777" w:rsidR="004F3193" w:rsidRPr="00F92067" w:rsidRDefault="004F3193" w:rsidP="004F3193">
            <w:pPr>
              <w:pStyle w:val="Default"/>
              <w:jc w:val="both"/>
              <w:rPr>
                <w:lang w:val="lt-LT"/>
              </w:rPr>
            </w:pPr>
            <w:r w:rsidRPr="00F92067">
              <w:rPr>
                <w:lang w:val="lt-LT"/>
              </w:rPr>
              <w:t xml:space="preserve">Repatha yra skirtas papildomam gydymui koreguojant kitus rizikos veiksnius suaugusiesiems, sergantiems aterosklerozine kardiovaskuline liga (miokardo infarktu, smegenų infarktu arba periferinių arterijų liga), siekiant sumažinti MTL-C koncentraciją bei kardiovaskulinę riziką: </w:t>
            </w:r>
          </w:p>
          <w:p w14:paraId="60CDDDF3" w14:textId="77777777" w:rsidR="004F3193" w:rsidRPr="00090592" w:rsidRDefault="004F3193" w:rsidP="004F3193">
            <w:pPr>
              <w:pStyle w:val="Default"/>
              <w:jc w:val="both"/>
              <w:rPr>
                <w:lang w:val="lt-LT"/>
              </w:rPr>
            </w:pPr>
            <w:r w:rsidRPr="00F92067">
              <w:rPr>
                <w:lang w:val="lt-LT"/>
              </w:rPr>
              <w:lastRenderedPageBreak/>
              <w:t xml:space="preserve">• </w:t>
            </w:r>
            <w:r w:rsidRPr="00090592">
              <w:rPr>
                <w:lang w:val="lt-LT"/>
              </w:rPr>
              <w:t xml:space="preserve">derinyje su didžiausiomis toleruojamomis statinų dozėmis kartu su kitais lipidų koncentraciją mažinančiais vaistiniais preparatais arba be jų; </w:t>
            </w:r>
          </w:p>
          <w:p w14:paraId="7E374682" w14:textId="6AF0EA88" w:rsidR="004F3193" w:rsidRPr="000203E1" w:rsidRDefault="004F3193" w:rsidP="004F3193">
            <w:r w:rsidRPr="00090592">
              <w:t>• vienas arba derinyje su kitais lipidų koncentraciją mažinančiais vaistiniais preparatais pacientams, kurie netoleruoja statinų arba kuriems statinai yra kontraindikuotini.</w:t>
            </w:r>
          </w:p>
        </w:tc>
      </w:tr>
      <w:tr w:rsidR="004F3193" w:rsidRPr="000203E1" w14:paraId="64C3EDFA" w14:textId="77777777" w:rsidTr="004F3193">
        <w:trPr>
          <w:trHeight w:val="378"/>
        </w:trPr>
        <w:tc>
          <w:tcPr>
            <w:tcW w:w="421" w:type="dxa"/>
          </w:tcPr>
          <w:p w14:paraId="6D98DB88" w14:textId="410E1452" w:rsidR="004F3193" w:rsidRPr="000203E1" w:rsidRDefault="004F3193" w:rsidP="004F3193">
            <w:pPr>
              <w:rPr>
                <w:bCs/>
                <w:lang w:eastAsia="lt-LT"/>
              </w:rPr>
            </w:pPr>
            <w:r w:rsidRPr="000203E1">
              <w:rPr>
                <w:rFonts w:eastAsia="Arial"/>
              </w:rPr>
              <w:lastRenderedPageBreak/>
              <w:t>1.</w:t>
            </w:r>
            <w:r>
              <w:rPr>
                <w:rFonts w:eastAsia="Arial"/>
              </w:rPr>
              <w:t>7</w:t>
            </w:r>
          </w:p>
        </w:tc>
        <w:tc>
          <w:tcPr>
            <w:tcW w:w="3402" w:type="dxa"/>
          </w:tcPr>
          <w:p w14:paraId="6C313C42" w14:textId="585A7D21" w:rsidR="004F3193" w:rsidRPr="000203E1" w:rsidRDefault="004F3193" w:rsidP="004F3193">
            <w:pPr>
              <w:rPr>
                <w:bCs/>
                <w:u w:val="single"/>
                <w:lang w:eastAsia="lt-LT"/>
              </w:rPr>
            </w:pPr>
            <w:r w:rsidRPr="000203E1">
              <w:rPr>
                <w:bCs/>
                <w:lang w:eastAsia="lt-LT"/>
              </w:rPr>
              <w:t xml:space="preserve">Pareiškėjo teikiamos skyrimo sąlygos </w:t>
            </w:r>
          </w:p>
        </w:tc>
        <w:tc>
          <w:tcPr>
            <w:tcW w:w="5806" w:type="dxa"/>
          </w:tcPr>
          <w:p w14:paraId="3F9C4C3C" w14:textId="77777777" w:rsidR="004F3193" w:rsidRDefault="004F3193" w:rsidP="004F3193">
            <w:pPr>
              <w:jc w:val="both"/>
            </w:pPr>
            <w:r>
              <w:t>lipoproteinų apykaitos sutrikimai ir kitos lipidemijos (E78) kartu su:</w:t>
            </w:r>
          </w:p>
          <w:p w14:paraId="6A255ECE" w14:textId="77777777" w:rsidR="004F3193" w:rsidRDefault="004F3193" w:rsidP="004F3193">
            <w:pPr>
              <w:jc w:val="both"/>
            </w:pPr>
            <w:r>
              <w:t>Persirgtas miokardo infarktas (I25.2).</w:t>
            </w:r>
          </w:p>
          <w:p w14:paraId="36B2E9D7" w14:textId="77777777" w:rsidR="004F3193" w:rsidRDefault="004F3193" w:rsidP="004F3193">
            <w:pPr>
              <w:pStyle w:val="Sraopastraipa"/>
              <w:numPr>
                <w:ilvl w:val="0"/>
                <w:numId w:val="19"/>
              </w:numPr>
              <w:jc w:val="both"/>
            </w:pPr>
            <w:r>
              <w:t xml:space="preserve">Skiria ir išrašo gydytojas kardiologas pacientams po persirgto miokardo infarkto (MI), kuriems </w:t>
            </w:r>
            <w:r w:rsidRPr="00F07C11">
              <w:t>g</w:t>
            </w:r>
            <w:r w:rsidRPr="006722BF">
              <w:t>ydymas maksimaliomis toleruojamomis atorvastatino arba rozuvastatino dozėmis nepadeda sumažinti MTL-C koncentracijos iki &lt;1,8 mmol/l arba pacientai šių dviejų statinų netoleruoja. Nuolatiniam gydymui.</w:t>
            </w:r>
          </w:p>
          <w:p w14:paraId="08C1B141" w14:textId="77777777" w:rsidR="004F3193" w:rsidRDefault="004F3193" w:rsidP="004F3193">
            <w:pPr>
              <w:jc w:val="both"/>
            </w:pPr>
            <w:r>
              <w:t>Smegenų infarktas (I63), smegenų infarkto pasekmės (I69.3).</w:t>
            </w:r>
          </w:p>
          <w:p w14:paraId="09B9BD6B" w14:textId="77777777" w:rsidR="004F3193" w:rsidRDefault="004F3193" w:rsidP="004F3193">
            <w:pPr>
              <w:pStyle w:val="Sraopastraipa"/>
              <w:numPr>
                <w:ilvl w:val="0"/>
                <w:numId w:val="19"/>
              </w:numPr>
              <w:jc w:val="both"/>
            </w:pPr>
            <w:r>
              <w:t>Skiria ir išrašo gydytojas neurologas pacientams po persirgto smegenų infarkto, kuriems gydymas maksimaliomis toleruojamomis atorvastatino arba rozuvastatino dozėmis nepadeda sumažinti MTL-C koncentracijos iki &lt;1,8 mmol/l arba pacientai šių dviejų statinų netoleruoja. Nuolatiniam gydymui.</w:t>
            </w:r>
          </w:p>
          <w:p w14:paraId="35A46B31" w14:textId="77777777" w:rsidR="004F3193" w:rsidRDefault="004F3193" w:rsidP="004F3193">
            <w:pPr>
              <w:jc w:val="both"/>
            </w:pPr>
            <w:r>
              <w:t>Po vainikinių kraujagyslių revaskuliarizacijos (Z95.1; Z95.5).</w:t>
            </w:r>
          </w:p>
          <w:p w14:paraId="37E19954" w14:textId="7FB10EEA" w:rsidR="004F3193" w:rsidRPr="000203E1" w:rsidRDefault="004F3193" w:rsidP="004F3193">
            <w:r w:rsidRPr="00F92067">
              <w:t xml:space="preserve">Skiria ir išrašo gydytojas kardiologas pacientams, kurie turi dirbtinę jungtį arba širdies vainikinės arterijos rekonstruotos kitu būdu, kuriems gydymas maksimaliomis toleruojamomis atorvastatino arba rozuvastatino dozėmis nepadeda sumažinti MTL-C koncentracijos iki &lt;1,8 mmol/l arba pacientai šių dviejų statinų netoleruoja. </w:t>
            </w:r>
            <w:r>
              <w:t>Nuolatiniam gydymui.</w:t>
            </w:r>
          </w:p>
        </w:tc>
      </w:tr>
      <w:tr w:rsidR="004F3193" w:rsidRPr="000203E1" w14:paraId="6110F2DC" w14:textId="77777777" w:rsidTr="004F3193">
        <w:trPr>
          <w:trHeight w:val="378"/>
        </w:trPr>
        <w:tc>
          <w:tcPr>
            <w:tcW w:w="421" w:type="dxa"/>
          </w:tcPr>
          <w:p w14:paraId="340A5D1D" w14:textId="542E5C03" w:rsidR="004F3193" w:rsidRPr="000203E1" w:rsidRDefault="004F3193" w:rsidP="004F3193">
            <w:pPr>
              <w:rPr>
                <w:bCs/>
                <w:lang w:eastAsia="lt-LT"/>
              </w:rPr>
            </w:pPr>
            <w:r w:rsidRPr="000203E1">
              <w:rPr>
                <w:rFonts w:eastAsia="Arial"/>
              </w:rPr>
              <w:t>1.</w:t>
            </w:r>
            <w:r>
              <w:rPr>
                <w:rFonts w:eastAsia="Arial"/>
              </w:rPr>
              <w:t>8</w:t>
            </w:r>
          </w:p>
        </w:tc>
        <w:tc>
          <w:tcPr>
            <w:tcW w:w="3402" w:type="dxa"/>
          </w:tcPr>
          <w:p w14:paraId="4B8D6E14" w14:textId="0445DB44" w:rsidR="004F3193" w:rsidRPr="000203E1" w:rsidRDefault="004F3193" w:rsidP="004F3193">
            <w:pPr>
              <w:rPr>
                <w:bCs/>
                <w:lang w:eastAsia="lt-LT"/>
              </w:rPr>
            </w:pPr>
            <w:r w:rsidRPr="000203E1">
              <w:rPr>
                <w:bCs/>
                <w:lang w:eastAsia="lt-LT"/>
              </w:rPr>
              <w:t xml:space="preserve">Pareiškėjo teikiamas palyginamasis gydymas </w:t>
            </w:r>
          </w:p>
          <w:p w14:paraId="0BC4E271" w14:textId="77777777" w:rsidR="004F3193" w:rsidRPr="000203E1" w:rsidRDefault="004F3193" w:rsidP="004F3193">
            <w:pPr>
              <w:rPr>
                <w:bCs/>
                <w:lang w:eastAsia="lt-LT"/>
              </w:rPr>
            </w:pPr>
          </w:p>
          <w:p w14:paraId="1B2FAF1E" w14:textId="77777777" w:rsidR="004F3193" w:rsidRPr="000203E1" w:rsidRDefault="004F3193" w:rsidP="004F3193">
            <w:pPr>
              <w:rPr>
                <w:bCs/>
                <w:lang w:eastAsia="lt-LT"/>
              </w:rPr>
            </w:pPr>
          </w:p>
          <w:p w14:paraId="0F5DCFDE" w14:textId="77777777" w:rsidR="004F3193" w:rsidRPr="000203E1" w:rsidRDefault="004F3193" w:rsidP="004F3193">
            <w:pPr>
              <w:rPr>
                <w:bCs/>
                <w:lang w:eastAsia="lt-LT"/>
              </w:rPr>
            </w:pPr>
          </w:p>
        </w:tc>
        <w:tc>
          <w:tcPr>
            <w:tcW w:w="5806" w:type="dxa"/>
          </w:tcPr>
          <w:p w14:paraId="1CFC3372" w14:textId="18EB4EAB" w:rsidR="004F3193" w:rsidRPr="000203E1" w:rsidRDefault="00000000" w:rsidP="004F3193">
            <w:sdt>
              <w:sdtPr>
                <w:rPr>
                  <w:rStyle w:val="Style2"/>
                  <w:sz w:val="24"/>
                </w:rPr>
                <w:id w:val="1480955706"/>
                <w15:color w:val="FFCC00"/>
                <w14:checkbox>
                  <w14:checked w14:val="1"/>
                  <w14:checkedState w14:val="2612" w14:font="MS Gothic"/>
                  <w14:uncheckedState w14:val="2610" w14:font="MS Gothic"/>
                </w14:checkbox>
              </w:sdtPr>
              <w:sdtContent>
                <w:r w:rsidR="004F3193">
                  <w:rPr>
                    <w:rStyle w:val="Style2"/>
                    <w:rFonts w:ascii="MS Gothic" w:eastAsia="MS Gothic" w:hAnsi="MS Gothic" w:hint="eastAsia"/>
                    <w:sz w:val="24"/>
                  </w:rPr>
                  <w:t>☒</w:t>
                </w:r>
              </w:sdtContent>
            </w:sdt>
            <w:r w:rsidR="004F3193" w:rsidRPr="000203E1">
              <w:t xml:space="preserve"> Tinkamas</w:t>
            </w:r>
            <w:r w:rsidR="004F3193">
              <w:t xml:space="preserve"> (ezetimibo monoterapija)</w:t>
            </w:r>
          </w:p>
          <w:p w14:paraId="124E4DF2" w14:textId="6E5D28AC" w:rsidR="004F3193" w:rsidRPr="000203E1" w:rsidRDefault="00000000" w:rsidP="004F3193">
            <w:sdt>
              <w:sdtPr>
                <w:rPr>
                  <w:rStyle w:val="Style2"/>
                  <w:sz w:val="24"/>
                </w:rPr>
                <w:id w:val="-352420698"/>
                <w15:color w:val="FFCC00"/>
                <w14:checkbox>
                  <w14:checked w14:val="1"/>
                  <w14:checkedState w14:val="2612" w14:font="MS Gothic"/>
                  <w14:uncheckedState w14:val="2610" w14:font="MS Gothic"/>
                </w14:checkbox>
              </w:sdtPr>
              <w:sdtContent>
                <w:r w:rsidR="004F3193">
                  <w:rPr>
                    <w:rStyle w:val="Style2"/>
                    <w:rFonts w:ascii="MS Gothic" w:eastAsia="MS Gothic" w:hAnsi="MS Gothic" w:hint="eastAsia"/>
                    <w:sz w:val="24"/>
                  </w:rPr>
                  <w:t>☒</w:t>
                </w:r>
              </w:sdtContent>
            </w:sdt>
            <w:r w:rsidR="004F3193" w:rsidRPr="000203E1">
              <w:t xml:space="preserve"> Netinkama</w:t>
            </w:r>
            <w:r w:rsidR="004F3193">
              <w:t>s (statino monoterapija)</w:t>
            </w:r>
          </w:p>
        </w:tc>
      </w:tr>
    </w:tbl>
    <w:p w14:paraId="17DA37FC" w14:textId="77777777" w:rsidR="004F3193" w:rsidRPr="004F3193" w:rsidRDefault="004F3193" w:rsidP="004F3193">
      <w:pPr>
        <w:tabs>
          <w:tab w:val="left" w:pos="284"/>
        </w:tabs>
        <w:rPr>
          <w:b/>
          <w:bCs/>
          <w:caps/>
        </w:rPr>
      </w:pPr>
    </w:p>
    <w:p w14:paraId="04A7C7A7" w14:textId="77777777" w:rsidR="00B13D65" w:rsidRPr="00F832F8" w:rsidRDefault="00B13D65" w:rsidP="00E03C3F">
      <w:pPr>
        <w:pStyle w:val="Sraopastraipa"/>
        <w:tabs>
          <w:tab w:val="left" w:pos="284"/>
        </w:tabs>
        <w:ind w:left="0"/>
        <w:rPr>
          <w:b/>
          <w:bCs/>
          <w:caps/>
        </w:rPr>
      </w:pPr>
    </w:p>
    <w:p w14:paraId="09B87523" w14:textId="77777777" w:rsidR="00377D96" w:rsidRDefault="00377D96" w:rsidP="00E03C3F">
      <w:pPr>
        <w:pStyle w:val="Sraopastraipa"/>
        <w:tabs>
          <w:tab w:val="left" w:pos="426"/>
        </w:tabs>
        <w:ind w:left="0"/>
        <w:rPr>
          <w:b/>
          <w:bCs/>
          <w:caps/>
        </w:rPr>
      </w:pPr>
    </w:p>
    <w:p w14:paraId="38017638" w14:textId="77777777" w:rsidR="00377D96" w:rsidRDefault="00377D96" w:rsidP="00E03C3F">
      <w:pPr>
        <w:pStyle w:val="Sraopastraipa"/>
        <w:tabs>
          <w:tab w:val="left" w:pos="426"/>
        </w:tabs>
        <w:ind w:left="0"/>
        <w:rPr>
          <w:b/>
          <w:bCs/>
          <w:caps/>
        </w:rPr>
      </w:pPr>
    </w:p>
    <w:p w14:paraId="314E5CB8" w14:textId="77777777" w:rsidR="00377D96" w:rsidRDefault="00377D96" w:rsidP="00E03C3F">
      <w:pPr>
        <w:pStyle w:val="Sraopastraipa"/>
        <w:tabs>
          <w:tab w:val="left" w:pos="426"/>
        </w:tabs>
        <w:ind w:left="0"/>
        <w:rPr>
          <w:b/>
          <w:bCs/>
          <w:caps/>
        </w:rPr>
      </w:pPr>
    </w:p>
    <w:p w14:paraId="2D4DA360" w14:textId="78AD0B52" w:rsidR="004F3193" w:rsidRDefault="004F3193">
      <w:pPr>
        <w:rPr>
          <w:b/>
          <w:bCs/>
          <w:caps/>
        </w:rPr>
      </w:pPr>
      <w:r>
        <w:rPr>
          <w:b/>
          <w:bCs/>
          <w:caps/>
        </w:rPr>
        <w:br w:type="page"/>
      </w:r>
    </w:p>
    <w:p w14:paraId="21983E81" w14:textId="77777777" w:rsidR="00377D96" w:rsidRPr="00F832F8" w:rsidRDefault="00377D96" w:rsidP="00E03C3F">
      <w:pPr>
        <w:pStyle w:val="Sraopastraipa"/>
        <w:tabs>
          <w:tab w:val="left" w:pos="426"/>
        </w:tabs>
        <w:ind w:left="0"/>
        <w:rPr>
          <w:b/>
          <w:bCs/>
          <w:caps/>
        </w:rPr>
      </w:pPr>
    </w:p>
    <w:p w14:paraId="2871CA7F" w14:textId="2370BDDB" w:rsidR="00F70C9E" w:rsidRPr="00F832F8" w:rsidRDefault="00F70C9E" w:rsidP="00880A44">
      <w:pPr>
        <w:spacing w:line="276" w:lineRule="auto"/>
        <w:jc w:val="both"/>
        <w:rPr>
          <w:rFonts w:eastAsia="Arial"/>
          <w:b/>
        </w:rPr>
      </w:pPr>
      <w:r w:rsidRPr="00F832F8">
        <w:rPr>
          <w:rFonts w:eastAsia="Arial"/>
          <w:b/>
        </w:rPr>
        <w:t xml:space="preserve">1.8 Kitų </w:t>
      </w:r>
      <w:r w:rsidR="00DF583C" w:rsidRPr="00F832F8">
        <w:rPr>
          <w:rFonts w:eastAsia="Arial"/>
          <w:b/>
        </w:rPr>
        <w:t xml:space="preserve">valstybių </w:t>
      </w:r>
      <w:r w:rsidRPr="00F832F8">
        <w:rPr>
          <w:rFonts w:eastAsia="Arial"/>
          <w:b/>
        </w:rPr>
        <w:t xml:space="preserve">atsakingų institucijų atlikto </w:t>
      </w:r>
      <w:r w:rsidR="00DF583C" w:rsidRPr="00F832F8">
        <w:rPr>
          <w:rFonts w:eastAsia="Arial"/>
          <w:b/>
        </w:rPr>
        <w:t>Sveikatos technologijų vertinimo (toliau – STV)</w:t>
      </w:r>
      <w:r w:rsidRPr="00F832F8">
        <w:rPr>
          <w:rFonts w:eastAsia="Arial"/>
          <w:b/>
        </w:rPr>
        <w:t xml:space="preserve"> išvados</w:t>
      </w:r>
    </w:p>
    <w:p w14:paraId="30721FDD" w14:textId="77777777" w:rsidR="00F70C9E" w:rsidRPr="00F832F8"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799"/>
        <w:gridCol w:w="1777"/>
        <w:gridCol w:w="3053"/>
        <w:gridCol w:w="2289"/>
      </w:tblGrid>
      <w:tr w:rsidR="007646F9" w:rsidRPr="001A5F98" w14:paraId="3634A6F2" w14:textId="77777777" w:rsidTr="00E6171D">
        <w:trPr>
          <w:trHeight w:val="924"/>
        </w:trPr>
        <w:tc>
          <w:tcPr>
            <w:tcW w:w="2799" w:type="dxa"/>
          </w:tcPr>
          <w:p w14:paraId="7AFA0E2F" w14:textId="77777777" w:rsidR="007646F9" w:rsidRPr="001A5F98" w:rsidRDefault="007646F9" w:rsidP="00E6171D">
            <w:pPr>
              <w:spacing w:line="276" w:lineRule="auto"/>
              <w:rPr>
                <w:rFonts w:eastAsia="Arial"/>
              </w:rPr>
            </w:pPr>
            <w:r w:rsidRPr="001A5F98">
              <w:rPr>
                <w:rFonts w:eastAsia="Arial"/>
              </w:rPr>
              <w:t>STV agentūros pavadinimas, šalis</w:t>
            </w:r>
          </w:p>
        </w:tc>
        <w:tc>
          <w:tcPr>
            <w:tcW w:w="1777" w:type="dxa"/>
          </w:tcPr>
          <w:p w14:paraId="65FF2027" w14:textId="77777777" w:rsidR="007646F9" w:rsidRPr="001A5F98" w:rsidRDefault="007646F9" w:rsidP="00E6171D">
            <w:pPr>
              <w:spacing w:line="276" w:lineRule="auto"/>
              <w:rPr>
                <w:rFonts w:eastAsia="Arial"/>
              </w:rPr>
            </w:pPr>
            <w:r w:rsidRPr="001A5F98">
              <w:rPr>
                <w:rFonts w:eastAsia="Arial"/>
              </w:rPr>
              <w:t>STV vertinimas atliktas</w:t>
            </w:r>
          </w:p>
        </w:tc>
        <w:tc>
          <w:tcPr>
            <w:tcW w:w="3053" w:type="dxa"/>
          </w:tcPr>
          <w:p w14:paraId="07815469" w14:textId="77777777" w:rsidR="007646F9" w:rsidRPr="001A5F98" w:rsidRDefault="007646F9" w:rsidP="00E6171D">
            <w:pPr>
              <w:spacing w:line="276" w:lineRule="auto"/>
              <w:rPr>
                <w:rFonts w:eastAsia="Arial"/>
              </w:rPr>
            </w:pPr>
            <w:r w:rsidRPr="001A5F98">
              <w:rPr>
                <w:rFonts w:eastAsia="Arial"/>
              </w:rPr>
              <w:t>Klinikinio vertinimo išvada</w:t>
            </w:r>
          </w:p>
        </w:tc>
        <w:tc>
          <w:tcPr>
            <w:tcW w:w="2289" w:type="dxa"/>
          </w:tcPr>
          <w:p w14:paraId="078FE444" w14:textId="77777777" w:rsidR="007646F9" w:rsidRPr="001A5F98" w:rsidRDefault="007646F9" w:rsidP="00E6171D">
            <w:pPr>
              <w:spacing w:line="276" w:lineRule="auto"/>
              <w:rPr>
                <w:rFonts w:eastAsia="Arial"/>
              </w:rPr>
            </w:pPr>
            <w:r w:rsidRPr="001A5F98">
              <w:rPr>
                <w:rFonts w:eastAsia="Arial"/>
              </w:rPr>
              <w:t>Farmakoekonominio vertinimo išvada</w:t>
            </w:r>
          </w:p>
        </w:tc>
      </w:tr>
      <w:tr w:rsidR="007646F9" w:rsidRPr="001A5F98" w14:paraId="0637DDCC" w14:textId="77777777" w:rsidTr="00E6171D">
        <w:trPr>
          <w:trHeight w:val="1765"/>
        </w:trPr>
        <w:tc>
          <w:tcPr>
            <w:tcW w:w="2799" w:type="dxa"/>
          </w:tcPr>
          <w:p w14:paraId="1CF56C21" w14:textId="77777777" w:rsidR="007646F9" w:rsidRPr="001A5F98" w:rsidRDefault="007646F9" w:rsidP="00E6171D">
            <w:pPr>
              <w:autoSpaceDE w:val="0"/>
              <w:autoSpaceDN w:val="0"/>
              <w:adjustRightInd w:val="0"/>
              <w:rPr>
                <w:bCs/>
              </w:rPr>
            </w:pPr>
            <w:r w:rsidRPr="001A5F98">
              <w:rPr>
                <w:bCs/>
              </w:rPr>
              <w:t>Nacionalinis sveikatos ir klinikinės kompetencijos institutas, Didžioji Britanija</w:t>
            </w:r>
          </w:p>
          <w:p w14:paraId="0E41FC24" w14:textId="77777777" w:rsidR="007646F9" w:rsidRPr="001A5F98" w:rsidRDefault="007646F9" w:rsidP="00E6171D">
            <w:pPr>
              <w:spacing w:line="276" w:lineRule="auto"/>
              <w:rPr>
                <w:rFonts w:eastAsia="Arial"/>
              </w:rPr>
            </w:pPr>
            <w:r w:rsidRPr="001A5F98">
              <w:rPr>
                <w:rFonts w:eastAsia="Arial"/>
              </w:rPr>
              <w:t xml:space="preserve">(angl. </w:t>
            </w:r>
            <w:r w:rsidRPr="001A5F98">
              <w:rPr>
                <w:rFonts w:eastAsia="Arial"/>
                <w:i/>
              </w:rPr>
              <w:t>National Institute for Health and Care Excellence, NICE</w:t>
            </w:r>
            <w:r w:rsidRPr="001A5F98">
              <w:rPr>
                <w:rFonts w:eastAsia="Arial"/>
              </w:rPr>
              <w:t>)</w:t>
            </w:r>
          </w:p>
        </w:tc>
        <w:tc>
          <w:tcPr>
            <w:tcW w:w="1777" w:type="dxa"/>
          </w:tcPr>
          <w:p w14:paraId="1472B5DE" w14:textId="77777777" w:rsidR="007646F9" w:rsidRPr="001A5F98" w:rsidRDefault="007646F9" w:rsidP="00E6171D">
            <w:r w:rsidRPr="001A5F98">
              <w:rPr>
                <w:rStyle w:val="Style2"/>
                <w:rFonts w:ascii="MS Gothic" w:eastAsia="MS Gothic" w:hAnsi="MS Gothic" w:hint="eastAsia"/>
              </w:rPr>
              <w:t>☒</w:t>
            </w:r>
            <w:r w:rsidRPr="001A5F98">
              <w:t xml:space="preserve"> Taip</w:t>
            </w:r>
          </w:p>
          <w:p w14:paraId="0FB7AF63" w14:textId="77777777" w:rsidR="007646F9" w:rsidRPr="001A5F98" w:rsidRDefault="007646F9" w:rsidP="00E6171D">
            <w:r w:rsidRPr="001A5F98">
              <w:rPr>
                <w:rStyle w:val="Style2"/>
                <w:rFonts w:ascii="MS Gothic" w:eastAsia="MS Gothic" w:hAnsi="MS Gothic" w:hint="eastAsia"/>
              </w:rPr>
              <w:t>☐</w:t>
            </w:r>
            <w:r w:rsidRPr="001A5F98">
              <w:t xml:space="preserve"> Ne</w:t>
            </w:r>
          </w:p>
          <w:p w14:paraId="14D0231D" w14:textId="77777777" w:rsidR="007646F9" w:rsidRPr="001A5F98" w:rsidRDefault="00000000" w:rsidP="00E6171D">
            <w:pPr>
              <w:rPr>
                <w:rFonts w:eastAsia="Arial"/>
              </w:rPr>
            </w:pPr>
            <w:sdt>
              <w:sdtPr>
                <w:alias w:val="Nurodykite konkrečią dieną"/>
                <w:tag w:val="Nurodykite pradžios datą"/>
                <w:id w:val="143633704"/>
                <w:placeholder>
                  <w:docPart w:val="F6B923AF22DB4C3D90079A16857A593C"/>
                </w:placeholder>
                <w15:color w:val="FFCC99"/>
                <w:date>
                  <w:dateFormat w:val="yyyy 'm.' MMMM d 'd.'"/>
                  <w:lid w:val="lt-LT"/>
                  <w:storeMappedDataAs w:val="dateTime"/>
                  <w:calendar w:val="gregorian"/>
                </w:date>
              </w:sdtPr>
              <w:sdtContent>
                <w:r w:rsidR="007646F9">
                  <w:t>2016 m. birželio 22 d.</w:t>
                </w:r>
              </w:sdtContent>
            </w:sdt>
          </w:p>
        </w:tc>
        <w:tc>
          <w:tcPr>
            <w:tcW w:w="5342" w:type="dxa"/>
            <w:gridSpan w:val="2"/>
          </w:tcPr>
          <w:p w14:paraId="0FDFC137" w14:textId="77777777" w:rsidR="007646F9" w:rsidRDefault="007646F9" w:rsidP="00E6171D">
            <w:pPr>
              <w:spacing w:line="276" w:lineRule="auto"/>
              <w:jc w:val="both"/>
            </w:pPr>
            <w:r>
              <w:rPr>
                <w:rFonts w:eastAsia="Arial"/>
                <w:noProof/>
              </w:rPr>
              <w:t xml:space="preserve">Rekomenduojama kompensuoti sumažinus kainą pacientams, </w:t>
            </w:r>
            <w:r>
              <w:t>sergantiems pirmine hipercholesterolemija (heterozigotine šeimine ir nešeimine) arba mišria dislipidemija, atitinkantiems šiuos kriterijus:</w:t>
            </w:r>
          </w:p>
          <w:p w14:paraId="16041EDE" w14:textId="77777777" w:rsidR="007646F9" w:rsidRPr="00101188" w:rsidRDefault="007646F9" w:rsidP="007646F9">
            <w:pPr>
              <w:pStyle w:val="Sraopastraipa"/>
              <w:numPr>
                <w:ilvl w:val="0"/>
                <w:numId w:val="20"/>
              </w:numPr>
              <w:spacing w:line="276" w:lineRule="auto"/>
              <w:jc w:val="both"/>
              <w:rPr>
                <w:rFonts w:eastAsia="Arial"/>
              </w:rPr>
            </w:pPr>
            <w:r>
              <w:rPr>
                <w:rFonts w:eastAsia="Arial"/>
              </w:rPr>
              <w:t>Skiriant kitą maksimalų toleruojamą antilipidinį gydymą (statinu ir ezetimibu) nepasiekiamos tikslinės MTL-C reikšmės (priklausomai nuo hipercholestorelemijos tipo ir kardiovaskulinės rizikos, &lt;3,5/4,0/5,0 mmol/l;</w:t>
            </w:r>
          </w:p>
          <w:p w14:paraId="3720F3DB" w14:textId="77777777" w:rsidR="007646F9" w:rsidRPr="00101188" w:rsidRDefault="007646F9" w:rsidP="007646F9">
            <w:pPr>
              <w:pStyle w:val="Sraopastraipa"/>
              <w:numPr>
                <w:ilvl w:val="0"/>
                <w:numId w:val="20"/>
              </w:numPr>
              <w:spacing w:line="276" w:lineRule="auto"/>
              <w:jc w:val="both"/>
              <w:rPr>
                <w:rFonts w:eastAsia="Arial"/>
              </w:rPr>
            </w:pPr>
            <w:r>
              <w:rPr>
                <w:rFonts w:eastAsia="Arial"/>
              </w:rPr>
              <w:t>Dozuotė – 140 mg kas 2 savaites.</w:t>
            </w:r>
          </w:p>
        </w:tc>
      </w:tr>
      <w:tr w:rsidR="007646F9" w:rsidRPr="001A5F98" w14:paraId="7A53D3B6" w14:textId="77777777" w:rsidTr="00E6171D">
        <w:trPr>
          <w:trHeight w:val="1547"/>
        </w:trPr>
        <w:tc>
          <w:tcPr>
            <w:tcW w:w="2799" w:type="dxa"/>
          </w:tcPr>
          <w:p w14:paraId="2844884B" w14:textId="77777777" w:rsidR="007646F9" w:rsidRPr="001A5F98" w:rsidRDefault="007646F9" w:rsidP="00E6171D">
            <w:pPr>
              <w:spacing w:line="276" w:lineRule="auto"/>
              <w:rPr>
                <w:rFonts w:eastAsia="Arial"/>
              </w:rPr>
            </w:pPr>
            <w:r w:rsidRPr="001A5F98">
              <w:rPr>
                <w:rFonts w:eastAsia="Arial"/>
              </w:rPr>
              <w:t>Kanados sveikatos technologijų agentūra</w:t>
            </w:r>
          </w:p>
          <w:p w14:paraId="682D6D06" w14:textId="77777777" w:rsidR="007646F9" w:rsidRPr="001A5F98" w:rsidRDefault="007646F9" w:rsidP="00E6171D">
            <w:pPr>
              <w:spacing w:line="276" w:lineRule="auto"/>
              <w:rPr>
                <w:rFonts w:eastAsia="Arial"/>
              </w:rPr>
            </w:pPr>
            <w:r w:rsidRPr="001A5F98">
              <w:rPr>
                <w:rFonts w:eastAsia="Arial"/>
              </w:rPr>
              <w:t xml:space="preserve">(angl. </w:t>
            </w:r>
            <w:r w:rsidRPr="001A5F98">
              <w:rPr>
                <w:rFonts w:eastAsia="Arial"/>
                <w:i/>
              </w:rPr>
              <w:t>Canadian health Technology Assessment agency, CADTH</w:t>
            </w:r>
            <w:r w:rsidRPr="001A5F98">
              <w:rPr>
                <w:rFonts w:eastAsia="Arial"/>
              </w:rPr>
              <w:t>)</w:t>
            </w:r>
          </w:p>
        </w:tc>
        <w:tc>
          <w:tcPr>
            <w:tcW w:w="1777" w:type="dxa"/>
          </w:tcPr>
          <w:p w14:paraId="31BC7FD5" w14:textId="77777777" w:rsidR="007646F9" w:rsidRPr="001A5F98" w:rsidRDefault="007646F9" w:rsidP="00E6171D">
            <w:r w:rsidRPr="001A5F98">
              <w:rPr>
                <w:rStyle w:val="Style2"/>
                <w:rFonts w:ascii="MS Gothic" w:eastAsia="MS Gothic" w:hAnsi="MS Gothic" w:hint="eastAsia"/>
              </w:rPr>
              <w:t>☒</w:t>
            </w:r>
            <w:r w:rsidRPr="001A5F98">
              <w:t xml:space="preserve"> Taip</w:t>
            </w:r>
          </w:p>
          <w:p w14:paraId="2780E380" w14:textId="77777777" w:rsidR="007646F9" w:rsidRPr="001A5F98" w:rsidRDefault="007646F9" w:rsidP="00E6171D">
            <w:r w:rsidRPr="001A5F98">
              <w:rPr>
                <w:rStyle w:val="Style2"/>
                <w:rFonts w:ascii="Segoe UI Symbol" w:eastAsia="MS Gothic" w:hAnsi="Segoe UI Symbol" w:cs="Segoe UI Symbol"/>
              </w:rPr>
              <w:t>☐</w:t>
            </w:r>
            <w:r w:rsidRPr="001A5F98">
              <w:t xml:space="preserve"> Ne</w:t>
            </w:r>
          </w:p>
          <w:p w14:paraId="16A4662A" w14:textId="77777777" w:rsidR="007646F9" w:rsidRPr="001A5F98" w:rsidRDefault="00000000" w:rsidP="00E6171D">
            <w:pPr>
              <w:spacing w:line="276" w:lineRule="auto"/>
              <w:rPr>
                <w:rFonts w:eastAsia="Arial"/>
              </w:rPr>
            </w:pPr>
            <w:sdt>
              <w:sdtPr>
                <w:alias w:val="Nurodykite konkrečią dieną"/>
                <w:tag w:val="Nurodykite pradžios datą"/>
                <w:id w:val="1147098302"/>
                <w:placeholder>
                  <w:docPart w:val="B0C640AABE4F433985E5995453D6F025"/>
                </w:placeholder>
                <w15:color w:val="FFCC99"/>
                <w:date>
                  <w:dateFormat w:val="yyyy 'm.' MMMM d 'd.'"/>
                  <w:lid w:val="lt-LT"/>
                  <w:storeMappedDataAs w:val="dateTime"/>
                  <w:calendar w:val="gregorian"/>
                </w:date>
              </w:sdtPr>
              <w:sdtContent>
                <w:r w:rsidR="007646F9">
                  <w:t>2017 m. lapkričio 22 d.</w:t>
                </w:r>
              </w:sdtContent>
            </w:sdt>
          </w:p>
        </w:tc>
        <w:tc>
          <w:tcPr>
            <w:tcW w:w="5342" w:type="dxa"/>
            <w:gridSpan w:val="2"/>
          </w:tcPr>
          <w:p w14:paraId="3BF029BB" w14:textId="77777777" w:rsidR="007646F9" w:rsidRDefault="007646F9" w:rsidP="00E6171D">
            <w:pPr>
              <w:spacing w:line="276" w:lineRule="auto"/>
              <w:jc w:val="both"/>
            </w:pPr>
            <w:r>
              <w:rPr>
                <w:rFonts w:eastAsia="Arial"/>
              </w:rPr>
              <w:t>Rekomenduota kompensuoti sumažinus kainą (bent 90%)</w:t>
            </w:r>
            <w:r>
              <w:t xml:space="preserve"> pacientams, sergantiems pirmine hipercholesterolemija (heterozigotine šeimine ir nešeimine) arba mišria dislipidemija, atitinkantiems šiuos kriterijus (atitinka FOURIER tyrimo įtraukimo kriterijus):</w:t>
            </w:r>
          </w:p>
          <w:p w14:paraId="077DC7EC" w14:textId="77777777" w:rsidR="007646F9" w:rsidRDefault="007646F9" w:rsidP="007646F9">
            <w:pPr>
              <w:pStyle w:val="Sraopastraipa"/>
              <w:numPr>
                <w:ilvl w:val="0"/>
                <w:numId w:val="21"/>
              </w:numPr>
              <w:spacing w:line="276" w:lineRule="auto"/>
              <w:jc w:val="both"/>
              <w:rPr>
                <w:rFonts w:eastAsia="Arial"/>
              </w:rPr>
            </w:pPr>
            <w:r>
              <w:rPr>
                <w:rFonts w:eastAsia="Arial"/>
              </w:rPr>
              <w:t>Nustatyta reikšminga aterosklerozinė kardiovaskulinė liga ir yra didelė kardiovaskulinių įvykių rizika;</w:t>
            </w:r>
          </w:p>
          <w:p w14:paraId="7F6B6C2B" w14:textId="77777777" w:rsidR="007646F9" w:rsidRDefault="007646F9" w:rsidP="007646F9">
            <w:pPr>
              <w:pStyle w:val="Sraopastraipa"/>
              <w:numPr>
                <w:ilvl w:val="0"/>
                <w:numId w:val="21"/>
              </w:numPr>
              <w:spacing w:line="276" w:lineRule="auto"/>
              <w:jc w:val="both"/>
              <w:rPr>
                <w:rFonts w:eastAsia="Arial"/>
              </w:rPr>
            </w:pPr>
            <w:r>
              <w:rPr>
                <w:rFonts w:eastAsia="Arial"/>
              </w:rPr>
              <w:t>Skiriama maksimaliai toleruojama statino dozė;</w:t>
            </w:r>
          </w:p>
          <w:p w14:paraId="572199BE" w14:textId="77777777" w:rsidR="007646F9" w:rsidRDefault="007646F9" w:rsidP="007646F9">
            <w:pPr>
              <w:pStyle w:val="Sraopastraipa"/>
              <w:numPr>
                <w:ilvl w:val="0"/>
                <w:numId w:val="21"/>
              </w:numPr>
              <w:spacing w:line="276" w:lineRule="auto"/>
              <w:jc w:val="both"/>
              <w:rPr>
                <w:rFonts w:eastAsia="Arial"/>
              </w:rPr>
            </w:pPr>
            <w:r>
              <w:rPr>
                <w:rFonts w:eastAsia="Arial"/>
              </w:rPr>
              <w:t>MTL-C ≥ 1,8 mmol/l ar ne DTL-C ≥ 2,6 mmol/l.</w:t>
            </w:r>
          </w:p>
          <w:p w14:paraId="3F13EC0F" w14:textId="77777777" w:rsidR="007646F9" w:rsidRPr="00FB67CC" w:rsidRDefault="007646F9" w:rsidP="00E6171D">
            <w:pPr>
              <w:spacing w:line="276" w:lineRule="auto"/>
              <w:jc w:val="both"/>
              <w:rPr>
                <w:rFonts w:eastAsia="Arial"/>
              </w:rPr>
            </w:pPr>
            <w:r>
              <w:rPr>
                <w:rFonts w:eastAsia="Arial"/>
              </w:rPr>
              <w:t>2023 m. lapkričio 29 d. CADHT pateikta nauja evolokumabo paraiška, kurioje siekiama jo kompensavimo po neseniai įvykusio ūminio koronarinio sindromo ir skiriant maksimalų toleruojamą antilipidinį gydymą (statinu su ar be ezetimibo) nepasiektos tikslinės MTL-C (≥ 1,8 mmol/l) reikšmės.</w:t>
            </w:r>
          </w:p>
        </w:tc>
      </w:tr>
      <w:tr w:rsidR="007646F9" w:rsidRPr="001A5F98" w14:paraId="67606D84" w14:textId="77777777" w:rsidTr="00E6171D">
        <w:trPr>
          <w:trHeight w:val="1547"/>
        </w:trPr>
        <w:tc>
          <w:tcPr>
            <w:tcW w:w="2799" w:type="dxa"/>
          </w:tcPr>
          <w:p w14:paraId="7CEDEC44" w14:textId="77777777" w:rsidR="007646F9" w:rsidRPr="001F216C" w:rsidRDefault="007646F9" w:rsidP="00E6171D">
            <w:pPr>
              <w:spacing w:line="276" w:lineRule="auto"/>
              <w:rPr>
                <w:rFonts w:eastAsia="Arial"/>
                <w:noProof/>
              </w:rPr>
            </w:pPr>
            <w:r w:rsidRPr="001F216C">
              <w:rPr>
                <w:rFonts w:eastAsia="Arial"/>
                <w:noProof/>
              </w:rPr>
              <w:t>Nacionalinis farmakoekonomikos centras, Airija</w:t>
            </w:r>
          </w:p>
          <w:p w14:paraId="4E8DF659" w14:textId="77777777" w:rsidR="007646F9" w:rsidRPr="001A5F98" w:rsidRDefault="007646F9" w:rsidP="00E6171D">
            <w:pPr>
              <w:spacing w:line="276" w:lineRule="auto"/>
              <w:rPr>
                <w:rFonts w:eastAsia="Arial"/>
              </w:rPr>
            </w:pPr>
            <w:r w:rsidRPr="001F216C">
              <w:rPr>
                <w:rFonts w:eastAsia="Arial"/>
                <w:noProof/>
              </w:rPr>
              <w:t>(angl.</w:t>
            </w:r>
            <w:r w:rsidRPr="001F216C">
              <w:rPr>
                <w:rFonts w:eastAsia="Arial"/>
                <w:i/>
                <w:noProof/>
              </w:rPr>
              <w:t xml:space="preserve"> National Centre for Pharmacoeconomics, NCPE</w:t>
            </w:r>
            <w:r w:rsidRPr="001F216C">
              <w:rPr>
                <w:rFonts w:eastAsia="Arial"/>
                <w:noProof/>
              </w:rPr>
              <w:t>)</w:t>
            </w:r>
          </w:p>
        </w:tc>
        <w:tc>
          <w:tcPr>
            <w:tcW w:w="1777" w:type="dxa"/>
          </w:tcPr>
          <w:p w14:paraId="373081BC" w14:textId="77777777" w:rsidR="007646F9" w:rsidRPr="001F216C" w:rsidRDefault="00000000" w:rsidP="00E6171D">
            <w:pPr>
              <w:pStyle w:val="Sraopastraipa"/>
              <w:spacing w:after="120" w:line="276" w:lineRule="auto"/>
              <w:ind w:left="0"/>
              <w:contextualSpacing w:val="0"/>
              <w:jc w:val="both"/>
              <w:rPr>
                <w:noProof/>
              </w:rPr>
            </w:pPr>
            <w:sdt>
              <w:sdtPr>
                <w:rPr>
                  <w:rStyle w:val="Style2"/>
                  <w:noProof/>
                </w:rPr>
                <w:id w:val="1680156774"/>
                <w15:color w:val="FFCC00"/>
                <w14:checkbox>
                  <w14:checked w14:val="1"/>
                  <w14:checkedState w14:val="2612" w14:font="MS Gothic"/>
                  <w14:uncheckedState w14:val="2610" w14:font="MS Gothic"/>
                </w14:checkbox>
              </w:sdtPr>
              <w:sdtContent>
                <w:r w:rsidR="007646F9">
                  <w:rPr>
                    <w:rStyle w:val="Style2"/>
                    <w:rFonts w:ascii="MS Gothic" w:eastAsia="MS Gothic" w:hAnsi="MS Gothic" w:hint="eastAsia"/>
                    <w:noProof/>
                  </w:rPr>
                  <w:t>☒</w:t>
                </w:r>
              </w:sdtContent>
            </w:sdt>
            <w:r w:rsidR="007646F9" w:rsidRPr="001F216C">
              <w:rPr>
                <w:noProof/>
              </w:rPr>
              <w:t xml:space="preserve"> Taip</w:t>
            </w:r>
          </w:p>
          <w:p w14:paraId="5AEDD51F" w14:textId="77777777" w:rsidR="007646F9" w:rsidRPr="001F216C" w:rsidRDefault="00000000" w:rsidP="00E6171D">
            <w:pPr>
              <w:pStyle w:val="Sraopastraipa"/>
              <w:spacing w:after="120" w:line="276" w:lineRule="auto"/>
              <w:ind w:left="0"/>
              <w:contextualSpacing w:val="0"/>
              <w:jc w:val="both"/>
              <w:rPr>
                <w:noProof/>
              </w:rPr>
            </w:pPr>
            <w:sdt>
              <w:sdtPr>
                <w:rPr>
                  <w:rStyle w:val="Style2"/>
                  <w:noProof/>
                </w:rPr>
                <w:id w:val="674924162"/>
                <w15:color w:val="FFCC00"/>
                <w14:checkbox>
                  <w14:checked w14:val="0"/>
                  <w14:checkedState w14:val="2612" w14:font="MS Gothic"/>
                  <w14:uncheckedState w14:val="2610" w14:font="MS Gothic"/>
                </w14:checkbox>
              </w:sdtPr>
              <w:sdtContent>
                <w:r w:rsidR="007646F9">
                  <w:rPr>
                    <w:rStyle w:val="Style2"/>
                    <w:rFonts w:ascii="MS Gothic" w:eastAsia="MS Gothic" w:hAnsi="MS Gothic" w:hint="eastAsia"/>
                    <w:noProof/>
                  </w:rPr>
                  <w:t>☐</w:t>
                </w:r>
              </w:sdtContent>
            </w:sdt>
            <w:r w:rsidR="007646F9" w:rsidRPr="001F216C">
              <w:rPr>
                <w:noProof/>
              </w:rPr>
              <w:t xml:space="preserve"> Ne</w:t>
            </w:r>
          </w:p>
          <w:p w14:paraId="7115FF91" w14:textId="77777777" w:rsidR="007646F9" w:rsidRPr="001A5F98" w:rsidRDefault="00000000" w:rsidP="00E6171D">
            <w:pPr>
              <w:rPr>
                <w:rStyle w:val="Style2"/>
                <w:rFonts w:ascii="MS Gothic" w:eastAsia="MS Gothic" w:hAnsi="MS Gothic"/>
              </w:rPr>
            </w:pPr>
            <w:sdt>
              <w:sdtPr>
                <w:rPr>
                  <w:noProof/>
                  <w:sz w:val="32"/>
                </w:rPr>
                <w:alias w:val="Nurodykite konkrečią dieną"/>
                <w:tag w:val="Nurodykite pradžios datą"/>
                <w:id w:val="-1795050074"/>
                <w:placeholder>
                  <w:docPart w:val="F0303D4558E7436FADA732766C35AFA4"/>
                </w:placeholder>
                <w15:color w:val="FFCC99"/>
                <w:date>
                  <w:dateFormat w:val="yyyy 'm.' MMMM d 'd.'"/>
                  <w:lid w:val="lt-LT"/>
                  <w:storeMappedDataAs w:val="dateTime"/>
                  <w:calendar w:val="gregorian"/>
                </w:date>
              </w:sdtPr>
              <w:sdtContent>
                <w:r w:rsidR="007646F9">
                  <w:rPr>
                    <w:noProof/>
                  </w:rPr>
                  <w:t>2018 m. gegužės 16 d.</w:t>
                </w:r>
              </w:sdtContent>
            </w:sdt>
          </w:p>
        </w:tc>
        <w:tc>
          <w:tcPr>
            <w:tcW w:w="5342" w:type="dxa"/>
            <w:gridSpan w:val="2"/>
          </w:tcPr>
          <w:p w14:paraId="73FA60CC" w14:textId="77777777" w:rsidR="007646F9" w:rsidRPr="001A5F98" w:rsidRDefault="007646F9" w:rsidP="00E6171D">
            <w:pPr>
              <w:spacing w:line="276" w:lineRule="auto"/>
              <w:jc w:val="both"/>
              <w:rPr>
                <w:rFonts w:eastAsia="Arial"/>
              </w:rPr>
            </w:pPr>
            <w:r>
              <w:rPr>
                <w:rFonts w:eastAsia="Arial"/>
              </w:rPr>
              <w:t>Rekomenduojama nekompensuoti, išskyrus tuo atveju, jei būtų optimizuojamas kaštų naudingumas, lyginant su kitu kompensuojamu antilipidiniu gydymu. 2019 m. liepos mėn. po konfidencialių derybų priimtas teigiamas sprendimas dėl vaistinio preparato kompensavimo.</w:t>
            </w:r>
          </w:p>
        </w:tc>
      </w:tr>
      <w:tr w:rsidR="007646F9" w:rsidRPr="001A5F98" w14:paraId="0B39BFC9" w14:textId="77777777" w:rsidTr="00E6171D">
        <w:trPr>
          <w:trHeight w:val="1547"/>
        </w:trPr>
        <w:tc>
          <w:tcPr>
            <w:tcW w:w="2799" w:type="dxa"/>
          </w:tcPr>
          <w:p w14:paraId="79564115" w14:textId="77777777" w:rsidR="007646F9" w:rsidRPr="001F216C" w:rsidRDefault="007646F9" w:rsidP="00E6171D">
            <w:pPr>
              <w:spacing w:line="276" w:lineRule="auto"/>
              <w:rPr>
                <w:rFonts w:eastAsia="Arial"/>
                <w:noProof/>
              </w:rPr>
            </w:pPr>
            <w:r w:rsidRPr="00E6595A">
              <w:rPr>
                <w:rFonts w:eastAsia="Arial"/>
                <w:noProof/>
              </w:rPr>
              <w:lastRenderedPageBreak/>
              <w:t xml:space="preserve">Škotijos medicinos konsorciumas </w:t>
            </w:r>
            <w:r w:rsidRPr="001F216C">
              <w:rPr>
                <w:rFonts w:eastAsia="Arial"/>
                <w:noProof/>
              </w:rPr>
              <w:t xml:space="preserve">(angl. </w:t>
            </w:r>
            <w:r>
              <w:rPr>
                <w:rFonts w:eastAsia="Arial"/>
                <w:i/>
                <w:noProof/>
              </w:rPr>
              <w:t>Scottish Medicines Consortium, SMC</w:t>
            </w:r>
            <w:r w:rsidRPr="001F216C">
              <w:rPr>
                <w:rFonts w:eastAsia="Arial"/>
                <w:noProof/>
              </w:rPr>
              <w:t>)</w:t>
            </w:r>
          </w:p>
        </w:tc>
        <w:tc>
          <w:tcPr>
            <w:tcW w:w="1777" w:type="dxa"/>
          </w:tcPr>
          <w:p w14:paraId="7D0BC48D" w14:textId="77777777" w:rsidR="007646F9" w:rsidRPr="001F216C" w:rsidRDefault="00000000" w:rsidP="00E6171D">
            <w:pPr>
              <w:pStyle w:val="Sraopastraipa"/>
              <w:spacing w:after="120" w:line="276" w:lineRule="auto"/>
              <w:ind w:left="0"/>
              <w:contextualSpacing w:val="0"/>
              <w:jc w:val="both"/>
              <w:rPr>
                <w:noProof/>
              </w:rPr>
            </w:pPr>
            <w:sdt>
              <w:sdtPr>
                <w:rPr>
                  <w:rStyle w:val="Style2"/>
                  <w:noProof/>
                </w:rPr>
                <w:id w:val="-1222666236"/>
                <w15:color w:val="FFCC00"/>
                <w14:checkbox>
                  <w14:checked w14:val="1"/>
                  <w14:checkedState w14:val="2612" w14:font="MS Gothic"/>
                  <w14:uncheckedState w14:val="2610" w14:font="MS Gothic"/>
                </w14:checkbox>
              </w:sdtPr>
              <w:sdtContent>
                <w:r w:rsidR="007646F9">
                  <w:rPr>
                    <w:rStyle w:val="Style2"/>
                    <w:rFonts w:ascii="MS Gothic" w:eastAsia="MS Gothic" w:hAnsi="MS Gothic"/>
                    <w:noProof/>
                  </w:rPr>
                  <w:t>☒</w:t>
                </w:r>
              </w:sdtContent>
            </w:sdt>
            <w:r w:rsidR="007646F9" w:rsidRPr="001F216C">
              <w:rPr>
                <w:noProof/>
              </w:rPr>
              <w:t xml:space="preserve"> Taip</w:t>
            </w:r>
          </w:p>
          <w:p w14:paraId="4780543A" w14:textId="77777777" w:rsidR="007646F9" w:rsidRPr="001F216C" w:rsidRDefault="00000000" w:rsidP="00E6171D">
            <w:pPr>
              <w:pStyle w:val="Sraopastraipa"/>
              <w:spacing w:after="120" w:line="276" w:lineRule="auto"/>
              <w:ind w:left="0"/>
              <w:contextualSpacing w:val="0"/>
              <w:jc w:val="both"/>
              <w:rPr>
                <w:noProof/>
              </w:rPr>
            </w:pPr>
            <w:sdt>
              <w:sdtPr>
                <w:rPr>
                  <w:rStyle w:val="Style2"/>
                  <w:noProof/>
                </w:rPr>
                <w:id w:val="885764470"/>
                <w15:color w:val="FFCC00"/>
                <w14:checkbox>
                  <w14:checked w14:val="0"/>
                  <w14:checkedState w14:val="2612" w14:font="MS Gothic"/>
                  <w14:uncheckedState w14:val="2610" w14:font="MS Gothic"/>
                </w14:checkbox>
              </w:sdtPr>
              <w:sdtContent>
                <w:r w:rsidR="007646F9">
                  <w:rPr>
                    <w:rStyle w:val="Style2"/>
                    <w:rFonts w:ascii="MS Gothic" w:eastAsia="MS Gothic" w:hAnsi="MS Gothic"/>
                    <w:noProof/>
                  </w:rPr>
                  <w:t>☐</w:t>
                </w:r>
              </w:sdtContent>
            </w:sdt>
            <w:r w:rsidR="007646F9" w:rsidRPr="001F216C">
              <w:rPr>
                <w:noProof/>
              </w:rPr>
              <w:t xml:space="preserve"> Ne</w:t>
            </w:r>
          </w:p>
          <w:p w14:paraId="212C0A6A" w14:textId="77777777" w:rsidR="007646F9" w:rsidRDefault="00000000" w:rsidP="00E6171D">
            <w:pPr>
              <w:pStyle w:val="Sraopastraipa"/>
              <w:spacing w:after="120" w:line="276" w:lineRule="auto"/>
              <w:ind w:left="0"/>
              <w:contextualSpacing w:val="0"/>
              <w:jc w:val="both"/>
              <w:rPr>
                <w:rStyle w:val="Style2"/>
                <w:rFonts w:ascii="MS Gothic" w:eastAsia="MS Gothic" w:hAnsi="MS Gothic"/>
                <w:noProof/>
              </w:rPr>
            </w:pPr>
            <w:sdt>
              <w:sdtPr>
                <w:rPr>
                  <w:noProof/>
                  <w:sz w:val="32"/>
                </w:rPr>
                <w:alias w:val="Nurodykite konkrečią dieną"/>
                <w:tag w:val="Nurodykite pradžios datą"/>
                <w:id w:val="1811206414"/>
                <w:placeholder>
                  <w:docPart w:val="E083ED5FB7AF4764A541D0DE11DA4C2B"/>
                </w:placeholder>
                <w15:color w:val="FFCC99"/>
                <w:date>
                  <w:dateFormat w:val="yyyy 'm.' MMMM d 'd.'"/>
                  <w:lid w:val="lt-LT"/>
                  <w:storeMappedDataAs w:val="dateTime"/>
                  <w:calendar w:val="gregorian"/>
                </w:date>
              </w:sdtPr>
              <w:sdtContent>
                <w:r w:rsidR="007646F9" w:rsidRPr="009609FC">
                  <w:rPr>
                    <w:noProof/>
                  </w:rPr>
                  <w:t>2021</w:t>
                </w:r>
                <w:r w:rsidR="007646F9">
                  <w:rPr>
                    <w:noProof/>
                  </w:rPr>
                  <w:t xml:space="preserve"> m. kovo 5 d.</w:t>
                </w:r>
              </w:sdtContent>
            </w:sdt>
          </w:p>
        </w:tc>
        <w:tc>
          <w:tcPr>
            <w:tcW w:w="5342" w:type="dxa"/>
            <w:gridSpan w:val="2"/>
          </w:tcPr>
          <w:p w14:paraId="31985A14" w14:textId="77777777" w:rsidR="007646F9" w:rsidRDefault="007646F9" w:rsidP="00E6171D">
            <w:pPr>
              <w:spacing w:line="276" w:lineRule="auto"/>
              <w:jc w:val="both"/>
            </w:pPr>
            <w:r>
              <w:rPr>
                <w:rFonts w:eastAsia="Arial"/>
                <w:noProof/>
              </w:rPr>
              <w:t xml:space="preserve">Rekomenduojama kompensuoti sumažinus kainą pacientams, </w:t>
            </w:r>
            <w:r>
              <w:t>sergantiems pirmine hipercholesterolemija (heterozigotine šeimine ir nešeimine) arba mišria dislipidemija, atitinkantiems šiuos kriterijus: (atitinka NICE)</w:t>
            </w:r>
          </w:p>
          <w:p w14:paraId="3CC47560" w14:textId="77777777" w:rsidR="007646F9" w:rsidRDefault="007646F9" w:rsidP="007646F9">
            <w:pPr>
              <w:pStyle w:val="Sraopastraipa"/>
              <w:numPr>
                <w:ilvl w:val="0"/>
                <w:numId w:val="22"/>
              </w:numPr>
              <w:spacing w:line="276" w:lineRule="auto"/>
              <w:jc w:val="both"/>
              <w:rPr>
                <w:rFonts w:eastAsia="Arial"/>
              </w:rPr>
            </w:pPr>
            <w:r>
              <w:rPr>
                <w:rFonts w:eastAsia="Arial"/>
              </w:rPr>
              <w:t>Skiriant kitą maksimalų toleruojamą antilipidinį gydymą (statinu ir ezetimibu) nepasiekiamos tikslinės MTL-C reikšmės (priklausomai nuo hipercholestorelemijos tipo ir kardiovaskulinės rizikos, &lt;3,5/4,0/5,0 mmol/l;</w:t>
            </w:r>
          </w:p>
          <w:p w14:paraId="57D7C1FC" w14:textId="77777777" w:rsidR="007646F9" w:rsidRPr="007425B5" w:rsidRDefault="007646F9" w:rsidP="007646F9">
            <w:pPr>
              <w:pStyle w:val="Sraopastraipa"/>
              <w:numPr>
                <w:ilvl w:val="0"/>
                <w:numId w:val="22"/>
              </w:numPr>
              <w:spacing w:line="276" w:lineRule="auto"/>
              <w:jc w:val="both"/>
              <w:rPr>
                <w:rFonts w:eastAsia="Arial"/>
              </w:rPr>
            </w:pPr>
            <w:r w:rsidRPr="007425B5">
              <w:rPr>
                <w:rFonts w:eastAsia="Arial"/>
              </w:rPr>
              <w:t>Dozuotė – 140 mg kas 2 savaites.</w:t>
            </w:r>
          </w:p>
        </w:tc>
      </w:tr>
    </w:tbl>
    <w:p w14:paraId="2EB7FD31" w14:textId="3ABBCE52" w:rsidR="00F70C9E" w:rsidRPr="00F832F8" w:rsidRDefault="00F70C9E" w:rsidP="00E03C3F">
      <w:pPr>
        <w:pStyle w:val="Sraopastraipa"/>
        <w:tabs>
          <w:tab w:val="left" w:pos="426"/>
        </w:tabs>
        <w:ind w:left="0"/>
        <w:rPr>
          <w:b/>
          <w:bCs/>
          <w:caps/>
        </w:rPr>
      </w:pPr>
    </w:p>
    <w:p w14:paraId="51E6FB5A" w14:textId="77777777" w:rsidR="00AC33D8" w:rsidRPr="00F832F8" w:rsidRDefault="00AC33D8" w:rsidP="00E03C3F">
      <w:pPr>
        <w:pStyle w:val="Sraopastraipa"/>
        <w:tabs>
          <w:tab w:val="left" w:pos="426"/>
        </w:tabs>
        <w:ind w:left="0"/>
        <w:rPr>
          <w:b/>
          <w:bCs/>
          <w:caps/>
        </w:rPr>
      </w:pPr>
    </w:p>
    <w:p w14:paraId="0569C57E" w14:textId="426CC639" w:rsidR="00AC33D8" w:rsidRPr="00F832F8" w:rsidRDefault="00CC7832" w:rsidP="00AC33D8">
      <w:pPr>
        <w:pStyle w:val="Sraopastraipa"/>
        <w:numPr>
          <w:ilvl w:val="0"/>
          <w:numId w:val="12"/>
        </w:numPr>
        <w:tabs>
          <w:tab w:val="left" w:pos="284"/>
        </w:tabs>
        <w:rPr>
          <w:b/>
          <w:bCs/>
          <w:caps/>
        </w:rPr>
      </w:pPr>
      <w:r w:rsidRPr="00F832F8">
        <w:rPr>
          <w:b/>
          <w:bCs/>
          <w:caps/>
        </w:rPr>
        <w:t>Klinikinio vertinimo a</w:t>
      </w:r>
      <w:r w:rsidR="00D4485B" w:rsidRPr="00F832F8">
        <w:rPr>
          <w:b/>
          <w:bCs/>
          <w:caps/>
        </w:rPr>
        <w:t>pibendrinimas</w:t>
      </w:r>
    </w:p>
    <w:p w14:paraId="61FD41C3" w14:textId="21891E8A" w:rsidR="00AC33D8" w:rsidRPr="00F832F8" w:rsidRDefault="00AC33D8" w:rsidP="00AC33D8">
      <w:pPr>
        <w:tabs>
          <w:tab w:val="left" w:pos="284"/>
        </w:tabs>
        <w:rPr>
          <w:b/>
          <w:bCs/>
          <w:caps/>
        </w:rPr>
      </w:pPr>
    </w:p>
    <w:p w14:paraId="27D4990B" w14:textId="77777777" w:rsidR="003D5BBA" w:rsidRPr="003056E3" w:rsidRDefault="00377D96" w:rsidP="003D5BBA">
      <w:pPr>
        <w:tabs>
          <w:tab w:val="left" w:pos="426"/>
        </w:tabs>
        <w:spacing w:line="276" w:lineRule="auto"/>
        <w:jc w:val="both"/>
        <w:rPr>
          <w:rFonts w:eastAsia="Arial"/>
          <w:iCs/>
        </w:rPr>
      </w:pPr>
      <w:bookmarkStart w:id="0" w:name="_Hlk173408713"/>
      <w:r>
        <w:rPr>
          <w:rFonts w:eastAsia="Arial"/>
          <w:iCs/>
        </w:rPr>
        <w:tab/>
      </w:r>
      <w:r>
        <w:rPr>
          <w:rFonts w:eastAsia="Arial"/>
          <w:iCs/>
        </w:rPr>
        <w:tab/>
      </w:r>
      <w:r w:rsidR="003D5BBA" w:rsidRPr="00D532FE">
        <w:rPr>
          <w:rFonts w:eastAsia="Arial"/>
          <w:iCs/>
        </w:rPr>
        <w:t>Širdies ir kraujagyslių ligos (ŠKL) yra</w:t>
      </w:r>
      <w:r w:rsidR="003D5BBA" w:rsidRPr="00D532FE">
        <w:rPr>
          <w:sz w:val="23"/>
          <w:szCs w:val="23"/>
        </w:rPr>
        <w:t xml:space="preserve"> pagrindinė mirties priežastis visame pasaulyje, nuo kurių miršta maždaug 17,9 mln. žmonių per metus (32% visų mirčių). Keturios iš penkių mirčių nuo ŠKL įvyksta d</w:t>
      </w:r>
      <w:r w:rsidR="003D5BBA" w:rsidRPr="003056E3">
        <w:rPr>
          <w:sz w:val="23"/>
          <w:szCs w:val="23"/>
        </w:rPr>
        <w:t xml:space="preserve">ėl aterosklerozinės ŠKL. Pagal Pasaulio sveikatos organizacijos statistinę klasifikaciją, Lietuva priskiriama labai didelės ŠKL rizikos regionui. Svarbiausi aterosklerozės rizikos veiksniai – </w:t>
      </w:r>
      <w:r w:rsidR="003D5BBA" w:rsidRPr="00675465">
        <w:rPr>
          <w:bCs/>
          <w:sz w:val="23"/>
          <w:szCs w:val="23"/>
        </w:rPr>
        <w:t>dislipidemija</w:t>
      </w:r>
      <w:r w:rsidR="003D5BBA" w:rsidRPr="003056E3">
        <w:rPr>
          <w:sz w:val="23"/>
          <w:szCs w:val="23"/>
        </w:rPr>
        <w:t xml:space="preserve"> (mažo tankio lipoproteinų, toliau MTL-C, padidėjimas), nekoreguojamas padidėjęs arterinis kraujo spaudimas, rūkymas, nutukimas ir cukrinis diabetas.</w:t>
      </w:r>
    </w:p>
    <w:p w14:paraId="4C420A8F" w14:textId="0A154007" w:rsidR="0007494C" w:rsidRDefault="003D5BBA" w:rsidP="003D5BBA">
      <w:pPr>
        <w:widowControl w:val="0"/>
        <w:spacing w:line="276" w:lineRule="auto"/>
        <w:ind w:firstLine="720"/>
        <w:jc w:val="both"/>
        <w:rPr>
          <w:color w:val="000000"/>
        </w:rPr>
      </w:pPr>
      <w:r w:rsidRPr="005523DE">
        <w:rPr>
          <w:bCs/>
        </w:rPr>
        <w:t>Par</w:t>
      </w:r>
      <w:r w:rsidR="00ED4CBB">
        <w:rPr>
          <w:bCs/>
        </w:rPr>
        <w:t xml:space="preserve">aiškoje įrašyti </w:t>
      </w:r>
      <w:r w:rsidR="00ED4CBB">
        <w:rPr>
          <w:color w:val="000000"/>
        </w:rPr>
        <w:t>paraiška įrašyti vaistinį preparatą į kompensavimo sąrašus</w:t>
      </w:r>
      <w:r w:rsidR="00ED4CBB">
        <w:rPr>
          <w:bCs/>
        </w:rPr>
        <w:t xml:space="preserve"> teikiama </w:t>
      </w:r>
      <w:r w:rsidRPr="005523DE">
        <w:rPr>
          <w:bCs/>
        </w:rPr>
        <w:t xml:space="preserve"> </w:t>
      </w:r>
      <w:r w:rsidRPr="003252FA">
        <w:rPr>
          <w:color w:val="000000"/>
        </w:rPr>
        <w:t>registruotos vaistinio preparato indikacijos dal</w:t>
      </w:r>
      <w:r w:rsidR="00ED4CBB">
        <w:rPr>
          <w:color w:val="000000"/>
        </w:rPr>
        <w:t>is</w:t>
      </w:r>
      <w:r w:rsidRPr="003252FA">
        <w:rPr>
          <w:color w:val="000000"/>
        </w:rPr>
        <w:t>:</w:t>
      </w:r>
      <w:r w:rsidRPr="002E060D">
        <w:rPr>
          <w:color w:val="000000"/>
        </w:rPr>
        <w:t xml:space="preserve"> </w:t>
      </w:r>
      <w:r w:rsidRPr="00BD5EBB">
        <w:t>derinyje su didžiausiomis toleruojamomis statinų dozėmis kartu su kitais lipidų koncentraciją mažinančiais vais</w:t>
      </w:r>
      <w:r w:rsidRPr="003252FA">
        <w:t>tiniais preparatais arba be jų arba vienas arba derinyje su kitais lipidų koncentraciją mažinančiais vaistiniais preparatais pacientams, kurie netoleruoja statinų arba kuriems statinai yra kontraindikuotini.</w:t>
      </w:r>
      <w:r w:rsidRPr="003252FA">
        <w:rPr>
          <w:color w:val="000000"/>
        </w:rPr>
        <w:t xml:space="preserve"> </w:t>
      </w:r>
    </w:p>
    <w:p w14:paraId="22000819" w14:textId="36A3025C" w:rsidR="003D5BBA" w:rsidRDefault="003D5BBA" w:rsidP="003D5BBA">
      <w:pPr>
        <w:widowControl w:val="0"/>
        <w:spacing w:line="276" w:lineRule="auto"/>
        <w:ind w:firstLine="720"/>
        <w:jc w:val="both"/>
      </w:pPr>
      <w:r>
        <w:rPr>
          <w:color w:val="000000"/>
        </w:rPr>
        <w:t xml:space="preserve">Vertinimo metu </w:t>
      </w:r>
      <w:r>
        <w:t>n</w:t>
      </w:r>
      <w:r w:rsidRPr="00314A9D">
        <w:t>ustatyta, kad</w:t>
      </w:r>
      <w:r>
        <w:t xml:space="preserve"> Lietuvoje gydant aterosklerozine kardiovaskuline liga sergančius pacientus, toleruojančius gydymą statinais,</w:t>
      </w:r>
      <w:r w:rsidRPr="00314A9D">
        <w:t xml:space="preserve"> tinkamas palyginamasis gydymas skiriant evolokumabą kartu su statinu yra statino ir ezetimibo derinys, skiriant evolokumabą kartu su statinu ir ezetimibu – statino, ezetimibo ir placebo derinys.</w:t>
      </w:r>
      <w:r>
        <w:t xml:space="preserve"> Pacientų, netoleruojančių gydymo statinais ar esant kontraindikacijų juos vartoti, </w:t>
      </w:r>
      <w:r w:rsidRPr="00314A9D">
        <w:t>tinkamas palyginamasis gydymas skiriant evolokumabą yra ezetimi</w:t>
      </w:r>
      <w:r>
        <w:t>bas, skiriant evolokumabą su ezetimibu – ezetimibo ir placebo derinys.</w:t>
      </w:r>
      <w:r w:rsidR="00032247">
        <w:t xml:space="preserve"> </w:t>
      </w:r>
      <w:r w:rsidR="00032247" w:rsidRPr="00032247">
        <w:rPr>
          <w:rFonts w:eastAsia="Arial"/>
          <w:color w:val="000000" w:themeColor="text1"/>
        </w:rPr>
        <w:t>Pareiškėjas siūlė, jog  pacientų, toleruojančių statinus, populiacijoje palyginamasis gydymas turėtų būti maksimalios toleruojamos statinų dozės</w:t>
      </w:r>
      <w:r w:rsidR="00032247">
        <w:rPr>
          <w:rFonts w:eastAsia="Arial"/>
          <w:color w:val="000000" w:themeColor="text1"/>
        </w:rPr>
        <w:t xml:space="preserve">, </w:t>
      </w:r>
      <w:r w:rsidR="00CC6515">
        <w:rPr>
          <w:rFonts w:eastAsia="Arial"/>
          <w:color w:val="000000" w:themeColor="text1"/>
        </w:rPr>
        <w:t>tačiau su tuo Tarnyba nesutinka, nes tai</w:t>
      </w:r>
      <w:r w:rsidR="00032247">
        <w:rPr>
          <w:rFonts w:eastAsia="Arial"/>
          <w:color w:val="000000" w:themeColor="text1"/>
        </w:rPr>
        <w:t xml:space="preserve"> neatitinka įprastinės klinikinės praktikos Lietuvoje.</w:t>
      </w:r>
    </w:p>
    <w:p w14:paraId="76437D65" w14:textId="49661EC6" w:rsidR="003D5BBA" w:rsidRPr="00D532FE" w:rsidRDefault="005D2690" w:rsidP="003D5BBA">
      <w:pPr>
        <w:widowControl w:val="0"/>
        <w:spacing w:line="276" w:lineRule="auto"/>
        <w:ind w:firstLine="720"/>
        <w:jc w:val="both"/>
      </w:pPr>
      <w:r>
        <w:t xml:space="preserve">(Konfidenciali informacija). </w:t>
      </w:r>
      <w:r w:rsidR="003D5BBA">
        <w:t xml:space="preserve">Todėl vertinamosios baigtys, rodančius KV mirties rizikos sumažėjimą, </w:t>
      </w:r>
      <w:r w:rsidR="003D5BBA" w:rsidRPr="00D532FE">
        <w:t>laikomos tinkamomis siekiant įrodyti vais</w:t>
      </w:r>
      <w:r w:rsidR="003D5BBA">
        <w:t>tinio preparato klinikinę naudą bei turi būti paremtos pakaitinėmis baigtimis (pvz.</w:t>
      </w:r>
      <w:r w:rsidR="00ED4CBB">
        <w:t>,</w:t>
      </w:r>
      <w:r w:rsidR="003D5BBA">
        <w:t xml:space="preserve"> MTL-C koncentracijos sumažėjimu) tikslinėje pacientų populiacijoje.</w:t>
      </w:r>
      <w:r w:rsidR="003D5BBA" w:rsidRPr="00D532FE">
        <w:t xml:space="preserve"> </w:t>
      </w:r>
    </w:p>
    <w:p w14:paraId="14299163" w14:textId="252A4036" w:rsidR="003D5BBA" w:rsidRDefault="003D5BBA" w:rsidP="00025609">
      <w:pPr>
        <w:widowControl w:val="0"/>
        <w:spacing w:line="276" w:lineRule="auto"/>
        <w:ind w:firstLine="720"/>
        <w:jc w:val="both"/>
      </w:pPr>
      <w:r w:rsidRPr="00D532FE">
        <w:t xml:space="preserve">Atsižvelgiant į </w:t>
      </w:r>
      <w:r w:rsidR="00ED4CBB">
        <w:t xml:space="preserve">tai, kas </w:t>
      </w:r>
      <w:r w:rsidRPr="00D532FE">
        <w:t xml:space="preserve">išdėstyta, evolokumabo palyginamasis efektyvumas ir klinikinis veiksmingumas statinus toleruojančių pacientų populiacijoje </w:t>
      </w:r>
      <w:r>
        <w:t>buvo</w:t>
      </w:r>
      <w:r w:rsidRPr="00D532FE">
        <w:t xml:space="preserve"> vertinamas analizuojant 3 fazės FOURIER klinikinio tyrimo, statinus netoleruojančių pacientų populiacijoje – GAUSS-3 klinikinio tyrimo duomenis, kiti klinikiniai tyrimai (DESCARTES ir GLAGOV) suteikia papildomą informaciją apie nagrinėjamą vaistinio preparatą.</w:t>
      </w:r>
    </w:p>
    <w:p w14:paraId="73BD53D8" w14:textId="77777777" w:rsidR="00ED4CBB" w:rsidRDefault="00ED4CBB" w:rsidP="003D5BBA">
      <w:pPr>
        <w:widowControl w:val="0"/>
        <w:jc w:val="both"/>
        <w:rPr>
          <w:bCs/>
          <w:i/>
          <w:iCs/>
          <w:color w:val="000000"/>
          <w:lang w:eastAsia="lt-LT"/>
        </w:rPr>
      </w:pPr>
    </w:p>
    <w:p w14:paraId="19BB468E" w14:textId="39725F43" w:rsidR="003D5BBA" w:rsidRDefault="003D5BBA" w:rsidP="003D5BBA">
      <w:pPr>
        <w:widowControl w:val="0"/>
        <w:jc w:val="both"/>
        <w:rPr>
          <w:bCs/>
          <w:i/>
          <w:iCs/>
          <w:color w:val="000000"/>
          <w:lang w:eastAsia="lt-LT"/>
        </w:rPr>
      </w:pPr>
      <w:r w:rsidRPr="003B3450">
        <w:rPr>
          <w:bCs/>
          <w:i/>
          <w:iCs/>
          <w:color w:val="000000"/>
          <w:lang w:eastAsia="lt-LT"/>
        </w:rPr>
        <w:lastRenderedPageBreak/>
        <w:t>Tiesioginis palyginimas</w:t>
      </w:r>
    </w:p>
    <w:p w14:paraId="3175A717" w14:textId="1C8EBAAF" w:rsidR="003D5BBA" w:rsidRDefault="00ED4CBB" w:rsidP="003D5BBA">
      <w:pPr>
        <w:widowControl w:val="0"/>
        <w:spacing w:line="276" w:lineRule="auto"/>
        <w:ind w:firstLine="720"/>
        <w:jc w:val="both"/>
        <w:rPr>
          <w:bCs/>
          <w:color w:val="000000"/>
          <w:lang w:eastAsia="lt-LT"/>
        </w:rPr>
      </w:pPr>
      <w:r>
        <w:rPr>
          <w:bCs/>
          <w:color w:val="000000"/>
          <w:lang w:eastAsia="lt-LT"/>
        </w:rPr>
        <w:t xml:space="preserve">Vaistinio preparato palyginamasis efektyvumas </w:t>
      </w:r>
      <w:r w:rsidR="003D5BBA" w:rsidRPr="004B38B7">
        <w:rPr>
          <w:bCs/>
          <w:color w:val="000000"/>
          <w:lang w:eastAsia="lt-LT"/>
        </w:rPr>
        <w:t xml:space="preserve"> paraiškoje </w:t>
      </w:r>
      <w:r>
        <w:rPr>
          <w:bCs/>
          <w:color w:val="000000"/>
          <w:lang w:eastAsia="lt-LT"/>
        </w:rPr>
        <w:t xml:space="preserve">grindžiamas </w:t>
      </w:r>
      <w:r w:rsidR="003D5BBA" w:rsidRPr="004B38B7">
        <w:rPr>
          <w:bCs/>
          <w:color w:val="000000"/>
          <w:lang w:eastAsia="lt-LT"/>
        </w:rPr>
        <w:t>klinikin</w:t>
      </w:r>
      <w:r w:rsidR="003D5BBA">
        <w:rPr>
          <w:bCs/>
          <w:color w:val="000000"/>
          <w:lang w:eastAsia="lt-LT"/>
        </w:rPr>
        <w:t>i</w:t>
      </w:r>
      <w:r>
        <w:rPr>
          <w:bCs/>
          <w:color w:val="000000"/>
          <w:lang w:eastAsia="lt-LT"/>
        </w:rPr>
        <w:t>ų</w:t>
      </w:r>
      <w:r w:rsidR="003D5BBA">
        <w:rPr>
          <w:bCs/>
          <w:color w:val="000000"/>
          <w:lang w:eastAsia="lt-LT"/>
        </w:rPr>
        <w:t xml:space="preserve"> </w:t>
      </w:r>
      <w:r w:rsidR="003D5BBA" w:rsidRPr="004B38B7">
        <w:rPr>
          <w:bCs/>
          <w:color w:val="000000"/>
          <w:lang w:eastAsia="lt-LT"/>
        </w:rPr>
        <w:t>tyrim</w:t>
      </w:r>
      <w:r>
        <w:rPr>
          <w:bCs/>
          <w:color w:val="000000"/>
          <w:lang w:eastAsia="lt-LT"/>
        </w:rPr>
        <w:t>ų</w:t>
      </w:r>
      <w:r w:rsidR="003D5BBA" w:rsidRPr="004B38B7">
        <w:rPr>
          <w:bCs/>
          <w:color w:val="000000"/>
          <w:lang w:eastAsia="lt-LT"/>
        </w:rPr>
        <w:t xml:space="preserve"> </w:t>
      </w:r>
      <w:r w:rsidR="003D5BBA" w:rsidRPr="00AC2280">
        <w:rPr>
          <w:b/>
          <w:color w:val="000000"/>
          <w:lang w:eastAsia="lt-LT"/>
        </w:rPr>
        <w:t>FOURIER</w:t>
      </w:r>
      <w:r w:rsidR="003D5BBA">
        <w:rPr>
          <w:bCs/>
          <w:color w:val="000000"/>
          <w:lang w:eastAsia="lt-LT"/>
        </w:rPr>
        <w:t xml:space="preserve"> (statinus toleruojančių pacientų populiacijoje) ir </w:t>
      </w:r>
      <w:r w:rsidR="003D5BBA" w:rsidRPr="00AC2280">
        <w:rPr>
          <w:b/>
          <w:color w:val="000000"/>
          <w:lang w:eastAsia="lt-LT"/>
        </w:rPr>
        <w:t>GAUSS-3</w:t>
      </w:r>
      <w:r w:rsidR="003D5BBA">
        <w:rPr>
          <w:bCs/>
          <w:color w:val="000000"/>
          <w:lang w:eastAsia="lt-LT"/>
        </w:rPr>
        <w:t xml:space="preserve"> (statinus netoleruojančių pacientų populiacijoje)</w:t>
      </w:r>
      <w:r w:rsidR="00032247">
        <w:rPr>
          <w:bCs/>
          <w:color w:val="000000"/>
          <w:lang w:eastAsia="lt-LT"/>
        </w:rPr>
        <w:t xml:space="preserve"> </w:t>
      </w:r>
      <w:r>
        <w:rPr>
          <w:bCs/>
          <w:color w:val="000000"/>
          <w:lang w:eastAsia="lt-LT"/>
        </w:rPr>
        <w:t>duomenimis.</w:t>
      </w:r>
      <w:r w:rsidR="00032247">
        <w:rPr>
          <w:bCs/>
          <w:color w:val="000000"/>
          <w:lang w:eastAsia="lt-LT"/>
        </w:rPr>
        <w:t xml:space="preserve"> </w:t>
      </w:r>
      <w:r>
        <w:rPr>
          <w:bCs/>
          <w:color w:val="000000"/>
          <w:lang w:eastAsia="lt-LT"/>
        </w:rPr>
        <w:t>Klinikini</w:t>
      </w:r>
      <w:r w:rsidR="00032247">
        <w:rPr>
          <w:bCs/>
          <w:color w:val="000000"/>
          <w:lang w:eastAsia="lt-LT"/>
        </w:rPr>
        <w:t>ų</w:t>
      </w:r>
      <w:r>
        <w:rPr>
          <w:bCs/>
          <w:color w:val="000000"/>
          <w:lang w:eastAsia="lt-LT"/>
        </w:rPr>
        <w:t xml:space="preserve"> tyrim</w:t>
      </w:r>
      <w:r w:rsidR="00032247">
        <w:rPr>
          <w:bCs/>
          <w:color w:val="000000"/>
          <w:lang w:eastAsia="lt-LT"/>
        </w:rPr>
        <w:t>ų</w:t>
      </w:r>
      <w:r w:rsidR="003D5BBA">
        <w:rPr>
          <w:bCs/>
          <w:color w:val="000000"/>
          <w:lang w:eastAsia="lt-LT"/>
        </w:rPr>
        <w:t xml:space="preserve"> DESCARTES ir GLAGOV </w:t>
      </w:r>
      <w:r>
        <w:rPr>
          <w:bCs/>
          <w:color w:val="000000"/>
          <w:lang w:eastAsia="lt-LT"/>
        </w:rPr>
        <w:t>duomenys verti</w:t>
      </w:r>
      <w:r w:rsidR="00032247">
        <w:rPr>
          <w:bCs/>
          <w:color w:val="000000"/>
          <w:lang w:eastAsia="lt-LT"/>
        </w:rPr>
        <w:t>n</w:t>
      </w:r>
      <w:r>
        <w:rPr>
          <w:bCs/>
          <w:color w:val="000000"/>
          <w:lang w:eastAsia="lt-LT"/>
        </w:rPr>
        <w:t>ti kaip suteikiantys</w:t>
      </w:r>
      <w:r w:rsidR="00032247">
        <w:rPr>
          <w:bCs/>
          <w:color w:val="000000"/>
          <w:lang w:eastAsia="lt-LT"/>
        </w:rPr>
        <w:t xml:space="preserve"> </w:t>
      </w:r>
      <w:r w:rsidR="003D5BBA">
        <w:rPr>
          <w:bCs/>
          <w:color w:val="000000"/>
          <w:lang w:eastAsia="lt-LT"/>
        </w:rPr>
        <w:t xml:space="preserve">papildomą informaciją. Nors GAUSS-3 ir DESCARTES tyrimuose prie pradinio skiriamo antilipidinio gydymo pridėjus evolokumabą pasiektas statistiškai ir kliniškai reikšmingas MTL-C koncentracijos </w:t>
      </w:r>
      <w:r w:rsidR="003D5BBA" w:rsidRPr="00D532FE">
        <w:rPr>
          <w:bCs/>
          <w:color w:val="000000"/>
          <w:lang w:eastAsia="lt-LT"/>
        </w:rPr>
        <w:t xml:space="preserve">sumažėjimas, </w:t>
      </w:r>
      <w:r w:rsidR="003D5BBA" w:rsidRPr="00675465">
        <w:rPr>
          <w:color w:val="000000"/>
          <w:lang w:eastAsia="lt-LT"/>
        </w:rPr>
        <w:t>FOURIER ir GAUSS-3 duomenys neįrod</w:t>
      </w:r>
      <w:r w:rsidR="00BA4E9F">
        <w:rPr>
          <w:color w:val="000000"/>
          <w:lang w:eastAsia="lt-LT"/>
        </w:rPr>
        <w:t>ė</w:t>
      </w:r>
      <w:r w:rsidR="003D5BBA" w:rsidRPr="00675465">
        <w:rPr>
          <w:color w:val="000000"/>
          <w:lang w:eastAsia="lt-LT"/>
        </w:rPr>
        <w:t xml:space="preserve">, jog antilipidinio gydymo papildymas evolokumabu sumažina mirties ar kardiovaskulinių įvykių riziką, lyginant su </w:t>
      </w:r>
      <w:r w:rsidR="00BA4E9F" w:rsidRPr="00675465">
        <w:rPr>
          <w:color w:val="000000"/>
          <w:lang w:eastAsia="lt-LT"/>
        </w:rPr>
        <w:t xml:space="preserve">įprasta </w:t>
      </w:r>
      <w:r w:rsidR="003D5BBA" w:rsidRPr="00675465">
        <w:rPr>
          <w:color w:val="000000"/>
          <w:lang w:eastAsia="lt-LT"/>
        </w:rPr>
        <w:t>Lietuvos klinikine praktika</w:t>
      </w:r>
      <w:r w:rsidR="003D5BBA" w:rsidRPr="00D532FE">
        <w:rPr>
          <w:bCs/>
          <w:color w:val="000000"/>
          <w:lang w:eastAsia="lt-LT"/>
        </w:rPr>
        <w:t>.</w:t>
      </w:r>
    </w:p>
    <w:p w14:paraId="0997EF68" w14:textId="0167D8DF" w:rsidR="003D5BBA" w:rsidRDefault="003D5BBA" w:rsidP="003D5BBA">
      <w:pPr>
        <w:widowControl w:val="0"/>
        <w:spacing w:line="276" w:lineRule="auto"/>
        <w:ind w:firstLine="720"/>
        <w:jc w:val="both"/>
        <w:rPr>
          <w:rFonts w:eastAsia="Arial"/>
          <w:bCs/>
        </w:rPr>
      </w:pPr>
      <w:r w:rsidRPr="00BE0E39">
        <w:rPr>
          <w:bCs/>
          <w:color w:val="000000"/>
          <w:lang w:eastAsia="lt-LT"/>
        </w:rPr>
        <w:t xml:space="preserve">FOURIER klinikiniame tyrime mirties ar kardiovaskulinio įvykio </w:t>
      </w:r>
      <w:bookmarkStart w:id="1" w:name="_Hlk166763081"/>
      <w:r w:rsidRPr="00BE0E39">
        <w:rPr>
          <w:bCs/>
          <w:color w:val="000000"/>
          <w:lang w:eastAsia="lt-LT"/>
        </w:rPr>
        <w:t>rizika (pirminė ir svarbiausia antrinė vertinamosios baigtys)</w:t>
      </w:r>
      <w:bookmarkEnd w:id="1"/>
      <w:r w:rsidRPr="00BE0E39">
        <w:rPr>
          <w:bCs/>
          <w:color w:val="000000"/>
          <w:lang w:eastAsia="lt-LT"/>
        </w:rPr>
        <w:t xml:space="preserve"> skiriant statino, ezetimibo ir evolokumabą, nesiskyrė nuo statino ir ezetimibo (RS</w:t>
      </w:r>
      <w:r w:rsidRPr="00BE0E39">
        <w:rPr>
          <w:bCs/>
          <w:color w:val="000000"/>
          <w:vertAlign w:val="subscript"/>
          <w:lang w:eastAsia="lt-LT"/>
        </w:rPr>
        <w:t>1</w:t>
      </w:r>
      <w:r w:rsidRPr="00BE0E39">
        <w:rPr>
          <w:bCs/>
          <w:color w:val="000000"/>
          <w:lang w:eastAsia="lt-LT"/>
        </w:rPr>
        <w:t xml:space="preserve"> </w:t>
      </w:r>
      <w:r w:rsidRPr="00BE0E39">
        <w:rPr>
          <w:rFonts w:eastAsia="Arial"/>
          <w:bCs/>
        </w:rPr>
        <w:t>0,98; 95% PI 0,74-1,31; RS</w:t>
      </w:r>
      <w:r w:rsidRPr="00BE0E39">
        <w:rPr>
          <w:rFonts w:eastAsia="Arial"/>
          <w:bCs/>
          <w:vertAlign w:val="subscript"/>
        </w:rPr>
        <w:t>2</w:t>
      </w:r>
      <w:r w:rsidRPr="00BE0E39">
        <w:rPr>
          <w:rFonts w:eastAsia="Arial"/>
          <w:bCs/>
        </w:rPr>
        <w:t xml:space="preserve"> 0,74; 95% 0,52 – 1,06), tačiau atkreiptinas dėmesys, jog </w:t>
      </w:r>
      <w:r w:rsidRPr="00BE0E39">
        <w:rPr>
          <w:bCs/>
        </w:rPr>
        <w:t>statino ir evolokumabo bei statino, ezetimibo ir evolokumabo derinių palyginimas nebuvo numatytas tyrimo protokole (ezetimibą vartojo maža dalis tyrimo populiacijos – ~5%)</w:t>
      </w:r>
      <w:r w:rsidRPr="00BE0E39">
        <w:rPr>
          <w:rFonts w:eastAsia="Arial"/>
          <w:bCs/>
        </w:rPr>
        <w:t>.</w:t>
      </w:r>
      <w:r>
        <w:rPr>
          <w:rFonts w:eastAsia="Arial"/>
          <w:bCs/>
        </w:rPr>
        <w:t xml:space="preserve"> Kardiovaskulinių baigčių duomenys apie statino ir ezetimibo bei statino ir evolokumabo derinių palyginamąjį efektyvumą nepateikti. GAUSS-3 klinikiniame tyrime kardiovaskulinių baigčių analizė nebuvo numatyta, todėl </w:t>
      </w:r>
      <w:r w:rsidRPr="00314A9D">
        <w:t>evolokumab</w:t>
      </w:r>
      <w:r>
        <w:t>o</w:t>
      </w:r>
      <w:r w:rsidRPr="00314A9D">
        <w:t xml:space="preserve"> </w:t>
      </w:r>
      <w:r>
        <w:t>ir</w:t>
      </w:r>
      <w:r w:rsidRPr="00314A9D">
        <w:t xml:space="preserve"> ezetimi</w:t>
      </w:r>
      <w:r>
        <w:t>bo monoterapijų, evolokumabo ir ezetimibo derinio bei ezetimibo monoterapijos palyginamieji kardiovaskulinių baigčių duomenys taip pat nepateikti.</w:t>
      </w:r>
      <w:r w:rsidRPr="00DF5EA7">
        <w:rPr>
          <w:rFonts w:eastAsia="Arial"/>
          <w:bCs/>
        </w:rPr>
        <w:t xml:space="preserve"> </w:t>
      </w:r>
      <w:r>
        <w:rPr>
          <w:rFonts w:eastAsia="Arial"/>
          <w:bCs/>
        </w:rPr>
        <w:t xml:space="preserve">Pareiškėjas pateikė evolokumabo realaus gyvenimo stebėjimo duomenis, </w:t>
      </w:r>
      <w:r w:rsidRPr="00675465">
        <w:rPr>
          <w:rFonts w:eastAsia="Arial"/>
          <w:bCs/>
        </w:rPr>
        <w:t>kuriuose patvirtinta, kad skiriant evolokumabą statinus netoleruojantiems pacientams arba pacientams, kuriems PCSK9 inhibitoriai niekada nebuvo skir</w:t>
      </w:r>
      <w:r w:rsidR="00BA4E9F">
        <w:rPr>
          <w:rFonts w:eastAsia="Arial"/>
          <w:bCs/>
        </w:rPr>
        <w:t>ti</w:t>
      </w:r>
      <w:r w:rsidRPr="00675465">
        <w:rPr>
          <w:rFonts w:eastAsia="Arial"/>
          <w:bCs/>
        </w:rPr>
        <w:t>, MTL-C koncentracija statistiškai reikšmingai sumažėjo, tačiau ar sumažėjusi MTL-C sumažino mirties ar kardiovaskulinio įvykio tikimybę nebuvo pranešta.</w:t>
      </w:r>
    </w:p>
    <w:p w14:paraId="24C8184A" w14:textId="77777777" w:rsidR="003D5BBA" w:rsidRPr="00675465" w:rsidRDefault="003D5BBA" w:rsidP="003D5BBA">
      <w:pPr>
        <w:widowControl w:val="0"/>
        <w:spacing w:line="276" w:lineRule="auto"/>
        <w:ind w:firstLine="720"/>
        <w:jc w:val="both"/>
        <w:rPr>
          <w:i/>
          <w:iCs/>
        </w:rPr>
      </w:pPr>
    </w:p>
    <w:p w14:paraId="2B588881" w14:textId="77777777" w:rsidR="003D5BBA" w:rsidRDefault="003D5BBA" w:rsidP="003D5BBA">
      <w:pPr>
        <w:widowControl w:val="0"/>
        <w:spacing w:line="276" w:lineRule="auto"/>
        <w:jc w:val="both"/>
        <w:rPr>
          <w:i/>
        </w:rPr>
      </w:pPr>
      <w:r w:rsidRPr="00675465">
        <w:rPr>
          <w:i/>
        </w:rPr>
        <w:t>Netiesioginis palyginimas</w:t>
      </w:r>
    </w:p>
    <w:p w14:paraId="7E798A7C" w14:textId="77777777" w:rsidR="003D5BBA" w:rsidRDefault="003D5BBA" w:rsidP="003D5BBA">
      <w:pPr>
        <w:widowControl w:val="0"/>
        <w:spacing w:line="276" w:lineRule="auto"/>
        <w:jc w:val="both"/>
        <w:rPr>
          <w:i/>
        </w:rPr>
      </w:pPr>
    </w:p>
    <w:p w14:paraId="17C2BE25" w14:textId="2F1C0F1E" w:rsidR="003D5BBA" w:rsidRPr="00736AE4" w:rsidRDefault="003D5BBA" w:rsidP="003D5BBA">
      <w:pPr>
        <w:widowControl w:val="0"/>
        <w:spacing w:line="276" w:lineRule="auto"/>
        <w:ind w:firstLine="720"/>
        <w:jc w:val="both"/>
        <w:rPr>
          <w:bCs/>
        </w:rPr>
      </w:pPr>
      <w:r>
        <w:t>Par</w:t>
      </w:r>
      <w:r w:rsidR="00BA4E9F">
        <w:t xml:space="preserve">aiškoje </w:t>
      </w:r>
      <w:r>
        <w:t xml:space="preserve"> pateik</w:t>
      </w:r>
      <w:r w:rsidR="00BA4E9F">
        <w:t>tų</w:t>
      </w:r>
      <w:r>
        <w:t xml:space="preserve"> netiesioginio palyginimo klinikinių tyrimų rezultat</w:t>
      </w:r>
      <w:r w:rsidR="00BA4E9F">
        <w:t>ai</w:t>
      </w:r>
      <w:r>
        <w:t xml:space="preserve"> remia</w:t>
      </w:r>
      <w:r w:rsidR="00BA4E9F">
        <w:t>si</w:t>
      </w:r>
      <w:r>
        <w:t xml:space="preserve"> statinų, ezetimibo ir PCSK9 inhibitorių (evolokumabo, </w:t>
      </w:r>
      <w:r w:rsidRPr="00544AF4">
        <w:t>alirokumabo ir inklisirano)</w:t>
      </w:r>
      <w:r w:rsidRPr="00544AF4">
        <w:rPr>
          <w:bCs/>
        </w:rPr>
        <w:t xml:space="preserve"> meta-analizių duomenimis. </w:t>
      </w:r>
      <w:r w:rsidRPr="00736AE4">
        <w:t xml:space="preserve">Pateikta meta-analizė remiasi suvestiniais evolokumabo, alirokumabo ir inklisirano duomenimis, kurie neleidžia įvertinti evolokumabo gydymo efekto atskirai nuo alirokumabo ir inklisirano. </w:t>
      </w:r>
      <w:r w:rsidR="00BA4E9F">
        <w:t>T</w:t>
      </w:r>
      <w:r w:rsidR="0007494C">
        <w:t>odėl v</w:t>
      </w:r>
      <w:r w:rsidRPr="00736AE4">
        <w:t>ertinimo metu iškelti esmini</w:t>
      </w:r>
      <w:r w:rsidR="0007494C">
        <w:t>s</w:t>
      </w:r>
      <w:r w:rsidRPr="00736AE4">
        <w:t xml:space="preserve"> prieštaravim</w:t>
      </w:r>
      <w:r w:rsidR="0007494C">
        <w:t>as</w:t>
      </w:r>
      <w:r w:rsidR="00032247">
        <w:t xml:space="preserve"> </w:t>
      </w:r>
      <w:r w:rsidRPr="00736AE4">
        <w:t xml:space="preserve">dėl palyginamojo gydymo </w:t>
      </w:r>
      <w:r w:rsidR="0007494C">
        <w:t xml:space="preserve">laikomas </w:t>
      </w:r>
      <w:r w:rsidRPr="00736AE4">
        <w:t>neišspręst</w:t>
      </w:r>
      <w:r w:rsidR="0007494C">
        <w:t>u.</w:t>
      </w:r>
    </w:p>
    <w:p w14:paraId="2505581A" w14:textId="39D911D1" w:rsidR="003D5BBA" w:rsidRPr="00736AE4" w:rsidRDefault="003D5BBA" w:rsidP="003D5BBA">
      <w:pPr>
        <w:widowControl w:val="0"/>
        <w:spacing w:line="276" w:lineRule="auto"/>
        <w:ind w:firstLine="720"/>
        <w:jc w:val="both"/>
        <w:rPr>
          <w:bCs/>
        </w:rPr>
      </w:pPr>
      <w:r w:rsidRPr="00736AE4">
        <w:t>Apibendrinant pateiktus klinikinio veiksmingumo ir saugumo duomenis, negalima nei patvirtinti</w:t>
      </w:r>
      <w:r>
        <w:t>,</w:t>
      </w:r>
      <w:r w:rsidRPr="00736AE4">
        <w:t xml:space="preserve"> nei paneigti, jog prie optimalaus antilipidinio gydymo (skiriant maksimalias toleruojamas statino dozes ir ezetimibą arba ezetimibo monoterapiją, jei pacientas statinų netoleruoja arba kontraindikuotinas jų vartojimas) pridėjus evolokumabą sukuriama papildoma klinikinė nauda. Vertinimo metu iškelti esminiai prieštaravimai neišspręsti</w:t>
      </w:r>
      <w:r w:rsidR="00BA4E9F">
        <w:t xml:space="preserve">, todėl daroma išvada, kad </w:t>
      </w:r>
      <w:r w:rsidR="00BA4E9F" w:rsidRPr="00F832F8">
        <w:t>pateikti duomenys apie palyginamąjį efektyvumą yra netinkami vertinti</w:t>
      </w:r>
      <w:r w:rsidR="00BA4E9F">
        <w:t xml:space="preserve">, o klinikinis veiksmingumas </w:t>
      </w:r>
      <w:r w:rsidR="00BA4E9F" w:rsidRPr="00F832F8">
        <w:t>įvertintas kaip nepagrindžiantis papildomos naudos pacientų sveikatai sukūrimo, lyginant su  įprasta klinikine praktika</w:t>
      </w:r>
      <w:r w:rsidRPr="00736AE4">
        <w:t>.</w:t>
      </w:r>
    </w:p>
    <w:bookmarkEnd w:id="0"/>
    <w:p w14:paraId="04F03582" w14:textId="7FEEB032" w:rsidR="006634A3" w:rsidRDefault="006634A3">
      <w:pPr>
        <w:rPr>
          <w:b/>
          <w:bCs/>
          <w:caps/>
        </w:rPr>
      </w:pPr>
      <w:r>
        <w:rPr>
          <w:b/>
          <w:bCs/>
          <w:caps/>
        </w:rPr>
        <w:br w:type="page"/>
      </w:r>
    </w:p>
    <w:p w14:paraId="02EA63BB" w14:textId="77777777" w:rsidR="00025609" w:rsidRDefault="00025609" w:rsidP="003D5BBA">
      <w:pPr>
        <w:tabs>
          <w:tab w:val="left" w:pos="426"/>
        </w:tabs>
        <w:spacing w:line="276" w:lineRule="auto"/>
        <w:jc w:val="both"/>
        <w:rPr>
          <w:b/>
          <w:bCs/>
          <w:caps/>
        </w:rPr>
      </w:pPr>
    </w:p>
    <w:p w14:paraId="1A162542" w14:textId="77777777" w:rsidR="00935F09" w:rsidRPr="00935F09" w:rsidRDefault="00935F09" w:rsidP="00935F09">
      <w:pPr>
        <w:numPr>
          <w:ilvl w:val="0"/>
          <w:numId w:val="12"/>
        </w:numPr>
        <w:tabs>
          <w:tab w:val="left" w:pos="426"/>
        </w:tabs>
        <w:spacing w:line="276" w:lineRule="auto"/>
        <w:jc w:val="both"/>
        <w:rPr>
          <w:b/>
          <w:bCs/>
          <w:caps/>
        </w:rPr>
      </w:pPr>
      <w:r w:rsidRPr="00935F09">
        <w:rPr>
          <w:b/>
          <w:bCs/>
          <w:caps/>
        </w:rPr>
        <w:t>ekonominio vertinimo apibendrinimas</w:t>
      </w:r>
    </w:p>
    <w:p w14:paraId="2DB90292" w14:textId="77777777" w:rsidR="003D5BBA" w:rsidRDefault="003D5BBA" w:rsidP="003D5BBA">
      <w:pPr>
        <w:tabs>
          <w:tab w:val="left" w:pos="426"/>
        </w:tabs>
        <w:spacing w:line="276" w:lineRule="auto"/>
        <w:jc w:val="both"/>
        <w:rPr>
          <w:b/>
          <w:bCs/>
          <w:caps/>
        </w:rPr>
      </w:pPr>
    </w:p>
    <w:p w14:paraId="7B666B5F" w14:textId="77777777" w:rsidR="00935F09" w:rsidRPr="00D05364" w:rsidRDefault="00935F09" w:rsidP="00935F09">
      <w:pPr>
        <w:jc w:val="both"/>
      </w:pPr>
      <w:r>
        <w:t>Paraiškoje vertinimui buvo pateikta kaštų naudingumo analizė, lyginant evolokumabo, kaip pridėtinės terapijos prie statinų, kaštų naudingumą. Paraiškoje siūloma kompensuoti indikacija:</w:t>
      </w:r>
    </w:p>
    <w:p w14:paraId="233205D6" w14:textId="77777777" w:rsidR="00935F09" w:rsidRPr="00D05364" w:rsidRDefault="00935F09" w:rsidP="00935F09">
      <w:pPr>
        <w:jc w:val="both"/>
      </w:pPr>
    </w:p>
    <w:p w14:paraId="5116B2FD" w14:textId="77777777" w:rsidR="00935F09" w:rsidRPr="00D05364" w:rsidRDefault="00935F09" w:rsidP="00935F09">
      <w:pPr>
        <w:jc w:val="both"/>
      </w:pPr>
      <w:r w:rsidRPr="3E99ABBE">
        <w:t>Patvirtinta aterosklerozinė kardiovaskulinė liga:</w:t>
      </w:r>
    </w:p>
    <w:p w14:paraId="6EDD825A" w14:textId="77777777" w:rsidR="00935F09" w:rsidRPr="00D05364" w:rsidRDefault="00935F09" w:rsidP="00935F09">
      <w:pPr>
        <w:jc w:val="both"/>
      </w:pPr>
      <w:r w:rsidRPr="3E99ABBE">
        <w:t xml:space="preserve">Repatha yra skirtas papildomam gydymui koreguojant kitus rizikos veiksnius suaugusiesiems, sergantiems aterosklerozine kardiovaskuline liga (miokardo infarktu, smegenų infarktu arba periferinių arterijų liga), siekiant sumažinti MTL-C koncentraciją bei kardiovaskulinę riziką: </w:t>
      </w:r>
    </w:p>
    <w:p w14:paraId="42DEACDB" w14:textId="77777777" w:rsidR="00935F09" w:rsidRPr="00D05364" w:rsidRDefault="00935F09" w:rsidP="00935F09">
      <w:pPr>
        <w:jc w:val="both"/>
      </w:pPr>
      <w:r w:rsidRPr="3E99ABBE">
        <w:rPr>
          <w:rFonts w:ascii="Symbol" w:eastAsia="Symbol" w:hAnsi="Symbol" w:cs="Symbol"/>
        </w:rPr>
        <w:t></w:t>
      </w:r>
      <w:r w:rsidRPr="3E99ABBE">
        <w:t xml:space="preserve"> </w:t>
      </w:r>
      <w:r w:rsidRPr="3E99ABBE">
        <w:rPr>
          <w:b/>
          <w:bCs/>
        </w:rPr>
        <w:t>derinyje su didžiausiomis toleruojamomis statinų dozėmis kartu su kitais lipidų koncentraciją mažinančiais vaistiniais preparatais arba be jų</w:t>
      </w:r>
      <w:r w:rsidRPr="3E99ABBE">
        <w:t xml:space="preserve">; </w:t>
      </w:r>
    </w:p>
    <w:p w14:paraId="739A38A1" w14:textId="77777777" w:rsidR="00935F09" w:rsidRPr="00D05364" w:rsidRDefault="00935F09" w:rsidP="00935F09">
      <w:pPr>
        <w:jc w:val="both"/>
      </w:pPr>
      <w:r w:rsidRPr="3E99ABBE">
        <w:rPr>
          <w:rFonts w:ascii="Symbol" w:eastAsia="Symbol" w:hAnsi="Symbol" w:cs="Symbol"/>
        </w:rPr>
        <w:t></w:t>
      </w:r>
      <w:r w:rsidRPr="3E99ABBE">
        <w:t xml:space="preserve"> </w:t>
      </w:r>
      <w:r w:rsidRPr="3E99ABBE">
        <w:rPr>
          <w:b/>
          <w:bCs/>
        </w:rPr>
        <w:t>vienas arba derinyje su kitais lipidų koncentraciją mažinančiais vaistiniais preparatais pacientams, kurie netoleruoja statinų arba kuriems statinai yra kontraindikuotini.</w:t>
      </w:r>
      <w:r>
        <w:t xml:space="preserve"> </w:t>
      </w:r>
    </w:p>
    <w:p w14:paraId="7E7B67FA" w14:textId="77777777" w:rsidR="00935F09" w:rsidRPr="00D05364" w:rsidRDefault="00935F09" w:rsidP="00935F09">
      <w:pPr>
        <w:jc w:val="both"/>
      </w:pPr>
    </w:p>
    <w:p w14:paraId="5F50ECD0" w14:textId="77777777" w:rsidR="00935F09" w:rsidRPr="00D05364" w:rsidRDefault="00935F09" w:rsidP="00935F09">
      <w:pPr>
        <w:jc w:val="both"/>
      </w:pPr>
      <w:r>
        <w:t>At</w:t>
      </w:r>
      <w:r w:rsidRPr="3E99ABBE">
        <w:t>likus išsamų klinikinį vertinimą, Pareiškėjui buvo pateikti esminiai prieštaravimai nurodant, jog:</w:t>
      </w:r>
    </w:p>
    <w:p w14:paraId="3E99BF4E" w14:textId="77777777" w:rsidR="00935F09" w:rsidRDefault="00935F09" w:rsidP="00935F09">
      <w:pPr>
        <w:pStyle w:val="Sraopastraipa"/>
        <w:numPr>
          <w:ilvl w:val="0"/>
          <w:numId w:val="24"/>
        </w:numPr>
        <w:jc w:val="both"/>
      </w:pPr>
      <w:r w:rsidRPr="3E99ABBE">
        <w:t xml:space="preserve">Atsižvelgiant į Pareiškėjo pateiktą siūlomą kompensuoti indikaciją ir įprastą klinikinę praktiką Lietuvoje nustatyta, jog tinkamas palyginamasis gydymas skiriant </w:t>
      </w:r>
      <w:r w:rsidRPr="3E99ABBE">
        <w:rPr>
          <w:b/>
          <w:bCs/>
        </w:rPr>
        <w:t>evolokumabą kartu su statinu</w:t>
      </w:r>
      <w:r w:rsidRPr="3E99ABBE">
        <w:t xml:space="preserve"> yra </w:t>
      </w:r>
      <w:r w:rsidRPr="3E99ABBE">
        <w:rPr>
          <w:b/>
          <w:bCs/>
        </w:rPr>
        <w:t>statino ir ezetimibo</w:t>
      </w:r>
      <w:r w:rsidRPr="3E99ABBE">
        <w:t xml:space="preserve"> derinys, o skiriant </w:t>
      </w:r>
      <w:r w:rsidRPr="3E99ABBE">
        <w:rPr>
          <w:b/>
          <w:bCs/>
        </w:rPr>
        <w:t>evolokumabą kartu su statinu ir ezetimibu</w:t>
      </w:r>
      <w:r w:rsidRPr="3E99ABBE">
        <w:t xml:space="preserve"> – </w:t>
      </w:r>
      <w:r w:rsidRPr="3E99ABBE">
        <w:rPr>
          <w:b/>
          <w:bCs/>
        </w:rPr>
        <w:t>statino, ezetimibo ir placebo derinys</w:t>
      </w:r>
      <w:r w:rsidRPr="3E99ABBE">
        <w:t xml:space="preserve">. Remiantis FOURIER tyrimo rezultatais, </w:t>
      </w:r>
      <w:r w:rsidRPr="3E99ABBE">
        <w:rPr>
          <w:b/>
          <w:bCs/>
          <w:i/>
          <w:iCs/>
        </w:rPr>
        <w:t>statino, ezetimibo ir evolokumabo</w:t>
      </w:r>
      <w:r w:rsidRPr="3E99ABBE">
        <w:rPr>
          <w:b/>
          <w:bCs/>
        </w:rPr>
        <w:t xml:space="preserve"> derinys nėra pranašesnis už </w:t>
      </w:r>
      <w:r w:rsidRPr="3E99ABBE">
        <w:rPr>
          <w:b/>
          <w:bCs/>
          <w:i/>
          <w:iCs/>
        </w:rPr>
        <w:t>statino ir ezetimibo</w:t>
      </w:r>
      <w:r w:rsidRPr="3E99ABBE">
        <w:rPr>
          <w:b/>
          <w:bCs/>
        </w:rPr>
        <w:t xml:space="preserve"> derinį</w:t>
      </w:r>
      <w:r w:rsidRPr="3E99ABBE">
        <w:t>, vertinant kardiovaskulines baigtis, todėl prašome pateikti tiesioginio ir/ar netiesioginio palyginimo duomenis, kurie įrodytų statino ir evolokumabo derinio klinikinį efektyvumą, lyginant su statino ir ezetimibo deriniu bei papildomus duomenis, kurie įrodytų statino, ezetimibo ir evolokumabo derinio klinikinį efektyvumą, lyginant su statino ir ezetimibo deriniu.</w:t>
      </w:r>
    </w:p>
    <w:p w14:paraId="2B4CE1B6" w14:textId="77777777" w:rsidR="00935F09" w:rsidRDefault="00935F09" w:rsidP="00935F09">
      <w:pPr>
        <w:pStyle w:val="Sraopastraipa"/>
        <w:numPr>
          <w:ilvl w:val="0"/>
          <w:numId w:val="24"/>
        </w:numPr>
        <w:jc w:val="both"/>
      </w:pPr>
      <w:r w:rsidRPr="3E99ABBE">
        <w:t xml:space="preserve">Prašome pateikti kardiovaskulinių baigčių duomenis, kurie įrodytų evolokumabo monoterapijos klinikinį efektyvumą, lyginant su ezetimibo monoterapija pacientams, kurie netoleruoja statinų (ar statinai yra kontraindikuotini) bei prašome pateikti papildomus duomenis, kurie įrodytų ezetimibo ir evolokumabo derinio klinikinį efektyvumą, lyginant su ezetimibo monoterapija. </w:t>
      </w:r>
    </w:p>
    <w:p w14:paraId="3F7BDCCF" w14:textId="77777777" w:rsidR="00935F09" w:rsidRDefault="00935F09" w:rsidP="00935F09">
      <w:pPr>
        <w:jc w:val="both"/>
      </w:pPr>
    </w:p>
    <w:p w14:paraId="0DD2B4F0" w14:textId="77777777" w:rsidR="00935F09" w:rsidRDefault="00935F09" w:rsidP="00935F09">
      <w:pPr>
        <w:jc w:val="both"/>
      </w:pPr>
      <w:r w:rsidRPr="3E99ABBE">
        <w:t>Atitinkamai, ekonominės vertinimo dalies esminiuose prieštaravimuose buvo nurodyta:</w:t>
      </w:r>
    </w:p>
    <w:p w14:paraId="67741674" w14:textId="77777777" w:rsidR="00935F09" w:rsidRDefault="00935F09" w:rsidP="00935F09">
      <w:pPr>
        <w:jc w:val="both"/>
      </w:pPr>
    </w:p>
    <w:p w14:paraId="2433BA10" w14:textId="77777777" w:rsidR="00935F09" w:rsidRDefault="00935F09" w:rsidP="00935F09">
      <w:pPr>
        <w:jc w:val="both"/>
      </w:pPr>
      <w:r w:rsidRPr="3E99ABBE">
        <w:t>Pateikus papildomus reikalingus klinikinius duomenis, pateikti ir atitinkamas ekonomines analizes:</w:t>
      </w:r>
    </w:p>
    <w:p w14:paraId="4E3896FB" w14:textId="135F6F6C" w:rsidR="00935F09" w:rsidRDefault="00935F09" w:rsidP="00935F09">
      <w:pPr>
        <w:jc w:val="both"/>
      </w:pPr>
      <w:r>
        <w:t xml:space="preserve">- </w:t>
      </w:r>
      <w:r w:rsidRPr="3E99ABBE">
        <w:t xml:space="preserve">Pateikus tiesioginio ar netiesioginio palyginimo duomenis prašome pateikti ekonominę analizę lyginant </w:t>
      </w:r>
      <w:r w:rsidRPr="3E99ABBE">
        <w:rPr>
          <w:i/>
          <w:iCs/>
        </w:rPr>
        <w:t>statino+ezetimibo derinį</w:t>
      </w:r>
      <w:r w:rsidRPr="3E99ABBE">
        <w:t xml:space="preserve"> su </w:t>
      </w:r>
      <w:r w:rsidRPr="3E99ABBE">
        <w:rPr>
          <w:i/>
          <w:iCs/>
        </w:rPr>
        <w:t>statino+evolokumabo deriniu</w:t>
      </w:r>
      <w:r w:rsidRPr="3E99ABBE">
        <w:t>;</w:t>
      </w:r>
    </w:p>
    <w:p w14:paraId="6C04EA15" w14:textId="77777777" w:rsidR="00935F09" w:rsidRDefault="00935F09" w:rsidP="00935F09">
      <w:pPr>
        <w:ind w:right="10"/>
        <w:jc w:val="both"/>
      </w:pPr>
      <w:r w:rsidRPr="3E99ABBE">
        <w:t xml:space="preserve">- Pateikus papildomų klinikinių įrodymų, kurie pagrįstų </w:t>
      </w:r>
      <w:r w:rsidRPr="3E99ABBE">
        <w:rPr>
          <w:i/>
          <w:iCs/>
        </w:rPr>
        <w:t>statino+ezetimibo+evolokumabo</w:t>
      </w:r>
      <w:r w:rsidRPr="3E99ABBE">
        <w:t xml:space="preserve"> derinio didesnį klinikinį veiksmingumą, lyginant su </w:t>
      </w:r>
      <w:r w:rsidRPr="3E99ABBE">
        <w:rPr>
          <w:i/>
          <w:iCs/>
        </w:rPr>
        <w:t>statino+ezetimibo deriniu</w:t>
      </w:r>
      <w:r w:rsidRPr="3E99ABBE">
        <w:t>, pateikti atitinkamą ekonominę analizę;</w:t>
      </w:r>
    </w:p>
    <w:p w14:paraId="13950BBC" w14:textId="77777777" w:rsidR="00935F09" w:rsidRDefault="00935F09" w:rsidP="00935F09">
      <w:pPr>
        <w:ind w:right="10"/>
        <w:jc w:val="both"/>
      </w:pPr>
      <w:r w:rsidRPr="3E99ABBE">
        <w:t>- Pateikus atitinkamus klinikinius duomenis, pacientų, kurie netoleruoja statinų, arba kuriems statinai yra kontraindikuotini populiacijai, pateikti šias ekonomines analizes:</w:t>
      </w:r>
    </w:p>
    <w:p w14:paraId="57EFF88C" w14:textId="77777777" w:rsidR="00935F09" w:rsidRDefault="00935F09" w:rsidP="00935F09">
      <w:pPr>
        <w:pStyle w:val="Sraopastraipa"/>
        <w:numPr>
          <w:ilvl w:val="1"/>
          <w:numId w:val="23"/>
        </w:numPr>
        <w:ind w:right="10"/>
        <w:jc w:val="both"/>
      </w:pPr>
      <w:r w:rsidRPr="3E99ABBE">
        <w:t xml:space="preserve">Analizė lyginant </w:t>
      </w:r>
      <w:r w:rsidRPr="3E99ABBE">
        <w:rPr>
          <w:i/>
          <w:iCs/>
        </w:rPr>
        <w:t>ezetimibo</w:t>
      </w:r>
      <w:r w:rsidRPr="3E99ABBE">
        <w:t xml:space="preserve"> bei </w:t>
      </w:r>
      <w:r w:rsidRPr="3E99ABBE">
        <w:rPr>
          <w:i/>
          <w:iCs/>
        </w:rPr>
        <w:t>ezetimibo+evolokumabo</w:t>
      </w:r>
      <w:r w:rsidRPr="3E99ABBE">
        <w:t xml:space="preserve"> derinį;</w:t>
      </w:r>
    </w:p>
    <w:p w14:paraId="2C1EF71D" w14:textId="77777777" w:rsidR="00935F09" w:rsidRDefault="00935F09" w:rsidP="00935F09">
      <w:pPr>
        <w:pStyle w:val="Sraopastraipa"/>
        <w:numPr>
          <w:ilvl w:val="1"/>
          <w:numId w:val="23"/>
        </w:numPr>
        <w:ind w:right="10"/>
        <w:jc w:val="both"/>
      </w:pPr>
      <w:r w:rsidRPr="3E99ABBE">
        <w:t xml:space="preserve">Analizė, lyginant </w:t>
      </w:r>
      <w:r w:rsidRPr="3E99ABBE">
        <w:rPr>
          <w:i/>
          <w:iCs/>
        </w:rPr>
        <w:t>ezetimibo</w:t>
      </w:r>
      <w:r w:rsidRPr="3E99ABBE">
        <w:t xml:space="preserve"> </w:t>
      </w:r>
      <w:r w:rsidRPr="3E99ABBE">
        <w:rPr>
          <w:i/>
          <w:iCs/>
        </w:rPr>
        <w:t>monoterapiją</w:t>
      </w:r>
      <w:r w:rsidRPr="3E99ABBE">
        <w:t xml:space="preserve"> ir </w:t>
      </w:r>
      <w:r w:rsidRPr="3E99ABBE">
        <w:rPr>
          <w:i/>
          <w:iCs/>
        </w:rPr>
        <w:t>evolokomabo monoterapiją</w:t>
      </w:r>
      <w:r w:rsidRPr="3E99ABBE">
        <w:t>.</w:t>
      </w:r>
    </w:p>
    <w:p w14:paraId="3AFAEEB9" w14:textId="77777777" w:rsidR="00935F09" w:rsidRDefault="00935F09" w:rsidP="00935F09">
      <w:pPr>
        <w:ind w:left="720" w:right="10"/>
        <w:jc w:val="both"/>
      </w:pPr>
    </w:p>
    <w:p w14:paraId="47A50B38" w14:textId="77777777" w:rsidR="00935F09" w:rsidRDefault="00935F09" w:rsidP="00935F09">
      <w:pPr>
        <w:ind w:firstLine="720"/>
        <w:jc w:val="both"/>
        <w:rPr>
          <w:i/>
          <w:iCs/>
        </w:rPr>
      </w:pPr>
      <w:r>
        <w:t xml:space="preserve">Atsakydamas į klinikinės dalies esminius prieštaravimus, Pareiškėjas papildomai pateikė meta-analizes. Klinikinėje vertinimo dalyje nustatyta, jog </w:t>
      </w:r>
      <w:r w:rsidRPr="238066D1">
        <w:rPr>
          <w:i/>
          <w:iCs/>
        </w:rPr>
        <w:t>meta-analizių duomenys neįrodo didesnio statino ir evolokumabo efektyvumo lyginant su statino ir ezetimibo deriniu bei didesnio evolokumabo efektyvumo, lyginant su ezetimibu.</w:t>
      </w:r>
    </w:p>
    <w:p w14:paraId="21AC3F48" w14:textId="77777777" w:rsidR="00935F09" w:rsidRDefault="00935F09" w:rsidP="00935F09">
      <w:pPr>
        <w:jc w:val="both"/>
        <w:rPr>
          <w:i/>
          <w:iCs/>
          <w:highlight w:val="yellow"/>
        </w:rPr>
      </w:pPr>
    </w:p>
    <w:p w14:paraId="6804821F" w14:textId="77777777" w:rsidR="00935F09" w:rsidRDefault="00935F09" w:rsidP="00935F09">
      <w:pPr>
        <w:ind w:firstLine="720"/>
        <w:jc w:val="both"/>
      </w:pPr>
      <w:r w:rsidRPr="3E99ABBE">
        <w:t>Buvo dar kartą, papildomai kreipiamasi į Pareiškėją, nurodant, jog:</w:t>
      </w:r>
    </w:p>
    <w:p w14:paraId="1000DEB8" w14:textId="77777777" w:rsidR="00935F09" w:rsidRDefault="00935F09" w:rsidP="00935F09">
      <w:pPr>
        <w:jc w:val="both"/>
      </w:pPr>
    </w:p>
    <w:p w14:paraId="0C6CEB33" w14:textId="77777777" w:rsidR="00935F09" w:rsidRDefault="00935F09" w:rsidP="00935F09">
      <w:pPr>
        <w:ind w:firstLine="720"/>
        <w:jc w:val="both"/>
      </w:pPr>
      <w:r w:rsidRPr="3E99ABBE">
        <w:lastRenderedPageBreak/>
        <w:t xml:space="preserve">Įvertinus Pareiškėjo pateiktus papildomus kardiovaskulinių baigčių duomenis, nustatyta, kad statinus toleruojančių pacientų populiacijoje </w:t>
      </w:r>
      <w:r w:rsidRPr="3E99ABBE">
        <w:rPr>
          <w:b/>
          <w:bCs/>
        </w:rPr>
        <w:t xml:space="preserve">statino ir evolokumabo </w:t>
      </w:r>
      <w:r w:rsidRPr="3E99ABBE">
        <w:t xml:space="preserve">derinio klinikinis efektyvumas </w:t>
      </w:r>
      <w:r w:rsidRPr="3E99ABBE">
        <w:rPr>
          <w:b/>
          <w:bCs/>
        </w:rPr>
        <w:t>nesiskiria</w:t>
      </w:r>
      <w:r w:rsidRPr="3E99ABBE">
        <w:t xml:space="preserve"> nuo </w:t>
      </w:r>
      <w:r w:rsidRPr="3E99ABBE">
        <w:rPr>
          <w:b/>
          <w:bCs/>
        </w:rPr>
        <w:t>statino ir ezetimibo</w:t>
      </w:r>
      <w:r w:rsidRPr="3E99ABBE">
        <w:t xml:space="preserve"> derinio. Statinų netoleruojančių pacientų populiacijoje </w:t>
      </w:r>
      <w:r w:rsidRPr="3E99ABBE">
        <w:rPr>
          <w:b/>
          <w:bCs/>
        </w:rPr>
        <w:t>evolokumabo</w:t>
      </w:r>
      <w:r w:rsidRPr="3E99ABBE">
        <w:t xml:space="preserve"> klinikinis efektyvumas </w:t>
      </w:r>
      <w:r w:rsidRPr="3E99ABBE">
        <w:rPr>
          <w:b/>
          <w:bCs/>
        </w:rPr>
        <w:t>nesiskiria nuo ezetimibo</w:t>
      </w:r>
      <w:r w:rsidRPr="3E99ABBE">
        <w:t xml:space="preserve">. Apibendrinant, evolokumabas derinyje su didžiausiomis toleruojamomis statinų dozėmis ar vienas (statinus netoleruojančių pacientų populiacijoje) </w:t>
      </w:r>
      <w:r w:rsidRPr="3E99ABBE">
        <w:rPr>
          <w:b/>
          <w:bCs/>
        </w:rPr>
        <w:t>yra įvertintas kaip sukuriantis nesiskiriančią naudą</w:t>
      </w:r>
      <w:r w:rsidRPr="3E99ABBE">
        <w:t xml:space="preserve"> pacientų, kuriems nustatyta aterosklerozinė kardiovaskulinė liga, sveikatai, lyginant su įprasta klinikine praktika. </w:t>
      </w:r>
    </w:p>
    <w:p w14:paraId="4987B967" w14:textId="77777777" w:rsidR="00935F09" w:rsidRDefault="00935F09" w:rsidP="00935F09">
      <w:pPr>
        <w:jc w:val="both"/>
      </w:pPr>
      <w:r w:rsidRPr="3E99ABBE">
        <w:t>Pareiškėjas nepateikė statino, ezetimibo ir evolokumabo (statinus toleruojančių pacientų populiacijoje) bei ezetimibo ir evolokumabo (statinų netoleruojančių pacientų populiacijoje) derinių tiesioginio ir/ar netiesioginio kardiovaskulinių baigčių palyginimo su statino ir ezetimibo deriniu bei ezetimibo monoterapija. Dėl šios priežasties šiuo metu neįmanoma nustatyti sukuriamos papildomos klinkinės naudos skiriant evolokumabą, kai statino ir ezetimibo derinys arba, (esant statinų netaloravimui) ezetimibas nepakankamai efektyvus pacientams, kuriems nustatyta aterosklerozinė kardiovaskulinė liga.</w:t>
      </w:r>
    </w:p>
    <w:p w14:paraId="76E06EE5" w14:textId="77777777" w:rsidR="00935F09" w:rsidRDefault="00935F09" w:rsidP="00935F09">
      <w:pPr>
        <w:jc w:val="both"/>
      </w:pPr>
    </w:p>
    <w:p w14:paraId="1B0B362A" w14:textId="77777777" w:rsidR="00935F09" w:rsidRDefault="00935F09" w:rsidP="00935F09">
      <w:pPr>
        <w:ind w:firstLine="720"/>
        <w:jc w:val="both"/>
      </w:pPr>
      <w:r w:rsidRPr="3E99ABBE">
        <w:t>Tarnyba papildomai prašė Pareiškėjo pateikti kaštų mažinimo analizę, lyginant gydymo statino ir evolokumabo deriniu kaštus su gydymo statino ir ezetimibo derinio kaštais (statinus toleruojančių pacientų, kuriems nustatyta aterosklerozinė kardiovaskulinė liga populiacijoje) bei kaštų mažinimo analizę, lyginant gydymo evolokumabo kaštus su ezetimibu kaštais (statinų netoleruojančių pacientų populiacijoje).</w:t>
      </w:r>
    </w:p>
    <w:p w14:paraId="18299D30" w14:textId="77777777" w:rsidR="00935F09" w:rsidRDefault="00935F09" w:rsidP="00935F09">
      <w:pPr>
        <w:jc w:val="both"/>
      </w:pPr>
    </w:p>
    <w:p w14:paraId="0F7FE932" w14:textId="207FA8C7" w:rsidR="00935F09" w:rsidRDefault="00935F09" w:rsidP="00935F09">
      <w:pPr>
        <w:ind w:firstLine="720"/>
        <w:jc w:val="both"/>
      </w:pPr>
      <w:r w:rsidRPr="3E99ABBE">
        <w:t xml:space="preserve">Pareiškėjas su pateikta Tarnybos išvada nesutiko ir kaštų mažinimo analizės nepateikė. </w:t>
      </w:r>
      <w:r w:rsidR="005D2690">
        <w:t xml:space="preserve">(konfidenciali informacija). </w:t>
      </w:r>
      <w:r w:rsidRPr="3E99ABBE">
        <w:t xml:space="preserve">Pareiškėjui klausimai buvo išsiųsti 2023-12-22. Pakartotinai į Pareiškėją Tarnyba kreipėsi 2024-03-18, nurodydama papildomus klausimus (prašoma pateikti kaštų mažinimo analizė). </w:t>
      </w:r>
    </w:p>
    <w:p w14:paraId="3921E3D4" w14:textId="77777777" w:rsidR="00935F09" w:rsidRDefault="00935F09" w:rsidP="00935F09">
      <w:pPr>
        <w:jc w:val="both"/>
      </w:pPr>
    </w:p>
    <w:p w14:paraId="642E0C7D" w14:textId="77777777" w:rsidR="00935F09" w:rsidRDefault="00935F09" w:rsidP="00935F09">
      <w:pPr>
        <w:ind w:firstLine="720"/>
        <w:jc w:val="both"/>
      </w:pPr>
      <w:r w:rsidRPr="3E99ABBE">
        <w:t>Įvertinus Pareiškėjo pateiktus duomenis ir atsakymus į klausimus nustatyta, jog duomenys apie palyginamąjį efektyvumą yra netinkami vertinti, o klinikinis veiksmingumas įvertintas, kaip nepagrindžiantis papildomos naudos pacientų sveikatai sukūrimo.</w:t>
      </w:r>
    </w:p>
    <w:p w14:paraId="55A1F465" w14:textId="77777777" w:rsidR="00935F09" w:rsidRDefault="00935F09" w:rsidP="00935F09">
      <w:pPr>
        <w:jc w:val="both"/>
      </w:pPr>
    </w:p>
    <w:p w14:paraId="4129B07E" w14:textId="77777777" w:rsidR="00935F09" w:rsidRDefault="00935F09" w:rsidP="00935F09">
      <w:pPr>
        <w:spacing w:line="276" w:lineRule="auto"/>
        <w:ind w:firstLine="720"/>
        <w:jc w:val="both"/>
      </w:pPr>
      <w:r w:rsidRPr="3E99ABBE">
        <w:t>Vadovaujantis Lietuvos Respublikos sveikatos apsaugos ministro 2002 m. m. balandžio 5 d. įsakymu Nr. 159 „Dėl vaistinių preparatų ir medicinos pagalbos priemonių įrašymo į kompensavimo sąrašus ir jų keitimo tvarkos aprašo patvirtinimo“ 17</w:t>
      </w:r>
      <w:r w:rsidRPr="3E99ABBE">
        <w:rPr>
          <w:vertAlign w:val="superscript"/>
        </w:rPr>
        <w:t>1</w:t>
      </w:r>
      <w:r w:rsidRPr="3E99ABBE">
        <w:t xml:space="preserve"> punktu „</w:t>
      </w:r>
      <w:r w:rsidRPr="3E99ABBE">
        <w:rPr>
          <w:i/>
          <w:iCs/>
        </w:rPr>
        <w:t>Jei atlikus išsamų klinikinį vertinimą nustatoma, kad Paraiškoje pateiktas palyginamasis gydymas yra netinkamas arba klinikinės dalies vertinimo išvada atitinka Aprašo 33.1 papunktį, tai laikoma esminiu Paraiškos trūkumu ir ekonominis vertinimas neatliekamas“.</w:t>
      </w:r>
    </w:p>
    <w:p w14:paraId="77649787" w14:textId="77777777" w:rsidR="00935F09" w:rsidRDefault="00935F09" w:rsidP="00935F09">
      <w:pPr>
        <w:jc w:val="both"/>
      </w:pPr>
    </w:p>
    <w:p w14:paraId="69161A5D" w14:textId="77777777" w:rsidR="00935F09" w:rsidRDefault="00935F09" w:rsidP="00935F09">
      <w:pPr>
        <w:ind w:firstLine="720"/>
        <w:jc w:val="both"/>
      </w:pPr>
      <w:r w:rsidRPr="3E99ABBE">
        <w:t xml:space="preserve">Vertinama, jog pateikti duomenys apie kaštų naudingumą yra netinkami vertinti, nes pateikti duomenys apie palyginamąjį efektyvumą yra netinkami vertinti, o klinikinis veiksmingumas yra įvertintas kaip nepagrindžiantis papildomos naudos pacientų sveikatai sukūrimo lyginant su įprasta klinikine praktika. </w:t>
      </w:r>
    </w:p>
    <w:p w14:paraId="73757069" w14:textId="77777777" w:rsidR="00935F09" w:rsidRPr="00F832F8" w:rsidRDefault="00935F09" w:rsidP="003D5BBA">
      <w:pPr>
        <w:tabs>
          <w:tab w:val="left" w:pos="426"/>
        </w:tabs>
        <w:spacing w:line="276" w:lineRule="auto"/>
        <w:jc w:val="both"/>
        <w:rPr>
          <w:b/>
          <w:bCs/>
          <w:caps/>
        </w:rPr>
      </w:pPr>
    </w:p>
    <w:p w14:paraId="4FC424F9" w14:textId="4E767245" w:rsidR="00C62B36" w:rsidRPr="00F832F8" w:rsidRDefault="00C62B36" w:rsidP="00937907">
      <w:pPr>
        <w:pStyle w:val="Sraopastraipa"/>
        <w:numPr>
          <w:ilvl w:val="0"/>
          <w:numId w:val="12"/>
        </w:numPr>
        <w:tabs>
          <w:tab w:val="left" w:pos="284"/>
        </w:tabs>
        <w:rPr>
          <w:b/>
          <w:bCs/>
          <w:caps/>
        </w:rPr>
      </w:pPr>
      <w:r w:rsidRPr="00F832F8">
        <w:rPr>
          <w:b/>
          <w:bCs/>
          <w:caps/>
        </w:rPr>
        <w:t xml:space="preserve">Pacientų organizacijų pateikti duomenys </w:t>
      </w:r>
    </w:p>
    <w:p w14:paraId="79BCFF40" w14:textId="4B677ACB" w:rsidR="00937907" w:rsidRPr="00F832F8" w:rsidRDefault="00000000" w:rsidP="00937907">
      <w:pPr>
        <w:spacing w:after="120"/>
        <w:jc w:val="both"/>
      </w:pPr>
      <w:sdt>
        <w:sdtPr>
          <w:rPr>
            <w:rStyle w:val="Style2"/>
            <w:rFonts w:ascii="MS Gothic" w:eastAsia="MS Gothic" w:hAnsi="MS Gothic"/>
          </w:rPr>
          <w:id w:val="1150014178"/>
          <w15:color w:val="FFCC00"/>
          <w14:checkbox>
            <w14:checked w14:val="1"/>
            <w14:checkedState w14:val="2612" w14:font="MS Gothic"/>
            <w14:uncheckedState w14:val="2610" w14:font="MS Gothic"/>
          </w14:checkbox>
        </w:sdtPr>
        <w:sdtContent>
          <w:r w:rsidR="0092546E">
            <w:rPr>
              <w:rStyle w:val="Style2"/>
              <w:rFonts w:ascii="MS Gothic" w:eastAsia="MS Gothic" w:hAnsi="MS Gothic" w:hint="eastAsia"/>
            </w:rPr>
            <w:t>☒</w:t>
          </w:r>
        </w:sdtContent>
      </w:sdt>
      <w:r w:rsidR="00937907" w:rsidRPr="00F832F8">
        <w:t xml:space="preserve"> Pacientų organizacijos pozicija pateikta.</w:t>
      </w:r>
    </w:p>
    <w:p w14:paraId="62992180" w14:textId="4D1BD507" w:rsidR="00937907" w:rsidRPr="00F832F8" w:rsidRDefault="00000000" w:rsidP="00937907">
      <w:pPr>
        <w:spacing w:after="120"/>
        <w:jc w:val="both"/>
      </w:pPr>
      <w:sdt>
        <w:sdtPr>
          <w:rPr>
            <w:rStyle w:val="Style2"/>
            <w:rFonts w:ascii="MS Gothic" w:eastAsia="MS Gothic" w:hAnsi="MS Gothic"/>
          </w:rPr>
          <w:id w:val="-1545513810"/>
          <w15:color w:val="FFCC00"/>
          <w14:checkbox>
            <w14:checked w14:val="0"/>
            <w14:checkedState w14:val="2612" w14:font="MS Gothic"/>
            <w14:uncheckedState w14:val="2610" w14:font="MS Gothic"/>
          </w14:checkbox>
        </w:sdtPr>
        <w:sdtContent>
          <w:r w:rsidR="0092546E">
            <w:rPr>
              <w:rStyle w:val="Style2"/>
              <w:rFonts w:ascii="MS Gothic" w:eastAsia="MS Gothic" w:hAnsi="MS Gothic" w:hint="eastAsia"/>
            </w:rPr>
            <w:t>☐</w:t>
          </w:r>
        </w:sdtContent>
      </w:sdt>
      <w:r w:rsidR="00937907" w:rsidRPr="00F832F8">
        <w:t xml:space="preserve"> Pacientų organizacijos pozicija </w:t>
      </w:r>
      <w:r w:rsidR="00880A44" w:rsidRPr="00F832F8">
        <w:t>ne</w:t>
      </w:r>
      <w:r w:rsidR="00937907" w:rsidRPr="00F832F8">
        <w:t>pateikta.</w:t>
      </w:r>
    </w:p>
    <w:p w14:paraId="3D3277FA" w14:textId="3CEEB2D2" w:rsidR="00C62B36" w:rsidRPr="00F832F8" w:rsidRDefault="00C62B36" w:rsidP="00937907">
      <w:pPr>
        <w:pStyle w:val="Sraopastraipa"/>
        <w:numPr>
          <w:ilvl w:val="0"/>
          <w:numId w:val="12"/>
        </w:numPr>
        <w:tabs>
          <w:tab w:val="left" w:pos="426"/>
        </w:tabs>
        <w:rPr>
          <w:b/>
          <w:bCs/>
          <w:caps/>
        </w:rPr>
      </w:pPr>
      <w:r w:rsidRPr="00F832F8">
        <w:rPr>
          <w:b/>
          <w:bCs/>
          <w:caps/>
        </w:rPr>
        <w:t>Gydytojų organizacijų pateikti duomenys</w:t>
      </w:r>
    </w:p>
    <w:p w14:paraId="389A346C" w14:textId="2FE37148" w:rsidR="00937907" w:rsidRPr="00F832F8" w:rsidRDefault="00000000" w:rsidP="00662983">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CE12C2">
            <w:rPr>
              <w:rStyle w:val="Style2"/>
              <w:rFonts w:ascii="MS Gothic" w:eastAsia="MS Gothic" w:hAnsi="MS Gothic" w:hint="eastAsia"/>
            </w:rPr>
            <w:t>☐</w:t>
          </w:r>
        </w:sdtContent>
      </w:sdt>
      <w:r w:rsidR="00662983" w:rsidRPr="00F832F8">
        <w:t xml:space="preserve"> </w:t>
      </w:r>
      <w:r w:rsidR="00937907" w:rsidRPr="00F832F8">
        <w:t>Gydytojų specialistų organizacijos pozicija pateikta</w:t>
      </w:r>
      <w:r w:rsidR="00CE12C2">
        <w:t>.</w:t>
      </w:r>
    </w:p>
    <w:p w14:paraId="5D8CC48C" w14:textId="3376A84F" w:rsidR="00662983" w:rsidRDefault="00000000" w:rsidP="00662983">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581413">
            <w:rPr>
              <w:rStyle w:val="Style2"/>
              <w:rFonts w:ascii="MS Gothic" w:eastAsia="MS Gothic" w:hAnsi="MS Gothic" w:hint="eastAsia"/>
            </w:rPr>
            <w:t>☒</w:t>
          </w:r>
        </w:sdtContent>
      </w:sdt>
      <w:r w:rsidR="00662983" w:rsidRPr="00F832F8">
        <w:t xml:space="preserve"> </w:t>
      </w:r>
      <w:r w:rsidR="00937907" w:rsidRPr="00F832F8">
        <w:t xml:space="preserve">Gydytojų specialistų organizacijos pozicija </w:t>
      </w:r>
      <w:r w:rsidR="00880A44" w:rsidRPr="00F832F8">
        <w:t>ne</w:t>
      </w:r>
      <w:r w:rsidR="00937907" w:rsidRPr="00F832F8">
        <w:t>pateikta.</w:t>
      </w:r>
    </w:p>
    <w:p w14:paraId="6A23BFCE" w14:textId="77777777" w:rsidR="00312F96" w:rsidRPr="00F832F8" w:rsidRDefault="00312F96" w:rsidP="00662983">
      <w:pPr>
        <w:spacing w:after="120"/>
        <w:jc w:val="both"/>
      </w:pPr>
    </w:p>
    <w:p w14:paraId="78F23ECB" w14:textId="23A3A002" w:rsidR="002F0E4F" w:rsidRPr="00F832F8" w:rsidRDefault="002F0E4F" w:rsidP="00937907">
      <w:pPr>
        <w:pStyle w:val="Sraopastraipa"/>
        <w:numPr>
          <w:ilvl w:val="0"/>
          <w:numId w:val="12"/>
        </w:numPr>
        <w:tabs>
          <w:tab w:val="left" w:pos="426"/>
        </w:tabs>
        <w:rPr>
          <w:b/>
          <w:bCs/>
          <w:caps/>
        </w:rPr>
      </w:pPr>
      <w:r w:rsidRPr="00F832F8">
        <w:rPr>
          <w:b/>
          <w:bCs/>
          <w:caps/>
        </w:rPr>
        <w:t xml:space="preserve">Išvada </w:t>
      </w:r>
    </w:p>
    <w:p w14:paraId="573E407F" w14:textId="77777777" w:rsidR="00797153" w:rsidRPr="00F832F8" w:rsidRDefault="00797153" w:rsidP="00797153">
      <w:pPr>
        <w:tabs>
          <w:tab w:val="left" w:pos="426"/>
        </w:tabs>
        <w:rPr>
          <w:b/>
          <w:bCs/>
          <w:caps/>
        </w:rPr>
      </w:pPr>
    </w:p>
    <w:tbl>
      <w:tblPr>
        <w:tblStyle w:val="Lentelstinklelis"/>
        <w:tblW w:w="9700" w:type="dxa"/>
        <w:tblLook w:val="04A0" w:firstRow="1" w:lastRow="0" w:firstColumn="1" w:lastColumn="0" w:noHBand="0" w:noVBand="1"/>
      </w:tblPr>
      <w:tblGrid>
        <w:gridCol w:w="4815"/>
        <w:gridCol w:w="4814"/>
        <w:gridCol w:w="71"/>
      </w:tblGrid>
      <w:tr w:rsidR="00B13D65" w:rsidRPr="00F832F8" w14:paraId="25A2473E" w14:textId="77777777" w:rsidTr="00A160F3">
        <w:trPr>
          <w:gridAfter w:val="1"/>
          <w:wAfter w:w="71" w:type="dxa"/>
        </w:trPr>
        <w:tc>
          <w:tcPr>
            <w:tcW w:w="4815" w:type="dxa"/>
          </w:tcPr>
          <w:p w14:paraId="7EFE6941" w14:textId="23B8BB6D"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Rekomenduojama kompensuoti</w:t>
            </w:r>
          </w:p>
        </w:tc>
        <w:tc>
          <w:tcPr>
            <w:tcW w:w="4814" w:type="dxa"/>
          </w:tcPr>
          <w:p w14:paraId="330A1A5E" w14:textId="19247DC1"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 xml:space="preserve">Rekomenduojama nekompensuoti </w:t>
            </w:r>
          </w:p>
        </w:tc>
      </w:tr>
      <w:tr w:rsidR="00B13D65" w:rsidRPr="00F832F8" w14:paraId="143A7356" w14:textId="77777777" w:rsidTr="00A160F3">
        <w:trPr>
          <w:gridAfter w:val="1"/>
          <w:wAfter w:w="71" w:type="dxa"/>
        </w:trPr>
        <w:tc>
          <w:tcPr>
            <w:tcW w:w="9629" w:type="dxa"/>
            <w:gridSpan w:val="2"/>
          </w:tcPr>
          <w:p w14:paraId="5D93D24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Palyginamasis efektyvumas</w:t>
            </w:r>
          </w:p>
          <w:p w14:paraId="0AF5D6B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28A0C814" w14:textId="77777777" w:rsidTr="00A160F3">
        <w:trPr>
          <w:gridAfter w:val="1"/>
          <w:wAfter w:w="71" w:type="dxa"/>
        </w:trPr>
        <w:tc>
          <w:tcPr>
            <w:tcW w:w="4815" w:type="dxa"/>
          </w:tcPr>
          <w:p w14:paraId="216769B5" w14:textId="721D5D23"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5C1A9D">
                  <w:rPr>
                    <w:rStyle w:val="Style2"/>
                    <w:rFonts w:ascii="MS Gothic" w:eastAsia="MS Gothic" w:hAnsi="MS Gothic" w:hint="eastAsia"/>
                    <w:sz w:val="24"/>
                  </w:rPr>
                  <w:t>☐</w:t>
                </w:r>
              </w:sdtContent>
            </w:sdt>
            <w:r w:rsidR="00B13D65" w:rsidRPr="00F832F8">
              <w:t xml:space="preserve"> 32.1. yra didesnis</w:t>
            </w:r>
          </w:p>
          <w:p w14:paraId="3B48F372"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280F398" w:rsidR="00B13D65" w:rsidRPr="00F832F8"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32.1. iš esmės nesiskiria</w:t>
            </w:r>
          </w:p>
        </w:tc>
        <w:tc>
          <w:tcPr>
            <w:tcW w:w="4814" w:type="dxa"/>
          </w:tcPr>
          <w:p w14:paraId="507828D9" w14:textId="09AE523F"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yra mažesnis</w:t>
            </w:r>
          </w:p>
          <w:p w14:paraId="7F95DEEC"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yra neįrodytas kaip toks pat</w:t>
            </w:r>
          </w:p>
          <w:p w14:paraId="35205E8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F832F8">
                  <w:rPr>
                    <w:rStyle w:val="Style2"/>
                    <w:rFonts w:ascii="Segoe UI Symbol" w:eastAsia="MS Gothic" w:hAnsi="Segoe UI Symbol" w:cs="Segoe UI Symbol"/>
                    <w:sz w:val="24"/>
                  </w:rPr>
                  <w:t>☐</w:t>
                </w:r>
              </w:sdtContent>
            </w:sdt>
            <w:r w:rsidR="00662983" w:rsidRPr="00F832F8">
              <w:t xml:space="preserve"> 33.1 </w:t>
            </w:r>
            <w:r w:rsidR="00B13D65" w:rsidRPr="00F832F8">
              <w:t>neįrodytas kaip didesnis</w:t>
            </w:r>
          </w:p>
          <w:p w14:paraId="512E653B"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1AD68FCB"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1"/>
                  <w14:checkedState w14:val="2612" w14:font="MS Gothic"/>
                  <w14:uncheckedState w14:val="2610" w14:font="MS Gothic"/>
                </w14:checkbox>
              </w:sdtPr>
              <w:sdtContent>
                <w:r w:rsidR="007646F9">
                  <w:rPr>
                    <w:rStyle w:val="Style2"/>
                    <w:rFonts w:ascii="MS Gothic" w:eastAsia="MS Gothic" w:hAnsi="MS Gothic" w:hint="eastAsia"/>
                    <w:sz w:val="24"/>
                  </w:rPr>
                  <w:t>☒</w:t>
                </w:r>
              </w:sdtContent>
            </w:sdt>
            <w:r w:rsidR="00B13D65" w:rsidRPr="00F832F8">
              <w:t xml:space="preserve"> 33.1. pateikti duomenys apie palyginamąjį efektyvumą yra netinkami vertinti</w:t>
            </w:r>
          </w:p>
          <w:p w14:paraId="5DDAA96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F832F8" w14:paraId="161CC3FE" w14:textId="77777777" w:rsidTr="00A160F3">
        <w:trPr>
          <w:gridAfter w:val="1"/>
          <w:wAfter w:w="71" w:type="dxa"/>
        </w:trPr>
        <w:tc>
          <w:tcPr>
            <w:tcW w:w="9629" w:type="dxa"/>
            <w:gridSpan w:val="2"/>
          </w:tcPr>
          <w:p w14:paraId="3B2878F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Klinikinis veiksmingumas</w:t>
            </w:r>
          </w:p>
          <w:p w14:paraId="1AB4689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3C60570A" w14:textId="77777777" w:rsidTr="00A160F3">
        <w:trPr>
          <w:gridAfter w:val="1"/>
          <w:wAfter w:w="71" w:type="dxa"/>
        </w:trPr>
        <w:tc>
          <w:tcPr>
            <w:tcW w:w="4815" w:type="dxa"/>
          </w:tcPr>
          <w:p w14:paraId="6897B306" w14:textId="380E77F0"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5C1A9D">
                  <w:rPr>
                    <w:rStyle w:val="Style2"/>
                    <w:rFonts w:ascii="MS Gothic" w:eastAsia="MS Gothic" w:hAnsi="MS Gothic" w:hint="eastAsia"/>
                    <w:sz w:val="24"/>
                  </w:rPr>
                  <w:t>☐</w:t>
                </w:r>
              </w:sdtContent>
            </w:sdt>
            <w:r w:rsidR="00B13D65" w:rsidRPr="00F832F8">
              <w:t xml:space="preserve"> 32.2. yra įvertintas kaip pagrindžiantis papildomos naudos pacientų sveikatai sukūrimą, lyginant su įprasta klinikine praktika</w:t>
            </w:r>
          </w:p>
          <w:p w14:paraId="71D5710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1179D09"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32.2. įvertintas kaip pagrindžiantis nesiskiriančios naudos pacientų sveikatai sukūrimą, lyginant su įprasta klinikine praktika</w:t>
            </w:r>
          </w:p>
          <w:p w14:paraId="287AD233"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29D7DECF" w:rsidR="00662983" w:rsidRPr="00F832F8" w:rsidRDefault="00000000" w:rsidP="00662983">
            <w:pPr>
              <w:jc w:val="both"/>
            </w:pPr>
            <w:sdt>
              <w:sdtPr>
                <w:rPr>
                  <w:rStyle w:val="Style2"/>
                  <w:sz w:val="24"/>
                </w:rPr>
                <w:id w:val="-1034573056"/>
                <w15:color w:val="FFCC00"/>
                <w14:checkbox>
                  <w14:checked w14:val="1"/>
                  <w14:checkedState w14:val="2612" w14:font="MS Gothic"/>
                  <w14:uncheckedState w14:val="2610" w14:font="MS Gothic"/>
                </w14:checkbox>
              </w:sdtPr>
              <w:sdtContent>
                <w:r w:rsidR="007646F9">
                  <w:rPr>
                    <w:rStyle w:val="Style2"/>
                    <w:rFonts w:ascii="MS Gothic" w:eastAsia="MS Gothic" w:hAnsi="MS Gothic" w:hint="eastAsia"/>
                    <w:sz w:val="24"/>
                  </w:rPr>
                  <w:t>☒</w:t>
                </w:r>
              </w:sdtContent>
            </w:sdt>
            <w:r w:rsidR="00B13D65" w:rsidRPr="00F832F8">
              <w:t xml:space="preserve"> 33.1. yra įvertintas kaip nepagrindžiantis papildomos </w:t>
            </w:r>
            <w:r w:rsidR="00662983" w:rsidRPr="00F832F8">
              <w:t>naudos pacientų sveikatai sukūrimo, lyginant su  įprasta klinikine praktika.</w:t>
            </w:r>
          </w:p>
          <w:p w14:paraId="6C70BCFC" w14:textId="77777777" w:rsidR="00662983" w:rsidRPr="00F832F8" w:rsidRDefault="00662983" w:rsidP="00BD1E5A">
            <w:pPr>
              <w:jc w:val="both"/>
            </w:pPr>
          </w:p>
          <w:p w14:paraId="0ADEC30D" w14:textId="25150412" w:rsidR="00B13D65" w:rsidRPr="00F832F8"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F832F8">
                  <w:rPr>
                    <w:rStyle w:val="Style2"/>
                    <w:rFonts w:ascii="Segoe UI Symbol" w:eastAsia="MS Gothic" w:hAnsi="Segoe UI Symbol" w:cs="Segoe UI Symbol"/>
                    <w:sz w:val="24"/>
                  </w:rPr>
                  <w:t>☐</w:t>
                </w:r>
              </w:sdtContent>
            </w:sdt>
            <w:r w:rsidR="00B13D65" w:rsidRPr="00F832F8">
              <w:t xml:space="preserve"> </w:t>
            </w:r>
            <w:r w:rsidR="00662983" w:rsidRPr="00F832F8">
              <w:t xml:space="preserve">33.1. </w:t>
            </w:r>
            <w:r w:rsidR="00B13D65" w:rsidRPr="00F832F8">
              <w:t>nesiskiriančios naudos pacientų sveikatai sukūrimo, lyginant su įprasta klinikine praktika.</w:t>
            </w:r>
          </w:p>
          <w:p w14:paraId="1EED790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A160F3" w:rsidRPr="00CB270B" w14:paraId="11F4AAFA" w14:textId="77777777" w:rsidTr="00A160F3">
        <w:trPr>
          <w:gridAfter w:val="1"/>
          <w:wAfter w:w="71" w:type="dxa"/>
        </w:trPr>
        <w:tc>
          <w:tcPr>
            <w:tcW w:w="9629" w:type="dxa"/>
            <w:gridSpan w:val="2"/>
          </w:tcPr>
          <w:p w14:paraId="13E7D52E" w14:textId="77777777" w:rsidR="00A160F3" w:rsidRDefault="00A160F3" w:rsidP="006F63E9">
            <w:pPr>
              <w:jc w:val="center"/>
              <w:rPr>
                <w:rStyle w:val="Style2"/>
                <w:rFonts w:eastAsia="MS Gothic"/>
                <w:b/>
                <w:bCs/>
                <w:sz w:val="24"/>
              </w:rPr>
            </w:pPr>
            <w:r w:rsidRPr="00CB270B">
              <w:rPr>
                <w:rStyle w:val="Style2"/>
                <w:rFonts w:eastAsia="MS Gothic"/>
                <w:b/>
                <w:bCs/>
                <w:sz w:val="24"/>
              </w:rPr>
              <w:t>Kaštų naudingumas</w:t>
            </w:r>
          </w:p>
          <w:p w14:paraId="3FEA1356" w14:textId="77777777" w:rsidR="00A160F3" w:rsidRPr="00CB270B" w:rsidRDefault="00A160F3" w:rsidP="006F63E9">
            <w:pPr>
              <w:jc w:val="center"/>
              <w:rPr>
                <w:rStyle w:val="Style2"/>
                <w:sz w:val="24"/>
              </w:rPr>
            </w:pPr>
          </w:p>
        </w:tc>
      </w:tr>
      <w:tr w:rsidR="00A160F3" w:rsidRPr="004A04CD" w14:paraId="746FE940" w14:textId="77777777" w:rsidTr="00A160F3">
        <w:tc>
          <w:tcPr>
            <w:tcW w:w="4815" w:type="dxa"/>
          </w:tcPr>
          <w:p w14:paraId="724FFF66" w14:textId="77777777" w:rsidR="00A160F3" w:rsidRPr="004A04CD" w:rsidRDefault="00000000"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975984416"/>
                <w15:color w:val="FFCC00"/>
                <w14:checkbox>
                  <w14:checked w14:val="0"/>
                  <w14:checkedState w14:val="2612" w14:font="MS Gothic"/>
                  <w14:uncheckedState w14:val="2610" w14:font="MS Gothic"/>
                </w14:checkbox>
              </w:sdtPr>
              <w:sdtContent>
                <w:r w:rsidR="00A160F3" w:rsidRPr="004A04CD">
                  <w:rPr>
                    <w:rStyle w:val="Style2"/>
                    <w:rFonts w:ascii="MS Gothic" w:eastAsia="MS Gothic" w:hAnsi="MS Gothic"/>
                  </w:rPr>
                  <w:t>☐</w:t>
                </w:r>
              </w:sdtContent>
            </w:sdt>
            <w:r w:rsidR="00A160F3" w:rsidRPr="004A04CD">
              <w:t xml:space="preserve"> 32.3. atitinka referencinę naudingumo vertę, taikant PGS</w:t>
            </w:r>
          </w:p>
          <w:p w14:paraId="0205F04F" w14:textId="77777777" w:rsidR="00A160F3" w:rsidRPr="004A04CD" w:rsidRDefault="00A160F3"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E0AABE" w14:textId="77777777" w:rsidR="00A160F3" w:rsidRPr="004A04CD" w:rsidRDefault="00000000"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rPr>
                <w:id w:val="-1308081728"/>
                <w15:color w:val="FFCC00"/>
                <w14:checkbox>
                  <w14:checked w14:val="0"/>
                  <w14:checkedState w14:val="2612" w14:font="MS Gothic"/>
                  <w14:uncheckedState w14:val="2610" w14:font="MS Gothic"/>
                </w14:checkbox>
              </w:sdtPr>
              <w:sdtContent>
                <w:r w:rsidR="00A160F3" w:rsidRPr="004A04CD">
                  <w:rPr>
                    <w:rStyle w:val="Style2"/>
                    <w:rFonts w:ascii="Segoe UI Symbol" w:eastAsia="MS Gothic" w:hAnsi="Segoe UI Symbol" w:cs="Segoe UI Symbol"/>
                  </w:rPr>
                  <w:t>☐</w:t>
                </w:r>
              </w:sdtContent>
            </w:sdt>
            <w:r w:rsidR="00A160F3" w:rsidRPr="004A04CD">
              <w:t xml:space="preserve"> 32.3. gydymo juo kaštai yra mažesni ar tokie patys esant iš esmės nesiskiriančiam palyginamajam efektyvumui, taikant PGS, lyginant su įprasta klinikine praktika</w:t>
            </w:r>
          </w:p>
          <w:p w14:paraId="1E02FCAA" w14:textId="77777777" w:rsidR="00A160F3" w:rsidRPr="004A04CD" w:rsidRDefault="00A160F3"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rPr>
            </w:pPr>
          </w:p>
        </w:tc>
        <w:tc>
          <w:tcPr>
            <w:tcW w:w="4885" w:type="dxa"/>
            <w:gridSpan w:val="2"/>
          </w:tcPr>
          <w:p w14:paraId="73A3D4BB" w14:textId="77777777" w:rsidR="00A160F3" w:rsidRPr="004A04CD" w:rsidRDefault="00000000"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65405113"/>
                <w15:color w:val="FFCC00"/>
                <w14:checkbox>
                  <w14:checked w14:val="0"/>
                  <w14:checkedState w14:val="2612" w14:font="MS Gothic"/>
                  <w14:uncheckedState w14:val="2610" w14:font="MS Gothic"/>
                </w14:checkbox>
              </w:sdtPr>
              <w:sdtContent>
                <w:r w:rsidR="00A160F3" w:rsidRPr="004A04CD">
                  <w:rPr>
                    <w:rStyle w:val="Style2"/>
                    <w:rFonts w:ascii="Segoe UI Symbol" w:eastAsia="MS Gothic" w:hAnsi="Segoe UI Symbol" w:cs="Segoe UI Symbol"/>
                  </w:rPr>
                  <w:t>☐</w:t>
                </w:r>
              </w:sdtContent>
            </w:sdt>
            <w:r w:rsidR="00A160F3" w:rsidRPr="004A04CD">
              <w:t xml:space="preserve"> 33.3. neatitinka referencinės naudingumo vertės Lietuvos Respublikoje</w:t>
            </w:r>
          </w:p>
          <w:p w14:paraId="6F24F501" w14:textId="77777777" w:rsidR="00A160F3" w:rsidRPr="004A04CD" w:rsidRDefault="00A160F3"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7D816EE" w14:textId="77777777" w:rsidR="00A160F3" w:rsidRPr="004A04CD" w:rsidRDefault="00000000"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135473618"/>
                <w15:color w:val="FFCC00"/>
                <w14:checkbox>
                  <w14:checked w14:val="0"/>
                  <w14:checkedState w14:val="2612" w14:font="MS Gothic"/>
                  <w14:uncheckedState w14:val="2610" w14:font="MS Gothic"/>
                </w14:checkbox>
              </w:sdtPr>
              <w:sdtContent>
                <w:r w:rsidR="00A160F3">
                  <w:rPr>
                    <w:rStyle w:val="Style2"/>
                    <w:rFonts w:ascii="MS Gothic" w:eastAsia="MS Gothic" w:hAnsi="MS Gothic" w:hint="eastAsia"/>
                  </w:rPr>
                  <w:t>☐</w:t>
                </w:r>
              </w:sdtContent>
            </w:sdt>
            <w:r w:rsidR="00A160F3" w:rsidRPr="004A04CD">
              <w:t xml:space="preserve"> 33.3. gydymo juo kaštai yra didesni esant iš esmės nesiskiriančiam palyginamajam efektyvumui, taikant PGS, lyginant su įprasta klinikine praktika</w:t>
            </w:r>
          </w:p>
          <w:p w14:paraId="37F49422" w14:textId="77777777" w:rsidR="00A160F3" w:rsidRPr="004A04CD" w:rsidRDefault="00A160F3"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3CE3B6F1" w14:textId="77777777" w:rsidR="00A160F3" w:rsidRPr="004A04CD" w:rsidRDefault="00000000"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2008360022"/>
                <w15:color w:val="FFCC00"/>
                <w14:checkbox>
                  <w14:checked w14:val="1"/>
                  <w14:checkedState w14:val="2612" w14:font="MS Gothic"/>
                  <w14:uncheckedState w14:val="2610" w14:font="MS Gothic"/>
                </w14:checkbox>
              </w:sdtPr>
              <w:sdtContent>
                <w:r w:rsidR="00A160F3">
                  <w:rPr>
                    <w:rStyle w:val="Style2"/>
                    <w:rFonts w:ascii="MS Gothic" w:eastAsia="MS Gothic" w:hAnsi="MS Gothic" w:cs="Segoe UI Symbol" w:hint="eastAsia"/>
                  </w:rPr>
                  <w:t>☒</w:t>
                </w:r>
              </w:sdtContent>
            </w:sdt>
            <w:r w:rsidR="00A160F3" w:rsidRPr="004A04CD">
              <w:t xml:space="preserve"> 33.3. pateikti duomenys apie kaštų naudingumą yra netinkami vertinti</w:t>
            </w:r>
          </w:p>
          <w:p w14:paraId="06EE062F" w14:textId="77777777" w:rsidR="00A160F3" w:rsidRPr="004A04CD" w:rsidRDefault="00A160F3" w:rsidP="006F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Pr>
            </w:pPr>
          </w:p>
        </w:tc>
      </w:tr>
    </w:tbl>
    <w:p w14:paraId="29A90384" w14:textId="392787F7" w:rsidR="004A3A61" w:rsidRPr="00F832F8" w:rsidRDefault="004A3A61" w:rsidP="00381024"/>
    <w:p w14:paraId="154D0E30" w14:textId="2A329E85" w:rsidR="0067695E" w:rsidRPr="00F832F8" w:rsidRDefault="007F7AC4" w:rsidP="0067695E">
      <w:pPr>
        <w:ind w:firstLine="360"/>
        <w:rPr>
          <w:b/>
        </w:rPr>
      </w:pPr>
      <w:r>
        <w:rPr>
          <w:b/>
        </w:rPr>
        <w:t>6</w:t>
      </w:r>
      <w:r w:rsidR="0067695E" w:rsidRPr="006A68DE">
        <w:rPr>
          <w:b/>
        </w:rPr>
        <w:t>. REKOMENDACIJA</w:t>
      </w:r>
    </w:p>
    <w:p w14:paraId="4825FA77" w14:textId="77777777" w:rsidR="0067695E" w:rsidRPr="00F832F8" w:rsidRDefault="0067695E" w:rsidP="0067695E">
      <w:pPr>
        <w:rPr>
          <w:b/>
        </w:rPr>
      </w:pPr>
    </w:p>
    <w:p w14:paraId="147E477E" w14:textId="5C7A9B1B" w:rsidR="00C52397" w:rsidRPr="005D2690" w:rsidRDefault="005C1A9D" w:rsidP="005D2690">
      <w:pPr>
        <w:spacing w:line="276" w:lineRule="auto"/>
        <w:jc w:val="both"/>
      </w:pPr>
      <w:r>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w:t>
      </w:r>
      <w:r w:rsidR="009375DF">
        <w:t xml:space="preserve"> </w:t>
      </w:r>
      <w:r>
        <w:t xml:space="preserve">34.4. punktu, rekomenduojama </w:t>
      </w:r>
      <w:r>
        <w:rPr>
          <w:i/>
        </w:rPr>
        <w:t xml:space="preserve">nekompensuoti </w:t>
      </w:r>
      <w:r>
        <w:t>vaistinio preparato pagal paraiškoje nurodytą indikaciją su skyrimo sąlygomis dėl vertinimo i</w:t>
      </w:r>
      <w:r w:rsidR="00A160F3">
        <w:t>švadų, nurodytų 33.1 papunktyje, neatitikties 34.1 papunktyje išdėstytoms sąlygoms.</w:t>
      </w:r>
    </w:p>
    <w:sectPr w:rsidR="00C52397" w:rsidRPr="005D2690"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BF732" w14:textId="77777777" w:rsidR="00B06BDD" w:rsidRDefault="00B06BDD">
      <w:r>
        <w:separator/>
      </w:r>
    </w:p>
  </w:endnote>
  <w:endnote w:type="continuationSeparator" w:id="0">
    <w:p w14:paraId="07BFE021" w14:textId="77777777" w:rsidR="00B06BDD" w:rsidRDefault="00B0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D0DA9" w14:textId="77777777" w:rsidR="00B06BDD" w:rsidRDefault="00B06BDD">
      <w:r>
        <w:separator/>
      </w:r>
    </w:p>
  </w:footnote>
  <w:footnote w:type="continuationSeparator" w:id="0">
    <w:p w14:paraId="78669FCB" w14:textId="77777777" w:rsidR="00B06BDD" w:rsidRDefault="00B06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4AF7852C"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2091">
      <w:rPr>
        <w:rStyle w:val="Puslapionumeris"/>
        <w:noProof/>
      </w:rPr>
      <w:t>9</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32E5E"/>
    <w:multiLevelType w:val="hybridMultilevel"/>
    <w:tmpl w:val="D9227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724F40"/>
    <w:multiLevelType w:val="hybridMultilevel"/>
    <w:tmpl w:val="FFFFFFFF"/>
    <w:lvl w:ilvl="0" w:tplc="6C00D694">
      <w:start w:val="1"/>
      <w:numFmt w:val="bullet"/>
      <w:lvlText w:val="-"/>
      <w:lvlJc w:val="left"/>
      <w:pPr>
        <w:ind w:left="720" w:hanging="360"/>
      </w:pPr>
      <w:rPr>
        <w:rFonts w:ascii="Aptos" w:hAnsi="Aptos" w:hint="default"/>
      </w:rPr>
    </w:lvl>
    <w:lvl w:ilvl="1" w:tplc="9EAA7808">
      <w:start w:val="1"/>
      <w:numFmt w:val="bullet"/>
      <w:lvlText w:val="o"/>
      <w:lvlJc w:val="left"/>
      <w:pPr>
        <w:ind w:left="1440" w:hanging="360"/>
      </w:pPr>
      <w:rPr>
        <w:rFonts w:ascii="Courier New" w:hAnsi="Courier New" w:hint="default"/>
      </w:rPr>
    </w:lvl>
    <w:lvl w:ilvl="2" w:tplc="25E418F8">
      <w:start w:val="1"/>
      <w:numFmt w:val="bullet"/>
      <w:lvlText w:val=""/>
      <w:lvlJc w:val="left"/>
      <w:pPr>
        <w:ind w:left="2160" w:hanging="360"/>
      </w:pPr>
      <w:rPr>
        <w:rFonts w:ascii="Wingdings" w:hAnsi="Wingdings" w:hint="default"/>
      </w:rPr>
    </w:lvl>
    <w:lvl w:ilvl="3" w:tplc="28C2F812">
      <w:start w:val="1"/>
      <w:numFmt w:val="bullet"/>
      <w:lvlText w:val=""/>
      <w:lvlJc w:val="left"/>
      <w:pPr>
        <w:ind w:left="2880" w:hanging="360"/>
      </w:pPr>
      <w:rPr>
        <w:rFonts w:ascii="Symbol" w:hAnsi="Symbol" w:hint="default"/>
      </w:rPr>
    </w:lvl>
    <w:lvl w:ilvl="4" w:tplc="4C8AA686">
      <w:start w:val="1"/>
      <w:numFmt w:val="bullet"/>
      <w:lvlText w:val="o"/>
      <w:lvlJc w:val="left"/>
      <w:pPr>
        <w:ind w:left="3600" w:hanging="360"/>
      </w:pPr>
      <w:rPr>
        <w:rFonts w:ascii="Courier New" w:hAnsi="Courier New" w:hint="default"/>
      </w:rPr>
    </w:lvl>
    <w:lvl w:ilvl="5" w:tplc="D8A6E0B8">
      <w:start w:val="1"/>
      <w:numFmt w:val="bullet"/>
      <w:lvlText w:val=""/>
      <w:lvlJc w:val="left"/>
      <w:pPr>
        <w:ind w:left="4320" w:hanging="360"/>
      </w:pPr>
      <w:rPr>
        <w:rFonts w:ascii="Wingdings" w:hAnsi="Wingdings" w:hint="default"/>
      </w:rPr>
    </w:lvl>
    <w:lvl w:ilvl="6" w:tplc="9262351A">
      <w:start w:val="1"/>
      <w:numFmt w:val="bullet"/>
      <w:lvlText w:val=""/>
      <w:lvlJc w:val="left"/>
      <w:pPr>
        <w:ind w:left="5040" w:hanging="360"/>
      </w:pPr>
      <w:rPr>
        <w:rFonts w:ascii="Symbol" w:hAnsi="Symbol" w:hint="default"/>
      </w:rPr>
    </w:lvl>
    <w:lvl w:ilvl="7" w:tplc="713204EC">
      <w:start w:val="1"/>
      <w:numFmt w:val="bullet"/>
      <w:lvlText w:val="o"/>
      <w:lvlJc w:val="left"/>
      <w:pPr>
        <w:ind w:left="5760" w:hanging="360"/>
      </w:pPr>
      <w:rPr>
        <w:rFonts w:ascii="Courier New" w:hAnsi="Courier New" w:hint="default"/>
      </w:rPr>
    </w:lvl>
    <w:lvl w:ilvl="8" w:tplc="3A7C1EAA">
      <w:start w:val="1"/>
      <w:numFmt w:val="bullet"/>
      <w:lvlText w:val=""/>
      <w:lvlJc w:val="left"/>
      <w:pPr>
        <w:ind w:left="6480" w:hanging="360"/>
      </w:pPr>
      <w:rPr>
        <w:rFonts w:ascii="Wingdings" w:hAnsi="Wingdings" w:hint="default"/>
      </w:rPr>
    </w:lvl>
  </w:abstractNum>
  <w:abstractNum w:abstractNumId="6" w15:restartNumberingAfterBreak="0">
    <w:nsid w:val="2C5274E3"/>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65AFA2"/>
    <w:multiLevelType w:val="hybridMultilevel"/>
    <w:tmpl w:val="FFFFFFFF"/>
    <w:lvl w:ilvl="0" w:tplc="D5A821A0">
      <w:start w:val="1"/>
      <w:numFmt w:val="bullet"/>
      <w:lvlText w:val=""/>
      <w:lvlJc w:val="left"/>
      <w:pPr>
        <w:ind w:left="720" w:hanging="360"/>
      </w:pPr>
      <w:rPr>
        <w:rFonts w:ascii="Symbol" w:hAnsi="Symbol" w:hint="default"/>
      </w:rPr>
    </w:lvl>
    <w:lvl w:ilvl="1" w:tplc="7EC4B4E0">
      <w:start w:val="1"/>
      <w:numFmt w:val="bullet"/>
      <w:lvlText w:val="o"/>
      <w:lvlJc w:val="left"/>
      <w:pPr>
        <w:ind w:left="1440" w:hanging="360"/>
      </w:pPr>
      <w:rPr>
        <w:rFonts w:ascii="&quot;Courier New&quot;" w:hAnsi="&quot;Courier New&quot;" w:hint="default"/>
      </w:rPr>
    </w:lvl>
    <w:lvl w:ilvl="2" w:tplc="6F5A398E">
      <w:start w:val="1"/>
      <w:numFmt w:val="bullet"/>
      <w:lvlText w:val=""/>
      <w:lvlJc w:val="left"/>
      <w:pPr>
        <w:ind w:left="2160" w:hanging="360"/>
      </w:pPr>
      <w:rPr>
        <w:rFonts w:ascii="Wingdings" w:hAnsi="Wingdings" w:hint="default"/>
      </w:rPr>
    </w:lvl>
    <w:lvl w:ilvl="3" w:tplc="45F63E30">
      <w:start w:val="1"/>
      <w:numFmt w:val="bullet"/>
      <w:lvlText w:val=""/>
      <w:lvlJc w:val="left"/>
      <w:pPr>
        <w:ind w:left="2880" w:hanging="360"/>
      </w:pPr>
      <w:rPr>
        <w:rFonts w:ascii="Symbol" w:hAnsi="Symbol" w:hint="default"/>
      </w:rPr>
    </w:lvl>
    <w:lvl w:ilvl="4" w:tplc="3A8C6B88">
      <w:start w:val="1"/>
      <w:numFmt w:val="bullet"/>
      <w:lvlText w:val="o"/>
      <w:lvlJc w:val="left"/>
      <w:pPr>
        <w:ind w:left="3600" w:hanging="360"/>
      </w:pPr>
      <w:rPr>
        <w:rFonts w:ascii="Courier New" w:hAnsi="Courier New" w:hint="default"/>
      </w:rPr>
    </w:lvl>
    <w:lvl w:ilvl="5" w:tplc="DB54D85C">
      <w:start w:val="1"/>
      <w:numFmt w:val="bullet"/>
      <w:lvlText w:val=""/>
      <w:lvlJc w:val="left"/>
      <w:pPr>
        <w:ind w:left="4320" w:hanging="360"/>
      </w:pPr>
      <w:rPr>
        <w:rFonts w:ascii="Wingdings" w:hAnsi="Wingdings" w:hint="default"/>
      </w:rPr>
    </w:lvl>
    <w:lvl w:ilvl="6" w:tplc="DE18E51C">
      <w:start w:val="1"/>
      <w:numFmt w:val="bullet"/>
      <w:lvlText w:val=""/>
      <w:lvlJc w:val="left"/>
      <w:pPr>
        <w:ind w:left="5040" w:hanging="360"/>
      </w:pPr>
      <w:rPr>
        <w:rFonts w:ascii="Symbol" w:hAnsi="Symbol" w:hint="default"/>
      </w:rPr>
    </w:lvl>
    <w:lvl w:ilvl="7" w:tplc="0BEE1D2E">
      <w:start w:val="1"/>
      <w:numFmt w:val="bullet"/>
      <w:lvlText w:val="o"/>
      <w:lvlJc w:val="left"/>
      <w:pPr>
        <w:ind w:left="5760" w:hanging="360"/>
      </w:pPr>
      <w:rPr>
        <w:rFonts w:ascii="Courier New" w:hAnsi="Courier New" w:hint="default"/>
      </w:rPr>
    </w:lvl>
    <w:lvl w:ilvl="8" w:tplc="CBAE6B58">
      <w:start w:val="1"/>
      <w:numFmt w:val="bullet"/>
      <w:lvlText w:val=""/>
      <w:lvlJc w:val="left"/>
      <w:pPr>
        <w:ind w:left="648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504EE8"/>
    <w:multiLevelType w:val="hybridMultilevel"/>
    <w:tmpl w:val="C93C8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91505"/>
    <w:multiLevelType w:val="hybridMultilevel"/>
    <w:tmpl w:val="9D7E6CB4"/>
    <w:lvl w:ilvl="0" w:tplc="B3FC5D38">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4B0B45"/>
    <w:multiLevelType w:val="hybridMultilevel"/>
    <w:tmpl w:val="D9227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6C6F7D"/>
    <w:multiLevelType w:val="hybridMultilevel"/>
    <w:tmpl w:val="D9227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9D5BF2"/>
    <w:multiLevelType w:val="hybridMultilevel"/>
    <w:tmpl w:val="452E80EA"/>
    <w:lvl w:ilvl="0" w:tplc="1C8810F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C25357"/>
    <w:multiLevelType w:val="hybridMultilevel"/>
    <w:tmpl w:val="ECFE5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78D1ECE"/>
    <w:multiLevelType w:val="hybridMultilevel"/>
    <w:tmpl w:val="6DDE6854"/>
    <w:lvl w:ilvl="0" w:tplc="0809000F">
      <w:start w:val="1"/>
      <w:numFmt w:val="decimal"/>
      <w:lvlText w:val="%1."/>
      <w:lvlJc w:val="left"/>
      <w:pPr>
        <w:ind w:left="360" w:hanging="360"/>
      </w:pPr>
    </w:lvl>
    <w:lvl w:ilvl="1" w:tplc="0809000B">
      <w:start w:val="1"/>
      <w:numFmt w:val="bullet"/>
      <w:lvlText w:val=""/>
      <w:lvlJc w:val="left"/>
      <w:pPr>
        <w:ind w:left="644" w:hanging="360"/>
      </w:pPr>
      <w:rPr>
        <w:rFonts w:ascii="Wingdings" w:hAnsi="Wingdings" w:hint="default"/>
      </w:rPr>
    </w:lvl>
    <w:lvl w:ilvl="2" w:tplc="0809000F">
      <w:start w:val="1"/>
      <w:numFmt w:val="decimal"/>
      <w:lvlText w:val="%3."/>
      <w:lvlJc w:val="left"/>
      <w:pPr>
        <w:ind w:left="927"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D1C9B"/>
    <w:multiLevelType w:val="hybridMultilevel"/>
    <w:tmpl w:val="1A908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656437">
    <w:abstractNumId w:val="11"/>
  </w:num>
  <w:num w:numId="2" w16cid:durableId="2032487560">
    <w:abstractNumId w:val="1"/>
  </w:num>
  <w:num w:numId="3" w16cid:durableId="16931611">
    <w:abstractNumId w:val="14"/>
  </w:num>
  <w:num w:numId="4" w16cid:durableId="155345272">
    <w:abstractNumId w:val="13"/>
  </w:num>
  <w:num w:numId="5" w16cid:durableId="621573855">
    <w:abstractNumId w:val="9"/>
  </w:num>
  <w:num w:numId="6" w16cid:durableId="533005478">
    <w:abstractNumId w:val="7"/>
  </w:num>
  <w:num w:numId="7" w16cid:durableId="1593512408">
    <w:abstractNumId w:val="4"/>
  </w:num>
  <w:num w:numId="8" w16cid:durableId="2044860800">
    <w:abstractNumId w:val="21"/>
  </w:num>
  <w:num w:numId="9" w16cid:durableId="1587610364">
    <w:abstractNumId w:val="0"/>
  </w:num>
  <w:num w:numId="10" w16cid:durableId="1057780894">
    <w:abstractNumId w:val="15"/>
  </w:num>
  <w:num w:numId="11" w16cid:durableId="1506743760">
    <w:abstractNumId w:val="19"/>
  </w:num>
  <w:num w:numId="12" w16cid:durableId="194585702">
    <w:abstractNumId w:val="3"/>
  </w:num>
  <w:num w:numId="13" w16cid:durableId="591403064">
    <w:abstractNumId w:val="6"/>
  </w:num>
  <w:num w:numId="14" w16cid:durableId="1270972012">
    <w:abstractNumId w:val="22"/>
  </w:num>
  <w:num w:numId="15" w16cid:durableId="340357491">
    <w:abstractNumId w:val="23"/>
  </w:num>
  <w:num w:numId="16" w16cid:durableId="1769160208">
    <w:abstractNumId w:val="20"/>
  </w:num>
  <w:num w:numId="17" w16cid:durableId="1494642076">
    <w:abstractNumId w:val="10"/>
  </w:num>
  <w:num w:numId="18" w16cid:durableId="1478256154">
    <w:abstractNumId w:val="18"/>
  </w:num>
  <w:num w:numId="19" w16cid:durableId="1527672462">
    <w:abstractNumId w:val="12"/>
  </w:num>
  <w:num w:numId="20" w16cid:durableId="935090122">
    <w:abstractNumId w:val="17"/>
  </w:num>
  <w:num w:numId="21" w16cid:durableId="411901903">
    <w:abstractNumId w:val="2"/>
  </w:num>
  <w:num w:numId="22" w16cid:durableId="1940719541">
    <w:abstractNumId w:val="16"/>
  </w:num>
  <w:num w:numId="23" w16cid:durableId="2063013395">
    <w:abstractNumId w:val="8"/>
  </w:num>
  <w:num w:numId="24" w16cid:durableId="765074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1737"/>
    <w:rsid w:val="000136F7"/>
    <w:rsid w:val="00025609"/>
    <w:rsid w:val="0002686C"/>
    <w:rsid w:val="00031D0E"/>
    <w:rsid w:val="00032247"/>
    <w:rsid w:val="000337E6"/>
    <w:rsid w:val="0003402E"/>
    <w:rsid w:val="00034D9C"/>
    <w:rsid w:val="00034EAE"/>
    <w:rsid w:val="000606BE"/>
    <w:rsid w:val="000736B8"/>
    <w:rsid w:val="0007494C"/>
    <w:rsid w:val="0008190F"/>
    <w:rsid w:val="00081D9C"/>
    <w:rsid w:val="00082907"/>
    <w:rsid w:val="0008378D"/>
    <w:rsid w:val="000908A5"/>
    <w:rsid w:val="00092805"/>
    <w:rsid w:val="000A3817"/>
    <w:rsid w:val="000C454C"/>
    <w:rsid w:val="000D5038"/>
    <w:rsid w:val="000E23F8"/>
    <w:rsid w:val="000E29D4"/>
    <w:rsid w:val="000F3540"/>
    <w:rsid w:val="000F7BB1"/>
    <w:rsid w:val="00100491"/>
    <w:rsid w:val="001030C9"/>
    <w:rsid w:val="00104E2E"/>
    <w:rsid w:val="00107287"/>
    <w:rsid w:val="001141D2"/>
    <w:rsid w:val="00117406"/>
    <w:rsid w:val="00121EF0"/>
    <w:rsid w:val="00124A9E"/>
    <w:rsid w:val="00130703"/>
    <w:rsid w:val="0013153F"/>
    <w:rsid w:val="001408B8"/>
    <w:rsid w:val="00142274"/>
    <w:rsid w:val="00151EF1"/>
    <w:rsid w:val="001521D9"/>
    <w:rsid w:val="001554E2"/>
    <w:rsid w:val="00163493"/>
    <w:rsid w:val="00163CCD"/>
    <w:rsid w:val="00164146"/>
    <w:rsid w:val="0017369C"/>
    <w:rsid w:val="00180C39"/>
    <w:rsid w:val="00180D96"/>
    <w:rsid w:val="001921F3"/>
    <w:rsid w:val="00196C3E"/>
    <w:rsid w:val="001B3C5B"/>
    <w:rsid w:val="001E0C16"/>
    <w:rsid w:val="001E4BBB"/>
    <w:rsid w:val="001E5EE8"/>
    <w:rsid w:val="001E6304"/>
    <w:rsid w:val="001F78BA"/>
    <w:rsid w:val="00200A65"/>
    <w:rsid w:val="0020381E"/>
    <w:rsid w:val="00212BA2"/>
    <w:rsid w:val="00213471"/>
    <w:rsid w:val="00215906"/>
    <w:rsid w:val="00221996"/>
    <w:rsid w:val="00231A9C"/>
    <w:rsid w:val="0025697F"/>
    <w:rsid w:val="00260258"/>
    <w:rsid w:val="002646C7"/>
    <w:rsid w:val="00272428"/>
    <w:rsid w:val="00272948"/>
    <w:rsid w:val="002946C7"/>
    <w:rsid w:val="002B3CC1"/>
    <w:rsid w:val="002C09E0"/>
    <w:rsid w:val="002C3A10"/>
    <w:rsid w:val="002C4A90"/>
    <w:rsid w:val="002D02EF"/>
    <w:rsid w:val="002E0702"/>
    <w:rsid w:val="002E0B89"/>
    <w:rsid w:val="002E6F80"/>
    <w:rsid w:val="002F0E4F"/>
    <w:rsid w:val="002F1053"/>
    <w:rsid w:val="00312F96"/>
    <w:rsid w:val="00317B0E"/>
    <w:rsid w:val="00347965"/>
    <w:rsid w:val="00347FAA"/>
    <w:rsid w:val="0035172D"/>
    <w:rsid w:val="0036187D"/>
    <w:rsid w:val="00377D96"/>
    <w:rsid w:val="00381024"/>
    <w:rsid w:val="00386307"/>
    <w:rsid w:val="003874DE"/>
    <w:rsid w:val="00387646"/>
    <w:rsid w:val="00393E9F"/>
    <w:rsid w:val="0039696E"/>
    <w:rsid w:val="00397B77"/>
    <w:rsid w:val="003B211A"/>
    <w:rsid w:val="003C141F"/>
    <w:rsid w:val="003C6B0E"/>
    <w:rsid w:val="003C7257"/>
    <w:rsid w:val="003C7E35"/>
    <w:rsid w:val="003D5BBA"/>
    <w:rsid w:val="003E2B81"/>
    <w:rsid w:val="003F3FBD"/>
    <w:rsid w:val="00404E8A"/>
    <w:rsid w:val="0040622F"/>
    <w:rsid w:val="00412447"/>
    <w:rsid w:val="00423160"/>
    <w:rsid w:val="00453862"/>
    <w:rsid w:val="00461338"/>
    <w:rsid w:val="004677DB"/>
    <w:rsid w:val="00467E9F"/>
    <w:rsid w:val="00470876"/>
    <w:rsid w:val="0048630F"/>
    <w:rsid w:val="004947A1"/>
    <w:rsid w:val="0049482A"/>
    <w:rsid w:val="004979D3"/>
    <w:rsid w:val="004A00E7"/>
    <w:rsid w:val="004A3A61"/>
    <w:rsid w:val="004B59BA"/>
    <w:rsid w:val="004C263A"/>
    <w:rsid w:val="004D377E"/>
    <w:rsid w:val="004D7B8F"/>
    <w:rsid w:val="004E6458"/>
    <w:rsid w:val="004E6E7D"/>
    <w:rsid w:val="004F1AAC"/>
    <w:rsid w:val="004F1AE2"/>
    <w:rsid w:val="004F3193"/>
    <w:rsid w:val="004F34F0"/>
    <w:rsid w:val="004F66D6"/>
    <w:rsid w:val="005005EF"/>
    <w:rsid w:val="00534E11"/>
    <w:rsid w:val="005400D9"/>
    <w:rsid w:val="005476A4"/>
    <w:rsid w:val="00547FF7"/>
    <w:rsid w:val="0055019B"/>
    <w:rsid w:val="00552EE6"/>
    <w:rsid w:val="00556E63"/>
    <w:rsid w:val="0055796F"/>
    <w:rsid w:val="005601A4"/>
    <w:rsid w:val="00564D09"/>
    <w:rsid w:val="00566DBB"/>
    <w:rsid w:val="00577760"/>
    <w:rsid w:val="00581413"/>
    <w:rsid w:val="005976CE"/>
    <w:rsid w:val="005A23D4"/>
    <w:rsid w:val="005A2D1E"/>
    <w:rsid w:val="005C1A9D"/>
    <w:rsid w:val="005C493F"/>
    <w:rsid w:val="005C6BF7"/>
    <w:rsid w:val="005C6EC1"/>
    <w:rsid w:val="005C71BF"/>
    <w:rsid w:val="005D002C"/>
    <w:rsid w:val="005D2690"/>
    <w:rsid w:val="005D30E1"/>
    <w:rsid w:val="005D5BE7"/>
    <w:rsid w:val="005D6555"/>
    <w:rsid w:val="005D7BDF"/>
    <w:rsid w:val="005F71D9"/>
    <w:rsid w:val="005F7602"/>
    <w:rsid w:val="0060039E"/>
    <w:rsid w:val="00613501"/>
    <w:rsid w:val="006166A8"/>
    <w:rsid w:val="006174A1"/>
    <w:rsid w:val="006256B2"/>
    <w:rsid w:val="00633B49"/>
    <w:rsid w:val="0064297F"/>
    <w:rsid w:val="00646CF3"/>
    <w:rsid w:val="00646CF6"/>
    <w:rsid w:val="00662983"/>
    <w:rsid w:val="006634A3"/>
    <w:rsid w:val="0067695E"/>
    <w:rsid w:val="006834D3"/>
    <w:rsid w:val="00692625"/>
    <w:rsid w:val="00695CD3"/>
    <w:rsid w:val="006A38B6"/>
    <w:rsid w:val="006A68DE"/>
    <w:rsid w:val="006B1987"/>
    <w:rsid w:val="006B5B71"/>
    <w:rsid w:val="006B6CB0"/>
    <w:rsid w:val="006C2B64"/>
    <w:rsid w:val="006D4C85"/>
    <w:rsid w:val="006E33F6"/>
    <w:rsid w:val="006F1251"/>
    <w:rsid w:val="006F1C23"/>
    <w:rsid w:val="00703166"/>
    <w:rsid w:val="007127F3"/>
    <w:rsid w:val="00727831"/>
    <w:rsid w:val="007301CF"/>
    <w:rsid w:val="007316FB"/>
    <w:rsid w:val="00737E2D"/>
    <w:rsid w:val="007424D5"/>
    <w:rsid w:val="007523DD"/>
    <w:rsid w:val="00757B7E"/>
    <w:rsid w:val="007646F9"/>
    <w:rsid w:val="007828F8"/>
    <w:rsid w:val="007857B8"/>
    <w:rsid w:val="007935A9"/>
    <w:rsid w:val="00795DC5"/>
    <w:rsid w:val="00797153"/>
    <w:rsid w:val="007978B7"/>
    <w:rsid w:val="007B0DDA"/>
    <w:rsid w:val="007B2091"/>
    <w:rsid w:val="007B2D8B"/>
    <w:rsid w:val="007E5466"/>
    <w:rsid w:val="007F1949"/>
    <w:rsid w:val="007F7AC4"/>
    <w:rsid w:val="00802E80"/>
    <w:rsid w:val="00802F25"/>
    <w:rsid w:val="00817A84"/>
    <w:rsid w:val="008225A4"/>
    <w:rsid w:val="008234B4"/>
    <w:rsid w:val="00826D5E"/>
    <w:rsid w:val="00832013"/>
    <w:rsid w:val="00834732"/>
    <w:rsid w:val="00847A3C"/>
    <w:rsid w:val="0085200C"/>
    <w:rsid w:val="00857C52"/>
    <w:rsid w:val="00880A44"/>
    <w:rsid w:val="0088345E"/>
    <w:rsid w:val="00884150"/>
    <w:rsid w:val="0088656F"/>
    <w:rsid w:val="0089753D"/>
    <w:rsid w:val="008A0303"/>
    <w:rsid w:val="008A5FDD"/>
    <w:rsid w:val="008C3947"/>
    <w:rsid w:val="008E7329"/>
    <w:rsid w:val="008F2ED5"/>
    <w:rsid w:val="009061EA"/>
    <w:rsid w:val="0092297E"/>
    <w:rsid w:val="0092546E"/>
    <w:rsid w:val="009306C7"/>
    <w:rsid w:val="009341BF"/>
    <w:rsid w:val="00935F09"/>
    <w:rsid w:val="009375DF"/>
    <w:rsid w:val="00937907"/>
    <w:rsid w:val="00941739"/>
    <w:rsid w:val="00951573"/>
    <w:rsid w:val="00963003"/>
    <w:rsid w:val="0098051D"/>
    <w:rsid w:val="00983471"/>
    <w:rsid w:val="009909AB"/>
    <w:rsid w:val="00996F40"/>
    <w:rsid w:val="009B37DB"/>
    <w:rsid w:val="009C14DD"/>
    <w:rsid w:val="009C7A8C"/>
    <w:rsid w:val="009D23F9"/>
    <w:rsid w:val="009D4FA8"/>
    <w:rsid w:val="009E6CD6"/>
    <w:rsid w:val="00A00C3C"/>
    <w:rsid w:val="00A01091"/>
    <w:rsid w:val="00A02417"/>
    <w:rsid w:val="00A06DBB"/>
    <w:rsid w:val="00A160F3"/>
    <w:rsid w:val="00A2292D"/>
    <w:rsid w:val="00A31E86"/>
    <w:rsid w:val="00A54D87"/>
    <w:rsid w:val="00A5553C"/>
    <w:rsid w:val="00A71CD8"/>
    <w:rsid w:val="00A81785"/>
    <w:rsid w:val="00A83922"/>
    <w:rsid w:val="00A84803"/>
    <w:rsid w:val="00A84C51"/>
    <w:rsid w:val="00A86F2B"/>
    <w:rsid w:val="00A91366"/>
    <w:rsid w:val="00A93AA6"/>
    <w:rsid w:val="00A95103"/>
    <w:rsid w:val="00AA4E48"/>
    <w:rsid w:val="00AA6202"/>
    <w:rsid w:val="00AB707E"/>
    <w:rsid w:val="00AC1640"/>
    <w:rsid w:val="00AC33D8"/>
    <w:rsid w:val="00AC4A99"/>
    <w:rsid w:val="00AC64D2"/>
    <w:rsid w:val="00AE0FE8"/>
    <w:rsid w:val="00AF60D5"/>
    <w:rsid w:val="00B04415"/>
    <w:rsid w:val="00B06BDD"/>
    <w:rsid w:val="00B11D60"/>
    <w:rsid w:val="00B13D65"/>
    <w:rsid w:val="00B37245"/>
    <w:rsid w:val="00B4017A"/>
    <w:rsid w:val="00B4468D"/>
    <w:rsid w:val="00B5014B"/>
    <w:rsid w:val="00B71C72"/>
    <w:rsid w:val="00B81E92"/>
    <w:rsid w:val="00B93B30"/>
    <w:rsid w:val="00B94CB5"/>
    <w:rsid w:val="00BA0DD9"/>
    <w:rsid w:val="00BA19F7"/>
    <w:rsid w:val="00BA4E9F"/>
    <w:rsid w:val="00BB6312"/>
    <w:rsid w:val="00BC4D06"/>
    <w:rsid w:val="00BD585E"/>
    <w:rsid w:val="00BE0E39"/>
    <w:rsid w:val="00BF206B"/>
    <w:rsid w:val="00BF2E0D"/>
    <w:rsid w:val="00BF3F8B"/>
    <w:rsid w:val="00BF76DA"/>
    <w:rsid w:val="00C07C7B"/>
    <w:rsid w:val="00C24479"/>
    <w:rsid w:val="00C33602"/>
    <w:rsid w:val="00C37B53"/>
    <w:rsid w:val="00C46309"/>
    <w:rsid w:val="00C517D2"/>
    <w:rsid w:val="00C52397"/>
    <w:rsid w:val="00C534C8"/>
    <w:rsid w:val="00C62B36"/>
    <w:rsid w:val="00C7012C"/>
    <w:rsid w:val="00CC2E22"/>
    <w:rsid w:val="00CC6515"/>
    <w:rsid w:val="00CC668D"/>
    <w:rsid w:val="00CC7832"/>
    <w:rsid w:val="00CD0B96"/>
    <w:rsid w:val="00CD429B"/>
    <w:rsid w:val="00CE12C2"/>
    <w:rsid w:val="00CF0C1C"/>
    <w:rsid w:val="00D23808"/>
    <w:rsid w:val="00D3016A"/>
    <w:rsid w:val="00D30A03"/>
    <w:rsid w:val="00D36BCB"/>
    <w:rsid w:val="00D36CD4"/>
    <w:rsid w:val="00D42960"/>
    <w:rsid w:val="00D43BD7"/>
    <w:rsid w:val="00D4485B"/>
    <w:rsid w:val="00D4708D"/>
    <w:rsid w:val="00D4744C"/>
    <w:rsid w:val="00D555EC"/>
    <w:rsid w:val="00D63068"/>
    <w:rsid w:val="00D6498C"/>
    <w:rsid w:val="00D8521E"/>
    <w:rsid w:val="00D9291C"/>
    <w:rsid w:val="00D93A97"/>
    <w:rsid w:val="00D978E4"/>
    <w:rsid w:val="00DB1F64"/>
    <w:rsid w:val="00DC2F53"/>
    <w:rsid w:val="00DC6816"/>
    <w:rsid w:val="00DC76C2"/>
    <w:rsid w:val="00DD059B"/>
    <w:rsid w:val="00DD1CF2"/>
    <w:rsid w:val="00DE1992"/>
    <w:rsid w:val="00DE680E"/>
    <w:rsid w:val="00DF41B7"/>
    <w:rsid w:val="00DF4A4A"/>
    <w:rsid w:val="00DF583C"/>
    <w:rsid w:val="00E03C3F"/>
    <w:rsid w:val="00E24D45"/>
    <w:rsid w:val="00E33DB8"/>
    <w:rsid w:val="00E34387"/>
    <w:rsid w:val="00E369FE"/>
    <w:rsid w:val="00E37C6F"/>
    <w:rsid w:val="00E4610C"/>
    <w:rsid w:val="00E475F8"/>
    <w:rsid w:val="00E5102E"/>
    <w:rsid w:val="00E5721C"/>
    <w:rsid w:val="00E619C6"/>
    <w:rsid w:val="00E66270"/>
    <w:rsid w:val="00E7104D"/>
    <w:rsid w:val="00E745A1"/>
    <w:rsid w:val="00E8142F"/>
    <w:rsid w:val="00E81529"/>
    <w:rsid w:val="00E83A13"/>
    <w:rsid w:val="00EC2356"/>
    <w:rsid w:val="00EC2582"/>
    <w:rsid w:val="00EC337C"/>
    <w:rsid w:val="00ED0CFF"/>
    <w:rsid w:val="00ED27D4"/>
    <w:rsid w:val="00ED31D2"/>
    <w:rsid w:val="00ED4CBB"/>
    <w:rsid w:val="00EE0EAC"/>
    <w:rsid w:val="00EE33CB"/>
    <w:rsid w:val="00EF1CD0"/>
    <w:rsid w:val="00F0061A"/>
    <w:rsid w:val="00F02581"/>
    <w:rsid w:val="00F02834"/>
    <w:rsid w:val="00F07CD7"/>
    <w:rsid w:val="00F127E9"/>
    <w:rsid w:val="00F30D4D"/>
    <w:rsid w:val="00F33B0E"/>
    <w:rsid w:val="00F36972"/>
    <w:rsid w:val="00F42426"/>
    <w:rsid w:val="00F4280E"/>
    <w:rsid w:val="00F456BC"/>
    <w:rsid w:val="00F50666"/>
    <w:rsid w:val="00F65741"/>
    <w:rsid w:val="00F70C9E"/>
    <w:rsid w:val="00F74A74"/>
    <w:rsid w:val="00F832F8"/>
    <w:rsid w:val="00F8382C"/>
    <w:rsid w:val="00F855D7"/>
    <w:rsid w:val="00F857A3"/>
    <w:rsid w:val="00F92035"/>
    <w:rsid w:val="00F92748"/>
    <w:rsid w:val="00FA4169"/>
    <w:rsid w:val="00FB0D41"/>
    <w:rsid w:val="00FB2030"/>
    <w:rsid w:val="00FD1B8D"/>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F3193"/>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rsid w:val="001E5EE8"/>
    <w:rPr>
      <w:sz w:val="24"/>
      <w:szCs w:val="24"/>
      <w:lang w:eastAsia="en-US"/>
    </w:rPr>
  </w:style>
  <w:style w:type="paragraph" w:styleId="prastasiniatinklio">
    <w:name w:val="Normal (Web)"/>
    <w:basedOn w:val="prastasis"/>
    <w:uiPriority w:val="99"/>
    <w:semiHidden/>
    <w:unhideWhenUsed/>
    <w:rsid w:val="0067695E"/>
    <w:pPr>
      <w:spacing w:before="100" w:beforeAutospacing="1" w:after="100" w:afterAutospacing="1"/>
    </w:pPr>
    <w:rPr>
      <w:lang w:eastAsia="lt-LT"/>
    </w:rPr>
  </w:style>
  <w:style w:type="paragraph" w:styleId="Pataisymai">
    <w:name w:val="Revision"/>
    <w:hidden/>
    <w:uiPriority w:val="99"/>
    <w:semiHidden/>
    <w:rsid w:val="005D5BE7"/>
    <w:rPr>
      <w:sz w:val="24"/>
      <w:szCs w:val="24"/>
      <w:lang w:eastAsia="en-US"/>
    </w:rPr>
  </w:style>
  <w:style w:type="paragraph" w:customStyle="1" w:styleId="Default">
    <w:name w:val="Default"/>
    <w:rsid w:val="007646F9"/>
    <w:pPr>
      <w:autoSpaceDE w:val="0"/>
      <w:autoSpaceDN w:val="0"/>
      <w:adjustRightInd w:val="0"/>
    </w:pPr>
    <w:rPr>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B923AF22DB4C3D90079A16857A593C"/>
        <w:category>
          <w:name w:val="General"/>
          <w:gallery w:val="placeholder"/>
        </w:category>
        <w:types>
          <w:type w:val="bbPlcHdr"/>
        </w:types>
        <w:behaviors>
          <w:behavior w:val="content"/>
        </w:behaviors>
        <w:guid w:val="{892D3B74-BC1D-41B7-A635-587E1AF5185A}"/>
      </w:docPartPr>
      <w:docPartBody>
        <w:p w:rsidR="0067115D" w:rsidRDefault="00C170D3" w:rsidP="00C170D3">
          <w:pPr>
            <w:pStyle w:val="F6B923AF22DB4C3D90079A16857A593C"/>
          </w:pPr>
          <w:r>
            <w:rPr>
              <w:rStyle w:val="Vietosrezervavimoenklotekstas"/>
            </w:rPr>
            <w:t>Click here to enter a date.</w:t>
          </w:r>
        </w:p>
      </w:docPartBody>
    </w:docPart>
    <w:docPart>
      <w:docPartPr>
        <w:name w:val="B0C640AABE4F433985E5995453D6F025"/>
        <w:category>
          <w:name w:val="General"/>
          <w:gallery w:val="placeholder"/>
        </w:category>
        <w:types>
          <w:type w:val="bbPlcHdr"/>
        </w:types>
        <w:behaviors>
          <w:behavior w:val="content"/>
        </w:behaviors>
        <w:guid w:val="{744D27B7-4D37-4931-B1B9-5D323A15BD7A}"/>
      </w:docPartPr>
      <w:docPartBody>
        <w:p w:rsidR="0067115D" w:rsidRDefault="00C170D3" w:rsidP="00C170D3">
          <w:pPr>
            <w:pStyle w:val="B0C640AABE4F433985E5995453D6F025"/>
          </w:pPr>
          <w:r>
            <w:rPr>
              <w:rStyle w:val="Vietosrezervavimoenklotekstas"/>
            </w:rPr>
            <w:t>Click here to enter a date.</w:t>
          </w:r>
        </w:p>
      </w:docPartBody>
    </w:docPart>
    <w:docPart>
      <w:docPartPr>
        <w:name w:val="F0303D4558E7436FADA732766C35AFA4"/>
        <w:category>
          <w:name w:val="General"/>
          <w:gallery w:val="placeholder"/>
        </w:category>
        <w:types>
          <w:type w:val="bbPlcHdr"/>
        </w:types>
        <w:behaviors>
          <w:behavior w:val="content"/>
        </w:behaviors>
        <w:guid w:val="{71BFB64C-D756-45DA-B53C-412B05226237}"/>
      </w:docPartPr>
      <w:docPartBody>
        <w:p w:rsidR="0067115D" w:rsidRDefault="00C170D3" w:rsidP="00C170D3">
          <w:pPr>
            <w:pStyle w:val="F0303D4558E7436FADA732766C35AFA4"/>
          </w:pPr>
          <w:r>
            <w:rPr>
              <w:rStyle w:val="Vietosrezervavimoenklotekstas"/>
            </w:rPr>
            <w:t>Click here to enter a date.</w:t>
          </w:r>
        </w:p>
      </w:docPartBody>
    </w:docPart>
    <w:docPart>
      <w:docPartPr>
        <w:name w:val="E083ED5FB7AF4764A541D0DE11DA4C2B"/>
        <w:category>
          <w:name w:val="General"/>
          <w:gallery w:val="placeholder"/>
        </w:category>
        <w:types>
          <w:type w:val="bbPlcHdr"/>
        </w:types>
        <w:behaviors>
          <w:behavior w:val="content"/>
        </w:behaviors>
        <w:guid w:val="{888317C6-A83E-4023-9F37-E4199C51A8FF}"/>
      </w:docPartPr>
      <w:docPartBody>
        <w:p w:rsidR="0067115D" w:rsidRDefault="00C170D3" w:rsidP="00C170D3">
          <w:pPr>
            <w:pStyle w:val="E083ED5FB7AF4764A541D0DE11DA4C2B"/>
          </w:pPr>
          <w:r>
            <w:rPr>
              <w:rStyle w:val="Vietosrezervavimoenklotekstas"/>
            </w:rPr>
            <w:t>Click here to enter a date.</w:t>
          </w:r>
        </w:p>
      </w:docPartBody>
    </w:docPart>
    <w:docPart>
      <w:docPartPr>
        <w:name w:val="1E4E14E47D6B48E6881F64D9F316775B"/>
        <w:category>
          <w:name w:val="General"/>
          <w:gallery w:val="placeholder"/>
        </w:category>
        <w:types>
          <w:type w:val="bbPlcHdr"/>
        </w:types>
        <w:behaviors>
          <w:behavior w:val="content"/>
        </w:behaviors>
        <w:guid w:val="{4C18F513-2866-46C4-9362-AD84AA743E52}"/>
      </w:docPartPr>
      <w:docPartBody>
        <w:p w:rsidR="00DD5255" w:rsidRDefault="00871743" w:rsidP="00871743">
          <w:pPr>
            <w:pStyle w:val="1E4E14E47D6B48E6881F64D9F316775B"/>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0C5F9D"/>
    <w:rsid w:val="00142274"/>
    <w:rsid w:val="001607D6"/>
    <w:rsid w:val="00196C3E"/>
    <w:rsid w:val="001D7AD5"/>
    <w:rsid w:val="001E0C16"/>
    <w:rsid w:val="00235BC3"/>
    <w:rsid w:val="00265CF8"/>
    <w:rsid w:val="003661F6"/>
    <w:rsid w:val="004144A3"/>
    <w:rsid w:val="004160E7"/>
    <w:rsid w:val="004C3E01"/>
    <w:rsid w:val="005074B9"/>
    <w:rsid w:val="00550F3C"/>
    <w:rsid w:val="005A4147"/>
    <w:rsid w:val="005C76A4"/>
    <w:rsid w:val="005E40DD"/>
    <w:rsid w:val="00631703"/>
    <w:rsid w:val="0067115D"/>
    <w:rsid w:val="00741ACE"/>
    <w:rsid w:val="007A31E1"/>
    <w:rsid w:val="007B7612"/>
    <w:rsid w:val="007C6D1D"/>
    <w:rsid w:val="00806B07"/>
    <w:rsid w:val="00816D8F"/>
    <w:rsid w:val="00847A3C"/>
    <w:rsid w:val="0086120B"/>
    <w:rsid w:val="00871743"/>
    <w:rsid w:val="00871A0B"/>
    <w:rsid w:val="009B3BF0"/>
    <w:rsid w:val="009D5E5E"/>
    <w:rsid w:val="009F08E3"/>
    <w:rsid w:val="00B107CB"/>
    <w:rsid w:val="00B23DC0"/>
    <w:rsid w:val="00C170D3"/>
    <w:rsid w:val="00CB4BD1"/>
    <w:rsid w:val="00CE2DA9"/>
    <w:rsid w:val="00CE44BE"/>
    <w:rsid w:val="00D30A03"/>
    <w:rsid w:val="00D32967"/>
    <w:rsid w:val="00D978E4"/>
    <w:rsid w:val="00DA6CA8"/>
    <w:rsid w:val="00DD059B"/>
    <w:rsid w:val="00DD5255"/>
    <w:rsid w:val="00DF3AB7"/>
    <w:rsid w:val="00E23093"/>
    <w:rsid w:val="00E44A86"/>
    <w:rsid w:val="00EA5866"/>
    <w:rsid w:val="00ED27D4"/>
    <w:rsid w:val="00EF6E0C"/>
    <w:rsid w:val="00F46FEE"/>
    <w:rsid w:val="00F8347E"/>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71743"/>
    <w:rPr>
      <w:color w:val="808080"/>
    </w:rPr>
  </w:style>
  <w:style w:type="paragraph" w:customStyle="1" w:styleId="F6B923AF22DB4C3D90079A16857A593C">
    <w:name w:val="F6B923AF22DB4C3D90079A16857A593C"/>
    <w:rsid w:val="00C170D3"/>
    <w:pPr>
      <w:spacing w:line="278" w:lineRule="auto"/>
    </w:pPr>
    <w:rPr>
      <w:kern w:val="2"/>
      <w:sz w:val="24"/>
      <w:szCs w:val="24"/>
      <w:lang w:val="en-GB" w:eastAsia="en-GB"/>
      <w14:ligatures w14:val="standardContextual"/>
    </w:rPr>
  </w:style>
  <w:style w:type="paragraph" w:customStyle="1" w:styleId="B0C640AABE4F433985E5995453D6F025">
    <w:name w:val="B0C640AABE4F433985E5995453D6F025"/>
    <w:rsid w:val="00C170D3"/>
    <w:pPr>
      <w:spacing w:line="278" w:lineRule="auto"/>
    </w:pPr>
    <w:rPr>
      <w:kern w:val="2"/>
      <w:sz w:val="24"/>
      <w:szCs w:val="24"/>
      <w:lang w:val="en-GB" w:eastAsia="en-GB"/>
      <w14:ligatures w14:val="standardContextual"/>
    </w:rPr>
  </w:style>
  <w:style w:type="paragraph" w:customStyle="1" w:styleId="F0303D4558E7436FADA732766C35AFA4">
    <w:name w:val="F0303D4558E7436FADA732766C35AFA4"/>
    <w:rsid w:val="00C170D3"/>
    <w:pPr>
      <w:spacing w:line="278" w:lineRule="auto"/>
    </w:pPr>
    <w:rPr>
      <w:kern w:val="2"/>
      <w:sz w:val="24"/>
      <w:szCs w:val="24"/>
      <w:lang w:val="en-GB" w:eastAsia="en-GB"/>
      <w14:ligatures w14:val="standardContextual"/>
    </w:rPr>
  </w:style>
  <w:style w:type="paragraph" w:customStyle="1" w:styleId="E083ED5FB7AF4764A541D0DE11DA4C2B">
    <w:name w:val="E083ED5FB7AF4764A541D0DE11DA4C2B"/>
    <w:rsid w:val="00C170D3"/>
    <w:pPr>
      <w:spacing w:line="278" w:lineRule="auto"/>
    </w:pPr>
    <w:rPr>
      <w:kern w:val="2"/>
      <w:sz w:val="24"/>
      <w:szCs w:val="24"/>
      <w:lang w:val="en-GB" w:eastAsia="en-GB"/>
      <w14:ligatures w14:val="standardContextual"/>
    </w:rPr>
  </w:style>
  <w:style w:type="paragraph" w:customStyle="1" w:styleId="F4AE2535633149989D32C12392B9A66E">
    <w:name w:val="F4AE2535633149989D32C12392B9A66E"/>
    <w:rsid w:val="00871743"/>
    <w:pPr>
      <w:spacing w:line="278" w:lineRule="auto"/>
    </w:pPr>
    <w:rPr>
      <w:kern w:val="2"/>
      <w:sz w:val="24"/>
      <w:szCs w:val="24"/>
      <w:lang w:val="en-GB" w:eastAsia="en-GB"/>
      <w14:ligatures w14:val="standardContextual"/>
    </w:rPr>
  </w:style>
  <w:style w:type="paragraph" w:customStyle="1" w:styleId="1E4E14E47D6B48E6881F64D9F316775B">
    <w:name w:val="1E4E14E47D6B48E6881F64D9F316775B"/>
    <w:rsid w:val="00871743"/>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E1DD8-BA17-40BB-A670-8FD303BE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13007</Words>
  <Characters>7415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20382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2024-08-07T11:04:00Z</dcterms:created>
  <dcterms:modified xsi:type="dcterms:W3CDTF">2024-08-07T11:42:00Z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e95300-70cf-438b-b4b7-1f3ac183438d_Enabled">
    <vt:lpwstr>true</vt:lpwstr>
  </property>
  <property fmtid="{D5CDD505-2E9C-101B-9397-08002B2CF9AE}" pid="3" name="MSIP_Label_35e95300-70cf-438b-b4b7-1f3ac183438d_SetDate">
    <vt:lpwstr>2024-08-06T06:41:27Z</vt:lpwstr>
  </property>
  <property fmtid="{D5CDD505-2E9C-101B-9397-08002B2CF9AE}" pid="4" name="MSIP_Label_35e95300-70cf-438b-b4b7-1f3ac183438d_Method">
    <vt:lpwstr>Privileged</vt:lpwstr>
  </property>
  <property fmtid="{D5CDD505-2E9C-101B-9397-08002B2CF9AE}" pid="5" name="MSIP_Label_35e95300-70cf-438b-b4b7-1f3ac183438d_Name">
    <vt:lpwstr>Confidential General and Administrative (no marking)</vt:lpwstr>
  </property>
  <property fmtid="{D5CDD505-2E9C-101B-9397-08002B2CF9AE}" pid="6" name="MSIP_Label_35e95300-70cf-438b-b4b7-1f3ac183438d_SiteId">
    <vt:lpwstr>4b4266a6-1368-41af-ad5a-59eb634f7ad8</vt:lpwstr>
  </property>
  <property fmtid="{D5CDD505-2E9C-101B-9397-08002B2CF9AE}" pid="7" name="MSIP_Label_35e95300-70cf-438b-b4b7-1f3ac183438d_ActionId">
    <vt:lpwstr>42c38315-af43-4bdb-ad34-9e46702e16f5</vt:lpwstr>
  </property>
  <property fmtid="{D5CDD505-2E9C-101B-9397-08002B2CF9AE}" pid="8" name="MSIP_Label_35e95300-70cf-438b-b4b7-1f3ac183438d_ContentBits">
    <vt:lpwstr>0</vt:lpwstr>
  </property>
</Properties>
</file>