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Pr="00260559" w:rsidRDefault="005F7602" w:rsidP="002946C7">
      <w:pPr>
        <w:ind w:left="5529"/>
      </w:pPr>
    </w:p>
    <w:p w14:paraId="12FA4B9E" w14:textId="77777777" w:rsidR="001B3C5B" w:rsidRPr="00260559" w:rsidRDefault="001B3C5B" w:rsidP="001B3C5B">
      <w:pPr>
        <w:ind w:left="6096"/>
      </w:pPr>
      <w:r w:rsidRPr="00260559">
        <w:t>Forma patvirtinta</w:t>
      </w:r>
    </w:p>
    <w:p w14:paraId="7206970B" w14:textId="70E9BD2E" w:rsidR="004C263A" w:rsidRPr="00260559" w:rsidRDefault="001B3C5B" w:rsidP="001B3C5B">
      <w:pPr>
        <w:ind w:left="6096"/>
      </w:pPr>
      <w:r w:rsidRPr="00260559">
        <w:t>Valstybinės vaistų kontrolės tarnybos prie Lietuvos Respublikos sveikatos apsaugos ministerijos viršininko 2021 m</w:t>
      </w:r>
      <w:r w:rsidR="004C263A" w:rsidRPr="00260559">
        <w:t xml:space="preserve">. lapkričio 12 </w:t>
      </w:r>
      <w:r w:rsidRPr="00260559">
        <w:t>d. įsakymu Nr.</w:t>
      </w:r>
      <w:r w:rsidR="004C263A" w:rsidRPr="00260559">
        <w:t xml:space="preserve"> (1.72E)1A-1418</w:t>
      </w:r>
    </w:p>
    <w:p w14:paraId="5B219AA6" w14:textId="520B9136" w:rsidR="001B3C5B" w:rsidRPr="00260559" w:rsidRDefault="004C263A" w:rsidP="001B3C5B">
      <w:pPr>
        <w:ind w:left="6096"/>
      </w:pPr>
      <w:r w:rsidRPr="00260559">
        <w:t>(Valstybinės vaistų kontrolės tarnybos prie Lietuvos Respublikos sveikatos apsaugos ministerijos viršininko 2022 m.                         d. įsakymo Nr.                    redakcija)</w:t>
      </w:r>
    </w:p>
    <w:p w14:paraId="3336BD74" w14:textId="77777777" w:rsidR="001B3C5B" w:rsidRPr="00260559" w:rsidRDefault="001B3C5B" w:rsidP="00FA4169"/>
    <w:p w14:paraId="77AFB67E" w14:textId="16397257" w:rsidR="00613501" w:rsidRPr="00260559" w:rsidRDefault="002F0E4F" w:rsidP="003B211A">
      <w:pPr>
        <w:jc w:val="center"/>
        <w:rPr>
          <w:b/>
          <w:bCs/>
          <w:caps/>
        </w:rPr>
      </w:pPr>
      <w:r w:rsidRPr="00260559">
        <w:rPr>
          <w:b/>
        </w:rPr>
        <w:t xml:space="preserve">REKOMENDACIJA DĖL VAISTINIO PREPARATO </w:t>
      </w:r>
      <w:r w:rsidRPr="00260559">
        <w:rPr>
          <w:b/>
          <w:bCs/>
          <w:caps/>
        </w:rPr>
        <w:t>Lietuvos Respublikos Sveikatos apsaugos ministerijos vaistinių preparatų ir medicinos pagalbos priemonių kompensavimo komisijai</w:t>
      </w:r>
    </w:p>
    <w:p w14:paraId="34E4395D" w14:textId="623D0445" w:rsidR="00B13D65" w:rsidRPr="00260559" w:rsidRDefault="00B13D65" w:rsidP="003B211A">
      <w:pPr>
        <w:jc w:val="center"/>
        <w:rPr>
          <w:b/>
        </w:rPr>
      </w:pPr>
    </w:p>
    <w:p w14:paraId="330AE555" w14:textId="68CD3A1A" w:rsidR="008B2311" w:rsidRPr="00260559" w:rsidRDefault="00570FDD" w:rsidP="008B2311">
      <w:pPr>
        <w:jc w:val="center"/>
        <w:rPr>
          <w:b/>
        </w:rPr>
      </w:pPr>
      <w:r w:rsidRPr="00260559">
        <w:rPr>
          <w:b/>
          <w:bCs/>
        </w:rPr>
        <w:t>KEYTRUDA</w:t>
      </w:r>
      <w:r w:rsidRPr="00260559">
        <w:rPr>
          <w:bCs/>
        </w:rPr>
        <w:t xml:space="preserve"> </w:t>
      </w:r>
      <w:r w:rsidRPr="00260559">
        <w:rPr>
          <w:b/>
        </w:rPr>
        <w:t>50 mg milteliai infuzinio tirpalo koncentratui</w:t>
      </w:r>
    </w:p>
    <w:p w14:paraId="440CC52C" w14:textId="39E56A5C" w:rsidR="008B2311" w:rsidRPr="00260559" w:rsidRDefault="008B2311" w:rsidP="005227E0">
      <w:pPr>
        <w:jc w:val="center"/>
      </w:pPr>
      <w:r w:rsidRPr="00260559">
        <w:t>(</w:t>
      </w:r>
      <w:r w:rsidR="00570FDD" w:rsidRPr="00260559">
        <w:t>Pembrolizumabas</w:t>
      </w:r>
      <w:r w:rsidRPr="00260559">
        <w:t>)</w:t>
      </w:r>
    </w:p>
    <w:p w14:paraId="38F4F3EA" w14:textId="77777777" w:rsidR="008B2311" w:rsidRPr="00260559" w:rsidRDefault="008B2311" w:rsidP="008B2311">
      <w:pPr>
        <w:jc w:val="center"/>
      </w:pPr>
    </w:p>
    <w:p w14:paraId="71C9E00F" w14:textId="55D83445" w:rsidR="001A0642" w:rsidRPr="00260559" w:rsidRDefault="008B2311" w:rsidP="008B2311">
      <w:pPr>
        <w:jc w:val="center"/>
        <w:rPr>
          <w:b/>
        </w:rPr>
      </w:pPr>
      <w:r w:rsidRPr="00260559">
        <w:rPr>
          <w:b/>
        </w:rPr>
        <w:t>STV-</w:t>
      </w:r>
      <w:r w:rsidR="00570FDD" w:rsidRPr="00260559">
        <w:rPr>
          <w:b/>
        </w:rPr>
        <w:t>95</w:t>
      </w:r>
    </w:p>
    <w:p w14:paraId="1E2B8830" w14:textId="77777777" w:rsidR="008B2311" w:rsidRPr="00260559" w:rsidRDefault="008B2311" w:rsidP="006F3037">
      <w:pPr>
        <w:rPr>
          <w:b/>
        </w:rPr>
      </w:pPr>
    </w:p>
    <w:p w14:paraId="33D987A0" w14:textId="77777777" w:rsidR="001A0642" w:rsidRPr="00260559" w:rsidRDefault="001A0642" w:rsidP="003B211A">
      <w:pPr>
        <w:jc w:val="center"/>
        <w:rPr>
          <w:b/>
        </w:rPr>
      </w:pPr>
    </w:p>
    <w:p w14:paraId="78C89D1C" w14:textId="0DA88316" w:rsidR="00D4485B" w:rsidRPr="00260559" w:rsidRDefault="00B13D65" w:rsidP="00937907">
      <w:pPr>
        <w:pStyle w:val="Sraopastraipa"/>
        <w:numPr>
          <w:ilvl w:val="0"/>
          <w:numId w:val="12"/>
        </w:numPr>
        <w:tabs>
          <w:tab w:val="left" w:pos="284"/>
        </w:tabs>
        <w:rPr>
          <w:b/>
          <w:bCs/>
          <w:caps/>
        </w:rPr>
      </w:pPr>
      <w:r w:rsidRPr="00260559">
        <w:rPr>
          <w:b/>
          <w:bCs/>
          <w:caps/>
        </w:rPr>
        <w:t>Bendroji dalis</w:t>
      </w:r>
    </w:p>
    <w:p w14:paraId="04A7C7A7" w14:textId="77777777" w:rsidR="00B13D65" w:rsidRPr="00260559" w:rsidRDefault="00B13D65" w:rsidP="00E03C3F">
      <w:pPr>
        <w:pStyle w:val="Sraopastraipa"/>
        <w:tabs>
          <w:tab w:val="left" w:pos="284"/>
        </w:tabs>
        <w:ind w:left="0"/>
        <w:rPr>
          <w:b/>
          <w:bCs/>
          <w:caps/>
        </w:rPr>
      </w:pPr>
    </w:p>
    <w:tbl>
      <w:tblPr>
        <w:tblStyle w:val="Lentelstinklelis"/>
        <w:tblW w:w="9918" w:type="dxa"/>
        <w:tblLook w:val="04A0" w:firstRow="1" w:lastRow="0" w:firstColumn="1" w:lastColumn="0" w:noHBand="0" w:noVBand="1"/>
      </w:tblPr>
      <w:tblGrid>
        <w:gridCol w:w="705"/>
        <w:gridCol w:w="4117"/>
        <w:gridCol w:w="5096"/>
      </w:tblGrid>
      <w:tr w:rsidR="008B2311" w:rsidRPr="00260559" w14:paraId="71D4B164" w14:textId="77777777" w:rsidTr="00F414C7">
        <w:trPr>
          <w:trHeight w:val="342"/>
        </w:trPr>
        <w:tc>
          <w:tcPr>
            <w:tcW w:w="705" w:type="dxa"/>
          </w:tcPr>
          <w:p w14:paraId="6447287D" w14:textId="77777777" w:rsidR="008B2311" w:rsidRPr="00260559" w:rsidRDefault="008B2311" w:rsidP="00F414C7">
            <w:pPr>
              <w:tabs>
                <w:tab w:val="left" w:pos="284"/>
              </w:tabs>
              <w:spacing w:line="280" w:lineRule="atLeast"/>
              <w:rPr>
                <w:rFonts w:eastAsia="Arial"/>
                <w:b/>
              </w:rPr>
            </w:pPr>
            <w:r w:rsidRPr="00260559">
              <w:rPr>
                <w:rFonts w:eastAsia="Arial"/>
                <w:b/>
              </w:rPr>
              <w:t>1.1</w:t>
            </w:r>
          </w:p>
        </w:tc>
        <w:tc>
          <w:tcPr>
            <w:tcW w:w="4117" w:type="dxa"/>
          </w:tcPr>
          <w:p w14:paraId="18E94005" w14:textId="77777777" w:rsidR="008B2311" w:rsidRPr="00260559" w:rsidRDefault="008B2311" w:rsidP="00F414C7">
            <w:pPr>
              <w:tabs>
                <w:tab w:val="left" w:pos="284"/>
              </w:tabs>
              <w:spacing w:line="280" w:lineRule="atLeast"/>
              <w:rPr>
                <w:b/>
                <w:bCs/>
                <w:color w:val="000000"/>
                <w:lang w:eastAsia="lt-LT"/>
              </w:rPr>
            </w:pPr>
            <w:r w:rsidRPr="00260559">
              <w:rPr>
                <w:b/>
                <w:bCs/>
                <w:color w:val="000000"/>
                <w:lang w:eastAsia="lt-LT"/>
              </w:rPr>
              <w:t>Pareiškėjas</w:t>
            </w:r>
          </w:p>
        </w:tc>
        <w:tc>
          <w:tcPr>
            <w:tcW w:w="5096" w:type="dxa"/>
          </w:tcPr>
          <w:p w14:paraId="4749B5EA" w14:textId="2B93AAA4" w:rsidR="008B2311" w:rsidRPr="00260559" w:rsidRDefault="00570FDD" w:rsidP="00F414C7">
            <w:pPr>
              <w:pStyle w:val="Sraopastraipa"/>
              <w:spacing w:after="120"/>
              <w:ind w:left="0"/>
              <w:contextualSpacing w:val="0"/>
              <w:jc w:val="both"/>
            </w:pPr>
            <w:r w:rsidRPr="00260559">
              <w:t>UAB “Merck Sharp &amp; Dohme“</w:t>
            </w:r>
          </w:p>
        </w:tc>
      </w:tr>
      <w:tr w:rsidR="008B2311" w:rsidRPr="00260559" w14:paraId="417FC00D" w14:textId="77777777" w:rsidTr="00F414C7">
        <w:trPr>
          <w:trHeight w:val="479"/>
        </w:trPr>
        <w:tc>
          <w:tcPr>
            <w:tcW w:w="705" w:type="dxa"/>
          </w:tcPr>
          <w:p w14:paraId="07A62BF0" w14:textId="77777777" w:rsidR="008B2311" w:rsidRPr="00260559" w:rsidRDefault="008B2311" w:rsidP="00F414C7">
            <w:pPr>
              <w:tabs>
                <w:tab w:val="left" w:pos="284"/>
              </w:tabs>
              <w:spacing w:line="280" w:lineRule="atLeast"/>
              <w:rPr>
                <w:rFonts w:eastAsia="Arial"/>
                <w:b/>
              </w:rPr>
            </w:pPr>
            <w:r w:rsidRPr="00260559">
              <w:rPr>
                <w:rFonts w:eastAsia="Arial"/>
                <w:b/>
              </w:rPr>
              <w:t>1.2</w:t>
            </w:r>
          </w:p>
        </w:tc>
        <w:tc>
          <w:tcPr>
            <w:tcW w:w="4117" w:type="dxa"/>
          </w:tcPr>
          <w:p w14:paraId="0CF04B2A" w14:textId="77777777" w:rsidR="008B2311" w:rsidRPr="00260559" w:rsidRDefault="008B2311" w:rsidP="00F414C7">
            <w:pPr>
              <w:tabs>
                <w:tab w:val="left" w:pos="284"/>
              </w:tabs>
              <w:spacing w:line="280" w:lineRule="atLeast"/>
              <w:rPr>
                <w:b/>
                <w:bCs/>
                <w:color w:val="000000"/>
                <w:lang w:eastAsia="lt-LT"/>
              </w:rPr>
            </w:pPr>
            <w:r w:rsidRPr="00260559">
              <w:rPr>
                <w:b/>
                <w:bCs/>
                <w:color w:val="000000"/>
                <w:lang w:eastAsia="lt-LT"/>
              </w:rPr>
              <w:t>Registracijos data (EVA)</w:t>
            </w:r>
          </w:p>
          <w:p w14:paraId="79804DD7" w14:textId="77777777" w:rsidR="008B2311" w:rsidRPr="00260559" w:rsidRDefault="008B2311" w:rsidP="00F414C7">
            <w:pPr>
              <w:tabs>
                <w:tab w:val="left" w:pos="284"/>
              </w:tabs>
              <w:spacing w:line="280" w:lineRule="atLeast"/>
              <w:rPr>
                <w:bCs/>
                <w:color w:val="000000"/>
                <w:lang w:eastAsia="lt-LT"/>
              </w:rPr>
            </w:pPr>
          </w:p>
        </w:tc>
        <w:tc>
          <w:tcPr>
            <w:tcW w:w="5096" w:type="dxa"/>
          </w:tcPr>
          <w:p w14:paraId="4A372B2A" w14:textId="7555B359" w:rsidR="008B2311" w:rsidRPr="00260559" w:rsidRDefault="00000000" w:rsidP="00F414C7">
            <w:pPr>
              <w:pStyle w:val="Sraopastraipa"/>
              <w:spacing w:after="120"/>
              <w:ind w:left="0"/>
              <w:contextualSpacing w:val="0"/>
              <w:jc w:val="both"/>
              <w:rPr>
                <w:rStyle w:val="Style2"/>
              </w:rPr>
            </w:pPr>
            <w:sdt>
              <w:sdtPr>
                <w:rPr>
                  <w:color w:val="000000" w:themeColor="text1"/>
                  <w:sz w:val="32"/>
                  <w:shd w:val="clear" w:color="auto" w:fill="FFFFFF"/>
                  <w:lang w:eastAsia="en-GB"/>
                </w:rPr>
                <w:alias w:val="Nurodykite konkrečią dieną"/>
                <w:tag w:val="Nurodykite pradžios datą"/>
                <w:id w:val="423238108"/>
                <w:placeholder>
                  <w:docPart w:val="B514D13E29E191409236538E7BBD836F"/>
                </w:placeholder>
                <w15:color w:val="FFCC99"/>
                <w:date>
                  <w:dateFormat w:val="yyyy 'm.' MMMM d 'd.'"/>
                  <w:lid w:val="lt-LT"/>
                  <w:storeMappedDataAs w:val="dateTime"/>
                  <w:calendar w:val="gregorian"/>
                </w:date>
              </w:sdtPr>
              <w:sdtContent>
                <w:r w:rsidR="00570FDD" w:rsidRPr="00260559">
                  <w:rPr>
                    <w:color w:val="000000" w:themeColor="text1"/>
                    <w:shd w:val="clear" w:color="auto" w:fill="FFFFFF"/>
                    <w:lang w:eastAsia="en-GB"/>
                  </w:rPr>
                  <w:t>2015 m. liepos 17</w:t>
                </w:r>
                <w:r w:rsidR="005227E0" w:rsidRPr="00260559">
                  <w:rPr>
                    <w:color w:val="000000" w:themeColor="text1"/>
                    <w:shd w:val="clear" w:color="auto" w:fill="FFFFFF"/>
                    <w:lang w:eastAsia="en-GB"/>
                  </w:rPr>
                  <w:t xml:space="preserve"> d.</w:t>
                </w:r>
              </w:sdtContent>
            </w:sdt>
          </w:p>
        </w:tc>
      </w:tr>
      <w:tr w:rsidR="008B2311" w:rsidRPr="00260559" w14:paraId="44D6C7A5" w14:textId="77777777" w:rsidTr="00F414C7">
        <w:trPr>
          <w:trHeight w:val="1328"/>
        </w:trPr>
        <w:tc>
          <w:tcPr>
            <w:tcW w:w="705" w:type="dxa"/>
          </w:tcPr>
          <w:p w14:paraId="5CF78BBC" w14:textId="77777777" w:rsidR="008B2311" w:rsidRPr="00260559" w:rsidRDefault="008B2311" w:rsidP="00F414C7">
            <w:pPr>
              <w:tabs>
                <w:tab w:val="left" w:pos="284"/>
              </w:tabs>
              <w:spacing w:line="280" w:lineRule="atLeast"/>
              <w:rPr>
                <w:rFonts w:eastAsia="Arial"/>
                <w:b/>
              </w:rPr>
            </w:pPr>
            <w:r w:rsidRPr="00260559">
              <w:rPr>
                <w:rFonts w:eastAsia="Arial"/>
                <w:b/>
              </w:rPr>
              <w:t>1.3</w:t>
            </w:r>
          </w:p>
        </w:tc>
        <w:tc>
          <w:tcPr>
            <w:tcW w:w="4117" w:type="dxa"/>
          </w:tcPr>
          <w:p w14:paraId="1FB8A369" w14:textId="77777777" w:rsidR="008B2311" w:rsidRPr="00260559" w:rsidRDefault="008B2311" w:rsidP="00F414C7">
            <w:pPr>
              <w:pStyle w:val="Betarp"/>
              <w:rPr>
                <w:rFonts w:ascii="Times New Roman" w:hAnsi="Times New Roman"/>
                <w:b/>
                <w:sz w:val="24"/>
                <w:szCs w:val="24"/>
              </w:rPr>
            </w:pPr>
            <w:r w:rsidRPr="00260559">
              <w:rPr>
                <w:rFonts w:ascii="Times New Roman" w:hAnsi="Times New Roman"/>
                <w:b/>
                <w:sz w:val="24"/>
                <w:szCs w:val="24"/>
              </w:rPr>
              <w:t xml:space="preserve">Paraiškos tipas </w:t>
            </w:r>
          </w:p>
          <w:p w14:paraId="0961AD25" w14:textId="77777777" w:rsidR="008B2311" w:rsidRPr="00260559" w:rsidRDefault="008B2311" w:rsidP="00F414C7">
            <w:pPr>
              <w:rPr>
                <w:b/>
              </w:rPr>
            </w:pPr>
            <w:r w:rsidRPr="00260559">
              <w:rPr>
                <w:b/>
              </w:rPr>
              <w:t xml:space="preserve">(pagal </w:t>
            </w:r>
            <w:r w:rsidRPr="00260559">
              <w:rPr>
                <w:b/>
                <w:shd w:val="clear" w:color="auto" w:fill="FFFFFF"/>
              </w:rPr>
              <w:t>vaistinio preparato registracijos tipą, įtvirtintą</w:t>
            </w:r>
            <w:r w:rsidRPr="00260559">
              <w:rPr>
                <w:b/>
              </w:rPr>
              <w:t xml:space="preserve"> Direktyvos 2001/83/EB straipsniuose)</w:t>
            </w:r>
          </w:p>
          <w:p w14:paraId="033C0830" w14:textId="77777777" w:rsidR="008B2311" w:rsidRPr="00260559" w:rsidRDefault="008B2311" w:rsidP="00F414C7">
            <w:pPr>
              <w:tabs>
                <w:tab w:val="left" w:pos="284"/>
              </w:tabs>
              <w:spacing w:line="280" w:lineRule="atLeast"/>
              <w:rPr>
                <w:b/>
                <w:bCs/>
                <w:color w:val="000000"/>
                <w:lang w:eastAsia="lt-LT"/>
              </w:rPr>
            </w:pPr>
          </w:p>
        </w:tc>
        <w:tc>
          <w:tcPr>
            <w:tcW w:w="5096" w:type="dxa"/>
          </w:tcPr>
          <w:p w14:paraId="3112BF34" w14:textId="77777777" w:rsidR="008B2311" w:rsidRPr="00260559" w:rsidRDefault="00000000" w:rsidP="00F414C7">
            <w:sdt>
              <w:sdtPr>
                <w:rPr>
                  <w:rStyle w:val="Style2"/>
                </w:rPr>
                <w:id w:val="-366596377"/>
                <w15:color w:val="FFCC00"/>
                <w14:checkbox>
                  <w14:checked w14:val="1"/>
                  <w14:checkedState w14:val="2612" w14:font="MS Gothic"/>
                  <w14:uncheckedState w14:val="2610" w14:font="MS Gothic"/>
                </w14:checkbox>
              </w:sdtPr>
              <w:sdtContent>
                <w:r w:rsidR="008B2311" w:rsidRPr="00260559">
                  <w:rPr>
                    <w:rStyle w:val="Style2"/>
                    <w:rFonts w:ascii="MS Gothic" w:eastAsia="MS Gothic" w:hAnsi="MS Gothic"/>
                  </w:rPr>
                  <w:t>☒</w:t>
                </w:r>
              </w:sdtContent>
            </w:sdt>
            <w:r w:rsidR="008B2311" w:rsidRPr="00260559">
              <w:t xml:space="preserve"> 8.3 str. (pilna byla, pagrįsta savais tyrimais) </w:t>
            </w:r>
          </w:p>
          <w:p w14:paraId="373DF659" w14:textId="77777777" w:rsidR="008B2311" w:rsidRPr="00260559" w:rsidRDefault="00000000" w:rsidP="00F414C7">
            <w:sdt>
              <w:sdtPr>
                <w:rPr>
                  <w:rStyle w:val="Style2"/>
                </w:rPr>
                <w:id w:val="675462298"/>
                <w15:color w:val="FFCC00"/>
                <w14:checkbox>
                  <w14:checked w14:val="0"/>
                  <w14:checkedState w14:val="2612" w14:font="MS Gothic"/>
                  <w14:uncheckedState w14:val="2610" w14:font="MS Gothic"/>
                </w14:checkbox>
              </w:sdtPr>
              <w:sdtContent>
                <w:r w:rsidR="008B2311" w:rsidRPr="00260559">
                  <w:rPr>
                    <w:rStyle w:val="Style2"/>
                    <w:rFonts w:ascii="Segoe UI Symbol" w:eastAsia="MS Gothic" w:hAnsi="Segoe UI Symbol" w:cs="Segoe UI Symbol"/>
                  </w:rPr>
                  <w:t>☐</w:t>
                </w:r>
              </w:sdtContent>
            </w:sdt>
            <w:r w:rsidR="008B2311" w:rsidRPr="00260559">
              <w:t xml:space="preserve"> 10 a str. (pripažintas medicininis vartojimas) </w:t>
            </w:r>
          </w:p>
          <w:p w14:paraId="5F20979C" w14:textId="77777777" w:rsidR="008B2311" w:rsidRPr="00260559" w:rsidRDefault="00000000" w:rsidP="00F414C7">
            <w:sdt>
              <w:sdtPr>
                <w:rPr>
                  <w:rStyle w:val="Style2"/>
                </w:rPr>
                <w:id w:val="-1290435890"/>
                <w15:color w:val="FFCC00"/>
                <w14:checkbox>
                  <w14:checked w14:val="0"/>
                  <w14:checkedState w14:val="2612" w14:font="MS Gothic"/>
                  <w14:uncheckedState w14:val="2610" w14:font="MS Gothic"/>
                </w14:checkbox>
              </w:sdtPr>
              <w:sdtContent>
                <w:r w:rsidR="008B2311" w:rsidRPr="00260559">
                  <w:rPr>
                    <w:rStyle w:val="Style2"/>
                    <w:rFonts w:ascii="MS Gothic" w:eastAsia="MS Gothic" w:hAnsi="MS Gothic"/>
                  </w:rPr>
                  <w:t>☐</w:t>
                </w:r>
              </w:sdtContent>
            </w:sdt>
            <w:r w:rsidR="008B2311" w:rsidRPr="00260559">
              <w:t xml:space="preserve"> 10.1 str. (generinis)</w:t>
            </w:r>
          </w:p>
          <w:p w14:paraId="00652F5E" w14:textId="77777777" w:rsidR="008B2311" w:rsidRPr="00260559" w:rsidRDefault="00000000" w:rsidP="00F414C7">
            <w:pPr>
              <w:rPr>
                <w:rStyle w:val="Style2"/>
              </w:rPr>
            </w:pPr>
            <w:sdt>
              <w:sdtPr>
                <w:rPr>
                  <w:rStyle w:val="Style2"/>
                </w:rPr>
                <w:id w:val="-124545030"/>
                <w15:color w:val="FFCC00"/>
                <w14:checkbox>
                  <w14:checked w14:val="0"/>
                  <w14:checkedState w14:val="2612" w14:font="MS Gothic"/>
                  <w14:uncheckedState w14:val="2610" w14:font="MS Gothic"/>
                </w14:checkbox>
              </w:sdtPr>
              <w:sdtContent>
                <w:r w:rsidR="008B2311" w:rsidRPr="00260559">
                  <w:rPr>
                    <w:rStyle w:val="Style2"/>
                    <w:rFonts w:ascii="Segoe UI Symbol" w:eastAsia="MS Gothic" w:hAnsi="Segoe UI Symbol" w:cs="Segoe UI Symbol"/>
                  </w:rPr>
                  <w:t>☐</w:t>
                </w:r>
              </w:sdtContent>
            </w:sdt>
            <w:r w:rsidR="008B2311" w:rsidRPr="00260559">
              <w:t xml:space="preserve"> 10.3 str. (hibridinis)</w:t>
            </w:r>
          </w:p>
        </w:tc>
      </w:tr>
      <w:tr w:rsidR="008B2311" w:rsidRPr="00260559" w14:paraId="094D8E4C" w14:textId="77777777" w:rsidTr="00F414C7">
        <w:trPr>
          <w:trHeight w:val="1109"/>
        </w:trPr>
        <w:tc>
          <w:tcPr>
            <w:tcW w:w="705" w:type="dxa"/>
          </w:tcPr>
          <w:p w14:paraId="7EB5DC02" w14:textId="77777777" w:rsidR="008B2311" w:rsidRPr="00260559" w:rsidRDefault="008B2311" w:rsidP="00F414C7">
            <w:pPr>
              <w:tabs>
                <w:tab w:val="left" w:pos="284"/>
              </w:tabs>
              <w:spacing w:line="280" w:lineRule="atLeast"/>
              <w:rPr>
                <w:rFonts w:eastAsia="Arial"/>
                <w:b/>
              </w:rPr>
            </w:pPr>
            <w:r w:rsidRPr="00260559">
              <w:rPr>
                <w:rFonts w:eastAsia="Arial"/>
                <w:b/>
              </w:rPr>
              <w:t>1.4</w:t>
            </w:r>
          </w:p>
        </w:tc>
        <w:tc>
          <w:tcPr>
            <w:tcW w:w="4117" w:type="dxa"/>
          </w:tcPr>
          <w:p w14:paraId="1F6988E2" w14:textId="731C28A0" w:rsidR="008B2311" w:rsidRPr="00260559" w:rsidRDefault="008B2311" w:rsidP="009E5A8B">
            <w:pPr>
              <w:tabs>
                <w:tab w:val="left" w:pos="284"/>
              </w:tabs>
              <w:spacing w:line="280" w:lineRule="atLeast"/>
              <w:rPr>
                <w:b/>
                <w:bCs/>
                <w:color w:val="000000"/>
                <w:lang w:eastAsia="lt-LT"/>
              </w:rPr>
            </w:pPr>
            <w:r w:rsidRPr="00260559">
              <w:rPr>
                <w:b/>
                <w:bCs/>
                <w:color w:val="000000"/>
                <w:lang w:eastAsia="lt-LT"/>
              </w:rPr>
              <w:t>Ar vaistinis preparatas įrašytas į Bendrijos retųjų vaistinių preparatų registrą?</w:t>
            </w:r>
          </w:p>
        </w:tc>
        <w:tc>
          <w:tcPr>
            <w:tcW w:w="5096" w:type="dxa"/>
          </w:tcPr>
          <w:p w14:paraId="2EB51826" w14:textId="4A971230" w:rsidR="008B2311" w:rsidRPr="00260559" w:rsidRDefault="00000000" w:rsidP="00F414C7">
            <w:sdt>
              <w:sdtPr>
                <w:rPr>
                  <w:rStyle w:val="Style2"/>
                </w:rPr>
                <w:id w:val="2024432173"/>
                <w15:color w:val="FFCC00"/>
                <w14:checkbox>
                  <w14:checked w14:val="0"/>
                  <w14:checkedState w14:val="2612" w14:font="MS Gothic"/>
                  <w14:uncheckedState w14:val="2610" w14:font="MS Gothic"/>
                </w14:checkbox>
              </w:sdtPr>
              <w:sdtContent>
                <w:r w:rsidR="009E5A8B" w:rsidRPr="00260559">
                  <w:rPr>
                    <w:rStyle w:val="Style2"/>
                    <w:rFonts w:ascii="MS Gothic" w:eastAsia="MS Gothic" w:hAnsi="MS Gothic"/>
                  </w:rPr>
                  <w:t>☐</w:t>
                </w:r>
              </w:sdtContent>
            </w:sdt>
            <w:r w:rsidR="008B2311" w:rsidRPr="00260559">
              <w:t xml:space="preserve"> Taip</w:t>
            </w:r>
          </w:p>
          <w:p w14:paraId="746C3FAB" w14:textId="6C85A7F3" w:rsidR="008B2311" w:rsidRPr="00260559" w:rsidRDefault="00000000" w:rsidP="00F414C7">
            <w:sdt>
              <w:sdtPr>
                <w:rPr>
                  <w:rStyle w:val="Style2"/>
                </w:rPr>
                <w:id w:val="-970507926"/>
                <w15:color w:val="FFCC00"/>
                <w14:checkbox>
                  <w14:checked w14:val="1"/>
                  <w14:checkedState w14:val="2612" w14:font="MS Gothic"/>
                  <w14:uncheckedState w14:val="2610" w14:font="MS Gothic"/>
                </w14:checkbox>
              </w:sdtPr>
              <w:sdtContent>
                <w:r w:rsidR="009E5A8B" w:rsidRPr="00260559">
                  <w:rPr>
                    <w:rStyle w:val="Style2"/>
                    <w:rFonts w:ascii="MS Gothic" w:eastAsia="MS Gothic" w:hAnsi="MS Gothic"/>
                  </w:rPr>
                  <w:t>☒</w:t>
                </w:r>
              </w:sdtContent>
            </w:sdt>
            <w:r w:rsidR="008B2311" w:rsidRPr="00260559">
              <w:t xml:space="preserve"> Ne</w:t>
            </w:r>
          </w:p>
          <w:p w14:paraId="77D38977" w14:textId="20A19D4C" w:rsidR="008B2311" w:rsidRPr="00260559" w:rsidRDefault="008B2311" w:rsidP="00F414C7">
            <w:pPr>
              <w:rPr>
                <w:rFonts w:eastAsia="Arial"/>
                <w:b/>
              </w:rPr>
            </w:pPr>
          </w:p>
        </w:tc>
      </w:tr>
      <w:tr w:rsidR="008B2311" w:rsidRPr="00260559" w14:paraId="662C3FE7" w14:textId="77777777" w:rsidTr="00F414C7">
        <w:trPr>
          <w:trHeight w:val="958"/>
        </w:trPr>
        <w:tc>
          <w:tcPr>
            <w:tcW w:w="705" w:type="dxa"/>
            <w:tcBorders>
              <w:bottom w:val="single" w:sz="4" w:space="0" w:color="auto"/>
            </w:tcBorders>
          </w:tcPr>
          <w:p w14:paraId="7F58BB05" w14:textId="77777777" w:rsidR="008B2311" w:rsidRPr="00260559" w:rsidRDefault="008B2311" w:rsidP="00F414C7">
            <w:pPr>
              <w:tabs>
                <w:tab w:val="left" w:pos="284"/>
              </w:tabs>
              <w:spacing w:line="280" w:lineRule="atLeast"/>
              <w:rPr>
                <w:rFonts w:eastAsia="Arial"/>
                <w:b/>
              </w:rPr>
            </w:pPr>
            <w:r w:rsidRPr="00260559">
              <w:rPr>
                <w:rFonts w:eastAsia="Arial"/>
                <w:b/>
              </w:rPr>
              <w:t>1.5</w:t>
            </w:r>
          </w:p>
        </w:tc>
        <w:tc>
          <w:tcPr>
            <w:tcW w:w="4117" w:type="dxa"/>
            <w:tcBorders>
              <w:bottom w:val="single" w:sz="4" w:space="0" w:color="auto"/>
            </w:tcBorders>
          </w:tcPr>
          <w:p w14:paraId="0A0B9E9D" w14:textId="77777777" w:rsidR="008B2311" w:rsidRPr="00260559" w:rsidRDefault="008B2311" w:rsidP="00F414C7">
            <w:pPr>
              <w:tabs>
                <w:tab w:val="left" w:pos="284"/>
              </w:tabs>
              <w:spacing w:line="280" w:lineRule="atLeast"/>
              <w:rPr>
                <w:b/>
                <w:bCs/>
                <w:color w:val="000000"/>
                <w:lang w:eastAsia="lt-LT"/>
              </w:rPr>
            </w:pPr>
            <w:r w:rsidRPr="00260559">
              <w:rPr>
                <w:b/>
                <w:bCs/>
                <w:color w:val="000000"/>
                <w:lang w:eastAsia="lt-LT"/>
              </w:rPr>
              <w:t>Pareiškėjo teikiama (-os) kompensuoti preparato indikacija (-os)</w:t>
            </w:r>
          </w:p>
          <w:p w14:paraId="7AD0A0CF" w14:textId="77777777" w:rsidR="008B2311" w:rsidRPr="00260559" w:rsidRDefault="008B2311" w:rsidP="00F414C7">
            <w:pPr>
              <w:tabs>
                <w:tab w:val="left" w:pos="284"/>
              </w:tabs>
              <w:spacing w:line="280" w:lineRule="atLeast"/>
              <w:rPr>
                <w:b/>
                <w:bCs/>
                <w:color w:val="000000"/>
                <w:lang w:eastAsia="lt-LT"/>
              </w:rPr>
            </w:pPr>
            <w:r w:rsidRPr="00260559">
              <w:rPr>
                <w:b/>
                <w:bCs/>
                <w:color w:val="000000"/>
                <w:lang w:eastAsia="lt-LT"/>
              </w:rPr>
              <w:t xml:space="preserve">Kodas pagal TLK-10 AM  </w:t>
            </w:r>
          </w:p>
        </w:tc>
        <w:tc>
          <w:tcPr>
            <w:tcW w:w="5096" w:type="dxa"/>
            <w:tcBorders>
              <w:bottom w:val="single" w:sz="4" w:space="0" w:color="auto"/>
            </w:tcBorders>
          </w:tcPr>
          <w:p w14:paraId="7BADC553" w14:textId="77777777" w:rsidR="00570FDD" w:rsidRDefault="00570FDD" w:rsidP="00570FDD">
            <w:pPr>
              <w:spacing w:before="20" w:after="120"/>
              <w:contextualSpacing/>
              <w:jc w:val="both"/>
            </w:pPr>
            <w:r w:rsidRPr="00260559">
              <w:t>KEYTRUDA derinant su lenvatinibu skirtas suaugusiųjų išplitusios ar recidyvavusios endometriumo karcinomos gydymui, kai nustatytas ligos progresavimas skiriant bet kurios eilės gydymą platinos vaistiniais preparatais arba po šio gydymo ir kai nenumatoma taikyti radikalios chirurginės operacijos ar radioterapijos.</w:t>
            </w:r>
          </w:p>
          <w:p w14:paraId="1E974C01" w14:textId="77777777" w:rsidR="004757AB" w:rsidRDefault="004757AB" w:rsidP="00570FDD">
            <w:pPr>
              <w:spacing w:before="20" w:after="120"/>
              <w:contextualSpacing/>
              <w:jc w:val="both"/>
            </w:pPr>
          </w:p>
          <w:p w14:paraId="36D6B6B6" w14:textId="46A3605C" w:rsidR="008B2311" w:rsidRPr="004757AB" w:rsidRDefault="004757AB" w:rsidP="004757AB">
            <w:pPr>
              <w:spacing w:before="20" w:after="120"/>
              <w:contextualSpacing/>
              <w:jc w:val="both"/>
            </w:pPr>
            <w:r w:rsidRPr="0085664E">
              <w:t>TLK-10-AM kodai – C54.0, C54.1, C54.2. C54.3, C54.8, C54.9.</w:t>
            </w:r>
          </w:p>
        </w:tc>
      </w:tr>
      <w:tr w:rsidR="008B2311" w:rsidRPr="00260559" w14:paraId="34D65676"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4A9C6E50" w14:textId="77777777" w:rsidR="008B2311" w:rsidRPr="00260559" w:rsidRDefault="008B2311" w:rsidP="00F414C7">
            <w:pPr>
              <w:tabs>
                <w:tab w:val="left" w:pos="284"/>
              </w:tabs>
              <w:spacing w:line="280" w:lineRule="atLeast"/>
              <w:rPr>
                <w:rFonts w:eastAsia="Arial"/>
                <w:b/>
              </w:rPr>
            </w:pPr>
            <w:r w:rsidRPr="00260559">
              <w:rPr>
                <w:rFonts w:eastAsia="Arial"/>
                <w:b/>
              </w:rPr>
              <w:t>1.6</w:t>
            </w:r>
          </w:p>
        </w:tc>
        <w:tc>
          <w:tcPr>
            <w:tcW w:w="4117" w:type="dxa"/>
            <w:tcBorders>
              <w:top w:val="single" w:sz="4" w:space="0" w:color="auto"/>
              <w:left w:val="single" w:sz="4" w:space="0" w:color="auto"/>
              <w:bottom w:val="single" w:sz="4" w:space="0" w:color="auto"/>
              <w:right w:val="single" w:sz="4" w:space="0" w:color="auto"/>
            </w:tcBorders>
          </w:tcPr>
          <w:p w14:paraId="6E40D464" w14:textId="77777777" w:rsidR="008B2311" w:rsidRPr="00260559" w:rsidRDefault="008B2311" w:rsidP="00F414C7">
            <w:pPr>
              <w:tabs>
                <w:tab w:val="left" w:pos="284"/>
              </w:tabs>
              <w:spacing w:line="280" w:lineRule="atLeast"/>
              <w:rPr>
                <w:bCs/>
                <w:color w:val="000000"/>
                <w:u w:val="single"/>
                <w:lang w:eastAsia="lt-LT"/>
              </w:rPr>
            </w:pPr>
            <w:r w:rsidRPr="00260559">
              <w:rPr>
                <w:b/>
                <w:bCs/>
                <w:color w:val="000000"/>
                <w:lang w:eastAsia="lt-LT"/>
              </w:rPr>
              <w:t xml:space="preserve">Pareiškėjo teikiamos skyrimo sąlygos </w:t>
            </w:r>
          </w:p>
        </w:tc>
        <w:tc>
          <w:tcPr>
            <w:tcW w:w="5096" w:type="dxa"/>
            <w:tcBorders>
              <w:top w:val="single" w:sz="4" w:space="0" w:color="auto"/>
              <w:left w:val="single" w:sz="4" w:space="0" w:color="auto"/>
              <w:bottom w:val="single" w:sz="4" w:space="0" w:color="auto"/>
              <w:right w:val="single" w:sz="4" w:space="0" w:color="auto"/>
            </w:tcBorders>
          </w:tcPr>
          <w:p w14:paraId="4820FEA8" w14:textId="5AE900AB" w:rsidR="008B2311" w:rsidRPr="00260559" w:rsidRDefault="00570FDD" w:rsidP="009E5A8B">
            <w:pPr>
              <w:pStyle w:val="prastasiniatinklio"/>
              <w:jc w:val="both"/>
              <w:rPr>
                <w:lang w:val="lt-LT"/>
              </w:rPr>
            </w:pPr>
            <w:r w:rsidRPr="00260559">
              <w:rPr>
                <w:lang w:val="lt-LT"/>
              </w:rPr>
              <w:t>Neteikiama.</w:t>
            </w:r>
          </w:p>
        </w:tc>
      </w:tr>
      <w:tr w:rsidR="008B2311" w:rsidRPr="00260559" w14:paraId="39E8577B"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1DBFC822" w14:textId="77777777" w:rsidR="008B2311" w:rsidRPr="00260559" w:rsidRDefault="008B2311" w:rsidP="00F414C7">
            <w:pPr>
              <w:tabs>
                <w:tab w:val="left" w:pos="284"/>
              </w:tabs>
              <w:spacing w:line="280" w:lineRule="atLeast"/>
              <w:rPr>
                <w:rFonts w:eastAsia="Arial"/>
                <w:b/>
              </w:rPr>
            </w:pPr>
            <w:r w:rsidRPr="00260559">
              <w:rPr>
                <w:rFonts w:eastAsia="Arial"/>
                <w:b/>
              </w:rPr>
              <w:t>1.7</w:t>
            </w:r>
          </w:p>
        </w:tc>
        <w:tc>
          <w:tcPr>
            <w:tcW w:w="4117" w:type="dxa"/>
            <w:tcBorders>
              <w:top w:val="single" w:sz="4" w:space="0" w:color="auto"/>
              <w:left w:val="single" w:sz="4" w:space="0" w:color="auto"/>
              <w:bottom w:val="single" w:sz="4" w:space="0" w:color="auto"/>
              <w:right w:val="single" w:sz="4" w:space="0" w:color="auto"/>
            </w:tcBorders>
          </w:tcPr>
          <w:p w14:paraId="616D7CF8" w14:textId="77777777" w:rsidR="008B2311" w:rsidRPr="00260559" w:rsidRDefault="008B2311" w:rsidP="00F414C7">
            <w:pPr>
              <w:tabs>
                <w:tab w:val="left" w:pos="284"/>
              </w:tabs>
              <w:spacing w:line="280" w:lineRule="atLeast"/>
              <w:rPr>
                <w:b/>
                <w:bCs/>
                <w:color w:val="000000"/>
                <w:lang w:eastAsia="lt-LT"/>
              </w:rPr>
            </w:pPr>
            <w:r w:rsidRPr="00260559">
              <w:rPr>
                <w:b/>
              </w:rPr>
              <w:t>STV paraiškos pobūdis</w:t>
            </w:r>
          </w:p>
        </w:tc>
        <w:tc>
          <w:tcPr>
            <w:tcW w:w="5096" w:type="dxa"/>
            <w:tcBorders>
              <w:top w:val="single" w:sz="4" w:space="0" w:color="auto"/>
              <w:left w:val="single" w:sz="4" w:space="0" w:color="auto"/>
              <w:bottom w:val="single" w:sz="4" w:space="0" w:color="auto"/>
              <w:right w:val="single" w:sz="4" w:space="0" w:color="auto"/>
            </w:tcBorders>
          </w:tcPr>
          <w:p w14:paraId="40600DE9" w14:textId="77777777" w:rsidR="008B2311" w:rsidRPr="00260559" w:rsidRDefault="00000000" w:rsidP="00F414C7">
            <w:sdt>
              <w:sdtPr>
                <w:rPr>
                  <w:rStyle w:val="Style2"/>
                </w:rPr>
                <w:id w:val="-468433535"/>
                <w15:color w:val="FFCC00"/>
                <w14:checkbox>
                  <w14:checked w14:val="1"/>
                  <w14:checkedState w14:val="2612" w14:font="MS Gothic"/>
                  <w14:uncheckedState w14:val="2610" w14:font="MS Gothic"/>
                </w14:checkbox>
              </w:sdtPr>
              <w:sdtContent>
                <w:r w:rsidR="008B2311" w:rsidRPr="00260559">
                  <w:rPr>
                    <w:rStyle w:val="Style2"/>
                    <w:rFonts w:ascii="MS Gothic" w:eastAsia="MS Gothic" w:hAnsi="MS Gothic"/>
                  </w:rPr>
                  <w:t>☒</w:t>
                </w:r>
              </w:sdtContent>
            </w:sdt>
            <w:r w:rsidR="008B2311" w:rsidRPr="00260559">
              <w:t xml:space="preserve"> Pilna paraiška</w:t>
            </w:r>
          </w:p>
          <w:p w14:paraId="400278FD" w14:textId="77777777" w:rsidR="008B2311" w:rsidRPr="00260559" w:rsidRDefault="00000000" w:rsidP="00F414C7">
            <w:pPr>
              <w:rPr>
                <w:rStyle w:val="Style2"/>
              </w:rPr>
            </w:pPr>
            <w:sdt>
              <w:sdtPr>
                <w:rPr>
                  <w:rStyle w:val="Style2"/>
                </w:rPr>
                <w:id w:val="-1489014904"/>
                <w15:color w:val="FFCC00"/>
                <w14:checkbox>
                  <w14:checked w14:val="0"/>
                  <w14:checkedState w14:val="2612" w14:font="MS Gothic"/>
                  <w14:uncheckedState w14:val="2610" w14:font="MS Gothic"/>
                </w14:checkbox>
              </w:sdtPr>
              <w:sdtContent>
                <w:r w:rsidR="008B2311" w:rsidRPr="00260559">
                  <w:rPr>
                    <w:rStyle w:val="Style2"/>
                    <w:rFonts w:ascii="MS Gothic" w:eastAsia="MS Gothic" w:hAnsi="MS Gothic"/>
                  </w:rPr>
                  <w:t>☐</w:t>
                </w:r>
              </w:sdtContent>
            </w:sdt>
            <w:r w:rsidR="008B2311" w:rsidRPr="00260559">
              <w:t xml:space="preserve"> Supaprastinta paraiška</w:t>
            </w:r>
          </w:p>
        </w:tc>
      </w:tr>
      <w:tr w:rsidR="008B2311" w:rsidRPr="00260559" w14:paraId="1A97DFF6"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2170CDCC" w14:textId="77777777" w:rsidR="008B2311" w:rsidRPr="00260559" w:rsidRDefault="008B2311" w:rsidP="00F414C7">
            <w:pPr>
              <w:tabs>
                <w:tab w:val="left" w:pos="284"/>
              </w:tabs>
              <w:spacing w:line="280" w:lineRule="atLeast"/>
              <w:rPr>
                <w:rFonts w:eastAsia="Arial"/>
                <w:b/>
              </w:rPr>
            </w:pPr>
            <w:r w:rsidRPr="00260559">
              <w:rPr>
                <w:rFonts w:eastAsia="Arial"/>
                <w:b/>
              </w:rPr>
              <w:lastRenderedPageBreak/>
              <w:t>1.8</w:t>
            </w:r>
          </w:p>
        </w:tc>
        <w:tc>
          <w:tcPr>
            <w:tcW w:w="4117" w:type="dxa"/>
            <w:tcBorders>
              <w:top w:val="single" w:sz="4" w:space="0" w:color="auto"/>
              <w:left w:val="single" w:sz="4" w:space="0" w:color="auto"/>
              <w:bottom w:val="single" w:sz="4" w:space="0" w:color="auto"/>
              <w:right w:val="single" w:sz="4" w:space="0" w:color="auto"/>
            </w:tcBorders>
          </w:tcPr>
          <w:p w14:paraId="3C84D3DF" w14:textId="1A4F6EEC" w:rsidR="008B2311" w:rsidRPr="00260559" w:rsidRDefault="008B2311" w:rsidP="00F414C7">
            <w:pPr>
              <w:tabs>
                <w:tab w:val="left" w:pos="284"/>
              </w:tabs>
              <w:spacing w:line="280" w:lineRule="atLeast"/>
              <w:rPr>
                <w:b/>
                <w:bCs/>
                <w:color w:val="000000"/>
                <w:lang w:eastAsia="lt-LT"/>
              </w:rPr>
            </w:pPr>
            <w:r w:rsidRPr="00260559">
              <w:rPr>
                <w:b/>
                <w:bCs/>
                <w:color w:val="000000"/>
                <w:lang w:eastAsia="lt-LT"/>
              </w:rPr>
              <w:t xml:space="preserve">Klinikinių tyrimų tipas </w:t>
            </w:r>
          </w:p>
          <w:p w14:paraId="745F23AE" w14:textId="00E8C326" w:rsidR="009E5A8B" w:rsidRPr="00260559" w:rsidRDefault="009E5A8B" w:rsidP="00F414C7">
            <w:pPr>
              <w:tabs>
                <w:tab w:val="left" w:pos="284"/>
              </w:tabs>
              <w:spacing w:line="280" w:lineRule="atLeast"/>
              <w:rPr>
                <w:b/>
                <w:bCs/>
                <w:color w:val="000000"/>
                <w:lang w:eastAsia="lt-LT"/>
              </w:rPr>
            </w:pPr>
          </w:p>
          <w:p w14:paraId="7F93C2DA" w14:textId="0B375DA3" w:rsidR="005648CF" w:rsidRPr="00260559" w:rsidRDefault="005D5A6D" w:rsidP="005D5A6D">
            <w:pPr>
              <w:tabs>
                <w:tab w:val="left" w:pos="284"/>
              </w:tabs>
              <w:spacing w:line="280" w:lineRule="atLeast"/>
              <w:rPr>
                <w:b/>
                <w:bCs/>
                <w:color w:val="000000"/>
                <w:lang w:eastAsia="lt-LT"/>
              </w:rPr>
            </w:pPr>
            <w:r w:rsidRPr="00C83990">
              <w:t xml:space="preserve">Pembrolizumabas derinyje  su lenvatinibu lygintas su </w:t>
            </w:r>
            <w:r w:rsidRPr="00C83990">
              <w:rPr>
                <w:bCs/>
                <w:color w:val="000000" w:themeColor="text1"/>
                <w:lang w:eastAsia="lt-LT"/>
              </w:rPr>
              <w:t>doksorubicinu arba paklitakseliu</w:t>
            </w:r>
          </w:p>
        </w:tc>
        <w:tc>
          <w:tcPr>
            <w:tcW w:w="5096" w:type="dxa"/>
            <w:tcBorders>
              <w:top w:val="single" w:sz="4" w:space="0" w:color="auto"/>
              <w:left w:val="single" w:sz="4" w:space="0" w:color="auto"/>
              <w:bottom w:val="single" w:sz="4" w:space="0" w:color="auto"/>
              <w:right w:val="single" w:sz="4" w:space="0" w:color="auto"/>
            </w:tcBorders>
          </w:tcPr>
          <w:p w14:paraId="62A72ACA" w14:textId="77777777" w:rsidR="008B2311" w:rsidRPr="00260559" w:rsidRDefault="00000000" w:rsidP="00F414C7">
            <w:sdt>
              <w:sdtPr>
                <w:rPr>
                  <w:rStyle w:val="Style2"/>
                </w:rPr>
                <w:id w:val="1348903796"/>
                <w15:color w:val="FFCC00"/>
                <w14:checkbox>
                  <w14:checked w14:val="1"/>
                  <w14:checkedState w14:val="2612" w14:font="MS Gothic"/>
                  <w14:uncheckedState w14:val="2610" w14:font="MS Gothic"/>
                </w14:checkbox>
              </w:sdtPr>
              <w:sdtContent>
                <w:r w:rsidR="008B2311" w:rsidRPr="00260559">
                  <w:rPr>
                    <w:rStyle w:val="Style2"/>
                    <w:rFonts w:ascii="MS Gothic" w:eastAsia="MS Gothic" w:hAnsi="MS Gothic"/>
                  </w:rPr>
                  <w:t>☒</w:t>
                </w:r>
              </w:sdtContent>
            </w:sdt>
            <w:r w:rsidR="008B2311" w:rsidRPr="00260559">
              <w:t xml:space="preserve"> Tiesioginis palyginimas</w:t>
            </w:r>
          </w:p>
          <w:p w14:paraId="4221827D" w14:textId="50115149" w:rsidR="008B2311" w:rsidRPr="00260559" w:rsidRDefault="00000000" w:rsidP="00F414C7">
            <w:sdt>
              <w:sdtPr>
                <w:id w:val="-210416744"/>
                <w15:color w:val="FFCC00"/>
                <w14:checkbox>
                  <w14:checked w14:val="0"/>
                  <w14:checkedState w14:val="2612" w14:font="MS Gothic"/>
                  <w14:uncheckedState w14:val="2610" w14:font="MS Gothic"/>
                </w14:checkbox>
              </w:sdtPr>
              <w:sdtContent>
                <w:r w:rsidR="00420BF8" w:rsidRPr="00260559">
                  <w:rPr>
                    <w:rFonts w:ascii="MS Gothic" w:eastAsia="MS Gothic" w:hAnsi="MS Gothic"/>
                  </w:rPr>
                  <w:t>☐</w:t>
                </w:r>
              </w:sdtContent>
            </w:sdt>
            <w:r w:rsidR="008B2311" w:rsidRPr="00260559">
              <w:t xml:space="preserve"> Netiesioginis palyginimas</w:t>
            </w:r>
          </w:p>
        </w:tc>
      </w:tr>
      <w:tr w:rsidR="008B2311" w:rsidRPr="00260559" w14:paraId="005DA7F2"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4F779F15" w14:textId="77777777" w:rsidR="008B2311" w:rsidRPr="00260559" w:rsidRDefault="008B2311" w:rsidP="00F414C7">
            <w:pPr>
              <w:tabs>
                <w:tab w:val="left" w:pos="284"/>
              </w:tabs>
              <w:spacing w:line="280" w:lineRule="atLeast"/>
              <w:rPr>
                <w:rFonts w:eastAsia="Arial"/>
                <w:b/>
              </w:rPr>
            </w:pPr>
            <w:r w:rsidRPr="00260559">
              <w:rPr>
                <w:rFonts w:eastAsia="Arial"/>
                <w:b/>
              </w:rPr>
              <w:t>1.9</w:t>
            </w:r>
          </w:p>
        </w:tc>
        <w:tc>
          <w:tcPr>
            <w:tcW w:w="4117" w:type="dxa"/>
            <w:tcBorders>
              <w:top w:val="single" w:sz="4" w:space="0" w:color="auto"/>
              <w:left w:val="single" w:sz="4" w:space="0" w:color="auto"/>
              <w:bottom w:val="single" w:sz="4" w:space="0" w:color="auto"/>
              <w:right w:val="single" w:sz="4" w:space="0" w:color="auto"/>
            </w:tcBorders>
          </w:tcPr>
          <w:p w14:paraId="3B1EC3BE" w14:textId="77777777" w:rsidR="008B2311" w:rsidRPr="00101608" w:rsidRDefault="008B2311" w:rsidP="00F414C7">
            <w:pPr>
              <w:tabs>
                <w:tab w:val="left" w:pos="284"/>
              </w:tabs>
              <w:spacing w:line="280" w:lineRule="atLeast"/>
              <w:rPr>
                <w:b/>
                <w:bCs/>
                <w:color w:val="000000"/>
                <w:lang w:eastAsia="lt-LT"/>
              </w:rPr>
            </w:pPr>
            <w:r w:rsidRPr="00101608">
              <w:rPr>
                <w:b/>
                <w:bCs/>
                <w:color w:val="000000"/>
                <w:lang w:eastAsia="lt-LT"/>
              </w:rPr>
              <w:t>Ekonominės analizės rūšis</w:t>
            </w:r>
          </w:p>
        </w:tc>
        <w:tc>
          <w:tcPr>
            <w:tcW w:w="5096" w:type="dxa"/>
            <w:tcBorders>
              <w:top w:val="single" w:sz="4" w:space="0" w:color="auto"/>
              <w:left w:val="single" w:sz="4" w:space="0" w:color="auto"/>
              <w:bottom w:val="single" w:sz="4" w:space="0" w:color="auto"/>
              <w:right w:val="single" w:sz="4" w:space="0" w:color="auto"/>
            </w:tcBorders>
          </w:tcPr>
          <w:p w14:paraId="26482512" w14:textId="6071C848" w:rsidR="008B2311" w:rsidRPr="00101608" w:rsidRDefault="00000000" w:rsidP="00F414C7">
            <w:sdt>
              <w:sdtPr>
                <w:rPr>
                  <w:rStyle w:val="Style2"/>
                </w:rPr>
                <w:id w:val="-836689216"/>
                <w15:color w:val="FFCC00"/>
                <w14:checkbox>
                  <w14:checked w14:val="1"/>
                  <w14:checkedState w14:val="2612" w14:font="MS Gothic"/>
                  <w14:uncheckedState w14:val="2610" w14:font="MS Gothic"/>
                </w14:checkbox>
              </w:sdtPr>
              <w:sdtContent>
                <w:r w:rsidR="00101608">
                  <w:rPr>
                    <w:rStyle w:val="Style2"/>
                    <w:rFonts w:ascii="MS Gothic" w:eastAsia="MS Gothic" w:hAnsi="MS Gothic" w:hint="eastAsia"/>
                  </w:rPr>
                  <w:t>☒</w:t>
                </w:r>
              </w:sdtContent>
            </w:sdt>
            <w:r w:rsidR="008B2311" w:rsidRPr="00101608">
              <w:t xml:space="preserve"> Kaštų naudingumo analizė</w:t>
            </w:r>
          </w:p>
          <w:p w14:paraId="38C2DD3C" w14:textId="07F368FA" w:rsidR="008B2311" w:rsidRPr="00101608" w:rsidRDefault="00000000" w:rsidP="00F414C7">
            <w:sdt>
              <w:sdtPr>
                <w:rPr>
                  <w:rStyle w:val="Style2"/>
                </w:rPr>
                <w:id w:val="2013950720"/>
                <w15:color w:val="FFCC00"/>
                <w14:checkbox>
                  <w14:checked w14:val="0"/>
                  <w14:checkedState w14:val="2612" w14:font="MS Gothic"/>
                  <w14:uncheckedState w14:val="2610" w14:font="MS Gothic"/>
                </w14:checkbox>
              </w:sdtPr>
              <w:sdtContent>
                <w:r w:rsidR="00420BF8" w:rsidRPr="00101608">
                  <w:rPr>
                    <w:rStyle w:val="Style2"/>
                    <w:rFonts w:ascii="MS Gothic" w:eastAsia="MS Gothic" w:hAnsi="MS Gothic"/>
                  </w:rPr>
                  <w:t>☐</w:t>
                </w:r>
              </w:sdtContent>
            </w:sdt>
            <w:r w:rsidR="008B2311" w:rsidRPr="00101608">
              <w:t xml:space="preserve"> Kaštų mažinimo analizė</w:t>
            </w:r>
          </w:p>
          <w:p w14:paraId="26AE1B65" w14:textId="77777777" w:rsidR="008B2311" w:rsidRPr="00101608" w:rsidRDefault="00000000" w:rsidP="00F414C7">
            <w:sdt>
              <w:sdtPr>
                <w:rPr>
                  <w:rStyle w:val="Style2"/>
                </w:rPr>
                <w:id w:val="362025833"/>
                <w15:color w:val="FFCC00"/>
                <w14:checkbox>
                  <w14:checked w14:val="0"/>
                  <w14:checkedState w14:val="2612" w14:font="MS Gothic"/>
                  <w14:uncheckedState w14:val="2610" w14:font="MS Gothic"/>
                </w14:checkbox>
              </w:sdtPr>
              <w:sdtContent>
                <w:r w:rsidR="008B2311" w:rsidRPr="00101608">
                  <w:rPr>
                    <w:rStyle w:val="Style2"/>
                    <w:rFonts w:ascii="Segoe UI Symbol" w:eastAsia="MS Gothic" w:hAnsi="Segoe UI Symbol" w:cs="Segoe UI Symbol"/>
                  </w:rPr>
                  <w:t>☐</w:t>
                </w:r>
              </w:sdtContent>
            </w:sdt>
            <w:r w:rsidR="008B2311" w:rsidRPr="00101608">
              <w:t xml:space="preserve"> Kita: </w:t>
            </w:r>
            <w:sdt>
              <w:sdtPr>
                <w:alias w:val="Įrašykite"/>
                <w:tag w:val="Įrašykite"/>
                <w:id w:val="-16472040"/>
                <w:placeholder>
                  <w:docPart w:val="F3163500F318D24E8FC8A28C06E30CC9"/>
                </w:placeholder>
                <w15:color w:val="FFCC99"/>
              </w:sdtPr>
              <w:sdtContent>
                <w:r w:rsidR="008B2311" w:rsidRPr="00101608">
                  <w:t>_________________</w:t>
                </w:r>
              </w:sdtContent>
            </w:sdt>
            <w:r w:rsidR="008B2311" w:rsidRPr="00101608">
              <w:t xml:space="preserve"> </w:t>
            </w:r>
          </w:p>
        </w:tc>
      </w:tr>
    </w:tbl>
    <w:p w14:paraId="1948C8BA" w14:textId="77777777" w:rsidR="008B2311" w:rsidRPr="00260559" w:rsidRDefault="008B2311" w:rsidP="00E03C3F">
      <w:pPr>
        <w:pStyle w:val="Sraopastraipa"/>
        <w:tabs>
          <w:tab w:val="left" w:pos="426"/>
        </w:tabs>
        <w:ind w:left="0"/>
        <w:rPr>
          <w:b/>
          <w:bCs/>
          <w:caps/>
        </w:rPr>
      </w:pPr>
    </w:p>
    <w:p w14:paraId="1242813B" w14:textId="75D28358" w:rsidR="0032204D" w:rsidRPr="00260559" w:rsidRDefault="00F70C9E" w:rsidP="0032204D">
      <w:pPr>
        <w:pStyle w:val="Sraopastraipa"/>
        <w:numPr>
          <w:ilvl w:val="1"/>
          <w:numId w:val="12"/>
        </w:numPr>
        <w:spacing w:line="276" w:lineRule="auto"/>
        <w:jc w:val="both"/>
        <w:rPr>
          <w:rFonts w:eastAsia="Arial"/>
          <w:b/>
        </w:rPr>
      </w:pPr>
      <w:r w:rsidRPr="00260559">
        <w:rPr>
          <w:rFonts w:eastAsia="Arial"/>
          <w:b/>
        </w:rPr>
        <w:t xml:space="preserve">Kitų </w:t>
      </w:r>
      <w:r w:rsidR="00DF583C" w:rsidRPr="00260559">
        <w:rPr>
          <w:rFonts w:eastAsia="Arial"/>
          <w:b/>
        </w:rPr>
        <w:t xml:space="preserve">valstybių </w:t>
      </w:r>
      <w:r w:rsidRPr="00260559">
        <w:rPr>
          <w:rFonts w:eastAsia="Arial"/>
          <w:b/>
        </w:rPr>
        <w:t xml:space="preserve">atsakingų institucijų atlikto </w:t>
      </w:r>
      <w:r w:rsidR="00DF583C" w:rsidRPr="00260559">
        <w:rPr>
          <w:rFonts w:eastAsia="Arial"/>
          <w:b/>
        </w:rPr>
        <w:t>Sveikatos technologijų vertinimo (toliau – STV)</w:t>
      </w:r>
      <w:r w:rsidRPr="00260559">
        <w:rPr>
          <w:rFonts w:eastAsia="Arial"/>
          <w:b/>
        </w:rPr>
        <w:t xml:space="preserve"> išvados</w:t>
      </w:r>
    </w:p>
    <w:p w14:paraId="2805AC0C" w14:textId="7CA6238B" w:rsidR="0032204D" w:rsidRPr="00260559" w:rsidRDefault="0032204D" w:rsidP="0032204D">
      <w:pPr>
        <w:pStyle w:val="Sraopastraipa"/>
        <w:spacing w:line="276" w:lineRule="auto"/>
        <w:jc w:val="both"/>
        <w:rPr>
          <w:rFonts w:eastAsia="Arial"/>
          <w:b/>
        </w:rPr>
      </w:pPr>
    </w:p>
    <w:tbl>
      <w:tblPr>
        <w:tblStyle w:val="Lentelstinklelis"/>
        <w:tblW w:w="9918" w:type="dxa"/>
        <w:tblLook w:val="04A0" w:firstRow="1" w:lastRow="0" w:firstColumn="1" w:lastColumn="0" w:noHBand="0" w:noVBand="1"/>
      </w:tblPr>
      <w:tblGrid>
        <w:gridCol w:w="2785"/>
        <w:gridCol w:w="1763"/>
        <w:gridCol w:w="3154"/>
        <w:gridCol w:w="2216"/>
      </w:tblGrid>
      <w:tr w:rsidR="00E073B4" w:rsidRPr="00260559" w14:paraId="7A4E6A48" w14:textId="77777777" w:rsidTr="00570FDD">
        <w:trPr>
          <w:trHeight w:val="924"/>
        </w:trPr>
        <w:tc>
          <w:tcPr>
            <w:tcW w:w="2829" w:type="dxa"/>
          </w:tcPr>
          <w:p w14:paraId="10324BAC" w14:textId="77777777" w:rsidR="0032204D" w:rsidRPr="00260559" w:rsidRDefault="0032204D" w:rsidP="00C44ADA">
            <w:pPr>
              <w:spacing w:line="276" w:lineRule="auto"/>
              <w:rPr>
                <w:rFonts w:eastAsia="Arial"/>
              </w:rPr>
            </w:pPr>
            <w:r w:rsidRPr="00260559">
              <w:rPr>
                <w:rFonts w:eastAsia="Arial"/>
              </w:rPr>
              <w:t>STV agentūros pavadinimas, šalis</w:t>
            </w:r>
          </w:p>
        </w:tc>
        <w:tc>
          <w:tcPr>
            <w:tcW w:w="1810" w:type="dxa"/>
          </w:tcPr>
          <w:p w14:paraId="748DC58C" w14:textId="77777777" w:rsidR="0032204D" w:rsidRPr="00260559" w:rsidRDefault="0032204D" w:rsidP="00C44ADA">
            <w:pPr>
              <w:spacing w:line="276" w:lineRule="auto"/>
              <w:rPr>
                <w:rFonts w:eastAsia="Arial"/>
              </w:rPr>
            </w:pPr>
            <w:r w:rsidRPr="00260559">
              <w:rPr>
                <w:rFonts w:eastAsia="Arial"/>
              </w:rPr>
              <w:t>STV vertinimas atliktas</w:t>
            </w:r>
          </w:p>
        </w:tc>
        <w:tc>
          <w:tcPr>
            <w:tcW w:w="3210" w:type="dxa"/>
          </w:tcPr>
          <w:p w14:paraId="7DE0714F" w14:textId="77777777" w:rsidR="0032204D" w:rsidRPr="00260559" w:rsidRDefault="0032204D" w:rsidP="00C44ADA">
            <w:pPr>
              <w:spacing w:line="276" w:lineRule="auto"/>
              <w:rPr>
                <w:rFonts w:eastAsia="Arial"/>
              </w:rPr>
            </w:pPr>
            <w:r w:rsidRPr="00260559">
              <w:rPr>
                <w:rFonts w:eastAsia="Arial"/>
              </w:rPr>
              <w:t>Klinikinio vertinimo išvada</w:t>
            </w:r>
          </w:p>
        </w:tc>
        <w:tc>
          <w:tcPr>
            <w:tcW w:w="2069" w:type="dxa"/>
          </w:tcPr>
          <w:p w14:paraId="2667E1CE" w14:textId="77777777" w:rsidR="0032204D" w:rsidRPr="00260559" w:rsidRDefault="0032204D" w:rsidP="00C44ADA">
            <w:pPr>
              <w:spacing w:line="276" w:lineRule="auto"/>
              <w:rPr>
                <w:rFonts w:eastAsia="Arial"/>
              </w:rPr>
            </w:pPr>
            <w:r w:rsidRPr="00260559">
              <w:rPr>
                <w:rFonts w:eastAsia="Arial"/>
              </w:rPr>
              <w:t>Farmakoekonominio vertinimo išvada</w:t>
            </w:r>
          </w:p>
        </w:tc>
      </w:tr>
      <w:tr w:rsidR="00570FDD" w:rsidRPr="00260559" w14:paraId="2A46B181" w14:textId="77777777" w:rsidTr="00570FDD">
        <w:trPr>
          <w:trHeight w:val="1765"/>
        </w:trPr>
        <w:tc>
          <w:tcPr>
            <w:tcW w:w="2829" w:type="dxa"/>
          </w:tcPr>
          <w:p w14:paraId="2D50532E" w14:textId="77777777" w:rsidR="00570FDD" w:rsidRPr="00260559" w:rsidRDefault="00570FDD" w:rsidP="00570FDD">
            <w:pPr>
              <w:autoSpaceDE w:val="0"/>
              <w:autoSpaceDN w:val="0"/>
              <w:adjustRightInd w:val="0"/>
              <w:rPr>
                <w:bCs/>
              </w:rPr>
            </w:pPr>
            <w:r w:rsidRPr="00260559">
              <w:rPr>
                <w:bCs/>
              </w:rPr>
              <w:t>Nacionalinis sveikatos ir klinikinės kompetencijos institutas, Didžioji Britanija</w:t>
            </w:r>
          </w:p>
          <w:p w14:paraId="7D93CB79" w14:textId="77777777" w:rsidR="00570FDD" w:rsidRPr="00260559" w:rsidRDefault="00570FDD" w:rsidP="00570FDD">
            <w:pPr>
              <w:spacing w:line="276" w:lineRule="auto"/>
              <w:rPr>
                <w:rFonts w:eastAsia="Arial"/>
              </w:rPr>
            </w:pPr>
            <w:r w:rsidRPr="00260559">
              <w:rPr>
                <w:rFonts w:eastAsia="Arial"/>
              </w:rPr>
              <w:t xml:space="preserve">(angl. </w:t>
            </w:r>
            <w:r w:rsidRPr="00260559">
              <w:rPr>
                <w:rFonts w:eastAsia="Arial"/>
                <w:i/>
              </w:rPr>
              <w:t>National Institute for Health and Care Excellence, NICE</w:t>
            </w:r>
            <w:r w:rsidRPr="00260559">
              <w:rPr>
                <w:rFonts w:eastAsia="Arial"/>
              </w:rPr>
              <w:t>)</w:t>
            </w:r>
          </w:p>
        </w:tc>
        <w:tc>
          <w:tcPr>
            <w:tcW w:w="1810" w:type="dxa"/>
          </w:tcPr>
          <w:p w14:paraId="29F1D0E7" w14:textId="13BFA47D" w:rsidR="00570FDD" w:rsidRPr="00260559" w:rsidRDefault="00000000" w:rsidP="00570FDD">
            <w:sdt>
              <w:sdtPr>
                <w:rPr>
                  <w:rStyle w:val="Style2"/>
                </w:rPr>
                <w:id w:val="1785611796"/>
              </w:sdtPr>
              <w:sdtContent>
                <w:sdt>
                  <w:sdtPr>
                    <w:rPr>
                      <w:rStyle w:val="Style2"/>
                    </w:rPr>
                    <w:id w:val="1202366502"/>
                  </w:sdtPr>
                  <w:sdtContent>
                    <w:r w:rsidR="00570FDD" w:rsidRPr="00260559">
                      <w:rPr>
                        <w:rStyle w:val="Style2"/>
                        <w:rFonts w:ascii="MS Gothic" w:eastAsia="MS Gothic" w:hAnsi="MS Gothic"/>
                      </w:rPr>
                      <w:t>☒</w:t>
                    </w:r>
                  </w:sdtContent>
                </w:sdt>
              </w:sdtContent>
            </w:sdt>
            <w:r w:rsidR="00570FDD" w:rsidRPr="00260559">
              <w:t xml:space="preserve"> Taip</w:t>
            </w:r>
          </w:p>
          <w:p w14:paraId="45AA8C92" w14:textId="77777777" w:rsidR="00570FDD" w:rsidRPr="00260559" w:rsidRDefault="00000000" w:rsidP="00570FDD">
            <w:sdt>
              <w:sdtPr>
                <w:rPr>
                  <w:rStyle w:val="Style2"/>
                </w:rPr>
                <w:id w:val="-926799301"/>
              </w:sdtPr>
              <w:sdtContent>
                <w:sdt>
                  <w:sdtPr>
                    <w:rPr>
                      <w:rStyle w:val="Style2"/>
                    </w:rPr>
                    <w:id w:val="-966964928"/>
                  </w:sdtPr>
                  <w:sdtContent>
                    <w:r w:rsidR="00570FDD" w:rsidRPr="00260559">
                      <w:rPr>
                        <w:rStyle w:val="Style2"/>
                        <w:rFonts w:ascii="MS Gothic" w:eastAsia="MS Gothic" w:hAnsi="MS Gothic"/>
                      </w:rPr>
                      <w:t>☐</w:t>
                    </w:r>
                  </w:sdtContent>
                </w:sdt>
              </w:sdtContent>
            </w:sdt>
            <w:r w:rsidR="00570FDD" w:rsidRPr="00260559">
              <w:t xml:space="preserve"> Ne</w:t>
            </w:r>
          </w:p>
          <w:p w14:paraId="3CE7EFC8" w14:textId="665472E8" w:rsidR="00570FDD" w:rsidRPr="00260559" w:rsidRDefault="00000000" w:rsidP="00570FDD">
            <w:sdt>
              <w:sdtPr>
                <w:alias w:val="Nurodykite konkrečią dieną"/>
                <w:tag w:val="Nurodykite pradžios datą"/>
                <w:id w:val="-1531871845"/>
                <w:date>
                  <w:dateFormat w:val="yyyy 'm.' MMMM d 'd.'"/>
                  <w:lid w:val="lt-LT"/>
                  <w:storeMappedDataAs w:val="dateTime"/>
                  <w:calendar w:val="gregorian"/>
                </w:date>
              </w:sdtPr>
              <w:sdtContent>
                <w:r w:rsidR="00570FDD" w:rsidRPr="00260559">
                  <w:t>2023 m. gegužės 18 d.</w:t>
                </w:r>
              </w:sdtContent>
            </w:sdt>
          </w:p>
        </w:tc>
        <w:tc>
          <w:tcPr>
            <w:tcW w:w="3210" w:type="dxa"/>
          </w:tcPr>
          <w:p w14:paraId="7BBB1CC9" w14:textId="77777777" w:rsidR="00570FDD" w:rsidRPr="00260559" w:rsidRDefault="00570FDD" w:rsidP="00570FDD">
            <w:pPr>
              <w:spacing w:line="276" w:lineRule="auto"/>
              <w:rPr>
                <w:rFonts w:eastAsia="Arial"/>
              </w:rPr>
            </w:pPr>
            <w:r w:rsidRPr="00260559">
              <w:rPr>
                <w:rFonts w:eastAsia="Arial"/>
              </w:rPr>
              <w:t>Rekomenduojamas kartu su lenvatinibu gydyti pažengusį ar atsinaujinantį endometriumo vėžį suaugusiems, kuriems:</w:t>
            </w:r>
          </w:p>
          <w:p w14:paraId="61139E7F" w14:textId="22717FF0" w:rsidR="00570FDD" w:rsidRPr="00260559" w:rsidRDefault="00570FDD" w:rsidP="00570FDD">
            <w:pPr>
              <w:pStyle w:val="Sraopastraipa"/>
              <w:numPr>
                <w:ilvl w:val="0"/>
                <w:numId w:val="19"/>
              </w:numPr>
              <w:spacing w:line="276" w:lineRule="auto"/>
              <w:rPr>
                <w:rFonts w:eastAsia="Arial"/>
              </w:rPr>
            </w:pPr>
            <w:r w:rsidRPr="00260559">
              <w:rPr>
                <w:rFonts w:eastAsia="Arial"/>
              </w:rPr>
              <w:t>Vėžys progresavo taikant chemoterapi</w:t>
            </w:r>
            <w:r w:rsidR="004975DA">
              <w:rPr>
                <w:rFonts w:eastAsia="Arial"/>
              </w:rPr>
              <w:t>ją</w:t>
            </w:r>
            <w:r w:rsidRPr="00260559">
              <w:rPr>
                <w:rFonts w:eastAsia="Arial"/>
              </w:rPr>
              <w:t xml:space="preserve">  platinos preparatais</w:t>
            </w:r>
            <w:r w:rsidR="004975DA">
              <w:rPr>
                <w:rFonts w:eastAsia="Arial"/>
              </w:rPr>
              <w:t xml:space="preserve"> ar po jos</w:t>
            </w:r>
            <w:r w:rsidRPr="00260559">
              <w:rPr>
                <w:rFonts w:eastAsia="Arial"/>
              </w:rPr>
              <w:t>;</w:t>
            </w:r>
          </w:p>
          <w:p w14:paraId="737DF5A1" w14:textId="2A84603E" w:rsidR="00570FDD" w:rsidRPr="00260559" w:rsidRDefault="00570FDD" w:rsidP="00570FDD">
            <w:pPr>
              <w:pStyle w:val="Sraopastraipa"/>
              <w:numPr>
                <w:ilvl w:val="0"/>
                <w:numId w:val="19"/>
              </w:numPr>
              <w:spacing w:line="276" w:lineRule="auto"/>
              <w:rPr>
                <w:rFonts w:eastAsia="Arial"/>
              </w:rPr>
            </w:pPr>
            <w:r w:rsidRPr="00260559">
              <w:rPr>
                <w:rFonts w:eastAsia="Arial"/>
              </w:rPr>
              <w:t>negalima atlikti gydomosios operacijos ar radioterapijos.</w:t>
            </w:r>
          </w:p>
        </w:tc>
        <w:tc>
          <w:tcPr>
            <w:tcW w:w="2069" w:type="dxa"/>
          </w:tcPr>
          <w:p w14:paraId="3176812F" w14:textId="2D390D98" w:rsidR="00570FDD" w:rsidRPr="00260559" w:rsidRDefault="00570FDD" w:rsidP="00570FDD">
            <w:pPr>
              <w:spacing w:line="276" w:lineRule="auto"/>
              <w:rPr>
                <w:rFonts w:eastAsia="Arial"/>
              </w:rPr>
            </w:pPr>
          </w:p>
          <w:p w14:paraId="46B06E21" w14:textId="77777777" w:rsidR="00570FDD" w:rsidRPr="00260559" w:rsidRDefault="00570FDD" w:rsidP="00570FDD">
            <w:pPr>
              <w:rPr>
                <w:rFonts w:eastAsia="Arial"/>
              </w:rPr>
            </w:pPr>
          </w:p>
          <w:p w14:paraId="6A7FECC4" w14:textId="77777777" w:rsidR="00570FDD" w:rsidRPr="00260559" w:rsidRDefault="00570FDD" w:rsidP="00570FDD">
            <w:pPr>
              <w:rPr>
                <w:rFonts w:eastAsia="Arial"/>
              </w:rPr>
            </w:pPr>
          </w:p>
          <w:p w14:paraId="675E356B" w14:textId="77777777" w:rsidR="00570FDD" w:rsidRPr="00260559" w:rsidRDefault="00570FDD" w:rsidP="00570FDD">
            <w:pPr>
              <w:rPr>
                <w:rFonts w:eastAsia="Arial"/>
              </w:rPr>
            </w:pPr>
          </w:p>
          <w:p w14:paraId="00CB4D66" w14:textId="407B4446" w:rsidR="00570FDD" w:rsidRPr="00260559" w:rsidRDefault="00570FDD" w:rsidP="00570FDD">
            <w:pPr>
              <w:rPr>
                <w:rFonts w:eastAsia="Arial"/>
              </w:rPr>
            </w:pPr>
          </w:p>
          <w:p w14:paraId="53F714C9" w14:textId="77777777" w:rsidR="00570FDD" w:rsidRPr="00260559" w:rsidRDefault="00570FDD" w:rsidP="00570FDD">
            <w:pPr>
              <w:rPr>
                <w:rFonts w:eastAsia="Arial"/>
              </w:rPr>
            </w:pPr>
          </w:p>
        </w:tc>
      </w:tr>
      <w:tr w:rsidR="00570FDD" w:rsidRPr="00260559" w14:paraId="31D618AE" w14:textId="77777777" w:rsidTr="00570FDD">
        <w:trPr>
          <w:trHeight w:val="1125"/>
        </w:trPr>
        <w:tc>
          <w:tcPr>
            <w:tcW w:w="2829" w:type="dxa"/>
          </w:tcPr>
          <w:p w14:paraId="75147C00" w14:textId="77777777" w:rsidR="00570FDD" w:rsidRPr="00260559" w:rsidRDefault="00570FDD" w:rsidP="00570FDD">
            <w:pPr>
              <w:spacing w:line="276" w:lineRule="auto"/>
              <w:rPr>
                <w:rFonts w:eastAsia="Arial"/>
              </w:rPr>
            </w:pPr>
            <w:r w:rsidRPr="00260559">
              <w:rPr>
                <w:rFonts w:eastAsia="Arial"/>
              </w:rPr>
              <w:t>Kanados sveikatos technologijų agentūra</w:t>
            </w:r>
          </w:p>
          <w:p w14:paraId="2DE5F98C" w14:textId="77777777" w:rsidR="00570FDD" w:rsidRPr="00260559" w:rsidRDefault="00570FDD" w:rsidP="00570FDD">
            <w:pPr>
              <w:spacing w:line="276" w:lineRule="auto"/>
              <w:rPr>
                <w:rFonts w:eastAsia="Arial"/>
              </w:rPr>
            </w:pPr>
            <w:r w:rsidRPr="00260559">
              <w:rPr>
                <w:rFonts w:eastAsia="Arial"/>
              </w:rPr>
              <w:t xml:space="preserve">(angl. </w:t>
            </w:r>
            <w:r w:rsidRPr="00260559">
              <w:rPr>
                <w:rFonts w:eastAsia="Arial"/>
                <w:i/>
              </w:rPr>
              <w:t>Canadian health Technology Assessment agency, CADTH</w:t>
            </w:r>
            <w:r w:rsidRPr="00260559">
              <w:rPr>
                <w:rFonts w:eastAsia="Arial"/>
              </w:rPr>
              <w:t>)</w:t>
            </w:r>
          </w:p>
        </w:tc>
        <w:tc>
          <w:tcPr>
            <w:tcW w:w="1810" w:type="dxa"/>
          </w:tcPr>
          <w:p w14:paraId="6AA338EA" w14:textId="0FDC0066" w:rsidR="00570FDD" w:rsidRPr="00260559" w:rsidRDefault="00000000" w:rsidP="00570FDD">
            <w:sdt>
              <w:sdtPr>
                <w:rPr>
                  <w:rStyle w:val="Style2"/>
                </w:rPr>
                <w:id w:val="119269425"/>
              </w:sdtPr>
              <w:sdtContent>
                <w:sdt>
                  <w:sdtPr>
                    <w:rPr>
                      <w:rStyle w:val="Style2"/>
                    </w:rPr>
                    <w:id w:val="-795442304"/>
                  </w:sdtPr>
                  <w:sdtContent>
                    <w:r w:rsidR="00570FDD" w:rsidRPr="00260559">
                      <w:rPr>
                        <w:rStyle w:val="Style2"/>
                        <w:rFonts w:ascii="MS Gothic" w:eastAsia="MS Gothic" w:hAnsi="MS Gothic"/>
                      </w:rPr>
                      <w:t>☒</w:t>
                    </w:r>
                  </w:sdtContent>
                </w:sdt>
              </w:sdtContent>
            </w:sdt>
            <w:r w:rsidR="00570FDD" w:rsidRPr="00260559">
              <w:t xml:space="preserve"> Taip</w:t>
            </w:r>
          </w:p>
          <w:p w14:paraId="12CB46AC" w14:textId="7A7C0D20" w:rsidR="00570FDD" w:rsidRPr="00260559" w:rsidRDefault="00000000" w:rsidP="00570FDD">
            <w:sdt>
              <w:sdtPr>
                <w:rPr>
                  <w:rStyle w:val="Style2"/>
                </w:rPr>
                <w:id w:val="1916654976"/>
              </w:sdtPr>
              <w:sdtContent>
                <w:sdt>
                  <w:sdtPr>
                    <w:rPr>
                      <w:rStyle w:val="Style2"/>
                    </w:rPr>
                    <w:id w:val="2040850954"/>
                  </w:sdtPr>
                  <w:sdtContent>
                    <w:r w:rsidR="00570FDD" w:rsidRPr="00260559">
                      <w:rPr>
                        <w:rStyle w:val="Style2"/>
                        <w:rFonts w:ascii="Segoe UI Symbol" w:eastAsia="MS Gothic" w:hAnsi="Segoe UI Symbol" w:cs="Segoe UI Symbol"/>
                      </w:rPr>
                      <w:t>☐</w:t>
                    </w:r>
                  </w:sdtContent>
                </w:sdt>
              </w:sdtContent>
            </w:sdt>
            <w:r w:rsidR="00570FDD" w:rsidRPr="00260559">
              <w:t xml:space="preserve"> Ne</w:t>
            </w:r>
          </w:p>
          <w:p w14:paraId="1B62E9E9" w14:textId="74F1DA76" w:rsidR="00570FDD" w:rsidRPr="00260559" w:rsidRDefault="00000000" w:rsidP="00570FDD">
            <w:pPr>
              <w:spacing w:line="276" w:lineRule="auto"/>
              <w:rPr>
                <w:rFonts w:eastAsia="Arial"/>
              </w:rPr>
            </w:pPr>
            <w:sdt>
              <w:sdtPr>
                <w:alias w:val="Nurodykite konkrečią dieną"/>
                <w:tag w:val="Nurodykite pradžios datą"/>
                <w:id w:val="119276294"/>
                <w:date>
                  <w:dateFormat w:val="yyyy 'm.' MMMM d 'd.'"/>
                  <w:lid w:val="lt-LT"/>
                  <w:storeMappedDataAs w:val="dateTime"/>
                  <w:calendar w:val="gregorian"/>
                </w:date>
              </w:sdtPr>
              <w:sdtContent>
                <w:r w:rsidR="00570FDD" w:rsidRPr="00260559">
                  <w:t xml:space="preserve">2023 rugsėjo 16 d. </w:t>
                </w:r>
              </w:sdtContent>
            </w:sdt>
          </w:p>
        </w:tc>
        <w:tc>
          <w:tcPr>
            <w:tcW w:w="3210" w:type="dxa"/>
          </w:tcPr>
          <w:p w14:paraId="2C734C82" w14:textId="77777777" w:rsidR="00570FDD" w:rsidRPr="00260559" w:rsidRDefault="00570FDD" w:rsidP="00570FDD">
            <w:pPr>
              <w:spacing w:line="276" w:lineRule="auto"/>
              <w:rPr>
                <w:rFonts w:eastAsia="Arial"/>
              </w:rPr>
            </w:pPr>
            <w:r w:rsidRPr="00260559">
              <w:rPr>
                <w:rFonts w:eastAsia="Arial"/>
              </w:rPr>
              <w:t>Rekomenduojamas gydymui derinyje su lenvatinibu suaugusiems pacientams, sergantiems, pažengusia endometriumo karcinoma:</w:t>
            </w:r>
          </w:p>
          <w:p w14:paraId="25A5F96F" w14:textId="1936398D" w:rsidR="00570FDD" w:rsidRPr="00260559" w:rsidRDefault="00570FDD" w:rsidP="00570FDD">
            <w:pPr>
              <w:pStyle w:val="Sraopastraipa"/>
              <w:numPr>
                <w:ilvl w:val="0"/>
                <w:numId w:val="20"/>
              </w:numPr>
              <w:spacing w:line="276" w:lineRule="auto"/>
              <w:rPr>
                <w:rFonts w:eastAsia="Arial"/>
              </w:rPr>
            </w:pPr>
            <w:r w:rsidRPr="00260559">
              <w:rPr>
                <w:rFonts w:eastAsia="Arial"/>
              </w:rPr>
              <w:t>kuri nėra didelio mikrosatelitinio nestabilumo (MSI-H)</w:t>
            </w:r>
            <w:r w:rsidR="004975DA">
              <w:rPr>
                <w:rFonts w:eastAsia="Arial"/>
              </w:rPr>
              <w:t>;</w:t>
            </w:r>
          </w:p>
          <w:p w14:paraId="29BE3812" w14:textId="504AA845" w:rsidR="00570FDD" w:rsidRPr="00260559" w:rsidRDefault="00570FDD" w:rsidP="00570FDD">
            <w:pPr>
              <w:pStyle w:val="Sraopastraipa"/>
              <w:numPr>
                <w:ilvl w:val="0"/>
                <w:numId w:val="20"/>
              </w:numPr>
              <w:spacing w:line="276" w:lineRule="auto"/>
              <w:rPr>
                <w:rFonts w:eastAsia="Arial"/>
              </w:rPr>
            </w:pPr>
            <w:r w:rsidRPr="00260559">
              <w:rPr>
                <w:rFonts w:eastAsia="Arial"/>
              </w:rPr>
              <w:t xml:space="preserve">kuriems liga progresuoja po ankstesnio sisteminio gydymo </w:t>
            </w:r>
            <w:r w:rsidR="004975DA" w:rsidRPr="00260559">
              <w:rPr>
                <w:rFonts w:eastAsia="Arial"/>
              </w:rPr>
              <w:t>platinos preparat</w:t>
            </w:r>
            <w:r w:rsidR="004975DA">
              <w:rPr>
                <w:rFonts w:eastAsia="Arial"/>
              </w:rPr>
              <w:t>u;</w:t>
            </w:r>
          </w:p>
          <w:p w14:paraId="58225F4E" w14:textId="0179C177" w:rsidR="00570FDD" w:rsidRPr="00260559" w:rsidRDefault="00570FDD" w:rsidP="00570FDD">
            <w:pPr>
              <w:pStyle w:val="Sraopastraipa"/>
              <w:numPr>
                <w:ilvl w:val="0"/>
                <w:numId w:val="20"/>
              </w:numPr>
              <w:spacing w:line="276" w:lineRule="auto"/>
              <w:rPr>
                <w:rFonts w:eastAsia="Arial"/>
              </w:rPr>
            </w:pPr>
            <w:r w:rsidRPr="00260559">
              <w:rPr>
                <w:rFonts w:eastAsia="Arial"/>
              </w:rPr>
              <w:t xml:space="preserve">kurie nėra kandidatai atlikti gydomąją </w:t>
            </w:r>
            <w:r w:rsidRPr="00260559">
              <w:rPr>
                <w:rFonts w:eastAsia="Arial"/>
              </w:rPr>
              <w:lastRenderedPageBreak/>
              <w:t>chirurgiją ar radioterapiją.</w:t>
            </w:r>
          </w:p>
        </w:tc>
        <w:tc>
          <w:tcPr>
            <w:tcW w:w="2069" w:type="dxa"/>
          </w:tcPr>
          <w:p w14:paraId="6D6E0C2D" w14:textId="06ACC29E" w:rsidR="00570FDD" w:rsidRPr="00260559" w:rsidRDefault="00570FDD" w:rsidP="00570FDD">
            <w:pPr>
              <w:spacing w:line="276" w:lineRule="auto"/>
              <w:rPr>
                <w:rFonts w:eastAsia="Arial"/>
              </w:rPr>
            </w:pPr>
          </w:p>
        </w:tc>
      </w:tr>
      <w:tr w:rsidR="00570FDD" w:rsidRPr="00260559" w14:paraId="7FF6DDCF" w14:textId="77777777" w:rsidTr="00570FDD">
        <w:trPr>
          <w:trHeight w:val="1927"/>
        </w:trPr>
        <w:tc>
          <w:tcPr>
            <w:tcW w:w="2829" w:type="dxa"/>
          </w:tcPr>
          <w:p w14:paraId="7D7D8846" w14:textId="77777777" w:rsidR="00570FDD" w:rsidRPr="00260559" w:rsidRDefault="00570FDD" w:rsidP="00570FDD">
            <w:pPr>
              <w:spacing w:line="276" w:lineRule="auto"/>
              <w:rPr>
                <w:rFonts w:eastAsia="Arial"/>
              </w:rPr>
            </w:pPr>
            <w:r w:rsidRPr="00260559">
              <w:rPr>
                <w:rFonts w:eastAsia="Arial"/>
              </w:rPr>
              <w:t>Nacionalinis farmakoekonomikos centras, Airija</w:t>
            </w:r>
          </w:p>
          <w:p w14:paraId="53E1E70E" w14:textId="77777777" w:rsidR="00570FDD" w:rsidRPr="00260559" w:rsidRDefault="00570FDD" w:rsidP="00570FDD">
            <w:pPr>
              <w:spacing w:line="276" w:lineRule="auto"/>
              <w:rPr>
                <w:rFonts w:eastAsia="Arial"/>
              </w:rPr>
            </w:pPr>
            <w:r w:rsidRPr="00260559">
              <w:rPr>
                <w:rFonts w:eastAsia="Arial"/>
              </w:rPr>
              <w:t>(angl.</w:t>
            </w:r>
            <w:r w:rsidRPr="00260559">
              <w:rPr>
                <w:rFonts w:eastAsia="Arial"/>
                <w:i/>
              </w:rPr>
              <w:t xml:space="preserve"> National Centre for Pharmacoeconomics, NCPE</w:t>
            </w:r>
            <w:r w:rsidRPr="00260559">
              <w:rPr>
                <w:rFonts w:eastAsia="Arial"/>
              </w:rPr>
              <w:t>)</w:t>
            </w:r>
          </w:p>
        </w:tc>
        <w:tc>
          <w:tcPr>
            <w:tcW w:w="1810" w:type="dxa"/>
          </w:tcPr>
          <w:p w14:paraId="1C69E738" w14:textId="699E7499" w:rsidR="00570FDD" w:rsidRPr="00260559" w:rsidRDefault="00000000" w:rsidP="00570FDD">
            <w:sdt>
              <w:sdtPr>
                <w:rPr>
                  <w:rStyle w:val="Style2"/>
                </w:rPr>
                <w:id w:val="959923631"/>
              </w:sdtPr>
              <w:sdtContent>
                <w:sdt>
                  <w:sdtPr>
                    <w:rPr>
                      <w:rStyle w:val="Style2"/>
                    </w:rPr>
                    <w:id w:val="-33512416"/>
                  </w:sdtPr>
                  <w:sdtContent>
                    <w:r w:rsidR="00570FDD" w:rsidRPr="00260559">
                      <w:rPr>
                        <w:rStyle w:val="Style2"/>
                        <w:rFonts w:ascii="Segoe UI Symbol" w:eastAsia="MS Gothic" w:hAnsi="Segoe UI Symbol" w:cs="Segoe UI Symbol"/>
                      </w:rPr>
                      <w:t>☐</w:t>
                    </w:r>
                  </w:sdtContent>
                </w:sdt>
              </w:sdtContent>
            </w:sdt>
            <w:r w:rsidR="00570FDD" w:rsidRPr="00260559">
              <w:t xml:space="preserve"> Taip</w:t>
            </w:r>
          </w:p>
          <w:p w14:paraId="25D80EBC" w14:textId="1C8CB29C" w:rsidR="00570FDD" w:rsidRPr="00260559" w:rsidRDefault="00000000" w:rsidP="00570FDD">
            <w:sdt>
              <w:sdtPr>
                <w:rPr>
                  <w:rStyle w:val="Style2"/>
                </w:rPr>
                <w:id w:val="-1877453846"/>
              </w:sdtPr>
              <w:sdtContent>
                <w:sdt>
                  <w:sdtPr>
                    <w:rPr>
                      <w:rStyle w:val="Style2"/>
                    </w:rPr>
                    <w:id w:val="-1516383213"/>
                  </w:sdtPr>
                  <w:sdtContent>
                    <w:r w:rsidR="00570FDD" w:rsidRPr="00260559">
                      <w:rPr>
                        <w:rStyle w:val="Style2"/>
                        <w:rFonts w:ascii="MS Gothic" w:eastAsia="MS Gothic" w:hAnsi="MS Gothic"/>
                      </w:rPr>
                      <w:t>☒</w:t>
                    </w:r>
                  </w:sdtContent>
                </w:sdt>
              </w:sdtContent>
            </w:sdt>
            <w:r w:rsidR="00570FDD" w:rsidRPr="00260559">
              <w:t xml:space="preserve"> Ne</w:t>
            </w:r>
          </w:p>
          <w:p w14:paraId="6CBA0F65" w14:textId="19BEB163" w:rsidR="00570FDD" w:rsidRPr="00260559" w:rsidRDefault="00000000" w:rsidP="00570FDD">
            <w:pPr>
              <w:spacing w:line="276" w:lineRule="auto"/>
              <w:rPr>
                <w:rFonts w:eastAsia="Arial"/>
              </w:rPr>
            </w:pPr>
            <w:sdt>
              <w:sdtPr>
                <w:alias w:val="Nurodykite konkrečią dieną"/>
                <w:tag w:val="Nurodykite pradžios datą"/>
                <w:id w:val="-1991705866"/>
                <w:showingPlcHdr/>
                <w:date w:fullDate="2021-01-06T00:00:00Z">
                  <w:dateFormat w:val="yyyy 'm.' MMMM d 'd.'"/>
                  <w:lid w:val="lt-LT"/>
                  <w:storeMappedDataAs w:val="dateTime"/>
                  <w:calendar w:val="gregorian"/>
                </w:date>
              </w:sdtPr>
              <w:sdtContent>
                <w:r w:rsidR="00570FDD" w:rsidRPr="00260559">
                  <w:t xml:space="preserve">     </w:t>
                </w:r>
              </w:sdtContent>
            </w:sdt>
          </w:p>
        </w:tc>
        <w:tc>
          <w:tcPr>
            <w:tcW w:w="5279" w:type="dxa"/>
            <w:gridSpan w:val="2"/>
          </w:tcPr>
          <w:p w14:paraId="0D1529F2" w14:textId="7574FBEF" w:rsidR="00570FDD" w:rsidRPr="00260559" w:rsidRDefault="00635738" w:rsidP="00570FDD">
            <w:pPr>
              <w:spacing w:line="276" w:lineRule="auto"/>
              <w:rPr>
                <w:rFonts w:eastAsia="Arial"/>
              </w:rPr>
            </w:pPr>
            <w:r w:rsidRPr="000365B1">
              <w:rPr>
                <w:rFonts w:eastAsia="Arial"/>
              </w:rPr>
              <w:t>NCPE rekomenduoja nesvarstyti galimybės kompensuoti pembrolizumabo kartu su lenvatinibu, nebent būtų galima pagerinti ekonominį efektyvumą, palyginti su esamais gydymo būdais.</w:t>
            </w:r>
          </w:p>
        </w:tc>
      </w:tr>
    </w:tbl>
    <w:p w14:paraId="5F8A623F" w14:textId="77777777" w:rsidR="0032204D" w:rsidRPr="00260559" w:rsidRDefault="0032204D" w:rsidP="00521380">
      <w:pPr>
        <w:spacing w:line="276" w:lineRule="auto"/>
        <w:jc w:val="both"/>
        <w:rPr>
          <w:rFonts w:eastAsia="Arial"/>
          <w:b/>
        </w:rPr>
      </w:pPr>
    </w:p>
    <w:p w14:paraId="5055E8A8" w14:textId="35B70DCB" w:rsidR="002E6F80" w:rsidRDefault="00CC7832" w:rsidP="00937907">
      <w:pPr>
        <w:pStyle w:val="Sraopastraipa"/>
        <w:numPr>
          <w:ilvl w:val="0"/>
          <w:numId w:val="12"/>
        </w:numPr>
        <w:tabs>
          <w:tab w:val="left" w:pos="284"/>
        </w:tabs>
        <w:rPr>
          <w:b/>
          <w:bCs/>
          <w:caps/>
        </w:rPr>
      </w:pPr>
      <w:r w:rsidRPr="00260559">
        <w:rPr>
          <w:b/>
          <w:bCs/>
          <w:caps/>
        </w:rPr>
        <w:t>Klinikinio vertinimo a</w:t>
      </w:r>
      <w:r w:rsidR="00D4485B" w:rsidRPr="00260559">
        <w:rPr>
          <w:b/>
          <w:bCs/>
          <w:caps/>
        </w:rPr>
        <w:t>pibendrinimas</w:t>
      </w:r>
    </w:p>
    <w:p w14:paraId="4A98F60B" w14:textId="77777777" w:rsidR="00DC70B3" w:rsidRPr="00260559" w:rsidRDefault="00DC70B3" w:rsidP="00DC70B3">
      <w:pPr>
        <w:pStyle w:val="Sraopastraipa"/>
        <w:tabs>
          <w:tab w:val="left" w:pos="284"/>
        </w:tabs>
        <w:rPr>
          <w:b/>
          <w:bCs/>
          <w:caps/>
        </w:rPr>
      </w:pPr>
    </w:p>
    <w:p w14:paraId="7273F689" w14:textId="77777777" w:rsidR="00E33252" w:rsidRPr="00260559" w:rsidRDefault="00E33252" w:rsidP="008A5B5D">
      <w:pPr>
        <w:spacing w:after="120" w:line="271" w:lineRule="auto"/>
        <w:ind w:firstLine="720"/>
        <w:contextualSpacing/>
        <w:jc w:val="both"/>
      </w:pPr>
      <w:r w:rsidRPr="00260559">
        <w:t xml:space="preserve">Gimdos kūno vėžys – tai viena dažniausių moterų vėžio formų. Vakarų Europos epidemiologiniais duomenimis – mirtingumas nuo gimdos kūno vėžio užima septintą vietą. Padidėjusį sergamumą šia liga lemia daugelis lėtinių neinfekcinių ligų rizikos veiksnių. </w:t>
      </w:r>
    </w:p>
    <w:p w14:paraId="65C5E991" w14:textId="153A26D4" w:rsidR="00E33252" w:rsidRPr="00260559" w:rsidRDefault="00E33252" w:rsidP="008A5B5D">
      <w:pPr>
        <w:spacing w:after="120" w:line="271" w:lineRule="auto"/>
        <w:ind w:firstLine="720"/>
        <w:contextualSpacing/>
        <w:jc w:val="both"/>
      </w:pPr>
      <w:r w:rsidRPr="00260559">
        <w:t>Lietuvoje kasmet apie 550 moterų suserga gimdos kūno vėžiu. Ir nors ankstyv</w:t>
      </w:r>
      <w:r w:rsidR="00DC70B3">
        <w:t>ose</w:t>
      </w:r>
      <w:r w:rsidRPr="00260559">
        <w:t>stadij</w:t>
      </w:r>
      <w:r w:rsidR="00DC70B3">
        <w:t>ose</w:t>
      </w:r>
      <w:r w:rsidRPr="00260559">
        <w:t xml:space="preserve"> jis lengvai pagydomas, daliai pacienčių jis nustatomas per vėlai. Endometriumo vėžys sudaro apie 97 proc. visų gimdos kūno vėžių. Tai labiausiai paplitęs lyties organų piktybinis navikas ir tarp Lietuvos moterų. Daugiau nei 90</w:t>
      </w:r>
      <w:r w:rsidR="00DC70B3">
        <w:t xml:space="preserve"> </w:t>
      </w:r>
      <w:r w:rsidRPr="00260559">
        <w:t>% atvejų gimdos kūno vėžio diagnozuojama tarp moterų, vyresnių nei 50 m. Vidutinis sergančiųjų amžius yra 63 metai. Lietuvoje nėra gydymo gairių suaugusiųjų išplitusios ar recidyvavusios endometriumo karcinomos gydymui, kuomet nustatytas ligos progresavimas skiriant bet kurios eilės gydymą platinos vaistiniais preparatais arba po šio gydymo ir kai nenumatoma taikyti radikalios chirurginės operacijos ar radioterapijos. Tarptautiniu mastu vieningo sutarimo dėl šios indikacijos pacienčių gydymo taip pat nėra. Remiantis Lietuvos onkologų chemoterapeutų draugijos pateikta informacija, šiuo metu Lietuvoje endometriumo karcinomos gydymui, kai nustatytas ligos progresavimas skiriant bet kurios eilės gydymą platinos vaistiniais preparatais arba po šio gydymo ir kai nenumatoma taikyti radikalios chirurginės operacijos ar radioterapijos, skiriama sekančios eilės chemoterapija</w:t>
      </w:r>
      <w:r w:rsidR="00317825" w:rsidRPr="00260559">
        <w:t>. Chemoterapijai skirto</w:t>
      </w:r>
      <w:r w:rsidRPr="00260559">
        <w:t xml:space="preserve"> vaistinio preparato pasirinkimas priklauso nuo pacienčių sveikatos būklės ir laikotarpio, praėjusio nuo ankstesnės eilės gydymo: </w:t>
      </w:r>
    </w:p>
    <w:p w14:paraId="749E4CFE" w14:textId="77777777" w:rsidR="00E33252" w:rsidRPr="00260559" w:rsidRDefault="00E33252" w:rsidP="00DA7C5E">
      <w:pPr>
        <w:pStyle w:val="Sraopastraipa"/>
        <w:numPr>
          <w:ilvl w:val="0"/>
          <w:numId w:val="21"/>
        </w:numPr>
        <w:tabs>
          <w:tab w:val="left" w:pos="567"/>
        </w:tabs>
        <w:spacing w:after="120" w:line="271" w:lineRule="auto"/>
        <w:ind w:left="567" w:hanging="567"/>
        <w:jc w:val="both"/>
      </w:pPr>
      <w:r w:rsidRPr="00260559">
        <w:t xml:space="preserve">jeigu pacientės būklė gera ir nuo ankstesnės eilės gydymo praėjo 6-12 mėn., kartojama chemoterapija platinos preparatų pagrindu - cisplatina derinyje su doksorubicinu arba karboplatina derinyje su paklitakseliu (apie 30-40 proc. atvejų); </w:t>
      </w:r>
    </w:p>
    <w:p w14:paraId="77FCACFF" w14:textId="1CFB97CF" w:rsidR="00E33252" w:rsidRPr="00260559" w:rsidRDefault="00317825" w:rsidP="00DA7C5E">
      <w:pPr>
        <w:pStyle w:val="Sraopastraipa"/>
        <w:numPr>
          <w:ilvl w:val="0"/>
          <w:numId w:val="21"/>
        </w:numPr>
        <w:tabs>
          <w:tab w:val="left" w:pos="567"/>
        </w:tabs>
        <w:spacing w:after="120" w:line="271" w:lineRule="auto"/>
        <w:ind w:left="567" w:hanging="567"/>
        <w:jc w:val="both"/>
      </w:pPr>
      <w:r w:rsidRPr="00260559">
        <w:t>j</w:t>
      </w:r>
      <w:r w:rsidR="00E33252" w:rsidRPr="00260559">
        <w:t xml:space="preserve">ei pacientės liga progresavo greičiau ar dėl sveikatos būklės negalima skirti polichemoterapijos, renkamasi monoterapija (pagal KEYNOTE-775 tyrimo dizainą). Tokiu atveju, apie 70 proc. pacienčių skiriamas doksorubicinas (KEYNOTE-775 tyrime – 74,5 proc.), kitoms pacientėms (apie 20 proc.) – paklitakselis (KEYNOTE-775 tyrime – 25,5 proc.), karboplatina arba topotekanas, o 5 proc. pacienčių - hormonoterapija arba topotekanas (šie du pastarieji preparatai dažniausiai skiriami dar vėlesnėje gydymo eilėje). </w:t>
      </w:r>
    </w:p>
    <w:p w14:paraId="792D5C7A" w14:textId="72F05074" w:rsidR="00317825" w:rsidRPr="00260559" w:rsidRDefault="00E33252" w:rsidP="008A5B5D">
      <w:pPr>
        <w:pStyle w:val="Tekstas"/>
        <w:spacing w:line="271" w:lineRule="auto"/>
        <w:ind w:firstLine="426"/>
      </w:pPr>
      <w:r w:rsidRPr="00260559">
        <w:t xml:space="preserve">Didžiajai daliai pacienčių Lietuvos klinikinėje praktikoje endometriumo karcinomos gydymui, kai nustatytas ligos progresavimas skiriant bet kurios eilės gydymą platinos vaistiniais preparatais arba po šio gydymo ir kai nenumatoma taikyti radikalios chirurginės operacijos ar radioterapijos, skiriama monoterapija doksorubicinu arba paklitakseliu. Šis gydymas yra artimiausias </w:t>
      </w:r>
      <w:r w:rsidR="00DC70B3">
        <w:t>tarptaut</w:t>
      </w:r>
      <w:r w:rsidR="00CC14DC">
        <w:t xml:space="preserve">inės akušerijos ir ginekologijos federacijos </w:t>
      </w:r>
      <w:r w:rsidRPr="00260559">
        <w:t xml:space="preserve">(angl. </w:t>
      </w:r>
      <w:r w:rsidRPr="00260559">
        <w:rPr>
          <w:i/>
          <w:iCs/>
        </w:rPr>
        <w:t>International Federation of Gynecology and Obstetrics</w:t>
      </w:r>
      <w:r w:rsidR="00CC14DC">
        <w:rPr>
          <w:i/>
          <w:iCs/>
        </w:rPr>
        <w:t>,</w:t>
      </w:r>
      <w:r w:rsidR="00CC14DC" w:rsidRPr="00CC14DC">
        <w:t xml:space="preserve"> </w:t>
      </w:r>
      <w:r w:rsidR="00CC14DC" w:rsidRPr="00260559">
        <w:t>FIGO</w:t>
      </w:r>
      <w:r w:rsidRPr="00260559">
        <w:t xml:space="preserve">) 2015 m. paskelbtoje apžvalgoje rekomenduojamam gydymui. Esant metastazavusiai ar recidyvavusiai ligos formai, kai nenumatoma taikyti radikalios chirurginės operacijos ar </w:t>
      </w:r>
      <w:r w:rsidRPr="00260559">
        <w:lastRenderedPageBreak/>
        <w:t>radioterapijos, FIGO rekomenduoja taikyti gydymą chemoterapija platinos preparatų pagrindu (pvz., cisplatina ir doksorubicinu arba karboplatina ir paklitakseliu). Nacionalinio visapusiško vėžio priežiūros tinklo (angl.</w:t>
      </w:r>
      <w:r w:rsidRPr="00260559">
        <w:rPr>
          <w:i/>
        </w:rPr>
        <w:t xml:space="preserve"> the</w:t>
      </w:r>
      <w:r w:rsidRPr="00260559">
        <w:t xml:space="preserve"> </w:t>
      </w:r>
      <w:r w:rsidRPr="00260559">
        <w:rPr>
          <w:i/>
        </w:rPr>
        <w:t>National Comprehensive Cancer Networ, NCCN</w:t>
      </w:r>
      <w:r w:rsidRPr="00260559">
        <w:t>) gairėse pareiš</w:t>
      </w:r>
      <w:r w:rsidR="00260559">
        <w:t>k</w:t>
      </w:r>
      <w:r w:rsidRPr="00260559">
        <w:t>ėjo teikiamai indikacijai pembrolizumabo derinys su lenvatinibu jau rekomenduojamas (įrodymų lygis - 1-os kategorijos). Visi aukščiau paminėti vaistiniai preparatai ar jų deriniai įvairiais aspektais rekomenduojami visose tarptautinėse gairėse.</w:t>
      </w:r>
    </w:p>
    <w:p w14:paraId="50419D3F" w14:textId="084B7040" w:rsidR="00DD03C9" w:rsidRPr="00260559" w:rsidRDefault="00E33252" w:rsidP="008A5B5D">
      <w:pPr>
        <w:pStyle w:val="Tekstas"/>
        <w:spacing w:line="271" w:lineRule="auto"/>
        <w:ind w:firstLine="426"/>
      </w:pPr>
      <w:r w:rsidRPr="00260559">
        <w:t>Paraiškoje</w:t>
      </w:r>
      <w:r w:rsidR="003F4C86" w:rsidRPr="00260559">
        <w:t xml:space="preserve"> pateikti</w:t>
      </w:r>
      <w:r w:rsidRPr="00260559">
        <w:t xml:space="preserve"> 3 fazės</w:t>
      </w:r>
      <w:r w:rsidR="00DD03C9" w:rsidRPr="00260559">
        <w:t>, daugiacentrio, atsitiktinių imčių, atviro dizaino</w:t>
      </w:r>
      <w:r w:rsidRPr="00260559">
        <w:t xml:space="preserve"> klinikinio tyrimo </w:t>
      </w:r>
      <w:r w:rsidR="00285BAC" w:rsidRPr="00260559">
        <w:t xml:space="preserve">KEYNOTE-775 </w:t>
      </w:r>
      <w:r w:rsidRPr="00260559">
        <w:t xml:space="preserve">duomenys apie siūlomą kompensuoti vaistinį preparatą pembrolizumabą </w:t>
      </w:r>
      <w:r w:rsidR="00CC14DC">
        <w:t xml:space="preserve">vartotą </w:t>
      </w:r>
      <w:r w:rsidRPr="00260559">
        <w:t>derin</w:t>
      </w:r>
      <w:r w:rsidR="00CC14DC">
        <w:t xml:space="preserve">yje </w:t>
      </w:r>
      <w:r w:rsidRPr="00260559">
        <w:t xml:space="preserve"> su lenvatinibu, kuris </w:t>
      </w:r>
      <w:r w:rsidR="00CC14DC">
        <w:t xml:space="preserve">buvo </w:t>
      </w:r>
      <w:r w:rsidRPr="00260559">
        <w:t xml:space="preserve">skirtas suaugusiųjų išplitusios ar recidyvavusios endometriumo karcinomos gydymui, kai nustatytas ligos progresavimas skiriant bet kurios eilės gydymą platinos vaistiniais preparatais arba po šio gydymo ir kai nenumatoma taikyti radikalios chirurginės operacijos ar radioterapijos. </w:t>
      </w:r>
      <w:r w:rsidR="003F4C86" w:rsidRPr="00260559">
        <w:rPr>
          <w:color w:val="000000"/>
          <w:lang w:eastAsia="lt-LT"/>
        </w:rPr>
        <w:t xml:space="preserve">Tyrime </w:t>
      </w:r>
      <w:r w:rsidR="00CC14DC">
        <w:rPr>
          <w:color w:val="000000"/>
          <w:lang w:eastAsia="lt-LT"/>
        </w:rPr>
        <w:t>pa</w:t>
      </w:r>
      <w:r w:rsidR="003F4C86" w:rsidRPr="00260559">
        <w:rPr>
          <w:color w:val="000000"/>
          <w:lang w:eastAsia="lt-LT"/>
        </w:rPr>
        <w:t xml:space="preserve">lygintas pembrolizumabas ir lenvatinibas (n=411) su gydytojo parinktu gydymu (paklitakselio ar doksorubicino monoterapija; n=416). </w:t>
      </w:r>
      <w:r w:rsidR="00DD03C9" w:rsidRPr="00260559">
        <w:t xml:space="preserve">Atsitiktine tvarka suskirsčius, vienai iš šių tiriamųjų grupių: </w:t>
      </w:r>
    </w:p>
    <w:p w14:paraId="003A6902" w14:textId="77777777" w:rsidR="00DD03C9" w:rsidRPr="00260559" w:rsidRDefault="00DD03C9" w:rsidP="008A5B5D">
      <w:pPr>
        <w:pStyle w:val="Tekstas"/>
        <w:numPr>
          <w:ilvl w:val="0"/>
          <w:numId w:val="22"/>
        </w:numPr>
        <w:spacing w:before="120" w:line="271" w:lineRule="auto"/>
        <w:ind w:left="709" w:hanging="283"/>
      </w:pPr>
      <w:r w:rsidRPr="00260559">
        <w:t>vartojusiųjų 200 mg į veną leidžiamo pembrolizumabo dozę kas 3 savaites derinant su lenvatinibu, kuris buvo skiriama per burną po 20 mg kartą per parą. Pacientės galėjo gauti iki 35 pembrolizumabo dozių tyrimo metu.</w:t>
      </w:r>
    </w:p>
    <w:p w14:paraId="6634AA70" w14:textId="48FCDE38" w:rsidR="00DD03C9" w:rsidRPr="00260559" w:rsidRDefault="00DD03C9" w:rsidP="008A5B5D">
      <w:pPr>
        <w:pStyle w:val="Tekstas"/>
        <w:numPr>
          <w:ilvl w:val="0"/>
          <w:numId w:val="22"/>
        </w:numPr>
        <w:spacing w:before="120" w:line="271" w:lineRule="auto"/>
        <w:ind w:left="709" w:hanging="283"/>
      </w:pPr>
      <w:r w:rsidRPr="00260559">
        <w:t>vartojusiųjų tyrėjo parinktą gydymą, kurį sudarė arba doksorubicino po 60 mg/m</w:t>
      </w:r>
      <w:r w:rsidRPr="00260559">
        <w:rPr>
          <w:vertAlign w:val="superscript"/>
        </w:rPr>
        <w:t>2</w:t>
      </w:r>
      <w:r w:rsidRPr="00260559">
        <w:t xml:space="preserve"> dozė kas 3 savaites arba paklitakselio po 80 mg/m</w:t>
      </w:r>
      <w:r w:rsidRPr="00260559">
        <w:rPr>
          <w:vertAlign w:val="superscript"/>
        </w:rPr>
        <w:t>2</w:t>
      </w:r>
      <w:r w:rsidRPr="00260559">
        <w:t xml:space="preserve"> dozė kas savaitę (skiriant 3 savaites ir darant 1 savaitės pertrauką).</w:t>
      </w:r>
    </w:p>
    <w:p w14:paraId="27E5E5FC" w14:textId="6170DB88" w:rsidR="003F4C86" w:rsidRDefault="003F4C86" w:rsidP="008A5B5D">
      <w:pPr>
        <w:pStyle w:val="Tekstas"/>
        <w:spacing w:before="120" w:line="271" w:lineRule="auto"/>
        <w:ind w:firstLine="426"/>
        <w:rPr>
          <w:color w:val="000000"/>
          <w:lang w:eastAsia="lt-LT"/>
        </w:rPr>
      </w:pPr>
      <w:r w:rsidRPr="00CC5108">
        <w:rPr>
          <w:color w:val="000000"/>
          <w:lang w:eastAsia="lt-LT"/>
        </w:rPr>
        <w:t xml:space="preserve">Pacientai buvo stratifikuojami pagal </w:t>
      </w:r>
      <w:r w:rsidR="00CC5108" w:rsidRPr="00CC5108">
        <w:t xml:space="preserve">MMR naviko rodmenį (dMMR arba pMMR [tinkama klaidingai suporuotų nukleotidų DNR pažaidų taisymo sistema, angl. </w:t>
      </w:r>
      <w:r w:rsidR="00CC5108" w:rsidRPr="00CC5108">
        <w:rPr>
          <w:i/>
          <w:iCs/>
        </w:rPr>
        <w:t>mismatch repair proficient</w:t>
      </w:r>
      <w:r w:rsidR="00CC5108" w:rsidRPr="00CC5108">
        <w:t>]), nustatytą naudojant validuotą imuno-histochemijos tyrimo metodiką (</w:t>
      </w:r>
      <w:r w:rsidRPr="00CC5108">
        <w:rPr>
          <w:color w:val="000000"/>
          <w:lang w:eastAsia="lt-LT"/>
        </w:rPr>
        <w:t>dMMR 16</w:t>
      </w:r>
      <w:r w:rsidR="00CC5108" w:rsidRPr="00CC5108">
        <w:rPr>
          <w:color w:val="000000"/>
          <w:lang w:eastAsia="lt-LT"/>
        </w:rPr>
        <w:t xml:space="preserve"> </w:t>
      </w:r>
      <w:r w:rsidRPr="00CC5108">
        <w:rPr>
          <w:color w:val="000000"/>
          <w:lang w:eastAsia="lt-LT"/>
        </w:rPr>
        <w:t>%</w:t>
      </w:r>
      <w:r w:rsidR="00CC5108" w:rsidRPr="00CC5108">
        <w:rPr>
          <w:color w:val="000000"/>
          <w:lang w:eastAsia="lt-LT"/>
        </w:rPr>
        <w:t>,</w:t>
      </w:r>
      <w:r w:rsidRPr="00CC5108">
        <w:rPr>
          <w:color w:val="000000"/>
          <w:lang w:eastAsia="lt-LT"/>
        </w:rPr>
        <w:t>r pMMR (84%).</w:t>
      </w:r>
      <w:r w:rsidRPr="00CC5108">
        <w:t xml:space="preserve"> </w:t>
      </w:r>
      <w:r w:rsidRPr="00CC5108">
        <w:rPr>
          <w:color w:val="000000"/>
          <w:lang w:eastAsia="lt-LT"/>
        </w:rPr>
        <w:t>Tyrime dalyvavusių asmenų amžius buvo &lt;65 metai, kas atitiktų Lietuvoje sergančiųjų populiaciją.</w:t>
      </w:r>
      <w:r w:rsidR="00CC5108">
        <w:rPr>
          <w:color w:val="000000"/>
          <w:lang w:eastAsia="lt-LT"/>
        </w:rPr>
        <w:t xml:space="preserve">  </w:t>
      </w:r>
    </w:p>
    <w:p w14:paraId="2B86AFB7" w14:textId="41A2D26A" w:rsidR="00E33252" w:rsidRPr="00260559" w:rsidRDefault="00E33252" w:rsidP="008A5B5D">
      <w:pPr>
        <w:tabs>
          <w:tab w:val="left" w:pos="426"/>
        </w:tabs>
        <w:spacing w:line="271" w:lineRule="auto"/>
        <w:jc w:val="both"/>
        <w:rPr>
          <w:bCs/>
          <w:color w:val="000000" w:themeColor="text1"/>
          <w:u w:val="single"/>
          <w:lang w:eastAsia="lt-LT"/>
        </w:rPr>
      </w:pPr>
      <w:r w:rsidRPr="00CC5108">
        <w:rPr>
          <w:bCs/>
          <w:color w:val="000000" w:themeColor="text1"/>
          <w:u w:val="single"/>
          <w:lang w:eastAsia="lt-LT"/>
        </w:rPr>
        <w:t>Tiesioginis palyginimas</w:t>
      </w:r>
    </w:p>
    <w:p w14:paraId="690FCF0D" w14:textId="24E0D658" w:rsidR="00E33252" w:rsidRPr="00260559" w:rsidRDefault="00E33252" w:rsidP="008A5B5D">
      <w:pPr>
        <w:tabs>
          <w:tab w:val="left" w:pos="426"/>
        </w:tabs>
        <w:spacing w:line="271" w:lineRule="auto"/>
        <w:jc w:val="both"/>
        <w:rPr>
          <w:bCs/>
          <w:color w:val="000000" w:themeColor="text1"/>
          <w:lang w:eastAsia="lt-LT"/>
        </w:rPr>
      </w:pPr>
      <w:r w:rsidRPr="00260559">
        <w:tab/>
        <w:t xml:space="preserve">Palyginamasis gydymas – chemoterapija. Lietuvoje šių pacientų populiacijai gali būti skiriami  </w:t>
      </w:r>
      <w:r w:rsidRPr="00260559">
        <w:rPr>
          <w:bCs/>
          <w:color w:val="000000" w:themeColor="text1"/>
          <w:lang w:eastAsia="lt-LT"/>
        </w:rPr>
        <w:t>doksorubicinas ir paklitakselis. Pembrolizumabo palyginamasis veiksmingumas grindžiamas 3 fazės klinikini</w:t>
      </w:r>
      <w:r w:rsidR="004975DA">
        <w:rPr>
          <w:bCs/>
          <w:color w:val="000000" w:themeColor="text1"/>
          <w:lang w:eastAsia="lt-LT"/>
        </w:rPr>
        <w:t>o</w:t>
      </w:r>
      <w:r w:rsidRPr="00260559">
        <w:rPr>
          <w:bCs/>
          <w:color w:val="000000" w:themeColor="text1"/>
          <w:lang w:eastAsia="lt-LT"/>
        </w:rPr>
        <w:t xml:space="preserve"> tyrim</w:t>
      </w:r>
      <w:r w:rsidR="004975DA">
        <w:rPr>
          <w:bCs/>
          <w:color w:val="000000" w:themeColor="text1"/>
          <w:lang w:eastAsia="lt-LT"/>
        </w:rPr>
        <w:t>o</w:t>
      </w:r>
      <w:r w:rsidRPr="00260559">
        <w:rPr>
          <w:bCs/>
          <w:color w:val="000000" w:themeColor="text1"/>
          <w:lang w:eastAsia="lt-LT"/>
        </w:rPr>
        <w:t xml:space="preserve"> </w:t>
      </w:r>
      <w:r w:rsidR="00285BAC" w:rsidRPr="00260559">
        <w:rPr>
          <w:bCs/>
          <w:color w:val="000000" w:themeColor="text1"/>
          <w:lang w:eastAsia="lt-LT"/>
        </w:rPr>
        <w:t>KEYNOTE-775</w:t>
      </w:r>
      <w:r w:rsidRPr="00260559">
        <w:rPr>
          <w:bCs/>
          <w:color w:val="000000" w:themeColor="text1"/>
          <w:lang w:eastAsia="lt-LT"/>
        </w:rPr>
        <w:t xml:space="preserve"> rezultatais. </w:t>
      </w:r>
      <w:r w:rsidR="004975DA">
        <w:rPr>
          <w:bCs/>
          <w:color w:val="000000" w:themeColor="text1"/>
          <w:lang w:eastAsia="lt-LT"/>
        </w:rPr>
        <w:t>Šiame t</w:t>
      </w:r>
      <w:r w:rsidRPr="00260559">
        <w:rPr>
          <w:bCs/>
          <w:color w:val="000000" w:themeColor="text1"/>
          <w:lang w:eastAsia="lt-LT"/>
        </w:rPr>
        <w:t xml:space="preserve">iesioginio palyginimo </w:t>
      </w:r>
      <w:r w:rsidR="004975DA">
        <w:rPr>
          <w:bCs/>
          <w:color w:val="000000" w:themeColor="text1"/>
          <w:lang w:eastAsia="lt-LT"/>
        </w:rPr>
        <w:t xml:space="preserve">tyrime </w:t>
      </w:r>
      <w:r w:rsidRPr="00260559">
        <w:rPr>
          <w:bCs/>
          <w:color w:val="000000" w:themeColor="text1"/>
          <w:lang w:eastAsia="lt-LT"/>
        </w:rPr>
        <w:t xml:space="preserve"> palyginamieji vaistiniai preparatai – doksorubicinas ir paklitakselis laikomi tinkam</w:t>
      </w:r>
      <w:r w:rsidR="004975DA">
        <w:rPr>
          <w:bCs/>
          <w:color w:val="000000" w:themeColor="text1"/>
          <w:lang w:eastAsia="lt-LT"/>
        </w:rPr>
        <w:t>u palyginamuoju gydymu</w:t>
      </w:r>
      <w:r w:rsidRPr="00260559">
        <w:rPr>
          <w:bCs/>
          <w:color w:val="000000" w:themeColor="text1"/>
          <w:lang w:eastAsia="lt-LT"/>
        </w:rPr>
        <w:t>.</w:t>
      </w:r>
    </w:p>
    <w:p w14:paraId="0A35116D" w14:textId="5932F142" w:rsidR="003F4C86" w:rsidRPr="00260559" w:rsidRDefault="00E33252" w:rsidP="008A5B5D">
      <w:pPr>
        <w:tabs>
          <w:tab w:val="left" w:pos="426"/>
        </w:tabs>
        <w:spacing w:line="271" w:lineRule="auto"/>
        <w:jc w:val="both"/>
        <w:rPr>
          <w:color w:val="000000"/>
          <w:lang w:eastAsia="lt-LT"/>
        </w:rPr>
      </w:pPr>
      <w:r w:rsidRPr="00260559">
        <w:rPr>
          <w:color w:val="000000"/>
          <w:lang w:eastAsia="lt-LT"/>
        </w:rPr>
        <w:tab/>
        <w:t xml:space="preserve">Pagrindinės tyrimo vertinamosios baigtys buvo </w:t>
      </w:r>
      <w:r w:rsidR="008A5B5D" w:rsidRPr="00260559">
        <w:rPr>
          <w:color w:val="000000"/>
          <w:lang w:eastAsia="lt-LT"/>
        </w:rPr>
        <w:t>išgyvenamumas be ligos progresavimo (</w:t>
      </w:r>
      <w:r w:rsidRPr="00260559">
        <w:rPr>
          <w:color w:val="000000"/>
          <w:lang w:eastAsia="lt-LT"/>
        </w:rPr>
        <w:t>IBPL</w:t>
      </w:r>
      <w:r w:rsidR="008A5B5D" w:rsidRPr="00260559">
        <w:rPr>
          <w:color w:val="000000"/>
          <w:lang w:eastAsia="lt-LT"/>
        </w:rPr>
        <w:t>)</w:t>
      </w:r>
      <w:r w:rsidRPr="00260559">
        <w:rPr>
          <w:color w:val="000000"/>
          <w:lang w:eastAsia="lt-LT"/>
        </w:rPr>
        <w:t xml:space="preserve"> ir </w:t>
      </w:r>
      <w:r w:rsidR="008A5B5D" w:rsidRPr="00260559">
        <w:rPr>
          <w:color w:val="000000"/>
          <w:lang w:eastAsia="lt-LT"/>
        </w:rPr>
        <w:t>bendras išgyvenamumas (</w:t>
      </w:r>
      <w:r w:rsidRPr="00260559">
        <w:rPr>
          <w:color w:val="000000"/>
          <w:lang w:eastAsia="lt-LT"/>
        </w:rPr>
        <w:t>BI</w:t>
      </w:r>
      <w:r w:rsidR="008A5B5D" w:rsidRPr="00260559">
        <w:rPr>
          <w:color w:val="000000"/>
          <w:lang w:eastAsia="lt-LT"/>
        </w:rPr>
        <w:t>)</w:t>
      </w:r>
      <w:r w:rsidRPr="00260559">
        <w:rPr>
          <w:color w:val="000000"/>
          <w:lang w:eastAsia="lt-LT"/>
        </w:rPr>
        <w:t xml:space="preserve">. Galutiniai duomenys analizuoti po vidutiniškai 14,7 mėnesių </w:t>
      </w:r>
      <w:r w:rsidR="004975DA">
        <w:rPr>
          <w:color w:val="000000"/>
          <w:lang w:eastAsia="lt-LT"/>
        </w:rPr>
        <w:t xml:space="preserve">trukusio </w:t>
      </w:r>
      <w:r w:rsidRPr="00260559">
        <w:rPr>
          <w:color w:val="000000"/>
          <w:lang w:eastAsia="lt-LT"/>
        </w:rPr>
        <w:t>pacientų s</w:t>
      </w:r>
      <w:r w:rsidR="00CC5108">
        <w:rPr>
          <w:color w:val="000000"/>
          <w:lang w:eastAsia="lt-LT"/>
        </w:rPr>
        <w:t>tebėjim</w:t>
      </w:r>
      <w:r w:rsidR="004975DA">
        <w:rPr>
          <w:color w:val="000000"/>
          <w:lang w:eastAsia="lt-LT"/>
        </w:rPr>
        <w:t>o</w:t>
      </w:r>
      <w:r w:rsidRPr="00260559">
        <w:rPr>
          <w:color w:val="000000"/>
          <w:lang w:eastAsia="lt-LT"/>
        </w:rPr>
        <w:t xml:space="preserve">. Vartojant pembrolizumabą su lenvatinibu IBPL siekė </w:t>
      </w:r>
      <w:r w:rsidR="00317825" w:rsidRPr="00260559">
        <w:rPr>
          <w:color w:val="000000"/>
          <w:lang w:eastAsia="lt-LT"/>
        </w:rPr>
        <w:t>7,2</w:t>
      </w:r>
      <w:r w:rsidRPr="00260559">
        <w:rPr>
          <w:color w:val="000000"/>
          <w:lang w:eastAsia="lt-LT"/>
        </w:rPr>
        <w:t xml:space="preserve"> mėnesius, </w:t>
      </w:r>
      <w:r w:rsidR="004975DA">
        <w:rPr>
          <w:color w:val="000000"/>
          <w:lang w:eastAsia="lt-LT"/>
        </w:rPr>
        <w:t xml:space="preserve">tuo tarpu </w:t>
      </w:r>
      <w:r w:rsidRPr="00260559">
        <w:rPr>
          <w:color w:val="000000"/>
          <w:lang w:eastAsia="lt-LT"/>
        </w:rPr>
        <w:t xml:space="preserve"> doksorubicino ar paklitakselio grup</w:t>
      </w:r>
      <w:r w:rsidR="004975DA">
        <w:rPr>
          <w:color w:val="000000"/>
          <w:lang w:eastAsia="lt-LT"/>
        </w:rPr>
        <w:t xml:space="preserve">ėje </w:t>
      </w:r>
      <w:r w:rsidRPr="00260559">
        <w:rPr>
          <w:color w:val="000000"/>
          <w:lang w:eastAsia="lt-LT"/>
        </w:rPr>
        <w:t xml:space="preserve"> IBPL buvo 3,8 mėnesio. Tai lėmė statistiškai reikšmingą </w:t>
      </w:r>
      <w:r w:rsidR="004975DA">
        <w:rPr>
          <w:color w:val="000000"/>
          <w:lang w:eastAsia="lt-LT"/>
        </w:rPr>
        <w:t xml:space="preserve">didesnį </w:t>
      </w:r>
      <w:r w:rsidRPr="00260559">
        <w:rPr>
          <w:color w:val="000000"/>
          <w:lang w:eastAsia="lt-LT"/>
        </w:rPr>
        <w:t>IBPL</w:t>
      </w:r>
      <w:r w:rsidR="00317825" w:rsidRPr="00260559">
        <w:rPr>
          <w:color w:val="000000"/>
          <w:lang w:eastAsia="lt-LT"/>
        </w:rPr>
        <w:t xml:space="preserve"> visoje tiriamojoje populiacijoje vartojant</w:t>
      </w:r>
      <w:r w:rsidRPr="00260559">
        <w:rPr>
          <w:color w:val="000000"/>
          <w:lang w:eastAsia="lt-LT"/>
        </w:rPr>
        <w:t xml:space="preserve"> pembrolizumabo ir lenvatinibo </w:t>
      </w:r>
      <w:r w:rsidR="00317825" w:rsidRPr="00260559">
        <w:rPr>
          <w:color w:val="000000"/>
          <w:lang w:eastAsia="lt-LT"/>
        </w:rPr>
        <w:t>derinį</w:t>
      </w:r>
      <w:r w:rsidR="004975DA">
        <w:rPr>
          <w:color w:val="000000"/>
          <w:lang w:eastAsia="lt-LT"/>
        </w:rPr>
        <w:t>, palyginus</w:t>
      </w:r>
      <w:r w:rsidRPr="00260559">
        <w:rPr>
          <w:color w:val="000000"/>
          <w:lang w:eastAsia="lt-LT"/>
        </w:rPr>
        <w:t xml:space="preserve"> su chemoterapiniu gydymu (</w:t>
      </w:r>
      <w:r w:rsidR="00317825" w:rsidRPr="00260559">
        <w:rPr>
          <w:color w:val="000000"/>
          <w:lang w:eastAsia="lt-LT"/>
        </w:rPr>
        <w:t>rizikos santykis (RS)</w:t>
      </w:r>
      <w:r w:rsidRPr="00260559">
        <w:rPr>
          <w:color w:val="000000"/>
          <w:lang w:eastAsia="lt-LT"/>
        </w:rPr>
        <w:t xml:space="preserve"> 0,56, 95% PI: 0,48-0,66</w:t>
      </w:r>
      <w:r w:rsidR="00317825" w:rsidRPr="00260559">
        <w:rPr>
          <w:color w:val="000000"/>
          <w:lang w:eastAsia="lt-LT"/>
        </w:rPr>
        <w:t>,</w:t>
      </w:r>
      <w:r w:rsidR="00317825" w:rsidRPr="00260559">
        <w:rPr>
          <w:rFonts w:eastAsia="Arial"/>
          <w:color w:val="000000" w:themeColor="text1"/>
        </w:rPr>
        <w:t xml:space="preserve"> P&lt;0,001</w:t>
      </w:r>
      <w:r w:rsidRPr="00260559">
        <w:rPr>
          <w:color w:val="000000"/>
          <w:lang w:eastAsia="lt-LT"/>
        </w:rPr>
        <w:t xml:space="preserve">). </w:t>
      </w:r>
      <w:r w:rsidR="00317825" w:rsidRPr="00260559">
        <w:rPr>
          <w:color w:val="000000"/>
          <w:lang w:eastAsia="lt-LT"/>
        </w:rPr>
        <w:t xml:space="preserve">Panašūs rezultatai </w:t>
      </w:r>
      <w:r w:rsidR="00B15907">
        <w:rPr>
          <w:color w:val="000000"/>
          <w:lang w:eastAsia="lt-LT"/>
        </w:rPr>
        <w:t>buvo gauti</w:t>
      </w:r>
      <w:r w:rsidR="00317825" w:rsidRPr="00260559">
        <w:rPr>
          <w:color w:val="000000"/>
          <w:lang w:eastAsia="lt-LT"/>
        </w:rPr>
        <w:t xml:space="preserve"> ir </w:t>
      </w:r>
      <w:r w:rsidR="00DD03C9" w:rsidRPr="00260559">
        <w:rPr>
          <w:rFonts w:eastAsia="Arial"/>
          <w:color w:val="000000" w:themeColor="text1"/>
        </w:rPr>
        <w:t>pMM</w:t>
      </w:r>
      <w:r w:rsidR="00317825" w:rsidRPr="00260559">
        <w:rPr>
          <w:rFonts w:eastAsia="Arial"/>
          <w:color w:val="000000" w:themeColor="text1"/>
        </w:rPr>
        <w:t>R populiacijoje</w:t>
      </w:r>
      <w:r w:rsidR="00B15907">
        <w:rPr>
          <w:rFonts w:eastAsia="Arial"/>
          <w:color w:val="000000" w:themeColor="text1"/>
        </w:rPr>
        <w:t>:</w:t>
      </w:r>
      <w:r w:rsidR="00317825" w:rsidRPr="00260559">
        <w:rPr>
          <w:rFonts w:eastAsia="Arial"/>
          <w:color w:val="000000" w:themeColor="text1"/>
        </w:rPr>
        <w:t xml:space="preserve"> IBPL </w:t>
      </w:r>
      <w:r w:rsidR="00DD03C9" w:rsidRPr="00260559">
        <w:rPr>
          <w:rFonts w:eastAsia="Arial"/>
          <w:color w:val="000000" w:themeColor="text1"/>
        </w:rPr>
        <w:t>buvo ilgesnis vartojant lenvatinibą ir pembrolizumabą (mediana 6,6 mėn., 95% PI: 5,6-7,4) nei gydant chemoterapija (mediana 3,8 mėn., 95%, PI:3,6-5,0)</w:t>
      </w:r>
      <w:r w:rsidR="00317825" w:rsidRPr="00260559">
        <w:rPr>
          <w:rFonts w:eastAsia="Arial"/>
          <w:color w:val="000000" w:themeColor="text1"/>
        </w:rPr>
        <w:t xml:space="preserve"> (RS 0,6, 95% PI: 0,5-0,72, p&lt;0,001).</w:t>
      </w:r>
      <w:r w:rsidR="00317825" w:rsidRPr="00260559">
        <w:rPr>
          <w:color w:val="000000"/>
          <w:lang w:eastAsia="lt-LT"/>
        </w:rPr>
        <w:t xml:space="preserve"> </w:t>
      </w:r>
      <w:r w:rsidRPr="00260559">
        <w:rPr>
          <w:color w:val="000000"/>
          <w:lang w:eastAsia="lt-LT"/>
        </w:rPr>
        <w:t xml:space="preserve">Galutinėje analizėje BI </w:t>
      </w:r>
      <w:r w:rsidR="008A5B5D" w:rsidRPr="00260559">
        <w:rPr>
          <w:color w:val="000000"/>
          <w:lang w:eastAsia="lt-LT"/>
        </w:rPr>
        <w:t xml:space="preserve">visoje tiriamųjų populiacijoje vartojant pembrolizumabo ir lenvatinibo derinį </w:t>
      </w:r>
      <w:r w:rsidRPr="00260559">
        <w:rPr>
          <w:color w:val="000000"/>
          <w:lang w:eastAsia="lt-LT"/>
        </w:rPr>
        <w:t xml:space="preserve">buvo 18,7 mėnesio </w:t>
      </w:r>
      <w:r w:rsidR="00B15907">
        <w:rPr>
          <w:color w:val="000000"/>
          <w:lang w:eastAsia="lt-LT"/>
        </w:rPr>
        <w:t>, o</w:t>
      </w:r>
      <w:r w:rsidRPr="00260559">
        <w:rPr>
          <w:color w:val="000000"/>
          <w:lang w:eastAsia="lt-LT"/>
        </w:rPr>
        <w:t xml:space="preserve"> chemoterapij</w:t>
      </w:r>
      <w:r w:rsidR="00B15907">
        <w:rPr>
          <w:color w:val="000000"/>
          <w:lang w:eastAsia="lt-LT"/>
        </w:rPr>
        <w:t xml:space="preserve">os </w:t>
      </w:r>
      <w:r w:rsidRPr="00260559">
        <w:rPr>
          <w:color w:val="000000"/>
          <w:lang w:eastAsia="lt-LT"/>
        </w:rPr>
        <w:t>grup</w:t>
      </w:r>
      <w:r w:rsidR="00B15907">
        <w:rPr>
          <w:color w:val="000000"/>
          <w:lang w:eastAsia="lt-LT"/>
        </w:rPr>
        <w:t>ėj</w:t>
      </w:r>
      <w:r w:rsidRPr="00260559">
        <w:rPr>
          <w:color w:val="000000"/>
          <w:lang w:eastAsia="lt-LT"/>
        </w:rPr>
        <w:t xml:space="preserve">e – 12,2 mėnesio. </w:t>
      </w:r>
      <w:r w:rsidR="008A5B5D" w:rsidRPr="00260559">
        <w:rPr>
          <w:color w:val="000000"/>
          <w:lang w:eastAsia="lt-LT"/>
        </w:rPr>
        <w:t>Tai lėmė statistiškai reikšmingai</w:t>
      </w:r>
      <w:r w:rsidRPr="00260559">
        <w:rPr>
          <w:color w:val="000000"/>
          <w:lang w:eastAsia="lt-LT"/>
        </w:rPr>
        <w:t xml:space="preserve"> geresnį BI </w:t>
      </w:r>
      <w:r w:rsidR="00DD03C9" w:rsidRPr="00260559">
        <w:rPr>
          <w:color w:val="000000"/>
          <w:lang w:eastAsia="lt-LT"/>
        </w:rPr>
        <w:t xml:space="preserve">bendroje populiacijoje </w:t>
      </w:r>
      <w:r w:rsidR="008A5B5D" w:rsidRPr="00260559">
        <w:rPr>
          <w:color w:val="000000"/>
          <w:lang w:eastAsia="lt-LT"/>
        </w:rPr>
        <w:t>vartojusių pembrolizumabo ir lenvatinibo derinį</w:t>
      </w:r>
      <w:r w:rsidRPr="00260559">
        <w:rPr>
          <w:color w:val="000000"/>
          <w:lang w:eastAsia="lt-LT"/>
        </w:rPr>
        <w:t xml:space="preserve"> nei palyginamoje grupėje (RS 0,65, 95% PI:0,55-0,77).</w:t>
      </w:r>
      <w:r w:rsidR="003F4C86" w:rsidRPr="00260559">
        <w:rPr>
          <w:color w:val="000000"/>
          <w:lang w:eastAsia="lt-LT"/>
        </w:rPr>
        <w:t xml:space="preserve"> </w:t>
      </w:r>
      <w:r w:rsidR="008A5B5D" w:rsidRPr="00260559">
        <w:rPr>
          <w:rFonts w:eastAsia="Arial"/>
          <w:color w:val="000000" w:themeColor="text1"/>
        </w:rPr>
        <w:t>BI</w:t>
      </w:r>
      <w:r w:rsidR="003F4C86" w:rsidRPr="00260559">
        <w:rPr>
          <w:rFonts w:eastAsia="Arial"/>
          <w:color w:val="000000" w:themeColor="text1"/>
        </w:rPr>
        <w:t xml:space="preserve"> pMMR populiacijoje buvo ilgesnis vartojant lenvatinibą ir pembrolizumabą (mediana 17,4 mėn.; 95% PI: 14,2-19,9) nei gydant chemoterapija (mediana 12,0 mėn.; 95% PI:10,8-13,3) (</w:t>
      </w:r>
      <w:r w:rsidR="008A5B5D" w:rsidRPr="00260559">
        <w:rPr>
          <w:rFonts w:eastAsia="Arial"/>
          <w:color w:val="000000" w:themeColor="text1"/>
        </w:rPr>
        <w:t>RS</w:t>
      </w:r>
      <w:r w:rsidR="003F4C86" w:rsidRPr="00260559">
        <w:rPr>
          <w:rFonts w:eastAsia="Arial"/>
          <w:color w:val="000000" w:themeColor="text1"/>
        </w:rPr>
        <w:t xml:space="preserve"> 0,68; 95% PI:0,56-0,84, P&lt;0,001). </w:t>
      </w:r>
    </w:p>
    <w:p w14:paraId="79B92E96" w14:textId="47AFC17A" w:rsidR="008A5B5D" w:rsidRPr="00260559" w:rsidRDefault="003F4C86" w:rsidP="008A5B5D">
      <w:pPr>
        <w:spacing w:line="271" w:lineRule="auto"/>
        <w:ind w:firstLine="720"/>
        <w:jc w:val="both"/>
        <w:rPr>
          <w:rFonts w:eastAsia="Arial"/>
        </w:rPr>
      </w:pPr>
      <w:r w:rsidRPr="00260559">
        <w:rPr>
          <w:rFonts w:eastAsia="Arial"/>
        </w:rPr>
        <w:lastRenderedPageBreak/>
        <w:t xml:space="preserve">Beveik visiems </w:t>
      </w:r>
      <w:r w:rsidR="00B15907">
        <w:rPr>
          <w:rFonts w:eastAsia="Arial"/>
        </w:rPr>
        <w:t xml:space="preserve">abiejų grupių </w:t>
      </w:r>
      <w:r w:rsidRPr="00260559">
        <w:rPr>
          <w:rFonts w:eastAsia="Arial"/>
        </w:rPr>
        <w:t>pacientams (&gt;99</w:t>
      </w:r>
      <w:r w:rsidR="00B15907">
        <w:rPr>
          <w:rFonts w:eastAsia="Arial"/>
        </w:rPr>
        <w:t xml:space="preserve"> </w:t>
      </w:r>
      <w:r w:rsidRPr="00260559">
        <w:rPr>
          <w:rFonts w:eastAsia="Arial"/>
        </w:rPr>
        <w:t xml:space="preserve">%) </w:t>
      </w:r>
      <w:r w:rsidR="00B15907" w:rsidRPr="00260559">
        <w:rPr>
          <w:rFonts w:eastAsia="Arial"/>
        </w:rPr>
        <w:t xml:space="preserve">gydymo metu </w:t>
      </w:r>
      <w:r w:rsidRPr="00260559">
        <w:rPr>
          <w:rFonts w:eastAsia="Arial"/>
        </w:rPr>
        <w:t xml:space="preserve">pasireiškė nepageidaujamų reiškinių (NR), iš kurių </w:t>
      </w:r>
      <w:r w:rsidR="00101608" w:rsidRPr="00260559">
        <w:rPr>
          <w:rFonts w:eastAsia="Arial"/>
        </w:rPr>
        <w:t xml:space="preserve">vartojantiems lenvatinibą ir pembrolizumabą </w:t>
      </w:r>
      <w:r w:rsidRPr="00260559">
        <w:rPr>
          <w:rFonts w:eastAsia="Arial"/>
        </w:rPr>
        <w:t>dažniausia</w:t>
      </w:r>
      <w:r w:rsidR="00101608">
        <w:rPr>
          <w:rFonts w:eastAsia="Arial"/>
        </w:rPr>
        <w:t>s</w:t>
      </w:r>
      <w:r w:rsidRPr="00260559">
        <w:rPr>
          <w:rFonts w:eastAsia="Arial"/>
        </w:rPr>
        <w:t xml:space="preserve"> buvo hipertenzija (64</w:t>
      </w:r>
      <w:r w:rsidR="00B15907">
        <w:rPr>
          <w:rFonts w:eastAsia="Arial"/>
        </w:rPr>
        <w:t xml:space="preserve"> </w:t>
      </w:r>
      <w:r w:rsidRPr="00260559">
        <w:rPr>
          <w:rFonts w:eastAsia="Arial"/>
        </w:rPr>
        <w:t xml:space="preserve">% pacientų) </w:t>
      </w:r>
      <w:r w:rsidR="00101608">
        <w:rPr>
          <w:rFonts w:eastAsia="Arial"/>
        </w:rPr>
        <w:t>, o</w:t>
      </w:r>
      <w:r w:rsidRPr="00260559">
        <w:rPr>
          <w:rFonts w:eastAsia="Arial"/>
        </w:rPr>
        <w:t xml:space="preserve"> gaunantiems chemoterapin</w:t>
      </w:r>
      <w:r w:rsidR="008A5B5D" w:rsidRPr="00260559">
        <w:rPr>
          <w:rFonts w:eastAsia="Arial"/>
        </w:rPr>
        <w:t>į gydymą</w:t>
      </w:r>
      <w:r w:rsidR="00101608">
        <w:rPr>
          <w:rFonts w:eastAsia="Arial"/>
        </w:rPr>
        <w:t xml:space="preserve">, - </w:t>
      </w:r>
      <w:r w:rsidR="00101608" w:rsidRPr="00260559">
        <w:rPr>
          <w:rFonts w:eastAsia="Arial"/>
        </w:rPr>
        <w:t>anemija (48,7</w:t>
      </w:r>
      <w:r w:rsidR="00101608">
        <w:rPr>
          <w:rFonts w:eastAsia="Arial"/>
        </w:rPr>
        <w:t xml:space="preserve"> </w:t>
      </w:r>
      <w:r w:rsidR="00101608" w:rsidRPr="00260559">
        <w:rPr>
          <w:rFonts w:eastAsia="Arial"/>
        </w:rPr>
        <w:t>%)</w:t>
      </w:r>
      <w:r w:rsidR="001B5D98" w:rsidRPr="00260559">
        <w:rPr>
          <w:rFonts w:eastAsia="Arial"/>
        </w:rPr>
        <w:t>. 3 ar didesnio laips</w:t>
      </w:r>
      <w:r w:rsidRPr="00260559">
        <w:rPr>
          <w:rFonts w:eastAsia="Arial"/>
        </w:rPr>
        <w:t>nio NR pasireiškė 88,9</w:t>
      </w:r>
      <w:r w:rsidR="00B15907">
        <w:rPr>
          <w:rFonts w:eastAsia="Arial"/>
        </w:rPr>
        <w:t xml:space="preserve"> </w:t>
      </w:r>
      <w:r w:rsidRPr="00260559">
        <w:rPr>
          <w:rFonts w:eastAsia="Arial"/>
        </w:rPr>
        <w:t>% pacientų gavusių lenvatinibą ir pembrolizumabą ir 72,7</w:t>
      </w:r>
      <w:r w:rsidR="00B15907">
        <w:rPr>
          <w:rFonts w:eastAsia="Arial"/>
        </w:rPr>
        <w:t xml:space="preserve"> </w:t>
      </w:r>
      <w:r w:rsidRPr="00260559">
        <w:rPr>
          <w:rFonts w:eastAsia="Arial"/>
        </w:rPr>
        <w:t>% besigydančių chem</w:t>
      </w:r>
      <w:r w:rsidR="008A5B5D" w:rsidRPr="00260559">
        <w:rPr>
          <w:rFonts w:eastAsia="Arial"/>
        </w:rPr>
        <w:t>o</w:t>
      </w:r>
      <w:r w:rsidRPr="00260559">
        <w:rPr>
          <w:rFonts w:eastAsia="Arial"/>
        </w:rPr>
        <w:t xml:space="preserve">terapija. Dažniausi sunkūs NR </w:t>
      </w:r>
      <w:r w:rsidR="00101608" w:rsidRPr="00260559">
        <w:rPr>
          <w:rFonts w:eastAsia="Arial"/>
        </w:rPr>
        <w:t xml:space="preserve">vartojant lenvatinibą ir pembrolizumabą </w:t>
      </w:r>
      <w:r w:rsidRPr="00260559">
        <w:rPr>
          <w:rFonts w:eastAsia="Arial"/>
        </w:rPr>
        <w:t>buvo hipertenzija (4,2</w:t>
      </w:r>
      <w:r w:rsidR="00B15907">
        <w:rPr>
          <w:rFonts w:eastAsia="Arial"/>
        </w:rPr>
        <w:t xml:space="preserve"> </w:t>
      </w:r>
      <w:r w:rsidRPr="00260559">
        <w:rPr>
          <w:rFonts w:eastAsia="Arial"/>
        </w:rPr>
        <w:t>%)</w:t>
      </w:r>
      <w:r w:rsidR="00101608">
        <w:rPr>
          <w:rFonts w:eastAsia="Arial"/>
        </w:rPr>
        <w:t>, o</w:t>
      </w:r>
      <w:r w:rsidRPr="00260559">
        <w:rPr>
          <w:rFonts w:eastAsia="Arial"/>
        </w:rPr>
        <w:t xml:space="preserve"> </w:t>
      </w:r>
      <w:r w:rsidR="00101608" w:rsidRPr="00260559">
        <w:rPr>
          <w:rFonts w:eastAsia="Arial"/>
        </w:rPr>
        <w:t xml:space="preserve">taikant chemoterapiją </w:t>
      </w:r>
      <w:r w:rsidR="00101608">
        <w:rPr>
          <w:rFonts w:eastAsia="Arial"/>
        </w:rPr>
        <w:t>-</w:t>
      </w:r>
      <w:r w:rsidR="008A5B5D" w:rsidRPr="00260559">
        <w:rPr>
          <w:rFonts w:eastAsia="Arial"/>
        </w:rPr>
        <w:t xml:space="preserve"> febri</w:t>
      </w:r>
      <w:r w:rsidRPr="00260559">
        <w:rPr>
          <w:rFonts w:eastAsia="Arial"/>
        </w:rPr>
        <w:t>linė neutropenija (4,1</w:t>
      </w:r>
      <w:r w:rsidR="00B15907">
        <w:rPr>
          <w:rFonts w:eastAsia="Arial"/>
        </w:rPr>
        <w:t xml:space="preserve"> </w:t>
      </w:r>
      <w:r w:rsidRPr="00260559">
        <w:rPr>
          <w:rFonts w:eastAsia="Arial"/>
        </w:rPr>
        <w:t xml:space="preserve">%). </w:t>
      </w:r>
    </w:p>
    <w:p w14:paraId="41370D3C" w14:textId="03BB3D46" w:rsidR="00E33252" w:rsidRPr="00260559" w:rsidRDefault="00E33252" w:rsidP="008A5B5D">
      <w:pPr>
        <w:tabs>
          <w:tab w:val="left" w:pos="426"/>
        </w:tabs>
        <w:spacing w:line="271" w:lineRule="auto"/>
        <w:jc w:val="both"/>
        <w:rPr>
          <w:bCs/>
        </w:rPr>
      </w:pPr>
      <w:r w:rsidRPr="00260559">
        <w:rPr>
          <w:color w:val="000000"/>
          <w:lang w:eastAsia="lt-LT"/>
        </w:rPr>
        <w:tab/>
      </w:r>
      <w:r w:rsidRPr="00260559">
        <w:rPr>
          <w:bCs/>
        </w:rPr>
        <w:t>Apibendrinant paraiškoje pateiktus tiesioginio palyginimo klinikinius duomen</w:t>
      </w:r>
      <w:r w:rsidR="00101608">
        <w:rPr>
          <w:bCs/>
        </w:rPr>
        <w:t>i</w:t>
      </w:r>
      <w:r w:rsidRPr="00260559">
        <w:rPr>
          <w:bCs/>
        </w:rPr>
        <w:t xml:space="preserve">s, pembrolizumabo palyginamasis efektyvumas ir </w:t>
      </w:r>
      <w:r w:rsidR="00101608">
        <w:rPr>
          <w:bCs/>
        </w:rPr>
        <w:t xml:space="preserve">klinikinis </w:t>
      </w:r>
      <w:r w:rsidRPr="00260559">
        <w:rPr>
          <w:bCs/>
        </w:rPr>
        <w:t xml:space="preserve">veiksmingumas derinyje su lenvatinibu yra didesnis </w:t>
      </w:r>
      <w:r w:rsidR="00101608">
        <w:rPr>
          <w:bCs/>
        </w:rPr>
        <w:t xml:space="preserve">palyginus </w:t>
      </w:r>
      <w:r w:rsidRPr="00260559">
        <w:rPr>
          <w:bCs/>
        </w:rPr>
        <w:t xml:space="preserve">įprastine </w:t>
      </w:r>
      <w:r w:rsidR="00101608">
        <w:rPr>
          <w:bCs/>
        </w:rPr>
        <w:t xml:space="preserve">su chemoterapija, kuri šiuo metu Lietuvoje yra įprastinė </w:t>
      </w:r>
      <w:r w:rsidRPr="00260559">
        <w:rPr>
          <w:bCs/>
        </w:rPr>
        <w:t>klinikin</w:t>
      </w:r>
      <w:r w:rsidR="00101608">
        <w:rPr>
          <w:bCs/>
        </w:rPr>
        <w:t>ė</w:t>
      </w:r>
      <w:r w:rsidRPr="00260559">
        <w:rPr>
          <w:bCs/>
        </w:rPr>
        <w:t xml:space="preserve"> praktika.</w:t>
      </w:r>
    </w:p>
    <w:p w14:paraId="34E8FB28" w14:textId="77777777" w:rsidR="00690A36" w:rsidRPr="00260559" w:rsidRDefault="00690A36" w:rsidP="00690A3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rPr>
      </w:pPr>
    </w:p>
    <w:p w14:paraId="7DE09EB5" w14:textId="04C72FFD" w:rsidR="00E03C3F" w:rsidRPr="00260559" w:rsidRDefault="00CC7832" w:rsidP="00937907">
      <w:pPr>
        <w:pStyle w:val="Sraopastraipa"/>
        <w:numPr>
          <w:ilvl w:val="0"/>
          <w:numId w:val="12"/>
        </w:numPr>
        <w:tabs>
          <w:tab w:val="left" w:pos="426"/>
        </w:tabs>
        <w:rPr>
          <w:b/>
          <w:bCs/>
          <w:caps/>
        </w:rPr>
      </w:pPr>
      <w:r w:rsidRPr="00260559">
        <w:rPr>
          <w:b/>
          <w:bCs/>
          <w:caps/>
        </w:rPr>
        <w:t xml:space="preserve">Farmakoekonominio vertinimo </w:t>
      </w:r>
      <w:r w:rsidR="002F0E4F" w:rsidRPr="00260559">
        <w:rPr>
          <w:b/>
          <w:bCs/>
          <w:caps/>
        </w:rPr>
        <w:t>apibendrinimas</w:t>
      </w:r>
    </w:p>
    <w:p w14:paraId="1A900598" w14:textId="65638B29" w:rsidR="00C62B36" w:rsidRPr="00260559" w:rsidRDefault="00C62B36" w:rsidP="00A93AA6">
      <w:pPr>
        <w:tabs>
          <w:tab w:val="left" w:pos="426"/>
        </w:tabs>
        <w:rPr>
          <w:i/>
          <w:color w:val="00B050"/>
          <w:sz w:val="22"/>
          <w:szCs w:val="22"/>
        </w:rPr>
      </w:pPr>
    </w:p>
    <w:p w14:paraId="36DEA333" w14:textId="6218DFA6" w:rsidR="00E84FAD" w:rsidRPr="00260559" w:rsidRDefault="00101608" w:rsidP="00A9632D">
      <w:pPr>
        <w:tabs>
          <w:tab w:val="left" w:pos="426"/>
        </w:tabs>
        <w:jc w:val="both"/>
        <w:rPr>
          <w:rFonts w:eastAsia="Arial"/>
        </w:rPr>
      </w:pPr>
      <w:r>
        <w:rPr>
          <w:rFonts w:eastAsia="Arial"/>
        </w:rPr>
        <w:tab/>
      </w:r>
      <w:r w:rsidR="00A9632D" w:rsidRPr="00260559">
        <w:rPr>
          <w:rFonts w:eastAsia="Arial"/>
        </w:rPr>
        <w:t xml:space="preserve">Pateikta kaštų naudingumo analizė, vertinant </w:t>
      </w:r>
      <w:r w:rsidR="00A9632D" w:rsidRPr="00260559">
        <w:rPr>
          <w:rFonts w:eastAsia="Arial"/>
          <w:bCs/>
        </w:rPr>
        <w:t>pembrolizumabo</w:t>
      </w:r>
      <w:r w:rsidR="00A9632D" w:rsidRPr="00260559">
        <w:rPr>
          <w:rFonts w:eastAsia="Arial"/>
        </w:rPr>
        <w:t>+</w:t>
      </w:r>
      <w:r w:rsidR="00A9632D" w:rsidRPr="00260559">
        <w:rPr>
          <w:rFonts w:eastAsia="Arial"/>
          <w:bCs/>
        </w:rPr>
        <w:t>lenvatinibu</w:t>
      </w:r>
      <w:r w:rsidR="00A9632D" w:rsidRPr="00260559">
        <w:rPr>
          <w:rFonts w:eastAsia="Arial"/>
        </w:rPr>
        <w:t xml:space="preserve"> derinio veiksmingumą, </w:t>
      </w:r>
      <w:r w:rsidR="00E71874" w:rsidRPr="00260559">
        <w:rPr>
          <w:bCs/>
        </w:rPr>
        <w:t xml:space="preserve">didesnis  </w:t>
      </w:r>
      <w:r w:rsidR="00A9632D" w:rsidRPr="00260559">
        <w:rPr>
          <w:rFonts w:eastAsia="Arial"/>
        </w:rPr>
        <w:t xml:space="preserve">lyginant su dabartine praktika Lietuvoje. Tarnyba vertina, jog </w:t>
      </w:r>
      <w:r w:rsidR="00A9632D" w:rsidRPr="00260559">
        <w:rPr>
          <w:rFonts w:eastAsia="Arial"/>
          <w:bCs/>
        </w:rPr>
        <w:t>pembrolizumabo</w:t>
      </w:r>
      <w:r w:rsidR="00A9632D" w:rsidRPr="00260559">
        <w:rPr>
          <w:rFonts w:eastAsia="Arial"/>
        </w:rPr>
        <w:t>+</w:t>
      </w:r>
      <w:r w:rsidR="00A9632D" w:rsidRPr="00260559">
        <w:rPr>
          <w:rFonts w:eastAsia="Arial"/>
          <w:bCs/>
        </w:rPr>
        <w:t>lenvatinibu</w:t>
      </w:r>
      <w:r w:rsidR="00A9632D" w:rsidRPr="00260559">
        <w:rPr>
          <w:rFonts w:eastAsia="Arial"/>
        </w:rPr>
        <w:t xml:space="preserve"> derinys yra kaštams naudingas.</w:t>
      </w:r>
    </w:p>
    <w:p w14:paraId="2E887FF0" w14:textId="77777777" w:rsidR="001479DE" w:rsidRPr="00260559" w:rsidRDefault="001479DE" w:rsidP="001479DE">
      <w:pPr>
        <w:tabs>
          <w:tab w:val="left" w:pos="567"/>
        </w:tabs>
        <w:jc w:val="both"/>
        <w:rPr>
          <w:b/>
          <w:bCs/>
          <w:color w:val="000000"/>
          <w:lang w:eastAsia="lt-LT"/>
        </w:rPr>
      </w:pPr>
    </w:p>
    <w:p w14:paraId="45A0E3FE" w14:textId="210A2088" w:rsidR="001479DE" w:rsidRPr="00260559" w:rsidRDefault="001479DE" w:rsidP="001479DE">
      <w:pPr>
        <w:tabs>
          <w:tab w:val="left" w:pos="567"/>
        </w:tabs>
        <w:jc w:val="both"/>
        <w:rPr>
          <w:b/>
          <w:bCs/>
          <w:i/>
          <w:iCs/>
          <w:color w:val="00B050"/>
          <w:lang w:eastAsia="lt-LT"/>
        </w:rPr>
      </w:pPr>
      <w:r w:rsidRPr="00260559">
        <w:rPr>
          <w:b/>
          <w:bCs/>
          <w:lang w:eastAsia="lt-LT"/>
        </w:rPr>
        <w:t>Pagrindinis ekonominės analizės rezultatas</w:t>
      </w:r>
    </w:p>
    <w:p w14:paraId="7FB86E3D" w14:textId="77777777" w:rsidR="00351A08" w:rsidRPr="00260559" w:rsidRDefault="00351A08" w:rsidP="00351A08">
      <w:pPr>
        <w:tabs>
          <w:tab w:val="left" w:pos="567"/>
        </w:tabs>
        <w:jc w:val="both"/>
        <w:rPr>
          <w:b/>
          <w:bCs/>
          <w:color w:val="000000"/>
          <w:lang w:eastAsia="lt-LT"/>
        </w:rPr>
      </w:pPr>
    </w:p>
    <w:p w14:paraId="616A241A" w14:textId="4793BB11" w:rsidR="00351A08" w:rsidRPr="00260559" w:rsidRDefault="00351A08" w:rsidP="00351A08">
      <w:pPr>
        <w:tabs>
          <w:tab w:val="left" w:pos="567"/>
        </w:tabs>
        <w:jc w:val="both"/>
        <w:rPr>
          <w:i/>
          <w:iCs/>
          <w:color w:val="00B050"/>
          <w:lang w:eastAsia="lt-LT"/>
        </w:rPr>
      </w:pPr>
      <w:r w:rsidRPr="00260559">
        <w:rPr>
          <w:lang w:eastAsia="lt-LT"/>
        </w:rPr>
        <w:t>3.1 lentelė. Pagrindinis ekonominės analizės rezultatas</w:t>
      </w: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7"/>
        <w:gridCol w:w="1824"/>
        <w:gridCol w:w="1808"/>
        <w:gridCol w:w="3579"/>
      </w:tblGrid>
      <w:tr w:rsidR="00351A08" w:rsidRPr="00260559" w14:paraId="23C18E8D" w14:textId="77777777" w:rsidTr="00500E1F">
        <w:trPr>
          <w:trHeight w:val="364"/>
          <w:jc w:val="center"/>
        </w:trPr>
        <w:tc>
          <w:tcPr>
            <w:tcW w:w="9908" w:type="dxa"/>
            <w:gridSpan w:val="4"/>
            <w:tcBorders>
              <w:top w:val="single" w:sz="12" w:space="0" w:color="auto"/>
              <w:bottom w:val="single" w:sz="4" w:space="0" w:color="auto"/>
            </w:tcBorders>
            <w:vAlign w:val="center"/>
          </w:tcPr>
          <w:p w14:paraId="3FF7E2B8" w14:textId="77777777" w:rsidR="00351A08" w:rsidRPr="00260559" w:rsidRDefault="00351A08" w:rsidP="00500E1F">
            <w:pPr>
              <w:tabs>
                <w:tab w:val="left" w:pos="567"/>
              </w:tabs>
              <w:jc w:val="center"/>
              <w:rPr>
                <w:b/>
                <w:i/>
                <w:iCs/>
                <w:color w:val="00B050"/>
                <w:sz w:val="22"/>
                <w:szCs w:val="22"/>
                <w:lang w:eastAsia="lt-LT"/>
              </w:rPr>
            </w:pPr>
            <w:r w:rsidRPr="00260559">
              <w:rPr>
                <w:b/>
                <w:sz w:val="22"/>
                <w:szCs w:val="22"/>
                <w:lang w:eastAsia="lt-LT"/>
              </w:rPr>
              <w:t>Kaštai (</w:t>
            </w:r>
            <w:r w:rsidRPr="00260559">
              <w:rPr>
                <w:rFonts w:ascii="Arial" w:hAnsi="Arial" w:cs="Arial"/>
                <w:color w:val="000000"/>
                <w:sz w:val="22"/>
                <w:szCs w:val="22"/>
                <w:u w:val="single"/>
              </w:rPr>
              <w:t>€)</w:t>
            </w:r>
          </w:p>
        </w:tc>
      </w:tr>
      <w:tr w:rsidR="00351A08" w:rsidRPr="00260559" w14:paraId="42547A10" w14:textId="77777777" w:rsidTr="00500E1F">
        <w:trPr>
          <w:jc w:val="center"/>
        </w:trPr>
        <w:tc>
          <w:tcPr>
            <w:tcW w:w="2697" w:type="dxa"/>
            <w:tcBorders>
              <w:top w:val="single" w:sz="4" w:space="0" w:color="auto"/>
              <w:bottom w:val="single" w:sz="4" w:space="0" w:color="auto"/>
            </w:tcBorders>
          </w:tcPr>
          <w:p w14:paraId="53868BAA" w14:textId="77777777" w:rsidR="00351A08" w:rsidRPr="00260559" w:rsidRDefault="00351A08" w:rsidP="00500E1F">
            <w:pPr>
              <w:tabs>
                <w:tab w:val="left" w:pos="567"/>
              </w:tabs>
              <w:jc w:val="both"/>
              <w:rPr>
                <w:color w:val="00B050"/>
                <w:sz w:val="22"/>
                <w:szCs w:val="22"/>
                <w:lang w:eastAsia="lt-LT"/>
              </w:rPr>
            </w:pPr>
          </w:p>
        </w:tc>
        <w:tc>
          <w:tcPr>
            <w:tcW w:w="1824" w:type="dxa"/>
            <w:tcBorders>
              <w:top w:val="single" w:sz="4" w:space="0" w:color="auto"/>
              <w:bottom w:val="single" w:sz="4" w:space="0" w:color="auto"/>
            </w:tcBorders>
          </w:tcPr>
          <w:p w14:paraId="6BA8EDCB" w14:textId="77777777" w:rsidR="00351A08" w:rsidRPr="00260559" w:rsidRDefault="00351A08" w:rsidP="00FD7307">
            <w:pPr>
              <w:tabs>
                <w:tab w:val="left" w:pos="567"/>
              </w:tabs>
              <w:jc w:val="center"/>
              <w:rPr>
                <w:i/>
                <w:iCs/>
                <w:sz w:val="22"/>
                <w:szCs w:val="22"/>
                <w:lang w:eastAsia="lt-LT"/>
              </w:rPr>
            </w:pPr>
            <w:r w:rsidRPr="00260559">
              <w:rPr>
                <w:i/>
                <w:iCs/>
                <w:sz w:val="22"/>
                <w:szCs w:val="22"/>
                <w:lang w:eastAsia="lt-LT"/>
              </w:rPr>
              <w:t>Tiriamasis vaistas</w:t>
            </w:r>
          </w:p>
        </w:tc>
        <w:tc>
          <w:tcPr>
            <w:tcW w:w="1808" w:type="dxa"/>
            <w:tcBorders>
              <w:top w:val="single" w:sz="4" w:space="0" w:color="auto"/>
              <w:bottom w:val="single" w:sz="4" w:space="0" w:color="auto"/>
            </w:tcBorders>
          </w:tcPr>
          <w:p w14:paraId="4AB77A4F" w14:textId="77777777" w:rsidR="00351A08" w:rsidRPr="00260559" w:rsidRDefault="00351A08" w:rsidP="00FD7307">
            <w:pPr>
              <w:tabs>
                <w:tab w:val="left" w:pos="567"/>
              </w:tabs>
              <w:jc w:val="center"/>
              <w:rPr>
                <w:i/>
                <w:iCs/>
                <w:sz w:val="22"/>
                <w:szCs w:val="22"/>
                <w:lang w:eastAsia="lt-LT"/>
              </w:rPr>
            </w:pPr>
            <w:r w:rsidRPr="00260559">
              <w:rPr>
                <w:i/>
                <w:iCs/>
                <w:sz w:val="22"/>
                <w:szCs w:val="22"/>
                <w:lang w:eastAsia="lt-LT"/>
              </w:rPr>
              <w:t>Palyginamasis vaistas</w:t>
            </w:r>
          </w:p>
        </w:tc>
        <w:tc>
          <w:tcPr>
            <w:tcW w:w="3579" w:type="dxa"/>
            <w:tcBorders>
              <w:top w:val="single" w:sz="4" w:space="0" w:color="auto"/>
              <w:bottom w:val="single" w:sz="4" w:space="0" w:color="auto"/>
            </w:tcBorders>
          </w:tcPr>
          <w:p w14:paraId="7BDC0263" w14:textId="77777777" w:rsidR="00351A08" w:rsidRPr="00260559" w:rsidRDefault="00351A08" w:rsidP="00FD7307">
            <w:pPr>
              <w:tabs>
                <w:tab w:val="left" w:pos="567"/>
              </w:tabs>
              <w:jc w:val="center"/>
              <w:rPr>
                <w:i/>
                <w:sz w:val="22"/>
                <w:szCs w:val="22"/>
                <w:lang w:eastAsia="lt-LT"/>
              </w:rPr>
            </w:pPr>
            <w:r w:rsidRPr="00260559">
              <w:rPr>
                <w:i/>
                <w:sz w:val="22"/>
                <w:szCs w:val="22"/>
                <w:lang w:eastAsia="lt-LT"/>
              </w:rPr>
              <w:t>Skirtumas</w:t>
            </w:r>
          </w:p>
        </w:tc>
      </w:tr>
      <w:tr w:rsidR="00351A08" w:rsidRPr="00260559" w14:paraId="59E7E769" w14:textId="77777777" w:rsidTr="00500E1F">
        <w:trPr>
          <w:jc w:val="center"/>
        </w:trPr>
        <w:tc>
          <w:tcPr>
            <w:tcW w:w="2697" w:type="dxa"/>
            <w:tcBorders>
              <w:top w:val="single" w:sz="4" w:space="0" w:color="auto"/>
              <w:bottom w:val="single" w:sz="4" w:space="0" w:color="auto"/>
            </w:tcBorders>
          </w:tcPr>
          <w:p w14:paraId="3DDB9972" w14:textId="77777777" w:rsidR="00351A08" w:rsidRPr="00260559" w:rsidRDefault="00351A08" w:rsidP="00500E1F">
            <w:pPr>
              <w:tabs>
                <w:tab w:val="left" w:pos="567"/>
              </w:tabs>
              <w:jc w:val="both"/>
              <w:rPr>
                <w:iCs/>
                <w:color w:val="00B050"/>
                <w:sz w:val="22"/>
                <w:szCs w:val="22"/>
                <w:lang w:eastAsia="lt-LT"/>
              </w:rPr>
            </w:pPr>
            <w:r w:rsidRPr="00260559">
              <w:rPr>
                <w:iCs/>
                <w:color w:val="000000"/>
                <w:sz w:val="22"/>
                <w:szCs w:val="22"/>
                <w:lang w:eastAsia="lt-LT"/>
              </w:rPr>
              <w:t>Gydymo kaštai</w:t>
            </w:r>
          </w:p>
        </w:tc>
        <w:tc>
          <w:tcPr>
            <w:tcW w:w="1824" w:type="dxa"/>
            <w:tcBorders>
              <w:top w:val="single" w:sz="4" w:space="0" w:color="auto"/>
              <w:bottom w:val="single" w:sz="4" w:space="0" w:color="auto"/>
            </w:tcBorders>
          </w:tcPr>
          <w:p w14:paraId="2C9A77E4" w14:textId="474D87E2" w:rsidR="00351A08" w:rsidRPr="00260559" w:rsidRDefault="00351A08" w:rsidP="00500E1F">
            <w:pPr>
              <w:jc w:val="right"/>
              <w:rPr>
                <w:color w:val="000000"/>
                <w:sz w:val="22"/>
                <w:szCs w:val="22"/>
              </w:rPr>
            </w:pPr>
          </w:p>
        </w:tc>
        <w:tc>
          <w:tcPr>
            <w:tcW w:w="1808" w:type="dxa"/>
            <w:tcBorders>
              <w:top w:val="single" w:sz="4" w:space="0" w:color="auto"/>
              <w:bottom w:val="single" w:sz="4" w:space="0" w:color="auto"/>
            </w:tcBorders>
          </w:tcPr>
          <w:p w14:paraId="3CF638A0" w14:textId="5D2749F8" w:rsidR="00351A08" w:rsidRPr="00260559" w:rsidRDefault="00351A08" w:rsidP="00500E1F">
            <w:pPr>
              <w:tabs>
                <w:tab w:val="left" w:pos="567"/>
              </w:tabs>
              <w:jc w:val="right"/>
              <w:rPr>
                <w:i/>
                <w:iCs/>
                <w:sz w:val="22"/>
                <w:szCs w:val="22"/>
                <w:lang w:eastAsia="lt-LT"/>
              </w:rPr>
            </w:pPr>
          </w:p>
        </w:tc>
        <w:tc>
          <w:tcPr>
            <w:tcW w:w="3579" w:type="dxa"/>
            <w:tcBorders>
              <w:top w:val="single" w:sz="4" w:space="0" w:color="auto"/>
              <w:bottom w:val="single" w:sz="4" w:space="0" w:color="auto"/>
            </w:tcBorders>
          </w:tcPr>
          <w:p w14:paraId="4CE720F3" w14:textId="62AB3544" w:rsidR="00351A08" w:rsidRPr="00260559" w:rsidRDefault="00351A08" w:rsidP="00500E1F">
            <w:pPr>
              <w:tabs>
                <w:tab w:val="left" w:pos="567"/>
              </w:tabs>
              <w:jc w:val="right"/>
              <w:rPr>
                <w:sz w:val="22"/>
                <w:szCs w:val="22"/>
                <w:lang w:eastAsia="lt-LT"/>
              </w:rPr>
            </w:pPr>
          </w:p>
        </w:tc>
      </w:tr>
      <w:tr w:rsidR="00351A08" w:rsidRPr="00260559" w14:paraId="6FF7B5F8" w14:textId="77777777" w:rsidTr="00500E1F">
        <w:trPr>
          <w:jc w:val="center"/>
        </w:trPr>
        <w:tc>
          <w:tcPr>
            <w:tcW w:w="2697" w:type="dxa"/>
            <w:tcBorders>
              <w:top w:val="single" w:sz="4" w:space="0" w:color="auto"/>
              <w:bottom w:val="single" w:sz="4" w:space="0" w:color="auto"/>
            </w:tcBorders>
          </w:tcPr>
          <w:p w14:paraId="30A59EE2" w14:textId="77777777" w:rsidR="00351A08" w:rsidRPr="00260559" w:rsidRDefault="00351A08" w:rsidP="00500E1F">
            <w:pPr>
              <w:tabs>
                <w:tab w:val="left" w:pos="567"/>
              </w:tabs>
              <w:rPr>
                <w:iCs/>
                <w:color w:val="000000"/>
                <w:sz w:val="22"/>
                <w:szCs w:val="22"/>
                <w:lang w:eastAsia="lt-LT"/>
              </w:rPr>
            </w:pPr>
            <w:r w:rsidRPr="00260559">
              <w:rPr>
                <w:iCs/>
                <w:color w:val="000000"/>
                <w:sz w:val="22"/>
                <w:szCs w:val="22"/>
                <w:lang w:eastAsia="lt-LT"/>
              </w:rPr>
              <w:t>Vaistinių preparatų įsigijimo kaštai</w:t>
            </w:r>
          </w:p>
        </w:tc>
        <w:tc>
          <w:tcPr>
            <w:tcW w:w="1824" w:type="dxa"/>
            <w:tcBorders>
              <w:top w:val="single" w:sz="4" w:space="0" w:color="auto"/>
              <w:bottom w:val="single" w:sz="4" w:space="0" w:color="auto"/>
            </w:tcBorders>
          </w:tcPr>
          <w:p w14:paraId="3FC3E91C" w14:textId="77777777" w:rsidR="00351A08" w:rsidRPr="00260559" w:rsidRDefault="00351A08" w:rsidP="00500E1F">
            <w:pPr>
              <w:jc w:val="right"/>
              <w:rPr>
                <w:color w:val="000000"/>
                <w:sz w:val="22"/>
                <w:szCs w:val="22"/>
              </w:rPr>
            </w:pPr>
          </w:p>
        </w:tc>
        <w:tc>
          <w:tcPr>
            <w:tcW w:w="1808" w:type="dxa"/>
            <w:tcBorders>
              <w:top w:val="single" w:sz="4" w:space="0" w:color="auto"/>
              <w:bottom w:val="single" w:sz="4" w:space="0" w:color="auto"/>
            </w:tcBorders>
          </w:tcPr>
          <w:p w14:paraId="59D2A16D" w14:textId="10EFB941" w:rsidR="00351A08" w:rsidRPr="00260559" w:rsidRDefault="00351A08" w:rsidP="00500E1F">
            <w:pPr>
              <w:jc w:val="right"/>
              <w:rPr>
                <w:color w:val="000000"/>
                <w:sz w:val="22"/>
                <w:szCs w:val="22"/>
              </w:rPr>
            </w:pPr>
          </w:p>
        </w:tc>
        <w:tc>
          <w:tcPr>
            <w:tcW w:w="3579" w:type="dxa"/>
            <w:tcBorders>
              <w:top w:val="single" w:sz="4" w:space="0" w:color="auto"/>
              <w:bottom w:val="single" w:sz="4" w:space="0" w:color="auto"/>
            </w:tcBorders>
          </w:tcPr>
          <w:p w14:paraId="0087ACAA" w14:textId="6CA46057" w:rsidR="00351A08" w:rsidRPr="00260559" w:rsidRDefault="00351A08" w:rsidP="00500E1F">
            <w:pPr>
              <w:tabs>
                <w:tab w:val="left" w:pos="567"/>
              </w:tabs>
              <w:jc w:val="right"/>
              <w:rPr>
                <w:sz w:val="22"/>
                <w:szCs w:val="22"/>
                <w:lang w:eastAsia="lt-LT"/>
              </w:rPr>
            </w:pPr>
          </w:p>
        </w:tc>
      </w:tr>
      <w:tr w:rsidR="00351A08" w:rsidRPr="00260559" w14:paraId="493883A7" w14:textId="77777777" w:rsidTr="00500E1F">
        <w:trPr>
          <w:jc w:val="center"/>
        </w:trPr>
        <w:tc>
          <w:tcPr>
            <w:tcW w:w="2697" w:type="dxa"/>
            <w:tcBorders>
              <w:top w:val="single" w:sz="4" w:space="0" w:color="auto"/>
              <w:bottom w:val="single" w:sz="4" w:space="0" w:color="auto"/>
            </w:tcBorders>
          </w:tcPr>
          <w:p w14:paraId="0D0CDE7D" w14:textId="77777777" w:rsidR="00351A08" w:rsidRPr="00260559" w:rsidRDefault="00351A08" w:rsidP="00500E1F">
            <w:pPr>
              <w:tabs>
                <w:tab w:val="left" w:pos="567"/>
              </w:tabs>
              <w:jc w:val="both"/>
              <w:rPr>
                <w:iCs/>
                <w:color w:val="00B050"/>
                <w:sz w:val="22"/>
                <w:szCs w:val="22"/>
                <w:lang w:eastAsia="lt-LT"/>
              </w:rPr>
            </w:pPr>
            <w:r w:rsidRPr="00260559">
              <w:rPr>
                <w:iCs/>
                <w:color w:val="000000"/>
                <w:sz w:val="22"/>
                <w:szCs w:val="22"/>
                <w:lang w:eastAsia="lt-LT"/>
              </w:rPr>
              <w:t>Nepageidaujamų reiškinių valdymo kaštai</w:t>
            </w:r>
          </w:p>
        </w:tc>
        <w:tc>
          <w:tcPr>
            <w:tcW w:w="1824" w:type="dxa"/>
            <w:tcBorders>
              <w:top w:val="single" w:sz="4" w:space="0" w:color="auto"/>
              <w:bottom w:val="single" w:sz="4" w:space="0" w:color="auto"/>
            </w:tcBorders>
          </w:tcPr>
          <w:p w14:paraId="01165855" w14:textId="77777777" w:rsidR="00351A08" w:rsidRPr="00260559" w:rsidRDefault="00351A08" w:rsidP="00500E1F">
            <w:pPr>
              <w:tabs>
                <w:tab w:val="left" w:pos="567"/>
              </w:tabs>
              <w:jc w:val="right"/>
              <w:rPr>
                <w:i/>
                <w:iCs/>
                <w:sz w:val="22"/>
                <w:szCs w:val="22"/>
                <w:lang w:eastAsia="lt-LT"/>
              </w:rPr>
            </w:pPr>
          </w:p>
        </w:tc>
        <w:tc>
          <w:tcPr>
            <w:tcW w:w="1808" w:type="dxa"/>
            <w:tcBorders>
              <w:top w:val="single" w:sz="4" w:space="0" w:color="auto"/>
              <w:bottom w:val="single" w:sz="4" w:space="0" w:color="auto"/>
            </w:tcBorders>
          </w:tcPr>
          <w:p w14:paraId="51475493" w14:textId="57A2B67F" w:rsidR="00351A08" w:rsidRPr="00260559" w:rsidRDefault="00351A08" w:rsidP="00500E1F">
            <w:pPr>
              <w:tabs>
                <w:tab w:val="left" w:pos="567"/>
              </w:tabs>
              <w:jc w:val="right"/>
              <w:rPr>
                <w:i/>
                <w:iCs/>
                <w:sz w:val="22"/>
                <w:szCs w:val="22"/>
                <w:lang w:eastAsia="lt-LT"/>
              </w:rPr>
            </w:pPr>
          </w:p>
        </w:tc>
        <w:tc>
          <w:tcPr>
            <w:tcW w:w="3579" w:type="dxa"/>
            <w:tcBorders>
              <w:top w:val="single" w:sz="4" w:space="0" w:color="auto"/>
              <w:bottom w:val="single" w:sz="4" w:space="0" w:color="auto"/>
            </w:tcBorders>
          </w:tcPr>
          <w:p w14:paraId="38845EE0" w14:textId="7910C863" w:rsidR="00351A08" w:rsidRPr="00260559" w:rsidRDefault="00351A08" w:rsidP="00500E1F">
            <w:pPr>
              <w:tabs>
                <w:tab w:val="left" w:pos="567"/>
              </w:tabs>
              <w:jc w:val="right"/>
              <w:rPr>
                <w:i/>
                <w:iCs/>
                <w:sz w:val="22"/>
                <w:szCs w:val="22"/>
                <w:lang w:eastAsia="lt-LT"/>
              </w:rPr>
            </w:pPr>
          </w:p>
        </w:tc>
      </w:tr>
      <w:tr w:rsidR="00351A08" w:rsidRPr="00260559" w14:paraId="083D0AAA" w14:textId="77777777" w:rsidTr="00500E1F">
        <w:trPr>
          <w:jc w:val="center"/>
        </w:trPr>
        <w:tc>
          <w:tcPr>
            <w:tcW w:w="2697" w:type="dxa"/>
            <w:tcBorders>
              <w:top w:val="single" w:sz="4" w:space="0" w:color="auto"/>
              <w:bottom w:val="single" w:sz="4" w:space="0" w:color="auto"/>
            </w:tcBorders>
          </w:tcPr>
          <w:p w14:paraId="181F7410" w14:textId="77777777" w:rsidR="00351A08" w:rsidRPr="00260559" w:rsidRDefault="00351A08" w:rsidP="00500E1F">
            <w:pPr>
              <w:tabs>
                <w:tab w:val="left" w:pos="567"/>
              </w:tabs>
              <w:rPr>
                <w:iCs/>
                <w:color w:val="000000"/>
                <w:sz w:val="22"/>
                <w:szCs w:val="22"/>
                <w:lang w:eastAsia="lt-LT"/>
              </w:rPr>
            </w:pPr>
            <w:r w:rsidRPr="00260559">
              <w:rPr>
                <w:iCs/>
                <w:color w:val="000000"/>
                <w:sz w:val="22"/>
                <w:szCs w:val="22"/>
                <w:lang w:eastAsia="lt-LT"/>
              </w:rPr>
              <w:t>Vaistų administravimo ir stebėsenos kaštai</w:t>
            </w:r>
          </w:p>
        </w:tc>
        <w:tc>
          <w:tcPr>
            <w:tcW w:w="1824" w:type="dxa"/>
            <w:tcBorders>
              <w:top w:val="single" w:sz="4" w:space="0" w:color="auto"/>
              <w:bottom w:val="single" w:sz="4" w:space="0" w:color="auto"/>
            </w:tcBorders>
          </w:tcPr>
          <w:p w14:paraId="651B54F9" w14:textId="77777777" w:rsidR="00351A08" w:rsidRPr="00260559" w:rsidRDefault="00351A08" w:rsidP="00500E1F">
            <w:pPr>
              <w:tabs>
                <w:tab w:val="left" w:pos="567"/>
              </w:tabs>
              <w:jc w:val="right"/>
              <w:rPr>
                <w:i/>
                <w:iCs/>
                <w:sz w:val="22"/>
                <w:szCs w:val="22"/>
                <w:lang w:eastAsia="lt-LT"/>
              </w:rPr>
            </w:pPr>
          </w:p>
        </w:tc>
        <w:tc>
          <w:tcPr>
            <w:tcW w:w="1808" w:type="dxa"/>
            <w:tcBorders>
              <w:top w:val="single" w:sz="4" w:space="0" w:color="auto"/>
              <w:bottom w:val="single" w:sz="4" w:space="0" w:color="auto"/>
            </w:tcBorders>
          </w:tcPr>
          <w:p w14:paraId="6497B7CF" w14:textId="184015B5" w:rsidR="00351A08" w:rsidRPr="00260559" w:rsidRDefault="00351A08" w:rsidP="00500E1F">
            <w:pPr>
              <w:tabs>
                <w:tab w:val="left" w:pos="567"/>
              </w:tabs>
              <w:jc w:val="right"/>
              <w:rPr>
                <w:i/>
                <w:iCs/>
                <w:sz w:val="22"/>
                <w:szCs w:val="22"/>
                <w:lang w:eastAsia="lt-LT"/>
              </w:rPr>
            </w:pPr>
          </w:p>
        </w:tc>
        <w:tc>
          <w:tcPr>
            <w:tcW w:w="3579" w:type="dxa"/>
            <w:tcBorders>
              <w:top w:val="single" w:sz="4" w:space="0" w:color="auto"/>
              <w:bottom w:val="single" w:sz="4" w:space="0" w:color="auto"/>
            </w:tcBorders>
          </w:tcPr>
          <w:p w14:paraId="2B737ADC" w14:textId="13E475A1" w:rsidR="00351A08" w:rsidRPr="00260559" w:rsidRDefault="00351A08" w:rsidP="00500E1F">
            <w:pPr>
              <w:tabs>
                <w:tab w:val="left" w:pos="567"/>
              </w:tabs>
              <w:jc w:val="right"/>
              <w:rPr>
                <w:i/>
                <w:iCs/>
                <w:sz w:val="22"/>
                <w:szCs w:val="22"/>
                <w:lang w:eastAsia="lt-LT"/>
              </w:rPr>
            </w:pPr>
          </w:p>
        </w:tc>
      </w:tr>
      <w:tr w:rsidR="00351A08" w:rsidRPr="00260559" w14:paraId="77F1B6DF" w14:textId="77777777" w:rsidTr="00500E1F">
        <w:trPr>
          <w:jc w:val="center"/>
        </w:trPr>
        <w:tc>
          <w:tcPr>
            <w:tcW w:w="2697" w:type="dxa"/>
            <w:tcBorders>
              <w:top w:val="single" w:sz="4" w:space="0" w:color="auto"/>
              <w:bottom w:val="single" w:sz="12" w:space="0" w:color="auto"/>
            </w:tcBorders>
          </w:tcPr>
          <w:p w14:paraId="28CECCD6" w14:textId="77777777" w:rsidR="00351A08" w:rsidRPr="00260559" w:rsidRDefault="00351A08" w:rsidP="00500E1F">
            <w:pPr>
              <w:tabs>
                <w:tab w:val="left" w:pos="567"/>
              </w:tabs>
              <w:jc w:val="both"/>
              <w:rPr>
                <w:iCs/>
                <w:sz w:val="22"/>
                <w:szCs w:val="22"/>
                <w:lang w:eastAsia="lt-LT"/>
              </w:rPr>
            </w:pPr>
            <w:r w:rsidRPr="00260559">
              <w:rPr>
                <w:iCs/>
                <w:sz w:val="22"/>
                <w:szCs w:val="22"/>
                <w:lang w:eastAsia="lt-LT"/>
              </w:rPr>
              <w:t>Gyvenimo pabaigos priežiūra</w:t>
            </w:r>
          </w:p>
        </w:tc>
        <w:tc>
          <w:tcPr>
            <w:tcW w:w="1824" w:type="dxa"/>
            <w:tcBorders>
              <w:top w:val="single" w:sz="4" w:space="0" w:color="auto"/>
              <w:bottom w:val="single" w:sz="12" w:space="0" w:color="auto"/>
            </w:tcBorders>
          </w:tcPr>
          <w:p w14:paraId="2095069C" w14:textId="307C3D6E" w:rsidR="00351A08" w:rsidRPr="00260559" w:rsidRDefault="00351A08" w:rsidP="00500E1F">
            <w:pPr>
              <w:jc w:val="right"/>
              <w:rPr>
                <w:color w:val="000000"/>
                <w:sz w:val="22"/>
                <w:szCs w:val="22"/>
              </w:rPr>
            </w:pPr>
          </w:p>
        </w:tc>
        <w:tc>
          <w:tcPr>
            <w:tcW w:w="1808" w:type="dxa"/>
            <w:tcBorders>
              <w:top w:val="single" w:sz="4" w:space="0" w:color="auto"/>
              <w:bottom w:val="single" w:sz="12" w:space="0" w:color="auto"/>
            </w:tcBorders>
          </w:tcPr>
          <w:p w14:paraId="102B527C" w14:textId="5D44B90E" w:rsidR="00351A08" w:rsidRPr="00260559" w:rsidRDefault="00351A08" w:rsidP="00500E1F">
            <w:pPr>
              <w:tabs>
                <w:tab w:val="left" w:pos="567"/>
              </w:tabs>
              <w:jc w:val="right"/>
              <w:rPr>
                <w:i/>
                <w:iCs/>
                <w:sz w:val="22"/>
                <w:szCs w:val="22"/>
                <w:lang w:eastAsia="lt-LT"/>
              </w:rPr>
            </w:pPr>
          </w:p>
        </w:tc>
        <w:tc>
          <w:tcPr>
            <w:tcW w:w="3579" w:type="dxa"/>
            <w:tcBorders>
              <w:top w:val="single" w:sz="4" w:space="0" w:color="auto"/>
              <w:bottom w:val="single" w:sz="12" w:space="0" w:color="auto"/>
            </w:tcBorders>
          </w:tcPr>
          <w:p w14:paraId="69082148" w14:textId="0462CC50" w:rsidR="00351A08" w:rsidRPr="00260559" w:rsidRDefault="00351A08" w:rsidP="00500E1F">
            <w:pPr>
              <w:tabs>
                <w:tab w:val="left" w:pos="567"/>
              </w:tabs>
              <w:jc w:val="right"/>
              <w:rPr>
                <w:i/>
                <w:iCs/>
                <w:sz w:val="22"/>
                <w:szCs w:val="22"/>
                <w:lang w:eastAsia="lt-LT"/>
              </w:rPr>
            </w:pPr>
          </w:p>
        </w:tc>
      </w:tr>
      <w:tr w:rsidR="00351A08" w:rsidRPr="00260559" w14:paraId="21D8362B" w14:textId="77777777" w:rsidTr="00500E1F">
        <w:trPr>
          <w:jc w:val="center"/>
        </w:trPr>
        <w:tc>
          <w:tcPr>
            <w:tcW w:w="2697" w:type="dxa"/>
            <w:tcBorders>
              <w:top w:val="single" w:sz="4" w:space="0" w:color="auto"/>
              <w:bottom w:val="single" w:sz="12" w:space="0" w:color="auto"/>
            </w:tcBorders>
          </w:tcPr>
          <w:p w14:paraId="0F01828C" w14:textId="77777777" w:rsidR="00351A08" w:rsidRPr="00260559" w:rsidRDefault="00351A08" w:rsidP="00500E1F">
            <w:pPr>
              <w:tabs>
                <w:tab w:val="left" w:pos="567"/>
              </w:tabs>
              <w:jc w:val="both"/>
              <w:rPr>
                <w:iCs/>
                <w:sz w:val="22"/>
                <w:szCs w:val="22"/>
                <w:lang w:eastAsia="lt-LT"/>
              </w:rPr>
            </w:pPr>
            <w:r w:rsidRPr="00260559">
              <w:rPr>
                <w:iCs/>
                <w:sz w:val="22"/>
                <w:szCs w:val="22"/>
                <w:lang w:eastAsia="lt-LT"/>
              </w:rPr>
              <w:t>Kita</w:t>
            </w:r>
          </w:p>
        </w:tc>
        <w:tc>
          <w:tcPr>
            <w:tcW w:w="1824" w:type="dxa"/>
            <w:tcBorders>
              <w:top w:val="single" w:sz="4" w:space="0" w:color="auto"/>
              <w:bottom w:val="single" w:sz="12" w:space="0" w:color="auto"/>
            </w:tcBorders>
          </w:tcPr>
          <w:p w14:paraId="47FA0050" w14:textId="77777777" w:rsidR="00351A08" w:rsidRPr="00260559" w:rsidRDefault="00351A08" w:rsidP="00500E1F">
            <w:pPr>
              <w:jc w:val="right"/>
              <w:rPr>
                <w:color w:val="000000"/>
                <w:sz w:val="22"/>
                <w:szCs w:val="22"/>
                <w:u w:val="single"/>
              </w:rPr>
            </w:pPr>
            <w:r w:rsidRPr="00260559">
              <w:rPr>
                <w:color w:val="000000"/>
                <w:sz w:val="22"/>
                <w:szCs w:val="22"/>
                <w:u w:val="single"/>
              </w:rPr>
              <w:t>-</w:t>
            </w:r>
          </w:p>
        </w:tc>
        <w:tc>
          <w:tcPr>
            <w:tcW w:w="1808" w:type="dxa"/>
            <w:tcBorders>
              <w:top w:val="single" w:sz="4" w:space="0" w:color="auto"/>
              <w:bottom w:val="single" w:sz="12" w:space="0" w:color="auto"/>
            </w:tcBorders>
          </w:tcPr>
          <w:p w14:paraId="5CEAD387" w14:textId="77777777" w:rsidR="00351A08" w:rsidRPr="00260559" w:rsidRDefault="00351A08" w:rsidP="00500E1F">
            <w:pPr>
              <w:tabs>
                <w:tab w:val="left" w:pos="567"/>
              </w:tabs>
              <w:jc w:val="right"/>
              <w:rPr>
                <w:i/>
                <w:iCs/>
                <w:sz w:val="22"/>
                <w:szCs w:val="22"/>
                <w:lang w:eastAsia="lt-LT"/>
              </w:rPr>
            </w:pPr>
            <w:r w:rsidRPr="00260559">
              <w:rPr>
                <w:i/>
                <w:iCs/>
                <w:sz w:val="22"/>
                <w:szCs w:val="22"/>
                <w:lang w:eastAsia="lt-LT"/>
              </w:rPr>
              <w:t>-</w:t>
            </w:r>
          </w:p>
        </w:tc>
        <w:tc>
          <w:tcPr>
            <w:tcW w:w="3579" w:type="dxa"/>
            <w:tcBorders>
              <w:top w:val="single" w:sz="4" w:space="0" w:color="auto"/>
              <w:bottom w:val="single" w:sz="12" w:space="0" w:color="auto"/>
            </w:tcBorders>
          </w:tcPr>
          <w:p w14:paraId="37C1D369" w14:textId="77777777" w:rsidR="00351A08" w:rsidRPr="00260559" w:rsidRDefault="00351A08" w:rsidP="00500E1F">
            <w:pPr>
              <w:tabs>
                <w:tab w:val="left" w:pos="567"/>
              </w:tabs>
              <w:jc w:val="right"/>
              <w:rPr>
                <w:i/>
                <w:iCs/>
                <w:sz w:val="22"/>
                <w:szCs w:val="22"/>
                <w:lang w:eastAsia="lt-LT"/>
              </w:rPr>
            </w:pPr>
            <w:r w:rsidRPr="00260559">
              <w:rPr>
                <w:i/>
                <w:iCs/>
                <w:sz w:val="22"/>
                <w:szCs w:val="22"/>
                <w:lang w:eastAsia="lt-LT"/>
              </w:rPr>
              <w:t>-</w:t>
            </w:r>
          </w:p>
        </w:tc>
      </w:tr>
      <w:tr w:rsidR="00351A08" w:rsidRPr="00260559" w14:paraId="142E28D1" w14:textId="77777777" w:rsidTr="00500E1F">
        <w:trPr>
          <w:jc w:val="center"/>
        </w:trPr>
        <w:tc>
          <w:tcPr>
            <w:tcW w:w="2697" w:type="dxa"/>
            <w:tcBorders>
              <w:top w:val="single" w:sz="4" w:space="0" w:color="auto"/>
              <w:bottom w:val="single" w:sz="12" w:space="0" w:color="auto"/>
            </w:tcBorders>
          </w:tcPr>
          <w:p w14:paraId="7EA2CCFC" w14:textId="77777777" w:rsidR="00351A08" w:rsidRPr="00260559" w:rsidRDefault="00351A08" w:rsidP="00500E1F">
            <w:pPr>
              <w:tabs>
                <w:tab w:val="left" w:pos="567"/>
              </w:tabs>
              <w:jc w:val="both"/>
              <w:rPr>
                <w:iCs/>
                <w:sz w:val="22"/>
                <w:szCs w:val="22"/>
                <w:vertAlign w:val="superscript"/>
                <w:lang w:eastAsia="lt-LT"/>
              </w:rPr>
            </w:pPr>
            <w:r w:rsidRPr="00260559">
              <w:rPr>
                <w:iCs/>
                <w:sz w:val="22"/>
                <w:szCs w:val="22"/>
                <w:lang w:eastAsia="lt-LT"/>
              </w:rPr>
              <w:t>Suma</w:t>
            </w:r>
          </w:p>
        </w:tc>
        <w:tc>
          <w:tcPr>
            <w:tcW w:w="1824" w:type="dxa"/>
            <w:tcBorders>
              <w:top w:val="single" w:sz="4" w:space="0" w:color="auto"/>
              <w:bottom w:val="single" w:sz="12" w:space="0" w:color="auto"/>
            </w:tcBorders>
          </w:tcPr>
          <w:p w14:paraId="569ECA38" w14:textId="77777777" w:rsidR="00351A08" w:rsidRPr="00260559" w:rsidRDefault="00351A08" w:rsidP="00500E1F">
            <w:pPr>
              <w:jc w:val="right"/>
              <w:rPr>
                <w:color w:val="000000"/>
                <w:sz w:val="20"/>
                <w:szCs w:val="20"/>
              </w:rPr>
            </w:pPr>
          </w:p>
        </w:tc>
        <w:tc>
          <w:tcPr>
            <w:tcW w:w="1808" w:type="dxa"/>
            <w:tcBorders>
              <w:top w:val="single" w:sz="4" w:space="0" w:color="auto"/>
              <w:bottom w:val="single" w:sz="12" w:space="0" w:color="auto"/>
            </w:tcBorders>
          </w:tcPr>
          <w:p w14:paraId="0ED0859A" w14:textId="77777777" w:rsidR="00351A08" w:rsidRPr="00260559" w:rsidRDefault="00351A08" w:rsidP="00500E1F">
            <w:pPr>
              <w:tabs>
                <w:tab w:val="left" w:pos="567"/>
              </w:tabs>
              <w:jc w:val="right"/>
              <w:rPr>
                <w:i/>
                <w:iCs/>
                <w:sz w:val="22"/>
                <w:szCs w:val="22"/>
                <w:lang w:eastAsia="lt-LT"/>
              </w:rPr>
            </w:pPr>
          </w:p>
        </w:tc>
        <w:tc>
          <w:tcPr>
            <w:tcW w:w="3579" w:type="dxa"/>
            <w:tcBorders>
              <w:top w:val="single" w:sz="4" w:space="0" w:color="auto"/>
              <w:bottom w:val="single" w:sz="12" w:space="0" w:color="auto"/>
            </w:tcBorders>
          </w:tcPr>
          <w:p w14:paraId="70A20F34" w14:textId="6D8D85FC" w:rsidR="00351A08" w:rsidRPr="00260559" w:rsidRDefault="00351A08" w:rsidP="00500E1F">
            <w:pPr>
              <w:tabs>
                <w:tab w:val="left" w:pos="567"/>
              </w:tabs>
              <w:jc w:val="right"/>
              <w:rPr>
                <w:i/>
                <w:iCs/>
                <w:sz w:val="22"/>
                <w:szCs w:val="22"/>
                <w:lang w:eastAsia="lt-LT"/>
              </w:rPr>
            </w:pPr>
          </w:p>
        </w:tc>
      </w:tr>
      <w:tr w:rsidR="00351A08" w:rsidRPr="00260559" w14:paraId="47C86CA4" w14:textId="77777777" w:rsidTr="00500E1F">
        <w:trPr>
          <w:jc w:val="center"/>
        </w:trPr>
        <w:tc>
          <w:tcPr>
            <w:tcW w:w="9908" w:type="dxa"/>
            <w:gridSpan w:val="4"/>
            <w:tcBorders>
              <w:top w:val="single" w:sz="12" w:space="0" w:color="auto"/>
              <w:bottom w:val="single" w:sz="4" w:space="0" w:color="auto"/>
            </w:tcBorders>
          </w:tcPr>
          <w:p w14:paraId="49E09532" w14:textId="77777777" w:rsidR="00351A08" w:rsidRPr="00260559" w:rsidRDefault="00351A08" w:rsidP="00500E1F">
            <w:pPr>
              <w:tabs>
                <w:tab w:val="left" w:pos="567"/>
              </w:tabs>
              <w:jc w:val="right"/>
              <w:rPr>
                <w:iCs/>
                <w:sz w:val="22"/>
                <w:szCs w:val="22"/>
                <w:lang w:eastAsia="lt-LT"/>
              </w:rPr>
            </w:pPr>
          </w:p>
        </w:tc>
      </w:tr>
      <w:tr w:rsidR="00351A08" w:rsidRPr="00260559" w14:paraId="6098773D" w14:textId="77777777" w:rsidTr="00500E1F">
        <w:trPr>
          <w:jc w:val="center"/>
        </w:trPr>
        <w:tc>
          <w:tcPr>
            <w:tcW w:w="2697" w:type="dxa"/>
            <w:tcBorders>
              <w:top w:val="single" w:sz="4" w:space="0" w:color="auto"/>
              <w:bottom w:val="single" w:sz="4" w:space="0" w:color="auto"/>
            </w:tcBorders>
          </w:tcPr>
          <w:p w14:paraId="6EFCA25F" w14:textId="77777777" w:rsidR="00351A08" w:rsidRPr="00260559" w:rsidRDefault="00351A08" w:rsidP="00500E1F">
            <w:pPr>
              <w:tabs>
                <w:tab w:val="left" w:pos="567"/>
              </w:tabs>
              <w:jc w:val="both"/>
              <w:rPr>
                <w:sz w:val="22"/>
                <w:szCs w:val="22"/>
                <w:lang w:eastAsia="lt-LT"/>
              </w:rPr>
            </w:pPr>
            <w:r w:rsidRPr="00260559">
              <w:rPr>
                <w:sz w:val="22"/>
                <w:szCs w:val="22"/>
                <w:lang w:eastAsia="lt-LT"/>
              </w:rPr>
              <w:t>Papildomi gyvenimo metai (LY)</w:t>
            </w:r>
          </w:p>
        </w:tc>
        <w:tc>
          <w:tcPr>
            <w:tcW w:w="1824" w:type="dxa"/>
            <w:tcBorders>
              <w:top w:val="single" w:sz="4" w:space="0" w:color="auto"/>
              <w:bottom w:val="single" w:sz="4" w:space="0" w:color="auto"/>
            </w:tcBorders>
          </w:tcPr>
          <w:p w14:paraId="6CEE0BB2" w14:textId="18D633DA" w:rsidR="00351A08" w:rsidRPr="00260559" w:rsidRDefault="00351A08" w:rsidP="00500E1F">
            <w:pPr>
              <w:tabs>
                <w:tab w:val="left" w:pos="567"/>
              </w:tabs>
              <w:jc w:val="right"/>
              <w:rPr>
                <w:iCs/>
                <w:sz w:val="22"/>
                <w:szCs w:val="22"/>
                <w:lang w:eastAsia="lt-LT"/>
              </w:rPr>
            </w:pPr>
          </w:p>
        </w:tc>
        <w:tc>
          <w:tcPr>
            <w:tcW w:w="1808" w:type="dxa"/>
            <w:tcBorders>
              <w:top w:val="single" w:sz="4" w:space="0" w:color="auto"/>
              <w:bottom w:val="single" w:sz="4" w:space="0" w:color="auto"/>
            </w:tcBorders>
          </w:tcPr>
          <w:p w14:paraId="0343AF2B" w14:textId="00E97FBD" w:rsidR="00351A08" w:rsidRPr="00260559" w:rsidRDefault="00351A08" w:rsidP="00500E1F">
            <w:pPr>
              <w:tabs>
                <w:tab w:val="left" w:pos="567"/>
              </w:tabs>
              <w:jc w:val="right"/>
              <w:rPr>
                <w:iCs/>
                <w:sz w:val="22"/>
                <w:szCs w:val="22"/>
                <w:lang w:eastAsia="lt-LT"/>
              </w:rPr>
            </w:pPr>
          </w:p>
        </w:tc>
        <w:tc>
          <w:tcPr>
            <w:tcW w:w="3579" w:type="dxa"/>
            <w:tcBorders>
              <w:top w:val="single" w:sz="4" w:space="0" w:color="auto"/>
            </w:tcBorders>
          </w:tcPr>
          <w:p w14:paraId="56A3AFB4" w14:textId="21EFA068" w:rsidR="00351A08" w:rsidRPr="00260559" w:rsidRDefault="00351A08" w:rsidP="00500E1F">
            <w:pPr>
              <w:tabs>
                <w:tab w:val="left" w:pos="567"/>
              </w:tabs>
              <w:jc w:val="right"/>
              <w:rPr>
                <w:sz w:val="22"/>
                <w:szCs w:val="22"/>
                <w:lang w:eastAsia="lt-LT"/>
              </w:rPr>
            </w:pPr>
          </w:p>
        </w:tc>
      </w:tr>
      <w:tr w:rsidR="00351A08" w:rsidRPr="00260559" w14:paraId="522F87BE" w14:textId="77777777" w:rsidTr="00500E1F">
        <w:trPr>
          <w:jc w:val="center"/>
        </w:trPr>
        <w:tc>
          <w:tcPr>
            <w:tcW w:w="2697" w:type="dxa"/>
            <w:tcBorders>
              <w:top w:val="single" w:sz="4" w:space="0" w:color="auto"/>
              <w:bottom w:val="single" w:sz="4" w:space="0" w:color="auto"/>
            </w:tcBorders>
          </w:tcPr>
          <w:p w14:paraId="542350C0" w14:textId="77777777" w:rsidR="00351A08" w:rsidRPr="00260559" w:rsidRDefault="00351A08" w:rsidP="00500E1F">
            <w:pPr>
              <w:tabs>
                <w:tab w:val="left" w:pos="567"/>
              </w:tabs>
              <w:jc w:val="both"/>
              <w:rPr>
                <w:iCs/>
                <w:sz w:val="22"/>
                <w:szCs w:val="22"/>
                <w:lang w:eastAsia="lt-LT"/>
              </w:rPr>
            </w:pPr>
            <w:r w:rsidRPr="00260559">
              <w:rPr>
                <w:sz w:val="22"/>
                <w:szCs w:val="22"/>
                <w:lang w:eastAsia="lt-LT"/>
              </w:rPr>
              <w:t>Kokybiški gyvenimo metai (QALY)</w:t>
            </w:r>
          </w:p>
        </w:tc>
        <w:tc>
          <w:tcPr>
            <w:tcW w:w="1824" w:type="dxa"/>
            <w:tcBorders>
              <w:top w:val="single" w:sz="4" w:space="0" w:color="auto"/>
              <w:bottom w:val="single" w:sz="4" w:space="0" w:color="auto"/>
            </w:tcBorders>
          </w:tcPr>
          <w:p w14:paraId="69DDBDAC" w14:textId="07B26A78" w:rsidR="00351A08" w:rsidRPr="00260559" w:rsidRDefault="00351A08" w:rsidP="00500E1F">
            <w:pPr>
              <w:jc w:val="right"/>
              <w:rPr>
                <w:color w:val="000000"/>
                <w:sz w:val="22"/>
                <w:szCs w:val="22"/>
              </w:rPr>
            </w:pPr>
          </w:p>
        </w:tc>
        <w:tc>
          <w:tcPr>
            <w:tcW w:w="1808" w:type="dxa"/>
            <w:tcBorders>
              <w:top w:val="single" w:sz="4" w:space="0" w:color="auto"/>
              <w:bottom w:val="single" w:sz="4" w:space="0" w:color="auto"/>
            </w:tcBorders>
          </w:tcPr>
          <w:p w14:paraId="7AC26D36" w14:textId="6BCBE238" w:rsidR="00351A08" w:rsidRPr="00260559" w:rsidRDefault="00351A08" w:rsidP="00500E1F">
            <w:pPr>
              <w:jc w:val="right"/>
              <w:rPr>
                <w:color w:val="000000"/>
                <w:sz w:val="22"/>
                <w:szCs w:val="22"/>
              </w:rPr>
            </w:pPr>
          </w:p>
        </w:tc>
        <w:tc>
          <w:tcPr>
            <w:tcW w:w="3579" w:type="dxa"/>
            <w:tcBorders>
              <w:top w:val="single" w:sz="4" w:space="0" w:color="auto"/>
              <w:bottom w:val="single" w:sz="4" w:space="0" w:color="auto"/>
            </w:tcBorders>
          </w:tcPr>
          <w:p w14:paraId="0FE4A8E1" w14:textId="6C9002E4" w:rsidR="00351A08" w:rsidRPr="00260559" w:rsidRDefault="00351A08" w:rsidP="00500E1F">
            <w:pPr>
              <w:tabs>
                <w:tab w:val="left" w:pos="567"/>
              </w:tabs>
              <w:jc w:val="right"/>
              <w:rPr>
                <w:sz w:val="22"/>
                <w:szCs w:val="22"/>
                <w:lang w:eastAsia="lt-LT"/>
              </w:rPr>
            </w:pPr>
          </w:p>
        </w:tc>
      </w:tr>
      <w:tr w:rsidR="00351A08" w:rsidRPr="00260559" w14:paraId="758BF419" w14:textId="77777777" w:rsidTr="00500E1F">
        <w:trPr>
          <w:trHeight w:val="347"/>
          <w:jc w:val="center"/>
        </w:trPr>
        <w:tc>
          <w:tcPr>
            <w:tcW w:w="9908" w:type="dxa"/>
            <w:gridSpan w:val="4"/>
            <w:tcBorders>
              <w:top w:val="single" w:sz="12" w:space="0" w:color="auto"/>
            </w:tcBorders>
            <w:vAlign w:val="center"/>
          </w:tcPr>
          <w:p w14:paraId="04777339" w14:textId="77777777" w:rsidR="00351A08" w:rsidRPr="00260559" w:rsidRDefault="00351A08" w:rsidP="00500E1F">
            <w:pPr>
              <w:tabs>
                <w:tab w:val="left" w:pos="567"/>
              </w:tabs>
              <w:jc w:val="center"/>
              <w:rPr>
                <w:b/>
                <w:bCs/>
                <w:sz w:val="22"/>
                <w:szCs w:val="22"/>
                <w:lang w:eastAsia="lt-LT"/>
              </w:rPr>
            </w:pPr>
            <w:r w:rsidRPr="00260559">
              <w:rPr>
                <w:b/>
                <w:bCs/>
                <w:sz w:val="22"/>
                <w:szCs w:val="22"/>
                <w:lang w:eastAsia="lt-LT"/>
              </w:rPr>
              <w:t>Rezultatai</w:t>
            </w:r>
          </w:p>
        </w:tc>
      </w:tr>
      <w:tr w:rsidR="00351A08" w:rsidRPr="00260559" w14:paraId="0FC15F08" w14:textId="77777777" w:rsidTr="00500E1F">
        <w:trPr>
          <w:jc w:val="center"/>
        </w:trPr>
        <w:tc>
          <w:tcPr>
            <w:tcW w:w="6329" w:type="dxa"/>
            <w:gridSpan w:val="3"/>
          </w:tcPr>
          <w:p w14:paraId="15204B3C" w14:textId="77777777" w:rsidR="00351A08" w:rsidRPr="00260559" w:rsidRDefault="00351A08" w:rsidP="00500E1F">
            <w:pPr>
              <w:tabs>
                <w:tab w:val="left" w:pos="567"/>
              </w:tabs>
              <w:jc w:val="right"/>
              <w:rPr>
                <w:iCs/>
                <w:sz w:val="22"/>
                <w:szCs w:val="22"/>
                <w:lang w:eastAsia="lt-LT"/>
              </w:rPr>
            </w:pPr>
            <w:r w:rsidRPr="00260559">
              <w:rPr>
                <w:iCs/>
                <w:sz w:val="22"/>
                <w:szCs w:val="22"/>
                <w:lang w:eastAsia="lt-LT"/>
              </w:rPr>
              <w:t>ICER už LY</w:t>
            </w:r>
          </w:p>
        </w:tc>
        <w:tc>
          <w:tcPr>
            <w:tcW w:w="3579" w:type="dxa"/>
          </w:tcPr>
          <w:p w14:paraId="12F302DC" w14:textId="6833C650" w:rsidR="00351A08" w:rsidRPr="00260559" w:rsidRDefault="00351A08" w:rsidP="00500E1F">
            <w:pPr>
              <w:jc w:val="right"/>
              <w:rPr>
                <w:color w:val="000000"/>
                <w:sz w:val="22"/>
                <w:szCs w:val="22"/>
              </w:rPr>
            </w:pPr>
          </w:p>
        </w:tc>
      </w:tr>
      <w:tr w:rsidR="00351A08" w:rsidRPr="00260559" w14:paraId="7EE7455B" w14:textId="77777777" w:rsidTr="00500E1F">
        <w:trPr>
          <w:jc w:val="center"/>
        </w:trPr>
        <w:tc>
          <w:tcPr>
            <w:tcW w:w="6329" w:type="dxa"/>
            <w:gridSpan w:val="3"/>
          </w:tcPr>
          <w:p w14:paraId="086776B9" w14:textId="77777777" w:rsidR="00351A08" w:rsidRPr="00260559" w:rsidRDefault="00351A08" w:rsidP="00500E1F">
            <w:pPr>
              <w:tabs>
                <w:tab w:val="left" w:pos="567"/>
              </w:tabs>
              <w:jc w:val="right"/>
              <w:rPr>
                <w:iCs/>
                <w:sz w:val="22"/>
                <w:szCs w:val="22"/>
                <w:lang w:eastAsia="lt-LT"/>
              </w:rPr>
            </w:pPr>
            <w:r w:rsidRPr="00260559">
              <w:rPr>
                <w:iCs/>
                <w:sz w:val="22"/>
                <w:szCs w:val="22"/>
                <w:lang w:eastAsia="lt-LT"/>
              </w:rPr>
              <w:t>ICER už QALY</w:t>
            </w:r>
          </w:p>
        </w:tc>
        <w:tc>
          <w:tcPr>
            <w:tcW w:w="3579" w:type="dxa"/>
          </w:tcPr>
          <w:p w14:paraId="04424F42" w14:textId="254BEBDE" w:rsidR="00351A08" w:rsidRPr="00260559" w:rsidRDefault="00351A08" w:rsidP="00500E1F">
            <w:pPr>
              <w:jc w:val="right"/>
              <w:rPr>
                <w:color w:val="000000"/>
                <w:sz w:val="22"/>
                <w:szCs w:val="22"/>
              </w:rPr>
            </w:pPr>
          </w:p>
        </w:tc>
      </w:tr>
      <w:tr w:rsidR="00351A08" w:rsidRPr="00260559" w14:paraId="7038C1D1" w14:textId="77777777" w:rsidTr="00500E1F">
        <w:trPr>
          <w:jc w:val="center"/>
        </w:trPr>
        <w:tc>
          <w:tcPr>
            <w:tcW w:w="6329" w:type="dxa"/>
            <w:gridSpan w:val="3"/>
          </w:tcPr>
          <w:p w14:paraId="095C9E9C" w14:textId="77777777" w:rsidR="00351A08" w:rsidRPr="00260559" w:rsidRDefault="00351A08" w:rsidP="00500E1F">
            <w:pPr>
              <w:tabs>
                <w:tab w:val="left" w:pos="567"/>
              </w:tabs>
              <w:jc w:val="right"/>
              <w:rPr>
                <w:iCs/>
                <w:sz w:val="22"/>
                <w:szCs w:val="22"/>
                <w:lang w:eastAsia="lt-LT"/>
              </w:rPr>
            </w:pPr>
            <w:r w:rsidRPr="00260559">
              <w:rPr>
                <w:iCs/>
                <w:sz w:val="22"/>
                <w:szCs w:val="22"/>
                <w:lang w:eastAsia="lt-LT"/>
              </w:rPr>
              <w:t>Referencinė kaštų naudingumo vertė</w:t>
            </w:r>
          </w:p>
        </w:tc>
        <w:tc>
          <w:tcPr>
            <w:tcW w:w="3579" w:type="dxa"/>
          </w:tcPr>
          <w:p w14:paraId="413D8589" w14:textId="77777777" w:rsidR="00351A08" w:rsidRPr="00260559" w:rsidRDefault="00351A08" w:rsidP="00500E1F">
            <w:pPr>
              <w:tabs>
                <w:tab w:val="left" w:pos="567"/>
              </w:tabs>
              <w:jc w:val="right"/>
              <w:rPr>
                <w:i/>
                <w:iCs/>
                <w:sz w:val="22"/>
                <w:szCs w:val="22"/>
                <w:lang w:eastAsia="lt-LT"/>
              </w:rPr>
            </w:pPr>
            <w:r w:rsidRPr="00260559">
              <w:rPr>
                <w:color w:val="000000"/>
                <w:sz w:val="22"/>
                <w:szCs w:val="22"/>
              </w:rPr>
              <w:t xml:space="preserve">€ </w:t>
            </w:r>
            <w:r w:rsidRPr="00260559">
              <w:rPr>
                <w:i/>
                <w:iCs/>
                <w:sz w:val="22"/>
                <w:szCs w:val="22"/>
                <w:lang w:eastAsia="lt-LT"/>
              </w:rPr>
              <w:t>119’011</w:t>
            </w:r>
          </w:p>
        </w:tc>
      </w:tr>
    </w:tbl>
    <w:p w14:paraId="4C706217" w14:textId="77777777" w:rsidR="00351A08" w:rsidRPr="00260559" w:rsidRDefault="00351A08" w:rsidP="00351A08">
      <w:pPr>
        <w:spacing w:line="280" w:lineRule="atLeast"/>
        <w:rPr>
          <w:iCs/>
          <w:sz w:val="20"/>
          <w:szCs w:val="20"/>
          <w:lang w:eastAsia="lt-LT"/>
        </w:rPr>
      </w:pPr>
    </w:p>
    <w:p w14:paraId="53EE1437" w14:textId="77777777" w:rsidR="001479DE" w:rsidRPr="00260559" w:rsidRDefault="001479DE" w:rsidP="00A9632D">
      <w:pPr>
        <w:tabs>
          <w:tab w:val="left" w:pos="426"/>
        </w:tabs>
        <w:jc w:val="both"/>
        <w:rPr>
          <w:b/>
          <w:bCs/>
          <w:caps/>
        </w:rPr>
      </w:pPr>
    </w:p>
    <w:p w14:paraId="5C5D38CC" w14:textId="77777777" w:rsidR="005648CF" w:rsidRPr="00260559" w:rsidRDefault="005648CF" w:rsidP="00A93AA6">
      <w:pPr>
        <w:tabs>
          <w:tab w:val="left" w:pos="426"/>
        </w:tabs>
        <w:rPr>
          <w:b/>
          <w:bCs/>
          <w:caps/>
        </w:rPr>
      </w:pPr>
    </w:p>
    <w:p w14:paraId="4FC424F9" w14:textId="4E767245" w:rsidR="00C62B36" w:rsidRPr="00260559" w:rsidRDefault="00C62B36" w:rsidP="00937907">
      <w:pPr>
        <w:pStyle w:val="Sraopastraipa"/>
        <w:numPr>
          <w:ilvl w:val="0"/>
          <w:numId w:val="12"/>
        </w:numPr>
        <w:tabs>
          <w:tab w:val="left" w:pos="284"/>
        </w:tabs>
        <w:rPr>
          <w:b/>
          <w:bCs/>
          <w:caps/>
        </w:rPr>
      </w:pPr>
      <w:r w:rsidRPr="00260559">
        <w:rPr>
          <w:b/>
          <w:bCs/>
          <w:caps/>
        </w:rPr>
        <w:t xml:space="preserve">Pacientų organizacijų pateikti duomenys </w:t>
      </w:r>
    </w:p>
    <w:p w14:paraId="79BCFF40" w14:textId="3CC5B8BB" w:rsidR="00937907" w:rsidRPr="00260559" w:rsidRDefault="00000000" w:rsidP="0093790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E33252" w:rsidRPr="00260559">
            <w:rPr>
              <w:rStyle w:val="Style2"/>
              <w:rFonts w:ascii="MS Gothic" w:eastAsia="MS Gothic" w:hAnsi="MS Gothic"/>
            </w:rPr>
            <w:t>☐</w:t>
          </w:r>
        </w:sdtContent>
      </w:sdt>
      <w:r w:rsidR="00937907" w:rsidRPr="00260559">
        <w:t xml:space="preserve"> Pacientų organizacijos pozicija pateikta. Žr. priedą.</w:t>
      </w:r>
    </w:p>
    <w:p w14:paraId="62992180" w14:textId="5D903878" w:rsidR="00937907" w:rsidRPr="00260559" w:rsidRDefault="00000000"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E33252" w:rsidRPr="00260559">
            <w:rPr>
              <w:rStyle w:val="Style2"/>
              <w:rFonts w:ascii="MS Gothic" w:eastAsia="MS Gothic" w:hAnsi="MS Gothic"/>
            </w:rPr>
            <w:t>☒</w:t>
          </w:r>
        </w:sdtContent>
      </w:sdt>
      <w:r w:rsidR="00937907" w:rsidRPr="00260559">
        <w:t xml:space="preserve"> Pacientų organizacijos pozicija </w:t>
      </w:r>
      <w:r w:rsidR="00880A44" w:rsidRPr="00260559">
        <w:t>ne</w:t>
      </w:r>
      <w:r w:rsidR="00937907" w:rsidRPr="00260559">
        <w:t>pateikta.</w:t>
      </w:r>
    </w:p>
    <w:p w14:paraId="3D3277FA" w14:textId="3CEEB2D2" w:rsidR="00C62B36" w:rsidRPr="00260559" w:rsidRDefault="00C62B36" w:rsidP="00937907">
      <w:pPr>
        <w:pStyle w:val="Sraopastraipa"/>
        <w:numPr>
          <w:ilvl w:val="0"/>
          <w:numId w:val="12"/>
        </w:numPr>
        <w:tabs>
          <w:tab w:val="left" w:pos="426"/>
        </w:tabs>
        <w:rPr>
          <w:b/>
          <w:bCs/>
          <w:caps/>
        </w:rPr>
      </w:pPr>
      <w:r w:rsidRPr="00260559">
        <w:rPr>
          <w:b/>
          <w:bCs/>
          <w:caps/>
        </w:rPr>
        <w:lastRenderedPageBreak/>
        <w:t>Gydytojų organizacijų pateikti duomenys</w:t>
      </w:r>
    </w:p>
    <w:p w14:paraId="389A346C" w14:textId="21CE4896" w:rsidR="00937907" w:rsidRPr="00260559" w:rsidRDefault="00000000" w:rsidP="00662983">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Content>
          <w:r w:rsidR="006221D7" w:rsidRPr="00260559">
            <w:rPr>
              <w:rStyle w:val="Style2"/>
              <w:rFonts w:ascii="MS Gothic" w:eastAsia="MS Gothic" w:hAnsi="MS Gothic"/>
            </w:rPr>
            <w:t>☒</w:t>
          </w:r>
        </w:sdtContent>
      </w:sdt>
      <w:r w:rsidR="00662983" w:rsidRPr="00260559">
        <w:t xml:space="preserve"> </w:t>
      </w:r>
      <w:r w:rsidR="00937907" w:rsidRPr="00260559">
        <w:t xml:space="preserve">Gydytojų specialistų organizacijos pozicija pateikta. </w:t>
      </w:r>
      <w:r w:rsidR="00662983" w:rsidRPr="00260559">
        <w:t>Žr. priedą</w:t>
      </w:r>
      <w:r w:rsidR="00937907" w:rsidRPr="00260559">
        <w:t>.</w:t>
      </w:r>
    </w:p>
    <w:p w14:paraId="5D8CC48C" w14:textId="2FE8FC1C" w:rsidR="00662983" w:rsidRPr="00260559" w:rsidRDefault="00000000" w:rsidP="00662983">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Content>
          <w:r w:rsidR="006221D7" w:rsidRPr="00260559">
            <w:rPr>
              <w:rStyle w:val="Style2"/>
              <w:rFonts w:ascii="MS Gothic" w:eastAsia="MS Gothic" w:hAnsi="MS Gothic"/>
            </w:rPr>
            <w:t>☐</w:t>
          </w:r>
        </w:sdtContent>
      </w:sdt>
      <w:r w:rsidR="00662983" w:rsidRPr="00260559">
        <w:t xml:space="preserve"> </w:t>
      </w:r>
      <w:r w:rsidR="00937907" w:rsidRPr="00260559">
        <w:t xml:space="preserve">Gydytojų specialistų organizacijos pozicija </w:t>
      </w:r>
      <w:r w:rsidR="00880A44" w:rsidRPr="00260559">
        <w:t>ne</w:t>
      </w:r>
      <w:r w:rsidR="00937907" w:rsidRPr="00260559">
        <w:t>pateikta.</w:t>
      </w:r>
    </w:p>
    <w:p w14:paraId="78F23ECB" w14:textId="23A3A002" w:rsidR="002F0E4F" w:rsidRPr="00260559" w:rsidRDefault="002F0E4F" w:rsidP="00937907">
      <w:pPr>
        <w:pStyle w:val="Sraopastraipa"/>
        <w:numPr>
          <w:ilvl w:val="0"/>
          <w:numId w:val="12"/>
        </w:numPr>
        <w:tabs>
          <w:tab w:val="left" w:pos="426"/>
        </w:tabs>
        <w:rPr>
          <w:b/>
          <w:bCs/>
          <w:caps/>
        </w:rPr>
      </w:pPr>
      <w:r w:rsidRPr="00260559">
        <w:rPr>
          <w:b/>
          <w:bCs/>
          <w:caps/>
        </w:rPr>
        <w:t xml:space="preserve">Išvada </w:t>
      </w:r>
    </w:p>
    <w:p w14:paraId="573E407F" w14:textId="77777777" w:rsidR="00797153" w:rsidRPr="00260559" w:rsidRDefault="00797153" w:rsidP="00797153">
      <w:pPr>
        <w:tabs>
          <w:tab w:val="left" w:pos="426"/>
        </w:tabs>
        <w:rPr>
          <w:b/>
          <w:bCs/>
          <w:caps/>
        </w:rPr>
      </w:pPr>
    </w:p>
    <w:tbl>
      <w:tblPr>
        <w:tblStyle w:val="Lentelstinklelis"/>
        <w:tblW w:w="0" w:type="auto"/>
        <w:tblLook w:val="04A0" w:firstRow="1" w:lastRow="0" w:firstColumn="1" w:lastColumn="0" w:noHBand="0" w:noVBand="1"/>
      </w:tblPr>
      <w:tblGrid>
        <w:gridCol w:w="4815"/>
        <w:gridCol w:w="4814"/>
      </w:tblGrid>
      <w:tr w:rsidR="00B13D65" w:rsidRPr="00260559" w14:paraId="25A2473E" w14:textId="77777777" w:rsidTr="00BD1E5A">
        <w:tc>
          <w:tcPr>
            <w:tcW w:w="4981" w:type="dxa"/>
          </w:tcPr>
          <w:p w14:paraId="7EFE6941" w14:textId="23B8BB6D" w:rsidR="00B13D65" w:rsidRPr="00260559"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260559">
              <w:rPr>
                <w:rStyle w:val="Style2"/>
                <w:rFonts w:eastAsia="MS Gothic"/>
                <w:b/>
                <w:bCs/>
                <w:sz w:val="24"/>
              </w:rPr>
              <w:t>Rekomenduojama kompensuoti</w:t>
            </w:r>
          </w:p>
        </w:tc>
        <w:tc>
          <w:tcPr>
            <w:tcW w:w="4981" w:type="dxa"/>
          </w:tcPr>
          <w:p w14:paraId="330A1A5E" w14:textId="19247DC1" w:rsidR="00B13D65" w:rsidRPr="00260559"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260559">
              <w:rPr>
                <w:rStyle w:val="Style2"/>
                <w:rFonts w:eastAsia="MS Gothic"/>
                <w:b/>
                <w:bCs/>
                <w:sz w:val="24"/>
              </w:rPr>
              <w:t xml:space="preserve">Rekomenduojama nekompensuoti </w:t>
            </w:r>
          </w:p>
        </w:tc>
      </w:tr>
      <w:tr w:rsidR="00B13D65" w:rsidRPr="00260559" w14:paraId="143A7356" w14:textId="77777777" w:rsidTr="00BD1E5A">
        <w:tc>
          <w:tcPr>
            <w:tcW w:w="9962" w:type="dxa"/>
            <w:gridSpan w:val="2"/>
          </w:tcPr>
          <w:p w14:paraId="5D93D240" w14:textId="77777777" w:rsidR="00B13D65" w:rsidRPr="00260559"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260559">
              <w:rPr>
                <w:rStyle w:val="Style2"/>
                <w:rFonts w:eastAsia="MS Gothic"/>
                <w:b/>
                <w:bCs/>
                <w:sz w:val="24"/>
              </w:rPr>
              <w:t>Palyginamasis efektyvumas</w:t>
            </w:r>
          </w:p>
          <w:p w14:paraId="0AF5D6B4" w14:textId="77777777" w:rsidR="00B13D65" w:rsidRPr="00260559"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260559" w14:paraId="28A0C814" w14:textId="77777777" w:rsidTr="00BD1E5A">
        <w:tc>
          <w:tcPr>
            <w:tcW w:w="4981" w:type="dxa"/>
          </w:tcPr>
          <w:p w14:paraId="216769B5" w14:textId="4A85E702" w:rsidR="00B13D65" w:rsidRPr="00260559"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0E229F" w:rsidRPr="00260559">
                  <w:rPr>
                    <w:rStyle w:val="Style2"/>
                    <w:rFonts w:ascii="MS Gothic" w:eastAsia="MS Gothic" w:hAnsi="MS Gothic"/>
                    <w:sz w:val="24"/>
                  </w:rPr>
                  <w:t>☒</w:t>
                </w:r>
              </w:sdtContent>
            </w:sdt>
            <w:r w:rsidR="00B13D65" w:rsidRPr="00260559">
              <w:t xml:space="preserve"> 32.1. yra didesnis</w:t>
            </w:r>
          </w:p>
          <w:p w14:paraId="3B48F372" w14:textId="77777777" w:rsidR="00662983" w:rsidRPr="00260559"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44650A70" w:rsidR="00B13D65" w:rsidRPr="00260559"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0E229F" w:rsidRPr="00260559">
                  <w:rPr>
                    <w:rStyle w:val="Style2"/>
                    <w:rFonts w:ascii="MS Gothic" w:eastAsia="MS Gothic" w:hAnsi="MS Gothic"/>
                    <w:sz w:val="24"/>
                  </w:rPr>
                  <w:t>☐</w:t>
                </w:r>
              </w:sdtContent>
            </w:sdt>
            <w:r w:rsidR="00B13D65" w:rsidRPr="00260559">
              <w:t xml:space="preserve"> 32.1. iš esmės nesiskiria</w:t>
            </w:r>
          </w:p>
        </w:tc>
        <w:tc>
          <w:tcPr>
            <w:tcW w:w="4981" w:type="dxa"/>
          </w:tcPr>
          <w:p w14:paraId="507828D9" w14:textId="09AE523F" w:rsidR="00B13D65" w:rsidRPr="00260559"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260559">
                  <w:rPr>
                    <w:rStyle w:val="Style2"/>
                    <w:rFonts w:ascii="Segoe UI Symbol" w:eastAsia="MS Gothic" w:hAnsi="Segoe UI Symbol" w:cs="Segoe UI Symbol"/>
                    <w:sz w:val="24"/>
                  </w:rPr>
                  <w:t>☐</w:t>
                </w:r>
              </w:sdtContent>
            </w:sdt>
            <w:r w:rsidR="00B13D65" w:rsidRPr="00260559">
              <w:t xml:space="preserve"> 33.1. yra mažesnis</w:t>
            </w:r>
          </w:p>
          <w:p w14:paraId="7F95DEEC" w14:textId="77777777" w:rsidR="00662983" w:rsidRPr="00260559"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Pr="00260559"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260559">
                  <w:rPr>
                    <w:rStyle w:val="Style2"/>
                    <w:rFonts w:ascii="Segoe UI Symbol" w:eastAsia="MS Gothic" w:hAnsi="Segoe UI Symbol" w:cs="Segoe UI Symbol"/>
                    <w:sz w:val="24"/>
                  </w:rPr>
                  <w:t>☐</w:t>
                </w:r>
              </w:sdtContent>
            </w:sdt>
            <w:r w:rsidR="00B13D65" w:rsidRPr="00260559">
              <w:t xml:space="preserve"> 33.1. yra neįrodytas kaip toks pat</w:t>
            </w:r>
          </w:p>
          <w:p w14:paraId="35205E85" w14:textId="77777777" w:rsidR="00662983" w:rsidRPr="00260559"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Pr="00260559"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260559">
                  <w:rPr>
                    <w:rStyle w:val="Style2"/>
                    <w:rFonts w:ascii="Segoe UI Symbol" w:eastAsia="MS Gothic" w:hAnsi="Segoe UI Symbol" w:cs="Segoe UI Symbol"/>
                    <w:sz w:val="24"/>
                  </w:rPr>
                  <w:t>☐</w:t>
                </w:r>
              </w:sdtContent>
            </w:sdt>
            <w:r w:rsidR="00662983" w:rsidRPr="00260559">
              <w:t xml:space="preserve"> 33.1 </w:t>
            </w:r>
            <w:r w:rsidR="00B13D65" w:rsidRPr="00260559">
              <w:t>neįrodytas kaip didesnis</w:t>
            </w:r>
          </w:p>
          <w:p w14:paraId="512E653B" w14:textId="77777777" w:rsidR="00662983" w:rsidRPr="00260559"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260559"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260559">
                  <w:rPr>
                    <w:rStyle w:val="Style2"/>
                    <w:rFonts w:ascii="Segoe UI Symbol" w:eastAsia="MS Gothic" w:hAnsi="Segoe UI Symbol" w:cs="Segoe UI Symbol"/>
                    <w:sz w:val="24"/>
                  </w:rPr>
                  <w:t>☐</w:t>
                </w:r>
              </w:sdtContent>
            </w:sdt>
            <w:r w:rsidR="00B13D65" w:rsidRPr="00260559">
              <w:t xml:space="preserve"> 33.1. pateikti duomenys apie palyginamąjį efektyvumą yra netinkami vertinti</w:t>
            </w:r>
          </w:p>
          <w:p w14:paraId="5DDAA961" w14:textId="77777777" w:rsidR="00B13D65" w:rsidRPr="00260559"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260559" w14:paraId="161CC3FE" w14:textId="77777777" w:rsidTr="00BD1E5A">
        <w:tc>
          <w:tcPr>
            <w:tcW w:w="9962" w:type="dxa"/>
            <w:gridSpan w:val="2"/>
          </w:tcPr>
          <w:p w14:paraId="3B2878F0" w14:textId="77777777" w:rsidR="00B13D65" w:rsidRPr="00260559"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260559">
              <w:rPr>
                <w:rStyle w:val="Style2"/>
                <w:rFonts w:eastAsia="MS Gothic"/>
                <w:b/>
                <w:bCs/>
                <w:sz w:val="24"/>
              </w:rPr>
              <w:t>Klinikinis veiksmingumas</w:t>
            </w:r>
          </w:p>
          <w:p w14:paraId="1AB46894" w14:textId="77777777" w:rsidR="00B13D65" w:rsidRPr="00260559"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260559" w14:paraId="3C60570A" w14:textId="77777777" w:rsidTr="00BD1E5A">
        <w:tc>
          <w:tcPr>
            <w:tcW w:w="4981" w:type="dxa"/>
          </w:tcPr>
          <w:p w14:paraId="6897B306" w14:textId="7D11599B" w:rsidR="00B13D65" w:rsidRPr="00260559"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0E229F" w:rsidRPr="00260559">
                  <w:rPr>
                    <w:rStyle w:val="Style2"/>
                    <w:rFonts w:ascii="MS Gothic" w:eastAsia="MS Gothic" w:hAnsi="MS Gothic"/>
                    <w:sz w:val="24"/>
                  </w:rPr>
                  <w:t>☒</w:t>
                </w:r>
              </w:sdtContent>
            </w:sdt>
            <w:r w:rsidR="00B13D65" w:rsidRPr="00260559">
              <w:t xml:space="preserve"> 32.2. yra įvertintas kaip pagrindžiantis papildomos naudos pacientų sveikatai sukūrimą, lyginant su įprasta klinikine praktika</w:t>
            </w:r>
          </w:p>
          <w:p w14:paraId="71D57105" w14:textId="77777777" w:rsidR="00662983" w:rsidRPr="00260559"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3C427BAD" w:rsidR="00B13D65" w:rsidRPr="00260559"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0E229F" w:rsidRPr="00260559">
                  <w:rPr>
                    <w:rStyle w:val="Style2"/>
                    <w:rFonts w:ascii="MS Gothic" w:eastAsia="MS Gothic" w:hAnsi="MS Gothic"/>
                    <w:sz w:val="24"/>
                  </w:rPr>
                  <w:t>☐</w:t>
                </w:r>
              </w:sdtContent>
            </w:sdt>
            <w:r w:rsidR="00B13D65" w:rsidRPr="00260559">
              <w:t xml:space="preserve"> 32.2. įvertintas kaip pagrindžiantis nesiskiriančios naudos pacientų sveikatai sukūrimą, lyginant su įprasta klinikine praktika</w:t>
            </w:r>
          </w:p>
          <w:p w14:paraId="287AD233" w14:textId="77777777" w:rsidR="00B13D65" w:rsidRPr="00260559"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74A2DECF" w14:textId="77777777" w:rsidR="00662983" w:rsidRPr="00260559"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260559">
                  <w:rPr>
                    <w:rStyle w:val="Style2"/>
                    <w:rFonts w:ascii="Segoe UI Symbol" w:eastAsia="MS Gothic" w:hAnsi="Segoe UI Symbol" w:cs="Segoe UI Symbol"/>
                    <w:sz w:val="24"/>
                  </w:rPr>
                  <w:t>☐</w:t>
                </w:r>
              </w:sdtContent>
            </w:sdt>
            <w:r w:rsidR="00B13D65" w:rsidRPr="00260559">
              <w:t xml:space="preserve"> 33.1. yra įvertintas kaip nepagrindžiantis papildomos </w:t>
            </w:r>
            <w:r w:rsidR="00662983" w:rsidRPr="00260559">
              <w:t>naudos pacientų sveikatai sukūrimo, lyginant su  įprasta klinikine praktika.</w:t>
            </w:r>
          </w:p>
          <w:p w14:paraId="6C70BCFC" w14:textId="77777777" w:rsidR="00662983" w:rsidRPr="00260559" w:rsidRDefault="00662983" w:rsidP="00BD1E5A">
            <w:pPr>
              <w:jc w:val="both"/>
            </w:pPr>
          </w:p>
          <w:p w14:paraId="0ADEC30D" w14:textId="25150412" w:rsidR="00B13D65" w:rsidRPr="00260559"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260559">
                  <w:rPr>
                    <w:rStyle w:val="Style2"/>
                    <w:rFonts w:ascii="Segoe UI Symbol" w:eastAsia="MS Gothic" w:hAnsi="Segoe UI Symbol" w:cs="Segoe UI Symbol"/>
                    <w:sz w:val="24"/>
                  </w:rPr>
                  <w:t>☐</w:t>
                </w:r>
              </w:sdtContent>
            </w:sdt>
            <w:r w:rsidR="00B13D65" w:rsidRPr="00260559">
              <w:t xml:space="preserve"> </w:t>
            </w:r>
            <w:r w:rsidR="00662983" w:rsidRPr="00260559">
              <w:t xml:space="preserve">33.1. </w:t>
            </w:r>
            <w:r w:rsidR="00B13D65" w:rsidRPr="00260559">
              <w:t>nesiskiriančios naudos pacientų sveikatai sukūrimo, lyginant su įprasta klinikine praktika.</w:t>
            </w:r>
          </w:p>
          <w:p w14:paraId="1EED7901" w14:textId="77777777" w:rsidR="00B13D65" w:rsidRPr="00260559"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260559"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260559" w14:paraId="1C75AE76" w14:textId="77777777" w:rsidTr="00BD1E5A">
        <w:tc>
          <w:tcPr>
            <w:tcW w:w="9962" w:type="dxa"/>
            <w:gridSpan w:val="2"/>
          </w:tcPr>
          <w:p w14:paraId="56F7FA3E" w14:textId="77777777" w:rsidR="00B13D65" w:rsidRPr="00260559"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260559">
              <w:rPr>
                <w:rStyle w:val="Style2"/>
                <w:rFonts w:eastAsia="MS Gothic"/>
                <w:b/>
                <w:bCs/>
                <w:sz w:val="24"/>
              </w:rPr>
              <w:t>Kaštų naudingumas</w:t>
            </w:r>
          </w:p>
          <w:p w14:paraId="0247EDAD" w14:textId="77777777" w:rsidR="00B13D65" w:rsidRPr="00260559"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260559" w14:paraId="7091A05B" w14:textId="77777777" w:rsidTr="00BD1E5A">
        <w:tc>
          <w:tcPr>
            <w:tcW w:w="4981" w:type="dxa"/>
          </w:tcPr>
          <w:p w14:paraId="69B2A994" w14:textId="269544F1" w:rsidR="00B13D65" w:rsidRPr="00260559"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Content>
                <w:r w:rsidR="008F2305" w:rsidRPr="00260559">
                  <w:rPr>
                    <w:rStyle w:val="Style2"/>
                    <w:rFonts w:ascii="MS Gothic" w:eastAsia="MS Gothic" w:hAnsi="MS Gothic"/>
                    <w:sz w:val="24"/>
                  </w:rPr>
                  <w:t>☒</w:t>
                </w:r>
              </w:sdtContent>
            </w:sdt>
            <w:r w:rsidR="00B13D65" w:rsidRPr="00260559">
              <w:t xml:space="preserve"> 32.3. atitinka referencinę naudingumo vertę, taikant</w:t>
            </w:r>
            <w:r w:rsidR="00662983" w:rsidRPr="00260559">
              <w:t xml:space="preserve"> PGS</w:t>
            </w:r>
            <w:r w:rsidR="003C63AF" w:rsidRPr="00260559">
              <w:t xml:space="preserve"> tam tikrais pacientų atvejais.</w:t>
            </w:r>
          </w:p>
          <w:p w14:paraId="3F76F153" w14:textId="77777777" w:rsidR="00662983" w:rsidRPr="00260559"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3BF7C345" w:rsidR="00B13D65" w:rsidRPr="00260559" w:rsidRDefault="00000000" w:rsidP="00742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Content>
                <w:r w:rsidR="003C63AF" w:rsidRPr="00260559">
                  <w:rPr>
                    <w:rStyle w:val="Style2"/>
                    <w:rFonts w:ascii="MS Gothic" w:eastAsia="MS Gothic" w:hAnsi="MS Gothic"/>
                    <w:sz w:val="24"/>
                  </w:rPr>
                  <w:t>☐</w:t>
                </w:r>
              </w:sdtContent>
            </w:sdt>
            <w:r w:rsidR="00B13D65" w:rsidRPr="00260559">
              <w:t xml:space="preserve"> 32.3. </w:t>
            </w:r>
            <w:r w:rsidR="005648CF" w:rsidRPr="00260559">
              <w:t>gydymo juo kaštai yra mažesni ar tokie patys esant iš esmės nesiskiriančiam palyginamajam efektyvumui, taikant PGS.</w:t>
            </w:r>
          </w:p>
        </w:tc>
        <w:tc>
          <w:tcPr>
            <w:tcW w:w="4981" w:type="dxa"/>
          </w:tcPr>
          <w:p w14:paraId="53380063" w14:textId="07F023EC" w:rsidR="00B13D65" w:rsidRPr="00260559"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260559">
                  <w:rPr>
                    <w:rStyle w:val="Style2"/>
                    <w:rFonts w:ascii="Segoe UI Symbol" w:eastAsia="MS Gothic" w:hAnsi="Segoe UI Symbol" w:cs="Segoe UI Symbol"/>
                    <w:sz w:val="24"/>
                  </w:rPr>
                  <w:t>☐</w:t>
                </w:r>
              </w:sdtContent>
            </w:sdt>
            <w:r w:rsidR="00B13D65" w:rsidRPr="00260559">
              <w:t xml:space="preserve"> 33.3. neatitinka referencinės naudingumo vertės Lietuvos Respublikoje;</w:t>
            </w:r>
          </w:p>
          <w:p w14:paraId="229ED51A" w14:textId="77777777" w:rsidR="00662983" w:rsidRPr="00260559"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4A009DAD" w:rsidR="00B13D65" w:rsidRPr="00260559"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260559">
                  <w:rPr>
                    <w:rStyle w:val="Style2"/>
                    <w:rFonts w:ascii="Segoe UI Symbol" w:eastAsia="MS Gothic" w:hAnsi="Segoe UI Symbol" w:cs="Segoe UI Symbol"/>
                    <w:sz w:val="24"/>
                  </w:rPr>
                  <w:t>☐</w:t>
                </w:r>
              </w:sdtContent>
            </w:sdt>
            <w:r w:rsidR="00B13D65" w:rsidRPr="00260559">
              <w:t xml:space="preserve"> 33.3. gydymo juo kaštai yra didesni esant iš esmės nesiskiriančiam palyginamajam efektyvumui, </w:t>
            </w:r>
            <w:r w:rsidR="00662983" w:rsidRPr="00260559">
              <w:t>&lt;</w:t>
            </w:r>
            <w:r w:rsidR="00B13D65" w:rsidRPr="00260559">
              <w:t>taikant</w:t>
            </w:r>
            <w:r w:rsidR="00662983" w:rsidRPr="00260559">
              <w:t xml:space="preserve"> PGS&gt;</w:t>
            </w:r>
            <w:r w:rsidR="00B13D65" w:rsidRPr="00260559">
              <w:t xml:space="preserve"> </w:t>
            </w:r>
            <w:r w:rsidR="00662983" w:rsidRPr="00260559">
              <w:t>&lt;</w:t>
            </w:r>
            <w:r w:rsidR="00B13D65" w:rsidRPr="00260559">
              <w:t>netaikant PGS</w:t>
            </w:r>
            <w:r w:rsidR="00662983" w:rsidRPr="00260559">
              <w:t>&gt;</w:t>
            </w:r>
          </w:p>
          <w:p w14:paraId="4A9C7D2A" w14:textId="77777777" w:rsidR="00662983" w:rsidRPr="00260559"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260559"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260559">
                  <w:rPr>
                    <w:rStyle w:val="Style2"/>
                    <w:rFonts w:ascii="Segoe UI Symbol" w:eastAsia="MS Gothic" w:hAnsi="Segoe UI Symbol" w:cs="Segoe UI Symbol"/>
                    <w:sz w:val="24"/>
                  </w:rPr>
                  <w:t>☐</w:t>
                </w:r>
              </w:sdtContent>
            </w:sdt>
            <w:r w:rsidR="00B13D65" w:rsidRPr="00260559">
              <w:t xml:space="preserve"> 33.3. pateikti duomenys apie kaštų na</w:t>
            </w:r>
            <w:r w:rsidR="00662983" w:rsidRPr="00260559">
              <w:t>udingumą yra netinkami vertinti</w:t>
            </w:r>
          </w:p>
          <w:p w14:paraId="470A48A4" w14:textId="77777777" w:rsidR="00B13D65" w:rsidRPr="00260559"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E54D44C" w14:textId="77777777" w:rsidR="0055060B" w:rsidRPr="00260559" w:rsidRDefault="0055060B" w:rsidP="0055060B">
      <w:pPr>
        <w:rPr>
          <w:b/>
        </w:rPr>
      </w:pPr>
    </w:p>
    <w:p w14:paraId="4761590D" w14:textId="77777777" w:rsidR="0055060B" w:rsidRPr="00260559" w:rsidRDefault="0055060B" w:rsidP="0055060B">
      <w:pPr>
        <w:pStyle w:val="Sraopastraipa"/>
        <w:numPr>
          <w:ilvl w:val="0"/>
          <w:numId w:val="12"/>
        </w:numPr>
        <w:ind w:left="567" w:hanging="567"/>
        <w:rPr>
          <w:b/>
        </w:rPr>
      </w:pPr>
      <w:r w:rsidRPr="00260559">
        <w:rPr>
          <w:b/>
        </w:rPr>
        <w:t>REKOMENDACIJA</w:t>
      </w:r>
    </w:p>
    <w:p w14:paraId="7CA221DC" w14:textId="77777777" w:rsidR="0055060B" w:rsidRPr="00260559" w:rsidRDefault="0055060B" w:rsidP="0055060B">
      <w:pPr>
        <w:rPr>
          <w:i/>
          <w:color w:val="00B050"/>
        </w:rPr>
      </w:pPr>
    </w:p>
    <w:p w14:paraId="2DBE59C9" w14:textId="77777777" w:rsidR="001904B9" w:rsidRPr="00260559" w:rsidRDefault="001904B9" w:rsidP="00012A5D">
      <w:pPr>
        <w:spacing w:line="276" w:lineRule="auto"/>
        <w:jc w:val="both"/>
      </w:pPr>
      <w:r w:rsidRPr="00260559">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6BE2B3AD" w14:textId="7A874829" w:rsidR="00B348C1" w:rsidRPr="00260559" w:rsidRDefault="001904B9" w:rsidP="00012A5D">
      <w:pPr>
        <w:spacing w:line="276" w:lineRule="auto"/>
        <w:jc w:val="both"/>
        <w:rPr>
          <w:i/>
          <w:color w:val="00B050"/>
        </w:rPr>
      </w:pPr>
      <w:r w:rsidRPr="00260559">
        <w:lastRenderedPageBreak/>
        <w:t>34.1. rekomenduojama kompensuoti vaistinį preparatą pagal paraiškoje nurodytą indikaciją su skyrimo sąlygomis, taikant PGS, dėl didesnio palyginamojo efektyvumo ir gydymo sukuriamos papildomos naudos pacientų sveikatai, lyginant su įprasta klinikine praktika, ir atitikties referencinei naudingumo vertei.</w:t>
      </w:r>
    </w:p>
    <w:p w14:paraId="4675BD1C" w14:textId="77777777" w:rsidR="0055060B" w:rsidRPr="00260559" w:rsidRDefault="0055060B" w:rsidP="0055060B"/>
    <w:p w14:paraId="2DE4B8C2" w14:textId="77777777" w:rsidR="0055060B" w:rsidRPr="00260559" w:rsidRDefault="0055060B" w:rsidP="0055060B">
      <w:pPr>
        <w:tabs>
          <w:tab w:val="left" w:pos="567"/>
        </w:tabs>
        <w:ind w:left="567" w:hanging="567"/>
        <w:jc w:val="both"/>
        <w:rPr>
          <w:b/>
          <w:color w:val="000000"/>
          <w:lang w:eastAsia="lt-LT"/>
        </w:rPr>
      </w:pPr>
      <w:r w:rsidRPr="00260559">
        <w:rPr>
          <w:b/>
          <w:color w:val="000000"/>
          <w:lang w:eastAsia="lt-LT"/>
        </w:rPr>
        <w:t>8.</w:t>
      </w:r>
      <w:r w:rsidRPr="00260559">
        <w:rPr>
          <w:b/>
          <w:color w:val="000000"/>
          <w:lang w:eastAsia="lt-LT"/>
        </w:rPr>
        <w:tab/>
        <w:t xml:space="preserve">SIŪLOMOS KOMPENSUOTI TERAPINĖS INDIKACIJOS IR SKYRIMO SĄLYGOS </w:t>
      </w:r>
    </w:p>
    <w:p w14:paraId="04411EAD" w14:textId="341E2E17" w:rsidR="004A3A61" w:rsidRPr="00260559" w:rsidRDefault="004A3A61" w:rsidP="00272461">
      <w:pPr>
        <w:spacing w:line="276" w:lineRule="auto"/>
        <w:jc w:val="both"/>
        <w:rPr>
          <w:i/>
          <w:iCs/>
        </w:rPr>
      </w:pPr>
    </w:p>
    <w:p w14:paraId="4D1C47A8" w14:textId="77777777" w:rsidR="000915AB" w:rsidRPr="00260559" w:rsidRDefault="000915AB" w:rsidP="000915AB">
      <w:pPr>
        <w:pStyle w:val="Betarp"/>
        <w:rPr>
          <w:rFonts w:ascii="Times New Roman" w:hAnsi="Times New Roman"/>
          <w:b/>
          <w:sz w:val="24"/>
          <w:szCs w:val="24"/>
          <w:lang w:eastAsia="lt-LT"/>
        </w:rPr>
      </w:pPr>
      <w:r w:rsidRPr="00260559">
        <w:rPr>
          <w:rFonts w:ascii="Times New Roman" w:hAnsi="Times New Roman"/>
          <w:b/>
          <w:sz w:val="24"/>
          <w:szCs w:val="24"/>
          <w:lang w:eastAsia="lt-LT"/>
        </w:rPr>
        <w:t>Terapinės indikacijos</w:t>
      </w:r>
    </w:p>
    <w:p w14:paraId="5C32951D" w14:textId="77777777" w:rsidR="00CC1557" w:rsidRPr="00260559" w:rsidRDefault="00000000" w:rsidP="00EC5F56">
      <w:pPr>
        <w:pStyle w:val="Betarp"/>
        <w:jc w:val="both"/>
      </w:pPr>
      <w:sdt>
        <w:sdtPr>
          <w:rPr>
            <w:rStyle w:val="Style2"/>
            <w:rFonts w:ascii="Times New Roman" w:hAnsi="Times New Roman"/>
            <w:sz w:val="24"/>
            <w:szCs w:val="24"/>
          </w:rPr>
          <w:id w:val="-154227290"/>
          <w15:color w:val="FFCC00"/>
          <w14:checkbox>
            <w14:checked w14:val="1"/>
            <w14:checkedState w14:val="2612" w14:font="MS Gothic"/>
            <w14:uncheckedState w14:val="2610" w14:font="MS Gothic"/>
          </w14:checkbox>
        </w:sdtPr>
        <w:sdtContent>
          <w:r w:rsidR="003C63AF" w:rsidRPr="00260559">
            <w:rPr>
              <w:rStyle w:val="Style2"/>
              <w:rFonts w:ascii="MS Gothic" w:eastAsia="MS Gothic" w:hAnsi="MS Gothic"/>
              <w:sz w:val="24"/>
              <w:szCs w:val="24"/>
            </w:rPr>
            <w:t>☒</w:t>
          </w:r>
        </w:sdtContent>
      </w:sdt>
      <w:r w:rsidR="000915AB" w:rsidRPr="00260559">
        <w:rPr>
          <w:rFonts w:ascii="Times New Roman" w:hAnsi="Times New Roman"/>
          <w:sz w:val="24"/>
          <w:szCs w:val="24"/>
        </w:rPr>
        <w:t xml:space="preserve"> Siūloma kompensuoti Pareiškėjo teikiamą indikaciją be pakeitimų:</w:t>
      </w:r>
      <w:r w:rsidR="00EC5F56" w:rsidRPr="00260559">
        <w:t xml:space="preserve"> </w:t>
      </w:r>
    </w:p>
    <w:p w14:paraId="5B8436E1" w14:textId="77777777" w:rsidR="00CC1557" w:rsidRPr="00260559" w:rsidRDefault="00CC1557" w:rsidP="00EC5F56">
      <w:pPr>
        <w:pStyle w:val="Betarp"/>
        <w:jc w:val="both"/>
        <w:rPr>
          <w:rFonts w:ascii="Times New Roman" w:hAnsi="Times New Roman"/>
          <w:sz w:val="24"/>
          <w:szCs w:val="24"/>
        </w:rPr>
      </w:pPr>
    </w:p>
    <w:p w14:paraId="09ABF9E9" w14:textId="57C27EB8" w:rsidR="00EC5F56" w:rsidRPr="00260559" w:rsidRDefault="00EC5F56" w:rsidP="00EC5F56">
      <w:pPr>
        <w:pStyle w:val="Betarp"/>
        <w:jc w:val="both"/>
        <w:rPr>
          <w:rFonts w:ascii="Times New Roman" w:eastAsia="Times New Roman" w:hAnsi="Times New Roman"/>
          <w:sz w:val="24"/>
          <w:szCs w:val="24"/>
        </w:rPr>
      </w:pPr>
      <w:r w:rsidRPr="00260559">
        <w:rPr>
          <w:rFonts w:ascii="Times New Roman" w:hAnsi="Times New Roman"/>
          <w:sz w:val="24"/>
          <w:szCs w:val="24"/>
        </w:rPr>
        <w:t>KEYTRUDA derinant su lenvatinibu skirtas suaugusiųjų išplitusios ar recidyvavusios endometriumo karcinomos gydymui, kai nustatytas ligos progresavimas skiriant bet kurios eilės gydymą platinos vaistiniais preparatais arba po šio gydymo ir kai nenumatoma taikyti radikalios chirurginės operacijos ar radioterapijos.</w:t>
      </w:r>
    </w:p>
    <w:p w14:paraId="737DE517" w14:textId="6D33B294" w:rsidR="007E52C1" w:rsidRPr="00260559" w:rsidRDefault="007E52C1" w:rsidP="000915AB">
      <w:pPr>
        <w:pStyle w:val="Betarp"/>
        <w:rPr>
          <w:rFonts w:ascii="Times New Roman" w:hAnsi="Times New Roman"/>
          <w:sz w:val="24"/>
          <w:szCs w:val="24"/>
        </w:rPr>
      </w:pPr>
    </w:p>
    <w:p w14:paraId="2EECA954" w14:textId="7C779DCB" w:rsidR="000915AB" w:rsidRPr="00260559" w:rsidRDefault="000915AB" w:rsidP="000915AB">
      <w:pPr>
        <w:pStyle w:val="Betarp"/>
        <w:rPr>
          <w:rFonts w:ascii="Times New Roman" w:hAnsi="Times New Roman"/>
          <w:b/>
          <w:sz w:val="24"/>
          <w:szCs w:val="24"/>
        </w:rPr>
      </w:pPr>
      <w:r w:rsidRPr="00260559">
        <w:rPr>
          <w:rFonts w:ascii="Times New Roman" w:hAnsi="Times New Roman"/>
          <w:b/>
          <w:sz w:val="24"/>
          <w:szCs w:val="24"/>
        </w:rPr>
        <w:t>Skyrimo sąlygos</w:t>
      </w:r>
    </w:p>
    <w:p w14:paraId="3E99D99E" w14:textId="321D5DA2" w:rsidR="00273F70" w:rsidRPr="00260559" w:rsidRDefault="00000000" w:rsidP="00273F70">
      <w:pPr>
        <w:pStyle w:val="Betarp"/>
        <w:rPr>
          <w:rFonts w:ascii="Times New Roman" w:hAnsi="Times New Roman"/>
          <w:sz w:val="24"/>
          <w:szCs w:val="24"/>
        </w:rPr>
      </w:pPr>
      <w:sdt>
        <w:sdtPr>
          <w:rPr>
            <w:rStyle w:val="Style2"/>
            <w:rFonts w:ascii="Times New Roman" w:hAnsi="Times New Roman"/>
            <w:sz w:val="24"/>
            <w:szCs w:val="24"/>
          </w:rPr>
          <w:id w:val="1045334677"/>
          <w15:color w:val="FFCC00"/>
          <w14:checkbox>
            <w14:checked w14:val="1"/>
            <w14:checkedState w14:val="2612" w14:font="MS Gothic"/>
            <w14:uncheckedState w14:val="2610" w14:font="MS Gothic"/>
          </w14:checkbox>
        </w:sdtPr>
        <w:sdtContent>
          <w:r w:rsidR="00273F70" w:rsidRPr="00260559">
            <w:rPr>
              <w:rStyle w:val="Style2"/>
              <w:rFonts w:ascii="MS Gothic" w:eastAsia="MS Gothic" w:hAnsi="MS Gothic"/>
              <w:sz w:val="24"/>
              <w:szCs w:val="24"/>
            </w:rPr>
            <w:t>☒</w:t>
          </w:r>
        </w:sdtContent>
      </w:sdt>
      <w:r w:rsidR="00273F70" w:rsidRPr="00260559">
        <w:rPr>
          <w:rFonts w:ascii="Times New Roman" w:hAnsi="Times New Roman"/>
          <w:sz w:val="24"/>
          <w:szCs w:val="24"/>
        </w:rPr>
        <w:t xml:space="preserve"> Pareiškėjo siūlomos skyrimo sąlygos priimtinos. </w:t>
      </w:r>
    </w:p>
    <w:p w14:paraId="13ED70E8" w14:textId="77777777" w:rsidR="00273F70" w:rsidRPr="00260559" w:rsidRDefault="00273F70" w:rsidP="000915AB">
      <w:pPr>
        <w:pStyle w:val="Betarp"/>
        <w:rPr>
          <w:rFonts w:ascii="Times New Roman" w:hAnsi="Times New Roman"/>
          <w:b/>
          <w:sz w:val="24"/>
          <w:szCs w:val="24"/>
        </w:rPr>
      </w:pPr>
    </w:p>
    <w:p w14:paraId="4828C745" w14:textId="2F7D8F28" w:rsidR="008E533A" w:rsidRPr="00260559" w:rsidRDefault="008E533A" w:rsidP="008E533A">
      <w:pPr>
        <w:pStyle w:val="Betarp"/>
        <w:rPr>
          <w:rFonts w:ascii="Times New Roman" w:hAnsi="Times New Roman"/>
          <w:iCs/>
          <w:sz w:val="24"/>
          <w:szCs w:val="24"/>
        </w:rPr>
      </w:pPr>
      <w:r w:rsidRPr="00260559">
        <w:rPr>
          <w:rFonts w:ascii="Times New Roman" w:hAnsi="Times New Roman"/>
          <w:sz w:val="24"/>
          <w:szCs w:val="24"/>
        </w:rPr>
        <w:t>Neteikiamos</w:t>
      </w:r>
    </w:p>
    <w:p w14:paraId="00238513" w14:textId="20937031" w:rsidR="000915AB" w:rsidRPr="00260559" w:rsidRDefault="000915AB" w:rsidP="000915AB">
      <w:pPr>
        <w:pStyle w:val="Betarp"/>
        <w:spacing w:line="276" w:lineRule="auto"/>
        <w:jc w:val="both"/>
        <w:rPr>
          <w:rFonts w:ascii="Times New Roman" w:hAnsi="Times New Roman"/>
          <w:iCs/>
          <w:sz w:val="24"/>
          <w:szCs w:val="24"/>
        </w:rPr>
      </w:pPr>
    </w:p>
    <w:sectPr w:rsidR="000915AB" w:rsidRPr="00260559" w:rsidSect="005D30E1">
      <w:headerReference w:type="even" r:id="rId7"/>
      <w:headerReference w:type="default" r:id="rId8"/>
      <w:headerReference w:type="first" r:id="rId9"/>
      <w:footerReference w:type="first" r:id="rId10"/>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B9A68" w14:textId="77777777" w:rsidR="00444BF0" w:rsidRDefault="00444BF0">
      <w:r>
        <w:separator/>
      </w:r>
    </w:p>
  </w:endnote>
  <w:endnote w:type="continuationSeparator" w:id="0">
    <w:p w14:paraId="4A68747B" w14:textId="77777777" w:rsidR="00444BF0" w:rsidRDefault="0044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E91BE" w14:textId="77777777" w:rsidR="00444BF0" w:rsidRDefault="00444BF0">
      <w:r>
        <w:separator/>
      </w:r>
    </w:p>
  </w:footnote>
  <w:footnote w:type="continuationSeparator" w:id="0">
    <w:p w14:paraId="34169221" w14:textId="77777777" w:rsidR="00444BF0" w:rsidRDefault="00444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736132F0"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D5A6D">
      <w:rPr>
        <w:rStyle w:val="Puslapionumeris"/>
        <w:noProof/>
      </w:rPr>
      <w:t>2</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73B1625"/>
    <w:multiLevelType w:val="hybridMultilevel"/>
    <w:tmpl w:val="5B0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multilevel"/>
    <w:tmpl w:val="82660BE8"/>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277B5E89"/>
    <w:multiLevelType w:val="hybridMultilevel"/>
    <w:tmpl w:val="E80EE7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32605BF"/>
    <w:multiLevelType w:val="hybridMultilevel"/>
    <w:tmpl w:val="484C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743D0"/>
    <w:multiLevelType w:val="hybridMultilevel"/>
    <w:tmpl w:val="8F9CBD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0"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362BA2"/>
    <w:multiLevelType w:val="hybridMultilevel"/>
    <w:tmpl w:val="4712DBA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A1538D"/>
    <w:multiLevelType w:val="hybridMultilevel"/>
    <w:tmpl w:val="2F7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7A688E"/>
    <w:multiLevelType w:val="hybridMultilevel"/>
    <w:tmpl w:val="D20213C6"/>
    <w:lvl w:ilvl="0" w:tplc="04270001">
      <w:start w:val="1"/>
      <w:numFmt w:val="bullet"/>
      <w:lvlText w:val=""/>
      <w:lvlJc w:val="left"/>
      <w:pPr>
        <w:ind w:left="781" w:hanging="360"/>
      </w:pPr>
      <w:rPr>
        <w:rFonts w:ascii="Symbol" w:hAnsi="Symbol" w:hint="default"/>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17" w15:restartNumberingAfterBreak="0">
    <w:nsid w:val="68E57874"/>
    <w:multiLevelType w:val="hybridMultilevel"/>
    <w:tmpl w:val="97F29350"/>
    <w:lvl w:ilvl="0" w:tplc="08090001">
      <w:start w:val="1"/>
      <w:numFmt w:val="bullet"/>
      <w:lvlText w:val=""/>
      <w:lvlJc w:val="left"/>
      <w:pPr>
        <w:ind w:left="37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5D5412"/>
    <w:multiLevelType w:val="hybridMultilevel"/>
    <w:tmpl w:val="59A0D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FE12046"/>
    <w:multiLevelType w:val="hybridMultilevel"/>
    <w:tmpl w:val="AF52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548729">
    <w:abstractNumId w:val="10"/>
  </w:num>
  <w:num w:numId="2" w16cid:durableId="580797186">
    <w:abstractNumId w:val="2"/>
  </w:num>
  <w:num w:numId="3" w16cid:durableId="847908208">
    <w:abstractNumId w:val="13"/>
  </w:num>
  <w:num w:numId="4" w16cid:durableId="1170801785">
    <w:abstractNumId w:val="12"/>
  </w:num>
  <w:num w:numId="5" w16cid:durableId="2022320109">
    <w:abstractNumId w:val="9"/>
  </w:num>
  <w:num w:numId="6" w16cid:durableId="371074905">
    <w:abstractNumId w:val="8"/>
  </w:num>
  <w:num w:numId="7" w16cid:durableId="2068412080">
    <w:abstractNumId w:val="4"/>
  </w:num>
  <w:num w:numId="8" w16cid:durableId="868880648">
    <w:abstractNumId w:val="20"/>
  </w:num>
  <w:num w:numId="9" w16cid:durableId="1396901242">
    <w:abstractNumId w:val="0"/>
  </w:num>
  <w:num w:numId="10" w16cid:durableId="1845317116">
    <w:abstractNumId w:val="14"/>
  </w:num>
  <w:num w:numId="11" w16cid:durableId="1113209484">
    <w:abstractNumId w:val="18"/>
  </w:num>
  <w:num w:numId="12" w16cid:durableId="920212499">
    <w:abstractNumId w:val="3"/>
  </w:num>
  <w:num w:numId="13" w16cid:durableId="822505225">
    <w:abstractNumId w:val="1"/>
  </w:num>
  <w:num w:numId="14" w16cid:durableId="1755322534">
    <w:abstractNumId w:val="15"/>
  </w:num>
  <w:num w:numId="15" w16cid:durableId="890457072">
    <w:abstractNumId w:val="21"/>
  </w:num>
  <w:num w:numId="16" w16cid:durableId="1838154942">
    <w:abstractNumId w:val="19"/>
  </w:num>
  <w:num w:numId="17" w16cid:durableId="753864612">
    <w:abstractNumId w:val="6"/>
  </w:num>
  <w:num w:numId="18" w16cid:durableId="1053849780">
    <w:abstractNumId w:val="11"/>
  </w:num>
  <w:num w:numId="19" w16cid:durableId="1015379451">
    <w:abstractNumId w:val="5"/>
  </w:num>
  <w:num w:numId="20" w16cid:durableId="1032920719">
    <w:abstractNumId w:val="16"/>
  </w:num>
  <w:num w:numId="21" w16cid:durableId="1560483491">
    <w:abstractNumId w:val="7"/>
  </w:num>
  <w:num w:numId="22" w16cid:durableId="17434861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3F5B"/>
    <w:rsid w:val="00010786"/>
    <w:rsid w:val="000114DD"/>
    <w:rsid w:val="00012A5D"/>
    <w:rsid w:val="000136DE"/>
    <w:rsid w:val="000136F7"/>
    <w:rsid w:val="0002686C"/>
    <w:rsid w:val="00031D0E"/>
    <w:rsid w:val="000337E6"/>
    <w:rsid w:val="0003402E"/>
    <w:rsid w:val="00034EAE"/>
    <w:rsid w:val="000606BE"/>
    <w:rsid w:val="000613FB"/>
    <w:rsid w:val="000726CD"/>
    <w:rsid w:val="000736B8"/>
    <w:rsid w:val="0008190F"/>
    <w:rsid w:val="00081D9C"/>
    <w:rsid w:val="00082907"/>
    <w:rsid w:val="0008378D"/>
    <w:rsid w:val="000908A5"/>
    <w:rsid w:val="000915AB"/>
    <w:rsid w:val="00092805"/>
    <w:rsid w:val="000C454C"/>
    <w:rsid w:val="000D5038"/>
    <w:rsid w:val="000E229F"/>
    <w:rsid w:val="000E29D4"/>
    <w:rsid w:val="000F3540"/>
    <w:rsid w:val="00100491"/>
    <w:rsid w:val="0010102A"/>
    <w:rsid w:val="00101608"/>
    <w:rsid w:val="00104E2E"/>
    <w:rsid w:val="00107287"/>
    <w:rsid w:val="00117406"/>
    <w:rsid w:val="00121EF0"/>
    <w:rsid w:val="00124A9E"/>
    <w:rsid w:val="00130703"/>
    <w:rsid w:val="0013153F"/>
    <w:rsid w:val="001408B8"/>
    <w:rsid w:val="001479DE"/>
    <w:rsid w:val="001521D9"/>
    <w:rsid w:val="00154B01"/>
    <w:rsid w:val="001554E2"/>
    <w:rsid w:val="00164146"/>
    <w:rsid w:val="00165F83"/>
    <w:rsid w:val="0017369C"/>
    <w:rsid w:val="00180C39"/>
    <w:rsid w:val="00180D96"/>
    <w:rsid w:val="001904B9"/>
    <w:rsid w:val="001921F3"/>
    <w:rsid w:val="001A0642"/>
    <w:rsid w:val="001B3C5B"/>
    <w:rsid w:val="001B5D98"/>
    <w:rsid w:val="001D46A7"/>
    <w:rsid w:val="001E4BBB"/>
    <w:rsid w:val="001E6304"/>
    <w:rsid w:val="0020381E"/>
    <w:rsid w:val="00213471"/>
    <w:rsid w:val="00214F6C"/>
    <w:rsid w:val="00215906"/>
    <w:rsid w:val="0025697F"/>
    <w:rsid w:val="00260258"/>
    <w:rsid w:val="00260559"/>
    <w:rsid w:val="0027164A"/>
    <w:rsid w:val="00272428"/>
    <w:rsid w:val="00272461"/>
    <w:rsid w:val="00272948"/>
    <w:rsid w:val="00273F70"/>
    <w:rsid w:val="00285BAC"/>
    <w:rsid w:val="002946C7"/>
    <w:rsid w:val="002A6B73"/>
    <w:rsid w:val="002B3CC1"/>
    <w:rsid w:val="002C09E0"/>
    <w:rsid w:val="002C2E90"/>
    <w:rsid w:val="002C3A10"/>
    <w:rsid w:val="002C4A90"/>
    <w:rsid w:val="002D02EF"/>
    <w:rsid w:val="002D3679"/>
    <w:rsid w:val="002E0702"/>
    <w:rsid w:val="002E6F80"/>
    <w:rsid w:val="002F0E4F"/>
    <w:rsid w:val="002F1053"/>
    <w:rsid w:val="00306A4E"/>
    <w:rsid w:val="00306D00"/>
    <w:rsid w:val="0031479B"/>
    <w:rsid w:val="00317825"/>
    <w:rsid w:val="00317B0E"/>
    <w:rsid w:val="0032204D"/>
    <w:rsid w:val="003458C3"/>
    <w:rsid w:val="00347FAA"/>
    <w:rsid w:val="0035172D"/>
    <w:rsid w:val="00351A08"/>
    <w:rsid w:val="00360F62"/>
    <w:rsid w:val="0036187D"/>
    <w:rsid w:val="00381024"/>
    <w:rsid w:val="00383787"/>
    <w:rsid w:val="00386307"/>
    <w:rsid w:val="003874DE"/>
    <w:rsid w:val="00390F3E"/>
    <w:rsid w:val="00393E9F"/>
    <w:rsid w:val="0039696E"/>
    <w:rsid w:val="003B211A"/>
    <w:rsid w:val="003B2BDC"/>
    <w:rsid w:val="003C12B3"/>
    <w:rsid w:val="003C141F"/>
    <w:rsid w:val="003C63AF"/>
    <w:rsid w:val="003C6B0E"/>
    <w:rsid w:val="003C7257"/>
    <w:rsid w:val="003C7E35"/>
    <w:rsid w:val="003E5FCD"/>
    <w:rsid w:val="003F4C86"/>
    <w:rsid w:val="00404E8A"/>
    <w:rsid w:val="0040622F"/>
    <w:rsid w:val="00417DCF"/>
    <w:rsid w:val="00420BF8"/>
    <w:rsid w:val="00423160"/>
    <w:rsid w:val="00444BF0"/>
    <w:rsid w:val="00453862"/>
    <w:rsid w:val="00460092"/>
    <w:rsid w:val="00461338"/>
    <w:rsid w:val="00464659"/>
    <w:rsid w:val="004677DB"/>
    <w:rsid w:val="004757AB"/>
    <w:rsid w:val="0048630F"/>
    <w:rsid w:val="004947A1"/>
    <w:rsid w:val="0049482A"/>
    <w:rsid w:val="00496070"/>
    <w:rsid w:val="004975DA"/>
    <w:rsid w:val="004979D3"/>
    <w:rsid w:val="004A00E7"/>
    <w:rsid w:val="004A1B59"/>
    <w:rsid w:val="004A3A61"/>
    <w:rsid w:val="004B59BA"/>
    <w:rsid w:val="004C263A"/>
    <w:rsid w:val="004D7B8F"/>
    <w:rsid w:val="004E6458"/>
    <w:rsid w:val="004E6E7D"/>
    <w:rsid w:val="004F1AAC"/>
    <w:rsid w:val="004F1AE2"/>
    <w:rsid w:val="004F34F0"/>
    <w:rsid w:val="005005EF"/>
    <w:rsid w:val="00516251"/>
    <w:rsid w:val="00521380"/>
    <w:rsid w:val="005227E0"/>
    <w:rsid w:val="005270F1"/>
    <w:rsid w:val="00534E11"/>
    <w:rsid w:val="0053651E"/>
    <w:rsid w:val="005400D9"/>
    <w:rsid w:val="00540135"/>
    <w:rsid w:val="005476A4"/>
    <w:rsid w:val="0055019B"/>
    <w:rsid w:val="0055060B"/>
    <w:rsid w:val="00556E63"/>
    <w:rsid w:val="005601A4"/>
    <w:rsid w:val="005648CF"/>
    <w:rsid w:val="00566DBB"/>
    <w:rsid w:val="00570FDD"/>
    <w:rsid w:val="005976CE"/>
    <w:rsid w:val="005A23D4"/>
    <w:rsid w:val="005A2D1E"/>
    <w:rsid w:val="005C493F"/>
    <w:rsid w:val="005C6BF7"/>
    <w:rsid w:val="005C71BF"/>
    <w:rsid w:val="005D002C"/>
    <w:rsid w:val="005D30E1"/>
    <w:rsid w:val="005D5A6D"/>
    <w:rsid w:val="005D6555"/>
    <w:rsid w:val="005D7BDF"/>
    <w:rsid w:val="005E7892"/>
    <w:rsid w:val="005F2950"/>
    <w:rsid w:val="005F71D9"/>
    <w:rsid w:val="005F7602"/>
    <w:rsid w:val="006108BA"/>
    <w:rsid w:val="00613501"/>
    <w:rsid w:val="006166A8"/>
    <w:rsid w:val="00616854"/>
    <w:rsid w:val="006174A1"/>
    <w:rsid w:val="006221D7"/>
    <w:rsid w:val="00633B49"/>
    <w:rsid w:val="00635738"/>
    <w:rsid w:val="00636A50"/>
    <w:rsid w:val="0064297F"/>
    <w:rsid w:val="00646CF3"/>
    <w:rsid w:val="00662983"/>
    <w:rsid w:val="006661F8"/>
    <w:rsid w:val="006705B8"/>
    <w:rsid w:val="00673760"/>
    <w:rsid w:val="006834D3"/>
    <w:rsid w:val="00690A36"/>
    <w:rsid w:val="00692235"/>
    <w:rsid w:val="00692625"/>
    <w:rsid w:val="00695CD3"/>
    <w:rsid w:val="006A38B6"/>
    <w:rsid w:val="006B1987"/>
    <w:rsid w:val="006B5B71"/>
    <w:rsid w:val="006B6CB0"/>
    <w:rsid w:val="006C2B64"/>
    <w:rsid w:val="006D4C85"/>
    <w:rsid w:val="006E33F6"/>
    <w:rsid w:val="006F1251"/>
    <w:rsid w:val="006F1C23"/>
    <w:rsid w:val="006F3037"/>
    <w:rsid w:val="00703166"/>
    <w:rsid w:val="007127F3"/>
    <w:rsid w:val="007301CF"/>
    <w:rsid w:val="007316FB"/>
    <w:rsid w:val="00737E2D"/>
    <w:rsid w:val="00742033"/>
    <w:rsid w:val="007424D5"/>
    <w:rsid w:val="007523DD"/>
    <w:rsid w:val="00757B7E"/>
    <w:rsid w:val="00771743"/>
    <w:rsid w:val="00771A84"/>
    <w:rsid w:val="00795DC5"/>
    <w:rsid w:val="00797153"/>
    <w:rsid w:val="007B0DDA"/>
    <w:rsid w:val="007B2749"/>
    <w:rsid w:val="007B3C4D"/>
    <w:rsid w:val="007C5B6E"/>
    <w:rsid w:val="007D6482"/>
    <w:rsid w:val="007E4A19"/>
    <w:rsid w:val="007E52C1"/>
    <w:rsid w:val="007E5466"/>
    <w:rsid w:val="007F1949"/>
    <w:rsid w:val="00802956"/>
    <w:rsid w:val="008075B7"/>
    <w:rsid w:val="00817A84"/>
    <w:rsid w:val="008225A4"/>
    <w:rsid w:val="00826D5E"/>
    <w:rsid w:val="00832013"/>
    <w:rsid w:val="00834732"/>
    <w:rsid w:val="00843554"/>
    <w:rsid w:val="00846462"/>
    <w:rsid w:val="0085200C"/>
    <w:rsid w:val="00857C52"/>
    <w:rsid w:val="008651E2"/>
    <w:rsid w:val="00880A44"/>
    <w:rsid w:val="0088345E"/>
    <w:rsid w:val="0088656F"/>
    <w:rsid w:val="008A0303"/>
    <w:rsid w:val="008A5B5D"/>
    <w:rsid w:val="008A5FDD"/>
    <w:rsid w:val="008B2311"/>
    <w:rsid w:val="008C223C"/>
    <w:rsid w:val="008C3947"/>
    <w:rsid w:val="008E533A"/>
    <w:rsid w:val="008E7329"/>
    <w:rsid w:val="008F2305"/>
    <w:rsid w:val="008F2ED5"/>
    <w:rsid w:val="009145D2"/>
    <w:rsid w:val="00916202"/>
    <w:rsid w:val="00917BFE"/>
    <w:rsid w:val="0092297E"/>
    <w:rsid w:val="009302F5"/>
    <w:rsid w:val="0093069F"/>
    <w:rsid w:val="009341BF"/>
    <w:rsid w:val="00937907"/>
    <w:rsid w:val="00941739"/>
    <w:rsid w:val="00951573"/>
    <w:rsid w:val="009623CB"/>
    <w:rsid w:val="009629EB"/>
    <w:rsid w:val="00963003"/>
    <w:rsid w:val="00983471"/>
    <w:rsid w:val="009909AB"/>
    <w:rsid w:val="009B37DB"/>
    <w:rsid w:val="009C49B9"/>
    <w:rsid w:val="009C7A8C"/>
    <w:rsid w:val="009D23F9"/>
    <w:rsid w:val="009D4FA8"/>
    <w:rsid w:val="009E5A8B"/>
    <w:rsid w:val="009E6CD6"/>
    <w:rsid w:val="009F4DE9"/>
    <w:rsid w:val="00A00C3C"/>
    <w:rsid w:val="00A01091"/>
    <w:rsid w:val="00A06DBB"/>
    <w:rsid w:val="00A31E86"/>
    <w:rsid w:val="00A54D87"/>
    <w:rsid w:val="00A5553C"/>
    <w:rsid w:val="00A71554"/>
    <w:rsid w:val="00A81785"/>
    <w:rsid w:val="00A84803"/>
    <w:rsid w:val="00A84C51"/>
    <w:rsid w:val="00A86F2B"/>
    <w:rsid w:val="00A91366"/>
    <w:rsid w:val="00A93AA6"/>
    <w:rsid w:val="00A960DD"/>
    <w:rsid w:val="00A9632D"/>
    <w:rsid w:val="00AA4E48"/>
    <w:rsid w:val="00AA6202"/>
    <w:rsid w:val="00AC4A99"/>
    <w:rsid w:val="00AC64D2"/>
    <w:rsid w:val="00AE0FE8"/>
    <w:rsid w:val="00AF0CB4"/>
    <w:rsid w:val="00AF60D5"/>
    <w:rsid w:val="00B04415"/>
    <w:rsid w:val="00B11D60"/>
    <w:rsid w:val="00B11E4B"/>
    <w:rsid w:val="00B13D65"/>
    <w:rsid w:val="00B15903"/>
    <w:rsid w:val="00B15907"/>
    <w:rsid w:val="00B22497"/>
    <w:rsid w:val="00B348C1"/>
    <w:rsid w:val="00B35176"/>
    <w:rsid w:val="00B351ED"/>
    <w:rsid w:val="00B37245"/>
    <w:rsid w:val="00B4017A"/>
    <w:rsid w:val="00B4468D"/>
    <w:rsid w:val="00B71C72"/>
    <w:rsid w:val="00B72E07"/>
    <w:rsid w:val="00B81E92"/>
    <w:rsid w:val="00B93B30"/>
    <w:rsid w:val="00B94CB5"/>
    <w:rsid w:val="00BA0DD9"/>
    <w:rsid w:val="00BB6312"/>
    <w:rsid w:val="00BC0E0D"/>
    <w:rsid w:val="00BC19E7"/>
    <w:rsid w:val="00BC4D06"/>
    <w:rsid w:val="00BD0917"/>
    <w:rsid w:val="00BD585E"/>
    <w:rsid w:val="00BF26A2"/>
    <w:rsid w:val="00BF2E0D"/>
    <w:rsid w:val="00BF3F8B"/>
    <w:rsid w:val="00BF76DA"/>
    <w:rsid w:val="00C07C7B"/>
    <w:rsid w:val="00C24479"/>
    <w:rsid w:val="00C35B63"/>
    <w:rsid w:val="00C37B53"/>
    <w:rsid w:val="00C517D2"/>
    <w:rsid w:val="00C62B36"/>
    <w:rsid w:val="00C638D6"/>
    <w:rsid w:val="00C7012C"/>
    <w:rsid w:val="00C7160F"/>
    <w:rsid w:val="00C83990"/>
    <w:rsid w:val="00C95BA7"/>
    <w:rsid w:val="00C9622D"/>
    <w:rsid w:val="00C96915"/>
    <w:rsid w:val="00CB1C5E"/>
    <w:rsid w:val="00CC14DC"/>
    <w:rsid w:val="00CC1557"/>
    <w:rsid w:val="00CC5108"/>
    <w:rsid w:val="00CC668D"/>
    <w:rsid w:val="00CC7832"/>
    <w:rsid w:val="00CF0C1C"/>
    <w:rsid w:val="00CF1FFA"/>
    <w:rsid w:val="00D024FC"/>
    <w:rsid w:val="00D1611D"/>
    <w:rsid w:val="00D2102A"/>
    <w:rsid w:val="00D23808"/>
    <w:rsid w:val="00D2781D"/>
    <w:rsid w:val="00D3016A"/>
    <w:rsid w:val="00D317D4"/>
    <w:rsid w:val="00D31A86"/>
    <w:rsid w:val="00D42960"/>
    <w:rsid w:val="00D43BD7"/>
    <w:rsid w:val="00D4485B"/>
    <w:rsid w:val="00D46408"/>
    <w:rsid w:val="00D4708D"/>
    <w:rsid w:val="00D4744C"/>
    <w:rsid w:val="00D63068"/>
    <w:rsid w:val="00D6498C"/>
    <w:rsid w:val="00D70630"/>
    <w:rsid w:val="00D8521E"/>
    <w:rsid w:val="00D9291C"/>
    <w:rsid w:val="00D93A97"/>
    <w:rsid w:val="00D960E7"/>
    <w:rsid w:val="00DA7C5E"/>
    <w:rsid w:val="00DB0A92"/>
    <w:rsid w:val="00DB1F64"/>
    <w:rsid w:val="00DC2F53"/>
    <w:rsid w:val="00DC6816"/>
    <w:rsid w:val="00DC70B3"/>
    <w:rsid w:val="00DC76C2"/>
    <w:rsid w:val="00DD03C9"/>
    <w:rsid w:val="00DD1CF2"/>
    <w:rsid w:val="00DF41B7"/>
    <w:rsid w:val="00DF4A4A"/>
    <w:rsid w:val="00DF583C"/>
    <w:rsid w:val="00E03C3F"/>
    <w:rsid w:val="00E073B4"/>
    <w:rsid w:val="00E13F26"/>
    <w:rsid w:val="00E24D45"/>
    <w:rsid w:val="00E33252"/>
    <w:rsid w:val="00E33DB8"/>
    <w:rsid w:val="00E34387"/>
    <w:rsid w:val="00E369FE"/>
    <w:rsid w:val="00E37C6F"/>
    <w:rsid w:val="00E475F8"/>
    <w:rsid w:val="00E5102E"/>
    <w:rsid w:val="00E5721C"/>
    <w:rsid w:val="00E619C6"/>
    <w:rsid w:val="00E71874"/>
    <w:rsid w:val="00E745A1"/>
    <w:rsid w:val="00E81529"/>
    <w:rsid w:val="00E83A13"/>
    <w:rsid w:val="00E84FAD"/>
    <w:rsid w:val="00EB1C74"/>
    <w:rsid w:val="00EC2356"/>
    <w:rsid w:val="00EC2582"/>
    <w:rsid w:val="00EC337C"/>
    <w:rsid w:val="00EC5F56"/>
    <w:rsid w:val="00ED0CFF"/>
    <w:rsid w:val="00ED31D2"/>
    <w:rsid w:val="00EE0ACF"/>
    <w:rsid w:val="00EE0EAC"/>
    <w:rsid w:val="00EE33CB"/>
    <w:rsid w:val="00EE3D6A"/>
    <w:rsid w:val="00F0061A"/>
    <w:rsid w:val="00F02586"/>
    <w:rsid w:val="00F02834"/>
    <w:rsid w:val="00F07CD7"/>
    <w:rsid w:val="00F127E9"/>
    <w:rsid w:val="00F174C8"/>
    <w:rsid w:val="00F36972"/>
    <w:rsid w:val="00F42426"/>
    <w:rsid w:val="00F456BC"/>
    <w:rsid w:val="00F47F40"/>
    <w:rsid w:val="00F50666"/>
    <w:rsid w:val="00F60C95"/>
    <w:rsid w:val="00F70C9E"/>
    <w:rsid w:val="00F74A74"/>
    <w:rsid w:val="00F8382C"/>
    <w:rsid w:val="00F855D7"/>
    <w:rsid w:val="00F92035"/>
    <w:rsid w:val="00F92748"/>
    <w:rsid w:val="00F938D8"/>
    <w:rsid w:val="00F953C7"/>
    <w:rsid w:val="00FA4169"/>
    <w:rsid w:val="00FB0D41"/>
    <w:rsid w:val="00FB2030"/>
    <w:rsid w:val="00FD1CF2"/>
    <w:rsid w:val="00FD3EDF"/>
    <w:rsid w:val="00FD6192"/>
    <w:rsid w:val="00FD7307"/>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
    <w:basedOn w:val="prastojilentel"/>
    <w:uiPriority w:val="5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Bullet 1,1. Bullet Blank,Bulleted - 2,Use Case List Paragraph,List Paragraph1,Body Bullet,Table Number Paragraph,Ref,B1,bu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Bullet 1 Diagrama,1. Bullet Blank Diagrama"/>
    <w:link w:val="Sraopastraipa"/>
    <w:uiPriority w:val="34"/>
    <w:locked/>
    <w:rsid w:val="0055060B"/>
    <w:rPr>
      <w:sz w:val="24"/>
      <w:szCs w:val="24"/>
      <w:lang w:eastAsia="en-US"/>
    </w:rPr>
  </w:style>
  <w:style w:type="paragraph" w:styleId="Dokumentoinaostekstas">
    <w:name w:val="endnote text"/>
    <w:basedOn w:val="prastasis"/>
    <w:link w:val="DokumentoinaostekstasDiagrama"/>
    <w:semiHidden/>
    <w:unhideWhenUsed/>
    <w:rsid w:val="0055060B"/>
    <w:rPr>
      <w:sz w:val="20"/>
      <w:szCs w:val="20"/>
    </w:rPr>
  </w:style>
  <w:style w:type="character" w:customStyle="1" w:styleId="DokumentoinaostekstasDiagrama">
    <w:name w:val="Dokumento išnašos tekstas Diagrama"/>
    <w:basedOn w:val="Numatytasispastraiposriftas"/>
    <w:link w:val="Dokumentoinaostekstas"/>
    <w:semiHidden/>
    <w:rsid w:val="0055060B"/>
    <w:rPr>
      <w:lang w:eastAsia="en-US"/>
    </w:rPr>
  </w:style>
  <w:style w:type="character" w:styleId="Dokumentoinaosnumeris">
    <w:name w:val="endnote reference"/>
    <w:basedOn w:val="Numatytasispastraiposriftas"/>
    <w:semiHidden/>
    <w:unhideWhenUsed/>
    <w:rsid w:val="0055060B"/>
    <w:rPr>
      <w:vertAlign w:val="superscript"/>
    </w:rPr>
  </w:style>
  <w:style w:type="paragraph" w:styleId="HTMLiankstoformatuotas">
    <w:name w:val="HTML Preformatted"/>
    <w:basedOn w:val="prastasis"/>
    <w:link w:val="HTMLiankstoformatuotasDiagrama"/>
    <w:uiPriority w:val="99"/>
    <w:unhideWhenUsed/>
    <w:rsid w:val="0086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iankstoformatuotasDiagrama">
    <w:name w:val="HTML iš anksto formatuotas Diagrama"/>
    <w:basedOn w:val="Numatytasispastraiposriftas"/>
    <w:link w:val="HTMLiankstoformatuotas"/>
    <w:uiPriority w:val="99"/>
    <w:rsid w:val="008651E2"/>
    <w:rPr>
      <w:rFonts w:ascii="Courier New" w:hAnsi="Courier New" w:cs="Courier New"/>
      <w:lang w:eastAsia="en-GB"/>
    </w:rPr>
  </w:style>
  <w:style w:type="character" w:customStyle="1" w:styleId="y2iqfc">
    <w:name w:val="y2iqfc"/>
    <w:basedOn w:val="Numatytasispastraiposriftas"/>
    <w:rsid w:val="008651E2"/>
  </w:style>
  <w:style w:type="paragraph" w:styleId="prastasiniatinklio">
    <w:name w:val="Normal (Web)"/>
    <w:basedOn w:val="prastasis"/>
    <w:uiPriority w:val="99"/>
    <w:unhideWhenUsed/>
    <w:rsid w:val="003C12B3"/>
    <w:pPr>
      <w:spacing w:before="100" w:beforeAutospacing="1" w:after="100" w:afterAutospacing="1"/>
    </w:pPr>
    <w:rPr>
      <w:lang w:val="en-US"/>
    </w:rPr>
  </w:style>
  <w:style w:type="paragraph" w:customStyle="1" w:styleId="Tekstas">
    <w:name w:val="Tekstas"/>
    <w:basedOn w:val="prastasis"/>
    <w:link w:val="TekstasChar"/>
    <w:qFormat/>
    <w:rsid w:val="00D317D4"/>
    <w:pPr>
      <w:spacing w:after="120"/>
      <w:jc w:val="both"/>
    </w:pPr>
  </w:style>
  <w:style w:type="character" w:customStyle="1" w:styleId="TekstasChar">
    <w:name w:val="Tekstas Char"/>
    <w:link w:val="Tekstas"/>
    <w:rsid w:val="00D317D4"/>
    <w:rPr>
      <w:sz w:val="24"/>
      <w:szCs w:val="24"/>
      <w:lang w:eastAsia="en-US"/>
    </w:rPr>
  </w:style>
  <w:style w:type="character" w:styleId="Puslapioinaosnuoroda">
    <w:name w:val="footnote reference"/>
    <w:basedOn w:val="Numatytasispastraiposriftas"/>
    <w:semiHidden/>
    <w:unhideWhenUsed/>
    <w:rsid w:val="00D960E7"/>
    <w:rPr>
      <w:vertAlign w:val="superscript"/>
    </w:rPr>
  </w:style>
  <w:style w:type="paragraph" w:styleId="Puslapioinaostekstas">
    <w:name w:val="footnote text"/>
    <w:basedOn w:val="prastasis"/>
    <w:link w:val="PuslapioinaostekstasDiagrama"/>
    <w:semiHidden/>
    <w:unhideWhenUsed/>
    <w:rsid w:val="00D960E7"/>
    <w:rPr>
      <w:sz w:val="20"/>
      <w:szCs w:val="20"/>
    </w:rPr>
  </w:style>
  <w:style w:type="character" w:customStyle="1" w:styleId="PuslapioinaostekstasDiagrama">
    <w:name w:val="Puslapio išnašos tekstas Diagrama"/>
    <w:basedOn w:val="Numatytasispastraiposriftas"/>
    <w:link w:val="Puslapioinaostekstas"/>
    <w:semiHidden/>
    <w:rsid w:val="00D960E7"/>
    <w:rPr>
      <w:lang w:eastAsia="en-US"/>
    </w:rPr>
  </w:style>
  <w:style w:type="paragraph" w:styleId="Pataisymai">
    <w:name w:val="Revision"/>
    <w:hidden/>
    <w:uiPriority w:val="99"/>
    <w:semiHidden/>
    <w:rsid w:val="008E533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514D13E29E191409236538E7BBD836F"/>
        <w:category>
          <w:name w:val="General"/>
          <w:gallery w:val="placeholder"/>
        </w:category>
        <w:types>
          <w:type w:val="bbPlcHdr"/>
        </w:types>
        <w:behaviors>
          <w:behavior w:val="content"/>
        </w:behaviors>
        <w:guid w:val="{08B958DA-4556-B84C-B369-7954438DF593}"/>
      </w:docPartPr>
      <w:docPartBody>
        <w:p w:rsidR="0096442F" w:rsidRDefault="00220729" w:rsidP="00220729">
          <w:pPr>
            <w:pStyle w:val="B514D13E29E191409236538E7BBD836F"/>
          </w:pPr>
          <w:r>
            <w:rPr>
              <w:rStyle w:val="Vietosrezervavimoenklotekstas"/>
            </w:rPr>
            <w:t>Click here to enter a date.</w:t>
          </w:r>
        </w:p>
      </w:docPartBody>
    </w:docPart>
    <w:docPart>
      <w:docPartPr>
        <w:name w:val="F3163500F318D24E8FC8A28C06E30CC9"/>
        <w:category>
          <w:name w:val="General"/>
          <w:gallery w:val="placeholder"/>
        </w:category>
        <w:types>
          <w:type w:val="bbPlcHdr"/>
        </w:types>
        <w:behaviors>
          <w:behavior w:val="content"/>
        </w:behaviors>
        <w:guid w:val="{8F884C10-DF19-CF49-B7A7-EE231D6D1539}"/>
      </w:docPartPr>
      <w:docPartBody>
        <w:p w:rsidR="0096442F" w:rsidRDefault="00220729" w:rsidP="00220729">
          <w:pPr>
            <w:pStyle w:val="F3163500F318D24E8FC8A28C06E30CC9"/>
          </w:pPr>
          <w:r w:rsidRPr="0054646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06AE8"/>
    <w:rsid w:val="00014B47"/>
    <w:rsid w:val="00046EE5"/>
    <w:rsid w:val="000613FB"/>
    <w:rsid w:val="000937FE"/>
    <w:rsid w:val="000A559A"/>
    <w:rsid w:val="000D3F83"/>
    <w:rsid w:val="000F377F"/>
    <w:rsid w:val="00106A56"/>
    <w:rsid w:val="001227E4"/>
    <w:rsid w:val="00211441"/>
    <w:rsid w:val="00220729"/>
    <w:rsid w:val="002224E2"/>
    <w:rsid w:val="00285C4A"/>
    <w:rsid w:val="002C5139"/>
    <w:rsid w:val="00360F62"/>
    <w:rsid w:val="003A2F2A"/>
    <w:rsid w:val="003C1AE1"/>
    <w:rsid w:val="00404E96"/>
    <w:rsid w:val="004144A3"/>
    <w:rsid w:val="004160E7"/>
    <w:rsid w:val="004B26BA"/>
    <w:rsid w:val="004F31CA"/>
    <w:rsid w:val="005074B9"/>
    <w:rsid w:val="005E40DD"/>
    <w:rsid w:val="006A23DA"/>
    <w:rsid w:val="007126F3"/>
    <w:rsid w:val="00786C91"/>
    <w:rsid w:val="007C6D1D"/>
    <w:rsid w:val="007D17CA"/>
    <w:rsid w:val="007E6506"/>
    <w:rsid w:val="00843AE5"/>
    <w:rsid w:val="008C49D4"/>
    <w:rsid w:val="00936288"/>
    <w:rsid w:val="0096442F"/>
    <w:rsid w:val="00964DDE"/>
    <w:rsid w:val="00965277"/>
    <w:rsid w:val="009B3BF0"/>
    <w:rsid w:val="009D5E5E"/>
    <w:rsid w:val="00A04012"/>
    <w:rsid w:val="00AD0E1A"/>
    <w:rsid w:val="00B23DC0"/>
    <w:rsid w:val="00C9622D"/>
    <w:rsid w:val="00CB4BD1"/>
    <w:rsid w:val="00CE2DA9"/>
    <w:rsid w:val="00CE44BE"/>
    <w:rsid w:val="00CE49F2"/>
    <w:rsid w:val="00CE5289"/>
    <w:rsid w:val="00CF66F6"/>
    <w:rsid w:val="00E44A86"/>
    <w:rsid w:val="00EF6E0C"/>
    <w:rsid w:val="00F259B6"/>
    <w:rsid w:val="00F64D17"/>
    <w:rsid w:val="00F84DC5"/>
    <w:rsid w:val="00FE0D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64DDE"/>
    <w:rPr>
      <w:color w:val="808080"/>
    </w:rPr>
  </w:style>
  <w:style w:type="paragraph" w:customStyle="1" w:styleId="B514D13E29E191409236538E7BBD836F">
    <w:name w:val="B514D13E29E191409236538E7BBD836F"/>
    <w:rsid w:val="00220729"/>
    <w:pPr>
      <w:spacing w:after="0" w:line="240" w:lineRule="auto"/>
    </w:pPr>
    <w:rPr>
      <w:sz w:val="24"/>
      <w:szCs w:val="24"/>
      <w:lang w:eastAsia="en-GB"/>
    </w:rPr>
  </w:style>
  <w:style w:type="paragraph" w:customStyle="1" w:styleId="F3163500F318D24E8FC8A28C06E30CC9">
    <w:name w:val="F3163500F318D24E8FC8A28C06E30CC9"/>
    <w:rsid w:val="002207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9452</Words>
  <Characters>5389</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14812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2024-08-09T07:15:00Z</dcterms:created>
  <dcterms:modified xsi:type="dcterms:W3CDTF">2024-08-09T11:48:00Z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2024-07-16T08:13:37Z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ae673255-c372-4778-943a-ac86fb9b5432</vt:lpwstr>
  </property>
  <property fmtid="{D5CDD505-2E9C-101B-9397-08002B2CF9AE}" pid="8" name="MSIP_Label_e81acc0d-dcc4-4dc9-a2c5-be70b05a2fe6_ContentBits">
    <vt:lpwstr>0</vt:lpwstr>
  </property>
  <property fmtid="{D5CDD505-2E9C-101B-9397-08002B2CF9AE}" pid="9" name="_NewReviewCycle">
    <vt:lpwstr/>
  </property>
</Properties>
</file>