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0E930D5" w14:textId="77777777" w:rsidR="001B24C3" w:rsidRPr="00B7139E" w:rsidRDefault="001B24C3" w:rsidP="001B24C3">
      <w:pPr>
        <w:jc w:val="center"/>
        <w:rPr>
          <w:b/>
        </w:rPr>
      </w:pPr>
      <w:r w:rsidRPr="00B7139E">
        <w:rPr>
          <w:b/>
        </w:rPr>
        <w:t>KIMMTRAK 100 μg/0,5 ml koncentratas infuziniam tirpalui</w:t>
      </w:r>
    </w:p>
    <w:p w14:paraId="7D032A5A" w14:textId="77777777" w:rsidR="001B24C3" w:rsidRPr="00B7139E" w:rsidRDefault="001B24C3" w:rsidP="001B24C3">
      <w:pPr>
        <w:jc w:val="center"/>
      </w:pPr>
    </w:p>
    <w:p w14:paraId="7D7CB827" w14:textId="77777777" w:rsidR="001B24C3" w:rsidRPr="00B7139E" w:rsidRDefault="001B24C3" w:rsidP="001B24C3">
      <w:pPr>
        <w:jc w:val="center"/>
      </w:pPr>
      <w:r w:rsidRPr="00B7139E">
        <w:rPr>
          <w:b/>
        </w:rPr>
        <w:t>Tebentafuspas</w:t>
      </w:r>
    </w:p>
    <w:p w14:paraId="34B19AF1" w14:textId="77777777" w:rsidR="001B24C3" w:rsidRPr="00B7139E" w:rsidRDefault="001B24C3" w:rsidP="001B24C3"/>
    <w:p w14:paraId="1C91E340" w14:textId="77777777" w:rsidR="001B24C3" w:rsidRPr="00B7139E" w:rsidRDefault="001B24C3" w:rsidP="001B24C3">
      <w:pPr>
        <w:jc w:val="center"/>
        <w:rPr>
          <w:b/>
        </w:rPr>
      </w:pPr>
      <w:r w:rsidRPr="00B7139E">
        <w:rPr>
          <w:b/>
        </w:rPr>
        <w:t>STV-137</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B24C3" w:rsidRPr="000203E1" w14:paraId="18A83EC2" w14:textId="77777777" w:rsidTr="00BE7489">
        <w:trPr>
          <w:trHeight w:val="538"/>
        </w:trPr>
        <w:tc>
          <w:tcPr>
            <w:tcW w:w="632" w:type="dxa"/>
          </w:tcPr>
          <w:p w14:paraId="0646FBEA" w14:textId="77777777" w:rsidR="001B24C3" w:rsidRPr="000203E1" w:rsidRDefault="001B24C3" w:rsidP="001B24C3">
            <w:pPr>
              <w:rPr>
                <w:rFonts w:eastAsia="Arial"/>
              </w:rPr>
            </w:pPr>
            <w:r w:rsidRPr="000203E1">
              <w:rPr>
                <w:rFonts w:eastAsia="Arial"/>
              </w:rPr>
              <w:t>1.1</w:t>
            </w:r>
          </w:p>
        </w:tc>
        <w:tc>
          <w:tcPr>
            <w:tcW w:w="3694" w:type="dxa"/>
          </w:tcPr>
          <w:p w14:paraId="6C3AE864" w14:textId="77777777" w:rsidR="001B24C3" w:rsidRPr="000203E1" w:rsidRDefault="001B24C3" w:rsidP="001B24C3">
            <w:pPr>
              <w:rPr>
                <w:rFonts w:eastAsia="Arial"/>
              </w:rPr>
            </w:pPr>
            <w:r w:rsidRPr="000203E1">
              <w:rPr>
                <w:rFonts w:eastAsia="Arial"/>
              </w:rPr>
              <w:t>Pareiškėjas</w:t>
            </w:r>
          </w:p>
          <w:p w14:paraId="2AF240DC" w14:textId="77777777" w:rsidR="001B24C3" w:rsidRPr="000203E1" w:rsidRDefault="001B24C3" w:rsidP="001B24C3">
            <w:pPr>
              <w:rPr>
                <w:rFonts w:eastAsia="Arial"/>
              </w:rPr>
            </w:pPr>
          </w:p>
        </w:tc>
        <w:tc>
          <w:tcPr>
            <w:tcW w:w="5167" w:type="dxa"/>
          </w:tcPr>
          <w:p w14:paraId="2AAF0D91" w14:textId="7071FBD3" w:rsidR="001B24C3" w:rsidRPr="000203E1" w:rsidRDefault="001B24C3" w:rsidP="001B24C3">
            <w:pPr>
              <w:rPr>
                <w:rFonts w:eastAsia="Arial"/>
              </w:rPr>
            </w:pPr>
            <w:r w:rsidRPr="009738B0">
              <w:t>UAB Medison Pharma Lithuania</w:t>
            </w:r>
          </w:p>
        </w:tc>
      </w:tr>
      <w:tr w:rsidR="001B24C3" w:rsidRPr="000203E1" w14:paraId="31998B0D" w14:textId="77777777" w:rsidTr="00BE7489">
        <w:trPr>
          <w:trHeight w:val="538"/>
        </w:trPr>
        <w:tc>
          <w:tcPr>
            <w:tcW w:w="632" w:type="dxa"/>
          </w:tcPr>
          <w:p w14:paraId="2005EC67" w14:textId="662300D0" w:rsidR="001B24C3" w:rsidRPr="000203E1" w:rsidRDefault="001B24C3" w:rsidP="001B24C3">
            <w:pPr>
              <w:rPr>
                <w:rFonts w:eastAsia="Arial"/>
              </w:rPr>
            </w:pPr>
            <w:r w:rsidRPr="000203E1">
              <w:rPr>
                <w:rFonts w:eastAsia="Arial"/>
              </w:rPr>
              <w:t>1.2</w:t>
            </w:r>
          </w:p>
        </w:tc>
        <w:tc>
          <w:tcPr>
            <w:tcW w:w="3694" w:type="dxa"/>
          </w:tcPr>
          <w:p w14:paraId="1E4AE3B1" w14:textId="77777777" w:rsidR="001B24C3" w:rsidRPr="000203E1" w:rsidRDefault="001B24C3" w:rsidP="001B24C3">
            <w:pPr>
              <w:rPr>
                <w:bCs/>
                <w:lang w:eastAsia="lt-LT"/>
              </w:rPr>
            </w:pPr>
            <w:r w:rsidRPr="000203E1">
              <w:rPr>
                <w:bCs/>
                <w:lang w:eastAsia="lt-LT"/>
              </w:rPr>
              <w:t xml:space="preserve">Registracijos data </w:t>
            </w:r>
          </w:p>
          <w:p w14:paraId="3A0DC096" w14:textId="77777777" w:rsidR="001B24C3" w:rsidRPr="000203E1" w:rsidRDefault="001B24C3" w:rsidP="001B24C3">
            <w:pPr>
              <w:rPr>
                <w:bCs/>
                <w:lang w:eastAsia="lt-LT"/>
              </w:rPr>
            </w:pPr>
          </w:p>
        </w:tc>
        <w:tc>
          <w:tcPr>
            <w:tcW w:w="5167" w:type="dxa"/>
          </w:tcPr>
          <w:p w14:paraId="3CA218AD" w14:textId="4F50948C" w:rsidR="001B24C3" w:rsidRPr="000203E1" w:rsidRDefault="001B24C3" w:rsidP="001B24C3">
            <w:pPr>
              <w:rPr>
                <w:rStyle w:val="Style2"/>
              </w:rPr>
            </w:pPr>
            <w:r w:rsidRPr="009738B0">
              <w:t>2022 m. balandžio 1 d.</w:t>
            </w:r>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29DC8EF0" w:rsidR="00B13D65" w:rsidRPr="000203E1"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1B24C3">
                  <w:rPr>
                    <w:rStyle w:val="Style2"/>
                    <w:rFonts w:ascii="MS Gothic" w:eastAsia="MS Gothic" w:hAnsi="MS Gothic" w:hint="eastAsia"/>
                    <w:sz w:val="22"/>
                    <w:szCs w:val="22"/>
                  </w:rPr>
                  <w:t>☒</w:t>
                </w:r>
              </w:sdtContent>
            </w:sdt>
            <w:r w:rsidR="00B13D65" w:rsidRPr="000203E1">
              <w:rPr>
                <w:sz w:val="22"/>
                <w:szCs w:val="22"/>
              </w:rPr>
              <w:t xml:space="preserve">8.3 str. (pilna byla, pagrįsta savais tyrimais) </w:t>
            </w:r>
          </w:p>
          <w:p w14:paraId="32BA564E" w14:textId="3FDA3E01" w:rsidR="00B13D65" w:rsidRPr="000203E1"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 xml:space="preserve">10 a str. (pripažintas medicininis vartojimas) </w:t>
            </w:r>
          </w:p>
          <w:p w14:paraId="318DCD7F" w14:textId="32333E53" w:rsidR="00B13D65" w:rsidRPr="000203E1"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10.1 str. (generinis)</w:t>
            </w:r>
          </w:p>
          <w:p w14:paraId="3B0A4F72" w14:textId="3F5FB073" w:rsidR="00B13D65" w:rsidRPr="000203E1"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0F633FFC" w:rsidR="00B13D65" w:rsidRPr="000203E1" w:rsidRDefault="00DF583C" w:rsidP="00824B92">
            <w:pPr>
              <w:rPr>
                <w:bCs/>
                <w:lang w:eastAsia="lt-LT"/>
              </w:rPr>
            </w:pPr>
            <w:r w:rsidRPr="000203E1">
              <w:rPr>
                <w:bCs/>
                <w:i/>
                <w:sz w:val="20"/>
                <w:lang w:eastAsia="lt-LT"/>
              </w:rPr>
              <w:t>Jei taip, n</w:t>
            </w:r>
            <w:r w:rsidR="00B13D65" w:rsidRPr="000203E1">
              <w:rPr>
                <w:bCs/>
                <w:i/>
                <w:sz w:val="20"/>
                <w:lang w:eastAsia="lt-LT"/>
              </w:rPr>
              <w:t xml:space="preserve">urodykite </w:t>
            </w:r>
            <w:r w:rsidR="007656B2" w:rsidRPr="000203E1">
              <w:rPr>
                <w:bCs/>
                <w:i/>
                <w:sz w:val="20"/>
                <w:lang w:eastAsia="lt-LT"/>
              </w:rPr>
              <w:t>įrašymo</w:t>
            </w:r>
            <w:r w:rsidR="00B13D65" w:rsidRPr="000203E1">
              <w:rPr>
                <w:bCs/>
                <w:i/>
                <w:sz w:val="20"/>
                <w:lang w:eastAsia="lt-LT"/>
              </w:rPr>
              <w:t xml:space="preserve"> datą ir numerį</w:t>
            </w:r>
          </w:p>
        </w:tc>
        <w:tc>
          <w:tcPr>
            <w:tcW w:w="5167" w:type="dxa"/>
          </w:tcPr>
          <w:p w14:paraId="26397455" w14:textId="77777777" w:rsidR="001B24C3" w:rsidRPr="001B24C3" w:rsidRDefault="001B24C3" w:rsidP="001B24C3">
            <w:pPr>
              <w:rPr>
                <w:rStyle w:val="Style2"/>
                <w:sz w:val="24"/>
              </w:rPr>
            </w:pPr>
            <w:r w:rsidRPr="001B24C3">
              <w:rPr>
                <w:rStyle w:val="Style2"/>
                <w:rFonts w:ascii="Segoe UI Symbol" w:hAnsi="Segoe UI Symbol" w:cs="Segoe UI Symbol"/>
                <w:sz w:val="24"/>
              </w:rPr>
              <w:t>☒</w:t>
            </w:r>
            <w:r w:rsidRPr="001B24C3">
              <w:rPr>
                <w:rStyle w:val="Style2"/>
                <w:sz w:val="24"/>
              </w:rPr>
              <w:t xml:space="preserve"> Taip</w:t>
            </w:r>
          </w:p>
          <w:p w14:paraId="0530B7E0" w14:textId="77777777" w:rsidR="001B24C3" w:rsidRPr="001B24C3" w:rsidRDefault="001B24C3" w:rsidP="001B24C3">
            <w:pPr>
              <w:rPr>
                <w:rStyle w:val="Style2"/>
                <w:sz w:val="24"/>
              </w:rPr>
            </w:pPr>
            <w:r w:rsidRPr="001B24C3">
              <w:rPr>
                <w:rStyle w:val="Style2"/>
                <w:rFonts w:ascii="Segoe UI Symbol" w:hAnsi="Segoe UI Symbol" w:cs="Segoe UI Symbol"/>
                <w:sz w:val="24"/>
              </w:rPr>
              <w:t>☐</w:t>
            </w:r>
            <w:r w:rsidRPr="001B24C3">
              <w:rPr>
                <w:rStyle w:val="Style2"/>
                <w:sz w:val="24"/>
              </w:rPr>
              <w:t xml:space="preserve"> Ne</w:t>
            </w:r>
          </w:p>
          <w:p w14:paraId="29C2CBBB" w14:textId="390ABB6E" w:rsidR="00B13D65" w:rsidRPr="000203E1" w:rsidRDefault="001B24C3" w:rsidP="001B24C3">
            <w:pPr>
              <w:rPr>
                <w:rFonts w:eastAsia="Arial"/>
              </w:rPr>
            </w:pPr>
            <w:r w:rsidRPr="001B24C3">
              <w:rPr>
                <w:rStyle w:val="Style2"/>
                <w:sz w:val="24"/>
              </w:rPr>
              <w:t>2021 m. vasario 19 d.</w:t>
            </w:r>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7E5B1246"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1B24C3">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1B24C3" w:rsidRPr="000203E1" w14:paraId="274D1DAF" w14:textId="77777777" w:rsidTr="00BE7489">
        <w:trPr>
          <w:trHeight w:val="1922"/>
        </w:trPr>
        <w:tc>
          <w:tcPr>
            <w:tcW w:w="632" w:type="dxa"/>
          </w:tcPr>
          <w:p w14:paraId="17ABF217" w14:textId="14AC00D7" w:rsidR="001B24C3" w:rsidRPr="000203E1" w:rsidRDefault="001B24C3" w:rsidP="001B24C3">
            <w:pPr>
              <w:rPr>
                <w:rFonts w:eastAsia="Arial"/>
              </w:rPr>
            </w:pPr>
            <w:r w:rsidRPr="000203E1">
              <w:rPr>
                <w:rFonts w:eastAsia="Arial"/>
              </w:rPr>
              <w:t>1.6</w:t>
            </w:r>
          </w:p>
        </w:tc>
        <w:tc>
          <w:tcPr>
            <w:tcW w:w="3694" w:type="dxa"/>
          </w:tcPr>
          <w:p w14:paraId="4D49DBF5" w14:textId="77777777" w:rsidR="001B24C3" w:rsidRPr="000203E1" w:rsidRDefault="001B24C3" w:rsidP="001B24C3">
            <w:pPr>
              <w:rPr>
                <w:bCs/>
                <w:lang w:eastAsia="lt-LT"/>
              </w:rPr>
            </w:pPr>
            <w:r w:rsidRPr="000203E1">
              <w:rPr>
                <w:bCs/>
                <w:lang w:eastAsia="lt-LT"/>
              </w:rPr>
              <w:t>Pareiškėjo teikiama (-os) kompensuoti vaistinio preparato indikacija (-os)</w:t>
            </w:r>
          </w:p>
          <w:p w14:paraId="6B4FEEC1" w14:textId="6A619694" w:rsidR="001B24C3" w:rsidRPr="000203E1" w:rsidRDefault="001B24C3" w:rsidP="001B24C3">
            <w:pPr>
              <w:rPr>
                <w:bCs/>
                <w:lang w:eastAsia="lt-LT"/>
              </w:rPr>
            </w:pPr>
            <w:r w:rsidRPr="000203E1">
              <w:rPr>
                <w:bCs/>
                <w:lang w:eastAsia="lt-LT"/>
              </w:rPr>
              <w:t>Kodas pagal TLK-10 AM</w:t>
            </w:r>
          </w:p>
        </w:tc>
        <w:tc>
          <w:tcPr>
            <w:tcW w:w="5167" w:type="dxa"/>
          </w:tcPr>
          <w:p w14:paraId="13F7DFB0" w14:textId="31949AD4" w:rsidR="001B24C3" w:rsidRPr="000203E1" w:rsidRDefault="001B24C3" w:rsidP="001B24C3">
            <w:r w:rsidRPr="005F01E2">
              <w:t>KIMMTRAK skirtas suaugusiems pacientams, sergantiems neoperuotina arba metastazavusia uvealine (akies kraujagyslinio dangalo) melanoma, kurių žmogaus leukocitų antigeno (angl. human leukocyte antigen, HLA)-A*02:01 tyrimo rezultatas yra teigiamas, gydyti monoterapija.</w:t>
            </w:r>
          </w:p>
        </w:tc>
      </w:tr>
      <w:tr w:rsidR="001B24C3" w:rsidRPr="000203E1" w14:paraId="2F79DC08" w14:textId="77777777" w:rsidTr="00BE7489">
        <w:trPr>
          <w:trHeight w:val="378"/>
        </w:trPr>
        <w:tc>
          <w:tcPr>
            <w:tcW w:w="632" w:type="dxa"/>
          </w:tcPr>
          <w:p w14:paraId="547885A2" w14:textId="2EE70237" w:rsidR="001B24C3" w:rsidRPr="000203E1" w:rsidRDefault="001B24C3" w:rsidP="001B24C3">
            <w:pPr>
              <w:rPr>
                <w:rFonts w:eastAsia="Arial"/>
              </w:rPr>
            </w:pPr>
            <w:r w:rsidRPr="000203E1">
              <w:rPr>
                <w:rFonts w:eastAsia="Arial"/>
              </w:rPr>
              <w:t>1.</w:t>
            </w:r>
            <w:r>
              <w:rPr>
                <w:rFonts w:eastAsia="Arial"/>
              </w:rPr>
              <w:t>7</w:t>
            </w:r>
          </w:p>
        </w:tc>
        <w:tc>
          <w:tcPr>
            <w:tcW w:w="3694" w:type="dxa"/>
          </w:tcPr>
          <w:p w14:paraId="2EAB877F" w14:textId="39A36941" w:rsidR="001B24C3" w:rsidRPr="000203E1" w:rsidRDefault="001B24C3" w:rsidP="001B24C3">
            <w:pPr>
              <w:rPr>
                <w:bCs/>
                <w:u w:val="single"/>
                <w:lang w:eastAsia="lt-LT"/>
              </w:rPr>
            </w:pPr>
            <w:r w:rsidRPr="000203E1">
              <w:rPr>
                <w:bCs/>
                <w:lang w:eastAsia="lt-LT"/>
              </w:rPr>
              <w:t xml:space="preserve">Pareiškėjo teikiamos skyrimo sąlygos </w:t>
            </w:r>
          </w:p>
        </w:tc>
        <w:tc>
          <w:tcPr>
            <w:tcW w:w="5167" w:type="dxa"/>
          </w:tcPr>
          <w:p w14:paraId="0579DF58" w14:textId="2D047AAD" w:rsidR="001B24C3" w:rsidRPr="000203E1" w:rsidRDefault="001B24C3" w:rsidP="001B24C3">
            <w:r w:rsidRPr="005F01E2">
              <w:t>TLK kodas – C69.3.</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63E1656C" w:rsidR="009F4D66" w:rsidRPr="000203E1" w:rsidRDefault="00000000" w:rsidP="00824B92">
            <w:sdt>
              <w:sdtPr>
                <w:rPr>
                  <w:rStyle w:val="Style2"/>
                  <w:sz w:val="24"/>
                </w:rPr>
                <w:id w:val="1480955706"/>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Tinkamas</w:t>
            </w:r>
          </w:p>
          <w:p w14:paraId="41B44044" w14:textId="20B36BDC" w:rsidR="00B13D65" w:rsidRPr="000203E1" w:rsidRDefault="00000000" w:rsidP="00824B92">
            <w:sdt>
              <w:sdtPr>
                <w:rPr>
                  <w:rStyle w:val="Style2"/>
                  <w:sz w:val="24"/>
                </w:rPr>
                <w:id w:val="-352420698"/>
                <w15:color w:val="FFCC00"/>
                <w14:checkbox>
                  <w14:checked w14:val="1"/>
                  <w14:checkedState w14:val="2612" w14:font="MS Gothic"/>
                  <w14:uncheckedState w14:val="2610" w14:font="MS Gothic"/>
                </w14:checkbox>
              </w:sdtPr>
              <w:sdtContent>
                <w:r w:rsidR="001B24C3">
                  <w:rPr>
                    <w:rStyle w:val="Style2"/>
                    <w:rFonts w:ascii="MS Gothic" w:eastAsia="MS Gothic" w:hAnsi="MS Gothic" w:hint="eastAsia"/>
                    <w:sz w:val="24"/>
                  </w:rPr>
                  <w:t>☒</w:t>
                </w:r>
              </w:sdtContent>
            </w:sdt>
            <w:r w:rsidR="009F4D66" w:rsidRPr="000203E1">
              <w:t xml:space="preserve"> Netinkama</w:t>
            </w:r>
            <w:r w:rsidR="001B24C3">
              <w:t>s</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Default="00F70C9E" w:rsidP="00F70C9E">
      <w:pPr>
        <w:spacing w:line="276" w:lineRule="auto"/>
        <w:rPr>
          <w:rFonts w:eastAsia="Arial"/>
        </w:rPr>
      </w:pPr>
    </w:p>
    <w:p w14:paraId="369509D5" w14:textId="77777777" w:rsidR="001B24C3" w:rsidRPr="001A5F98" w:rsidRDefault="001B24C3" w:rsidP="001B24C3">
      <w:pPr>
        <w:spacing w:line="276" w:lineRule="auto"/>
        <w:rPr>
          <w:rFonts w:eastAsia="Arial"/>
        </w:rPr>
      </w:pPr>
    </w:p>
    <w:tbl>
      <w:tblPr>
        <w:tblStyle w:val="Lentelstinklelis"/>
        <w:tblW w:w="9773" w:type="dxa"/>
        <w:tblLook w:val="04A0" w:firstRow="1" w:lastRow="0" w:firstColumn="1" w:lastColumn="0" w:noHBand="0" w:noVBand="1"/>
      </w:tblPr>
      <w:tblGrid>
        <w:gridCol w:w="2770"/>
        <w:gridCol w:w="1763"/>
        <w:gridCol w:w="3024"/>
        <w:gridCol w:w="2216"/>
      </w:tblGrid>
      <w:tr w:rsidR="001B24C3" w:rsidRPr="001A5F98" w14:paraId="66901E75" w14:textId="77777777" w:rsidTr="00670980">
        <w:trPr>
          <w:trHeight w:val="925"/>
        </w:trPr>
        <w:tc>
          <w:tcPr>
            <w:tcW w:w="2770" w:type="dxa"/>
          </w:tcPr>
          <w:p w14:paraId="0EA70FEA" w14:textId="77777777" w:rsidR="001B24C3" w:rsidRPr="001A5F98" w:rsidRDefault="001B24C3" w:rsidP="00787938">
            <w:pPr>
              <w:spacing w:line="276" w:lineRule="auto"/>
              <w:rPr>
                <w:rFonts w:eastAsia="Arial"/>
              </w:rPr>
            </w:pPr>
            <w:r w:rsidRPr="001A5F98">
              <w:rPr>
                <w:rFonts w:eastAsia="Arial"/>
              </w:rPr>
              <w:t>STV agentūros pavadinimas, šalis</w:t>
            </w:r>
          </w:p>
        </w:tc>
        <w:tc>
          <w:tcPr>
            <w:tcW w:w="1763" w:type="dxa"/>
          </w:tcPr>
          <w:p w14:paraId="3A1A4E30" w14:textId="77777777" w:rsidR="001B24C3" w:rsidRPr="001A5F98" w:rsidRDefault="001B24C3" w:rsidP="00787938">
            <w:pPr>
              <w:spacing w:line="276" w:lineRule="auto"/>
              <w:rPr>
                <w:rFonts w:eastAsia="Arial"/>
              </w:rPr>
            </w:pPr>
            <w:r w:rsidRPr="001A5F98">
              <w:rPr>
                <w:rFonts w:eastAsia="Arial"/>
              </w:rPr>
              <w:t>STV vertinimas atliktas</w:t>
            </w:r>
          </w:p>
        </w:tc>
        <w:tc>
          <w:tcPr>
            <w:tcW w:w="3024" w:type="dxa"/>
          </w:tcPr>
          <w:p w14:paraId="1E365A89" w14:textId="77777777" w:rsidR="001B24C3" w:rsidRPr="001A5F98" w:rsidRDefault="001B24C3" w:rsidP="00787938">
            <w:pPr>
              <w:spacing w:line="276" w:lineRule="auto"/>
              <w:rPr>
                <w:rFonts w:eastAsia="Arial"/>
              </w:rPr>
            </w:pPr>
            <w:r w:rsidRPr="001A5F98">
              <w:rPr>
                <w:rFonts w:eastAsia="Arial"/>
              </w:rPr>
              <w:t>Klinikinio vertinimo išvada</w:t>
            </w:r>
          </w:p>
        </w:tc>
        <w:tc>
          <w:tcPr>
            <w:tcW w:w="2216" w:type="dxa"/>
          </w:tcPr>
          <w:p w14:paraId="263BFE1B" w14:textId="77777777" w:rsidR="001B24C3" w:rsidRPr="001A5F98" w:rsidRDefault="001B24C3" w:rsidP="00787938">
            <w:pPr>
              <w:spacing w:line="276" w:lineRule="auto"/>
              <w:rPr>
                <w:rFonts w:eastAsia="Arial"/>
              </w:rPr>
            </w:pPr>
            <w:r w:rsidRPr="001A5F98">
              <w:rPr>
                <w:rFonts w:eastAsia="Arial"/>
              </w:rPr>
              <w:t>Farmakoekonominio vertinimo išvada</w:t>
            </w:r>
          </w:p>
        </w:tc>
      </w:tr>
      <w:tr w:rsidR="001B24C3" w:rsidRPr="001A5F98" w14:paraId="7DBB8372" w14:textId="77777777" w:rsidTr="00670980">
        <w:trPr>
          <w:trHeight w:val="1766"/>
        </w:trPr>
        <w:tc>
          <w:tcPr>
            <w:tcW w:w="2770" w:type="dxa"/>
          </w:tcPr>
          <w:p w14:paraId="41ED67BD" w14:textId="77777777" w:rsidR="001B24C3" w:rsidRPr="001A5F98" w:rsidRDefault="001B24C3" w:rsidP="00787938">
            <w:pPr>
              <w:autoSpaceDE w:val="0"/>
              <w:autoSpaceDN w:val="0"/>
              <w:adjustRightInd w:val="0"/>
              <w:rPr>
                <w:bCs/>
              </w:rPr>
            </w:pPr>
            <w:r w:rsidRPr="001A5F98">
              <w:rPr>
                <w:bCs/>
              </w:rPr>
              <w:t>Nacionalinis sveikatos ir klinikinės kompetencijos institutas, Didžioji Britanija</w:t>
            </w:r>
          </w:p>
          <w:p w14:paraId="4BB19374" w14:textId="77777777" w:rsidR="001B24C3" w:rsidRPr="001A5F98" w:rsidRDefault="001B24C3" w:rsidP="00787938">
            <w:pPr>
              <w:spacing w:line="276" w:lineRule="auto"/>
              <w:rPr>
                <w:rFonts w:eastAsia="Arial"/>
              </w:rPr>
            </w:pPr>
            <w:r w:rsidRPr="001A5F98">
              <w:rPr>
                <w:rFonts w:eastAsia="Arial"/>
              </w:rPr>
              <w:t xml:space="preserve">(angl. </w:t>
            </w:r>
            <w:r w:rsidRPr="001A5F98">
              <w:rPr>
                <w:rFonts w:eastAsia="Arial"/>
                <w:i/>
              </w:rPr>
              <w:t>National Institute for Health and Care Excellence, NICE</w:t>
            </w:r>
            <w:r w:rsidRPr="001A5F98">
              <w:rPr>
                <w:rFonts w:eastAsia="Arial"/>
              </w:rPr>
              <w:t>)</w:t>
            </w:r>
          </w:p>
        </w:tc>
        <w:tc>
          <w:tcPr>
            <w:tcW w:w="1763" w:type="dxa"/>
          </w:tcPr>
          <w:p w14:paraId="7672A227" w14:textId="77777777" w:rsidR="001B24C3" w:rsidRPr="00E246C8" w:rsidRDefault="001B24C3" w:rsidP="00787938">
            <w:pPr>
              <w:rPr>
                <w:rFonts w:ascii="MS Gothic" w:eastAsia="MS Gothic" w:hAnsi="MS Gothic"/>
                <w:sz w:val="32"/>
              </w:rPr>
            </w:pPr>
            <w:r>
              <w:rPr>
                <w:rStyle w:val="Style2"/>
                <w:rFonts w:ascii="MS Gothic" w:eastAsia="MS Gothic" w:hAnsi="MS Gothic" w:hint="eastAsia"/>
              </w:rPr>
              <w:t>☒</w:t>
            </w:r>
            <w:r w:rsidRPr="001A5F98">
              <w:t xml:space="preserve"> Taip</w:t>
            </w:r>
            <w:r>
              <w:t xml:space="preserve"> (tarpinė išvada)</w:t>
            </w:r>
          </w:p>
          <w:p w14:paraId="26C3AA48" w14:textId="77777777" w:rsidR="001B24C3" w:rsidRPr="001A5F98" w:rsidRDefault="001B24C3" w:rsidP="00787938">
            <w:r w:rsidRPr="001A5F98">
              <w:rPr>
                <w:rStyle w:val="Style2"/>
                <w:rFonts w:ascii="MS Gothic" w:eastAsia="MS Gothic" w:hAnsi="MS Gothic" w:hint="eastAsia"/>
              </w:rPr>
              <w:t>☐</w:t>
            </w:r>
            <w:r w:rsidRPr="001A5F98">
              <w:t xml:space="preserve"> Ne</w:t>
            </w:r>
          </w:p>
          <w:p w14:paraId="3B68463A" w14:textId="77777777" w:rsidR="001B24C3" w:rsidRPr="001A5F98" w:rsidRDefault="00000000" w:rsidP="00787938">
            <w:pPr>
              <w:rPr>
                <w:rFonts w:eastAsia="Arial"/>
              </w:rPr>
            </w:pPr>
            <w:sdt>
              <w:sdtPr>
                <w:alias w:val="Nurodykite konkrečią dieną"/>
                <w:tag w:val="Nurodykite pradžios datą"/>
                <w:id w:val="792785103"/>
                <w:placeholder>
                  <w:docPart w:val="F5A44436AC3C4407B0F4C03034ABF0E5"/>
                </w:placeholder>
                <w15:color w:val="FFCC99"/>
                <w:date>
                  <w:dateFormat w:val="yyyy 'm.' MMMM d 'd.'"/>
                  <w:lid w:val="lt-LT"/>
                  <w:storeMappedDataAs w:val="dateTime"/>
                  <w:calendar w:val="gregorian"/>
                </w:date>
              </w:sdtPr>
              <w:sdtContent>
                <w:r w:rsidR="001B24C3">
                  <w:t>2023 m. liepos mėn.</w:t>
                </w:r>
              </w:sdtContent>
            </w:sdt>
          </w:p>
        </w:tc>
        <w:tc>
          <w:tcPr>
            <w:tcW w:w="5240" w:type="dxa"/>
            <w:gridSpan w:val="2"/>
          </w:tcPr>
          <w:p w14:paraId="2A5AF025" w14:textId="77777777" w:rsidR="001B24C3" w:rsidRPr="001A5F98" w:rsidRDefault="001B24C3" w:rsidP="00787938">
            <w:pPr>
              <w:spacing w:line="276" w:lineRule="auto"/>
              <w:jc w:val="both"/>
              <w:rPr>
                <w:rFonts w:eastAsia="Arial"/>
              </w:rPr>
            </w:pPr>
            <w:r>
              <w:rPr>
                <w:rFonts w:eastAsia="Arial"/>
              </w:rPr>
              <w:t>Rekomenduojama kompensuoti sumažinus kainą</w:t>
            </w:r>
            <w:r w:rsidRPr="00A14968">
              <w:t xml:space="preserve"> </w:t>
            </w:r>
            <w:r w:rsidRPr="00E90AF3">
              <w:t>suaugusi</w:t>
            </w:r>
            <w:r>
              <w:t>ųjų</w:t>
            </w:r>
            <w:r w:rsidRPr="00E90AF3">
              <w:t xml:space="preserve"> </w:t>
            </w:r>
            <w:r>
              <w:t>sergančių</w:t>
            </w:r>
            <w:r w:rsidRPr="00E90AF3">
              <w:t xml:space="preserve"> neoperuotina arba metastazavusia uvealine (akies kraujagyslinio dangalo) melanoma, kurių žmogaus leukocitų antigeno (angl. </w:t>
            </w:r>
            <w:r w:rsidRPr="009B377A">
              <w:rPr>
                <w:i/>
                <w:iCs/>
              </w:rPr>
              <w:t>human leukocyte antigen</w:t>
            </w:r>
            <w:r w:rsidRPr="00E90AF3">
              <w:t>, HLA)-A*02:01 tyrimo rezultatas yra teigiamas</w:t>
            </w:r>
            <w:r>
              <w:t>, gydymui dėl per nepriimtinai didelių gydymo kaštų.</w:t>
            </w:r>
          </w:p>
        </w:tc>
      </w:tr>
      <w:tr w:rsidR="001B24C3" w:rsidRPr="001A5F98" w14:paraId="299C2DDA" w14:textId="77777777" w:rsidTr="00670980">
        <w:trPr>
          <w:trHeight w:val="1548"/>
        </w:trPr>
        <w:tc>
          <w:tcPr>
            <w:tcW w:w="2770" w:type="dxa"/>
          </w:tcPr>
          <w:p w14:paraId="1DAE9B9C" w14:textId="77777777" w:rsidR="001B24C3" w:rsidRPr="00D05364" w:rsidRDefault="001B24C3" w:rsidP="00787938">
            <w:pPr>
              <w:rPr>
                <w:rFonts w:eastAsia="Arial"/>
              </w:rPr>
            </w:pPr>
            <w:r w:rsidRPr="00D05364">
              <w:rPr>
                <w:rFonts w:eastAsia="Arial"/>
              </w:rPr>
              <w:t>Kanados sveikatos technologijų agentūra</w:t>
            </w:r>
          </w:p>
          <w:p w14:paraId="4E94786D" w14:textId="77777777" w:rsidR="001B24C3" w:rsidRPr="001A5F98" w:rsidRDefault="001B24C3" w:rsidP="00787938">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763" w:type="dxa"/>
          </w:tcPr>
          <w:p w14:paraId="30DCD5C0" w14:textId="77777777" w:rsidR="001B24C3" w:rsidRPr="00D05364" w:rsidRDefault="001B24C3" w:rsidP="00787938">
            <w:r>
              <w:rPr>
                <w:rStyle w:val="Style2"/>
                <w:rFonts w:ascii="MS Gothic" w:eastAsia="MS Gothic" w:hAnsi="MS Gothic" w:hint="eastAsia"/>
              </w:rPr>
              <w:t>☒</w:t>
            </w:r>
            <w:r w:rsidRPr="00D05364">
              <w:t xml:space="preserve"> Taip</w:t>
            </w:r>
          </w:p>
          <w:p w14:paraId="2300ECA9" w14:textId="77777777" w:rsidR="001B24C3" w:rsidRPr="00D05364" w:rsidRDefault="001B24C3" w:rsidP="00787938">
            <w:r w:rsidRPr="00D05364">
              <w:rPr>
                <w:rStyle w:val="Style2"/>
                <w:rFonts w:ascii="Segoe UI Symbol" w:eastAsia="MS Gothic" w:hAnsi="Segoe UI Symbol" w:cs="Segoe UI Symbol"/>
              </w:rPr>
              <w:t>☐</w:t>
            </w:r>
            <w:r w:rsidRPr="00D05364">
              <w:t xml:space="preserve"> Ne</w:t>
            </w:r>
          </w:p>
          <w:p w14:paraId="7583D4ED" w14:textId="77777777" w:rsidR="001B24C3" w:rsidRPr="001A5F98" w:rsidRDefault="00000000" w:rsidP="00787938">
            <w:pPr>
              <w:spacing w:line="276" w:lineRule="auto"/>
              <w:rPr>
                <w:rFonts w:eastAsia="Arial"/>
              </w:rPr>
            </w:pPr>
            <w:sdt>
              <w:sdtPr>
                <w:alias w:val="Nurodykite konkrečią dieną"/>
                <w:tag w:val="Nurodykite pradžios datą"/>
                <w:id w:val="-1480148831"/>
                <w:placeholder>
                  <w:docPart w:val="CB6C1603A44E424D8E35CD2BD9E9F6BA"/>
                </w:placeholder>
                <w15:color w:val="FFCC99"/>
                <w:date>
                  <w:dateFormat w:val="yyyy 'm.' MMMM d 'd.'"/>
                  <w:lid w:val="lt-LT"/>
                  <w:storeMappedDataAs w:val="dateTime"/>
                  <w:calendar w:val="gregorian"/>
                </w:date>
              </w:sdtPr>
              <w:sdtContent>
                <w:r w:rsidR="001B24C3">
                  <w:t>2022 m. lapkričio 1 d.</w:t>
                </w:r>
              </w:sdtContent>
            </w:sdt>
          </w:p>
        </w:tc>
        <w:tc>
          <w:tcPr>
            <w:tcW w:w="5240" w:type="dxa"/>
            <w:gridSpan w:val="2"/>
          </w:tcPr>
          <w:p w14:paraId="5D8C7784" w14:textId="77777777" w:rsidR="001B24C3" w:rsidRDefault="001B24C3" w:rsidP="00787938">
            <w:pPr>
              <w:spacing w:line="276" w:lineRule="auto"/>
              <w:jc w:val="both"/>
            </w:pPr>
            <w:r>
              <w:rPr>
                <w:rFonts w:eastAsia="Arial"/>
              </w:rPr>
              <w:t>Rekomenduojama kompensuoti sumažinus kainą</w:t>
            </w:r>
            <w:r w:rsidRPr="00A14968">
              <w:t xml:space="preserve"> </w:t>
            </w:r>
            <w:r w:rsidRPr="00E90AF3">
              <w:t>suaugusi</w:t>
            </w:r>
            <w:r>
              <w:t>ųjų</w:t>
            </w:r>
            <w:r w:rsidRPr="00E90AF3">
              <w:t xml:space="preserve"> </w:t>
            </w:r>
            <w:r>
              <w:t>sergančių</w:t>
            </w:r>
            <w:r w:rsidRPr="00E90AF3">
              <w:t xml:space="preserve"> neoperuotina arba metastazavusia uvealine (akies kraujagyslinio dangalo) melanoma, kurių žmogaus leukocitų antigeno (angl. </w:t>
            </w:r>
            <w:r w:rsidRPr="009B377A">
              <w:rPr>
                <w:i/>
                <w:iCs/>
              </w:rPr>
              <w:t>human leukocyte antigen</w:t>
            </w:r>
            <w:r w:rsidRPr="00E90AF3">
              <w:t>, HLA)-A*02:01 tyrimo rezultatas yra teigiamas</w:t>
            </w:r>
            <w:r>
              <w:t>, pirmos eilės gydymui su skyrimo sąlygomis:</w:t>
            </w:r>
          </w:p>
          <w:p w14:paraId="70D1E0B0" w14:textId="77777777" w:rsidR="001B24C3" w:rsidRDefault="001B24C3" w:rsidP="001B24C3">
            <w:pPr>
              <w:pStyle w:val="Sraopastraipa"/>
              <w:numPr>
                <w:ilvl w:val="0"/>
                <w:numId w:val="13"/>
              </w:numPr>
              <w:spacing w:line="276" w:lineRule="auto"/>
              <w:jc w:val="both"/>
            </w:pPr>
            <w:r>
              <w:t>Gera pacientų funkcinė būklė (ECOG 0 ir 1);</w:t>
            </w:r>
          </w:p>
          <w:p w14:paraId="3EA5A2B2" w14:textId="77777777" w:rsidR="001B24C3" w:rsidRPr="009B377A" w:rsidRDefault="001B24C3" w:rsidP="001B24C3">
            <w:pPr>
              <w:pStyle w:val="Sraopastraipa"/>
              <w:numPr>
                <w:ilvl w:val="0"/>
                <w:numId w:val="13"/>
              </w:numPr>
              <w:spacing w:line="276" w:lineRule="auto"/>
              <w:jc w:val="both"/>
            </w:pPr>
            <w:r>
              <w:t>Nėra metastazių galvos smegenyse arba jos sėkmingai išgydytos taikant radioterapiją arba chirurginį gydymą.</w:t>
            </w:r>
          </w:p>
          <w:p w14:paraId="735F49B9" w14:textId="77777777" w:rsidR="001B24C3" w:rsidRPr="001A5F98" w:rsidRDefault="001B24C3" w:rsidP="00787938">
            <w:pPr>
              <w:spacing w:line="276" w:lineRule="auto"/>
              <w:jc w:val="both"/>
              <w:rPr>
                <w:rFonts w:eastAsia="Arial"/>
              </w:rPr>
            </w:pPr>
            <w:r>
              <w:rPr>
                <w:rFonts w:eastAsia="Arial"/>
              </w:rPr>
              <w:t>Gydymą skiria gydytojas, turintis patirties uvealinės melanomos ir citokinų išsiskyrimo sindromo gydyme.</w:t>
            </w:r>
          </w:p>
        </w:tc>
      </w:tr>
      <w:tr w:rsidR="001B24C3" w:rsidRPr="001A5F98" w14:paraId="2A24EB53" w14:textId="77777777" w:rsidTr="00670980">
        <w:trPr>
          <w:trHeight w:val="1548"/>
        </w:trPr>
        <w:tc>
          <w:tcPr>
            <w:tcW w:w="2770" w:type="dxa"/>
          </w:tcPr>
          <w:p w14:paraId="6797D08C" w14:textId="77777777" w:rsidR="001B24C3" w:rsidRDefault="001B24C3" w:rsidP="00787938">
            <w:pPr>
              <w:rPr>
                <w:rFonts w:eastAsia="Arial"/>
              </w:rPr>
            </w:pPr>
            <w:r>
              <w:rPr>
                <w:rFonts w:eastAsia="Arial"/>
              </w:rPr>
              <w:t>Nacionalinis farmakoekonomikos centras, Airija</w:t>
            </w:r>
          </w:p>
          <w:p w14:paraId="46286838" w14:textId="77777777" w:rsidR="001B24C3" w:rsidRPr="001A5F98" w:rsidRDefault="001B24C3" w:rsidP="00787938">
            <w:pPr>
              <w:spacing w:line="276" w:lineRule="auto"/>
              <w:rPr>
                <w:rFonts w:eastAsia="Arial"/>
              </w:rPr>
            </w:pPr>
            <w:r>
              <w:rPr>
                <w:rFonts w:eastAsia="Arial"/>
              </w:rPr>
              <w:t>(angl.</w:t>
            </w:r>
            <w:r>
              <w:rPr>
                <w:rFonts w:eastAsia="Arial"/>
                <w:i/>
              </w:rPr>
              <w:t xml:space="preserve"> National Centre for Pharmacoeconomics, NCPE</w:t>
            </w:r>
            <w:r>
              <w:rPr>
                <w:rFonts w:eastAsia="Arial"/>
              </w:rPr>
              <w:t>)</w:t>
            </w:r>
          </w:p>
        </w:tc>
        <w:tc>
          <w:tcPr>
            <w:tcW w:w="1763" w:type="dxa"/>
          </w:tcPr>
          <w:p w14:paraId="173312A0" w14:textId="77777777" w:rsidR="001B24C3" w:rsidRPr="00D05364" w:rsidRDefault="001B24C3" w:rsidP="00787938">
            <w:r w:rsidRPr="00D05364">
              <w:rPr>
                <w:rStyle w:val="Style2"/>
                <w:rFonts w:ascii="Segoe UI Symbol" w:eastAsia="MS Gothic" w:hAnsi="Segoe UI Symbol" w:cs="Segoe UI Symbol"/>
              </w:rPr>
              <w:t>☐</w:t>
            </w:r>
            <w:r w:rsidRPr="00D05364">
              <w:t xml:space="preserve"> Taip</w:t>
            </w:r>
          </w:p>
          <w:p w14:paraId="1D5E3548" w14:textId="77777777" w:rsidR="001B24C3" w:rsidRPr="00D05364" w:rsidRDefault="001B24C3" w:rsidP="00787938">
            <w:r>
              <w:rPr>
                <w:rStyle w:val="Style2"/>
                <w:rFonts w:ascii="MS Gothic" w:eastAsia="MS Gothic" w:hAnsi="MS Gothic" w:hint="eastAsia"/>
              </w:rPr>
              <w:t>☒</w:t>
            </w:r>
            <w:r w:rsidRPr="00D05364">
              <w:t xml:space="preserve"> Ne</w:t>
            </w:r>
          </w:p>
          <w:p w14:paraId="422EC4A0" w14:textId="77777777" w:rsidR="001B24C3" w:rsidRPr="001A5F98" w:rsidRDefault="001B24C3" w:rsidP="00787938">
            <w:pPr>
              <w:rPr>
                <w:rStyle w:val="Style2"/>
                <w:rFonts w:ascii="MS Gothic" w:eastAsia="MS Gothic" w:hAnsi="MS Gothic"/>
              </w:rPr>
            </w:pPr>
          </w:p>
        </w:tc>
        <w:tc>
          <w:tcPr>
            <w:tcW w:w="5240" w:type="dxa"/>
            <w:gridSpan w:val="2"/>
          </w:tcPr>
          <w:p w14:paraId="173A142E" w14:textId="77777777" w:rsidR="001B24C3" w:rsidRPr="001A5F98" w:rsidRDefault="001B24C3" w:rsidP="00787938">
            <w:pPr>
              <w:spacing w:line="276" w:lineRule="auto"/>
              <w:jc w:val="both"/>
              <w:rPr>
                <w:rFonts w:eastAsia="Arial"/>
              </w:rPr>
            </w:pPr>
            <w:r>
              <w:rPr>
                <w:rFonts w:eastAsia="Arial"/>
              </w:rPr>
              <w:t>–</w:t>
            </w:r>
          </w:p>
        </w:tc>
      </w:tr>
    </w:tbl>
    <w:p w14:paraId="31477FE3" w14:textId="77777777" w:rsidR="001B24C3" w:rsidRPr="001A5F98" w:rsidRDefault="001B24C3" w:rsidP="001B24C3">
      <w:pPr>
        <w:spacing w:line="276" w:lineRule="auto"/>
        <w:rPr>
          <w:rFonts w:eastAsia="Arial"/>
        </w:rPr>
      </w:pPr>
    </w:p>
    <w:p w14:paraId="73290081" w14:textId="61CDF10A" w:rsidR="007A2B68" w:rsidRDefault="007A2B68">
      <w:pPr>
        <w:rPr>
          <w:b/>
          <w:bCs/>
          <w:caps/>
        </w:rPr>
      </w:pPr>
    </w:p>
    <w:p w14:paraId="122A2EA6" w14:textId="77777777" w:rsidR="00670980" w:rsidRDefault="00670980">
      <w:pPr>
        <w:rPr>
          <w:b/>
          <w:bCs/>
          <w:caps/>
        </w:rPr>
      </w:pPr>
    </w:p>
    <w:p w14:paraId="437B290E" w14:textId="77777777" w:rsidR="00670980" w:rsidRDefault="00670980">
      <w:pPr>
        <w:rPr>
          <w:b/>
          <w:bCs/>
          <w:caps/>
        </w:rPr>
      </w:pPr>
    </w:p>
    <w:p w14:paraId="2896645B" w14:textId="77777777" w:rsidR="00670980" w:rsidRDefault="00670980">
      <w:pPr>
        <w:rPr>
          <w:b/>
          <w:bCs/>
          <w:caps/>
        </w:rPr>
      </w:pPr>
    </w:p>
    <w:p w14:paraId="0B72290B" w14:textId="77777777" w:rsidR="00670980" w:rsidRDefault="00670980">
      <w:pPr>
        <w:rPr>
          <w:b/>
          <w:bCs/>
          <w:caps/>
        </w:rPr>
      </w:pPr>
    </w:p>
    <w:p w14:paraId="26104454" w14:textId="77777777" w:rsidR="00670980" w:rsidRPr="000203E1" w:rsidRDefault="00670980">
      <w:pPr>
        <w:rPr>
          <w:b/>
          <w:bCs/>
          <w:caps/>
        </w:rPr>
      </w:pPr>
    </w:p>
    <w:p w14:paraId="5055E8A8" w14:textId="471A9757"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4E9649FE" w14:textId="77777777" w:rsidR="0035017A" w:rsidRDefault="0035017A" w:rsidP="00A93AA6">
      <w:pPr>
        <w:pStyle w:val="Sraopastraipa"/>
        <w:tabs>
          <w:tab w:val="left" w:pos="426"/>
        </w:tabs>
        <w:ind w:left="0"/>
        <w:rPr>
          <w:b/>
          <w:bCs/>
          <w:caps/>
        </w:rPr>
      </w:pPr>
    </w:p>
    <w:p w14:paraId="674ADE6D" w14:textId="710DE31E" w:rsidR="0035017A" w:rsidRDefault="0035017A" w:rsidP="0035017A">
      <w:pPr>
        <w:tabs>
          <w:tab w:val="left" w:pos="426"/>
        </w:tabs>
        <w:spacing w:line="276" w:lineRule="auto"/>
        <w:jc w:val="both"/>
        <w:rPr>
          <w:rFonts w:eastAsia="Arial"/>
          <w:iCs/>
        </w:rPr>
      </w:pPr>
      <w:r>
        <w:rPr>
          <w:rFonts w:eastAsia="Arial"/>
          <w:iCs/>
        </w:rPr>
        <w:tab/>
      </w:r>
      <w:r>
        <w:rPr>
          <w:rFonts w:eastAsia="Arial"/>
          <w:iCs/>
        </w:rPr>
        <w:tab/>
        <w:t xml:space="preserve">Uvealinė melanoma (UM) – retas (iki 9 atvejų 100 tūkst. gyventojų) akies navikas, išsivystantis tik iš akies obuolio kraujagyslinio dangalo melanocitų, sudarantis 85% visų pirminių intraokulinių navikų. 90% atvejų navikas vystosi iš </w:t>
      </w:r>
      <w:r w:rsidRPr="0074049C">
        <w:rPr>
          <w:rFonts w:eastAsia="Arial"/>
          <w:b/>
          <w:bCs/>
          <w:iCs/>
        </w:rPr>
        <w:t>gyslainės</w:t>
      </w:r>
      <w:r>
        <w:rPr>
          <w:rFonts w:eastAsia="Arial"/>
          <w:iCs/>
        </w:rPr>
        <w:t xml:space="preserve">, likusieji – iš </w:t>
      </w:r>
      <w:r w:rsidRPr="0074049C">
        <w:rPr>
          <w:rFonts w:eastAsia="Arial"/>
          <w:b/>
          <w:bCs/>
          <w:iCs/>
        </w:rPr>
        <w:t>rainelės</w:t>
      </w:r>
      <w:r>
        <w:rPr>
          <w:rFonts w:eastAsia="Arial"/>
          <w:iCs/>
        </w:rPr>
        <w:t xml:space="preserve"> (3 – 5% atvejų) ir/ar </w:t>
      </w:r>
      <w:r w:rsidRPr="0074049C">
        <w:rPr>
          <w:rFonts w:eastAsia="Arial"/>
          <w:b/>
          <w:bCs/>
          <w:iCs/>
        </w:rPr>
        <w:t>ciliarinio kūno</w:t>
      </w:r>
      <w:r>
        <w:rPr>
          <w:rFonts w:eastAsia="Arial"/>
          <w:iCs/>
        </w:rPr>
        <w:t xml:space="preserve"> (5 – 8% atvejų). Metastazavusi uvealinė melanoma (mUM) nustatoma apytiksliai pusei visų pacientų nepaisant sėkmingo pirminio akies naviko gydymo. Metastazavusios ligos atveju vienerių ir dvejų metų išgyvenamumas yra atitinkamai 43 ir 8%. </w:t>
      </w:r>
      <w:r w:rsidRPr="00E90AF3">
        <w:t>HLA-A*02</w:t>
      </w:r>
      <w:r>
        <w:t>:01 raiška siejama su blogesne ligos prognoze.</w:t>
      </w:r>
    </w:p>
    <w:p w14:paraId="3E43EB64" w14:textId="77777777" w:rsidR="0035017A" w:rsidRDefault="0035017A" w:rsidP="0035017A">
      <w:pPr>
        <w:tabs>
          <w:tab w:val="left" w:pos="426"/>
        </w:tabs>
        <w:spacing w:line="276" w:lineRule="auto"/>
        <w:jc w:val="both"/>
        <w:rPr>
          <w:rFonts w:eastAsia="Arial"/>
          <w:iCs/>
        </w:rPr>
      </w:pPr>
      <w:r>
        <w:rPr>
          <w:rFonts w:eastAsia="Arial"/>
          <w:iCs/>
        </w:rPr>
        <w:tab/>
      </w:r>
      <w:r>
        <w:rPr>
          <w:rFonts w:eastAsia="Arial"/>
          <w:iCs/>
        </w:rPr>
        <w:tab/>
      </w:r>
      <w:r w:rsidRPr="00693E5D">
        <w:rPr>
          <w:rFonts w:eastAsia="Arial"/>
          <w:iCs/>
        </w:rPr>
        <w:t xml:space="preserve">Lietuvoje sveikatos apsaugos ministro patvirtinto </w:t>
      </w:r>
      <w:r>
        <w:rPr>
          <w:rFonts w:eastAsia="Arial"/>
          <w:iCs/>
        </w:rPr>
        <w:t>UM</w:t>
      </w:r>
      <w:r w:rsidRPr="00693E5D">
        <w:rPr>
          <w:rFonts w:eastAsia="Arial"/>
          <w:iCs/>
        </w:rPr>
        <w:t xml:space="preserve"> gydymo</w:t>
      </w:r>
      <w:r>
        <w:rPr>
          <w:rFonts w:eastAsia="Arial"/>
          <w:iCs/>
        </w:rPr>
        <w:t xml:space="preserve"> </w:t>
      </w:r>
      <w:r w:rsidRPr="00693E5D">
        <w:rPr>
          <w:rFonts w:eastAsia="Arial"/>
          <w:iCs/>
        </w:rPr>
        <w:t>kompensuojamaisiais vaistais tvarkos aprašo nėra, gydymas skiriamas pagal NCCN</w:t>
      </w:r>
      <w:r>
        <w:rPr>
          <w:rFonts w:eastAsia="Arial"/>
          <w:iCs/>
        </w:rPr>
        <w:t xml:space="preserve"> </w:t>
      </w:r>
      <w:r w:rsidRPr="00693E5D">
        <w:rPr>
          <w:rFonts w:eastAsia="Arial"/>
          <w:iCs/>
        </w:rPr>
        <w:t>rekomendacijas.</w:t>
      </w:r>
      <w:r>
        <w:rPr>
          <w:rFonts w:eastAsia="Arial"/>
          <w:iCs/>
        </w:rPr>
        <w:t xml:space="preserve"> 2023 m. NCCN UM diagnostikos ir gydymo gairėse nustačius mUM rekomenduojama pacientus </w:t>
      </w:r>
      <w:r w:rsidRPr="00DE799D">
        <w:rPr>
          <w:rFonts w:eastAsia="Arial"/>
          <w:iCs/>
        </w:rPr>
        <w:t>įtraukti į klinikinius tyrimus (teikiama pirmenybė)</w:t>
      </w:r>
      <w:r>
        <w:rPr>
          <w:rFonts w:eastAsia="Arial"/>
          <w:iCs/>
        </w:rPr>
        <w:t xml:space="preserve"> arba rinktis vieną ar daugiau gydymo metodų: sisteminis (tebentafuspas, imunoterapija, citotoksinė chemoterapija, taikinių terapija), metastazinių kepenų navikų intervencinis ir paliatyvus gydymas.</w:t>
      </w:r>
    </w:p>
    <w:p w14:paraId="4EAA3577" w14:textId="1E5DAD9F" w:rsidR="0035017A" w:rsidRDefault="0035017A" w:rsidP="0035017A">
      <w:pPr>
        <w:tabs>
          <w:tab w:val="left" w:pos="426"/>
        </w:tabs>
        <w:spacing w:line="276" w:lineRule="auto"/>
        <w:jc w:val="both"/>
      </w:pPr>
      <w:r>
        <w:rPr>
          <w:rFonts w:eastAsia="Arial"/>
          <w:iCs/>
        </w:rPr>
        <w:tab/>
      </w:r>
      <w:r>
        <w:rPr>
          <w:rFonts w:eastAsia="Arial"/>
          <w:iCs/>
        </w:rPr>
        <w:tab/>
      </w:r>
      <w:r w:rsidRPr="00B2339D">
        <w:t xml:space="preserve">Lietuvoje mUM </w:t>
      </w:r>
      <w:r>
        <w:t>gydymui</w:t>
      </w:r>
      <w:r w:rsidRPr="00B2339D">
        <w:t xml:space="preserve"> kompensuojamas arba centralizuotai apmokamas </w:t>
      </w:r>
      <w:r w:rsidRPr="00DE799D">
        <w:rPr>
          <w:b/>
          <w:bCs/>
        </w:rPr>
        <w:t>dakarbazinas</w:t>
      </w:r>
      <w:r>
        <w:t xml:space="preserve">. </w:t>
      </w:r>
      <w:r w:rsidRPr="00DE799D">
        <w:rPr>
          <w:b/>
          <w:bCs/>
        </w:rPr>
        <w:t>Temozolamidas</w:t>
      </w:r>
      <w:r w:rsidRPr="00B2339D">
        <w:rPr>
          <w:b/>
          <w:bCs/>
        </w:rPr>
        <w:t>, paklitakselis, karboplatina</w:t>
      </w:r>
      <w:r>
        <w:rPr>
          <w:b/>
          <w:bCs/>
        </w:rPr>
        <w:t xml:space="preserve">, </w:t>
      </w:r>
      <w:r w:rsidRPr="00B2339D">
        <w:rPr>
          <w:b/>
          <w:bCs/>
        </w:rPr>
        <w:t xml:space="preserve">nivolumabas </w:t>
      </w:r>
      <w:r w:rsidRPr="00B2339D">
        <w:t xml:space="preserve">šiai indikacijai kompensuoti pavieniams </w:t>
      </w:r>
      <w:r w:rsidRPr="00F3208D">
        <w:t xml:space="preserve">pacientams Labai retų </w:t>
      </w:r>
      <w:r w:rsidR="00F3208D" w:rsidRPr="00F3208D">
        <w:rPr>
          <w:bCs/>
          <w:color w:val="000000"/>
          <w:sz w:val="23"/>
          <w:szCs w:val="23"/>
        </w:rPr>
        <w:t xml:space="preserve">žmogaus sveikatos būklių gydymo išlaidų kompensavimo </w:t>
      </w:r>
      <w:r w:rsidRPr="00F3208D">
        <w:t>ligų komisijos sprendimu.</w:t>
      </w:r>
      <w:r w:rsidRPr="00F3208D">
        <w:rPr>
          <w:rFonts w:eastAsia="Arial"/>
          <w:iCs/>
        </w:rPr>
        <w:t xml:space="preserve"> </w:t>
      </w:r>
      <w:r w:rsidRPr="00F3208D">
        <w:t>Pa</w:t>
      </w:r>
      <w:r>
        <w:t xml:space="preserve">reiškėjas siūlo, jog </w:t>
      </w:r>
      <w:r w:rsidRPr="00DE799D">
        <w:t>tebentafuspas šiuo metu Lietuvoje kompensuojamoje ir įrodymus atitinkančioje gydymo schemoje turėtų būti papildomas gydymo pasirinkimas</w:t>
      </w:r>
      <w:r>
        <w:t>.</w:t>
      </w:r>
    </w:p>
    <w:p w14:paraId="54E3A110" w14:textId="77777777" w:rsidR="00A32E2B" w:rsidRPr="00DE799D" w:rsidRDefault="00A32E2B" w:rsidP="0035017A">
      <w:pPr>
        <w:tabs>
          <w:tab w:val="left" w:pos="426"/>
        </w:tabs>
        <w:spacing w:line="276" w:lineRule="auto"/>
        <w:jc w:val="both"/>
        <w:rPr>
          <w:rFonts w:eastAsia="Arial"/>
          <w:iCs/>
        </w:rPr>
      </w:pPr>
    </w:p>
    <w:p w14:paraId="7DE7B232" w14:textId="77777777" w:rsidR="0035017A" w:rsidRDefault="0035017A" w:rsidP="0035017A">
      <w:pPr>
        <w:widowControl w:val="0"/>
        <w:jc w:val="both"/>
        <w:rPr>
          <w:bCs/>
          <w:i/>
          <w:iCs/>
          <w:color w:val="000000"/>
          <w:lang w:eastAsia="lt-LT"/>
        </w:rPr>
      </w:pPr>
      <w:r w:rsidRPr="003B3450">
        <w:rPr>
          <w:bCs/>
          <w:i/>
          <w:iCs/>
          <w:color w:val="000000"/>
          <w:lang w:eastAsia="lt-LT"/>
        </w:rPr>
        <w:t>Tiesioginis palyginimas</w:t>
      </w:r>
    </w:p>
    <w:p w14:paraId="3CAC1E54" w14:textId="77777777" w:rsidR="0035017A" w:rsidRDefault="0035017A" w:rsidP="0035017A">
      <w:pPr>
        <w:widowControl w:val="0"/>
        <w:jc w:val="both"/>
        <w:rPr>
          <w:bCs/>
          <w:i/>
          <w:iCs/>
          <w:color w:val="000000"/>
          <w:lang w:eastAsia="lt-LT"/>
        </w:rPr>
      </w:pPr>
    </w:p>
    <w:p w14:paraId="7EA22F10" w14:textId="2E33D792" w:rsidR="00F3208D" w:rsidRDefault="0035017A" w:rsidP="00A32E2B">
      <w:pPr>
        <w:widowControl w:val="0"/>
        <w:spacing w:line="276" w:lineRule="auto"/>
        <w:ind w:firstLine="720"/>
        <w:jc w:val="both"/>
        <w:rPr>
          <w:rFonts w:eastAsia="Arial"/>
          <w:bCs/>
        </w:rPr>
      </w:pPr>
      <w:r w:rsidRPr="004B38B7">
        <w:rPr>
          <w:bCs/>
          <w:color w:val="000000"/>
          <w:lang w:eastAsia="lt-LT"/>
        </w:rPr>
        <w:t xml:space="preserve">Klinikinis </w:t>
      </w:r>
      <w:r w:rsidR="007F14AD">
        <w:rPr>
          <w:bCs/>
          <w:color w:val="000000"/>
          <w:lang w:eastAsia="lt-LT"/>
        </w:rPr>
        <w:t xml:space="preserve">grindžiamas </w:t>
      </w:r>
      <w:r w:rsidRPr="004B38B7">
        <w:rPr>
          <w:bCs/>
          <w:color w:val="000000"/>
          <w:lang w:eastAsia="lt-LT"/>
        </w:rPr>
        <w:t>klinikin</w:t>
      </w:r>
      <w:r w:rsidR="007F14AD">
        <w:rPr>
          <w:bCs/>
          <w:color w:val="000000"/>
          <w:lang w:eastAsia="lt-LT"/>
        </w:rPr>
        <w:t>io</w:t>
      </w:r>
      <w:r>
        <w:rPr>
          <w:bCs/>
          <w:color w:val="000000"/>
          <w:lang w:eastAsia="lt-LT"/>
        </w:rPr>
        <w:t xml:space="preserve"> </w:t>
      </w:r>
      <w:r w:rsidRPr="004B38B7">
        <w:rPr>
          <w:bCs/>
          <w:color w:val="000000"/>
          <w:lang w:eastAsia="lt-LT"/>
        </w:rPr>
        <w:t>tyrim</w:t>
      </w:r>
      <w:r w:rsidR="007F14AD">
        <w:rPr>
          <w:bCs/>
          <w:color w:val="000000"/>
          <w:lang w:eastAsia="lt-LT"/>
        </w:rPr>
        <w:t>o</w:t>
      </w:r>
      <w:r w:rsidRPr="004B38B7">
        <w:rPr>
          <w:bCs/>
          <w:color w:val="000000"/>
          <w:lang w:eastAsia="lt-LT"/>
        </w:rPr>
        <w:t xml:space="preserve"> </w:t>
      </w:r>
      <w:r>
        <w:rPr>
          <w:bCs/>
          <w:color w:val="000000"/>
          <w:lang w:eastAsia="lt-LT"/>
        </w:rPr>
        <w:t>IMCgp 100-202</w:t>
      </w:r>
      <w:r w:rsidR="007F14AD">
        <w:rPr>
          <w:bCs/>
          <w:color w:val="000000"/>
          <w:lang w:eastAsia="lt-LT"/>
        </w:rPr>
        <w:t xml:space="preserve"> duomenimis</w:t>
      </w:r>
      <w:r w:rsidRPr="004B38B7">
        <w:rPr>
          <w:bCs/>
          <w:color w:val="000000"/>
          <w:lang w:eastAsia="lt-LT"/>
        </w:rPr>
        <w:t xml:space="preserve">. </w:t>
      </w:r>
      <w:r>
        <w:rPr>
          <w:bCs/>
          <w:color w:val="000000"/>
          <w:lang w:eastAsia="lt-LT"/>
        </w:rPr>
        <w:t>Jame</w:t>
      </w:r>
      <w:r w:rsidRPr="004B38B7">
        <w:rPr>
          <w:bCs/>
          <w:color w:val="000000"/>
          <w:lang w:eastAsia="lt-LT"/>
        </w:rPr>
        <w:t xml:space="preserve"> įrodyta, jog </w:t>
      </w:r>
      <w:r>
        <w:rPr>
          <w:bCs/>
          <w:color w:val="000000"/>
          <w:lang w:eastAsia="lt-LT"/>
        </w:rPr>
        <w:t xml:space="preserve">18 metų ir vyresniems geros funkcinės būklės (ECOG 0 arba 1) </w:t>
      </w:r>
      <w:r w:rsidRPr="004B38B7">
        <w:rPr>
          <w:bCs/>
          <w:color w:val="000000"/>
          <w:lang w:eastAsia="lt-LT"/>
        </w:rPr>
        <w:t>pacient</w:t>
      </w:r>
      <w:r>
        <w:rPr>
          <w:bCs/>
          <w:color w:val="000000"/>
          <w:lang w:eastAsia="lt-LT"/>
        </w:rPr>
        <w:t xml:space="preserve">ams, kuriems </w:t>
      </w:r>
      <w:r>
        <w:rPr>
          <w:rFonts w:eastAsia="Arial"/>
          <w:bCs/>
        </w:rPr>
        <w:t xml:space="preserve">nustatyta </w:t>
      </w:r>
      <w:r w:rsidRPr="00DE799D">
        <w:rPr>
          <w:rFonts w:eastAsia="Arial"/>
          <w:b/>
        </w:rPr>
        <w:t>anksčiau negydyta</w:t>
      </w:r>
      <w:r>
        <w:rPr>
          <w:rFonts w:eastAsia="Arial"/>
          <w:bCs/>
        </w:rPr>
        <w:t xml:space="preserve"> </w:t>
      </w:r>
      <w:r w:rsidRPr="009163C7">
        <w:rPr>
          <w:b/>
          <w:bCs/>
        </w:rPr>
        <w:t>HLA-A*02:01 teigiama</w:t>
      </w:r>
      <w:r>
        <w:rPr>
          <w:b/>
          <w:bCs/>
        </w:rPr>
        <w:t xml:space="preserve"> </w:t>
      </w:r>
      <w:r>
        <w:rPr>
          <w:rFonts w:eastAsia="Arial"/>
          <w:b/>
        </w:rPr>
        <w:t>mUM</w:t>
      </w:r>
      <w:r>
        <w:rPr>
          <w:rFonts w:eastAsia="Arial"/>
          <w:bCs/>
        </w:rPr>
        <w:t xml:space="preserve">, gydymas tebentafuspu 49% sumažina </w:t>
      </w:r>
      <w:r w:rsidRPr="0091420F">
        <w:rPr>
          <w:rFonts w:eastAsia="Arial"/>
          <w:b/>
          <w:bCs/>
        </w:rPr>
        <w:t>mirties nuo bet kokios priežasties (pirminė vertinamoji baigtis)</w:t>
      </w:r>
      <w:r>
        <w:rPr>
          <w:rFonts w:eastAsia="Arial"/>
          <w:bCs/>
        </w:rPr>
        <w:t xml:space="preserve"> riziką (</w:t>
      </w:r>
      <w:r w:rsidR="00111E60">
        <w:rPr>
          <w:rFonts w:eastAsia="Arial"/>
          <w:bCs/>
        </w:rPr>
        <w:t>***</w:t>
      </w:r>
      <w:r>
        <w:rPr>
          <w:rFonts w:eastAsia="Arial"/>
          <w:bCs/>
        </w:rPr>
        <w:t>), lyginant su kontroline grupe (gydymas dakarbazinu, ipilimumabu ar pembrolizumabu). Panašios tendencijos išliko ir galutinėje (3 metų stebėsenos) analizėje (</w:t>
      </w:r>
      <w:r w:rsidR="00111E60">
        <w:rPr>
          <w:rFonts w:eastAsia="Arial"/>
          <w:bCs/>
        </w:rPr>
        <w:t>***</w:t>
      </w:r>
      <w:r>
        <w:rPr>
          <w:rFonts w:eastAsia="Arial"/>
          <w:bCs/>
        </w:rPr>
        <w:t>). Didžiausias bendrojo išgyvenamumo (BI) skirtumas tarp tebentafuspo ir kontrolinės grupių nustatytas esant progresuojančiai ligai (</w:t>
      </w:r>
      <w:r w:rsidR="00111E60">
        <w:rPr>
          <w:rFonts w:eastAsia="Arial"/>
          <w:bCs/>
        </w:rPr>
        <w:t>***</w:t>
      </w:r>
      <w:r>
        <w:rPr>
          <w:rFonts w:eastAsia="Arial"/>
          <w:bCs/>
        </w:rPr>
        <w:t xml:space="preserve">). Tikimybė tebentafuspo ir kontrolinėje grupėse išgyventi vienerius metus buvo atitinkamai apytiksliai </w:t>
      </w:r>
      <w:r w:rsidR="00111E60">
        <w:rPr>
          <w:rFonts w:eastAsia="Arial"/>
          <w:bCs/>
        </w:rPr>
        <w:t>*</w:t>
      </w:r>
      <w:r>
        <w:rPr>
          <w:rFonts w:eastAsia="Arial"/>
          <w:bCs/>
        </w:rPr>
        <w:t xml:space="preserve">% ir </w:t>
      </w:r>
      <w:r w:rsidR="00111E60">
        <w:rPr>
          <w:rFonts w:eastAsia="Arial"/>
          <w:bCs/>
        </w:rPr>
        <w:t>*</w:t>
      </w:r>
      <w:r>
        <w:rPr>
          <w:rFonts w:eastAsia="Arial"/>
          <w:bCs/>
        </w:rPr>
        <w:t xml:space="preserve">%, dvejus – </w:t>
      </w:r>
      <w:r w:rsidR="00111E60">
        <w:rPr>
          <w:rFonts w:eastAsia="Arial"/>
          <w:bCs/>
        </w:rPr>
        <w:t>*</w:t>
      </w:r>
      <w:r>
        <w:rPr>
          <w:rFonts w:eastAsia="Arial"/>
          <w:bCs/>
        </w:rPr>
        <w:t>% ir</w:t>
      </w:r>
      <w:r w:rsidR="00111E60">
        <w:rPr>
          <w:rFonts w:eastAsia="Arial"/>
          <w:bCs/>
        </w:rPr>
        <w:t>*</w:t>
      </w:r>
      <w:r>
        <w:rPr>
          <w:rFonts w:eastAsia="Arial"/>
          <w:bCs/>
        </w:rPr>
        <w:t xml:space="preserve">%. </w:t>
      </w:r>
      <w:r w:rsidRPr="003F2C46">
        <w:rPr>
          <w:rFonts w:eastAsia="Arial"/>
          <w:bCs/>
        </w:rPr>
        <w:t xml:space="preserve">BI mediana tebentafuspo grupėje buvo </w:t>
      </w:r>
      <w:r w:rsidR="00111E60">
        <w:rPr>
          <w:rFonts w:eastAsia="Arial"/>
          <w:bCs/>
        </w:rPr>
        <w:t>*</w:t>
      </w:r>
      <w:r w:rsidRPr="003F2C46">
        <w:rPr>
          <w:rFonts w:eastAsia="Arial"/>
          <w:bCs/>
        </w:rPr>
        <w:t xml:space="preserve"> mėn. (</w:t>
      </w:r>
      <w:r w:rsidR="00111E60">
        <w:rPr>
          <w:rFonts w:eastAsia="Arial"/>
          <w:bCs/>
        </w:rPr>
        <w:t>***</w:t>
      </w:r>
      <w:r w:rsidRPr="003F2C46">
        <w:rPr>
          <w:rFonts w:eastAsia="Arial"/>
          <w:bCs/>
        </w:rPr>
        <w:t xml:space="preserve">), kontrolinėje – </w:t>
      </w:r>
      <w:r w:rsidR="00111E60">
        <w:rPr>
          <w:rFonts w:eastAsia="Arial"/>
          <w:bCs/>
        </w:rPr>
        <w:t>*</w:t>
      </w:r>
      <w:r w:rsidRPr="003F2C46">
        <w:rPr>
          <w:rFonts w:eastAsia="Arial"/>
          <w:bCs/>
        </w:rPr>
        <w:t xml:space="preserve"> mėn. Esant progresuojančiai ligai, BI mediana tebentafuspo grupėje buvo </w:t>
      </w:r>
      <w:r w:rsidR="00111E60">
        <w:rPr>
          <w:rFonts w:eastAsia="Arial"/>
          <w:bCs/>
        </w:rPr>
        <w:t>*</w:t>
      </w:r>
      <w:r w:rsidRPr="003F2C46">
        <w:rPr>
          <w:rFonts w:eastAsia="Arial"/>
          <w:bCs/>
        </w:rPr>
        <w:t xml:space="preserve"> mėn. (</w:t>
      </w:r>
      <w:r w:rsidR="00111E60">
        <w:rPr>
          <w:rFonts w:eastAsia="Arial"/>
          <w:bCs/>
        </w:rPr>
        <w:t>***</w:t>
      </w:r>
      <w:r w:rsidRPr="003F2C46">
        <w:rPr>
          <w:rFonts w:eastAsia="Arial"/>
          <w:bCs/>
        </w:rPr>
        <w:t xml:space="preserve">), kontrolinėje – </w:t>
      </w:r>
      <w:r w:rsidR="00111E60">
        <w:rPr>
          <w:rFonts w:eastAsia="Arial"/>
          <w:bCs/>
        </w:rPr>
        <w:t>*</w:t>
      </w:r>
      <w:r w:rsidRPr="003F2C46">
        <w:rPr>
          <w:rFonts w:eastAsia="Arial"/>
          <w:bCs/>
        </w:rPr>
        <w:t xml:space="preserve"> mėn. (</w:t>
      </w:r>
      <w:r w:rsidR="00111E60">
        <w:rPr>
          <w:rFonts w:eastAsia="Arial"/>
          <w:bCs/>
        </w:rPr>
        <w:t>***</w:t>
      </w:r>
      <w:r w:rsidRPr="003F2C46">
        <w:rPr>
          <w:rFonts w:eastAsia="Arial"/>
          <w:bCs/>
        </w:rPr>
        <w:t>).</w:t>
      </w:r>
      <w:r w:rsidR="00F3208D">
        <w:rPr>
          <w:rFonts w:eastAsia="Arial"/>
          <w:bCs/>
        </w:rPr>
        <w:t xml:space="preserve"> </w:t>
      </w:r>
    </w:p>
    <w:p w14:paraId="4D705C1A" w14:textId="770E6769" w:rsidR="00F3208D" w:rsidRDefault="00F3208D" w:rsidP="00A32E2B">
      <w:pPr>
        <w:widowControl w:val="0"/>
        <w:spacing w:line="276" w:lineRule="auto"/>
        <w:ind w:firstLine="720"/>
        <w:jc w:val="both"/>
        <w:rPr>
          <w:rFonts w:eastAsia="Arial"/>
          <w:bCs/>
        </w:rPr>
      </w:pPr>
      <w:r w:rsidRPr="006C7E0D">
        <w:rPr>
          <w:bCs/>
        </w:rPr>
        <w:t>Įvertinus</w:t>
      </w:r>
      <w:r>
        <w:rPr>
          <w:bCs/>
        </w:rPr>
        <w:t xml:space="preserve"> tiesioginio palyginimo </w:t>
      </w:r>
      <w:r w:rsidRPr="006C7E0D">
        <w:rPr>
          <w:bCs/>
        </w:rPr>
        <w:t>duomenis, nustatyta, kad</w:t>
      </w:r>
      <w:r>
        <w:rPr>
          <w:bCs/>
        </w:rPr>
        <w:t xml:space="preserve"> </w:t>
      </w:r>
      <w:r w:rsidRPr="001954EE">
        <w:t xml:space="preserve">IMCgp100-202 tyrimo </w:t>
      </w:r>
      <w:r w:rsidRPr="001954EE">
        <w:rPr>
          <w:rFonts w:eastAsia="Arial"/>
          <w:bCs/>
        </w:rPr>
        <w:t>duomenys yra netinkami vertinti,</w:t>
      </w:r>
      <w:r>
        <w:rPr>
          <w:rFonts w:eastAsia="Arial"/>
          <w:bCs/>
        </w:rPr>
        <w:t xml:space="preserve"> nes </w:t>
      </w:r>
      <w:r w:rsidRPr="00733945">
        <w:rPr>
          <w:rFonts w:eastAsia="Arial"/>
          <w:bCs/>
        </w:rPr>
        <w:t>pacientų, vartojusių dakarbaziną, populiacija sudaro tik apie 5% visos kontrolinės grupės,</w:t>
      </w:r>
      <w:r>
        <w:rPr>
          <w:rFonts w:eastAsia="Arial"/>
          <w:bCs/>
        </w:rPr>
        <w:t xml:space="preserve"> o</w:t>
      </w:r>
      <w:r w:rsidRPr="00733945">
        <w:rPr>
          <w:rFonts w:eastAsia="Arial"/>
          <w:bCs/>
        </w:rPr>
        <w:t xml:space="preserve"> ipilimumabo </w:t>
      </w:r>
      <w:r>
        <w:rPr>
          <w:rFonts w:eastAsia="Arial"/>
          <w:bCs/>
        </w:rPr>
        <w:t>a</w:t>
      </w:r>
      <w:r w:rsidRPr="00733945">
        <w:rPr>
          <w:rFonts w:eastAsia="Arial"/>
          <w:bCs/>
        </w:rPr>
        <w:t>r pembrolizumabo monoterapija yra netinkami palyginamieji gydymai Lietuvoje</w:t>
      </w:r>
      <w:r>
        <w:rPr>
          <w:rFonts w:eastAsia="Arial"/>
          <w:bCs/>
        </w:rPr>
        <w:t>.</w:t>
      </w:r>
    </w:p>
    <w:p w14:paraId="4E171733" w14:textId="579C4F07" w:rsidR="0035017A" w:rsidRDefault="0035017A" w:rsidP="0035017A">
      <w:pPr>
        <w:tabs>
          <w:tab w:val="left" w:pos="492"/>
        </w:tabs>
        <w:spacing w:line="276" w:lineRule="auto"/>
        <w:jc w:val="both"/>
        <w:outlineLvl w:val="1"/>
        <w:rPr>
          <w:rFonts w:eastAsia="Arial"/>
          <w:bCs/>
        </w:rPr>
      </w:pPr>
      <w:r>
        <w:rPr>
          <w:rFonts w:eastAsia="Arial"/>
          <w:bCs/>
        </w:rPr>
        <w:tab/>
      </w:r>
      <w:r>
        <w:rPr>
          <w:rFonts w:eastAsia="Arial"/>
          <w:bCs/>
        </w:rPr>
        <w:tab/>
        <w:t xml:space="preserve">Vertinant pacientų </w:t>
      </w:r>
      <w:r>
        <w:rPr>
          <w:rFonts w:eastAsia="Arial"/>
          <w:b/>
          <w:bCs/>
        </w:rPr>
        <w:t>išgyvenamumą be ligos progresavimo</w:t>
      </w:r>
      <w:r>
        <w:rPr>
          <w:rFonts w:eastAsia="Arial"/>
        </w:rPr>
        <w:t xml:space="preserve"> </w:t>
      </w:r>
      <w:r>
        <w:rPr>
          <w:rFonts w:eastAsia="Arial"/>
          <w:bCs/>
        </w:rPr>
        <w:t xml:space="preserve">(IBLP), tebentafuspas </w:t>
      </w:r>
      <w:r w:rsidR="0041605A">
        <w:rPr>
          <w:rFonts w:eastAsia="Arial"/>
          <w:bCs/>
        </w:rPr>
        <w:t>***</w:t>
      </w:r>
      <w:r>
        <w:rPr>
          <w:rFonts w:eastAsia="Arial"/>
          <w:bCs/>
        </w:rPr>
        <w:t>% (</w:t>
      </w:r>
      <w:r w:rsidR="00111E60">
        <w:rPr>
          <w:rFonts w:eastAsia="Arial"/>
          <w:bCs/>
        </w:rPr>
        <w:t>***</w:t>
      </w:r>
      <w:r>
        <w:rPr>
          <w:rFonts w:eastAsia="Arial"/>
          <w:bCs/>
        </w:rPr>
        <w:t xml:space="preserve"> 9 pav.) sumažina ligos progresavimo arba mirties nuo bet kokios priežasties riziką. IBLP mediana tebentafuspo grupėje buvo 3,3 mėn. (</w:t>
      </w:r>
      <w:r w:rsidR="00111E60">
        <w:rPr>
          <w:rFonts w:eastAsia="Arial"/>
          <w:bCs/>
        </w:rPr>
        <w:t>***</w:t>
      </w:r>
      <w:r>
        <w:rPr>
          <w:rFonts w:eastAsia="Arial"/>
          <w:bCs/>
        </w:rPr>
        <w:t>), kontrolinėje – 2,9 mėn. (</w:t>
      </w:r>
      <w:r w:rsidR="00111E60">
        <w:rPr>
          <w:rFonts w:eastAsia="Arial"/>
          <w:bCs/>
        </w:rPr>
        <w:t>***</w:t>
      </w:r>
      <w:r>
        <w:rPr>
          <w:rFonts w:eastAsia="Arial"/>
          <w:bCs/>
        </w:rPr>
        <w:t xml:space="preserve">). Vertinant naviko atsaką į gydymą, objektyvus atsakas tebentafuspo ir kontrolinėje grupėse patvirtintas atitinkamai </w:t>
      </w:r>
      <w:r w:rsidR="00111E60">
        <w:rPr>
          <w:rFonts w:eastAsia="Arial"/>
          <w:bCs/>
        </w:rPr>
        <w:t>*</w:t>
      </w:r>
      <w:r>
        <w:rPr>
          <w:rFonts w:eastAsia="Arial"/>
          <w:bCs/>
        </w:rPr>
        <w:t xml:space="preserve"> </w:t>
      </w:r>
      <w:r w:rsidR="00111E60">
        <w:rPr>
          <w:rFonts w:eastAsia="Arial"/>
          <w:bCs/>
        </w:rPr>
        <w:t>(*)</w:t>
      </w:r>
      <w:r>
        <w:rPr>
          <w:rFonts w:eastAsia="Arial"/>
          <w:bCs/>
        </w:rPr>
        <w:t xml:space="preserve"> ir </w:t>
      </w:r>
      <w:r w:rsidR="00111E60">
        <w:rPr>
          <w:rFonts w:eastAsia="Arial"/>
          <w:bCs/>
        </w:rPr>
        <w:t>*</w:t>
      </w:r>
      <w:r>
        <w:rPr>
          <w:rFonts w:eastAsia="Arial"/>
          <w:bCs/>
        </w:rPr>
        <w:t xml:space="preserve"> (</w:t>
      </w:r>
      <w:r w:rsidR="00111E60">
        <w:rPr>
          <w:rFonts w:eastAsia="Arial"/>
          <w:bCs/>
        </w:rPr>
        <w:t>*</w:t>
      </w:r>
      <w:r>
        <w:rPr>
          <w:rFonts w:eastAsia="Arial"/>
          <w:bCs/>
        </w:rPr>
        <w:t xml:space="preserve">) pacientams. Po </w:t>
      </w:r>
      <w:r w:rsidR="00111E60">
        <w:rPr>
          <w:rFonts w:eastAsia="Arial"/>
          <w:bCs/>
        </w:rPr>
        <w:t>*</w:t>
      </w:r>
      <w:r>
        <w:rPr>
          <w:rFonts w:eastAsia="Arial"/>
          <w:bCs/>
        </w:rPr>
        <w:t xml:space="preserve"> (</w:t>
      </w:r>
      <w:r w:rsidR="00111E60">
        <w:rPr>
          <w:rFonts w:eastAsia="Arial"/>
          <w:bCs/>
        </w:rPr>
        <w:t>*</w:t>
      </w:r>
      <w:r>
        <w:rPr>
          <w:rFonts w:eastAsia="Arial"/>
          <w:bCs/>
        </w:rPr>
        <w:t xml:space="preserve">) ir </w:t>
      </w:r>
      <w:r w:rsidR="00111E60">
        <w:rPr>
          <w:rFonts w:eastAsia="Arial"/>
          <w:bCs/>
        </w:rPr>
        <w:t>*</w:t>
      </w:r>
      <w:r>
        <w:rPr>
          <w:rFonts w:eastAsia="Arial"/>
          <w:bCs/>
        </w:rPr>
        <w:t xml:space="preserve"> (</w:t>
      </w:r>
      <w:r w:rsidR="00111E60">
        <w:rPr>
          <w:rFonts w:eastAsia="Arial"/>
          <w:bCs/>
        </w:rPr>
        <w:t>*</w:t>
      </w:r>
      <w:r>
        <w:rPr>
          <w:rFonts w:eastAsia="Arial"/>
          <w:bCs/>
        </w:rPr>
        <w:t xml:space="preserve">) stebėsenos medianų patvirtinti </w:t>
      </w:r>
      <w:r w:rsidR="00111E60">
        <w:rPr>
          <w:rFonts w:eastAsia="Arial"/>
          <w:bCs/>
        </w:rPr>
        <w:t>*</w:t>
      </w:r>
      <w:r>
        <w:rPr>
          <w:rFonts w:eastAsia="Arial"/>
          <w:bCs/>
        </w:rPr>
        <w:t xml:space="preserve"> (</w:t>
      </w:r>
      <w:r w:rsidR="00111E60">
        <w:rPr>
          <w:rFonts w:eastAsia="Arial"/>
          <w:bCs/>
        </w:rPr>
        <w:t>*</w:t>
      </w:r>
      <w:r>
        <w:rPr>
          <w:rFonts w:eastAsia="Arial"/>
          <w:bCs/>
        </w:rPr>
        <w:t xml:space="preserve">) ir </w:t>
      </w:r>
      <w:r w:rsidR="00111E60">
        <w:rPr>
          <w:rFonts w:eastAsia="Arial"/>
          <w:bCs/>
        </w:rPr>
        <w:t>*</w:t>
      </w:r>
      <w:r>
        <w:rPr>
          <w:rFonts w:eastAsia="Arial"/>
          <w:bCs/>
        </w:rPr>
        <w:t xml:space="preserve"> (</w:t>
      </w:r>
      <w:r w:rsidR="00111E60">
        <w:rPr>
          <w:rFonts w:eastAsia="Arial"/>
          <w:bCs/>
        </w:rPr>
        <w:t>*</w:t>
      </w:r>
      <w:r>
        <w:rPr>
          <w:rFonts w:eastAsia="Arial"/>
          <w:bCs/>
        </w:rPr>
        <w:t>) ligos progresavimo atvejai.</w:t>
      </w:r>
    </w:p>
    <w:p w14:paraId="66E1E427" w14:textId="77777777" w:rsidR="0035017A" w:rsidRDefault="0035017A" w:rsidP="0035017A">
      <w:pPr>
        <w:widowControl w:val="0"/>
        <w:spacing w:line="276" w:lineRule="auto"/>
        <w:ind w:firstLine="720"/>
        <w:jc w:val="both"/>
        <w:rPr>
          <w:bCs/>
          <w:color w:val="000000"/>
          <w:lang w:eastAsia="lt-LT"/>
        </w:rPr>
      </w:pPr>
      <w:r w:rsidRPr="00657A6E">
        <w:rPr>
          <w:rFonts w:eastAsia="Arial"/>
          <w:b/>
          <w:bCs/>
          <w:iCs/>
        </w:rPr>
        <w:t>Pacientų praneštos baigtys</w:t>
      </w:r>
      <w:r>
        <w:rPr>
          <w:rFonts w:eastAsia="Arial"/>
          <w:iCs/>
        </w:rPr>
        <w:t xml:space="preserve"> buvo įvertintos pacientams užpildant EQ-5D-5L ir EORTQ QLQ-C30 klausimyną. Pacientų gyvenimo kokybė tarp tiriamųjų grupių nesiskyrė.</w:t>
      </w:r>
      <w:r>
        <w:rPr>
          <w:iCs/>
        </w:rPr>
        <w:t xml:space="preserve"> Pirminės analizės metu ir i</w:t>
      </w:r>
      <w:r>
        <w:rPr>
          <w:bCs/>
          <w:iCs/>
          <w:lang w:eastAsia="lt-LT"/>
        </w:rPr>
        <w:t xml:space="preserve">lgalaikės stebėsenos laikotarpiu </w:t>
      </w:r>
      <w:r w:rsidRPr="00A030EC">
        <w:rPr>
          <w:bCs/>
          <w:iCs/>
          <w:lang w:eastAsia="lt-LT"/>
        </w:rPr>
        <w:t>reikšmingų saugumo problemų ar įvykių nenustatyta</w:t>
      </w:r>
      <w:r w:rsidRPr="007F1158">
        <w:rPr>
          <w:bCs/>
          <w:color w:val="000000"/>
          <w:lang w:eastAsia="lt-LT"/>
        </w:rPr>
        <w:t>.</w:t>
      </w:r>
    </w:p>
    <w:p w14:paraId="6E638DF5" w14:textId="77777777" w:rsidR="00A32E2B" w:rsidRPr="009762C5" w:rsidRDefault="00A32E2B" w:rsidP="0035017A">
      <w:pPr>
        <w:widowControl w:val="0"/>
        <w:spacing w:line="276" w:lineRule="auto"/>
        <w:ind w:firstLine="720"/>
        <w:jc w:val="both"/>
        <w:rPr>
          <w:iCs/>
        </w:rPr>
      </w:pPr>
    </w:p>
    <w:p w14:paraId="65602DEF" w14:textId="77777777" w:rsidR="0035017A" w:rsidRDefault="0035017A" w:rsidP="0035017A">
      <w:pPr>
        <w:widowControl w:val="0"/>
        <w:spacing w:line="276" w:lineRule="auto"/>
        <w:jc w:val="both"/>
        <w:rPr>
          <w:bCs/>
          <w:i/>
          <w:iCs/>
          <w:color w:val="000000"/>
          <w:lang w:eastAsia="lt-LT"/>
        </w:rPr>
      </w:pPr>
      <w:r>
        <w:rPr>
          <w:bCs/>
          <w:i/>
          <w:iCs/>
          <w:color w:val="000000"/>
          <w:lang w:eastAsia="lt-LT"/>
        </w:rPr>
        <w:t>Net</w:t>
      </w:r>
      <w:r w:rsidRPr="003B3450">
        <w:rPr>
          <w:bCs/>
          <w:i/>
          <w:iCs/>
          <w:color w:val="000000"/>
          <w:lang w:eastAsia="lt-LT"/>
        </w:rPr>
        <w:t>iesioginis palyginimas</w:t>
      </w:r>
    </w:p>
    <w:p w14:paraId="35CF07A3" w14:textId="77777777" w:rsidR="0035017A" w:rsidRDefault="0035017A" w:rsidP="0035017A">
      <w:pPr>
        <w:widowControl w:val="0"/>
        <w:spacing w:line="276" w:lineRule="auto"/>
        <w:jc w:val="both"/>
        <w:rPr>
          <w:bCs/>
          <w:i/>
          <w:iCs/>
          <w:color w:val="000000"/>
          <w:lang w:eastAsia="lt-LT"/>
        </w:rPr>
      </w:pPr>
    </w:p>
    <w:p w14:paraId="6264D294" w14:textId="1618E01B" w:rsidR="0035017A" w:rsidRDefault="0035017A" w:rsidP="0035017A">
      <w:pPr>
        <w:widowControl w:val="0"/>
        <w:spacing w:line="276" w:lineRule="auto"/>
        <w:ind w:firstLine="720"/>
        <w:jc w:val="both"/>
        <w:rPr>
          <w:rFonts w:eastAsia="Arial"/>
          <w:bCs/>
        </w:rPr>
      </w:pPr>
      <w:r w:rsidRPr="004B38B7">
        <w:rPr>
          <w:bCs/>
          <w:color w:val="000000"/>
          <w:lang w:eastAsia="lt-LT"/>
        </w:rPr>
        <w:t>Klinikinis vertinimas buvo atliktas pagal paraiškoje pateikt</w:t>
      </w:r>
      <w:r>
        <w:rPr>
          <w:bCs/>
          <w:color w:val="000000"/>
          <w:lang w:eastAsia="lt-LT"/>
        </w:rPr>
        <w:t>ą</w:t>
      </w:r>
      <w:r w:rsidRPr="004B38B7">
        <w:rPr>
          <w:bCs/>
          <w:color w:val="000000"/>
          <w:lang w:eastAsia="lt-LT"/>
        </w:rPr>
        <w:t xml:space="preserve"> </w:t>
      </w:r>
      <w:r>
        <w:rPr>
          <w:bCs/>
          <w:color w:val="000000"/>
          <w:lang w:eastAsia="lt-LT"/>
        </w:rPr>
        <w:t xml:space="preserve">IMCgp 100-202 ir GEM-1402 tyrimų nekoreguotą ir koreguotą netiesioginį duomenų palyginimą su ipilimumabo ir nivolumabo deriniu bei pembrolizumabo monoterapija. Netiesioginio palyginimo analizėje įrodyta, jog tebentafuspas </w:t>
      </w:r>
      <w:r w:rsidR="0041605A">
        <w:rPr>
          <w:bCs/>
          <w:color w:val="000000"/>
          <w:lang w:eastAsia="lt-LT"/>
        </w:rPr>
        <w:t>***</w:t>
      </w:r>
      <w:r>
        <w:rPr>
          <w:bCs/>
          <w:color w:val="000000"/>
          <w:lang w:eastAsia="lt-LT"/>
        </w:rPr>
        <w:t xml:space="preserve">% </w:t>
      </w:r>
      <w:r>
        <w:rPr>
          <w:rFonts w:eastAsia="Arial"/>
          <w:bCs/>
        </w:rPr>
        <w:t>(</w:t>
      </w:r>
      <w:r w:rsidR="00111E60">
        <w:rPr>
          <w:rFonts w:eastAsia="Arial"/>
          <w:bCs/>
        </w:rPr>
        <w:t>***)</w:t>
      </w:r>
      <w:r>
        <w:rPr>
          <w:rFonts w:eastAsia="Arial"/>
          <w:bCs/>
        </w:rPr>
        <w:t xml:space="preserve"> sumažina mirties nuo bet kokios priežasties riziką, </w:t>
      </w:r>
      <w:r w:rsidR="0041605A">
        <w:rPr>
          <w:rFonts w:eastAsia="Arial"/>
          <w:bCs/>
        </w:rPr>
        <w:t>***</w:t>
      </w:r>
      <w:r>
        <w:rPr>
          <w:rFonts w:eastAsia="Arial"/>
          <w:bCs/>
        </w:rPr>
        <w:t>% (</w:t>
      </w:r>
      <w:r w:rsidR="00111E60">
        <w:rPr>
          <w:rFonts w:eastAsia="Arial"/>
          <w:bCs/>
        </w:rPr>
        <w:t>***)</w:t>
      </w:r>
      <w:r>
        <w:rPr>
          <w:rFonts w:eastAsia="Arial"/>
          <w:bCs/>
        </w:rPr>
        <w:t xml:space="preserve"> – ligos progresavimo arba mirties nuo bet kokios priežasties riziką, lyginant su ipilimumabo ir nivolumabo deriniu. BI mediana tebentafuspo grupėje buvo 21,7 mėn., ipilimumabo ir nivolumabo grupėje – 12,1 mėn.</w:t>
      </w:r>
    </w:p>
    <w:p w14:paraId="67BD6705" w14:textId="33056386" w:rsidR="00F3208D" w:rsidRDefault="00F3208D" w:rsidP="00A32E2B">
      <w:pPr>
        <w:widowControl w:val="0"/>
        <w:spacing w:line="276" w:lineRule="auto"/>
        <w:ind w:firstLine="720"/>
        <w:jc w:val="both"/>
        <w:rPr>
          <w:bCs/>
          <w:i/>
          <w:iCs/>
          <w:color w:val="000000"/>
          <w:lang w:eastAsia="lt-LT"/>
        </w:rPr>
      </w:pPr>
      <w:r w:rsidRPr="006C7E0D">
        <w:rPr>
          <w:bCs/>
        </w:rPr>
        <w:t>Įvertinus</w:t>
      </w:r>
      <w:r>
        <w:rPr>
          <w:bCs/>
        </w:rPr>
        <w:t xml:space="preserve"> tiesioginio palyginimo </w:t>
      </w:r>
      <w:r w:rsidRPr="006C7E0D">
        <w:rPr>
          <w:bCs/>
        </w:rPr>
        <w:t>duomenis, nustatyta, kad</w:t>
      </w:r>
      <w:r>
        <w:rPr>
          <w:bCs/>
        </w:rPr>
        <w:t xml:space="preserve"> n</w:t>
      </w:r>
      <w:r w:rsidRPr="006C7D0E">
        <w:rPr>
          <w:rFonts w:eastAsia="Arial"/>
        </w:rPr>
        <w:t>etiesioginio palyginimo analizė</w:t>
      </w:r>
      <w:r>
        <w:rPr>
          <w:rFonts w:eastAsia="Arial"/>
        </w:rPr>
        <w:t>s</w:t>
      </w:r>
      <w:r w:rsidRPr="00F3208D">
        <w:rPr>
          <w:rFonts w:eastAsia="Arial"/>
          <w:bCs/>
        </w:rPr>
        <w:t xml:space="preserve"> </w:t>
      </w:r>
      <w:r w:rsidRPr="001954EE">
        <w:rPr>
          <w:rFonts w:eastAsia="Arial"/>
          <w:bCs/>
        </w:rPr>
        <w:t>duomenys yra netinkami vertinti,</w:t>
      </w:r>
      <w:r>
        <w:rPr>
          <w:rFonts w:eastAsia="Arial"/>
          <w:bCs/>
        </w:rPr>
        <w:t xml:space="preserve"> nes</w:t>
      </w:r>
      <w:r w:rsidRPr="006C7D0E">
        <w:rPr>
          <w:rFonts w:eastAsia="Arial"/>
        </w:rPr>
        <w:t xml:space="preserve"> palyginamasis gydymas neatitinka </w:t>
      </w:r>
      <w:r>
        <w:rPr>
          <w:rFonts w:eastAsia="Arial"/>
        </w:rPr>
        <w:t>įprastos Lietuvos</w:t>
      </w:r>
      <w:r w:rsidRPr="006C7D0E">
        <w:rPr>
          <w:rFonts w:eastAsia="Arial"/>
        </w:rPr>
        <w:t xml:space="preserve"> klinikinės praktikos.</w:t>
      </w:r>
    </w:p>
    <w:p w14:paraId="630238D3" w14:textId="787E0536" w:rsidR="0035017A" w:rsidRDefault="00A9159F" w:rsidP="00A32E2B">
      <w:pPr>
        <w:spacing w:line="276" w:lineRule="auto"/>
        <w:ind w:right="10" w:firstLine="720"/>
        <w:jc w:val="both"/>
        <w:outlineLvl w:val="0"/>
        <w:rPr>
          <w:bCs/>
        </w:rPr>
      </w:pPr>
      <w:r w:rsidRPr="00A9159F">
        <w:rPr>
          <w:rFonts w:eastAsia="Arial"/>
          <w:bCs/>
        </w:rPr>
        <w:t>Atsižvelgiant į tai, kad pareiškėjas atsak</w:t>
      </w:r>
      <w:r w:rsidR="0032540A">
        <w:rPr>
          <w:rFonts w:eastAsia="Arial"/>
          <w:bCs/>
        </w:rPr>
        <w:t>ydamas</w:t>
      </w:r>
      <w:r w:rsidRPr="00A9159F">
        <w:rPr>
          <w:rFonts w:eastAsia="Arial"/>
          <w:bCs/>
        </w:rPr>
        <w:t xml:space="preserve"> į esminį prieštaravimą dėl netinkamo palyginamojo </w:t>
      </w:r>
      <w:r w:rsidR="0032540A">
        <w:rPr>
          <w:rFonts w:eastAsia="Arial"/>
          <w:bCs/>
        </w:rPr>
        <w:t xml:space="preserve">gydymo </w:t>
      </w:r>
      <w:r w:rsidRPr="00A9159F">
        <w:rPr>
          <w:rFonts w:eastAsia="Arial"/>
          <w:bCs/>
        </w:rPr>
        <w:t xml:space="preserve">tiesioginio ir netiesioginio palyginimo tyrimuose, nepateikė tiesioginio ar netiesioginio </w:t>
      </w:r>
      <w:r w:rsidRPr="0032540A">
        <w:rPr>
          <w:bCs/>
        </w:rPr>
        <w:t>tebentafuspo veiksmingumo palyginimo su karboplatina, paklitakseliu, karboplatinos ir paklitakselio deriniu</w:t>
      </w:r>
      <w:r w:rsidR="0032540A">
        <w:rPr>
          <w:bCs/>
        </w:rPr>
        <w:t xml:space="preserve"> ar</w:t>
      </w:r>
      <w:r w:rsidRPr="0032540A">
        <w:rPr>
          <w:bCs/>
        </w:rPr>
        <w:t xml:space="preserve"> temozolamidu, esminis prieštaravimas laikomas neišspręstu ir daroma išvada, kad </w:t>
      </w:r>
      <w:r w:rsidRPr="0032540A">
        <w:t>pateikti duomenys apie palyginamąjį efektyvumą yra netinkami vertinti, o klinikinis veiksmingum</w:t>
      </w:r>
      <w:r w:rsidR="0032540A">
        <w:t>as</w:t>
      </w:r>
      <w:r w:rsidRPr="0032540A">
        <w:t xml:space="preserve"> įvertintas kaip nepagrindžiantis papildomos naudos pacientų sveikatai sukūrimo, lyginant su  įprasta klinikine praktika</w:t>
      </w:r>
      <w:r w:rsidRPr="00A9159F">
        <w:rPr>
          <w:bCs/>
        </w:rPr>
        <w:t>.</w:t>
      </w:r>
    </w:p>
    <w:p w14:paraId="063FBFF6" w14:textId="77777777" w:rsidR="00A32E2B" w:rsidRPr="000203E1" w:rsidRDefault="00A32E2B" w:rsidP="00A32E2B">
      <w:pPr>
        <w:spacing w:line="276" w:lineRule="auto"/>
        <w:ind w:right="10" w:firstLine="720"/>
        <w:jc w:val="both"/>
        <w:outlineLvl w:val="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63CDBE" w14:textId="77777777" w:rsidR="001B24C3" w:rsidRPr="00164D64" w:rsidRDefault="001B24C3" w:rsidP="002E6F80">
      <w:pPr>
        <w:tabs>
          <w:tab w:val="left" w:pos="284"/>
        </w:tabs>
        <w:rPr>
          <w:bCs/>
          <w:i/>
          <w:caps/>
        </w:rPr>
      </w:pPr>
    </w:p>
    <w:p w14:paraId="3409C536" w14:textId="77777777" w:rsidR="001B24C3" w:rsidRPr="006A3ACA" w:rsidRDefault="001B24C3" w:rsidP="001B24C3">
      <w:pPr>
        <w:pStyle w:val="VVKT"/>
      </w:pPr>
      <w:r w:rsidRPr="006A3ACA">
        <w:t>Pareiškėjas pateikė  kaštų  naudingumo analizę, į kurią įtraukti pacientai atitinka kompensacijai teikiamas terapines indikacijas. Pacientų populiacija atitinka klinikinio tyrimo IMCgp100-202 tiriamųjų populiacija ir apima suaugusius pacientus, sergančius neoperuotina arba metastazavusiauvealine (akies kraujagyslinio dangalo) melanoma, kurių žmogaus leukocitų antigeno (angl. human leukocyte antigen, HLA)-A*02:01 tyrimo rezultatas yra teigiamas.</w:t>
      </w:r>
    </w:p>
    <w:p w14:paraId="75DF6861" w14:textId="77777777" w:rsidR="001B24C3" w:rsidRPr="006A3ACA" w:rsidRDefault="001B24C3" w:rsidP="001B24C3">
      <w:pPr>
        <w:pStyle w:val="VVKT"/>
      </w:pPr>
      <w:r w:rsidRPr="006A3ACA">
        <w:t xml:space="preserve">Ekonominėje analizėje pateiktas palyginamasis gydymas neatitinka įprastos Lietuvos Respublikos klinikinės praktikos. Įprasta klinikinė praktika Lietuvoje gydant šią pacientų populiaciją yra gydymas dakarbazinu arba nivolumabu, o ekonominėje analizėje palyginamsis gydymas yra dakarbazinu, ipilumabu ir pembrolizumabu. Pažymėtina,  kad klinikiniame tyrime IMCgp100-202 palyginamojo gydymo grupėje  dakarbazinas, kuris yra tinkamas palyginamasis gydymas, buvo skiriamas tik 5,6 proc. palyginamosios grupės pacientų. Tai vertinama kaip esminis prieštaravimas, kurio neišsprendus kaštų naudingumas Lietuvos klinikinės situacijos atžvilgiu negali būti vertinamas. </w:t>
      </w:r>
    </w:p>
    <w:p w14:paraId="16B4412F" w14:textId="77777777" w:rsidR="001B24C3" w:rsidRPr="006A3ACA" w:rsidRDefault="001B24C3" w:rsidP="001B24C3">
      <w:pPr>
        <w:pStyle w:val="VVKT"/>
      </w:pPr>
      <w:r w:rsidRPr="006A3ACA">
        <w:t>Ekonominėje analizėje taikomi modeliavimo metodai. Farmakoekonominėje analizėje naudojamas modelis, kuris paremtas būklės kitimo tikimybėmis,</w:t>
      </w:r>
      <w:r>
        <w:t xml:space="preserve"> </w:t>
      </w:r>
      <w:r w:rsidRPr="006A3ACA">
        <w:t>naudojant paciento lygmens duomenis iš IMCgp100-202 tyrimo. Ekonominės analizės struktūra yra tinkama tebentafuspo kaštų naudingumo vertinimui gydant sergančiuosius neoperuotina arba metastazavusiauvealine (akies kraujagyslinio dangalo) melanoma, kurių žmogaus leukocitų antigeno (angl. human leukocyte antigen, HLA)-A*02:01 tyrimo rezultatas yra teigiamas.</w:t>
      </w:r>
    </w:p>
    <w:p w14:paraId="1C3569F0" w14:textId="77777777" w:rsidR="001B24C3" w:rsidRPr="006A3ACA" w:rsidRDefault="001B24C3" w:rsidP="001B24C3">
      <w:pPr>
        <w:pStyle w:val="VVKT"/>
      </w:pPr>
      <w:r w:rsidRPr="006A3ACA">
        <w:t xml:space="preserve">Pagrindinis klinikinių įrodymų šaltinis yra klinikinis tyrimas IMCgp100-202 – atsitiktinių imčių, atvirasis, daugiacentris tyrimas, kuriame dalyvavo metastazavusia akies kraujagyslinio dangalo melanoma sergantys pacientai, kurių HLA-A*02:01 tyrimo rezultatas buvo teigiamas, kuriems netaikyta sisteminė terapija. Atsižvelgiant į tai, kad palyginamasis gydymas ekonominėje </w:t>
      </w:r>
      <w:r w:rsidRPr="006A3ACA">
        <w:lastRenderedPageBreak/>
        <w:t>analizėje neatitinka klinikinės praktikos Lietuvos Respublikoje, pareiškėjo pateikti klinikiniai įrodymai su netinkamu palyginamuoju yra mažai vertingi.</w:t>
      </w:r>
    </w:p>
    <w:p w14:paraId="482DE910" w14:textId="77777777" w:rsidR="001B24C3" w:rsidRPr="006A3ACA" w:rsidRDefault="001B24C3" w:rsidP="001B24C3">
      <w:pPr>
        <w:pStyle w:val="VVKT"/>
      </w:pPr>
      <w:r w:rsidRPr="006A3ACA">
        <w:t>Pareiškėjo taikomos prielaidos, vertinant efektyvumo skirtumus tarp siūlomo ir palyginamojo gydymo ilgajame laikotarpyje yra nepagrįstos. Pareiškėjas paraiškoje nepateikia jokio aprašymo apie akivaizdžiai taikytus ekstrapoliavimo metodus modeliuojant bendrąjį išgyvenamumą, išgyvenamumą be ligos progresavimo ir gydymo trukmę, nėra duomenų apie gautų parametrinių skirstinių tinkamumo vertinimą, pasirinktų parametrinių skirstinių pagrindimą ir t. t.</w:t>
      </w:r>
    </w:p>
    <w:p w14:paraId="2452F297" w14:textId="77777777" w:rsidR="001B24C3" w:rsidRPr="006A3ACA" w:rsidRDefault="001B24C3" w:rsidP="001B24C3">
      <w:pPr>
        <w:pStyle w:val="VVKT"/>
      </w:pPr>
      <w:r w:rsidRPr="006A3ACA">
        <w:t xml:space="preserve">Sveikatai sukuriama nauda ekonominėje analizėje vertinama apskaičiuojant kokybiškus gyvenimo metus. Apskaičiuojant kokybiškus gyvenimo metus naudojami gyvenimo kokybės įverčiai. Gyvenimo kokybės įverčiams pasinaudota NICE (UK) atliktos pembrolizumabo odos melanomos sveikatos technologijos vertinimo rezultatais. Ekonominėje analizėje nėra jokio pasirinkto gyvenimo kokybės įverčių šaltinio pasirinkimo pagrindimo. </w:t>
      </w:r>
      <w:r>
        <w:t>P</w:t>
      </w:r>
      <w:r w:rsidRPr="006A3ACA">
        <w:t>areiškėjo pasirinkto gyvenimo kokybės įverčių šaltinio pacientų populiacija (pacientai, sergantys melanoma) neatitinka nagrinėjamos populiacijos charakteristikų (pacientai, sergantys uvealine (akies kraujagyslinio dangalo) melanoma). Tarnyba šį trūkumą vertina kaip esminį prieštaravimą.</w:t>
      </w:r>
    </w:p>
    <w:p w14:paraId="1D31544A" w14:textId="77777777" w:rsidR="001B24C3" w:rsidRPr="006A3ACA" w:rsidRDefault="001B24C3" w:rsidP="001B24C3">
      <w:pPr>
        <w:pStyle w:val="VVKT"/>
      </w:pPr>
      <w:r w:rsidRPr="006A3ACA">
        <w:t xml:space="preserve">Tarnyba, atlikusi detalųjį tebentafuspo kaštų naudingumo analizės detalųjį vertinimą, kreipėsi į pareiškėją nurodydama analizės esminius trūkumus, tačiau pareiškėjas jų neišsprendė. Tarnyba pateiktus duomenis apie kaštų naudingumą vertina kaip netinkamus vertinimui, nes neįmanoma apskaičiuoti tebentafuspo inkrementinės kaštų naudingumo vertės. </w:t>
      </w:r>
    </w:p>
    <w:p w14:paraId="33875138" w14:textId="098A0A8E" w:rsidR="0035172D" w:rsidRDefault="0041605A" w:rsidP="00A93AA6">
      <w:pPr>
        <w:tabs>
          <w:tab w:val="left" w:pos="426"/>
        </w:tabs>
        <w:rPr>
          <w:b/>
          <w:bCs/>
          <w:caps/>
        </w:rPr>
      </w:pPr>
      <w:r>
        <w:rPr>
          <w:b/>
          <w:bCs/>
          <w:caps/>
        </w:rPr>
        <w:t>(***)</w:t>
      </w:r>
    </w:p>
    <w:p w14:paraId="31A708AF" w14:textId="77777777" w:rsidR="0041605A" w:rsidRPr="000203E1" w:rsidRDefault="0041605A"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C80FC98" w14:textId="77777777" w:rsidR="00B7139E" w:rsidRPr="000203E1" w:rsidRDefault="00B7139E" w:rsidP="00B7139E">
      <w:pPr>
        <w:pStyle w:val="Sraopastraipa"/>
        <w:tabs>
          <w:tab w:val="left" w:pos="567"/>
        </w:tabs>
        <w:rPr>
          <w:b/>
          <w:bCs/>
          <w:caps/>
        </w:rPr>
      </w:pPr>
    </w:p>
    <w:p w14:paraId="79BCFF40" w14:textId="2F949C73"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p>
    <w:p w14:paraId="62992180" w14:textId="4AF4D538"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7139E">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59559062" w14:textId="77777777" w:rsidR="00B7139E" w:rsidRPr="000203E1" w:rsidRDefault="00B7139E" w:rsidP="00937907">
      <w:pPr>
        <w:spacing w:after="120"/>
        <w:jc w:val="both"/>
      </w:pPr>
    </w:p>
    <w:p w14:paraId="3D3277FA" w14:textId="3CEEB2D2" w:rsidR="00C62B36"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00ADDE44" w14:textId="77777777" w:rsidR="00B7139E" w:rsidRPr="000203E1" w:rsidRDefault="00B7139E" w:rsidP="00B7139E">
      <w:pPr>
        <w:pStyle w:val="Sraopastraipa"/>
        <w:tabs>
          <w:tab w:val="left" w:pos="567"/>
        </w:tabs>
        <w:rPr>
          <w:b/>
          <w:bCs/>
          <w:caps/>
        </w:rPr>
      </w:pPr>
    </w:p>
    <w:p w14:paraId="389A346C" w14:textId="5F5606BF"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5D8CC48C" w14:textId="22306095" w:rsidR="00662983"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7139E">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0FDE4D08" w14:textId="77777777" w:rsidR="00A32E2B" w:rsidRDefault="00A32E2B" w:rsidP="00662983">
      <w:pPr>
        <w:spacing w:after="120"/>
        <w:jc w:val="both"/>
      </w:pPr>
    </w:p>
    <w:p w14:paraId="077B9B18" w14:textId="77777777" w:rsidR="00A32E2B" w:rsidRDefault="00A32E2B" w:rsidP="00662983">
      <w:pPr>
        <w:spacing w:after="120"/>
        <w:jc w:val="both"/>
      </w:pPr>
    </w:p>
    <w:p w14:paraId="23D766EA" w14:textId="77777777" w:rsidR="00A32E2B" w:rsidRDefault="00A32E2B" w:rsidP="00662983">
      <w:pPr>
        <w:spacing w:after="120"/>
        <w:jc w:val="both"/>
      </w:pPr>
    </w:p>
    <w:p w14:paraId="57A84916" w14:textId="77777777" w:rsidR="00A32E2B" w:rsidRDefault="00A32E2B" w:rsidP="00662983">
      <w:pPr>
        <w:spacing w:after="120"/>
        <w:jc w:val="both"/>
      </w:pPr>
    </w:p>
    <w:p w14:paraId="614BB3FC" w14:textId="77777777" w:rsidR="00A32E2B" w:rsidRDefault="00A32E2B" w:rsidP="00662983">
      <w:pPr>
        <w:spacing w:after="120"/>
        <w:jc w:val="both"/>
      </w:pPr>
    </w:p>
    <w:p w14:paraId="55A52D27" w14:textId="77777777" w:rsidR="00A32E2B" w:rsidRDefault="00A32E2B" w:rsidP="00662983">
      <w:pPr>
        <w:spacing w:after="120"/>
        <w:jc w:val="both"/>
      </w:pPr>
    </w:p>
    <w:p w14:paraId="7AEDE03E" w14:textId="77777777" w:rsidR="00A32E2B" w:rsidRDefault="00A32E2B" w:rsidP="00662983">
      <w:pPr>
        <w:spacing w:after="120"/>
        <w:jc w:val="both"/>
      </w:pPr>
    </w:p>
    <w:p w14:paraId="00A81E42" w14:textId="77777777" w:rsidR="00A32E2B" w:rsidRPr="000203E1" w:rsidRDefault="00A32E2B"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08D5B3B6" w14:textId="01D8A774" w:rsidR="0061611B" w:rsidRPr="000203E1"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35017A"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5017A">
              <w:rPr>
                <w:rStyle w:val="Style2"/>
                <w:rFonts w:eastAsia="MS Gothic"/>
                <w:b/>
                <w:bCs/>
                <w:sz w:val="24"/>
              </w:rPr>
              <w:lastRenderedPageBreak/>
              <w:t>Palyginamasis efektyvumas</w:t>
            </w:r>
          </w:p>
        </w:tc>
      </w:tr>
      <w:tr w:rsidR="000203E1" w:rsidRPr="000203E1" w14:paraId="28A0C814" w14:textId="77777777" w:rsidTr="0061611B">
        <w:tc>
          <w:tcPr>
            <w:tcW w:w="4815" w:type="dxa"/>
          </w:tcPr>
          <w:p w14:paraId="216769B5" w14:textId="144FEB07" w:rsidR="00B13D65" w:rsidRPr="0035017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35017A">
                  <w:rPr>
                    <w:rStyle w:val="Style2"/>
                    <w:rFonts w:ascii="Segoe UI Symbol" w:eastAsia="MS Gothic" w:hAnsi="Segoe UI Symbol" w:cs="Segoe UI Symbol"/>
                    <w:sz w:val="24"/>
                  </w:rPr>
                  <w:t>☐</w:t>
                </w:r>
              </w:sdtContent>
            </w:sdt>
            <w:r w:rsidR="00B13D65" w:rsidRPr="0035017A">
              <w:t xml:space="preserve"> 32.1. yra didesnis</w:t>
            </w:r>
            <w:r w:rsidR="00B00959" w:rsidRPr="0035017A">
              <w:t>, lyginant su įprasta klinikine praktika</w:t>
            </w:r>
          </w:p>
          <w:p w14:paraId="3B48F372"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35017A"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35017A">
                  <w:rPr>
                    <w:rStyle w:val="Style2"/>
                    <w:rFonts w:ascii="Segoe UI Symbol" w:eastAsia="MS Gothic" w:hAnsi="Segoe UI Symbol" w:cs="Segoe UI Symbol"/>
                    <w:sz w:val="24"/>
                  </w:rPr>
                  <w:t>☐</w:t>
                </w:r>
              </w:sdtContent>
            </w:sdt>
            <w:r w:rsidR="00B13D65" w:rsidRPr="0035017A">
              <w:t xml:space="preserve"> 32.1. iš esmės nesiskiria</w:t>
            </w:r>
            <w:r w:rsidR="00B00959" w:rsidRPr="0035017A">
              <w:t>, lyginant su įprasta klinikine praktika</w:t>
            </w:r>
          </w:p>
        </w:tc>
        <w:tc>
          <w:tcPr>
            <w:tcW w:w="4814" w:type="dxa"/>
          </w:tcPr>
          <w:p w14:paraId="507828D9" w14:textId="10556E28" w:rsidR="00B13D65" w:rsidRPr="0035017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35017A">
                  <w:rPr>
                    <w:rStyle w:val="Style2"/>
                    <w:rFonts w:ascii="Segoe UI Symbol" w:eastAsia="MS Gothic" w:hAnsi="Segoe UI Symbol" w:cs="Segoe UI Symbol"/>
                    <w:sz w:val="24"/>
                  </w:rPr>
                  <w:t>☐</w:t>
                </w:r>
              </w:sdtContent>
            </w:sdt>
            <w:r w:rsidR="00B13D65" w:rsidRPr="0035017A">
              <w:t xml:space="preserve"> 33.1. yra mažesnis</w:t>
            </w:r>
            <w:r w:rsidR="00B00959" w:rsidRPr="0035017A">
              <w:t>, lyginant su įprasta klinikine praktika</w:t>
            </w:r>
          </w:p>
          <w:p w14:paraId="7F95DEEC"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35017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35017A">
                  <w:rPr>
                    <w:rStyle w:val="Style2"/>
                    <w:rFonts w:ascii="Segoe UI Symbol" w:eastAsia="MS Gothic" w:hAnsi="Segoe UI Symbol" w:cs="Segoe UI Symbol"/>
                    <w:sz w:val="24"/>
                  </w:rPr>
                  <w:t>☐</w:t>
                </w:r>
              </w:sdtContent>
            </w:sdt>
            <w:r w:rsidR="00B13D65" w:rsidRPr="0035017A">
              <w:t xml:space="preserve"> 33.1. yra neįrodytas kaip toks pat</w:t>
            </w:r>
            <w:r w:rsidR="00B00959" w:rsidRPr="0035017A">
              <w:t>, lyginant su įprasta klinikine praktika</w:t>
            </w:r>
          </w:p>
          <w:p w14:paraId="35205E85"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35017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35017A">
                  <w:rPr>
                    <w:rStyle w:val="Style2"/>
                    <w:rFonts w:ascii="Segoe UI Symbol" w:eastAsia="MS Gothic" w:hAnsi="Segoe UI Symbol" w:cs="Segoe UI Symbol"/>
                    <w:sz w:val="24"/>
                  </w:rPr>
                  <w:t>☐</w:t>
                </w:r>
              </w:sdtContent>
            </w:sdt>
            <w:r w:rsidR="00662983" w:rsidRPr="0035017A">
              <w:t xml:space="preserve"> 33.1 </w:t>
            </w:r>
            <w:r w:rsidR="00B00959" w:rsidRPr="0035017A">
              <w:t xml:space="preserve">yra </w:t>
            </w:r>
            <w:r w:rsidR="00B13D65" w:rsidRPr="0035017A">
              <w:t>neįrodytas kaip didesnis</w:t>
            </w:r>
            <w:r w:rsidR="00B00959" w:rsidRPr="0035017A">
              <w:t>, lyginant su įprasta klinikine praktika</w:t>
            </w:r>
          </w:p>
          <w:p w14:paraId="512E653B" w14:textId="77777777" w:rsidR="00662983" w:rsidRPr="0035017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4285D5D4" w:rsidR="00B13D65" w:rsidRPr="0035017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35017A" w:rsidRPr="0035017A">
                  <w:rPr>
                    <w:rStyle w:val="Style2"/>
                    <w:rFonts w:ascii="MS Gothic" w:eastAsia="MS Gothic" w:hAnsi="MS Gothic" w:hint="eastAsia"/>
                    <w:sz w:val="24"/>
                  </w:rPr>
                  <w:t>☒</w:t>
                </w:r>
              </w:sdtContent>
            </w:sdt>
            <w:r w:rsidR="00B13D65" w:rsidRPr="0035017A">
              <w:t xml:space="preserve"> 33.1. pateikti duomenys apie palyginamąjį efektyvumą yra netinkami vertinti</w:t>
            </w:r>
          </w:p>
          <w:p w14:paraId="5DDAA961" w14:textId="77777777" w:rsidR="00B13D65" w:rsidRPr="0035017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35017A"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35017A">
              <w:rPr>
                <w:rStyle w:val="Style2"/>
                <w:rFonts w:eastAsia="MS Gothic"/>
                <w:b/>
                <w:bCs/>
                <w:sz w:val="24"/>
              </w:rPr>
              <w:t>Klinikinis veiksmingumas</w:t>
            </w:r>
          </w:p>
        </w:tc>
      </w:tr>
      <w:tr w:rsidR="000203E1" w:rsidRPr="000203E1" w14:paraId="3C60570A" w14:textId="77777777" w:rsidTr="0061611B">
        <w:tc>
          <w:tcPr>
            <w:tcW w:w="4815" w:type="dxa"/>
          </w:tcPr>
          <w:p w14:paraId="6897B306" w14:textId="70C15EA4"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0C75E9FE" w:rsidR="00662983" w:rsidRPr="000203E1" w:rsidRDefault="00000000" w:rsidP="00662983">
            <w:pPr>
              <w:jc w:val="both"/>
            </w:pPr>
            <w:sdt>
              <w:sdtPr>
                <w:rPr>
                  <w:rStyle w:val="Style2"/>
                  <w:sz w:val="24"/>
                </w:rPr>
                <w:id w:val="-1034573056"/>
                <w15:color w:val="FFCC00"/>
                <w14:checkbox>
                  <w14:checked w14:val="1"/>
                  <w14:checkedState w14:val="2612" w14:font="MS Gothic"/>
                  <w14:uncheckedState w14:val="2610" w14:font="MS Gothic"/>
                </w14:checkbox>
              </w:sdtPr>
              <w:sdtContent>
                <w:r w:rsidR="0035017A">
                  <w:rPr>
                    <w:rStyle w:val="Style2"/>
                    <w:rFonts w:ascii="MS Gothic" w:eastAsia="MS Gothic" w:hAnsi="MS Gothic" w:hint="eastAsia"/>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4003637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32.3. atitinka referencinę naudingumo vertę, </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4F3213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w:t>
            </w:r>
            <w:r w:rsidR="00B00959" w:rsidRPr="000203E1">
              <w:t>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A694E72"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C10187D"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Content>
                <w:r w:rsidR="001B24C3">
                  <w:rPr>
                    <w:rStyle w:val="Style2"/>
                    <w:rFonts w:ascii="MS Gothic" w:eastAsia="MS Gothic" w:hAnsi="MS Gothic" w:hint="eastAsia"/>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128F481" w14:textId="77777777" w:rsidR="001B24C3" w:rsidRDefault="001B24C3" w:rsidP="0035017A"/>
    <w:p w14:paraId="7623B28E" w14:textId="77777777" w:rsidR="001B24C3" w:rsidRPr="001B24C3" w:rsidRDefault="001B24C3" w:rsidP="001B24C3">
      <w:pPr>
        <w:pStyle w:val="Sraopastraipa"/>
        <w:ind w:left="567"/>
      </w:pPr>
    </w:p>
    <w:p w14:paraId="3B2D1F25" w14:textId="7E4DFE7D"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59422C01" w14:textId="77777777" w:rsidR="004F3B2B" w:rsidRPr="000203E1"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DFF220" w14:textId="034593B7" w:rsidR="000723FF" w:rsidRPr="00A32E2B" w:rsidRDefault="004F3B2B" w:rsidP="00A32E2B">
      <w:pPr>
        <w:spacing w:line="276" w:lineRule="auto"/>
        <w:ind w:firstLine="576"/>
        <w:jc w:val="both"/>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punktu 34.4. rekomenduojama </w:t>
      </w:r>
      <w:r w:rsidRPr="000203E1">
        <w:rPr>
          <w:i/>
        </w:rPr>
        <w:t xml:space="preserve">nekompensuoti </w:t>
      </w:r>
      <w:r w:rsidRPr="000203E1">
        <w:t>vaistinio preparato pagal paraiškoje nurodytą indikaciją be skyrimo sąlygų, taikant PGS dėl vertinimo išvadų</w:t>
      </w:r>
      <w:r w:rsidR="00613143" w:rsidRPr="000203E1">
        <w:t xml:space="preserve">, nurodytų </w:t>
      </w:r>
      <w:r w:rsidR="001B24C3">
        <w:t xml:space="preserve">33.1 ir </w:t>
      </w:r>
      <w:r w:rsidR="00613143" w:rsidRPr="000203E1">
        <w:t>33.3</w:t>
      </w:r>
      <w:r w:rsidR="001B24C3">
        <w:t xml:space="preserve"> </w:t>
      </w:r>
      <w:r w:rsidR="00613143" w:rsidRPr="000203E1">
        <w:t>papunk</w:t>
      </w:r>
      <w:r w:rsidR="001B24C3">
        <w:t>čiuose</w:t>
      </w:r>
      <w:r w:rsidR="00E348BA" w:rsidRPr="000203E1">
        <w:t xml:space="preserve"> (žr. 6 skyrių), </w:t>
      </w:r>
      <w:r w:rsidRPr="000203E1">
        <w:t>neatitikties 34.1 papunktyje išdėstyt</w:t>
      </w:r>
      <w:r w:rsidR="00CF27FD" w:rsidRPr="000203E1">
        <w:t>oms</w:t>
      </w:r>
      <w:r w:rsidRPr="000203E1">
        <w:t xml:space="preserve"> sąlyg</w:t>
      </w:r>
      <w:r w:rsidR="00CF27FD" w:rsidRPr="000203E1">
        <w:t>oms</w:t>
      </w:r>
      <w:r w:rsidR="001B24C3">
        <w:t>.</w:t>
      </w:r>
    </w:p>
    <w:sectPr w:rsidR="000723FF" w:rsidRPr="00A32E2B"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7C473" w14:textId="77777777" w:rsidR="00C63AA8" w:rsidRDefault="00C63AA8">
      <w:r>
        <w:separator/>
      </w:r>
    </w:p>
  </w:endnote>
  <w:endnote w:type="continuationSeparator" w:id="0">
    <w:p w14:paraId="2DA685D0" w14:textId="77777777" w:rsidR="00C63AA8" w:rsidRDefault="00C6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C9A5C" w14:textId="77777777" w:rsidR="00C63AA8" w:rsidRDefault="00C63AA8">
      <w:r>
        <w:separator/>
      </w:r>
    </w:p>
  </w:footnote>
  <w:footnote w:type="continuationSeparator" w:id="0">
    <w:p w14:paraId="54F23A39" w14:textId="77777777" w:rsidR="00C63AA8" w:rsidRDefault="00C6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25AE78FA"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3A46">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92E1459"/>
    <w:multiLevelType w:val="hybridMultilevel"/>
    <w:tmpl w:val="7E029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817436">
    <w:abstractNumId w:val="7"/>
  </w:num>
  <w:num w:numId="2" w16cid:durableId="49428039">
    <w:abstractNumId w:val="1"/>
  </w:num>
  <w:num w:numId="3" w16cid:durableId="2077512293">
    <w:abstractNumId w:val="9"/>
  </w:num>
  <w:num w:numId="4" w16cid:durableId="602957949">
    <w:abstractNumId w:val="8"/>
  </w:num>
  <w:num w:numId="5" w16cid:durableId="410978024">
    <w:abstractNumId w:val="6"/>
  </w:num>
  <w:num w:numId="6" w16cid:durableId="1127702696">
    <w:abstractNumId w:val="5"/>
  </w:num>
  <w:num w:numId="7" w16cid:durableId="1188519767">
    <w:abstractNumId w:val="3"/>
  </w:num>
  <w:num w:numId="8" w16cid:durableId="80881697">
    <w:abstractNumId w:val="12"/>
  </w:num>
  <w:num w:numId="9" w16cid:durableId="577789946">
    <w:abstractNumId w:val="0"/>
  </w:num>
  <w:num w:numId="10" w16cid:durableId="1755853530">
    <w:abstractNumId w:val="10"/>
  </w:num>
  <w:num w:numId="11" w16cid:durableId="1410536319">
    <w:abstractNumId w:val="11"/>
  </w:num>
  <w:num w:numId="12" w16cid:durableId="1341352106">
    <w:abstractNumId w:val="2"/>
  </w:num>
  <w:num w:numId="13" w16cid:durableId="1114667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53975"/>
    <w:rsid w:val="00057A2B"/>
    <w:rsid w:val="000606BE"/>
    <w:rsid w:val="000648BE"/>
    <w:rsid w:val="000723FF"/>
    <w:rsid w:val="000736B8"/>
    <w:rsid w:val="0008190F"/>
    <w:rsid w:val="00081D9C"/>
    <w:rsid w:val="00082907"/>
    <w:rsid w:val="0008378D"/>
    <w:rsid w:val="00083BA9"/>
    <w:rsid w:val="000908A5"/>
    <w:rsid w:val="00092805"/>
    <w:rsid w:val="000C454C"/>
    <w:rsid w:val="000D5038"/>
    <w:rsid w:val="000E29D4"/>
    <w:rsid w:val="000F3540"/>
    <w:rsid w:val="00100491"/>
    <w:rsid w:val="00104E2E"/>
    <w:rsid w:val="00107287"/>
    <w:rsid w:val="00111E60"/>
    <w:rsid w:val="00117406"/>
    <w:rsid w:val="00121EF0"/>
    <w:rsid w:val="00124A9E"/>
    <w:rsid w:val="00130703"/>
    <w:rsid w:val="0013153F"/>
    <w:rsid w:val="001408B8"/>
    <w:rsid w:val="001517E2"/>
    <w:rsid w:val="001521D9"/>
    <w:rsid w:val="001554E2"/>
    <w:rsid w:val="00161A5F"/>
    <w:rsid w:val="00164146"/>
    <w:rsid w:val="00164D64"/>
    <w:rsid w:val="001651DC"/>
    <w:rsid w:val="0017369C"/>
    <w:rsid w:val="00175D57"/>
    <w:rsid w:val="00180C39"/>
    <w:rsid w:val="00180D96"/>
    <w:rsid w:val="00184BD3"/>
    <w:rsid w:val="001921F3"/>
    <w:rsid w:val="001B24C3"/>
    <w:rsid w:val="001B3C5B"/>
    <w:rsid w:val="001D5B91"/>
    <w:rsid w:val="001D746F"/>
    <w:rsid w:val="001E4BBB"/>
    <w:rsid w:val="001E6304"/>
    <w:rsid w:val="001F5A0A"/>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360B"/>
    <w:rsid w:val="002E57AD"/>
    <w:rsid w:val="002E6F80"/>
    <w:rsid w:val="002F0E4F"/>
    <w:rsid w:val="002F1053"/>
    <w:rsid w:val="00314816"/>
    <w:rsid w:val="003171A4"/>
    <w:rsid w:val="00317B0E"/>
    <w:rsid w:val="0032540A"/>
    <w:rsid w:val="00347FAA"/>
    <w:rsid w:val="0035017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1605A"/>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00FB"/>
    <w:rsid w:val="005976CE"/>
    <w:rsid w:val="005A23D4"/>
    <w:rsid w:val="005A2D1E"/>
    <w:rsid w:val="005A4698"/>
    <w:rsid w:val="005B3756"/>
    <w:rsid w:val="005C493F"/>
    <w:rsid w:val="005C5A0A"/>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0980"/>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09CF"/>
    <w:rsid w:val="00702C18"/>
    <w:rsid w:val="00703166"/>
    <w:rsid w:val="007127F3"/>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4AD"/>
    <w:rsid w:val="007F1949"/>
    <w:rsid w:val="007F2592"/>
    <w:rsid w:val="007F79BE"/>
    <w:rsid w:val="00800A08"/>
    <w:rsid w:val="00817A84"/>
    <w:rsid w:val="008225A4"/>
    <w:rsid w:val="00824B92"/>
    <w:rsid w:val="00826D5E"/>
    <w:rsid w:val="00832013"/>
    <w:rsid w:val="00832DB7"/>
    <w:rsid w:val="00834732"/>
    <w:rsid w:val="00834C5D"/>
    <w:rsid w:val="0085200C"/>
    <w:rsid w:val="00857C52"/>
    <w:rsid w:val="00860D5F"/>
    <w:rsid w:val="00880A44"/>
    <w:rsid w:val="00882B75"/>
    <w:rsid w:val="0088345E"/>
    <w:rsid w:val="0088656F"/>
    <w:rsid w:val="00891EF6"/>
    <w:rsid w:val="008A0303"/>
    <w:rsid w:val="008A5FDD"/>
    <w:rsid w:val="008B3F99"/>
    <w:rsid w:val="008C3947"/>
    <w:rsid w:val="008E473B"/>
    <w:rsid w:val="008E51A6"/>
    <w:rsid w:val="008E7329"/>
    <w:rsid w:val="008F2ED5"/>
    <w:rsid w:val="00902462"/>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32E2B"/>
    <w:rsid w:val="00A54D87"/>
    <w:rsid w:val="00A5553C"/>
    <w:rsid w:val="00A701C9"/>
    <w:rsid w:val="00A81785"/>
    <w:rsid w:val="00A84803"/>
    <w:rsid w:val="00A84C51"/>
    <w:rsid w:val="00A86F2B"/>
    <w:rsid w:val="00A91366"/>
    <w:rsid w:val="00A9159F"/>
    <w:rsid w:val="00A92F91"/>
    <w:rsid w:val="00A93AA6"/>
    <w:rsid w:val="00AA4E48"/>
    <w:rsid w:val="00AA6202"/>
    <w:rsid w:val="00AA7B57"/>
    <w:rsid w:val="00AB2806"/>
    <w:rsid w:val="00AC26FC"/>
    <w:rsid w:val="00AC4A99"/>
    <w:rsid w:val="00AC64D2"/>
    <w:rsid w:val="00AD02E7"/>
    <w:rsid w:val="00AE0FE8"/>
    <w:rsid w:val="00AF3A46"/>
    <w:rsid w:val="00AF60D5"/>
    <w:rsid w:val="00B00959"/>
    <w:rsid w:val="00B04415"/>
    <w:rsid w:val="00B06509"/>
    <w:rsid w:val="00B11D60"/>
    <w:rsid w:val="00B13D65"/>
    <w:rsid w:val="00B21805"/>
    <w:rsid w:val="00B3072E"/>
    <w:rsid w:val="00B36E15"/>
    <w:rsid w:val="00B37245"/>
    <w:rsid w:val="00B4017A"/>
    <w:rsid w:val="00B4468D"/>
    <w:rsid w:val="00B7139E"/>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6B4C"/>
    <w:rsid w:val="00C273F2"/>
    <w:rsid w:val="00C37B53"/>
    <w:rsid w:val="00C434EB"/>
    <w:rsid w:val="00C517D2"/>
    <w:rsid w:val="00C5772E"/>
    <w:rsid w:val="00C6029E"/>
    <w:rsid w:val="00C62B36"/>
    <w:rsid w:val="00C63AA8"/>
    <w:rsid w:val="00C7012C"/>
    <w:rsid w:val="00C712EA"/>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521E"/>
    <w:rsid w:val="00D912D9"/>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16605"/>
    <w:rsid w:val="00E24D45"/>
    <w:rsid w:val="00E33DB8"/>
    <w:rsid w:val="00E33EFF"/>
    <w:rsid w:val="00E34387"/>
    <w:rsid w:val="00E348BA"/>
    <w:rsid w:val="00E369FE"/>
    <w:rsid w:val="00E37C6F"/>
    <w:rsid w:val="00E475F8"/>
    <w:rsid w:val="00E5102E"/>
    <w:rsid w:val="00E5721C"/>
    <w:rsid w:val="00E619C6"/>
    <w:rsid w:val="00E64ADE"/>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208D"/>
    <w:rsid w:val="00F36972"/>
    <w:rsid w:val="00F42426"/>
    <w:rsid w:val="00F456BC"/>
    <w:rsid w:val="00F50666"/>
    <w:rsid w:val="00F70731"/>
    <w:rsid w:val="00F70C9E"/>
    <w:rsid w:val="00F720C5"/>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locked/>
    <w:rsid w:val="001B24C3"/>
    <w:rPr>
      <w:sz w:val="24"/>
      <w:szCs w:val="24"/>
      <w:lang w:eastAsia="en-US"/>
    </w:rPr>
  </w:style>
  <w:style w:type="paragraph" w:customStyle="1" w:styleId="VVKT">
    <w:name w:val="VVKT"/>
    <w:basedOn w:val="prastasis"/>
    <w:link w:val="VVKTChar"/>
    <w:qFormat/>
    <w:rsid w:val="001B24C3"/>
    <w:pPr>
      <w:tabs>
        <w:tab w:val="left" w:pos="567"/>
      </w:tabs>
      <w:spacing w:line="276" w:lineRule="auto"/>
      <w:ind w:firstLine="562"/>
      <w:jc w:val="both"/>
    </w:pPr>
    <w:rPr>
      <w:lang w:eastAsia="lt-LT"/>
    </w:rPr>
  </w:style>
  <w:style w:type="character" w:customStyle="1" w:styleId="VVKTChar">
    <w:name w:val="VVKT Char"/>
    <w:basedOn w:val="Numatytasispastraiposriftas"/>
    <w:link w:val="VVKT"/>
    <w:rsid w:val="001B2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A44436AC3C4407B0F4C03034ABF0E5"/>
        <w:category>
          <w:name w:val="General"/>
          <w:gallery w:val="placeholder"/>
        </w:category>
        <w:types>
          <w:type w:val="bbPlcHdr"/>
        </w:types>
        <w:behaviors>
          <w:behavior w:val="content"/>
        </w:behaviors>
        <w:guid w:val="{D8F32090-32BD-4015-A111-810A3956FF15}"/>
      </w:docPartPr>
      <w:docPartBody>
        <w:p w:rsidR="00244677" w:rsidRDefault="00BE2BCA" w:rsidP="00BE2BCA">
          <w:pPr>
            <w:pStyle w:val="F5A44436AC3C4407B0F4C03034ABF0E5"/>
          </w:pPr>
          <w:r>
            <w:rPr>
              <w:rStyle w:val="Vietosrezervavimoenklotekstas"/>
            </w:rPr>
            <w:t>Click here to enter a date.</w:t>
          </w:r>
        </w:p>
      </w:docPartBody>
    </w:docPart>
    <w:docPart>
      <w:docPartPr>
        <w:name w:val="CB6C1603A44E424D8E35CD2BD9E9F6BA"/>
        <w:category>
          <w:name w:val="General"/>
          <w:gallery w:val="placeholder"/>
        </w:category>
        <w:types>
          <w:type w:val="bbPlcHdr"/>
        </w:types>
        <w:behaviors>
          <w:behavior w:val="content"/>
        </w:behaviors>
        <w:guid w:val="{382D597F-D91A-465F-8249-A31CA52F9E4A}"/>
      </w:docPartPr>
      <w:docPartBody>
        <w:p w:rsidR="00244677" w:rsidRDefault="00BE2BCA" w:rsidP="00BE2BCA">
          <w:pPr>
            <w:pStyle w:val="CB6C1603A44E424D8E35CD2BD9E9F6B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778C"/>
    <w:rsid w:val="001C35A9"/>
    <w:rsid w:val="00237556"/>
    <w:rsid w:val="00244677"/>
    <w:rsid w:val="002E360B"/>
    <w:rsid w:val="0039303B"/>
    <w:rsid w:val="003F0CE7"/>
    <w:rsid w:val="004144A3"/>
    <w:rsid w:val="004160E7"/>
    <w:rsid w:val="004416C6"/>
    <w:rsid w:val="00456E96"/>
    <w:rsid w:val="004959D8"/>
    <w:rsid w:val="004F5AB2"/>
    <w:rsid w:val="005074B9"/>
    <w:rsid w:val="00540FEE"/>
    <w:rsid w:val="005C62E5"/>
    <w:rsid w:val="005E40DD"/>
    <w:rsid w:val="007009CF"/>
    <w:rsid w:val="007219C1"/>
    <w:rsid w:val="00753462"/>
    <w:rsid w:val="00772325"/>
    <w:rsid w:val="007A2FE0"/>
    <w:rsid w:val="007C6D1D"/>
    <w:rsid w:val="0090074D"/>
    <w:rsid w:val="00902462"/>
    <w:rsid w:val="00921212"/>
    <w:rsid w:val="009A2B37"/>
    <w:rsid w:val="009B3BF0"/>
    <w:rsid w:val="009D5E5E"/>
    <w:rsid w:val="009F1BB4"/>
    <w:rsid w:val="00AB6ED4"/>
    <w:rsid w:val="00B14210"/>
    <w:rsid w:val="00B20FE9"/>
    <w:rsid w:val="00B22ED6"/>
    <w:rsid w:val="00B23DC0"/>
    <w:rsid w:val="00B96656"/>
    <w:rsid w:val="00BE2BCA"/>
    <w:rsid w:val="00C2401D"/>
    <w:rsid w:val="00C250D7"/>
    <w:rsid w:val="00C53A68"/>
    <w:rsid w:val="00C6029E"/>
    <w:rsid w:val="00CA5BB4"/>
    <w:rsid w:val="00CB4BD1"/>
    <w:rsid w:val="00CD139C"/>
    <w:rsid w:val="00CE2DA9"/>
    <w:rsid w:val="00CE44BE"/>
    <w:rsid w:val="00D0142D"/>
    <w:rsid w:val="00D4356B"/>
    <w:rsid w:val="00D7162F"/>
    <w:rsid w:val="00DB4DB5"/>
    <w:rsid w:val="00DE4D10"/>
    <w:rsid w:val="00E16605"/>
    <w:rsid w:val="00E44A86"/>
    <w:rsid w:val="00E522EB"/>
    <w:rsid w:val="00E60827"/>
    <w:rsid w:val="00EF6E0C"/>
    <w:rsid w:val="00F55028"/>
    <w:rsid w:val="00F720C5"/>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E2BCA"/>
    <w:rPr>
      <w:color w:val="808080"/>
    </w:rPr>
  </w:style>
  <w:style w:type="paragraph" w:customStyle="1" w:styleId="F5A44436AC3C4407B0F4C03034ABF0E5">
    <w:name w:val="F5A44436AC3C4407B0F4C03034ABF0E5"/>
    <w:rsid w:val="00BE2BCA"/>
    <w:pPr>
      <w:spacing w:line="278" w:lineRule="auto"/>
    </w:pPr>
    <w:rPr>
      <w:kern w:val="2"/>
      <w:sz w:val="24"/>
      <w:szCs w:val="24"/>
      <w:lang w:val="en-GB" w:eastAsia="en-GB"/>
      <w14:ligatures w14:val="standardContextual"/>
    </w:rPr>
  </w:style>
  <w:style w:type="paragraph" w:customStyle="1" w:styleId="CB6C1603A44E424D8E35CD2BD9E9F6BA">
    <w:name w:val="CB6C1603A44E424D8E35CD2BD9E9F6BA"/>
    <w:rsid w:val="00BE2BCA"/>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DB70-8316-44EF-832C-C9E29C07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9261</Words>
  <Characters>5279</Characters>
  <Application>Microsoft Office Word</Application>
  <DocSecurity>0</DocSecurity>
  <Lines>43</Lines>
  <Paragraphs>29</Paragraphs>
  <ScaleCrop>false</ScaleCrop>
  <Company/>
  <LinksUpToDate>false</LinksUpToDate>
  <CharactersWithSpaces>14511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2024-07-22T15:31:00Z</dcterms:created>
  <dcterms:modified xsi:type="dcterms:W3CDTF">2024-08-09T12:14:00Z</dcterms:modified>
</cp:coreProperties>
</file>