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E5EB3" w14:textId="1955ADE3" w:rsidR="005F7602" w:rsidRPr="005D5BE7" w:rsidRDefault="005F7602" w:rsidP="002946C7">
      <w:pPr>
        <w:ind w:left="5529"/>
      </w:pPr>
    </w:p>
    <w:p w14:paraId="12FA4B9E" w14:textId="77777777" w:rsidR="001B3C5B" w:rsidRPr="00F832F8" w:rsidRDefault="001B3C5B" w:rsidP="001B3C5B">
      <w:pPr>
        <w:ind w:left="6096"/>
      </w:pPr>
      <w:r w:rsidRPr="00F832F8">
        <w:t>Forma patvirtinta</w:t>
      </w:r>
    </w:p>
    <w:p w14:paraId="7206970B" w14:textId="70E9BD2E" w:rsidR="004C263A" w:rsidRPr="00F832F8" w:rsidRDefault="001B3C5B" w:rsidP="001B3C5B">
      <w:pPr>
        <w:ind w:left="6096"/>
      </w:pPr>
      <w:r w:rsidRPr="00F832F8">
        <w:t>Valstybinės vaistų kontrolės tarnybos prie Lietuvos Respublikos sveikatos apsaugos ministerijos viršininko 2021 m</w:t>
      </w:r>
      <w:r w:rsidR="004C263A" w:rsidRPr="00F832F8">
        <w:t xml:space="preserve">. lapkričio 12 </w:t>
      </w:r>
      <w:r w:rsidRPr="00F832F8">
        <w:t>d. įsakymu Nr.</w:t>
      </w:r>
      <w:r w:rsidR="004C263A" w:rsidRPr="00F832F8">
        <w:t xml:space="preserve"> (1.72E)1A-1418</w:t>
      </w:r>
    </w:p>
    <w:p w14:paraId="5B219AA6" w14:textId="520B9136" w:rsidR="001B3C5B" w:rsidRPr="00F832F8" w:rsidRDefault="004C263A" w:rsidP="001B3C5B">
      <w:pPr>
        <w:ind w:left="6096"/>
      </w:pPr>
      <w:r w:rsidRPr="00F832F8">
        <w:t>(Valstybinės vaistų kontrolės tarnybos prie Lietuvos Respublikos sveikatos apsaugos ministerijos viršininko 2022 m.                         d. įsakymo Nr.                    redakcija)</w:t>
      </w:r>
    </w:p>
    <w:p w14:paraId="3336BD74" w14:textId="77777777" w:rsidR="001B3C5B" w:rsidRPr="00F832F8" w:rsidRDefault="001B3C5B" w:rsidP="00FA4169"/>
    <w:p w14:paraId="77AFB67E" w14:textId="16397257" w:rsidR="00613501" w:rsidRPr="00F832F8" w:rsidRDefault="002F0E4F" w:rsidP="003B211A">
      <w:pPr>
        <w:jc w:val="center"/>
        <w:rPr>
          <w:b/>
          <w:bCs/>
          <w:caps/>
        </w:rPr>
      </w:pPr>
      <w:r w:rsidRPr="00F832F8">
        <w:rPr>
          <w:b/>
        </w:rPr>
        <w:t xml:space="preserve">REKOMENDACIJA DĖL VAISTINIO PREPARATO </w:t>
      </w:r>
      <w:r w:rsidRPr="00F832F8">
        <w:rPr>
          <w:b/>
          <w:bCs/>
          <w:caps/>
        </w:rPr>
        <w:t>Lietuvos Respublikos Sveikatos apsaugos ministerijos vaistinių preparatų ir medicinos pagalbos priemonių kompensavimo komisijai</w:t>
      </w:r>
    </w:p>
    <w:p w14:paraId="34E4395D" w14:textId="15FB10DF" w:rsidR="00B13D65" w:rsidRPr="00F832F8" w:rsidRDefault="00B13D65" w:rsidP="003B211A">
      <w:pPr>
        <w:jc w:val="center"/>
        <w:rPr>
          <w:b/>
        </w:rPr>
      </w:pPr>
    </w:p>
    <w:p w14:paraId="7292CCD3" w14:textId="77777777" w:rsidR="00BC6E73" w:rsidRPr="00D05364" w:rsidRDefault="00BC6E73" w:rsidP="00BC6E73">
      <w:pPr>
        <w:jc w:val="center"/>
      </w:pPr>
      <w:r w:rsidRPr="00A9022D">
        <w:rPr>
          <w:b/>
        </w:rPr>
        <w:t xml:space="preserve">Trodelvy </w:t>
      </w:r>
      <w:r w:rsidRPr="006E0A79">
        <w:rPr>
          <w:b/>
        </w:rPr>
        <w:t xml:space="preserve">200 mg </w:t>
      </w:r>
      <w:r>
        <w:rPr>
          <w:b/>
        </w:rPr>
        <w:t>m</w:t>
      </w:r>
      <w:r w:rsidRPr="00BA16E3">
        <w:rPr>
          <w:b/>
        </w:rPr>
        <w:t>ilteliai infuzinio tirpalo koncentratui</w:t>
      </w:r>
    </w:p>
    <w:p w14:paraId="04C8C2A7" w14:textId="77777777" w:rsidR="00BC6E73" w:rsidRPr="00D05364" w:rsidRDefault="00BC6E73" w:rsidP="00BC6E73">
      <w:pPr>
        <w:jc w:val="center"/>
      </w:pPr>
      <w:r w:rsidRPr="00D05364">
        <w:t>(</w:t>
      </w:r>
      <w:proofErr w:type="spellStart"/>
      <w:r w:rsidRPr="00A9022D">
        <w:rPr>
          <w:b/>
        </w:rPr>
        <w:t>Sacituzumabas</w:t>
      </w:r>
      <w:proofErr w:type="spellEnd"/>
      <w:r w:rsidRPr="00A9022D">
        <w:rPr>
          <w:b/>
        </w:rPr>
        <w:t xml:space="preserve"> </w:t>
      </w:r>
      <w:proofErr w:type="spellStart"/>
      <w:r w:rsidRPr="00A9022D">
        <w:rPr>
          <w:b/>
        </w:rPr>
        <w:t>govitekanas</w:t>
      </w:r>
      <w:proofErr w:type="spellEnd"/>
      <w:r w:rsidRPr="00D05364">
        <w:t>)</w:t>
      </w:r>
    </w:p>
    <w:p w14:paraId="24E027DC" w14:textId="77777777" w:rsidR="00BC6E73" w:rsidRPr="00D05364" w:rsidRDefault="00BC6E73" w:rsidP="00BC6E73">
      <w:pPr>
        <w:jc w:val="center"/>
      </w:pPr>
    </w:p>
    <w:p w14:paraId="4665D653" w14:textId="77777777" w:rsidR="00BC6E73" w:rsidRDefault="00BC6E73" w:rsidP="00BC6E73">
      <w:pPr>
        <w:spacing w:line="280" w:lineRule="atLeast"/>
        <w:jc w:val="center"/>
        <w:rPr>
          <w:b/>
        </w:rPr>
      </w:pPr>
      <w:r w:rsidRPr="006E0A79">
        <w:rPr>
          <w:b/>
        </w:rPr>
        <w:t>STV-126</w:t>
      </w:r>
    </w:p>
    <w:p w14:paraId="1987A5B5" w14:textId="77777777" w:rsidR="00CE12C2" w:rsidRPr="00F832F8" w:rsidRDefault="00CE12C2" w:rsidP="00CE12C2">
      <w:pPr>
        <w:jc w:val="center"/>
        <w:rPr>
          <w:b/>
        </w:rPr>
      </w:pPr>
    </w:p>
    <w:p w14:paraId="78C89D1C" w14:textId="095241E9" w:rsidR="00D4485B" w:rsidRPr="00F832F8" w:rsidRDefault="00B13D65" w:rsidP="00937907">
      <w:pPr>
        <w:pStyle w:val="ListParagraph"/>
        <w:numPr>
          <w:ilvl w:val="0"/>
          <w:numId w:val="12"/>
        </w:numPr>
        <w:tabs>
          <w:tab w:val="left" w:pos="284"/>
        </w:tabs>
        <w:rPr>
          <w:b/>
          <w:bCs/>
          <w:caps/>
        </w:rPr>
      </w:pPr>
      <w:r w:rsidRPr="00F832F8">
        <w:rPr>
          <w:b/>
          <w:bCs/>
          <w:caps/>
        </w:rPr>
        <w:t>Bendroji dalis</w:t>
      </w:r>
    </w:p>
    <w:p w14:paraId="04A7C7A7" w14:textId="77777777" w:rsidR="00B13D65" w:rsidRPr="00F832F8" w:rsidRDefault="00B13D65" w:rsidP="00E03C3F">
      <w:pPr>
        <w:pStyle w:val="ListParagraph"/>
        <w:tabs>
          <w:tab w:val="left" w:pos="284"/>
        </w:tabs>
        <w:ind w:left="0"/>
        <w:rPr>
          <w:b/>
          <w:bCs/>
          <w:caps/>
        </w:rPr>
      </w:pPr>
    </w:p>
    <w:tbl>
      <w:tblPr>
        <w:tblStyle w:val="TableGrid"/>
        <w:tblW w:w="9039" w:type="dxa"/>
        <w:tblLook w:val="04A0" w:firstRow="1" w:lastRow="0" w:firstColumn="1" w:lastColumn="0" w:noHBand="0" w:noVBand="1"/>
      </w:tblPr>
      <w:tblGrid>
        <w:gridCol w:w="632"/>
        <w:gridCol w:w="3694"/>
        <w:gridCol w:w="4713"/>
      </w:tblGrid>
      <w:tr w:rsidR="00BC6E73" w:rsidRPr="00F832F8" w14:paraId="18A83EC2" w14:textId="77777777" w:rsidTr="006834D3">
        <w:trPr>
          <w:trHeight w:val="538"/>
        </w:trPr>
        <w:tc>
          <w:tcPr>
            <w:tcW w:w="632" w:type="dxa"/>
          </w:tcPr>
          <w:p w14:paraId="0646FBEA" w14:textId="77777777" w:rsidR="00BC6E73" w:rsidRPr="00F832F8" w:rsidRDefault="00BC6E73" w:rsidP="00BC6E73">
            <w:pPr>
              <w:tabs>
                <w:tab w:val="left" w:pos="284"/>
              </w:tabs>
              <w:spacing w:line="280" w:lineRule="atLeast"/>
              <w:rPr>
                <w:rFonts w:eastAsia="Arial"/>
                <w:b/>
              </w:rPr>
            </w:pPr>
            <w:r w:rsidRPr="00F832F8">
              <w:rPr>
                <w:rFonts w:eastAsia="Arial"/>
                <w:b/>
              </w:rPr>
              <w:t>1.1</w:t>
            </w:r>
          </w:p>
        </w:tc>
        <w:tc>
          <w:tcPr>
            <w:tcW w:w="3694" w:type="dxa"/>
          </w:tcPr>
          <w:p w14:paraId="6C3AE864" w14:textId="77777777" w:rsidR="00BC6E73" w:rsidRPr="00F832F8" w:rsidRDefault="00BC6E73" w:rsidP="00BC6E73">
            <w:pPr>
              <w:tabs>
                <w:tab w:val="left" w:pos="284"/>
              </w:tabs>
              <w:spacing w:line="280" w:lineRule="atLeast"/>
              <w:rPr>
                <w:rFonts w:eastAsia="Arial"/>
                <w:b/>
              </w:rPr>
            </w:pPr>
            <w:r w:rsidRPr="00F832F8">
              <w:rPr>
                <w:rFonts w:eastAsia="Arial"/>
                <w:b/>
              </w:rPr>
              <w:t>Pareiškėjas</w:t>
            </w:r>
          </w:p>
          <w:p w14:paraId="2AF240DC" w14:textId="77777777" w:rsidR="00BC6E73" w:rsidRPr="00F832F8" w:rsidRDefault="00BC6E73" w:rsidP="00BC6E73">
            <w:pPr>
              <w:tabs>
                <w:tab w:val="left" w:pos="284"/>
              </w:tabs>
              <w:spacing w:line="280" w:lineRule="atLeast"/>
              <w:rPr>
                <w:rFonts w:eastAsia="Arial"/>
                <w:b/>
              </w:rPr>
            </w:pPr>
          </w:p>
        </w:tc>
        <w:tc>
          <w:tcPr>
            <w:tcW w:w="4713" w:type="dxa"/>
          </w:tcPr>
          <w:p w14:paraId="2AAF0D91" w14:textId="71BF6899" w:rsidR="00BC6E73" w:rsidRPr="00F832F8" w:rsidRDefault="00BC6E73" w:rsidP="00BC6E73">
            <w:pPr>
              <w:tabs>
                <w:tab w:val="left" w:pos="284"/>
              </w:tabs>
              <w:spacing w:line="280" w:lineRule="atLeast"/>
              <w:rPr>
                <w:rFonts w:eastAsia="Arial"/>
                <w:b/>
              </w:rPr>
            </w:pPr>
            <w:r>
              <w:t xml:space="preserve">Swixx </w:t>
            </w:r>
            <w:proofErr w:type="spellStart"/>
            <w:r>
              <w:t>Biopharma</w:t>
            </w:r>
            <w:proofErr w:type="spellEnd"/>
            <w:r>
              <w:t xml:space="preserve"> UAB</w:t>
            </w:r>
          </w:p>
        </w:tc>
      </w:tr>
      <w:tr w:rsidR="00BC6E73" w:rsidRPr="00F832F8" w14:paraId="31998B0D" w14:textId="77777777" w:rsidTr="006834D3">
        <w:trPr>
          <w:trHeight w:val="538"/>
        </w:trPr>
        <w:tc>
          <w:tcPr>
            <w:tcW w:w="632" w:type="dxa"/>
          </w:tcPr>
          <w:p w14:paraId="2005EC67" w14:textId="662300D0" w:rsidR="00BC6E73" w:rsidRPr="00F832F8" w:rsidRDefault="00BC6E73" w:rsidP="00BC6E73">
            <w:pPr>
              <w:tabs>
                <w:tab w:val="left" w:pos="284"/>
              </w:tabs>
              <w:spacing w:line="280" w:lineRule="atLeast"/>
              <w:rPr>
                <w:rFonts w:eastAsia="Arial"/>
                <w:b/>
              </w:rPr>
            </w:pPr>
            <w:r w:rsidRPr="00F832F8">
              <w:rPr>
                <w:rFonts w:eastAsia="Arial"/>
                <w:b/>
              </w:rPr>
              <w:t>1.2</w:t>
            </w:r>
          </w:p>
        </w:tc>
        <w:tc>
          <w:tcPr>
            <w:tcW w:w="3694" w:type="dxa"/>
          </w:tcPr>
          <w:p w14:paraId="1E4AE3B1" w14:textId="77777777" w:rsidR="00BC6E73" w:rsidRPr="00F832F8" w:rsidRDefault="00BC6E73" w:rsidP="00BC6E73">
            <w:pPr>
              <w:tabs>
                <w:tab w:val="left" w:pos="284"/>
              </w:tabs>
              <w:spacing w:line="280" w:lineRule="atLeast"/>
              <w:rPr>
                <w:b/>
                <w:bCs/>
                <w:color w:val="000000"/>
                <w:lang w:eastAsia="lt-LT"/>
              </w:rPr>
            </w:pPr>
            <w:r w:rsidRPr="00F832F8">
              <w:rPr>
                <w:b/>
                <w:bCs/>
                <w:color w:val="000000"/>
                <w:lang w:eastAsia="lt-LT"/>
              </w:rPr>
              <w:t xml:space="preserve">Registracijos data </w:t>
            </w:r>
          </w:p>
          <w:p w14:paraId="3A0DC096" w14:textId="77777777" w:rsidR="00BC6E73" w:rsidRPr="00F832F8" w:rsidRDefault="00BC6E73" w:rsidP="00BC6E73">
            <w:pPr>
              <w:tabs>
                <w:tab w:val="left" w:pos="284"/>
              </w:tabs>
              <w:spacing w:line="280" w:lineRule="atLeast"/>
              <w:rPr>
                <w:bCs/>
                <w:color w:val="000000"/>
                <w:lang w:eastAsia="lt-LT"/>
              </w:rPr>
            </w:pPr>
          </w:p>
        </w:tc>
        <w:tc>
          <w:tcPr>
            <w:tcW w:w="4713" w:type="dxa"/>
          </w:tcPr>
          <w:p w14:paraId="3CA218AD" w14:textId="00043966" w:rsidR="00BC6E73" w:rsidRPr="00F832F8" w:rsidRDefault="00000000" w:rsidP="00BC6E73">
            <w:pPr>
              <w:pStyle w:val="ListParagraph"/>
              <w:spacing w:after="120"/>
              <w:ind w:left="0"/>
              <w:contextualSpacing w:val="0"/>
              <w:jc w:val="both"/>
              <w:rPr>
                <w:rStyle w:val="Style2"/>
              </w:rPr>
            </w:pPr>
            <w:sdt>
              <w:sdtPr>
                <w:rPr>
                  <w:rFonts w:eastAsia="Arial"/>
                  <w:color w:val="000000"/>
                  <w:sz w:val="32"/>
                </w:rPr>
                <w:alias w:val="Nurodykite konkrečią dieną"/>
                <w:tag w:val="Nurodykite pradžios datą"/>
                <w:id w:val="423238108"/>
                <w:placeholder>
                  <w:docPart w:val="47427ECAB8F049C08BEED44A440F489F"/>
                </w:placeholder>
                <w15:color w:val="FFCC99"/>
                <w:date w:fullDate="2021-11-22T00:00:00Z">
                  <w:dateFormat w:val="yyyy 'm.' MMMM d 'd.'"/>
                  <w:lid w:val="lt-LT"/>
                  <w:storeMappedDataAs w:val="dateTime"/>
                  <w:calendar w:val="gregorian"/>
                </w:date>
              </w:sdtPr>
              <w:sdtContent>
                <w:r w:rsidR="00BC6E73">
                  <w:rPr>
                    <w:rFonts w:eastAsia="Arial"/>
                    <w:color w:val="000000"/>
                  </w:rPr>
                  <w:t>2021 m. lapkričio 22 d.</w:t>
                </w:r>
              </w:sdtContent>
            </w:sdt>
          </w:p>
        </w:tc>
      </w:tr>
      <w:tr w:rsidR="00CE12C2" w:rsidRPr="00F832F8" w14:paraId="15968AE1" w14:textId="77777777" w:rsidTr="006834D3">
        <w:trPr>
          <w:trHeight w:val="1500"/>
        </w:trPr>
        <w:tc>
          <w:tcPr>
            <w:tcW w:w="632" w:type="dxa"/>
          </w:tcPr>
          <w:p w14:paraId="6A784245" w14:textId="1E461489" w:rsidR="00CE12C2" w:rsidRPr="00F832F8" w:rsidRDefault="00CE12C2" w:rsidP="00CE12C2">
            <w:pPr>
              <w:tabs>
                <w:tab w:val="left" w:pos="284"/>
              </w:tabs>
              <w:spacing w:line="280" w:lineRule="atLeast"/>
              <w:rPr>
                <w:rFonts w:eastAsia="Arial"/>
                <w:b/>
              </w:rPr>
            </w:pPr>
            <w:r w:rsidRPr="00F832F8">
              <w:rPr>
                <w:rFonts w:eastAsia="Arial"/>
                <w:b/>
              </w:rPr>
              <w:t>1.3</w:t>
            </w:r>
          </w:p>
        </w:tc>
        <w:tc>
          <w:tcPr>
            <w:tcW w:w="3694" w:type="dxa"/>
          </w:tcPr>
          <w:p w14:paraId="22933506" w14:textId="77777777" w:rsidR="00CE12C2" w:rsidRPr="00F832F8" w:rsidRDefault="00CE12C2" w:rsidP="00CE12C2">
            <w:pPr>
              <w:pStyle w:val="NoSpacing"/>
              <w:rPr>
                <w:rFonts w:ascii="Times New Roman" w:hAnsi="Times New Roman"/>
                <w:b/>
                <w:sz w:val="24"/>
                <w:szCs w:val="24"/>
              </w:rPr>
            </w:pPr>
            <w:r w:rsidRPr="00F832F8">
              <w:rPr>
                <w:rFonts w:ascii="Times New Roman" w:hAnsi="Times New Roman"/>
                <w:b/>
                <w:sz w:val="24"/>
                <w:szCs w:val="24"/>
              </w:rPr>
              <w:t xml:space="preserve">Paraiškos tipas </w:t>
            </w:r>
          </w:p>
          <w:p w14:paraId="0465E680" w14:textId="7F0A0714" w:rsidR="00CE12C2" w:rsidRPr="00F832F8" w:rsidRDefault="00CE12C2" w:rsidP="00CE12C2">
            <w:pPr>
              <w:rPr>
                <w:b/>
              </w:rPr>
            </w:pPr>
            <w:r w:rsidRPr="00F832F8">
              <w:rPr>
                <w:b/>
              </w:rPr>
              <w:t xml:space="preserve">(pagal </w:t>
            </w:r>
            <w:r w:rsidRPr="00F832F8">
              <w:rPr>
                <w:b/>
                <w:color w:val="333333"/>
                <w:shd w:val="clear" w:color="auto" w:fill="FFFFFF"/>
              </w:rPr>
              <w:t>vaistinio preparato registracijos tipą, įtvirtintą</w:t>
            </w:r>
            <w:r w:rsidRPr="00F832F8">
              <w:rPr>
                <w:b/>
              </w:rPr>
              <w:t xml:space="preserve"> Direktyvos 2001/83/EB </w:t>
            </w:r>
            <w:proofErr w:type="spellStart"/>
            <w:r w:rsidRPr="00F832F8">
              <w:rPr>
                <w:b/>
              </w:rPr>
              <w:t>straipsiuose</w:t>
            </w:r>
            <w:proofErr w:type="spellEnd"/>
            <w:r w:rsidRPr="00F832F8">
              <w:rPr>
                <w:b/>
              </w:rPr>
              <w:t>)</w:t>
            </w:r>
          </w:p>
          <w:p w14:paraId="77089D80" w14:textId="6681D72A" w:rsidR="00CE12C2" w:rsidRPr="00F832F8" w:rsidRDefault="00CE12C2" w:rsidP="00CE12C2">
            <w:pPr>
              <w:tabs>
                <w:tab w:val="left" w:pos="284"/>
              </w:tabs>
              <w:spacing w:line="280" w:lineRule="atLeast"/>
              <w:rPr>
                <w:b/>
                <w:bCs/>
                <w:color w:val="000000"/>
                <w:lang w:eastAsia="lt-LT"/>
              </w:rPr>
            </w:pPr>
          </w:p>
        </w:tc>
        <w:tc>
          <w:tcPr>
            <w:tcW w:w="4713" w:type="dxa"/>
          </w:tcPr>
          <w:p w14:paraId="22612E6E" w14:textId="77777777" w:rsidR="00CE12C2" w:rsidRPr="001F216C" w:rsidRDefault="00000000" w:rsidP="00CE12C2">
            <w:pPr>
              <w:pStyle w:val="NoSpacing"/>
              <w:rPr>
                <w:rFonts w:ascii="Times New Roman" w:hAnsi="Times New Roman"/>
                <w:sz w:val="24"/>
                <w:szCs w:val="24"/>
              </w:rPr>
            </w:pPr>
            <w:sdt>
              <w:sdtPr>
                <w:rPr>
                  <w:rStyle w:val="Style2"/>
                  <w:rFonts w:ascii="Times New Roman" w:hAnsi="Times New Roman"/>
                  <w:sz w:val="24"/>
                  <w:szCs w:val="24"/>
                </w:rPr>
                <w:id w:val="235292487"/>
                <w15:color w:val="FFCC00"/>
                <w14:checkbox>
                  <w14:checked w14:val="1"/>
                  <w14:checkedState w14:val="2612" w14:font="MS Gothic"/>
                  <w14:uncheckedState w14:val="2610" w14:font="MS Gothic"/>
                </w14:checkbox>
              </w:sdtPr>
              <w:sdtContent>
                <w:r w:rsidR="00CE12C2">
                  <w:rPr>
                    <w:rStyle w:val="Style2"/>
                    <w:rFonts w:ascii="MS Gothic" w:eastAsia="MS Gothic" w:hAnsi="MS Gothic" w:hint="eastAsia"/>
                    <w:sz w:val="24"/>
                    <w:szCs w:val="24"/>
                  </w:rPr>
                  <w:t>☒</w:t>
                </w:r>
              </w:sdtContent>
            </w:sdt>
            <w:r w:rsidR="00CE12C2" w:rsidRPr="001F216C">
              <w:rPr>
                <w:rFonts w:ascii="Times New Roman" w:hAnsi="Times New Roman"/>
                <w:szCs w:val="24"/>
              </w:rPr>
              <w:t xml:space="preserve"> </w:t>
            </w:r>
            <w:r w:rsidR="00CE12C2" w:rsidRPr="001F216C">
              <w:rPr>
                <w:rFonts w:ascii="Times New Roman" w:hAnsi="Times New Roman"/>
                <w:sz w:val="24"/>
                <w:szCs w:val="24"/>
              </w:rPr>
              <w:t xml:space="preserve">8.3 str. (pilna byla, pagrįsta savais tyrimais) </w:t>
            </w:r>
          </w:p>
          <w:p w14:paraId="053EFBB2" w14:textId="77777777" w:rsidR="00CE12C2" w:rsidRPr="001F216C" w:rsidRDefault="00000000" w:rsidP="00CE12C2">
            <w:pPr>
              <w:pStyle w:val="NoSpacing"/>
              <w:rPr>
                <w:rFonts w:ascii="Times New Roman" w:hAnsi="Times New Roman"/>
                <w:sz w:val="24"/>
                <w:szCs w:val="24"/>
              </w:rPr>
            </w:pPr>
            <w:sdt>
              <w:sdtPr>
                <w:rPr>
                  <w:rStyle w:val="Style2"/>
                  <w:rFonts w:ascii="Times New Roman" w:hAnsi="Times New Roman"/>
                  <w:sz w:val="24"/>
                  <w:szCs w:val="24"/>
                </w:rPr>
                <w:id w:val="-1323436409"/>
                <w15:color w:val="FFCC00"/>
                <w14:checkbox>
                  <w14:checked w14:val="0"/>
                  <w14:checkedState w14:val="2612" w14:font="MS Gothic"/>
                  <w14:uncheckedState w14:val="2610" w14:font="MS Gothic"/>
                </w14:checkbox>
              </w:sdtPr>
              <w:sdtContent>
                <w:r w:rsidR="00CE12C2" w:rsidRPr="001F216C">
                  <w:rPr>
                    <w:rStyle w:val="Style2"/>
                    <w:rFonts w:ascii="Segoe UI Symbol" w:eastAsia="MS Gothic" w:hAnsi="Segoe UI Symbol" w:cs="Segoe UI Symbol"/>
                    <w:sz w:val="24"/>
                    <w:szCs w:val="24"/>
                  </w:rPr>
                  <w:t>☐</w:t>
                </w:r>
              </w:sdtContent>
            </w:sdt>
            <w:r w:rsidR="00CE12C2" w:rsidRPr="001F216C">
              <w:rPr>
                <w:rFonts w:ascii="Times New Roman" w:hAnsi="Times New Roman"/>
                <w:szCs w:val="24"/>
              </w:rPr>
              <w:t xml:space="preserve"> </w:t>
            </w:r>
            <w:r w:rsidR="00CE12C2" w:rsidRPr="001F216C">
              <w:rPr>
                <w:rFonts w:ascii="Times New Roman" w:hAnsi="Times New Roman"/>
                <w:sz w:val="24"/>
                <w:szCs w:val="24"/>
              </w:rPr>
              <w:t xml:space="preserve">10 a str. (pripažintas medicininis vartojimas) </w:t>
            </w:r>
          </w:p>
          <w:p w14:paraId="5C4A84F3" w14:textId="77777777" w:rsidR="00CE12C2" w:rsidRPr="001F216C" w:rsidRDefault="00000000" w:rsidP="00CE12C2">
            <w:pPr>
              <w:pStyle w:val="NoSpacing"/>
              <w:rPr>
                <w:rFonts w:ascii="Times New Roman" w:hAnsi="Times New Roman"/>
                <w:sz w:val="24"/>
                <w:szCs w:val="24"/>
              </w:rPr>
            </w:pPr>
            <w:sdt>
              <w:sdtPr>
                <w:rPr>
                  <w:rStyle w:val="Style2"/>
                  <w:rFonts w:ascii="Times New Roman" w:hAnsi="Times New Roman"/>
                  <w:sz w:val="24"/>
                  <w:szCs w:val="24"/>
                </w:rPr>
                <w:id w:val="211626681"/>
                <w15:color w:val="FFCC00"/>
                <w14:checkbox>
                  <w14:checked w14:val="0"/>
                  <w14:checkedState w14:val="2612" w14:font="MS Gothic"/>
                  <w14:uncheckedState w14:val="2610" w14:font="MS Gothic"/>
                </w14:checkbox>
              </w:sdtPr>
              <w:sdtContent>
                <w:r w:rsidR="00CE12C2" w:rsidRPr="001F216C">
                  <w:rPr>
                    <w:rStyle w:val="Style2"/>
                    <w:rFonts w:ascii="Segoe UI Symbol" w:eastAsia="MS Gothic" w:hAnsi="Segoe UI Symbol" w:cs="Segoe UI Symbol"/>
                    <w:sz w:val="24"/>
                    <w:szCs w:val="24"/>
                  </w:rPr>
                  <w:t>☐</w:t>
                </w:r>
              </w:sdtContent>
            </w:sdt>
            <w:r w:rsidR="00CE12C2" w:rsidRPr="001F216C">
              <w:rPr>
                <w:rFonts w:ascii="Times New Roman" w:hAnsi="Times New Roman"/>
                <w:szCs w:val="24"/>
              </w:rPr>
              <w:t xml:space="preserve"> </w:t>
            </w:r>
            <w:r w:rsidR="00CE12C2" w:rsidRPr="001F216C">
              <w:rPr>
                <w:rFonts w:ascii="Times New Roman" w:hAnsi="Times New Roman"/>
                <w:sz w:val="24"/>
                <w:szCs w:val="24"/>
              </w:rPr>
              <w:t>10.1 str. (</w:t>
            </w:r>
            <w:proofErr w:type="spellStart"/>
            <w:r w:rsidR="00CE12C2" w:rsidRPr="001F216C">
              <w:rPr>
                <w:rFonts w:ascii="Times New Roman" w:hAnsi="Times New Roman"/>
                <w:sz w:val="24"/>
                <w:szCs w:val="24"/>
              </w:rPr>
              <w:t>generinis</w:t>
            </w:r>
            <w:proofErr w:type="spellEnd"/>
            <w:r w:rsidR="00CE12C2" w:rsidRPr="001F216C">
              <w:rPr>
                <w:rFonts w:ascii="Times New Roman" w:hAnsi="Times New Roman"/>
                <w:sz w:val="24"/>
                <w:szCs w:val="24"/>
              </w:rPr>
              <w:t>)</w:t>
            </w:r>
          </w:p>
          <w:p w14:paraId="31DB3B57" w14:textId="77777777" w:rsidR="00CE12C2" w:rsidRPr="001F216C" w:rsidRDefault="00000000" w:rsidP="00CE12C2">
            <w:pPr>
              <w:pStyle w:val="NoSpacing"/>
              <w:rPr>
                <w:rFonts w:ascii="Times New Roman" w:hAnsi="Times New Roman"/>
                <w:sz w:val="24"/>
                <w:szCs w:val="24"/>
              </w:rPr>
            </w:pPr>
            <w:sdt>
              <w:sdtPr>
                <w:rPr>
                  <w:rStyle w:val="Style2"/>
                  <w:rFonts w:ascii="Times New Roman" w:hAnsi="Times New Roman"/>
                  <w:sz w:val="24"/>
                  <w:szCs w:val="24"/>
                </w:rPr>
                <w:id w:val="938490710"/>
                <w15:color w:val="FFCC00"/>
                <w14:checkbox>
                  <w14:checked w14:val="0"/>
                  <w14:checkedState w14:val="2612" w14:font="MS Gothic"/>
                  <w14:uncheckedState w14:val="2610" w14:font="MS Gothic"/>
                </w14:checkbox>
              </w:sdtPr>
              <w:sdtContent>
                <w:r w:rsidR="00CE12C2" w:rsidRPr="001F216C">
                  <w:rPr>
                    <w:rStyle w:val="Style2"/>
                    <w:rFonts w:ascii="Segoe UI Symbol" w:eastAsia="MS Gothic" w:hAnsi="Segoe UI Symbol" w:cs="Segoe UI Symbol"/>
                    <w:sz w:val="24"/>
                    <w:szCs w:val="24"/>
                  </w:rPr>
                  <w:t>☐</w:t>
                </w:r>
              </w:sdtContent>
            </w:sdt>
            <w:r w:rsidR="00CE12C2" w:rsidRPr="001F216C">
              <w:rPr>
                <w:rFonts w:ascii="Times New Roman" w:hAnsi="Times New Roman"/>
                <w:szCs w:val="24"/>
              </w:rPr>
              <w:t xml:space="preserve"> </w:t>
            </w:r>
            <w:r w:rsidR="00CE12C2" w:rsidRPr="001F216C">
              <w:rPr>
                <w:rFonts w:ascii="Times New Roman" w:hAnsi="Times New Roman"/>
                <w:sz w:val="24"/>
                <w:szCs w:val="24"/>
              </w:rPr>
              <w:t>10.3 str. (hibridinis)</w:t>
            </w:r>
          </w:p>
          <w:p w14:paraId="3B0A4F72" w14:textId="0F148C90" w:rsidR="00CE12C2" w:rsidRPr="00F832F8" w:rsidRDefault="00CE12C2" w:rsidP="00CE12C2">
            <w:pPr>
              <w:pStyle w:val="ListParagraph"/>
              <w:spacing w:after="120"/>
              <w:ind w:left="0"/>
              <w:contextualSpacing w:val="0"/>
              <w:jc w:val="both"/>
              <w:rPr>
                <w:rStyle w:val="Style2"/>
                <w:sz w:val="24"/>
              </w:rPr>
            </w:pPr>
          </w:p>
        </w:tc>
      </w:tr>
      <w:tr w:rsidR="00CE12C2" w:rsidRPr="00F832F8" w14:paraId="310E9662" w14:textId="77777777" w:rsidTr="006834D3">
        <w:trPr>
          <w:trHeight w:val="1442"/>
        </w:trPr>
        <w:tc>
          <w:tcPr>
            <w:tcW w:w="632" w:type="dxa"/>
          </w:tcPr>
          <w:p w14:paraId="4B5A91A2" w14:textId="561B5E5F" w:rsidR="00CE12C2" w:rsidRPr="00F832F8" w:rsidRDefault="00CE12C2" w:rsidP="00CE12C2">
            <w:pPr>
              <w:tabs>
                <w:tab w:val="left" w:pos="284"/>
              </w:tabs>
              <w:spacing w:line="280" w:lineRule="atLeast"/>
              <w:rPr>
                <w:rFonts w:eastAsia="Arial"/>
                <w:b/>
              </w:rPr>
            </w:pPr>
            <w:r w:rsidRPr="00F832F8">
              <w:rPr>
                <w:rFonts w:eastAsia="Arial"/>
                <w:b/>
              </w:rPr>
              <w:t>1.4</w:t>
            </w:r>
          </w:p>
        </w:tc>
        <w:tc>
          <w:tcPr>
            <w:tcW w:w="3694" w:type="dxa"/>
          </w:tcPr>
          <w:p w14:paraId="483071A3" w14:textId="5FC691C1" w:rsidR="00CE12C2" w:rsidRPr="00F832F8" w:rsidRDefault="00CE12C2" w:rsidP="00CE12C2">
            <w:pPr>
              <w:tabs>
                <w:tab w:val="left" w:pos="284"/>
              </w:tabs>
              <w:spacing w:line="280" w:lineRule="atLeast"/>
              <w:rPr>
                <w:b/>
                <w:bCs/>
                <w:color w:val="000000"/>
                <w:lang w:eastAsia="lt-LT"/>
              </w:rPr>
            </w:pPr>
            <w:r w:rsidRPr="00F832F8">
              <w:rPr>
                <w:b/>
                <w:bCs/>
                <w:color w:val="000000"/>
                <w:lang w:eastAsia="lt-LT"/>
              </w:rPr>
              <w:t xml:space="preserve">Ar vaistinis preparatas įrašytas į Bendrijos retųjų vaistinių preparatų registrą? </w:t>
            </w:r>
          </w:p>
        </w:tc>
        <w:tc>
          <w:tcPr>
            <w:tcW w:w="4713" w:type="dxa"/>
          </w:tcPr>
          <w:p w14:paraId="42804302" w14:textId="13457514" w:rsidR="00CE12C2" w:rsidRPr="001F216C" w:rsidRDefault="00000000" w:rsidP="00CE12C2">
            <w:pPr>
              <w:pStyle w:val="ListParagraph"/>
              <w:spacing w:after="120"/>
              <w:ind w:left="0"/>
              <w:contextualSpacing w:val="0"/>
              <w:jc w:val="both"/>
            </w:pPr>
            <w:sdt>
              <w:sdtPr>
                <w:rPr>
                  <w:rStyle w:val="Style2"/>
                </w:rPr>
                <w:id w:val="540011877"/>
                <w15:color w:val="FFCC00"/>
                <w14:checkbox>
                  <w14:checked w14:val="1"/>
                  <w14:checkedState w14:val="2612" w14:font="MS Gothic"/>
                  <w14:uncheckedState w14:val="2610" w14:font="MS Gothic"/>
                </w14:checkbox>
              </w:sdtPr>
              <w:sdtContent>
                <w:r w:rsidR="00295926">
                  <w:rPr>
                    <w:rStyle w:val="Style2"/>
                    <w:rFonts w:ascii="MS Gothic" w:eastAsia="MS Gothic" w:hAnsi="MS Gothic" w:hint="eastAsia"/>
                  </w:rPr>
                  <w:t>☒</w:t>
                </w:r>
              </w:sdtContent>
            </w:sdt>
            <w:r w:rsidR="00CE12C2" w:rsidRPr="001F216C">
              <w:t xml:space="preserve"> Taip</w:t>
            </w:r>
          </w:p>
          <w:p w14:paraId="4D978BBA" w14:textId="62B2DE03" w:rsidR="00CE12C2" w:rsidRPr="001F216C" w:rsidRDefault="00000000" w:rsidP="00CE12C2">
            <w:pPr>
              <w:pStyle w:val="ListParagraph"/>
              <w:spacing w:after="120"/>
              <w:ind w:left="0"/>
              <w:contextualSpacing w:val="0"/>
              <w:jc w:val="both"/>
            </w:pPr>
            <w:sdt>
              <w:sdtPr>
                <w:rPr>
                  <w:rStyle w:val="Style2"/>
                </w:rPr>
                <w:id w:val="-1594777257"/>
                <w15:color w:val="FFCC00"/>
                <w14:checkbox>
                  <w14:checked w14:val="0"/>
                  <w14:checkedState w14:val="2612" w14:font="MS Gothic"/>
                  <w14:uncheckedState w14:val="2610" w14:font="MS Gothic"/>
                </w14:checkbox>
              </w:sdtPr>
              <w:sdtContent>
                <w:r w:rsidR="00295926">
                  <w:rPr>
                    <w:rStyle w:val="Style2"/>
                    <w:rFonts w:ascii="MS Gothic" w:eastAsia="MS Gothic" w:hAnsi="MS Gothic" w:hint="eastAsia"/>
                  </w:rPr>
                  <w:t>☐</w:t>
                </w:r>
              </w:sdtContent>
            </w:sdt>
            <w:r w:rsidR="00CE12C2" w:rsidRPr="001F216C">
              <w:t xml:space="preserve"> Ne</w:t>
            </w:r>
          </w:p>
          <w:p w14:paraId="29C2CBBB" w14:textId="18C6E533" w:rsidR="00CE12C2" w:rsidRPr="005D5BE7" w:rsidRDefault="00000000" w:rsidP="00BC6E73">
            <w:pPr>
              <w:pStyle w:val="ListParagraph"/>
              <w:spacing w:after="120"/>
              <w:ind w:left="0"/>
              <w:contextualSpacing w:val="0"/>
              <w:jc w:val="both"/>
              <w:rPr>
                <w:rFonts w:eastAsia="Arial"/>
                <w:b/>
              </w:rPr>
            </w:pPr>
            <w:sdt>
              <w:sdtPr>
                <w:rPr>
                  <w:szCs w:val="20"/>
                </w:rPr>
                <w:alias w:val="Nurodykite konkrečią dieną"/>
                <w:tag w:val="Nurodykite pradžios datą"/>
                <w:id w:val="-705571527"/>
                <w:placeholder>
                  <w:docPart w:val="90A209D6E08E4B0AA4860806018C291A"/>
                </w:placeholder>
                <w:showingPlcHdr/>
                <w15:color w:val="FFCC99"/>
                <w:date>
                  <w:dateFormat w:val="yyyy 'm.' MMMM d 'd.'"/>
                  <w:lid w:val="lt-LT"/>
                  <w:storeMappedDataAs w:val="dateTime"/>
                  <w:calendar w:val="gregorian"/>
                </w:date>
              </w:sdtPr>
              <w:sdtContent>
                <w:r w:rsidR="00BC6E73">
                  <w:rPr>
                    <w:rStyle w:val="PlaceholderText"/>
                  </w:rPr>
                  <w:t>Click here to enter a date.</w:t>
                </w:r>
              </w:sdtContent>
            </w:sdt>
          </w:p>
        </w:tc>
      </w:tr>
      <w:tr w:rsidR="007646F9" w:rsidRPr="00F832F8" w14:paraId="274D1DAF" w14:textId="77777777" w:rsidTr="00295926">
        <w:trPr>
          <w:trHeight w:val="132"/>
        </w:trPr>
        <w:tc>
          <w:tcPr>
            <w:tcW w:w="632" w:type="dxa"/>
          </w:tcPr>
          <w:p w14:paraId="17ABF217" w14:textId="6D9EE8BB" w:rsidR="007646F9" w:rsidRPr="00F832F8" w:rsidRDefault="007646F9" w:rsidP="007646F9">
            <w:pPr>
              <w:tabs>
                <w:tab w:val="left" w:pos="284"/>
              </w:tabs>
              <w:spacing w:line="280" w:lineRule="atLeast"/>
              <w:rPr>
                <w:rFonts w:eastAsia="Arial"/>
                <w:b/>
              </w:rPr>
            </w:pPr>
            <w:r w:rsidRPr="00F832F8">
              <w:rPr>
                <w:rFonts w:eastAsia="Arial"/>
                <w:b/>
              </w:rPr>
              <w:t>1.5</w:t>
            </w:r>
          </w:p>
        </w:tc>
        <w:tc>
          <w:tcPr>
            <w:tcW w:w="3694" w:type="dxa"/>
          </w:tcPr>
          <w:p w14:paraId="3A731095" w14:textId="15E6927F" w:rsidR="007646F9" w:rsidRPr="00F832F8" w:rsidRDefault="007646F9" w:rsidP="007646F9">
            <w:pPr>
              <w:tabs>
                <w:tab w:val="left" w:pos="284"/>
              </w:tabs>
              <w:spacing w:line="280" w:lineRule="atLeast"/>
              <w:rPr>
                <w:b/>
                <w:bCs/>
                <w:color w:val="000000"/>
                <w:lang w:eastAsia="lt-LT"/>
              </w:rPr>
            </w:pPr>
            <w:r w:rsidRPr="00F832F8">
              <w:rPr>
                <w:b/>
                <w:bCs/>
                <w:color w:val="000000"/>
                <w:lang w:eastAsia="lt-LT"/>
              </w:rPr>
              <w:t>Teikiama (-</w:t>
            </w:r>
            <w:proofErr w:type="spellStart"/>
            <w:r w:rsidRPr="00F832F8">
              <w:rPr>
                <w:b/>
                <w:bCs/>
                <w:color w:val="000000"/>
                <w:lang w:eastAsia="lt-LT"/>
              </w:rPr>
              <w:t>os</w:t>
            </w:r>
            <w:proofErr w:type="spellEnd"/>
            <w:r w:rsidRPr="00F832F8">
              <w:rPr>
                <w:b/>
                <w:bCs/>
                <w:color w:val="000000"/>
                <w:lang w:eastAsia="lt-LT"/>
              </w:rPr>
              <w:t>) kompensuoti registruota (-</w:t>
            </w:r>
            <w:proofErr w:type="spellStart"/>
            <w:r w:rsidRPr="00F832F8">
              <w:rPr>
                <w:b/>
                <w:bCs/>
                <w:color w:val="000000"/>
                <w:lang w:eastAsia="lt-LT"/>
              </w:rPr>
              <w:t>os</w:t>
            </w:r>
            <w:proofErr w:type="spellEnd"/>
            <w:r w:rsidRPr="00F832F8">
              <w:rPr>
                <w:b/>
                <w:bCs/>
                <w:color w:val="000000"/>
                <w:lang w:eastAsia="lt-LT"/>
              </w:rPr>
              <w:t>) vaistinio preparato indikacija (-</w:t>
            </w:r>
            <w:proofErr w:type="spellStart"/>
            <w:r w:rsidRPr="00F832F8">
              <w:rPr>
                <w:b/>
                <w:bCs/>
                <w:color w:val="000000"/>
                <w:lang w:eastAsia="lt-LT"/>
              </w:rPr>
              <w:t>os</w:t>
            </w:r>
            <w:proofErr w:type="spellEnd"/>
            <w:r w:rsidRPr="00F832F8">
              <w:rPr>
                <w:b/>
                <w:bCs/>
                <w:color w:val="000000"/>
                <w:lang w:eastAsia="lt-LT"/>
              </w:rPr>
              <w:t xml:space="preserve">), </w:t>
            </w:r>
          </w:p>
          <w:p w14:paraId="6B4FEEC1" w14:textId="39613EA1" w:rsidR="007646F9" w:rsidRPr="00F832F8" w:rsidRDefault="007646F9" w:rsidP="007646F9">
            <w:pPr>
              <w:tabs>
                <w:tab w:val="left" w:pos="284"/>
              </w:tabs>
              <w:spacing w:line="280" w:lineRule="atLeast"/>
              <w:rPr>
                <w:b/>
                <w:bCs/>
                <w:color w:val="000000"/>
                <w:lang w:eastAsia="lt-LT"/>
              </w:rPr>
            </w:pPr>
            <w:r w:rsidRPr="00F832F8">
              <w:rPr>
                <w:b/>
                <w:bCs/>
                <w:color w:val="000000"/>
                <w:lang w:eastAsia="lt-LT"/>
              </w:rPr>
              <w:t>TLK kodas</w:t>
            </w:r>
          </w:p>
        </w:tc>
        <w:tc>
          <w:tcPr>
            <w:tcW w:w="4713" w:type="dxa"/>
          </w:tcPr>
          <w:p w14:paraId="130529C4" w14:textId="5A0BD390" w:rsidR="00BC6E73" w:rsidRDefault="00BC6E73" w:rsidP="00BC6E73">
            <w:pPr>
              <w:pStyle w:val="ListParagraph"/>
              <w:spacing w:after="120"/>
              <w:ind w:left="0"/>
              <w:contextualSpacing w:val="0"/>
            </w:pPr>
            <w:r w:rsidRPr="00A9022D">
              <w:t xml:space="preserve">Trodelvy </w:t>
            </w:r>
            <w:proofErr w:type="spellStart"/>
            <w:r w:rsidRPr="00A9022D">
              <w:t>monoterapija</w:t>
            </w:r>
            <w:proofErr w:type="spellEnd"/>
            <w:r w:rsidRPr="00A9022D">
              <w:t xml:space="preserve"> skirta suaugusių pacie</w:t>
            </w:r>
            <w:r w:rsidR="00FE2B01">
              <w:t xml:space="preserve">ntų, sergančių neoperuotinu ar </w:t>
            </w:r>
            <w:proofErr w:type="spellStart"/>
            <w:r w:rsidRPr="00A9022D">
              <w:t>metastazavusiu</w:t>
            </w:r>
            <w:proofErr w:type="spellEnd"/>
            <w:r w:rsidRPr="00A9022D">
              <w:t xml:space="preserve"> trigubai neigiamu krūties vėžiu (angl. </w:t>
            </w:r>
            <w:proofErr w:type="spellStart"/>
            <w:r w:rsidRPr="00BE3859">
              <w:rPr>
                <w:i/>
                <w:iCs/>
              </w:rPr>
              <w:t>metastatic</w:t>
            </w:r>
            <w:proofErr w:type="spellEnd"/>
            <w:r w:rsidRPr="00BE3859">
              <w:rPr>
                <w:i/>
                <w:iCs/>
              </w:rPr>
              <w:t xml:space="preserve"> </w:t>
            </w:r>
            <w:proofErr w:type="spellStart"/>
            <w:r w:rsidRPr="00BE3859">
              <w:rPr>
                <w:i/>
                <w:iCs/>
              </w:rPr>
              <w:t>triple-negative</w:t>
            </w:r>
            <w:proofErr w:type="spellEnd"/>
            <w:r w:rsidRPr="00BE3859">
              <w:rPr>
                <w:i/>
                <w:iCs/>
              </w:rPr>
              <w:t xml:space="preserve"> </w:t>
            </w:r>
            <w:proofErr w:type="spellStart"/>
            <w:r w:rsidRPr="00BE3859">
              <w:rPr>
                <w:i/>
                <w:iCs/>
              </w:rPr>
              <w:t>breast</w:t>
            </w:r>
            <w:proofErr w:type="spellEnd"/>
            <w:r w:rsidRPr="00BE3859">
              <w:rPr>
                <w:i/>
                <w:iCs/>
              </w:rPr>
              <w:t xml:space="preserve"> </w:t>
            </w:r>
            <w:proofErr w:type="spellStart"/>
            <w:r w:rsidRPr="00BE3859">
              <w:rPr>
                <w:i/>
                <w:iCs/>
              </w:rPr>
              <w:t>cancer</w:t>
            </w:r>
            <w:proofErr w:type="spellEnd"/>
            <w:r w:rsidRPr="00BE3859">
              <w:rPr>
                <w:i/>
                <w:iCs/>
              </w:rPr>
              <w:t>, mTNBC</w:t>
            </w:r>
            <w:r w:rsidRPr="00A9022D">
              <w:t xml:space="preserve">) gydymui, kuriems anksčiau buvo taikytos dvi ar daugiau sisteminių </w:t>
            </w:r>
            <w:proofErr w:type="spellStart"/>
            <w:r w:rsidRPr="00A9022D">
              <w:t>terapijų</w:t>
            </w:r>
            <w:proofErr w:type="spellEnd"/>
            <w:r w:rsidRPr="00A9022D">
              <w:t>, kai bent viena iš jų buvo skirta išplitusios ligos gydymui.</w:t>
            </w:r>
          </w:p>
          <w:p w14:paraId="481FFB80" w14:textId="77777777" w:rsidR="00BC6E73" w:rsidRPr="00D05364" w:rsidRDefault="00BC6E73" w:rsidP="00BC6E73">
            <w:pPr>
              <w:pStyle w:val="ListParagraph"/>
              <w:spacing w:after="120"/>
              <w:ind w:left="0"/>
              <w:contextualSpacing w:val="0"/>
            </w:pPr>
          </w:p>
          <w:p w14:paraId="13F7DFB0" w14:textId="0E00394A" w:rsidR="007646F9" w:rsidRPr="00F832F8" w:rsidRDefault="00BC6E73" w:rsidP="00BC6E73">
            <w:pPr>
              <w:pStyle w:val="ListParagraph"/>
              <w:spacing w:after="120"/>
              <w:ind w:left="0"/>
              <w:contextualSpacing w:val="0"/>
              <w:jc w:val="both"/>
            </w:pPr>
            <w:r>
              <w:lastRenderedPageBreak/>
              <w:t>C50</w:t>
            </w:r>
          </w:p>
        </w:tc>
      </w:tr>
      <w:tr w:rsidR="007646F9" w:rsidRPr="00F832F8" w14:paraId="2F79DC08" w14:textId="77777777" w:rsidTr="006834D3">
        <w:trPr>
          <w:trHeight w:val="378"/>
        </w:trPr>
        <w:tc>
          <w:tcPr>
            <w:tcW w:w="632" w:type="dxa"/>
          </w:tcPr>
          <w:p w14:paraId="547885A2" w14:textId="08AA8055" w:rsidR="007646F9" w:rsidRPr="00F832F8" w:rsidRDefault="007646F9" w:rsidP="007646F9">
            <w:pPr>
              <w:tabs>
                <w:tab w:val="left" w:pos="284"/>
              </w:tabs>
              <w:spacing w:line="280" w:lineRule="atLeast"/>
              <w:rPr>
                <w:rFonts w:eastAsia="Arial"/>
                <w:b/>
              </w:rPr>
            </w:pPr>
            <w:r w:rsidRPr="00F832F8">
              <w:rPr>
                <w:rFonts w:eastAsia="Arial"/>
                <w:b/>
              </w:rPr>
              <w:lastRenderedPageBreak/>
              <w:t>1.6</w:t>
            </w:r>
          </w:p>
        </w:tc>
        <w:tc>
          <w:tcPr>
            <w:tcW w:w="3694" w:type="dxa"/>
          </w:tcPr>
          <w:p w14:paraId="2EAB877F" w14:textId="4D3F62F5" w:rsidR="007646F9" w:rsidRPr="00F832F8" w:rsidRDefault="007646F9" w:rsidP="007646F9">
            <w:pPr>
              <w:tabs>
                <w:tab w:val="left" w:pos="284"/>
              </w:tabs>
              <w:spacing w:line="280" w:lineRule="atLeast"/>
              <w:rPr>
                <w:bCs/>
                <w:color w:val="000000"/>
                <w:u w:val="single"/>
                <w:lang w:eastAsia="lt-LT"/>
              </w:rPr>
            </w:pPr>
            <w:r w:rsidRPr="00F832F8">
              <w:rPr>
                <w:b/>
                <w:bCs/>
                <w:color w:val="000000"/>
                <w:lang w:eastAsia="lt-LT"/>
              </w:rPr>
              <w:t xml:space="preserve">Teikiamos skyrimo sąlygos </w:t>
            </w:r>
          </w:p>
        </w:tc>
        <w:tc>
          <w:tcPr>
            <w:tcW w:w="4713" w:type="dxa"/>
          </w:tcPr>
          <w:p w14:paraId="0579DF58" w14:textId="2F1154D4" w:rsidR="007646F9" w:rsidRPr="00F832F8" w:rsidRDefault="00BC6E73" w:rsidP="007646F9">
            <w:pPr>
              <w:pStyle w:val="ListParagraph"/>
              <w:spacing w:after="120"/>
              <w:ind w:left="0"/>
              <w:contextualSpacing w:val="0"/>
              <w:jc w:val="both"/>
            </w:pPr>
            <w:r>
              <w:t>Netaikoma.</w:t>
            </w:r>
          </w:p>
        </w:tc>
      </w:tr>
      <w:tr w:rsidR="001141D2" w:rsidRPr="00F832F8" w14:paraId="3B125269" w14:textId="77777777" w:rsidTr="00287088">
        <w:trPr>
          <w:trHeight w:val="378"/>
        </w:trPr>
        <w:tc>
          <w:tcPr>
            <w:tcW w:w="632" w:type="dxa"/>
            <w:shd w:val="clear" w:color="auto" w:fill="auto"/>
          </w:tcPr>
          <w:p w14:paraId="0058E11F" w14:textId="77777777" w:rsidR="001141D2" w:rsidRPr="00287088" w:rsidRDefault="001141D2" w:rsidP="001141D2">
            <w:pPr>
              <w:tabs>
                <w:tab w:val="left" w:pos="284"/>
              </w:tabs>
              <w:spacing w:line="280" w:lineRule="atLeast"/>
              <w:rPr>
                <w:rFonts w:eastAsia="Arial"/>
                <w:b/>
              </w:rPr>
            </w:pPr>
            <w:r w:rsidRPr="00287088">
              <w:rPr>
                <w:rFonts w:eastAsia="Arial"/>
                <w:b/>
              </w:rPr>
              <w:t>1.7</w:t>
            </w:r>
          </w:p>
        </w:tc>
        <w:tc>
          <w:tcPr>
            <w:tcW w:w="3694" w:type="dxa"/>
            <w:shd w:val="clear" w:color="auto" w:fill="auto"/>
          </w:tcPr>
          <w:p w14:paraId="6CC1022E" w14:textId="67D8C43B" w:rsidR="001141D2" w:rsidRPr="00287088" w:rsidRDefault="001141D2" w:rsidP="001141D2">
            <w:pPr>
              <w:tabs>
                <w:tab w:val="left" w:pos="284"/>
              </w:tabs>
              <w:spacing w:line="280" w:lineRule="atLeast"/>
              <w:rPr>
                <w:b/>
                <w:bCs/>
                <w:color w:val="000000"/>
                <w:lang w:eastAsia="lt-LT"/>
              </w:rPr>
            </w:pPr>
            <w:r w:rsidRPr="00287088">
              <w:rPr>
                <w:b/>
                <w:bCs/>
                <w:color w:val="000000"/>
                <w:lang w:eastAsia="lt-LT"/>
              </w:rPr>
              <w:t xml:space="preserve">Palyginamasis gydymas </w:t>
            </w:r>
          </w:p>
        </w:tc>
        <w:tc>
          <w:tcPr>
            <w:tcW w:w="4713" w:type="dxa"/>
            <w:shd w:val="clear" w:color="auto" w:fill="auto"/>
          </w:tcPr>
          <w:p w14:paraId="41B44044" w14:textId="3463012F" w:rsidR="007646F9" w:rsidRPr="00FE2B01" w:rsidRDefault="00287088" w:rsidP="00287088">
            <w:pPr>
              <w:spacing w:after="120"/>
              <w:jc w:val="both"/>
              <w:rPr>
                <w:highlight w:val="yellow"/>
              </w:rPr>
            </w:pPr>
            <w:r>
              <w:rPr>
                <w:bCs/>
                <w:iCs/>
                <w:lang w:eastAsia="lt-LT"/>
              </w:rPr>
              <w:t>G</w:t>
            </w:r>
            <w:r w:rsidRPr="00AB4D50">
              <w:rPr>
                <w:bCs/>
                <w:iCs/>
                <w:lang w:eastAsia="lt-LT"/>
              </w:rPr>
              <w:t xml:space="preserve">ydytojo parenkamas vaistinis </w:t>
            </w:r>
            <w:r>
              <w:rPr>
                <w:bCs/>
                <w:iCs/>
                <w:lang w:eastAsia="lt-LT"/>
              </w:rPr>
              <w:t>preparatas (</w:t>
            </w:r>
            <w:proofErr w:type="spellStart"/>
            <w:r>
              <w:rPr>
                <w:bCs/>
                <w:iCs/>
                <w:lang w:eastAsia="lt-LT"/>
              </w:rPr>
              <w:t>eribulinas</w:t>
            </w:r>
            <w:proofErr w:type="spellEnd"/>
            <w:r>
              <w:rPr>
                <w:bCs/>
                <w:iCs/>
                <w:lang w:eastAsia="lt-LT"/>
              </w:rPr>
              <w:t xml:space="preserve">, </w:t>
            </w:r>
            <w:proofErr w:type="spellStart"/>
            <w:r>
              <w:rPr>
                <w:bCs/>
                <w:iCs/>
                <w:lang w:eastAsia="lt-LT"/>
              </w:rPr>
              <w:t>vinorelbinas</w:t>
            </w:r>
            <w:proofErr w:type="spellEnd"/>
            <w:r>
              <w:rPr>
                <w:bCs/>
                <w:iCs/>
                <w:lang w:eastAsia="lt-LT"/>
              </w:rPr>
              <w:t xml:space="preserve">, </w:t>
            </w:r>
            <w:proofErr w:type="spellStart"/>
            <w:r>
              <w:rPr>
                <w:bCs/>
                <w:iCs/>
                <w:lang w:eastAsia="lt-LT"/>
              </w:rPr>
              <w:t>gemcitabinas</w:t>
            </w:r>
            <w:proofErr w:type="spellEnd"/>
            <w:r>
              <w:rPr>
                <w:bCs/>
                <w:iCs/>
                <w:lang w:eastAsia="lt-LT"/>
              </w:rPr>
              <w:t xml:space="preserve"> ir </w:t>
            </w:r>
            <w:proofErr w:type="spellStart"/>
            <w:r>
              <w:rPr>
                <w:bCs/>
                <w:iCs/>
                <w:lang w:eastAsia="lt-LT"/>
              </w:rPr>
              <w:t>kapecitabinas</w:t>
            </w:r>
            <w:proofErr w:type="spellEnd"/>
            <w:r>
              <w:rPr>
                <w:bCs/>
                <w:iCs/>
                <w:lang w:eastAsia="lt-LT"/>
              </w:rPr>
              <w:t>).</w:t>
            </w:r>
          </w:p>
        </w:tc>
      </w:tr>
    </w:tbl>
    <w:p w14:paraId="2D4DA360" w14:textId="77777777" w:rsidR="00377D96" w:rsidRPr="00F832F8" w:rsidRDefault="00377D96" w:rsidP="00E03C3F">
      <w:pPr>
        <w:pStyle w:val="ListParagraph"/>
        <w:tabs>
          <w:tab w:val="left" w:pos="426"/>
        </w:tabs>
        <w:ind w:left="0"/>
        <w:rPr>
          <w:b/>
          <w:bCs/>
          <w:caps/>
        </w:rPr>
      </w:pPr>
    </w:p>
    <w:p w14:paraId="2871CA7F" w14:textId="2370BDDB" w:rsidR="00F70C9E" w:rsidRPr="00F832F8" w:rsidRDefault="00F70C9E" w:rsidP="00880A44">
      <w:pPr>
        <w:spacing w:line="276" w:lineRule="auto"/>
        <w:jc w:val="both"/>
        <w:rPr>
          <w:rFonts w:eastAsia="Arial"/>
          <w:b/>
        </w:rPr>
      </w:pPr>
      <w:r w:rsidRPr="00F832F8">
        <w:rPr>
          <w:rFonts w:eastAsia="Arial"/>
          <w:b/>
        </w:rPr>
        <w:t xml:space="preserve">1.8 Kitų </w:t>
      </w:r>
      <w:r w:rsidR="00DF583C" w:rsidRPr="00F832F8">
        <w:rPr>
          <w:rFonts w:eastAsia="Arial"/>
          <w:b/>
        </w:rPr>
        <w:t xml:space="preserve">valstybių </w:t>
      </w:r>
      <w:r w:rsidRPr="00F832F8">
        <w:rPr>
          <w:rFonts w:eastAsia="Arial"/>
          <w:b/>
        </w:rPr>
        <w:t xml:space="preserve">atsakingų institucijų atlikto </w:t>
      </w:r>
      <w:r w:rsidR="00DF583C" w:rsidRPr="00F832F8">
        <w:rPr>
          <w:rFonts w:eastAsia="Arial"/>
          <w:b/>
        </w:rPr>
        <w:t>Sveikatos technologijų vertinimo (toliau – STV)</w:t>
      </w:r>
      <w:r w:rsidRPr="00F832F8">
        <w:rPr>
          <w:rFonts w:eastAsia="Arial"/>
          <w:b/>
        </w:rPr>
        <w:t xml:space="preserve"> išvados</w:t>
      </w:r>
    </w:p>
    <w:p w14:paraId="30721FDD" w14:textId="77777777" w:rsidR="00F70C9E" w:rsidRPr="00F832F8" w:rsidRDefault="00F70C9E" w:rsidP="00F70C9E">
      <w:pPr>
        <w:spacing w:line="276" w:lineRule="auto"/>
        <w:rPr>
          <w:rFonts w:eastAsia="Arial"/>
        </w:rPr>
      </w:pPr>
    </w:p>
    <w:tbl>
      <w:tblPr>
        <w:tblStyle w:val="TableGrid"/>
        <w:tblW w:w="9918" w:type="dxa"/>
        <w:tblLook w:val="04A0" w:firstRow="1" w:lastRow="0" w:firstColumn="1" w:lastColumn="0" w:noHBand="0" w:noVBand="1"/>
      </w:tblPr>
      <w:tblGrid>
        <w:gridCol w:w="2289"/>
        <w:gridCol w:w="1817"/>
        <w:gridCol w:w="3173"/>
        <w:gridCol w:w="2639"/>
      </w:tblGrid>
      <w:tr w:rsidR="00BC6E73" w:rsidRPr="00D05364" w14:paraId="47C82BE5" w14:textId="77777777" w:rsidTr="00321E73">
        <w:trPr>
          <w:trHeight w:val="924"/>
        </w:trPr>
        <w:tc>
          <w:tcPr>
            <w:tcW w:w="2289" w:type="dxa"/>
          </w:tcPr>
          <w:p w14:paraId="6D01C5A3" w14:textId="77777777" w:rsidR="00BC6E73" w:rsidRPr="00D05364" w:rsidRDefault="00BC6E73" w:rsidP="00321E73">
            <w:pPr>
              <w:rPr>
                <w:rFonts w:eastAsia="Arial"/>
              </w:rPr>
            </w:pPr>
            <w:r w:rsidRPr="00D05364">
              <w:rPr>
                <w:rFonts w:eastAsia="Arial"/>
              </w:rPr>
              <w:t>STV agentūros pavadinimas, šalis</w:t>
            </w:r>
          </w:p>
        </w:tc>
        <w:tc>
          <w:tcPr>
            <w:tcW w:w="1817" w:type="dxa"/>
          </w:tcPr>
          <w:p w14:paraId="7807FD24" w14:textId="77777777" w:rsidR="00BC6E73" w:rsidRPr="00D05364" w:rsidRDefault="00BC6E73" w:rsidP="00321E73">
            <w:pPr>
              <w:rPr>
                <w:rFonts w:eastAsia="Arial"/>
              </w:rPr>
            </w:pPr>
            <w:r w:rsidRPr="00D05364">
              <w:rPr>
                <w:rFonts w:eastAsia="Arial"/>
              </w:rPr>
              <w:t>STV vertinimas atliktas</w:t>
            </w:r>
          </w:p>
        </w:tc>
        <w:tc>
          <w:tcPr>
            <w:tcW w:w="3173" w:type="dxa"/>
          </w:tcPr>
          <w:p w14:paraId="658742E4" w14:textId="77777777" w:rsidR="00BC6E73" w:rsidRPr="00D05364" w:rsidRDefault="00BC6E73" w:rsidP="00321E73">
            <w:pPr>
              <w:rPr>
                <w:rFonts w:eastAsia="Arial"/>
              </w:rPr>
            </w:pPr>
            <w:r w:rsidRPr="00D05364">
              <w:rPr>
                <w:rFonts w:eastAsia="Arial"/>
              </w:rPr>
              <w:t>Klinikinio vertinimo išvada</w:t>
            </w:r>
          </w:p>
        </w:tc>
        <w:tc>
          <w:tcPr>
            <w:tcW w:w="2639" w:type="dxa"/>
          </w:tcPr>
          <w:p w14:paraId="111E0590" w14:textId="77777777" w:rsidR="00BC6E73" w:rsidRPr="00D05364" w:rsidRDefault="00BC6E73" w:rsidP="00321E73">
            <w:pPr>
              <w:rPr>
                <w:rFonts w:eastAsia="Arial"/>
              </w:rPr>
            </w:pPr>
            <w:proofErr w:type="spellStart"/>
            <w:r w:rsidRPr="00D05364">
              <w:rPr>
                <w:rFonts w:eastAsia="Arial"/>
              </w:rPr>
              <w:t>Farmakoekonominio</w:t>
            </w:r>
            <w:proofErr w:type="spellEnd"/>
            <w:r w:rsidRPr="00D05364">
              <w:rPr>
                <w:rFonts w:eastAsia="Arial"/>
              </w:rPr>
              <w:t xml:space="preserve"> vertinimo išvada</w:t>
            </w:r>
          </w:p>
        </w:tc>
      </w:tr>
      <w:tr w:rsidR="00BC6E73" w:rsidRPr="00D05364" w14:paraId="63A90C8A" w14:textId="77777777" w:rsidTr="00321E73">
        <w:trPr>
          <w:trHeight w:val="1765"/>
        </w:trPr>
        <w:tc>
          <w:tcPr>
            <w:tcW w:w="2289" w:type="dxa"/>
          </w:tcPr>
          <w:p w14:paraId="6548CE13" w14:textId="77777777" w:rsidR="00BC6E73" w:rsidRPr="00D05364" w:rsidRDefault="00BC6E73" w:rsidP="00321E73">
            <w:pPr>
              <w:autoSpaceDE w:val="0"/>
              <w:autoSpaceDN w:val="0"/>
              <w:adjustRightInd w:val="0"/>
              <w:rPr>
                <w:bCs/>
              </w:rPr>
            </w:pPr>
            <w:r w:rsidRPr="00D05364">
              <w:rPr>
                <w:bCs/>
              </w:rPr>
              <w:t>Nacionalinis sveikatos ir klinikinės kompetencijos institutas, Didžioji Britanija</w:t>
            </w:r>
          </w:p>
          <w:p w14:paraId="35169F98" w14:textId="77777777" w:rsidR="00BC6E73" w:rsidRPr="00D05364" w:rsidRDefault="00BC6E73" w:rsidP="00321E73">
            <w:pPr>
              <w:rPr>
                <w:rFonts w:eastAsia="Arial"/>
              </w:rPr>
            </w:pPr>
            <w:r w:rsidRPr="00D05364">
              <w:rPr>
                <w:rFonts w:eastAsia="Arial"/>
              </w:rPr>
              <w:t xml:space="preserve">(angl. </w:t>
            </w:r>
            <w:proofErr w:type="spellStart"/>
            <w:r w:rsidRPr="00D05364">
              <w:rPr>
                <w:rFonts w:eastAsia="Arial"/>
                <w:i/>
              </w:rPr>
              <w:t>National</w:t>
            </w:r>
            <w:proofErr w:type="spellEnd"/>
            <w:r w:rsidRPr="00D05364">
              <w:rPr>
                <w:rFonts w:eastAsia="Arial"/>
                <w:i/>
              </w:rPr>
              <w:t xml:space="preserve"> Institute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and</w:t>
            </w:r>
            <w:proofErr w:type="spellEnd"/>
            <w:r w:rsidRPr="00D05364">
              <w:rPr>
                <w:rFonts w:eastAsia="Arial"/>
                <w:i/>
              </w:rPr>
              <w:t xml:space="preserve"> Care </w:t>
            </w:r>
            <w:proofErr w:type="spellStart"/>
            <w:r w:rsidRPr="00D05364">
              <w:rPr>
                <w:rFonts w:eastAsia="Arial"/>
                <w:i/>
              </w:rPr>
              <w:t>Excellence</w:t>
            </w:r>
            <w:proofErr w:type="spellEnd"/>
            <w:r w:rsidRPr="00D05364">
              <w:rPr>
                <w:rFonts w:eastAsia="Arial"/>
                <w:i/>
              </w:rPr>
              <w:t>, NICE</w:t>
            </w:r>
            <w:r w:rsidRPr="00D05364">
              <w:rPr>
                <w:rFonts w:eastAsia="Arial"/>
              </w:rPr>
              <w:t>)</w:t>
            </w:r>
          </w:p>
        </w:tc>
        <w:tc>
          <w:tcPr>
            <w:tcW w:w="1817" w:type="dxa"/>
          </w:tcPr>
          <w:p w14:paraId="3FF56B40" w14:textId="77777777" w:rsidR="00BC6E73" w:rsidRPr="00D05364" w:rsidRDefault="00000000" w:rsidP="00321E73">
            <w:sdt>
              <w:sdtPr>
                <w:rPr>
                  <w:rStyle w:val="Style2"/>
                </w:rPr>
                <w:id w:val="1558205022"/>
                <w15:color w:val="FFCC00"/>
                <w14:checkbox>
                  <w14:checked w14:val="1"/>
                  <w14:checkedState w14:val="2612" w14:font="MS Gothic"/>
                  <w14:uncheckedState w14:val="2610" w14:font="MS Gothic"/>
                </w14:checkbox>
              </w:sdtPr>
              <w:sdtContent>
                <w:r w:rsidR="00BC6E73">
                  <w:rPr>
                    <w:rStyle w:val="Style2"/>
                    <w:rFonts w:ascii="MS Gothic" w:eastAsia="MS Gothic" w:hAnsi="MS Gothic" w:hint="eastAsia"/>
                  </w:rPr>
                  <w:t>☒</w:t>
                </w:r>
              </w:sdtContent>
            </w:sdt>
            <w:r w:rsidR="00BC6E73" w:rsidRPr="00D05364">
              <w:t xml:space="preserve"> Taip</w:t>
            </w:r>
          </w:p>
          <w:p w14:paraId="452058B5" w14:textId="77777777" w:rsidR="00BC6E73" w:rsidRPr="00D05364" w:rsidRDefault="00000000" w:rsidP="00321E73">
            <w:sdt>
              <w:sdtPr>
                <w:rPr>
                  <w:rStyle w:val="Style2"/>
                </w:rPr>
                <w:id w:val="866029625"/>
                <w15:color w:val="FFCC00"/>
                <w14:checkbox>
                  <w14:checked w14:val="0"/>
                  <w14:checkedState w14:val="2612" w14:font="MS Gothic"/>
                  <w14:uncheckedState w14:val="2610" w14:font="MS Gothic"/>
                </w14:checkbox>
              </w:sdtPr>
              <w:sdtContent>
                <w:r w:rsidR="00BC6E73" w:rsidRPr="00D05364">
                  <w:rPr>
                    <w:rStyle w:val="Style2"/>
                    <w:rFonts w:ascii="MS Gothic" w:eastAsia="MS Gothic" w:hAnsi="MS Gothic" w:hint="eastAsia"/>
                  </w:rPr>
                  <w:t>☐</w:t>
                </w:r>
              </w:sdtContent>
            </w:sdt>
            <w:r w:rsidR="00BC6E73" w:rsidRPr="00D05364">
              <w:t xml:space="preserve"> Ne</w:t>
            </w:r>
          </w:p>
          <w:p w14:paraId="04F7E529" w14:textId="77777777" w:rsidR="00BC6E73" w:rsidRPr="00D05364" w:rsidRDefault="00000000" w:rsidP="00321E73">
            <w:pPr>
              <w:rPr>
                <w:rFonts w:eastAsia="Arial"/>
              </w:rPr>
            </w:pPr>
            <w:sdt>
              <w:sdtPr>
                <w:rPr>
                  <w:rStyle w:val="PlaceholderText"/>
                </w:rPr>
                <w:alias w:val="Nurodykite konkrečią dieną"/>
                <w:tag w:val="Nurodykite pradžios datą"/>
                <w:id w:val="922837954"/>
                <w:placeholder>
                  <w:docPart w:val="E2334CD99BCB4F9B89088A9A2E8BA59B"/>
                </w:placeholder>
                <w15:color w:val="FFCC99"/>
                <w:date w:fullDate="2022-08-17T00:00:00Z">
                  <w:dateFormat w:val="yyyy 'm.' MMMM d 'd.'"/>
                  <w:lid w:val="lt-LT"/>
                  <w:storeMappedDataAs w:val="dateTime"/>
                  <w:calendar w:val="gregorian"/>
                </w:date>
              </w:sdtPr>
              <w:sdtContent>
                <w:r w:rsidR="00BC6E73" w:rsidRPr="00F921F5">
                  <w:rPr>
                    <w:rStyle w:val="PlaceholderText"/>
                  </w:rPr>
                  <w:t>2022 m. rugpjūčio 17 d.</w:t>
                </w:r>
              </w:sdtContent>
            </w:sdt>
          </w:p>
        </w:tc>
        <w:tc>
          <w:tcPr>
            <w:tcW w:w="3173" w:type="dxa"/>
          </w:tcPr>
          <w:p w14:paraId="351EFB5C" w14:textId="77777777" w:rsidR="00BC6E73" w:rsidRDefault="00BC6E73" w:rsidP="00321E73">
            <w:pPr>
              <w:rPr>
                <w:rFonts w:eastAsia="Arial"/>
              </w:rPr>
            </w:pPr>
            <w:r>
              <w:rPr>
                <w:rFonts w:eastAsia="Arial"/>
              </w:rPr>
              <w:t xml:space="preserve">Vertinta, kad </w:t>
            </w:r>
            <w:proofErr w:type="spellStart"/>
            <w:r>
              <w:rPr>
                <w:rFonts w:eastAsia="Arial"/>
              </w:rPr>
              <w:t>s</w:t>
            </w:r>
            <w:r w:rsidRPr="0047053D">
              <w:rPr>
                <w:rFonts w:eastAsia="Arial"/>
              </w:rPr>
              <w:t>acituzumab</w:t>
            </w:r>
            <w:r>
              <w:rPr>
                <w:rFonts w:eastAsia="Arial"/>
              </w:rPr>
              <w:t>as</w:t>
            </w:r>
            <w:proofErr w:type="spellEnd"/>
            <w:r w:rsidRPr="0047053D">
              <w:rPr>
                <w:rFonts w:eastAsia="Arial"/>
              </w:rPr>
              <w:t xml:space="preserve"> </w:t>
            </w:r>
            <w:proofErr w:type="spellStart"/>
            <w:r w:rsidRPr="0047053D">
              <w:rPr>
                <w:rFonts w:eastAsia="Arial"/>
              </w:rPr>
              <w:t>govite</w:t>
            </w:r>
            <w:r>
              <w:rPr>
                <w:rFonts w:eastAsia="Arial"/>
              </w:rPr>
              <w:t>k</w:t>
            </w:r>
            <w:r w:rsidRPr="0047053D">
              <w:rPr>
                <w:rFonts w:eastAsia="Arial"/>
              </w:rPr>
              <w:t>an</w:t>
            </w:r>
            <w:r>
              <w:rPr>
                <w:rFonts w:eastAsia="Arial"/>
              </w:rPr>
              <w:t>as</w:t>
            </w:r>
            <w:proofErr w:type="spellEnd"/>
            <w:r>
              <w:rPr>
                <w:rFonts w:eastAsia="Arial"/>
              </w:rPr>
              <w:t xml:space="preserve"> yra efektyvus gydyti pacientus, sergančius </w:t>
            </w:r>
            <w:r>
              <w:t xml:space="preserve">TNKV ir turinčius prastą prognozę. </w:t>
            </w:r>
            <w:proofErr w:type="spellStart"/>
            <w:r w:rsidRPr="0047053D">
              <w:rPr>
                <w:rFonts w:eastAsia="Arial"/>
              </w:rPr>
              <w:t>Sacituzumab</w:t>
            </w:r>
            <w:r>
              <w:rPr>
                <w:rFonts w:eastAsia="Arial"/>
              </w:rPr>
              <w:t>as</w:t>
            </w:r>
            <w:proofErr w:type="spellEnd"/>
            <w:r w:rsidRPr="0047053D">
              <w:rPr>
                <w:rFonts w:eastAsia="Arial"/>
              </w:rPr>
              <w:t xml:space="preserve"> </w:t>
            </w:r>
            <w:proofErr w:type="spellStart"/>
            <w:r w:rsidRPr="0047053D">
              <w:rPr>
                <w:rFonts w:eastAsia="Arial"/>
              </w:rPr>
              <w:t>govite</w:t>
            </w:r>
            <w:r>
              <w:rPr>
                <w:rFonts w:eastAsia="Arial"/>
              </w:rPr>
              <w:t>k</w:t>
            </w:r>
            <w:r w:rsidRPr="0047053D">
              <w:rPr>
                <w:rFonts w:eastAsia="Arial"/>
              </w:rPr>
              <w:t>an</w:t>
            </w:r>
            <w:r>
              <w:rPr>
                <w:rFonts w:eastAsia="Arial"/>
              </w:rPr>
              <w:t>as</w:t>
            </w:r>
            <w:proofErr w:type="spellEnd"/>
            <w:r>
              <w:rPr>
                <w:rFonts w:eastAsia="Arial"/>
              </w:rPr>
              <w:t xml:space="preserve"> rekomenduojamas kaip vienas iš pasirinkimo variantų gydyti suaugusius pacientus, sergančius </w:t>
            </w:r>
            <w:proofErr w:type="spellStart"/>
            <w:r>
              <w:rPr>
                <w:rFonts w:eastAsia="Arial"/>
              </w:rPr>
              <w:t>nerezekuotinu</w:t>
            </w:r>
            <w:proofErr w:type="spellEnd"/>
            <w:r>
              <w:rPr>
                <w:rFonts w:eastAsia="Arial"/>
              </w:rPr>
              <w:t xml:space="preserve">, trigubai neigiamu, lokaliai išplitusiu arba </w:t>
            </w:r>
            <w:proofErr w:type="spellStart"/>
            <w:r>
              <w:rPr>
                <w:rFonts w:eastAsia="Arial"/>
              </w:rPr>
              <w:t>metastazavusiu</w:t>
            </w:r>
            <w:proofErr w:type="spellEnd"/>
            <w:r>
              <w:rPr>
                <w:rFonts w:eastAsia="Arial"/>
              </w:rPr>
              <w:t xml:space="preserve"> krūties vėžiu, kuriems buvo skirtos 2 arba daugiau sisteminės terapijos, iš kurių bent 1 buvo skirta gydyti pažengusiam vėžiui.</w:t>
            </w:r>
          </w:p>
          <w:p w14:paraId="009DCB5F" w14:textId="77777777" w:rsidR="00BC6E73" w:rsidRPr="0047053D" w:rsidRDefault="00BC6E73" w:rsidP="00321E73">
            <w:pPr>
              <w:rPr>
                <w:rFonts w:eastAsia="Arial"/>
              </w:rPr>
            </w:pPr>
          </w:p>
        </w:tc>
        <w:tc>
          <w:tcPr>
            <w:tcW w:w="2639" w:type="dxa"/>
          </w:tcPr>
          <w:p w14:paraId="408FB1E9" w14:textId="77777777" w:rsidR="00BC6E73" w:rsidRPr="00D05364" w:rsidRDefault="00BC6E73" w:rsidP="00321E73">
            <w:pPr>
              <w:rPr>
                <w:rFonts w:eastAsia="Arial"/>
              </w:rPr>
            </w:pPr>
          </w:p>
        </w:tc>
      </w:tr>
      <w:tr w:rsidR="00BC6E73" w:rsidRPr="00D05364" w14:paraId="754A3539" w14:textId="77777777" w:rsidTr="00321E73">
        <w:trPr>
          <w:trHeight w:val="1547"/>
        </w:trPr>
        <w:tc>
          <w:tcPr>
            <w:tcW w:w="2289" w:type="dxa"/>
          </w:tcPr>
          <w:p w14:paraId="6752E7B7" w14:textId="77777777" w:rsidR="00BC6E73" w:rsidRPr="00D05364" w:rsidRDefault="00BC6E73" w:rsidP="00321E73">
            <w:pPr>
              <w:rPr>
                <w:rFonts w:eastAsia="Arial"/>
              </w:rPr>
            </w:pPr>
            <w:r w:rsidRPr="00D05364">
              <w:rPr>
                <w:rFonts w:eastAsia="Arial"/>
              </w:rPr>
              <w:t>Kanados sveikatos technologijų agentūra</w:t>
            </w:r>
          </w:p>
          <w:p w14:paraId="729052A9" w14:textId="77777777" w:rsidR="00BC6E73" w:rsidRPr="00D05364" w:rsidRDefault="00BC6E73" w:rsidP="00321E73">
            <w:pPr>
              <w:rPr>
                <w:rFonts w:eastAsia="Arial"/>
              </w:rPr>
            </w:pPr>
            <w:r w:rsidRPr="00D05364">
              <w:rPr>
                <w:rFonts w:eastAsia="Arial"/>
              </w:rPr>
              <w:t xml:space="preserve">(angl. </w:t>
            </w:r>
            <w:proofErr w:type="spellStart"/>
            <w:r w:rsidRPr="00D05364">
              <w:rPr>
                <w:rFonts w:eastAsia="Arial"/>
                <w:i/>
              </w:rPr>
              <w:t>Canadian</w:t>
            </w:r>
            <w:proofErr w:type="spellEnd"/>
            <w:r w:rsidRPr="00D05364">
              <w:rPr>
                <w:rFonts w:eastAsia="Arial"/>
                <w:i/>
              </w:rPr>
              <w:t xml:space="preserve"> </w:t>
            </w:r>
            <w:proofErr w:type="spellStart"/>
            <w:r w:rsidRPr="00D05364">
              <w:rPr>
                <w:rFonts w:eastAsia="Arial"/>
                <w:i/>
              </w:rPr>
              <w:t>health</w:t>
            </w:r>
            <w:proofErr w:type="spellEnd"/>
            <w:r w:rsidRPr="00D05364">
              <w:rPr>
                <w:rFonts w:eastAsia="Arial"/>
                <w:i/>
              </w:rPr>
              <w:t xml:space="preserve"> </w:t>
            </w:r>
            <w:proofErr w:type="spellStart"/>
            <w:r w:rsidRPr="00D05364">
              <w:rPr>
                <w:rFonts w:eastAsia="Arial"/>
                <w:i/>
              </w:rPr>
              <w:t>Technology</w:t>
            </w:r>
            <w:proofErr w:type="spellEnd"/>
            <w:r w:rsidRPr="00D05364">
              <w:rPr>
                <w:rFonts w:eastAsia="Arial"/>
                <w:i/>
              </w:rPr>
              <w:t xml:space="preserve"> </w:t>
            </w:r>
            <w:proofErr w:type="spellStart"/>
            <w:r w:rsidRPr="00D05364">
              <w:rPr>
                <w:rFonts w:eastAsia="Arial"/>
                <w:i/>
              </w:rPr>
              <w:t>Assessment</w:t>
            </w:r>
            <w:proofErr w:type="spellEnd"/>
            <w:r w:rsidRPr="00D05364">
              <w:rPr>
                <w:rFonts w:eastAsia="Arial"/>
                <w:i/>
              </w:rPr>
              <w:t xml:space="preserve"> </w:t>
            </w:r>
            <w:proofErr w:type="spellStart"/>
            <w:r w:rsidRPr="00D05364">
              <w:rPr>
                <w:rFonts w:eastAsia="Arial"/>
                <w:i/>
              </w:rPr>
              <w:t>agency</w:t>
            </w:r>
            <w:proofErr w:type="spellEnd"/>
            <w:r w:rsidRPr="00D05364">
              <w:rPr>
                <w:rFonts w:eastAsia="Arial"/>
                <w:i/>
              </w:rPr>
              <w:t>, CADTH</w:t>
            </w:r>
            <w:r w:rsidRPr="00D05364">
              <w:rPr>
                <w:rFonts w:eastAsia="Arial"/>
              </w:rPr>
              <w:t>)</w:t>
            </w:r>
          </w:p>
        </w:tc>
        <w:tc>
          <w:tcPr>
            <w:tcW w:w="1817" w:type="dxa"/>
          </w:tcPr>
          <w:p w14:paraId="25C00EEA" w14:textId="77777777" w:rsidR="00BC6E73" w:rsidRPr="00D05364" w:rsidRDefault="00000000" w:rsidP="00321E73">
            <w:sdt>
              <w:sdtPr>
                <w:rPr>
                  <w:rStyle w:val="Style2"/>
                </w:rPr>
                <w:id w:val="-372539057"/>
                <w15:color w:val="FFCC00"/>
                <w14:checkbox>
                  <w14:checked w14:val="1"/>
                  <w14:checkedState w14:val="2612" w14:font="MS Gothic"/>
                  <w14:uncheckedState w14:val="2610" w14:font="MS Gothic"/>
                </w14:checkbox>
              </w:sdtPr>
              <w:sdtContent>
                <w:r w:rsidR="00BC6E73">
                  <w:rPr>
                    <w:rStyle w:val="Style2"/>
                    <w:rFonts w:ascii="MS Gothic" w:eastAsia="MS Gothic" w:hAnsi="MS Gothic" w:hint="eastAsia"/>
                  </w:rPr>
                  <w:t>☒</w:t>
                </w:r>
              </w:sdtContent>
            </w:sdt>
            <w:r w:rsidR="00BC6E73" w:rsidRPr="00D05364">
              <w:t xml:space="preserve"> Taip</w:t>
            </w:r>
          </w:p>
          <w:p w14:paraId="5408E1AD" w14:textId="77777777" w:rsidR="00BC6E73" w:rsidRPr="00D05364" w:rsidRDefault="00000000" w:rsidP="00321E73">
            <w:sdt>
              <w:sdtPr>
                <w:rPr>
                  <w:rStyle w:val="Style2"/>
                </w:rPr>
                <w:id w:val="594442222"/>
                <w15:color w:val="FFCC00"/>
                <w14:checkbox>
                  <w14:checked w14:val="0"/>
                  <w14:checkedState w14:val="2612" w14:font="MS Gothic"/>
                  <w14:uncheckedState w14:val="2610" w14:font="MS Gothic"/>
                </w14:checkbox>
              </w:sdtPr>
              <w:sdtContent>
                <w:r w:rsidR="00BC6E73" w:rsidRPr="00D05364">
                  <w:rPr>
                    <w:rStyle w:val="Style2"/>
                    <w:rFonts w:ascii="Segoe UI Symbol" w:eastAsia="MS Gothic" w:hAnsi="Segoe UI Symbol" w:cs="Segoe UI Symbol"/>
                  </w:rPr>
                  <w:t>☐</w:t>
                </w:r>
              </w:sdtContent>
            </w:sdt>
            <w:r w:rsidR="00BC6E73" w:rsidRPr="00D05364">
              <w:t xml:space="preserve"> Ne</w:t>
            </w:r>
          </w:p>
          <w:p w14:paraId="73C68C4D" w14:textId="77777777" w:rsidR="00BC6E73" w:rsidRPr="00D05364" w:rsidRDefault="00000000" w:rsidP="00321E73">
            <w:pPr>
              <w:rPr>
                <w:rFonts w:eastAsia="Arial"/>
              </w:rPr>
            </w:pPr>
            <w:sdt>
              <w:sdtPr>
                <w:rPr>
                  <w:lang w:eastAsia="en-GB"/>
                </w:rPr>
                <w:alias w:val="Nurodykite konkrečią dieną"/>
                <w:tag w:val="Nurodykite pradžios datą"/>
                <w:id w:val="1072468416"/>
                <w:placeholder>
                  <w:docPart w:val="6694938B3C0B46A0964DFB0CE36A2E8A"/>
                </w:placeholder>
                <w15:color w:val="FFCC99"/>
                <w:date w:fullDate="2008-04-22T00:00:00Z">
                  <w:dateFormat w:val="yyyy 'm.' MMMM d 'd.'"/>
                  <w:lid w:val="lt-LT"/>
                  <w:storeMappedDataAs w:val="dateTime"/>
                  <w:calendar w:val="gregorian"/>
                </w:date>
              </w:sdtPr>
              <w:sdtContent>
                <w:r w:rsidR="00BC6E73">
                  <w:rPr>
                    <w:lang w:eastAsia="en-GB"/>
                  </w:rPr>
                  <w:t>2008 m. balandžio 22 d.</w:t>
                </w:r>
              </w:sdtContent>
            </w:sdt>
          </w:p>
        </w:tc>
        <w:tc>
          <w:tcPr>
            <w:tcW w:w="3173" w:type="dxa"/>
          </w:tcPr>
          <w:p w14:paraId="230159BD" w14:textId="77777777" w:rsidR="00BC6E73" w:rsidRPr="00D05364" w:rsidRDefault="00BC6E73" w:rsidP="00321E73">
            <w:pPr>
              <w:rPr>
                <w:rFonts w:eastAsia="Arial"/>
              </w:rPr>
            </w:pPr>
            <w:proofErr w:type="spellStart"/>
            <w:r w:rsidRPr="0047053D">
              <w:rPr>
                <w:rFonts w:eastAsia="Arial"/>
              </w:rPr>
              <w:t>Sacituzumab</w:t>
            </w:r>
            <w:r>
              <w:rPr>
                <w:rFonts w:eastAsia="Arial"/>
              </w:rPr>
              <w:t>as</w:t>
            </w:r>
            <w:proofErr w:type="spellEnd"/>
            <w:r w:rsidRPr="0047053D">
              <w:rPr>
                <w:rFonts w:eastAsia="Arial"/>
              </w:rPr>
              <w:t xml:space="preserve"> </w:t>
            </w:r>
            <w:proofErr w:type="spellStart"/>
            <w:r w:rsidRPr="0047053D">
              <w:rPr>
                <w:rFonts w:eastAsia="Arial"/>
              </w:rPr>
              <w:t>govite</w:t>
            </w:r>
            <w:r>
              <w:rPr>
                <w:rFonts w:eastAsia="Arial"/>
              </w:rPr>
              <w:t>k</w:t>
            </w:r>
            <w:r w:rsidRPr="0047053D">
              <w:rPr>
                <w:rFonts w:eastAsia="Arial"/>
              </w:rPr>
              <w:t>an</w:t>
            </w:r>
            <w:r>
              <w:rPr>
                <w:rFonts w:eastAsia="Arial"/>
              </w:rPr>
              <w:t>as</w:t>
            </w:r>
            <w:proofErr w:type="spellEnd"/>
            <w:r>
              <w:rPr>
                <w:rFonts w:eastAsia="Arial"/>
              </w:rPr>
              <w:t xml:space="preserve"> rekomenduojamas </w:t>
            </w:r>
            <w:r w:rsidRPr="00BE3859">
              <w:rPr>
                <w:rFonts w:eastAsia="Arial"/>
              </w:rPr>
              <w:t xml:space="preserve">suaugusių pacientų, sergančių neoperuotinu ar  </w:t>
            </w:r>
            <w:proofErr w:type="spellStart"/>
            <w:r w:rsidRPr="00BE3859">
              <w:rPr>
                <w:rFonts w:eastAsia="Arial"/>
              </w:rPr>
              <w:t>metastazavusiu</w:t>
            </w:r>
            <w:proofErr w:type="spellEnd"/>
            <w:r w:rsidRPr="00BE3859">
              <w:rPr>
                <w:rFonts w:eastAsia="Arial"/>
              </w:rPr>
              <w:t xml:space="preserve"> trigubai neigiamu krūties vėžiu gydymui, kuriems anksčiau buvo taikytos dvi ar daugiau sisteminių </w:t>
            </w:r>
            <w:proofErr w:type="spellStart"/>
            <w:r w:rsidRPr="00BE3859">
              <w:rPr>
                <w:rFonts w:eastAsia="Arial"/>
              </w:rPr>
              <w:t>terapijų</w:t>
            </w:r>
            <w:proofErr w:type="spellEnd"/>
            <w:r w:rsidRPr="00BE3859">
              <w:rPr>
                <w:rFonts w:eastAsia="Arial"/>
              </w:rPr>
              <w:t>, kai bent viena iš jų buvo skirta išplitusios ligos gydymui.</w:t>
            </w:r>
          </w:p>
        </w:tc>
        <w:tc>
          <w:tcPr>
            <w:tcW w:w="2639" w:type="dxa"/>
          </w:tcPr>
          <w:p w14:paraId="05DC7391" w14:textId="77777777" w:rsidR="00BC6E73" w:rsidRPr="00D05364" w:rsidRDefault="00BC6E73" w:rsidP="00321E73">
            <w:pPr>
              <w:rPr>
                <w:rFonts w:eastAsia="Arial"/>
              </w:rPr>
            </w:pPr>
          </w:p>
        </w:tc>
      </w:tr>
      <w:tr w:rsidR="00BC6E73" w:rsidRPr="00D05364" w14:paraId="46C1EA1E" w14:textId="77777777" w:rsidTr="00321E73">
        <w:trPr>
          <w:trHeight w:val="1927"/>
        </w:trPr>
        <w:tc>
          <w:tcPr>
            <w:tcW w:w="2289" w:type="dxa"/>
          </w:tcPr>
          <w:p w14:paraId="3AE8CAB6" w14:textId="77777777" w:rsidR="00BC6E73" w:rsidRPr="00D05364" w:rsidRDefault="00BC6E73" w:rsidP="00321E73">
            <w:pPr>
              <w:rPr>
                <w:rFonts w:eastAsia="Arial"/>
              </w:rPr>
            </w:pPr>
            <w:r w:rsidRPr="00D05364">
              <w:rPr>
                <w:rFonts w:eastAsia="Arial"/>
              </w:rPr>
              <w:t xml:space="preserve">Nacionalinis </w:t>
            </w:r>
            <w:proofErr w:type="spellStart"/>
            <w:r w:rsidRPr="00D05364">
              <w:rPr>
                <w:rFonts w:eastAsia="Arial"/>
              </w:rPr>
              <w:t>farmakoekonomikos</w:t>
            </w:r>
            <w:proofErr w:type="spellEnd"/>
            <w:r w:rsidRPr="00D05364">
              <w:rPr>
                <w:rFonts w:eastAsia="Arial"/>
              </w:rPr>
              <w:t xml:space="preserve"> centras, Airija</w:t>
            </w:r>
          </w:p>
          <w:p w14:paraId="0FB57D77" w14:textId="77777777" w:rsidR="00BC6E73" w:rsidRPr="00D05364" w:rsidRDefault="00BC6E73" w:rsidP="00321E73">
            <w:pPr>
              <w:rPr>
                <w:rFonts w:eastAsia="Arial"/>
              </w:rPr>
            </w:pPr>
            <w:r w:rsidRPr="00D05364">
              <w:rPr>
                <w:rFonts w:eastAsia="Arial"/>
              </w:rPr>
              <w:t>(angl.</w:t>
            </w:r>
            <w:r w:rsidRPr="00D05364">
              <w:rPr>
                <w:rFonts w:eastAsia="Arial"/>
                <w:i/>
              </w:rPr>
              <w:t xml:space="preserve"> </w:t>
            </w:r>
            <w:proofErr w:type="spellStart"/>
            <w:r w:rsidRPr="00D05364">
              <w:rPr>
                <w:rFonts w:eastAsia="Arial"/>
                <w:i/>
              </w:rPr>
              <w:t>National</w:t>
            </w:r>
            <w:proofErr w:type="spellEnd"/>
            <w:r w:rsidRPr="00D05364">
              <w:rPr>
                <w:rFonts w:eastAsia="Arial"/>
                <w:i/>
              </w:rPr>
              <w:t xml:space="preserve"> Centre </w:t>
            </w:r>
            <w:proofErr w:type="spellStart"/>
            <w:r w:rsidRPr="00D05364">
              <w:rPr>
                <w:rFonts w:eastAsia="Arial"/>
                <w:i/>
              </w:rPr>
              <w:t>for</w:t>
            </w:r>
            <w:proofErr w:type="spellEnd"/>
            <w:r w:rsidRPr="00D05364">
              <w:rPr>
                <w:rFonts w:eastAsia="Arial"/>
                <w:i/>
              </w:rPr>
              <w:t xml:space="preserve"> </w:t>
            </w:r>
            <w:proofErr w:type="spellStart"/>
            <w:r w:rsidRPr="00D05364">
              <w:rPr>
                <w:rFonts w:eastAsia="Arial"/>
                <w:i/>
              </w:rPr>
              <w:t>Pharmacoeconomics</w:t>
            </w:r>
            <w:proofErr w:type="spellEnd"/>
            <w:r w:rsidRPr="00D05364">
              <w:rPr>
                <w:rFonts w:eastAsia="Arial"/>
                <w:i/>
              </w:rPr>
              <w:t>, NCPE</w:t>
            </w:r>
            <w:r w:rsidRPr="00D05364">
              <w:rPr>
                <w:rFonts w:eastAsia="Arial"/>
              </w:rPr>
              <w:t>)</w:t>
            </w:r>
          </w:p>
        </w:tc>
        <w:tc>
          <w:tcPr>
            <w:tcW w:w="1817" w:type="dxa"/>
          </w:tcPr>
          <w:p w14:paraId="409AED70" w14:textId="77777777" w:rsidR="00BC6E73" w:rsidRPr="00D05364" w:rsidRDefault="00000000" w:rsidP="00321E73">
            <w:sdt>
              <w:sdtPr>
                <w:rPr>
                  <w:rStyle w:val="Style2"/>
                </w:rPr>
                <w:id w:val="-1888403732"/>
                <w15:color w:val="FFCC00"/>
                <w14:checkbox>
                  <w14:checked w14:val="1"/>
                  <w14:checkedState w14:val="2612" w14:font="MS Gothic"/>
                  <w14:uncheckedState w14:val="2610" w14:font="MS Gothic"/>
                </w14:checkbox>
              </w:sdtPr>
              <w:sdtContent>
                <w:r w:rsidR="00BC6E73">
                  <w:rPr>
                    <w:rStyle w:val="Style2"/>
                    <w:rFonts w:ascii="MS Gothic" w:eastAsia="MS Gothic" w:hAnsi="MS Gothic" w:hint="eastAsia"/>
                  </w:rPr>
                  <w:t>☒</w:t>
                </w:r>
              </w:sdtContent>
            </w:sdt>
            <w:r w:rsidR="00BC6E73" w:rsidRPr="00D05364">
              <w:t xml:space="preserve"> Taip</w:t>
            </w:r>
          </w:p>
          <w:p w14:paraId="1293A5CD" w14:textId="77777777" w:rsidR="00BC6E73" w:rsidRPr="00D05364" w:rsidRDefault="00000000" w:rsidP="00321E73">
            <w:sdt>
              <w:sdtPr>
                <w:rPr>
                  <w:rStyle w:val="Style2"/>
                </w:rPr>
                <w:id w:val="1092201793"/>
                <w15:color w:val="FFCC00"/>
                <w14:checkbox>
                  <w14:checked w14:val="0"/>
                  <w14:checkedState w14:val="2612" w14:font="MS Gothic"/>
                  <w14:uncheckedState w14:val="2610" w14:font="MS Gothic"/>
                </w14:checkbox>
              </w:sdtPr>
              <w:sdtContent>
                <w:r w:rsidR="00BC6E73" w:rsidRPr="00D05364">
                  <w:rPr>
                    <w:rStyle w:val="Style2"/>
                    <w:rFonts w:ascii="Segoe UI Symbol" w:eastAsia="MS Gothic" w:hAnsi="Segoe UI Symbol" w:cs="Segoe UI Symbol"/>
                  </w:rPr>
                  <w:t>☐</w:t>
                </w:r>
              </w:sdtContent>
            </w:sdt>
            <w:r w:rsidR="00BC6E73" w:rsidRPr="00D05364">
              <w:t xml:space="preserve"> Ne</w:t>
            </w:r>
          </w:p>
          <w:p w14:paraId="454C6138" w14:textId="77777777" w:rsidR="00BC6E73" w:rsidRPr="00D05364" w:rsidRDefault="00000000" w:rsidP="00321E73">
            <w:pPr>
              <w:rPr>
                <w:rFonts w:eastAsia="Arial"/>
              </w:rPr>
            </w:pPr>
            <w:sdt>
              <w:sdtPr>
                <w:alias w:val="Nurodykite konkrečią dieną"/>
                <w:tag w:val="Nurodykite pradžios datą"/>
                <w:id w:val="-198323198"/>
                <w:placeholder>
                  <w:docPart w:val="0FDD165C41E647379D740092BF83C173"/>
                </w:placeholder>
                <w15:color w:val="FFCC99"/>
                <w:date w:fullDate="2023-03-24T00:00:00Z">
                  <w:dateFormat w:val="yyyy 'm.' MMMM d 'd.'"/>
                  <w:lid w:val="lt-LT"/>
                  <w:storeMappedDataAs w:val="dateTime"/>
                  <w:calendar w:val="gregorian"/>
                </w:date>
              </w:sdtPr>
              <w:sdtContent>
                <w:r w:rsidR="00BC6E73">
                  <w:t>2023 m. kovo 24 d.</w:t>
                </w:r>
              </w:sdtContent>
            </w:sdt>
          </w:p>
        </w:tc>
        <w:tc>
          <w:tcPr>
            <w:tcW w:w="3173" w:type="dxa"/>
          </w:tcPr>
          <w:p w14:paraId="1E3A8094" w14:textId="77777777" w:rsidR="00BC6E73" w:rsidRDefault="00BC6E73" w:rsidP="00321E73">
            <w:pPr>
              <w:rPr>
                <w:rFonts w:eastAsia="Arial"/>
              </w:rPr>
            </w:pPr>
            <w:r>
              <w:rPr>
                <w:rFonts w:eastAsia="Arial"/>
              </w:rPr>
              <w:t xml:space="preserve">Rekomenduojama </w:t>
            </w:r>
            <w:proofErr w:type="spellStart"/>
            <w:r>
              <w:rPr>
                <w:rFonts w:eastAsia="Arial"/>
              </w:rPr>
              <w:t>kompesuoti</w:t>
            </w:r>
            <w:proofErr w:type="spellEnd"/>
            <w:r>
              <w:rPr>
                <w:rFonts w:eastAsia="Arial"/>
              </w:rPr>
              <w:t xml:space="preserve"> </w:t>
            </w:r>
            <w:proofErr w:type="spellStart"/>
            <w:r>
              <w:rPr>
                <w:rFonts w:eastAsia="Arial"/>
              </w:rPr>
              <w:t>s</w:t>
            </w:r>
            <w:r w:rsidRPr="0047053D">
              <w:rPr>
                <w:rFonts w:eastAsia="Arial"/>
              </w:rPr>
              <w:t>acituzumab</w:t>
            </w:r>
            <w:r>
              <w:rPr>
                <w:rFonts w:eastAsia="Arial"/>
              </w:rPr>
              <w:t>ą</w:t>
            </w:r>
            <w:proofErr w:type="spellEnd"/>
            <w:r w:rsidRPr="0047053D">
              <w:rPr>
                <w:rFonts w:eastAsia="Arial"/>
              </w:rPr>
              <w:t xml:space="preserve"> </w:t>
            </w:r>
            <w:proofErr w:type="spellStart"/>
            <w:r w:rsidRPr="0047053D">
              <w:rPr>
                <w:rFonts w:eastAsia="Arial"/>
              </w:rPr>
              <w:t>govite</w:t>
            </w:r>
            <w:r>
              <w:rPr>
                <w:rFonts w:eastAsia="Arial"/>
              </w:rPr>
              <w:t>k</w:t>
            </w:r>
            <w:r w:rsidRPr="0047053D">
              <w:rPr>
                <w:rFonts w:eastAsia="Arial"/>
              </w:rPr>
              <w:t>an</w:t>
            </w:r>
            <w:r>
              <w:rPr>
                <w:rFonts w:eastAsia="Arial"/>
              </w:rPr>
              <w:t>ą</w:t>
            </w:r>
            <w:proofErr w:type="spellEnd"/>
            <w:r>
              <w:rPr>
                <w:rFonts w:eastAsia="Arial"/>
              </w:rPr>
              <w:t xml:space="preserve"> jei būtų sumažinti kaštai.</w:t>
            </w:r>
          </w:p>
          <w:p w14:paraId="4563826F" w14:textId="77777777" w:rsidR="00BC6E73" w:rsidRPr="00D05364" w:rsidRDefault="00BC6E73" w:rsidP="00321E73">
            <w:pPr>
              <w:rPr>
                <w:rFonts w:eastAsia="Arial"/>
              </w:rPr>
            </w:pPr>
          </w:p>
        </w:tc>
        <w:tc>
          <w:tcPr>
            <w:tcW w:w="2639" w:type="dxa"/>
          </w:tcPr>
          <w:p w14:paraId="158FBFE8" w14:textId="77777777" w:rsidR="00BC6E73" w:rsidRPr="00D05364" w:rsidRDefault="00BC6E73" w:rsidP="00321E73">
            <w:pPr>
              <w:rPr>
                <w:rFonts w:eastAsia="Arial"/>
              </w:rPr>
            </w:pPr>
          </w:p>
        </w:tc>
      </w:tr>
    </w:tbl>
    <w:p w14:paraId="51E6FB5A" w14:textId="77777777" w:rsidR="00AC33D8" w:rsidRPr="00F832F8" w:rsidRDefault="00AC33D8" w:rsidP="00E03C3F">
      <w:pPr>
        <w:pStyle w:val="ListParagraph"/>
        <w:tabs>
          <w:tab w:val="left" w:pos="426"/>
        </w:tabs>
        <w:ind w:left="0"/>
        <w:rPr>
          <w:b/>
          <w:bCs/>
          <w:caps/>
        </w:rPr>
      </w:pPr>
    </w:p>
    <w:p w14:paraId="0569C57E" w14:textId="426CC639" w:rsidR="00AC33D8" w:rsidRPr="00F832F8" w:rsidRDefault="00CC7832" w:rsidP="00AC33D8">
      <w:pPr>
        <w:pStyle w:val="ListParagraph"/>
        <w:numPr>
          <w:ilvl w:val="0"/>
          <w:numId w:val="12"/>
        </w:numPr>
        <w:tabs>
          <w:tab w:val="left" w:pos="284"/>
        </w:tabs>
        <w:rPr>
          <w:b/>
          <w:bCs/>
          <w:caps/>
        </w:rPr>
      </w:pPr>
      <w:r w:rsidRPr="00F832F8">
        <w:rPr>
          <w:b/>
          <w:bCs/>
          <w:caps/>
        </w:rPr>
        <w:t>Klinikinio vertinimo a</w:t>
      </w:r>
      <w:r w:rsidR="00D4485B" w:rsidRPr="00F832F8">
        <w:rPr>
          <w:b/>
          <w:bCs/>
          <w:caps/>
        </w:rPr>
        <w:t>pibendrinimas</w:t>
      </w:r>
    </w:p>
    <w:p w14:paraId="61FD41C3" w14:textId="21891E8A" w:rsidR="00AC33D8" w:rsidRPr="00F832F8" w:rsidRDefault="00AC33D8" w:rsidP="00AC33D8">
      <w:pPr>
        <w:tabs>
          <w:tab w:val="left" w:pos="284"/>
        </w:tabs>
        <w:rPr>
          <w:b/>
          <w:bCs/>
          <w:caps/>
        </w:rPr>
      </w:pPr>
    </w:p>
    <w:p w14:paraId="699D3116" w14:textId="77777777" w:rsidR="00CB499E" w:rsidRPr="00196B92" w:rsidRDefault="00CB499E" w:rsidP="00CB499E">
      <w:pPr>
        <w:spacing w:line="276" w:lineRule="auto"/>
        <w:ind w:firstLine="720"/>
        <w:jc w:val="both"/>
      </w:pPr>
      <w:r w:rsidRPr="00196B92">
        <w:t xml:space="preserve">Trigubai neigiamas krūties vėžys (TNKV) yra patvirtinamas, kuomet navikinėse ląstelėse nenustatoma estrogeno (ER), progesterono (PR) ir žmogaus epidermio augimo faktoriaus (HER2) raiška. Lyginant su kitomis krūties vėžio formomis, TNKV navikai greičiau progresuoja, didesnė recidyvo ir </w:t>
      </w:r>
      <w:proofErr w:type="spellStart"/>
      <w:r w:rsidRPr="00196B92">
        <w:t>metastazavimo</w:t>
      </w:r>
      <w:proofErr w:type="spellEnd"/>
      <w:r w:rsidRPr="00196B92">
        <w:t xml:space="preserve"> rizika. Remiantis Higienos instituto duomenimis, 2021 m. Lietuvoje sergamumas krūties vėžiu buvo 818,42 atvejo 100 000 gyventojų. Europos medicinos onkologijos draugijos duomenimis, TNKV sudaro apytiksliai 15–20% visų krūties vėžio atvejų. </w:t>
      </w:r>
      <w:proofErr w:type="spellStart"/>
      <w:r w:rsidRPr="00196B92">
        <w:t>Metastazavusiu</w:t>
      </w:r>
      <w:proofErr w:type="spellEnd"/>
      <w:r w:rsidRPr="00196B92">
        <w:t xml:space="preserve"> TNKV (</w:t>
      </w:r>
      <w:proofErr w:type="spellStart"/>
      <w:r w:rsidRPr="00196B92">
        <w:t>mTNKV</w:t>
      </w:r>
      <w:proofErr w:type="spellEnd"/>
      <w:r w:rsidRPr="00196B92">
        <w:t xml:space="preserve">) sergančių pacientų 5 metų išgyvenamumas yra 11%. </w:t>
      </w:r>
    </w:p>
    <w:p w14:paraId="4E710543" w14:textId="77777777" w:rsidR="00CB499E" w:rsidRPr="00196B92" w:rsidRDefault="00CB499E" w:rsidP="00CB499E">
      <w:pPr>
        <w:spacing w:line="276" w:lineRule="auto"/>
        <w:ind w:firstLine="720"/>
        <w:jc w:val="both"/>
      </w:pPr>
      <w:proofErr w:type="spellStart"/>
      <w:r w:rsidRPr="00196B92">
        <w:t>Sacituzumabas</w:t>
      </w:r>
      <w:proofErr w:type="spellEnd"/>
      <w:r w:rsidRPr="00196B92">
        <w:t xml:space="preserve"> </w:t>
      </w:r>
      <w:proofErr w:type="spellStart"/>
      <w:r w:rsidRPr="00196B92">
        <w:t>govitekanas</w:t>
      </w:r>
      <w:proofErr w:type="spellEnd"/>
      <w:r w:rsidRPr="00196B92">
        <w:t xml:space="preserve"> priklauso </w:t>
      </w:r>
      <w:proofErr w:type="spellStart"/>
      <w:r w:rsidRPr="00196B92">
        <w:t>priešnavikinių</w:t>
      </w:r>
      <w:proofErr w:type="spellEnd"/>
      <w:r w:rsidRPr="00196B92">
        <w:t xml:space="preserve"> vaistinių preparatų </w:t>
      </w:r>
      <w:proofErr w:type="spellStart"/>
      <w:r w:rsidRPr="00196B92">
        <w:t>farmakoterapinei</w:t>
      </w:r>
      <w:proofErr w:type="spellEnd"/>
      <w:r w:rsidRPr="00196B92">
        <w:t xml:space="preserve"> grupei. </w:t>
      </w:r>
      <w:proofErr w:type="spellStart"/>
      <w:r w:rsidRPr="00196B92">
        <w:t>Sacituzumabas</w:t>
      </w:r>
      <w:proofErr w:type="spellEnd"/>
      <w:r w:rsidRPr="00196B92">
        <w:t xml:space="preserve"> </w:t>
      </w:r>
      <w:proofErr w:type="spellStart"/>
      <w:r w:rsidRPr="00196B92">
        <w:t>govitekanas</w:t>
      </w:r>
      <w:proofErr w:type="spellEnd"/>
      <w:r w:rsidRPr="00196B92">
        <w:t xml:space="preserve"> jungiasi prie Trop-2 </w:t>
      </w:r>
      <w:proofErr w:type="spellStart"/>
      <w:r w:rsidRPr="00196B92">
        <w:t>ekspresuojančių</w:t>
      </w:r>
      <w:proofErr w:type="spellEnd"/>
      <w:r w:rsidRPr="00196B92">
        <w:t xml:space="preserve"> vėžio ląstelių ir sukelia </w:t>
      </w:r>
      <w:proofErr w:type="spellStart"/>
      <w:r w:rsidRPr="00196B92">
        <w:t>apoptozę</w:t>
      </w:r>
      <w:proofErr w:type="spellEnd"/>
      <w:r w:rsidRPr="00196B92">
        <w:t xml:space="preserve"> bei ląstelių mirtį. Rekomenduojama </w:t>
      </w:r>
      <w:proofErr w:type="spellStart"/>
      <w:r w:rsidRPr="00196B92">
        <w:t>sacituzumabo</w:t>
      </w:r>
      <w:proofErr w:type="spellEnd"/>
      <w:r w:rsidRPr="00196B92">
        <w:t xml:space="preserve"> </w:t>
      </w:r>
      <w:proofErr w:type="spellStart"/>
      <w:r w:rsidRPr="00196B92">
        <w:t>govitekano</w:t>
      </w:r>
      <w:proofErr w:type="spellEnd"/>
      <w:r w:rsidRPr="00196B92">
        <w:t xml:space="preserve"> dozė yra 10 mg/kg kūno svorio, lašinama į veną vieną kartą per savaitę, 21-os dienos gydymo ciklų 1-ą ir 8-ą dienomis. </w:t>
      </w:r>
    </w:p>
    <w:p w14:paraId="60E3C73C" w14:textId="77777777" w:rsidR="00CB499E" w:rsidRPr="00196B92" w:rsidRDefault="00CB499E" w:rsidP="00CB499E">
      <w:pPr>
        <w:spacing w:line="276" w:lineRule="auto"/>
        <w:ind w:firstLine="720"/>
        <w:jc w:val="both"/>
      </w:pPr>
      <w:r w:rsidRPr="00196B92">
        <w:t xml:space="preserve">Paraiškoje pateikti palyginamieji vaistiniai preparatai – </w:t>
      </w:r>
      <w:proofErr w:type="spellStart"/>
      <w:r w:rsidRPr="00196B92">
        <w:t>eribulinas</w:t>
      </w:r>
      <w:proofErr w:type="spellEnd"/>
      <w:r w:rsidRPr="00196B92">
        <w:t xml:space="preserve">, </w:t>
      </w:r>
      <w:proofErr w:type="spellStart"/>
      <w:r w:rsidRPr="00196B92">
        <w:t>vinorelbinas</w:t>
      </w:r>
      <w:proofErr w:type="spellEnd"/>
      <w:r w:rsidRPr="00196B92">
        <w:t xml:space="preserve">, </w:t>
      </w:r>
      <w:proofErr w:type="spellStart"/>
      <w:r w:rsidRPr="00196B92">
        <w:t>gemcitabinas</w:t>
      </w:r>
      <w:proofErr w:type="spellEnd"/>
      <w:r w:rsidRPr="00196B92">
        <w:t xml:space="preserve">, </w:t>
      </w:r>
      <w:proofErr w:type="spellStart"/>
      <w:r w:rsidRPr="00196B92">
        <w:t>kapecitabinas</w:t>
      </w:r>
      <w:proofErr w:type="spellEnd"/>
      <w:r w:rsidRPr="00196B92">
        <w:t xml:space="preserve">. Remiantis Lietuvos Respublikos sveikatos apsaugos ministro 2010 m. birželio 30 d. įsakymu Nr. V-599 „Ligų ir kompensuojamųjų vaistų joms gydyti sąrašu“ (toliau – Sąrašas), </w:t>
      </w:r>
      <w:proofErr w:type="spellStart"/>
      <w:r w:rsidRPr="00196B92">
        <w:t>eribulinas</w:t>
      </w:r>
      <w:proofErr w:type="spellEnd"/>
      <w:r w:rsidRPr="00196B92">
        <w:t xml:space="preserve">, </w:t>
      </w:r>
      <w:proofErr w:type="spellStart"/>
      <w:r w:rsidRPr="00196B92">
        <w:t>vinorelbinas</w:t>
      </w:r>
      <w:proofErr w:type="spellEnd"/>
      <w:r w:rsidRPr="00196B92">
        <w:t xml:space="preserve">, </w:t>
      </w:r>
      <w:proofErr w:type="spellStart"/>
      <w:r w:rsidRPr="00196B92">
        <w:t>kapecitabinas</w:t>
      </w:r>
      <w:proofErr w:type="spellEnd"/>
      <w:r w:rsidRPr="00196B92">
        <w:t xml:space="preserve"> ir </w:t>
      </w:r>
      <w:proofErr w:type="spellStart"/>
      <w:r w:rsidRPr="00196B92">
        <w:t>gemcitabinas</w:t>
      </w:r>
      <w:proofErr w:type="spellEnd"/>
      <w:r w:rsidRPr="00196B92">
        <w:t xml:space="preserve"> yra kompensuojami krūties vėžiui gydyti. Tačiau Sąraše nurodyta </w:t>
      </w:r>
      <w:proofErr w:type="spellStart"/>
      <w:r w:rsidRPr="00196B92">
        <w:t>eribulino</w:t>
      </w:r>
      <w:proofErr w:type="spellEnd"/>
      <w:r w:rsidRPr="00196B92">
        <w:t xml:space="preserve"> skyrimo sąlyga (skiriamas pacientėms, sergančioms lokaliai išplitusiu ar </w:t>
      </w:r>
      <w:proofErr w:type="spellStart"/>
      <w:r w:rsidRPr="00196B92">
        <w:t>metastazavusiu</w:t>
      </w:r>
      <w:proofErr w:type="spellEnd"/>
      <w:r w:rsidRPr="00196B92">
        <w:t xml:space="preserve"> krūties vėžiu, kuris progresavo po ne mažiau kaip dviejų išplitusios ligos chemoterapijos kursų) neatitinka </w:t>
      </w:r>
      <w:proofErr w:type="spellStart"/>
      <w:r w:rsidRPr="00196B92">
        <w:t>sacituzumabo</w:t>
      </w:r>
      <w:proofErr w:type="spellEnd"/>
      <w:r w:rsidRPr="00196B92">
        <w:t xml:space="preserve"> </w:t>
      </w:r>
      <w:proofErr w:type="spellStart"/>
      <w:r w:rsidRPr="00196B92">
        <w:t>govitekano</w:t>
      </w:r>
      <w:proofErr w:type="spellEnd"/>
      <w:r w:rsidRPr="00196B92">
        <w:t xml:space="preserve"> indikacijoje nurodytos gydymo eilės (taikytos dvi ar daugiau sisteminių </w:t>
      </w:r>
      <w:proofErr w:type="spellStart"/>
      <w:r w:rsidRPr="00196B92">
        <w:t>terapijų</w:t>
      </w:r>
      <w:proofErr w:type="spellEnd"/>
      <w:r w:rsidRPr="00196B92">
        <w:t xml:space="preserve">, kai bent viena iš jų buvo skirta išplitusios ligos gydymui). Tarnyba prašė Pareiškėjo pagrįsti </w:t>
      </w:r>
      <w:proofErr w:type="spellStart"/>
      <w:r w:rsidRPr="00196B92">
        <w:t>eribulino</w:t>
      </w:r>
      <w:proofErr w:type="spellEnd"/>
      <w:r w:rsidRPr="00196B92">
        <w:t xml:space="preserve">, kaip palyginamojo gydymo, tinkamumą, pateikiant objektyvius duomenis, įrodančius atitiktį Lietuvoje taikomai klinikinei praktikai. Atsakydamas į klausimą Pareiškėjas rėmėsi SAM įsakymu Nr. V-713 „Dėl krūties piktybinio naviko ambulatorinio gydymo kompensuojamaisiais vaistais tvarkos aprašo patvirtinimo“  ir Nacionaliniame vėžio institute vykdytos programos „Trejopai neigiamo krūties vėžio </w:t>
      </w:r>
      <w:proofErr w:type="spellStart"/>
      <w:r w:rsidRPr="00196B92">
        <w:t>prediktyvinių</w:t>
      </w:r>
      <w:proofErr w:type="spellEnd"/>
      <w:r w:rsidRPr="00196B92">
        <w:t xml:space="preserve"> žymenų paieška” duomenimis. Pareiškėjas pateikė informaciją, kad </w:t>
      </w:r>
      <w:proofErr w:type="spellStart"/>
      <w:r w:rsidRPr="00196B92">
        <w:t>eribulinas</w:t>
      </w:r>
      <w:proofErr w:type="spellEnd"/>
      <w:r w:rsidRPr="00196B92">
        <w:t xml:space="preserve"> gali būti skiriamas 1–2 eilės gydymui, kai pacientams nustatoma III ir IV stadijos </w:t>
      </w:r>
      <w:proofErr w:type="spellStart"/>
      <w:r w:rsidRPr="00196B92">
        <w:t>mTNKV</w:t>
      </w:r>
      <w:proofErr w:type="spellEnd"/>
      <w:r w:rsidRPr="00196B92">
        <w:t xml:space="preserve">. Tarnyba vertina, kad </w:t>
      </w:r>
      <w:proofErr w:type="spellStart"/>
      <w:r w:rsidRPr="00196B92">
        <w:t>eribulinas</w:t>
      </w:r>
      <w:proofErr w:type="spellEnd"/>
      <w:r w:rsidRPr="00196B92">
        <w:t xml:space="preserve"> yra tinkamas palyginamasis gydymas.</w:t>
      </w:r>
    </w:p>
    <w:p w14:paraId="1D5F3838" w14:textId="77777777" w:rsidR="00CB499E" w:rsidRPr="00025E89" w:rsidRDefault="00CB499E" w:rsidP="00CB499E">
      <w:pPr>
        <w:tabs>
          <w:tab w:val="left" w:pos="492"/>
        </w:tabs>
        <w:spacing w:line="276" w:lineRule="auto"/>
        <w:jc w:val="both"/>
        <w:rPr>
          <w:i/>
        </w:rPr>
      </w:pPr>
      <w:r w:rsidRPr="00025E89">
        <w:rPr>
          <w:i/>
        </w:rPr>
        <w:t>Tiesioginis palyginimas</w:t>
      </w:r>
      <w:r w:rsidRPr="00025E89">
        <w:rPr>
          <w:i/>
        </w:rPr>
        <w:tab/>
      </w:r>
    </w:p>
    <w:p w14:paraId="68FC73A3" w14:textId="77777777" w:rsidR="00CB499E" w:rsidRPr="00196B92" w:rsidRDefault="00CB499E" w:rsidP="00CB499E">
      <w:pPr>
        <w:tabs>
          <w:tab w:val="left" w:pos="492"/>
        </w:tabs>
        <w:spacing w:line="276" w:lineRule="auto"/>
        <w:jc w:val="both"/>
      </w:pPr>
      <w:proofErr w:type="spellStart"/>
      <w:r w:rsidRPr="00196B92">
        <w:t>Sacituzumabo</w:t>
      </w:r>
      <w:proofErr w:type="spellEnd"/>
      <w:r w:rsidRPr="00196B92">
        <w:t xml:space="preserve"> </w:t>
      </w:r>
      <w:proofErr w:type="spellStart"/>
      <w:r w:rsidRPr="00196B92">
        <w:t>govitekano</w:t>
      </w:r>
      <w:proofErr w:type="spellEnd"/>
      <w:r w:rsidRPr="00196B92">
        <w:t xml:space="preserve"> efektyvumas buvo įvertintas atliekant tarptautinį 3 fazės </w:t>
      </w:r>
      <w:proofErr w:type="spellStart"/>
      <w:r w:rsidRPr="00196B92">
        <w:t>daugiacentrį</w:t>
      </w:r>
      <w:proofErr w:type="spellEnd"/>
      <w:r w:rsidRPr="00196B92">
        <w:t xml:space="preserve"> atvirą atsitiktinių imčių tyrimą ASCENT (IMMU-132-05), kuriame dalyvavo pacientai, sergantys neoperuotinu </w:t>
      </w:r>
      <w:proofErr w:type="spellStart"/>
      <w:r w:rsidRPr="00196B92">
        <w:t>mTNKV</w:t>
      </w:r>
      <w:proofErr w:type="spellEnd"/>
      <w:r w:rsidRPr="00196B92">
        <w:t xml:space="preserve">, kuriems liga atsinaujino po bent dviejų anksčiau taikytų gydymų chemoterapija. Paraiškoje nurodyta, kad tiek </w:t>
      </w:r>
      <w:proofErr w:type="spellStart"/>
      <w:r w:rsidRPr="00196B92">
        <w:t>sacituzumabo</w:t>
      </w:r>
      <w:proofErr w:type="spellEnd"/>
      <w:r w:rsidRPr="00196B92">
        <w:t xml:space="preserve"> </w:t>
      </w:r>
      <w:proofErr w:type="spellStart"/>
      <w:r w:rsidRPr="00196B92">
        <w:t>govitekano</w:t>
      </w:r>
      <w:proofErr w:type="spellEnd"/>
      <w:r w:rsidRPr="00196B92">
        <w:t xml:space="preserve"> grupėje, tiek palyginamojo gydymo grupėje 69 % pacientų anksčiau buvo gydyti 2 arba 3 sisteminės terapijos kursais, likę 31 % pacientų abiejose grupėse gydyti daugiau nei 3 sisteminės terapijos kursais. Nenurodyta, ar šie chemoterapijos kursai buvo skirti ankstyvo, ar išplitusio TNKV gydymui. Tarnyba prašė Pareiškėjo patikslinti, ar chemoterapijos kursai tyrimo populiacijai buvo skirti išplitusiam TNKV gydyti. Atsakydamas į klausimą Pareiškėjas nurodė, kad vienas iš įtraukimo į ASCENT tyrimą kriterijų buvo atsparus arba </w:t>
      </w:r>
      <w:proofErr w:type="spellStart"/>
      <w:r w:rsidRPr="00196B92">
        <w:t>recidyvuojantis</w:t>
      </w:r>
      <w:proofErr w:type="spellEnd"/>
      <w:r w:rsidRPr="00196B92">
        <w:t xml:space="preserve"> TNKV po mažiausiai dviejų ankstesnių standartinių chemoterapijos kursų dėl </w:t>
      </w:r>
      <w:proofErr w:type="spellStart"/>
      <w:r w:rsidRPr="00196B92">
        <w:t>nerezekuotino</w:t>
      </w:r>
      <w:proofErr w:type="spellEnd"/>
      <w:r w:rsidRPr="00196B92">
        <w:t xml:space="preserve"> lokaliai išplitusio ar </w:t>
      </w:r>
      <w:proofErr w:type="spellStart"/>
      <w:r w:rsidRPr="00196B92">
        <w:t>metastazavusio</w:t>
      </w:r>
      <w:proofErr w:type="spellEnd"/>
      <w:r w:rsidRPr="00196B92">
        <w:t xml:space="preserve"> krūties vėžio ir pateikė ASCENT tyrimo schemą. Tarnyba vertina, kad į tyrimą ASCENT įtraukta pacientų populiacija atitinka Paraiškoje pateiktą </w:t>
      </w:r>
      <w:proofErr w:type="spellStart"/>
      <w:r w:rsidRPr="00196B92">
        <w:t>sacituzumabo</w:t>
      </w:r>
      <w:proofErr w:type="spellEnd"/>
      <w:r w:rsidRPr="00196B92">
        <w:t xml:space="preserve"> </w:t>
      </w:r>
      <w:proofErr w:type="spellStart"/>
      <w:r w:rsidRPr="00196B92">
        <w:t>govitekano</w:t>
      </w:r>
      <w:proofErr w:type="spellEnd"/>
      <w:r w:rsidRPr="00196B92">
        <w:t xml:space="preserve"> indikaciją.</w:t>
      </w:r>
    </w:p>
    <w:p w14:paraId="37ED365E" w14:textId="77777777" w:rsidR="00CB499E" w:rsidRPr="00196B92" w:rsidRDefault="00CB499E" w:rsidP="00CB499E">
      <w:pPr>
        <w:tabs>
          <w:tab w:val="left" w:pos="492"/>
        </w:tabs>
        <w:spacing w:line="276" w:lineRule="auto"/>
        <w:jc w:val="both"/>
      </w:pPr>
      <w:r w:rsidRPr="00196B92">
        <w:tab/>
        <w:t xml:space="preserve">Į tyrimą ASCENT įtraukti 529 pacientai, kurie buvo suskirstyti į dvi grupes santykiu 1:1. 258 pacientų buvo skiriama </w:t>
      </w:r>
      <w:proofErr w:type="spellStart"/>
      <w:r w:rsidRPr="00196B92">
        <w:t>sacituzumabo</w:t>
      </w:r>
      <w:proofErr w:type="spellEnd"/>
      <w:r w:rsidRPr="00196B92">
        <w:t xml:space="preserve"> </w:t>
      </w:r>
      <w:proofErr w:type="spellStart"/>
      <w:r w:rsidRPr="00196B92">
        <w:t>govitekano</w:t>
      </w:r>
      <w:proofErr w:type="spellEnd"/>
      <w:r w:rsidRPr="00196B92">
        <w:t xml:space="preserve"> 10 mg/kg i/v, 1 ir 8 ciklo dieną,  21 dienos ciklais (toliau – </w:t>
      </w:r>
      <w:proofErr w:type="spellStart"/>
      <w:r w:rsidRPr="00196B92">
        <w:t>sacituzumabo</w:t>
      </w:r>
      <w:proofErr w:type="spellEnd"/>
      <w:r w:rsidRPr="00196B92">
        <w:t xml:space="preserve"> </w:t>
      </w:r>
      <w:proofErr w:type="spellStart"/>
      <w:r w:rsidRPr="00196B92">
        <w:t>govitekano</w:t>
      </w:r>
      <w:proofErr w:type="spellEnd"/>
      <w:r w:rsidRPr="00196B92">
        <w:t xml:space="preserve"> grupė). 224 pacientų buvo skirtas gydymas vienu iš šių vaistinių preparatų (toliau – kontrolinė grupė): </w:t>
      </w:r>
      <w:proofErr w:type="spellStart"/>
      <w:r w:rsidRPr="00196B92">
        <w:t>eribulinu</w:t>
      </w:r>
      <w:proofErr w:type="spellEnd"/>
      <w:r w:rsidRPr="00196B92">
        <w:t xml:space="preserve"> 1,4 mg/m2 i/v 1 ir 8 ciklo dieną, 21 dienos ciklais Šiaurės Amerikoje ir 1,23 mg/m2 i/v 1 ir 8 dieną, 21 dienos ciklais Europoje; </w:t>
      </w:r>
      <w:proofErr w:type="spellStart"/>
      <w:r w:rsidRPr="00196B92">
        <w:t>kapecitabinu</w:t>
      </w:r>
      <w:proofErr w:type="spellEnd"/>
      <w:r w:rsidRPr="00196B92">
        <w:t xml:space="preserve"> 1000-1250 mg/m2 p/</w:t>
      </w:r>
      <w:proofErr w:type="spellStart"/>
      <w:r w:rsidRPr="00196B92">
        <w:t>os</w:t>
      </w:r>
      <w:proofErr w:type="spellEnd"/>
      <w:r w:rsidRPr="00196B92">
        <w:t xml:space="preserve"> du kartus per dieną 1–14 ciklo dieną, 21 dienos ciklais; </w:t>
      </w:r>
      <w:proofErr w:type="spellStart"/>
      <w:r w:rsidRPr="00196B92">
        <w:t>gemcitabinu</w:t>
      </w:r>
      <w:proofErr w:type="spellEnd"/>
      <w:r w:rsidRPr="00196B92">
        <w:t xml:space="preserve">  800-1200 mg/m2 i/v 1, 8 ir 15 ciklo dieną, 21 dienos ciklais; </w:t>
      </w:r>
      <w:proofErr w:type="spellStart"/>
      <w:r w:rsidRPr="00196B92">
        <w:t>vinorelbinu</w:t>
      </w:r>
      <w:proofErr w:type="spellEnd"/>
      <w:r w:rsidRPr="00196B92">
        <w:t xml:space="preserve"> 25 mg/m2 i/v 1 ciklo dieną, 1 savaitės ciklais.  54 % pacientų skirtas </w:t>
      </w:r>
      <w:proofErr w:type="spellStart"/>
      <w:r w:rsidRPr="00196B92">
        <w:t>eribulinas</w:t>
      </w:r>
      <w:proofErr w:type="spellEnd"/>
      <w:r w:rsidRPr="00196B92">
        <w:t xml:space="preserve">, 20 % – </w:t>
      </w:r>
      <w:proofErr w:type="spellStart"/>
      <w:r w:rsidRPr="00196B92">
        <w:t>vinorelbinas</w:t>
      </w:r>
      <w:proofErr w:type="spellEnd"/>
      <w:r w:rsidRPr="00196B92">
        <w:t xml:space="preserve">, 13 % – </w:t>
      </w:r>
      <w:proofErr w:type="spellStart"/>
      <w:r w:rsidRPr="00196B92">
        <w:t>kapecitabinas</w:t>
      </w:r>
      <w:proofErr w:type="spellEnd"/>
      <w:r w:rsidRPr="00196B92">
        <w:t xml:space="preserve"> ir 12 % – </w:t>
      </w:r>
      <w:proofErr w:type="spellStart"/>
      <w:r w:rsidRPr="00196B92">
        <w:t>gemcitabinas</w:t>
      </w:r>
      <w:proofErr w:type="spellEnd"/>
      <w:r w:rsidRPr="00196B92">
        <w:t>. Pacientai buvo gydomi iki ligos progresavimo, dėl kurio būtina nutraukti gydymą, nepriimtino toksiškumo, pasitraukimo iš tyrimo arba mirties. Pateikti tarpinės ir galutinės analizės duomenys.</w:t>
      </w:r>
    </w:p>
    <w:p w14:paraId="224B7B2F" w14:textId="77777777" w:rsidR="00CB499E" w:rsidRPr="00196B92" w:rsidRDefault="00CB499E" w:rsidP="00CB499E">
      <w:pPr>
        <w:tabs>
          <w:tab w:val="left" w:pos="492"/>
        </w:tabs>
        <w:spacing w:line="276" w:lineRule="auto"/>
        <w:jc w:val="both"/>
      </w:pPr>
      <w:r w:rsidRPr="00196B92">
        <w:tab/>
        <w:t>P</w:t>
      </w:r>
      <w:r>
        <w:t>irminė</w:t>
      </w:r>
      <w:r w:rsidRPr="00196B92">
        <w:t xml:space="preserve"> veiksmingumo vertinamoji baigtis – išgyvenamumas be ligos progresavimo (IBLP) pacientams, tyrimo pradžioje neturėjusiems galvos smegenų metastazių (toliau – GSMN populiacija). Antrinės veiksmingumo vertinimo baigtys – bendros populiacijos, įskaitant visus pacientus su galvos smegenų metastazėmis ir be jų, IBLP; bendras išgyvenamumas (BI), objektyvaus atsako dažnis (OAD) ir atsako trukmė (AT). Pacientų praneštos (angl. </w:t>
      </w:r>
      <w:proofErr w:type="spellStart"/>
      <w:r w:rsidRPr="00196B92">
        <w:rPr>
          <w:i/>
        </w:rPr>
        <w:t>patient</w:t>
      </w:r>
      <w:proofErr w:type="spellEnd"/>
      <w:r w:rsidRPr="00196B92">
        <w:rPr>
          <w:i/>
        </w:rPr>
        <w:t xml:space="preserve"> </w:t>
      </w:r>
      <w:proofErr w:type="spellStart"/>
      <w:r w:rsidRPr="00196B92">
        <w:rPr>
          <w:i/>
        </w:rPr>
        <w:t>reported</w:t>
      </w:r>
      <w:proofErr w:type="spellEnd"/>
      <w:r w:rsidRPr="00196B92">
        <w:t xml:space="preserve">) tyrimo baigtys vertintos EORTC QLQ-C30 (angl. </w:t>
      </w:r>
      <w:proofErr w:type="spellStart"/>
      <w:r w:rsidRPr="00196B92">
        <w:rPr>
          <w:i/>
        </w:rPr>
        <w:t>European</w:t>
      </w:r>
      <w:proofErr w:type="spellEnd"/>
      <w:r w:rsidRPr="00196B92">
        <w:rPr>
          <w:i/>
        </w:rPr>
        <w:t xml:space="preserve"> </w:t>
      </w:r>
      <w:proofErr w:type="spellStart"/>
      <w:r w:rsidRPr="00196B92">
        <w:rPr>
          <w:i/>
        </w:rPr>
        <w:t>Organisation</w:t>
      </w:r>
      <w:proofErr w:type="spellEnd"/>
      <w:r w:rsidRPr="00196B92">
        <w:rPr>
          <w:i/>
        </w:rPr>
        <w:t xml:space="preserve"> </w:t>
      </w:r>
      <w:proofErr w:type="spellStart"/>
      <w:r w:rsidRPr="00196B92">
        <w:rPr>
          <w:i/>
        </w:rPr>
        <w:t>for</w:t>
      </w:r>
      <w:proofErr w:type="spellEnd"/>
      <w:r w:rsidRPr="00196B92">
        <w:rPr>
          <w:i/>
        </w:rPr>
        <w:t xml:space="preserve"> </w:t>
      </w:r>
      <w:proofErr w:type="spellStart"/>
      <w:r w:rsidRPr="00196B92">
        <w:rPr>
          <w:i/>
        </w:rPr>
        <w:t>Research</w:t>
      </w:r>
      <w:proofErr w:type="spellEnd"/>
      <w:r w:rsidRPr="00196B92">
        <w:rPr>
          <w:i/>
        </w:rPr>
        <w:t xml:space="preserve"> </w:t>
      </w:r>
      <w:proofErr w:type="spellStart"/>
      <w:r w:rsidRPr="00196B92">
        <w:rPr>
          <w:i/>
        </w:rPr>
        <w:t>and</w:t>
      </w:r>
      <w:proofErr w:type="spellEnd"/>
      <w:r w:rsidRPr="00196B92">
        <w:rPr>
          <w:i/>
        </w:rPr>
        <w:t xml:space="preserve"> </w:t>
      </w:r>
      <w:proofErr w:type="spellStart"/>
      <w:r w:rsidRPr="00196B92">
        <w:rPr>
          <w:i/>
        </w:rPr>
        <w:t>Treatment</w:t>
      </w:r>
      <w:proofErr w:type="spellEnd"/>
      <w:r w:rsidRPr="00196B92">
        <w:rPr>
          <w:i/>
        </w:rPr>
        <w:t xml:space="preserve"> </w:t>
      </w:r>
      <w:proofErr w:type="spellStart"/>
      <w:r w:rsidRPr="00196B92">
        <w:rPr>
          <w:i/>
        </w:rPr>
        <w:t>of</w:t>
      </w:r>
      <w:proofErr w:type="spellEnd"/>
      <w:r w:rsidRPr="00196B92">
        <w:rPr>
          <w:i/>
        </w:rPr>
        <w:t xml:space="preserve"> </w:t>
      </w:r>
      <w:proofErr w:type="spellStart"/>
      <w:r w:rsidRPr="00196B92">
        <w:rPr>
          <w:i/>
        </w:rPr>
        <w:t>Cancer</w:t>
      </w:r>
      <w:proofErr w:type="spellEnd"/>
      <w:r w:rsidRPr="00196B92">
        <w:rPr>
          <w:i/>
        </w:rPr>
        <w:t xml:space="preserve"> </w:t>
      </w:r>
      <w:proofErr w:type="spellStart"/>
      <w:r w:rsidRPr="00196B92">
        <w:rPr>
          <w:i/>
        </w:rPr>
        <w:t>Quality</w:t>
      </w:r>
      <w:proofErr w:type="spellEnd"/>
      <w:r w:rsidRPr="00196B92">
        <w:rPr>
          <w:i/>
        </w:rPr>
        <w:t xml:space="preserve"> </w:t>
      </w:r>
      <w:proofErr w:type="spellStart"/>
      <w:r w:rsidRPr="00196B92">
        <w:rPr>
          <w:i/>
        </w:rPr>
        <w:t>of</w:t>
      </w:r>
      <w:proofErr w:type="spellEnd"/>
      <w:r w:rsidRPr="00196B92">
        <w:rPr>
          <w:i/>
        </w:rPr>
        <w:t xml:space="preserve"> </w:t>
      </w:r>
      <w:proofErr w:type="spellStart"/>
      <w:r w:rsidRPr="00196B92">
        <w:rPr>
          <w:i/>
        </w:rPr>
        <w:t>Life</w:t>
      </w:r>
      <w:proofErr w:type="spellEnd"/>
      <w:r w:rsidRPr="00196B92">
        <w:rPr>
          <w:i/>
        </w:rPr>
        <w:t xml:space="preserve"> </w:t>
      </w:r>
      <w:proofErr w:type="spellStart"/>
      <w:r w:rsidRPr="00196B92">
        <w:rPr>
          <w:i/>
        </w:rPr>
        <w:t>of</w:t>
      </w:r>
      <w:proofErr w:type="spellEnd"/>
      <w:r w:rsidRPr="00196B92">
        <w:rPr>
          <w:i/>
        </w:rPr>
        <w:t xml:space="preserve"> </w:t>
      </w:r>
      <w:proofErr w:type="spellStart"/>
      <w:r w:rsidRPr="00196B92">
        <w:rPr>
          <w:i/>
        </w:rPr>
        <w:t>Cancer</w:t>
      </w:r>
      <w:proofErr w:type="spellEnd"/>
      <w:r w:rsidRPr="00196B92">
        <w:rPr>
          <w:i/>
        </w:rPr>
        <w:t xml:space="preserve"> </w:t>
      </w:r>
      <w:proofErr w:type="spellStart"/>
      <w:r w:rsidRPr="00196B92">
        <w:rPr>
          <w:i/>
        </w:rPr>
        <w:t>Patients</w:t>
      </w:r>
      <w:proofErr w:type="spellEnd"/>
      <w:r w:rsidRPr="00196B92">
        <w:t xml:space="preserve">) klausimynu. </w:t>
      </w:r>
    </w:p>
    <w:p w14:paraId="44C1750B" w14:textId="77777777" w:rsidR="00CB499E" w:rsidRPr="00196B92" w:rsidRDefault="00CB499E" w:rsidP="00CB499E">
      <w:pPr>
        <w:tabs>
          <w:tab w:val="left" w:pos="492"/>
        </w:tabs>
        <w:spacing w:line="276" w:lineRule="auto"/>
        <w:jc w:val="both"/>
      </w:pPr>
      <w:r w:rsidRPr="00196B92">
        <w:tab/>
        <w:t xml:space="preserve">Galutinės analizės duomenimis, GSMN populiacijoje </w:t>
      </w:r>
      <w:proofErr w:type="spellStart"/>
      <w:r w:rsidRPr="00196B92">
        <w:t>sacituzumabo</w:t>
      </w:r>
      <w:proofErr w:type="spellEnd"/>
      <w:r w:rsidRPr="00196B92">
        <w:t xml:space="preserve"> </w:t>
      </w:r>
      <w:proofErr w:type="spellStart"/>
      <w:r w:rsidRPr="00196B92">
        <w:t>govitekano</w:t>
      </w:r>
      <w:proofErr w:type="spellEnd"/>
      <w:r w:rsidRPr="00196B92">
        <w:t xml:space="preserve"> grupėje nustatyti statistiškai reikšmingai geresni IBLP ir BI rezultatai, lyginant su kontroline grupe. </w:t>
      </w:r>
      <w:proofErr w:type="spellStart"/>
      <w:r w:rsidRPr="00196B92">
        <w:t>Sacituzumabo</w:t>
      </w:r>
      <w:proofErr w:type="spellEnd"/>
      <w:r w:rsidRPr="00196B92">
        <w:t xml:space="preserve"> </w:t>
      </w:r>
      <w:proofErr w:type="spellStart"/>
      <w:r w:rsidRPr="00196B92">
        <w:t>govitekano</w:t>
      </w:r>
      <w:proofErr w:type="spellEnd"/>
      <w:r w:rsidRPr="00196B92">
        <w:t xml:space="preserve"> grupėje IBLP mediana buvo 4,8 mėn., o kontrolinėje grupėje – 1,7 mėn. IBLP RS = 0,4 (95 % PI, 0,33–0,52, p &lt; 0,0001).  </w:t>
      </w:r>
      <w:proofErr w:type="spellStart"/>
      <w:r w:rsidRPr="00196B92">
        <w:t>Sacituzumabo</w:t>
      </w:r>
      <w:proofErr w:type="spellEnd"/>
      <w:r w:rsidRPr="00196B92">
        <w:t xml:space="preserve"> </w:t>
      </w:r>
      <w:proofErr w:type="spellStart"/>
      <w:r w:rsidRPr="00196B92">
        <w:t>govitekano</w:t>
      </w:r>
      <w:proofErr w:type="spellEnd"/>
      <w:r w:rsidRPr="00196B92">
        <w:t xml:space="preserve"> grupėje BI mediana buvo 11,8 mėn., o kontrolinėje grupėje – 6,9 mėn. BI RS = 0,51 (95 % PI, 0,42–0,63, p &lt; 0,0001). Pareiškėjo prašyta pateikti pacientų, kuriems nustatytos smegenų metastazės, rezultatus. Pareiškėjas pateikė duomenis, kad šio pogrupio IBLP ir BI rezultatai reikšmingai nesiskyrė nuo kontrolinės grupės rezultatų, atkreipdamas dėmesį, jog pogrupių imtys yra itin mažos (</w:t>
      </w:r>
      <w:proofErr w:type="spellStart"/>
      <w:r w:rsidRPr="00196B92">
        <w:t>sacituzumabo</w:t>
      </w:r>
      <w:proofErr w:type="spellEnd"/>
      <w:r w:rsidRPr="00196B92">
        <w:t xml:space="preserve"> </w:t>
      </w:r>
      <w:proofErr w:type="spellStart"/>
      <w:r w:rsidRPr="00196B92">
        <w:t>govitekano</w:t>
      </w:r>
      <w:proofErr w:type="spellEnd"/>
      <w:r w:rsidRPr="00196B92">
        <w:t xml:space="preserve"> n = 32; kontrolinio gydymo n = 29), tad rezultatai nėra patikimi. </w:t>
      </w:r>
    </w:p>
    <w:p w14:paraId="4CB3FEF6" w14:textId="77777777" w:rsidR="00CB499E" w:rsidRPr="00196B92" w:rsidRDefault="00CB499E" w:rsidP="00CB499E">
      <w:pPr>
        <w:tabs>
          <w:tab w:val="left" w:pos="492"/>
        </w:tabs>
        <w:spacing w:line="276" w:lineRule="auto"/>
        <w:jc w:val="both"/>
      </w:pPr>
      <w:r w:rsidRPr="00196B92">
        <w:tab/>
      </w:r>
      <w:r w:rsidRPr="00196B92">
        <w:tab/>
        <w:t xml:space="preserve">Vertinant pacientų praneštas baigtis, </w:t>
      </w:r>
      <w:proofErr w:type="spellStart"/>
      <w:r w:rsidRPr="00196B92">
        <w:t>sacituzumabas</w:t>
      </w:r>
      <w:proofErr w:type="spellEnd"/>
      <w:r w:rsidRPr="00196B92">
        <w:t xml:space="preserve"> </w:t>
      </w:r>
      <w:proofErr w:type="spellStart"/>
      <w:r w:rsidRPr="00196B92">
        <w:t>govitekanas</w:t>
      </w:r>
      <w:proofErr w:type="spellEnd"/>
      <w:r w:rsidRPr="00196B92">
        <w:t xml:space="preserve"> buvo neprastesnis (angl. </w:t>
      </w:r>
      <w:proofErr w:type="spellStart"/>
      <w:r w:rsidRPr="00196B92">
        <w:rPr>
          <w:i/>
        </w:rPr>
        <w:t>non-inferior</w:t>
      </w:r>
      <w:proofErr w:type="spellEnd"/>
      <w:r w:rsidRPr="00196B92">
        <w:t xml:space="preserve">) už palyginamąjį gydymą visose pagrindinėse gyvenimo kokybės vertinimo srityse. 4 srityse (bendros sveikatos būklės, fizinio funkcionavimo, nuovargio ir skausmo) </w:t>
      </w:r>
      <w:proofErr w:type="spellStart"/>
      <w:r w:rsidRPr="00196B92">
        <w:t>sacituzumabas</w:t>
      </w:r>
      <w:proofErr w:type="spellEnd"/>
      <w:r w:rsidRPr="00196B92">
        <w:t xml:space="preserve"> </w:t>
      </w:r>
      <w:proofErr w:type="spellStart"/>
      <w:r w:rsidRPr="00196B92">
        <w:t>govitekanas</w:t>
      </w:r>
      <w:proofErr w:type="spellEnd"/>
      <w:r w:rsidRPr="00196B92">
        <w:t xml:space="preserve"> buvo statistiškai reikšmingai pranašesnis už </w:t>
      </w:r>
      <w:proofErr w:type="spellStart"/>
      <w:r w:rsidRPr="00196B92">
        <w:t>palyginamajį</w:t>
      </w:r>
      <w:proofErr w:type="spellEnd"/>
      <w:r w:rsidRPr="00196B92">
        <w:t xml:space="preserve"> gydymą. </w:t>
      </w:r>
    </w:p>
    <w:p w14:paraId="304906A6" w14:textId="77777777" w:rsidR="00CB499E" w:rsidRPr="00196B92" w:rsidRDefault="00CB499E" w:rsidP="00CB499E">
      <w:pPr>
        <w:tabs>
          <w:tab w:val="left" w:pos="492"/>
        </w:tabs>
        <w:spacing w:line="276" w:lineRule="auto"/>
        <w:jc w:val="both"/>
      </w:pPr>
      <w:r w:rsidRPr="00196B92">
        <w:tab/>
        <w:t xml:space="preserve">Pareiškėjas taip pat patikslino, kad šiuo metu nėra duomenų, ar </w:t>
      </w:r>
      <w:proofErr w:type="spellStart"/>
      <w:r w:rsidRPr="00196B92">
        <w:t>sacituzumabas</w:t>
      </w:r>
      <w:proofErr w:type="spellEnd"/>
      <w:r w:rsidRPr="00196B92">
        <w:t xml:space="preserve"> </w:t>
      </w:r>
      <w:proofErr w:type="spellStart"/>
      <w:r w:rsidRPr="00196B92">
        <w:t>govitekanas</w:t>
      </w:r>
      <w:proofErr w:type="spellEnd"/>
      <w:r w:rsidRPr="00196B92">
        <w:t xml:space="preserve"> yra skirtinas pacientams, kuriems anksčiau netaikyta chemoterapija </w:t>
      </w:r>
      <w:proofErr w:type="spellStart"/>
      <w:r w:rsidRPr="00196B92">
        <w:t>taksanais</w:t>
      </w:r>
      <w:proofErr w:type="spellEnd"/>
      <w:r w:rsidRPr="00196B92">
        <w:t xml:space="preserve">, taip pat nėra duomenų apie  </w:t>
      </w:r>
      <w:proofErr w:type="spellStart"/>
      <w:r w:rsidRPr="00196B92">
        <w:t>sacituzumabo</w:t>
      </w:r>
      <w:proofErr w:type="spellEnd"/>
      <w:r w:rsidRPr="00196B92">
        <w:t xml:space="preserve"> </w:t>
      </w:r>
      <w:proofErr w:type="spellStart"/>
      <w:r w:rsidRPr="00196B92">
        <w:t>govitekano</w:t>
      </w:r>
      <w:proofErr w:type="spellEnd"/>
      <w:r w:rsidRPr="00196B92">
        <w:t xml:space="preserve"> saugumą gydant </w:t>
      </w:r>
      <w:proofErr w:type="spellStart"/>
      <w:r w:rsidRPr="00196B92">
        <w:t>Žilibero</w:t>
      </w:r>
      <w:proofErr w:type="spellEnd"/>
      <w:r w:rsidRPr="00196B92">
        <w:t xml:space="preserve"> sindromu sergančius pacientus.</w:t>
      </w:r>
    </w:p>
    <w:p w14:paraId="7C90DBA1" w14:textId="77777777" w:rsidR="00CB499E" w:rsidRPr="00EB13EF" w:rsidRDefault="00CB499E" w:rsidP="00CB499E">
      <w:pPr>
        <w:tabs>
          <w:tab w:val="left" w:pos="492"/>
        </w:tabs>
        <w:spacing w:line="276" w:lineRule="auto"/>
        <w:jc w:val="both"/>
      </w:pPr>
      <w:r w:rsidRPr="00196B92">
        <w:tab/>
        <w:t xml:space="preserve">Ilgalaikio arba visiško gydymo nutraukimo dėl nepageidaujamų reiškinių dažnis </w:t>
      </w:r>
      <w:proofErr w:type="spellStart"/>
      <w:r w:rsidRPr="00196B92">
        <w:t>sacituzumabo</w:t>
      </w:r>
      <w:proofErr w:type="spellEnd"/>
      <w:r w:rsidRPr="00196B92">
        <w:t xml:space="preserve"> </w:t>
      </w:r>
      <w:proofErr w:type="spellStart"/>
      <w:r w:rsidRPr="00196B92">
        <w:t>govitekano</w:t>
      </w:r>
      <w:proofErr w:type="spellEnd"/>
      <w:r w:rsidRPr="00196B92">
        <w:t xml:space="preserve"> grupėje </w:t>
      </w:r>
      <w:r w:rsidRPr="00EB13EF">
        <w:t xml:space="preserve">buvo 3,9 %, o kontrolinėje grupėje – 3,6 %. Abiejose grupėse gydymo nutraukimo dėl šalutinių reiškinių atvejų buvo ≤3 %. Dažniausi nepageidaujami su gydymu susiję reiškiniai </w:t>
      </w:r>
      <w:proofErr w:type="spellStart"/>
      <w:r w:rsidRPr="00EB13EF">
        <w:t>sacituzumabo</w:t>
      </w:r>
      <w:proofErr w:type="spellEnd"/>
      <w:r w:rsidRPr="00EB13EF">
        <w:t xml:space="preserve"> </w:t>
      </w:r>
      <w:proofErr w:type="spellStart"/>
      <w:r w:rsidRPr="00EB13EF">
        <w:t>govitekano</w:t>
      </w:r>
      <w:proofErr w:type="spellEnd"/>
      <w:r w:rsidRPr="00EB13EF">
        <w:t xml:space="preserve"> grupėje buvo </w:t>
      </w:r>
      <w:proofErr w:type="spellStart"/>
      <w:r w:rsidRPr="00EB13EF">
        <w:t>neutropenija</w:t>
      </w:r>
      <w:proofErr w:type="spellEnd"/>
      <w:r w:rsidRPr="00EB13EF">
        <w:t xml:space="preserve"> (64 %), viduriavimas (59 %), pykinimas (57 %), </w:t>
      </w:r>
      <w:proofErr w:type="spellStart"/>
      <w:r w:rsidRPr="00EB13EF">
        <w:t>alopecija</w:t>
      </w:r>
      <w:proofErr w:type="spellEnd"/>
      <w:r w:rsidRPr="00EB13EF">
        <w:t xml:space="preserve"> (46 %), nuovargis (45 %), anemija (34 %). Tyrimo metu gydant </w:t>
      </w:r>
      <w:proofErr w:type="spellStart"/>
      <w:r w:rsidRPr="00EB13EF">
        <w:t>sacituzumabu</w:t>
      </w:r>
      <w:proofErr w:type="spellEnd"/>
      <w:r w:rsidRPr="00EB13EF">
        <w:t xml:space="preserve"> </w:t>
      </w:r>
      <w:proofErr w:type="spellStart"/>
      <w:r w:rsidRPr="00EB13EF">
        <w:t>govitekanu</w:t>
      </w:r>
      <w:proofErr w:type="spellEnd"/>
      <w:r w:rsidRPr="00EB13EF">
        <w:t xml:space="preserve"> dažniau pasireiškė </w:t>
      </w:r>
      <w:proofErr w:type="spellStart"/>
      <w:r w:rsidRPr="00EB13EF">
        <w:t>neutropenija</w:t>
      </w:r>
      <w:proofErr w:type="spellEnd"/>
      <w:r w:rsidRPr="00EB13EF">
        <w:t>, kuri 51 proc. atvejų atitiko 3-4 sunkumo laipsnį</w:t>
      </w:r>
      <w:r>
        <w:t>, palyginus su chemoterapijos grupe (apie 40 proc.)</w:t>
      </w:r>
      <w:r w:rsidRPr="00EB13EF">
        <w:t xml:space="preserve">. Svarbu pažymėti, kad </w:t>
      </w:r>
      <w:proofErr w:type="spellStart"/>
      <w:r w:rsidRPr="00EB13EF">
        <w:t>neutropenija</w:t>
      </w:r>
      <w:proofErr w:type="spellEnd"/>
      <w:r w:rsidRPr="00EB13EF">
        <w:t xml:space="preserve"> gali būti valdoma, sumažinus </w:t>
      </w:r>
      <w:proofErr w:type="spellStart"/>
      <w:r w:rsidRPr="00EB13EF">
        <w:t>sacituzumabo</w:t>
      </w:r>
      <w:proofErr w:type="spellEnd"/>
      <w:r w:rsidRPr="00EB13EF">
        <w:t xml:space="preserve"> </w:t>
      </w:r>
      <w:proofErr w:type="spellStart"/>
      <w:r w:rsidRPr="00EB13EF">
        <w:t>govitekano</w:t>
      </w:r>
      <w:proofErr w:type="spellEnd"/>
      <w:r w:rsidRPr="00EB13EF">
        <w:t xml:space="preserve"> dozę gydymo metu. Dozės keitimas esant nepageidaujamoms reakcijoms yra nurodytas preparatų charakteristikos santraukoje (https://ec.europa.eu/health/documents/community-register/2023/20230726159949/anx_159949_lt.pdf ). Šiuo metu vykdoma papildoma </w:t>
      </w:r>
      <w:proofErr w:type="spellStart"/>
      <w:r w:rsidRPr="00EB13EF">
        <w:t>Troldelvy</w:t>
      </w:r>
      <w:proofErr w:type="spellEnd"/>
      <w:r w:rsidRPr="00EB13EF">
        <w:t xml:space="preserve"> saugumo stebėsena.  </w:t>
      </w:r>
    </w:p>
    <w:p w14:paraId="5C469AB6" w14:textId="77777777" w:rsidR="00CB499E" w:rsidRPr="00196B92" w:rsidRDefault="00CB499E" w:rsidP="00CB499E">
      <w:pPr>
        <w:tabs>
          <w:tab w:val="left" w:pos="492"/>
        </w:tabs>
        <w:spacing w:line="276" w:lineRule="auto"/>
        <w:jc w:val="both"/>
        <w:rPr>
          <w:i/>
          <w:color w:val="00B050"/>
          <w:sz w:val="22"/>
          <w:szCs w:val="22"/>
        </w:rPr>
      </w:pPr>
      <w:r w:rsidRPr="00196B92">
        <w:tab/>
        <w:t xml:space="preserve">Remiantis pateiktais duomenimis, nustatyta, kad </w:t>
      </w:r>
      <w:proofErr w:type="spellStart"/>
      <w:r w:rsidRPr="00196B92">
        <w:t>sacituzumabo</w:t>
      </w:r>
      <w:proofErr w:type="spellEnd"/>
      <w:r w:rsidRPr="00196B92">
        <w:t xml:space="preserve"> </w:t>
      </w:r>
      <w:proofErr w:type="spellStart"/>
      <w:r w:rsidRPr="00196B92">
        <w:t>govitekano</w:t>
      </w:r>
      <w:proofErr w:type="spellEnd"/>
      <w:r w:rsidRPr="00196B92">
        <w:t xml:space="preserve"> palyginamasis efektyvumas ir klinikinis veiksmingumas yra didesni, lyginant su palyginamuoju gydymu (</w:t>
      </w:r>
      <w:proofErr w:type="spellStart"/>
      <w:r w:rsidRPr="00196B92">
        <w:t>eribulinu</w:t>
      </w:r>
      <w:proofErr w:type="spellEnd"/>
      <w:r w:rsidRPr="00196B92">
        <w:t xml:space="preserve">, </w:t>
      </w:r>
      <w:proofErr w:type="spellStart"/>
      <w:r w:rsidRPr="00196B92">
        <w:t>vinorelbinu</w:t>
      </w:r>
      <w:proofErr w:type="spellEnd"/>
      <w:r w:rsidRPr="00196B92">
        <w:t xml:space="preserve">, </w:t>
      </w:r>
      <w:proofErr w:type="spellStart"/>
      <w:r w:rsidRPr="00196B92">
        <w:t>gemcitabinu</w:t>
      </w:r>
      <w:proofErr w:type="spellEnd"/>
      <w:r w:rsidRPr="00196B92">
        <w:t xml:space="preserve">, </w:t>
      </w:r>
      <w:proofErr w:type="spellStart"/>
      <w:r w:rsidRPr="00196B92">
        <w:t>kapecitabinu</w:t>
      </w:r>
      <w:proofErr w:type="spellEnd"/>
      <w:r w:rsidRPr="00196B92">
        <w:t>).</w:t>
      </w:r>
    </w:p>
    <w:p w14:paraId="1987A7DD" w14:textId="11078E21" w:rsidR="000E4ECE" w:rsidRDefault="000E4ECE" w:rsidP="00295926">
      <w:pPr>
        <w:spacing w:line="276" w:lineRule="auto"/>
        <w:ind w:firstLine="720"/>
        <w:jc w:val="both"/>
        <w:rPr>
          <w:iCs/>
        </w:rPr>
      </w:pPr>
    </w:p>
    <w:p w14:paraId="6643C683" w14:textId="36D89558" w:rsidR="000E4ECE" w:rsidRDefault="000E4ECE" w:rsidP="000E4ECE">
      <w:pPr>
        <w:pStyle w:val="ListParagraph"/>
        <w:numPr>
          <w:ilvl w:val="0"/>
          <w:numId w:val="12"/>
        </w:numPr>
        <w:tabs>
          <w:tab w:val="left" w:pos="567"/>
        </w:tabs>
        <w:rPr>
          <w:b/>
          <w:bCs/>
          <w:caps/>
        </w:rPr>
      </w:pPr>
      <w:r>
        <w:rPr>
          <w:b/>
          <w:bCs/>
          <w:caps/>
        </w:rPr>
        <w:t xml:space="preserve"> </w:t>
      </w:r>
      <w:r w:rsidRPr="000E4ECE">
        <w:rPr>
          <w:b/>
          <w:bCs/>
          <w:caps/>
        </w:rPr>
        <w:t>ekonominio vertinimo apibendrinimas</w:t>
      </w:r>
    </w:p>
    <w:p w14:paraId="2DE6345C" w14:textId="77777777" w:rsidR="00BC6E73" w:rsidRPr="000E4ECE" w:rsidRDefault="00BC6E73" w:rsidP="00BC6E73">
      <w:pPr>
        <w:pStyle w:val="ListParagraph"/>
        <w:tabs>
          <w:tab w:val="left" w:pos="567"/>
        </w:tabs>
        <w:rPr>
          <w:b/>
          <w:bCs/>
          <w:caps/>
        </w:rPr>
      </w:pPr>
    </w:p>
    <w:p w14:paraId="35D301B8" w14:textId="77777777" w:rsidR="00BC6E73" w:rsidRDefault="00BC6E73" w:rsidP="00BC6E73">
      <w:pPr>
        <w:spacing w:line="276" w:lineRule="auto"/>
        <w:ind w:firstLine="630"/>
        <w:jc w:val="both"/>
      </w:pPr>
      <w:r>
        <w:t xml:space="preserve">Pareiškėjas teikia kaštų naudingumo analizę, kurioje </w:t>
      </w:r>
      <w:r w:rsidRPr="00530495">
        <w:t xml:space="preserve">klinikiniai duomenys (pacientų charakteristikos, gydymo trukmės, saugumo ir efektyvumo duomenys (bendrojo išgyvenamumo, išgyvenamumo be ligos progreso) įtraukti iš 3 fazės </w:t>
      </w:r>
      <w:proofErr w:type="spellStart"/>
      <w:r w:rsidRPr="00BC6E73">
        <w:rPr>
          <w:rFonts w:eastAsia="Arial"/>
        </w:rPr>
        <w:t>daugiacentrio</w:t>
      </w:r>
      <w:proofErr w:type="spellEnd"/>
      <w:r w:rsidRPr="00BC6E73">
        <w:rPr>
          <w:rFonts w:eastAsia="Arial"/>
        </w:rPr>
        <w:t xml:space="preserve">, tarptautinio, atviro, atsitiktinių imčių klinikinio tyrimo ASCENT, kuriame </w:t>
      </w:r>
      <w:proofErr w:type="spellStart"/>
      <w:r w:rsidRPr="00BC6E73">
        <w:rPr>
          <w:rFonts w:eastAsia="Arial"/>
          <w:bCs/>
        </w:rPr>
        <w:t>sacituzumabo</w:t>
      </w:r>
      <w:proofErr w:type="spellEnd"/>
      <w:r w:rsidRPr="00BC6E73">
        <w:rPr>
          <w:rFonts w:eastAsia="Arial"/>
          <w:bCs/>
        </w:rPr>
        <w:t xml:space="preserve"> </w:t>
      </w:r>
      <w:proofErr w:type="spellStart"/>
      <w:r w:rsidRPr="00BC6E73">
        <w:rPr>
          <w:rFonts w:eastAsia="Arial"/>
          <w:bCs/>
        </w:rPr>
        <w:t>govitekanas</w:t>
      </w:r>
      <w:proofErr w:type="spellEnd"/>
      <w:r w:rsidRPr="00BC6E73">
        <w:rPr>
          <w:rFonts w:eastAsia="Arial"/>
          <w:bCs/>
        </w:rPr>
        <w:t xml:space="preserve"> lyginamas su </w:t>
      </w:r>
      <w:r w:rsidRPr="00BC6E73">
        <w:rPr>
          <w:bCs/>
          <w:iCs/>
        </w:rPr>
        <w:t>gydytojo parenkamu vaistiniu preparatu (</w:t>
      </w:r>
      <w:proofErr w:type="spellStart"/>
      <w:r w:rsidRPr="00BC6E73">
        <w:rPr>
          <w:bCs/>
          <w:iCs/>
        </w:rPr>
        <w:t>eribulinas</w:t>
      </w:r>
      <w:proofErr w:type="spellEnd"/>
      <w:r w:rsidRPr="00BC6E73">
        <w:rPr>
          <w:bCs/>
          <w:iCs/>
        </w:rPr>
        <w:t xml:space="preserve">, </w:t>
      </w:r>
      <w:proofErr w:type="spellStart"/>
      <w:r w:rsidRPr="00BC6E73">
        <w:rPr>
          <w:bCs/>
          <w:iCs/>
        </w:rPr>
        <w:t>vinorelbinas</w:t>
      </w:r>
      <w:proofErr w:type="spellEnd"/>
      <w:r w:rsidRPr="00BC6E73">
        <w:rPr>
          <w:bCs/>
          <w:iCs/>
        </w:rPr>
        <w:t xml:space="preserve">, </w:t>
      </w:r>
      <w:proofErr w:type="spellStart"/>
      <w:r w:rsidRPr="00BC6E73">
        <w:rPr>
          <w:bCs/>
          <w:iCs/>
        </w:rPr>
        <w:t>gemcitabinas</w:t>
      </w:r>
      <w:proofErr w:type="spellEnd"/>
      <w:r w:rsidRPr="00BC6E73">
        <w:rPr>
          <w:bCs/>
          <w:iCs/>
        </w:rPr>
        <w:t xml:space="preserve"> ir </w:t>
      </w:r>
      <w:proofErr w:type="spellStart"/>
      <w:r w:rsidRPr="00BC6E73">
        <w:rPr>
          <w:bCs/>
          <w:iCs/>
        </w:rPr>
        <w:t>kapecitabinas</w:t>
      </w:r>
      <w:proofErr w:type="spellEnd"/>
      <w:r w:rsidRPr="00BC6E73">
        <w:rPr>
          <w:bCs/>
          <w:iCs/>
        </w:rPr>
        <w:t>). KNA yra įtraukiami paciento lygmens ASCENT</w:t>
      </w:r>
      <w:r w:rsidRPr="00B45F83">
        <w:t xml:space="preserve"> </w:t>
      </w:r>
      <w:r w:rsidRPr="00530495">
        <w:t xml:space="preserve">klinikinio tyrimo ITT (angl. </w:t>
      </w:r>
      <w:proofErr w:type="spellStart"/>
      <w:r w:rsidRPr="00BC6E73">
        <w:rPr>
          <w:i/>
        </w:rPr>
        <w:t>intention</w:t>
      </w:r>
      <w:proofErr w:type="spellEnd"/>
      <w:r w:rsidRPr="00BC6E73">
        <w:rPr>
          <w:i/>
        </w:rPr>
        <w:t xml:space="preserve"> to </w:t>
      </w:r>
      <w:proofErr w:type="spellStart"/>
      <w:r w:rsidRPr="00BC6E73">
        <w:rPr>
          <w:i/>
        </w:rPr>
        <w:t>treat</w:t>
      </w:r>
      <w:proofErr w:type="spellEnd"/>
      <w:r>
        <w:t>) populiacijos duomenys, vertinamai indikacijai:</w:t>
      </w:r>
      <w:r w:rsidRPr="00530495">
        <w:t xml:space="preserve"> suaugę pacientai, sergantys neoperuotinu ar </w:t>
      </w:r>
      <w:proofErr w:type="spellStart"/>
      <w:r w:rsidRPr="00530495">
        <w:t>metastazavusiu</w:t>
      </w:r>
      <w:proofErr w:type="spellEnd"/>
      <w:r w:rsidRPr="00530495">
        <w:t xml:space="preserve"> trigubai neigiamu krūties vėžiu (angl. </w:t>
      </w:r>
      <w:proofErr w:type="spellStart"/>
      <w:r w:rsidRPr="00BC6E73">
        <w:rPr>
          <w:i/>
          <w:iCs/>
        </w:rPr>
        <w:t>metastatic</w:t>
      </w:r>
      <w:proofErr w:type="spellEnd"/>
      <w:r w:rsidRPr="00BC6E73">
        <w:rPr>
          <w:i/>
          <w:iCs/>
        </w:rPr>
        <w:t xml:space="preserve"> </w:t>
      </w:r>
      <w:proofErr w:type="spellStart"/>
      <w:r w:rsidRPr="00BC6E73">
        <w:rPr>
          <w:i/>
          <w:iCs/>
        </w:rPr>
        <w:t>triple-negative</w:t>
      </w:r>
      <w:proofErr w:type="spellEnd"/>
      <w:r w:rsidRPr="00BC6E73">
        <w:rPr>
          <w:i/>
          <w:iCs/>
        </w:rPr>
        <w:t xml:space="preserve"> </w:t>
      </w:r>
      <w:proofErr w:type="spellStart"/>
      <w:r w:rsidRPr="00BC6E73">
        <w:rPr>
          <w:i/>
          <w:iCs/>
        </w:rPr>
        <w:t>breast</w:t>
      </w:r>
      <w:proofErr w:type="spellEnd"/>
      <w:r w:rsidRPr="00BC6E73">
        <w:rPr>
          <w:i/>
          <w:iCs/>
        </w:rPr>
        <w:t xml:space="preserve"> </w:t>
      </w:r>
      <w:proofErr w:type="spellStart"/>
      <w:r w:rsidRPr="00BC6E73">
        <w:rPr>
          <w:i/>
          <w:iCs/>
        </w:rPr>
        <w:t>cancer</w:t>
      </w:r>
      <w:proofErr w:type="spellEnd"/>
      <w:r w:rsidRPr="00BC6E73">
        <w:rPr>
          <w:i/>
        </w:rPr>
        <w:t>, mTNBC</w:t>
      </w:r>
      <w:r w:rsidRPr="00530495">
        <w:t xml:space="preserve">), kuriems anksčiau buvo taikytos dvi ar daugiau sisteminių </w:t>
      </w:r>
      <w:proofErr w:type="spellStart"/>
      <w:r w:rsidRPr="00530495">
        <w:t>terapijų</w:t>
      </w:r>
      <w:proofErr w:type="spellEnd"/>
      <w:r w:rsidRPr="00530495">
        <w:t xml:space="preserve">, kai bent viena iš jų buvo skirta išplitusios ligos gydymui (TLK-10-AM kodas – C50). </w:t>
      </w:r>
    </w:p>
    <w:p w14:paraId="7AF5D07F" w14:textId="77777777" w:rsidR="00BC6E73" w:rsidRDefault="00BC6E73" w:rsidP="00BC6E73">
      <w:pPr>
        <w:spacing w:line="276" w:lineRule="auto"/>
        <w:ind w:firstLine="630"/>
        <w:jc w:val="both"/>
      </w:pPr>
      <w:r w:rsidRPr="00BC6E73">
        <w:rPr>
          <w:bCs/>
          <w:iCs/>
        </w:rPr>
        <w:t xml:space="preserve">Laikoma, kad palyginamieji vaistiniai preparatai atitinka 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116–119 punktus. </w:t>
      </w:r>
      <w:r w:rsidRPr="00BC6E73">
        <w:rPr>
          <w:rFonts w:eastAsia="Arial"/>
          <w:bCs/>
        </w:rPr>
        <w:t xml:space="preserve">Ekonominėje analizėje pateiktas palyginamasis gydymas atitinka klinikinio paraiškos vertinimo dalyje pateiktą palyginamąjį gydymą (žr. šio vertinimo protokolo 2.3 punktą) ir atitinka įprastą Lietuvos Respublikos klinikinę praktiką. Tarnyba, apskaičiuojant palyginamojo gydymo ekonominėje analizėje taikomo krepšelio </w:t>
      </w:r>
      <w:r w:rsidRPr="00BC6E73">
        <w:rPr>
          <w:rFonts w:eastAsia="Arial"/>
          <w:bCs/>
          <w:iCs/>
        </w:rPr>
        <w:t>(</w:t>
      </w:r>
      <w:proofErr w:type="spellStart"/>
      <w:r w:rsidRPr="00BC6E73">
        <w:rPr>
          <w:rFonts w:eastAsiaTheme="minorHAnsi"/>
        </w:rPr>
        <w:t>eribulino</w:t>
      </w:r>
      <w:proofErr w:type="spellEnd"/>
      <w:r w:rsidRPr="00BC6E73">
        <w:rPr>
          <w:rFonts w:eastAsiaTheme="minorHAnsi"/>
        </w:rPr>
        <w:t xml:space="preserve">, </w:t>
      </w:r>
      <w:proofErr w:type="spellStart"/>
      <w:r w:rsidRPr="00BC6E73">
        <w:rPr>
          <w:rFonts w:eastAsiaTheme="minorHAnsi"/>
        </w:rPr>
        <w:t>vinorelbino</w:t>
      </w:r>
      <w:proofErr w:type="spellEnd"/>
      <w:r w:rsidRPr="00BC6E73">
        <w:rPr>
          <w:rFonts w:eastAsiaTheme="minorHAnsi"/>
        </w:rPr>
        <w:t xml:space="preserve">, </w:t>
      </w:r>
      <w:proofErr w:type="spellStart"/>
      <w:r w:rsidRPr="00BC6E73">
        <w:rPr>
          <w:rFonts w:eastAsiaTheme="minorHAnsi"/>
        </w:rPr>
        <w:t>gemcitabino</w:t>
      </w:r>
      <w:proofErr w:type="spellEnd"/>
      <w:r w:rsidRPr="00BC6E73">
        <w:rPr>
          <w:rFonts w:eastAsiaTheme="minorHAnsi"/>
        </w:rPr>
        <w:t xml:space="preserve"> ir </w:t>
      </w:r>
      <w:proofErr w:type="spellStart"/>
      <w:r w:rsidRPr="00BC6E73">
        <w:rPr>
          <w:rFonts w:eastAsiaTheme="minorHAnsi"/>
        </w:rPr>
        <w:t>kapecitabino</w:t>
      </w:r>
      <w:proofErr w:type="spellEnd"/>
      <w:r w:rsidRPr="00BC6E73">
        <w:rPr>
          <w:rFonts w:eastAsiaTheme="minorHAnsi"/>
        </w:rPr>
        <w:t>)</w:t>
      </w:r>
      <w:r w:rsidRPr="00BC6E73">
        <w:rPr>
          <w:rFonts w:eastAsia="Arial"/>
          <w:bCs/>
          <w:iCs/>
        </w:rPr>
        <w:t xml:space="preserve"> </w:t>
      </w:r>
      <w:r w:rsidRPr="00BC6E73">
        <w:rPr>
          <w:rFonts w:eastAsia="Arial"/>
          <w:bCs/>
        </w:rPr>
        <w:t xml:space="preserve">kainą taiko </w:t>
      </w:r>
      <w:r w:rsidRPr="00BC6E73">
        <w:rPr>
          <w:rFonts w:eastAsia="Arial"/>
          <w:bCs/>
          <w:iCs/>
        </w:rPr>
        <w:t xml:space="preserve">proporcinį pasiskirstymą remiantis </w:t>
      </w:r>
      <w:r w:rsidRPr="00BC6E73">
        <w:rPr>
          <w:rFonts w:eastAsiaTheme="minorHAnsi"/>
        </w:rPr>
        <w:t>ASCEN</w:t>
      </w:r>
      <w:r>
        <w:t xml:space="preserve">T klinikinio tyrimo duomenimis, sutinkant, kad </w:t>
      </w:r>
      <w:r w:rsidRPr="00BC6E73">
        <w:rPr>
          <w:rFonts w:eastAsia="CIDFont+F2"/>
        </w:rPr>
        <w:t xml:space="preserve">VLK teikiami duomenys apie 2022 m. kompensuotus </w:t>
      </w:r>
      <w:proofErr w:type="spellStart"/>
      <w:r w:rsidRPr="00BC6E73">
        <w:rPr>
          <w:rFonts w:eastAsia="CIDFont+F2"/>
        </w:rPr>
        <w:t>antinavikinius</w:t>
      </w:r>
      <w:proofErr w:type="spellEnd"/>
      <w:r w:rsidRPr="00BC6E73">
        <w:rPr>
          <w:rFonts w:eastAsia="CIDFont+F2"/>
        </w:rPr>
        <w:t xml:space="preserve"> (ATC kodas L01) ir endokrininės terapijos (ATC kodas L02) vaistus krūties vėžiui gydyti (Privalomojo sveikatos draudimo fondo (PSDF) biudžeto išlaidų vertinimo duomenys) </w:t>
      </w:r>
      <w:r w:rsidRPr="00BC6E73">
        <w:rPr>
          <w:rFonts w:eastAsiaTheme="minorHAnsi"/>
        </w:rPr>
        <w:t xml:space="preserve">apibūdina šių preparatų vartojimo dažnį krūties vėžio gydymui, ir neišskiria </w:t>
      </w:r>
      <w:proofErr w:type="spellStart"/>
      <w:r w:rsidRPr="00BC6E73">
        <w:rPr>
          <w:rFonts w:eastAsiaTheme="minorHAnsi"/>
        </w:rPr>
        <w:t>mTNKV</w:t>
      </w:r>
      <w:proofErr w:type="spellEnd"/>
      <w:r w:rsidRPr="00BC6E73">
        <w:rPr>
          <w:rFonts w:eastAsiaTheme="minorHAnsi"/>
        </w:rPr>
        <w:t xml:space="preserve">, dėl ko ASCENT klinikinio tyrimo duomenys galimai tikslesni ir yra taikomi įprastinėje atvejo analizėje. </w:t>
      </w:r>
      <w:r>
        <w:t>(</w:t>
      </w:r>
      <w:r w:rsidRPr="00BC6E73">
        <w:rPr>
          <w:rFonts w:eastAsiaTheme="minorHAnsi"/>
        </w:rPr>
        <w:t>Palyginamojo VP pasiskirstymas pagal VLK duomenis analizuojamas scenarijų analizėje).</w:t>
      </w:r>
    </w:p>
    <w:p w14:paraId="434CA47A" w14:textId="77777777" w:rsidR="00BC6E73" w:rsidRPr="00BC6E73" w:rsidRDefault="00BC6E73" w:rsidP="00BC6E73">
      <w:pPr>
        <w:spacing w:line="276" w:lineRule="auto"/>
        <w:ind w:firstLine="630"/>
        <w:jc w:val="both"/>
        <w:rPr>
          <w:rFonts w:eastAsia="Arial"/>
        </w:rPr>
      </w:pPr>
      <w:proofErr w:type="spellStart"/>
      <w:r w:rsidRPr="00530495">
        <w:t>Farmakoekonominėje</w:t>
      </w:r>
      <w:proofErr w:type="spellEnd"/>
      <w:r w:rsidRPr="00530495">
        <w:t xml:space="preserve"> analizėje Pareiškėjas taiko padalintos kohortos išgyvenamumo (angl. </w:t>
      </w:r>
      <w:proofErr w:type="spellStart"/>
      <w:r w:rsidRPr="00BC6E73">
        <w:rPr>
          <w:i/>
        </w:rPr>
        <w:t>partitioned</w:t>
      </w:r>
      <w:proofErr w:type="spellEnd"/>
      <w:r w:rsidRPr="00BC6E73">
        <w:rPr>
          <w:i/>
        </w:rPr>
        <w:t xml:space="preserve"> </w:t>
      </w:r>
      <w:proofErr w:type="spellStart"/>
      <w:r w:rsidRPr="00BC6E73">
        <w:rPr>
          <w:i/>
        </w:rPr>
        <w:t>survival</w:t>
      </w:r>
      <w:proofErr w:type="spellEnd"/>
      <w:r w:rsidRPr="00BC6E73">
        <w:rPr>
          <w:i/>
        </w:rPr>
        <w:t xml:space="preserve"> </w:t>
      </w:r>
      <w:proofErr w:type="spellStart"/>
      <w:r w:rsidRPr="00BC6E73">
        <w:rPr>
          <w:i/>
        </w:rPr>
        <w:t>model</w:t>
      </w:r>
      <w:proofErr w:type="spellEnd"/>
      <w:r>
        <w:t xml:space="preserve">) modelį, duomenys </w:t>
      </w:r>
      <w:proofErr w:type="spellStart"/>
      <w:r>
        <w:t>ekstrapoliuojami</w:t>
      </w:r>
      <w:proofErr w:type="spellEnd"/>
      <w:r>
        <w:t xml:space="preserve"> po klinikinio tyrimo stebėjimo pabaigos (10 m.). Rezultatai, kai</w:t>
      </w:r>
      <w:r w:rsidRPr="00FA541F">
        <w:t xml:space="preserve"> IBLP modeliuoj</w:t>
      </w:r>
      <w:r>
        <w:t>am</w:t>
      </w:r>
      <w:r w:rsidRPr="00FA541F">
        <w:t xml:space="preserve">i duomenys varijuoja nežymiai priklausomai nuo taikomo parametrinio modeliavimo </w:t>
      </w:r>
      <w:r>
        <w:t xml:space="preserve">yra </w:t>
      </w:r>
      <w:r w:rsidRPr="00FA541F">
        <w:t xml:space="preserve">tikėtini atsižvelgiant į KM duomenų brandumą, tačiau Tarnyba atkreipia dėmesį, kad, nors IBLP duomenys brandūs, didelė dalis pacientų cenzūruota (28.8 proc. </w:t>
      </w:r>
      <w:r>
        <w:t>ir</w:t>
      </w:r>
      <w:r w:rsidRPr="00FA541F">
        <w:t xml:space="preserve"> 34.7 proc. atitinkamai SG ir GPVP grupėse). Svarbu tai, kad tyrimo pabaigoje TPC grupėje liko tik keli pacientai, kuriems liga neprogresavo (3 proc.), daugiau pacientų TPC grupėje buvo cenzūruoti dėl duomenų trūkumo tyrimo stebėjimo metu ar gydymo nutraukimo keičiant alternatyviu). </w:t>
      </w:r>
      <w:r w:rsidRPr="00BC6E73">
        <w:rPr>
          <w:bCs/>
        </w:rPr>
        <w:t xml:space="preserve">Atsižvelgiant į </w:t>
      </w:r>
      <w:r w:rsidRPr="00FA541F">
        <w:t>ASCENT</w:t>
      </w:r>
      <w:r w:rsidRPr="00BC6E73">
        <w:rPr>
          <w:bCs/>
        </w:rPr>
        <w:t xml:space="preserve"> klinikinio tyrimo KM duomenų trūkumus, statistinių AIC/BIC kriterijų rezultatus, </w:t>
      </w:r>
      <w:r w:rsidRPr="00FA541F">
        <w:t xml:space="preserve">CADTH agentūros klinikinių ekspertų bei Pareiškėjo atnaujintais duomenimis (po pateiktų atsakymų), Tarnyba įprastinėje atvejo analizėje IBLP duomenų ekstrapoliacijai taiko </w:t>
      </w:r>
      <w:proofErr w:type="spellStart"/>
      <w:r w:rsidRPr="00FA541F">
        <w:t>Log</w:t>
      </w:r>
      <w:proofErr w:type="spellEnd"/>
      <w:r w:rsidRPr="00FA541F">
        <w:t xml:space="preserve"> </w:t>
      </w:r>
      <w:proofErr w:type="spellStart"/>
      <w:r w:rsidRPr="00FA541F">
        <w:t>normal</w:t>
      </w:r>
      <w:proofErr w:type="spellEnd"/>
      <w:r w:rsidRPr="00FA541F">
        <w:t xml:space="preserve"> (SG) ir </w:t>
      </w:r>
      <w:proofErr w:type="spellStart"/>
      <w:r w:rsidRPr="00FA541F">
        <w:t>log</w:t>
      </w:r>
      <w:proofErr w:type="spellEnd"/>
      <w:r>
        <w:t xml:space="preserve"> </w:t>
      </w:r>
      <w:proofErr w:type="spellStart"/>
      <w:r>
        <w:t>logistic</w:t>
      </w:r>
      <w:proofErr w:type="spellEnd"/>
      <w:r>
        <w:t xml:space="preserve"> (palyginamojo) paramet</w:t>
      </w:r>
      <w:r w:rsidRPr="00FA541F">
        <w:t xml:space="preserve">rinį modeliavimą. Įprastinės atvejo analizės </w:t>
      </w:r>
      <w:proofErr w:type="spellStart"/>
      <w:r w:rsidRPr="00FA541F">
        <w:t>ekstrapoliavimo</w:t>
      </w:r>
      <w:proofErr w:type="spellEnd"/>
      <w:r w:rsidRPr="00FA541F">
        <w:t xml:space="preserve"> pasirinkimas lemia optimi</w:t>
      </w:r>
      <w:r>
        <w:t>stiš</w:t>
      </w:r>
      <w:r w:rsidRPr="00FA541F">
        <w:t>kesnius IBLP rezultatus, tačiau konservatyvesnius ekonominės analizės rezultatus (ICER).</w:t>
      </w:r>
      <w:r w:rsidRPr="008A4F19">
        <w:t xml:space="preserve"> </w:t>
      </w:r>
      <w:r w:rsidRPr="00FA541F">
        <w:t>Paminėtina, kad IBLP duomenų ekstrapoliacijai taikomos parametrinės funkcijos esminės įtakos ICER rezulta</w:t>
      </w:r>
      <w:r>
        <w:t>tui neturi, tuo tarpu, skirtingų BI</w:t>
      </w:r>
      <w:r w:rsidRPr="008A4F19">
        <w:t xml:space="preserve"> </w:t>
      </w:r>
      <w:r>
        <w:t>parametrinių funkcijų taikymas</w:t>
      </w:r>
      <w:r w:rsidRPr="00D5065E">
        <w:t xml:space="preserve"> lemia reikšmingus pokyčius ve</w:t>
      </w:r>
      <w:r>
        <w:t>rtinant ilguoju laikotarpiu (3-10 m.). K</w:t>
      </w:r>
      <w:proofErr w:type="spellStart"/>
      <w:r w:rsidRPr="00BC6E73">
        <w:rPr>
          <w:lang w:val="en-US"/>
        </w:rPr>
        <w:t>aip</w:t>
      </w:r>
      <w:proofErr w:type="spellEnd"/>
      <w:r w:rsidRPr="00BC6E73">
        <w:rPr>
          <w:lang w:val="en-US"/>
        </w:rPr>
        <w:t xml:space="preserve"> </w:t>
      </w:r>
      <w:proofErr w:type="spellStart"/>
      <w:r w:rsidRPr="00BC6E73">
        <w:rPr>
          <w:lang w:val="en-US"/>
        </w:rPr>
        <w:t>ir</w:t>
      </w:r>
      <w:proofErr w:type="spellEnd"/>
      <w:r w:rsidRPr="00BC6E73">
        <w:rPr>
          <w:lang w:val="en-US"/>
        </w:rPr>
        <w:t xml:space="preserve"> IBLP </w:t>
      </w:r>
      <w:proofErr w:type="spellStart"/>
      <w:r w:rsidRPr="00BC6E73">
        <w:rPr>
          <w:lang w:val="en-US"/>
        </w:rPr>
        <w:t>duomenų</w:t>
      </w:r>
      <w:proofErr w:type="spellEnd"/>
      <w:r w:rsidRPr="00BC6E73">
        <w:rPr>
          <w:lang w:val="en-US"/>
        </w:rPr>
        <w:t xml:space="preserve"> </w:t>
      </w:r>
      <w:proofErr w:type="spellStart"/>
      <w:r w:rsidRPr="00BC6E73">
        <w:rPr>
          <w:lang w:val="en-US"/>
        </w:rPr>
        <w:t>atveju</w:t>
      </w:r>
      <w:proofErr w:type="spellEnd"/>
      <w:r w:rsidRPr="00BC6E73">
        <w:rPr>
          <w:lang w:val="en-US"/>
        </w:rPr>
        <w:t xml:space="preserve">, </w:t>
      </w:r>
      <w:proofErr w:type="spellStart"/>
      <w:r w:rsidRPr="00BC6E73">
        <w:rPr>
          <w:lang w:val="en-US"/>
        </w:rPr>
        <w:t>nors</w:t>
      </w:r>
      <w:proofErr w:type="spellEnd"/>
      <w:r w:rsidRPr="00BC6E73">
        <w:rPr>
          <w:lang w:val="en-US"/>
        </w:rPr>
        <w:t xml:space="preserve"> BI </w:t>
      </w:r>
      <w:proofErr w:type="spellStart"/>
      <w:r w:rsidRPr="00BC6E73">
        <w:rPr>
          <w:lang w:val="en-US"/>
        </w:rPr>
        <w:t>duomenys</w:t>
      </w:r>
      <w:proofErr w:type="spellEnd"/>
      <w:r w:rsidRPr="00BC6E73">
        <w:rPr>
          <w:lang w:val="en-US"/>
        </w:rPr>
        <w:t xml:space="preserve"> ASCENT </w:t>
      </w:r>
      <w:proofErr w:type="spellStart"/>
      <w:r w:rsidRPr="00BC6E73">
        <w:rPr>
          <w:lang w:val="en-US"/>
        </w:rPr>
        <w:t>klinikiniame</w:t>
      </w:r>
      <w:proofErr w:type="spellEnd"/>
      <w:r w:rsidRPr="00BC6E73">
        <w:rPr>
          <w:lang w:val="en-US"/>
        </w:rPr>
        <w:t xml:space="preserve"> </w:t>
      </w:r>
      <w:proofErr w:type="spellStart"/>
      <w:r w:rsidRPr="00BC6E73">
        <w:rPr>
          <w:lang w:val="en-US"/>
        </w:rPr>
        <w:t>tyrime</w:t>
      </w:r>
      <w:proofErr w:type="spellEnd"/>
      <w:r w:rsidRPr="00BC6E73">
        <w:rPr>
          <w:lang w:val="en-US"/>
        </w:rPr>
        <w:t xml:space="preserve"> </w:t>
      </w:r>
      <w:proofErr w:type="spellStart"/>
      <w:r w:rsidRPr="00BC6E73">
        <w:rPr>
          <w:lang w:val="en-US"/>
        </w:rPr>
        <w:t>brandūs</w:t>
      </w:r>
      <w:proofErr w:type="spellEnd"/>
      <w:r w:rsidRPr="00BC6E73">
        <w:rPr>
          <w:lang w:val="en-US"/>
        </w:rPr>
        <w:t xml:space="preserve">, </w:t>
      </w:r>
      <w:proofErr w:type="spellStart"/>
      <w:r w:rsidRPr="00BC6E73">
        <w:rPr>
          <w:lang w:val="en-US"/>
        </w:rPr>
        <w:t>tikroji</w:t>
      </w:r>
      <w:proofErr w:type="spellEnd"/>
      <w:r w:rsidRPr="00BC6E73">
        <w:rPr>
          <w:lang w:val="en-US"/>
        </w:rPr>
        <w:t xml:space="preserve"> </w:t>
      </w:r>
      <w:proofErr w:type="spellStart"/>
      <w:r w:rsidRPr="00BC6E73">
        <w:rPr>
          <w:lang w:val="en-US"/>
        </w:rPr>
        <w:t>sacituzumabo</w:t>
      </w:r>
      <w:proofErr w:type="spellEnd"/>
      <w:r w:rsidRPr="00BC6E73">
        <w:rPr>
          <w:lang w:val="en-US"/>
        </w:rPr>
        <w:t xml:space="preserve"> </w:t>
      </w:r>
      <w:proofErr w:type="spellStart"/>
      <w:r w:rsidRPr="00BC6E73">
        <w:rPr>
          <w:lang w:val="en-US"/>
        </w:rPr>
        <w:t>govitekano</w:t>
      </w:r>
      <w:proofErr w:type="spellEnd"/>
      <w:r w:rsidRPr="00BC6E73">
        <w:rPr>
          <w:lang w:val="en-US"/>
        </w:rPr>
        <w:t xml:space="preserve"> </w:t>
      </w:r>
      <w:proofErr w:type="spellStart"/>
      <w:r w:rsidRPr="00BC6E73">
        <w:rPr>
          <w:lang w:val="en-US"/>
        </w:rPr>
        <w:t>sveikatai</w:t>
      </w:r>
      <w:proofErr w:type="spellEnd"/>
      <w:r w:rsidRPr="00BC6E73">
        <w:rPr>
          <w:lang w:val="en-US"/>
        </w:rPr>
        <w:t xml:space="preserve"> </w:t>
      </w:r>
      <w:proofErr w:type="spellStart"/>
      <w:r w:rsidRPr="00BC6E73">
        <w:rPr>
          <w:lang w:val="en-US"/>
        </w:rPr>
        <w:t>sukuriama</w:t>
      </w:r>
      <w:proofErr w:type="spellEnd"/>
      <w:r w:rsidRPr="00BC6E73">
        <w:rPr>
          <w:lang w:val="en-US"/>
        </w:rPr>
        <w:t xml:space="preserve"> </w:t>
      </w:r>
      <w:proofErr w:type="spellStart"/>
      <w:r w:rsidRPr="00BC6E73">
        <w:rPr>
          <w:lang w:val="en-US"/>
        </w:rPr>
        <w:t>nauda</w:t>
      </w:r>
      <w:proofErr w:type="spellEnd"/>
      <w:r w:rsidRPr="00BC6E73">
        <w:rPr>
          <w:lang w:val="en-US"/>
        </w:rPr>
        <w:t xml:space="preserve"> </w:t>
      </w:r>
      <w:proofErr w:type="spellStart"/>
      <w:r w:rsidRPr="00BC6E73">
        <w:rPr>
          <w:lang w:val="en-US"/>
        </w:rPr>
        <w:t>nėra</w:t>
      </w:r>
      <w:proofErr w:type="spellEnd"/>
      <w:r w:rsidRPr="00BC6E73">
        <w:rPr>
          <w:lang w:val="en-US"/>
        </w:rPr>
        <w:t xml:space="preserve"> </w:t>
      </w:r>
      <w:proofErr w:type="spellStart"/>
      <w:r w:rsidRPr="00BC6E73">
        <w:rPr>
          <w:lang w:val="en-US"/>
        </w:rPr>
        <w:t>aiški</w:t>
      </w:r>
      <w:proofErr w:type="spellEnd"/>
      <w:r w:rsidRPr="00BC6E73">
        <w:rPr>
          <w:lang w:val="en-US"/>
        </w:rPr>
        <w:t xml:space="preserve">: ASCENT </w:t>
      </w:r>
      <w:proofErr w:type="spellStart"/>
      <w:r w:rsidRPr="00BC6E73">
        <w:rPr>
          <w:lang w:val="en-US"/>
        </w:rPr>
        <w:t>klinikinio</w:t>
      </w:r>
      <w:proofErr w:type="spellEnd"/>
      <w:r w:rsidRPr="00BC6E73">
        <w:rPr>
          <w:lang w:val="en-US"/>
        </w:rPr>
        <w:t xml:space="preserve"> </w:t>
      </w:r>
      <w:proofErr w:type="spellStart"/>
      <w:r w:rsidRPr="00BC6E73">
        <w:rPr>
          <w:lang w:val="en-US"/>
        </w:rPr>
        <w:t>tyrimo</w:t>
      </w:r>
      <w:proofErr w:type="spellEnd"/>
      <w:r w:rsidRPr="00BC6E73">
        <w:rPr>
          <w:lang w:val="en-US"/>
        </w:rPr>
        <w:t xml:space="preserve"> </w:t>
      </w:r>
      <w:proofErr w:type="spellStart"/>
      <w:r w:rsidRPr="00BC6E73">
        <w:rPr>
          <w:lang w:val="en-US"/>
        </w:rPr>
        <w:t>stebėjimo</w:t>
      </w:r>
      <w:proofErr w:type="spellEnd"/>
      <w:r w:rsidRPr="00BC6E73">
        <w:rPr>
          <w:lang w:val="en-US"/>
        </w:rPr>
        <w:t xml:space="preserve"> </w:t>
      </w:r>
      <w:proofErr w:type="spellStart"/>
      <w:r w:rsidRPr="00BC6E73">
        <w:rPr>
          <w:lang w:val="en-US"/>
        </w:rPr>
        <w:t>pabaigoje</w:t>
      </w:r>
      <w:proofErr w:type="spellEnd"/>
      <w:r w:rsidRPr="00BC6E73">
        <w:rPr>
          <w:lang w:val="en-US"/>
        </w:rPr>
        <w:t xml:space="preserve"> </w:t>
      </w:r>
      <w:proofErr w:type="spellStart"/>
      <w:r w:rsidRPr="00BC6E73">
        <w:rPr>
          <w:lang w:val="en-US"/>
        </w:rPr>
        <w:t>gyvų</w:t>
      </w:r>
      <w:proofErr w:type="spellEnd"/>
      <w:r w:rsidRPr="00BC6E73">
        <w:rPr>
          <w:lang w:val="en-US"/>
        </w:rPr>
        <w:t xml:space="preserve"> </w:t>
      </w:r>
      <w:proofErr w:type="spellStart"/>
      <w:r w:rsidRPr="00BC6E73">
        <w:rPr>
          <w:lang w:val="en-US"/>
        </w:rPr>
        <w:t>pacientų</w:t>
      </w:r>
      <w:proofErr w:type="spellEnd"/>
      <w:r w:rsidRPr="00BC6E73">
        <w:rPr>
          <w:lang w:val="en-US"/>
        </w:rPr>
        <w:t xml:space="preserve"> (</w:t>
      </w:r>
      <w:proofErr w:type="spellStart"/>
      <w:r w:rsidRPr="00BC6E73">
        <w:rPr>
          <w:lang w:val="en-US"/>
        </w:rPr>
        <w:t>esančių</w:t>
      </w:r>
      <w:proofErr w:type="spellEnd"/>
      <w:r w:rsidRPr="00BC6E73">
        <w:rPr>
          <w:lang w:val="en-US"/>
        </w:rPr>
        <w:t xml:space="preserve"> </w:t>
      </w:r>
      <w:proofErr w:type="spellStart"/>
      <w:r w:rsidRPr="00BC6E73">
        <w:rPr>
          <w:lang w:val="en-US"/>
        </w:rPr>
        <w:t>rizikoje</w:t>
      </w:r>
      <w:proofErr w:type="spellEnd"/>
      <w:r w:rsidRPr="00BC6E73">
        <w:rPr>
          <w:lang w:val="en-US"/>
        </w:rPr>
        <w:t xml:space="preserve">) </w:t>
      </w:r>
      <w:proofErr w:type="spellStart"/>
      <w:r w:rsidRPr="00BC6E73">
        <w:rPr>
          <w:lang w:val="en-US"/>
        </w:rPr>
        <w:t>dalis</w:t>
      </w:r>
      <w:proofErr w:type="spellEnd"/>
      <w:r w:rsidRPr="00BC6E73">
        <w:rPr>
          <w:lang w:val="en-US"/>
        </w:rPr>
        <w:t xml:space="preserve"> </w:t>
      </w:r>
      <w:proofErr w:type="spellStart"/>
      <w:r w:rsidRPr="00BC6E73">
        <w:rPr>
          <w:lang w:val="en-US"/>
        </w:rPr>
        <w:t>liko</w:t>
      </w:r>
      <w:proofErr w:type="spellEnd"/>
      <w:r w:rsidRPr="00BC6E73">
        <w:rPr>
          <w:lang w:val="en-US"/>
        </w:rPr>
        <w:t xml:space="preserve"> </w:t>
      </w:r>
      <w:proofErr w:type="spellStart"/>
      <w:r w:rsidRPr="00BC6E73">
        <w:rPr>
          <w:lang w:val="en-US"/>
        </w:rPr>
        <w:t>maža</w:t>
      </w:r>
      <w:proofErr w:type="spellEnd"/>
      <w:r w:rsidRPr="00BC6E73">
        <w:rPr>
          <w:lang w:val="en-US"/>
        </w:rPr>
        <w:t xml:space="preserve"> </w:t>
      </w:r>
      <w:proofErr w:type="spellStart"/>
      <w:r w:rsidRPr="00BC6E73">
        <w:rPr>
          <w:lang w:val="en-US"/>
        </w:rPr>
        <w:t>ir</w:t>
      </w:r>
      <w:proofErr w:type="spellEnd"/>
      <w:r w:rsidRPr="00BC6E73">
        <w:rPr>
          <w:lang w:val="en-US"/>
        </w:rPr>
        <w:t xml:space="preserve"> </w:t>
      </w:r>
      <w:proofErr w:type="spellStart"/>
      <w:r w:rsidRPr="00BC6E73">
        <w:rPr>
          <w:lang w:val="en-US"/>
        </w:rPr>
        <w:t>didelė</w:t>
      </w:r>
      <w:proofErr w:type="spellEnd"/>
      <w:r w:rsidRPr="00BC6E73">
        <w:rPr>
          <w:lang w:val="en-US"/>
        </w:rPr>
        <w:t xml:space="preserve"> </w:t>
      </w:r>
      <w:proofErr w:type="spellStart"/>
      <w:r w:rsidRPr="00BC6E73">
        <w:rPr>
          <w:lang w:val="en-US"/>
        </w:rPr>
        <w:t>dalis</w:t>
      </w:r>
      <w:proofErr w:type="spellEnd"/>
      <w:r w:rsidRPr="00BC6E73">
        <w:rPr>
          <w:lang w:val="en-US"/>
        </w:rPr>
        <w:t xml:space="preserve"> </w:t>
      </w:r>
      <w:proofErr w:type="spellStart"/>
      <w:r w:rsidRPr="00BC6E73">
        <w:rPr>
          <w:lang w:val="en-US"/>
        </w:rPr>
        <w:t>cenz</w:t>
      </w:r>
      <w:r w:rsidRPr="00530495">
        <w:t>ūruota</w:t>
      </w:r>
      <w:proofErr w:type="spellEnd"/>
      <w:r w:rsidRPr="00530495">
        <w:t xml:space="preserve"> (33 proc. - SG, 21,4 proc. - GPVP).</w:t>
      </w:r>
      <w:r>
        <w:t xml:space="preserve"> </w:t>
      </w:r>
      <w:r w:rsidRPr="00FA541F">
        <w:t xml:space="preserve">Tarnyba vertina, kad tikrasis SG gydymo efektas vertinant ilguoju laikotarpiu nėra aiškus ir atsižvelgiant į Kanados STV agentūros (CADTH) klinikinių ekspertų vertinimą, modeliuojami rezultatai tikėtini iki  3 metų, vėliau lemia optimistiškesnius rezultatus (sveikatai sukuriama nauda pervertinama). Atitinkamai Tarnyba kreipėsi į Pareiškėją prašant ilguoju laikotarpiu (5 m, 10 m.) taikomas prielaidas duomenų ekstrapoliacijai ir tikėtinus klinikinius rezultatus </w:t>
      </w:r>
      <w:proofErr w:type="spellStart"/>
      <w:r w:rsidRPr="00FA541F">
        <w:t>validuoti</w:t>
      </w:r>
      <w:proofErr w:type="spellEnd"/>
      <w:r w:rsidRPr="00FA541F">
        <w:t xml:space="preserve"> išorės literatūros duomenimis.</w:t>
      </w:r>
      <w:r w:rsidRPr="00BC6E73">
        <w:rPr>
          <w:rFonts w:eastAsia="Arial"/>
        </w:rPr>
        <w:t xml:space="preserve"> </w:t>
      </w:r>
      <w:r w:rsidRPr="00530495">
        <w:t xml:space="preserve">Pareiškėjas </w:t>
      </w:r>
      <w:r>
        <w:t xml:space="preserve">atitinkamai </w:t>
      </w:r>
      <w:r w:rsidRPr="00530495">
        <w:t xml:space="preserve">pateikė </w:t>
      </w:r>
      <w:r>
        <w:t>šaltinius</w:t>
      </w:r>
      <w:r w:rsidRPr="00530495">
        <w:t xml:space="preserve"> dėl klinikinių duomenų (IBLP, BI, gydymo trukmės) </w:t>
      </w:r>
      <w:proofErr w:type="spellStart"/>
      <w:r w:rsidRPr="00530495">
        <w:t>ekstrapoliavimo</w:t>
      </w:r>
      <w:proofErr w:type="spellEnd"/>
      <w:r w:rsidRPr="00530495">
        <w:t xml:space="preserve"> prielaidų taikomų po klinikinio tyrimo pabaigos</w:t>
      </w:r>
      <w:r>
        <w:t xml:space="preserve">, KNA atnaujinta įtraukiant BI ir gydymo trukmės ASCENT klinikinio tyrimo 2021 m. lapkričio </w:t>
      </w:r>
      <w:proofErr w:type="spellStart"/>
      <w:r>
        <w:t>mėn.pjūvio</w:t>
      </w:r>
      <w:proofErr w:type="spellEnd"/>
      <w:r>
        <w:t xml:space="preserve"> duomenimis</w:t>
      </w:r>
      <w:r w:rsidRPr="00530495">
        <w:t>.</w:t>
      </w:r>
      <w:r w:rsidRPr="00E723A0">
        <w:t xml:space="preserve"> </w:t>
      </w:r>
      <w:r>
        <w:t xml:space="preserve">Įprastinėje atvejo analizėje </w:t>
      </w:r>
      <w:r w:rsidRPr="00012EDE">
        <w:t xml:space="preserve">BI duomenų modeliavimui </w:t>
      </w:r>
      <w:r>
        <w:t>taikomos</w:t>
      </w:r>
      <w:r w:rsidRPr="00012EDE">
        <w:t xml:space="preserve"> </w:t>
      </w:r>
      <w:proofErr w:type="spellStart"/>
      <w:r>
        <w:t>log-</w:t>
      </w:r>
      <w:r w:rsidRPr="00012EDE">
        <w:t>logistic</w:t>
      </w:r>
      <w:proofErr w:type="spellEnd"/>
      <w:r w:rsidRPr="00012EDE">
        <w:t xml:space="preserve"> </w:t>
      </w:r>
      <w:r>
        <w:t>parametrinės funkcijo</w:t>
      </w:r>
      <w:r w:rsidRPr="00012EDE">
        <w:t>s– tinkamiausia atitiktis pagal AIC/BIC inform</w:t>
      </w:r>
      <w:r>
        <w:t xml:space="preserve">acinius kriterijus, </w:t>
      </w:r>
      <w:r w:rsidRPr="00012EDE">
        <w:t xml:space="preserve">išorės duomenų </w:t>
      </w:r>
      <w:proofErr w:type="spellStart"/>
      <w:r w:rsidRPr="00012EDE">
        <w:t>validavimą</w:t>
      </w:r>
      <w:proofErr w:type="spellEnd"/>
      <w:r w:rsidRPr="00012EDE">
        <w:t xml:space="preserve"> ir modeliuojamų parametrinių</w:t>
      </w:r>
      <w:r>
        <w:t xml:space="preserve"> kreivių atitiktį KM kreivėms; gydymo trukmės – </w:t>
      </w:r>
      <w:proofErr w:type="spellStart"/>
      <w:r>
        <w:t>exponential</w:t>
      </w:r>
      <w:proofErr w:type="spellEnd"/>
      <w:r>
        <w:t>.</w:t>
      </w:r>
    </w:p>
    <w:p w14:paraId="6E4EBE66" w14:textId="6EDA2D9A" w:rsidR="00BC6E73" w:rsidRDefault="00BC6E73" w:rsidP="00BC6E73">
      <w:pPr>
        <w:spacing w:line="276" w:lineRule="auto"/>
        <w:ind w:firstLine="630"/>
        <w:jc w:val="both"/>
      </w:pPr>
      <w:r>
        <w:t xml:space="preserve">Apibendrinant ekonominės analizės rezultatus, daugiausiai ekonominės analizės rezultatui įtakos turėjo prielaidos dėl: 1) BI duomenų ekstrapoliacijai taikomo modeliavimo; 2) gyvenimo kokybės koeficientų taikymo: </w:t>
      </w:r>
      <w:r w:rsidRPr="00530495">
        <w:t>Pareiškėjas ekonominėje analizėje, remiantis ASCENT klinikinio tyrimo duomenimis, taiko prielaidą, kad gyvenimo kokybės įverčiams reikšmingos įtakos turi taikomas gydymas. Įprastinėje atvejo analizėje Pareiškėjas taiko gyvenimo kokybės koeficientus pagal sveikatos būkles ir taikomą gydymą sveikatos būklėje be ligos progreso (</w:t>
      </w:r>
      <w:proofErr w:type="spellStart"/>
      <w:r w:rsidRPr="00530495">
        <w:t>sacituzumabas</w:t>
      </w:r>
      <w:proofErr w:type="spellEnd"/>
      <w:r w:rsidRPr="00530495">
        <w:t xml:space="preserve"> </w:t>
      </w:r>
      <w:proofErr w:type="spellStart"/>
      <w:r w:rsidRPr="00530495">
        <w:t>govitekanas</w:t>
      </w:r>
      <w:proofErr w:type="spellEnd"/>
      <w:r w:rsidRPr="00530495">
        <w:t xml:space="preserve"> –</w:t>
      </w:r>
      <w:r w:rsidR="00930A73" w:rsidRPr="00930A73">
        <w:t>**************</w:t>
      </w:r>
      <w:r w:rsidRPr="00930A73">
        <w:t xml:space="preserve">- </w:t>
      </w:r>
      <w:r w:rsidRPr="00530495">
        <w:t xml:space="preserve">ligai progresavus). Pareiškėjui pateikus atsakymus, </w:t>
      </w:r>
      <w:r w:rsidRPr="00BC6E73">
        <w:rPr>
          <w:rFonts w:eastAsia="Arial"/>
          <w:bCs/>
        </w:rPr>
        <w:t xml:space="preserve">Tarnyba vertina, kad gyvenimo kokybės koeficientų specifiškų gydymui taikymas ekonominėje analizėje nėra pagrįstas. Pagal pateiktus klinikinius duomenis nėra stebima nei statistiškai nei kliniškai reikšmingo gyvenimo kokybės skirtumo priklausomai nuo taikomo gydymo, todėl Tarnyba vertina, kad nėra tikslinga išskirti gyvenimo kokybės koeficientų priklausomai nuo taikomo gydymo ir  </w:t>
      </w:r>
      <w:r w:rsidRPr="00530495">
        <w:t>sveikatos būklėje be ligos progreso</w:t>
      </w:r>
      <w:r w:rsidRPr="00BC6E73">
        <w:rPr>
          <w:rFonts w:eastAsia="Arial"/>
          <w:bCs/>
          <w:color w:val="FF0000"/>
        </w:rPr>
        <w:t xml:space="preserve"> </w:t>
      </w:r>
      <w:r w:rsidRPr="00530495">
        <w:t>taiko tuos pačius gyvenimo kokybės koeficientus (</w:t>
      </w:r>
      <w:r w:rsidR="00930A73" w:rsidRPr="00930A73">
        <w:t>***</w:t>
      </w:r>
      <w:r w:rsidRPr="00530495">
        <w:t xml:space="preserve">). Atitinkamai, taikant gyvenimo kokybės koeficientus priklausomai nuo ligos progreso, Tarnyba ekonominėje analizėje įtraukia </w:t>
      </w:r>
      <w:r w:rsidRPr="00BC6E73">
        <w:rPr>
          <w:rFonts w:eastAsia="Arial"/>
          <w:bCs/>
        </w:rPr>
        <w:t xml:space="preserve">su gydymu susijusius gyvenimo kokybės praradimus dėl nepageidaujamo poveikio (angl. </w:t>
      </w:r>
      <w:proofErr w:type="spellStart"/>
      <w:r w:rsidRPr="00BC6E73">
        <w:rPr>
          <w:rFonts w:eastAsia="Arial"/>
          <w:bCs/>
        </w:rPr>
        <w:t>disutilities</w:t>
      </w:r>
      <w:proofErr w:type="spellEnd"/>
      <w:r w:rsidRPr="00BC6E73">
        <w:rPr>
          <w:rFonts w:eastAsia="Arial"/>
          <w:bCs/>
        </w:rPr>
        <w:t xml:space="preserve">); 3) dozės intensyvumo koeficientas: </w:t>
      </w:r>
      <w:r w:rsidRPr="00530495">
        <w:t xml:space="preserve">Pareiškėjas atnaujindamas duomenis pakeitė modelyje taikomą santykinį dozės intensyvumo rodiklį (angl. </w:t>
      </w:r>
      <w:proofErr w:type="spellStart"/>
      <w:r w:rsidRPr="00530495">
        <w:t>relative</w:t>
      </w:r>
      <w:proofErr w:type="spellEnd"/>
      <w:r w:rsidRPr="00530495">
        <w:t xml:space="preserve"> </w:t>
      </w:r>
      <w:proofErr w:type="spellStart"/>
      <w:r w:rsidRPr="00530495">
        <w:t>dose</w:t>
      </w:r>
      <w:proofErr w:type="spellEnd"/>
      <w:r w:rsidRPr="00530495">
        <w:t xml:space="preserve"> </w:t>
      </w:r>
      <w:proofErr w:type="spellStart"/>
      <w:r w:rsidRPr="00530495">
        <w:t>intensity</w:t>
      </w:r>
      <w:proofErr w:type="spellEnd"/>
      <w:r w:rsidRPr="00530495">
        <w:t>,</w:t>
      </w:r>
      <w:r w:rsidR="00930A73">
        <w:t xml:space="preserve"> *******************************</w:t>
      </w:r>
      <w:r w:rsidRPr="00CB309B">
        <w:rPr>
          <w:bCs/>
          <w:snapToGrid w:val="0"/>
          <w:u w:val="single"/>
        </w:rPr>
        <w:t>))</w:t>
      </w:r>
      <w:r w:rsidRPr="00530495">
        <w:t>, tačiau atsižvelgiant, kad nėra</w:t>
      </w:r>
      <w:r>
        <w:t xml:space="preserve"> duomenų pagrindžiančių</w:t>
      </w:r>
      <w:r w:rsidRPr="00530495">
        <w:t xml:space="preserve"> </w:t>
      </w:r>
      <w:r>
        <w:t>vaisto suvartojimą</w:t>
      </w:r>
      <w:r w:rsidRPr="00530495">
        <w:t xml:space="preserve"> </w:t>
      </w:r>
      <w:r>
        <w:t>Lietuvos klinikinėje praktikoje</w:t>
      </w:r>
      <w:r w:rsidRPr="00530495">
        <w:t xml:space="preserve">, įprastinėje atvejo analizėje </w:t>
      </w:r>
      <w:r>
        <w:t>Tarnyba taiko konservatyviausią scenarijų</w:t>
      </w:r>
      <w:r w:rsidRPr="00530495">
        <w:t xml:space="preserve"> pagal VPCS ir RDI – 100 proc.</w:t>
      </w:r>
      <w:r>
        <w:t xml:space="preserve"> </w:t>
      </w:r>
    </w:p>
    <w:p w14:paraId="34964BBC" w14:textId="559196CE" w:rsidR="00BC6E73" w:rsidRDefault="00BC6E73" w:rsidP="004D2000">
      <w:pPr>
        <w:spacing w:line="276" w:lineRule="auto"/>
        <w:jc w:val="center"/>
      </w:pPr>
    </w:p>
    <w:p w14:paraId="3874AA02" w14:textId="566682E7" w:rsidR="004D2000" w:rsidRPr="000203E1" w:rsidRDefault="004D2000" w:rsidP="004D2000">
      <w:pPr>
        <w:tabs>
          <w:tab w:val="left" w:pos="426"/>
        </w:tabs>
        <w:jc w:val="center"/>
        <w:rPr>
          <w:b/>
          <w:lang w:eastAsia="lt-LT"/>
        </w:rPr>
      </w:pPr>
      <w:r w:rsidRPr="000203E1">
        <w:rPr>
          <w:b/>
          <w:lang w:eastAsia="lt-LT"/>
        </w:rPr>
        <w:t>Ekonominės analizės rezultatas</w:t>
      </w:r>
    </w:p>
    <w:p w14:paraId="6EAAE079" w14:textId="77777777" w:rsidR="004D2000" w:rsidRPr="000203E1" w:rsidRDefault="004D2000" w:rsidP="004D2000">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4D2000" w:rsidRPr="000203E1" w14:paraId="3B3287AE" w14:textId="77777777" w:rsidTr="00321E73">
        <w:trPr>
          <w:trHeight w:val="344"/>
          <w:jc w:val="center"/>
        </w:trPr>
        <w:tc>
          <w:tcPr>
            <w:tcW w:w="9439" w:type="dxa"/>
            <w:gridSpan w:val="2"/>
            <w:tcBorders>
              <w:top w:val="single" w:sz="12" w:space="0" w:color="auto"/>
              <w:left w:val="single" w:sz="4" w:space="0" w:color="auto"/>
              <w:right w:val="single" w:sz="4" w:space="0" w:color="auto"/>
            </w:tcBorders>
            <w:vAlign w:val="center"/>
          </w:tcPr>
          <w:p w14:paraId="2C726251" w14:textId="77777777" w:rsidR="004D2000" w:rsidRPr="000203E1" w:rsidRDefault="004D2000" w:rsidP="00321E73">
            <w:pPr>
              <w:tabs>
                <w:tab w:val="left" w:pos="567"/>
              </w:tabs>
              <w:jc w:val="center"/>
              <w:rPr>
                <w:b/>
                <w:bCs/>
                <w:sz w:val="26"/>
                <w:szCs w:val="26"/>
                <w:lang w:eastAsia="lt-LT"/>
              </w:rPr>
            </w:pPr>
            <w:r w:rsidRPr="000203E1">
              <w:rPr>
                <w:b/>
                <w:bCs/>
                <w:sz w:val="26"/>
                <w:szCs w:val="26"/>
                <w:lang w:eastAsia="lt-LT"/>
              </w:rPr>
              <w:t>Rezultatai</w:t>
            </w:r>
          </w:p>
        </w:tc>
      </w:tr>
      <w:tr w:rsidR="004D2000" w:rsidRPr="000203E1" w14:paraId="336225C1" w14:textId="77777777" w:rsidTr="00321E73">
        <w:trPr>
          <w:trHeight w:val="267"/>
          <w:jc w:val="center"/>
        </w:trPr>
        <w:tc>
          <w:tcPr>
            <w:tcW w:w="6200" w:type="dxa"/>
            <w:tcBorders>
              <w:left w:val="single" w:sz="4" w:space="0" w:color="auto"/>
            </w:tcBorders>
          </w:tcPr>
          <w:p w14:paraId="1C8BF847" w14:textId="77777777" w:rsidR="004D2000" w:rsidRPr="000203E1" w:rsidRDefault="004D2000" w:rsidP="00321E73">
            <w:pPr>
              <w:tabs>
                <w:tab w:val="left" w:pos="567"/>
              </w:tabs>
              <w:jc w:val="right"/>
              <w:rPr>
                <w:iCs/>
                <w:lang w:eastAsia="lt-LT"/>
              </w:rPr>
            </w:pPr>
            <w:r w:rsidRPr="000203E1">
              <w:rPr>
                <w:iCs/>
                <w:lang w:eastAsia="lt-LT"/>
              </w:rPr>
              <w:t>Kaštų skirtumas</w:t>
            </w:r>
          </w:p>
        </w:tc>
        <w:tc>
          <w:tcPr>
            <w:tcW w:w="3239" w:type="dxa"/>
            <w:tcBorders>
              <w:right w:val="single" w:sz="4" w:space="0" w:color="auto"/>
            </w:tcBorders>
          </w:tcPr>
          <w:p w14:paraId="40C07C02" w14:textId="2B5F2704" w:rsidR="004D2000" w:rsidRPr="00930A73" w:rsidRDefault="00930A73" w:rsidP="00321E73">
            <w:pPr>
              <w:tabs>
                <w:tab w:val="left" w:pos="567"/>
              </w:tabs>
              <w:jc w:val="both"/>
              <w:rPr>
                <w:i/>
                <w:iCs/>
                <w:lang w:val="en-US" w:eastAsia="lt-LT"/>
              </w:rPr>
            </w:pPr>
            <w:r w:rsidRPr="00930A73">
              <w:rPr>
                <w:i/>
                <w:iCs/>
                <w:lang w:val="en-US"/>
              </w:rPr>
              <w:t>*****</w:t>
            </w:r>
          </w:p>
        </w:tc>
      </w:tr>
      <w:tr w:rsidR="004D2000" w:rsidRPr="000203E1" w14:paraId="5422EDC2" w14:textId="77777777" w:rsidTr="00321E73">
        <w:trPr>
          <w:trHeight w:val="267"/>
          <w:jc w:val="center"/>
        </w:trPr>
        <w:tc>
          <w:tcPr>
            <w:tcW w:w="6200" w:type="dxa"/>
            <w:tcBorders>
              <w:left w:val="single" w:sz="4" w:space="0" w:color="auto"/>
            </w:tcBorders>
          </w:tcPr>
          <w:p w14:paraId="574F2C76" w14:textId="77777777" w:rsidR="004D2000" w:rsidRPr="000203E1" w:rsidRDefault="004D2000" w:rsidP="00321E73">
            <w:pPr>
              <w:tabs>
                <w:tab w:val="left" w:pos="567"/>
              </w:tabs>
              <w:jc w:val="right"/>
              <w:rPr>
                <w:iCs/>
                <w:lang w:eastAsia="lt-LT"/>
              </w:rPr>
            </w:pPr>
            <w:r w:rsidRPr="000203E1">
              <w:rPr>
                <w:iCs/>
                <w:lang w:eastAsia="lt-LT"/>
              </w:rPr>
              <w:t>Papildomi kokybiški gyvenimo metai (QALY)</w:t>
            </w:r>
          </w:p>
        </w:tc>
        <w:tc>
          <w:tcPr>
            <w:tcW w:w="3239" w:type="dxa"/>
            <w:tcBorders>
              <w:right w:val="single" w:sz="4" w:space="0" w:color="auto"/>
            </w:tcBorders>
          </w:tcPr>
          <w:p w14:paraId="1369926C" w14:textId="3A99BF26" w:rsidR="004D2000" w:rsidRPr="00930A73" w:rsidRDefault="00930A73" w:rsidP="00321E73">
            <w:pPr>
              <w:tabs>
                <w:tab w:val="left" w:pos="567"/>
              </w:tabs>
              <w:jc w:val="both"/>
              <w:rPr>
                <w:b/>
                <w:i/>
                <w:iCs/>
                <w:lang w:eastAsia="lt-LT"/>
              </w:rPr>
            </w:pPr>
            <w:r w:rsidRPr="00930A73">
              <w:rPr>
                <w:b/>
                <w:color w:val="000000"/>
              </w:rPr>
              <w:t>*****</w:t>
            </w:r>
          </w:p>
        </w:tc>
      </w:tr>
      <w:tr w:rsidR="004D2000" w:rsidRPr="000203E1" w14:paraId="13F86DFF" w14:textId="77777777" w:rsidTr="00321E73">
        <w:trPr>
          <w:trHeight w:val="267"/>
          <w:jc w:val="center"/>
        </w:trPr>
        <w:tc>
          <w:tcPr>
            <w:tcW w:w="6200" w:type="dxa"/>
            <w:tcBorders>
              <w:left w:val="single" w:sz="4" w:space="0" w:color="auto"/>
            </w:tcBorders>
          </w:tcPr>
          <w:p w14:paraId="5B0811FA" w14:textId="77777777" w:rsidR="004D2000" w:rsidRPr="002C36F1" w:rsidRDefault="004D2000" w:rsidP="004D2000">
            <w:pPr>
              <w:tabs>
                <w:tab w:val="left" w:pos="567"/>
              </w:tabs>
              <w:jc w:val="right"/>
              <w:rPr>
                <w:b/>
                <w:iCs/>
                <w:lang w:eastAsia="lt-LT"/>
              </w:rPr>
            </w:pPr>
            <w:r w:rsidRPr="002C36F1">
              <w:rPr>
                <w:b/>
                <w:iCs/>
                <w:lang w:eastAsia="lt-LT"/>
              </w:rPr>
              <w:t>ICER už QALY</w:t>
            </w:r>
          </w:p>
        </w:tc>
        <w:tc>
          <w:tcPr>
            <w:tcW w:w="3239" w:type="dxa"/>
            <w:tcBorders>
              <w:right w:val="single" w:sz="4" w:space="0" w:color="auto"/>
            </w:tcBorders>
          </w:tcPr>
          <w:p w14:paraId="5FA6903D" w14:textId="2C018FA5" w:rsidR="004D2000" w:rsidRPr="00930A73" w:rsidRDefault="00930A73" w:rsidP="004D2000">
            <w:pPr>
              <w:tabs>
                <w:tab w:val="left" w:pos="567"/>
              </w:tabs>
              <w:jc w:val="both"/>
              <w:rPr>
                <w:i/>
                <w:iCs/>
                <w:lang w:eastAsia="lt-LT"/>
              </w:rPr>
            </w:pPr>
            <w:r w:rsidRPr="00930A73">
              <w:rPr>
                <w:b/>
                <w:bCs/>
                <w:color w:val="000000"/>
              </w:rPr>
              <w:t>*****</w:t>
            </w:r>
          </w:p>
        </w:tc>
      </w:tr>
      <w:tr w:rsidR="004D2000" w:rsidRPr="000203E1" w14:paraId="01408830" w14:textId="77777777" w:rsidTr="004D2000">
        <w:trPr>
          <w:trHeight w:val="267"/>
          <w:jc w:val="center"/>
        </w:trPr>
        <w:tc>
          <w:tcPr>
            <w:tcW w:w="6200" w:type="dxa"/>
            <w:tcBorders>
              <w:left w:val="single" w:sz="4" w:space="0" w:color="auto"/>
              <w:bottom w:val="single" w:sz="4" w:space="0" w:color="auto"/>
              <w:right w:val="single" w:sz="4" w:space="0" w:color="auto"/>
            </w:tcBorders>
            <w:shd w:val="clear" w:color="auto" w:fill="auto"/>
          </w:tcPr>
          <w:p w14:paraId="3CA09073" w14:textId="77777777" w:rsidR="004D2000" w:rsidRPr="004D2000" w:rsidRDefault="004D2000" w:rsidP="004D2000">
            <w:pPr>
              <w:tabs>
                <w:tab w:val="left" w:pos="567"/>
              </w:tabs>
              <w:jc w:val="right"/>
              <w:rPr>
                <w:b/>
                <w:i/>
                <w:iCs/>
                <w:lang w:eastAsia="lt-LT"/>
              </w:rPr>
            </w:pPr>
            <w:r w:rsidRPr="004D2000">
              <w:rPr>
                <w:b/>
                <w:i/>
                <w:iCs/>
                <w:lang w:eastAsia="lt-LT"/>
              </w:rPr>
              <w:t>Referentinė kaštų naudingumo vertė</w:t>
            </w:r>
          </w:p>
        </w:tc>
        <w:tc>
          <w:tcPr>
            <w:tcW w:w="3239" w:type="dxa"/>
            <w:tcBorders>
              <w:left w:val="single" w:sz="4" w:space="0" w:color="auto"/>
              <w:bottom w:val="single" w:sz="4" w:space="0" w:color="auto"/>
              <w:right w:val="single" w:sz="4" w:space="0" w:color="auto"/>
            </w:tcBorders>
            <w:shd w:val="clear" w:color="auto" w:fill="auto"/>
          </w:tcPr>
          <w:p w14:paraId="76D26A2F" w14:textId="629CA432" w:rsidR="004D2000" w:rsidRPr="00930A73" w:rsidRDefault="00930A73" w:rsidP="004D2000">
            <w:pPr>
              <w:tabs>
                <w:tab w:val="left" w:pos="567"/>
              </w:tabs>
              <w:jc w:val="both"/>
              <w:rPr>
                <w:i/>
                <w:iCs/>
                <w:lang w:eastAsia="lt-LT"/>
              </w:rPr>
            </w:pPr>
            <w:r w:rsidRPr="00930A73">
              <w:rPr>
                <w:b/>
              </w:rPr>
              <w:t>*****</w:t>
            </w:r>
          </w:p>
        </w:tc>
      </w:tr>
    </w:tbl>
    <w:p w14:paraId="23B53756" w14:textId="77777777" w:rsidR="004D2000" w:rsidRPr="000203E1" w:rsidRDefault="004D2000" w:rsidP="004D2000">
      <w:pPr>
        <w:tabs>
          <w:tab w:val="left" w:pos="567"/>
        </w:tabs>
        <w:jc w:val="both"/>
        <w:rPr>
          <w:iCs/>
          <w:sz w:val="20"/>
          <w:lang w:eastAsia="lt-LT"/>
        </w:rPr>
      </w:pPr>
      <w:r w:rsidRPr="000203E1">
        <w:rPr>
          <w:iCs/>
          <w:sz w:val="20"/>
          <w:lang w:eastAsia="lt-LT"/>
        </w:rPr>
        <w:t>ICER – (</w:t>
      </w:r>
      <w:r w:rsidRPr="000203E1">
        <w:rPr>
          <w:i/>
          <w:sz w:val="20"/>
          <w:lang w:eastAsia="lt-LT"/>
        </w:rPr>
        <w:t xml:space="preserve">angl. </w:t>
      </w:r>
      <w:proofErr w:type="spellStart"/>
      <w:r w:rsidRPr="000203E1">
        <w:rPr>
          <w:i/>
          <w:sz w:val="20"/>
          <w:lang w:eastAsia="lt-LT"/>
        </w:rPr>
        <w:t>incremental</w:t>
      </w:r>
      <w:proofErr w:type="spellEnd"/>
      <w:r w:rsidRPr="000203E1">
        <w:rPr>
          <w:i/>
          <w:sz w:val="20"/>
          <w:lang w:eastAsia="lt-LT"/>
        </w:rPr>
        <w:t xml:space="preserve"> </w:t>
      </w:r>
      <w:proofErr w:type="spellStart"/>
      <w:r w:rsidRPr="000203E1">
        <w:rPr>
          <w:i/>
          <w:sz w:val="20"/>
          <w:lang w:eastAsia="lt-LT"/>
        </w:rPr>
        <w:t>cost-effectiveness</w:t>
      </w:r>
      <w:proofErr w:type="spellEnd"/>
      <w:r w:rsidRPr="000203E1">
        <w:rPr>
          <w:i/>
          <w:sz w:val="20"/>
          <w:lang w:eastAsia="lt-LT"/>
        </w:rPr>
        <w:t xml:space="preserve"> </w:t>
      </w:r>
      <w:proofErr w:type="spellStart"/>
      <w:r w:rsidRPr="000203E1">
        <w:rPr>
          <w:i/>
          <w:sz w:val="20"/>
          <w:lang w:eastAsia="lt-LT"/>
        </w:rPr>
        <w:t>ratio</w:t>
      </w:r>
      <w:proofErr w:type="spellEnd"/>
      <w:r w:rsidRPr="000203E1">
        <w:rPr>
          <w:iCs/>
          <w:sz w:val="20"/>
          <w:lang w:eastAsia="lt-LT"/>
        </w:rPr>
        <w:t xml:space="preserve">) </w:t>
      </w:r>
      <w:proofErr w:type="spellStart"/>
      <w:r w:rsidRPr="000203E1">
        <w:rPr>
          <w:iCs/>
          <w:sz w:val="20"/>
          <w:lang w:eastAsia="lt-LT"/>
        </w:rPr>
        <w:t>inkrementinis</w:t>
      </w:r>
      <w:proofErr w:type="spellEnd"/>
      <w:r w:rsidRPr="000203E1">
        <w:rPr>
          <w:iCs/>
          <w:sz w:val="20"/>
          <w:lang w:eastAsia="lt-LT"/>
        </w:rPr>
        <w:t xml:space="preserve"> kaštų naudingumo koeficientas; QALY- (</w:t>
      </w:r>
      <w:r w:rsidRPr="000203E1">
        <w:rPr>
          <w:i/>
          <w:sz w:val="20"/>
          <w:lang w:eastAsia="lt-LT"/>
        </w:rPr>
        <w:t xml:space="preserve">angl. </w:t>
      </w:r>
      <w:proofErr w:type="spellStart"/>
      <w:r w:rsidRPr="000203E1">
        <w:rPr>
          <w:i/>
          <w:sz w:val="20"/>
          <w:lang w:eastAsia="lt-LT"/>
        </w:rPr>
        <w:t>quality</w:t>
      </w:r>
      <w:proofErr w:type="spellEnd"/>
      <w:r w:rsidRPr="000203E1">
        <w:rPr>
          <w:i/>
          <w:sz w:val="20"/>
          <w:lang w:eastAsia="lt-LT"/>
        </w:rPr>
        <w:t xml:space="preserve"> </w:t>
      </w:r>
      <w:proofErr w:type="spellStart"/>
      <w:r w:rsidRPr="000203E1">
        <w:rPr>
          <w:i/>
          <w:sz w:val="20"/>
          <w:lang w:eastAsia="lt-LT"/>
        </w:rPr>
        <w:t>adjusted</w:t>
      </w:r>
      <w:proofErr w:type="spellEnd"/>
      <w:r w:rsidRPr="000203E1">
        <w:rPr>
          <w:i/>
          <w:sz w:val="20"/>
          <w:lang w:eastAsia="lt-LT"/>
        </w:rPr>
        <w:t xml:space="preserve"> </w:t>
      </w:r>
      <w:proofErr w:type="spellStart"/>
      <w:r w:rsidRPr="000203E1">
        <w:rPr>
          <w:i/>
          <w:sz w:val="20"/>
          <w:lang w:eastAsia="lt-LT"/>
        </w:rPr>
        <w:t>life</w:t>
      </w:r>
      <w:proofErr w:type="spellEnd"/>
      <w:r w:rsidRPr="000203E1">
        <w:rPr>
          <w:i/>
          <w:sz w:val="20"/>
          <w:lang w:eastAsia="lt-LT"/>
        </w:rPr>
        <w:t xml:space="preserve"> </w:t>
      </w:r>
      <w:proofErr w:type="spellStart"/>
      <w:r w:rsidRPr="000203E1">
        <w:rPr>
          <w:i/>
          <w:sz w:val="20"/>
          <w:lang w:eastAsia="lt-LT"/>
        </w:rPr>
        <w:t>years</w:t>
      </w:r>
      <w:proofErr w:type="spellEnd"/>
      <w:r w:rsidRPr="000203E1">
        <w:rPr>
          <w:i/>
          <w:sz w:val="20"/>
          <w:lang w:eastAsia="lt-LT"/>
        </w:rPr>
        <w:t xml:space="preserve">) </w:t>
      </w:r>
      <w:r w:rsidRPr="000203E1">
        <w:rPr>
          <w:iCs/>
          <w:sz w:val="20"/>
          <w:lang w:eastAsia="lt-LT"/>
        </w:rPr>
        <w:t>kokybiški gyvenimo metai.</w:t>
      </w:r>
    </w:p>
    <w:p w14:paraId="762CBCDA" w14:textId="0A8D7C58" w:rsidR="00BC6E73" w:rsidRDefault="00BC6E73" w:rsidP="00BC6E73">
      <w:pPr>
        <w:spacing w:line="276" w:lineRule="auto"/>
        <w:jc w:val="both"/>
      </w:pPr>
    </w:p>
    <w:p w14:paraId="5DEB4657" w14:textId="73CD0986" w:rsidR="00BC6E73" w:rsidRPr="00BC6E73" w:rsidRDefault="00BC6E73" w:rsidP="004D2000">
      <w:pPr>
        <w:spacing w:line="276" w:lineRule="auto"/>
        <w:ind w:firstLine="540"/>
        <w:jc w:val="both"/>
        <w:rPr>
          <w:rFonts w:eastAsiaTheme="minorHAnsi"/>
        </w:rPr>
      </w:pPr>
      <w:r w:rsidRPr="00530495">
        <w:t>Atsižvelgiant, kad pagal pirminius duomenis KNA neatitiko sunkiai ligos naštai taikomos referencinės kaštų naudingumo vertės, Pareiškėjas atnaujino ir pateikė</w:t>
      </w:r>
      <w:r w:rsidRPr="00BC6E73">
        <w:rPr>
          <w:rFonts w:eastAsia="Arial"/>
        </w:rPr>
        <w:t xml:space="preserve">  galutinę </w:t>
      </w:r>
      <w:proofErr w:type="spellStart"/>
      <w:r w:rsidRPr="00BC6E73">
        <w:rPr>
          <w:rFonts w:eastAsia="Arial"/>
        </w:rPr>
        <w:t>sacituzumabo</w:t>
      </w:r>
      <w:proofErr w:type="spellEnd"/>
      <w:r w:rsidRPr="00BC6E73">
        <w:rPr>
          <w:rFonts w:eastAsia="Arial"/>
        </w:rPr>
        <w:t xml:space="preserve"> </w:t>
      </w:r>
      <w:proofErr w:type="spellStart"/>
      <w:r w:rsidRPr="00BC6E73">
        <w:rPr>
          <w:rFonts w:eastAsia="Arial"/>
        </w:rPr>
        <w:t>govitekano</w:t>
      </w:r>
      <w:proofErr w:type="spellEnd"/>
      <w:r w:rsidRPr="00BC6E73">
        <w:rPr>
          <w:rFonts w:eastAsia="Arial"/>
        </w:rPr>
        <w:t xml:space="preserve"> kainą su PGS </w:t>
      </w:r>
      <w:r w:rsidRPr="00BC6E73">
        <w:rPr>
          <w:rFonts w:eastAsia="Arial"/>
          <w:bCs/>
        </w:rPr>
        <w:t>(</w:t>
      </w:r>
      <w:r w:rsidR="00930A73">
        <w:rPr>
          <w:rFonts w:eastAsia="Arial"/>
          <w:bCs/>
        </w:rPr>
        <w:t>*****</w:t>
      </w:r>
      <w:r w:rsidRPr="00930A73">
        <w:t>Eur</w:t>
      </w:r>
      <w:r w:rsidRPr="00530495">
        <w:t>.</w:t>
      </w:r>
      <w:r w:rsidRPr="00BC6E73">
        <w:rPr>
          <w:i/>
        </w:rPr>
        <w:t xml:space="preserve">, </w:t>
      </w:r>
      <w:r w:rsidRPr="00BC6E73">
        <w:rPr>
          <w:rFonts w:eastAsia="Arial"/>
          <w:i/>
        </w:rPr>
        <w:t>milteliai infuzinio tirpalo koncentratui 200 mg, N1</w:t>
      </w:r>
      <w:r w:rsidRPr="00BC6E73">
        <w:rPr>
          <w:rFonts w:eastAsia="Arial"/>
        </w:rPr>
        <w:t xml:space="preserve">), kuri taikoma įprastinėje atvejo analizėje, tačiau galutiniais ekonominės analizės rezultatais, apskaičiuotas </w:t>
      </w:r>
      <w:r w:rsidRPr="00930A73">
        <w:rPr>
          <w:rFonts w:eastAsia="Arial"/>
        </w:rPr>
        <w:t xml:space="preserve">ICER yra </w:t>
      </w:r>
      <w:r w:rsidR="00930A73" w:rsidRPr="00930A73">
        <w:rPr>
          <w:bCs/>
        </w:rPr>
        <w:t>*****</w:t>
      </w:r>
      <w:r w:rsidRPr="00BC6E73">
        <w:rPr>
          <w:bCs/>
        </w:rPr>
        <w:t xml:space="preserve"> Eur./QALY ir neatitinka sunkiai ligos naštai taikomos referencinės kaštų naudingumo vertės (&gt;</w:t>
      </w:r>
      <w:r w:rsidRPr="007A650C">
        <w:t>119011 Eur.).</w:t>
      </w:r>
    </w:p>
    <w:p w14:paraId="512372F2" w14:textId="77777777" w:rsidR="000E4ECE" w:rsidRDefault="000E4ECE" w:rsidP="000E4ECE">
      <w:pPr>
        <w:shd w:val="clear" w:color="auto" w:fill="FFFFFF"/>
        <w:spacing w:line="276" w:lineRule="auto"/>
        <w:rPr>
          <w:rFonts w:eastAsia="Arial"/>
          <w:b/>
        </w:rPr>
      </w:pPr>
    </w:p>
    <w:p w14:paraId="4FC424F9" w14:textId="2D9A92D8" w:rsidR="00C62B36" w:rsidRPr="00F832F8" w:rsidRDefault="00C62B36" w:rsidP="000E4ECE">
      <w:pPr>
        <w:pStyle w:val="Default"/>
        <w:numPr>
          <w:ilvl w:val="0"/>
          <w:numId w:val="12"/>
        </w:numPr>
        <w:spacing w:before="240" w:line="276" w:lineRule="auto"/>
        <w:jc w:val="both"/>
        <w:rPr>
          <w:b/>
          <w:bCs/>
          <w:caps/>
        </w:rPr>
      </w:pPr>
      <w:r w:rsidRPr="00F832F8">
        <w:rPr>
          <w:b/>
          <w:bCs/>
          <w:caps/>
        </w:rPr>
        <w:t xml:space="preserve">Pacientų organizacijų pateikti duomenys </w:t>
      </w:r>
    </w:p>
    <w:p w14:paraId="79BCFF40" w14:textId="015B1CAA" w:rsidR="00937907" w:rsidRPr="00F832F8" w:rsidRDefault="00000000" w:rsidP="00937907">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AD10ED">
            <w:rPr>
              <w:rStyle w:val="Style2"/>
              <w:rFonts w:ascii="MS Gothic" w:eastAsia="MS Gothic" w:hAnsi="MS Gothic" w:hint="eastAsia"/>
            </w:rPr>
            <w:t>☐</w:t>
          </w:r>
        </w:sdtContent>
      </w:sdt>
      <w:r w:rsidR="00937907" w:rsidRPr="00F832F8">
        <w:t xml:space="preserve"> Pacientų organizacijos pozicija pateikta.</w:t>
      </w:r>
    </w:p>
    <w:p w14:paraId="62992180" w14:textId="5930977B" w:rsidR="00937907" w:rsidRPr="00BC6E73" w:rsidRDefault="00000000" w:rsidP="00937907">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AD10ED">
            <w:rPr>
              <w:rStyle w:val="Style2"/>
              <w:rFonts w:ascii="MS Gothic" w:eastAsia="MS Gothic" w:hAnsi="MS Gothic" w:hint="eastAsia"/>
            </w:rPr>
            <w:t>☒</w:t>
          </w:r>
        </w:sdtContent>
      </w:sdt>
      <w:r w:rsidR="00937907" w:rsidRPr="00F832F8">
        <w:t xml:space="preserve"> </w:t>
      </w:r>
      <w:r w:rsidR="00937907" w:rsidRPr="00BC6E73">
        <w:t xml:space="preserve">Pacientų organizacijos pozicija </w:t>
      </w:r>
      <w:r w:rsidR="00880A44" w:rsidRPr="00BC6E73">
        <w:t>ne</w:t>
      </w:r>
      <w:r w:rsidR="00937907" w:rsidRPr="00BC6E73">
        <w:t>pateikta.</w:t>
      </w:r>
    </w:p>
    <w:p w14:paraId="7CBBA1A8" w14:textId="77777777" w:rsidR="004D5192" w:rsidRPr="00BC6E73" w:rsidRDefault="004D5192" w:rsidP="00937907">
      <w:pPr>
        <w:spacing w:after="120"/>
        <w:jc w:val="both"/>
      </w:pPr>
    </w:p>
    <w:p w14:paraId="3D3277FA" w14:textId="3CEEB2D2" w:rsidR="00C62B36" w:rsidRPr="00BC6E73" w:rsidRDefault="00C62B36" w:rsidP="00937907">
      <w:pPr>
        <w:pStyle w:val="ListParagraph"/>
        <w:numPr>
          <w:ilvl w:val="0"/>
          <w:numId w:val="12"/>
        </w:numPr>
        <w:tabs>
          <w:tab w:val="left" w:pos="426"/>
        </w:tabs>
        <w:rPr>
          <w:b/>
          <w:bCs/>
          <w:caps/>
        </w:rPr>
      </w:pPr>
      <w:r w:rsidRPr="00BC6E73">
        <w:rPr>
          <w:b/>
          <w:bCs/>
          <w:caps/>
        </w:rPr>
        <w:t>Gydytojų organizacijų pateikti duomenys</w:t>
      </w:r>
    </w:p>
    <w:p w14:paraId="389A346C" w14:textId="2FE37148" w:rsidR="00937907" w:rsidRPr="00BC6E73" w:rsidRDefault="00000000" w:rsidP="00662983">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CE12C2" w:rsidRPr="00BC6E73">
            <w:rPr>
              <w:rStyle w:val="Style2"/>
              <w:rFonts w:ascii="MS Gothic" w:eastAsia="MS Gothic" w:hAnsi="MS Gothic" w:hint="eastAsia"/>
            </w:rPr>
            <w:t>☐</w:t>
          </w:r>
        </w:sdtContent>
      </w:sdt>
      <w:r w:rsidR="00662983" w:rsidRPr="00BC6E73">
        <w:t xml:space="preserve"> </w:t>
      </w:r>
      <w:r w:rsidR="00937907" w:rsidRPr="00BC6E73">
        <w:t>Gydytojų specialistų organizacijos pozicija pateikta</w:t>
      </w:r>
      <w:r w:rsidR="00CE12C2" w:rsidRPr="00BC6E73">
        <w:t>.</w:t>
      </w:r>
    </w:p>
    <w:p w14:paraId="5D8CC48C" w14:textId="310D74B0" w:rsidR="00662983" w:rsidRDefault="00000000" w:rsidP="00662983">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581413" w:rsidRPr="00BC6E73">
            <w:rPr>
              <w:rStyle w:val="Style2"/>
              <w:rFonts w:ascii="MS Gothic" w:eastAsia="MS Gothic" w:hAnsi="MS Gothic" w:hint="eastAsia"/>
            </w:rPr>
            <w:t>☒</w:t>
          </w:r>
        </w:sdtContent>
      </w:sdt>
      <w:r w:rsidR="00662983" w:rsidRPr="00BC6E73">
        <w:t xml:space="preserve"> </w:t>
      </w:r>
      <w:r w:rsidR="00937907" w:rsidRPr="00BC6E73">
        <w:t xml:space="preserve">Gydytojų specialistų organizacijos pozicija </w:t>
      </w:r>
      <w:r w:rsidR="00880A44" w:rsidRPr="00BC6E73">
        <w:t>ne</w:t>
      </w:r>
      <w:r w:rsidR="00937907" w:rsidRPr="00BC6E73">
        <w:t>pateikta.</w:t>
      </w:r>
    </w:p>
    <w:p w14:paraId="19373095" w14:textId="77777777" w:rsidR="00AD10ED" w:rsidRPr="00F832F8" w:rsidRDefault="00AD10ED" w:rsidP="00662983">
      <w:pPr>
        <w:spacing w:after="120"/>
        <w:jc w:val="both"/>
      </w:pPr>
    </w:p>
    <w:p w14:paraId="78F23ECB" w14:textId="23A3A002" w:rsidR="002F0E4F" w:rsidRPr="00F832F8" w:rsidRDefault="002F0E4F" w:rsidP="00937907">
      <w:pPr>
        <w:pStyle w:val="ListParagraph"/>
        <w:numPr>
          <w:ilvl w:val="0"/>
          <w:numId w:val="12"/>
        </w:numPr>
        <w:tabs>
          <w:tab w:val="left" w:pos="426"/>
        </w:tabs>
        <w:rPr>
          <w:b/>
          <w:bCs/>
          <w:caps/>
        </w:rPr>
      </w:pPr>
      <w:r w:rsidRPr="00F832F8">
        <w:rPr>
          <w:b/>
          <w:bCs/>
          <w:caps/>
        </w:rPr>
        <w:t xml:space="preserve">Išvada </w:t>
      </w:r>
    </w:p>
    <w:p w14:paraId="573E407F" w14:textId="77777777" w:rsidR="00797153" w:rsidRPr="00F832F8" w:rsidRDefault="00797153" w:rsidP="00797153">
      <w:pPr>
        <w:tabs>
          <w:tab w:val="left" w:pos="426"/>
        </w:tabs>
        <w:rPr>
          <w:b/>
          <w:bCs/>
          <w:caps/>
        </w:rPr>
      </w:pPr>
    </w:p>
    <w:tbl>
      <w:tblPr>
        <w:tblStyle w:val="TableGrid"/>
        <w:tblW w:w="0" w:type="auto"/>
        <w:tblLook w:val="04A0" w:firstRow="1" w:lastRow="0" w:firstColumn="1" w:lastColumn="0" w:noHBand="0" w:noVBand="1"/>
      </w:tblPr>
      <w:tblGrid>
        <w:gridCol w:w="4815"/>
        <w:gridCol w:w="4814"/>
      </w:tblGrid>
      <w:tr w:rsidR="00B13D65" w:rsidRPr="00F832F8" w14:paraId="25A2473E" w14:textId="77777777" w:rsidTr="007646F9">
        <w:tc>
          <w:tcPr>
            <w:tcW w:w="4815" w:type="dxa"/>
          </w:tcPr>
          <w:p w14:paraId="7EFE6941" w14:textId="23B8BB6D" w:rsidR="00B13D65"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F832F8">
              <w:rPr>
                <w:rStyle w:val="Style2"/>
                <w:rFonts w:eastAsia="MS Gothic"/>
                <w:b/>
                <w:bCs/>
                <w:sz w:val="24"/>
              </w:rPr>
              <w:t>Rekomenduojama kompensuoti</w:t>
            </w:r>
          </w:p>
        </w:tc>
        <w:tc>
          <w:tcPr>
            <w:tcW w:w="4814" w:type="dxa"/>
          </w:tcPr>
          <w:p w14:paraId="330A1A5E" w14:textId="19247DC1" w:rsidR="00B13D65"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F832F8">
              <w:rPr>
                <w:rStyle w:val="Style2"/>
                <w:rFonts w:eastAsia="MS Gothic"/>
                <w:b/>
                <w:bCs/>
                <w:sz w:val="24"/>
              </w:rPr>
              <w:t xml:space="preserve">Rekomenduojama nekompensuoti </w:t>
            </w:r>
          </w:p>
        </w:tc>
      </w:tr>
      <w:tr w:rsidR="00B13D65" w:rsidRPr="00F832F8" w14:paraId="143A7356" w14:textId="77777777" w:rsidTr="007646F9">
        <w:tc>
          <w:tcPr>
            <w:tcW w:w="9629" w:type="dxa"/>
            <w:gridSpan w:val="2"/>
          </w:tcPr>
          <w:p w14:paraId="5D93D240"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F832F8">
              <w:rPr>
                <w:rStyle w:val="Style2"/>
                <w:rFonts w:eastAsia="MS Gothic"/>
                <w:b/>
                <w:bCs/>
                <w:sz w:val="24"/>
              </w:rPr>
              <w:t>Palyginamasis efektyvumas</w:t>
            </w:r>
          </w:p>
          <w:p w14:paraId="0AF5D6B4"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F832F8" w14:paraId="28A0C814" w14:textId="77777777" w:rsidTr="007646F9">
        <w:tc>
          <w:tcPr>
            <w:tcW w:w="4815" w:type="dxa"/>
          </w:tcPr>
          <w:p w14:paraId="216769B5" w14:textId="4B18B6E3"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BC6E73">
                  <w:rPr>
                    <w:rStyle w:val="Style2"/>
                    <w:rFonts w:ascii="MS Gothic" w:eastAsia="MS Gothic" w:hAnsi="MS Gothic" w:hint="eastAsia"/>
                    <w:sz w:val="24"/>
                  </w:rPr>
                  <w:t>☒</w:t>
                </w:r>
              </w:sdtContent>
            </w:sdt>
            <w:r w:rsidR="00B13D65" w:rsidRPr="00F832F8">
              <w:t xml:space="preserve"> 32.1. yra didesnis</w:t>
            </w:r>
          </w:p>
          <w:p w14:paraId="3B48F372"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0280F398" w:rsidR="00B13D65" w:rsidRPr="00F832F8"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32.1. iš esmės nesiskiria</w:t>
            </w:r>
          </w:p>
        </w:tc>
        <w:tc>
          <w:tcPr>
            <w:tcW w:w="4814" w:type="dxa"/>
          </w:tcPr>
          <w:p w14:paraId="507828D9" w14:textId="09AE523F"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33.1. yra mažesnis</w:t>
            </w:r>
          </w:p>
          <w:p w14:paraId="7F95DEEC"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54F77A6C" w:rsidR="00662983"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33.1. yra neįrodytas kaip toks pat</w:t>
            </w:r>
          </w:p>
          <w:p w14:paraId="35205E85"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7FB4ABC3"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F832F8">
                  <w:rPr>
                    <w:rStyle w:val="Style2"/>
                    <w:rFonts w:ascii="Segoe UI Symbol" w:eastAsia="MS Gothic" w:hAnsi="Segoe UI Symbol" w:cs="Segoe UI Symbol"/>
                    <w:sz w:val="24"/>
                  </w:rPr>
                  <w:t>☐</w:t>
                </w:r>
              </w:sdtContent>
            </w:sdt>
            <w:r w:rsidR="00662983" w:rsidRPr="00F832F8">
              <w:t xml:space="preserve"> 33.1 </w:t>
            </w:r>
            <w:r w:rsidR="00B13D65" w:rsidRPr="00F832F8">
              <w:t>neįrodytas kaip didesnis</w:t>
            </w:r>
          </w:p>
          <w:p w14:paraId="512E653B"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52747A40"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C6E73">
                  <w:rPr>
                    <w:rStyle w:val="Style2"/>
                    <w:rFonts w:ascii="MS Gothic" w:eastAsia="MS Gothic" w:hAnsi="MS Gothic" w:hint="eastAsia"/>
                    <w:sz w:val="24"/>
                  </w:rPr>
                  <w:t>☐</w:t>
                </w:r>
              </w:sdtContent>
            </w:sdt>
            <w:r w:rsidR="00B13D65" w:rsidRPr="00F832F8">
              <w:t xml:space="preserve"> 33.1. pateikti duomenys apie palyginamąjį efektyvumą yra netinkami vertinti</w:t>
            </w:r>
          </w:p>
          <w:p w14:paraId="5DDAA961"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F832F8" w14:paraId="161CC3FE" w14:textId="77777777" w:rsidTr="007646F9">
        <w:tc>
          <w:tcPr>
            <w:tcW w:w="9629" w:type="dxa"/>
            <w:gridSpan w:val="2"/>
          </w:tcPr>
          <w:p w14:paraId="3B2878F0"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F832F8">
              <w:rPr>
                <w:rStyle w:val="Style2"/>
                <w:rFonts w:eastAsia="MS Gothic"/>
                <w:b/>
                <w:bCs/>
                <w:sz w:val="24"/>
              </w:rPr>
              <w:t>Klinikinis veiksmingumas</w:t>
            </w:r>
          </w:p>
          <w:p w14:paraId="1AB46894"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p>
        </w:tc>
      </w:tr>
      <w:tr w:rsidR="00B13D65" w:rsidRPr="00F832F8" w14:paraId="3C60570A" w14:textId="77777777" w:rsidTr="007646F9">
        <w:tc>
          <w:tcPr>
            <w:tcW w:w="4815" w:type="dxa"/>
          </w:tcPr>
          <w:p w14:paraId="6897B306" w14:textId="4A113539"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BC6E73">
                  <w:rPr>
                    <w:rStyle w:val="Style2"/>
                    <w:rFonts w:ascii="MS Gothic" w:eastAsia="MS Gothic" w:hAnsi="MS Gothic" w:hint="eastAsia"/>
                    <w:sz w:val="24"/>
                  </w:rPr>
                  <w:t>☒</w:t>
                </w:r>
              </w:sdtContent>
            </w:sdt>
            <w:r w:rsidR="00B13D65" w:rsidRPr="00F832F8">
              <w:t xml:space="preserve"> 32.2. yra įvertintas kaip pagrindžiantis papildomos naudos pacientų sveikatai sukūrimą, lyginant su įprasta klinikine praktika</w:t>
            </w:r>
          </w:p>
          <w:p w14:paraId="71D57105" w14:textId="77777777" w:rsidR="00662983" w:rsidRPr="00F832F8"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31179D09" w:rsidR="00B13D65" w:rsidRPr="00F832F8"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F832F8">
                  <w:rPr>
                    <w:rStyle w:val="Style2"/>
                    <w:rFonts w:ascii="Segoe UI Symbol" w:eastAsia="MS Gothic" w:hAnsi="Segoe UI Symbol" w:cs="Segoe UI Symbol"/>
                    <w:sz w:val="24"/>
                  </w:rPr>
                  <w:t>☐</w:t>
                </w:r>
              </w:sdtContent>
            </w:sdt>
            <w:r w:rsidR="00B13D65" w:rsidRPr="00F832F8">
              <w:t xml:space="preserve"> 32.2. įvertintas kaip pagrindžiantis nesiskiriančios naudos pacientų sveikatai sukūrimą, lyginant su įprasta klinikine praktika</w:t>
            </w:r>
          </w:p>
          <w:p w14:paraId="287AD233"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0F6C9E86" w:rsidR="00662983" w:rsidRPr="00F832F8"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C6E73">
                  <w:rPr>
                    <w:rStyle w:val="Style2"/>
                    <w:rFonts w:ascii="MS Gothic" w:eastAsia="MS Gothic" w:hAnsi="MS Gothic" w:hint="eastAsia"/>
                    <w:sz w:val="24"/>
                  </w:rPr>
                  <w:t>☐</w:t>
                </w:r>
              </w:sdtContent>
            </w:sdt>
            <w:r w:rsidR="00B13D65" w:rsidRPr="00F832F8">
              <w:t xml:space="preserve"> 33.1. yra įvertintas kaip nepagrindžiantis papildomos </w:t>
            </w:r>
            <w:r w:rsidR="00662983" w:rsidRPr="00F832F8">
              <w:t>naudos pacientų sveikatai sukūrimo, lyginant su  įprasta klinikine praktika.</w:t>
            </w:r>
          </w:p>
          <w:p w14:paraId="6C70BCFC" w14:textId="77777777" w:rsidR="00662983" w:rsidRPr="00F832F8" w:rsidRDefault="00662983" w:rsidP="00BD1E5A">
            <w:pPr>
              <w:jc w:val="both"/>
            </w:pPr>
          </w:p>
          <w:p w14:paraId="0ADEC30D" w14:textId="25150412" w:rsidR="00B13D65" w:rsidRPr="00F832F8"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F832F8">
                  <w:rPr>
                    <w:rStyle w:val="Style2"/>
                    <w:rFonts w:ascii="Segoe UI Symbol" w:eastAsia="MS Gothic" w:hAnsi="Segoe UI Symbol" w:cs="Segoe UI Symbol"/>
                    <w:sz w:val="24"/>
                  </w:rPr>
                  <w:t>☐</w:t>
                </w:r>
              </w:sdtContent>
            </w:sdt>
            <w:r w:rsidR="00B13D65" w:rsidRPr="00F832F8">
              <w:t xml:space="preserve"> </w:t>
            </w:r>
            <w:r w:rsidR="00662983" w:rsidRPr="00F832F8">
              <w:t xml:space="preserve">33.1. </w:t>
            </w:r>
            <w:r w:rsidR="00B13D65" w:rsidRPr="00F832F8">
              <w:t>nesiskiriančios naudos pacientų sveikatai sukūrimo, lyginant su įprasta klinikine praktika.</w:t>
            </w:r>
          </w:p>
          <w:p w14:paraId="1EED7901"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F832F8"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0E4ECE" w:rsidRPr="00F832F8" w14:paraId="7A255E9E" w14:textId="77777777" w:rsidTr="00F43231">
        <w:tc>
          <w:tcPr>
            <w:tcW w:w="9629" w:type="dxa"/>
            <w:gridSpan w:val="2"/>
          </w:tcPr>
          <w:p w14:paraId="2EEDF6E4" w14:textId="45164CA9" w:rsidR="000E4ECE" w:rsidRDefault="000E4ECE" w:rsidP="000E4ECE">
            <w:pPr>
              <w:jc w:val="center"/>
              <w:rPr>
                <w:rStyle w:val="Style2"/>
                <w:sz w:val="24"/>
              </w:rPr>
            </w:pPr>
            <w:r w:rsidRPr="000E4ECE">
              <w:rPr>
                <w:rStyle w:val="Style2"/>
                <w:rFonts w:eastAsia="MS Gothic"/>
                <w:b/>
                <w:bCs/>
                <w:sz w:val="24"/>
              </w:rPr>
              <w:t>Kaštų naudingumas</w:t>
            </w:r>
          </w:p>
        </w:tc>
      </w:tr>
      <w:tr w:rsidR="000E4ECE" w:rsidRPr="00F832F8" w14:paraId="34710107" w14:textId="77777777" w:rsidTr="007646F9">
        <w:tc>
          <w:tcPr>
            <w:tcW w:w="4815" w:type="dxa"/>
          </w:tcPr>
          <w:p w14:paraId="425B70C6" w14:textId="77777777" w:rsidR="000E4ECE" w:rsidRPr="000E4ECE"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4ECE">
              <w:rPr>
                <w:rStyle w:val="Style2"/>
                <w:rFonts w:ascii="Segoe UI Symbol" w:eastAsia="MS Gothic" w:hAnsi="Segoe UI Symbol" w:cs="Segoe UI Symbol"/>
                <w:sz w:val="24"/>
              </w:rPr>
              <w:t>☐</w:t>
            </w:r>
            <w:r w:rsidRPr="000E4ECE">
              <w:t xml:space="preserve"> 32.3. atitinka referencinę naudingumo vertę, taikant PGS</w:t>
            </w:r>
          </w:p>
          <w:p w14:paraId="49022848" w14:textId="77777777" w:rsidR="000E4ECE" w:rsidRPr="000E4ECE"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2D02F84" w14:textId="77777777" w:rsidR="000E4ECE" w:rsidRPr="000E4ECE"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0E4ECE">
              <w:rPr>
                <w:rStyle w:val="Style2"/>
                <w:rFonts w:ascii="Segoe UI Symbol" w:eastAsia="MS Gothic" w:hAnsi="Segoe UI Symbol" w:cs="Segoe UI Symbol"/>
                <w:sz w:val="24"/>
              </w:rPr>
              <w:t>☐</w:t>
            </w:r>
            <w:r w:rsidRPr="000E4ECE">
              <w:t>32.3. gydymo juo kaštai yra mažesni ar tokie patys esant iš esmės nesiskiriančiam palyginamajam efektyvumui, taikant PGS, lyginant su įprasta klinikine praktika</w:t>
            </w:r>
          </w:p>
          <w:p w14:paraId="1834F237" w14:textId="77777777" w:rsidR="000E4ECE" w:rsidRDefault="000E4ECE"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p>
        </w:tc>
        <w:tc>
          <w:tcPr>
            <w:tcW w:w="4814" w:type="dxa"/>
          </w:tcPr>
          <w:p w14:paraId="6184D0ED" w14:textId="77777777" w:rsidR="000E4ECE" w:rsidRPr="000E4ECE"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4ECE">
              <w:rPr>
                <w:rStyle w:val="Style2"/>
                <w:rFonts w:ascii="Segoe UI Symbol" w:eastAsia="MS Gothic" w:hAnsi="Segoe UI Symbol" w:cs="Segoe UI Symbol"/>
                <w:sz w:val="24"/>
                <w:lang w:val="en-US"/>
              </w:rPr>
              <w:t>☒</w:t>
            </w:r>
            <w:r w:rsidRPr="000E4ECE">
              <w:t xml:space="preserve"> 33.3. neatitinka referencinės naudingumo vertės Lietuvos Respublikoje</w:t>
            </w:r>
          </w:p>
          <w:p w14:paraId="3F4FF701" w14:textId="77777777" w:rsidR="000E4ECE" w:rsidRPr="000E4ECE"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C3B235" w14:textId="77777777" w:rsidR="000E4ECE" w:rsidRPr="000E4ECE"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4ECE">
              <w:rPr>
                <w:rStyle w:val="Style2"/>
                <w:rFonts w:ascii="Segoe UI Symbol" w:eastAsia="MS Gothic" w:hAnsi="Segoe UI Symbol" w:cs="Segoe UI Symbol"/>
                <w:sz w:val="24"/>
              </w:rPr>
              <w:t>☐</w:t>
            </w:r>
            <w:r w:rsidRPr="000E4ECE">
              <w:t xml:space="preserve"> 33.3. gydymo juo kaštai yra didesni esant iš esmės nesiskiriančiam palyginamajam efektyvumui, taikant PGS, lyginant su įprasta klinikine praktika</w:t>
            </w:r>
          </w:p>
          <w:p w14:paraId="63989B14" w14:textId="77777777" w:rsidR="000E4ECE" w:rsidRPr="000E4ECE"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708249F8" w14:textId="77777777" w:rsidR="000E4ECE" w:rsidRPr="000E4ECE" w:rsidRDefault="000E4ECE" w:rsidP="000E4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E4ECE">
              <w:rPr>
                <w:rStyle w:val="Style2"/>
                <w:rFonts w:ascii="Segoe UI Symbol" w:eastAsia="MS Gothic" w:hAnsi="Segoe UI Symbol" w:cs="Segoe UI Symbol"/>
                <w:sz w:val="24"/>
              </w:rPr>
              <w:t>☐</w:t>
            </w:r>
            <w:r w:rsidRPr="000E4ECE">
              <w:t xml:space="preserve"> 33.3. pateikti duomenys apie kaštų naudingumą yra netinkami vertinti</w:t>
            </w:r>
          </w:p>
          <w:p w14:paraId="423CE02D" w14:textId="77777777" w:rsidR="000E4ECE" w:rsidRDefault="000E4ECE" w:rsidP="00662983">
            <w:pPr>
              <w:jc w:val="both"/>
              <w:rPr>
                <w:rStyle w:val="Style2"/>
                <w:sz w:val="24"/>
              </w:rPr>
            </w:pPr>
          </w:p>
        </w:tc>
      </w:tr>
    </w:tbl>
    <w:p w14:paraId="29A90384" w14:textId="392787F7" w:rsidR="004A3A61" w:rsidRPr="00F832F8" w:rsidRDefault="004A3A61" w:rsidP="00381024"/>
    <w:p w14:paraId="154D0E30" w14:textId="2A329E85" w:rsidR="0067695E" w:rsidRPr="00F832F8" w:rsidRDefault="007F7AC4" w:rsidP="0067695E">
      <w:pPr>
        <w:ind w:firstLine="360"/>
        <w:rPr>
          <w:b/>
        </w:rPr>
      </w:pPr>
      <w:r>
        <w:rPr>
          <w:b/>
        </w:rPr>
        <w:t>6</w:t>
      </w:r>
      <w:r w:rsidR="0067695E" w:rsidRPr="006A68DE">
        <w:rPr>
          <w:b/>
        </w:rPr>
        <w:t>. REKOMENDACIJA</w:t>
      </w:r>
    </w:p>
    <w:p w14:paraId="4825FA77" w14:textId="77777777" w:rsidR="0067695E" w:rsidRPr="00F832F8" w:rsidRDefault="0067695E" w:rsidP="0067695E">
      <w:pPr>
        <w:rPr>
          <w:b/>
        </w:rPr>
      </w:pPr>
    </w:p>
    <w:p w14:paraId="0951DC8E" w14:textId="77777777" w:rsidR="00BC6E73" w:rsidRPr="00530495" w:rsidRDefault="00BC6E73" w:rsidP="00BC6E73">
      <w:pPr>
        <w:spacing w:line="276" w:lineRule="auto"/>
        <w:jc w:val="both"/>
      </w:pPr>
      <w:r w:rsidRPr="00530495">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p>
    <w:p w14:paraId="2486EAA9" w14:textId="77777777" w:rsidR="00BC6E73" w:rsidRPr="00734879" w:rsidRDefault="00BC6E73" w:rsidP="00BC6E73">
      <w:pPr>
        <w:spacing w:line="276" w:lineRule="auto"/>
        <w:jc w:val="both"/>
      </w:pPr>
      <w:r w:rsidRPr="00530495">
        <w:t xml:space="preserve">34.4. rekomenduojama </w:t>
      </w:r>
      <w:r w:rsidRPr="00530495">
        <w:rPr>
          <w:i/>
        </w:rPr>
        <w:t xml:space="preserve">nekompensuoti </w:t>
      </w:r>
      <w:r w:rsidRPr="00530495">
        <w:t>vaistinio prepa</w:t>
      </w:r>
      <w:r>
        <w:t>rato pagal paraiškoje nurodytą indikaciją „</w:t>
      </w:r>
      <w:r w:rsidRPr="00530495">
        <w:t xml:space="preserve">suaugę pacientai, sergantys neoperuotinu ar </w:t>
      </w:r>
      <w:proofErr w:type="spellStart"/>
      <w:r w:rsidRPr="00530495">
        <w:t>metastazavusiu</w:t>
      </w:r>
      <w:proofErr w:type="spellEnd"/>
      <w:r w:rsidRPr="00530495">
        <w:t xml:space="preserve"> trigubai neigiamu krūties vėžiu (angl. </w:t>
      </w:r>
      <w:proofErr w:type="spellStart"/>
      <w:r w:rsidRPr="00530495">
        <w:rPr>
          <w:i/>
          <w:iCs/>
        </w:rPr>
        <w:t>metastatic</w:t>
      </w:r>
      <w:proofErr w:type="spellEnd"/>
      <w:r w:rsidRPr="00530495">
        <w:rPr>
          <w:i/>
          <w:iCs/>
        </w:rPr>
        <w:t xml:space="preserve"> </w:t>
      </w:r>
      <w:proofErr w:type="spellStart"/>
      <w:r w:rsidRPr="00530495">
        <w:rPr>
          <w:i/>
          <w:iCs/>
        </w:rPr>
        <w:t>triple-negative</w:t>
      </w:r>
      <w:proofErr w:type="spellEnd"/>
      <w:r w:rsidRPr="00530495">
        <w:rPr>
          <w:i/>
          <w:iCs/>
        </w:rPr>
        <w:t xml:space="preserve"> </w:t>
      </w:r>
      <w:proofErr w:type="spellStart"/>
      <w:r w:rsidRPr="00530495">
        <w:rPr>
          <w:i/>
          <w:iCs/>
        </w:rPr>
        <w:t>breast</w:t>
      </w:r>
      <w:proofErr w:type="spellEnd"/>
      <w:r w:rsidRPr="00530495">
        <w:rPr>
          <w:i/>
          <w:iCs/>
        </w:rPr>
        <w:t xml:space="preserve"> </w:t>
      </w:r>
      <w:proofErr w:type="spellStart"/>
      <w:r w:rsidRPr="00530495">
        <w:rPr>
          <w:i/>
          <w:iCs/>
        </w:rPr>
        <w:t>cancer</w:t>
      </w:r>
      <w:proofErr w:type="spellEnd"/>
      <w:r w:rsidRPr="00530495">
        <w:rPr>
          <w:i/>
        </w:rPr>
        <w:t>, mTNBC</w:t>
      </w:r>
      <w:r w:rsidRPr="00530495">
        <w:t xml:space="preserve">), kuriems anksčiau buvo taikytos dvi ar daugiau sisteminių </w:t>
      </w:r>
      <w:proofErr w:type="spellStart"/>
      <w:r w:rsidRPr="00530495">
        <w:t>terapijų</w:t>
      </w:r>
      <w:proofErr w:type="spellEnd"/>
      <w:r w:rsidRPr="00530495">
        <w:t>, kai bent viena iš jų buvo skirta išplitusios ligos gydymui</w:t>
      </w:r>
      <w:r>
        <w:t xml:space="preserve"> (TLK-10-AM kodas – C50</w:t>
      </w:r>
      <w:r w:rsidRPr="00D969D3">
        <w:t>)“ be skyrimo sąlygų,</w:t>
      </w:r>
      <w:r>
        <w:t xml:space="preserve"> taikant PGS</w:t>
      </w:r>
      <w:r w:rsidRPr="00530495">
        <w:t xml:space="preserve"> dėl vertinimo išvadų, nurodytų 33.3 papunktyje (žr. 8 ir 17 skyrius</w:t>
      </w:r>
      <w:r>
        <w:t xml:space="preserve">),  neatitikties </w:t>
      </w:r>
      <w:r w:rsidRPr="00530495">
        <w:t>34.1 p</w:t>
      </w:r>
      <w:r>
        <w:t>apunktyje išdėstytoms sąlygoms.</w:t>
      </w:r>
      <w:r w:rsidRPr="00530495">
        <w:t xml:space="preserve"> </w:t>
      </w:r>
    </w:p>
    <w:p w14:paraId="147E477E" w14:textId="77777777" w:rsidR="00C52397" w:rsidRPr="000E23F8" w:rsidRDefault="00C52397" w:rsidP="007646F9">
      <w:pPr>
        <w:spacing w:after="120" w:line="276" w:lineRule="auto"/>
        <w:jc w:val="both"/>
        <w:rPr>
          <w:rFonts w:eastAsia="Arial"/>
        </w:rPr>
      </w:pPr>
    </w:p>
    <w:sectPr w:rsidR="00C52397" w:rsidRPr="000E23F8"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B7CA2" w14:textId="77777777" w:rsidR="00A31BEE" w:rsidRDefault="00A31BEE">
      <w:r>
        <w:separator/>
      </w:r>
    </w:p>
  </w:endnote>
  <w:endnote w:type="continuationSeparator" w:id="0">
    <w:p w14:paraId="236DCB3D" w14:textId="77777777" w:rsidR="00A31BEE" w:rsidRDefault="00A3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2">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66544" w14:textId="77777777" w:rsidR="00A31BEE" w:rsidRDefault="00A31BEE">
      <w:r>
        <w:separator/>
      </w:r>
    </w:p>
  </w:footnote>
  <w:footnote w:type="continuationSeparator" w:id="0">
    <w:p w14:paraId="6C13FFE6" w14:textId="77777777" w:rsidR="00A31BEE" w:rsidRDefault="00A31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D5F9" w14:textId="03AC659A"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499E">
      <w:rPr>
        <w:rStyle w:val="PageNumber"/>
        <w:noProof/>
      </w:rPr>
      <w:t>5</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732E5E"/>
    <w:multiLevelType w:val="hybridMultilevel"/>
    <w:tmpl w:val="D9227B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AD2E58"/>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2F1A41"/>
    <w:multiLevelType w:val="hybridMultilevel"/>
    <w:tmpl w:val="880EF4CC"/>
    <w:lvl w:ilvl="0" w:tplc="5920B9B2">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1A816B09"/>
    <w:multiLevelType w:val="hybridMultilevel"/>
    <w:tmpl w:val="8FBEE17A"/>
    <w:lvl w:ilvl="0" w:tplc="0427000F">
      <w:start w:val="16"/>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1037E3"/>
    <w:multiLevelType w:val="multilevel"/>
    <w:tmpl w:val="8F6CB40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5274E3"/>
    <w:multiLevelType w:val="hybridMultilevel"/>
    <w:tmpl w:val="74F0A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1" w15:restartNumberingAfterBreak="0">
    <w:nsid w:val="41504EE8"/>
    <w:multiLevelType w:val="hybridMultilevel"/>
    <w:tmpl w:val="C93C8E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91505"/>
    <w:multiLevelType w:val="hybridMultilevel"/>
    <w:tmpl w:val="9D7E6CB4"/>
    <w:lvl w:ilvl="0" w:tplc="B3FC5D38">
      <w:start w:val="20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4B0B45"/>
    <w:multiLevelType w:val="hybridMultilevel"/>
    <w:tmpl w:val="D9227B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C19695D"/>
    <w:multiLevelType w:val="hybridMultilevel"/>
    <w:tmpl w:val="9A867F62"/>
    <w:lvl w:ilvl="0" w:tplc="B3FC5D38">
      <w:start w:val="2020"/>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636C6F7D"/>
    <w:multiLevelType w:val="hybridMultilevel"/>
    <w:tmpl w:val="D9227B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9D5BF2"/>
    <w:multiLevelType w:val="hybridMultilevel"/>
    <w:tmpl w:val="452E80EA"/>
    <w:lvl w:ilvl="0" w:tplc="1C8810F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C25357"/>
    <w:multiLevelType w:val="hybridMultilevel"/>
    <w:tmpl w:val="ECFE5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556BD7"/>
    <w:multiLevelType w:val="hybridMultilevel"/>
    <w:tmpl w:val="DFFC556E"/>
    <w:lvl w:ilvl="0" w:tplc="04270011">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8D1ECE"/>
    <w:multiLevelType w:val="hybridMultilevel"/>
    <w:tmpl w:val="6DDE6854"/>
    <w:lvl w:ilvl="0" w:tplc="0809000F">
      <w:start w:val="1"/>
      <w:numFmt w:val="decimal"/>
      <w:lvlText w:val="%1."/>
      <w:lvlJc w:val="left"/>
      <w:pPr>
        <w:ind w:left="360" w:hanging="360"/>
      </w:pPr>
    </w:lvl>
    <w:lvl w:ilvl="1" w:tplc="0809000B">
      <w:start w:val="1"/>
      <w:numFmt w:val="bullet"/>
      <w:lvlText w:val=""/>
      <w:lvlJc w:val="left"/>
      <w:pPr>
        <w:ind w:left="644" w:hanging="360"/>
      </w:pPr>
      <w:rPr>
        <w:rFonts w:ascii="Wingdings" w:hAnsi="Wingdings" w:hint="default"/>
      </w:rPr>
    </w:lvl>
    <w:lvl w:ilvl="2" w:tplc="0809000F">
      <w:start w:val="1"/>
      <w:numFmt w:val="decimal"/>
      <w:lvlText w:val="%3."/>
      <w:lvlJc w:val="left"/>
      <w:pPr>
        <w:ind w:left="927"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3D1C9B"/>
    <w:multiLevelType w:val="hybridMultilevel"/>
    <w:tmpl w:val="1A9083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9724874">
    <w:abstractNumId w:val="12"/>
  </w:num>
  <w:num w:numId="2" w16cid:durableId="163862078">
    <w:abstractNumId w:val="1"/>
  </w:num>
  <w:num w:numId="3" w16cid:durableId="1573546346">
    <w:abstractNumId w:val="15"/>
  </w:num>
  <w:num w:numId="4" w16cid:durableId="1288656690">
    <w:abstractNumId w:val="14"/>
  </w:num>
  <w:num w:numId="5" w16cid:durableId="1618482152">
    <w:abstractNumId w:val="10"/>
  </w:num>
  <w:num w:numId="6" w16cid:durableId="1425761528">
    <w:abstractNumId w:val="9"/>
  </w:num>
  <w:num w:numId="7" w16cid:durableId="786898210">
    <w:abstractNumId w:val="5"/>
  </w:num>
  <w:num w:numId="8" w16cid:durableId="1209218108">
    <w:abstractNumId w:val="23"/>
  </w:num>
  <w:num w:numId="9" w16cid:durableId="1169950397">
    <w:abstractNumId w:val="0"/>
  </w:num>
  <w:num w:numId="10" w16cid:durableId="1786340949">
    <w:abstractNumId w:val="16"/>
  </w:num>
  <w:num w:numId="11" w16cid:durableId="319116028">
    <w:abstractNumId w:val="21"/>
  </w:num>
  <w:num w:numId="12" w16cid:durableId="1746489416">
    <w:abstractNumId w:val="3"/>
  </w:num>
  <w:num w:numId="13" w16cid:durableId="1386297053">
    <w:abstractNumId w:val="8"/>
  </w:num>
  <w:num w:numId="14" w16cid:durableId="1240099024">
    <w:abstractNumId w:val="25"/>
  </w:num>
  <w:num w:numId="15" w16cid:durableId="326396951">
    <w:abstractNumId w:val="26"/>
  </w:num>
  <w:num w:numId="16" w16cid:durableId="1759249815">
    <w:abstractNumId w:val="22"/>
  </w:num>
  <w:num w:numId="17" w16cid:durableId="853150333">
    <w:abstractNumId w:val="11"/>
  </w:num>
  <w:num w:numId="18" w16cid:durableId="1817338754">
    <w:abstractNumId w:val="20"/>
  </w:num>
  <w:num w:numId="19" w16cid:durableId="347486314">
    <w:abstractNumId w:val="13"/>
  </w:num>
  <w:num w:numId="20" w16cid:durableId="790244383">
    <w:abstractNumId w:val="19"/>
  </w:num>
  <w:num w:numId="21" w16cid:durableId="2099327242">
    <w:abstractNumId w:val="2"/>
  </w:num>
  <w:num w:numId="22" w16cid:durableId="1753772161">
    <w:abstractNumId w:val="17"/>
  </w:num>
  <w:num w:numId="23" w16cid:durableId="946931044">
    <w:abstractNumId w:val="4"/>
  </w:num>
  <w:num w:numId="24" w16cid:durableId="441611917">
    <w:abstractNumId w:val="18"/>
  </w:num>
  <w:num w:numId="25" w16cid:durableId="723606775">
    <w:abstractNumId w:val="6"/>
  </w:num>
  <w:num w:numId="26" w16cid:durableId="801389997">
    <w:abstractNumId w:val="24"/>
  </w:num>
  <w:num w:numId="27" w16cid:durableId="673654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3F5B"/>
    <w:rsid w:val="000114DD"/>
    <w:rsid w:val="00011737"/>
    <w:rsid w:val="000136F7"/>
    <w:rsid w:val="0002686C"/>
    <w:rsid w:val="00031D0E"/>
    <w:rsid w:val="000337E6"/>
    <w:rsid w:val="0003402E"/>
    <w:rsid w:val="00034EAE"/>
    <w:rsid w:val="000606BE"/>
    <w:rsid w:val="000736B8"/>
    <w:rsid w:val="00077215"/>
    <w:rsid w:val="0008190F"/>
    <w:rsid w:val="00081D9C"/>
    <w:rsid w:val="00082907"/>
    <w:rsid w:val="0008378D"/>
    <w:rsid w:val="000908A5"/>
    <w:rsid w:val="00092805"/>
    <w:rsid w:val="000A3817"/>
    <w:rsid w:val="000C454C"/>
    <w:rsid w:val="000D5038"/>
    <w:rsid w:val="000E23F8"/>
    <w:rsid w:val="000E29D4"/>
    <w:rsid w:val="000E4ECE"/>
    <w:rsid w:val="000F3540"/>
    <w:rsid w:val="000F7BB1"/>
    <w:rsid w:val="00100491"/>
    <w:rsid w:val="00104E2E"/>
    <w:rsid w:val="00107287"/>
    <w:rsid w:val="001141D2"/>
    <w:rsid w:val="00117406"/>
    <w:rsid w:val="00121EF0"/>
    <w:rsid w:val="00124A9E"/>
    <w:rsid w:val="00130703"/>
    <w:rsid w:val="0013153F"/>
    <w:rsid w:val="001408B8"/>
    <w:rsid w:val="00146431"/>
    <w:rsid w:val="00151EF1"/>
    <w:rsid w:val="001521D9"/>
    <w:rsid w:val="001554E2"/>
    <w:rsid w:val="00163CCD"/>
    <w:rsid w:val="00164146"/>
    <w:rsid w:val="0017369C"/>
    <w:rsid w:val="00180C39"/>
    <w:rsid w:val="00180D96"/>
    <w:rsid w:val="001921F3"/>
    <w:rsid w:val="001B3C5B"/>
    <w:rsid w:val="001E3033"/>
    <w:rsid w:val="001E4BBB"/>
    <w:rsid w:val="001E5EE8"/>
    <w:rsid w:val="001E6304"/>
    <w:rsid w:val="00200A65"/>
    <w:rsid w:val="0020381E"/>
    <w:rsid w:val="00212BA2"/>
    <w:rsid w:val="00213471"/>
    <w:rsid w:val="00215906"/>
    <w:rsid w:val="00216276"/>
    <w:rsid w:val="00221996"/>
    <w:rsid w:val="0025697F"/>
    <w:rsid w:val="00260258"/>
    <w:rsid w:val="002646C7"/>
    <w:rsid w:val="00272428"/>
    <w:rsid w:val="00272948"/>
    <w:rsid w:val="00287088"/>
    <w:rsid w:val="002946C7"/>
    <w:rsid w:val="00295926"/>
    <w:rsid w:val="002A4E2F"/>
    <w:rsid w:val="002B3CC1"/>
    <w:rsid w:val="002C09E0"/>
    <w:rsid w:val="002C3A10"/>
    <w:rsid w:val="002C4A90"/>
    <w:rsid w:val="002D02EF"/>
    <w:rsid w:val="002E0702"/>
    <w:rsid w:val="002E0B89"/>
    <w:rsid w:val="002E6F80"/>
    <w:rsid w:val="002F0E4F"/>
    <w:rsid w:val="002F1053"/>
    <w:rsid w:val="00317B0E"/>
    <w:rsid w:val="003449AA"/>
    <w:rsid w:val="00347965"/>
    <w:rsid w:val="00347FAA"/>
    <w:rsid w:val="0035172D"/>
    <w:rsid w:val="0036187D"/>
    <w:rsid w:val="00377D96"/>
    <w:rsid w:val="00381024"/>
    <w:rsid w:val="00386307"/>
    <w:rsid w:val="003874DE"/>
    <w:rsid w:val="00393E9F"/>
    <w:rsid w:val="0039696E"/>
    <w:rsid w:val="00397B77"/>
    <w:rsid w:val="003B211A"/>
    <w:rsid w:val="003C141F"/>
    <w:rsid w:val="003C6B0E"/>
    <w:rsid w:val="003C7257"/>
    <w:rsid w:val="003C7E35"/>
    <w:rsid w:val="003D2CE2"/>
    <w:rsid w:val="003E2B81"/>
    <w:rsid w:val="003F3FBD"/>
    <w:rsid w:val="00404E8A"/>
    <w:rsid w:val="0040622F"/>
    <w:rsid w:val="00412447"/>
    <w:rsid w:val="00423160"/>
    <w:rsid w:val="00453862"/>
    <w:rsid w:val="00461338"/>
    <w:rsid w:val="004677DB"/>
    <w:rsid w:val="00467E9F"/>
    <w:rsid w:val="0048630F"/>
    <w:rsid w:val="004947A1"/>
    <w:rsid w:val="0049482A"/>
    <w:rsid w:val="004979D3"/>
    <w:rsid w:val="004A00E7"/>
    <w:rsid w:val="004A3A61"/>
    <w:rsid w:val="004B59BA"/>
    <w:rsid w:val="004C263A"/>
    <w:rsid w:val="004D2000"/>
    <w:rsid w:val="004D377E"/>
    <w:rsid w:val="004D5192"/>
    <w:rsid w:val="004D7B8F"/>
    <w:rsid w:val="004E6458"/>
    <w:rsid w:val="004E6E7D"/>
    <w:rsid w:val="004F1AAC"/>
    <w:rsid w:val="004F1AE2"/>
    <w:rsid w:val="004F34F0"/>
    <w:rsid w:val="005005EF"/>
    <w:rsid w:val="00534E11"/>
    <w:rsid w:val="005400D9"/>
    <w:rsid w:val="005476A4"/>
    <w:rsid w:val="00547FF7"/>
    <w:rsid w:val="0055019B"/>
    <w:rsid w:val="00556E63"/>
    <w:rsid w:val="005601A4"/>
    <w:rsid w:val="00564D09"/>
    <w:rsid w:val="00566DBB"/>
    <w:rsid w:val="00577760"/>
    <w:rsid w:val="00581413"/>
    <w:rsid w:val="005976CE"/>
    <w:rsid w:val="005A23D4"/>
    <w:rsid w:val="005A2D1E"/>
    <w:rsid w:val="005C1A9D"/>
    <w:rsid w:val="005C493F"/>
    <w:rsid w:val="005C6BF7"/>
    <w:rsid w:val="005C6EC1"/>
    <w:rsid w:val="005C71BF"/>
    <w:rsid w:val="005D002C"/>
    <w:rsid w:val="005D30E1"/>
    <w:rsid w:val="005D5BE7"/>
    <w:rsid w:val="005D6555"/>
    <w:rsid w:val="005D7BDF"/>
    <w:rsid w:val="005F71D9"/>
    <w:rsid w:val="005F7602"/>
    <w:rsid w:val="0060039E"/>
    <w:rsid w:val="00613501"/>
    <w:rsid w:val="006166A8"/>
    <w:rsid w:val="006174A1"/>
    <w:rsid w:val="006213CF"/>
    <w:rsid w:val="00633B49"/>
    <w:rsid w:val="0064297F"/>
    <w:rsid w:val="00646CF3"/>
    <w:rsid w:val="00646CF6"/>
    <w:rsid w:val="006602E8"/>
    <w:rsid w:val="00662983"/>
    <w:rsid w:val="0067695E"/>
    <w:rsid w:val="006834D3"/>
    <w:rsid w:val="00692625"/>
    <w:rsid w:val="00695CD3"/>
    <w:rsid w:val="006A38B6"/>
    <w:rsid w:val="006A68DE"/>
    <w:rsid w:val="006B1987"/>
    <w:rsid w:val="006B5B71"/>
    <w:rsid w:val="006B6CB0"/>
    <w:rsid w:val="006C2B64"/>
    <w:rsid w:val="006D4C85"/>
    <w:rsid w:val="006E33F6"/>
    <w:rsid w:val="006F1251"/>
    <w:rsid w:val="006F1C23"/>
    <w:rsid w:val="006F6665"/>
    <w:rsid w:val="00703166"/>
    <w:rsid w:val="007127F3"/>
    <w:rsid w:val="007301CF"/>
    <w:rsid w:val="007316FB"/>
    <w:rsid w:val="00737E2D"/>
    <w:rsid w:val="007424D5"/>
    <w:rsid w:val="007523DD"/>
    <w:rsid w:val="00757B7E"/>
    <w:rsid w:val="007646F9"/>
    <w:rsid w:val="007857B8"/>
    <w:rsid w:val="007935A9"/>
    <w:rsid w:val="00795DC5"/>
    <w:rsid w:val="00797153"/>
    <w:rsid w:val="007978B7"/>
    <w:rsid w:val="007B0DDA"/>
    <w:rsid w:val="007B2D8B"/>
    <w:rsid w:val="007C32DC"/>
    <w:rsid w:val="007E5466"/>
    <w:rsid w:val="007F1949"/>
    <w:rsid w:val="007F7AC4"/>
    <w:rsid w:val="00802F25"/>
    <w:rsid w:val="00817A84"/>
    <w:rsid w:val="008225A4"/>
    <w:rsid w:val="00826D5E"/>
    <w:rsid w:val="00832013"/>
    <w:rsid w:val="00834732"/>
    <w:rsid w:val="00847A3C"/>
    <w:rsid w:val="0085200C"/>
    <w:rsid w:val="00857C52"/>
    <w:rsid w:val="00880A44"/>
    <w:rsid w:val="0088345E"/>
    <w:rsid w:val="0088656F"/>
    <w:rsid w:val="0089753D"/>
    <w:rsid w:val="008A0303"/>
    <w:rsid w:val="008A5FDD"/>
    <w:rsid w:val="008C3947"/>
    <w:rsid w:val="008E7329"/>
    <w:rsid w:val="008F2ED5"/>
    <w:rsid w:val="009061EA"/>
    <w:rsid w:val="0092297E"/>
    <w:rsid w:val="0092379A"/>
    <w:rsid w:val="0092546E"/>
    <w:rsid w:val="009306C7"/>
    <w:rsid w:val="00930A73"/>
    <w:rsid w:val="009341BF"/>
    <w:rsid w:val="009375DF"/>
    <w:rsid w:val="00937907"/>
    <w:rsid w:val="00941739"/>
    <w:rsid w:val="00951573"/>
    <w:rsid w:val="00963003"/>
    <w:rsid w:val="00973096"/>
    <w:rsid w:val="00983471"/>
    <w:rsid w:val="009909AB"/>
    <w:rsid w:val="009A27AD"/>
    <w:rsid w:val="009B37DB"/>
    <w:rsid w:val="009C14DD"/>
    <w:rsid w:val="009C317D"/>
    <w:rsid w:val="009C7A8C"/>
    <w:rsid w:val="009D23F9"/>
    <w:rsid w:val="009D4FA8"/>
    <w:rsid w:val="009E6CD6"/>
    <w:rsid w:val="009F065F"/>
    <w:rsid w:val="00A00C3C"/>
    <w:rsid w:val="00A01091"/>
    <w:rsid w:val="00A02417"/>
    <w:rsid w:val="00A06DBB"/>
    <w:rsid w:val="00A16AD9"/>
    <w:rsid w:val="00A2292D"/>
    <w:rsid w:val="00A31BEE"/>
    <w:rsid w:val="00A31E86"/>
    <w:rsid w:val="00A40D10"/>
    <w:rsid w:val="00A54D87"/>
    <w:rsid w:val="00A5553C"/>
    <w:rsid w:val="00A81785"/>
    <w:rsid w:val="00A83922"/>
    <w:rsid w:val="00A84803"/>
    <w:rsid w:val="00A84C51"/>
    <w:rsid w:val="00A86F2B"/>
    <w:rsid w:val="00A91366"/>
    <w:rsid w:val="00A93AA6"/>
    <w:rsid w:val="00A95103"/>
    <w:rsid w:val="00AA4E48"/>
    <w:rsid w:val="00AA6202"/>
    <w:rsid w:val="00AC33D8"/>
    <w:rsid w:val="00AC4A99"/>
    <w:rsid w:val="00AC64D2"/>
    <w:rsid w:val="00AD10ED"/>
    <w:rsid w:val="00AE0FE8"/>
    <w:rsid w:val="00AF60D5"/>
    <w:rsid w:val="00B04415"/>
    <w:rsid w:val="00B11D60"/>
    <w:rsid w:val="00B13D65"/>
    <w:rsid w:val="00B37245"/>
    <w:rsid w:val="00B4017A"/>
    <w:rsid w:val="00B4468D"/>
    <w:rsid w:val="00B5014B"/>
    <w:rsid w:val="00B71C72"/>
    <w:rsid w:val="00B81E92"/>
    <w:rsid w:val="00B93B30"/>
    <w:rsid w:val="00B94CB5"/>
    <w:rsid w:val="00BA0DD9"/>
    <w:rsid w:val="00BA19F7"/>
    <w:rsid w:val="00BB6312"/>
    <w:rsid w:val="00BC4D06"/>
    <w:rsid w:val="00BC6E73"/>
    <w:rsid w:val="00BD585E"/>
    <w:rsid w:val="00BE1957"/>
    <w:rsid w:val="00BE68DD"/>
    <w:rsid w:val="00BF206B"/>
    <w:rsid w:val="00BF2E0D"/>
    <w:rsid w:val="00BF3F8B"/>
    <w:rsid w:val="00BF76DA"/>
    <w:rsid w:val="00C07901"/>
    <w:rsid w:val="00C07C7B"/>
    <w:rsid w:val="00C24479"/>
    <w:rsid w:val="00C31FAA"/>
    <w:rsid w:val="00C33602"/>
    <w:rsid w:val="00C37B53"/>
    <w:rsid w:val="00C46309"/>
    <w:rsid w:val="00C517D2"/>
    <w:rsid w:val="00C52397"/>
    <w:rsid w:val="00C62B36"/>
    <w:rsid w:val="00C64ABA"/>
    <w:rsid w:val="00C7012C"/>
    <w:rsid w:val="00CB309B"/>
    <w:rsid w:val="00CB499E"/>
    <w:rsid w:val="00CC2E22"/>
    <w:rsid w:val="00CC668D"/>
    <w:rsid w:val="00CC7832"/>
    <w:rsid w:val="00CD429B"/>
    <w:rsid w:val="00CE12C2"/>
    <w:rsid w:val="00CF0C1C"/>
    <w:rsid w:val="00D23808"/>
    <w:rsid w:val="00D26A5A"/>
    <w:rsid w:val="00D3016A"/>
    <w:rsid w:val="00D36CD4"/>
    <w:rsid w:val="00D42960"/>
    <w:rsid w:val="00D43BD7"/>
    <w:rsid w:val="00D4485B"/>
    <w:rsid w:val="00D4708D"/>
    <w:rsid w:val="00D4744C"/>
    <w:rsid w:val="00D555EC"/>
    <w:rsid w:val="00D63068"/>
    <w:rsid w:val="00D6498C"/>
    <w:rsid w:val="00D7489C"/>
    <w:rsid w:val="00D8521E"/>
    <w:rsid w:val="00D9291C"/>
    <w:rsid w:val="00D93A97"/>
    <w:rsid w:val="00DB1F64"/>
    <w:rsid w:val="00DC2F53"/>
    <w:rsid w:val="00DC6816"/>
    <w:rsid w:val="00DC76C2"/>
    <w:rsid w:val="00DD1CF2"/>
    <w:rsid w:val="00DD6582"/>
    <w:rsid w:val="00DE1992"/>
    <w:rsid w:val="00DE680E"/>
    <w:rsid w:val="00DF30E6"/>
    <w:rsid w:val="00DF41B7"/>
    <w:rsid w:val="00DF4A4A"/>
    <w:rsid w:val="00DF583C"/>
    <w:rsid w:val="00E03C3F"/>
    <w:rsid w:val="00E24D45"/>
    <w:rsid w:val="00E262C2"/>
    <w:rsid w:val="00E33DB8"/>
    <w:rsid w:val="00E34387"/>
    <w:rsid w:val="00E369FE"/>
    <w:rsid w:val="00E37C6F"/>
    <w:rsid w:val="00E475F8"/>
    <w:rsid w:val="00E5102E"/>
    <w:rsid w:val="00E52796"/>
    <w:rsid w:val="00E5721C"/>
    <w:rsid w:val="00E619C6"/>
    <w:rsid w:val="00E66270"/>
    <w:rsid w:val="00E745A1"/>
    <w:rsid w:val="00E8142F"/>
    <w:rsid w:val="00E81529"/>
    <w:rsid w:val="00E83A13"/>
    <w:rsid w:val="00EC2356"/>
    <w:rsid w:val="00EC2582"/>
    <w:rsid w:val="00EC337C"/>
    <w:rsid w:val="00ED0CFF"/>
    <w:rsid w:val="00ED31D2"/>
    <w:rsid w:val="00EE0EAC"/>
    <w:rsid w:val="00EE33CB"/>
    <w:rsid w:val="00EF1CD0"/>
    <w:rsid w:val="00F0061A"/>
    <w:rsid w:val="00F02834"/>
    <w:rsid w:val="00F07CD7"/>
    <w:rsid w:val="00F127E9"/>
    <w:rsid w:val="00F30D4D"/>
    <w:rsid w:val="00F3346D"/>
    <w:rsid w:val="00F36972"/>
    <w:rsid w:val="00F42426"/>
    <w:rsid w:val="00F4280E"/>
    <w:rsid w:val="00F456BC"/>
    <w:rsid w:val="00F50666"/>
    <w:rsid w:val="00F65741"/>
    <w:rsid w:val="00F70C9E"/>
    <w:rsid w:val="00F74A74"/>
    <w:rsid w:val="00F832F8"/>
    <w:rsid w:val="00F8382C"/>
    <w:rsid w:val="00F855D7"/>
    <w:rsid w:val="00F857A3"/>
    <w:rsid w:val="00F92035"/>
    <w:rsid w:val="00F92748"/>
    <w:rsid w:val="00FA4169"/>
    <w:rsid w:val="00FB0D41"/>
    <w:rsid w:val="00FB2030"/>
    <w:rsid w:val="00FD1CF2"/>
    <w:rsid w:val="00FD3EDF"/>
    <w:rsid w:val="00FD793C"/>
    <w:rsid w:val="00FE20E6"/>
    <w:rsid w:val="00FE2B01"/>
    <w:rsid w:val="00FE3E3B"/>
    <w:rsid w:val="00FF403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381DBD42-B174-48B1-AA07-D8FB910D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uiPriority w:val="3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1,Bullet 1,Bullet List,1. Bullet Blank,Bulleted - 2,Dairy Paragraphe,Bullets Points,Table Header Row,Bullet Paragraph,Bullet Point,Table Legend,List Paragraph CCT minutes,Section 5,FooterText,List Paragraph1,numbered,列出段落"/>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character" w:customStyle="1" w:styleId="ListParagraphChar">
    <w:name w:val="List Paragraph Char"/>
    <w:aliases w:val="Bullet1 Char,Bullet 1 Char,Bullet List Char,1. Bullet Blank Char,Bulleted - 2 Char,Dairy Paragraphe Char,Bullets Points Char,Table Header Row Char,Bullet Paragraph Char,Bullet Point Char,Table Legend Char,Section 5 Char,numbered Char"/>
    <w:link w:val="ListParagraph"/>
    <w:uiPriority w:val="34"/>
    <w:qFormat/>
    <w:rsid w:val="001E5EE8"/>
    <w:rPr>
      <w:sz w:val="24"/>
      <w:szCs w:val="24"/>
      <w:lang w:eastAsia="en-US"/>
    </w:rPr>
  </w:style>
  <w:style w:type="paragraph" w:styleId="NormalWeb">
    <w:name w:val="Normal (Web)"/>
    <w:basedOn w:val="Normal"/>
    <w:uiPriority w:val="99"/>
    <w:semiHidden/>
    <w:unhideWhenUsed/>
    <w:rsid w:val="0067695E"/>
    <w:pPr>
      <w:spacing w:before="100" w:beforeAutospacing="1" w:after="100" w:afterAutospacing="1"/>
    </w:pPr>
    <w:rPr>
      <w:lang w:eastAsia="lt-LT"/>
    </w:rPr>
  </w:style>
  <w:style w:type="paragraph" w:styleId="Revision">
    <w:name w:val="Revision"/>
    <w:hidden/>
    <w:uiPriority w:val="99"/>
    <w:semiHidden/>
    <w:rsid w:val="005D5BE7"/>
    <w:rPr>
      <w:sz w:val="24"/>
      <w:szCs w:val="24"/>
      <w:lang w:eastAsia="en-US"/>
    </w:rPr>
  </w:style>
  <w:style w:type="paragraph" w:customStyle="1" w:styleId="Default">
    <w:name w:val="Default"/>
    <w:rsid w:val="007646F9"/>
    <w:pPr>
      <w:autoSpaceDE w:val="0"/>
      <w:autoSpaceDN w:val="0"/>
      <w:adjustRightInd w:val="0"/>
    </w:pPr>
    <w:rPr>
      <w:color w:val="000000"/>
      <w:sz w:val="24"/>
      <w:szCs w:val="24"/>
      <w:lang w:val="en-GB" w:eastAsia="en-US"/>
    </w:rPr>
  </w:style>
  <w:style w:type="table" w:customStyle="1" w:styleId="TableGrid1">
    <w:name w:val="Table Grid1"/>
    <w:basedOn w:val="TableNormal"/>
    <w:next w:val="TableGrid"/>
    <w:uiPriority w:val="39"/>
    <w:rsid w:val="000E4EC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D2000"/>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A209D6E08E4B0AA4860806018C291A"/>
        <w:category>
          <w:name w:val="General"/>
          <w:gallery w:val="placeholder"/>
        </w:category>
        <w:types>
          <w:type w:val="bbPlcHdr"/>
        </w:types>
        <w:behaviors>
          <w:behavior w:val="content"/>
        </w:behaviors>
        <w:guid w:val="{19B92077-9EF7-4FE8-89CA-201302E6922B}"/>
      </w:docPartPr>
      <w:docPartBody>
        <w:p w:rsidR="00B107CB" w:rsidRDefault="004C3E01" w:rsidP="004C3E01">
          <w:pPr>
            <w:pStyle w:val="90A209D6E08E4B0AA4860806018C291A"/>
          </w:pPr>
          <w:r>
            <w:rPr>
              <w:rStyle w:val="PlaceholderText"/>
            </w:rPr>
            <w:t>Click here to enter a date.</w:t>
          </w:r>
        </w:p>
      </w:docPartBody>
    </w:docPart>
    <w:docPart>
      <w:docPartPr>
        <w:name w:val="47427ECAB8F049C08BEED44A440F489F"/>
        <w:category>
          <w:name w:val="General"/>
          <w:gallery w:val="placeholder"/>
        </w:category>
        <w:types>
          <w:type w:val="bbPlcHdr"/>
        </w:types>
        <w:behaviors>
          <w:behavior w:val="content"/>
        </w:behaviors>
        <w:guid w:val="{E037395D-11B6-4B9E-95E5-79AAF91F3EB2}"/>
      </w:docPartPr>
      <w:docPartBody>
        <w:p w:rsidR="00355FBF" w:rsidRDefault="00957260" w:rsidP="00957260">
          <w:pPr>
            <w:pStyle w:val="47427ECAB8F049C08BEED44A440F489F"/>
          </w:pPr>
          <w:r>
            <w:rPr>
              <w:rStyle w:val="PlaceholderText"/>
            </w:rPr>
            <w:t>Click here to enter a date.</w:t>
          </w:r>
        </w:p>
      </w:docPartBody>
    </w:docPart>
    <w:docPart>
      <w:docPartPr>
        <w:name w:val="E2334CD99BCB4F9B89088A9A2E8BA59B"/>
        <w:category>
          <w:name w:val="General"/>
          <w:gallery w:val="placeholder"/>
        </w:category>
        <w:types>
          <w:type w:val="bbPlcHdr"/>
        </w:types>
        <w:behaviors>
          <w:behavior w:val="content"/>
        </w:behaviors>
        <w:guid w:val="{8825247E-6D2F-4477-93AA-828E4AFA01E0}"/>
      </w:docPartPr>
      <w:docPartBody>
        <w:p w:rsidR="00355FBF" w:rsidRDefault="00957260" w:rsidP="00957260">
          <w:pPr>
            <w:pStyle w:val="E2334CD99BCB4F9B89088A9A2E8BA59B"/>
          </w:pPr>
          <w:r>
            <w:rPr>
              <w:rStyle w:val="PlaceholderText"/>
            </w:rPr>
            <w:t>Click here to enter a date.</w:t>
          </w:r>
        </w:p>
      </w:docPartBody>
    </w:docPart>
    <w:docPart>
      <w:docPartPr>
        <w:name w:val="6694938B3C0B46A0964DFB0CE36A2E8A"/>
        <w:category>
          <w:name w:val="General"/>
          <w:gallery w:val="placeholder"/>
        </w:category>
        <w:types>
          <w:type w:val="bbPlcHdr"/>
        </w:types>
        <w:behaviors>
          <w:behavior w:val="content"/>
        </w:behaviors>
        <w:guid w:val="{F2B7678B-2681-457D-AC5F-6A36A38E30E1}"/>
      </w:docPartPr>
      <w:docPartBody>
        <w:p w:rsidR="00355FBF" w:rsidRDefault="00957260" w:rsidP="00957260">
          <w:pPr>
            <w:pStyle w:val="6694938B3C0B46A0964DFB0CE36A2E8A"/>
          </w:pPr>
          <w:r>
            <w:rPr>
              <w:rStyle w:val="PlaceholderText"/>
            </w:rPr>
            <w:t>Click here to enter a date.</w:t>
          </w:r>
        </w:p>
      </w:docPartBody>
    </w:docPart>
    <w:docPart>
      <w:docPartPr>
        <w:name w:val="0FDD165C41E647379D740092BF83C173"/>
        <w:category>
          <w:name w:val="General"/>
          <w:gallery w:val="placeholder"/>
        </w:category>
        <w:types>
          <w:type w:val="bbPlcHdr"/>
        </w:types>
        <w:behaviors>
          <w:behavior w:val="content"/>
        </w:behaviors>
        <w:guid w:val="{3326F377-336E-4D36-BFF7-EE2012047510}"/>
      </w:docPartPr>
      <w:docPartBody>
        <w:p w:rsidR="00355FBF" w:rsidRDefault="00957260" w:rsidP="00957260">
          <w:pPr>
            <w:pStyle w:val="0FDD165C41E647379D740092BF83C173"/>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IDFont+F2">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937FE"/>
    <w:rsid w:val="000A559A"/>
    <w:rsid w:val="001607D6"/>
    <w:rsid w:val="001D7AD5"/>
    <w:rsid w:val="001E3033"/>
    <w:rsid w:val="00265CF8"/>
    <w:rsid w:val="00307E8F"/>
    <w:rsid w:val="00355FBF"/>
    <w:rsid w:val="003661F6"/>
    <w:rsid w:val="004144A3"/>
    <w:rsid w:val="004160E7"/>
    <w:rsid w:val="004C3E01"/>
    <w:rsid w:val="005074B9"/>
    <w:rsid w:val="00550F3C"/>
    <w:rsid w:val="005A4147"/>
    <w:rsid w:val="005C76A4"/>
    <w:rsid w:val="005E40DD"/>
    <w:rsid w:val="00605A5F"/>
    <w:rsid w:val="00614701"/>
    <w:rsid w:val="00631703"/>
    <w:rsid w:val="006A6C2D"/>
    <w:rsid w:val="006F6665"/>
    <w:rsid w:val="00736CD6"/>
    <w:rsid w:val="007A31E1"/>
    <w:rsid w:val="007B7612"/>
    <w:rsid w:val="007C32DC"/>
    <w:rsid w:val="007C6D1D"/>
    <w:rsid w:val="00847A3C"/>
    <w:rsid w:val="00871A0B"/>
    <w:rsid w:val="00893FC6"/>
    <w:rsid w:val="00957260"/>
    <w:rsid w:val="00973096"/>
    <w:rsid w:val="009B3BF0"/>
    <w:rsid w:val="009D5E5E"/>
    <w:rsid w:val="009F08E3"/>
    <w:rsid w:val="00A22413"/>
    <w:rsid w:val="00B107CB"/>
    <w:rsid w:val="00B23DC0"/>
    <w:rsid w:val="00C170D3"/>
    <w:rsid w:val="00C64FE0"/>
    <w:rsid w:val="00CB4BD1"/>
    <w:rsid w:val="00CE2DA9"/>
    <w:rsid w:val="00CE44BE"/>
    <w:rsid w:val="00E23093"/>
    <w:rsid w:val="00E44A86"/>
    <w:rsid w:val="00EA5866"/>
    <w:rsid w:val="00EF3FB5"/>
    <w:rsid w:val="00EF6E0C"/>
    <w:rsid w:val="00F45FB2"/>
    <w:rsid w:val="00F46FEE"/>
    <w:rsid w:val="00F6553D"/>
    <w:rsid w:val="00F8347E"/>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57260"/>
    <w:rPr>
      <w:color w:val="808080"/>
    </w:rPr>
  </w:style>
  <w:style w:type="paragraph" w:customStyle="1" w:styleId="90A209D6E08E4B0AA4860806018C291A">
    <w:name w:val="90A209D6E08E4B0AA4860806018C291A"/>
    <w:rsid w:val="004C3E01"/>
    <w:rPr>
      <w:lang w:val="en-GB" w:eastAsia="en-GB"/>
    </w:rPr>
  </w:style>
  <w:style w:type="paragraph" w:customStyle="1" w:styleId="47427ECAB8F049C08BEED44A440F489F">
    <w:name w:val="47427ECAB8F049C08BEED44A440F489F"/>
    <w:rsid w:val="00957260"/>
  </w:style>
  <w:style w:type="paragraph" w:customStyle="1" w:styleId="E2334CD99BCB4F9B89088A9A2E8BA59B">
    <w:name w:val="E2334CD99BCB4F9B89088A9A2E8BA59B"/>
    <w:rsid w:val="00957260"/>
  </w:style>
  <w:style w:type="paragraph" w:customStyle="1" w:styleId="6694938B3C0B46A0964DFB0CE36A2E8A">
    <w:name w:val="6694938B3C0B46A0964DFB0CE36A2E8A"/>
    <w:rsid w:val="00957260"/>
  </w:style>
  <w:style w:type="paragraph" w:customStyle="1" w:styleId="0FDD165C41E647379D740092BF83C173">
    <w:name w:val="0FDD165C41E647379D740092BF83C173"/>
    <w:rsid w:val="00957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DC6EE-B68F-4909-A8EA-425E70A2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3217</Words>
  <Characters>18337</Characters>
  <Application>Microsoft Office Word</Application>
  <DocSecurity>0</DocSecurity>
  <Lines>152</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21511</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Armindas Varkala</cp:lastModifiedBy>
  <cp:revision>3</cp:revision>
  <dcterms:created xsi:type="dcterms:W3CDTF">2024-08-29T19:17:00Z</dcterms:created>
  <dcterms:modified xsi:type="dcterms:W3CDTF">2024-09-06T08:16:00Z</dcterms:modified>
</cp:coreProperties>
</file>