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E5EB3" w14:textId="1955ADE3" w:rsidR="005F7602" w:rsidRDefault="005F7602" w:rsidP="002946C7">
      <w:pPr>
        <w:ind w:left="5529"/>
      </w:pPr>
    </w:p>
    <w:p w14:paraId="12FA4B9E" w14:textId="77777777" w:rsidR="001B3C5B" w:rsidRDefault="001B3C5B" w:rsidP="001B3C5B">
      <w:pPr>
        <w:ind w:left="6096"/>
      </w:pPr>
      <w:r>
        <w:t>Forma patvirtinta</w:t>
      </w:r>
    </w:p>
    <w:p w14:paraId="7206970B" w14:textId="70E9BD2E" w:rsidR="004C263A" w:rsidRDefault="001B3C5B" w:rsidP="001B3C5B">
      <w:pPr>
        <w:ind w:left="6096"/>
      </w:pPr>
      <w:r>
        <w:t>Valstybinės vaistų kontrolės tarnybos prie Lietuvos Respublikos sveikatos apsaugos ministerijos viršininko 2021 m</w:t>
      </w:r>
      <w:r w:rsidR="004C263A">
        <w:t xml:space="preserve">. lapkričio 12 </w:t>
      </w:r>
      <w:r>
        <w:t>d. įsakymu Nr.</w:t>
      </w:r>
      <w:r w:rsidR="004C263A">
        <w:t xml:space="preserve"> (1.72E)1A-1418</w:t>
      </w:r>
    </w:p>
    <w:p w14:paraId="5B219AA6" w14:textId="520B9136" w:rsidR="001B3C5B" w:rsidRDefault="004C263A" w:rsidP="001B3C5B">
      <w:pPr>
        <w:ind w:left="6096"/>
      </w:pPr>
      <w:r>
        <w:t>(Valstybinės vaistų kontrolės tarnybos prie Lietuvos Respublikos sveikatos apsaugos ministerijos viršininko 2022 m.                         d. įsakymo Nr.                    redakcija)</w:t>
      </w:r>
    </w:p>
    <w:p w14:paraId="3336BD74" w14:textId="77777777" w:rsidR="001B3C5B" w:rsidRPr="000A2492" w:rsidRDefault="001B3C5B" w:rsidP="00FA4169"/>
    <w:p w14:paraId="77AFB67E" w14:textId="16397257" w:rsidR="00613501" w:rsidRDefault="002F0E4F" w:rsidP="003B211A">
      <w:pPr>
        <w:jc w:val="center"/>
        <w:rPr>
          <w:b/>
          <w:bCs/>
          <w:caps/>
        </w:rPr>
      </w:pPr>
      <w:r>
        <w:rPr>
          <w:b/>
        </w:rPr>
        <w:t xml:space="preserve">REKOMENDACIJA DĖL VAISTINIO PREPARATO </w:t>
      </w:r>
      <w:r w:rsidRPr="002F0E4F">
        <w:rPr>
          <w:b/>
          <w:bCs/>
          <w:caps/>
        </w:rPr>
        <w:t>Lietuvos Respublikos Sveikatos apsaugos ministerijos vaistinių preparatų ir medicinos pagalbos priemonių kompensavimo komisijai</w:t>
      </w:r>
    </w:p>
    <w:p w14:paraId="34E4395D" w14:textId="15FB10DF" w:rsidR="00B13D65" w:rsidRDefault="00B13D65" w:rsidP="003B211A">
      <w:pPr>
        <w:jc w:val="center"/>
        <w:rPr>
          <w:b/>
        </w:rPr>
      </w:pPr>
    </w:p>
    <w:p w14:paraId="46C2D966" w14:textId="36B35087" w:rsidR="00937907" w:rsidRPr="0001172C" w:rsidRDefault="00AD001C" w:rsidP="00AD001C">
      <w:pPr>
        <w:pStyle w:val="TableParagraph"/>
        <w:spacing w:line="273" w:lineRule="exact"/>
        <w:ind w:left="110"/>
        <w:jc w:val="center"/>
        <w:rPr>
          <w:b/>
          <w:sz w:val="24"/>
        </w:rPr>
      </w:pPr>
      <w:r w:rsidRPr="00D642F4">
        <w:rPr>
          <w:b/>
          <w:sz w:val="24"/>
        </w:rPr>
        <w:t xml:space="preserve">Jyseleca 100 mg plėvele </w:t>
      </w:r>
      <w:r w:rsidRPr="0001172C">
        <w:rPr>
          <w:b/>
          <w:sz w:val="24"/>
        </w:rPr>
        <w:t>dengt</w:t>
      </w:r>
      <w:r w:rsidR="003A67F5">
        <w:rPr>
          <w:b/>
          <w:sz w:val="24"/>
        </w:rPr>
        <w:t>os</w:t>
      </w:r>
      <w:r w:rsidRPr="0001172C">
        <w:rPr>
          <w:b/>
          <w:sz w:val="24"/>
        </w:rPr>
        <w:t xml:space="preserve"> tabletė</w:t>
      </w:r>
      <w:r w:rsidR="003A67F5">
        <w:rPr>
          <w:b/>
          <w:sz w:val="24"/>
        </w:rPr>
        <w:t>s</w:t>
      </w:r>
    </w:p>
    <w:p w14:paraId="60E70BB4" w14:textId="5CDCF46C" w:rsidR="00AD001C" w:rsidRPr="0001172C" w:rsidRDefault="00AD001C" w:rsidP="00AD001C">
      <w:pPr>
        <w:pStyle w:val="TableParagraph"/>
        <w:spacing w:line="273" w:lineRule="exact"/>
        <w:ind w:left="110"/>
        <w:jc w:val="center"/>
        <w:rPr>
          <w:b/>
          <w:sz w:val="24"/>
        </w:rPr>
      </w:pPr>
      <w:r w:rsidRPr="0001172C">
        <w:rPr>
          <w:b/>
          <w:sz w:val="24"/>
        </w:rPr>
        <w:t>Jyseleca 200 mg plėvele dengt</w:t>
      </w:r>
      <w:r w:rsidR="003A67F5">
        <w:rPr>
          <w:b/>
          <w:sz w:val="24"/>
        </w:rPr>
        <w:t>os</w:t>
      </w:r>
      <w:r w:rsidRPr="0001172C">
        <w:rPr>
          <w:b/>
          <w:sz w:val="24"/>
        </w:rPr>
        <w:t xml:space="preserve"> tabletė</w:t>
      </w:r>
      <w:r w:rsidR="003A67F5">
        <w:rPr>
          <w:b/>
          <w:sz w:val="24"/>
        </w:rPr>
        <w:t>s</w:t>
      </w:r>
    </w:p>
    <w:p w14:paraId="64EA76DF" w14:textId="77777777" w:rsidR="00AD001C" w:rsidRPr="00AD001C" w:rsidRDefault="00AD001C" w:rsidP="00AD001C">
      <w:pPr>
        <w:pStyle w:val="TableParagraph"/>
        <w:spacing w:line="273" w:lineRule="exact"/>
        <w:ind w:left="110"/>
        <w:rPr>
          <w:sz w:val="24"/>
        </w:rPr>
      </w:pPr>
    </w:p>
    <w:p w14:paraId="3C1AFC17" w14:textId="03E0451D" w:rsidR="00937907" w:rsidRPr="00880A44" w:rsidRDefault="00DF583C" w:rsidP="00937907">
      <w:pPr>
        <w:jc w:val="center"/>
      </w:pPr>
      <w:r>
        <w:t>(</w:t>
      </w:r>
      <w:r w:rsidR="00AD001C">
        <w:rPr>
          <w:b/>
        </w:rPr>
        <w:t>Filgotinibas</w:t>
      </w:r>
      <w:r>
        <w:t>)</w:t>
      </w:r>
    </w:p>
    <w:p w14:paraId="7245D69E" w14:textId="77777777" w:rsidR="00937907" w:rsidRPr="00880A44" w:rsidRDefault="00937907" w:rsidP="00937907">
      <w:pPr>
        <w:jc w:val="center"/>
      </w:pPr>
    </w:p>
    <w:p w14:paraId="5BC2EA5D" w14:textId="2399BA56" w:rsidR="00937907" w:rsidRDefault="00AD001C" w:rsidP="003B211A">
      <w:pPr>
        <w:jc w:val="center"/>
        <w:rPr>
          <w:b/>
        </w:rPr>
      </w:pPr>
      <w:r>
        <w:rPr>
          <w:b/>
        </w:rPr>
        <w:t>STV-14</w:t>
      </w:r>
      <w:r w:rsidR="003A67F5">
        <w:rPr>
          <w:b/>
        </w:rPr>
        <w:t>2</w:t>
      </w:r>
    </w:p>
    <w:p w14:paraId="453197C8" w14:textId="77777777" w:rsidR="00D4708D" w:rsidRPr="004C263A" w:rsidRDefault="00D4708D" w:rsidP="003B211A">
      <w:pPr>
        <w:jc w:val="center"/>
        <w:rPr>
          <w:b/>
        </w:rPr>
      </w:pPr>
    </w:p>
    <w:p w14:paraId="78C89D1C" w14:textId="60B3C9BC" w:rsidR="00D4485B" w:rsidRDefault="00B13D65" w:rsidP="00937907">
      <w:pPr>
        <w:pStyle w:val="Sraopastraipa"/>
        <w:numPr>
          <w:ilvl w:val="0"/>
          <w:numId w:val="12"/>
        </w:numPr>
        <w:tabs>
          <w:tab w:val="left" w:pos="284"/>
        </w:tabs>
        <w:rPr>
          <w:b/>
          <w:bCs/>
          <w:caps/>
        </w:rPr>
      </w:pPr>
      <w:r>
        <w:rPr>
          <w:b/>
          <w:bCs/>
          <w:caps/>
        </w:rPr>
        <w:t>.Bendroji dalis</w:t>
      </w:r>
    </w:p>
    <w:p w14:paraId="04A7C7A7" w14:textId="77777777" w:rsidR="00B13D65" w:rsidRDefault="00B13D65" w:rsidP="00E03C3F">
      <w:pPr>
        <w:pStyle w:val="Sraopastraipa"/>
        <w:tabs>
          <w:tab w:val="left" w:pos="284"/>
        </w:tabs>
        <w:ind w:left="0"/>
        <w:rPr>
          <w:b/>
          <w:bCs/>
          <w:caps/>
        </w:rPr>
      </w:pPr>
    </w:p>
    <w:tbl>
      <w:tblPr>
        <w:tblStyle w:val="Lentelstinklelis"/>
        <w:tblW w:w="9039" w:type="dxa"/>
        <w:tblLook w:val="04A0" w:firstRow="1" w:lastRow="0" w:firstColumn="1" w:lastColumn="0" w:noHBand="0" w:noVBand="1"/>
      </w:tblPr>
      <w:tblGrid>
        <w:gridCol w:w="632"/>
        <w:gridCol w:w="3694"/>
        <w:gridCol w:w="4713"/>
      </w:tblGrid>
      <w:tr w:rsidR="00B13D65" w:rsidRPr="00FE1635" w14:paraId="18A83EC2" w14:textId="77777777" w:rsidTr="006834D3">
        <w:trPr>
          <w:trHeight w:val="538"/>
        </w:trPr>
        <w:tc>
          <w:tcPr>
            <w:tcW w:w="632" w:type="dxa"/>
          </w:tcPr>
          <w:p w14:paraId="0646FBEA" w14:textId="77777777" w:rsidR="00B13D65" w:rsidRPr="006E501F" w:rsidRDefault="00B13D65" w:rsidP="00BD1E5A">
            <w:pPr>
              <w:tabs>
                <w:tab w:val="left" w:pos="284"/>
              </w:tabs>
              <w:spacing w:line="280" w:lineRule="atLeast"/>
              <w:rPr>
                <w:rFonts w:eastAsia="Arial"/>
                <w:b/>
              </w:rPr>
            </w:pPr>
            <w:r w:rsidRPr="006E501F">
              <w:rPr>
                <w:rFonts w:eastAsia="Arial"/>
                <w:b/>
              </w:rPr>
              <w:t>1.1</w:t>
            </w:r>
          </w:p>
        </w:tc>
        <w:tc>
          <w:tcPr>
            <w:tcW w:w="3694" w:type="dxa"/>
          </w:tcPr>
          <w:p w14:paraId="6C3AE864" w14:textId="77777777" w:rsidR="00B13D65" w:rsidRPr="006E501F" w:rsidRDefault="00B13D65" w:rsidP="00BD1E5A">
            <w:pPr>
              <w:tabs>
                <w:tab w:val="left" w:pos="284"/>
              </w:tabs>
              <w:spacing w:line="280" w:lineRule="atLeast"/>
              <w:rPr>
                <w:rFonts w:eastAsia="Arial"/>
                <w:b/>
              </w:rPr>
            </w:pPr>
            <w:r w:rsidRPr="006E501F">
              <w:rPr>
                <w:rFonts w:eastAsia="Arial"/>
                <w:b/>
              </w:rPr>
              <w:t>Pareiškėjas</w:t>
            </w:r>
          </w:p>
          <w:p w14:paraId="2AF240DC" w14:textId="77777777" w:rsidR="00B13D65" w:rsidRPr="00FE1635" w:rsidRDefault="00B13D65" w:rsidP="00BD1E5A">
            <w:pPr>
              <w:tabs>
                <w:tab w:val="left" w:pos="284"/>
              </w:tabs>
              <w:spacing w:line="280" w:lineRule="atLeast"/>
              <w:rPr>
                <w:rFonts w:eastAsia="Arial"/>
                <w:b/>
              </w:rPr>
            </w:pPr>
          </w:p>
        </w:tc>
        <w:tc>
          <w:tcPr>
            <w:tcW w:w="4713" w:type="dxa"/>
          </w:tcPr>
          <w:p w14:paraId="2AAF0D91" w14:textId="45D3EE22" w:rsidR="00B13D65" w:rsidRPr="00FE1635" w:rsidRDefault="0001172C" w:rsidP="00BD1E5A">
            <w:pPr>
              <w:tabs>
                <w:tab w:val="left" w:pos="284"/>
              </w:tabs>
              <w:spacing w:line="280" w:lineRule="atLeast"/>
              <w:rPr>
                <w:rFonts w:eastAsia="Arial"/>
                <w:b/>
              </w:rPr>
            </w:pPr>
            <w:r>
              <w:rPr>
                <w:color w:val="000000" w:themeColor="text1"/>
              </w:rPr>
              <w:t>Oy Swedish Orphan Biovitrum Ab</w:t>
            </w:r>
            <w:r w:rsidDel="0001172C">
              <w:t xml:space="preserve"> </w:t>
            </w:r>
          </w:p>
        </w:tc>
      </w:tr>
      <w:tr w:rsidR="00B13D65" w:rsidRPr="00FE1635" w14:paraId="31998B0D" w14:textId="77777777" w:rsidTr="006834D3">
        <w:trPr>
          <w:trHeight w:val="538"/>
        </w:trPr>
        <w:tc>
          <w:tcPr>
            <w:tcW w:w="632" w:type="dxa"/>
          </w:tcPr>
          <w:p w14:paraId="2005EC67" w14:textId="662300D0" w:rsidR="00B13D65" w:rsidRPr="00FE1635" w:rsidRDefault="002E0702" w:rsidP="00BD1E5A">
            <w:pPr>
              <w:tabs>
                <w:tab w:val="left" w:pos="284"/>
              </w:tabs>
              <w:spacing w:line="280" w:lineRule="atLeast"/>
              <w:rPr>
                <w:rFonts w:eastAsia="Arial"/>
                <w:b/>
              </w:rPr>
            </w:pPr>
            <w:r>
              <w:rPr>
                <w:rFonts w:eastAsia="Arial"/>
                <w:b/>
              </w:rPr>
              <w:t>1.2</w:t>
            </w:r>
          </w:p>
        </w:tc>
        <w:tc>
          <w:tcPr>
            <w:tcW w:w="3694" w:type="dxa"/>
          </w:tcPr>
          <w:p w14:paraId="1E4AE3B1" w14:textId="77777777" w:rsidR="00B13D65" w:rsidRPr="00FE1635" w:rsidRDefault="00B13D65" w:rsidP="00BD1E5A">
            <w:pPr>
              <w:tabs>
                <w:tab w:val="left" w:pos="284"/>
              </w:tabs>
              <w:spacing w:line="280" w:lineRule="atLeast"/>
              <w:rPr>
                <w:b/>
                <w:bCs/>
                <w:color w:val="000000"/>
                <w:lang w:eastAsia="lt-LT"/>
              </w:rPr>
            </w:pPr>
            <w:r w:rsidRPr="00FE1635">
              <w:rPr>
                <w:b/>
                <w:bCs/>
                <w:color w:val="000000"/>
                <w:lang w:eastAsia="lt-LT"/>
              </w:rPr>
              <w:t xml:space="preserve">Registracijos data </w:t>
            </w:r>
          </w:p>
          <w:p w14:paraId="3A0DC096" w14:textId="77777777" w:rsidR="00B13D65" w:rsidRPr="00FE1635" w:rsidRDefault="00B13D65" w:rsidP="00BD1E5A">
            <w:pPr>
              <w:tabs>
                <w:tab w:val="left" w:pos="284"/>
              </w:tabs>
              <w:spacing w:line="280" w:lineRule="atLeast"/>
              <w:rPr>
                <w:bCs/>
                <w:color w:val="000000"/>
                <w:lang w:eastAsia="lt-LT"/>
              </w:rPr>
            </w:pPr>
          </w:p>
        </w:tc>
        <w:tc>
          <w:tcPr>
            <w:tcW w:w="4713" w:type="dxa"/>
          </w:tcPr>
          <w:p w14:paraId="3CA218AD" w14:textId="4D47417C" w:rsidR="00B13D65" w:rsidRPr="00B70629" w:rsidRDefault="00000000" w:rsidP="00BD1E5A">
            <w:pPr>
              <w:pStyle w:val="Sraopastraipa"/>
              <w:spacing w:after="120"/>
              <w:ind w:left="0"/>
              <w:contextualSpacing w:val="0"/>
              <w:jc w:val="both"/>
              <w:rPr>
                <w:rStyle w:val="Style2"/>
              </w:rPr>
            </w:pPr>
            <w:sdt>
              <w:sdtPr>
                <w:rPr>
                  <w:sz w:val="32"/>
                </w:rPr>
                <w:alias w:val="Nurodykite konkrečią dieną"/>
                <w:tag w:val="Nurodykite pradžios datą"/>
                <w:id w:val="423238108"/>
                <w:placeholder>
                  <w:docPart w:val="0A1DCC42A2974C359888226B925C8FF8"/>
                </w:placeholder>
                <w15:color w:val="FFCC99"/>
                <w:date w:fullDate="2020-09-24T00:00:00Z">
                  <w:dateFormat w:val="yyyy 'm.' MMMM d 'd.'"/>
                  <w:lid w:val="lt-LT"/>
                  <w:storeMappedDataAs w:val="dateTime"/>
                  <w:calendar w:val="gregorian"/>
                </w:date>
              </w:sdtPr>
              <w:sdtEndPr>
                <w:rPr>
                  <w:sz w:val="24"/>
                </w:rPr>
              </w:sdtEndPr>
              <w:sdtContent>
                <w:r w:rsidR="00985EDA" w:rsidRPr="00EF646E">
                  <w:t>2020 m. rugsėjo 24 d.</w:t>
                </w:r>
              </w:sdtContent>
            </w:sdt>
          </w:p>
        </w:tc>
      </w:tr>
      <w:tr w:rsidR="00B13D65" w:rsidRPr="00FE1635" w14:paraId="15968AE1" w14:textId="77777777" w:rsidTr="006834D3">
        <w:trPr>
          <w:trHeight w:val="1500"/>
        </w:trPr>
        <w:tc>
          <w:tcPr>
            <w:tcW w:w="632" w:type="dxa"/>
          </w:tcPr>
          <w:p w14:paraId="6A784245" w14:textId="1E461489" w:rsidR="00B13D65" w:rsidRPr="00FE1635" w:rsidRDefault="002E0702" w:rsidP="00BD1E5A">
            <w:pPr>
              <w:tabs>
                <w:tab w:val="left" w:pos="284"/>
              </w:tabs>
              <w:spacing w:line="280" w:lineRule="atLeast"/>
              <w:rPr>
                <w:rFonts w:eastAsia="Arial"/>
                <w:b/>
              </w:rPr>
            </w:pPr>
            <w:r>
              <w:rPr>
                <w:rFonts w:eastAsia="Arial"/>
                <w:b/>
              </w:rPr>
              <w:t>1.3</w:t>
            </w:r>
          </w:p>
        </w:tc>
        <w:tc>
          <w:tcPr>
            <w:tcW w:w="3694" w:type="dxa"/>
          </w:tcPr>
          <w:p w14:paraId="22933506" w14:textId="77777777" w:rsidR="00B13D65" w:rsidRPr="0039696E" w:rsidRDefault="00B13D65" w:rsidP="00BD1E5A">
            <w:pPr>
              <w:pStyle w:val="Betarp"/>
              <w:rPr>
                <w:rFonts w:ascii="Times New Roman" w:hAnsi="Times New Roman"/>
                <w:b/>
                <w:sz w:val="24"/>
                <w:szCs w:val="24"/>
              </w:rPr>
            </w:pPr>
            <w:r w:rsidRPr="0039696E">
              <w:rPr>
                <w:rFonts w:ascii="Times New Roman" w:hAnsi="Times New Roman"/>
                <w:b/>
                <w:sz w:val="24"/>
                <w:szCs w:val="24"/>
              </w:rPr>
              <w:t xml:space="preserve">Paraiškos tipas </w:t>
            </w:r>
          </w:p>
          <w:p w14:paraId="0465E680" w14:textId="7F0A0714" w:rsidR="00B13D65" w:rsidRPr="0039696E" w:rsidRDefault="00B13D65" w:rsidP="00BD1E5A">
            <w:pPr>
              <w:rPr>
                <w:b/>
              </w:rPr>
            </w:pPr>
            <w:r w:rsidRPr="0039696E">
              <w:rPr>
                <w:b/>
              </w:rPr>
              <w:t>(</w:t>
            </w:r>
            <w:r w:rsidR="00695CD3" w:rsidRPr="0039696E">
              <w:rPr>
                <w:b/>
              </w:rPr>
              <w:t xml:space="preserve">pagal </w:t>
            </w:r>
            <w:r w:rsidR="0039696E" w:rsidRPr="00100491">
              <w:rPr>
                <w:b/>
                <w:color w:val="333333"/>
                <w:shd w:val="clear" w:color="auto" w:fill="FFFFFF"/>
              </w:rPr>
              <w:t>vaistinio preparato registracijos tipą, įtvirtintą</w:t>
            </w:r>
            <w:r w:rsidR="0039696E" w:rsidRPr="0039696E">
              <w:rPr>
                <w:b/>
              </w:rPr>
              <w:t xml:space="preserve"> </w:t>
            </w:r>
            <w:r w:rsidRPr="0039696E">
              <w:rPr>
                <w:b/>
              </w:rPr>
              <w:t>Direktyv</w:t>
            </w:r>
            <w:r w:rsidR="00695CD3" w:rsidRPr="0039696E">
              <w:rPr>
                <w:b/>
              </w:rPr>
              <w:t>os</w:t>
            </w:r>
            <w:r w:rsidRPr="0039696E">
              <w:rPr>
                <w:b/>
              </w:rPr>
              <w:t xml:space="preserve"> 2001/83/EB</w:t>
            </w:r>
            <w:r w:rsidR="00695CD3" w:rsidRPr="0039696E">
              <w:rPr>
                <w:b/>
              </w:rPr>
              <w:t xml:space="preserve"> straips</w:t>
            </w:r>
            <w:r w:rsidR="0039696E">
              <w:rPr>
                <w:b/>
              </w:rPr>
              <w:t>iuose</w:t>
            </w:r>
            <w:r w:rsidRPr="0039696E">
              <w:rPr>
                <w:b/>
              </w:rPr>
              <w:t>)</w:t>
            </w:r>
          </w:p>
          <w:p w14:paraId="77089D80" w14:textId="6681D72A" w:rsidR="00B13D65" w:rsidRPr="0039696E" w:rsidRDefault="00B13D65" w:rsidP="0039696E">
            <w:pPr>
              <w:tabs>
                <w:tab w:val="left" w:pos="284"/>
              </w:tabs>
              <w:spacing w:line="280" w:lineRule="atLeast"/>
              <w:rPr>
                <w:b/>
                <w:bCs/>
                <w:color w:val="000000"/>
                <w:lang w:eastAsia="lt-LT"/>
              </w:rPr>
            </w:pPr>
          </w:p>
        </w:tc>
        <w:tc>
          <w:tcPr>
            <w:tcW w:w="4713" w:type="dxa"/>
          </w:tcPr>
          <w:p w14:paraId="208F40EC" w14:textId="7C95982F" w:rsidR="00B13D65" w:rsidRPr="00937907" w:rsidRDefault="00000000" w:rsidP="00937907">
            <w:pPr>
              <w:pStyle w:val="Sraopastraipa"/>
              <w:spacing w:after="120"/>
              <w:ind w:left="0"/>
              <w:contextualSpacing w:val="0"/>
              <w:jc w:val="both"/>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Content>
                <w:r w:rsidR="00AD001C">
                  <w:rPr>
                    <w:rStyle w:val="Style2"/>
                    <w:rFonts w:ascii="MS Gothic" w:eastAsia="MS Gothic" w:hAnsi="MS Gothic" w:hint="eastAsia"/>
                    <w:sz w:val="22"/>
                    <w:szCs w:val="22"/>
                  </w:rPr>
                  <w:t>☒</w:t>
                </w:r>
              </w:sdtContent>
            </w:sdt>
            <w:r w:rsidR="00B13D65" w:rsidRPr="00937907">
              <w:rPr>
                <w:sz w:val="22"/>
                <w:szCs w:val="22"/>
              </w:rPr>
              <w:t xml:space="preserve">8.3 str. (pilna byla, pagrįsta savais tyrimais) </w:t>
            </w:r>
          </w:p>
          <w:p w14:paraId="32BA564E" w14:textId="3FDA3E01" w:rsidR="00B13D65" w:rsidRPr="00937907" w:rsidRDefault="00000000" w:rsidP="00937907">
            <w:pPr>
              <w:pStyle w:val="Sraopastraipa"/>
              <w:spacing w:after="120"/>
              <w:ind w:left="0"/>
              <w:contextualSpacing w:val="0"/>
              <w:jc w:val="both"/>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Content>
                <w:r w:rsidR="00CC7832" w:rsidRPr="00937907">
                  <w:rPr>
                    <w:rStyle w:val="Style2"/>
                    <w:rFonts w:ascii="Segoe UI Symbol" w:eastAsia="MS Gothic" w:hAnsi="Segoe UI Symbol" w:cs="Segoe UI Symbol"/>
                    <w:sz w:val="22"/>
                    <w:szCs w:val="22"/>
                  </w:rPr>
                  <w:t>☐</w:t>
                </w:r>
              </w:sdtContent>
            </w:sdt>
            <w:r w:rsidR="00B13D65" w:rsidRPr="00937907">
              <w:rPr>
                <w:sz w:val="22"/>
                <w:szCs w:val="22"/>
              </w:rPr>
              <w:t xml:space="preserve">10 a str. (pripažintas medicininis vartojimas) </w:t>
            </w:r>
          </w:p>
          <w:p w14:paraId="318DCD7F" w14:textId="32333E53" w:rsidR="00B13D65" w:rsidRPr="00937907" w:rsidRDefault="00000000" w:rsidP="00937907">
            <w:pPr>
              <w:pStyle w:val="Sraopastraipa"/>
              <w:spacing w:after="120"/>
              <w:ind w:left="0"/>
              <w:contextualSpacing w:val="0"/>
              <w:jc w:val="both"/>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Content>
                <w:r w:rsidR="00CC7832" w:rsidRPr="00937907">
                  <w:rPr>
                    <w:rStyle w:val="Style2"/>
                    <w:rFonts w:ascii="Segoe UI Symbol" w:eastAsia="MS Gothic" w:hAnsi="Segoe UI Symbol" w:cs="Segoe UI Symbol"/>
                    <w:sz w:val="22"/>
                    <w:szCs w:val="22"/>
                  </w:rPr>
                  <w:t>☐</w:t>
                </w:r>
              </w:sdtContent>
            </w:sdt>
            <w:r w:rsidR="00B13D65" w:rsidRPr="00937907">
              <w:rPr>
                <w:sz w:val="22"/>
                <w:szCs w:val="22"/>
              </w:rPr>
              <w:t>10.1 str. (generinis)</w:t>
            </w:r>
          </w:p>
          <w:p w14:paraId="3B0A4F72" w14:textId="3F5FB073" w:rsidR="00B13D65" w:rsidRPr="00B70629" w:rsidRDefault="00000000" w:rsidP="00937907">
            <w:pPr>
              <w:pStyle w:val="Sraopastraipa"/>
              <w:spacing w:after="120"/>
              <w:ind w:left="0"/>
              <w:contextualSpacing w:val="0"/>
              <w:jc w:val="both"/>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Content>
                <w:r w:rsidR="00CC7832" w:rsidRPr="00937907">
                  <w:rPr>
                    <w:rStyle w:val="Style2"/>
                    <w:rFonts w:ascii="Segoe UI Symbol" w:eastAsia="MS Gothic" w:hAnsi="Segoe UI Symbol" w:cs="Segoe UI Symbol"/>
                    <w:sz w:val="22"/>
                    <w:szCs w:val="22"/>
                  </w:rPr>
                  <w:t>☐</w:t>
                </w:r>
              </w:sdtContent>
            </w:sdt>
            <w:r w:rsidR="00B13D65" w:rsidRPr="00937907">
              <w:rPr>
                <w:sz w:val="22"/>
                <w:szCs w:val="22"/>
              </w:rPr>
              <w:t>10.3 str. (hibridinis)</w:t>
            </w:r>
          </w:p>
        </w:tc>
      </w:tr>
      <w:tr w:rsidR="00B13D65" w:rsidRPr="00FE1635" w14:paraId="310E9662" w14:textId="77777777" w:rsidTr="006834D3">
        <w:trPr>
          <w:trHeight w:val="1442"/>
        </w:trPr>
        <w:tc>
          <w:tcPr>
            <w:tcW w:w="632" w:type="dxa"/>
          </w:tcPr>
          <w:p w14:paraId="4B5A91A2" w14:textId="561B5E5F" w:rsidR="00B13D65" w:rsidRPr="00FE1635" w:rsidRDefault="00B13D65" w:rsidP="002E0702">
            <w:pPr>
              <w:tabs>
                <w:tab w:val="left" w:pos="284"/>
              </w:tabs>
              <w:spacing w:line="280" w:lineRule="atLeast"/>
              <w:rPr>
                <w:rFonts w:eastAsia="Arial"/>
                <w:b/>
              </w:rPr>
            </w:pPr>
            <w:r w:rsidRPr="00FE1635">
              <w:rPr>
                <w:rFonts w:eastAsia="Arial"/>
                <w:b/>
              </w:rPr>
              <w:t>1.</w:t>
            </w:r>
            <w:r w:rsidR="002E0702">
              <w:rPr>
                <w:rFonts w:eastAsia="Arial"/>
                <w:b/>
              </w:rPr>
              <w:t>4</w:t>
            </w:r>
          </w:p>
        </w:tc>
        <w:tc>
          <w:tcPr>
            <w:tcW w:w="3694" w:type="dxa"/>
          </w:tcPr>
          <w:p w14:paraId="33726F9C" w14:textId="36E023D8" w:rsidR="00B13D65" w:rsidRPr="00AD001C" w:rsidRDefault="00B13D65" w:rsidP="00BD1E5A">
            <w:pPr>
              <w:tabs>
                <w:tab w:val="left" w:pos="284"/>
              </w:tabs>
              <w:spacing w:line="280" w:lineRule="atLeast"/>
              <w:rPr>
                <w:b/>
                <w:bCs/>
                <w:color w:val="000000"/>
                <w:lang w:eastAsia="lt-LT"/>
              </w:rPr>
            </w:pPr>
            <w:r w:rsidRPr="00FE1635">
              <w:rPr>
                <w:b/>
                <w:bCs/>
                <w:color w:val="000000"/>
                <w:lang w:eastAsia="lt-LT"/>
              </w:rPr>
              <w:t xml:space="preserve">Ar vaistinis preparatas įrašytas į Bendrijos retųjų vaistinių preparatų registrą? </w:t>
            </w:r>
          </w:p>
          <w:p w14:paraId="483071A3" w14:textId="5B91E647" w:rsidR="00B13D65" w:rsidRPr="00FE1635" w:rsidRDefault="00B13D65" w:rsidP="00A06DBB">
            <w:pPr>
              <w:tabs>
                <w:tab w:val="left" w:pos="284"/>
              </w:tabs>
              <w:spacing w:line="280" w:lineRule="atLeast"/>
              <w:rPr>
                <w:b/>
                <w:bCs/>
                <w:color w:val="000000"/>
                <w:lang w:eastAsia="lt-LT"/>
              </w:rPr>
            </w:pPr>
          </w:p>
        </w:tc>
        <w:tc>
          <w:tcPr>
            <w:tcW w:w="4713" w:type="dxa"/>
          </w:tcPr>
          <w:p w14:paraId="05845C60" w14:textId="77777777" w:rsidR="00B13D65" w:rsidRPr="006E501F" w:rsidRDefault="00000000" w:rsidP="00BD1E5A">
            <w:pPr>
              <w:pStyle w:val="Sraopastraipa"/>
              <w:spacing w:after="120"/>
              <w:ind w:left="0"/>
              <w:contextualSpacing w:val="0"/>
              <w:jc w:val="both"/>
            </w:pPr>
            <w:sdt>
              <w:sdtPr>
                <w:rPr>
                  <w:rStyle w:val="Style2"/>
                </w:rPr>
                <w:id w:val="2024432173"/>
                <w15:color w:val="FFCC00"/>
                <w14:checkbox>
                  <w14:checked w14:val="0"/>
                  <w14:checkedState w14:val="2612" w14:font="MS Gothic"/>
                  <w14:uncheckedState w14:val="2610" w14:font="MS Gothic"/>
                </w14:checkbox>
              </w:sdtPr>
              <w:sdtContent>
                <w:r w:rsidR="00B13D65" w:rsidRPr="00B70629">
                  <w:rPr>
                    <w:rStyle w:val="Style2"/>
                    <w:rFonts w:ascii="Segoe UI Symbol" w:eastAsia="MS Gothic" w:hAnsi="Segoe UI Symbol" w:cs="Segoe UI Symbol"/>
                  </w:rPr>
                  <w:t>☐</w:t>
                </w:r>
              </w:sdtContent>
            </w:sdt>
            <w:r w:rsidR="00B13D65" w:rsidRPr="006E501F">
              <w:t xml:space="preserve"> Taip</w:t>
            </w:r>
          </w:p>
          <w:p w14:paraId="29C2CBBB" w14:textId="0A5C9BAA" w:rsidR="00B13D65" w:rsidRPr="00AD001C" w:rsidRDefault="00000000" w:rsidP="00AD001C">
            <w:pPr>
              <w:pStyle w:val="Sraopastraipa"/>
              <w:spacing w:after="120"/>
              <w:ind w:left="0"/>
              <w:contextualSpacing w:val="0"/>
              <w:jc w:val="both"/>
            </w:pPr>
            <w:sdt>
              <w:sdtPr>
                <w:rPr>
                  <w:rStyle w:val="Style2"/>
                </w:rPr>
                <w:id w:val="-970507926"/>
                <w15:color w:val="FFCC00"/>
                <w14:checkbox>
                  <w14:checked w14:val="1"/>
                  <w14:checkedState w14:val="2612" w14:font="MS Gothic"/>
                  <w14:uncheckedState w14:val="2610" w14:font="MS Gothic"/>
                </w14:checkbox>
              </w:sdtPr>
              <w:sdtContent>
                <w:r w:rsidR="00AD001C">
                  <w:rPr>
                    <w:rStyle w:val="Style2"/>
                    <w:rFonts w:ascii="MS Gothic" w:eastAsia="MS Gothic" w:hAnsi="MS Gothic" w:hint="eastAsia"/>
                  </w:rPr>
                  <w:t>☒</w:t>
                </w:r>
              </w:sdtContent>
            </w:sdt>
            <w:r w:rsidR="00B13D65" w:rsidRPr="006E501F">
              <w:t xml:space="preserve"> Ne</w:t>
            </w:r>
          </w:p>
        </w:tc>
      </w:tr>
      <w:tr w:rsidR="00B13D65" w:rsidRPr="00FE1635" w14:paraId="274D1DAF" w14:textId="77777777" w:rsidTr="006834D3">
        <w:trPr>
          <w:trHeight w:val="1922"/>
        </w:trPr>
        <w:tc>
          <w:tcPr>
            <w:tcW w:w="632" w:type="dxa"/>
          </w:tcPr>
          <w:p w14:paraId="17ABF217" w14:textId="6D9EE8BB" w:rsidR="00B13D65" w:rsidRPr="00FE1635" w:rsidRDefault="00B13D65" w:rsidP="002E0702">
            <w:pPr>
              <w:tabs>
                <w:tab w:val="left" w:pos="284"/>
              </w:tabs>
              <w:spacing w:line="280" w:lineRule="atLeast"/>
              <w:rPr>
                <w:rFonts w:eastAsia="Arial"/>
                <w:b/>
              </w:rPr>
            </w:pPr>
            <w:r w:rsidRPr="00FE1635">
              <w:rPr>
                <w:rFonts w:eastAsia="Arial"/>
                <w:b/>
              </w:rPr>
              <w:t>1.</w:t>
            </w:r>
            <w:r w:rsidR="002E0702">
              <w:rPr>
                <w:rFonts w:eastAsia="Arial"/>
                <w:b/>
              </w:rPr>
              <w:t>5</w:t>
            </w:r>
          </w:p>
        </w:tc>
        <w:tc>
          <w:tcPr>
            <w:tcW w:w="3694" w:type="dxa"/>
          </w:tcPr>
          <w:p w14:paraId="3A731095" w14:textId="15E6927F" w:rsidR="00B13D65" w:rsidRPr="00FE1635" w:rsidRDefault="00B13D65" w:rsidP="00BD1E5A">
            <w:pPr>
              <w:tabs>
                <w:tab w:val="left" w:pos="284"/>
              </w:tabs>
              <w:spacing w:line="280" w:lineRule="atLeast"/>
              <w:rPr>
                <w:b/>
                <w:bCs/>
                <w:color w:val="000000"/>
                <w:lang w:eastAsia="lt-LT"/>
              </w:rPr>
            </w:pPr>
            <w:r w:rsidRPr="00FE1635">
              <w:rPr>
                <w:b/>
                <w:bCs/>
                <w:color w:val="000000"/>
                <w:lang w:eastAsia="lt-LT"/>
              </w:rPr>
              <w:t>Teikiama (-os) kompensuoti registruot</w:t>
            </w:r>
            <w:r>
              <w:rPr>
                <w:b/>
                <w:bCs/>
                <w:color w:val="000000"/>
                <w:lang w:eastAsia="lt-LT"/>
              </w:rPr>
              <w:t>a</w:t>
            </w:r>
            <w:r w:rsidRPr="00FE1635">
              <w:rPr>
                <w:b/>
                <w:bCs/>
                <w:color w:val="000000"/>
                <w:lang w:eastAsia="lt-LT"/>
              </w:rPr>
              <w:t xml:space="preserve"> (-os) vaistinio preparato indikacija (-os), </w:t>
            </w:r>
          </w:p>
          <w:p w14:paraId="6B4FEEC1" w14:textId="39613EA1" w:rsidR="00B13D65" w:rsidRPr="00FE1635" w:rsidRDefault="00B13D65" w:rsidP="00BD1E5A">
            <w:pPr>
              <w:tabs>
                <w:tab w:val="left" w:pos="284"/>
              </w:tabs>
              <w:spacing w:line="280" w:lineRule="atLeast"/>
              <w:rPr>
                <w:b/>
                <w:bCs/>
                <w:color w:val="000000"/>
                <w:lang w:eastAsia="lt-LT"/>
              </w:rPr>
            </w:pPr>
            <w:r>
              <w:rPr>
                <w:b/>
                <w:bCs/>
                <w:color w:val="000000"/>
                <w:lang w:eastAsia="lt-LT"/>
              </w:rPr>
              <w:t>TLK</w:t>
            </w:r>
            <w:r w:rsidRPr="00FE1635">
              <w:rPr>
                <w:b/>
                <w:bCs/>
                <w:color w:val="000000"/>
                <w:lang w:eastAsia="lt-LT"/>
              </w:rPr>
              <w:t xml:space="preserve"> kodas</w:t>
            </w:r>
          </w:p>
        </w:tc>
        <w:tc>
          <w:tcPr>
            <w:tcW w:w="4713" w:type="dxa"/>
          </w:tcPr>
          <w:p w14:paraId="1BF7B0D0" w14:textId="77777777" w:rsidR="005872C6" w:rsidRPr="00EA17F6" w:rsidRDefault="005872C6" w:rsidP="005872C6">
            <w:pPr>
              <w:pStyle w:val="Sraopastraipa"/>
              <w:spacing w:after="120" w:line="276" w:lineRule="auto"/>
              <w:ind w:left="0"/>
              <w:jc w:val="both"/>
              <w:rPr>
                <w:color w:val="000000" w:themeColor="text1"/>
              </w:rPr>
            </w:pPr>
            <w:r w:rsidRPr="00EA17F6">
              <w:rPr>
                <w:color w:val="000000" w:themeColor="text1"/>
              </w:rPr>
              <w:t>Jyseleca skirtas vidutinio sunkumo arba sunkiu aktyviu opiniu kolitu sergantiems suaugusiems</w:t>
            </w:r>
          </w:p>
          <w:p w14:paraId="0846E9A4" w14:textId="77777777" w:rsidR="005872C6" w:rsidRPr="00EA17F6" w:rsidRDefault="005872C6" w:rsidP="005872C6">
            <w:pPr>
              <w:pStyle w:val="Sraopastraipa"/>
              <w:spacing w:after="120" w:line="276" w:lineRule="auto"/>
              <w:ind w:left="0"/>
              <w:jc w:val="both"/>
              <w:rPr>
                <w:color w:val="000000" w:themeColor="text1"/>
              </w:rPr>
            </w:pPr>
            <w:r w:rsidRPr="00EA17F6">
              <w:rPr>
                <w:color w:val="000000" w:themeColor="text1"/>
              </w:rPr>
              <w:t>pacientams gydyti, kai įprastinis gydymas arba gydymas biologiniu vaistiniu preparatu sukėlė</w:t>
            </w:r>
          </w:p>
          <w:p w14:paraId="237DF665" w14:textId="77777777" w:rsidR="005872C6" w:rsidRPr="00EA17F6" w:rsidRDefault="005872C6" w:rsidP="005872C6">
            <w:pPr>
              <w:pStyle w:val="Sraopastraipa"/>
              <w:spacing w:after="120" w:line="276" w:lineRule="auto"/>
              <w:ind w:left="0"/>
              <w:contextualSpacing w:val="0"/>
              <w:jc w:val="both"/>
              <w:rPr>
                <w:color w:val="000000" w:themeColor="text1"/>
              </w:rPr>
            </w:pPr>
            <w:r w:rsidRPr="00EA17F6">
              <w:rPr>
                <w:color w:val="000000" w:themeColor="text1"/>
              </w:rPr>
              <w:t>nepakankamą atsaką, atsakas išnyko arba gydymas buvo netoleruojamas.</w:t>
            </w:r>
          </w:p>
          <w:p w14:paraId="326254E9" w14:textId="77777777" w:rsidR="005872C6" w:rsidRPr="00EA17F6" w:rsidRDefault="005872C6" w:rsidP="005872C6">
            <w:pPr>
              <w:pStyle w:val="Sraopastraipa"/>
              <w:spacing w:after="120" w:line="276" w:lineRule="auto"/>
              <w:ind w:left="0"/>
              <w:jc w:val="both"/>
              <w:rPr>
                <w:color w:val="000000" w:themeColor="text1"/>
              </w:rPr>
            </w:pPr>
            <w:r w:rsidRPr="00EA17F6">
              <w:rPr>
                <w:color w:val="000000" w:themeColor="text1"/>
              </w:rPr>
              <w:t>K51</w:t>
            </w:r>
          </w:p>
          <w:p w14:paraId="13F7DFB0" w14:textId="41E132EA" w:rsidR="00B13D65" w:rsidRPr="006E501F" w:rsidRDefault="00B13D65" w:rsidP="00BD1E5A">
            <w:pPr>
              <w:pStyle w:val="Sraopastraipa"/>
              <w:spacing w:after="120"/>
              <w:ind w:left="0"/>
              <w:contextualSpacing w:val="0"/>
              <w:jc w:val="both"/>
            </w:pPr>
          </w:p>
        </w:tc>
      </w:tr>
      <w:tr w:rsidR="00B13D65" w:rsidRPr="00FE1635" w14:paraId="2F79DC08" w14:textId="77777777" w:rsidTr="006834D3">
        <w:trPr>
          <w:trHeight w:val="378"/>
        </w:trPr>
        <w:tc>
          <w:tcPr>
            <w:tcW w:w="632" w:type="dxa"/>
          </w:tcPr>
          <w:p w14:paraId="547885A2" w14:textId="08AA8055" w:rsidR="00B13D65" w:rsidRPr="00FE1635" w:rsidRDefault="00B13D65" w:rsidP="002E0702">
            <w:pPr>
              <w:tabs>
                <w:tab w:val="left" w:pos="284"/>
              </w:tabs>
              <w:spacing w:line="280" w:lineRule="atLeast"/>
              <w:rPr>
                <w:rFonts w:eastAsia="Arial"/>
                <w:b/>
              </w:rPr>
            </w:pPr>
            <w:r w:rsidRPr="00FE1635">
              <w:rPr>
                <w:rFonts w:eastAsia="Arial"/>
                <w:b/>
              </w:rPr>
              <w:lastRenderedPageBreak/>
              <w:t>1.</w:t>
            </w:r>
            <w:r w:rsidR="002E0702">
              <w:rPr>
                <w:rFonts w:eastAsia="Arial"/>
                <w:b/>
              </w:rPr>
              <w:t>6</w:t>
            </w:r>
          </w:p>
        </w:tc>
        <w:tc>
          <w:tcPr>
            <w:tcW w:w="3694" w:type="dxa"/>
          </w:tcPr>
          <w:p w14:paraId="2EAB877F" w14:textId="4D3F62F5" w:rsidR="00B13D65" w:rsidRPr="00FE1635" w:rsidRDefault="00B13D65" w:rsidP="00B13D65">
            <w:pPr>
              <w:tabs>
                <w:tab w:val="left" w:pos="284"/>
              </w:tabs>
              <w:spacing w:line="280" w:lineRule="atLeast"/>
              <w:rPr>
                <w:bCs/>
                <w:color w:val="000000"/>
                <w:u w:val="single"/>
                <w:lang w:eastAsia="lt-LT"/>
              </w:rPr>
            </w:pPr>
            <w:r>
              <w:rPr>
                <w:b/>
                <w:bCs/>
                <w:color w:val="000000"/>
                <w:lang w:eastAsia="lt-LT"/>
              </w:rPr>
              <w:t>Teikiamos</w:t>
            </w:r>
            <w:r w:rsidRPr="00FE1635">
              <w:rPr>
                <w:b/>
                <w:bCs/>
                <w:color w:val="000000"/>
                <w:lang w:eastAsia="lt-LT"/>
              </w:rPr>
              <w:t xml:space="preserve"> skyrimo sąlygos </w:t>
            </w:r>
          </w:p>
        </w:tc>
        <w:tc>
          <w:tcPr>
            <w:tcW w:w="4713" w:type="dxa"/>
          </w:tcPr>
          <w:p w14:paraId="0579DF58" w14:textId="6D11B014" w:rsidR="00B13D65" w:rsidRPr="00FE1635" w:rsidRDefault="00302F17" w:rsidP="00BD1E5A">
            <w:pPr>
              <w:pStyle w:val="Sraopastraipa"/>
              <w:spacing w:after="120"/>
              <w:ind w:left="0"/>
              <w:contextualSpacing w:val="0"/>
              <w:jc w:val="both"/>
            </w:pPr>
            <w:r>
              <w:rPr>
                <w:color w:val="000000" w:themeColor="text1"/>
              </w:rPr>
              <w:t>Nesiūloma</w:t>
            </w:r>
          </w:p>
        </w:tc>
      </w:tr>
      <w:tr w:rsidR="00B13D65" w:rsidRPr="00FE1635" w14:paraId="3B125269" w14:textId="77777777" w:rsidTr="006834D3">
        <w:trPr>
          <w:trHeight w:val="378"/>
        </w:trPr>
        <w:tc>
          <w:tcPr>
            <w:tcW w:w="632" w:type="dxa"/>
          </w:tcPr>
          <w:p w14:paraId="0058E11F" w14:textId="77777777" w:rsidR="00B13D65" w:rsidRPr="00FE1635" w:rsidRDefault="00B13D65" w:rsidP="00BD1E5A">
            <w:pPr>
              <w:tabs>
                <w:tab w:val="left" w:pos="284"/>
              </w:tabs>
              <w:spacing w:line="280" w:lineRule="atLeast"/>
              <w:rPr>
                <w:rFonts w:eastAsia="Arial"/>
                <w:b/>
              </w:rPr>
            </w:pPr>
            <w:r w:rsidRPr="00FE1635">
              <w:rPr>
                <w:rFonts w:eastAsia="Arial"/>
                <w:b/>
              </w:rPr>
              <w:t>1.7</w:t>
            </w:r>
          </w:p>
        </w:tc>
        <w:tc>
          <w:tcPr>
            <w:tcW w:w="3694" w:type="dxa"/>
          </w:tcPr>
          <w:p w14:paraId="0146D8E0" w14:textId="77777777" w:rsidR="00B13D65" w:rsidRDefault="00B13D65" w:rsidP="00B13D65">
            <w:pPr>
              <w:tabs>
                <w:tab w:val="left" w:pos="284"/>
              </w:tabs>
              <w:spacing w:line="280" w:lineRule="atLeast"/>
              <w:rPr>
                <w:b/>
                <w:bCs/>
                <w:color w:val="000000"/>
                <w:lang w:eastAsia="lt-LT"/>
              </w:rPr>
            </w:pPr>
            <w:r w:rsidRPr="00FE1635">
              <w:rPr>
                <w:b/>
                <w:bCs/>
                <w:color w:val="000000"/>
                <w:lang w:eastAsia="lt-LT"/>
              </w:rPr>
              <w:t xml:space="preserve">Palyginamasis gydymas </w:t>
            </w:r>
          </w:p>
          <w:p w14:paraId="6CC1022E" w14:textId="41A3EBAC" w:rsidR="0001172C" w:rsidRPr="006E501F" w:rsidRDefault="0001172C" w:rsidP="00B13D65">
            <w:pPr>
              <w:tabs>
                <w:tab w:val="left" w:pos="284"/>
              </w:tabs>
              <w:spacing w:line="280" w:lineRule="atLeast"/>
              <w:rPr>
                <w:b/>
                <w:bCs/>
                <w:color w:val="000000"/>
                <w:lang w:eastAsia="lt-LT"/>
              </w:rPr>
            </w:pPr>
          </w:p>
        </w:tc>
        <w:tc>
          <w:tcPr>
            <w:tcW w:w="4713" w:type="dxa"/>
          </w:tcPr>
          <w:p w14:paraId="41B44044" w14:textId="59AFCC54" w:rsidR="00B13D65" w:rsidRPr="006E501F" w:rsidRDefault="005872C6" w:rsidP="00BD1E5A">
            <w:pPr>
              <w:spacing w:after="120"/>
              <w:jc w:val="both"/>
            </w:pPr>
            <w:r>
              <w:t>Tofacitinibas ir kiti palyginamieji (adalimumabas, ustekinumabas, vedolizumabas)</w:t>
            </w:r>
          </w:p>
        </w:tc>
      </w:tr>
    </w:tbl>
    <w:p w14:paraId="108176F7" w14:textId="640C6F75" w:rsidR="00F70C9E" w:rsidRDefault="00F70C9E" w:rsidP="00E03C3F">
      <w:pPr>
        <w:pStyle w:val="Sraopastraipa"/>
        <w:tabs>
          <w:tab w:val="left" w:pos="426"/>
        </w:tabs>
        <w:ind w:left="0"/>
        <w:rPr>
          <w:b/>
          <w:bCs/>
          <w:caps/>
        </w:rPr>
      </w:pPr>
    </w:p>
    <w:p w14:paraId="2871CA7F" w14:textId="2370BDDB" w:rsidR="00F70C9E" w:rsidRPr="00177C8C" w:rsidRDefault="00F70C9E" w:rsidP="00880A44">
      <w:pPr>
        <w:spacing w:line="276" w:lineRule="auto"/>
        <w:jc w:val="both"/>
        <w:rPr>
          <w:rFonts w:eastAsia="Arial"/>
          <w:b/>
        </w:rPr>
      </w:pPr>
      <w:r w:rsidRPr="00177C8C">
        <w:rPr>
          <w:rFonts w:eastAsia="Arial"/>
          <w:b/>
        </w:rPr>
        <w:t>1</w:t>
      </w:r>
      <w:r w:rsidRPr="00302F17">
        <w:rPr>
          <w:rFonts w:eastAsia="Arial"/>
          <w:b/>
        </w:rPr>
        <w:t xml:space="preserve">.8 Kitų </w:t>
      </w:r>
      <w:r w:rsidR="00DF583C" w:rsidRPr="00302F17">
        <w:rPr>
          <w:rFonts w:eastAsia="Arial"/>
          <w:b/>
        </w:rPr>
        <w:t xml:space="preserve">valstybių </w:t>
      </w:r>
      <w:r w:rsidRPr="00302F17">
        <w:rPr>
          <w:rFonts w:eastAsia="Arial"/>
          <w:b/>
        </w:rPr>
        <w:t xml:space="preserve">atsakingų institucijų atlikto </w:t>
      </w:r>
      <w:r w:rsidR="00DF583C" w:rsidRPr="00302F17">
        <w:rPr>
          <w:rFonts w:eastAsia="Arial"/>
          <w:b/>
        </w:rPr>
        <w:t>Sveikatos technologijų vertinimo (toliau – STV)</w:t>
      </w:r>
      <w:r w:rsidRPr="00302F17">
        <w:rPr>
          <w:rFonts w:eastAsia="Arial"/>
          <w:b/>
        </w:rPr>
        <w:t xml:space="preserve"> išvados</w:t>
      </w:r>
    </w:p>
    <w:p w14:paraId="5FA02A8A" w14:textId="77777777" w:rsidR="00FA12A1" w:rsidRPr="00FA12A1" w:rsidRDefault="00FA12A1" w:rsidP="00FA12A1">
      <w:pPr>
        <w:spacing w:line="276" w:lineRule="auto"/>
        <w:jc w:val="both"/>
        <w:rPr>
          <w:rFonts w:eastAsia="Arial"/>
          <w:color w:val="000000"/>
        </w:rPr>
      </w:pPr>
    </w:p>
    <w:tbl>
      <w:tblPr>
        <w:tblStyle w:val="TableGrid1"/>
        <w:tblW w:w="9067" w:type="dxa"/>
        <w:tblLook w:val="04A0" w:firstRow="1" w:lastRow="0" w:firstColumn="1" w:lastColumn="0" w:noHBand="0" w:noVBand="1"/>
      </w:tblPr>
      <w:tblGrid>
        <w:gridCol w:w="2839"/>
        <w:gridCol w:w="1820"/>
        <w:gridCol w:w="2192"/>
        <w:gridCol w:w="2216"/>
      </w:tblGrid>
      <w:tr w:rsidR="00FA12A1" w:rsidRPr="00FA12A1" w14:paraId="38EAA05D" w14:textId="77777777" w:rsidTr="00824E49">
        <w:trPr>
          <w:trHeight w:val="924"/>
        </w:trPr>
        <w:tc>
          <w:tcPr>
            <w:tcW w:w="2839" w:type="dxa"/>
          </w:tcPr>
          <w:p w14:paraId="1E8CE3D3" w14:textId="77777777" w:rsidR="00FA12A1" w:rsidRPr="00FA12A1" w:rsidRDefault="00FA12A1" w:rsidP="00FA12A1">
            <w:pPr>
              <w:spacing w:line="276" w:lineRule="auto"/>
              <w:jc w:val="both"/>
              <w:rPr>
                <w:rFonts w:eastAsia="Arial"/>
                <w:color w:val="000000"/>
              </w:rPr>
            </w:pPr>
            <w:r w:rsidRPr="00FA12A1">
              <w:rPr>
                <w:rFonts w:eastAsia="Arial"/>
                <w:color w:val="000000"/>
              </w:rPr>
              <w:t>STV agentūros pavadinimas, šalis</w:t>
            </w:r>
          </w:p>
        </w:tc>
        <w:tc>
          <w:tcPr>
            <w:tcW w:w="1820" w:type="dxa"/>
          </w:tcPr>
          <w:p w14:paraId="1E0CDA84" w14:textId="77777777" w:rsidR="00FA12A1" w:rsidRPr="00FA12A1" w:rsidRDefault="00FA12A1" w:rsidP="00FA12A1">
            <w:pPr>
              <w:spacing w:line="276" w:lineRule="auto"/>
              <w:jc w:val="both"/>
              <w:rPr>
                <w:rFonts w:eastAsia="Arial"/>
                <w:color w:val="000000"/>
              </w:rPr>
            </w:pPr>
            <w:r w:rsidRPr="00FA12A1">
              <w:rPr>
                <w:rFonts w:eastAsia="Arial"/>
                <w:color w:val="000000"/>
              </w:rPr>
              <w:t>STV vertinimas atliktas</w:t>
            </w:r>
          </w:p>
        </w:tc>
        <w:tc>
          <w:tcPr>
            <w:tcW w:w="2192" w:type="dxa"/>
          </w:tcPr>
          <w:p w14:paraId="6E27AAA7" w14:textId="77777777" w:rsidR="00FA12A1" w:rsidRPr="00FA12A1" w:rsidRDefault="00FA12A1" w:rsidP="00FA12A1">
            <w:pPr>
              <w:spacing w:line="276" w:lineRule="auto"/>
              <w:jc w:val="both"/>
              <w:rPr>
                <w:rFonts w:eastAsia="Arial"/>
                <w:color w:val="000000"/>
              </w:rPr>
            </w:pPr>
            <w:r w:rsidRPr="00FA12A1">
              <w:rPr>
                <w:rFonts w:eastAsia="Arial"/>
                <w:color w:val="000000"/>
              </w:rPr>
              <w:t>Klinikinio vertinimo išvada</w:t>
            </w:r>
          </w:p>
        </w:tc>
        <w:tc>
          <w:tcPr>
            <w:tcW w:w="2216" w:type="dxa"/>
          </w:tcPr>
          <w:p w14:paraId="02CACB6C" w14:textId="77777777" w:rsidR="00FA12A1" w:rsidRPr="00FA12A1" w:rsidRDefault="00FA12A1" w:rsidP="00FA12A1">
            <w:pPr>
              <w:spacing w:line="276" w:lineRule="auto"/>
              <w:jc w:val="both"/>
              <w:rPr>
                <w:rFonts w:eastAsia="Arial"/>
                <w:color w:val="000000"/>
              </w:rPr>
            </w:pPr>
            <w:r w:rsidRPr="00FA12A1">
              <w:rPr>
                <w:rFonts w:eastAsia="Arial"/>
                <w:color w:val="000000"/>
              </w:rPr>
              <w:t>Farmakoekonominio vertinimo išvada</w:t>
            </w:r>
          </w:p>
        </w:tc>
      </w:tr>
      <w:tr w:rsidR="00FA12A1" w:rsidRPr="00FA12A1" w14:paraId="003AB250" w14:textId="77777777" w:rsidTr="00824E49">
        <w:trPr>
          <w:trHeight w:val="1765"/>
        </w:trPr>
        <w:tc>
          <w:tcPr>
            <w:tcW w:w="2839" w:type="dxa"/>
          </w:tcPr>
          <w:p w14:paraId="1C16D71F" w14:textId="77777777" w:rsidR="00FA12A1" w:rsidRPr="00FA12A1" w:rsidRDefault="00FA12A1" w:rsidP="00FA12A1">
            <w:pPr>
              <w:autoSpaceDE w:val="0"/>
              <w:autoSpaceDN w:val="0"/>
              <w:adjustRightInd w:val="0"/>
              <w:spacing w:line="276" w:lineRule="auto"/>
              <w:jc w:val="both"/>
              <w:rPr>
                <w:bCs/>
                <w:color w:val="000000"/>
              </w:rPr>
            </w:pPr>
            <w:r w:rsidRPr="00FA12A1">
              <w:rPr>
                <w:bCs/>
                <w:color w:val="000000"/>
              </w:rPr>
              <w:t>Nacionalinis sveikatos ir klinikinės kompetencijos institutas, Didžioji Britanija</w:t>
            </w:r>
          </w:p>
          <w:p w14:paraId="334787BF" w14:textId="77777777" w:rsidR="00FA12A1" w:rsidRPr="00FA12A1" w:rsidRDefault="00FA12A1" w:rsidP="00FA12A1">
            <w:pPr>
              <w:spacing w:line="276" w:lineRule="auto"/>
              <w:jc w:val="both"/>
              <w:rPr>
                <w:rFonts w:eastAsia="Arial"/>
                <w:color w:val="000000"/>
              </w:rPr>
            </w:pPr>
            <w:r w:rsidRPr="00FA12A1">
              <w:rPr>
                <w:rFonts w:eastAsia="Arial"/>
                <w:color w:val="000000"/>
              </w:rPr>
              <w:t xml:space="preserve">(angl. </w:t>
            </w:r>
            <w:r w:rsidRPr="00FA12A1">
              <w:rPr>
                <w:rFonts w:eastAsia="Arial"/>
                <w:i/>
                <w:color w:val="000000"/>
              </w:rPr>
              <w:t>National Institute for Health and Care Excellence, NICE</w:t>
            </w:r>
            <w:r w:rsidRPr="00FA12A1">
              <w:rPr>
                <w:rFonts w:eastAsia="Arial"/>
                <w:color w:val="000000"/>
              </w:rPr>
              <w:t>)</w:t>
            </w:r>
          </w:p>
        </w:tc>
        <w:tc>
          <w:tcPr>
            <w:tcW w:w="1820" w:type="dxa"/>
          </w:tcPr>
          <w:p w14:paraId="5A2F68CD" w14:textId="77777777" w:rsidR="00FA12A1" w:rsidRPr="00FA12A1" w:rsidRDefault="00000000" w:rsidP="00FA12A1">
            <w:pPr>
              <w:spacing w:line="276" w:lineRule="auto"/>
              <w:jc w:val="both"/>
              <w:rPr>
                <w:color w:val="000000"/>
                <w:szCs w:val="20"/>
              </w:rPr>
            </w:pPr>
            <w:sdt>
              <w:sdtPr>
                <w:rPr>
                  <w:color w:val="000000"/>
                  <w:sz w:val="32"/>
                </w:rPr>
                <w:id w:val="1558205022"/>
                <w15:color w:val="FFCC00"/>
                <w14:checkbox>
                  <w14:checked w14:val="1"/>
                  <w14:checkedState w14:val="2612" w14:font="MS Gothic"/>
                  <w14:uncheckedState w14:val="2610" w14:font="MS Gothic"/>
                </w14:checkbox>
              </w:sdtPr>
              <w:sdtContent>
                <w:r w:rsidR="00FA12A1" w:rsidRPr="00FA12A1">
                  <w:rPr>
                    <w:rFonts w:eastAsia="MS Gothic" w:hint="eastAsia"/>
                    <w:color w:val="000000"/>
                    <w:sz w:val="32"/>
                  </w:rPr>
                  <w:t>☒</w:t>
                </w:r>
              </w:sdtContent>
            </w:sdt>
            <w:r w:rsidR="00FA12A1" w:rsidRPr="00FA12A1">
              <w:rPr>
                <w:color w:val="000000"/>
                <w:szCs w:val="20"/>
              </w:rPr>
              <w:t xml:space="preserve"> Taip</w:t>
            </w:r>
          </w:p>
          <w:p w14:paraId="67D46613" w14:textId="77777777" w:rsidR="00FA12A1" w:rsidRPr="00FA12A1" w:rsidRDefault="00000000" w:rsidP="00FA12A1">
            <w:pPr>
              <w:spacing w:line="276" w:lineRule="auto"/>
              <w:jc w:val="both"/>
              <w:rPr>
                <w:color w:val="000000"/>
                <w:szCs w:val="20"/>
              </w:rPr>
            </w:pPr>
            <w:sdt>
              <w:sdtPr>
                <w:rPr>
                  <w:color w:val="000000"/>
                  <w:sz w:val="32"/>
                </w:rPr>
                <w:id w:val="866029625"/>
                <w15:color w:val="FFCC00"/>
                <w14:checkbox>
                  <w14:checked w14:val="0"/>
                  <w14:checkedState w14:val="2612" w14:font="MS Gothic"/>
                  <w14:uncheckedState w14:val="2610" w14:font="MS Gothic"/>
                </w14:checkbox>
              </w:sdtPr>
              <w:sdtContent>
                <w:r w:rsidR="00FA12A1" w:rsidRPr="00FA12A1">
                  <w:rPr>
                    <w:rFonts w:eastAsia="MS Gothic" w:hint="eastAsia"/>
                    <w:color w:val="000000"/>
                    <w:sz w:val="32"/>
                  </w:rPr>
                  <w:t>☐</w:t>
                </w:r>
              </w:sdtContent>
            </w:sdt>
            <w:r w:rsidR="00FA12A1" w:rsidRPr="00FA12A1">
              <w:rPr>
                <w:color w:val="000000"/>
                <w:szCs w:val="20"/>
              </w:rPr>
              <w:t xml:space="preserve"> Ne</w:t>
            </w:r>
          </w:p>
          <w:p w14:paraId="5A5CCC6E" w14:textId="77777777" w:rsidR="00FA12A1" w:rsidRPr="00FA12A1" w:rsidRDefault="00000000" w:rsidP="00FA12A1">
            <w:pPr>
              <w:spacing w:line="276" w:lineRule="auto"/>
              <w:jc w:val="both"/>
              <w:rPr>
                <w:rFonts w:eastAsia="Arial"/>
                <w:color w:val="000000"/>
                <w:szCs w:val="20"/>
              </w:rPr>
            </w:pPr>
            <w:sdt>
              <w:sdtPr>
                <w:rPr>
                  <w:color w:val="000000"/>
                  <w:szCs w:val="20"/>
                </w:rPr>
                <w:alias w:val="Nurodykite konkrečią dieną"/>
                <w:tag w:val="Nurodykite pradžios datą"/>
                <w:id w:val="922837954"/>
                <w:placeholder>
                  <w:docPart w:val="A40A3956F5A644CE88AA307438FE6A8F"/>
                </w:placeholder>
                <w15:color w:val="FFCC99"/>
                <w:date w:fullDate="2021-10-25T00:00:00Z">
                  <w:dateFormat w:val="yyyy 'm.' MMMM d 'd.'"/>
                  <w:lid w:val="lt-LT"/>
                  <w:storeMappedDataAs w:val="dateTime"/>
                  <w:calendar w:val="gregorian"/>
                </w:date>
              </w:sdtPr>
              <w:sdtContent>
                <w:r w:rsidR="00FA12A1" w:rsidRPr="00FA12A1">
                  <w:rPr>
                    <w:color w:val="000000"/>
                    <w:szCs w:val="20"/>
                  </w:rPr>
                  <w:t>2021 m. spalio 25 d.</w:t>
                </w:r>
              </w:sdtContent>
            </w:sdt>
          </w:p>
        </w:tc>
        <w:tc>
          <w:tcPr>
            <w:tcW w:w="4408" w:type="dxa"/>
            <w:gridSpan w:val="2"/>
          </w:tcPr>
          <w:p w14:paraId="351B7685" w14:textId="77777777" w:rsidR="00FA12A1" w:rsidRPr="00FA12A1" w:rsidRDefault="00FA12A1" w:rsidP="00FA12A1">
            <w:pPr>
              <w:spacing w:before="100" w:beforeAutospacing="1" w:after="100" w:afterAutospacing="1" w:line="276" w:lineRule="auto"/>
              <w:jc w:val="both"/>
              <w:rPr>
                <w:bCs/>
                <w:color w:val="000000"/>
                <w:lang w:eastAsia="lt-LT"/>
              </w:rPr>
            </w:pPr>
            <w:r w:rsidRPr="00FA12A1">
              <w:rPr>
                <w:bCs/>
                <w:color w:val="000000"/>
              </w:rPr>
              <w:t xml:space="preserve">Filgotinibas rekomenduotas kompensuoti  kaip gydymo pasirinkimą suaugusiems pacientams, kuriems nustatytas  vidutinio sunkumo ir  sunkus opinis kolitas: </w:t>
            </w:r>
          </w:p>
          <w:p w14:paraId="799EAEFE" w14:textId="77777777" w:rsidR="00FA12A1" w:rsidRPr="00FA12A1" w:rsidRDefault="00FA12A1" w:rsidP="00FA12A1">
            <w:pPr>
              <w:numPr>
                <w:ilvl w:val="0"/>
                <w:numId w:val="14"/>
              </w:numPr>
              <w:spacing w:before="100" w:beforeAutospacing="1" w:after="100" w:afterAutospacing="1" w:line="276" w:lineRule="auto"/>
              <w:jc w:val="both"/>
              <w:rPr>
                <w:rFonts w:eastAsia="Arial"/>
                <w:color w:val="000000"/>
                <w:lang w:eastAsia="lt-LT"/>
              </w:rPr>
            </w:pPr>
            <w:r w:rsidRPr="00FA12A1">
              <w:rPr>
                <w:bCs/>
                <w:color w:val="000000"/>
              </w:rPr>
              <w:t>Standartinis arba biologinis gydymas nėra toleruojamas.</w:t>
            </w:r>
          </w:p>
          <w:p w14:paraId="57AC4EF1" w14:textId="77777777" w:rsidR="00FA12A1" w:rsidRPr="00FA12A1" w:rsidRDefault="00FA12A1" w:rsidP="00FA12A1">
            <w:pPr>
              <w:numPr>
                <w:ilvl w:val="0"/>
                <w:numId w:val="14"/>
              </w:numPr>
              <w:spacing w:before="100" w:beforeAutospacing="1" w:after="100" w:afterAutospacing="1" w:line="276" w:lineRule="auto"/>
              <w:jc w:val="both"/>
              <w:rPr>
                <w:rFonts w:eastAsia="Arial"/>
                <w:color w:val="000000"/>
                <w:lang w:eastAsia="lt-LT"/>
              </w:rPr>
            </w:pPr>
            <w:r w:rsidRPr="00FA12A1">
              <w:rPr>
                <w:bCs/>
                <w:color w:val="000000"/>
              </w:rPr>
              <w:t>Nėra atsako į gydymą arba gydymas nutrauktas dėl nepakankamo standartinio arba biologinio gydymo efektyvumo.</w:t>
            </w:r>
          </w:p>
          <w:p w14:paraId="085D5962" w14:textId="77777777" w:rsidR="00FA12A1" w:rsidRPr="00FA12A1" w:rsidRDefault="00FA12A1" w:rsidP="00FA12A1">
            <w:pPr>
              <w:numPr>
                <w:ilvl w:val="0"/>
                <w:numId w:val="14"/>
              </w:numPr>
              <w:spacing w:before="100" w:beforeAutospacing="1" w:after="100" w:afterAutospacing="1" w:line="276" w:lineRule="auto"/>
              <w:jc w:val="both"/>
              <w:rPr>
                <w:rFonts w:eastAsia="Arial"/>
                <w:color w:val="000000"/>
                <w:lang w:eastAsia="lt-LT"/>
              </w:rPr>
            </w:pPr>
            <w:r w:rsidRPr="00FA12A1">
              <w:rPr>
                <w:bCs/>
                <w:color w:val="000000"/>
                <w:lang w:eastAsia="lt-LT"/>
              </w:rPr>
              <w:t xml:space="preserve">Pareiškėjas sutinka pasirašyti komercinį sutartį dėl vaistinio preparato suderintos kainos </w:t>
            </w:r>
          </w:p>
        </w:tc>
      </w:tr>
      <w:tr w:rsidR="00824E49" w:rsidRPr="00FA12A1" w14:paraId="089F4FFB" w14:textId="77777777" w:rsidTr="00824E49">
        <w:trPr>
          <w:trHeight w:val="1547"/>
        </w:trPr>
        <w:tc>
          <w:tcPr>
            <w:tcW w:w="2839" w:type="dxa"/>
          </w:tcPr>
          <w:p w14:paraId="66D752E5" w14:textId="77777777" w:rsidR="00824E49" w:rsidRPr="00FA12A1" w:rsidRDefault="00824E49" w:rsidP="00FA12A1">
            <w:pPr>
              <w:spacing w:line="276" w:lineRule="auto"/>
              <w:jc w:val="both"/>
              <w:rPr>
                <w:rFonts w:eastAsia="Arial"/>
                <w:color w:val="000000"/>
              </w:rPr>
            </w:pPr>
            <w:r w:rsidRPr="00FA12A1">
              <w:rPr>
                <w:rFonts w:eastAsia="Arial"/>
                <w:color w:val="000000"/>
              </w:rPr>
              <w:t>Kanados sveikatos technologijų agentūra</w:t>
            </w:r>
          </w:p>
          <w:p w14:paraId="6D93FEFF" w14:textId="77777777" w:rsidR="00824E49" w:rsidRPr="00FA12A1" w:rsidRDefault="00824E49" w:rsidP="00FA12A1">
            <w:pPr>
              <w:spacing w:line="276" w:lineRule="auto"/>
              <w:jc w:val="both"/>
              <w:rPr>
                <w:rFonts w:eastAsia="Arial"/>
                <w:color w:val="000000"/>
              </w:rPr>
            </w:pPr>
            <w:r w:rsidRPr="00FA12A1">
              <w:rPr>
                <w:rFonts w:eastAsia="Arial"/>
                <w:color w:val="000000"/>
              </w:rPr>
              <w:t xml:space="preserve">(angl. </w:t>
            </w:r>
            <w:r w:rsidRPr="00FA12A1">
              <w:rPr>
                <w:rFonts w:eastAsia="Arial"/>
                <w:i/>
                <w:color w:val="000000"/>
              </w:rPr>
              <w:t>Canadian health Technology Assessment agency, CADTH</w:t>
            </w:r>
            <w:r w:rsidRPr="00FA12A1">
              <w:rPr>
                <w:rFonts w:eastAsia="Arial"/>
                <w:color w:val="000000"/>
              </w:rPr>
              <w:t>)</w:t>
            </w:r>
          </w:p>
        </w:tc>
        <w:tc>
          <w:tcPr>
            <w:tcW w:w="1820" w:type="dxa"/>
          </w:tcPr>
          <w:p w14:paraId="61AA62C3" w14:textId="77777777" w:rsidR="00824E49" w:rsidRPr="00FA12A1" w:rsidRDefault="00000000" w:rsidP="00FA12A1">
            <w:pPr>
              <w:spacing w:line="276" w:lineRule="auto"/>
              <w:jc w:val="both"/>
              <w:rPr>
                <w:color w:val="000000"/>
                <w:szCs w:val="20"/>
              </w:rPr>
            </w:pPr>
            <w:sdt>
              <w:sdtPr>
                <w:rPr>
                  <w:color w:val="000000"/>
                  <w:sz w:val="32"/>
                </w:rPr>
                <w:id w:val="-372539057"/>
                <w15:color w:val="FFCC00"/>
                <w14:checkbox>
                  <w14:checked w14:val="0"/>
                  <w14:checkedState w14:val="2612" w14:font="MS Gothic"/>
                  <w14:uncheckedState w14:val="2610" w14:font="MS Gothic"/>
                </w14:checkbox>
              </w:sdtPr>
              <w:sdtContent>
                <w:r w:rsidR="00824E49" w:rsidRPr="00FA12A1">
                  <w:rPr>
                    <w:rFonts w:ascii="Segoe UI Symbol" w:eastAsia="MS Gothic" w:hAnsi="Segoe UI Symbol" w:cs="Segoe UI Symbol"/>
                    <w:color w:val="000000"/>
                    <w:sz w:val="32"/>
                  </w:rPr>
                  <w:t>☐</w:t>
                </w:r>
              </w:sdtContent>
            </w:sdt>
            <w:r w:rsidR="00824E49" w:rsidRPr="00FA12A1">
              <w:rPr>
                <w:color w:val="000000"/>
                <w:szCs w:val="20"/>
              </w:rPr>
              <w:t xml:space="preserve"> Taip</w:t>
            </w:r>
          </w:p>
          <w:p w14:paraId="609BC2DB" w14:textId="77777777" w:rsidR="00824E49" w:rsidRPr="00FA12A1" w:rsidRDefault="00000000" w:rsidP="00FA12A1">
            <w:pPr>
              <w:spacing w:line="276" w:lineRule="auto"/>
              <w:jc w:val="both"/>
              <w:rPr>
                <w:color w:val="000000"/>
                <w:szCs w:val="20"/>
              </w:rPr>
            </w:pPr>
            <w:sdt>
              <w:sdtPr>
                <w:rPr>
                  <w:color w:val="000000"/>
                  <w:sz w:val="32"/>
                </w:rPr>
                <w:id w:val="594442222"/>
                <w15:color w:val="FFCC00"/>
                <w14:checkbox>
                  <w14:checked w14:val="1"/>
                  <w14:checkedState w14:val="2612" w14:font="MS Gothic"/>
                  <w14:uncheckedState w14:val="2610" w14:font="MS Gothic"/>
                </w14:checkbox>
              </w:sdtPr>
              <w:sdtContent>
                <w:r w:rsidR="00824E49" w:rsidRPr="00FA12A1">
                  <w:rPr>
                    <w:rFonts w:eastAsia="MS Gothic" w:hint="eastAsia"/>
                    <w:color w:val="000000"/>
                    <w:sz w:val="32"/>
                  </w:rPr>
                  <w:t>☒</w:t>
                </w:r>
              </w:sdtContent>
            </w:sdt>
            <w:r w:rsidR="00824E49" w:rsidRPr="00FA12A1">
              <w:rPr>
                <w:color w:val="000000"/>
                <w:szCs w:val="20"/>
              </w:rPr>
              <w:t xml:space="preserve"> Ne</w:t>
            </w:r>
          </w:p>
          <w:p w14:paraId="528F3A9A" w14:textId="77777777" w:rsidR="00824E49" w:rsidRPr="00FA12A1" w:rsidRDefault="00000000" w:rsidP="00FA12A1">
            <w:pPr>
              <w:spacing w:line="276" w:lineRule="auto"/>
              <w:jc w:val="both"/>
              <w:rPr>
                <w:rFonts w:eastAsia="Arial"/>
                <w:color w:val="000000"/>
              </w:rPr>
            </w:pPr>
            <w:sdt>
              <w:sdtPr>
                <w:rPr>
                  <w:color w:val="000000"/>
                </w:rPr>
                <w:alias w:val="Nurodykite konkrečią dieną"/>
                <w:tag w:val="Nurodykite pradžios datą"/>
                <w:id w:val="1072468416"/>
                <w:placeholder>
                  <w:docPart w:val="BC7DB06F1C2948D1889C539F4CBBBE8B"/>
                </w:placeholder>
                <w:showingPlcHdr/>
                <w15:color w:val="FFCC99"/>
                <w:date w:fullDate="2022-05-18T00:00:00Z">
                  <w:dateFormat w:val="yyyy 'm.' MMMM d 'd.'"/>
                  <w:lid w:val="lt-LT"/>
                  <w:storeMappedDataAs w:val="dateTime"/>
                  <w:calendar w:val="gregorian"/>
                </w:date>
              </w:sdtPr>
              <w:sdtContent>
                <w:r w:rsidR="00824E49" w:rsidRPr="00FA12A1">
                  <w:rPr>
                    <w:color w:val="000000"/>
                  </w:rPr>
                  <w:t>Click here to enter a date.</w:t>
                </w:r>
              </w:sdtContent>
            </w:sdt>
          </w:p>
        </w:tc>
        <w:tc>
          <w:tcPr>
            <w:tcW w:w="4408" w:type="dxa"/>
            <w:gridSpan w:val="2"/>
          </w:tcPr>
          <w:p w14:paraId="23C64705" w14:textId="77777777" w:rsidR="00824E49" w:rsidRPr="00FA12A1" w:rsidRDefault="00824E49" w:rsidP="00FA12A1">
            <w:pPr>
              <w:spacing w:line="276" w:lineRule="auto"/>
              <w:jc w:val="both"/>
              <w:rPr>
                <w:rFonts w:eastAsia="Arial"/>
                <w:color w:val="000000"/>
              </w:rPr>
            </w:pPr>
          </w:p>
        </w:tc>
      </w:tr>
      <w:tr w:rsidR="00FA12A1" w:rsidRPr="00FA12A1" w14:paraId="6979F1D3" w14:textId="77777777" w:rsidTr="00824E49">
        <w:trPr>
          <w:trHeight w:val="1927"/>
        </w:trPr>
        <w:tc>
          <w:tcPr>
            <w:tcW w:w="2839" w:type="dxa"/>
          </w:tcPr>
          <w:p w14:paraId="62CBF665" w14:textId="77777777" w:rsidR="00FA12A1" w:rsidRPr="00FA12A1" w:rsidRDefault="00FA12A1" w:rsidP="00FA12A1">
            <w:pPr>
              <w:spacing w:line="276" w:lineRule="auto"/>
              <w:jc w:val="both"/>
              <w:rPr>
                <w:rFonts w:eastAsia="Arial"/>
                <w:color w:val="000000"/>
              </w:rPr>
            </w:pPr>
            <w:r w:rsidRPr="00FA12A1">
              <w:rPr>
                <w:rFonts w:eastAsia="Arial"/>
                <w:color w:val="000000"/>
              </w:rPr>
              <w:t>Nacionalinis farmakoekonomikos centras, Airija</w:t>
            </w:r>
          </w:p>
          <w:p w14:paraId="45B872F5" w14:textId="77777777" w:rsidR="00FA12A1" w:rsidRPr="00FA12A1" w:rsidRDefault="00FA12A1" w:rsidP="00FA12A1">
            <w:pPr>
              <w:spacing w:line="276" w:lineRule="auto"/>
              <w:jc w:val="both"/>
              <w:rPr>
                <w:rFonts w:eastAsia="Arial"/>
                <w:color w:val="000000"/>
              </w:rPr>
            </w:pPr>
            <w:r w:rsidRPr="00FA12A1">
              <w:rPr>
                <w:rFonts w:eastAsia="Arial"/>
                <w:color w:val="000000"/>
              </w:rPr>
              <w:t>(angl.</w:t>
            </w:r>
            <w:r w:rsidRPr="00FA12A1">
              <w:rPr>
                <w:rFonts w:eastAsia="Arial"/>
                <w:i/>
                <w:color w:val="000000"/>
              </w:rPr>
              <w:t xml:space="preserve"> National Centre for Pharmacoeconomics, NCPE</w:t>
            </w:r>
            <w:r w:rsidRPr="00FA12A1">
              <w:rPr>
                <w:rFonts w:eastAsia="Arial"/>
                <w:color w:val="000000"/>
              </w:rPr>
              <w:t>)</w:t>
            </w:r>
          </w:p>
        </w:tc>
        <w:tc>
          <w:tcPr>
            <w:tcW w:w="1820" w:type="dxa"/>
          </w:tcPr>
          <w:p w14:paraId="501EFAEB" w14:textId="77777777" w:rsidR="00FA12A1" w:rsidRPr="00FA12A1" w:rsidRDefault="00000000" w:rsidP="00FA12A1">
            <w:pPr>
              <w:spacing w:line="276" w:lineRule="auto"/>
              <w:jc w:val="both"/>
              <w:rPr>
                <w:color w:val="000000"/>
                <w:szCs w:val="20"/>
              </w:rPr>
            </w:pPr>
            <w:sdt>
              <w:sdtPr>
                <w:rPr>
                  <w:color w:val="000000"/>
                  <w:sz w:val="32"/>
                </w:rPr>
                <w:id w:val="-1888403732"/>
                <w15:color w:val="FFCC00"/>
                <w14:checkbox>
                  <w14:checked w14:val="1"/>
                  <w14:checkedState w14:val="2612" w14:font="MS Gothic"/>
                  <w14:uncheckedState w14:val="2610" w14:font="MS Gothic"/>
                </w14:checkbox>
              </w:sdtPr>
              <w:sdtContent>
                <w:r w:rsidR="00FA12A1" w:rsidRPr="00FA12A1">
                  <w:rPr>
                    <w:rFonts w:eastAsia="MS Gothic" w:hint="eastAsia"/>
                    <w:color w:val="000000"/>
                    <w:sz w:val="32"/>
                  </w:rPr>
                  <w:t>☒</w:t>
                </w:r>
              </w:sdtContent>
            </w:sdt>
            <w:r w:rsidR="00FA12A1" w:rsidRPr="00FA12A1">
              <w:rPr>
                <w:color w:val="000000"/>
                <w:szCs w:val="20"/>
              </w:rPr>
              <w:t xml:space="preserve"> Taip</w:t>
            </w:r>
          </w:p>
          <w:p w14:paraId="4F8CE203" w14:textId="77777777" w:rsidR="00FA12A1" w:rsidRPr="00FA12A1" w:rsidRDefault="00000000" w:rsidP="00FA12A1">
            <w:pPr>
              <w:spacing w:line="276" w:lineRule="auto"/>
              <w:jc w:val="both"/>
              <w:rPr>
                <w:color w:val="000000"/>
                <w:szCs w:val="20"/>
              </w:rPr>
            </w:pPr>
            <w:sdt>
              <w:sdtPr>
                <w:rPr>
                  <w:color w:val="000000"/>
                  <w:sz w:val="32"/>
                </w:rPr>
                <w:id w:val="1092201793"/>
                <w15:color w:val="FFCC00"/>
                <w14:checkbox>
                  <w14:checked w14:val="0"/>
                  <w14:checkedState w14:val="2612" w14:font="MS Gothic"/>
                  <w14:uncheckedState w14:val="2610" w14:font="MS Gothic"/>
                </w14:checkbox>
              </w:sdtPr>
              <w:sdtContent>
                <w:r w:rsidR="00FA12A1" w:rsidRPr="00FA12A1">
                  <w:rPr>
                    <w:rFonts w:ascii="Segoe UI Symbol" w:eastAsia="MS Gothic" w:hAnsi="Segoe UI Symbol" w:cs="Segoe UI Symbol"/>
                    <w:color w:val="000000"/>
                    <w:sz w:val="32"/>
                  </w:rPr>
                  <w:t>☐</w:t>
                </w:r>
              </w:sdtContent>
            </w:sdt>
            <w:r w:rsidR="00FA12A1" w:rsidRPr="00FA12A1">
              <w:rPr>
                <w:color w:val="000000"/>
                <w:szCs w:val="20"/>
              </w:rPr>
              <w:t xml:space="preserve"> Ne</w:t>
            </w:r>
          </w:p>
          <w:p w14:paraId="6AC7625B" w14:textId="77777777" w:rsidR="00FA12A1" w:rsidRPr="00FA12A1" w:rsidRDefault="00000000" w:rsidP="00FA12A1">
            <w:pPr>
              <w:spacing w:line="276" w:lineRule="auto"/>
              <w:jc w:val="both"/>
              <w:rPr>
                <w:rFonts w:eastAsia="Arial"/>
                <w:color w:val="000000"/>
              </w:rPr>
            </w:pPr>
            <w:sdt>
              <w:sdtPr>
                <w:rPr>
                  <w:color w:val="000000"/>
                </w:rPr>
                <w:alias w:val="Nurodykite konkrečią dieną"/>
                <w:tag w:val="Nurodykite pradžios datą"/>
                <w:id w:val="-198323198"/>
                <w:placeholder>
                  <w:docPart w:val="83FD26A5AB37409EB59A04E04A479C77"/>
                </w:placeholder>
                <w15:color w:val="FFCC99"/>
                <w:date w:fullDate="2021-12-10T00:00:00Z">
                  <w:dateFormat w:val="yyyy 'm.' MMMM d 'd.'"/>
                  <w:lid w:val="lt-LT"/>
                  <w:storeMappedDataAs w:val="dateTime"/>
                  <w:calendar w:val="gregorian"/>
                </w:date>
              </w:sdtPr>
              <w:sdtContent>
                <w:r w:rsidR="00FA12A1" w:rsidRPr="00FA12A1">
                  <w:rPr>
                    <w:color w:val="000000"/>
                  </w:rPr>
                  <w:t>2021 m. gruodžio 10 d.</w:t>
                </w:r>
              </w:sdtContent>
            </w:sdt>
          </w:p>
        </w:tc>
        <w:tc>
          <w:tcPr>
            <w:tcW w:w="4408" w:type="dxa"/>
            <w:gridSpan w:val="2"/>
          </w:tcPr>
          <w:p w14:paraId="7E153205" w14:textId="77777777" w:rsidR="00FA12A1" w:rsidRPr="00FA12A1" w:rsidRDefault="00FA12A1" w:rsidP="00FA12A1">
            <w:pPr>
              <w:spacing w:line="276" w:lineRule="auto"/>
              <w:jc w:val="both"/>
              <w:rPr>
                <w:rFonts w:eastAsia="Arial"/>
                <w:color w:val="000000"/>
              </w:rPr>
            </w:pPr>
            <w:r w:rsidRPr="00FA12A1">
              <w:rPr>
                <w:rFonts w:eastAsia="Arial"/>
                <w:color w:val="000000"/>
              </w:rPr>
              <w:t>Nerekomenduojama atlikti išsamaus STV. NCPE rekomenduoja nesvarstyti filgotinibo kompensavimo už pateiktą kainą.</w:t>
            </w:r>
          </w:p>
          <w:p w14:paraId="0E2CD87D" w14:textId="77777777" w:rsidR="00FA12A1" w:rsidRPr="00FA12A1" w:rsidRDefault="00FA12A1" w:rsidP="00FA12A1">
            <w:pPr>
              <w:spacing w:line="276" w:lineRule="auto"/>
              <w:jc w:val="both"/>
              <w:rPr>
                <w:rFonts w:eastAsia="Arial"/>
                <w:color w:val="000000"/>
              </w:rPr>
            </w:pPr>
            <w:r w:rsidRPr="00FA12A1">
              <w:rPr>
                <w:rFonts w:eastAsia="Arial"/>
                <w:color w:val="000000"/>
              </w:rPr>
              <w:br/>
              <w:t>HSE patvirtino kompensaciją po konfidencialių derybų dėl kainos 2022 m. gegužės mėn.</w:t>
            </w:r>
          </w:p>
        </w:tc>
      </w:tr>
    </w:tbl>
    <w:p w14:paraId="063F1142" w14:textId="77777777" w:rsidR="00FA12A1" w:rsidRPr="00FA12A1" w:rsidRDefault="00FA12A1" w:rsidP="00FA12A1">
      <w:pPr>
        <w:spacing w:line="276" w:lineRule="auto"/>
        <w:jc w:val="both"/>
        <w:rPr>
          <w:rFonts w:eastAsia="Arial"/>
          <w:color w:val="000000"/>
        </w:rPr>
      </w:pPr>
    </w:p>
    <w:p w14:paraId="5055E8A8" w14:textId="3AA83B54" w:rsidR="002E6F80" w:rsidRDefault="00CC7832" w:rsidP="00937907">
      <w:pPr>
        <w:pStyle w:val="Sraopastraipa"/>
        <w:numPr>
          <w:ilvl w:val="0"/>
          <w:numId w:val="12"/>
        </w:numPr>
        <w:tabs>
          <w:tab w:val="left" w:pos="284"/>
        </w:tabs>
        <w:rPr>
          <w:b/>
          <w:bCs/>
          <w:caps/>
        </w:rPr>
      </w:pPr>
      <w:r w:rsidRPr="00937907">
        <w:rPr>
          <w:b/>
          <w:bCs/>
          <w:caps/>
        </w:rPr>
        <w:t>Klinikinio vertinimo a</w:t>
      </w:r>
      <w:r w:rsidR="00D4485B" w:rsidRPr="00937907">
        <w:rPr>
          <w:b/>
          <w:bCs/>
          <w:caps/>
        </w:rPr>
        <w:t>pibendrinimas</w:t>
      </w:r>
    </w:p>
    <w:p w14:paraId="62F8E187" w14:textId="77777777" w:rsidR="00D76CF7" w:rsidRPr="00937907" w:rsidRDefault="00D76CF7" w:rsidP="00D76CF7">
      <w:pPr>
        <w:pStyle w:val="Sraopastraipa"/>
        <w:tabs>
          <w:tab w:val="left" w:pos="284"/>
        </w:tabs>
        <w:rPr>
          <w:b/>
          <w:bCs/>
          <w:caps/>
        </w:rPr>
      </w:pPr>
    </w:p>
    <w:p w14:paraId="0DB9283C" w14:textId="1FBC4CEE" w:rsidR="00E43A51" w:rsidRDefault="00E43A51" w:rsidP="00E43A51">
      <w:pPr>
        <w:tabs>
          <w:tab w:val="left" w:pos="426"/>
        </w:tabs>
        <w:spacing w:line="276" w:lineRule="auto"/>
        <w:jc w:val="both"/>
        <w:rPr>
          <w:rFonts w:eastAsia="Arial"/>
          <w:color w:val="000000" w:themeColor="text1"/>
        </w:rPr>
      </w:pPr>
      <w:r w:rsidRPr="00EA17F6">
        <w:rPr>
          <w:rFonts w:eastAsia="Arial"/>
          <w:color w:val="000000" w:themeColor="text1"/>
        </w:rPr>
        <w:t>Opinis kolitas (</w:t>
      </w:r>
      <w:r w:rsidR="001A3398">
        <w:rPr>
          <w:rFonts w:eastAsia="Arial"/>
          <w:color w:val="000000" w:themeColor="text1"/>
        </w:rPr>
        <w:t xml:space="preserve">toliau – </w:t>
      </w:r>
      <w:r w:rsidRPr="00EA17F6">
        <w:rPr>
          <w:rFonts w:eastAsia="Arial"/>
          <w:color w:val="000000" w:themeColor="text1"/>
        </w:rPr>
        <w:t>OK</w:t>
      </w:r>
      <w:r w:rsidR="001A3398">
        <w:rPr>
          <w:rFonts w:eastAsia="Arial"/>
          <w:color w:val="000000" w:themeColor="text1"/>
        </w:rPr>
        <w:t>)</w:t>
      </w:r>
      <w:r w:rsidRPr="00EA17F6">
        <w:rPr>
          <w:rFonts w:eastAsia="Arial"/>
          <w:color w:val="000000" w:themeColor="text1"/>
        </w:rPr>
        <w:t xml:space="preserve"> </w:t>
      </w:r>
      <w:r w:rsidR="001A3398">
        <w:rPr>
          <w:rFonts w:eastAsia="Arial"/>
          <w:color w:val="000000" w:themeColor="text1"/>
        </w:rPr>
        <w:t>(</w:t>
      </w:r>
      <w:r w:rsidRPr="00EA17F6">
        <w:rPr>
          <w:rFonts w:eastAsia="Arial"/>
          <w:color w:val="000000" w:themeColor="text1"/>
        </w:rPr>
        <w:t>TLK-10</w:t>
      </w:r>
      <w:r w:rsidR="001A3398">
        <w:rPr>
          <w:rFonts w:eastAsia="Arial"/>
          <w:color w:val="000000" w:themeColor="text1"/>
        </w:rPr>
        <w:t xml:space="preserve"> AM</w:t>
      </w:r>
      <w:r w:rsidRPr="00EA17F6">
        <w:rPr>
          <w:rFonts w:eastAsia="Arial"/>
          <w:color w:val="000000" w:themeColor="text1"/>
        </w:rPr>
        <w:t xml:space="preserve"> K51), labiausiai paplitęs uždegiminės žarnyno ligos (UŽL) potipis, yra sudėtinga lėtinė liga, kuriai būdingi progresuojantys anatominiai ir funkciniai storosios žarnos pokyčiai. Klinikinei OK eigai būdingi ligos paūmėjimai, kai pacientams pasireiškia įvairaus sunkumo ligos simptomai, ir remisijos, kai simptomų pasireiškia nedaug. Pagal ligos aktyvumą ir </w:t>
      </w:r>
      <w:r w:rsidRPr="00EA17F6">
        <w:rPr>
          <w:rFonts w:eastAsia="Arial"/>
          <w:color w:val="000000" w:themeColor="text1"/>
        </w:rPr>
        <w:lastRenderedPageBreak/>
        <w:t>sunkumą remiantis klinikinių (pvz., tuštinimosi dažnis, kraujas išmatose) ir laboratorinių vertinimų rezultatais paprastai liga klasifikuojama kaip nesunki, vidutinio sunkumo arba sunki.</w:t>
      </w:r>
    </w:p>
    <w:p w14:paraId="1349409E" w14:textId="434AFE8B" w:rsidR="00E43A51" w:rsidRDefault="00E43A51" w:rsidP="00E43A51">
      <w:pPr>
        <w:tabs>
          <w:tab w:val="left" w:pos="426"/>
        </w:tabs>
        <w:spacing w:line="276" w:lineRule="auto"/>
        <w:jc w:val="both"/>
        <w:rPr>
          <w:color w:val="000000"/>
          <w:lang w:eastAsia="lt-LT"/>
        </w:rPr>
      </w:pPr>
      <w:r w:rsidRPr="00EA17F6">
        <w:rPr>
          <w:rFonts w:eastAsia="Arial"/>
          <w:color w:val="000000" w:themeColor="text1"/>
        </w:rPr>
        <w:tab/>
        <w:t xml:space="preserve">Lietuvoje OK diagnostika ir gydymas reglamentuojami Lietuvos Respublikos sveikatos apsaugos ministro įsakymu „Dėl </w:t>
      </w:r>
      <w:r w:rsidR="001A3398">
        <w:rPr>
          <w:rFonts w:eastAsia="Arial"/>
          <w:color w:val="000000" w:themeColor="text1"/>
        </w:rPr>
        <w:t xml:space="preserve">opinio </w:t>
      </w:r>
      <w:r w:rsidRPr="00EA17F6">
        <w:rPr>
          <w:rFonts w:eastAsia="Arial"/>
          <w:color w:val="000000" w:themeColor="text1"/>
        </w:rPr>
        <w:t>kolito diagnostikos ir gydymo vaistais, kurių įsigijimo išlaidos apmokamos privalomojo Sveikatos draudimo fondo biudžeto lėšomis, tvarkos aprašo patvirtinimo“ 2018 m. vasario 12 d. Nr. V-159</w:t>
      </w:r>
      <w:r w:rsidR="001A3398">
        <w:rPr>
          <w:rFonts w:eastAsia="Arial"/>
          <w:color w:val="000000" w:themeColor="text1"/>
        </w:rPr>
        <w:t xml:space="preserve"> (</w:t>
      </w:r>
      <w:r w:rsidRPr="00EA17F6">
        <w:rPr>
          <w:rFonts w:eastAsia="Arial"/>
          <w:color w:val="000000" w:themeColor="text1"/>
        </w:rPr>
        <w:t xml:space="preserve"> toliau</w:t>
      </w:r>
      <w:r w:rsidR="00111321">
        <w:rPr>
          <w:rFonts w:eastAsia="Arial"/>
          <w:color w:val="000000" w:themeColor="text1"/>
        </w:rPr>
        <w:t xml:space="preserve"> -</w:t>
      </w:r>
      <w:r w:rsidR="001A3398">
        <w:rPr>
          <w:rFonts w:eastAsia="Arial"/>
          <w:color w:val="000000" w:themeColor="text1"/>
        </w:rPr>
        <w:t xml:space="preserve"> Aprašas)</w:t>
      </w:r>
      <w:r w:rsidRPr="00EA17F6">
        <w:rPr>
          <w:rFonts w:eastAsia="Arial"/>
          <w:color w:val="000000" w:themeColor="text1"/>
        </w:rPr>
        <w:t>.</w:t>
      </w:r>
      <w:r>
        <w:rPr>
          <w:rFonts w:eastAsia="Arial"/>
          <w:color w:val="000000" w:themeColor="text1"/>
        </w:rPr>
        <w:t xml:space="preserve"> Jei įprastinis </w:t>
      </w:r>
      <w:r w:rsidR="00111321">
        <w:rPr>
          <w:rFonts w:eastAsia="Arial"/>
          <w:color w:val="000000" w:themeColor="text1"/>
        </w:rPr>
        <w:t xml:space="preserve">gydymas </w:t>
      </w:r>
      <w:r>
        <w:rPr>
          <w:rFonts w:eastAsia="Arial"/>
          <w:color w:val="000000" w:themeColor="text1"/>
        </w:rPr>
        <w:t>(</w:t>
      </w:r>
      <w:r w:rsidR="0001172C" w:rsidRPr="00EA17F6">
        <w:rPr>
          <w:rFonts w:eastAsia="Arial"/>
          <w:color w:val="000000" w:themeColor="text1"/>
        </w:rPr>
        <w:t>mesalazin</w:t>
      </w:r>
      <w:r w:rsidR="00111321">
        <w:rPr>
          <w:rFonts w:eastAsia="Arial"/>
          <w:color w:val="000000" w:themeColor="text1"/>
        </w:rPr>
        <w:t>u</w:t>
      </w:r>
      <w:r w:rsidR="0001172C" w:rsidRPr="00EA17F6">
        <w:rPr>
          <w:rFonts w:eastAsia="Arial"/>
          <w:color w:val="000000" w:themeColor="text1"/>
        </w:rPr>
        <w:t xml:space="preserve">, </w:t>
      </w:r>
      <w:r w:rsidR="00111321">
        <w:rPr>
          <w:rFonts w:eastAsia="Arial"/>
          <w:color w:val="000000" w:themeColor="text1"/>
        </w:rPr>
        <w:t>geraimuoju</w:t>
      </w:r>
      <w:r w:rsidR="0001172C" w:rsidRPr="00EA17F6">
        <w:rPr>
          <w:rFonts w:eastAsia="Arial"/>
          <w:color w:val="000000" w:themeColor="text1"/>
        </w:rPr>
        <w:t xml:space="preserve"> prednizolonas</w:t>
      </w:r>
      <w:r w:rsidR="0001172C">
        <w:rPr>
          <w:rFonts w:eastAsia="Arial"/>
          <w:color w:val="000000" w:themeColor="text1"/>
        </w:rPr>
        <w:t xml:space="preserve"> arba sunkiais atvejais </w:t>
      </w:r>
      <w:r w:rsidR="00423E56" w:rsidRPr="00EA17F6">
        <w:rPr>
          <w:rFonts w:eastAsia="Arial"/>
          <w:color w:val="000000" w:themeColor="text1"/>
        </w:rPr>
        <w:t xml:space="preserve">skiriamas </w:t>
      </w:r>
      <w:r w:rsidR="00111321">
        <w:rPr>
          <w:rFonts w:eastAsia="Arial"/>
          <w:color w:val="000000" w:themeColor="text1"/>
        </w:rPr>
        <w:t>leidžiamuoju</w:t>
      </w:r>
      <w:r w:rsidR="0001172C" w:rsidRPr="00EA17F6">
        <w:rPr>
          <w:rFonts w:eastAsia="Arial"/>
          <w:color w:val="000000" w:themeColor="text1"/>
        </w:rPr>
        <w:t xml:space="preserve"> prednizolon</w:t>
      </w:r>
      <w:r w:rsidR="00111321">
        <w:rPr>
          <w:rFonts w:eastAsia="Arial"/>
          <w:color w:val="000000" w:themeColor="text1"/>
        </w:rPr>
        <w:t>u</w:t>
      </w:r>
      <w:r>
        <w:rPr>
          <w:rFonts w:eastAsia="Arial"/>
          <w:color w:val="000000" w:themeColor="text1"/>
        </w:rPr>
        <w:t xml:space="preserve">) pacientams su vidutinio sunkumo ir sunkiu OK yra be atsako, </w:t>
      </w:r>
      <w:r w:rsidRPr="00EA17F6">
        <w:rPr>
          <w:rFonts w:eastAsia="Arial"/>
          <w:color w:val="000000" w:themeColor="text1"/>
        </w:rPr>
        <w:t>skiriamas gydymas TNFα inhibitoriais arba vedolizumabu, arba tofacitinibu, arba ustekinumabu.</w:t>
      </w:r>
    </w:p>
    <w:p w14:paraId="59C9BC1E" w14:textId="1F91E811" w:rsidR="00E43A51" w:rsidRPr="00EA17F6" w:rsidRDefault="00E43A51" w:rsidP="00E43A51">
      <w:pPr>
        <w:tabs>
          <w:tab w:val="left" w:pos="426"/>
        </w:tabs>
        <w:spacing w:line="276" w:lineRule="auto"/>
        <w:jc w:val="both"/>
        <w:rPr>
          <w:rFonts w:eastAsia="Arial"/>
          <w:color w:val="000000" w:themeColor="text1"/>
        </w:rPr>
      </w:pPr>
      <w:r>
        <w:rPr>
          <w:color w:val="000000"/>
          <w:lang w:eastAsia="lt-LT"/>
        </w:rPr>
        <w:tab/>
      </w:r>
      <w:r w:rsidRPr="00EA17F6">
        <w:rPr>
          <w:color w:val="000000" w:themeColor="text1"/>
          <w:lang w:eastAsia="lt-LT"/>
        </w:rPr>
        <w:t>Siūlomas kompensuoti vaistinis preparatas – filgotinibas priklauso imunosupresantų grupei.</w:t>
      </w:r>
      <w:r>
        <w:rPr>
          <w:color w:val="000000" w:themeColor="text1"/>
          <w:lang w:eastAsia="lt-LT"/>
        </w:rPr>
        <w:t xml:space="preserve"> </w:t>
      </w:r>
      <w:r w:rsidRPr="00EA17F6">
        <w:rPr>
          <w:color w:val="000000" w:themeColor="text1"/>
          <w:lang w:eastAsia="lt-LT"/>
        </w:rPr>
        <w:t>Filgotinibas yra selektyvus JAK1 inhibitorius, kuris priklauso Janus kinazių (JAK) šeimos inhibitoriams.</w:t>
      </w:r>
      <w:r>
        <w:rPr>
          <w:color w:val="000000" w:themeColor="text1"/>
          <w:lang w:eastAsia="lt-LT"/>
        </w:rPr>
        <w:t xml:space="preserve"> </w:t>
      </w:r>
      <w:r w:rsidRPr="000571D0">
        <w:rPr>
          <w:rFonts w:eastAsia="Arial"/>
          <w:color w:val="000000" w:themeColor="text1"/>
        </w:rPr>
        <w:t xml:space="preserve">Vadovaujantis Lietuvos Respublikos sveikatos apsaugos ministro „Dėl vaistinių preparatų ir medicinos pagalbos priemonių įrašymo į kompensavimo sąrašus ir jų keitimo tvarkos aprašo patvirtinimo“ </w:t>
      </w:r>
      <w:r w:rsidR="00E15D3F" w:rsidRPr="000571D0">
        <w:rPr>
          <w:rFonts w:eastAsia="Arial"/>
          <w:color w:val="000000" w:themeColor="text1"/>
        </w:rPr>
        <w:t xml:space="preserve">2002 m. balandžio 5 d. įsakymu Nr. V-159 </w:t>
      </w:r>
      <w:r w:rsidRPr="000571D0">
        <w:rPr>
          <w:rFonts w:eastAsia="Arial"/>
          <w:color w:val="000000" w:themeColor="text1"/>
        </w:rPr>
        <w:t>116 - 119 punktais</w:t>
      </w:r>
      <w:r>
        <w:rPr>
          <w:rFonts w:eastAsia="Arial"/>
          <w:color w:val="000000" w:themeColor="text1"/>
        </w:rPr>
        <w:t>, t</w:t>
      </w:r>
      <w:r w:rsidRPr="000571D0">
        <w:rPr>
          <w:rFonts w:eastAsia="Arial"/>
          <w:color w:val="000000" w:themeColor="text1"/>
        </w:rPr>
        <w:t>inkam</w:t>
      </w:r>
      <w:r>
        <w:rPr>
          <w:rFonts w:eastAsia="Arial"/>
          <w:color w:val="000000" w:themeColor="text1"/>
        </w:rPr>
        <w:t>u</w:t>
      </w:r>
      <w:r w:rsidRPr="000571D0">
        <w:rPr>
          <w:rFonts w:eastAsia="Arial"/>
          <w:color w:val="000000" w:themeColor="text1"/>
        </w:rPr>
        <w:t xml:space="preserve"> palyginam</w:t>
      </w:r>
      <w:r>
        <w:rPr>
          <w:rFonts w:eastAsia="Arial"/>
          <w:color w:val="000000" w:themeColor="text1"/>
        </w:rPr>
        <w:t>uoju</w:t>
      </w:r>
      <w:r w:rsidRPr="000571D0">
        <w:rPr>
          <w:rFonts w:eastAsia="Arial"/>
          <w:color w:val="000000" w:themeColor="text1"/>
        </w:rPr>
        <w:t xml:space="preserve"> gydym</w:t>
      </w:r>
      <w:r>
        <w:rPr>
          <w:rFonts w:eastAsia="Arial"/>
          <w:color w:val="000000" w:themeColor="text1"/>
        </w:rPr>
        <w:t>u</w:t>
      </w:r>
      <w:r w:rsidRPr="000571D0">
        <w:rPr>
          <w:rFonts w:eastAsia="Arial"/>
          <w:color w:val="000000" w:themeColor="text1"/>
        </w:rPr>
        <w:t xml:space="preserve"> </w:t>
      </w:r>
      <w:r>
        <w:rPr>
          <w:rFonts w:eastAsia="Arial"/>
          <w:color w:val="000000" w:themeColor="text1"/>
        </w:rPr>
        <w:t>laikomas</w:t>
      </w:r>
      <w:r w:rsidRPr="000571D0">
        <w:rPr>
          <w:rFonts w:eastAsia="Arial"/>
          <w:color w:val="000000" w:themeColor="text1"/>
        </w:rPr>
        <w:t xml:space="preserve"> adalimumabas, infliksimabas, vedolizumabas, tofacitinibas, bei ustekinumabas</w:t>
      </w:r>
      <w:r>
        <w:rPr>
          <w:rFonts w:eastAsia="Calibri"/>
          <w:i/>
          <w:iCs/>
          <w:color w:val="000000" w:themeColor="text1"/>
        </w:rPr>
        <w:t>.</w:t>
      </w:r>
    </w:p>
    <w:p w14:paraId="2B42BDEA" w14:textId="77777777" w:rsidR="00E43A51" w:rsidRPr="00BF065A" w:rsidRDefault="00E43A51" w:rsidP="00E43A51">
      <w:pPr>
        <w:tabs>
          <w:tab w:val="left" w:pos="426"/>
        </w:tabs>
        <w:spacing w:line="276" w:lineRule="auto"/>
        <w:jc w:val="both"/>
        <w:rPr>
          <w:color w:val="000000"/>
          <w:lang w:eastAsia="lt-LT"/>
        </w:rPr>
      </w:pPr>
      <w:r>
        <w:rPr>
          <w:color w:val="000000"/>
          <w:lang w:eastAsia="lt-LT"/>
        </w:rPr>
        <w:tab/>
      </w:r>
      <w:r w:rsidRPr="00BF065A">
        <w:rPr>
          <w:color w:val="000000"/>
          <w:lang w:eastAsia="lt-LT"/>
        </w:rPr>
        <w:t>Klinikinis veiksmingumas buvo vertinamas pagal netiesioginio palyginimo klinikinių</w:t>
      </w:r>
      <w:r>
        <w:rPr>
          <w:color w:val="000000"/>
          <w:lang w:eastAsia="lt-LT"/>
        </w:rPr>
        <w:t xml:space="preserve"> tyrimų duomenis, t.y. tikimybė pasiekti klinikinę remisiją (pagrindinė vertinamoji baigtis) gydant filgotinibu, </w:t>
      </w:r>
      <w:r w:rsidRPr="00EA17F6">
        <w:rPr>
          <w:color w:val="000000" w:themeColor="text1"/>
          <w:lang w:eastAsia="lt-LT"/>
        </w:rPr>
        <w:t>ustekinumab</w:t>
      </w:r>
      <w:r>
        <w:rPr>
          <w:color w:val="000000" w:themeColor="text1"/>
          <w:lang w:eastAsia="lt-LT"/>
        </w:rPr>
        <w:t>u</w:t>
      </w:r>
      <w:r w:rsidRPr="00EA17F6">
        <w:rPr>
          <w:color w:val="000000" w:themeColor="text1"/>
          <w:lang w:eastAsia="lt-LT"/>
        </w:rPr>
        <w:t>, tofacitinib</w:t>
      </w:r>
      <w:r>
        <w:rPr>
          <w:color w:val="000000" w:themeColor="text1"/>
          <w:lang w:eastAsia="lt-LT"/>
        </w:rPr>
        <w:t>u</w:t>
      </w:r>
      <w:r w:rsidRPr="00EA17F6">
        <w:rPr>
          <w:color w:val="000000" w:themeColor="text1"/>
          <w:lang w:eastAsia="lt-LT"/>
        </w:rPr>
        <w:t xml:space="preserve">, </w:t>
      </w:r>
      <w:r w:rsidRPr="00C50C35">
        <w:rPr>
          <w:color w:val="000000" w:themeColor="text1"/>
          <w:lang w:eastAsia="lt-LT"/>
        </w:rPr>
        <w:t xml:space="preserve">adalimumabu </w:t>
      </w:r>
      <w:r w:rsidRPr="00EA17F6">
        <w:rPr>
          <w:color w:val="000000" w:themeColor="text1"/>
          <w:lang w:eastAsia="lt-LT"/>
        </w:rPr>
        <w:t>bei vedolizumab</w:t>
      </w:r>
      <w:r>
        <w:rPr>
          <w:color w:val="000000" w:themeColor="text1"/>
          <w:lang w:eastAsia="lt-LT"/>
        </w:rPr>
        <w:t xml:space="preserve">u (t.y. </w:t>
      </w:r>
      <w:r w:rsidRPr="00BF065A">
        <w:rPr>
          <w:color w:val="000000"/>
          <w:lang w:eastAsia="lt-LT"/>
        </w:rPr>
        <w:t>įprast</w:t>
      </w:r>
      <w:r>
        <w:rPr>
          <w:color w:val="000000"/>
          <w:lang w:eastAsia="lt-LT"/>
        </w:rPr>
        <w:t>a</w:t>
      </w:r>
      <w:r w:rsidRPr="00BF065A">
        <w:rPr>
          <w:color w:val="000000"/>
          <w:lang w:eastAsia="lt-LT"/>
        </w:rPr>
        <w:t xml:space="preserve"> klinikin</w:t>
      </w:r>
      <w:r>
        <w:rPr>
          <w:color w:val="000000"/>
          <w:lang w:eastAsia="lt-LT"/>
        </w:rPr>
        <w:t xml:space="preserve">e </w:t>
      </w:r>
      <w:r w:rsidRPr="00BF065A">
        <w:rPr>
          <w:color w:val="000000"/>
          <w:lang w:eastAsia="lt-LT"/>
        </w:rPr>
        <w:t>praktika Lietuvoje</w:t>
      </w:r>
      <w:r>
        <w:rPr>
          <w:color w:val="000000"/>
          <w:lang w:eastAsia="lt-LT"/>
        </w:rPr>
        <w:t>) lyginant su placebu. Tikslinė pacientų populiacija buvo pacientai,</w:t>
      </w:r>
      <w:r w:rsidRPr="00EA17F6">
        <w:rPr>
          <w:iCs/>
          <w:color w:val="000000" w:themeColor="text1"/>
          <w:lang w:eastAsia="lt-LT"/>
        </w:rPr>
        <w:t xml:space="preserve"> kuriems jau buvo taikoma biologinę terapija ir buvo nee</w:t>
      </w:r>
      <w:r>
        <w:rPr>
          <w:iCs/>
          <w:color w:val="000000" w:themeColor="text1"/>
          <w:lang w:eastAsia="lt-LT"/>
        </w:rPr>
        <w:t>fektyvi arba blogai toleruojama.</w:t>
      </w:r>
      <w:r>
        <w:rPr>
          <w:color w:val="000000"/>
          <w:lang w:eastAsia="lt-LT"/>
        </w:rPr>
        <w:t xml:space="preserve"> </w:t>
      </w:r>
      <w:r w:rsidRPr="00BF065A">
        <w:rPr>
          <w:color w:val="000000"/>
          <w:lang w:eastAsia="lt-LT"/>
        </w:rPr>
        <w:t xml:space="preserve">Dėl netinkamo palyginamojo gydymo tiesioginio palyginimo tyrimo </w:t>
      </w:r>
      <w:r>
        <w:rPr>
          <w:color w:val="000000"/>
          <w:lang w:eastAsia="lt-LT"/>
        </w:rPr>
        <w:t>SELECTION</w:t>
      </w:r>
      <w:r w:rsidRPr="00BF065A">
        <w:rPr>
          <w:color w:val="000000"/>
          <w:lang w:eastAsia="lt-LT"/>
        </w:rPr>
        <w:t xml:space="preserve"> rezultatai (</w:t>
      </w:r>
      <w:r>
        <w:rPr>
          <w:color w:val="000000"/>
          <w:lang w:eastAsia="lt-LT"/>
        </w:rPr>
        <w:t>pacientų pasiektų klinikinės remisijos dalis</w:t>
      </w:r>
      <w:r w:rsidRPr="00BF065A">
        <w:rPr>
          <w:color w:val="000000"/>
          <w:lang w:eastAsia="lt-LT"/>
        </w:rPr>
        <w:t>)</w:t>
      </w:r>
      <w:r>
        <w:rPr>
          <w:color w:val="000000"/>
          <w:lang w:eastAsia="lt-LT"/>
        </w:rPr>
        <w:t xml:space="preserve"> laikomi papildoma informacija. </w:t>
      </w:r>
    </w:p>
    <w:p w14:paraId="3A7C8CE1" w14:textId="77777777" w:rsidR="00E43A51" w:rsidRPr="00EA17F6" w:rsidRDefault="00E43A51" w:rsidP="00E43A51">
      <w:pPr>
        <w:tabs>
          <w:tab w:val="left" w:pos="426"/>
        </w:tabs>
        <w:spacing w:line="276" w:lineRule="auto"/>
        <w:jc w:val="both"/>
        <w:rPr>
          <w:iCs/>
          <w:color w:val="000000" w:themeColor="text1"/>
          <w:lang w:eastAsia="lt-LT"/>
        </w:rPr>
      </w:pPr>
    </w:p>
    <w:p w14:paraId="57356988" w14:textId="77777777" w:rsidR="00E43A51" w:rsidRPr="00EA17F6" w:rsidRDefault="00E43A51" w:rsidP="00E43A51">
      <w:pPr>
        <w:tabs>
          <w:tab w:val="left" w:pos="426"/>
        </w:tabs>
        <w:spacing w:line="276" w:lineRule="auto"/>
        <w:jc w:val="both"/>
        <w:rPr>
          <w:rFonts w:eastAsia="Arial"/>
          <w:bCs/>
          <w:i/>
          <w:color w:val="000000" w:themeColor="text1"/>
        </w:rPr>
      </w:pPr>
      <w:r w:rsidRPr="00EA17F6">
        <w:rPr>
          <w:rFonts w:eastAsia="Arial"/>
          <w:bCs/>
          <w:i/>
          <w:color w:val="000000" w:themeColor="text1"/>
        </w:rPr>
        <w:t>Tiesioginis palyginimas</w:t>
      </w:r>
      <w:r w:rsidRPr="00EA17F6">
        <w:rPr>
          <w:rFonts w:eastAsia="Arial"/>
          <w:bCs/>
          <w:i/>
          <w:color w:val="000000" w:themeColor="text1"/>
        </w:rPr>
        <w:tab/>
      </w:r>
    </w:p>
    <w:p w14:paraId="371E5F6C" w14:textId="77777777" w:rsidR="00E43A51" w:rsidRPr="00EA17F6" w:rsidRDefault="00E43A51" w:rsidP="00E43A51">
      <w:pPr>
        <w:tabs>
          <w:tab w:val="left" w:pos="426"/>
        </w:tabs>
        <w:spacing w:line="276" w:lineRule="auto"/>
        <w:jc w:val="both"/>
        <w:rPr>
          <w:rFonts w:eastAsia="Arial"/>
          <w:bCs/>
          <w:color w:val="000000" w:themeColor="text1"/>
        </w:rPr>
      </w:pPr>
      <w:r w:rsidRPr="00EA17F6">
        <w:rPr>
          <w:rFonts w:eastAsia="Arial"/>
          <w:bCs/>
          <w:color w:val="000000" w:themeColor="text1"/>
        </w:rPr>
        <w:t>SELECTION tyrimas - dvigubai koduotas, atsitiktinių imčių, placebu kontroliuojamas kombinuotas 2b/3 fazės tyrimas, kuriuo vertinamas filgotinibo veiksmingumas ir saugumas remisijos indukcijoje ir palaikyme asmenims, sergantiems vidutiniškai ar labai aktyviu opiniu kolitu.</w:t>
      </w:r>
    </w:p>
    <w:p w14:paraId="233F83FC" w14:textId="4F6D02B9" w:rsidR="00E43A51" w:rsidRPr="00EA17F6" w:rsidRDefault="00E43A51" w:rsidP="00E43A51">
      <w:pPr>
        <w:tabs>
          <w:tab w:val="left" w:pos="426"/>
        </w:tabs>
        <w:spacing w:line="276" w:lineRule="auto"/>
        <w:jc w:val="both"/>
        <w:rPr>
          <w:iCs/>
          <w:color w:val="000000" w:themeColor="text1"/>
          <w:lang w:eastAsia="lt-LT"/>
        </w:rPr>
      </w:pPr>
      <w:r w:rsidRPr="00EA17F6">
        <w:rPr>
          <w:rFonts w:eastAsia="Arial"/>
          <w:bCs/>
          <w:color w:val="000000" w:themeColor="text1"/>
        </w:rPr>
        <w:tab/>
      </w:r>
      <w:r w:rsidRPr="00EA17F6">
        <w:rPr>
          <w:iCs/>
          <w:color w:val="000000" w:themeColor="text1"/>
          <w:lang w:eastAsia="lt-LT"/>
        </w:rPr>
        <w:tab/>
        <w:t xml:space="preserve">Į klinikinį tyrimą SELECTION atsitiktinių imčių būdu buvo atrinkti 1348 tiriamieji: 659 tiriamieji buvo priskirti Kohortai A </w:t>
      </w:r>
      <w:r>
        <w:rPr>
          <w:iCs/>
          <w:color w:val="000000" w:themeColor="text1"/>
          <w:lang w:eastAsia="lt-LT"/>
        </w:rPr>
        <w:t xml:space="preserve">– nebuvo gydyti biologine terapija, </w:t>
      </w:r>
      <w:r w:rsidRPr="00EA17F6">
        <w:rPr>
          <w:iCs/>
          <w:color w:val="000000" w:themeColor="text1"/>
          <w:lang w:eastAsia="lt-LT"/>
        </w:rPr>
        <w:t xml:space="preserve">ir 689 tiriamieji - Kohortai B </w:t>
      </w:r>
      <w:r>
        <w:rPr>
          <w:iCs/>
          <w:color w:val="000000" w:themeColor="text1"/>
          <w:lang w:eastAsia="lt-LT"/>
        </w:rPr>
        <w:t>– gydymas biologine terapija nebuvo s</w:t>
      </w:r>
      <w:r w:rsidR="00E15D3F">
        <w:rPr>
          <w:iCs/>
          <w:color w:val="000000" w:themeColor="text1"/>
          <w:lang w:eastAsia="lt-LT"/>
        </w:rPr>
        <w:t>ė</w:t>
      </w:r>
      <w:r>
        <w:rPr>
          <w:iCs/>
          <w:color w:val="000000" w:themeColor="text1"/>
          <w:lang w:eastAsia="lt-LT"/>
        </w:rPr>
        <w:t>kmingas.</w:t>
      </w:r>
      <w:r w:rsidRPr="00EA17F6">
        <w:rPr>
          <w:iCs/>
          <w:color w:val="000000" w:themeColor="text1"/>
          <w:lang w:eastAsia="lt-LT"/>
        </w:rPr>
        <w:t xml:space="preserve"> Į palaikymo</w:t>
      </w:r>
      <w:r>
        <w:rPr>
          <w:iCs/>
          <w:color w:val="000000" w:themeColor="text1"/>
          <w:lang w:eastAsia="lt-LT"/>
        </w:rPr>
        <w:t xml:space="preserve"> gydymo</w:t>
      </w:r>
      <w:r w:rsidRPr="00EA17F6">
        <w:rPr>
          <w:iCs/>
          <w:color w:val="000000" w:themeColor="text1"/>
          <w:lang w:eastAsia="lt-LT"/>
        </w:rPr>
        <w:t xml:space="preserve"> </w:t>
      </w:r>
      <w:r>
        <w:rPr>
          <w:iCs/>
          <w:color w:val="000000" w:themeColor="text1"/>
          <w:lang w:eastAsia="lt-LT"/>
        </w:rPr>
        <w:t>stebėjimo fazę</w:t>
      </w:r>
      <w:r w:rsidRPr="00EA17F6">
        <w:rPr>
          <w:iCs/>
          <w:color w:val="000000" w:themeColor="text1"/>
          <w:lang w:eastAsia="lt-LT"/>
        </w:rPr>
        <w:t xml:space="preserve"> perėjo 664 tiriamieji, iš kurių 202 tiriamieji tęsė filgotinibo 200 mg grupėje, 179 tiriamieji – fi</w:t>
      </w:r>
      <w:r>
        <w:rPr>
          <w:iCs/>
          <w:color w:val="000000" w:themeColor="text1"/>
          <w:lang w:eastAsia="lt-LT"/>
        </w:rPr>
        <w:t xml:space="preserve">lgotinibo 100 mg grupėje ir 93 - </w:t>
      </w:r>
      <w:r w:rsidRPr="00EA17F6">
        <w:rPr>
          <w:iCs/>
          <w:color w:val="000000" w:themeColor="text1"/>
          <w:lang w:eastAsia="lt-LT"/>
        </w:rPr>
        <w:t xml:space="preserve">placebo grupė. </w:t>
      </w:r>
    </w:p>
    <w:p w14:paraId="56B7148A" w14:textId="7C50BB89" w:rsidR="00E43A51" w:rsidRPr="00EA17F6" w:rsidRDefault="00E43A51" w:rsidP="00E43A51">
      <w:pPr>
        <w:tabs>
          <w:tab w:val="left" w:pos="426"/>
        </w:tabs>
        <w:spacing w:line="276" w:lineRule="auto"/>
        <w:jc w:val="both"/>
        <w:rPr>
          <w:iCs/>
          <w:color w:val="000000" w:themeColor="text1"/>
          <w:lang w:eastAsia="lt-LT"/>
        </w:rPr>
      </w:pPr>
      <w:r w:rsidRPr="00EA17F6">
        <w:rPr>
          <w:iCs/>
          <w:color w:val="000000" w:themeColor="text1"/>
          <w:lang w:eastAsia="lt-LT"/>
        </w:rPr>
        <w:tab/>
        <w:t>Indukcijos fazė</w:t>
      </w:r>
      <w:r w:rsidR="00E15D3F">
        <w:rPr>
          <w:iCs/>
          <w:color w:val="000000" w:themeColor="text1"/>
          <w:lang w:eastAsia="lt-LT"/>
        </w:rPr>
        <w:t>.</w:t>
      </w:r>
      <w:r>
        <w:rPr>
          <w:iCs/>
          <w:color w:val="000000" w:themeColor="text1"/>
          <w:lang w:eastAsia="lt-LT"/>
        </w:rPr>
        <w:t xml:space="preserve"> </w:t>
      </w:r>
      <w:r w:rsidRPr="00EA17F6">
        <w:rPr>
          <w:iCs/>
          <w:color w:val="000000" w:themeColor="text1"/>
          <w:lang w:eastAsia="lt-LT"/>
        </w:rPr>
        <w:tab/>
        <w:t xml:space="preserve">Atsižvelgiant į iš anksto numatytą statistiniame plane pasiektos klinikinės remisijos dažnio absoliutų skirtumą (t.y. 15 proc.) tarp palyginamųjų grupių (filgotinibo 100 mg ir 200 mg) bei placebo grupe, galima teigti, kad pirminės baigties tikslas nepasiektas, nes </w:t>
      </w:r>
      <w:r w:rsidR="00E15D3F">
        <w:rPr>
          <w:iCs/>
          <w:color w:val="000000" w:themeColor="text1"/>
          <w:lang w:eastAsia="lt-LT"/>
        </w:rPr>
        <w:t>k</w:t>
      </w:r>
      <w:r w:rsidRPr="00EA17F6">
        <w:rPr>
          <w:iCs/>
          <w:color w:val="000000" w:themeColor="text1"/>
          <w:lang w:eastAsia="lt-LT"/>
        </w:rPr>
        <w:t xml:space="preserve">ohortoje A absoliutus skirtumas, palyginus su placebo grupe, </w:t>
      </w:r>
      <w:r w:rsidR="00E15D3F">
        <w:rPr>
          <w:iCs/>
          <w:color w:val="000000" w:themeColor="text1"/>
          <w:lang w:eastAsia="lt-LT"/>
        </w:rPr>
        <w:t>f</w:t>
      </w:r>
      <w:r w:rsidRPr="00EA17F6">
        <w:rPr>
          <w:iCs/>
          <w:color w:val="000000" w:themeColor="text1"/>
          <w:lang w:eastAsia="lt-LT"/>
        </w:rPr>
        <w:t xml:space="preserve">ilgotinibo 100 mg grupėje buvo 3,8 proc. ir </w:t>
      </w:r>
      <w:r w:rsidR="00E15D3F">
        <w:rPr>
          <w:iCs/>
          <w:color w:val="000000" w:themeColor="text1"/>
          <w:lang w:eastAsia="lt-LT"/>
        </w:rPr>
        <w:t>f</w:t>
      </w:r>
      <w:r w:rsidRPr="00EA17F6">
        <w:rPr>
          <w:iCs/>
          <w:color w:val="000000" w:themeColor="text1"/>
          <w:lang w:eastAsia="lt-LT"/>
        </w:rPr>
        <w:t xml:space="preserve">ilgotinibo 200 mg – 10,8 proc; o </w:t>
      </w:r>
      <w:r w:rsidR="00E15D3F">
        <w:rPr>
          <w:iCs/>
          <w:color w:val="000000" w:themeColor="text1"/>
          <w:lang w:eastAsia="lt-LT"/>
        </w:rPr>
        <w:t>k</w:t>
      </w:r>
      <w:r w:rsidRPr="00EA17F6">
        <w:rPr>
          <w:iCs/>
          <w:color w:val="000000" w:themeColor="text1"/>
          <w:lang w:eastAsia="lt-LT"/>
        </w:rPr>
        <w:t xml:space="preserve">ohortoje B absoliutus skirtumas, palyginus su placebo grupe, </w:t>
      </w:r>
      <w:r w:rsidR="00E15D3F">
        <w:rPr>
          <w:iCs/>
          <w:color w:val="000000" w:themeColor="text1"/>
          <w:lang w:eastAsia="lt-LT"/>
        </w:rPr>
        <w:t>f</w:t>
      </w:r>
      <w:r w:rsidRPr="00EA17F6">
        <w:rPr>
          <w:iCs/>
          <w:color w:val="000000" w:themeColor="text1"/>
          <w:lang w:eastAsia="lt-LT"/>
        </w:rPr>
        <w:t xml:space="preserve">ilgotinibo 100 mg grupėje buvo 5,2 proc. ir </w:t>
      </w:r>
      <w:r w:rsidR="00E15D3F">
        <w:rPr>
          <w:iCs/>
          <w:color w:val="000000" w:themeColor="text1"/>
          <w:lang w:eastAsia="lt-LT"/>
        </w:rPr>
        <w:t>f</w:t>
      </w:r>
      <w:r w:rsidRPr="00EA17F6">
        <w:rPr>
          <w:iCs/>
          <w:color w:val="000000" w:themeColor="text1"/>
          <w:lang w:eastAsia="lt-LT"/>
        </w:rPr>
        <w:t>ilgotinibo 200 mg – 7,2 proc.</w:t>
      </w:r>
    </w:p>
    <w:p w14:paraId="489BE29A" w14:textId="5C129FCD" w:rsidR="00E43A51" w:rsidRPr="00EA17F6" w:rsidRDefault="00E43A51" w:rsidP="00E43A51">
      <w:pPr>
        <w:tabs>
          <w:tab w:val="left" w:pos="426"/>
        </w:tabs>
        <w:spacing w:line="276" w:lineRule="auto"/>
        <w:jc w:val="both"/>
        <w:rPr>
          <w:iCs/>
          <w:color w:val="000000" w:themeColor="text1"/>
          <w:lang w:eastAsia="lt-LT"/>
        </w:rPr>
      </w:pPr>
      <w:r w:rsidRPr="00EA17F6">
        <w:rPr>
          <w:iCs/>
          <w:color w:val="000000" w:themeColor="text1"/>
          <w:lang w:eastAsia="lt-LT"/>
        </w:rPr>
        <w:tab/>
        <w:t>Palaikomoji fazė</w:t>
      </w:r>
      <w:r w:rsidR="00E15D3F">
        <w:rPr>
          <w:iCs/>
          <w:color w:val="000000" w:themeColor="text1"/>
          <w:lang w:eastAsia="lt-LT"/>
        </w:rPr>
        <w:t>.</w:t>
      </w:r>
      <w:r>
        <w:rPr>
          <w:iCs/>
          <w:color w:val="000000" w:themeColor="text1"/>
          <w:lang w:eastAsia="lt-LT"/>
        </w:rPr>
        <w:t xml:space="preserve"> </w:t>
      </w:r>
      <w:r w:rsidRPr="00EA17F6">
        <w:rPr>
          <w:iCs/>
          <w:color w:val="000000" w:themeColor="text1"/>
          <w:lang w:eastAsia="lt-LT"/>
        </w:rPr>
        <w:t>Statistini</w:t>
      </w:r>
      <w:r w:rsidR="00E15D3F">
        <w:rPr>
          <w:iCs/>
          <w:color w:val="000000" w:themeColor="text1"/>
          <w:lang w:eastAsia="lt-LT"/>
        </w:rPr>
        <w:t>ame</w:t>
      </w:r>
      <w:r w:rsidRPr="00EA17F6">
        <w:rPr>
          <w:iCs/>
          <w:color w:val="000000" w:themeColor="text1"/>
          <w:lang w:eastAsia="lt-LT"/>
        </w:rPr>
        <w:t xml:space="preserve"> plan</w:t>
      </w:r>
      <w:r w:rsidR="00E15D3F">
        <w:rPr>
          <w:iCs/>
          <w:color w:val="000000" w:themeColor="text1"/>
          <w:lang w:eastAsia="lt-LT"/>
        </w:rPr>
        <w:t>e buvo numatyta</w:t>
      </w:r>
      <w:r w:rsidRPr="00EA17F6">
        <w:rPr>
          <w:iCs/>
          <w:color w:val="000000" w:themeColor="text1"/>
          <w:lang w:eastAsia="lt-LT"/>
        </w:rPr>
        <w:t xml:space="preserve">, kad filgotinibo pranašumas bus įrodytas, jei bus pasiektas 20 proc. </w:t>
      </w:r>
      <w:r>
        <w:rPr>
          <w:iCs/>
          <w:color w:val="000000" w:themeColor="text1"/>
          <w:lang w:eastAsia="lt-LT"/>
        </w:rPr>
        <w:t>d</w:t>
      </w:r>
      <w:r w:rsidR="00E15D3F">
        <w:rPr>
          <w:iCs/>
          <w:color w:val="000000" w:themeColor="text1"/>
          <w:lang w:eastAsia="lt-LT"/>
        </w:rPr>
        <w:t>idesnis</w:t>
      </w:r>
      <w:r>
        <w:rPr>
          <w:iCs/>
          <w:color w:val="000000" w:themeColor="text1"/>
          <w:lang w:eastAsia="lt-LT"/>
        </w:rPr>
        <w:t xml:space="preserve"> klinikinės remisijos</w:t>
      </w:r>
      <w:r w:rsidR="00E15D3F">
        <w:rPr>
          <w:iCs/>
          <w:color w:val="000000" w:themeColor="text1"/>
          <w:lang w:eastAsia="lt-LT"/>
        </w:rPr>
        <w:t xml:space="preserve"> rezultatas</w:t>
      </w:r>
      <w:r>
        <w:rPr>
          <w:iCs/>
          <w:color w:val="000000" w:themeColor="text1"/>
          <w:lang w:eastAsia="lt-LT"/>
        </w:rPr>
        <w:t>, palyginus su placebu</w:t>
      </w:r>
      <w:r w:rsidRPr="00EA17F6">
        <w:rPr>
          <w:iCs/>
          <w:color w:val="000000" w:themeColor="text1"/>
          <w:lang w:eastAsia="lt-LT"/>
        </w:rPr>
        <w:t xml:space="preserve">. Šis skirtumas buvo pasiektas tik </w:t>
      </w:r>
      <w:r w:rsidR="00E15D3F">
        <w:rPr>
          <w:iCs/>
          <w:color w:val="000000" w:themeColor="text1"/>
          <w:lang w:eastAsia="lt-LT"/>
        </w:rPr>
        <w:t>f</w:t>
      </w:r>
      <w:r w:rsidRPr="00EA17F6">
        <w:rPr>
          <w:iCs/>
          <w:color w:val="000000" w:themeColor="text1"/>
          <w:lang w:eastAsia="lt-LT"/>
        </w:rPr>
        <w:t>ilgotinibo 200 mg grupėje, palyginus su placebo grupe.</w:t>
      </w:r>
      <w:r>
        <w:rPr>
          <w:iCs/>
          <w:color w:val="000000" w:themeColor="text1"/>
          <w:lang w:eastAsia="lt-LT"/>
        </w:rPr>
        <w:t xml:space="preserve"> Dėl šios priežasties palyginamasis veiksmingumas netiesioginiame palyginame buvo analizuojamas pagal filgotinibo 200 mg dozę.</w:t>
      </w:r>
    </w:p>
    <w:p w14:paraId="1F50FA13" w14:textId="6FC5B8C7" w:rsidR="00E43A51" w:rsidRDefault="00E43A51" w:rsidP="00E43A51">
      <w:pPr>
        <w:tabs>
          <w:tab w:val="left" w:pos="426"/>
        </w:tabs>
        <w:spacing w:line="276" w:lineRule="auto"/>
        <w:jc w:val="both"/>
        <w:rPr>
          <w:iCs/>
          <w:color w:val="000000" w:themeColor="text1"/>
          <w:lang w:eastAsia="lt-LT"/>
        </w:rPr>
      </w:pPr>
      <w:r w:rsidRPr="00EA17F6">
        <w:rPr>
          <w:iCs/>
          <w:color w:val="000000" w:themeColor="text1"/>
          <w:lang w:eastAsia="lt-LT"/>
        </w:rPr>
        <w:tab/>
        <w:t>Remiantis pacientų praneštomis baigtimis teigiamai įvertinti pokyčiai, palyginti su pradiniu lygiu, buvo didesni filgotinibo 200 mg grupėje, palygin</w:t>
      </w:r>
      <w:r w:rsidR="00E15D3F">
        <w:rPr>
          <w:iCs/>
          <w:color w:val="000000" w:themeColor="text1"/>
          <w:lang w:eastAsia="lt-LT"/>
        </w:rPr>
        <w:t>us</w:t>
      </w:r>
      <w:r w:rsidRPr="00EA17F6">
        <w:rPr>
          <w:iCs/>
          <w:color w:val="000000" w:themeColor="text1"/>
          <w:lang w:eastAsia="lt-LT"/>
        </w:rPr>
        <w:t xml:space="preserve"> su placebo grupe pagal bendrą ir visų </w:t>
      </w:r>
      <w:r w:rsidRPr="00EA17F6">
        <w:rPr>
          <w:iCs/>
          <w:color w:val="000000" w:themeColor="text1"/>
          <w:lang w:eastAsia="lt-LT"/>
        </w:rPr>
        <w:lastRenderedPageBreak/>
        <w:t>žarnyno uždegiminės ligos klausimyno, 36-ių elementų trumposios formos apklausos psichikos komponentų suvestinės ir fizinių komponentų suvestinės keturių sričių balų. Užfiksuotas didesnis filgotinibo 200 mg grupės</w:t>
      </w:r>
      <w:r w:rsidR="00E15D3F">
        <w:rPr>
          <w:iCs/>
          <w:color w:val="000000" w:themeColor="text1"/>
          <w:lang w:eastAsia="lt-LT"/>
        </w:rPr>
        <w:t xml:space="preserve"> palyginus su</w:t>
      </w:r>
      <w:r w:rsidRPr="00EA17F6">
        <w:rPr>
          <w:iCs/>
          <w:color w:val="000000" w:themeColor="text1"/>
          <w:lang w:eastAsia="lt-LT"/>
        </w:rPr>
        <w:t xml:space="preserve"> placebo grup</w:t>
      </w:r>
      <w:r w:rsidR="00E15D3F">
        <w:rPr>
          <w:iCs/>
          <w:color w:val="000000" w:themeColor="text1"/>
          <w:lang w:eastAsia="lt-LT"/>
        </w:rPr>
        <w:t>e</w:t>
      </w:r>
      <w:r w:rsidRPr="00EA17F6">
        <w:rPr>
          <w:iCs/>
          <w:color w:val="000000" w:themeColor="text1"/>
          <w:lang w:eastAsia="lt-LT"/>
        </w:rPr>
        <w:t xml:space="preserve"> pagerėjimas pagal Darbo našumo ir veiklos sutrikimo klausimyną, darbo sergant, prarasto darbo našumo ir veiklos sutrikimo domenuose bei pagal Europos gyvenimo kokybės 5 dimensijų klausimyno vizualinę analoginę skalę.</w:t>
      </w:r>
      <w:r w:rsidRPr="00191062">
        <w:rPr>
          <w:iCs/>
          <w:color w:val="000000" w:themeColor="text1"/>
          <w:lang w:eastAsia="lt-LT"/>
        </w:rPr>
        <w:t xml:space="preserve"> </w:t>
      </w:r>
    </w:p>
    <w:p w14:paraId="0096735D" w14:textId="0F4E9EA9" w:rsidR="00E43A51" w:rsidRPr="00EA17F6" w:rsidRDefault="00E43A51" w:rsidP="00E43A51">
      <w:pPr>
        <w:tabs>
          <w:tab w:val="left" w:pos="426"/>
        </w:tabs>
        <w:spacing w:line="276" w:lineRule="auto"/>
        <w:jc w:val="both"/>
        <w:rPr>
          <w:iCs/>
          <w:color w:val="000000" w:themeColor="text1"/>
          <w:lang w:eastAsia="lt-LT"/>
        </w:rPr>
      </w:pPr>
      <w:r>
        <w:rPr>
          <w:iCs/>
          <w:color w:val="000000" w:themeColor="text1"/>
          <w:lang w:eastAsia="lt-LT"/>
        </w:rPr>
        <w:tab/>
      </w:r>
      <w:r w:rsidRPr="00191062">
        <w:rPr>
          <w:iCs/>
          <w:color w:val="000000" w:themeColor="text1"/>
          <w:lang w:eastAsia="lt-LT"/>
        </w:rPr>
        <w:t>Klinikinis tyrimas SELECTION yra registracinis tyrimas, visi nepageidau</w:t>
      </w:r>
      <w:r w:rsidR="00E15D3F">
        <w:rPr>
          <w:iCs/>
          <w:color w:val="000000" w:themeColor="text1"/>
          <w:lang w:eastAsia="lt-LT"/>
        </w:rPr>
        <w:t>jam</w:t>
      </w:r>
      <w:r w:rsidRPr="00191062">
        <w:rPr>
          <w:iCs/>
          <w:color w:val="000000" w:themeColor="text1"/>
          <w:lang w:eastAsia="lt-LT"/>
        </w:rPr>
        <w:t>i reiškiniai atitinka saugumo charakteristiką, pateiktą filgotinibo preparato charakteristikų santraukoje.</w:t>
      </w:r>
    </w:p>
    <w:p w14:paraId="26D45CB3" w14:textId="77777777" w:rsidR="00E43A51" w:rsidRPr="00EA17F6" w:rsidRDefault="00E43A51" w:rsidP="00E43A51">
      <w:pPr>
        <w:tabs>
          <w:tab w:val="left" w:pos="426"/>
        </w:tabs>
        <w:spacing w:line="276" w:lineRule="auto"/>
        <w:jc w:val="both"/>
        <w:rPr>
          <w:iCs/>
          <w:color w:val="000000" w:themeColor="text1"/>
          <w:lang w:eastAsia="lt-LT"/>
        </w:rPr>
      </w:pPr>
      <w:r w:rsidRPr="00EA17F6">
        <w:rPr>
          <w:iCs/>
          <w:color w:val="000000" w:themeColor="text1"/>
          <w:lang w:eastAsia="lt-LT"/>
        </w:rPr>
        <w:tab/>
      </w:r>
      <w:r>
        <w:rPr>
          <w:iCs/>
          <w:color w:val="000000" w:themeColor="text1"/>
          <w:lang w:eastAsia="lt-LT"/>
        </w:rPr>
        <w:tab/>
      </w:r>
    </w:p>
    <w:p w14:paraId="3BF5156C" w14:textId="77777777" w:rsidR="00E43A51" w:rsidRDefault="00E43A51" w:rsidP="00E43A51">
      <w:pPr>
        <w:tabs>
          <w:tab w:val="left" w:pos="426"/>
        </w:tabs>
        <w:spacing w:line="276" w:lineRule="auto"/>
        <w:jc w:val="both"/>
        <w:rPr>
          <w:i/>
          <w:iCs/>
          <w:color w:val="000000" w:themeColor="text1"/>
          <w:lang w:eastAsia="lt-LT"/>
        </w:rPr>
      </w:pPr>
      <w:r w:rsidRPr="00EA17F6">
        <w:rPr>
          <w:i/>
          <w:iCs/>
          <w:color w:val="000000" w:themeColor="text1"/>
          <w:lang w:eastAsia="lt-LT"/>
        </w:rPr>
        <w:t>Netiesioginis palyginimas</w:t>
      </w:r>
    </w:p>
    <w:p w14:paraId="44439FC5" w14:textId="77777777" w:rsidR="00E43A51" w:rsidRDefault="00E43A51" w:rsidP="00E43A51">
      <w:pPr>
        <w:tabs>
          <w:tab w:val="left" w:pos="426"/>
        </w:tabs>
        <w:spacing w:line="276" w:lineRule="auto"/>
        <w:jc w:val="both"/>
        <w:rPr>
          <w:color w:val="000000" w:themeColor="text1"/>
          <w:sz w:val="23"/>
          <w:szCs w:val="23"/>
        </w:rPr>
      </w:pPr>
      <w:r>
        <w:rPr>
          <w:color w:val="000000" w:themeColor="text1"/>
          <w:sz w:val="23"/>
          <w:szCs w:val="23"/>
        </w:rPr>
        <w:tab/>
        <w:t xml:space="preserve">Netiesioginio analizės metu buvo vertinama </w:t>
      </w:r>
      <w:r w:rsidRPr="00EA17F6">
        <w:rPr>
          <w:color w:val="000000" w:themeColor="text1"/>
          <w:sz w:val="23"/>
          <w:szCs w:val="23"/>
        </w:rPr>
        <w:t xml:space="preserve">atsako/remisijos </w:t>
      </w:r>
      <w:r>
        <w:rPr>
          <w:color w:val="000000" w:themeColor="text1"/>
          <w:sz w:val="23"/>
          <w:szCs w:val="23"/>
        </w:rPr>
        <w:t xml:space="preserve">tikimybę </w:t>
      </w:r>
      <w:r w:rsidRPr="00EA17F6">
        <w:rPr>
          <w:b/>
          <w:bCs/>
          <w:color w:val="000000" w:themeColor="text1"/>
          <w:sz w:val="23"/>
          <w:szCs w:val="23"/>
        </w:rPr>
        <w:t xml:space="preserve">indukcinio gydymo </w:t>
      </w:r>
      <w:r w:rsidRPr="00EA17F6">
        <w:rPr>
          <w:color w:val="000000" w:themeColor="text1"/>
          <w:sz w:val="23"/>
          <w:szCs w:val="23"/>
        </w:rPr>
        <w:t xml:space="preserve">fazėje </w:t>
      </w:r>
      <w:r>
        <w:rPr>
          <w:color w:val="000000" w:themeColor="text1"/>
          <w:sz w:val="23"/>
          <w:szCs w:val="23"/>
        </w:rPr>
        <w:t xml:space="preserve">ir </w:t>
      </w:r>
      <w:r w:rsidRPr="00EA17F6">
        <w:rPr>
          <w:color w:val="000000" w:themeColor="text1"/>
          <w:sz w:val="23"/>
          <w:szCs w:val="23"/>
        </w:rPr>
        <w:t xml:space="preserve"> atsako</w:t>
      </w:r>
      <w:r>
        <w:rPr>
          <w:color w:val="000000" w:themeColor="text1"/>
          <w:sz w:val="23"/>
          <w:szCs w:val="23"/>
        </w:rPr>
        <w:t xml:space="preserve"> į gydymą</w:t>
      </w:r>
      <w:r w:rsidRPr="00EA17F6">
        <w:rPr>
          <w:color w:val="000000" w:themeColor="text1"/>
          <w:sz w:val="23"/>
          <w:szCs w:val="23"/>
        </w:rPr>
        <w:t xml:space="preserve">/remisijos </w:t>
      </w:r>
      <w:r>
        <w:rPr>
          <w:color w:val="000000" w:themeColor="text1"/>
          <w:sz w:val="23"/>
          <w:szCs w:val="23"/>
        </w:rPr>
        <w:t xml:space="preserve">tikimybę </w:t>
      </w:r>
      <w:r w:rsidRPr="00EA17F6">
        <w:rPr>
          <w:b/>
          <w:bCs/>
          <w:color w:val="000000" w:themeColor="text1"/>
          <w:sz w:val="23"/>
          <w:szCs w:val="23"/>
        </w:rPr>
        <w:t xml:space="preserve">palaikomojo gydymo </w:t>
      </w:r>
      <w:r w:rsidRPr="00EA17F6">
        <w:rPr>
          <w:color w:val="000000" w:themeColor="text1"/>
          <w:sz w:val="23"/>
          <w:szCs w:val="23"/>
        </w:rPr>
        <w:t>fazėje. Kadangi duomenų tinklas buvo ribotas, pasirinktas fiksuoto poveikio modelis. Fiksuoto poveikio analizei atlikti buvo naudotas Bajeso (Bayesian) metodas</w:t>
      </w:r>
      <w:r>
        <w:rPr>
          <w:color w:val="000000" w:themeColor="text1"/>
          <w:sz w:val="23"/>
          <w:szCs w:val="23"/>
        </w:rPr>
        <w:t>.</w:t>
      </w:r>
    </w:p>
    <w:p w14:paraId="71552E51" w14:textId="092BE752" w:rsidR="00B54EF4" w:rsidRDefault="00E43A51" w:rsidP="00B54EF4">
      <w:pPr>
        <w:tabs>
          <w:tab w:val="left" w:pos="426"/>
        </w:tabs>
        <w:spacing w:line="276" w:lineRule="auto"/>
        <w:jc w:val="both"/>
        <w:rPr>
          <w:color w:val="000000" w:themeColor="text1"/>
        </w:rPr>
      </w:pPr>
      <w:r>
        <w:rPr>
          <w:color w:val="000000" w:themeColor="text1"/>
          <w:sz w:val="23"/>
          <w:szCs w:val="23"/>
        </w:rPr>
        <w:tab/>
      </w:r>
      <w:r w:rsidR="00B54EF4">
        <w:rPr>
          <w:color w:val="000000" w:themeColor="text1"/>
          <w:sz w:val="23"/>
          <w:szCs w:val="23"/>
        </w:rPr>
        <w:t>(konfidenciali informacija).</w:t>
      </w:r>
    </w:p>
    <w:p w14:paraId="34DC4B09" w14:textId="316B6F3F" w:rsidR="00E43A51" w:rsidRPr="00EA17F6" w:rsidRDefault="00E43A51" w:rsidP="00E43A51">
      <w:pPr>
        <w:tabs>
          <w:tab w:val="left" w:pos="426"/>
        </w:tabs>
        <w:spacing w:line="276" w:lineRule="auto"/>
        <w:jc w:val="both"/>
        <w:rPr>
          <w:color w:val="000000" w:themeColor="text1"/>
          <w:lang w:eastAsia="lt-LT"/>
        </w:rPr>
      </w:pPr>
      <w:r>
        <w:rPr>
          <w:color w:val="000000" w:themeColor="text1"/>
        </w:rPr>
        <w:t>.</w:t>
      </w:r>
    </w:p>
    <w:p w14:paraId="02377782" w14:textId="77777777" w:rsidR="00E43A51" w:rsidRPr="00EA17F6" w:rsidRDefault="00E43A51" w:rsidP="00E43A51">
      <w:pPr>
        <w:tabs>
          <w:tab w:val="left" w:pos="426"/>
        </w:tabs>
        <w:spacing w:line="276" w:lineRule="auto"/>
        <w:jc w:val="both"/>
        <w:rPr>
          <w:b/>
          <w:color w:val="000000" w:themeColor="text1"/>
          <w:lang w:eastAsia="lt-LT"/>
        </w:rPr>
      </w:pPr>
    </w:p>
    <w:p w14:paraId="25F89291" w14:textId="0AA012E0" w:rsidR="00D4485B" w:rsidRPr="006D4C85" w:rsidRDefault="00D4485B" w:rsidP="00A93AA6">
      <w:pPr>
        <w:pStyle w:val="Sraopastraipa"/>
        <w:tabs>
          <w:tab w:val="left" w:pos="426"/>
        </w:tabs>
        <w:ind w:left="0"/>
        <w:rPr>
          <w:b/>
          <w:bCs/>
          <w:caps/>
        </w:rPr>
      </w:pPr>
    </w:p>
    <w:p w14:paraId="7DE09EB5" w14:textId="04C72FFD" w:rsidR="00E03C3F" w:rsidRPr="00A93AA6" w:rsidRDefault="00CC7832" w:rsidP="00937907">
      <w:pPr>
        <w:pStyle w:val="Sraopastraipa"/>
        <w:numPr>
          <w:ilvl w:val="0"/>
          <w:numId w:val="12"/>
        </w:numPr>
        <w:tabs>
          <w:tab w:val="left" w:pos="426"/>
        </w:tabs>
        <w:rPr>
          <w:b/>
          <w:bCs/>
          <w:caps/>
        </w:rPr>
      </w:pPr>
      <w:r w:rsidRPr="00A93AA6">
        <w:rPr>
          <w:b/>
          <w:bCs/>
          <w:caps/>
        </w:rPr>
        <w:t>Farmakoekonomin</w:t>
      </w:r>
      <w:r>
        <w:rPr>
          <w:b/>
          <w:bCs/>
          <w:caps/>
        </w:rPr>
        <w:t>io</w:t>
      </w:r>
      <w:r w:rsidRPr="00A93AA6">
        <w:rPr>
          <w:b/>
          <w:bCs/>
          <w:caps/>
        </w:rPr>
        <w:t xml:space="preserve"> vert</w:t>
      </w:r>
      <w:r>
        <w:rPr>
          <w:b/>
          <w:bCs/>
          <w:caps/>
        </w:rPr>
        <w:t xml:space="preserve">inimo </w:t>
      </w:r>
      <w:r w:rsidR="002F0E4F" w:rsidRPr="00A93AA6">
        <w:rPr>
          <w:b/>
          <w:bCs/>
          <w:caps/>
        </w:rPr>
        <w:t>apibendrinimas</w:t>
      </w:r>
    </w:p>
    <w:p w14:paraId="1A900598" w14:textId="3233AD00" w:rsidR="00C62B36" w:rsidRDefault="00C62B36" w:rsidP="00A93AA6">
      <w:pPr>
        <w:tabs>
          <w:tab w:val="left" w:pos="426"/>
        </w:tabs>
        <w:rPr>
          <w:i/>
          <w:color w:val="00B050"/>
          <w:sz w:val="22"/>
          <w:szCs w:val="22"/>
        </w:rPr>
      </w:pPr>
    </w:p>
    <w:p w14:paraId="5B5144A3" w14:textId="77777777" w:rsidR="005872C6" w:rsidRDefault="005872C6" w:rsidP="005872C6">
      <w:pPr>
        <w:tabs>
          <w:tab w:val="left" w:pos="492"/>
        </w:tabs>
        <w:spacing w:line="276" w:lineRule="auto"/>
        <w:jc w:val="both"/>
        <w:outlineLvl w:val="1"/>
      </w:pPr>
      <w:r>
        <w:tab/>
        <w:t>Filgotinibo</w:t>
      </w:r>
      <w:r w:rsidRPr="00B87E54">
        <w:t xml:space="preserve"> palyginamasis veiksmingumas grindžiamas tiesioginio palyginimo su placebu </w:t>
      </w:r>
      <w:r>
        <w:rPr>
          <w:rFonts w:eastAsia="Arial"/>
        </w:rPr>
        <w:t>klinikinio tyrimo</w:t>
      </w:r>
      <w:r w:rsidRPr="00B87E54">
        <w:rPr>
          <w:rFonts w:eastAsia="Arial"/>
          <w:bCs/>
        </w:rPr>
        <w:t xml:space="preserve"> </w:t>
      </w:r>
      <w:r>
        <w:rPr>
          <w:rFonts w:eastAsia="Arial"/>
          <w:bCs/>
        </w:rPr>
        <w:t>SELECTION</w:t>
      </w:r>
      <w:r w:rsidRPr="00B87E54">
        <w:t xml:space="preserve"> duomenimis. Remiantis </w:t>
      </w:r>
      <w:r w:rsidRPr="00B87E54">
        <w:rPr>
          <w:color w:val="000000"/>
        </w:rPr>
        <w:t xml:space="preserve">2018 m. vasario 12 d. </w:t>
      </w:r>
      <w:r w:rsidRPr="00B87E54">
        <w:t>Sveikatos apsaugos ministro įsakymu Nr.</w:t>
      </w:r>
      <w:r w:rsidRPr="00B87E54">
        <w:rPr>
          <w:color w:val="000000"/>
        </w:rPr>
        <w:t xml:space="preserve"> V-159 </w:t>
      </w:r>
      <w:r w:rsidRPr="00B87E54">
        <w:t>„</w:t>
      </w:r>
      <w:r w:rsidRPr="00B87E54">
        <w:rPr>
          <w:i/>
        </w:rPr>
        <w:t>Dėl Opinio kolito diagnostikos ir gydymo vaistais, kurių įsigijimo išlaidos apmokamos Privalomojo sveikatos draudimo fondo biudžeto lėšomis, tvarkos aprašo patvirtinimo</w:t>
      </w:r>
      <w:r w:rsidRPr="00B87E54">
        <w:t>“ tvarkos aprašu (toliau – tvarkos aprašas),</w:t>
      </w:r>
      <w:r w:rsidRPr="00B87E54">
        <w:rPr>
          <w:bCs/>
          <w:shd w:val="clear" w:color="auto" w:fill="FFFFFF"/>
        </w:rPr>
        <w:t xml:space="preserve"> pagal biologinių ligą modifikuojančių vaistų skyrimo eiliškumą, pradedant gydymą opiniu kolitu (K51) skiriamas </w:t>
      </w:r>
      <w:r w:rsidRPr="00B87E54">
        <w:rPr>
          <w:color w:val="000000"/>
        </w:rPr>
        <w:t>TNFα inhibitorius, kurio kaina mažiausia, arba vedolizumabas, arba tofacitinibas, arba ustekinumabas. Pareiškėjo pateiktos n</w:t>
      </w:r>
      <w:r w:rsidRPr="00B87E54">
        <w:t xml:space="preserve">etiesioginio palyginimo tinklinės meta-analizės, kurioje </w:t>
      </w:r>
      <w:r>
        <w:t>filgotinibo</w:t>
      </w:r>
      <w:r w:rsidRPr="00B87E54">
        <w:t xml:space="preserve"> klinikinis  veiksmingumas ir saugumas lygintas su gydymu adalimumabu/ infliksimabu/ tofacitinibu/ vendolizumabu/ ustekinumabu, palyginamasis gydymas atitinka įprastą klinikinę praktiką Lietuvoje.</w:t>
      </w:r>
    </w:p>
    <w:p w14:paraId="57C31068" w14:textId="77777777" w:rsidR="005872C6" w:rsidRDefault="005872C6" w:rsidP="005872C6">
      <w:pPr>
        <w:tabs>
          <w:tab w:val="left" w:pos="492"/>
        </w:tabs>
        <w:spacing w:line="276" w:lineRule="auto"/>
        <w:jc w:val="both"/>
        <w:outlineLvl w:val="1"/>
        <w:rPr>
          <w:color w:val="000000"/>
        </w:rPr>
      </w:pPr>
      <w:r>
        <w:tab/>
      </w:r>
      <w:r w:rsidRPr="00B87E54">
        <w:t xml:space="preserve">Įprastinėje atvejo analizėje Tarnyba atsižvelgia, kad </w:t>
      </w:r>
      <w:r w:rsidRPr="00B87E54">
        <w:rPr>
          <w:color w:val="000000"/>
        </w:rPr>
        <w:t>Lietuvoje opiniam kolitui yra kompensuojamas</w:t>
      </w:r>
      <w:r w:rsidRPr="00B87E54">
        <w:t xml:space="preserve"> panašaus veikimo mechanizmo (JAK inhibitorius) vaistinis preparatas – tofacitinibas, kuris laikomas pagrindiniu palyginamuoju (duomenis patvirtina </w:t>
      </w:r>
      <w:r w:rsidRPr="00B87E54">
        <w:rPr>
          <w:rFonts w:eastAsia="TimesNewRomanPSMT"/>
        </w:rPr>
        <w:t>Valstybinės ligonių kasos</w:t>
      </w:r>
      <w:r w:rsidRPr="00B87E54">
        <w:t xml:space="preserve"> bei Lietuvos </w:t>
      </w:r>
      <w:r w:rsidRPr="00B87E54">
        <w:rPr>
          <w:rFonts w:eastAsia="TimesNewRomanPSMT"/>
        </w:rPr>
        <w:t>gastroenterologų draugijos nuomonė dėl vaistų pakeičiamumo).</w:t>
      </w:r>
      <w:r>
        <w:t xml:space="preserve"> </w:t>
      </w:r>
      <w:r w:rsidRPr="00B87E54">
        <w:rPr>
          <w:color w:val="000000"/>
        </w:rPr>
        <w:t>Kadangi Pareiškėjas teikia indikaciją (</w:t>
      </w:r>
      <w:r w:rsidRPr="006A1BF0">
        <w:rPr>
          <w:i/>
          <w:color w:val="000000" w:themeColor="text1"/>
        </w:rPr>
        <w:t>vidutinio sunkumo arba sunkiu aktyviu opiniu kolitu sergantiems suaugusiems pacientams gydyti, kai įprastinis gydymas arba gydymas biologiniu vaistiniu preparatu sukėlė nepakankamą atsaką, atsakas išnyko arba gydymas buvo netoleruojamas</w:t>
      </w:r>
      <w:r w:rsidRPr="00B87E54">
        <w:t>)</w:t>
      </w:r>
      <w:r w:rsidRPr="00B87E54">
        <w:rPr>
          <w:color w:val="000000"/>
        </w:rPr>
        <w:t xml:space="preserve">, </w:t>
      </w:r>
      <w:r>
        <w:rPr>
          <w:color w:val="000000"/>
        </w:rPr>
        <w:t>ir Lietuvos klinikinėje praktikoje skiriant OK Lietuvoje kompnesuojamus minėtus vaistinius preparatus</w:t>
      </w:r>
      <w:r w:rsidRPr="00B87E54">
        <w:rPr>
          <w:color w:val="000000"/>
        </w:rPr>
        <w:t xml:space="preserve"> yra taikomas mažiausios metinės gydymo kainos kriterijus (skelbiama VLK interneto svetainėje), alternatyviai atliekama kaštų mažinimo analizė </w:t>
      </w:r>
      <w:r>
        <w:rPr>
          <w:color w:val="000000"/>
        </w:rPr>
        <w:t>filgotinibą</w:t>
      </w:r>
      <w:r w:rsidRPr="00B87E54">
        <w:rPr>
          <w:color w:val="000000"/>
        </w:rPr>
        <w:t xml:space="preserve"> lyginant su adalimumabu (pigiausias TNF alfa inhibitorius), vedolizumabu (</w:t>
      </w:r>
      <w:r w:rsidRPr="00B87E54">
        <w:rPr>
          <w:color w:val="202124"/>
          <w:shd w:val="clear" w:color="auto" w:fill="FFFFFF"/>
        </w:rPr>
        <w:t>integrinas α</w:t>
      </w:r>
      <w:r w:rsidRPr="00B87E54">
        <w:rPr>
          <w:color w:val="202124"/>
          <w:shd w:val="clear" w:color="auto" w:fill="FFFFFF"/>
          <w:vertAlign w:val="subscript"/>
        </w:rPr>
        <w:t>4</w:t>
      </w:r>
      <w:r w:rsidRPr="00B87E54">
        <w:rPr>
          <w:color w:val="202124"/>
          <w:shd w:val="clear" w:color="auto" w:fill="FFFFFF"/>
        </w:rPr>
        <w:t>β</w:t>
      </w:r>
      <w:r w:rsidRPr="00B87E54">
        <w:rPr>
          <w:color w:val="202124"/>
          <w:shd w:val="clear" w:color="auto" w:fill="FFFFFF"/>
          <w:vertAlign w:val="subscript"/>
        </w:rPr>
        <w:t>7</w:t>
      </w:r>
      <w:r w:rsidRPr="00B87E54">
        <w:rPr>
          <w:color w:val="000000"/>
        </w:rPr>
        <w:t>) ir ustekinumabu (interleukinas).</w:t>
      </w:r>
    </w:p>
    <w:p w14:paraId="715954E6" w14:textId="77777777" w:rsidR="005872C6" w:rsidRPr="00B87E54" w:rsidRDefault="005872C6" w:rsidP="005872C6">
      <w:pPr>
        <w:tabs>
          <w:tab w:val="left" w:pos="492"/>
        </w:tabs>
        <w:spacing w:line="276" w:lineRule="auto"/>
        <w:jc w:val="both"/>
        <w:outlineLvl w:val="1"/>
      </w:pPr>
      <w:r>
        <w:rPr>
          <w:rFonts w:eastAsia="Arial"/>
        </w:rPr>
        <w:tab/>
      </w:r>
      <w:r w:rsidRPr="00B87E54">
        <w:rPr>
          <w:rFonts w:eastAsia="Arial"/>
        </w:rPr>
        <w:t xml:space="preserve">Atsižvelgiant, kad pagal klinikinius duomenis vertinama, jog </w:t>
      </w:r>
      <w:r>
        <w:rPr>
          <w:rFonts w:eastAsia="Arial"/>
        </w:rPr>
        <w:t>filgotinibo</w:t>
      </w:r>
      <w:r w:rsidRPr="00B87E54">
        <w:rPr>
          <w:rFonts w:eastAsia="Arial"/>
        </w:rPr>
        <w:t xml:space="preserve"> ir palyginamųjų vaistinių preparatų sveikatai sukuriama nauda yra panaši, ekonominėje analizėje ICER (ir QALYS) nėra vertinami, laikomasi prielaidos, kad gydymo (sveikatos būklių) kaštai yra panašūs ir ekonominėje analizėje yra netaikomi.</w:t>
      </w:r>
    </w:p>
    <w:p w14:paraId="0B1AE3B5" w14:textId="0AF38438" w:rsidR="005872C6" w:rsidRDefault="005872C6" w:rsidP="005872C6">
      <w:pPr>
        <w:tabs>
          <w:tab w:val="left" w:pos="567"/>
        </w:tabs>
        <w:spacing w:line="276" w:lineRule="auto"/>
        <w:jc w:val="both"/>
      </w:pPr>
      <w:r>
        <w:tab/>
      </w:r>
      <w:r w:rsidRPr="00B87E54">
        <w:t>Tarnyba vertina, kad stebėsenos kaštai (</w:t>
      </w:r>
      <w:r w:rsidRPr="00B87E54">
        <w:rPr>
          <w:color w:val="000000"/>
          <w:lang w:eastAsia="lt-LT"/>
        </w:rPr>
        <w:t>gastroenterologo</w:t>
      </w:r>
      <w:r w:rsidRPr="00B87E54">
        <w:t xml:space="preserve"> konsultacijos apimtyje), visiems palyginamiesiems vaistiniams preparatams (bLMV) bus vienodi, kadangi priežiūra pagal opinio </w:t>
      </w:r>
      <w:r w:rsidRPr="00B87E54">
        <w:lastRenderedPageBreak/>
        <w:t xml:space="preserve">kolito tvarkos aprašą yra vykdoma tuo pačiu periodiškumu visiems bLMV. Tarnyba ekonominėje analizėje įtraukia tik tuos kaštus, kurie tarp palyginamųjų skiriasi ir turi esminės įtakos kaštų analizės rezultatams: </w:t>
      </w:r>
      <w:r w:rsidRPr="00B87E54">
        <w:rPr>
          <w:rFonts w:eastAsia="Arial"/>
        </w:rPr>
        <w:t>vaistinių preparatų įsigijimo ir skyrimo bei nepageidaujamo poveikio vienkartiniai kaštai penkerių metų laiko perspektyvoje (kadangi pirmaisiais ir sekančiais metais kaštai skir</w:t>
      </w:r>
      <w:r>
        <w:rPr>
          <w:rFonts w:eastAsia="Arial"/>
        </w:rPr>
        <w:t>iasi priklausomai nuo dozavimo, lentelė 3.1).</w:t>
      </w:r>
    </w:p>
    <w:p w14:paraId="69508910" w14:textId="77777777" w:rsidR="00253CF8" w:rsidRDefault="00253CF8" w:rsidP="00253CF8">
      <w:pPr>
        <w:spacing w:after="120"/>
      </w:pPr>
    </w:p>
    <w:p w14:paraId="51A71D3A" w14:textId="1D39DEF0" w:rsidR="00253CF8" w:rsidRPr="004E30F3" w:rsidRDefault="00253CF8" w:rsidP="00253CF8">
      <w:pPr>
        <w:jc w:val="center"/>
      </w:pPr>
      <w:r w:rsidRPr="00735DDD">
        <w:t>Le</w:t>
      </w:r>
      <w:r w:rsidR="005872C6">
        <w:t>ntelė 3</w:t>
      </w:r>
      <w:r w:rsidRPr="00735DDD">
        <w:t>.1.</w:t>
      </w:r>
      <w:r>
        <w:t xml:space="preserve"> Ekonominės analizės kaštų struktūra</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4454"/>
        <w:gridCol w:w="3330"/>
      </w:tblGrid>
      <w:tr w:rsidR="00253CF8" w:rsidRPr="00735DDD" w14:paraId="0B023D12" w14:textId="77777777" w:rsidTr="00321E73">
        <w:trPr>
          <w:trHeight w:val="207"/>
          <w:jc w:val="center"/>
        </w:trPr>
        <w:tc>
          <w:tcPr>
            <w:tcW w:w="1841" w:type="dxa"/>
            <w:shd w:val="clear" w:color="auto" w:fill="auto"/>
          </w:tcPr>
          <w:p w14:paraId="131921ED" w14:textId="77777777" w:rsidR="00253CF8" w:rsidRPr="00735DDD" w:rsidRDefault="00253CF8" w:rsidP="00321E73">
            <w:pPr>
              <w:rPr>
                <w:b/>
                <w:sz w:val="22"/>
                <w:szCs w:val="22"/>
              </w:rPr>
            </w:pPr>
            <w:r w:rsidRPr="00735DDD">
              <w:rPr>
                <w:b/>
                <w:sz w:val="22"/>
                <w:szCs w:val="22"/>
              </w:rPr>
              <w:t>Kaštai</w:t>
            </w:r>
          </w:p>
        </w:tc>
        <w:tc>
          <w:tcPr>
            <w:tcW w:w="4454" w:type="dxa"/>
            <w:shd w:val="clear" w:color="auto" w:fill="auto"/>
          </w:tcPr>
          <w:p w14:paraId="46372B22" w14:textId="77777777" w:rsidR="00253CF8" w:rsidRPr="00735DDD" w:rsidRDefault="00253CF8" w:rsidP="00321E73">
            <w:pPr>
              <w:rPr>
                <w:sz w:val="22"/>
                <w:szCs w:val="22"/>
              </w:rPr>
            </w:pPr>
            <w:r w:rsidRPr="00735DDD">
              <w:rPr>
                <w:b/>
                <w:bCs/>
                <w:sz w:val="22"/>
                <w:szCs w:val="22"/>
              </w:rPr>
              <w:t>Prielaida</w:t>
            </w:r>
          </w:p>
        </w:tc>
        <w:tc>
          <w:tcPr>
            <w:tcW w:w="3330" w:type="dxa"/>
            <w:shd w:val="clear" w:color="auto" w:fill="auto"/>
          </w:tcPr>
          <w:p w14:paraId="4D7E8D5E" w14:textId="77777777" w:rsidR="00253CF8" w:rsidRPr="00735DDD" w:rsidRDefault="00253CF8" w:rsidP="00321E73">
            <w:pPr>
              <w:rPr>
                <w:sz w:val="22"/>
                <w:szCs w:val="22"/>
              </w:rPr>
            </w:pPr>
            <w:r w:rsidRPr="00735DDD">
              <w:rPr>
                <w:b/>
                <w:bCs/>
                <w:sz w:val="22"/>
                <w:szCs w:val="22"/>
              </w:rPr>
              <w:t>Kaštų įtraukimas KMA</w:t>
            </w:r>
          </w:p>
        </w:tc>
      </w:tr>
      <w:tr w:rsidR="00253CF8" w:rsidRPr="00735DDD" w14:paraId="4219E703" w14:textId="77777777" w:rsidTr="00321E73">
        <w:trPr>
          <w:trHeight w:val="416"/>
          <w:jc w:val="center"/>
        </w:trPr>
        <w:tc>
          <w:tcPr>
            <w:tcW w:w="1841" w:type="dxa"/>
            <w:shd w:val="clear" w:color="auto" w:fill="auto"/>
          </w:tcPr>
          <w:p w14:paraId="6FEDA0EC" w14:textId="77777777" w:rsidR="00253CF8" w:rsidRPr="00735DDD" w:rsidRDefault="00253CF8" w:rsidP="00321E73">
            <w:pPr>
              <w:rPr>
                <w:sz w:val="22"/>
                <w:szCs w:val="22"/>
              </w:rPr>
            </w:pPr>
            <w:r w:rsidRPr="00735DDD">
              <w:rPr>
                <w:sz w:val="22"/>
                <w:szCs w:val="22"/>
              </w:rPr>
              <w:t>Vaistų skyrimo kaštai</w:t>
            </w:r>
          </w:p>
        </w:tc>
        <w:tc>
          <w:tcPr>
            <w:tcW w:w="4454" w:type="dxa"/>
            <w:shd w:val="clear" w:color="auto" w:fill="auto"/>
          </w:tcPr>
          <w:p w14:paraId="0A435F38" w14:textId="77777777" w:rsidR="00253CF8" w:rsidRPr="00735DDD" w:rsidRDefault="00253CF8" w:rsidP="00321E73">
            <w:pPr>
              <w:rPr>
                <w:sz w:val="22"/>
                <w:szCs w:val="22"/>
              </w:rPr>
            </w:pPr>
            <w:r w:rsidRPr="00735DDD">
              <w:rPr>
                <w:sz w:val="22"/>
                <w:szCs w:val="22"/>
              </w:rPr>
              <w:t xml:space="preserve">Vartojami per burną (tabletės): </w:t>
            </w:r>
            <w:r>
              <w:rPr>
                <w:sz w:val="22"/>
                <w:szCs w:val="22"/>
              </w:rPr>
              <w:t>filgotinibas</w:t>
            </w:r>
            <w:r w:rsidRPr="00735DDD">
              <w:rPr>
                <w:sz w:val="22"/>
                <w:szCs w:val="22"/>
              </w:rPr>
              <w:t xml:space="preserve"> ir </w:t>
            </w:r>
            <w:r>
              <w:rPr>
                <w:sz w:val="22"/>
                <w:szCs w:val="22"/>
              </w:rPr>
              <w:t xml:space="preserve">palyginamieji vaistiniai preparatai (upadacitinibas ir baricitinibas) </w:t>
            </w:r>
            <w:r w:rsidRPr="00735DDD">
              <w:rPr>
                <w:sz w:val="22"/>
                <w:szCs w:val="22"/>
              </w:rPr>
              <w:t>skiriami tablečių forma.</w:t>
            </w:r>
          </w:p>
        </w:tc>
        <w:tc>
          <w:tcPr>
            <w:tcW w:w="3330" w:type="dxa"/>
            <w:shd w:val="clear" w:color="auto" w:fill="auto"/>
          </w:tcPr>
          <w:p w14:paraId="55A8A6F5" w14:textId="77777777" w:rsidR="00253CF8" w:rsidRPr="00735DDD" w:rsidRDefault="00253CF8" w:rsidP="00321E73">
            <w:pPr>
              <w:rPr>
                <w:sz w:val="22"/>
                <w:szCs w:val="22"/>
              </w:rPr>
            </w:pPr>
            <w:r w:rsidRPr="00735DDD">
              <w:rPr>
                <w:sz w:val="22"/>
                <w:szCs w:val="22"/>
              </w:rPr>
              <w:t>Ambulatoriškai vartojamų vaistų (tablečių forma) kaštai ekonominėje analizėje papildomai neįtraukiami.</w:t>
            </w:r>
          </w:p>
        </w:tc>
      </w:tr>
      <w:tr w:rsidR="00253CF8" w:rsidRPr="00735DDD" w14:paraId="599D9801" w14:textId="77777777" w:rsidTr="00321E73">
        <w:trPr>
          <w:trHeight w:val="423"/>
          <w:jc w:val="center"/>
        </w:trPr>
        <w:tc>
          <w:tcPr>
            <w:tcW w:w="1841" w:type="dxa"/>
            <w:shd w:val="clear" w:color="auto" w:fill="auto"/>
          </w:tcPr>
          <w:p w14:paraId="76C0280B" w14:textId="77777777" w:rsidR="00253CF8" w:rsidRPr="00735DDD" w:rsidRDefault="00253CF8" w:rsidP="00321E73">
            <w:pPr>
              <w:rPr>
                <w:sz w:val="22"/>
                <w:szCs w:val="22"/>
              </w:rPr>
            </w:pPr>
            <w:r w:rsidRPr="00735DDD">
              <w:rPr>
                <w:sz w:val="22"/>
                <w:szCs w:val="22"/>
              </w:rPr>
              <w:t>Stebėjimo kaštai</w:t>
            </w:r>
          </w:p>
        </w:tc>
        <w:tc>
          <w:tcPr>
            <w:tcW w:w="4454" w:type="dxa"/>
            <w:shd w:val="clear" w:color="auto" w:fill="auto"/>
          </w:tcPr>
          <w:p w14:paraId="44CD128D" w14:textId="77777777" w:rsidR="00253CF8" w:rsidRPr="00735DDD" w:rsidRDefault="00253CF8" w:rsidP="00321E73">
            <w:pPr>
              <w:rPr>
                <w:sz w:val="22"/>
                <w:szCs w:val="22"/>
              </w:rPr>
            </w:pPr>
            <w:r>
              <w:rPr>
                <w:sz w:val="22"/>
                <w:szCs w:val="22"/>
              </w:rPr>
              <w:t>S</w:t>
            </w:r>
            <w:r w:rsidRPr="00735DDD">
              <w:rPr>
                <w:sz w:val="22"/>
                <w:szCs w:val="22"/>
              </w:rPr>
              <w:t xml:space="preserve">tebėsenos kaštai (papildomi tyrimai, stebėjimas, konsultacijų dažnis ir pan. </w:t>
            </w:r>
            <w:r>
              <w:rPr>
                <w:color w:val="000000"/>
                <w:sz w:val="22"/>
                <w:szCs w:val="22"/>
              </w:rPr>
              <w:t>reumatologo</w:t>
            </w:r>
            <w:r w:rsidRPr="00735DDD">
              <w:rPr>
                <w:sz w:val="22"/>
                <w:szCs w:val="22"/>
              </w:rPr>
              <w:t xml:space="preserve"> konsultacijos apimtyje), visiems palyginamiesiems vaistiniams preparatams (bLMV) bus vienodi, kadangi priežiūra pagal </w:t>
            </w:r>
            <w:r>
              <w:rPr>
                <w:sz w:val="22"/>
                <w:szCs w:val="22"/>
              </w:rPr>
              <w:t>reumatoidinio artrito</w:t>
            </w:r>
            <w:r w:rsidRPr="00735DDD">
              <w:rPr>
                <w:sz w:val="22"/>
                <w:szCs w:val="22"/>
              </w:rPr>
              <w:t xml:space="preserve"> tvarkos aprašą yra vykdoma tuo pačiu periodiškumu visiems bLMV.</w:t>
            </w:r>
          </w:p>
        </w:tc>
        <w:tc>
          <w:tcPr>
            <w:tcW w:w="3330" w:type="dxa"/>
            <w:shd w:val="clear" w:color="auto" w:fill="auto"/>
          </w:tcPr>
          <w:p w14:paraId="0A4D7C13" w14:textId="77777777" w:rsidR="00253CF8" w:rsidRPr="00735DDD" w:rsidRDefault="00253CF8" w:rsidP="00321E73">
            <w:pPr>
              <w:rPr>
                <w:sz w:val="22"/>
                <w:szCs w:val="22"/>
              </w:rPr>
            </w:pPr>
            <w:r w:rsidRPr="00735DDD">
              <w:rPr>
                <w:sz w:val="22"/>
                <w:szCs w:val="22"/>
              </w:rPr>
              <w:t xml:space="preserve">Nevertinta, nes laikoma, kad nesiskirs. </w:t>
            </w:r>
          </w:p>
        </w:tc>
      </w:tr>
      <w:tr w:rsidR="00253CF8" w:rsidRPr="00735DDD" w14:paraId="65C8881E" w14:textId="77777777" w:rsidTr="00321E73">
        <w:trPr>
          <w:trHeight w:val="623"/>
          <w:jc w:val="center"/>
        </w:trPr>
        <w:tc>
          <w:tcPr>
            <w:tcW w:w="1841" w:type="dxa"/>
            <w:shd w:val="clear" w:color="auto" w:fill="auto"/>
          </w:tcPr>
          <w:p w14:paraId="0DDD338F" w14:textId="77777777" w:rsidR="00253CF8" w:rsidRPr="00014889" w:rsidRDefault="00253CF8" w:rsidP="00321E73">
            <w:pPr>
              <w:rPr>
                <w:sz w:val="22"/>
                <w:szCs w:val="22"/>
                <w:highlight w:val="yellow"/>
              </w:rPr>
            </w:pPr>
            <w:r w:rsidRPr="003F749D">
              <w:rPr>
                <w:sz w:val="22"/>
                <w:szCs w:val="22"/>
              </w:rPr>
              <w:t>Nepageidaujamo poveikio valdymo kaštai</w:t>
            </w:r>
          </w:p>
        </w:tc>
        <w:tc>
          <w:tcPr>
            <w:tcW w:w="4454" w:type="dxa"/>
            <w:shd w:val="clear" w:color="auto" w:fill="auto"/>
          </w:tcPr>
          <w:p w14:paraId="7A0FBC94" w14:textId="77777777" w:rsidR="00253CF8" w:rsidRPr="00014889" w:rsidRDefault="00253CF8" w:rsidP="00321E73">
            <w:pPr>
              <w:rPr>
                <w:sz w:val="22"/>
                <w:szCs w:val="22"/>
                <w:highlight w:val="yellow"/>
              </w:rPr>
            </w:pPr>
            <w:r w:rsidRPr="00E31E0B">
              <w:rPr>
                <w:sz w:val="22"/>
                <w:szCs w:val="22"/>
              </w:rPr>
              <w:t>Saugumo charakteristikos panašios. Nepageidaujamų poveikių dažnio skirtumas tarp lyginamų terapijų nebuvo reikšmingas, todėl nepageidaujamų poveikių kaštai į analizę neįtraukti</w:t>
            </w:r>
          </w:p>
        </w:tc>
        <w:tc>
          <w:tcPr>
            <w:tcW w:w="3330" w:type="dxa"/>
            <w:shd w:val="clear" w:color="auto" w:fill="auto"/>
          </w:tcPr>
          <w:p w14:paraId="48C26C7B" w14:textId="77777777" w:rsidR="00253CF8" w:rsidRPr="00014889" w:rsidRDefault="00253CF8" w:rsidP="00321E73">
            <w:pPr>
              <w:rPr>
                <w:sz w:val="22"/>
                <w:szCs w:val="22"/>
                <w:highlight w:val="yellow"/>
              </w:rPr>
            </w:pPr>
            <w:r w:rsidRPr="00E31E0B">
              <w:rPr>
                <w:sz w:val="22"/>
                <w:szCs w:val="22"/>
              </w:rPr>
              <w:t>Nevertinta, nes saugumo charakteristikos pagal NMA rezultatus nesiskiria.</w:t>
            </w:r>
          </w:p>
        </w:tc>
      </w:tr>
      <w:tr w:rsidR="00253CF8" w:rsidRPr="00735DDD" w14:paraId="3D96E0BF" w14:textId="77777777" w:rsidTr="00321E73">
        <w:trPr>
          <w:trHeight w:val="832"/>
          <w:jc w:val="center"/>
        </w:trPr>
        <w:tc>
          <w:tcPr>
            <w:tcW w:w="1841" w:type="dxa"/>
            <w:shd w:val="clear" w:color="auto" w:fill="auto"/>
          </w:tcPr>
          <w:p w14:paraId="591AD425" w14:textId="77777777" w:rsidR="00253CF8" w:rsidRPr="00735DDD" w:rsidRDefault="00253CF8" w:rsidP="00321E73">
            <w:pPr>
              <w:rPr>
                <w:sz w:val="22"/>
                <w:szCs w:val="22"/>
              </w:rPr>
            </w:pPr>
            <w:r w:rsidRPr="00735DDD">
              <w:rPr>
                <w:sz w:val="22"/>
                <w:szCs w:val="22"/>
              </w:rPr>
              <w:t>Gydymo kaštai</w:t>
            </w:r>
          </w:p>
        </w:tc>
        <w:tc>
          <w:tcPr>
            <w:tcW w:w="4454" w:type="dxa"/>
            <w:shd w:val="clear" w:color="auto" w:fill="auto"/>
          </w:tcPr>
          <w:p w14:paraId="754962D5" w14:textId="77777777" w:rsidR="00253CF8" w:rsidRPr="00735DDD" w:rsidRDefault="00253CF8" w:rsidP="00321E73">
            <w:pPr>
              <w:jc w:val="both"/>
              <w:rPr>
                <w:sz w:val="22"/>
                <w:szCs w:val="22"/>
              </w:rPr>
            </w:pPr>
            <w:r w:rsidRPr="00735DDD">
              <w:rPr>
                <w:sz w:val="22"/>
                <w:szCs w:val="22"/>
              </w:rPr>
              <w:t xml:space="preserve">Modeliavimas neteikiamas. </w:t>
            </w:r>
          </w:p>
          <w:p w14:paraId="1B618BF4" w14:textId="77777777" w:rsidR="00253CF8" w:rsidRPr="00735DDD" w:rsidRDefault="00253CF8" w:rsidP="00321E73">
            <w:pPr>
              <w:jc w:val="both"/>
              <w:rPr>
                <w:sz w:val="22"/>
                <w:szCs w:val="22"/>
              </w:rPr>
            </w:pPr>
            <w:r w:rsidRPr="00735DDD">
              <w:rPr>
                <w:sz w:val="22"/>
                <w:szCs w:val="22"/>
              </w:rPr>
              <w:t>-Atliktas netiesioginis palyginimas parodė, kad tarp lyginamų terapijų reikšmingo skirtumo vertinant efektyvumą nebuvo;</w:t>
            </w:r>
          </w:p>
          <w:p w14:paraId="0842CBD0" w14:textId="77777777" w:rsidR="00253CF8" w:rsidRPr="00735DDD" w:rsidRDefault="00253CF8" w:rsidP="00321E73">
            <w:pPr>
              <w:jc w:val="both"/>
              <w:rPr>
                <w:sz w:val="22"/>
                <w:szCs w:val="22"/>
              </w:rPr>
            </w:pPr>
            <w:r w:rsidRPr="00735DDD">
              <w:rPr>
                <w:sz w:val="22"/>
                <w:szCs w:val="22"/>
              </w:rPr>
              <w:t>-Laikoma, kad gydymo trukmė lyginamais vaistiniais preparatais yra vienoda. Toks pasirinkimas grindžiamas vienodu veiksmingumu, nes dažniausia gydymo nutraukimo priežastis buvo nepakankamas veiksmingumas;</w:t>
            </w:r>
          </w:p>
        </w:tc>
        <w:tc>
          <w:tcPr>
            <w:tcW w:w="3330" w:type="dxa"/>
            <w:shd w:val="clear" w:color="auto" w:fill="auto"/>
          </w:tcPr>
          <w:p w14:paraId="05919893" w14:textId="77777777" w:rsidR="00253CF8" w:rsidRPr="00735DDD" w:rsidRDefault="00253CF8" w:rsidP="00321E73">
            <w:pPr>
              <w:rPr>
                <w:sz w:val="22"/>
                <w:szCs w:val="22"/>
              </w:rPr>
            </w:pPr>
            <w:r w:rsidRPr="00735DDD">
              <w:rPr>
                <w:sz w:val="22"/>
                <w:szCs w:val="22"/>
              </w:rPr>
              <w:t>Taikoma prielaida remiantis klinikiniais duomenimis, kad kaštai nesiskirs, kadangi terapinė nauda panaši.</w:t>
            </w:r>
          </w:p>
        </w:tc>
      </w:tr>
    </w:tbl>
    <w:p w14:paraId="6038D2B5" w14:textId="77777777" w:rsidR="00253CF8" w:rsidRDefault="00253CF8" w:rsidP="00253CF8">
      <w:pPr>
        <w:tabs>
          <w:tab w:val="left" w:pos="492"/>
        </w:tabs>
        <w:spacing w:line="276" w:lineRule="auto"/>
        <w:jc w:val="both"/>
        <w:outlineLvl w:val="1"/>
        <w:rPr>
          <w:b/>
          <w:color w:val="000000"/>
        </w:rPr>
      </w:pPr>
    </w:p>
    <w:p w14:paraId="1ED3244A" w14:textId="07CE1E3A" w:rsidR="0069071D" w:rsidRPr="007A5B95" w:rsidRDefault="005872C6" w:rsidP="0069071D">
      <w:pPr>
        <w:shd w:val="clear" w:color="auto" w:fill="FFFFFF"/>
        <w:spacing w:line="276" w:lineRule="auto"/>
        <w:ind w:firstLine="450"/>
        <w:jc w:val="both"/>
        <w:rPr>
          <w:rFonts w:eastAsia="Arial"/>
        </w:rPr>
      </w:pPr>
      <w:r w:rsidRPr="00B87E54">
        <w:rPr>
          <w:rFonts w:eastAsia="Arial"/>
        </w:rPr>
        <w:t xml:space="preserve">Gautais duomenimis, </w:t>
      </w:r>
      <w:r w:rsidR="0069071D">
        <w:rPr>
          <w:rFonts w:eastAsia="Arial"/>
        </w:rPr>
        <w:t>v</w:t>
      </w:r>
      <w:r w:rsidR="0069071D" w:rsidRPr="00FC494A">
        <w:rPr>
          <w:rFonts w:eastAsia="Arial"/>
        </w:rPr>
        <w:t>ertinant penkerių metų laiko perspektyvoje, filgotinibo kaštai didesni nei tofacitinibo (</w:t>
      </w:r>
      <w:r w:rsidR="0069071D" w:rsidRPr="00074EC3">
        <w:rPr>
          <w:sz w:val="22"/>
          <w:szCs w:val="22"/>
          <w:highlight w:val="red"/>
          <w:lang w:val="en-US" w:eastAsia="lt-LT"/>
        </w:rPr>
        <w:t>*** Eur.</w:t>
      </w:r>
      <w:r w:rsidR="0069071D" w:rsidRPr="00FC494A">
        <w:rPr>
          <w:rFonts w:eastAsia="Arial"/>
        </w:rPr>
        <w:t xml:space="preserve">, </w:t>
      </w:r>
      <w:r w:rsidR="0069071D" w:rsidRPr="00074EC3">
        <w:rPr>
          <w:sz w:val="22"/>
          <w:szCs w:val="22"/>
          <w:highlight w:val="red"/>
          <w:lang w:val="en-US" w:eastAsia="lt-LT"/>
        </w:rPr>
        <w:t xml:space="preserve">*** </w:t>
      </w:r>
      <w:r w:rsidR="0069071D" w:rsidRPr="00FC494A">
        <w:rPr>
          <w:rFonts w:eastAsia="Arial"/>
        </w:rPr>
        <w:t>proc.), apskaičiuojant su filgotinibo Lietuvai taikoma bazine kaina su nuolaida (</w:t>
      </w:r>
      <w:r w:rsidR="009E0055">
        <w:rPr>
          <w:bCs/>
          <w:color w:val="000000"/>
        </w:rPr>
        <w:t>***</w:t>
      </w:r>
      <w:r w:rsidR="0069071D" w:rsidRPr="00FC494A">
        <w:rPr>
          <w:bCs/>
          <w:color w:val="000000"/>
        </w:rPr>
        <w:t xml:space="preserve"> </w:t>
      </w:r>
      <w:r w:rsidR="0069071D" w:rsidRPr="00FC494A">
        <w:rPr>
          <w:lang w:eastAsia="lt-LT"/>
        </w:rPr>
        <w:t>Eur</w:t>
      </w:r>
      <w:r w:rsidR="0069071D" w:rsidRPr="00FC494A">
        <w:rPr>
          <w:rFonts w:eastAsia="Arial"/>
        </w:rPr>
        <w:t xml:space="preserve">.) ir tofacitinibo kainos nuolaida pagal prieinamumo gerinimo sutartį (konfidenciali </w:t>
      </w:r>
      <w:r w:rsidR="0069071D" w:rsidRPr="00353D7D">
        <w:rPr>
          <w:rFonts w:eastAsia="Arial"/>
        </w:rPr>
        <w:t xml:space="preserve">kaina - </w:t>
      </w:r>
      <w:r w:rsidR="0069071D" w:rsidRPr="00074EC3">
        <w:rPr>
          <w:sz w:val="22"/>
          <w:szCs w:val="22"/>
          <w:highlight w:val="red"/>
          <w:lang w:val="en-US" w:eastAsia="lt-LT"/>
        </w:rPr>
        <w:t>*** Eur.</w:t>
      </w:r>
      <w:r w:rsidR="0069071D" w:rsidRPr="00353D7D">
        <w:rPr>
          <w:rFonts w:eastAsia="Arial"/>
        </w:rPr>
        <w:t>).</w:t>
      </w:r>
      <w:r w:rsidR="0069071D">
        <w:rPr>
          <w:rFonts w:eastAsia="Arial"/>
        </w:rPr>
        <w:t xml:space="preserve"> </w:t>
      </w:r>
      <w:r w:rsidR="0069071D" w:rsidRPr="004C7E5D">
        <w:rPr>
          <w:rFonts w:eastAsia="Arial"/>
        </w:rPr>
        <w:t xml:space="preserve">Alternatyviai vertinant penkerių metų laiko perspektyvoje, </w:t>
      </w:r>
      <w:r w:rsidR="0069071D">
        <w:rPr>
          <w:rFonts w:eastAsia="Arial"/>
        </w:rPr>
        <w:t>filgotinibo</w:t>
      </w:r>
      <w:r w:rsidR="0069071D" w:rsidRPr="004C7E5D">
        <w:rPr>
          <w:rFonts w:eastAsia="Arial"/>
        </w:rPr>
        <w:t xml:space="preserve"> </w:t>
      </w:r>
      <w:r w:rsidR="0069071D">
        <w:rPr>
          <w:rFonts w:eastAsia="Arial"/>
        </w:rPr>
        <w:t xml:space="preserve">bendrieji </w:t>
      </w:r>
      <w:r w:rsidR="0069071D" w:rsidRPr="004C7E5D">
        <w:rPr>
          <w:rFonts w:eastAsia="Arial"/>
        </w:rPr>
        <w:t>kaštai mažesni nei ustekinumabo (</w:t>
      </w:r>
      <w:r w:rsidR="0069071D" w:rsidRPr="004C7E5D">
        <w:rPr>
          <w:bCs/>
          <w:color w:val="000000"/>
          <w:lang w:eastAsia="lt-LT"/>
        </w:rPr>
        <w:t>-</w:t>
      </w:r>
      <w:r w:rsidR="0069071D" w:rsidRPr="00074EC3">
        <w:rPr>
          <w:sz w:val="22"/>
          <w:szCs w:val="22"/>
          <w:highlight w:val="red"/>
          <w:lang w:val="en-US" w:eastAsia="lt-LT"/>
        </w:rPr>
        <w:t>*** Eur.</w:t>
      </w:r>
      <w:r w:rsidR="0069071D" w:rsidRPr="004C7E5D">
        <w:rPr>
          <w:bCs/>
          <w:color w:val="000000"/>
          <w:lang w:eastAsia="lt-LT"/>
        </w:rPr>
        <w:t>, (-</w:t>
      </w:r>
      <w:r w:rsidR="0069071D" w:rsidRPr="00074EC3">
        <w:rPr>
          <w:sz w:val="22"/>
          <w:szCs w:val="22"/>
          <w:highlight w:val="red"/>
          <w:lang w:val="en-US" w:eastAsia="lt-LT"/>
        </w:rPr>
        <w:t>***</w:t>
      </w:r>
      <w:r w:rsidR="0069071D">
        <w:rPr>
          <w:sz w:val="22"/>
          <w:szCs w:val="22"/>
          <w:lang w:val="en-US" w:eastAsia="lt-LT"/>
        </w:rPr>
        <w:t xml:space="preserve"> </w:t>
      </w:r>
      <w:r w:rsidR="0069071D" w:rsidRPr="004C7E5D">
        <w:rPr>
          <w:bCs/>
          <w:color w:val="000000"/>
          <w:lang w:eastAsia="lt-LT"/>
        </w:rPr>
        <w:t>proc.)</w:t>
      </w:r>
      <w:r w:rsidR="0069071D" w:rsidRPr="004C7E5D">
        <w:rPr>
          <w:rFonts w:eastAsia="Arial"/>
        </w:rPr>
        <w:t>) ir vedolizumabo</w:t>
      </w:r>
      <w:r w:rsidR="0069071D">
        <w:rPr>
          <w:rFonts w:eastAsia="Arial"/>
        </w:rPr>
        <w:t>,</w:t>
      </w:r>
      <w:r w:rsidR="0069071D" w:rsidRPr="004C7E5D">
        <w:rPr>
          <w:rFonts w:eastAsia="Arial"/>
        </w:rPr>
        <w:t xml:space="preserve"> skiriant intravenine forma (</w:t>
      </w:r>
      <w:r w:rsidR="0069071D" w:rsidRPr="004C7E5D">
        <w:rPr>
          <w:bCs/>
          <w:color w:val="000000"/>
          <w:lang w:eastAsia="lt-LT"/>
        </w:rPr>
        <w:t>-</w:t>
      </w:r>
      <w:r w:rsidR="0069071D" w:rsidRPr="00074EC3">
        <w:rPr>
          <w:sz w:val="22"/>
          <w:szCs w:val="22"/>
          <w:highlight w:val="red"/>
          <w:lang w:val="en-US" w:eastAsia="lt-LT"/>
        </w:rPr>
        <w:t>*** Eur.</w:t>
      </w:r>
      <w:r w:rsidR="0069071D">
        <w:rPr>
          <w:bCs/>
          <w:color w:val="000000"/>
          <w:lang w:eastAsia="lt-LT"/>
        </w:rPr>
        <w:t>, (-</w:t>
      </w:r>
      <w:r w:rsidR="0069071D" w:rsidRPr="00074EC3">
        <w:rPr>
          <w:sz w:val="22"/>
          <w:szCs w:val="22"/>
          <w:highlight w:val="red"/>
          <w:lang w:val="en-US" w:eastAsia="lt-LT"/>
        </w:rPr>
        <w:t>***</w:t>
      </w:r>
      <w:r w:rsidR="0069071D">
        <w:rPr>
          <w:sz w:val="22"/>
          <w:szCs w:val="22"/>
          <w:lang w:val="en-US" w:eastAsia="lt-LT"/>
        </w:rPr>
        <w:t xml:space="preserve"> </w:t>
      </w:r>
      <w:r w:rsidR="0069071D" w:rsidRPr="004C7E5D">
        <w:rPr>
          <w:bCs/>
          <w:color w:val="000000"/>
          <w:lang w:eastAsia="lt-LT"/>
        </w:rPr>
        <w:t>proc.)</w:t>
      </w:r>
      <w:r w:rsidR="0069071D">
        <w:rPr>
          <w:bCs/>
          <w:color w:val="000000"/>
          <w:lang w:eastAsia="lt-LT"/>
        </w:rPr>
        <w:t>)</w:t>
      </w:r>
      <w:r w:rsidR="0069071D">
        <w:rPr>
          <w:rFonts w:eastAsia="Arial"/>
        </w:rPr>
        <w:t xml:space="preserve">, </w:t>
      </w:r>
      <w:r w:rsidR="0069071D">
        <w:rPr>
          <w:bCs/>
          <w:color w:val="000000"/>
          <w:lang w:eastAsia="lt-LT"/>
        </w:rPr>
        <w:t>tačiau</w:t>
      </w:r>
      <w:r w:rsidR="0069071D" w:rsidRPr="004C7E5D">
        <w:rPr>
          <w:bCs/>
          <w:color w:val="000000"/>
          <w:lang w:eastAsia="lt-LT"/>
        </w:rPr>
        <w:t xml:space="preserve"> didesni </w:t>
      </w:r>
      <w:r w:rsidR="0069071D">
        <w:rPr>
          <w:bCs/>
          <w:color w:val="000000"/>
          <w:lang w:eastAsia="lt-LT"/>
        </w:rPr>
        <w:t xml:space="preserve">vedolizumabą skiriant </w:t>
      </w:r>
      <w:r w:rsidR="0069071D" w:rsidRPr="004C7E5D">
        <w:rPr>
          <w:rFonts w:eastAsia="Arial"/>
        </w:rPr>
        <w:t>poodine</w:t>
      </w:r>
      <w:r w:rsidR="0069071D">
        <w:rPr>
          <w:rFonts w:eastAsia="Arial"/>
        </w:rPr>
        <w:t xml:space="preserve"> forma (</w:t>
      </w:r>
      <w:r w:rsidR="0069071D" w:rsidRPr="00074EC3">
        <w:rPr>
          <w:sz w:val="22"/>
          <w:szCs w:val="22"/>
          <w:highlight w:val="red"/>
          <w:lang w:val="en-US" w:eastAsia="lt-LT"/>
        </w:rPr>
        <w:t>*** Eur.</w:t>
      </w:r>
      <w:r w:rsidR="0069071D">
        <w:rPr>
          <w:bCs/>
          <w:color w:val="000000"/>
          <w:lang w:eastAsia="lt-LT"/>
        </w:rPr>
        <w:t xml:space="preserve"> (</w:t>
      </w:r>
      <w:r w:rsidR="0069071D" w:rsidRPr="00074EC3">
        <w:rPr>
          <w:sz w:val="22"/>
          <w:szCs w:val="22"/>
          <w:highlight w:val="red"/>
          <w:lang w:val="en-US" w:eastAsia="lt-LT"/>
        </w:rPr>
        <w:t>***</w:t>
      </w:r>
      <w:r w:rsidR="0069071D">
        <w:rPr>
          <w:sz w:val="22"/>
          <w:szCs w:val="22"/>
          <w:lang w:val="en-US" w:eastAsia="lt-LT"/>
        </w:rPr>
        <w:t xml:space="preserve"> </w:t>
      </w:r>
      <w:r w:rsidR="0069071D" w:rsidRPr="004C7E5D">
        <w:rPr>
          <w:bCs/>
          <w:color w:val="000000"/>
          <w:lang w:eastAsia="lt-LT"/>
        </w:rPr>
        <w:t>proc.)</w:t>
      </w:r>
      <w:r w:rsidR="0069071D">
        <w:rPr>
          <w:bCs/>
          <w:color w:val="000000"/>
          <w:lang w:eastAsia="lt-LT"/>
        </w:rPr>
        <w:t xml:space="preserve">) ir </w:t>
      </w:r>
      <w:r w:rsidR="0069071D" w:rsidRPr="004C7E5D">
        <w:rPr>
          <w:bCs/>
          <w:color w:val="000000"/>
          <w:lang w:eastAsia="lt-LT"/>
        </w:rPr>
        <w:t xml:space="preserve"> ~</w:t>
      </w:r>
      <w:r w:rsidR="009E0055">
        <w:rPr>
          <w:bCs/>
          <w:color w:val="000000"/>
          <w:lang w:eastAsia="lt-LT"/>
        </w:rPr>
        <w:t>***</w:t>
      </w:r>
      <w:r w:rsidR="0069071D">
        <w:rPr>
          <w:bCs/>
          <w:color w:val="000000"/>
          <w:lang w:eastAsia="lt-LT"/>
        </w:rPr>
        <w:t xml:space="preserve"> k. brangesni nei </w:t>
      </w:r>
      <w:r w:rsidR="0069071D" w:rsidRPr="004C7E5D">
        <w:rPr>
          <w:bCs/>
          <w:color w:val="000000"/>
          <w:lang w:eastAsia="lt-LT"/>
        </w:rPr>
        <w:t>adalimumabo (</w:t>
      </w:r>
      <w:r w:rsidR="0069071D" w:rsidRPr="00074EC3">
        <w:rPr>
          <w:sz w:val="22"/>
          <w:szCs w:val="22"/>
          <w:highlight w:val="red"/>
          <w:lang w:val="en-US" w:eastAsia="lt-LT"/>
        </w:rPr>
        <w:t>*** Eur.</w:t>
      </w:r>
      <w:r w:rsidR="0069071D" w:rsidRPr="004C7E5D">
        <w:rPr>
          <w:bCs/>
          <w:color w:val="000000"/>
          <w:lang w:eastAsia="lt-LT"/>
        </w:rPr>
        <w:t>)</w:t>
      </w:r>
      <w:r w:rsidR="0069071D">
        <w:rPr>
          <w:bCs/>
          <w:color w:val="000000"/>
          <w:lang w:eastAsia="lt-LT"/>
        </w:rPr>
        <w:t>,</w:t>
      </w:r>
      <w:r w:rsidR="0069071D" w:rsidRPr="004C7E5D">
        <w:rPr>
          <w:bCs/>
          <w:color w:val="000000"/>
          <w:lang w:eastAsia="lt-LT"/>
        </w:rPr>
        <w:t xml:space="preserve"> </w:t>
      </w:r>
      <w:r w:rsidR="0069071D" w:rsidRPr="004C7E5D">
        <w:rPr>
          <w:rFonts w:eastAsia="Arial"/>
        </w:rPr>
        <w:t xml:space="preserve">apskaičiuojant su </w:t>
      </w:r>
      <w:r w:rsidR="0069071D">
        <w:rPr>
          <w:rFonts w:eastAsia="Arial"/>
        </w:rPr>
        <w:t>filgotinibo</w:t>
      </w:r>
      <w:r w:rsidR="0069071D" w:rsidRPr="004C7E5D">
        <w:rPr>
          <w:rFonts w:eastAsia="Arial"/>
        </w:rPr>
        <w:t xml:space="preserve"> Lietuvai taikoma bazine kaina su nuolaida (</w:t>
      </w:r>
      <w:r w:rsidR="009E0055">
        <w:rPr>
          <w:bCs/>
          <w:color w:val="000000"/>
        </w:rPr>
        <w:t>***</w:t>
      </w:r>
      <w:r w:rsidR="0069071D" w:rsidRPr="00FC494A">
        <w:rPr>
          <w:bCs/>
          <w:color w:val="000000"/>
        </w:rPr>
        <w:t xml:space="preserve"> </w:t>
      </w:r>
      <w:r w:rsidR="0069071D" w:rsidRPr="00FC494A">
        <w:rPr>
          <w:lang w:eastAsia="lt-LT"/>
        </w:rPr>
        <w:t>Eur</w:t>
      </w:r>
      <w:r w:rsidR="0069071D" w:rsidRPr="00FC494A">
        <w:rPr>
          <w:rFonts w:eastAsia="Arial"/>
        </w:rPr>
        <w:t xml:space="preserve">.) </w:t>
      </w:r>
      <w:r w:rsidR="0069071D" w:rsidRPr="004C7E5D">
        <w:rPr>
          <w:rFonts w:eastAsia="Arial"/>
        </w:rPr>
        <w:t>ir palyginamųjų</w:t>
      </w:r>
      <w:r w:rsidR="0069071D">
        <w:rPr>
          <w:rFonts w:eastAsia="Arial"/>
        </w:rPr>
        <w:t xml:space="preserve"> kainomis </w:t>
      </w:r>
      <w:r w:rsidR="0069071D" w:rsidRPr="004C7E5D">
        <w:rPr>
          <w:rFonts w:eastAsia="Arial"/>
        </w:rPr>
        <w:t>pagal prieinamumo gerinimo sutartis (</w:t>
      </w:r>
      <w:r w:rsidR="0069071D" w:rsidRPr="004C7E5D">
        <w:rPr>
          <w:rFonts w:eastAsia="Arial"/>
          <w:color w:val="000000" w:themeColor="text1"/>
        </w:rPr>
        <w:t>konfidencialias kainas).</w:t>
      </w:r>
    </w:p>
    <w:p w14:paraId="77E7A9DE" w14:textId="100B5BF3" w:rsidR="005872C6" w:rsidRPr="004C7E5D" w:rsidRDefault="005872C6" w:rsidP="005872C6">
      <w:pPr>
        <w:spacing w:line="276" w:lineRule="auto"/>
        <w:ind w:firstLine="450"/>
        <w:jc w:val="both"/>
        <w:rPr>
          <w:bCs/>
          <w:color w:val="000000"/>
          <w:lang w:eastAsia="lt-LT"/>
        </w:rPr>
      </w:pPr>
    </w:p>
    <w:p w14:paraId="55D6DFAB" w14:textId="77777777" w:rsidR="00253CF8" w:rsidRDefault="00253CF8" w:rsidP="00253CF8">
      <w:pPr>
        <w:spacing w:line="276" w:lineRule="auto"/>
        <w:ind w:firstLine="360"/>
        <w:jc w:val="both"/>
        <w:rPr>
          <w:iCs/>
        </w:rPr>
      </w:pPr>
    </w:p>
    <w:p w14:paraId="089034E0" w14:textId="77777777" w:rsidR="00253CF8" w:rsidRPr="0035172D" w:rsidRDefault="00253CF8" w:rsidP="00253CF8">
      <w:pPr>
        <w:tabs>
          <w:tab w:val="left" w:pos="426"/>
        </w:tabs>
        <w:jc w:val="center"/>
        <w:rPr>
          <w:b/>
          <w:lang w:eastAsia="lt-LT"/>
        </w:rPr>
      </w:pPr>
      <w:r w:rsidRPr="0035172D">
        <w:rPr>
          <w:b/>
          <w:lang w:eastAsia="lt-LT"/>
        </w:rPr>
        <w:t>Ekonominės analizės rezultatas</w:t>
      </w:r>
    </w:p>
    <w:p w14:paraId="1F4929E7" w14:textId="77777777" w:rsidR="00253CF8" w:rsidRDefault="00253CF8" w:rsidP="00253CF8">
      <w:pPr>
        <w:tabs>
          <w:tab w:val="left" w:pos="426"/>
        </w:tabs>
        <w:rPr>
          <w:lang w:eastAsia="lt-LT"/>
        </w:rPr>
      </w:pP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1707"/>
        <w:gridCol w:w="2153"/>
        <w:gridCol w:w="3211"/>
      </w:tblGrid>
      <w:tr w:rsidR="005872C6" w:rsidRPr="00855B02" w14:paraId="28EDEBA7" w14:textId="77777777" w:rsidTr="005872C6">
        <w:trPr>
          <w:trHeight w:val="254"/>
          <w:jc w:val="center"/>
        </w:trPr>
        <w:tc>
          <w:tcPr>
            <w:tcW w:w="2788" w:type="dxa"/>
            <w:noWrap/>
            <w:hideMark/>
          </w:tcPr>
          <w:p w14:paraId="668E4AC7" w14:textId="77777777" w:rsidR="005872C6" w:rsidRPr="0006427F" w:rsidRDefault="005872C6" w:rsidP="00321E73">
            <w:pPr>
              <w:spacing w:line="276" w:lineRule="auto"/>
              <w:rPr>
                <w:lang w:eastAsia="lt-LT"/>
              </w:rPr>
            </w:pPr>
            <w:r w:rsidRPr="0006427F">
              <w:rPr>
                <w:lang w:eastAsia="lt-LT"/>
              </w:rPr>
              <w:t>Kaštų struktūra</w:t>
            </w:r>
          </w:p>
        </w:tc>
        <w:tc>
          <w:tcPr>
            <w:tcW w:w="1707" w:type="dxa"/>
            <w:noWrap/>
            <w:hideMark/>
          </w:tcPr>
          <w:p w14:paraId="7BD7A92E" w14:textId="77777777" w:rsidR="005872C6" w:rsidRPr="0006427F" w:rsidRDefault="005872C6" w:rsidP="00321E73">
            <w:pPr>
              <w:spacing w:line="276" w:lineRule="auto"/>
              <w:jc w:val="center"/>
              <w:rPr>
                <w:color w:val="000000" w:themeColor="text1"/>
                <w:lang w:eastAsia="lt-LT"/>
              </w:rPr>
            </w:pPr>
            <w:r w:rsidRPr="0006427F">
              <w:rPr>
                <w:color w:val="000000" w:themeColor="text1"/>
                <w:lang w:eastAsia="lt-LT"/>
              </w:rPr>
              <w:t>Filgotinibas</w:t>
            </w:r>
          </w:p>
          <w:p w14:paraId="1B823157" w14:textId="77777777" w:rsidR="005872C6" w:rsidRPr="0006427F" w:rsidRDefault="005872C6" w:rsidP="00321E73">
            <w:pPr>
              <w:spacing w:line="276" w:lineRule="auto"/>
              <w:jc w:val="center"/>
              <w:rPr>
                <w:color w:val="000000" w:themeColor="text1"/>
                <w:lang w:eastAsia="lt-LT"/>
              </w:rPr>
            </w:pPr>
            <w:r w:rsidRPr="0006427F">
              <w:rPr>
                <w:color w:val="000000" w:themeColor="text1"/>
                <w:lang w:eastAsia="lt-LT"/>
              </w:rPr>
              <w:t>(</w:t>
            </w:r>
            <w:r w:rsidRPr="0006427F">
              <w:rPr>
                <w:color w:val="000000" w:themeColor="text1"/>
                <w:shd w:val="clear" w:color="auto" w:fill="FFFFFF"/>
              </w:rPr>
              <w:t>JAK inhibitor)</w:t>
            </w:r>
          </w:p>
        </w:tc>
        <w:tc>
          <w:tcPr>
            <w:tcW w:w="2153" w:type="dxa"/>
            <w:noWrap/>
            <w:hideMark/>
          </w:tcPr>
          <w:p w14:paraId="6CAB922C" w14:textId="77777777" w:rsidR="005872C6" w:rsidRPr="0006427F" w:rsidRDefault="005872C6" w:rsidP="00321E73">
            <w:pPr>
              <w:spacing w:line="276" w:lineRule="auto"/>
              <w:jc w:val="center"/>
              <w:rPr>
                <w:color w:val="000000" w:themeColor="text1"/>
                <w:lang w:eastAsia="lt-LT"/>
              </w:rPr>
            </w:pPr>
            <w:r w:rsidRPr="0006427F">
              <w:rPr>
                <w:color w:val="000000" w:themeColor="text1"/>
                <w:lang w:eastAsia="lt-LT"/>
              </w:rPr>
              <w:t>Tofacitinibas</w:t>
            </w:r>
          </w:p>
          <w:p w14:paraId="0D138B56" w14:textId="77777777" w:rsidR="005872C6" w:rsidRPr="0006427F" w:rsidRDefault="005872C6" w:rsidP="00321E73">
            <w:pPr>
              <w:spacing w:line="276" w:lineRule="auto"/>
              <w:jc w:val="center"/>
              <w:rPr>
                <w:color w:val="000000" w:themeColor="text1"/>
                <w:lang w:eastAsia="lt-LT"/>
              </w:rPr>
            </w:pPr>
            <w:r w:rsidRPr="0006427F">
              <w:rPr>
                <w:color w:val="000000" w:themeColor="text1"/>
                <w:lang w:eastAsia="lt-LT"/>
              </w:rPr>
              <w:t>(</w:t>
            </w:r>
            <w:r w:rsidRPr="0006427F">
              <w:rPr>
                <w:color w:val="000000" w:themeColor="text1"/>
                <w:shd w:val="clear" w:color="auto" w:fill="FFFFFF"/>
              </w:rPr>
              <w:t>JAK inhibitor)</w:t>
            </w:r>
          </w:p>
        </w:tc>
        <w:tc>
          <w:tcPr>
            <w:tcW w:w="3211" w:type="dxa"/>
            <w:noWrap/>
            <w:hideMark/>
          </w:tcPr>
          <w:p w14:paraId="41D524B4" w14:textId="77777777" w:rsidR="005872C6" w:rsidRPr="0006427F" w:rsidRDefault="005872C6" w:rsidP="00321E73">
            <w:pPr>
              <w:spacing w:line="276" w:lineRule="auto"/>
              <w:jc w:val="center"/>
              <w:rPr>
                <w:lang w:eastAsia="lt-LT"/>
              </w:rPr>
            </w:pPr>
            <w:r w:rsidRPr="0006427F">
              <w:rPr>
                <w:lang w:eastAsia="lt-LT"/>
              </w:rPr>
              <w:t>Skirtumas, Eur.</w:t>
            </w:r>
          </w:p>
        </w:tc>
      </w:tr>
      <w:tr w:rsidR="005872C6" w:rsidRPr="00855B02" w14:paraId="7CEC34B5" w14:textId="77777777" w:rsidTr="005872C6">
        <w:trPr>
          <w:trHeight w:val="242"/>
          <w:jc w:val="center"/>
        </w:trPr>
        <w:tc>
          <w:tcPr>
            <w:tcW w:w="2788" w:type="dxa"/>
            <w:noWrap/>
            <w:hideMark/>
          </w:tcPr>
          <w:p w14:paraId="4A762C7A" w14:textId="77777777" w:rsidR="005872C6" w:rsidRPr="0006427F" w:rsidRDefault="005872C6" w:rsidP="00321E73">
            <w:pPr>
              <w:spacing w:line="276" w:lineRule="auto"/>
              <w:rPr>
                <w:lang w:eastAsia="lt-LT"/>
              </w:rPr>
            </w:pPr>
            <w:r w:rsidRPr="0006427F">
              <w:rPr>
                <w:lang w:eastAsia="lt-LT"/>
              </w:rPr>
              <w:lastRenderedPageBreak/>
              <w:t xml:space="preserve">Vaistinių preparatų įsigijimo </w:t>
            </w:r>
          </w:p>
        </w:tc>
        <w:tc>
          <w:tcPr>
            <w:tcW w:w="1707" w:type="dxa"/>
            <w:noWrap/>
          </w:tcPr>
          <w:p w14:paraId="329510C0" w14:textId="081256E2" w:rsidR="005872C6" w:rsidRPr="0006427F" w:rsidRDefault="009E0055" w:rsidP="00321E73">
            <w:pPr>
              <w:jc w:val="center"/>
              <w:rPr>
                <w:color w:val="000000"/>
              </w:rPr>
            </w:pPr>
            <w:r>
              <w:rPr>
                <w:color w:val="000000"/>
              </w:rPr>
              <w:t>***</w:t>
            </w:r>
          </w:p>
          <w:p w14:paraId="1BB053B8" w14:textId="77777777" w:rsidR="005872C6" w:rsidRPr="0006427F" w:rsidRDefault="005872C6" w:rsidP="00321E73">
            <w:pPr>
              <w:jc w:val="center"/>
              <w:rPr>
                <w:color w:val="000000"/>
              </w:rPr>
            </w:pPr>
          </w:p>
        </w:tc>
        <w:tc>
          <w:tcPr>
            <w:tcW w:w="2153" w:type="dxa"/>
            <w:noWrap/>
          </w:tcPr>
          <w:p w14:paraId="568875A3" w14:textId="7DE46714" w:rsidR="005872C6" w:rsidRPr="0069071D" w:rsidRDefault="0069071D" w:rsidP="00321E73">
            <w:pPr>
              <w:spacing w:line="276" w:lineRule="auto"/>
              <w:jc w:val="center"/>
              <w:rPr>
                <w:lang w:val="en-US" w:eastAsia="lt-LT"/>
              </w:rPr>
            </w:pPr>
            <w:r w:rsidRPr="0069071D">
              <w:rPr>
                <w:color w:val="000000"/>
                <w:highlight w:val="red"/>
                <w:lang w:val="en-US" w:eastAsia="lt-LT"/>
              </w:rPr>
              <w:t>***</w:t>
            </w:r>
            <w:r>
              <w:rPr>
                <w:color w:val="000000"/>
                <w:lang w:val="en-US" w:eastAsia="lt-LT"/>
              </w:rPr>
              <w:t xml:space="preserve"> Eur.</w:t>
            </w:r>
          </w:p>
        </w:tc>
        <w:tc>
          <w:tcPr>
            <w:tcW w:w="3211" w:type="dxa"/>
            <w:noWrap/>
          </w:tcPr>
          <w:p w14:paraId="7A5DD61E" w14:textId="4FB739CD" w:rsidR="005872C6" w:rsidRPr="0006427F" w:rsidRDefault="0069071D" w:rsidP="00321E73">
            <w:pPr>
              <w:jc w:val="center"/>
              <w:rPr>
                <w:lang w:eastAsia="lt-LT"/>
              </w:rPr>
            </w:pPr>
            <w:r w:rsidRPr="0069071D">
              <w:rPr>
                <w:color w:val="000000"/>
                <w:highlight w:val="red"/>
                <w:lang w:val="en-US" w:eastAsia="lt-LT"/>
              </w:rPr>
              <w:t>***</w:t>
            </w:r>
            <w:r>
              <w:rPr>
                <w:color w:val="000000"/>
                <w:lang w:val="en-US" w:eastAsia="lt-LT"/>
              </w:rPr>
              <w:t xml:space="preserve"> Eur.</w:t>
            </w:r>
          </w:p>
        </w:tc>
      </w:tr>
      <w:tr w:rsidR="005872C6" w:rsidRPr="00855B02" w14:paraId="7FCB801F" w14:textId="77777777" w:rsidTr="005872C6">
        <w:trPr>
          <w:trHeight w:val="242"/>
          <w:jc w:val="center"/>
        </w:trPr>
        <w:tc>
          <w:tcPr>
            <w:tcW w:w="2788" w:type="dxa"/>
            <w:noWrap/>
          </w:tcPr>
          <w:p w14:paraId="0CAEEEAE" w14:textId="77777777" w:rsidR="005872C6" w:rsidRPr="0006427F" w:rsidRDefault="005872C6" w:rsidP="00321E73">
            <w:pPr>
              <w:spacing w:line="276" w:lineRule="auto"/>
              <w:rPr>
                <w:lang w:eastAsia="lt-LT"/>
              </w:rPr>
            </w:pPr>
            <w:r w:rsidRPr="0006427F">
              <w:rPr>
                <w:lang w:eastAsia="lt-LT"/>
              </w:rPr>
              <w:t>Vaistinių preparatų skyrimo</w:t>
            </w:r>
          </w:p>
        </w:tc>
        <w:tc>
          <w:tcPr>
            <w:tcW w:w="1707" w:type="dxa"/>
            <w:noWrap/>
          </w:tcPr>
          <w:p w14:paraId="2E07447B" w14:textId="016E837D" w:rsidR="005872C6" w:rsidRPr="0006427F" w:rsidRDefault="009E0055" w:rsidP="00321E73">
            <w:pPr>
              <w:spacing w:line="276" w:lineRule="auto"/>
              <w:jc w:val="center"/>
              <w:rPr>
                <w:lang w:eastAsia="lt-LT"/>
              </w:rPr>
            </w:pPr>
            <w:r>
              <w:rPr>
                <w:lang w:eastAsia="lt-LT"/>
              </w:rPr>
              <w:t>***</w:t>
            </w:r>
          </w:p>
        </w:tc>
        <w:tc>
          <w:tcPr>
            <w:tcW w:w="2153" w:type="dxa"/>
            <w:noWrap/>
          </w:tcPr>
          <w:p w14:paraId="67DAF028" w14:textId="3A57D61E" w:rsidR="005872C6" w:rsidRPr="0006427F" w:rsidRDefault="009E0055" w:rsidP="00321E73">
            <w:pPr>
              <w:spacing w:line="276" w:lineRule="auto"/>
              <w:jc w:val="center"/>
              <w:rPr>
                <w:lang w:eastAsia="lt-LT"/>
              </w:rPr>
            </w:pPr>
            <w:r>
              <w:rPr>
                <w:lang w:eastAsia="lt-LT"/>
              </w:rPr>
              <w:t>***</w:t>
            </w:r>
          </w:p>
        </w:tc>
        <w:tc>
          <w:tcPr>
            <w:tcW w:w="3211" w:type="dxa"/>
            <w:noWrap/>
          </w:tcPr>
          <w:p w14:paraId="553C27B0" w14:textId="77777777" w:rsidR="005872C6" w:rsidRPr="0006427F" w:rsidRDefault="005872C6" w:rsidP="00321E73">
            <w:pPr>
              <w:spacing w:line="276" w:lineRule="auto"/>
              <w:jc w:val="center"/>
              <w:rPr>
                <w:lang w:eastAsia="lt-LT"/>
              </w:rPr>
            </w:pPr>
            <w:r w:rsidRPr="0006427F">
              <w:rPr>
                <w:lang w:eastAsia="lt-LT"/>
              </w:rPr>
              <w:t>-</w:t>
            </w:r>
          </w:p>
        </w:tc>
      </w:tr>
      <w:tr w:rsidR="005872C6" w:rsidRPr="00855B02" w14:paraId="4E061A4A" w14:textId="77777777" w:rsidTr="005872C6">
        <w:trPr>
          <w:trHeight w:val="242"/>
          <w:jc w:val="center"/>
        </w:trPr>
        <w:tc>
          <w:tcPr>
            <w:tcW w:w="2788" w:type="dxa"/>
            <w:noWrap/>
          </w:tcPr>
          <w:p w14:paraId="3CFF28C3" w14:textId="77777777" w:rsidR="005872C6" w:rsidRPr="0006427F" w:rsidRDefault="005872C6" w:rsidP="00321E73">
            <w:pPr>
              <w:spacing w:line="276" w:lineRule="auto"/>
              <w:rPr>
                <w:lang w:eastAsia="lt-LT"/>
              </w:rPr>
            </w:pPr>
            <w:r w:rsidRPr="0006427F">
              <w:rPr>
                <w:lang w:eastAsia="lt-LT"/>
              </w:rPr>
              <w:t>Nepageidaujamo poveikio</w:t>
            </w:r>
          </w:p>
        </w:tc>
        <w:tc>
          <w:tcPr>
            <w:tcW w:w="1707" w:type="dxa"/>
            <w:noWrap/>
          </w:tcPr>
          <w:p w14:paraId="23CB924A" w14:textId="394416E5" w:rsidR="005872C6" w:rsidRPr="0006427F" w:rsidRDefault="009E0055" w:rsidP="00321E73">
            <w:pPr>
              <w:spacing w:line="276" w:lineRule="auto"/>
              <w:jc w:val="center"/>
              <w:rPr>
                <w:lang w:val="en-US" w:eastAsia="lt-LT"/>
              </w:rPr>
            </w:pPr>
            <w:r>
              <w:rPr>
                <w:lang w:eastAsia="lt-LT"/>
              </w:rPr>
              <w:t>***</w:t>
            </w:r>
          </w:p>
        </w:tc>
        <w:tc>
          <w:tcPr>
            <w:tcW w:w="2153" w:type="dxa"/>
            <w:noWrap/>
          </w:tcPr>
          <w:p w14:paraId="53B7E55E" w14:textId="72B3685E" w:rsidR="005872C6" w:rsidRPr="0006427F" w:rsidRDefault="009E0055" w:rsidP="00321E73">
            <w:pPr>
              <w:spacing w:line="276" w:lineRule="auto"/>
              <w:jc w:val="center"/>
              <w:rPr>
                <w:lang w:eastAsia="lt-LT"/>
              </w:rPr>
            </w:pPr>
            <w:r>
              <w:rPr>
                <w:lang w:val="en-US" w:eastAsia="lt-LT"/>
              </w:rPr>
              <w:t>***</w:t>
            </w:r>
          </w:p>
        </w:tc>
        <w:tc>
          <w:tcPr>
            <w:tcW w:w="3211" w:type="dxa"/>
            <w:noWrap/>
          </w:tcPr>
          <w:p w14:paraId="50E721BC" w14:textId="1F2F0625" w:rsidR="005872C6" w:rsidRPr="0006427F" w:rsidRDefault="009E0055" w:rsidP="00321E73">
            <w:pPr>
              <w:spacing w:line="276" w:lineRule="auto"/>
              <w:jc w:val="center"/>
              <w:rPr>
                <w:lang w:eastAsia="lt-LT"/>
              </w:rPr>
            </w:pPr>
            <w:r>
              <w:rPr>
                <w:lang w:eastAsia="lt-LT"/>
              </w:rPr>
              <w:t>***</w:t>
            </w:r>
          </w:p>
        </w:tc>
      </w:tr>
      <w:tr w:rsidR="005872C6" w:rsidRPr="00855B02" w14:paraId="6B73527F" w14:textId="77777777" w:rsidTr="005872C6">
        <w:trPr>
          <w:trHeight w:val="231"/>
          <w:jc w:val="center"/>
        </w:trPr>
        <w:tc>
          <w:tcPr>
            <w:tcW w:w="2788" w:type="dxa"/>
            <w:noWrap/>
            <w:hideMark/>
          </w:tcPr>
          <w:p w14:paraId="5B2B5F6C" w14:textId="77777777" w:rsidR="005872C6" w:rsidRPr="0006427F" w:rsidRDefault="005872C6" w:rsidP="00321E73">
            <w:pPr>
              <w:spacing w:line="276" w:lineRule="auto"/>
              <w:rPr>
                <w:b/>
                <w:bCs/>
                <w:highlight w:val="yellow"/>
                <w:lang w:eastAsia="lt-LT"/>
              </w:rPr>
            </w:pPr>
            <w:r w:rsidRPr="006A1BF0">
              <w:rPr>
                <w:b/>
                <w:bCs/>
                <w:lang w:eastAsia="lt-LT"/>
              </w:rPr>
              <w:t xml:space="preserve">Viso kaštai (Eur.) </w:t>
            </w:r>
          </w:p>
        </w:tc>
        <w:tc>
          <w:tcPr>
            <w:tcW w:w="1707" w:type="dxa"/>
            <w:noWrap/>
            <w:vAlign w:val="bottom"/>
          </w:tcPr>
          <w:p w14:paraId="29F8AA92" w14:textId="4DFB8EF0" w:rsidR="005872C6" w:rsidRPr="0006427F" w:rsidRDefault="009E0055" w:rsidP="00321E73">
            <w:pPr>
              <w:jc w:val="center"/>
              <w:rPr>
                <w:color w:val="000000"/>
              </w:rPr>
            </w:pPr>
            <w:r>
              <w:rPr>
                <w:color w:val="000000"/>
              </w:rPr>
              <w:t>***</w:t>
            </w:r>
          </w:p>
        </w:tc>
        <w:tc>
          <w:tcPr>
            <w:tcW w:w="2153" w:type="dxa"/>
            <w:noWrap/>
            <w:vAlign w:val="bottom"/>
          </w:tcPr>
          <w:p w14:paraId="43B471F0" w14:textId="21BF2EC2" w:rsidR="005872C6" w:rsidRPr="0006427F" w:rsidRDefault="0069071D" w:rsidP="00321E73">
            <w:pPr>
              <w:spacing w:line="276" w:lineRule="auto"/>
              <w:jc w:val="center"/>
              <w:rPr>
                <w:b/>
                <w:bCs/>
                <w:highlight w:val="yellow"/>
                <w:lang w:eastAsia="lt-LT"/>
              </w:rPr>
            </w:pPr>
            <w:r w:rsidRPr="0069071D">
              <w:rPr>
                <w:color w:val="000000"/>
                <w:highlight w:val="red"/>
                <w:lang w:val="en-US" w:eastAsia="lt-LT"/>
              </w:rPr>
              <w:t>***</w:t>
            </w:r>
            <w:r>
              <w:rPr>
                <w:color w:val="000000"/>
                <w:lang w:val="en-US" w:eastAsia="lt-LT"/>
              </w:rPr>
              <w:t xml:space="preserve"> Eur.</w:t>
            </w:r>
          </w:p>
        </w:tc>
        <w:tc>
          <w:tcPr>
            <w:tcW w:w="3211" w:type="dxa"/>
            <w:noWrap/>
          </w:tcPr>
          <w:p w14:paraId="7C83E84A" w14:textId="0F15D417" w:rsidR="005872C6" w:rsidRPr="0006427F" w:rsidRDefault="0069071D" w:rsidP="00321E73">
            <w:pPr>
              <w:jc w:val="center"/>
              <w:rPr>
                <w:b/>
                <w:color w:val="000000"/>
              </w:rPr>
            </w:pPr>
            <w:r w:rsidRPr="0069071D">
              <w:rPr>
                <w:color w:val="000000"/>
                <w:highlight w:val="red"/>
                <w:lang w:val="en-US" w:eastAsia="lt-LT"/>
              </w:rPr>
              <w:t>***</w:t>
            </w:r>
            <w:r>
              <w:rPr>
                <w:color w:val="000000"/>
                <w:lang w:val="en-US" w:eastAsia="lt-LT"/>
              </w:rPr>
              <w:t xml:space="preserve"> Eur.</w:t>
            </w:r>
            <w:r w:rsidRPr="005872C6">
              <w:rPr>
                <w:b/>
                <w:color w:val="000000"/>
              </w:rPr>
              <w:t xml:space="preserve"> </w:t>
            </w:r>
            <w:r w:rsidR="005872C6" w:rsidRPr="005872C6">
              <w:rPr>
                <w:b/>
                <w:color w:val="000000"/>
              </w:rPr>
              <w:t>(</w:t>
            </w:r>
            <w:r w:rsidRPr="0069071D">
              <w:rPr>
                <w:color w:val="000000"/>
                <w:highlight w:val="red"/>
                <w:lang w:val="en-US" w:eastAsia="lt-LT"/>
              </w:rPr>
              <w:t>***</w:t>
            </w:r>
            <w:r>
              <w:rPr>
                <w:color w:val="000000"/>
                <w:lang w:val="en-US" w:eastAsia="lt-LT"/>
              </w:rPr>
              <w:t xml:space="preserve"> </w:t>
            </w:r>
            <w:r w:rsidR="005872C6" w:rsidRPr="005872C6">
              <w:rPr>
                <w:b/>
                <w:color w:val="000000"/>
              </w:rPr>
              <w:t>proc.)</w:t>
            </w:r>
          </w:p>
        </w:tc>
      </w:tr>
    </w:tbl>
    <w:p w14:paraId="03C2AABA" w14:textId="77777777" w:rsidR="00253CF8" w:rsidRDefault="00253CF8" w:rsidP="00253CF8">
      <w:pPr>
        <w:spacing w:line="276" w:lineRule="auto"/>
        <w:ind w:firstLine="360"/>
        <w:jc w:val="both"/>
        <w:rPr>
          <w:iCs/>
        </w:rPr>
      </w:pPr>
    </w:p>
    <w:p w14:paraId="6E0C1ACF" w14:textId="411650C8" w:rsidR="005872C6" w:rsidRPr="006D2E0E" w:rsidRDefault="005872C6" w:rsidP="006D2E0E">
      <w:pPr>
        <w:shd w:val="clear" w:color="auto" w:fill="FFFFFF"/>
        <w:spacing w:line="276" w:lineRule="auto"/>
        <w:ind w:firstLine="360"/>
        <w:jc w:val="both"/>
        <w:rPr>
          <w:rFonts w:eastAsia="Arial"/>
        </w:rPr>
      </w:pPr>
      <w:r w:rsidRPr="00B87E54">
        <w:rPr>
          <w:rFonts w:eastAsia="Arial"/>
        </w:rPr>
        <w:t>Tarnyba laiko, kad pagrindinis analizės palyginamasis dėl panašaus veikimo mechani</w:t>
      </w:r>
      <w:r>
        <w:rPr>
          <w:rFonts w:eastAsia="Arial"/>
        </w:rPr>
        <w:t>zmo (JAK inhibitorius ir vienodos skyrimo sąlygos</w:t>
      </w:r>
      <w:r w:rsidRPr="00B87E54">
        <w:rPr>
          <w:rFonts w:eastAsia="Arial"/>
        </w:rPr>
        <w:t xml:space="preserve">) yra tofacitinibas. </w:t>
      </w:r>
      <w:r>
        <w:rPr>
          <w:rFonts w:eastAsia="Arial"/>
        </w:rPr>
        <w:t>Remiantis palyginamąja kaštų analize, filgotinibas laikomas brangesniu nei tofacitinibas ir kaštų mažinimas nėra pasiekiamas.  Paminėtina, kad filgotinibo kaštai mažesni lyginant ir su kitais Lietuvai aktualiais (kompensuojamais) palyginamaisiais: ustekinumabu ir vedolizumabu, skiriant IV forma. Filgotinibas brangesnė gydymo alternatyva nei vedolizumabas, skiriant poodine forma ir adalimumabas, tačiau Tarnyba vertinama, kad dėl taikomo pigiausios kainos kriterijaus (vadovaujantis gydymo Tvarkos aprašu) realioje gydymo praktikoje  pirmiausiai bus skiriamas pigesnis vaistinis preparatas (adalimumabas).</w:t>
      </w:r>
    </w:p>
    <w:p w14:paraId="03809ADE" w14:textId="210F1F81" w:rsidR="00253CF8" w:rsidRPr="006D2E0E" w:rsidRDefault="00253CF8" w:rsidP="006D2E0E">
      <w:pPr>
        <w:pStyle w:val="Sraopastraipa"/>
        <w:spacing w:after="120" w:line="276" w:lineRule="auto"/>
        <w:ind w:left="0" w:firstLine="360"/>
        <w:jc w:val="both"/>
        <w:rPr>
          <w:color w:val="000000" w:themeColor="text1"/>
        </w:rPr>
      </w:pPr>
      <w:r w:rsidRPr="006D2E0E">
        <w:rPr>
          <w:iCs/>
        </w:rPr>
        <w:t xml:space="preserve">Siekiant, kad </w:t>
      </w:r>
      <w:r w:rsidR="005872C6" w:rsidRPr="006D2E0E">
        <w:rPr>
          <w:color w:val="000000" w:themeColor="text1"/>
        </w:rPr>
        <w:t>vidutinio sunkumo arba sunkiu aktyviu opiniu kolitu sergantiems suaugusiems</w:t>
      </w:r>
      <w:r w:rsidR="006D2E0E" w:rsidRPr="006D2E0E">
        <w:rPr>
          <w:color w:val="000000" w:themeColor="text1"/>
        </w:rPr>
        <w:t xml:space="preserve"> </w:t>
      </w:r>
      <w:r w:rsidR="005872C6" w:rsidRPr="006D2E0E">
        <w:rPr>
          <w:color w:val="000000" w:themeColor="text1"/>
        </w:rPr>
        <w:t>pacientams, kai įprastinis gydymas arba gydymas biologiniu vaistiniu preparatu sukėlė</w:t>
      </w:r>
      <w:r w:rsidR="006D2E0E" w:rsidRPr="006D2E0E">
        <w:rPr>
          <w:color w:val="000000" w:themeColor="text1"/>
        </w:rPr>
        <w:t xml:space="preserve"> </w:t>
      </w:r>
      <w:r w:rsidR="005872C6" w:rsidRPr="006D2E0E">
        <w:rPr>
          <w:color w:val="000000" w:themeColor="text1"/>
        </w:rPr>
        <w:t xml:space="preserve">nepakankamą atsaką, atsakas išnyko arba gydymas buvo netoleruojamas </w:t>
      </w:r>
      <w:r w:rsidRPr="006D2E0E">
        <w:t xml:space="preserve">gydyti filgotinibo </w:t>
      </w:r>
      <w:r w:rsidR="005872C6" w:rsidRPr="006D2E0E">
        <w:t>bendrieji</w:t>
      </w:r>
      <w:r w:rsidRPr="006D2E0E">
        <w:t xml:space="preserve"> kaštai būtų</w:t>
      </w:r>
      <w:r w:rsidR="006D2E0E" w:rsidRPr="006D2E0E">
        <w:t xml:space="preserve"> </w:t>
      </w:r>
      <w:r w:rsidRPr="006D2E0E">
        <w:t xml:space="preserve">nedidesni nei įprastos klinikinės praktikos Lietuvoje: </w:t>
      </w:r>
      <w:r w:rsidR="005872C6" w:rsidRPr="006D2E0E">
        <w:t>tofacitinibo (ir kitų palyginamųjų)</w:t>
      </w:r>
      <w:r w:rsidRPr="006D2E0E">
        <w:t xml:space="preserve"> </w:t>
      </w:r>
      <w:r w:rsidR="006D2E0E" w:rsidRPr="006D2E0E">
        <w:t xml:space="preserve">gydymo </w:t>
      </w:r>
      <w:r w:rsidR="005872C6" w:rsidRPr="006D2E0E">
        <w:t>kaštai</w:t>
      </w:r>
      <w:r w:rsidRPr="006D2E0E">
        <w:t>, reikalinga</w:t>
      </w:r>
      <w:r w:rsidRPr="006D2E0E">
        <w:rPr>
          <w:b/>
          <w:i/>
        </w:rPr>
        <w:t xml:space="preserve"> </w:t>
      </w:r>
      <w:r w:rsidRPr="002A12FA">
        <w:rPr>
          <w:i/>
        </w:rPr>
        <w:t xml:space="preserve">filgotinibo kainą sumažinti </w:t>
      </w:r>
      <w:r w:rsidRPr="00173130">
        <w:rPr>
          <w:i/>
          <w:u w:val="single"/>
        </w:rPr>
        <w:t xml:space="preserve">ne mažiau </w:t>
      </w:r>
      <w:r w:rsidR="009E0055">
        <w:rPr>
          <w:i/>
          <w:u w:val="single"/>
        </w:rPr>
        <w:t>***</w:t>
      </w:r>
      <w:r w:rsidRPr="00173130">
        <w:rPr>
          <w:i/>
          <w:u w:val="single"/>
        </w:rPr>
        <w:t xml:space="preserve"> proc.</w:t>
      </w:r>
      <w:r w:rsidRPr="00173130">
        <w:rPr>
          <w:b/>
          <w:i/>
          <w:u w:val="single"/>
        </w:rPr>
        <w:t xml:space="preserve"> </w:t>
      </w:r>
    </w:p>
    <w:p w14:paraId="33875138" w14:textId="77777777" w:rsidR="0035172D" w:rsidRDefault="0035172D" w:rsidP="00A93AA6">
      <w:pPr>
        <w:tabs>
          <w:tab w:val="left" w:pos="426"/>
        </w:tabs>
        <w:rPr>
          <w:b/>
          <w:bCs/>
          <w:caps/>
        </w:rPr>
      </w:pPr>
    </w:p>
    <w:p w14:paraId="4FC424F9" w14:textId="4E767245" w:rsidR="00C62B36" w:rsidRPr="00797153" w:rsidRDefault="00C62B36" w:rsidP="00937907">
      <w:pPr>
        <w:pStyle w:val="Sraopastraipa"/>
        <w:numPr>
          <w:ilvl w:val="0"/>
          <w:numId w:val="12"/>
        </w:numPr>
        <w:tabs>
          <w:tab w:val="left" w:pos="284"/>
        </w:tabs>
        <w:rPr>
          <w:b/>
          <w:bCs/>
          <w:caps/>
        </w:rPr>
      </w:pPr>
      <w:r w:rsidRPr="00797153">
        <w:rPr>
          <w:b/>
          <w:bCs/>
          <w:caps/>
        </w:rPr>
        <w:t xml:space="preserve">Pacientų organizacijų pateikti duomenys </w:t>
      </w:r>
    </w:p>
    <w:p w14:paraId="79BCFF40" w14:textId="1992DF4A" w:rsidR="00937907" w:rsidRPr="00797153" w:rsidRDefault="00000000" w:rsidP="00937907">
      <w:pPr>
        <w:spacing w:after="120"/>
        <w:jc w:val="both"/>
      </w:pPr>
      <w:sdt>
        <w:sdtPr>
          <w:rPr>
            <w:rStyle w:val="Style2"/>
            <w:rFonts w:ascii="MS Gothic" w:eastAsia="MS Gothic" w:hAnsi="MS Gothic"/>
          </w:rPr>
          <w:id w:val="1150014178"/>
          <w15:color w:val="FFCC00"/>
          <w14:checkbox>
            <w14:checked w14:val="0"/>
            <w14:checkedState w14:val="2612" w14:font="MS Gothic"/>
            <w14:uncheckedState w14:val="2610" w14:font="MS Gothic"/>
          </w14:checkbox>
        </w:sdtPr>
        <w:sdtContent>
          <w:r w:rsidR="00937907" w:rsidRPr="00797153">
            <w:rPr>
              <w:rStyle w:val="Style2"/>
              <w:rFonts w:ascii="MS Gothic" w:eastAsia="MS Gothic" w:hAnsi="MS Gothic" w:hint="eastAsia"/>
            </w:rPr>
            <w:t>☐</w:t>
          </w:r>
        </w:sdtContent>
      </w:sdt>
      <w:r w:rsidR="00937907" w:rsidRPr="00797153">
        <w:t xml:space="preserve"> Pacientų organizacijos pozicija pateikta. Žr. priedą.</w:t>
      </w:r>
    </w:p>
    <w:p w14:paraId="62992180" w14:textId="661F8FB4" w:rsidR="00937907" w:rsidRPr="00797153" w:rsidRDefault="00000000" w:rsidP="00937907">
      <w:pPr>
        <w:spacing w:after="120"/>
        <w:jc w:val="both"/>
      </w:pPr>
      <w:sdt>
        <w:sdtPr>
          <w:rPr>
            <w:rStyle w:val="Style2"/>
            <w:rFonts w:ascii="MS Gothic" w:eastAsia="MS Gothic" w:hAnsi="MS Gothic"/>
          </w:rPr>
          <w:id w:val="-1545513810"/>
          <w15:color w:val="FFCC00"/>
          <w14:checkbox>
            <w14:checked w14:val="1"/>
            <w14:checkedState w14:val="2612" w14:font="MS Gothic"/>
            <w14:uncheckedState w14:val="2610" w14:font="MS Gothic"/>
          </w14:checkbox>
        </w:sdtPr>
        <w:sdtContent>
          <w:r w:rsidR="005872C6">
            <w:rPr>
              <w:rStyle w:val="Style2"/>
              <w:rFonts w:ascii="MS Gothic" w:eastAsia="MS Gothic" w:hAnsi="MS Gothic" w:hint="eastAsia"/>
            </w:rPr>
            <w:t>☒</w:t>
          </w:r>
        </w:sdtContent>
      </w:sdt>
      <w:r w:rsidR="00937907" w:rsidRPr="00797153">
        <w:t xml:space="preserve"> Pacientų organizacijos pozicija </w:t>
      </w:r>
      <w:r w:rsidR="00880A44">
        <w:t>ne</w:t>
      </w:r>
      <w:r w:rsidR="00937907" w:rsidRPr="00797153">
        <w:t>pateikta.</w:t>
      </w:r>
    </w:p>
    <w:p w14:paraId="3D3277FA" w14:textId="3CEEB2D2" w:rsidR="00C62B36" w:rsidRPr="00797153" w:rsidRDefault="00C62B36" w:rsidP="00937907">
      <w:pPr>
        <w:pStyle w:val="Sraopastraipa"/>
        <w:numPr>
          <w:ilvl w:val="0"/>
          <w:numId w:val="12"/>
        </w:numPr>
        <w:tabs>
          <w:tab w:val="left" w:pos="426"/>
        </w:tabs>
        <w:rPr>
          <w:b/>
          <w:bCs/>
          <w:caps/>
        </w:rPr>
      </w:pPr>
      <w:r w:rsidRPr="00797153">
        <w:rPr>
          <w:b/>
          <w:bCs/>
          <w:caps/>
        </w:rPr>
        <w:t>Gydytojų organizacijų pateikti duomenys</w:t>
      </w:r>
    </w:p>
    <w:p w14:paraId="389A346C" w14:textId="17184B64" w:rsidR="00937907" w:rsidRPr="00797153" w:rsidRDefault="00000000" w:rsidP="00662983">
      <w:pPr>
        <w:spacing w:after="120"/>
        <w:jc w:val="both"/>
      </w:pPr>
      <w:sdt>
        <w:sdtPr>
          <w:rPr>
            <w:rStyle w:val="Style2"/>
            <w:rFonts w:ascii="MS Gothic" w:eastAsia="MS Gothic" w:hAnsi="MS Gothic"/>
          </w:rPr>
          <w:id w:val="1613862788"/>
          <w15:color w:val="FFCC00"/>
          <w14:checkbox>
            <w14:checked w14:val="0"/>
            <w14:checkedState w14:val="2612" w14:font="MS Gothic"/>
            <w14:uncheckedState w14:val="2610" w14:font="MS Gothic"/>
          </w14:checkbox>
        </w:sdtPr>
        <w:sdtContent>
          <w:r w:rsidR="00937907" w:rsidRPr="00797153">
            <w:rPr>
              <w:rStyle w:val="Style2"/>
              <w:rFonts w:ascii="MS Gothic" w:eastAsia="MS Gothic" w:hAnsi="MS Gothic" w:hint="eastAsia"/>
            </w:rPr>
            <w:t>☐</w:t>
          </w:r>
        </w:sdtContent>
      </w:sdt>
      <w:r w:rsidR="00662983" w:rsidRPr="00797153">
        <w:t xml:space="preserve"> </w:t>
      </w:r>
      <w:r w:rsidR="00937907" w:rsidRPr="00797153">
        <w:t xml:space="preserve">Gydytojų specialistų organizacijos pozicija pateikta. </w:t>
      </w:r>
      <w:r w:rsidR="00662983" w:rsidRPr="00797153">
        <w:t>Žr. priedą</w:t>
      </w:r>
      <w:r w:rsidR="00937907" w:rsidRPr="00797153">
        <w:t>.</w:t>
      </w:r>
    </w:p>
    <w:p w14:paraId="5D8CC48C" w14:textId="142263D1" w:rsidR="00662983" w:rsidRPr="006E501F" w:rsidRDefault="00000000" w:rsidP="00662983">
      <w:pPr>
        <w:spacing w:after="120"/>
        <w:jc w:val="both"/>
      </w:pPr>
      <w:sdt>
        <w:sdtPr>
          <w:rPr>
            <w:rStyle w:val="Style2"/>
            <w:rFonts w:ascii="MS Gothic" w:eastAsia="MS Gothic" w:hAnsi="MS Gothic"/>
          </w:rPr>
          <w:id w:val="-41988141"/>
          <w15:color w:val="FFCC00"/>
          <w14:checkbox>
            <w14:checked w14:val="1"/>
            <w14:checkedState w14:val="2612" w14:font="MS Gothic"/>
            <w14:uncheckedState w14:val="2610" w14:font="MS Gothic"/>
          </w14:checkbox>
        </w:sdtPr>
        <w:sdtContent>
          <w:r w:rsidR="005872C6">
            <w:rPr>
              <w:rStyle w:val="Style2"/>
              <w:rFonts w:ascii="MS Gothic" w:eastAsia="MS Gothic" w:hAnsi="MS Gothic" w:hint="eastAsia"/>
            </w:rPr>
            <w:t>☒</w:t>
          </w:r>
        </w:sdtContent>
      </w:sdt>
      <w:r w:rsidR="00662983" w:rsidRPr="00797153">
        <w:t xml:space="preserve"> </w:t>
      </w:r>
      <w:r w:rsidR="00937907" w:rsidRPr="00797153">
        <w:t xml:space="preserve">Gydytojų specialistų organizacijos pozicija </w:t>
      </w:r>
      <w:r w:rsidR="00880A44">
        <w:t>ne</w:t>
      </w:r>
      <w:r w:rsidR="00937907" w:rsidRPr="00797153">
        <w:t>pateikta.</w:t>
      </w:r>
    </w:p>
    <w:p w14:paraId="78F23ECB" w14:textId="23A3A002" w:rsidR="002F0E4F" w:rsidRDefault="002F0E4F" w:rsidP="00937907">
      <w:pPr>
        <w:pStyle w:val="Sraopastraipa"/>
        <w:numPr>
          <w:ilvl w:val="0"/>
          <w:numId w:val="12"/>
        </w:numPr>
        <w:tabs>
          <w:tab w:val="left" w:pos="426"/>
        </w:tabs>
        <w:rPr>
          <w:b/>
          <w:bCs/>
          <w:caps/>
        </w:rPr>
      </w:pPr>
      <w:r w:rsidRPr="00B4017A">
        <w:rPr>
          <w:b/>
          <w:bCs/>
          <w:caps/>
        </w:rPr>
        <w:t xml:space="preserve">Išvada </w:t>
      </w:r>
    </w:p>
    <w:p w14:paraId="573E407F" w14:textId="77777777" w:rsidR="00797153" w:rsidRPr="00797153" w:rsidRDefault="00797153" w:rsidP="00797153">
      <w:pPr>
        <w:tabs>
          <w:tab w:val="left" w:pos="426"/>
        </w:tabs>
        <w:rPr>
          <w:b/>
          <w:bCs/>
          <w:caps/>
        </w:rPr>
      </w:pPr>
    </w:p>
    <w:tbl>
      <w:tblPr>
        <w:tblStyle w:val="Lentelstinklelis"/>
        <w:tblW w:w="0" w:type="auto"/>
        <w:tblLook w:val="04A0" w:firstRow="1" w:lastRow="0" w:firstColumn="1" w:lastColumn="0" w:noHBand="0" w:noVBand="1"/>
      </w:tblPr>
      <w:tblGrid>
        <w:gridCol w:w="4815"/>
        <w:gridCol w:w="4814"/>
      </w:tblGrid>
      <w:tr w:rsidR="00B13D65" w:rsidRPr="00B13D65" w14:paraId="25A2473E" w14:textId="77777777" w:rsidTr="00253CF8">
        <w:tc>
          <w:tcPr>
            <w:tcW w:w="4815" w:type="dxa"/>
          </w:tcPr>
          <w:p w14:paraId="7EFE6941" w14:textId="23B8BB6D" w:rsidR="00B13D65"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Pr>
                <w:rStyle w:val="Style2"/>
                <w:rFonts w:eastAsia="MS Gothic"/>
                <w:b/>
                <w:bCs/>
                <w:sz w:val="24"/>
              </w:rPr>
              <w:t>Rekomenduojama kompensuoti</w:t>
            </w:r>
          </w:p>
        </w:tc>
        <w:tc>
          <w:tcPr>
            <w:tcW w:w="4814" w:type="dxa"/>
          </w:tcPr>
          <w:p w14:paraId="330A1A5E" w14:textId="19247DC1" w:rsidR="00B13D65"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Pr>
                <w:rStyle w:val="Style2"/>
                <w:rFonts w:eastAsia="MS Gothic"/>
                <w:b/>
                <w:bCs/>
                <w:sz w:val="24"/>
              </w:rPr>
              <w:t>Rekomenduojama nekompensuoti</w:t>
            </w:r>
            <w:r w:rsidRPr="00B13D65">
              <w:rPr>
                <w:rStyle w:val="Style2"/>
                <w:rFonts w:eastAsia="MS Gothic"/>
                <w:b/>
                <w:bCs/>
                <w:sz w:val="24"/>
              </w:rPr>
              <w:t xml:space="preserve"> </w:t>
            </w:r>
          </w:p>
        </w:tc>
      </w:tr>
      <w:tr w:rsidR="00B13D65" w:rsidRPr="00B13D65" w14:paraId="143A7356" w14:textId="77777777" w:rsidTr="00253CF8">
        <w:tc>
          <w:tcPr>
            <w:tcW w:w="9629" w:type="dxa"/>
            <w:gridSpan w:val="2"/>
          </w:tcPr>
          <w:p w14:paraId="5D93D240"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B13D65">
              <w:rPr>
                <w:rStyle w:val="Style2"/>
                <w:rFonts w:eastAsia="MS Gothic"/>
                <w:b/>
                <w:bCs/>
                <w:sz w:val="24"/>
              </w:rPr>
              <w:t>Palyginamasis efektyvumas</w:t>
            </w:r>
          </w:p>
          <w:p w14:paraId="0AF5D6B4"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B13D65" w14:paraId="28A0C814" w14:textId="77777777" w:rsidTr="00253CF8">
        <w:tc>
          <w:tcPr>
            <w:tcW w:w="4815" w:type="dxa"/>
          </w:tcPr>
          <w:p w14:paraId="216769B5" w14:textId="67E956C4"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Content>
                <w:r w:rsidR="00D76CF7">
                  <w:rPr>
                    <w:rStyle w:val="Style2"/>
                    <w:rFonts w:ascii="MS Gothic" w:eastAsia="MS Gothic" w:hAnsi="MS Gothic" w:hint="eastAsia"/>
                    <w:sz w:val="24"/>
                  </w:rPr>
                  <w:t>☐</w:t>
                </w:r>
              </w:sdtContent>
            </w:sdt>
            <w:r w:rsidR="00B13D65" w:rsidRPr="00B13D65">
              <w:t xml:space="preserve"> 32.1. yra didesnis</w:t>
            </w:r>
          </w:p>
          <w:p w14:paraId="3B48F372"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1E8E47C0" w:rsidR="00B13D65" w:rsidRPr="00B13D65"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1"/>
                  <w14:checkedState w14:val="2612" w14:font="MS Gothic"/>
                  <w14:uncheckedState w14:val="2610" w14:font="MS Gothic"/>
                </w14:checkbox>
              </w:sdtPr>
              <w:sdtContent>
                <w:r w:rsidR="00D76CF7">
                  <w:rPr>
                    <w:rStyle w:val="Style2"/>
                    <w:rFonts w:ascii="MS Gothic" w:eastAsia="MS Gothic" w:hAnsi="MS Gothic" w:hint="eastAsia"/>
                    <w:sz w:val="24"/>
                  </w:rPr>
                  <w:t>☒</w:t>
                </w:r>
              </w:sdtContent>
            </w:sdt>
            <w:r w:rsidR="00B13D65" w:rsidRPr="00B13D65">
              <w:t xml:space="preserve"> 32.1. iš esmės nesiskiria</w:t>
            </w:r>
          </w:p>
        </w:tc>
        <w:tc>
          <w:tcPr>
            <w:tcW w:w="4814" w:type="dxa"/>
          </w:tcPr>
          <w:p w14:paraId="507828D9" w14:textId="09AE523F"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B13D65">
                  <w:rPr>
                    <w:rStyle w:val="Style2"/>
                    <w:rFonts w:ascii="Segoe UI Symbol" w:eastAsia="MS Gothic" w:hAnsi="Segoe UI Symbol" w:cs="Segoe UI Symbol"/>
                    <w:sz w:val="24"/>
                  </w:rPr>
                  <w:t>☐</w:t>
                </w:r>
              </w:sdtContent>
            </w:sdt>
            <w:r w:rsidR="00B13D65" w:rsidRPr="00B13D65">
              <w:t xml:space="preserve"> 33.1. yra mažesnis</w:t>
            </w:r>
          </w:p>
          <w:p w14:paraId="7F95DEEC"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54F77A6C" w:rsidR="00662983"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B13D65">
                  <w:rPr>
                    <w:rStyle w:val="Style2"/>
                    <w:rFonts w:ascii="Segoe UI Symbol" w:eastAsia="MS Gothic" w:hAnsi="Segoe UI Symbol" w:cs="Segoe UI Symbol"/>
                    <w:sz w:val="24"/>
                  </w:rPr>
                  <w:t>☐</w:t>
                </w:r>
              </w:sdtContent>
            </w:sdt>
            <w:r w:rsidR="00B13D65" w:rsidRPr="00B13D65">
              <w:t xml:space="preserve"> 33.1. yra neįrodytas kaip toks pat</w:t>
            </w:r>
          </w:p>
          <w:p w14:paraId="35205E85" w14:textId="77777777" w:rsidR="0066298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7FB4ABC3"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B13D65">
                  <w:rPr>
                    <w:rStyle w:val="Style2"/>
                    <w:rFonts w:ascii="Segoe UI Symbol" w:eastAsia="MS Gothic" w:hAnsi="Segoe UI Symbol" w:cs="Segoe UI Symbol"/>
                    <w:sz w:val="24"/>
                  </w:rPr>
                  <w:t>☐</w:t>
                </w:r>
              </w:sdtContent>
            </w:sdt>
            <w:r w:rsidR="00662983" w:rsidRPr="00B13D65">
              <w:t xml:space="preserve"> </w:t>
            </w:r>
            <w:r w:rsidR="00662983">
              <w:t xml:space="preserve">33.1 </w:t>
            </w:r>
            <w:r w:rsidR="00B13D65" w:rsidRPr="00B13D65">
              <w:t>neįrodytas kaip didesnis</w:t>
            </w:r>
          </w:p>
          <w:p w14:paraId="512E653B"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B13D65">
                  <w:rPr>
                    <w:rStyle w:val="Style2"/>
                    <w:rFonts w:ascii="Segoe UI Symbol" w:eastAsia="MS Gothic" w:hAnsi="Segoe UI Symbol" w:cs="Segoe UI Symbol"/>
                    <w:sz w:val="24"/>
                  </w:rPr>
                  <w:t>☐</w:t>
                </w:r>
              </w:sdtContent>
            </w:sdt>
            <w:r w:rsidR="00B13D65" w:rsidRPr="00B13D65">
              <w:t xml:space="preserve"> 33.1. pateikti duomenys apie palyginamąjį efektyvumą yra netinkami vertinti</w:t>
            </w:r>
          </w:p>
          <w:p w14:paraId="5DDAA961"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B13D65" w14:paraId="161CC3FE" w14:textId="77777777" w:rsidTr="00253CF8">
        <w:tc>
          <w:tcPr>
            <w:tcW w:w="9629" w:type="dxa"/>
            <w:gridSpan w:val="2"/>
          </w:tcPr>
          <w:p w14:paraId="3B2878F0"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B13D65">
              <w:rPr>
                <w:rStyle w:val="Style2"/>
                <w:rFonts w:eastAsia="MS Gothic"/>
                <w:b/>
                <w:bCs/>
                <w:sz w:val="24"/>
              </w:rPr>
              <w:t>Klinikinis veiksmingumas</w:t>
            </w:r>
          </w:p>
          <w:p w14:paraId="1AB46894"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B13D65" w14:paraId="3C60570A" w14:textId="77777777" w:rsidTr="00253CF8">
        <w:tc>
          <w:tcPr>
            <w:tcW w:w="4815" w:type="dxa"/>
          </w:tcPr>
          <w:p w14:paraId="6897B306" w14:textId="70C15EA4"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Content>
                <w:r w:rsidR="00B13D65" w:rsidRPr="00B13D65">
                  <w:rPr>
                    <w:rStyle w:val="Style2"/>
                    <w:rFonts w:ascii="Segoe UI Symbol" w:eastAsia="MS Gothic" w:hAnsi="Segoe UI Symbol" w:cs="Segoe UI Symbol"/>
                    <w:sz w:val="24"/>
                  </w:rPr>
                  <w:t>☐</w:t>
                </w:r>
              </w:sdtContent>
            </w:sdt>
            <w:r w:rsidR="00B13D65" w:rsidRPr="00B13D65">
              <w:t xml:space="preserve"> 32.2. yra įvertintas kaip pagrindžiantis papildomos naudos pacientų sveikatai sukūrimą, lyginant su įprasta klinikine praktika</w:t>
            </w:r>
          </w:p>
          <w:p w14:paraId="71D57105"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36B9F9BA" w:rsidR="00B13D65" w:rsidRP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1"/>
                  <w14:checkedState w14:val="2612" w14:font="MS Gothic"/>
                  <w14:uncheckedState w14:val="2610" w14:font="MS Gothic"/>
                </w14:checkbox>
              </w:sdtPr>
              <w:sdtContent>
                <w:r w:rsidR="00253CF8">
                  <w:rPr>
                    <w:rStyle w:val="Style2"/>
                    <w:rFonts w:ascii="MS Gothic" w:eastAsia="MS Gothic" w:hAnsi="MS Gothic" w:hint="eastAsia"/>
                    <w:sz w:val="24"/>
                  </w:rPr>
                  <w:t>☒</w:t>
                </w:r>
              </w:sdtContent>
            </w:sdt>
            <w:r w:rsidR="00B13D65" w:rsidRPr="00B13D65">
              <w:t xml:space="preserve"> 32.2. įvertintas kaip pagrindžiantis nesiskiriančios naudos pacientų sveikatai sukūrimą, lyginant su įprasta klinikine praktika</w:t>
            </w:r>
          </w:p>
          <w:p w14:paraId="287AD233"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77777777" w:rsidR="00662983" w:rsidRPr="00B13D65" w:rsidRDefault="00000000" w:rsidP="00662983">
            <w:pPr>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B13D65">
                  <w:rPr>
                    <w:rStyle w:val="Style2"/>
                    <w:rFonts w:ascii="Segoe UI Symbol" w:eastAsia="MS Gothic" w:hAnsi="Segoe UI Symbol" w:cs="Segoe UI Symbol"/>
                    <w:sz w:val="24"/>
                  </w:rPr>
                  <w:t>☐</w:t>
                </w:r>
              </w:sdtContent>
            </w:sdt>
            <w:r w:rsidR="00B13D65" w:rsidRPr="00B13D65">
              <w:t xml:space="preserve"> 33.1. yra įvertintas kaip nepagrindžiantis papildomos </w:t>
            </w:r>
            <w:r w:rsidR="00662983" w:rsidRPr="00B13D65">
              <w:t>naudos pacientų sveikatai sukūrimo, lyginant su  įprasta klinikine praktika.</w:t>
            </w:r>
          </w:p>
          <w:p w14:paraId="6C70BCFC" w14:textId="77777777" w:rsidR="00662983" w:rsidRDefault="00662983" w:rsidP="00BD1E5A">
            <w:pPr>
              <w:jc w:val="both"/>
            </w:pPr>
          </w:p>
          <w:p w14:paraId="0ADEC30D" w14:textId="25150412" w:rsidR="00B13D65" w:rsidRPr="00B13D65"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B13D65">
                  <w:rPr>
                    <w:rStyle w:val="Style2"/>
                    <w:rFonts w:ascii="Segoe UI Symbol" w:eastAsia="MS Gothic" w:hAnsi="Segoe UI Symbol" w:cs="Segoe UI Symbol"/>
                    <w:sz w:val="24"/>
                  </w:rPr>
                  <w:t>☐</w:t>
                </w:r>
              </w:sdtContent>
            </w:sdt>
            <w:r w:rsidR="00B13D65" w:rsidRPr="00B13D65">
              <w:t xml:space="preserve"> </w:t>
            </w:r>
            <w:r w:rsidR="00662983">
              <w:t xml:space="preserve">33.1. </w:t>
            </w:r>
            <w:r w:rsidR="00B13D65" w:rsidRPr="00B13D65">
              <w:t>nesiskiriančios naudos pacientų sveikatai sukūrimo, lyginant su įprasta klinikine praktika.</w:t>
            </w:r>
          </w:p>
          <w:p w14:paraId="1EED7901"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B13D65" w14:paraId="1C75AE76" w14:textId="77777777" w:rsidTr="00253CF8">
        <w:tc>
          <w:tcPr>
            <w:tcW w:w="9629" w:type="dxa"/>
            <w:gridSpan w:val="2"/>
          </w:tcPr>
          <w:p w14:paraId="56F7FA3E"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B13D65">
              <w:rPr>
                <w:rStyle w:val="Style2"/>
                <w:rFonts w:eastAsia="MS Gothic"/>
                <w:b/>
                <w:bCs/>
                <w:sz w:val="24"/>
              </w:rPr>
              <w:t>Kaštų naudingumas</w:t>
            </w:r>
          </w:p>
          <w:p w14:paraId="0247EDAD"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B13D65" w14:paraId="7091A05B" w14:textId="77777777" w:rsidTr="00253CF8">
        <w:tc>
          <w:tcPr>
            <w:tcW w:w="4815" w:type="dxa"/>
          </w:tcPr>
          <w:p w14:paraId="69B2A994" w14:textId="3AC30950"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A06DBB">
                  <w:rPr>
                    <w:rStyle w:val="Style2"/>
                    <w:rFonts w:ascii="MS Gothic" w:eastAsia="MS Gothic" w:hAnsi="MS Gothic" w:hint="eastAsia"/>
                    <w:sz w:val="24"/>
                  </w:rPr>
                  <w:t>☐</w:t>
                </w:r>
              </w:sdtContent>
            </w:sdt>
            <w:r w:rsidR="00B13D65" w:rsidRPr="00B13D65">
              <w:t xml:space="preserve"> 32.3. atitinka referencinę naudingumo vertę, taikant</w:t>
            </w:r>
            <w:r w:rsidR="00253CF8">
              <w:t xml:space="preserve"> PGS</w:t>
            </w:r>
          </w:p>
          <w:p w14:paraId="3F76F153"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19ACB2F1" w:rsidR="00B13D65" w:rsidRP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Content>
                <w:r w:rsidR="00B13D65" w:rsidRPr="00B13D65">
                  <w:rPr>
                    <w:rStyle w:val="Style2"/>
                    <w:rFonts w:ascii="Segoe UI Symbol" w:eastAsia="MS Gothic" w:hAnsi="Segoe UI Symbol" w:cs="Segoe UI Symbol"/>
                    <w:sz w:val="24"/>
                  </w:rPr>
                  <w:t>☐</w:t>
                </w:r>
              </w:sdtContent>
            </w:sdt>
            <w:r w:rsidR="00B13D65" w:rsidRPr="00B13D65">
              <w:t xml:space="preserve"> 32.3. gydymo juo kaštai yra mažesni ar tokie patys esant iš esmės nesiskiriančiam palyginamajam efektyvumui, taikant </w:t>
            </w:r>
            <w:r w:rsidR="00253CF8">
              <w:t>PGS</w:t>
            </w:r>
          </w:p>
          <w:p w14:paraId="25E4BD1E"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07F023EC"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Content>
                <w:r w:rsidR="00B13D65" w:rsidRPr="00B13D65">
                  <w:rPr>
                    <w:rStyle w:val="Style2"/>
                    <w:rFonts w:ascii="Segoe UI Symbol" w:eastAsia="MS Gothic" w:hAnsi="Segoe UI Symbol" w:cs="Segoe UI Symbol"/>
                    <w:sz w:val="24"/>
                  </w:rPr>
                  <w:t>☐</w:t>
                </w:r>
              </w:sdtContent>
            </w:sdt>
            <w:r w:rsidR="00B13D65" w:rsidRPr="00B13D65">
              <w:t xml:space="preserve"> 33.3. neatitinka referencinės naudingumo vertės Lietuvos Respublikoje;</w:t>
            </w:r>
          </w:p>
          <w:p w14:paraId="229ED51A"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45B8B77D"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1"/>
                  <w14:checkedState w14:val="2612" w14:font="MS Gothic"/>
                  <w14:uncheckedState w14:val="2610" w14:font="MS Gothic"/>
                </w14:checkbox>
              </w:sdtPr>
              <w:sdtContent>
                <w:r w:rsidR="00253CF8">
                  <w:rPr>
                    <w:rStyle w:val="Style2"/>
                    <w:rFonts w:ascii="MS Gothic" w:eastAsia="MS Gothic" w:hAnsi="MS Gothic" w:hint="eastAsia"/>
                    <w:sz w:val="24"/>
                  </w:rPr>
                  <w:t>☒</w:t>
                </w:r>
              </w:sdtContent>
            </w:sdt>
            <w:r w:rsidR="00B13D65" w:rsidRPr="00B13D65">
              <w:t xml:space="preserve"> 33.3. gydymo juo kaštai yra didesni esant iš esmės nesiskiriančiam palyginamajam efektyvumui, taikant</w:t>
            </w:r>
            <w:r w:rsidR="00253CF8">
              <w:t xml:space="preserve"> PGS</w:t>
            </w:r>
          </w:p>
          <w:p w14:paraId="4A9C7D2A"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Content>
                <w:r w:rsidR="00B13D65" w:rsidRPr="00B13D65">
                  <w:rPr>
                    <w:rStyle w:val="Style2"/>
                    <w:rFonts w:ascii="Segoe UI Symbol" w:eastAsia="MS Gothic" w:hAnsi="Segoe UI Symbol" w:cs="Segoe UI Symbol"/>
                    <w:sz w:val="24"/>
                  </w:rPr>
                  <w:t>☐</w:t>
                </w:r>
              </w:sdtContent>
            </w:sdt>
            <w:r w:rsidR="00B13D65" w:rsidRPr="00B13D65">
              <w:t xml:space="preserve"> 33.3. pateikti duomenys apie kaštų na</w:t>
            </w:r>
            <w:r w:rsidR="00662983">
              <w:t>udingumą yra netinkami vertinti</w:t>
            </w:r>
          </w:p>
          <w:p w14:paraId="470A48A4"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78D52D1F" w14:textId="77777777" w:rsidR="005170AF" w:rsidRDefault="005170AF" w:rsidP="005170AF">
      <w:pPr>
        <w:pStyle w:val="Sraopastraipa"/>
        <w:shd w:val="clear" w:color="auto" w:fill="FFFFFF"/>
        <w:tabs>
          <w:tab w:val="left" w:pos="284"/>
        </w:tabs>
        <w:spacing w:line="276" w:lineRule="auto"/>
        <w:rPr>
          <w:rFonts w:eastAsia="Arial"/>
          <w:b/>
        </w:rPr>
      </w:pPr>
    </w:p>
    <w:p w14:paraId="41A3E2A9" w14:textId="2C3E9B36" w:rsidR="00253CF8" w:rsidRPr="00253CF8" w:rsidRDefault="00253CF8" w:rsidP="00253CF8">
      <w:pPr>
        <w:pStyle w:val="Sraopastraipa"/>
        <w:numPr>
          <w:ilvl w:val="0"/>
          <w:numId w:val="12"/>
        </w:numPr>
        <w:shd w:val="clear" w:color="auto" w:fill="FFFFFF"/>
        <w:tabs>
          <w:tab w:val="left" w:pos="284"/>
        </w:tabs>
        <w:spacing w:line="276" w:lineRule="auto"/>
        <w:rPr>
          <w:rFonts w:eastAsia="Arial"/>
          <w:b/>
        </w:rPr>
      </w:pPr>
      <w:r w:rsidRPr="00253CF8">
        <w:rPr>
          <w:rFonts w:eastAsia="Arial"/>
          <w:b/>
        </w:rPr>
        <w:t>REKOMENDACIJA</w:t>
      </w:r>
    </w:p>
    <w:p w14:paraId="074D54A7" w14:textId="77777777" w:rsidR="00253CF8" w:rsidRPr="005F26B1" w:rsidRDefault="00253CF8" w:rsidP="00253CF8">
      <w:pPr>
        <w:pStyle w:val="Sraopastraipa"/>
        <w:shd w:val="clear" w:color="auto" w:fill="FFFFFF"/>
        <w:tabs>
          <w:tab w:val="left" w:pos="284"/>
        </w:tabs>
        <w:spacing w:line="276" w:lineRule="auto"/>
        <w:ind w:left="426"/>
        <w:rPr>
          <w:rFonts w:eastAsia="Arial"/>
          <w:b/>
        </w:rPr>
      </w:pPr>
    </w:p>
    <w:p w14:paraId="62F021BE" w14:textId="77777777" w:rsidR="00253CF8" w:rsidRDefault="00253CF8" w:rsidP="00253CF8">
      <w:pPr>
        <w:spacing w:line="276" w:lineRule="auto"/>
        <w:ind w:firstLine="567"/>
        <w:jc w:val="both"/>
        <w:rPr>
          <w:color w:val="000000" w:themeColor="text1"/>
        </w:rPr>
      </w:pPr>
      <w:r w:rsidRPr="003F514B">
        <w:t>Vadovaujantis</w:t>
      </w:r>
      <w:r w:rsidRPr="00B351ED">
        <w:rPr>
          <w:color w:val="000000" w:themeColor="text1"/>
        </w:rPr>
        <w:t xml:space="preserve">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p>
    <w:p w14:paraId="314B637F" w14:textId="22CDDF0F" w:rsidR="00253CF8" w:rsidRDefault="00253CF8" w:rsidP="00253CF8">
      <w:pPr>
        <w:spacing w:line="276" w:lineRule="auto"/>
        <w:ind w:left="101" w:firstLine="619"/>
        <w:jc w:val="both"/>
      </w:pPr>
      <w:r>
        <w:rPr>
          <w:color w:val="000000"/>
        </w:rPr>
        <w:t>34.4.</w:t>
      </w:r>
      <w:r>
        <w:rPr>
          <w:color w:val="000000" w:themeColor="text1"/>
        </w:rPr>
        <w:t xml:space="preserve"> </w:t>
      </w:r>
      <w:r w:rsidRPr="00513C05">
        <w:t xml:space="preserve">rekomenduojama </w:t>
      </w:r>
      <w:r w:rsidRPr="001C4A38">
        <w:rPr>
          <w:i/>
        </w:rPr>
        <w:t>ne</w:t>
      </w:r>
      <w:r w:rsidRPr="00432D48">
        <w:rPr>
          <w:i/>
        </w:rPr>
        <w:t xml:space="preserve">kompensuoti </w:t>
      </w:r>
      <w:r>
        <w:t>vaistinio preparato</w:t>
      </w:r>
      <w:r w:rsidRPr="00513C05">
        <w:t xml:space="preserve"> pagal paraiškoje nurodytą </w:t>
      </w:r>
      <w:r w:rsidR="00824E49">
        <w:t xml:space="preserve">indikaciją, </w:t>
      </w:r>
      <w:r>
        <w:rPr>
          <w:lang w:val="en-US"/>
        </w:rPr>
        <w:t xml:space="preserve">su </w:t>
      </w:r>
      <w:r>
        <w:t xml:space="preserve">skyrimo sąlygomis, taikant PGS, </w:t>
      </w:r>
      <w:r w:rsidRPr="008B649B">
        <w:t>dėl iš esmės nesiskiriančio gydymo efektyvumo ir sukuriamos naudos pacientų sveikatai, lyginant su įprasta klinikine praktika</w:t>
      </w:r>
      <w:r>
        <w:t xml:space="preserve"> (</w:t>
      </w:r>
      <w:r w:rsidR="00251524">
        <w:t>tofacitinibu</w:t>
      </w:r>
      <w:r>
        <w:t xml:space="preserve"> ir </w:t>
      </w:r>
      <w:r w:rsidR="00251524">
        <w:t>kitais palyginamaisiais</w:t>
      </w:r>
      <w:r>
        <w:t xml:space="preserve">) </w:t>
      </w:r>
      <w:r w:rsidRPr="008B649B">
        <w:t xml:space="preserve">ir </w:t>
      </w:r>
      <w:r>
        <w:t>didesnių</w:t>
      </w:r>
      <w:r w:rsidRPr="008B649B">
        <w:t xml:space="preserve"> gydymo kaštų </w:t>
      </w:r>
      <w:r w:rsidR="00824E49">
        <w:t>(kaštų mažinimas nepasiektas</w:t>
      </w:r>
      <w:r w:rsidRPr="008B649B">
        <w:t>).</w:t>
      </w:r>
    </w:p>
    <w:p w14:paraId="3434C113" w14:textId="77777777" w:rsidR="00253CF8" w:rsidRDefault="00253CF8" w:rsidP="00253CF8">
      <w:pPr>
        <w:shd w:val="clear" w:color="auto" w:fill="FFFFFF"/>
        <w:spacing w:line="276" w:lineRule="auto"/>
        <w:ind w:firstLine="720"/>
        <w:jc w:val="both"/>
        <w:rPr>
          <w:rFonts w:eastAsia="Arial"/>
          <w:i/>
        </w:rPr>
      </w:pPr>
    </w:p>
    <w:p w14:paraId="04411EAD" w14:textId="7380A5F5" w:rsidR="004A3A61" w:rsidRPr="00AD001C" w:rsidRDefault="00253CF8" w:rsidP="00AD001C">
      <w:pPr>
        <w:shd w:val="clear" w:color="auto" w:fill="FFFFFF"/>
        <w:spacing w:line="276" w:lineRule="auto"/>
        <w:ind w:firstLine="720"/>
        <w:jc w:val="both"/>
        <w:rPr>
          <w:rFonts w:eastAsia="Arial"/>
          <w:i/>
          <w:lang w:val="en-US"/>
        </w:rPr>
      </w:pPr>
      <w:r w:rsidRPr="00CF1757">
        <w:rPr>
          <w:rFonts w:eastAsia="Arial"/>
          <w:i/>
        </w:rPr>
        <w:t xml:space="preserve">Atkreiptinas dėmesys, kad siekiant jog </w:t>
      </w:r>
      <w:r>
        <w:rPr>
          <w:rFonts w:eastAsia="Arial"/>
          <w:i/>
        </w:rPr>
        <w:t>filgotinibo</w:t>
      </w:r>
      <w:r w:rsidRPr="00CF1757">
        <w:rPr>
          <w:rFonts w:eastAsia="Arial"/>
          <w:i/>
        </w:rPr>
        <w:t xml:space="preserve"> teikiama kaina atitiktų Tvarkos aprašo Nr.159 papunktį </w:t>
      </w:r>
      <w:r w:rsidRPr="00CF1757">
        <w:rPr>
          <w:i/>
          <w:color w:val="000000"/>
        </w:rPr>
        <w:t>54.1</w:t>
      </w:r>
      <w:r w:rsidRPr="00CF1757">
        <w:rPr>
          <w:i/>
          <w:color w:val="000000"/>
          <w:vertAlign w:val="superscript"/>
        </w:rPr>
        <w:t>1</w:t>
      </w:r>
      <w:r w:rsidRPr="00CF1757">
        <w:rPr>
          <w:rFonts w:eastAsia="Arial"/>
          <w:i/>
        </w:rPr>
        <w:t xml:space="preserve"> </w:t>
      </w:r>
      <w:r w:rsidRPr="00CF1757">
        <w:rPr>
          <w:i/>
          <w:color w:val="000000"/>
        </w:rPr>
        <w:t>&lt;...gydymo vaistiniu preparatu kaštai, mažėja ne mažiau kaip 5 proc....&gt;,</w:t>
      </w:r>
      <w:r w:rsidRPr="00CF1757">
        <w:rPr>
          <w:rFonts w:eastAsia="Arial"/>
          <w:i/>
        </w:rPr>
        <w:t xml:space="preserve"> </w:t>
      </w:r>
      <w:r>
        <w:rPr>
          <w:rFonts w:eastAsia="Arial"/>
          <w:i/>
        </w:rPr>
        <w:t>filgotinibo</w:t>
      </w:r>
      <w:r w:rsidRPr="00CF1757">
        <w:rPr>
          <w:rFonts w:eastAsia="Arial"/>
          <w:i/>
        </w:rPr>
        <w:t xml:space="preserve"> pakuočių (</w:t>
      </w:r>
      <w:r>
        <w:rPr>
          <w:rFonts w:eastAsia="Arial"/>
          <w:i/>
        </w:rPr>
        <w:t>100</w:t>
      </w:r>
      <w:r w:rsidRPr="00CF1757">
        <w:rPr>
          <w:rFonts w:eastAsia="Arial"/>
          <w:i/>
        </w:rPr>
        <w:t xml:space="preserve"> mg ir </w:t>
      </w:r>
      <w:r>
        <w:rPr>
          <w:rFonts w:eastAsia="Arial"/>
          <w:i/>
        </w:rPr>
        <w:t>200</w:t>
      </w:r>
      <w:r w:rsidRPr="00CF1757">
        <w:rPr>
          <w:rFonts w:eastAsia="Arial"/>
          <w:i/>
        </w:rPr>
        <w:t xml:space="preserve"> mg) kaina atitinkamai turi būti </w:t>
      </w:r>
      <w:r w:rsidR="00824E49">
        <w:rPr>
          <w:rFonts w:eastAsia="Arial"/>
          <w:i/>
        </w:rPr>
        <w:t xml:space="preserve">sumažinta </w:t>
      </w:r>
      <w:r w:rsidR="00824E49" w:rsidRPr="00293CA1">
        <w:rPr>
          <w:rFonts w:eastAsia="Arial"/>
          <w:i/>
          <w:u w:val="single"/>
        </w:rPr>
        <w:t xml:space="preserve">ne mažiau </w:t>
      </w:r>
      <w:r w:rsidR="009E0055">
        <w:rPr>
          <w:rFonts w:eastAsia="Arial"/>
          <w:i/>
          <w:u w:val="single"/>
        </w:rPr>
        <w:t>***</w:t>
      </w:r>
      <w:r w:rsidRPr="00293CA1">
        <w:rPr>
          <w:rFonts w:eastAsia="Arial"/>
          <w:i/>
          <w:u w:val="single"/>
        </w:rPr>
        <w:t xml:space="preserve"> proc</w:t>
      </w:r>
      <w:r>
        <w:rPr>
          <w:rFonts w:eastAsia="Arial"/>
          <w:i/>
        </w:rPr>
        <w:t>.</w:t>
      </w:r>
    </w:p>
    <w:sectPr w:rsidR="004A3A61" w:rsidRPr="00AD001C" w:rsidSect="005D30E1">
      <w:headerReference w:type="even" r:id="rId7"/>
      <w:headerReference w:type="default" r:id="rId8"/>
      <w:headerReference w:type="first" r:id="rId9"/>
      <w:footerReference w:type="first" r:id="rId10"/>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5D53C6" w14:textId="77777777" w:rsidR="00EE692A" w:rsidRDefault="00EE692A">
      <w:r>
        <w:separator/>
      </w:r>
    </w:p>
  </w:endnote>
  <w:endnote w:type="continuationSeparator" w:id="0">
    <w:p w14:paraId="14A1270B" w14:textId="77777777" w:rsidR="00EE692A" w:rsidRDefault="00EE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charset w:val="00"/>
    <w:family w:val="roman"/>
    <w:pitch w:val="variable"/>
    <w:sig w:usb0="E0002AE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37BB7" w14:textId="77777777" w:rsidR="00EE692A" w:rsidRDefault="00EE692A">
      <w:r>
        <w:separator/>
      </w:r>
    </w:p>
  </w:footnote>
  <w:footnote w:type="continuationSeparator" w:id="0">
    <w:p w14:paraId="0DA69E04" w14:textId="77777777" w:rsidR="00EE692A" w:rsidRDefault="00EE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BD5F9" w14:textId="294B165D"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9071D">
      <w:rPr>
        <w:rStyle w:val="Puslapionumeris"/>
        <w:noProof/>
      </w:rPr>
      <w:t>4</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74F0AF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1A816B09"/>
    <w:multiLevelType w:val="hybridMultilevel"/>
    <w:tmpl w:val="8FBEE17A"/>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FC36759"/>
    <w:multiLevelType w:val="hybridMultilevel"/>
    <w:tmpl w:val="9C248934"/>
    <w:lvl w:ilvl="0" w:tplc="BBD2222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88503840">
    <w:abstractNumId w:val="7"/>
  </w:num>
  <w:num w:numId="2" w16cid:durableId="530337886">
    <w:abstractNumId w:val="1"/>
  </w:num>
  <w:num w:numId="3" w16cid:durableId="1569340351">
    <w:abstractNumId w:val="9"/>
  </w:num>
  <w:num w:numId="4" w16cid:durableId="1929271201">
    <w:abstractNumId w:val="8"/>
  </w:num>
  <w:num w:numId="5" w16cid:durableId="431704326">
    <w:abstractNumId w:val="6"/>
  </w:num>
  <w:num w:numId="6" w16cid:durableId="931476360">
    <w:abstractNumId w:val="5"/>
  </w:num>
  <w:num w:numId="7" w16cid:durableId="1901285304">
    <w:abstractNumId w:val="3"/>
  </w:num>
  <w:num w:numId="8" w16cid:durableId="300235326">
    <w:abstractNumId w:val="13"/>
  </w:num>
  <w:num w:numId="9" w16cid:durableId="881212205">
    <w:abstractNumId w:val="0"/>
  </w:num>
  <w:num w:numId="10" w16cid:durableId="1312101403">
    <w:abstractNumId w:val="10"/>
  </w:num>
  <w:num w:numId="11" w16cid:durableId="1513881636">
    <w:abstractNumId w:val="11"/>
  </w:num>
  <w:num w:numId="12" w16cid:durableId="497186416">
    <w:abstractNumId w:val="2"/>
  </w:num>
  <w:num w:numId="13" w16cid:durableId="453523321">
    <w:abstractNumId w:val="4"/>
  </w:num>
  <w:num w:numId="14" w16cid:durableId="20842541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3F5B"/>
    <w:rsid w:val="000114DD"/>
    <w:rsid w:val="0001172C"/>
    <w:rsid w:val="000136F7"/>
    <w:rsid w:val="0002686C"/>
    <w:rsid w:val="00031D0E"/>
    <w:rsid w:val="000337E6"/>
    <w:rsid w:val="0003402E"/>
    <w:rsid w:val="00034EAE"/>
    <w:rsid w:val="0005350A"/>
    <w:rsid w:val="000606BE"/>
    <w:rsid w:val="000736B8"/>
    <w:rsid w:val="0008190F"/>
    <w:rsid w:val="00081D9C"/>
    <w:rsid w:val="00082907"/>
    <w:rsid w:val="0008378D"/>
    <w:rsid w:val="000908A5"/>
    <w:rsid w:val="00092805"/>
    <w:rsid w:val="000C454C"/>
    <w:rsid w:val="000D5038"/>
    <w:rsid w:val="000E29D4"/>
    <w:rsid w:val="000F3540"/>
    <w:rsid w:val="000F4816"/>
    <w:rsid w:val="00100491"/>
    <w:rsid w:val="00104E2E"/>
    <w:rsid w:val="00107287"/>
    <w:rsid w:val="00111321"/>
    <w:rsid w:val="00115A72"/>
    <w:rsid w:val="00117406"/>
    <w:rsid w:val="00121EF0"/>
    <w:rsid w:val="00124A9E"/>
    <w:rsid w:val="00130703"/>
    <w:rsid w:val="0013153F"/>
    <w:rsid w:val="001408B8"/>
    <w:rsid w:val="001521D9"/>
    <w:rsid w:val="001554E2"/>
    <w:rsid w:val="00164146"/>
    <w:rsid w:val="00173130"/>
    <w:rsid w:val="0017369C"/>
    <w:rsid w:val="00180C39"/>
    <w:rsid w:val="00180D96"/>
    <w:rsid w:val="00190568"/>
    <w:rsid w:val="001921F3"/>
    <w:rsid w:val="001A3398"/>
    <w:rsid w:val="001B1775"/>
    <w:rsid w:val="001B3C5B"/>
    <w:rsid w:val="001D35D0"/>
    <w:rsid w:val="001E4BBB"/>
    <w:rsid w:val="001E6304"/>
    <w:rsid w:val="001E79AC"/>
    <w:rsid w:val="0020381E"/>
    <w:rsid w:val="00213471"/>
    <w:rsid w:val="00215906"/>
    <w:rsid w:val="00251524"/>
    <w:rsid w:val="00253CF8"/>
    <w:rsid w:val="0025697F"/>
    <w:rsid w:val="00260258"/>
    <w:rsid w:val="00272428"/>
    <w:rsid w:val="00272948"/>
    <w:rsid w:val="00293CA1"/>
    <w:rsid w:val="002946C7"/>
    <w:rsid w:val="002A12FA"/>
    <w:rsid w:val="002B3CC1"/>
    <w:rsid w:val="002C09E0"/>
    <w:rsid w:val="002C3A10"/>
    <w:rsid w:val="002C4A90"/>
    <w:rsid w:val="002C6AB5"/>
    <w:rsid w:val="002D02EF"/>
    <w:rsid w:val="002E0702"/>
    <w:rsid w:val="002E6B33"/>
    <w:rsid w:val="002E6F80"/>
    <w:rsid w:val="002F0E4F"/>
    <w:rsid w:val="002F1053"/>
    <w:rsid w:val="002F28AD"/>
    <w:rsid w:val="00302F17"/>
    <w:rsid w:val="00317B0E"/>
    <w:rsid w:val="00347FAA"/>
    <w:rsid w:val="0035172D"/>
    <w:rsid w:val="0036187D"/>
    <w:rsid w:val="00381024"/>
    <w:rsid w:val="00386307"/>
    <w:rsid w:val="003874DE"/>
    <w:rsid w:val="00393E9F"/>
    <w:rsid w:val="0039696E"/>
    <w:rsid w:val="003A67F5"/>
    <w:rsid w:val="003B211A"/>
    <w:rsid w:val="003C141F"/>
    <w:rsid w:val="003C6B0E"/>
    <w:rsid w:val="003C7257"/>
    <w:rsid w:val="003C7E35"/>
    <w:rsid w:val="003E39CA"/>
    <w:rsid w:val="00404E8A"/>
    <w:rsid w:val="0040622F"/>
    <w:rsid w:val="00423160"/>
    <w:rsid w:val="00423E56"/>
    <w:rsid w:val="00453862"/>
    <w:rsid w:val="00461338"/>
    <w:rsid w:val="004677DB"/>
    <w:rsid w:val="0048630F"/>
    <w:rsid w:val="004947A1"/>
    <w:rsid w:val="0049482A"/>
    <w:rsid w:val="004979D3"/>
    <w:rsid w:val="004A00E7"/>
    <w:rsid w:val="004A3A61"/>
    <w:rsid w:val="004B59BA"/>
    <w:rsid w:val="004C263A"/>
    <w:rsid w:val="004D7B8F"/>
    <w:rsid w:val="004E6458"/>
    <w:rsid w:val="004E6E7D"/>
    <w:rsid w:val="004F1AAC"/>
    <w:rsid w:val="004F1AE2"/>
    <w:rsid w:val="004F34F0"/>
    <w:rsid w:val="005005EF"/>
    <w:rsid w:val="005170AF"/>
    <w:rsid w:val="00534E11"/>
    <w:rsid w:val="005400D9"/>
    <w:rsid w:val="005476A4"/>
    <w:rsid w:val="0055019B"/>
    <w:rsid w:val="00556E63"/>
    <w:rsid w:val="005601A4"/>
    <w:rsid w:val="00566DBB"/>
    <w:rsid w:val="005872C6"/>
    <w:rsid w:val="00592048"/>
    <w:rsid w:val="005976CE"/>
    <w:rsid w:val="005A23D4"/>
    <w:rsid w:val="005A2D1E"/>
    <w:rsid w:val="005C493F"/>
    <w:rsid w:val="005C6BF7"/>
    <w:rsid w:val="005C71BF"/>
    <w:rsid w:val="005D002C"/>
    <w:rsid w:val="005D30E1"/>
    <w:rsid w:val="005D6555"/>
    <w:rsid w:val="005D7BDF"/>
    <w:rsid w:val="005F71D9"/>
    <w:rsid w:val="005F7602"/>
    <w:rsid w:val="00613501"/>
    <w:rsid w:val="006166A8"/>
    <w:rsid w:val="006174A1"/>
    <w:rsid w:val="00633B49"/>
    <w:rsid w:val="0064297F"/>
    <w:rsid w:val="00646CF3"/>
    <w:rsid w:val="00662983"/>
    <w:rsid w:val="006834D3"/>
    <w:rsid w:val="0069071D"/>
    <w:rsid w:val="00692625"/>
    <w:rsid w:val="00695CD3"/>
    <w:rsid w:val="006A38B6"/>
    <w:rsid w:val="006B1987"/>
    <w:rsid w:val="006B5B71"/>
    <w:rsid w:val="006B6CB0"/>
    <w:rsid w:val="006C2B64"/>
    <w:rsid w:val="006D2E0E"/>
    <w:rsid w:val="006D4C85"/>
    <w:rsid w:val="006E33F6"/>
    <w:rsid w:val="006F1251"/>
    <w:rsid w:val="006F1C23"/>
    <w:rsid w:val="006F4B24"/>
    <w:rsid w:val="00703166"/>
    <w:rsid w:val="007127F3"/>
    <w:rsid w:val="007301CF"/>
    <w:rsid w:val="007316FB"/>
    <w:rsid w:val="00737E2D"/>
    <w:rsid w:val="007424D5"/>
    <w:rsid w:val="00746493"/>
    <w:rsid w:val="007523DD"/>
    <w:rsid w:val="00757B7E"/>
    <w:rsid w:val="00795DC5"/>
    <w:rsid w:val="00797153"/>
    <w:rsid w:val="007B0DDA"/>
    <w:rsid w:val="007C2A7E"/>
    <w:rsid w:val="007E5466"/>
    <w:rsid w:val="007F1949"/>
    <w:rsid w:val="00817A84"/>
    <w:rsid w:val="008225A4"/>
    <w:rsid w:val="00824E49"/>
    <w:rsid w:val="00826658"/>
    <w:rsid w:val="00826D5E"/>
    <w:rsid w:val="00832013"/>
    <w:rsid w:val="0083313A"/>
    <w:rsid w:val="00834732"/>
    <w:rsid w:val="0085200C"/>
    <w:rsid w:val="00857C52"/>
    <w:rsid w:val="00880A44"/>
    <w:rsid w:val="0088345E"/>
    <w:rsid w:val="0088656F"/>
    <w:rsid w:val="008A0303"/>
    <w:rsid w:val="008A5FDD"/>
    <w:rsid w:val="008C3947"/>
    <w:rsid w:val="008E7329"/>
    <w:rsid w:val="008F2ED5"/>
    <w:rsid w:val="009214EE"/>
    <w:rsid w:val="0092297E"/>
    <w:rsid w:val="009341BF"/>
    <w:rsid w:val="00935783"/>
    <w:rsid w:val="00937907"/>
    <w:rsid w:val="00941739"/>
    <w:rsid w:val="00945082"/>
    <w:rsid w:val="00945C87"/>
    <w:rsid w:val="00951573"/>
    <w:rsid w:val="00963003"/>
    <w:rsid w:val="0096681A"/>
    <w:rsid w:val="00983471"/>
    <w:rsid w:val="00985EDA"/>
    <w:rsid w:val="009909AB"/>
    <w:rsid w:val="00991F33"/>
    <w:rsid w:val="00993740"/>
    <w:rsid w:val="009B37DB"/>
    <w:rsid w:val="009C7A8C"/>
    <w:rsid w:val="009D23F9"/>
    <w:rsid w:val="009D4FA8"/>
    <w:rsid w:val="009E0055"/>
    <w:rsid w:val="009E6CD6"/>
    <w:rsid w:val="00A00C3C"/>
    <w:rsid w:val="00A01091"/>
    <w:rsid w:val="00A06DBB"/>
    <w:rsid w:val="00A31E86"/>
    <w:rsid w:val="00A54D87"/>
    <w:rsid w:val="00A5553C"/>
    <w:rsid w:val="00A81785"/>
    <w:rsid w:val="00A84803"/>
    <w:rsid w:val="00A84C51"/>
    <w:rsid w:val="00A86F2B"/>
    <w:rsid w:val="00A90921"/>
    <w:rsid w:val="00A91366"/>
    <w:rsid w:val="00A93AA6"/>
    <w:rsid w:val="00AA4E48"/>
    <w:rsid w:val="00AA6202"/>
    <w:rsid w:val="00AC4A99"/>
    <w:rsid w:val="00AC64D2"/>
    <w:rsid w:val="00AD001C"/>
    <w:rsid w:val="00AE0FE8"/>
    <w:rsid w:val="00AF60D5"/>
    <w:rsid w:val="00B04415"/>
    <w:rsid w:val="00B11D60"/>
    <w:rsid w:val="00B13D65"/>
    <w:rsid w:val="00B37245"/>
    <w:rsid w:val="00B4017A"/>
    <w:rsid w:val="00B4468D"/>
    <w:rsid w:val="00B54EF4"/>
    <w:rsid w:val="00B71C72"/>
    <w:rsid w:val="00B81E92"/>
    <w:rsid w:val="00B93B30"/>
    <w:rsid w:val="00B94CB5"/>
    <w:rsid w:val="00BA0DD9"/>
    <w:rsid w:val="00BB6312"/>
    <w:rsid w:val="00BC4D06"/>
    <w:rsid w:val="00BD585E"/>
    <w:rsid w:val="00BF2E0D"/>
    <w:rsid w:val="00BF3F8B"/>
    <w:rsid w:val="00BF76DA"/>
    <w:rsid w:val="00C07C7B"/>
    <w:rsid w:val="00C24479"/>
    <w:rsid w:val="00C37B53"/>
    <w:rsid w:val="00C517D2"/>
    <w:rsid w:val="00C62B36"/>
    <w:rsid w:val="00C7012C"/>
    <w:rsid w:val="00CC668D"/>
    <w:rsid w:val="00CC7832"/>
    <w:rsid w:val="00CF0C1C"/>
    <w:rsid w:val="00D022D7"/>
    <w:rsid w:val="00D23808"/>
    <w:rsid w:val="00D3016A"/>
    <w:rsid w:val="00D42960"/>
    <w:rsid w:val="00D43BD7"/>
    <w:rsid w:val="00D4485B"/>
    <w:rsid w:val="00D4708D"/>
    <w:rsid w:val="00D4744C"/>
    <w:rsid w:val="00D63068"/>
    <w:rsid w:val="00D642F4"/>
    <w:rsid w:val="00D6498C"/>
    <w:rsid w:val="00D76CF7"/>
    <w:rsid w:val="00D8521E"/>
    <w:rsid w:val="00D9291C"/>
    <w:rsid w:val="00D93A97"/>
    <w:rsid w:val="00DB1F64"/>
    <w:rsid w:val="00DC2F53"/>
    <w:rsid w:val="00DC6816"/>
    <w:rsid w:val="00DC76C2"/>
    <w:rsid w:val="00DD1CF2"/>
    <w:rsid w:val="00DF41B7"/>
    <w:rsid w:val="00DF4A4A"/>
    <w:rsid w:val="00DF583C"/>
    <w:rsid w:val="00E03C3F"/>
    <w:rsid w:val="00E15D3F"/>
    <w:rsid w:val="00E24D45"/>
    <w:rsid w:val="00E33DB8"/>
    <w:rsid w:val="00E34387"/>
    <w:rsid w:val="00E369FE"/>
    <w:rsid w:val="00E37C6F"/>
    <w:rsid w:val="00E43A51"/>
    <w:rsid w:val="00E475F8"/>
    <w:rsid w:val="00E5102E"/>
    <w:rsid w:val="00E5721C"/>
    <w:rsid w:val="00E619C6"/>
    <w:rsid w:val="00E745A1"/>
    <w:rsid w:val="00E81529"/>
    <w:rsid w:val="00E83A13"/>
    <w:rsid w:val="00E90575"/>
    <w:rsid w:val="00EB23C8"/>
    <w:rsid w:val="00EC2356"/>
    <w:rsid w:val="00EC2582"/>
    <w:rsid w:val="00EC337C"/>
    <w:rsid w:val="00ED0CFF"/>
    <w:rsid w:val="00ED31D2"/>
    <w:rsid w:val="00EE0EAC"/>
    <w:rsid w:val="00EE33CB"/>
    <w:rsid w:val="00EE692A"/>
    <w:rsid w:val="00EF646E"/>
    <w:rsid w:val="00F0061A"/>
    <w:rsid w:val="00F02834"/>
    <w:rsid w:val="00F07CD7"/>
    <w:rsid w:val="00F127E9"/>
    <w:rsid w:val="00F36972"/>
    <w:rsid w:val="00F42426"/>
    <w:rsid w:val="00F456BC"/>
    <w:rsid w:val="00F50666"/>
    <w:rsid w:val="00F51E8E"/>
    <w:rsid w:val="00F60985"/>
    <w:rsid w:val="00F70C9E"/>
    <w:rsid w:val="00F74A74"/>
    <w:rsid w:val="00F8382C"/>
    <w:rsid w:val="00F855D7"/>
    <w:rsid w:val="00F92035"/>
    <w:rsid w:val="00F92748"/>
    <w:rsid w:val="00F953C7"/>
    <w:rsid w:val="00FA12A1"/>
    <w:rsid w:val="00FA4169"/>
    <w:rsid w:val="00FB0D41"/>
    <w:rsid w:val="00FB2030"/>
    <w:rsid w:val="00FD1CF2"/>
    <w:rsid w:val="00FD3EDF"/>
    <w:rsid w:val="00FD793C"/>
    <w:rsid w:val="00FE20E6"/>
    <w:rsid w:val="00FE3E3B"/>
    <w:rsid w:val="00FF403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C7012C"/>
    <w:rPr>
      <w:sz w:val="16"/>
      <w:szCs w:val="16"/>
    </w:rPr>
  </w:style>
  <w:style w:type="paragraph" w:styleId="Komentarotekstas">
    <w:name w:val="annotation text"/>
    <w:basedOn w:val="prastasis"/>
    <w:link w:val="KomentarotekstasDiagrama"/>
    <w:uiPriority w:val="99"/>
    <w:unhideWhenUsed/>
    <w:rsid w:val="00C7012C"/>
    <w:rPr>
      <w:sz w:val="20"/>
      <w:szCs w:val="20"/>
    </w:rPr>
  </w:style>
  <w:style w:type="character" w:customStyle="1" w:styleId="KomentarotekstasDiagrama">
    <w:name w:val="Komentaro tekstas Diagrama"/>
    <w:basedOn w:val="Numatytasispastraiposriftas"/>
    <w:link w:val="Komentarotekstas"/>
    <w:uiPriority w:val="99"/>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 List,Bullet1,Use Case List Paragraph,List Paragraph1,Body Bullet,Table Number Paragraph,Colorful List - Accent 11,List Paragraph 1,Ref,B1,Figure_name,bu1,bu1 + Before:  0 pt,After:  6 pt,Bullet for no #'s,Paragraph,lp1,Heading"/>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character" w:customStyle="1" w:styleId="SraopastraipaDiagrama">
    <w:name w:val="Sąrašo pastraipa Diagrama"/>
    <w:aliases w:val="Bullet List Diagrama,Bullet1 Diagrama,Use Case List Paragraph Diagrama,List Paragraph1 Diagrama,Body Bullet Diagrama,Table Number Paragraph Diagrama,Colorful List - Accent 11 Diagrama,List Paragraph 1 Diagrama,Ref Diagrama"/>
    <w:basedOn w:val="Numatytasispastraiposriftas"/>
    <w:link w:val="Sraopastraipa"/>
    <w:uiPriority w:val="34"/>
    <w:qFormat/>
    <w:rsid w:val="00253CF8"/>
    <w:rPr>
      <w:sz w:val="24"/>
      <w:szCs w:val="24"/>
      <w:lang w:eastAsia="en-US"/>
    </w:rPr>
  </w:style>
  <w:style w:type="character" w:customStyle="1" w:styleId="ui-provider">
    <w:name w:val="ui-provider"/>
    <w:basedOn w:val="Numatytasispastraiposriftas"/>
    <w:rsid w:val="00253CF8"/>
  </w:style>
  <w:style w:type="paragraph" w:customStyle="1" w:styleId="TableParagraph">
    <w:name w:val="Table Paragraph"/>
    <w:basedOn w:val="prastasis"/>
    <w:uiPriority w:val="1"/>
    <w:qFormat/>
    <w:rsid w:val="00AD001C"/>
    <w:pPr>
      <w:widowControl w:val="0"/>
      <w:autoSpaceDE w:val="0"/>
      <w:autoSpaceDN w:val="0"/>
      <w:ind w:left="107"/>
    </w:pPr>
    <w:rPr>
      <w:sz w:val="22"/>
      <w:szCs w:val="22"/>
      <w:lang w:val="en-GB" w:eastAsia="en-GB" w:bidi="en-GB"/>
    </w:rPr>
  </w:style>
  <w:style w:type="table" w:customStyle="1" w:styleId="TableGrid1">
    <w:name w:val="Table Grid1"/>
    <w:basedOn w:val="prastojilentel"/>
    <w:next w:val="Lentelstinklelis"/>
    <w:uiPriority w:val="39"/>
    <w:rsid w:val="00FA12A1"/>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A1DCC42A2974C359888226B925C8FF8"/>
        <w:category>
          <w:name w:val="Bendrosios nuostatos"/>
          <w:gallery w:val="placeholder"/>
        </w:category>
        <w:types>
          <w:type w:val="bbPlcHdr"/>
        </w:types>
        <w:behaviors>
          <w:behavior w:val="content"/>
        </w:behaviors>
        <w:guid w:val="{DA594F7C-085F-4470-BFBE-73CE12F450B6}"/>
      </w:docPartPr>
      <w:docPartBody>
        <w:p w:rsidR="00E44A86" w:rsidRDefault="005E40DD" w:rsidP="005E40DD">
          <w:pPr>
            <w:pStyle w:val="0A1DCC42A2974C359888226B925C8FF8"/>
          </w:pPr>
          <w:r>
            <w:rPr>
              <w:rStyle w:val="Vietosrezervavimoenklotekstas"/>
            </w:rPr>
            <w:t>Click here to enter a date.</w:t>
          </w:r>
        </w:p>
      </w:docPartBody>
    </w:docPart>
    <w:docPart>
      <w:docPartPr>
        <w:name w:val="A40A3956F5A644CE88AA307438FE6A8F"/>
        <w:category>
          <w:name w:val="General"/>
          <w:gallery w:val="placeholder"/>
        </w:category>
        <w:types>
          <w:type w:val="bbPlcHdr"/>
        </w:types>
        <w:behaviors>
          <w:behavior w:val="content"/>
        </w:behaviors>
        <w:guid w:val="{E2A75972-C637-4A43-BA3D-C2A8BC1E9E22}"/>
      </w:docPartPr>
      <w:docPartBody>
        <w:p w:rsidR="00DE19AF" w:rsidRDefault="002B7760" w:rsidP="002B7760">
          <w:pPr>
            <w:pStyle w:val="A40A3956F5A644CE88AA307438FE6A8F"/>
          </w:pPr>
          <w:r>
            <w:rPr>
              <w:rStyle w:val="Vietosrezervavimoenklotekstas"/>
            </w:rPr>
            <w:t>Click here to enter a date.</w:t>
          </w:r>
        </w:p>
      </w:docPartBody>
    </w:docPart>
    <w:docPart>
      <w:docPartPr>
        <w:name w:val="83FD26A5AB37409EB59A04E04A479C77"/>
        <w:category>
          <w:name w:val="General"/>
          <w:gallery w:val="placeholder"/>
        </w:category>
        <w:types>
          <w:type w:val="bbPlcHdr"/>
        </w:types>
        <w:behaviors>
          <w:behavior w:val="content"/>
        </w:behaviors>
        <w:guid w:val="{12EF58F8-8806-4551-9F8F-667BAC46D1C1}"/>
      </w:docPartPr>
      <w:docPartBody>
        <w:p w:rsidR="00DE19AF" w:rsidRDefault="002B7760" w:rsidP="002B7760">
          <w:pPr>
            <w:pStyle w:val="83FD26A5AB37409EB59A04E04A479C77"/>
          </w:pPr>
          <w:r>
            <w:rPr>
              <w:rStyle w:val="Vietosrezervavimoenklotekstas"/>
            </w:rPr>
            <w:t>Click here to enter a date.</w:t>
          </w:r>
        </w:p>
      </w:docPartBody>
    </w:docPart>
    <w:docPart>
      <w:docPartPr>
        <w:name w:val="BC7DB06F1C2948D1889C539F4CBBBE8B"/>
        <w:category>
          <w:name w:val="General"/>
          <w:gallery w:val="placeholder"/>
        </w:category>
        <w:types>
          <w:type w:val="bbPlcHdr"/>
        </w:types>
        <w:behaviors>
          <w:behavior w:val="content"/>
        </w:behaviors>
        <w:guid w:val="{9E85CA71-5B64-4623-B801-5C4A4CE84E2F}"/>
      </w:docPartPr>
      <w:docPartBody>
        <w:p w:rsidR="00C53C0A" w:rsidRDefault="00F361C5" w:rsidP="00F361C5">
          <w:pPr>
            <w:pStyle w:val="BC7DB06F1C2948D1889C539F4CBBBE8B"/>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charset w:val="00"/>
    <w:family w:val="roman"/>
    <w:pitch w:val="variable"/>
    <w:sig w:usb0="E0002AE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937FE"/>
    <w:rsid w:val="000A559A"/>
    <w:rsid w:val="000C2747"/>
    <w:rsid w:val="001B1775"/>
    <w:rsid w:val="002632E8"/>
    <w:rsid w:val="002B7760"/>
    <w:rsid w:val="003A4F47"/>
    <w:rsid w:val="004144A3"/>
    <w:rsid w:val="004160E7"/>
    <w:rsid w:val="004C0D36"/>
    <w:rsid w:val="005074B9"/>
    <w:rsid w:val="005E40DD"/>
    <w:rsid w:val="00624024"/>
    <w:rsid w:val="007C6D1D"/>
    <w:rsid w:val="007E676B"/>
    <w:rsid w:val="00826658"/>
    <w:rsid w:val="009B3BF0"/>
    <w:rsid w:val="009C46D9"/>
    <w:rsid w:val="009D5E5E"/>
    <w:rsid w:val="00A43AF6"/>
    <w:rsid w:val="00B23DC0"/>
    <w:rsid w:val="00B972C2"/>
    <w:rsid w:val="00C53C0A"/>
    <w:rsid w:val="00CB4BD1"/>
    <w:rsid w:val="00CE2DA9"/>
    <w:rsid w:val="00CE44BE"/>
    <w:rsid w:val="00DE19AF"/>
    <w:rsid w:val="00E44A86"/>
    <w:rsid w:val="00EE6487"/>
    <w:rsid w:val="00EF6E0C"/>
    <w:rsid w:val="00F361C5"/>
    <w:rsid w:val="00FE0D46"/>
    <w:rsid w:val="00FE7B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F361C5"/>
    <w:rPr>
      <w:color w:val="808080"/>
    </w:rPr>
  </w:style>
  <w:style w:type="paragraph" w:customStyle="1" w:styleId="0A1DCC42A2974C359888226B925C8FF8">
    <w:name w:val="0A1DCC42A2974C359888226B925C8FF8"/>
    <w:rsid w:val="005E40DD"/>
  </w:style>
  <w:style w:type="paragraph" w:customStyle="1" w:styleId="A40A3956F5A644CE88AA307438FE6A8F">
    <w:name w:val="A40A3956F5A644CE88AA307438FE6A8F"/>
    <w:rsid w:val="002B7760"/>
  </w:style>
  <w:style w:type="paragraph" w:customStyle="1" w:styleId="83FD26A5AB37409EB59A04E04A479C77">
    <w:name w:val="83FD26A5AB37409EB59A04E04A479C77"/>
    <w:rsid w:val="002B7760"/>
  </w:style>
  <w:style w:type="paragraph" w:customStyle="1" w:styleId="BC7DB06F1C2948D1889C539F4CBBBE8B">
    <w:name w:val="BC7DB06F1C2948D1889C539F4CBBBE8B"/>
    <w:rsid w:val="00F361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11244</Words>
  <Characters>6410</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17619</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2024-08-30T07:57:00Z</dcterms:created>
  <dcterms:modified xsi:type="dcterms:W3CDTF">2024-09-06T12:45:00Z</dcterms:modified>
</cp:coreProperties>
</file>