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E5EB3" w14:textId="1955ADE3" w:rsidR="005F7602" w:rsidRDefault="005F7602" w:rsidP="002946C7">
      <w:pPr>
        <w:ind w:left="5529"/>
      </w:pPr>
    </w:p>
    <w:p w14:paraId="12FA4B9E" w14:textId="77777777" w:rsidR="001B3C5B" w:rsidRPr="00E33EFF" w:rsidRDefault="001B3C5B" w:rsidP="001B3C5B">
      <w:pPr>
        <w:ind w:left="6096"/>
      </w:pPr>
      <w:r w:rsidRPr="00E33EFF">
        <w:t>Forma patvirtinta</w:t>
      </w:r>
    </w:p>
    <w:p w14:paraId="7206970B" w14:textId="70E9BD2E" w:rsidR="004C263A" w:rsidRPr="00E33EFF" w:rsidRDefault="001B3C5B" w:rsidP="001B3C5B">
      <w:pPr>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5B219AA6" w14:textId="520B9136" w:rsidR="001B3C5B" w:rsidRPr="00E33EFF" w:rsidRDefault="004C263A" w:rsidP="001B3C5B">
      <w:pPr>
        <w:ind w:left="6096"/>
      </w:pPr>
      <w:r w:rsidRPr="00E33EFF">
        <w:t>(Valstybinės vaistų kontrolės tarnybos prie Lietuvos Respublikos sveikatos apsaugos ministerijos viršininko 2022 m.                         d. įsakymo Nr.                    redakcija)</w:t>
      </w:r>
    </w:p>
    <w:p w14:paraId="3336BD74" w14:textId="77777777" w:rsidR="001B3C5B" w:rsidRPr="00E33EFF" w:rsidRDefault="001B3C5B" w:rsidP="00FA4169"/>
    <w:p w14:paraId="77AFB67E" w14:textId="16397257" w:rsidR="00613501" w:rsidRPr="00E33EFF" w:rsidRDefault="002F0E4F" w:rsidP="003B211A">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34E4395D" w14:textId="15FB10DF" w:rsidR="00B13D65" w:rsidRPr="00E33EFF" w:rsidRDefault="00B13D65" w:rsidP="003B211A">
      <w:pPr>
        <w:jc w:val="center"/>
        <w:rPr>
          <w:b/>
        </w:rPr>
      </w:pPr>
    </w:p>
    <w:p w14:paraId="5DB4D31E" w14:textId="77777777" w:rsidR="007C1B90" w:rsidRDefault="007C1B90" w:rsidP="007C1B90">
      <w:pPr>
        <w:spacing w:line="280" w:lineRule="atLeast"/>
        <w:jc w:val="center"/>
        <w:rPr>
          <w:b/>
          <w:color w:val="000000" w:themeColor="text1"/>
        </w:rPr>
      </w:pPr>
      <w:r w:rsidRPr="0035383E">
        <w:rPr>
          <w:b/>
          <w:color w:val="000000" w:themeColor="text1"/>
        </w:rPr>
        <w:t xml:space="preserve">Omvoh, 100 mg injekcinis tirpalas užpildytame švirkštiklyje </w:t>
      </w:r>
    </w:p>
    <w:p w14:paraId="7D140521" w14:textId="77777777" w:rsidR="007C1B90" w:rsidRPr="0035383E" w:rsidRDefault="007C1B90" w:rsidP="007C1B90">
      <w:pPr>
        <w:spacing w:line="280" w:lineRule="atLeast"/>
        <w:jc w:val="center"/>
        <w:rPr>
          <w:b/>
          <w:color w:val="000000" w:themeColor="text1"/>
        </w:rPr>
      </w:pPr>
      <w:r w:rsidRPr="0035383E">
        <w:rPr>
          <w:b/>
          <w:color w:val="000000" w:themeColor="text1"/>
        </w:rPr>
        <w:t>300 mg koncentratas infuziniam tirpalui</w:t>
      </w:r>
    </w:p>
    <w:p w14:paraId="0415BE06" w14:textId="77777777" w:rsidR="007C1B90" w:rsidRPr="0035383E" w:rsidRDefault="007C1B90" w:rsidP="007C1B90">
      <w:pPr>
        <w:spacing w:line="280" w:lineRule="atLeast"/>
        <w:jc w:val="center"/>
        <w:rPr>
          <w:color w:val="000000" w:themeColor="text1"/>
        </w:rPr>
      </w:pPr>
    </w:p>
    <w:p w14:paraId="5127A98C" w14:textId="77777777" w:rsidR="007C1B90" w:rsidRPr="0035383E" w:rsidRDefault="007C1B90" w:rsidP="007C1B90">
      <w:pPr>
        <w:spacing w:line="280" w:lineRule="atLeast"/>
        <w:jc w:val="center"/>
        <w:rPr>
          <w:color w:val="000000" w:themeColor="text1"/>
        </w:rPr>
      </w:pPr>
      <w:r w:rsidRPr="0035383E">
        <w:rPr>
          <w:color w:val="000000" w:themeColor="text1"/>
        </w:rPr>
        <w:t>(</w:t>
      </w:r>
      <w:r w:rsidRPr="0035383E">
        <w:rPr>
          <w:b/>
          <w:color w:val="000000" w:themeColor="text1"/>
        </w:rPr>
        <w:t>Mirikizumabum</w:t>
      </w:r>
      <w:r w:rsidRPr="0035383E">
        <w:rPr>
          <w:color w:val="000000" w:themeColor="text1"/>
        </w:rPr>
        <w:t>)</w:t>
      </w:r>
    </w:p>
    <w:p w14:paraId="79A030A1" w14:textId="77777777" w:rsidR="007C1B90" w:rsidRPr="0035383E" w:rsidRDefault="007C1B90" w:rsidP="007C1B90">
      <w:pPr>
        <w:spacing w:line="280" w:lineRule="atLeast"/>
        <w:jc w:val="center"/>
        <w:rPr>
          <w:color w:val="000000" w:themeColor="text1"/>
        </w:rPr>
      </w:pPr>
    </w:p>
    <w:p w14:paraId="1176895A" w14:textId="7DC1FF55" w:rsidR="007C1B90" w:rsidRPr="0035383E" w:rsidRDefault="007C1B90" w:rsidP="007C1B90">
      <w:pPr>
        <w:spacing w:line="280" w:lineRule="atLeast"/>
        <w:jc w:val="center"/>
        <w:rPr>
          <w:b/>
          <w:color w:val="000000" w:themeColor="text1"/>
        </w:rPr>
      </w:pPr>
      <w:r w:rsidRPr="00E33EFF">
        <w:rPr>
          <w:b/>
        </w:rPr>
        <w:t>Paraiškos numeris</w:t>
      </w:r>
      <w:r w:rsidRPr="00943E06">
        <w:rPr>
          <w:b/>
        </w:rPr>
        <w:t xml:space="preserve"> </w:t>
      </w:r>
      <w:r w:rsidRPr="0035383E">
        <w:rPr>
          <w:b/>
          <w:color w:val="000000" w:themeColor="text1"/>
        </w:rPr>
        <w:t>STV - 162</w:t>
      </w:r>
    </w:p>
    <w:p w14:paraId="7245D69E" w14:textId="77777777" w:rsidR="00937907" w:rsidRPr="00E33EFF" w:rsidRDefault="00937907" w:rsidP="00937907">
      <w:pPr>
        <w:jc w:val="center"/>
      </w:pPr>
    </w:p>
    <w:p w14:paraId="453197C8" w14:textId="77777777" w:rsidR="00D4708D" w:rsidRPr="00E33EFF" w:rsidRDefault="00D4708D" w:rsidP="003B211A">
      <w:pPr>
        <w:jc w:val="center"/>
        <w:rPr>
          <w:b/>
        </w:rPr>
      </w:pPr>
    </w:p>
    <w:p w14:paraId="78C89D1C" w14:textId="0DEFFAA5" w:rsidR="00D4485B" w:rsidRPr="00E33EFF" w:rsidRDefault="00B13D65" w:rsidP="00CC09D4">
      <w:pPr>
        <w:pStyle w:val="ListParagraph"/>
        <w:numPr>
          <w:ilvl w:val="0"/>
          <w:numId w:val="12"/>
        </w:numPr>
        <w:tabs>
          <w:tab w:val="left" w:pos="567"/>
        </w:tabs>
        <w:ind w:left="567" w:hanging="567"/>
        <w:rPr>
          <w:b/>
          <w:bCs/>
          <w:caps/>
        </w:rPr>
      </w:pPr>
      <w:r w:rsidRPr="00E33EFF">
        <w:rPr>
          <w:b/>
          <w:bCs/>
          <w:caps/>
        </w:rPr>
        <w:t>Bendroji dalis</w:t>
      </w:r>
    </w:p>
    <w:p w14:paraId="04A7C7A7" w14:textId="77777777" w:rsidR="00B13D65" w:rsidRPr="00E33EFF" w:rsidRDefault="00B13D65" w:rsidP="00E03C3F">
      <w:pPr>
        <w:pStyle w:val="ListParagraph"/>
        <w:tabs>
          <w:tab w:val="left" w:pos="284"/>
        </w:tabs>
        <w:ind w:left="0"/>
        <w:rPr>
          <w:b/>
          <w:bCs/>
          <w:caps/>
        </w:rPr>
      </w:pPr>
    </w:p>
    <w:tbl>
      <w:tblPr>
        <w:tblStyle w:val="TableGrid"/>
        <w:tblW w:w="9493" w:type="dxa"/>
        <w:tblLook w:val="04A0" w:firstRow="1" w:lastRow="0" w:firstColumn="1" w:lastColumn="0" w:noHBand="0" w:noVBand="1"/>
      </w:tblPr>
      <w:tblGrid>
        <w:gridCol w:w="632"/>
        <w:gridCol w:w="3694"/>
        <w:gridCol w:w="5167"/>
      </w:tblGrid>
      <w:tr w:rsidR="00423D83" w:rsidRPr="00E33EFF" w14:paraId="18A83EC2" w14:textId="77777777" w:rsidTr="00BE7489">
        <w:trPr>
          <w:trHeight w:val="538"/>
        </w:trPr>
        <w:tc>
          <w:tcPr>
            <w:tcW w:w="632" w:type="dxa"/>
          </w:tcPr>
          <w:p w14:paraId="0646FBEA" w14:textId="77777777" w:rsidR="00423D83" w:rsidRPr="00E33EFF" w:rsidRDefault="00423D83" w:rsidP="00423D83">
            <w:pPr>
              <w:rPr>
                <w:rFonts w:eastAsia="Arial"/>
              </w:rPr>
            </w:pPr>
            <w:r w:rsidRPr="00E33EFF">
              <w:rPr>
                <w:rFonts w:eastAsia="Arial"/>
              </w:rPr>
              <w:t>1.1</w:t>
            </w:r>
          </w:p>
        </w:tc>
        <w:tc>
          <w:tcPr>
            <w:tcW w:w="3694" w:type="dxa"/>
          </w:tcPr>
          <w:p w14:paraId="6C3AE864" w14:textId="77777777" w:rsidR="00423D83" w:rsidRPr="00E33EFF" w:rsidRDefault="00423D83" w:rsidP="00423D83">
            <w:pPr>
              <w:rPr>
                <w:rFonts w:eastAsia="Arial"/>
              </w:rPr>
            </w:pPr>
            <w:r w:rsidRPr="00E33EFF">
              <w:rPr>
                <w:rFonts w:eastAsia="Arial"/>
              </w:rPr>
              <w:t>Pareiškėjas</w:t>
            </w:r>
          </w:p>
          <w:p w14:paraId="2AF240DC" w14:textId="77777777" w:rsidR="00423D83" w:rsidRPr="00E33EFF" w:rsidRDefault="00423D83" w:rsidP="00423D83">
            <w:pPr>
              <w:rPr>
                <w:rFonts w:eastAsia="Arial"/>
              </w:rPr>
            </w:pPr>
          </w:p>
        </w:tc>
        <w:tc>
          <w:tcPr>
            <w:tcW w:w="5167" w:type="dxa"/>
          </w:tcPr>
          <w:p w14:paraId="2AAF0D91" w14:textId="442653D0" w:rsidR="00423D83" w:rsidRPr="00E33EFF" w:rsidRDefault="00423D83" w:rsidP="00423D83">
            <w:pPr>
              <w:rPr>
                <w:rFonts w:eastAsia="Arial"/>
              </w:rPr>
            </w:pPr>
            <w:r>
              <w:rPr>
                <w:color w:val="000000" w:themeColor="text1"/>
              </w:rPr>
              <w:t>Eli Lilly Nederland B.V.</w:t>
            </w:r>
          </w:p>
        </w:tc>
      </w:tr>
      <w:tr w:rsidR="00423D83" w:rsidRPr="00E33EFF" w14:paraId="31998B0D" w14:textId="77777777" w:rsidTr="00BE7489">
        <w:trPr>
          <w:trHeight w:val="538"/>
        </w:trPr>
        <w:tc>
          <w:tcPr>
            <w:tcW w:w="632" w:type="dxa"/>
          </w:tcPr>
          <w:p w14:paraId="2005EC67" w14:textId="662300D0" w:rsidR="00423D83" w:rsidRPr="00E33EFF" w:rsidRDefault="00423D83" w:rsidP="00423D83">
            <w:pPr>
              <w:rPr>
                <w:rFonts w:eastAsia="Arial"/>
              </w:rPr>
            </w:pPr>
            <w:r w:rsidRPr="00E33EFF">
              <w:rPr>
                <w:rFonts w:eastAsia="Arial"/>
              </w:rPr>
              <w:t>1.2</w:t>
            </w:r>
          </w:p>
        </w:tc>
        <w:tc>
          <w:tcPr>
            <w:tcW w:w="3694" w:type="dxa"/>
          </w:tcPr>
          <w:p w14:paraId="1E4AE3B1" w14:textId="77777777" w:rsidR="00423D83" w:rsidRPr="00E33EFF" w:rsidRDefault="00423D83" w:rsidP="00423D83">
            <w:pPr>
              <w:rPr>
                <w:bCs/>
                <w:color w:val="000000"/>
                <w:lang w:eastAsia="lt-LT"/>
              </w:rPr>
            </w:pPr>
            <w:r w:rsidRPr="00E33EFF">
              <w:rPr>
                <w:bCs/>
                <w:color w:val="000000"/>
                <w:lang w:eastAsia="lt-LT"/>
              </w:rPr>
              <w:t xml:space="preserve">Registracijos data </w:t>
            </w:r>
          </w:p>
          <w:p w14:paraId="3A0DC096" w14:textId="77777777" w:rsidR="00423D83" w:rsidRPr="00E33EFF" w:rsidRDefault="00423D83" w:rsidP="00423D83">
            <w:pPr>
              <w:rPr>
                <w:bCs/>
                <w:color w:val="000000"/>
                <w:lang w:eastAsia="lt-LT"/>
              </w:rPr>
            </w:pPr>
          </w:p>
        </w:tc>
        <w:tc>
          <w:tcPr>
            <w:tcW w:w="5167" w:type="dxa"/>
          </w:tcPr>
          <w:p w14:paraId="3CA218AD" w14:textId="3FB18082" w:rsidR="00423D83" w:rsidRPr="00E33EFF" w:rsidRDefault="007705EF" w:rsidP="00423D83">
            <w:pPr>
              <w:rPr>
                <w:rStyle w:val="Style2"/>
              </w:rPr>
            </w:pPr>
            <w:sdt>
              <w:sdtPr>
                <w:rPr>
                  <w:color w:val="000000" w:themeColor="text1"/>
                  <w:sz w:val="32"/>
                </w:rPr>
                <w:alias w:val="Nurodykite konkrečią dieną"/>
                <w:tag w:val="Nurodykite pradžios datą"/>
                <w:id w:val="423238108"/>
                <w:placeholder>
                  <w:docPart w:val="A0026BF0EA9C4634A9A55BD35C12EF5C"/>
                </w:placeholder>
                <w15:color w:val="FFCC99"/>
                <w:date w:fullDate="2023-05-26T00:00:00Z">
                  <w:dateFormat w:val="yyyy 'm.' MMMM d 'd.'"/>
                  <w:lid w:val="lt-LT"/>
                  <w:storeMappedDataAs w:val="dateTime"/>
                  <w:calendar w:val="gregorian"/>
                </w:date>
              </w:sdtPr>
              <w:sdtEndPr/>
              <w:sdtContent>
                <w:r w:rsidR="00423D83" w:rsidRPr="0035383E">
                  <w:rPr>
                    <w:color w:val="000000" w:themeColor="text1"/>
                  </w:rPr>
                  <w:t>2023 m. gegužės 26 d.</w:t>
                </w:r>
              </w:sdtContent>
            </w:sdt>
          </w:p>
        </w:tc>
      </w:tr>
      <w:tr w:rsidR="00B13D65" w:rsidRPr="00E33EFF" w14:paraId="15968AE1" w14:textId="77777777" w:rsidTr="00BE7489">
        <w:trPr>
          <w:trHeight w:val="1500"/>
        </w:trPr>
        <w:tc>
          <w:tcPr>
            <w:tcW w:w="632" w:type="dxa"/>
          </w:tcPr>
          <w:p w14:paraId="6A784245" w14:textId="1E461489" w:rsidR="00B13D65" w:rsidRPr="00E33EFF" w:rsidRDefault="002E0702" w:rsidP="00824B92">
            <w:pPr>
              <w:rPr>
                <w:rFonts w:eastAsia="Arial"/>
              </w:rPr>
            </w:pPr>
            <w:r w:rsidRPr="00E33EFF">
              <w:rPr>
                <w:rFonts w:eastAsia="Arial"/>
              </w:rPr>
              <w:t>1.3</w:t>
            </w:r>
          </w:p>
        </w:tc>
        <w:tc>
          <w:tcPr>
            <w:tcW w:w="3694" w:type="dxa"/>
          </w:tcPr>
          <w:p w14:paraId="22933506" w14:textId="77777777" w:rsidR="00B13D65" w:rsidRPr="00E33EFF" w:rsidRDefault="00B13D65" w:rsidP="00824B92">
            <w:r w:rsidRPr="00E33EFF">
              <w:t xml:space="preserve">Paraiškos tipas </w:t>
            </w:r>
          </w:p>
          <w:p w14:paraId="0465E680" w14:textId="7F0A0714" w:rsidR="00B13D65" w:rsidRPr="00E33EFF" w:rsidRDefault="00B13D65" w:rsidP="00824B92">
            <w:r w:rsidRPr="00E33EFF">
              <w:t>(</w:t>
            </w:r>
            <w:r w:rsidR="00695CD3" w:rsidRPr="00E33EFF">
              <w:t xml:space="preserve">pagal </w:t>
            </w:r>
            <w:r w:rsidR="0039696E" w:rsidRPr="00E33EFF">
              <w:rPr>
                <w:color w:val="333333"/>
                <w:shd w:val="clear" w:color="auto" w:fill="FFFFFF"/>
              </w:rPr>
              <w:t>vaistinio preparato registracijos tipą, įtvirtintą</w:t>
            </w:r>
            <w:r w:rsidR="0039696E" w:rsidRPr="00E33EFF">
              <w:t xml:space="preserve"> </w:t>
            </w:r>
            <w:r w:rsidRPr="00E33EFF">
              <w:t>Direktyv</w:t>
            </w:r>
            <w:r w:rsidR="00695CD3" w:rsidRPr="00E33EFF">
              <w:t>os</w:t>
            </w:r>
            <w:r w:rsidRPr="00E33EFF">
              <w:t xml:space="preserve"> 2001/83/EB</w:t>
            </w:r>
            <w:r w:rsidR="00695CD3" w:rsidRPr="00E33EFF">
              <w:t xml:space="preserve"> straips</w:t>
            </w:r>
            <w:r w:rsidR="0039696E" w:rsidRPr="00E33EFF">
              <w:t>iuose</w:t>
            </w:r>
            <w:r w:rsidRPr="00E33EFF">
              <w:t>)</w:t>
            </w:r>
          </w:p>
          <w:p w14:paraId="77089D80" w14:textId="6681D72A" w:rsidR="00B13D65" w:rsidRPr="00E33EFF" w:rsidRDefault="00B13D65" w:rsidP="00824B92">
            <w:pPr>
              <w:rPr>
                <w:bCs/>
                <w:color w:val="000000"/>
                <w:lang w:eastAsia="lt-LT"/>
              </w:rPr>
            </w:pPr>
          </w:p>
        </w:tc>
        <w:tc>
          <w:tcPr>
            <w:tcW w:w="5167" w:type="dxa"/>
          </w:tcPr>
          <w:p w14:paraId="208F40EC" w14:textId="2F4EA9C5" w:rsidR="00B13D65" w:rsidRPr="00E33EFF" w:rsidRDefault="007705EF" w:rsidP="00824B92">
            <w:pPr>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EndPr>
                <w:rPr>
                  <w:rStyle w:val="Style2"/>
                </w:rPr>
              </w:sdtEndPr>
              <w:sdtContent>
                <w:r w:rsidR="003D1877">
                  <w:rPr>
                    <w:rStyle w:val="Style2"/>
                    <w:rFonts w:ascii="MS Gothic" w:eastAsia="MS Gothic" w:hAnsi="MS Gothic" w:hint="eastAsia"/>
                    <w:sz w:val="22"/>
                    <w:szCs w:val="22"/>
                  </w:rPr>
                  <w:t>☒</w:t>
                </w:r>
              </w:sdtContent>
            </w:sdt>
            <w:r w:rsidR="00B13D65" w:rsidRPr="00E33EFF">
              <w:rPr>
                <w:sz w:val="22"/>
                <w:szCs w:val="22"/>
              </w:rPr>
              <w:t xml:space="preserve">8.3 str. (pilna byla, pagrįsta savais tyrimais) </w:t>
            </w:r>
          </w:p>
          <w:p w14:paraId="32BA564E" w14:textId="3FDA3E01" w:rsidR="00B13D65" w:rsidRPr="00E33EFF" w:rsidRDefault="007705EF" w:rsidP="00824B92">
            <w:pPr>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EndPr>
                <w:rPr>
                  <w:rStyle w:val="Style2"/>
                </w:rPr>
              </w:sdtEnd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 xml:space="preserve">10 a str. (pripažintas medicininis vartojimas) </w:t>
            </w:r>
          </w:p>
          <w:p w14:paraId="318DCD7F" w14:textId="32333E53" w:rsidR="00B13D65" w:rsidRPr="00E33EFF" w:rsidRDefault="007705EF" w:rsidP="00824B92">
            <w:pPr>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EndPr>
                <w:rPr>
                  <w:rStyle w:val="Style2"/>
                </w:rPr>
              </w:sdtEnd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10.1 str. (generinis)</w:t>
            </w:r>
          </w:p>
          <w:p w14:paraId="3B0A4F72" w14:textId="3F5FB073" w:rsidR="00B13D65" w:rsidRPr="00E33EFF" w:rsidRDefault="007705EF" w:rsidP="00824B92">
            <w:pPr>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EndPr>
                <w:rPr>
                  <w:rStyle w:val="Style2"/>
                </w:rPr>
              </w:sdtEnd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10.3 str. (hibridinis)</w:t>
            </w:r>
          </w:p>
        </w:tc>
      </w:tr>
      <w:tr w:rsidR="00B13D65" w:rsidRPr="00E33EFF" w14:paraId="310E9662" w14:textId="77777777" w:rsidTr="00BE7489">
        <w:trPr>
          <w:trHeight w:val="1442"/>
        </w:trPr>
        <w:tc>
          <w:tcPr>
            <w:tcW w:w="632" w:type="dxa"/>
          </w:tcPr>
          <w:p w14:paraId="4B5A91A2" w14:textId="561B5E5F" w:rsidR="00B13D65" w:rsidRPr="00E33EFF" w:rsidRDefault="00B13D65" w:rsidP="00824B92">
            <w:pPr>
              <w:rPr>
                <w:rFonts w:eastAsia="Arial"/>
              </w:rPr>
            </w:pPr>
            <w:r w:rsidRPr="00E33EFF">
              <w:rPr>
                <w:rFonts w:eastAsia="Arial"/>
              </w:rPr>
              <w:t>1.</w:t>
            </w:r>
            <w:r w:rsidR="002E0702" w:rsidRPr="00E33EFF">
              <w:rPr>
                <w:rFonts w:eastAsia="Arial"/>
              </w:rPr>
              <w:t>4</w:t>
            </w:r>
          </w:p>
        </w:tc>
        <w:tc>
          <w:tcPr>
            <w:tcW w:w="3694" w:type="dxa"/>
          </w:tcPr>
          <w:p w14:paraId="6C91E105" w14:textId="77777777" w:rsidR="00B13D65" w:rsidRPr="00E33EFF" w:rsidRDefault="00B13D65" w:rsidP="00824B92">
            <w:pPr>
              <w:rPr>
                <w:bCs/>
                <w:color w:val="000000"/>
                <w:lang w:eastAsia="lt-LT"/>
              </w:rPr>
            </w:pPr>
            <w:r w:rsidRPr="00E33EFF">
              <w:rPr>
                <w:bCs/>
                <w:color w:val="000000"/>
                <w:lang w:eastAsia="lt-LT"/>
              </w:rPr>
              <w:t xml:space="preserve">Ar vaistinis preparatas įrašytas į Bendrijos retųjų vaistinių preparatų registrą? </w:t>
            </w:r>
          </w:p>
          <w:p w14:paraId="483071A3" w14:textId="2FEB27F0" w:rsidR="00B13D65" w:rsidRPr="00E33EFF" w:rsidRDefault="00B13D65" w:rsidP="00824B92">
            <w:pPr>
              <w:rPr>
                <w:bCs/>
                <w:color w:val="000000"/>
                <w:lang w:eastAsia="lt-LT"/>
              </w:rPr>
            </w:pPr>
          </w:p>
        </w:tc>
        <w:tc>
          <w:tcPr>
            <w:tcW w:w="5167" w:type="dxa"/>
          </w:tcPr>
          <w:p w14:paraId="05845C60" w14:textId="10CF4033" w:rsidR="00B13D65" w:rsidRPr="00E33EFF" w:rsidRDefault="007705EF" w:rsidP="00824B92">
            <w:sdt>
              <w:sdtPr>
                <w:rPr>
                  <w:rStyle w:val="Style2"/>
                  <w:sz w:val="24"/>
                </w:rPr>
                <w:id w:val="2024432173"/>
                <w15:color w:val="FFCC00"/>
                <w14:checkbox>
                  <w14:checked w14:val="0"/>
                  <w14:checkedState w14:val="2612" w14:font="MS Gothic"/>
                  <w14:uncheckedState w14:val="2610" w14:font="MS Gothic"/>
                </w14:checkbox>
              </w:sdtPr>
              <w:sdtEndPr>
                <w:rPr>
                  <w:rStyle w:val="Style2"/>
                </w:rPr>
              </w:sdtEndPr>
              <w:sdtContent>
                <w:r w:rsidR="00D417D2" w:rsidRPr="00E33EFF">
                  <w:rPr>
                    <w:rStyle w:val="Style2"/>
                    <w:rFonts w:ascii="MS Gothic" w:eastAsia="MS Gothic" w:hAnsi="MS Gothic" w:hint="eastAsia"/>
                    <w:sz w:val="24"/>
                  </w:rPr>
                  <w:t>☐</w:t>
                </w:r>
              </w:sdtContent>
            </w:sdt>
            <w:r w:rsidR="00B13D65" w:rsidRPr="00E33EFF">
              <w:t xml:space="preserve"> Taip</w:t>
            </w:r>
          </w:p>
          <w:p w14:paraId="41D88067" w14:textId="50A2D786" w:rsidR="00B13D65" w:rsidRPr="00E33EFF" w:rsidRDefault="007705EF" w:rsidP="00824B92">
            <w:sdt>
              <w:sdtPr>
                <w:rPr>
                  <w:rStyle w:val="Style2"/>
                  <w:sz w:val="24"/>
                </w:rPr>
                <w:id w:val="-970507926"/>
                <w15:color w:val="FFCC00"/>
                <w14:checkbox>
                  <w14:checked w14:val="1"/>
                  <w14:checkedState w14:val="2612" w14:font="MS Gothic"/>
                  <w14:uncheckedState w14:val="2610" w14:font="MS Gothic"/>
                </w14:checkbox>
              </w:sdtPr>
              <w:sdtEndPr>
                <w:rPr>
                  <w:rStyle w:val="Style2"/>
                </w:rPr>
              </w:sdtEndPr>
              <w:sdtContent>
                <w:r w:rsidR="003D1877">
                  <w:rPr>
                    <w:rStyle w:val="Style2"/>
                    <w:rFonts w:ascii="MS Gothic" w:eastAsia="MS Gothic" w:hAnsi="MS Gothic" w:hint="eastAsia"/>
                    <w:sz w:val="24"/>
                  </w:rPr>
                  <w:t>☒</w:t>
                </w:r>
              </w:sdtContent>
            </w:sdt>
            <w:r w:rsidR="00B13D65" w:rsidRPr="00E33EFF">
              <w:t xml:space="preserve"> Ne</w:t>
            </w:r>
          </w:p>
          <w:p w14:paraId="29C2CBBB" w14:textId="77777777" w:rsidR="00B13D65" w:rsidRPr="00E33EFF" w:rsidRDefault="007705EF" w:rsidP="00824B92">
            <w:pPr>
              <w:rPr>
                <w:rFonts w:eastAsia="Arial"/>
              </w:rPr>
            </w:pPr>
            <w:sdt>
              <w:sdtPr>
                <w:alias w:val="Nurodykite konkrečią dieną"/>
                <w:tag w:val="Nurodykite pradžios datą"/>
                <w:id w:val="693498901"/>
                <w:placeholder>
                  <w:docPart w:val="CDB60824EC144AB3B75C05A5823BEE2D"/>
                </w:placeholder>
                <w:showingPlcHdr/>
                <w15:color w:val="FFCC99"/>
                <w:date w:fullDate="2022-05-18T00:00:00Z">
                  <w:dateFormat w:val="yyyy 'm.' MMMM d 'd.'"/>
                  <w:lid w:val="lt-LT"/>
                  <w:storeMappedDataAs w:val="dateTime"/>
                  <w:calendar w:val="gregorian"/>
                </w:date>
              </w:sdtPr>
              <w:sdtEndPr/>
              <w:sdtContent>
                <w:r w:rsidR="00B13D65" w:rsidRPr="00E33EFF">
                  <w:rPr>
                    <w:rStyle w:val="PlaceholderText"/>
                  </w:rPr>
                  <w:t>Click here to enter a date.</w:t>
                </w:r>
              </w:sdtContent>
            </w:sdt>
          </w:p>
        </w:tc>
      </w:tr>
      <w:tr w:rsidR="00D417D2" w:rsidRPr="00E33EFF" w14:paraId="7841E5F8" w14:textId="77777777" w:rsidTr="00BE7489">
        <w:trPr>
          <w:trHeight w:val="476"/>
        </w:trPr>
        <w:tc>
          <w:tcPr>
            <w:tcW w:w="632" w:type="dxa"/>
          </w:tcPr>
          <w:p w14:paraId="109D2861" w14:textId="73BF27DF" w:rsidR="00D417D2" w:rsidRPr="00E33EFF" w:rsidRDefault="00D417D2" w:rsidP="00824B92">
            <w:pPr>
              <w:rPr>
                <w:rFonts w:eastAsia="Arial"/>
              </w:rPr>
            </w:pPr>
            <w:r w:rsidRPr="00E33EFF">
              <w:rPr>
                <w:rFonts w:eastAsia="Arial"/>
              </w:rPr>
              <w:t>1.5</w:t>
            </w:r>
          </w:p>
        </w:tc>
        <w:tc>
          <w:tcPr>
            <w:tcW w:w="3694" w:type="dxa"/>
          </w:tcPr>
          <w:p w14:paraId="7822D63E" w14:textId="68C38334" w:rsidR="00D417D2" w:rsidRPr="00E33EFF" w:rsidRDefault="00D417D2" w:rsidP="00824B92">
            <w:pPr>
              <w:rPr>
                <w:bCs/>
                <w:color w:val="000000"/>
                <w:lang w:eastAsia="lt-LT"/>
              </w:rPr>
            </w:pPr>
            <w:r w:rsidRPr="00E33EFF">
              <w:t>STV paraiškos pobūdis</w:t>
            </w:r>
          </w:p>
        </w:tc>
        <w:tc>
          <w:tcPr>
            <w:tcW w:w="5167" w:type="dxa"/>
          </w:tcPr>
          <w:p w14:paraId="403461B9" w14:textId="68A37216" w:rsidR="00D417D2" w:rsidRPr="00E33EFF" w:rsidRDefault="007705EF" w:rsidP="00824B92">
            <w:sdt>
              <w:sdtPr>
                <w:rPr>
                  <w:rStyle w:val="Style2"/>
                  <w:sz w:val="24"/>
                </w:rPr>
                <w:id w:val="-468433535"/>
                <w15:color w:val="FFCC00"/>
                <w14:checkbox>
                  <w14:checked w14:val="1"/>
                  <w14:checkedState w14:val="2612" w14:font="MS Gothic"/>
                  <w14:uncheckedState w14:val="2610" w14:font="MS Gothic"/>
                </w14:checkbox>
              </w:sdtPr>
              <w:sdtEndPr>
                <w:rPr>
                  <w:rStyle w:val="Style2"/>
                </w:rPr>
              </w:sdtEndPr>
              <w:sdtContent>
                <w:r w:rsidR="003D1877">
                  <w:rPr>
                    <w:rStyle w:val="Style2"/>
                    <w:rFonts w:ascii="MS Gothic" w:eastAsia="MS Gothic" w:hAnsi="MS Gothic" w:hint="eastAsia"/>
                    <w:sz w:val="24"/>
                  </w:rPr>
                  <w:t>☒</w:t>
                </w:r>
              </w:sdtContent>
            </w:sdt>
            <w:r w:rsidR="00D417D2" w:rsidRPr="00E33EFF">
              <w:t xml:space="preserve"> Pilna paraiška</w:t>
            </w:r>
          </w:p>
          <w:p w14:paraId="6B8213E3" w14:textId="3495CDF4" w:rsidR="00D417D2" w:rsidRPr="00E33EFF" w:rsidRDefault="007705EF" w:rsidP="00824B92">
            <w:sdt>
              <w:sdtPr>
                <w:rPr>
                  <w:rStyle w:val="Style2"/>
                  <w:sz w:val="24"/>
                </w:rPr>
                <w:id w:val="-1489014904"/>
                <w15:color w:val="FFCC00"/>
                <w14:checkbox>
                  <w14:checked w14:val="0"/>
                  <w14:checkedState w14:val="2612" w14:font="MS Gothic"/>
                  <w14:uncheckedState w14:val="2610" w14:font="MS Gothic"/>
                </w14:checkbox>
              </w:sdtPr>
              <w:sdtEndPr>
                <w:rPr>
                  <w:rStyle w:val="Style2"/>
                </w:rPr>
              </w:sdtEndPr>
              <w:sdtContent>
                <w:r w:rsidR="00D417D2" w:rsidRPr="00E33EFF">
                  <w:rPr>
                    <w:rStyle w:val="Style2"/>
                    <w:rFonts w:ascii="MS Gothic" w:eastAsia="MS Gothic" w:hAnsi="MS Gothic" w:hint="eastAsia"/>
                    <w:sz w:val="24"/>
                  </w:rPr>
                  <w:t>☐</w:t>
                </w:r>
              </w:sdtContent>
            </w:sdt>
            <w:r w:rsidR="00D417D2" w:rsidRPr="00E33EFF">
              <w:t xml:space="preserve"> Supaprastinta paraiška</w:t>
            </w:r>
          </w:p>
        </w:tc>
      </w:tr>
      <w:tr w:rsidR="00423D83" w:rsidRPr="00E33EFF" w14:paraId="274D1DAF" w14:textId="77777777" w:rsidTr="00BE7489">
        <w:trPr>
          <w:trHeight w:val="1922"/>
        </w:trPr>
        <w:tc>
          <w:tcPr>
            <w:tcW w:w="632" w:type="dxa"/>
          </w:tcPr>
          <w:p w14:paraId="17ABF217" w14:textId="14AC00D7" w:rsidR="00423D83" w:rsidRPr="00E33EFF" w:rsidRDefault="00423D83" w:rsidP="00423D83">
            <w:pPr>
              <w:rPr>
                <w:rFonts w:eastAsia="Arial"/>
              </w:rPr>
            </w:pPr>
            <w:r w:rsidRPr="00E33EFF">
              <w:rPr>
                <w:rFonts w:eastAsia="Arial"/>
              </w:rPr>
              <w:t>1.6</w:t>
            </w:r>
          </w:p>
        </w:tc>
        <w:tc>
          <w:tcPr>
            <w:tcW w:w="3694" w:type="dxa"/>
          </w:tcPr>
          <w:p w14:paraId="4D49DBF5" w14:textId="77777777" w:rsidR="00423D83" w:rsidRPr="00E33EFF" w:rsidRDefault="00423D83" w:rsidP="00423D83">
            <w:pPr>
              <w:rPr>
                <w:bCs/>
                <w:color w:val="000000"/>
                <w:lang w:eastAsia="lt-LT"/>
              </w:rPr>
            </w:pPr>
            <w:r w:rsidRPr="00E33EFF">
              <w:rPr>
                <w:bCs/>
                <w:color w:val="000000"/>
                <w:lang w:eastAsia="lt-LT"/>
              </w:rPr>
              <w:t>Pareiškėjo teikiama (-os) kompensuoti vaistinio preparato indikacija (-os)</w:t>
            </w:r>
          </w:p>
          <w:p w14:paraId="150C5C6F" w14:textId="77777777" w:rsidR="00423D83" w:rsidRDefault="00423D83" w:rsidP="00423D83">
            <w:pPr>
              <w:rPr>
                <w:bCs/>
                <w:color w:val="000000"/>
                <w:lang w:eastAsia="lt-LT"/>
              </w:rPr>
            </w:pPr>
          </w:p>
          <w:p w14:paraId="3A6B054C" w14:textId="77777777" w:rsidR="00423D83" w:rsidRDefault="00423D83" w:rsidP="00423D83">
            <w:pPr>
              <w:rPr>
                <w:bCs/>
                <w:color w:val="000000"/>
                <w:lang w:eastAsia="lt-LT"/>
              </w:rPr>
            </w:pPr>
          </w:p>
          <w:p w14:paraId="6B4FEEC1" w14:textId="378668B0" w:rsidR="00423D83" w:rsidRPr="00E33EFF" w:rsidRDefault="00423D83" w:rsidP="00423D83">
            <w:pPr>
              <w:rPr>
                <w:bCs/>
                <w:color w:val="000000"/>
                <w:lang w:eastAsia="lt-LT"/>
              </w:rPr>
            </w:pPr>
            <w:r w:rsidRPr="00E33EFF">
              <w:rPr>
                <w:bCs/>
                <w:color w:val="000000"/>
                <w:lang w:eastAsia="lt-LT"/>
              </w:rPr>
              <w:t>Kodas pagal TLK-10 AM</w:t>
            </w:r>
          </w:p>
        </w:tc>
        <w:tc>
          <w:tcPr>
            <w:tcW w:w="5167" w:type="dxa"/>
          </w:tcPr>
          <w:p w14:paraId="3334457A" w14:textId="77777777" w:rsidR="00423D83" w:rsidRPr="0035383E" w:rsidRDefault="00423D83" w:rsidP="00423D83">
            <w:pPr>
              <w:pStyle w:val="ListParagraph"/>
              <w:spacing w:after="120" w:line="280" w:lineRule="atLeast"/>
              <w:ind w:left="0"/>
              <w:contextualSpacing w:val="0"/>
              <w:jc w:val="both"/>
              <w:rPr>
                <w:color w:val="000000" w:themeColor="text1"/>
              </w:rPr>
            </w:pPr>
            <w:r w:rsidRPr="0035383E">
              <w:rPr>
                <w:color w:val="000000" w:themeColor="text1"/>
              </w:rPr>
              <w:t>Suaugusiems pacientams, sergantiems vidutinio sunkumo ar sunkiu aktyviu opiniu kolitu, kuriems įprastinis arba biologinis gydymas sukėlė nepakankamą atsaką, atsakas išnyko arba gydymas buvo netoleruojamas.</w:t>
            </w:r>
          </w:p>
          <w:p w14:paraId="13F7DFB0" w14:textId="775A38DA" w:rsidR="00423D83" w:rsidRPr="00E33EFF" w:rsidRDefault="00423D83" w:rsidP="00423D83">
            <w:pPr>
              <w:pStyle w:val="ListParagraph"/>
              <w:spacing w:after="120" w:line="276" w:lineRule="auto"/>
              <w:ind w:left="0"/>
              <w:contextualSpacing w:val="0"/>
              <w:jc w:val="both"/>
            </w:pPr>
            <w:r w:rsidRPr="0035383E">
              <w:rPr>
                <w:color w:val="000000" w:themeColor="text1"/>
              </w:rPr>
              <w:t>K51</w:t>
            </w:r>
          </w:p>
        </w:tc>
      </w:tr>
      <w:tr w:rsidR="00423D83" w:rsidRPr="00E33EFF" w14:paraId="2F79DC08" w14:textId="77777777" w:rsidTr="00BE7489">
        <w:trPr>
          <w:trHeight w:val="378"/>
        </w:trPr>
        <w:tc>
          <w:tcPr>
            <w:tcW w:w="632" w:type="dxa"/>
          </w:tcPr>
          <w:p w14:paraId="547885A2" w14:textId="08AA8055" w:rsidR="00423D83" w:rsidRPr="00E33EFF" w:rsidRDefault="00423D83" w:rsidP="00423D83">
            <w:pPr>
              <w:rPr>
                <w:rFonts w:eastAsia="Arial"/>
              </w:rPr>
            </w:pPr>
            <w:r w:rsidRPr="00E33EFF">
              <w:rPr>
                <w:rFonts w:eastAsia="Arial"/>
              </w:rPr>
              <w:lastRenderedPageBreak/>
              <w:t>1.6</w:t>
            </w:r>
          </w:p>
        </w:tc>
        <w:tc>
          <w:tcPr>
            <w:tcW w:w="3694" w:type="dxa"/>
          </w:tcPr>
          <w:p w14:paraId="2EAB877F" w14:textId="39A36941" w:rsidR="00423D83" w:rsidRPr="00E33EFF" w:rsidRDefault="00423D83" w:rsidP="00423D83">
            <w:pPr>
              <w:rPr>
                <w:bCs/>
                <w:color w:val="000000"/>
                <w:u w:val="single"/>
                <w:lang w:eastAsia="lt-LT"/>
              </w:rPr>
            </w:pPr>
            <w:r w:rsidRPr="00E33EFF">
              <w:rPr>
                <w:bCs/>
                <w:color w:val="000000"/>
                <w:lang w:eastAsia="lt-LT"/>
              </w:rPr>
              <w:t xml:space="preserve">Pareiškėjo teikiamos skyrimo sąlygos </w:t>
            </w:r>
          </w:p>
        </w:tc>
        <w:tc>
          <w:tcPr>
            <w:tcW w:w="5167" w:type="dxa"/>
          </w:tcPr>
          <w:p w14:paraId="0579DF58" w14:textId="5C5CE520" w:rsidR="00423D83" w:rsidRPr="00E33EFF" w:rsidRDefault="00423D83" w:rsidP="00423D83">
            <w:r w:rsidRPr="0035383E">
              <w:rPr>
                <w:color w:val="000000" w:themeColor="text1"/>
              </w:rPr>
              <w:t>Nesiūlomos</w:t>
            </w:r>
          </w:p>
        </w:tc>
      </w:tr>
      <w:tr w:rsidR="00B13D65" w:rsidRPr="00E33EFF" w14:paraId="3B125269" w14:textId="77777777" w:rsidTr="00BE7489">
        <w:trPr>
          <w:trHeight w:val="378"/>
        </w:trPr>
        <w:tc>
          <w:tcPr>
            <w:tcW w:w="632" w:type="dxa"/>
          </w:tcPr>
          <w:p w14:paraId="0058E11F" w14:textId="77777777" w:rsidR="00B13D65" w:rsidRPr="00E33EFF" w:rsidRDefault="00B13D65" w:rsidP="00824B92">
            <w:pPr>
              <w:rPr>
                <w:rFonts w:eastAsia="Arial"/>
              </w:rPr>
            </w:pPr>
            <w:r w:rsidRPr="00E33EFF">
              <w:rPr>
                <w:rFonts w:eastAsia="Arial"/>
              </w:rPr>
              <w:t>1.7</w:t>
            </w:r>
          </w:p>
        </w:tc>
        <w:tc>
          <w:tcPr>
            <w:tcW w:w="3694" w:type="dxa"/>
          </w:tcPr>
          <w:p w14:paraId="738E1926" w14:textId="50A9DC79" w:rsidR="00B13D65" w:rsidRDefault="007656B2" w:rsidP="00824B92">
            <w:pPr>
              <w:rPr>
                <w:bCs/>
                <w:color w:val="000000"/>
                <w:lang w:eastAsia="lt-LT"/>
              </w:rPr>
            </w:pPr>
            <w:r w:rsidRPr="00E33EFF">
              <w:rPr>
                <w:bCs/>
                <w:color w:val="000000"/>
                <w:lang w:eastAsia="lt-LT"/>
              </w:rPr>
              <w:t>Pareiškėjo teikiamas p</w:t>
            </w:r>
            <w:r w:rsidR="00B13D65" w:rsidRPr="00E33EFF">
              <w:rPr>
                <w:bCs/>
                <w:color w:val="000000"/>
                <w:lang w:eastAsia="lt-LT"/>
              </w:rPr>
              <w:t>alyginamasis</w:t>
            </w:r>
            <w:r w:rsidR="005B3756" w:rsidRPr="00E33EFF">
              <w:rPr>
                <w:bCs/>
                <w:color w:val="000000"/>
                <w:lang w:eastAsia="lt-LT"/>
              </w:rPr>
              <w:t xml:space="preserve"> </w:t>
            </w:r>
            <w:r w:rsidR="00B13D65" w:rsidRPr="00E33EFF">
              <w:rPr>
                <w:bCs/>
                <w:color w:val="000000"/>
                <w:lang w:eastAsia="lt-LT"/>
              </w:rPr>
              <w:t>gydymas</w:t>
            </w:r>
            <w:r w:rsidR="0047414A">
              <w:rPr>
                <w:bCs/>
                <w:color w:val="000000"/>
                <w:lang w:eastAsia="lt-LT"/>
              </w:rPr>
              <w:t>:</w:t>
            </w:r>
            <w:r w:rsidR="00B13D65" w:rsidRPr="00E33EFF">
              <w:rPr>
                <w:bCs/>
                <w:color w:val="000000"/>
                <w:lang w:eastAsia="lt-LT"/>
              </w:rPr>
              <w:t xml:space="preserve"> </w:t>
            </w:r>
          </w:p>
          <w:p w14:paraId="1F7BF92F" w14:textId="7FFF63DB" w:rsidR="007C7519" w:rsidRDefault="007C7519" w:rsidP="00824B92">
            <w:pPr>
              <w:rPr>
                <w:bCs/>
                <w:i/>
                <w:color w:val="000000"/>
                <w:lang w:eastAsia="lt-LT"/>
              </w:rPr>
            </w:pPr>
            <w:r w:rsidRPr="007C7519">
              <w:rPr>
                <w:bCs/>
                <w:i/>
                <w:color w:val="000000"/>
                <w:lang w:eastAsia="lt-LT"/>
              </w:rPr>
              <w:t>Tiesioginis</w:t>
            </w:r>
            <w:r w:rsidR="00FC31F9">
              <w:rPr>
                <w:bCs/>
                <w:i/>
                <w:color w:val="000000"/>
                <w:lang w:eastAsia="lt-LT"/>
              </w:rPr>
              <w:t xml:space="preserve"> (placebas)</w:t>
            </w:r>
          </w:p>
          <w:p w14:paraId="643CC07B" w14:textId="2D7C9848" w:rsidR="00D970E4" w:rsidRDefault="00D970E4" w:rsidP="00824B92">
            <w:pPr>
              <w:rPr>
                <w:bCs/>
                <w:i/>
                <w:color w:val="000000"/>
                <w:lang w:eastAsia="lt-LT"/>
              </w:rPr>
            </w:pPr>
          </w:p>
          <w:p w14:paraId="1FEACC56" w14:textId="0E2E44A3" w:rsidR="00D970E4" w:rsidRDefault="00D970E4" w:rsidP="00824B92">
            <w:pPr>
              <w:rPr>
                <w:bCs/>
                <w:i/>
                <w:color w:val="000000"/>
                <w:lang w:eastAsia="lt-LT"/>
              </w:rPr>
            </w:pPr>
          </w:p>
          <w:p w14:paraId="200BD3DE" w14:textId="40CB0F9D" w:rsidR="00D970E4" w:rsidRPr="007C7519" w:rsidRDefault="00D970E4" w:rsidP="00824B92">
            <w:pPr>
              <w:rPr>
                <w:bCs/>
                <w:i/>
                <w:color w:val="000000"/>
                <w:lang w:eastAsia="lt-LT"/>
              </w:rPr>
            </w:pPr>
            <w:r>
              <w:rPr>
                <w:bCs/>
                <w:i/>
                <w:color w:val="000000"/>
                <w:lang w:eastAsia="lt-LT"/>
              </w:rPr>
              <w:t>Netiesioginis</w:t>
            </w:r>
          </w:p>
          <w:p w14:paraId="62057D94" w14:textId="77777777" w:rsidR="00413F24" w:rsidRPr="00E33EFF" w:rsidRDefault="00413F24" w:rsidP="00824B92">
            <w:pPr>
              <w:rPr>
                <w:bCs/>
                <w:color w:val="000000"/>
                <w:lang w:eastAsia="lt-LT"/>
              </w:rPr>
            </w:pPr>
          </w:p>
          <w:p w14:paraId="6CC1022E" w14:textId="2B6BCEE1" w:rsidR="009F4D66" w:rsidRPr="00E33EFF" w:rsidRDefault="009F4D66" w:rsidP="00824B92">
            <w:pPr>
              <w:rPr>
                <w:bCs/>
                <w:color w:val="000000"/>
                <w:lang w:eastAsia="lt-LT"/>
              </w:rPr>
            </w:pPr>
          </w:p>
        </w:tc>
        <w:tc>
          <w:tcPr>
            <w:tcW w:w="5167" w:type="dxa"/>
          </w:tcPr>
          <w:p w14:paraId="3E389C70" w14:textId="22AFFC76" w:rsidR="0047414A" w:rsidRDefault="0047414A" w:rsidP="00824B92">
            <w:pPr>
              <w:rPr>
                <w:rStyle w:val="Style2"/>
                <w:sz w:val="24"/>
              </w:rPr>
            </w:pPr>
          </w:p>
          <w:p w14:paraId="0AC43073" w14:textId="77777777" w:rsidR="00D970E4" w:rsidRPr="00E33EFF" w:rsidRDefault="00D970E4" w:rsidP="00D970E4"/>
          <w:p w14:paraId="2383573D" w14:textId="77777777" w:rsidR="00D970E4" w:rsidRPr="00E33EFF" w:rsidRDefault="007705EF" w:rsidP="00D970E4">
            <w:sdt>
              <w:sdtPr>
                <w:rPr>
                  <w:rStyle w:val="Style2"/>
                  <w:sz w:val="24"/>
                </w:rPr>
                <w:id w:val="-439376113"/>
                <w15:color w:val="FFCC00"/>
                <w14:checkbox>
                  <w14:checked w14:val="0"/>
                  <w14:checkedState w14:val="2612" w14:font="MS Gothic"/>
                  <w14:uncheckedState w14:val="2610" w14:font="MS Gothic"/>
                </w14:checkbox>
              </w:sdtPr>
              <w:sdtEndPr>
                <w:rPr>
                  <w:rStyle w:val="Style2"/>
                </w:rPr>
              </w:sdtEndPr>
              <w:sdtContent>
                <w:r w:rsidR="00D970E4">
                  <w:rPr>
                    <w:rStyle w:val="Style2"/>
                    <w:rFonts w:ascii="MS Gothic" w:eastAsia="MS Gothic" w:hAnsi="MS Gothic" w:hint="eastAsia"/>
                    <w:sz w:val="24"/>
                  </w:rPr>
                  <w:t>☐</w:t>
                </w:r>
              </w:sdtContent>
            </w:sdt>
            <w:r w:rsidR="00D970E4" w:rsidRPr="00E33EFF">
              <w:t xml:space="preserve"> Tinkamas</w:t>
            </w:r>
          </w:p>
          <w:p w14:paraId="5474EFC4" w14:textId="00B68021" w:rsidR="0047414A" w:rsidRDefault="007705EF" w:rsidP="00D970E4">
            <w:pPr>
              <w:rPr>
                <w:rStyle w:val="Style2"/>
                <w:sz w:val="24"/>
              </w:rPr>
            </w:pPr>
            <w:sdt>
              <w:sdtPr>
                <w:rPr>
                  <w:rStyle w:val="Style2"/>
                  <w:sz w:val="24"/>
                </w:rPr>
                <w:id w:val="991603600"/>
                <w15:color w:val="FFCC00"/>
                <w14:checkbox>
                  <w14:checked w14:val="1"/>
                  <w14:checkedState w14:val="2612" w14:font="MS Gothic"/>
                  <w14:uncheckedState w14:val="2610" w14:font="MS Gothic"/>
                </w14:checkbox>
              </w:sdtPr>
              <w:sdtEndPr>
                <w:rPr>
                  <w:rStyle w:val="Style2"/>
                </w:rPr>
              </w:sdtEndPr>
              <w:sdtContent>
                <w:r w:rsidR="00D970E4">
                  <w:rPr>
                    <w:rStyle w:val="Style2"/>
                    <w:rFonts w:ascii="MS Gothic" w:eastAsia="MS Gothic" w:hAnsi="MS Gothic" w:hint="eastAsia"/>
                    <w:sz w:val="24"/>
                  </w:rPr>
                  <w:t>☒</w:t>
                </w:r>
              </w:sdtContent>
            </w:sdt>
            <w:r w:rsidR="00D970E4" w:rsidRPr="00E33EFF">
              <w:t xml:space="preserve"> Netinkama</w:t>
            </w:r>
            <w:r w:rsidR="00D970E4">
              <w:t>s</w:t>
            </w:r>
          </w:p>
          <w:p w14:paraId="5481FC83" w14:textId="77777777" w:rsidR="007C7519" w:rsidRDefault="007C7519" w:rsidP="00824B92">
            <w:pPr>
              <w:rPr>
                <w:rStyle w:val="Style2"/>
                <w:sz w:val="24"/>
              </w:rPr>
            </w:pPr>
          </w:p>
          <w:p w14:paraId="66741CBF" w14:textId="03099B04" w:rsidR="0047414A" w:rsidRPr="00E33EFF" w:rsidRDefault="007705EF" w:rsidP="0047414A">
            <w:sdt>
              <w:sdtPr>
                <w:rPr>
                  <w:rStyle w:val="Style2"/>
                  <w:sz w:val="24"/>
                </w:rPr>
                <w:id w:val="-834302966"/>
                <w15:color w:val="FFCC00"/>
                <w14:checkbox>
                  <w14:checked w14:val="1"/>
                  <w14:checkedState w14:val="2612" w14:font="MS Gothic"/>
                  <w14:uncheckedState w14:val="2610" w14:font="MS Gothic"/>
                </w14:checkbox>
              </w:sdtPr>
              <w:sdtEndPr>
                <w:rPr>
                  <w:rStyle w:val="Style2"/>
                </w:rPr>
              </w:sdtEndPr>
              <w:sdtContent>
                <w:r w:rsidR="0047414A">
                  <w:rPr>
                    <w:rStyle w:val="Style2"/>
                    <w:rFonts w:ascii="MS Gothic" w:eastAsia="MS Gothic" w:hAnsi="MS Gothic" w:hint="eastAsia"/>
                    <w:sz w:val="24"/>
                  </w:rPr>
                  <w:t>☒</w:t>
                </w:r>
              </w:sdtContent>
            </w:sdt>
            <w:r w:rsidR="0047414A" w:rsidRPr="00E33EFF">
              <w:t xml:space="preserve"> Tinkamas</w:t>
            </w:r>
          </w:p>
          <w:p w14:paraId="41B44044" w14:textId="2E013ACA" w:rsidR="00B13D65" w:rsidRPr="00E33EFF" w:rsidRDefault="007705EF" w:rsidP="00824B92">
            <w:sdt>
              <w:sdtPr>
                <w:rPr>
                  <w:rStyle w:val="Style2"/>
                  <w:sz w:val="24"/>
                </w:rPr>
                <w:id w:val="-352420698"/>
                <w15:color w:val="FFCC00"/>
                <w14:checkbox>
                  <w14:checked w14:val="0"/>
                  <w14:checkedState w14:val="2612" w14:font="MS Gothic"/>
                  <w14:uncheckedState w14:val="2610" w14:font="MS Gothic"/>
                </w14:checkbox>
              </w:sdtPr>
              <w:sdtEndPr>
                <w:rPr>
                  <w:rStyle w:val="Style2"/>
                </w:rPr>
              </w:sdtEndPr>
              <w:sdtContent>
                <w:r w:rsidR="00D970E4">
                  <w:rPr>
                    <w:rStyle w:val="Style2"/>
                    <w:rFonts w:ascii="MS Gothic" w:eastAsia="MS Gothic" w:hAnsi="MS Gothic" w:hint="eastAsia"/>
                    <w:sz w:val="24"/>
                  </w:rPr>
                  <w:t>☐</w:t>
                </w:r>
              </w:sdtContent>
            </w:sdt>
            <w:r w:rsidR="009F4D66" w:rsidRPr="00E33EFF">
              <w:t xml:space="preserve"> Netinkama</w:t>
            </w:r>
            <w:r w:rsidR="0047414A">
              <w:t>s</w:t>
            </w:r>
          </w:p>
        </w:tc>
      </w:tr>
    </w:tbl>
    <w:p w14:paraId="108176F7" w14:textId="640C6F75" w:rsidR="00F70C9E" w:rsidRPr="00E33EFF" w:rsidRDefault="00F70C9E" w:rsidP="00E03C3F">
      <w:pPr>
        <w:pStyle w:val="ListParagraph"/>
        <w:tabs>
          <w:tab w:val="left" w:pos="426"/>
        </w:tabs>
        <w:ind w:left="0"/>
        <w:rPr>
          <w:b/>
          <w:bCs/>
          <w:caps/>
        </w:rPr>
      </w:pPr>
    </w:p>
    <w:p w14:paraId="2871CA7F" w14:textId="2370BDDB" w:rsidR="00F70C9E" w:rsidRPr="00E33EFF" w:rsidRDefault="00F70C9E" w:rsidP="00880A44">
      <w:pPr>
        <w:spacing w:line="276" w:lineRule="auto"/>
        <w:jc w:val="both"/>
        <w:rPr>
          <w:rFonts w:eastAsia="Arial"/>
          <w:b/>
        </w:rPr>
      </w:pPr>
      <w:r w:rsidRPr="00E33EFF">
        <w:rPr>
          <w:rFonts w:eastAsia="Arial"/>
          <w:b/>
        </w:rPr>
        <w:t xml:space="preserve">1.8 Kitų </w:t>
      </w:r>
      <w:r w:rsidR="00DF583C" w:rsidRPr="00E33EFF">
        <w:rPr>
          <w:rFonts w:eastAsia="Arial"/>
          <w:b/>
        </w:rPr>
        <w:t xml:space="preserve">valstybių </w:t>
      </w:r>
      <w:r w:rsidRPr="00E33EFF">
        <w:rPr>
          <w:rFonts w:eastAsia="Arial"/>
          <w:b/>
        </w:rPr>
        <w:t xml:space="preserve">atsakingų institucijų atlikto </w:t>
      </w:r>
      <w:r w:rsidR="00DF583C" w:rsidRPr="00E33EFF">
        <w:rPr>
          <w:rFonts w:eastAsia="Arial"/>
          <w:b/>
        </w:rPr>
        <w:t>Sveikatos technologijų vertinimo (toliau – STV)</w:t>
      </w:r>
      <w:r w:rsidRPr="00E33EFF">
        <w:rPr>
          <w:rFonts w:eastAsia="Arial"/>
          <w:b/>
        </w:rPr>
        <w:t xml:space="preserve"> išvados</w:t>
      </w:r>
    </w:p>
    <w:p w14:paraId="61772CC9" w14:textId="77777777" w:rsidR="00B14A4B" w:rsidRPr="00B14A4B" w:rsidRDefault="00B14A4B" w:rsidP="00B14A4B">
      <w:pPr>
        <w:pStyle w:val="ListParagraph"/>
        <w:numPr>
          <w:ilvl w:val="0"/>
          <w:numId w:val="12"/>
        </w:numPr>
        <w:spacing w:line="280" w:lineRule="atLeast"/>
        <w:rPr>
          <w:rFonts w:eastAsia="Arial"/>
          <w:color w:val="000000" w:themeColor="text1"/>
        </w:rPr>
      </w:pPr>
    </w:p>
    <w:tbl>
      <w:tblPr>
        <w:tblStyle w:val="TableGrid"/>
        <w:tblW w:w="9918" w:type="dxa"/>
        <w:tblLook w:val="04A0" w:firstRow="1" w:lastRow="0" w:firstColumn="1" w:lastColumn="0" w:noHBand="0" w:noVBand="1"/>
      </w:tblPr>
      <w:tblGrid>
        <w:gridCol w:w="2927"/>
        <w:gridCol w:w="1915"/>
        <w:gridCol w:w="2351"/>
        <w:gridCol w:w="2725"/>
      </w:tblGrid>
      <w:tr w:rsidR="00B14A4B" w:rsidRPr="0035383E" w14:paraId="26A7AEE9" w14:textId="77777777" w:rsidTr="007874AB">
        <w:trPr>
          <w:trHeight w:val="924"/>
        </w:trPr>
        <w:tc>
          <w:tcPr>
            <w:tcW w:w="2927" w:type="dxa"/>
          </w:tcPr>
          <w:p w14:paraId="33FE0292" w14:textId="77777777" w:rsidR="00B14A4B" w:rsidRPr="0035383E" w:rsidRDefault="00B14A4B" w:rsidP="007874AB">
            <w:pPr>
              <w:spacing w:line="280" w:lineRule="atLeast"/>
              <w:rPr>
                <w:rFonts w:eastAsia="Arial"/>
                <w:color w:val="000000" w:themeColor="text1"/>
              </w:rPr>
            </w:pPr>
            <w:r w:rsidRPr="0035383E">
              <w:rPr>
                <w:rFonts w:eastAsia="Arial"/>
                <w:color w:val="000000" w:themeColor="text1"/>
              </w:rPr>
              <w:t>STV agentūros pavadinimas, šalis</w:t>
            </w:r>
          </w:p>
        </w:tc>
        <w:tc>
          <w:tcPr>
            <w:tcW w:w="1915" w:type="dxa"/>
          </w:tcPr>
          <w:p w14:paraId="32B575EE" w14:textId="77777777" w:rsidR="00B14A4B" w:rsidRPr="0035383E" w:rsidRDefault="00B14A4B" w:rsidP="007874AB">
            <w:pPr>
              <w:spacing w:line="280" w:lineRule="atLeast"/>
              <w:rPr>
                <w:rFonts w:eastAsia="Arial"/>
                <w:color w:val="000000" w:themeColor="text1"/>
              </w:rPr>
            </w:pPr>
            <w:r w:rsidRPr="0035383E">
              <w:rPr>
                <w:rFonts w:eastAsia="Arial"/>
                <w:color w:val="000000" w:themeColor="text1"/>
              </w:rPr>
              <w:t>STV vertinimas atliktas</w:t>
            </w:r>
          </w:p>
        </w:tc>
        <w:tc>
          <w:tcPr>
            <w:tcW w:w="2351" w:type="dxa"/>
          </w:tcPr>
          <w:p w14:paraId="7679EB99" w14:textId="77777777" w:rsidR="00B14A4B" w:rsidRPr="0035383E" w:rsidRDefault="00B14A4B" w:rsidP="007874AB">
            <w:pPr>
              <w:spacing w:line="280" w:lineRule="atLeast"/>
              <w:rPr>
                <w:rFonts w:eastAsia="Arial"/>
                <w:color w:val="000000" w:themeColor="text1"/>
              </w:rPr>
            </w:pPr>
            <w:r w:rsidRPr="0035383E">
              <w:rPr>
                <w:rFonts w:eastAsia="Arial"/>
                <w:color w:val="000000" w:themeColor="text1"/>
              </w:rPr>
              <w:t>Klinikinio vertinimo išvada</w:t>
            </w:r>
          </w:p>
        </w:tc>
        <w:tc>
          <w:tcPr>
            <w:tcW w:w="2725" w:type="dxa"/>
          </w:tcPr>
          <w:p w14:paraId="3E503901" w14:textId="77777777" w:rsidR="00B14A4B" w:rsidRPr="0035383E" w:rsidRDefault="00B14A4B" w:rsidP="007874AB">
            <w:pPr>
              <w:spacing w:line="280" w:lineRule="atLeast"/>
              <w:rPr>
                <w:rFonts w:eastAsia="Arial"/>
                <w:color w:val="000000" w:themeColor="text1"/>
              </w:rPr>
            </w:pPr>
            <w:r w:rsidRPr="0035383E">
              <w:rPr>
                <w:rFonts w:eastAsia="Arial"/>
                <w:color w:val="000000" w:themeColor="text1"/>
              </w:rPr>
              <w:t>Farmakoekonominio vertinimo išvada</w:t>
            </w:r>
          </w:p>
        </w:tc>
      </w:tr>
      <w:tr w:rsidR="00B14A4B" w:rsidRPr="0035383E" w14:paraId="0B0312FC" w14:textId="77777777" w:rsidTr="007874AB">
        <w:trPr>
          <w:trHeight w:val="1765"/>
        </w:trPr>
        <w:tc>
          <w:tcPr>
            <w:tcW w:w="2927" w:type="dxa"/>
          </w:tcPr>
          <w:p w14:paraId="09EDE86E" w14:textId="77777777" w:rsidR="00B14A4B" w:rsidRPr="0035383E" w:rsidRDefault="00B14A4B" w:rsidP="007874AB">
            <w:pPr>
              <w:autoSpaceDE w:val="0"/>
              <w:autoSpaceDN w:val="0"/>
              <w:adjustRightInd w:val="0"/>
              <w:spacing w:line="280" w:lineRule="atLeast"/>
              <w:rPr>
                <w:bCs/>
                <w:color w:val="000000" w:themeColor="text1"/>
              </w:rPr>
            </w:pPr>
            <w:r w:rsidRPr="0035383E">
              <w:rPr>
                <w:bCs/>
                <w:color w:val="000000" w:themeColor="text1"/>
              </w:rPr>
              <w:t>Nacionalinis sveikatos ir klinikinės kompetencijos institutas, Didžioji Britanija</w:t>
            </w:r>
          </w:p>
          <w:p w14:paraId="06FA77E4" w14:textId="77777777" w:rsidR="00B14A4B" w:rsidRPr="0035383E" w:rsidRDefault="00B14A4B" w:rsidP="007874AB">
            <w:pPr>
              <w:spacing w:line="280" w:lineRule="atLeast"/>
              <w:rPr>
                <w:rFonts w:eastAsia="Arial"/>
                <w:color w:val="000000" w:themeColor="text1"/>
              </w:rPr>
            </w:pPr>
            <w:r w:rsidRPr="0035383E">
              <w:rPr>
                <w:rFonts w:eastAsia="Arial"/>
                <w:color w:val="000000" w:themeColor="text1"/>
              </w:rPr>
              <w:t xml:space="preserve">(angl. </w:t>
            </w:r>
            <w:r w:rsidRPr="0035383E">
              <w:rPr>
                <w:rFonts w:eastAsia="Arial"/>
                <w:i/>
                <w:color w:val="000000" w:themeColor="text1"/>
              </w:rPr>
              <w:t>National Institute for Health and Care Excellence, NICE</w:t>
            </w:r>
            <w:r w:rsidRPr="0035383E">
              <w:rPr>
                <w:rFonts w:eastAsia="Arial"/>
                <w:color w:val="000000" w:themeColor="text1"/>
              </w:rPr>
              <w:t>)</w:t>
            </w:r>
          </w:p>
        </w:tc>
        <w:tc>
          <w:tcPr>
            <w:tcW w:w="1915" w:type="dxa"/>
          </w:tcPr>
          <w:p w14:paraId="51D61495" w14:textId="77777777" w:rsidR="00B14A4B" w:rsidRPr="0035383E" w:rsidRDefault="007705EF" w:rsidP="007874AB">
            <w:pPr>
              <w:spacing w:line="280" w:lineRule="atLeast"/>
              <w:rPr>
                <w:color w:val="000000" w:themeColor="text1"/>
              </w:rPr>
            </w:pPr>
            <w:sdt>
              <w:sdtPr>
                <w:rPr>
                  <w:rStyle w:val="Style2"/>
                  <w:color w:val="000000" w:themeColor="text1"/>
                </w:rPr>
                <w:id w:val="1558205022"/>
                <w15:color w:val="FFCC00"/>
                <w14:checkbox>
                  <w14:checked w14:val="1"/>
                  <w14:checkedState w14:val="2612" w14:font="MS Gothic"/>
                  <w14:uncheckedState w14:val="2610" w14:font="MS Gothic"/>
                </w14:checkbox>
              </w:sdtPr>
              <w:sdtEndPr>
                <w:rPr>
                  <w:rStyle w:val="Style2"/>
                </w:rPr>
              </w:sdtEndPr>
              <w:sdtContent>
                <w:r w:rsidR="00B14A4B" w:rsidRPr="0035383E">
                  <w:rPr>
                    <w:rStyle w:val="Style2"/>
                    <w:rFonts w:ascii="MS Gothic" w:eastAsia="MS Gothic" w:hAnsi="MS Gothic" w:hint="eastAsia"/>
                    <w:color w:val="000000" w:themeColor="text1"/>
                  </w:rPr>
                  <w:t>☒</w:t>
                </w:r>
              </w:sdtContent>
            </w:sdt>
            <w:r w:rsidR="00B14A4B" w:rsidRPr="0035383E">
              <w:rPr>
                <w:color w:val="000000" w:themeColor="text1"/>
              </w:rPr>
              <w:t xml:space="preserve"> Taip</w:t>
            </w:r>
          </w:p>
          <w:p w14:paraId="1CE07F28" w14:textId="77777777" w:rsidR="00B14A4B" w:rsidRPr="0035383E" w:rsidRDefault="007705EF" w:rsidP="007874AB">
            <w:pPr>
              <w:spacing w:line="280" w:lineRule="atLeast"/>
              <w:rPr>
                <w:color w:val="000000" w:themeColor="text1"/>
              </w:rPr>
            </w:pPr>
            <w:sdt>
              <w:sdtPr>
                <w:rPr>
                  <w:rStyle w:val="Style2"/>
                  <w:color w:val="000000" w:themeColor="text1"/>
                </w:rPr>
                <w:id w:val="866029625"/>
                <w15:color w:val="FFCC00"/>
                <w14:checkbox>
                  <w14:checked w14:val="0"/>
                  <w14:checkedState w14:val="2612" w14:font="MS Gothic"/>
                  <w14:uncheckedState w14:val="2610" w14:font="MS Gothic"/>
                </w14:checkbox>
              </w:sdtPr>
              <w:sdtEndPr>
                <w:rPr>
                  <w:rStyle w:val="Style2"/>
                </w:rPr>
              </w:sdtEndPr>
              <w:sdtContent>
                <w:r w:rsidR="00B14A4B" w:rsidRPr="0035383E">
                  <w:rPr>
                    <w:rStyle w:val="Style2"/>
                    <w:rFonts w:ascii="MS Gothic" w:eastAsia="MS Gothic" w:hAnsi="MS Gothic" w:hint="eastAsia"/>
                    <w:color w:val="000000" w:themeColor="text1"/>
                  </w:rPr>
                  <w:t>☐</w:t>
                </w:r>
              </w:sdtContent>
            </w:sdt>
            <w:r w:rsidR="00B14A4B" w:rsidRPr="0035383E">
              <w:rPr>
                <w:color w:val="000000" w:themeColor="text1"/>
              </w:rPr>
              <w:t xml:space="preserve"> Ne</w:t>
            </w:r>
          </w:p>
          <w:p w14:paraId="6B7AF200" w14:textId="77777777" w:rsidR="00B14A4B" w:rsidRPr="0035383E" w:rsidRDefault="007705EF" w:rsidP="007874AB">
            <w:pPr>
              <w:spacing w:line="280" w:lineRule="atLeast"/>
              <w:rPr>
                <w:rFonts w:eastAsia="Arial"/>
                <w:color w:val="000000" w:themeColor="text1"/>
              </w:rPr>
            </w:pPr>
            <w:sdt>
              <w:sdtPr>
                <w:rPr>
                  <w:color w:val="000000" w:themeColor="text1"/>
                </w:rPr>
                <w:alias w:val="Nurodykite konkrečią dieną"/>
                <w:tag w:val="Nurodykite pradžios datą"/>
                <w:id w:val="922837954"/>
                <w:placeholder>
                  <w:docPart w:val="5D1FF1C56AD0438D917E154CDFF4CAA5"/>
                </w:placeholder>
                <w15:color w:val="FFCC99"/>
                <w:date w:fullDate="2023-10-25T00:00:00Z">
                  <w:dateFormat w:val="yyyy 'm.' MMMM d 'd.'"/>
                  <w:lid w:val="lt-LT"/>
                  <w:storeMappedDataAs w:val="dateTime"/>
                  <w:calendar w:val="gregorian"/>
                </w:date>
              </w:sdtPr>
              <w:sdtEndPr/>
              <w:sdtContent>
                <w:r w:rsidR="00B14A4B" w:rsidRPr="0035383E">
                  <w:rPr>
                    <w:color w:val="000000" w:themeColor="text1"/>
                  </w:rPr>
                  <w:t>2023 m. spalio 25 d.</w:t>
                </w:r>
              </w:sdtContent>
            </w:sdt>
          </w:p>
        </w:tc>
        <w:tc>
          <w:tcPr>
            <w:tcW w:w="2351" w:type="dxa"/>
          </w:tcPr>
          <w:p w14:paraId="66A2ED59" w14:textId="77777777" w:rsidR="00B14A4B" w:rsidRPr="0035383E" w:rsidRDefault="00B14A4B" w:rsidP="007874AB">
            <w:pPr>
              <w:spacing w:line="280" w:lineRule="atLeast"/>
              <w:rPr>
                <w:rFonts w:eastAsia="Arial"/>
                <w:color w:val="000000" w:themeColor="text1"/>
              </w:rPr>
            </w:pPr>
            <w:r w:rsidRPr="0035383E">
              <w:rPr>
                <w:rFonts w:eastAsia="Arial"/>
                <w:color w:val="000000" w:themeColor="text1"/>
              </w:rPr>
              <w:t>Analizės rezultatai rodo, kad mirikizumabas suteiktų OK sergantiems pacientams vertingą naują gydymo galimybę, kuri yra gerai toleruojama ir veiksminga, pasižymi nauju veikimo būdu ir patogia palaikomojo dozavimo schema.</w:t>
            </w:r>
          </w:p>
        </w:tc>
        <w:tc>
          <w:tcPr>
            <w:tcW w:w="2725" w:type="dxa"/>
          </w:tcPr>
          <w:p w14:paraId="13785935" w14:textId="77777777" w:rsidR="00B14A4B" w:rsidRPr="0035383E" w:rsidRDefault="00B14A4B" w:rsidP="007874AB">
            <w:pPr>
              <w:spacing w:line="280" w:lineRule="atLeast"/>
              <w:rPr>
                <w:rFonts w:eastAsia="Arial"/>
                <w:color w:val="000000" w:themeColor="text1"/>
              </w:rPr>
            </w:pPr>
            <w:r w:rsidRPr="0035383E">
              <w:rPr>
                <w:rFonts w:eastAsia="Arial"/>
                <w:color w:val="000000" w:themeColor="text1"/>
              </w:rPr>
              <w:t>Mirikizumabo kaina su gydymo prieinamumo schema yra ekonomiškai naudingesnė lyginant su lyginamųjų vaistų kainomis (pagal kainoraštį).</w:t>
            </w:r>
          </w:p>
        </w:tc>
      </w:tr>
      <w:tr w:rsidR="00B14A4B" w:rsidRPr="0035383E" w14:paraId="66ED1CF9" w14:textId="77777777" w:rsidTr="007874AB">
        <w:trPr>
          <w:trHeight w:val="1547"/>
        </w:trPr>
        <w:tc>
          <w:tcPr>
            <w:tcW w:w="2927" w:type="dxa"/>
          </w:tcPr>
          <w:p w14:paraId="0FFC0107" w14:textId="77777777" w:rsidR="00B14A4B" w:rsidRPr="0035383E" w:rsidRDefault="00B14A4B" w:rsidP="007874AB">
            <w:pPr>
              <w:spacing w:line="280" w:lineRule="atLeast"/>
              <w:rPr>
                <w:rFonts w:eastAsia="Arial"/>
                <w:color w:val="000000" w:themeColor="text1"/>
              </w:rPr>
            </w:pPr>
            <w:r w:rsidRPr="0035383E">
              <w:rPr>
                <w:rFonts w:eastAsia="Arial"/>
                <w:color w:val="000000" w:themeColor="text1"/>
              </w:rPr>
              <w:t>Kanados sveikatos technologijų agentūra</w:t>
            </w:r>
          </w:p>
          <w:p w14:paraId="51C014DA" w14:textId="77777777" w:rsidR="00B14A4B" w:rsidRPr="0035383E" w:rsidRDefault="00B14A4B" w:rsidP="007874AB">
            <w:pPr>
              <w:spacing w:line="280" w:lineRule="atLeast"/>
              <w:rPr>
                <w:rFonts w:eastAsia="Arial"/>
                <w:color w:val="000000" w:themeColor="text1"/>
              </w:rPr>
            </w:pPr>
            <w:r w:rsidRPr="0035383E">
              <w:rPr>
                <w:rFonts w:eastAsia="Arial"/>
                <w:color w:val="000000" w:themeColor="text1"/>
              </w:rPr>
              <w:t xml:space="preserve">(angl. </w:t>
            </w:r>
            <w:r w:rsidRPr="0035383E">
              <w:rPr>
                <w:rFonts w:eastAsia="Arial"/>
                <w:i/>
                <w:color w:val="000000" w:themeColor="text1"/>
              </w:rPr>
              <w:t>Canadian health Technology Assessment agency, CADTH</w:t>
            </w:r>
            <w:r w:rsidRPr="0035383E">
              <w:rPr>
                <w:rFonts w:eastAsia="Arial"/>
                <w:color w:val="000000" w:themeColor="text1"/>
              </w:rPr>
              <w:t>)</w:t>
            </w:r>
          </w:p>
        </w:tc>
        <w:tc>
          <w:tcPr>
            <w:tcW w:w="1915" w:type="dxa"/>
          </w:tcPr>
          <w:p w14:paraId="50ECC896" w14:textId="77777777" w:rsidR="00B14A4B" w:rsidRPr="0035383E" w:rsidRDefault="007705EF" w:rsidP="007874AB">
            <w:pPr>
              <w:spacing w:line="280" w:lineRule="atLeast"/>
              <w:rPr>
                <w:color w:val="000000" w:themeColor="text1"/>
              </w:rPr>
            </w:pPr>
            <w:sdt>
              <w:sdtPr>
                <w:rPr>
                  <w:rStyle w:val="Style2"/>
                  <w:color w:val="000000" w:themeColor="text1"/>
                </w:rPr>
                <w:id w:val="-372539057"/>
                <w15:color w:val="FFCC00"/>
                <w14:checkbox>
                  <w14:checked w14:val="1"/>
                  <w14:checkedState w14:val="2612" w14:font="MS Gothic"/>
                  <w14:uncheckedState w14:val="2610" w14:font="MS Gothic"/>
                </w14:checkbox>
              </w:sdtPr>
              <w:sdtEndPr>
                <w:rPr>
                  <w:rStyle w:val="Style2"/>
                </w:rPr>
              </w:sdtEndPr>
              <w:sdtContent>
                <w:r w:rsidR="00B14A4B" w:rsidRPr="0035383E">
                  <w:rPr>
                    <w:rStyle w:val="Style2"/>
                    <w:rFonts w:ascii="MS Gothic" w:eastAsia="MS Gothic" w:hAnsi="MS Gothic" w:cs="Segoe UI Symbol" w:hint="eastAsia"/>
                    <w:color w:val="000000" w:themeColor="text1"/>
                  </w:rPr>
                  <w:t>☒</w:t>
                </w:r>
              </w:sdtContent>
            </w:sdt>
            <w:r w:rsidR="00B14A4B" w:rsidRPr="0035383E">
              <w:rPr>
                <w:color w:val="000000" w:themeColor="text1"/>
              </w:rPr>
              <w:t xml:space="preserve"> Taip</w:t>
            </w:r>
          </w:p>
          <w:p w14:paraId="26D7F0B8" w14:textId="77777777" w:rsidR="00B14A4B" w:rsidRPr="0035383E" w:rsidRDefault="007705EF" w:rsidP="007874AB">
            <w:pPr>
              <w:spacing w:line="280" w:lineRule="atLeast"/>
              <w:rPr>
                <w:color w:val="000000" w:themeColor="text1"/>
              </w:rPr>
            </w:pPr>
            <w:sdt>
              <w:sdtPr>
                <w:rPr>
                  <w:rStyle w:val="Style2"/>
                  <w:color w:val="000000" w:themeColor="text1"/>
                </w:rPr>
                <w:id w:val="594442222"/>
                <w15:color w:val="FFCC00"/>
                <w14:checkbox>
                  <w14:checked w14:val="0"/>
                  <w14:checkedState w14:val="2612" w14:font="MS Gothic"/>
                  <w14:uncheckedState w14:val="2610" w14:font="MS Gothic"/>
                </w14:checkbox>
              </w:sdtPr>
              <w:sdtEndPr>
                <w:rPr>
                  <w:rStyle w:val="Style2"/>
                </w:rPr>
              </w:sdtEndPr>
              <w:sdtContent>
                <w:r w:rsidR="00B14A4B" w:rsidRPr="0035383E">
                  <w:rPr>
                    <w:rStyle w:val="Style2"/>
                    <w:rFonts w:ascii="Segoe UI Symbol" w:eastAsia="MS Gothic" w:hAnsi="Segoe UI Symbol" w:cs="Segoe UI Symbol"/>
                    <w:color w:val="000000" w:themeColor="text1"/>
                  </w:rPr>
                  <w:t>☐</w:t>
                </w:r>
              </w:sdtContent>
            </w:sdt>
            <w:r w:rsidR="00B14A4B" w:rsidRPr="0035383E">
              <w:rPr>
                <w:color w:val="000000" w:themeColor="text1"/>
              </w:rPr>
              <w:t xml:space="preserve"> Ne</w:t>
            </w:r>
          </w:p>
          <w:p w14:paraId="453A8E99" w14:textId="77777777" w:rsidR="00B14A4B" w:rsidRPr="0035383E" w:rsidRDefault="007705EF" w:rsidP="007874AB">
            <w:pPr>
              <w:spacing w:line="280" w:lineRule="atLeast"/>
              <w:rPr>
                <w:rFonts w:eastAsia="Arial"/>
                <w:color w:val="000000" w:themeColor="text1"/>
              </w:rPr>
            </w:pPr>
            <w:sdt>
              <w:sdtPr>
                <w:rPr>
                  <w:color w:val="000000" w:themeColor="text1"/>
                </w:rPr>
                <w:alias w:val="Nurodykite konkrečią dieną"/>
                <w:tag w:val="Nurodykite pradžios datą"/>
                <w:id w:val="1072468416"/>
                <w:placeholder>
                  <w:docPart w:val="A9731594A2834497A63033790A6A3AFF"/>
                </w:placeholder>
                <w15:color w:val="FFCC99"/>
                <w:date w:fullDate="2024-02-09T00:00:00Z">
                  <w:dateFormat w:val="yyyy 'm.' MMMM d 'd.'"/>
                  <w:lid w:val="lt-LT"/>
                  <w:storeMappedDataAs w:val="dateTime"/>
                  <w:calendar w:val="gregorian"/>
                </w:date>
              </w:sdtPr>
              <w:sdtEndPr/>
              <w:sdtContent>
                <w:r w:rsidR="00B14A4B" w:rsidRPr="0035383E">
                  <w:rPr>
                    <w:color w:val="000000" w:themeColor="text1"/>
                  </w:rPr>
                  <w:t>2024 m. vasario 9 d.</w:t>
                </w:r>
              </w:sdtContent>
            </w:sdt>
          </w:p>
        </w:tc>
        <w:tc>
          <w:tcPr>
            <w:tcW w:w="2351" w:type="dxa"/>
          </w:tcPr>
          <w:p w14:paraId="727D4F8E" w14:textId="77777777" w:rsidR="00B14A4B" w:rsidRPr="0035383E" w:rsidRDefault="00B14A4B" w:rsidP="007874AB">
            <w:pPr>
              <w:spacing w:line="280" w:lineRule="atLeast"/>
              <w:rPr>
                <w:rFonts w:eastAsia="Arial"/>
                <w:color w:val="000000" w:themeColor="text1"/>
              </w:rPr>
            </w:pPr>
            <w:r w:rsidRPr="0035383E">
              <w:rPr>
                <w:rFonts w:eastAsia="Arial"/>
                <w:color w:val="000000" w:themeColor="text1"/>
              </w:rPr>
              <w:t>LUCENT-1 ir LUCENT-2 tyrimai pademonstravo klinikinį mirikizumabo veiksmingumą ir minimalias saugumo problemas pacientams, sergantiems vidutinio sunkumo ar sunkia UC, lyginant su placbebu, gydymo laikotarpiu iki 52 savaitės.</w:t>
            </w:r>
          </w:p>
        </w:tc>
        <w:tc>
          <w:tcPr>
            <w:tcW w:w="2725" w:type="dxa"/>
          </w:tcPr>
          <w:p w14:paraId="4C6201D5" w14:textId="5A5BF31D" w:rsidR="00B14A4B" w:rsidRPr="0035383E" w:rsidRDefault="00B14A4B" w:rsidP="007874AB">
            <w:pPr>
              <w:spacing w:line="280" w:lineRule="atLeast"/>
              <w:rPr>
                <w:rFonts w:eastAsia="Arial"/>
                <w:color w:val="000000" w:themeColor="text1"/>
              </w:rPr>
            </w:pPr>
            <w:r w:rsidRPr="0035383E">
              <w:rPr>
                <w:rFonts w:eastAsia="Arial"/>
                <w:color w:val="000000" w:themeColor="text1"/>
              </w:rPr>
              <w:t xml:space="preserve">Vertinant tik vaisto įsigijimo išlaidas, reikalingas kainos sumažinimas maždaug </w:t>
            </w:r>
            <w:r w:rsidR="00C42E2D" w:rsidRPr="00C42E2D">
              <w:rPr>
                <w:rFonts w:eastAsia="Arial"/>
                <w:color w:val="000000" w:themeColor="text1"/>
                <w:highlight w:val="yellow"/>
              </w:rPr>
              <w:t>**</w:t>
            </w:r>
            <w:r w:rsidRPr="0035383E">
              <w:rPr>
                <w:rFonts w:eastAsia="Arial"/>
                <w:color w:val="000000" w:themeColor="text1"/>
              </w:rPr>
              <w:t xml:space="preserve"> %, kad mirikizumabo kaina nebūtų brangesnė už viešai skelbiamą pigiausio pažangaus gydymo (tofacitinibo, kuris vienam pacientui per metus kainuoja nuo </w:t>
            </w:r>
            <w:r w:rsidR="007705EF" w:rsidRPr="007705EF">
              <w:rPr>
                <w:rFonts w:eastAsia="Arial"/>
                <w:color w:val="000000" w:themeColor="text1"/>
                <w:highlight w:val="yellow"/>
              </w:rPr>
              <w:t>*</w:t>
            </w:r>
            <w:r w:rsidRPr="0035383E">
              <w:rPr>
                <w:rFonts w:eastAsia="Arial"/>
                <w:color w:val="000000" w:themeColor="text1"/>
              </w:rPr>
              <w:t xml:space="preserve"> iki </w:t>
            </w:r>
            <w:r w:rsidR="007705EF" w:rsidRPr="007705EF">
              <w:rPr>
                <w:rFonts w:eastAsia="Arial"/>
                <w:color w:val="000000" w:themeColor="text1"/>
                <w:highlight w:val="yellow"/>
              </w:rPr>
              <w:t>*</w:t>
            </w:r>
            <w:r w:rsidRPr="0035383E">
              <w:rPr>
                <w:rFonts w:eastAsia="Arial"/>
                <w:color w:val="000000" w:themeColor="text1"/>
              </w:rPr>
              <w:t xml:space="preserve"> JAV dolerių) kainą.</w:t>
            </w:r>
          </w:p>
        </w:tc>
      </w:tr>
      <w:tr w:rsidR="00B14A4B" w:rsidRPr="0035383E" w14:paraId="422093AA" w14:textId="77777777" w:rsidTr="007874AB">
        <w:trPr>
          <w:trHeight w:val="1927"/>
        </w:trPr>
        <w:tc>
          <w:tcPr>
            <w:tcW w:w="2927" w:type="dxa"/>
          </w:tcPr>
          <w:p w14:paraId="317D5912" w14:textId="77777777" w:rsidR="00B14A4B" w:rsidRPr="0035383E" w:rsidRDefault="00B14A4B" w:rsidP="007874AB">
            <w:pPr>
              <w:spacing w:line="280" w:lineRule="atLeast"/>
              <w:rPr>
                <w:rFonts w:eastAsia="Arial"/>
                <w:color w:val="000000" w:themeColor="text1"/>
              </w:rPr>
            </w:pPr>
            <w:r w:rsidRPr="0035383E">
              <w:rPr>
                <w:rFonts w:eastAsia="Arial"/>
                <w:color w:val="000000" w:themeColor="text1"/>
              </w:rPr>
              <w:lastRenderedPageBreak/>
              <w:t>Nacionalinis farmakoekonomikos centras, Airija</w:t>
            </w:r>
          </w:p>
          <w:p w14:paraId="30CECE7F" w14:textId="77777777" w:rsidR="00B14A4B" w:rsidRPr="0035383E" w:rsidRDefault="00B14A4B" w:rsidP="007874AB">
            <w:pPr>
              <w:spacing w:line="280" w:lineRule="atLeast"/>
              <w:rPr>
                <w:rFonts w:eastAsia="Arial"/>
                <w:color w:val="000000" w:themeColor="text1"/>
              </w:rPr>
            </w:pPr>
            <w:r w:rsidRPr="0035383E">
              <w:rPr>
                <w:rFonts w:eastAsia="Arial"/>
                <w:color w:val="000000" w:themeColor="text1"/>
              </w:rPr>
              <w:t>(angl.</w:t>
            </w:r>
            <w:r w:rsidRPr="0035383E">
              <w:rPr>
                <w:rFonts w:eastAsia="Arial"/>
                <w:i/>
                <w:color w:val="000000" w:themeColor="text1"/>
              </w:rPr>
              <w:t xml:space="preserve"> National Centre for Pharmacoeconomics, NCPE</w:t>
            </w:r>
            <w:r w:rsidRPr="0035383E">
              <w:rPr>
                <w:rFonts w:eastAsia="Arial"/>
                <w:color w:val="000000" w:themeColor="text1"/>
              </w:rPr>
              <w:t>)</w:t>
            </w:r>
          </w:p>
        </w:tc>
        <w:tc>
          <w:tcPr>
            <w:tcW w:w="1915" w:type="dxa"/>
          </w:tcPr>
          <w:p w14:paraId="08D4B881" w14:textId="77777777" w:rsidR="00B14A4B" w:rsidRPr="0035383E" w:rsidRDefault="007705EF" w:rsidP="007874AB">
            <w:pPr>
              <w:spacing w:line="280" w:lineRule="atLeast"/>
              <w:rPr>
                <w:color w:val="000000" w:themeColor="text1"/>
              </w:rPr>
            </w:pPr>
            <w:sdt>
              <w:sdtPr>
                <w:rPr>
                  <w:rStyle w:val="Style2"/>
                  <w:color w:val="000000" w:themeColor="text1"/>
                </w:rPr>
                <w:id w:val="-1888403732"/>
                <w15:color w:val="FFCC00"/>
                <w14:checkbox>
                  <w14:checked w14:val="1"/>
                  <w14:checkedState w14:val="2612" w14:font="MS Gothic"/>
                  <w14:uncheckedState w14:val="2610" w14:font="MS Gothic"/>
                </w14:checkbox>
              </w:sdtPr>
              <w:sdtEndPr>
                <w:rPr>
                  <w:rStyle w:val="Style2"/>
                </w:rPr>
              </w:sdtEndPr>
              <w:sdtContent>
                <w:r w:rsidR="00B14A4B" w:rsidRPr="0035383E">
                  <w:rPr>
                    <w:rStyle w:val="Style2"/>
                    <w:rFonts w:ascii="MS Gothic" w:eastAsia="MS Gothic" w:hAnsi="MS Gothic" w:cs="Segoe UI Symbol" w:hint="eastAsia"/>
                    <w:color w:val="000000" w:themeColor="text1"/>
                  </w:rPr>
                  <w:t>☒</w:t>
                </w:r>
              </w:sdtContent>
            </w:sdt>
            <w:r w:rsidR="00B14A4B" w:rsidRPr="0035383E">
              <w:rPr>
                <w:color w:val="000000" w:themeColor="text1"/>
              </w:rPr>
              <w:t xml:space="preserve"> Taip</w:t>
            </w:r>
          </w:p>
          <w:p w14:paraId="63B6E296" w14:textId="77777777" w:rsidR="00B14A4B" w:rsidRPr="0035383E" w:rsidRDefault="007705EF" w:rsidP="007874AB">
            <w:pPr>
              <w:spacing w:line="280" w:lineRule="atLeast"/>
              <w:rPr>
                <w:color w:val="000000" w:themeColor="text1"/>
              </w:rPr>
            </w:pPr>
            <w:sdt>
              <w:sdtPr>
                <w:rPr>
                  <w:rStyle w:val="Style2"/>
                  <w:color w:val="000000" w:themeColor="text1"/>
                </w:rPr>
                <w:id w:val="1092201793"/>
                <w15:color w:val="FFCC00"/>
                <w14:checkbox>
                  <w14:checked w14:val="0"/>
                  <w14:checkedState w14:val="2612" w14:font="MS Gothic"/>
                  <w14:uncheckedState w14:val="2610" w14:font="MS Gothic"/>
                </w14:checkbox>
              </w:sdtPr>
              <w:sdtEndPr>
                <w:rPr>
                  <w:rStyle w:val="Style2"/>
                </w:rPr>
              </w:sdtEndPr>
              <w:sdtContent>
                <w:r w:rsidR="00B14A4B" w:rsidRPr="0035383E">
                  <w:rPr>
                    <w:rStyle w:val="Style2"/>
                    <w:rFonts w:ascii="Segoe UI Symbol" w:eastAsia="MS Gothic" w:hAnsi="Segoe UI Symbol" w:cs="Segoe UI Symbol"/>
                    <w:color w:val="000000" w:themeColor="text1"/>
                  </w:rPr>
                  <w:t>☐</w:t>
                </w:r>
              </w:sdtContent>
            </w:sdt>
            <w:r w:rsidR="00B14A4B" w:rsidRPr="0035383E">
              <w:rPr>
                <w:color w:val="000000" w:themeColor="text1"/>
              </w:rPr>
              <w:t xml:space="preserve"> Ne</w:t>
            </w:r>
          </w:p>
          <w:p w14:paraId="7A1F7765" w14:textId="77777777" w:rsidR="00B14A4B" w:rsidRPr="0035383E" w:rsidRDefault="007705EF" w:rsidP="007874AB">
            <w:pPr>
              <w:spacing w:line="280" w:lineRule="atLeast"/>
              <w:rPr>
                <w:rFonts w:eastAsia="Arial"/>
                <w:color w:val="000000" w:themeColor="text1"/>
              </w:rPr>
            </w:pPr>
            <w:sdt>
              <w:sdtPr>
                <w:rPr>
                  <w:color w:val="000000" w:themeColor="text1"/>
                </w:rPr>
                <w:alias w:val="Nurodykite konkrečią dieną"/>
                <w:tag w:val="Nurodykite pradžios datą"/>
                <w:id w:val="-198323198"/>
                <w:placeholder>
                  <w:docPart w:val="267B7274E16440BC9CD39D7119E74DCF"/>
                </w:placeholder>
                <w15:color w:val="FFCC99"/>
                <w:date w:fullDate="2023-08-24T00:00:00Z">
                  <w:dateFormat w:val="yyyy 'm.' MMMM d 'd.'"/>
                  <w:lid w:val="lt-LT"/>
                  <w:storeMappedDataAs w:val="dateTime"/>
                  <w:calendar w:val="gregorian"/>
                </w:date>
              </w:sdtPr>
              <w:sdtEndPr/>
              <w:sdtContent>
                <w:r w:rsidR="00B14A4B" w:rsidRPr="0035383E">
                  <w:rPr>
                    <w:color w:val="000000" w:themeColor="text1"/>
                  </w:rPr>
                  <w:t>2023 m. rugpjūčio 24 d.</w:t>
                </w:r>
              </w:sdtContent>
            </w:sdt>
          </w:p>
        </w:tc>
        <w:tc>
          <w:tcPr>
            <w:tcW w:w="2351" w:type="dxa"/>
          </w:tcPr>
          <w:p w14:paraId="243454E8" w14:textId="77777777" w:rsidR="00B14A4B" w:rsidRPr="0035383E" w:rsidRDefault="00B14A4B" w:rsidP="007874AB">
            <w:pPr>
              <w:spacing w:line="280" w:lineRule="atLeast"/>
              <w:rPr>
                <w:rFonts w:eastAsia="Arial"/>
                <w:color w:val="000000" w:themeColor="text1"/>
              </w:rPr>
            </w:pPr>
          </w:p>
        </w:tc>
        <w:tc>
          <w:tcPr>
            <w:tcW w:w="2725" w:type="dxa"/>
          </w:tcPr>
          <w:p w14:paraId="06A9FB76" w14:textId="77777777" w:rsidR="00B14A4B" w:rsidRPr="0035383E" w:rsidRDefault="00B14A4B" w:rsidP="007874AB">
            <w:pPr>
              <w:spacing w:line="280" w:lineRule="atLeast"/>
              <w:rPr>
                <w:rFonts w:eastAsia="Arial"/>
                <w:color w:val="000000" w:themeColor="text1"/>
              </w:rPr>
            </w:pPr>
            <w:r w:rsidRPr="0035383E">
              <w:rPr>
                <w:rFonts w:eastAsia="Arial"/>
                <w:color w:val="000000" w:themeColor="text1"/>
              </w:rPr>
              <w:t>Atlikta greitoji apžvalga. Nerekomenduota atlikti detalios apžvalgos esant siūlomai vaisto kainai.</w:t>
            </w:r>
          </w:p>
        </w:tc>
      </w:tr>
    </w:tbl>
    <w:p w14:paraId="76CDCAA1" w14:textId="77777777" w:rsidR="00B14A4B" w:rsidRPr="00B14A4B" w:rsidRDefault="00B14A4B" w:rsidP="00B14A4B">
      <w:pPr>
        <w:spacing w:line="280" w:lineRule="atLeast"/>
        <w:rPr>
          <w:rFonts w:eastAsia="Arial"/>
          <w:color w:val="000000" w:themeColor="text1"/>
        </w:rPr>
      </w:pPr>
    </w:p>
    <w:p w14:paraId="5055E8A8" w14:textId="4C072D3C" w:rsidR="002E6F80" w:rsidRPr="00E33EFF" w:rsidRDefault="00B14A4B" w:rsidP="00CC09D4">
      <w:pPr>
        <w:pStyle w:val="ListParagraph"/>
        <w:numPr>
          <w:ilvl w:val="0"/>
          <w:numId w:val="12"/>
        </w:numPr>
        <w:tabs>
          <w:tab w:val="left" w:pos="567"/>
        </w:tabs>
        <w:ind w:hanging="720"/>
        <w:rPr>
          <w:b/>
          <w:bCs/>
          <w:caps/>
        </w:rPr>
      </w:pPr>
      <w:r>
        <w:rPr>
          <w:b/>
          <w:bCs/>
          <w:caps/>
        </w:rPr>
        <w:t>Kliniknio verti</w:t>
      </w:r>
      <w:r w:rsidR="00CC7832" w:rsidRPr="00E33EFF">
        <w:rPr>
          <w:b/>
          <w:bCs/>
          <w:caps/>
        </w:rPr>
        <w:t>nimo a</w:t>
      </w:r>
      <w:r w:rsidR="00D4485B" w:rsidRPr="00E33EFF">
        <w:rPr>
          <w:b/>
          <w:bCs/>
          <w:caps/>
        </w:rPr>
        <w:t>pibendrinimas</w:t>
      </w:r>
    </w:p>
    <w:p w14:paraId="1A00BC8E" w14:textId="3A1F7917" w:rsidR="00A93AA6" w:rsidRPr="00E33EFF" w:rsidRDefault="00621D6C" w:rsidP="00A93AA6">
      <w:pPr>
        <w:tabs>
          <w:tab w:val="left" w:pos="284"/>
        </w:tabs>
        <w:rPr>
          <w:bCs/>
          <w:i/>
          <w:caps/>
          <w:color w:val="00B050"/>
          <w:sz w:val="22"/>
        </w:rPr>
      </w:pPr>
      <w:r w:rsidRPr="00E33EFF">
        <w:rPr>
          <w:bCs/>
          <w:i/>
          <w:caps/>
          <w:color w:val="00B050"/>
          <w:sz w:val="22"/>
        </w:rPr>
        <w:t xml:space="preserve"> </w:t>
      </w:r>
    </w:p>
    <w:p w14:paraId="1D45797D" w14:textId="5DBC6483" w:rsidR="00746250" w:rsidRPr="00746250" w:rsidRDefault="00CB4759" w:rsidP="00746250">
      <w:pPr>
        <w:tabs>
          <w:tab w:val="left" w:pos="426"/>
        </w:tabs>
        <w:spacing w:line="280" w:lineRule="atLeast"/>
        <w:jc w:val="both"/>
        <w:rPr>
          <w:rFonts w:eastAsia="Arial"/>
          <w:iCs/>
          <w:color w:val="000000"/>
        </w:rPr>
      </w:pPr>
      <w:r>
        <w:rPr>
          <w:rFonts w:eastAsia="Arial"/>
          <w:iCs/>
          <w:color w:val="000000"/>
        </w:rPr>
        <w:tab/>
      </w:r>
      <w:r w:rsidR="00746250" w:rsidRPr="00746250">
        <w:rPr>
          <w:rFonts w:eastAsia="Arial"/>
          <w:iCs/>
          <w:color w:val="000000"/>
        </w:rPr>
        <w:t>Opinis kolitas (OK; TLK-10: K51), labiausiai paplitęs uždegiminės žarnyno ligos (UŽL) potipis, yra sudėtinga lėtinė liga, kuriai būdingi progresuojantys anatominiai ir funkciniai storosios žarnos pokyčiai. Klinikinei OK eigai būdingi ligos paūmėjimai, kai pacientams pasireiškia įvairaus sunkumo ligos simptomai, ir remisijos, kai simptomų pasireiškia nedaug. Pagal ligos aktyvumą ir sunkumą remiantis klinikinių (pvz., tuštinimosi dažnis, kraujas išmatose) ir laboratorinių vertinimų rezultatais paprastai liga klasifikuojama kaip nesunki, vidutinio sunkumo arba sunki. Per pirmuosius metus po diagnozės nustatymo maždaug 40 proc. pacientų išsivysto vidutinio sunkumo ar sunki aktyvi liga.</w:t>
      </w:r>
    </w:p>
    <w:p w14:paraId="0D527ECA" w14:textId="77777777" w:rsidR="00746250" w:rsidRPr="00746250" w:rsidRDefault="00746250" w:rsidP="00746250">
      <w:pPr>
        <w:tabs>
          <w:tab w:val="left" w:pos="426"/>
        </w:tabs>
        <w:spacing w:line="280" w:lineRule="atLeast"/>
        <w:jc w:val="both"/>
        <w:rPr>
          <w:rFonts w:eastAsia="Arial"/>
          <w:iCs/>
          <w:color w:val="000000"/>
        </w:rPr>
      </w:pPr>
      <w:r w:rsidRPr="00746250">
        <w:rPr>
          <w:rFonts w:eastAsia="Arial"/>
          <w:iCs/>
          <w:color w:val="000000"/>
        </w:rPr>
        <w:tab/>
        <w:t>Lietuvoje OK diagnostika ir gydymas reglamentuojami Lietuvos Respublikos sveikatos apsaugos ministro įsakymu „Dėl kolito diagnostikos ir gydymo vaistais, kurių įsigijimo išlaidos apmokamos privalomojo Sveikatos draudimo fondo biudžeto lėšomis, tvarkos aprašo patvirtinimo“ (2018 m. vasario 12 d. Nr. V-159, toliau Įsakymas V-159). OK gydymas priklauso nuo ligos paplitimo ir sunkumo: „Pagrindinis opinio kolito gydymo tikslas yra ilgalaikė klinikinė, endoskopinė ir histologinė remisija, leidžianti išvengti visų įmanomų ligos komplikacijų, chirurginių intervencijų bei hospitalizacijos ir užtikrinanti optimalią paciento gyvenimo kokybę bei normalų darbingumą.“</w:t>
      </w:r>
    </w:p>
    <w:p w14:paraId="30D6BEB6" w14:textId="77777777" w:rsidR="00746250" w:rsidRPr="00746250" w:rsidRDefault="00746250" w:rsidP="00746250">
      <w:pPr>
        <w:tabs>
          <w:tab w:val="left" w:pos="426"/>
        </w:tabs>
        <w:spacing w:line="280" w:lineRule="atLeast"/>
        <w:jc w:val="both"/>
        <w:rPr>
          <w:rFonts w:eastAsia="Arial"/>
          <w:iCs/>
          <w:color w:val="000000"/>
        </w:rPr>
      </w:pPr>
      <w:r w:rsidRPr="00746250">
        <w:rPr>
          <w:rFonts w:eastAsia="Arial"/>
          <w:iCs/>
          <w:color w:val="000000"/>
        </w:rPr>
        <w:tab/>
      </w:r>
      <w:r w:rsidRPr="00746250">
        <w:rPr>
          <w:bCs/>
          <w:iCs/>
          <w:color w:val="000000"/>
          <w:lang w:eastAsia="lt-LT"/>
        </w:rPr>
        <w:t xml:space="preserve">Vadovaujantis Lietuvos Respublikos sveikatos apsaugos ministro 2002 m. balandžio 5 d. įsakymu Nr. V-159 „Dėl vaistinių preparatų ir medicinos pagalbos priemonių įrašymo į kompensavimo sąrašus ir jų keitimo tvarkos aprašo patvirtinimo“ 116 - 119 punktais, tinkamas palyginamasis gydymas yra TNF alfa inhibitoriai,  </w:t>
      </w:r>
      <w:r w:rsidRPr="00746250">
        <w:rPr>
          <w:rFonts w:eastAsia="Arial"/>
          <w:color w:val="000000"/>
        </w:rPr>
        <w:t>tofacitinibas, ustekinumabas arba vedolizumabas</w:t>
      </w:r>
      <w:r w:rsidRPr="00746250">
        <w:rPr>
          <w:bCs/>
          <w:iCs/>
          <w:color w:val="000000"/>
          <w:lang w:eastAsia="lt-LT"/>
        </w:rPr>
        <w:t>, nes jie atitinka įprastinę klinikinę praktiką Lietuvoje</w:t>
      </w:r>
    </w:p>
    <w:p w14:paraId="395F0FDA" w14:textId="77777777" w:rsidR="00746250" w:rsidRPr="00746250" w:rsidRDefault="00746250" w:rsidP="00746250">
      <w:pPr>
        <w:tabs>
          <w:tab w:val="left" w:pos="426"/>
        </w:tabs>
        <w:spacing w:line="280" w:lineRule="atLeast"/>
        <w:jc w:val="both"/>
        <w:rPr>
          <w:iCs/>
          <w:color w:val="000000"/>
          <w:lang w:eastAsia="lt-LT"/>
        </w:rPr>
      </w:pPr>
      <w:r w:rsidRPr="00746250">
        <w:rPr>
          <w:iCs/>
          <w:color w:val="000000"/>
          <w:lang w:eastAsia="lt-LT"/>
        </w:rPr>
        <w:tab/>
        <w:t xml:space="preserve">Klinikinio veiksmingumo vertinimas grindžiamas netiesioginio palyginimo analizė, kurioje mirkizumabo gydymo efektyvumas buvo lyginamas su  </w:t>
      </w:r>
      <w:r w:rsidRPr="00746250">
        <w:rPr>
          <w:rFonts w:eastAsia="Arial"/>
          <w:color w:val="000000"/>
        </w:rPr>
        <w:t>adalimumabu, infliksimabu, tofacitinibus, ustekinumabu arba vedolizumabu</w:t>
      </w:r>
      <w:r w:rsidRPr="00746250">
        <w:rPr>
          <w:iCs/>
          <w:color w:val="000000"/>
          <w:lang w:eastAsia="lt-LT"/>
        </w:rPr>
        <w:t xml:space="preserve">, kurie šiuo metu Lietuvoje skiriami atitinkamiems pacientų grupėms kaip įprastinė klinikinė praktika. </w:t>
      </w:r>
      <w:r w:rsidRPr="00746250">
        <w:rPr>
          <w:rFonts w:eastAsia="Arial"/>
        </w:rPr>
        <w:t xml:space="preserve">Šiuo metu OK gydymas </w:t>
      </w:r>
      <w:r w:rsidRPr="00746250">
        <w:rPr>
          <w:rFonts w:eastAsia="Arial"/>
          <w:color w:val="000000"/>
        </w:rPr>
        <w:t>adalimumabu, infliksimabu, tofacitinibus, ustekinumabu arba vedolizumabu l</w:t>
      </w:r>
      <w:r w:rsidRPr="00746250">
        <w:rPr>
          <w:bCs/>
          <w:color w:val="000000"/>
        </w:rPr>
        <w:t>aikomas įprastinė klinikinė praktika Lietuvoje.</w:t>
      </w:r>
    </w:p>
    <w:p w14:paraId="0EEFFFD5" w14:textId="77777777" w:rsidR="00746250" w:rsidRPr="00746250" w:rsidRDefault="00746250" w:rsidP="00746250">
      <w:pPr>
        <w:tabs>
          <w:tab w:val="left" w:pos="426"/>
        </w:tabs>
        <w:spacing w:line="276" w:lineRule="auto"/>
        <w:jc w:val="both"/>
        <w:rPr>
          <w:color w:val="000000"/>
          <w:szCs w:val="20"/>
          <w:lang w:eastAsia="lt-LT"/>
        </w:rPr>
      </w:pPr>
      <w:r w:rsidRPr="00746250">
        <w:rPr>
          <w:color w:val="000000"/>
          <w:szCs w:val="20"/>
          <w:lang w:eastAsia="lt-LT"/>
        </w:rPr>
        <w:tab/>
        <w:t>Tikslinė pacientų populiacija buvo pacientai,</w:t>
      </w:r>
      <w:r w:rsidRPr="00746250">
        <w:rPr>
          <w:iCs/>
          <w:color w:val="000000"/>
          <w:szCs w:val="20"/>
          <w:lang w:eastAsia="lt-LT"/>
        </w:rPr>
        <w:t xml:space="preserve"> </w:t>
      </w:r>
      <w:r w:rsidRPr="00746250">
        <w:rPr>
          <w:color w:val="000000"/>
        </w:rPr>
        <w:t xml:space="preserve">sergantys vidutinio sunkumo ar sunkiu aktyviu opiniu kolitu, kuriems įprastinis arba biologinis gydymas sukėlė nepakankamą atsaką, atsakas išnyko arba gydymas buvo netoleruojamas arba </w:t>
      </w:r>
      <w:r w:rsidRPr="00746250">
        <w:rPr>
          <w:iCs/>
          <w:color w:val="000000"/>
          <w:szCs w:val="20"/>
          <w:lang w:eastAsia="lt-LT"/>
        </w:rPr>
        <w:t>kuriems jau buvo taikoma biologinę terapija ir buvo neefektyvi arba blogai toleruojama.</w:t>
      </w:r>
      <w:r w:rsidRPr="00746250">
        <w:rPr>
          <w:color w:val="000000"/>
          <w:szCs w:val="20"/>
          <w:lang w:eastAsia="lt-LT"/>
        </w:rPr>
        <w:t xml:space="preserve"> Dėl netinkamo palyginamojo gydymo tiesioginio palyginimo tyrimų LUCENT1 ir LUCENT 2 rezultatai (pacientų pasiektų klinikinės remisijos dalis indukcijos ir palaikomojo gydymo fazėse) laikomi papildoma informacija. Šių tyrimo klinikinių baigčių duomenys buvo taikomi netiesioginio palyginimo analizėje.</w:t>
      </w:r>
    </w:p>
    <w:p w14:paraId="2836357E" w14:textId="77777777" w:rsidR="00746250" w:rsidRPr="00746250" w:rsidRDefault="00746250" w:rsidP="00746250">
      <w:pPr>
        <w:tabs>
          <w:tab w:val="left" w:pos="426"/>
        </w:tabs>
        <w:spacing w:line="280" w:lineRule="atLeast"/>
        <w:jc w:val="both"/>
        <w:rPr>
          <w:rFonts w:eastAsia="Arial"/>
          <w:iCs/>
          <w:color w:val="000000"/>
        </w:rPr>
      </w:pPr>
      <w:r w:rsidRPr="00746250">
        <w:rPr>
          <w:iCs/>
          <w:color w:val="000000"/>
          <w:lang w:eastAsia="lt-LT"/>
        </w:rPr>
        <w:tab/>
        <w:t xml:space="preserve">LUCENT-1 tyrimas – </w:t>
      </w:r>
      <w:r w:rsidRPr="00746250">
        <w:rPr>
          <w:rFonts w:eastAsia="Arial"/>
          <w:iCs/>
          <w:color w:val="000000"/>
        </w:rPr>
        <w:t>3 fazės, daugiacentris, atsitiktinių imčių, dvigubai koduotas, lygiagretus, placebu kontroliuojamas. LUCENT 1 tyrimo metu tiriamiesiems atsitiktinės atrankos būdu 3:1 buvo kas 4 savaites skiriama intraveniškai 300 mg mirikizumabo arba placebo. Po 12 savaičių indukcinio gydymo LUCENT-1 tyrime, mirikizumabu gydyti pacientai, kuriems 12-ą savaitę buvo pasiektas klinikinis atsakas, galėjo būti paskirti į palaikomąjį 40 savaičių LUCENT 2 tyrimą, kurio metu atsitiktinės atrankos būdu (2:1) būdavo kas 4 savaites skiriama mirikizumabo 200 mg arba placebo į poodį. Gydymas buvo tęsiamas visą 40 savaičių trukmės LUCENT-2 laikotarpį arba tol, kol išnyko atsakas. Jei atsakas išnykdavo, dalyviams, gydytiems mirikizumabu arba placebu, 12 savaičių buvo skiriamas intraveninis 300 mg mirikizumabo kas 4 savaites palaikomasis gydymas.</w:t>
      </w:r>
    </w:p>
    <w:p w14:paraId="42AEF592" w14:textId="77777777" w:rsidR="00746250" w:rsidRPr="00746250" w:rsidRDefault="00746250" w:rsidP="00746250">
      <w:pPr>
        <w:tabs>
          <w:tab w:val="left" w:pos="492"/>
        </w:tabs>
        <w:spacing w:line="280" w:lineRule="atLeast"/>
        <w:jc w:val="both"/>
        <w:outlineLvl w:val="1"/>
        <w:rPr>
          <w:rFonts w:eastAsia="Arial"/>
          <w:iCs/>
          <w:color w:val="000000"/>
        </w:rPr>
      </w:pPr>
      <w:r w:rsidRPr="00746250">
        <w:rPr>
          <w:rFonts w:eastAsia="Arial"/>
          <w:iCs/>
          <w:color w:val="000000"/>
        </w:rPr>
        <w:lastRenderedPageBreak/>
        <w:tab/>
        <w:t>Praėjus 52 savaitėms po mirikizumabo poveikio klinikiniuose tyrimuose pacientai, kuriems gydymas mirikizumabu buvo naudingas, galėjo dalyvauti LUCENT-3 – šiuo metu vykstančiame atvirame, ilgalaikiame, pratęstame tyrime, kurio metu jie iki 160 savaičių gaus poodinį mirikizumabo 200 mg kas 4 savaites.</w:t>
      </w:r>
    </w:p>
    <w:p w14:paraId="4D0FB0DD" w14:textId="77777777" w:rsidR="00746250" w:rsidRPr="00746250" w:rsidRDefault="00746250" w:rsidP="00746250">
      <w:pPr>
        <w:tabs>
          <w:tab w:val="left" w:pos="426"/>
        </w:tabs>
        <w:spacing w:line="280" w:lineRule="atLeast"/>
        <w:jc w:val="both"/>
        <w:rPr>
          <w:iCs/>
          <w:color w:val="000000"/>
          <w:lang w:eastAsia="lt-LT"/>
        </w:rPr>
      </w:pPr>
      <w:r w:rsidRPr="00746250">
        <w:rPr>
          <w:iCs/>
          <w:color w:val="000000"/>
          <w:lang w:eastAsia="lt-LT"/>
        </w:rPr>
        <w:tab/>
        <w:t>Atsižvelgiant į LUCENT-1 iš anksto numatytą statistiniame plane pasiektos klinikinės remisijos dažnio absoliutų skirtumą tarp palyginamųjų mirikizumabo ir placebo grupių bendrai - 15,2 proc., biologiškai naivių tiriamųjų pogrupyje – 12,5 proc. ir biologiniais vaistais anksčiau gydytų tiriamųjų pogrupyje – 18 proc., pirminės baigties tikslas indukcinės fazės metu buvo pasiektas tik biologiškai naivių tiriamųjų pogrupyje. Atitinkamose grupėse gauti skirtumai: 10,9 proc., 15,1 proc. ir 6,7-7,6 proc.</w:t>
      </w:r>
    </w:p>
    <w:p w14:paraId="6E00EB6B" w14:textId="77777777" w:rsidR="00746250" w:rsidRPr="00746250" w:rsidRDefault="00746250" w:rsidP="00746250">
      <w:pPr>
        <w:tabs>
          <w:tab w:val="left" w:pos="426"/>
        </w:tabs>
        <w:spacing w:line="280" w:lineRule="atLeast"/>
        <w:jc w:val="both"/>
        <w:rPr>
          <w:iCs/>
          <w:color w:val="000000"/>
          <w:lang w:eastAsia="lt-LT"/>
        </w:rPr>
      </w:pPr>
      <w:r w:rsidRPr="00746250">
        <w:rPr>
          <w:iCs/>
          <w:color w:val="000000"/>
          <w:lang w:eastAsia="lt-LT"/>
        </w:rPr>
        <w:t>Remiantis LUCENT-2 tyrimo rezultatais, pacientams, kuriems buvo taikytas biologinis gydymas ir jis sukėlė nepakankamą atsaką, atsakas išnyko arba gydymas buvo netoleruojamas, mirikizumabo indukcija (30 mg i. v.) statistiškai reikšmingai daugiau pacientų pasiekė klinikinės remisijos 40-ą tyrimo savaitę.</w:t>
      </w:r>
    </w:p>
    <w:p w14:paraId="34545F9C" w14:textId="77777777" w:rsidR="00746250" w:rsidRPr="00746250" w:rsidRDefault="00746250" w:rsidP="00746250">
      <w:pPr>
        <w:tabs>
          <w:tab w:val="left" w:pos="426"/>
        </w:tabs>
        <w:spacing w:line="280" w:lineRule="atLeast"/>
        <w:jc w:val="both"/>
        <w:rPr>
          <w:iCs/>
          <w:color w:val="000000"/>
          <w:lang w:eastAsia="lt-LT"/>
        </w:rPr>
      </w:pPr>
      <w:r w:rsidRPr="00746250">
        <w:rPr>
          <w:iCs/>
          <w:color w:val="000000"/>
          <w:lang w:eastAsia="lt-LT"/>
        </w:rPr>
        <w:tab/>
        <w:t>Remiantis LUCENT-1 arba LUCENT-2 tiriamųjų praneštomis baigtimis reikšmingai teigiamai įvertinti  pokyčiai, palyginti su pradiniu lygiu, pagal HRQoL balus buvo didesni mirikizumabo grupėje palyginti su placebo grupe. Taip pat užfiksuotas statistiškai reikšmingas pacientų savijautos pagerėjimas mirikizumabo grupėje lyginant su placebu pagal WPAI:UC klausimyną.</w:t>
      </w:r>
    </w:p>
    <w:p w14:paraId="23E4A157" w14:textId="77777777" w:rsidR="00746250" w:rsidRPr="00746250" w:rsidRDefault="00746250" w:rsidP="00746250">
      <w:pPr>
        <w:tabs>
          <w:tab w:val="left" w:pos="426"/>
        </w:tabs>
        <w:spacing w:line="280" w:lineRule="atLeast"/>
        <w:jc w:val="both"/>
        <w:rPr>
          <w:iCs/>
          <w:color w:val="000000"/>
          <w:lang w:eastAsia="lt-LT"/>
        </w:rPr>
      </w:pPr>
      <w:r w:rsidRPr="00746250">
        <w:rPr>
          <w:iCs/>
          <w:color w:val="000000"/>
          <w:lang w:eastAsia="lt-LT"/>
        </w:rPr>
        <w:tab/>
        <w:t>Klinikiniai tyrimai LUCENT-1 ir LUCENT-2 yra registraciniai tyrimai ir visi nepageidautini reiškiniai atitinka saugumo charakteristiką, pateiktą mirikizumabo preparato charakteristikų santraukoje.</w:t>
      </w:r>
    </w:p>
    <w:p w14:paraId="150E4CE4" w14:textId="77777777" w:rsidR="00746250" w:rsidRPr="00746250" w:rsidRDefault="00746250" w:rsidP="00746250">
      <w:pPr>
        <w:tabs>
          <w:tab w:val="left" w:pos="426"/>
        </w:tabs>
        <w:spacing w:line="280" w:lineRule="atLeast"/>
        <w:jc w:val="both"/>
        <w:rPr>
          <w:iCs/>
          <w:color w:val="000000"/>
          <w:lang w:eastAsia="lt-LT"/>
        </w:rPr>
      </w:pPr>
    </w:p>
    <w:p w14:paraId="60A888D7" w14:textId="77777777" w:rsidR="00746250" w:rsidRPr="00746250" w:rsidRDefault="00746250" w:rsidP="00746250">
      <w:pPr>
        <w:tabs>
          <w:tab w:val="left" w:pos="426"/>
        </w:tabs>
        <w:spacing w:line="280" w:lineRule="atLeast"/>
        <w:jc w:val="both"/>
        <w:rPr>
          <w:i/>
          <w:iCs/>
          <w:color w:val="000000"/>
          <w:lang w:eastAsia="lt-LT"/>
        </w:rPr>
      </w:pPr>
      <w:r w:rsidRPr="00746250">
        <w:rPr>
          <w:iCs/>
          <w:color w:val="000000"/>
          <w:lang w:eastAsia="lt-LT"/>
        </w:rPr>
        <w:tab/>
      </w:r>
      <w:r w:rsidRPr="00746250">
        <w:rPr>
          <w:i/>
          <w:iCs/>
          <w:color w:val="000000"/>
          <w:lang w:eastAsia="lt-LT"/>
        </w:rPr>
        <w:t>Netiesioginis palyginimas</w:t>
      </w:r>
    </w:p>
    <w:p w14:paraId="3C967AEB" w14:textId="77777777" w:rsidR="00746250" w:rsidRPr="00746250" w:rsidRDefault="00746250" w:rsidP="00746250">
      <w:pPr>
        <w:tabs>
          <w:tab w:val="left" w:pos="426"/>
        </w:tabs>
        <w:spacing w:line="280" w:lineRule="atLeast"/>
        <w:jc w:val="both"/>
        <w:rPr>
          <w:bCs/>
          <w:iCs/>
          <w:color w:val="000000"/>
          <w:lang w:eastAsia="lt-LT"/>
        </w:rPr>
      </w:pPr>
      <w:r w:rsidRPr="00746250">
        <w:rPr>
          <w:bCs/>
          <w:iCs/>
          <w:color w:val="000000"/>
          <w:lang w:eastAsia="lt-LT"/>
        </w:rPr>
        <w:tab/>
        <w:t xml:space="preserve">Iš viso į indukcinio laikotarpio analizę buvo įtraukti 24 tyrimai, kuriuose vertinta dešimt intervencijų (adalimumabas, filgotinibas, golimumabas, infliksimabas, mirikizumabas, ozanimodas, tofacitinibas, upadacitinibas, ustekinumabas ir vedolizumabas) ir placebas. Dauguma intervencijų buvo vertinamos vieno ar dviejų placebu kontroliuojamų tyrimų metu, o vieno tiesioginio tyrimo metu buvo lyginami adalimumabas ir vedolizumabas (VARSITY). </w:t>
      </w:r>
      <w:r w:rsidRPr="00746250">
        <w:rPr>
          <w:rFonts w:eastAsia="Arial"/>
          <w:iCs/>
          <w:color w:val="000000"/>
        </w:rPr>
        <w:t>Iš viso į palaikomojo laikotarpio analizę įtraukta 15 tyrimų, kuriuose vertinta 10 intervencijų (adalimumabas, filgotinibas, golimumabas, infliksimabas, mirikizumabas, ozanimodas, tofacitinibas, upadacitinibas, ustekinumabas ir vedolizumabas), 16 dozavimo režimų ir placebas. Dauguma intervencijų buvo vertinamos viename placebu kontroliuojamame tyrime, o viename tiesioginiame tyrime buvo lyginami adalimumabas ir vedolizumabas (VARSITY).</w:t>
      </w:r>
    </w:p>
    <w:p w14:paraId="73F668E7" w14:textId="77777777" w:rsidR="00746250" w:rsidRPr="00746250" w:rsidRDefault="00746250" w:rsidP="00746250">
      <w:pPr>
        <w:tabs>
          <w:tab w:val="left" w:pos="426"/>
        </w:tabs>
        <w:spacing w:line="280" w:lineRule="atLeast"/>
        <w:jc w:val="both"/>
        <w:rPr>
          <w:iCs/>
          <w:color w:val="000000"/>
          <w:lang w:eastAsia="lt-LT"/>
        </w:rPr>
      </w:pPr>
    </w:p>
    <w:p w14:paraId="4F235676" w14:textId="77777777" w:rsidR="00746250" w:rsidRPr="00746250" w:rsidRDefault="00746250" w:rsidP="00746250">
      <w:pPr>
        <w:tabs>
          <w:tab w:val="left" w:pos="426"/>
        </w:tabs>
        <w:spacing w:line="280" w:lineRule="atLeast"/>
        <w:jc w:val="both"/>
        <w:rPr>
          <w:bCs/>
          <w:iCs/>
          <w:color w:val="000000"/>
          <w:lang w:eastAsia="lt-LT"/>
        </w:rPr>
      </w:pPr>
      <w:r w:rsidRPr="00746250">
        <w:rPr>
          <w:i/>
          <w:iCs/>
          <w:color w:val="000000"/>
          <w:lang w:eastAsia="lt-LT"/>
        </w:rPr>
        <w:t xml:space="preserve">Biologiškais vaisytais negydytų pacientų pogrupis. </w:t>
      </w:r>
    </w:p>
    <w:p w14:paraId="19B8C01D" w14:textId="77777777" w:rsidR="00746250" w:rsidRPr="00746250" w:rsidRDefault="00746250" w:rsidP="00746250">
      <w:pPr>
        <w:tabs>
          <w:tab w:val="left" w:pos="426"/>
        </w:tabs>
        <w:spacing w:line="280" w:lineRule="atLeast"/>
        <w:jc w:val="both"/>
        <w:rPr>
          <w:bCs/>
          <w:iCs/>
          <w:color w:val="000000"/>
          <w:lang w:eastAsia="lt-LT"/>
        </w:rPr>
      </w:pPr>
      <w:r w:rsidRPr="00746250">
        <w:rPr>
          <w:bCs/>
          <w:iCs/>
          <w:color w:val="000000"/>
          <w:lang w:eastAsia="lt-LT"/>
        </w:rPr>
        <w:tab/>
        <w:t>Atsitiktinių poveikių modelio su pusiau normalia išankstine reikšme dėl nevienodumo tarp tyrimų rezultatai (be bazinės rizikos koregavimo) rodo, kad visos intervencijos statistiškai reikšmingai pagerino klinikinio atsako ir remisijos dažnį, palyginti su placebu, tačiau statistiškai reikšmingų skirtumų tarp mirikizumabo ir daugumos kitų (išskyrus upadacitinibą) aktyvių intervencijų nenustatyta.</w:t>
      </w:r>
    </w:p>
    <w:p w14:paraId="5FAEEACE" w14:textId="77777777" w:rsidR="00746250" w:rsidRPr="00746250" w:rsidRDefault="00746250" w:rsidP="00746250">
      <w:pPr>
        <w:tabs>
          <w:tab w:val="left" w:pos="426"/>
        </w:tabs>
        <w:spacing w:line="280" w:lineRule="atLeast"/>
        <w:jc w:val="both"/>
        <w:rPr>
          <w:bCs/>
          <w:iCs/>
          <w:color w:val="000000"/>
          <w:lang w:eastAsia="lt-LT"/>
        </w:rPr>
      </w:pPr>
    </w:p>
    <w:p w14:paraId="5472CB9C" w14:textId="77777777" w:rsidR="00746250" w:rsidRPr="00746250" w:rsidRDefault="00746250" w:rsidP="00746250">
      <w:pPr>
        <w:tabs>
          <w:tab w:val="left" w:pos="426"/>
        </w:tabs>
        <w:spacing w:line="280" w:lineRule="atLeast"/>
        <w:jc w:val="both"/>
        <w:rPr>
          <w:bCs/>
          <w:iCs/>
          <w:color w:val="000000"/>
          <w:lang w:eastAsia="lt-LT"/>
        </w:rPr>
      </w:pPr>
      <w:r w:rsidRPr="00746250">
        <w:rPr>
          <w:i/>
          <w:iCs/>
          <w:color w:val="000000"/>
          <w:lang w:eastAsia="lt-LT"/>
        </w:rPr>
        <w:t>Iki tyrimo biologine terapija gydytų pacientų pogrupis</w:t>
      </w:r>
    </w:p>
    <w:p w14:paraId="52F9F34B" w14:textId="77777777" w:rsidR="00746250" w:rsidRPr="00746250" w:rsidRDefault="00746250" w:rsidP="00746250">
      <w:pPr>
        <w:tabs>
          <w:tab w:val="left" w:pos="426"/>
        </w:tabs>
        <w:spacing w:line="280" w:lineRule="atLeast"/>
        <w:jc w:val="both"/>
        <w:rPr>
          <w:bCs/>
          <w:iCs/>
          <w:color w:val="000000"/>
          <w:lang w:eastAsia="lt-LT"/>
        </w:rPr>
      </w:pPr>
      <w:r w:rsidRPr="00746250">
        <w:rPr>
          <w:bCs/>
          <w:iCs/>
          <w:color w:val="000000"/>
          <w:lang w:eastAsia="lt-LT"/>
        </w:rPr>
        <w:tab/>
        <w:t>Fiksuoto poveikio modelio rezultatai (nekoreguojant pradinės rizikos) parodė, kad beveik visos intervencijos (išskyrus adalimumabą) statistiškai reikšmingai pagerino klinikinio atsako ir remisijos dažnį, palyginti su placebu. Statistiškai reikšmingų skirtumų tarp mirikizumabo ir daugumos kitų aktyvių intervencijų nepastebėta, tačiau mirikizumabas statistiškai reikšmingai pagerino klinikinio atsako ir remisijos rodiklius, palyginti su adalimumabu, o upadacitinibo rezultatai statistiškai reikšmingai pagerėjo, palyginti su mirikizumabu.</w:t>
      </w:r>
    </w:p>
    <w:p w14:paraId="59F752FF" w14:textId="74ADE22A" w:rsidR="00746250" w:rsidRPr="00746250" w:rsidRDefault="00746250" w:rsidP="00746250">
      <w:pPr>
        <w:tabs>
          <w:tab w:val="left" w:pos="492"/>
        </w:tabs>
        <w:spacing w:line="280" w:lineRule="atLeast"/>
        <w:jc w:val="both"/>
        <w:outlineLvl w:val="1"/>
        <w:rPr>
          <w:szCs w:val="20"/>
        </w:rPr>
      </w:pPr>
      <w:r w:rsidRPr="00746250">
        <w:rPr>
          <w:szCs w:val="20"/>
        </w:rPr>
        <w:tab/>
        <w:t xml:space="preserve">Įvertinus klinikinėje dalyje pateiktus netiesioginio palyginimo analizės duomenis, nustatyta, kad suaugusių pacientų, </w:t>
      </w:r>
      <w:r w:rsidRPr="00746250">
        <w:rPr>
          <w:color w:val="000000"/>
          <w:szCs w:val="20"/>
        </w:rPr>
        <w:t xml:space="preserve">sergančių vidutinio sunkumo ar sunkiu aktyviu opiniu kolitu, </w:t>
      </w:r>
      <w:r w:rsidRPr="00746250">
        <w:rPr>
          <w:color w:val="000000"/>
          <w:szCs w:val="20"/>
          <w:u w:val="single"/>
        </w:rPr>
        <w:t>kuriems įprastinis arba biologinis gydymas</w:t>
      </w:r>
      <w:r w:rsidRPr="00746250">
        <w:rPr>
          <w:color w:val="000000"/>
          <w:szCs w:val="20"/>
        </w:rPr>
        <w:t xml:space="preserve"> sukėlė nepakankamą atsaką, atsakas išnyko arba gydymas buvo netoleruojamas,</w:t>
      </w:r>
      <w:r w:rsidRPr="00746250">
        <w:rPr>
          <w:szCs w:val="20"/>
        </w:rPr>
        <w:t xml:space="preserve"> populiacijoje mirikizumabo klinikinis efektyvumas </w:t>
      </w:r>
      <w:r w:rsidRPr="00746250">
        <w:rPr>
          <w:i/>
          <w:szCs w:val="20"/>
        </w:rPr>
        <w:t>nesiskiria</w:t>
      </w:r>
      <w:r w:rsidRPr="00746250">
        <w:rPr>
          <w:szCs w:val="20"/>
        </w:rPr>
        <w:t xml:space="preserve"> nuo palyginamųjų</w:t>
      </w:r>
      <w:r w:rsidR="001B4092">
        <w:rPr>
          <w:szCs w:val="20"/>
        </w:rPr>
        <w:t xml:space="preserve"> </w:t>
      </w:r>
      <w:r w:rsidR="001B4092">
        <w:rPr>
          <w:szCs w:val="20"/>
        </w:rPr>
        <w:lastRenderedPageBreak/>
        <w:t>gydymų</w:t>
      </w:r>
      <w:r w:rsidRPr="00746250">
        <w:rPr>
          <w:szCs w:val="20"/>
        </w:rPr>
        <w:t xml:space="preserve">. Todėl vertinama, kad mirikizumabas </w:t>
      </w:r>
      <w:r w:rsidR="001B4092">
        <w:rPr>
          <w:szCs w:val="20"/>
        </w:rPr>
        <w:t>sukuria nesiskiriančią naudą</w:t>
      </w:r>
      <w:r w:rsidRPr="00746250">
        <w:rPr>
          <w:szCs w:val="20"/>
        </w:rPr>
        <w:t xml:space="preserve"> pacientų sveikatai, lyginant su įprasta klinikine praktika. </w:t>
      </w:r>
    </w:p>
    <w:p w14:paraId="79387253" w14:textId="488EFB20" w:rsidR="00746250" w:rsidRPr="00746250" w:rsidRDefault="00746250" w:rsidP="00746250">
      <w:pPr>
        <w:tabs>
          <w:tab w:val="left" w:pos="426"/>
        </w:tabs>
        <w:spacing w:line="280" w:lineRule="atLeast"/>
        <w:jc w:val="both"/>
        <w:rPr>
          <w:bCs/>
          <w:iCs/>
          <w:color w:val="000000"/>
          <w:lang w:eastAsia="lt-LT"/>
        </w:rPr>
      </w:pPr>
      <w:r w:rsidRPr="00746250">
        <w:rPr>
          <w:szCs w:val="20"/>
        </w:rPr>
        <w:tab/>
        <w:t xml:space="preserve">Netiesioginis palyginamojo saugumo vertinimas parodė, kad </w:t>
      </w:r>
      <w:r w:rsidRPr="00746250">
        <w:rPr>
          <w:rFonts w:eastAsia="Arial"/>
          <w:bCs/>
          <w:color w:val="000000"/>
        </w:rPr>
        <w:t xml:space="preserve">mirikizumabo, ozanimodo, upadacitinibo ir ustekinumabo poveikis buvo reikšmingai naudingesnis, palyginus su placebu, </w:t>
      </w:r>
      <w:r w:rsidR="001B4092">
        <w:rPr>
          <w:rFonts w:eastAsia="Arial"/>
          <w:bCs/>
          <w:color w:val="000000"/>
        </w:rPr>
        <w:t>o</w:t>
      </w:r>
      <w:r w:rsidR="004E4B10">
        <w:rPr>
          <w:rFonts w:eastAsia="Arial"/>
          <w:bCs/>
          <w:color w:val="000000"/>
        </w:rPr>
        <w:t xml:space="preserve"> gydymo nutraukymas </w:t>
      </w:r>
      <w:r w:rsidR="004E4B10" w:rsidRPr="00746250">
        <w:rPr>
          <w:rFonts w:eastAsia="Arial"/>
          <w:bCs/>
          <w:color w:val="000000"/>
        </w:rPr>
        <w:t>dėl visų priežasčių</w:t>
      </w:r>
      <w:r w:rsidR="004E4B10">
        <w:rPr>
          <w:rFonts w:eastAsia="Arial"/>
          <w:bCs/>
          <w:color w:val="000000"/>
        </w:rPr>
        <w:t xml:space="preserve"> buvo re</w:t>
      </w:r>
      <w:r w:rsidR="009717C7">
        <w:rPr>
          <w:rFonts w:eastAsia="Arial"/>
          <w:bCs/>
          <w:color w:val="000000"/>
        </w:rPr>
        <w:t>tesnis</w:t>
      </w:r>
      <w:r w:rsidR="004E4B10">
        <w:rPr>
          <w:rFonts w:eastAsia="Arial"/>
          <w:bCs/>
          <w:color w:val="000000"/>
        </w:rPr>
        <w:t>, palyginus su placebu.</w:t>
      </w:r>
      <w:r w:rsidRPr="00746250">
        <w:rPr>
          <w:rFonts w:eastAsia="Arial"/>
          <w:bCs/>
          <w:color w:val="000000"/>
        </w:rPr>
        <w:t xml:space="preserve"> </w:t>
      </w:r>
      <w:r w:rsidRPr="00746250">
        <w:rPr>
          <w:bCs/>
          <w:iCs/>
          <w:color w:val="000000"/>
          <w:lang w:eastAsia="lt-LT"/>
        </w:rPr>
        <w:t>Statistiškai reikšmingų skirtumų dėl sunkaus nepageidaujamo poveikio</w:t>
      </w:r>
      <w:r w:rsidR="009717C7">
        <w:rPr>
          <w:bCs/>
          <w:iCs/>
          <w:color w:val="000000"/>
          <w:lang w:eastAsia="lt-LT"/>
        </w:rPr>
        <w:t xml:space="preserve"> dažnio</w:t>
      </w:r>
      <w:r w:rsidRPr="00746250">
        <w:rPr>
          <w:bCs/>
          <w:iCs/>
          <w:color w:val="000000"/>
          <w:lang w:eastAsia="lt-LT"/>
        </w:rPr>
        <w:t xml:space="preserve"> tarp mirikizumabo ir visų </w:t>
      </w:r>
      <w:r w:rsidR="009717C7">
        <w:rPr>
          <w:bCs/>
          <w:iCs/>
          <w:color w:val="000000"/>
          <w:lang w:eastAsia="lt-LT"/>
        </w:rPr>
        <w:t xml:space="preserve">palyginamųjų gydymų </w:t>
      </w:r>
      <w:r w:rsidR="00D3363C">
        <w:rPr>
          <w:bCs/>
          <w:iCs/>
          <w:color w:val="000000"/>
          <w:lang w:eastAsia="lt-LT"/>
        </w:rPr>
        <w:t>nepastebėta</w:t>
      </w:r>
      <w:r w:rsidRPr="00746250">
        <w:rPr>
          <w:bCs/>
          <w:iCs/>
          <w:color w:val="000000"/>
          <w:lang w:eastAsia="lt-LT"/>
        </w:rPr>
        <w:t>.</w:t>
      </w:r>
      <w:r w:rsidR="00074677">
        <w:rPr>
          <w:bCs/>
          <w:iCs/>
          <w:color w:val="000000"/>
          <w:lang w:eastAsia="lt-LT"/>
        </w:rPr>
        <w:t xml:space="preserve"> </w:t>
      </w:r>
      <w:r w:rsidRPr="00746250">
        <w:rPr>
          <w:bCs/>
          <w:iCs/>
          <w:color w:val="000000"/>
          <w:lang w:eastAsia="lt-LT"/>
        </w:rPr>
        <w:t xml:space="preserve">Vertinant santykinį saugumą jokia biologinė terapija (taikinių terapija) nebuvo susijusi su reikšmingai didesne ar mažesne sunkių nepageidaujamų reiškinių rizika nei mirikizumabas. Tikėtina, kad mirikizumabo saugumo charakteristikos yra panašios į kitų </w:t>
      </w:r>
      <w:r w:rsidR="00074677">
        <w:rPr>
          <w:bCs/>
          <w:iCs/>
          <w:color w:val="000000"/>
          <w:lang w:eastAsia="lt-LT"/>
        </w:rPr>
        <w:t xml:space="preserve">palyginamųjų </w:t>
      </w:r>
      <w:r w:rsidRPr="00746250">
        <w:rPr>
          <w:bCs/>
          <w:iCs/>
          <w:color w:val="000000"/>
          <w:lang w:eastAsia="lt-LT"/>
        </w:rPr>
        <w:t>vaistinių preparatų saugumo charakteristikas.</w:t>
      </w:r>
    </w:p>
    <w:p w14:paraId="0586E407" w14:textId="1A552B75" w:rsidR="00746250" w:rsidRPr="00746250" w:rsidRDefault="00746250" w:rsidP="00746250">
      <w:pPr>
        <w:tabs>
          <w:tab w:val="left" w:pos="426"/>
        </w:tabs>
        <w:spacing w:line="280" w:lineRule="atLeast"/>
        <w:jc w:val="both"/>
        <w:rPr>
          <w:rFonts w:eastAsia="Arial"/>
          <w:bCs/>
          <w:color w:val="000000"/>
        </w:rPr>
      </w:pPr>
      <w:r w:rsidRPr="00746250">
        <w:rPr>
          <w:bCs/>
          <w:iCs/>
          <w:color w:val="000000"/>
          <w:lang w:eastAsia="lt-LT"/>
        </w:rPr>
        <w:tab/>
        <w:t>Apibendrinant sveikatos technologijų vertinimą, mirikizumabo klinikinis palyginamasis veiksmingumas ir saugumas pripažintas  kaip</w:t>
      </w:r>
      <w:r w:rsidRPr="00746250">
        <w:rPr>
          <w:color w:val="000000"/>
        </w:rPr>
        <w:t xml:space="preserve"> pagrindžiantis nesiskiriančios naudos pacientų sveikatai sukūrimą, lyginant su įprasta klinikine praktika</w:t>
      </w:r>
      <w:r w:rsidR="004E4B10">
        <w:rPr>
          <w:color w:val="000000"/>
        </w:rPr>
        <w:t>.</w:t>
      </w:r>
    </w:p>
    <w:p w14:paraId="22E68470" w14:textId="77777777" w:rsidR="00746250" w:rsidRPr="00746250" w:rsidRDefault="00746250" w:rsidP="00746250">
      <w:pPr>
        <w:tabs>
          <w:tab w:val="left" w:pos="492"/>
        </w:tabs>
        <w:spacing w:line="280" w:lineRule="atLeast"/>
        <w:jc w:val="both"/>
        <w:outlineLvl w:val="1"/>
        <w:rPr>
          <w:szCs w:val="20"/>
        </w:rPr>
      </w:pPr>
    </w:p>
    <w:p w14:paraId="25F89291" w14:textId="5C45C8FC" w:rsidR="00D4485B" w:rsidRPr="00E33EFF" w:rsidRDefault="00D4485B" w:rsidP="00A93AA6">
      <w:pPr>
        <w:pStyle w:val="ListParagraph"/>
        <w:tabs>
          <w:tab w:val="left" w:pos="426"/>
        </w:tabs>
        <w:ind w:left="0"/>
        <w:rPr>
          <w:b/>
          <w:bCs/>
          <w:caps/>
        </w:rPr>
      </w:pPr>
    </w:p>
    <w:p w14:paraId="7DE09EB5" w14:textId="69E9DD74" w:rsidR="00E03C3F" w:rsidRPr="00E33EFF" w:rsidRDefault="00CC7832" w:rsidP="00CC09D4">
      <w:pPr>
        <w:pStyle w:val="ListParagraph"/>
        <w:numPr>
          <w:ilvl w:val="0"/>
          <w:numId w:val="12"/>
        </w:numPr>
        <w:tabs>
          <w:tab w:val="left" w:pos="567"/>
        </w:tabs>
        <w:ind w:hanging="720"/>
        <w:rPr>
          <w:b/>
          <w:bCs/>
          <w:caps/>
        </w:rPr>
      </w:pPr>
      <w:r w:rsidRPr="00E33EFF">
        <w:rPr>
          <w:b/>
          <w:bCs/>
          <w:caps/>
        </w:rPr>
        <w:t xml:space="preserve">ekonominio vertinimo </w:t>
      </w:r>
      <w:r w:rsidR="002F0E4F" w:rsidRPr="00E33EFF">
        <w:rPr>
          <w:b/>
          <w:bCs/>
          <w:caps/>
        </w:rPr>
        <w:t>apibendrinimas</w:t>
      </w:r>
    </w:p>
    <w:p w14:paraId="33875138" w14:textId="044548C7" w:rsidR="0035172D" w:rsidRDefault="0035172D" w:rsidP="00A93AA6">
      <w:pPr>
        <w:tabs>
          <w:tab w:val="left" w:pos="426"/>
        </w:tabs>
        <w:rPr>
          <w:b/>
          <w:bCs/>
          <w:caps/>
        </w:rPr>
      </w:pPr>
    </w:p>
    <w:p w14:paraId="1DB1BAE7" w14:textId="77777777" w:rsidR="00137177" w:rsidRDefault="00137177" w:rsidP="00137177">
      <w:pPr>
        <w:tabs>
          <w:tab w:val="left" w:pos="492"/>
        </w:tabs>
        <w:spacing w:line="276" w:lineRule="auto"/>
        <w:jc w:val="both"/>
        <w:outlineLvl w:val="1"/>
      </w:pPr>
      <w:r>
        <w:tab/>
      </w:r>
      <w:r>
        <w:tab/>
        <w:t>Mirikizumabo</w:t>
      </w:r>
      <w:r w:rsidRPr="00B87E54">
        <w:t xml:space="preserve"> palyginamasis veiksmingumas grindžiamas tiesioginio palyginimo su placebu </w:t>
      </w:r>
      <w:r w:rsidRPr="00B87E54">
        <w:rPr>
          <w:rFonts w:eastAsia="Arial"/>
        </w:rPr>
        <w:t>klinikinių tyrimų</w:t>
      </w:r>
      <w:r w:rsidRPr="00B87E54">
        <w:rPr>
          <w:rFonts w:eastAsia="Arial"/>
          <w:bCs/>
        </w:rPr>
        <w:t xml:space="preserve"> </w:t>
      </w:r>
      <w:r w:rsidRPr="00492442">
        <w:rPr>
          <w:rFonts w:eastAsia="Arial"/>
          <w:bCs/>
          <w:color w:val="000000" w:themeColor="text1"/>
        </w:rPr>
        <w:t xml:space="preserve">LUCENT 1 ir LUCENT 2 </w:t>
      </w:r>
      <w:r w:rsidRPr="00B87E54">
        <w:t xml:space="preserve">duomenimis. </w:t>
      </w:r>
      <w:r>
        <w:t xml:space="preserve">Ekonominė analizė atliekama iš kaštų mažinimo perspektyvos. </w:t>
      </w:r>
      <w:r w:rsidRPr="00855B02">
        <w:rPr>
          <w:bCs/>
          <w:lang w:eastAsia="lt-LT"/>
        </w:rPr>
        <w:t xml:space="preserve">Ekonominėje dalyje modeliavimas nėra taikomas ir klinikiniai duomenys nėra įtraukiami. </w:t>
      </w:r>
    </w:p>
    <w:p w14:paraId="465BFA66" w14:textId="77777777" w:rsidR="00137177" w:rsidRPr="00592BB0" w:rsidRDefault="00137177" w:rsidP="00137177">
      <w:pPr>
        <w:tabs>
          <w:tab w:val="left" w:pos="492"/>
        </w:tabs>
        <w:spacing w:line="276" w:lineRule="auto"/>
        <w:jc w:val="both"/>
        <w:outlineLvl w:val="1"/>
      </w:pPr>
      <w:r>
        <w:tab/>
      </w:r>
      <w:r w:rsidRPr="00B87E54">
        <w:t xml:space="preserve">Remiantis </w:t>
      </w:r>
      <w:r w:rsidRPr="00B87E54">
        <w:rPr>
          <w:color w:val="000000"/>
        </w:rPr>
        <w:t xml:space="preserve">2018 m. vasario 12 d. </w:t>
      </w:r>
      <w:r w:rsidRPr="00B87E54">
        <w:t>Sveikatos apsaugos ministro įsakymu Nr.</w:t>
      </w:r>
      <w:r w:rsidRPr="00B87E54">
        <w:rPr>
          <w:color w:val="000000"/>
        </w:rPr>
        <w:t xml:space="preserve"> V-159 </w:t>
      </w:r>
      <w:r w:rsidRPr="00B87E54">
        <w:t>„</w:t>
      </w:r>
      <w:r w:rsidRPr="00B87E54">
        <w:rPr>
          <w:i/>
        </w:rPr>
        <w:t>Dėl Opinio kolito diagnostikos ir gydymo vaistais, kurių įsigijimo išlaidos apmokamos Privalomojo sveikatos draudimo fondo biudžeto lėšomis, tvarkos aprašo patvirtinimo</w:t>
      </w:r>
      <w:r w:rsidRPr="00B87E54">
        <w:t>“ tvarkos aprašu (toliau – tvarkos aprašas),</w:t>
      </w:r>
      <w:r w:rsidRPr="00B87E54">
        <w:rPr>
          <w:bCs/>
          <w:shd w:val="clear" w:color="auto" w:fill="FFFFFF"/>
        </w:rPr>
        <w:t xml:space="preserve"> pagal biologinių ligą modifikuojančių vaistų skyrimo eiliškumą, pradedant gydymą opiniu kolitu (K51) skiriamas </w:t>
      </w:r>
      <w:r w:rsidRPr="00B87E54">
        <w:rPr>
          <w:color w:val="000000"/>
        </w:rPr>
        <w:t>TNFα inhibitorius, kurio kaina mažiausia, arba vedolizumabas, arba tofacitinibas, arba ustekinumabas. Pareiškėjo pateiktos n</w:t>
      </w:r>
      <w:r w:rsidRPr="00B87E54">
        <w:t>etiesioginio palyginimo tinklinės meta-analizės, kurioje upadacitinibo klinikinis  veiksmingumas ir saugumas lygintas su gydymu adalimumabu/ tofacitinibu/ vendolizumabu/ ustekinumabu, palyginamasis gydymas atitinka įprastą klinikinę praktiką Lietuvoje.</w:t>
      </w:r>
      <w:r>
        <w:t xml:space="preserve"> </w:t>
      </w:r>
      <w:r w:rsidRPr="00492442">
        <w:rPr>
          <w:color w:val="000000"/>
        </w:rPr>
        <w:t>Kadangi Pareiškėjas teikia indikaciją (</w:t>
      </w:r>
      <w:r w:rsidRPr="00B6557C">
        <w:rPr>
          <w:i/>
          <w:color w:val="000000" w:themeColor="text1"/>
        </w:rPr>
        <w:t xml:space="preserve">sergantiems vidutinio sunkumo ar sunkiu aktyviu opiniu kolitu, kuriems įprastinis arba biologinis gydymas sukėlė nepakankamą atsaką, atsakas išnyko </w:t>
      </w:r>
      <w:r>
        <w:rPr>
          <w:i/>
          <w:color w:val="000000" w:themeColor="text1"/>
        </w:rPr>
        <w:t>arba gydymas buvo netoleruojama</w:t>
      </w:r>
      <w:r w:rsidRPr="00492442">
        <w:t>)</w:t>
      </w:r>
      <w:r w:rsidRPr="00492442">
        <w:rPr>
          <w:color w:val="000000"/>
        </w:rPr>
        <w:t>, kurios pacientams pradedant gydymą yra taikomas mažiausios metinės gydymo kainos kriterijus (skelbiama VLK interneto svetainėje)</w:t>
      </w:r>
      <w:r>
        <w:rPr>
          <w:color w:val="000000"/>
        </w:rPr>
        <w:t xml:space="preserve"> ir mirikizumabas gali būti skiriamas pirmoje ir sekančiose gydymo eilėse, KMA atliekama vertinant su Lietuvoje OK gydymui kompensuojamais ir skyrimo sąlygas atitinkančiais palyginamaisiais: </w:t>
      </w:r>
      <w:r w:rsidRPr="00592BB0">
        <w:rPr>
          <w:color w:val="000000"/>
        </w:rPr>
        <w:t>adalimumabu (pigiausias TNF alfa inhibitorius), vedolizumabu, tofacitinibu ir ustekinumabu.</w:t>
      </w:r>
      <w:r>
        <w:rPr>
          <w:color w:val="000000"/>
        </w:rPr>
        <w:t xml:space="preserve"> Galutiniai ekonominės analizės rezultatai apskaičiuoti mirikizumabo kaštus lyginant su tikėtinais klinikinėje praktikoje keičiamais palyginamaisiais: vedolizumabu, tofacitinibu ir ustekinumabu (apskaičiuojamas svertinis kainos vidurkis pagal 2022 m. pacientams OK gydymui skirtas vaistinių preparatų pakuotes (VLK duomenys)).</w:t>
      </w:r>
    </w:p>
    <w:p w14:paraId="51A1E3A9" w14:textId="77777777" w:rsidR="00137177" w:rsidRDefault="00137177" w:rsidP="00137177">
      <w:pPr>
        <w:tabs>
          <w:tab w:val="left" w:pos="492"/>
        </w:tabs>
        <w:spacing w:line="276" w:lineRule="auto"/>
        <w:jc w:val="both"/>
        <w:outlineLvl w:val="1"/>
      </w:pPr>
      <w:r>
        <w:rPr>
          <w:rFonts w:eastAsia="Arial"/>
        </w:rPr>
        <w:tab/>
      </w:r>
      <w:r w:rsidRPr="00B87E54">
        <w:rPr>
          <w:rFonts w:eastAsia="Arial"/>
        </w:rPr>
        <w:t xml:space="preserve">Atsižvelgiant, kad pagal klinikinius duomenis vertinama, jog </w:t>
      </w:r>
      <w:r>
        <w:rPr>
          <w:rFonts w:eastAsia="Arial"/>
        </w:rPr>
        <w:t>mirikizumabo</w:t>
      </w:r>
      <w:r w:rsidRPr="00B87E54">
        <w:rPr>
          <w:rFonts w:eastAsia="Arial"/>
        </w:rPr>
        <w:t xml:space="preserve"> ir palyginamųjų vaistinių preparatų sveikatai sukuriama nauda yra panaši, ekonominėje analizėje ICER (ir QALYS) nėra vertinami, laikomasi prielaidos, kad gydymo (sveikatos būklių) kaštai yra panašūs ir ekonominėje analizėje yra netaikomi.</w:t>
      </w:r>
      <w:r>
        <w:t xml:space="preserve"> </w:t>
      </w:r>
      <w:r w:rsidRPr="00B87E54">
        <w:t>Tarnyba vertina, kad stebėsenos kaštai (</w:t>
      </w:r>
      <w:r w:rsidRPr="00B87E54">
        <w:rPr>
          <w:color w:val="000000"/>
          <w:lang w:eastAsia="lt-LT"/>
        </w:rPr>
        <w:t>gastroenterologo</w:t>
      </w:r>
      <w:r w:rsidRPr="00B87E54">
        <w:t xml:space="preserve"> konsultacijos apimtyje), visiems palyginamiesiems vaistiniams preparatams (bLMV) bus vienodi, kadangi priežiūra pagal opinio kolito tvarkos aprašą yra vykdoma tuo pačiu periodiškumu visiems bLMV. Tarnyba ekonominėje analizėje įtraukia tik tuos kaštus, kurie tarp palyginamųjų skiriasi ir turi esminės įtakos kaštų analizės rezultatams: </w:t>
      </w:r>
      <w:r w:rsidRPr="00B87E54">
        <w:rPr>
          <w:rFonts w:eastAsia="Arial"/>
        </w:rPr>
        <w:t>vaistinių preparatų įsigijimo ir skyrimo b</w:t>
      </w:r>
      <w:r>
        <w:rPr>
          <w:rFonts w:eastAsia="Arial"/>
        </w:rPr>
        <w:t xml:space="preserve">ei </w:t>
      </w:r>
      <w:r>
        <w:rPr>
          <w:rFonts w:eastAsia="Arial"/>
        </w:rPr>
        <w:lastRenderedPageBreak/>
        <w:t>nepageidaujamo poveikio vien</w:t>
      </w:r>
      <w:r w:rsidRPr="00B87E54">
        <w:rPr>
          <w:rFonts w:eastAsia="Arial"/>
        </w:rPr>
        <w:t>kartiniai kaštai penkerių metų laiko perspektyvoje (kadangi pirmaisiais ir sekančiais metais kaštai skir</w:t>
      </w:r>
      <w:r>
        <w:rPr>
          <w:rFonts w:eastAsia="Arial"/>
        </w:rPr>
        <w:t>iasi priklausomai nuo dozavimo, lentelė 16.1).</w:t>
      </w:r>
    </w:p>
    <w:p w14:paraId="4AA7A49C" w14:textId="77777777" w:rsidR="00137177" w:rsidRPr="00E31E0B" w:rsidRDefault="00137177" w:rsidP="00137177">
      <w:pPr>
        <w:shd w:val="clear" w:color="auto" w:fill="FFFFFF"/>
        <w:spacing w:line="276" w:lineRule="auto"/>
        <w:rPr>
          <w:i/>
          <w:iCs/>
          <w:color w:val="00B050"/>
          <w:lang w:eastAsia="lt-LT"/>
        </w:rPr>
      </w:pPr>
    </w:p>
    <w:p w14:paraId="1C62C2D3" w14:textId="77777777" w:rsidR="00137177" w:rsidRPr="00E31E0B" w:rsidRDefault="00137177" w:rsidP="00137177">
      <w:pPr>
        <w:jc w:val="center"/>
      </w:pPr>
      <w:r w:rsidRPr="00735DDD">
        <w:t>Lentelė 16.1.</w:t>
      </w:r>
      <w:r>
        <w:t xml:space="preserve"> Ekonominės analizės kaštų struktūra</w:t>
      </w:r>
    </w:p>
    <w:p w14:paraId="13D8DD71" w14:textId="77777777" w:rsidR="00137177" w:rsidRDefault="00137177" w:rsidP="00137177">
      <w:pPr>
        <w:tabs>
          <w:tab w:val="left" w:pos="492"/>
        </w:tabs>
        <w:spacing w:line="276" w:lineRule="auto"/>
        <w:jc w:val="both"/>
        <w:outlineLvl w:val="1"/>
        <w:rPr>
          <w:color w:val="000000"/>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4724"/>
        <w:gridCol w:w="3240"/>
      </w:tblGrid>
      <w:tr w:rsidR="00137177" w:rsidRPr="00735DDD" w14:paraId="3636A9E2" w14:textId="77777777" w:rsidTr="00530243">
        <w:trPr>
          <w:trHeight w:val="207"/>
        </w:trPr>
        <w:tc>
          <w:tcPr>
            <w:tcW w:w="1841" w:type="dxa"/>
            <w:shd w:val="clear" w:color="auto" w:fill="auto"/>
          </w:tcPr>
          <w:p w14:paraId="01B3E1CA" w14:textId="77777777" w:rsidR="00137177" w:rsidRPr="00735DDD" w:rsidRDefault="00137177" w:rsidP="00530243">
            <w:pPr>
              <w:rPr>
                <w:b/>
                <w:sz w:val="22"/>
                <w:szCs w:val="22"/>
              </w:rPr>
            </w:pPr>
            <w:r w:rsidRPr="00735DDD">
              <w:rPr>
                <w:b/>
                <w:sz w:val="22"/>
                <w:szCs w:val="22"/>
              </w:rPr>
              <w:t>Kaštai</w:t>
            </w:r>
          </w:p>
        </w:tc>
        <w:tc>
          <w:tcPr>
            <w:tcW w:w="4724" w:type="dxa"/>
            <w:shd w:val="clear" w:color="auto" w:fill="auto"/>
          </w:tcPr>
          <w:p w14:paraId="6CE9BC86" w14:textId="77777777" w:rsidR="00137177" w:rsidRPr="00735DDD" w:rsidRDefault="00137177" w:rsidP="00530243">
            <w:pPr>
              <w:rPr>
                <w:sz w:val="22"/>
                <w:szCs w:val="22"/>
              </w:rPr>
            </w:pPr>
            <w:r w:rsidRPr="00735DDD">
              <w:rPr>
                <w:b/>
                <w:bCs/>
                <w:sz w:val="22"/>
                <w:szCs w:val="22"/>
              </w:rPr>
              <w:t>Prielaida</w:t>
            </w:r>
          </w:p>
        </w:tc>
        <w:tc>
          <w:tcPr>
            <w:tcW w:w="3240" w:type="dxa"/>
            <w:shd w:val="clear" w:color="auto" w:fill="auto"/>
          </w:tcPr>
          <w:p w14:paraId="5DF25F16" w14:textId="77777777" w:rsidR="00137177" w:rsidRPr="00735DDD" w:rsidRDefault="00137177" w:rsidP="00530243">
            <w:pPr>
              <w:rPr>
                <w:sz w:val="22"/>
                <w:szCs w:val="22"/>
              </w:rPr>
            </w:pPr>
            <w:r w:rsidRPr="00735DDD">
              <w:rPr>
                <w:b/>
                <w:bCs/>
                <w:sz w:val="22"/>
                <w:szCs w:val="22"/>
              </w:rPr>
              <w:t>Kaštų įtraukimas KMA</w:t>
            </w:r>
          </w:p>
        </w:tc>
      </w:tr>
      <w:tr w:rsidR="00137177" w:rsidRPr="00735DDD" w14:paraId="3B27A0B1" w14:textId="77777777" w:rsidTr="00530243">
        <w:trPr>
          <w:trHeight w:val="416"/>
        </w:trPr>
        <w:tc>
          <w:tcPr>
            <w:tcW w:w="1841" w:type="dxa"/>
            <w:shd w:val="clear" w:color="auto" w:fill="auto"/>
          </w:tcPr>
          <w:p w14:paraId="6A20033D" w14:textId="77777777" w:rsidR="00137177" w:rsidRPr="00735DDD" w:rsidRDefault="00137177" w:rsidP="00530243">
            <w:pPr>
              <w:rPr>
                <w:sz w:val="22"/>
                <w:szCs w:val="22"/>
              </w:rPr>
            </w:pPr>
            <w:r w:rsidRPr="00735DDD">
              <w:rPr>
                <w:sz w:val="22"/>
                <w:szCs w:val="22"/>
              </w:rPr>
              <w:t>Vaistų skyrimo kaštai</w:t>
            </w:r>
          </w:p>
        </w:tc>
        <w:tc>
          <w:tcPr>
            <w:tcW w:w="4724" w:type="dxa"/>
            <w:shd w:val="clear" w:color="auto" w:fill="auto"/>
          </w:tcPr>
          <w:p w14:paraId="69292794" w14:textId="77777777" w:rsidR="00137177" w:rsidRPr="00735DDD" w:rsidRDefault="00137177" w:rsidP="00530243">
            <w:pPr>
              <w:rPr>
                <w:sz w:val="22"/>
                <w:szCs w:val="22"/>
              </w:rPr>
            </w:pPr>
            <w:r w:rsidRPr="00735DDD">
              <w:rPr>
                <w:sz w:val="22"/>
                <w:szCs w:val="22"/>
              </w:rPr>
              <w:t xml:space="preserve">Vartojami per burną (tabletės): </w:t>
            </w:r>
            <w:r>
              <w:rPr>
                <w:sz w:val="22"/>
                <w:szCs w:val="22"/>
              </w:rPr>
              <w:t>T</w:t>
            </w:r>
            <w:r w:rsidRPr="00735DDD">
              <w:rPr>
                <w:sz w:val="22"/>
                <w:szCs w:val="22"/>
              </w:rPr>
              <w:t>ofaci</w:t>
            </w:r>
            <w:r>
              <w:rPr>
                <w:sz w:val="22"/>
                <w:szCs w:val="22"/>
              </w:rPr>
              <w:t>tinibas skiriami tablečių forma.</w:t>
            </w:r>
          </w:p>
          <w:p w14:paraId="6AE05299" w14:textId="77777777" w:rsidR="00137177" w:rsidRPr="00735DDD" w:rsidRDefault="00137177" w:rsidP="00530243">
            <w:pPr>
              <w:rPr>
                <w:sz w:val="22"/>
                <w:szCs w:val="22"/>
              </w:rPr>
            </w:pPr>
            <w:r w:rsidRPr="00735DDD">
              <w:rPr>
                <w:sz w:val="22"/>
                <w:szCs w:val="22"/>
              </w:rPr>
              <w:t xml:space="preserve">Poodinė injekcija: Adalimumabas bei palaikomosios </w:t>
            </w:r>
            <w:r>
              <w:rPr>
                <w:sz w:val="22"/>
                <w:szCs w:val="22"/>
              </w:rPr>
              <w:t xml:space="preserve">mirikizumabo, </w:t>
            </w:r>
            <w:r w:rsidRPr="00735DDD">
              <w:rPr>
                <w:sz w:val="22"/>
                <w:szCs w:val="22"/>
              </w:rPr>
              <w:t>ustekinumabo ir vedolizumabo dozės poodine injekcijos forma.</w:t>
            </w:r>
          </w:p>
          <w:p w14:paraId="3ACD9EC2" w14:textId="77777777" w:rsidR="00137177" w:rsidRPr="00735DDD" w:rsidRDefault="00137177" w:rsidP="00530243">
            <w:pPr>
              <w:rPr>
                <w:sz w:val="22"/>
                <w:szCs w:val="22"/>
              </w:rPr>
            </w:pPr>
            <w:r w:rsidRPr="00735DDD">
              <w:rPr>
                <w:sz w:val="22"/>
                <w:szCs w:val="22"/>
              </w:rPr>
              <w:t xml:space="preserve">Intraveninė infuzija: </w:t>
            </w:r>
            <w:r>
              <w:rPr>
                <w:sz w:val="22"/>
                <w:szCs w:val="22"/>
              </w:rPr>
              <w:t xml:space="preserve">mirikizumabo (3) </w:t>
            </w:r>
            <w:r w:rsidRPr="00735DDD">
              <w:rPr>
                <w:sz w:val="22"/>
                <w:szCs w:val="22"/>
              </w:rPr>
              <w:t xml:space="preserve">ustekinumabo (bent viena) ir vedolizumabo (ne mažiau 2) pirmosios dozės. </w:t>
            </w:r>
          </w:p>
        </w:tc>
        <w:tc>
          <w:tcPr>
            <w:tcW w:w="3240" w:type="dxa"/>
            <w:shd w:val="clear" w:color="auto" w:fill="auto"/>
          </w:tcPr>
          <w:p w14:paraId="7D5056F5" w14:textId="77777777" w:rsidR="00137177" w:rsidRPr="00735DDD" w:rsidRDefault="00137177" w:rsidP="00530243">
            <w:pPr>
              <w:rPr>
                <w:sz w:val="22"/>
                <w:szCs w:val="22"/>
              </w:rPr>
            </w:pPr>
            <w:r w:rsidRPr="00735DDD">
              <w:rPr>
                <w:sz w:val="22"/>
                <w:szCs w:val="22"/>
              </w:rPr>
              <w:t>Ambulatoriškai vartojamų vaistų (tablečių ir poodine forma) kaštai ekonominėje analizėje papildomai neįtraukiami.</w:t>
            </w:r>
          </w:p>
          <w:p w14:paraId="0E24F715" w14:textId="77777777" w:rsidR="00137177" w:rsidRPr="00735DDD" w:rsidRDefault="00137177" w:rsidP="00530243">
            <w:pPr>
              <w:rPr>
                <w:sz w:val="22"/>
                <w:szCs w:val="22"/>
              </w:rPr>
            </w:pPr>
            <w:r w:rsidRPr="00735DDD">
              <w:rPr>
                <w:sz w:val="22"/>
                <w:szCs w:val="22"/>
              </w:rPr>
              <w:t>IV infuzijos bus atliekamos  dienos stacionare (</w:t>
            </w:r>
            <w:r w:rsidRPr="00735DDD">
              <w:rPr>
                <w:i/>
                <w:iCs/>
                <w:sz w:val="22"/>
                <w:szCs w:val="22"/>
              </w:rPr>
              <w:t>3562 Dienos stacionaro paslauga I</w:t>
            </w:r>
            <w:r w:rsidRPr="00735DDD">
              <w:rPr>
                <w:sz w:val="22"/>
                <w:szCs w:val="22"/>
              </w:rPr>
              <w:t>) – kaštai įtraukti į KMA.</w:t>
            </w:r>
          </w:p>
        </w:tc>
      </w:tr>
      <w:tr w:rsidR="00137177" w:rsidRPr="00735DDD" w14:paraId="4AAB4B9A" w14:textId="77777777" w:rsidTr="00530243">
        <w:trPr>
          <w:trHeight w:val="423"/>
        </w:trPr>
        <w:tc>
          <w:tcPr>
            <w:tcW w:w="1841" w:type="dxa"/>
            <w:shd w:val="clear" w:color="auto" w:fill="auto"/>
          </w:tcPr>
          <w:p w14:paraId="7A4C8BC0" w14:textId="77777777" w:rsidR="00137177" w:rsidRPr="00735DDD" w:rsidRDefault="00137177" w:rsidP="00530243">
            <w:pPr>
              <w:rPr>
                <w:sz w:val="22"/>
                <w:szCs w:val="22"/>
              </w:rPr>
            </w:pPr>
            <w:r w:rsidRPr="00735DDD">
              <w:rPr>
                <w:sz w:val="22"/>
                <w:szCs w:val="22"/>
              </w:rPr>
              <w:t>Stebėjimo kaštai</w:t>
            </w:r>
          </w:p>
        </w:tc>
        <w:tc>
          <w:tcPr>
            <w:tcW w:w="4724" w:type="dxa"/>
            <w:shd w:val="clear" w:color="auto" w:fill="auto"/>
          </w:tcPr>
          <w:p w14:paraId="659A42B4" w14:textId="77777777" w:rsidR="00137177" w:rsidRPr="00735DDD" w:rsidRDefault="00137177" w:rsidP="00530243">
            <w:pPr>
              <w:jc w:val="both"/>
              <w:rPr>
                <w:sz w:val="22"/>
                <w:szCs w:val="22"/>
              </w:rPr>
            </w:pPr>
            <w:r>
              <w:rPr>
                <w:sz w:val="22"/>
                <w:szCs w:val="22"/>
              </w:rPr>
              <w:t>S</w:t>
            </w:r>
            <w:r w:rsidRPr="00735DDD">
              <w:rPr>
                <w:sz w:val="22"/>
                <w:szCs w:val="22"/>
              </w:rPr>
              <w:t xml:space="preserve">tebėsenos kaštai (papildomi tyrimai, stebėjimas, konsultacijų dažnis ir pan. </w:t>
            </w:r>
            <w:r w:rsidRPr="00735DDD">
              <w:rPr>
                <w:color w:val="000000"/>
                <w:sz w:val="22"/>
                <w:szCs w:val="22"/>
                <w:lang w:eastAsia="lt-LT"/>
              </w:rPr>
              <w:t>gastroenterologo</w:t>
            </w:r>
            <w:r w:rsidRPr="00735DDD">
              <w:rPr>
                <w:sz w:val="22"/>
                <w:szCs w:val="22"/>
              </w:rPr>
              <w:t xml:space="preserve"> konsultacijos apimtyje), visiems palyginamiesiems vaistiniams preparatams (bLMV) bus vienodi, kadangi priežiūra pagal opinio kolito tvarkos aprašą yra vykdoma tuo pačiu periodiškumu visiems bLMV.</w:t>
            </w:r>
          </w:p>
        </w:tc>
        <w:tc>
          <w:tcPr>
            <w:tcW w:w="3240" w:type="dxa"/>
            <w:shd w:val="clear" w:color="auto" w:fill="auto"/>
          </w:tcPr>
          <w:p w14:paraId="69FDDA44" w14:textId="77777777" w:rsidR="00137177" w:rsidRPr="00735DDD" w:rsidRDefault="00137177" w:rsidP="00530243">
            <w:pPr>
              <w:rPr>
                <w:sz w:val="22"/>
                <w:szCs w:val="22"/>
              </w:rPr>
            </w:pPr>
            <w:r w:rsidRPr="00735DDD">
              <w:rPr>
                <w:sz w:val="22"/>
                <w:szCs w:val="22"/>
              </w:rPr>
              <w:t xml:space="preserve">Nevertinta, nes laikoma, kad nesiskirs. </w:t>
            </w:r>
          </w:p>
        </w:tc>
      </w:tr>
      <w:tr w:rsidR="00137177" w:rsidRPr="00735DDD" w14:paraId="0EA5C25A" w14:textId="77777777" w:rsidTr="00530243">
        <w:trPr>
          <w:trHeight w:val="623"/>
        </w:trPr>
        <w:tc>
          <w:tcPr>
            <w:tcW w:w="1841" w:type="dxa"/>
            <w:shd w:val="clear" w:color="auto" w:fill="auto"/>
          </w:tcPr>
          <w:p w14:paraId="2880382D" w14:textId="77777777" w:rsidR="00137177" w:rsidRPr="00735DDD" w:rsidRDefault="00137177" w:rsidP="00530243">
            <w:pPr>
              <w:rPr>
                <w:sz w:val="22"/>
                <w:szCs w:val="22"/>
              </w:rPr>
            </w:pPr>
            <w:r w:rsidRPr="00735DDD">
              <w:rPr>
                <w:sz w:val="22"/>
                <w:szCs w:val="22"/>
              </w:rPr>
              <w:t>Nepageidaujamo poveikio valdymo kaštai</w:t>
            </w:r>
          </w:p>
        </w:tc>
        <w:tc>
          <w:tcPr>
            <w:tcW w:w="4724" w:type="dxa"/>
            <w:shd w:val="clear" w:color="auto" w:fill="auto"/>
          </w:tcPr>
          <w:p w14:paraId="59F7D908" w14:textId="77777777" w:rsidR="00137177" w:rsidRPr="00735DDD" w:rsidRDefault="00137177" w:rsidP="00530243">
            <w:pPr>
              <w:rPr>
                <w:sz w:val="22"/>
                <w:szCs w:val="22"/>
              </w:rPr>
            </w:pPr>
            <w:r w:rsidRPr="00735DDD">
              <w:rPr>
                <w:sz w:val="22"/>
                <w:szCs w:val="22"/>
              </w:rPr>
              <w:t xml:space="preserve">Modelyje įtraukiami kaštai dėl vaistų sukeliamo nepageidaujamo poveikio, kurie lemia pacientų hospitalizacijų poreikį (sunki infekcija). NP kaštai apskaičiuoti pagal DRG kodus, 2024 m. I pusm. įkainius ir 2022 m. atvejų skaičių. NP pasireiškimo dažnis grindžiamas </w:t>
            </w:r>
            <w:r>
              <w:rPr>
                <w:sz w:val="22"/>
                <w:szCs w:val="22"/>
              </w:rPr>
              <w:t>registracinių tyrimų duomenimis.</w:t>
            </w:r>
          </w:p>
        </w:tc>
        <w:tc>
          <w:tcPr>
            <w:tcW w:w="3240" w:type="dxa"/>
            <w:shd w:val="clear" w:color="auto" w:fill="auto"/>
          </w:tcPr>
          <w:p w14:paraId="144DFB13" w14:textId="77777777" w:rsidR="00137177" w:rsidRPr="00735DDD" w:rsidRDefault="00137177" w:rsidP="00530243">
            <w:pPr>
              <w:rPr>
                <w:sz w:val="22"/>
                <w:szCs w:val="22"/>
              </w:rPr>
            </w:pPr>
            <w:r w:rsidRPr="00735DDD">
              <w:rPr>
                <w:sz w:val="22"/>
                <w:szCs w:val="22"/>
              </w:rPr>
              <w:t xml:space="preserve">Saugumo charakteristikos pagal </w:t>
            </w:r>
            <w:r>
              <w:rPr>
                <w:sz w:val="22"/>
                <w:szCs w:val="22"/>
              </w:rPr>
              <w:t>registracinius klinikinius tyrimus.</w:t>
            </w:r>
          </w:p>
        </w:tc>
      </w:tr>
      <w:tr w:rsidR="00137177" w:rsidRPr="00735DDD" w14:paraId="0C765CFA" w14:textId="77777777" w:rsidTr="00530243">
        <w:trPr>
          <w:trHeight w:val="832"/>
        </w:trPr>
        <w:tc>
          <w:tcPr>
            <w:tcW w:w="1841" w:type="dxa"/>
            <w:shd w:val="clear" w:color="auto" w:fill="auto"/>
          </w:tcPr>
          <w:p w14:paraId="081D9DE3" w14:textId="77777777" w:rsidR="00137177" w:rsidRPr="00735DDD" w:rsidRDefault="00137177" w:rsidP="00530243">
            <w:pPr>
              <w:rPr>
                <w:sz w:val="22"/>
                <w:szCs w:val="22"/>
              </w:rPr>
            </w:pPr>
            <w:r w:rsidRPr="00735DDD">
              <w:rPr>
                <w:sz w:val="22"/>
                <w:szCs w:val="22"/>
              </w:rPr>
              <w:t>Gydymo kaštai</w:t>
            </w:r>
          </w:p>
        </w:tc>
        <w:tc>
          <w:tcPr>
            <w:tcW w:w="4724" w:type="dxa"/>
            <w:shd w:val="clear" w:color="auto" w:fill="auto"/>
          </w:tcPr>
          <w:p w14:paraId="733EC0DD" w14:textId="77777777" w:rsidR="00137177" w:rsidRPr="00735DDD" w:rsidRDefault="00137177" w:rsidP="00530243">
            <w:pPr>
              <w:jc w:val="both"/>
              <w:rPr>
                <w:sz w:val="22"/>
                <w:szCs w:val="22"/>
              </w:rPr>
            </w:pPr>
            <w:r w:rsidRPr="00735DDD">
              <w:rPr>
                <w:sz w:val="22"/>
                <w:szCs w:val="22"/>
              </w:rPr>
              <w:t xml:space="preserve">Modeliavimas neteikiamas. </w:t>
            </w:r>
          </w:p>
          <w:p w14:paraId="4979CF5A" w14:textId="77777777" w:rsidR="00137177" w:rsidRPr="00735DDD" w:rsidRDefault="00137177" w:rsidP="00530243">
            <w:pPr>
              <w:jc w:val="both"/>
              <w:rPr>
                <w:sz w:val="22"/>
                <w:szCs w:val="22"/>
              </w:rPr>
            </w:pPr>
            <w:r w:rsidRPr="00735DDD">
              <w:rPr>
                <w:sz w:val="22"/>
                <w:szCs w:val="22"/>
              </w:rPr>
              <w:t>-Atliktas netiesioginis palyginimas parodė, kad tarp lyginamų terapijų reikšmingo skirtumo vertinant efektyvumą nebuvo;</w:t>
            </w:r>
          </w:p>
          <w:p w14:paraId="61148D47" w14:textId="77777777" w:rsidR="00137177" w:rsidRPr="00735DDD" w:rsidRDefault="00137177" w:rsidP="00530243">
            <w:pPr>
              <w:jc w:val="both"/>
              <w:rPr>
                <w:sz w:val="22"/>
                <w:szCs w:val="22"/>
              </w:rPr>
            </w:pPr>
            <w:r w:rsidRPr="00735DDD">
              <w:rPr>
                <w:sz w:val="22"/>
                <w:szCs w:val="22"/>
              </w:rPr>
              <w:t>-Laikoma, kad gydymo trukmė lyginamais vaistiniais preparatais yra vienoda. Toks pasirinkimas grindžiamas vienodu veiksmingumu, nes dažniausia gydymo nutraukimo priežastis buvo nepakankamas veiksmingumas;</w:t>
            </w:r>
          </w:p>
        </w:tc>
        <w:tc>
          <w:tcPr>
            <w:tcW w:w="3240" w:type="dxa"/>
            <w:shd w:val="clear" w:color="auto" w:fill="auto"/>
          </w:tcPr>
          <w:p w14:paraId="6C7CD7F9" w14:textId="77777777" w:rsidR="00137177" w:rsidRPr="00735DDD" w:rsidRDefault="00137177" w:rsidP="00530243">
            <w:pPr>
              <w:rPr>
                <w:sz w:val="22"/>
                <w:szCs w:val="22"/>
              </w:rPr>
            </w:pPr>
            <w:r w:rsidRPr="00735DDD">
              <w:rPr>
                <w:sz w:val="22"/>
                <w:szCs w:val="22"/>
              </w:rPr>
              <w:t>Taikoma prielaida remiantis klinikiniais duomenimis, kad kaštai nesiskirs, kadangi terapinė nauda panaši.</w:t>
            </w:r>
          </w:p>
        </w:tc>
      </w:tr>
    </w:tbl>
    <w:p w14:paraId="33D99D7E" w14:textId="77777777" w:rsidR="00137177" w:rsidRDefault="00137177" w:rsidP="00137177">
      <w:pPr>
        <w:tabs>
          <w:tab w:val="left" w:pos="492"/>
        </w:tabs>
        <w:spacing w:line="276" w:lineRule="auto"/>
        <w:jc w:val="both"/>
        <w:outlineLvl w:val="1"/>
        <w:rPr>
          <w:b/>
          <w:color w:val="000000"/>
        </w:rPr>
      </w:pPr>
    </w:p>
    <w:p w14:paraId="3E7BA6DE" w14:textId="77777777" w:rsidR="00137177" w:rsidRDefault="00137177" w:rsidP="00137177">
      <w:pPr>
        <w:spacing w:line="276" w:lineRule="auto"/>
        <w:ind w:firstLine="450"/>
        <w:jc w:val="both"/>
        <w:rPr>
          <w:rFonts w:eastAsia="Arial"/>
        </w:rPr>
      </w:pPr>
      <w:r>
        <w:rPr>
          <w:rFonts w:eastAsia="Arial"/>
        </w:rPr>
        <w:t xml:space="preserve">Apskaičiuojant galutinius KMA rezultatus yra taikomos konfidencialios vaistinių preparatų kainos (su PGS) ir mirikizumabo kaina su nuolaida (su PGS). </w:t>
      </w:r>
    </w:p>
    <w:p w14:paraId="28BD600D" w14:textId="46560B63" w:rsidR="00137177" w:rsidRDefault="00137177" w:rsidP="00137177">
      <w:pPr>
        <w:shd w:val="clear" w:color="auto" w:fill="FFFFFF"/>
        <w:spacing w:line="276" w:lineRule="auto"/>
        <w:ind w:firstLine="720"/>
        <w:jc w:val="both"/>
        <w:rPr>
          <w:color w:val="000000"/>
        </w:rPr>
      </w:pPr>
      <w:r>
        <w:rPr>
          <w:rFonts w:eastAsia="Arial"/>
        </w:rPr>
        <w:t xml:space="preserve">Gautais duomenimis, </w:t>
      </w:r>
      <w:r w:rsidRPr="004C7E5D">
        <w:rPr>
          <w:rFonts w:eastAsia="Arial"/>
        </w:rPr>
        <w:t>penkerių metų laiko perspektyvoje,</w:t>
      </w:r>
      <w:r>
        <w:rPr>
          <w:rFonts w:eastAsia="Arial"/>
        </w:rPr>
        <w:t xml:space="preserve"> mirikizumabo</w:t>
      </w:r>
      <w:r w:rsidRPr="004C7E5D">
        <w:rPr>
          <w:rFonts w:eastAsia="Arial"/>
        </w:rPr>
        <w:t xml:space="preserve"> </w:t>
      </w:r>
      <w:r>
        <w:rPr>
          <w:rFonts w:eastAsia="Arial"/>
        </w:rPr>
        <w:t xml:space="preserve">bendrieji </w:t>
      </w:r>
      <w:r w:rsidRPr="004C7E5D">
        <w:rPr>
          <w:rFonts w:eastAsia="Arial"/>
        </w:rPr>
        <w:t>kaštai mažesni nei ustekinumabo (</w:t>
      </w:r>
      <w:r w:rsidR="00B557D8" w:rsidRPr="00E47CA7">
        <w:rPr>
          <w:highlight w:val="red"/>
          <w:lang w:eastAsia="lt-LT"/>
        </w:rPr>
        <w:t>***</w:t>
      </w:r>
      <w:r w:rsidR="00B557D8">
        <w:rPr>
          <w:lang w:eastAsia="lt-LT"/>
        </w:rPr>
        <w:t xml:space="preserve"> </w:t>
      </w:r>
      <w:r>
        <w:rPr>
          <w:bCs/>
          <w:color w:val="000000"/>
          <w:lang w:eastAsia="lt-LT"/>
        </w:rPr>
        <w:t>proc.), tačiau brangesni nei kitų palyginamųjų:</w:t>
      </w:r>
      <w:r w:rsidRPr="004C7E5D">
        <w:rPr>
          <w:rFonts w:eastAsia="Arial"/>
        </w:rPr>
        <w:t xml:space="preserve"> vedolizumabo</w:t>
      </w:r>
      <w:r>
        <w:rPr>
          <w:rFonts w:eastAsia="Arial"/>
        </w:rPr>
        <w:t xml:space="preserve"> (</w:t>
      </w:r>
      <w:r w:rsidR="00B557D8" w:rsidRPr="00E47CA7">
        <w:rPr>
          <w:highlight w:val="red"/>
          <w:lang w:eastAsia="lt-LT"/>
        </w:rPr>
        <w:t>***</w:t>
      </w:r>
      <w:r w:rsidR="00B557D8">
        <w:rPr>
          <w:lang w:eastAsia="lt-LT"/>
        </w:rPr>
        <w:t xml:space="preserve"> </w:t>
      </w:r>
      <w:r>
        <w:rPr>
          <w:rFonts w:eastAsia="Arial"/>
        </w:rPr>
        <w:t>proc.)), tofacitinibo (</w:t>
      </w:r>
      <w:r w:rsidR="00B557D8" w:rsidRPr="00E47CA7">
        <w:rPr>
          <w:highlight w:val="red"/>
          <w:lang w:eastAsia="lt-LT"/>
        </w:rPr>
        <w:t>***</w:t>
      </w:r>
      <w:r>
        <w:rPr>
          <w:rFonts w:eastAsia="Arial"/>
        </w:rPr>
        <w:t xml:space="preserve"> proc.), adalimumabo (</w:t>
      </w:r>
      <w:r w:rsidR="00B557D8" w:rsidRPr="00E47CA7">
        <w:rPr>
          <w:highlight w:val="red"/>
          <w:lang w:eastAsia="lt-LT"/>
        </w:rPr>
        <w:t>***</w:t>
      </w:r>
      <w:r w:rsidR="00B557D8">
        <w:rPr>
          <w:lang w:eastAsia="lt-LT"/>
        </w:rPr>
        <w:t xml:space="preserve"> </w:t>
      </w:r>
      <w:r>
        <w:rPr>
          <w:rFonts w:eastAsia="Arial"/>
        </w:rPr>
        <w:t>proc.).</w:t>
      </w:r>
      <w:r w:rsidRPr="00592BB0">
        <w:rPr>
          <w:rFonts w:eastAsia="Arial"/>
        </w:rPr>
        <w:t xml:space="preserve"> </w:t>
      </w:r>
      <w:r>
        <w:rPr>
          <w:rFonts w:eastAsia="Arial"/>
        </w:rPr>
        <w:t xml:space="preserve">Tarnyba vertina, kad dėl taikomo pigiausios kainos kriterijaus (vadovaujantis gydymo Tvarkos aprašu) realioje gydymo praktikoje  pirmiausiai bus skiriamas pigesnis vaistinis preparatas (adalimumabas). Lyginant mirikizumabo kaštus su </w:t>
      </w:r>
      <w:r>
        <w:rPr>
          <w:color w:val="000000"/>
        </w:rPr>
        <w:t xml:space="preserve">vedolizumabu, ustekinumabu ir tofacitinibu apskaičiuojamas svertinis kainos vidurkis pagal 2022 m. pacientams OK gydymui skirtas vaistinių preparatų pakuotes (VLK duomenys). Gautais rezultatais mirikizumabo bendrieji penkerių metų OK gydymo kaštai </w:t>
      </w:r>
      <w:r w:rsidRPr="00E004B0">
        <w:rPr>
          <w:color w:val="000000"/>
          <w:u w:val="single"/>
        </w:rPr>
        <w:t xml:space="preserve">yra brangesni </w:t>
      </w:r>
      <w:r w:rsidR="00B557D8" w:rsidRPr="00E47CA7">
        <w:rPr>
          <w:highlight w:val="red"/>
          <w:lang w:eastAsia="lt-LT"/>
        </w:rPr>
        <w:t>***</w:t>
      </w:r>
      <w:r w:rsidRPr="00E004B0">
        <w:rPr>
          <w:color w:val="000000"/>
          <w:u w:val="single"/>
        </w:rPr>
        <w:t xml:space="preserve"> Eur. </w:t>
      </w:r>
      <w:r w:rsidRPr="00F1193C">
        <w:rPr>
          <w:color w:val="000000"/>
          <w:highlight w:val="yellow"/>
          <w:u w:val="single"/>
        </w:rPr>
        <w:t>(</w:t>
      </w:r>
      <w:r w:rsidR="00F1193C" w:rsidRPr="00F1193C">
        <w:rPr>
          <w:color w:val="000000"/>
          <w:highlight w:val="yellow"/>
          <w:u w:val="single"/>
        </w:rPr>
        <w:t>**</w:t>
      </w:r>
      <w:r w:rsidRPr="00E004B0">
        <w:rPr>
          <w:color w:val="000000"/>
          <w:u w:val="single"/>
        </w:rPr>
        <w:t xml:space="preserve"> proc.) nei palyginamojo gydymo (ustekinumabo, vedolizumabo ir tofacitinibo).</w:t>
      </w:r>
      <w:r>
        <w:rPr>
          <w:color w:val="000000"/>
        </w:rPr>
        <w:t xml:space="preserve"> Kaštų mažinimas yra nepasiekiamas.</w:t>
      </w:r>
    </w:p>
    <w:p w14:paraId="68B3B4C3" w14:textId="4D945C84" w:rsidR="006D7001" w:rsidRDefault="006D7001" w:rsidP="00137177">
      <w:pPr>
        <w:shd w:val="clear" w:color="auto" w:fill="FFFFFF"/>
        <w:spacing w:line="276" w:lineRule="auto"/>
        <w:ind w:firstLine="720"/>
        <w:jc w:val="both"/>
        <w:rPr>
          <w:color w:val="000000"/>
        </w:rPr>
      </w:pPr>
    </w:p>
    <w:p w14:paraId="732C6642" w14:textId="772193A3" w:rsidR="006D7001" w:rsidRDefault="006D7001" w:rsidP="006D7001">
      <w:pPr>
        <w:spacing w:line="276" w:lineRule="auto"/>
        <w:jc w:val="both"/>
      </w:pPr>
      <w:r>
        <w:rPr>
          <w:i/>
        </w:rPr>
        <w:lastRenderedPageBreak/>
        <w:t>Atsižvelgiant į palyginamosios mirikizumabo ir palyginamojo gydymo (tofacitinibas, ustekinumabas ir vedolizumabas) kaštų</w:t>
      </w:r>
      <w:r w:rsidRPr="00761CAE">
        <w:rPr>
          <w:i/>
        </w:rPr>
        <w:t xml:space="preserve"> analizės rezultatus</w:t>
      </w:r>
      <w:r>
        <w:rPr>
          <w:i/>
        </w:rPr>
        <w:t>, kad būtų pasiektas kaštų mažinimas</w:t>
      </w:r>
      <w:r w:rsidRPr="00761CAE">
        <w:rPr>
          <w:i/>
          <w:lang w:val="en-US"/>
        </w:rPr>
        <w:t xml:space="preserve"> </w:t>
      </w:r>
      <w:proofErr w:type="spellStart"/>
      <w:r>
        <w:rPr>
          <w:i/>
          <w:lang w:val="en-US"/>
        </w:rPr>
        <w:t>Pareiškėjui</w:t>
      </w:r>
      <w:proofErr w:type="spellEnd"/>
      <w:r>
        <w:rPr>
          <w:i/>
          <w:lang w:val="en-US"/>
        </w:rPr>
        <w:t xml:space="preserve"> </w:t>
      </w:r>
      <w:proofErr w:type="spellStart"/>
      <w:r>
        <w:rPr>
          <w:i/>
          <w:lang w:val="en-US"/>
        </w:rPr>
        <w:t>reikalinga</w:t>
      </w:r>
      <w:proofErr w:type="spellEnd"/>
      <w:r w:rsidRPr="00761CAE">
        <w:rPr>
          <w:i/>
          <w:lang w:val="en-US"/>
        </w:rPr>
        <w:t xml:space="preserve"> </w:t>
      </w:r>
      <w:proofErr w:type="spellStart"/>
      <w:r>
        <w:rPr>
          <w:i/>
          <w:lang w:val="en-US"/>
        </w:rPr>
        <w:t>suteikti</w:t>
      </w:r>
      <w:proofErr w:type="spellEnd"/>
      <w:r>
        <w:rPr>
          <w:i/>
          <w:lang w:val="en-US"/>
        </w:rPr>
        <w:t xml:space="preserve"> </w:t>
      </w:r>
      <w:r w:rsidRPr="00EE427C">
        <w:rPr>
          <w:i/>
          <w:u w:val="single"/>
          <w:lang w:val="en-US"/>
        </w:rPr>
        <w:t xml:space="preserve">ne </w:t>
      </w:r>
      <w:proofErr w:type="spellStart"/>
      <w:r w:rsidRPr="00EE427C">
        <w:rPr>
          <w:i/>
          <w:u w:val="single"/>
          <w:lang w:val="en-US"/>
        </w:rPr>
        <w:t>mažesnę</w:t>
      </w:r>
      <w:proofErr w:type="spellEnd"/>
      <w:r w:rsidRPr="00EE427C">
        <w:rPr>
          <w:i/>
          <w:u w:val="single"/>
          <w:lang w:val="en-US"/>
        </w:rPr>
        <w:t xml:space="preserve"> </w:t>
      </w:r>
      <w:proofErr w:type="spellStart"/>
      <w:r w:rsidRPr="00EE427C">
        <w:rPr>
          <w:i/>
          <w:u w:val="single"/>
          <w:lang w:val="en-US"/>
        </w:rPr>
        <w:t>nei</w:t>
      </w:r>
      <w:proofErr w:type="spellEnd"/>
      <w:r w:rsidRPr="00EE427C">
        <w:rPr>
          <w:i/>
          <w:u w:val="single"/>
          <w:lang w:val="en-US"/>
        </w:rPr>
        <w:t xml:space="preserve"> </w:t>
      </w:r>
      <w:r w:rsidR="00F1193C" w:rsidRPr="00F1193C">
        <w:rPr>
          <w:i/>
          <w:highlight w:val="yellow"/>
          <w:u w:val="single"/>
          <w:lang w:val="en-US"/>
        </w:rPr>
        <w:t>**</w:t>
      </w:r>
      <w:r w:rsidRPr="00EE427C">
        <w:rPr>
          <w:i/>
          <w:u w:val="single"/>
          <w:lang w:val="en-US"/>
        </w:rPr>
        <w:t xml:space="preserve"> proc.</w:t>
      </w:r>
      <w:r>
        <w:rPr>
          <w:i/>
          <w:lang w:val="en-US"/>
        </w:rPr>
        <w:t xml:space="preserve"> </w:t>
      </w:r>
      <w:proofErr w:type="spellStart"/>
      <w:r>
        <w:rPr>
          <w:i/>
          <w:lang w:val="en-US"/>
        </w:rPr>
        <w:t>nuolaidą</w:t>
      </w:r>
      <w:proofErr w:type="spellEnd"/>
      <w:r>
        <w:rPr>
          <w:i/>
          <w:lang w:val="en-US"/>
        </w:rPr>
        <w:t>.</w:t>
      </w:r>
    </w:p>
    <w:p w14:paraId="7105A29A" w14:textId="77777777" w:rsidR="00137177" w:rsidRPr="00E33EFF" w:rsidRDefault="00137177" w:rsidP="00A93AA6">
      <w:pPr>
        <w:tabs>
          <w:tab w:val="left" w:pos="426"/>
        </w:tabs>
        <w:rPr>
          <w:b/>
          <w:bCs/>
          <w:caps/>
        </w:rPr>
      </w:pPr>
    </w:p>
    <w:p w14:paraId="4FC424F9" w14:textId="4E767245" w:rsidR="00C62B36" w:rsidRPr="00E33EFF" w:rsidRDefault="00C62B36" w:rsidP="00CC09D4">
      <w:pPr>
        <w:pStyle w:val="ListParagraph"/>
        <w:numPr>
          <w:ilvl w:val="0"/>
          <w:numId w:val="12"/>
        </w:numPr>
        <w:tabs>
          <w:tab w:val="left" w:pos="567"/>
        </w:tabs>
        <w:ind w:hanging="720"/>
        <w:rPr>
          <w:b/>
          <w:bCs/>
          <w:caps/>
        </w:rPr>
      </w:pPr>
      <w:r w:rsidRPr="00E33EFF">
        <w:rPr>
          <w:b/>
          <w:bCs/>
          <w:caps/>
        </w:rPr>
        <w:t xml:space="preserve">Pacientų organizacijų pateikti duomenys </w:t>
      </w:r>
    </w:p>
    <w:p w14:paraId="79BCFF40" w14:textId="1992DF4A" w:rsidR="00937907" w:rsidRPr="00E33EFF" w:rsidRDefault="007705EF"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EndPr>
          <w:rPr>
            <w:rStyle w:val="Style2"/>
          </w:rPr>
        </w:sdtEndPr>
        <w:sdtContent>
          <w:r w:rsidR="00937907" w:rsidRPr="00E33EFF">
            <w:rPr>
              <w:rStyle w:val="Style2"/>
              <w:rFonts w:ascii="MS Gothic" w:eastAsia="MS Gothic" w:hAnsi="MS Gothic" w:hint="eastAsia"/>
              <w:sz w:val="24"/>
            </w:rPr>
            <w:t>☐</w:t>
          </w:r>
        </w:sdtContent>
      </w:sdt>
      <w:r w:rsidR="00937907" w:rsidRPr="00E33EFF">
        <w:t xml:space="preserve"> Pacientų organizacijos pozicija pateikta. Žr. priedą.</w:t>
      </w:r>
    </w:p>
    <w:p w14:paraId="62992180" w14:textId="4AE5C588" w:rsidR="00937907" w:rsidRPr="00E33EFF" w:rsidRDefault="007705EF"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EndPr>
          <w:rPr>
            <w:rStyle w:val="Style2"/>
          </w:rPr>
        </w:sdtEndPr>
        <w:sdtContent>
          <w:r w:rsidR="00C50B11">
            <w:rPr>
              <w:rStyle w:val="Style2"/>
              <w:rFonts w:ascii="MS Gothic" w:eastAsia="MS Gothic" w:hAnsi="MS Gothic" w:hint="eastAsia"/>
              <w:sz w:val="24"/>
            </w:rPr>
            <w:t>☒</w:t>
          </w:r>
        </w:sdtContent>
      </w:sdt>
      <w:r w:rsidR="00937907" w:rsidRPr="00E33EFF">
        <w:t xml:space="preserve"> Pacientų organizacijos pozicija </w:t>
      </w:r>
      <w:r w:rsidR="00880A44" w:rsidRPr="00E33EFF">
        <w:t>ne</w:t>
      </w:r>
      <w:r w:rsidR="00937907" w:rsidRPr="00E33EFF">
        <w:t>pateikta.</w:t>
      </w:r>
    </w:p>
    <w:p w14:paraId="03E73D82" w14:textId="77777777" w:rsidR="00D417D2" w:rsidRPr="00E33EFF" w:rsidRDefault="00D417D2" w:rsidP="00937907">
      <w:pPr>
        <w:spacing w:after="120"/>
        <w:jc w:val="both"/>
      </w:pPr>
    </w:p>
    <w:p w14:paraId="3D3277FA" w14:textId="3CEEB2D2" w:rsidR="00C62B36" w:rsidRPr="00E33EFF" w:rsidRDefault="00C62B36" w:rsidP="00CC09D4">
      <w:pPr>
        <w:pStyle w:val="ListParagraph"/>
        <w:numPr>
          <w:ilvl w:val="0"/>
          <w:numId w:val="12"/>
        </w:numPr>
        <w:tabs>
          <w:tab w:val="left" w:pos="567"/>
        </w:tabs>
        <w:ind w:hanging="720"/>
        <w:rPr>
          <w:b/>
          <w:bCs/>
          <w:caps/>
        </w:rPr>
      </w:pPr>
      <w:r w:rsidRPr="00E33EFF">
        <w:rPr>
          <w:b/>
          <w:bCs/>
          <w:caps/>
        </w:rPr>
        <w:t>Gydytojų organizacijų pateikti duomenys</w:t>
      </w:r>
    </w:p>
    <w:p w14:paraId="389A346C" w14:textId="17184B64" w:rsidR="00937907" w:rsidRPr="00E33EFF" w:rsidRDefault="007705EF" w:rsidP="00662983">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EndPr>
          <w:rPr>
            <w:rStyle w:val="Style2"/>
          </w:rPr>
        </w:sdtEndPr>
        <w:sdtContent>
          <w:r w:rsidR="00937907" w:rsidRPr="00E33EFF">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pateikta. </w:t>
      </w:r>
      <w:r w:rsidR="00662983" w:rsidRPr="00E33EFF">
        <w:t>Žr. priedą</w:t>
      </w:r>
      <w:r w:rsidR="00937907" w:rsidRPr="00E33EFF">
        <w:t>.</w:t>
      </w:r>
    </w:p>
    <w:p w14:paraId="5D8CC48C" w14:textId="3384BB5B" w:rsidR="00662983" w:rsidRPr="00E33EFF" w:rsidRDefault="007705EF"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EndPr>
          <w:rPr>
            <w:rStyle w:val="Style2"/>
          </w:rPr>
        </w:sdtEndPr>
        <w:sdtContent>
          <w:r w:rsidR="00C50B11">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w:t>
      </w:r>
      <w:r w:rsidR="00880A44" w:rsidRPr="00E33EFF">
        <w:t>ne</w:t>
      </w:r>
      <w:r w:rsidR="00937907" w:rsidRPr="00E33EFF">
        <w:t>pateikta.</w:t>
      </w:r>
    </w:p>
    <w:p w14:paraId="3701D46A" w14:textId="77777777" w:rsidR="00A042B9" w:rsidRPr="00E33EFF" w:rsidRDefault="00A042B9" w:rsidP="00662983">
      <w:pPr>
        <w:spacing w:after="120"/>
        <w:jc w:val="both"/>
      </w:pPr>
    </w:p>
    <w:p w14:paraId="4958A31E" w14:textId="6EF1E15A" w:rsidR="00BD18D3" w:rsidRPr="00137177" w:rsidRDefault="002F0E4F" w:rsidP="0061611B">
      <w:pPr>
        <w:pStyle w:val="ListParagraph"/>
        <w:numPr>
          <w:ilvl w:val="0"/>
          <w:numId w:val="12"/>
        </w:numPr>
        <w:tabs>
          <w:tab w:val="left" w:pos="567"/>
        </w:tabs>
        <w:ind w:hanging="720"/>
        <w:rPr>
          <w:b/>
          <w:bCs/>
          <w:caps/>
        </w:rPr>
      </w:pPr>
      <w:r w:rsidRPr="00E33EFF">
        <w:rPr>
          <w:b/>
          <w:bCs/>
          <w:caps/>
        </w:rPr>
        <w:t xml:space="preserve">Išvada </w:t>
      </w:r>
    </w:p>
    <w:p w14:paraId="2922DDCD" w14:textId="77777777" w:rsidR="00BD18D3" w:rsidRPr="00E33EFF" w:rsidRDefault="00BD18D3" w:rsidP="0061611B">
      <w:pPr>
        <w:rPr>
          <w:i/>
          <w:color w:val="00B050"/>
          <w:szCs w:val="22"/>
        </w:rPr>
      </w:pPr>
    </w:p>
    <w:tbl>
      <w:tblPr>
        <w:tblStyle w:val="TableGrid"/>
        <w:tblW w:w="0" w:type="auto"/>
        <w:tblLook w:val="04A0" w:firstRow="1" w:lastRow="0" w:firstColumn="1" w:lastColumn="0" w:noHBand="0" w:noVBand="1"/>
      </w:tblPr>
      <w:tblGrid>
        <w:gridCol w:w="4815"/>
        <w:gridCol w:w="4814"/>
      </w:tblGrid>
      <w:tr w:rsidR="00B13D65" w:rsidRPr="00E33EFF" w14:paraId="25A2473E" w14:textId="77777777" w:rsidTr="00C16245">
        <w:trPr>
          <w:trHeight w:val="510"/>
        </w:trPr>
        <w:tc>
          <w:tcPr>
            <w:tcW w:w="4815" w:type="dxa"/>
            <w:vAlign w:val="center"/>
          </w:tcPr>
          <w:p w14:paraId="7EFE6941" w14:textId="23B8BB6D"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Rekomenduojama kompensuoti</w:t>
            </w:r>
          </w:p>
        </w:tc>
        <w:tc>
          <w:tcPr>
            <w:tcW w:w="4814" w:type="dxa"/>
            <w:vAlign w:val="center"/>
          </w:tcPr>
          <w:p w14:paraId="330A1A5E" w14:textId="19247DC1"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 xml:space="preserve">Rekomenduojama nekompensuoti </w:t>
            </w:r>
          </w:p>
        </w:tc>
      </w:tr>
      <w:tr w:rsidR="00B13D65" w:rsidRPr="00E33EFF" w14:paraId="143A7356" w14:textId="77777777" w:rsidTr="00C16245">
        <w:trPr>
          <w:trHeight w:val="510"/>
        </w:trPr>
        <w:tc>
          <w:tcPr>
            <w:tcW w:w="9629" w:type="dxa"/>
            <w:gridSpan w:val="2"/>
            <w:vAlign w:val="center"/>
          </w:tcPr>
          <w:p w14:paraId="0AF5D6B4" w14:textId="6D8B6C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Palyginamasis efektyvumas</w:t>
            </w:r>
          </w:p>
        </w:tc>
      </w:tr>
      <w:tr w:rsidR="00B13D65" w:rsidRPr="00E33EFF" w14:paraId="28A0C814" w14:textId="77777777" w:rsidTr="0061611B">
        <w:tc>
          <w:tcPr>
            <w:tcW w:w="4815" w:type="dxa"/>
          </w:tcPr>
          <w:p w14:paraId="216769B5" w14:textId="144FEB07" w:rsidR="00B13D65" w:rsidRPr="00E33EFF" w:rsidRDefault="007705EF"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32.1. yra didesnis</w:t>
            </w:r>
            <w:r w:rsidR="00B00959" w:rsidRPr="00E33EFF">
              <w:t>, lyginant su įprasta klinikine praktika</w:t>
            </w:r>
          </w:p>
          <w:p w14:paraId="3B48F372"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16DEB638" w:rsidR="00B13D65" w:rsidRPr="00E33EFF" w:rsidRDefault="007705EF"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1"/>
                  <w14:checkedState w14:val="2612" w14:font="MS Gothic"/>
                  <w14:uncheckedState w14:val="2610" w14:font="MS Gothic"/>
                </w14:checkbox>
              </w:sdtPr>
              <w:sdtEndPr>
                <w:rPr>
                  <w:rStyle w:val="Style2"/>
                </w:rPr>
              </w:sdtEndPr>
              <w:sdtContent>
                <w:r w:rsidR="00BC6811">
                  <w:rPr>
                    <w:rStyle w:val="Style2"/>
                    <w:rFonts w:ascii="MS Gothic" w:eastAsia="MS Gothic" w:hAnsi="MS Gothic" w:hint="eastAsia"/>
                    <w:sz w:val="24"/>
                  </w:rPr>
                  <w:t>☒</w:t>
                </w:r>
              </w:sdtContent>
            </w:sdt>
            <w:r w:rsidR="00B13D65" w:rsidRPr="00E33EFF">
              <w:t xml:space="preserve"> 32.1. iš esmės nesiskiria</w:t>
            </w:r>
            <w:r w:rsidR="00B00959" w:rsidRPr="00E33EFF">
              <w:t>, lyginant su įprasta klinikine praktika</w:t>
            </w:r>
          </w:p>
        </w:tc>
        <w:tc>
          <w:tcPr>
            <w:tcW w:w="4814" w:type="dxa"/>
          </w:tcPr>
          <w:p w14:paraId="507828D9" w14:textId="10556E28" w:rsidR="00B13D65" w:rsidRPr="00E33EFF" w:rsidRDefault="007705EF"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yra mažesnis</w:t>
            </w:r>
            <w:r w:rsidR="00B00959" w:rsidRPr="00E33EFF">
              <w:t>, lyginant su įprasta klinikine praktika</w:t>
            </w:r>
          </w:p>
          <w:p w14:paraId="7F95DEEC"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1A29EA3B" w:rsidR="00662983" w:rsidRPr="00E33EFF" w:rsidRDefault="007705EF"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yra neįrodytas kaip toks pat</w:t>
            </w:r>
            <w:r w:rsidR="00B00959" w:rsidRPr="00E33EFF">
              <w:t>, lyginant su įprasta klinikine praktika</w:t>
            </w:r>
          </w:p>
          <w:p w14:paraId="35205E85"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6D563DC8" w:rsidR="00B13D65" w:rsidRPr="00E33EFF" w:rsidRDefault="007705EF"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EndPr>
                <w:rPr>
                  <w:rStyle w:val="Style2"/>
                </w:rPr>
              </w:sdtEndPr>
              <w:sdtContent>
                <w:r w:rsidR="00662983" w:rsidRPr="00E33EFF">
                  <w:rPr>
                    <w:rStyle w:val="Style2"/>
                    <w:rFonts w:ascii="Segoe UI Symbol" w:eastAsia="MS Gothic" w:hAnsi="Segoe UI Symbol" w:cs="Segoe UI Symbol"/>
                    <w:sz w:val="24"/>
                  </w:rPr>
                  <w:t>☐</w:t>
                </w:r>
              </w:sdtContent>
            </w:sdt>
            <w:r w:rsidR="00662983" w:rsidRPr="00E33EFF">
              <w:t xml:space="preserve"> 33.1 </w:t>
            </w:r>
            <w:r w:rsidR="00B00959" w:rsidRPr="00E33EFF">
              <w:t xml:space="preserve">yra </w:t>
            </w:r>
            <w:r w:rsidR="00B13D65" w:rsidRPr="00E33EFF">
              <w:t>neįrodytas kaip didesnis</w:t>
            </w:r>
            <w:r w:rsidR="00B00959" w:rsidRPr="00E33EFF">
              <w:t>, lyginant su įprasta klinikine praktika</w:t>
            </w:r>
          </w:p>
          <w:p w14:paraId="512E653B"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E33EFF" w:rsidRDefault="007705EF"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pateikti duomenys apie palyginamąjį efektyvumą yra netinkami vertinti</w:t>
            </w:r>
          </w:p>
          <w:p w14:paraId="5DDAA96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61CC3FE" w14:textId="77777777" w:rsidTr="00C16245">
        <w:trPr>
          <w:trHeight w:val="510"/>
        </w:trPr>
        <w:tc>
          <w:tcPr>
            <w:tcW w:w="9629" w:type="dxa"/>
            <w:gridSpan w:val="2"/>
            <w:vAlign w:val="center"/>
          </w:tcPr>
          <w:p w14:paraId="1AB46894" w14:textId="3E765638"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Klinikinis veiksmingumas</w:t>
            </w:r>
          </w:p>
        </w:tc>
      </w:tr>
      <w:tr w:rsidR="00B13D65" w:rsidRPr="00E33EFF" w14:paraId="3C60570A" w14:textId="77777777" w:rsidTr="0061611B">
        <w:tc>
          <w:tcPr>
            <w:tcW w:w="4815" w:type="dxa"/>
          </w:tcPr>
          <w:p w14:paraId="6897B306" w14:textId="70C15EA4" w:rsidR="00B13D65" w:rsidRPr="00E33EFF" w:rsidRDefault="007705EF"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32.2. yra įvertintas kaip pagrindžiantis papildomos naudos pacientų sveikatai sukūrimą, lyginant su įprasta klinikine praktika</w:t>
            </w:r>
          </w:p>
          <w:p w14:paraId="71D57105"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669A835E" w:rsidR="00B13D65" w:rsidRPr="00E33EFF" w:rsidRDefault="007705EF"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1"/>
                  <w14:checkedState w14:val="2612" w14:font="MS Gothic"/>
                  <w14:uncheckedState w14:val="2610" w14:font="MS Gothic"/>
                </w14:checkbox>
              </w:sdtPr>
              <w:sdtEndPr>
                <w:rPr>
                  <w:rStyle w:val="Style2"/>
                </w:rPr>
              </w:sdtEndPr>
              <w:sdtContent>
                <w:r w:rsidR="00BC6811">
                  <w:rPr>
                    <w:rStyle w:val="Style2"/>
                    <w:rFonts w:ascii="MS Gothic" w:eastAsia="MS Gothic" w:hAnsi="MS Gothic" w:hint="eastAsia"/>
                    <w:sz w:val="24"/>
                  </w:rPr>
                  <w:t>☒</w:t>
                </w:r>
              </w:sdtContent>
            </w:sdt>
            <w:r w:rsidR="00B13D65" w:rsidRPr="00E33EFF">
              <w:t xml:space="preserve"> 32.2. </w:t>
            </w:r>
            <w:r w:rsidR="00B00959" w:rsidRPr="00E33EFF">
              <w:t xml:space="preserve">yra </w:t>
            </w:r>
            <w:r w:rsidR="00B13D65" w:rsidRPr="00E33EFF">
              <w:t>įvertintas kaip pagrindžiantis nesiskiriančios naudos pacientų sveikatai sukūrimą, lyginant su įprasta klinikine praktika</w:t>
            </w:r>
          </w:p>
          <w:p w14:paraId="287AD233"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682BFC3B" w:rsidR="00662983" w:rsidRPr="00E33EFF" w:rsidRDefault="007705EF" w:rsidP="00662983">
            <w:pPr>
              <w:jc w:val="both"/>
            </w:pPr>
            <w:sdt>
              <w:sdtPr>
                <w:rPr>
                  <w:rStyle w:val="Style2"/>
                  <w:sz w:val="24"/>
                </w:rPr>
                <w:id w:val="-1034573056"/>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yra įvertintas kaip nepagrindžiantis papildomos </w:t>
            </w:r>
            <w:r w:rsidR="00662983" w:rsidRPr="00E33EFF">
              <w:t>naudos pacientų sveikatai sukūrimo, lyginant su  įprasta klinikine praktika</w:t>
            </w:r>
          </w:p>
          <w:p w14:paraId="6C70BCFC" w14:textId="77777777" w:rsidR="00662983" w:rsidRPr="00E33EFF" w:rsidRDefault="00662983" w:rsidP="00BD1E5A">
            <w:pPr>
              <w:jc w:val="both"/>
            </w:pPr>
          </w:p>
          <w:p w14:paraId="0ADEC30D" w14:textId="1353964F" w:rsidR="00B13D65" w:rsidRPr="00E33EFF" w:rsidRDefault="007705EF" w:rsidP="00BD1E5A">
            <w:pPr>
              <w:jc w:val="both"/>
            </w:pPr>
            <w:sdt>
              <w:sdtPr>
                <w:rPr>
                  <w:rStyle w:val="Style2"/>
                  <w:sz w:val="24"/>
                </w:rPr>
                <w:id w:val="1289549109"/>
                <w15:color w:val="FFCC00"/>
                <w14:checkbox>
                  <w14:checked w14:val="0"/>
                  <w14:checkedState w14:val="2612" w14:font="MS Gothic"/>
                  <w14:uncheckedState w14:val="2610" w14:font="MS Gothic"/>
                </w14:checkbox>
              </w:sdtPr>
              <w:sdtEndPr>
                <w:rPr>
                  <w:rStyle w:val="Style2"/>
                </w:rPr>
              </w:sdtEndPr>
              <w:sdtContent>
                <w:r w:rsidR="00662983" w:rsidRPr="00E33EFF">
                  <w:rPr>
                    <w:rStyle w:val="Style2"/>
                    <w:rFonts w:ascii="Segoe UI Symbol" w:eastAsia="MS Gothic" w:hAnsi="Segoe UI Symbol" w:cs="Segoe UI Symbol"/>
                    <w:sz w:val="24"/>
                  </w:rPr>
                  <w:t>☐</w:t>
                </w:r>
              </w:sdtContent>
            </w:sdt>
            <w:r w:rsidR="00B13D65" w:rsidRPr="00E33EFF">
              <w:t xml:space="preserve"> </w:t>
            </w:r>
            <w:r w:rsidR="00662983" w:rsidRPr="00E33EFF">
              <w:t xml:space="preserve">33.1. </w:t>
            </w:r>
            <w:r w:rsidR="00B00959" w:rsidRPr="00E33EFF">
              <w:t xml:space="preserve">yra įvertintas kaip nepagrindžiantis </w:t>
            </w:r>
            <w:r w:rsidR="00B13D65" w:rsidRPr="00E33EFF">
              <w:t>nesiskiriančios naudos pacientų sveikatai sukūrimo, lyginant su įprasta klinikine praktika</w:t>
            </w:r>
          </w:p>
          <w:p w14:paraId="1EED790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C75AE76" w14:textId="77777777" w:rsidTr="00C16245">
        <w:trPr>
          <w:trHeight w:val="510"/>
        </w:trPr>
        <w:tc>
          <w:tcPr>
            <w:tcW w:w="9629" w:type="dxa"/>
            <w:gridSpan w:val="2"/>
            <w:vAlign w:val="center"/>
          </w:tcPr>
          <w:p w14:paraId="0247EDAD" w14:textId="7FBBB7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Kaštų naudingumas</w:t>
            </w:r>
          </w:p>
        </w:tc>
      </w:tr>
      <w:tr w:rsidR="00B13D65" w:rsidRPr="00E33EFF" w14:paraId="7091A05B" w14:textId="77777777" w:rsidTr="0061611B">
        <w:tc>
          <w:tcPr>
            <w:tcW w:w="4815" w:type="dxa"/>
          </w:tcPr>
          <w:p w14:paraId="69B2A994" w14:textId="22CFA3FB" w:rsidR="00B13D65" w:rsidRPr="00E33EFF" w:rsidRDefault="007705EF"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EndPr>
                <w:rPr>
                  <w:rStyle w:val="Style2"/>
                </w:rPr>
              </w:sdtEndPr>
              <w:sdtContent>
                <w:r w:rsidR="00A06DBB" w:rsidRPr="00E33EFF">
                  <w:rPr>
                    <w:rStyle w:val="Style2"/>
                    <w:rFonts w:ascii="MS Gothic" w:eastAsia="MS Gothic" w:hAnsi="MS Gothic" w:hint="eastAsia"/>
                    <w:sz w:val="24"/>
                  </w:rPr>
                  <w:t>☐</w:t>
                </w:r>
              </w:sdtContent>
            </w:sdt>
            <w:r w:rsidR="00B13D65" w:rsidRPr="00E33EFF">
              <w:t xml:space="preserve"> 32.3. atitinka referencinę naudingumo vertę, taikant</w:t>
            </w:r>
            <w:r w:rsidR="00662983" w:rsidRPr="00E33EFF">
              <w:t xml:space="preserve"> PGS</w:t>
            </w:r>
          </w:p>
          <w:p w14:paraId="3F76F153"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2072E7" w14:textId="6CF3EA6F" w:rsidR="00B13D65" w:rsidRPr="00E33EFF" w:rsidRDefault="007705EF"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308081728"/>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32.3. gydymo juo kaštai yra mažesni ar tokie patys esant iš esmės nesiskiriančiam </w:t>
            </w:r>
            <w:r w:rsidR="00B13D65" w:rsidRPr="00E33EFF">
              <w:lastRenderedPageBreak/>
              <w:t xml:space="preserve">palyginamajam efektyvumui, taikant </w:t>
            </w:r>
            <w:r w:rsidR="00D54D0A">
              <w:t>PGS</w:t>
            </w:r>
            <w:r w:rsidR="00B00959" w:rsidRPr="00E33EFF">
              <w:t>, lyginant su įprasta klinikine praktika</w:t>
            </w:r>
          </w:p>
          <w:p w14:paraId="25E4BD1E"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3380063" w14:textId="5EB8488A" w:rsidR="00B13D65" w:rsidRPr="00E33EFF" w:rsidRDefault="007705EF"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33.3. neatitinka referencinės naudingumo vertės Lietuvos Respublikoje</w:t>
            </w:r>
          </w:p>
          <w:p w14:paraId="229ED51A"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3E434666" w:rsidR="00B13D65" w:rsidRPr="00E33EFF" w:rsidRDefault="007705EF"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1"/>
                  <w14:checkedState w14:val="2612" w14:font="MS Gothic"/>
                  <w14:uncheckedState w14:val="2610" w14:font="MS Gothic"/>
                </w14:checkbox>
              </w:sdtPr>
              <w:sdtEndPr>
                <w:rPr>
                  <w:rStyle w:val="Style2"/>
                </w:rPr>
              </w:sdtEndPr>
              <w:sdtContent>
                <w:r w:rsidR="00D54D0A">
                  <w:rPr>
                    <w:rStyle w:val="Style2"/>
                    <w:rFonts w:ascii="MS Gothic" w:eastAsia="MS Gothic" w:hAnsi="MS Gothic" w:hint="eastAsia"/>
                    <w:sz w:val="24"/>
                  </w:rPr>
                  <w:t>☒</w:t>
                </w:r>
              </w:sdtContent>
            </w:sdt>
            <w:r w:rsidR="00B13D65" w:rsidRPr="00E33EFF">
              <w:t xml:space="preserve"> 33.3. gydymo juo kaštai yra didesni esant iš esmės nesiskiriančiam palyginamajam </w:t>
            </w:r>
            <w:r w:rsidR="00B13D65" w:rsidRPr="00E33EFF">
              <w:lastRenderedPageBreak/>
              <w:t>efektyvumui, taikant</w:t>
            </w:r>
            <w:r w:rsidR="00D54D0A">
              <w:t xml:space="preserve"> PGS</w:t>
            </w:r>
            <w:r w:rsidR="00B00959" w:rsidRPr="00E33EFF">
              <w:t>, lyginant su įprasta klinikine praktika</w:t>
            </w:r>
          </w:p>
          <w:p w14:paraId="4A9C7D2A"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4020B1AC" w:rsidR="00B13D65" w:rsidRPr="00E33EFF" w:rsidRDefault="007705EF"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33.3. pateikti duomenys apie kaštų na</w:t>
            </w:r>
            <w:r w:rsidR="00662983" w:rsidRPr="00E33EFF">
              <w:t>udingumą yra netinkami vertinti</w:t>
            </w:r>
          </w:p>
          <w:p w14:paraId="470A48A4"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3B2D1F25" w14:textId="005E5C3E" w:rsidR="000001B0" w:rsidRDefault="000001B0" w:rsidP="00D54D0A"/>
    <w:p w14:paraId="3F056DE5" w14:textId="77777777" w:rsidR="00D54D0A" w:rsidRPr="00E33EFF" w:rsidRDefault="00D54D0A" w:rsidP="00D54D0A"/>
    <w:p w14:paraId="7D5C6700" w14:textId="5D587603" w:rsidR="00D5470B" w:rsidRPr="00E33EFF" w:rsidRDefault="00D54D0A" w:rsidP="00D54D0A">
      <w:pPr>
        <w:pStyle w:val="ListParagraph"/>
        <w:numPr>
          <w:ilvl w:val="0"/>
          <w:numId w:val="12"/>
        </w:numPr>
        <w:ind w:left="630" w:hanging="630"/>
      </w:pPr>
      <w:r w:rsidRPr="00D54D0A">
        <w:rPr>
          <w:b/>
        </w:rPr>
        <w:t>REKOMENDACIJA</w:t>
      </w:r>
    </w:p>
    <w:p w14:paraId="06BC01EE" w14:textId="624D9FDE" w:rsidR="000723FF" w:rsidRDefault="000723FF" w:rsidP="00381024"/>
    <w:p w14:paraId="6FDCEEC3" w14:textId="77777777" w:rsidR="00D54D0A" w:rsidRDefault="00D54D0A" w:rsidP="00D54D0A">
      <w:pPr>
        <w:spacing w:line="276" w:lineRule="auto"/>
        <w:ind w:firstLine="567"/>
        <w:jc w:val="both"/>
        <w:rPr>
          <w:color w:val="000000" w:themeColor="text1"/>
        </w:rPr>
      </w:pPr>
      <w:r w:rsidRPr="003F514B">
        <w:t>Vadovaujantis</w:t>
      </w:r>
      <w:r w:rsidRPr="00B351ED">
        <w:rPr>
          <w:color w:val="000000" w:themeColor="text1"/>
        </w:rPr>
        <w:t xml:space="preserve">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w:t>
      </w:r>
    </w:p>
    <w:p w14:paraId="09C0A7C7" w14:textId="77777777" w:rsidR="00D54D0A" w:rsidRDefault="00D54D0A" w:rsidP="00D54D0A">
      <w:pPr>
        <w:spacing w:line="276" w:lineRule="auto"/>
        <w:jc w:val="both"/>
      </w:pPr>
      <w:r>
        <w:rPr>
          <w:color w:val="000000"/>
        </w:rPr>
        <w:t>34.4.</w:t>
      </w:r>
      <w:r>
        <w:rPr>
          <w:color w:val="000000" w:themeColor="text1"/>
        </w:rPr>
        <w:t xml:space="preserve"> </w:t>
      </w:r>
      <w:r w:rsidRPr="00513C05">
        <w:t xml:space="preserve">rekomenduojama </w:t>
      </w:r>
      <w:r w:rsidRPr="001C4A38">
        <w:rPr>
          <w:i/>
        </w:rPr>
        <w:t>ne</w:t>
      </w:r>
      <w:r w:rsidRPr="00432D48">
        <w:rPr>
          <w:i/>
        </w:rPr>
        <w:t xml:space="preserve">kompensuoti </w:t>
      </w:r>
      <w:r>
        <w:t>vaistinio preparato</w:t>
      </w:r>
      <w:r w:rsidRPr="00513C05">
        <w:t xml:space="preserve"> pagal paraiškoje nurodytą </w:t>
      </w:r>
      <w:r w:rsidRPr="008B649B">
        <w:t>indikaciją</w:t>
      </w:r>
      <w:r>
        <w:rPr>
          <w:lang w:val="en-US"/>
        </w:rPr>
        <w:t xml:space="preserve">, be </w:t>
      </w:r>
      <w:r>
        <w:t xml:space="preserve">skyrimo sąlygų, taikant PGS, </w:t>
      </w:r>
      <w:r w:rsidRPr="008B649B">
        <w:t>dėl iš esmės nesiskiriančio gydymo efektyvumo ir sukuriamos naudos pacientų sveikatai, lyginant su įprasta klinikine praktika</w:t>
      </w:r>
      <w:r>
        <w:t xml:space="preserve"> (ustekinumabu, tofacitinibu ir vedolizumabu) </w:t>
      </w:r>
      <w:r w:rsidRPr="008B649B">
        <w:t xml:space="preserve">ir </w:t>
      </w:r>
      <w:r>
        <w:t>didesnių</w:t>
      </w:r>
      <w:r w:rsidRPr="008B649B">
        <w:t xml:space="preserve"> gydymo kaštų </w:t>
      </w:r>
      <w:r>
        <w:t>(kaštų mažinimas nepasiekiamas</w:t>
      </w:r>
      <w:r w:rsidRPr="008B649B">
        <w:t>).</w:t>
      </w:r>
    </w:p>
    <w:p w14:paraId="3EF1375D" w14:textId="77777777" w:rsidR="00D54D0A" w:rsidRDefault="00D54D0A" w:rsidP="00D54D0A">
      <w:pPr>
        <w:spacing w:line="276" w:lineRule="auto"/>
        <w:jc w:val="both"/>
        <w:rPr>
          <w:color w:val="000000" w:themeColor="text1"/>
        </w:rPr>
      </w:pPr>
    </w:p>
    <w:p w14:paraId="56FAE83B" w14:textId="1E66EA92" w:rsidR="00D54D0A" w:rsidRPr="00D54D0A" w:rsidRDefault="00D54D0A" w:rsidP="00D54D0A">
      <w:pPr>
        <w:spacing w:line="276" w:lineRule="auto"/>
        <w:ind w:firstLine="720"/>
        <w:jc w:val="both"/>
        <w:rPr>
          <w:color w:val="000000" w:themeColor="text1"/>
        </w:rPr>
      </w:pPr>
      <w:r w:rsidRPr="00CF1757">
        <w:rPr>
          <w:rFonts w:eastAsia="Arial"/>
          <w:i/>
        </w:rPr>
        <w:t xml:space="preserve">Atkreiptinas dėmesys, kad siekiant jog </w:t>
      </w:r>
      <w:r>
        <w:rPr>
          <w:rFonts w:eastAsia="Arial"/>
          <w:i/>
        </w:rPr>
        <w:t>mirikizumabo</w:t>
      </w:r>
      <w:r w:rsidRPr="00CF1757">
        <w:rPr>
          <w:rFonts w:eastAsia="Arial"/>
          <w:i/>
        </w:rPr>
        <w:t xml:space="preserve"> teikiama kaina atitiktų Tvarkos aprašo Nr.159 papunktį </w:t>
      </w:r>
      <w:r w:rsidRPr="00CF1757">
        <w:rPr>
          <w:i/>
          <w:color w:val="000000"/>
        </w:rPr>
        <w:t>54.1</w:t>
      </w:r>
      <w:r w:rsidRPr="00CF1757">
        <w:rPr>
          <w:i/>
          <w:color w:val="000000"/>
          <w:vertAlign w:val="superscript"/>
        </w:rPr>
        <w:t>1</w:t>
      </w:r>
      <w:r w:rsidRPr="00CF1757">
        <w:rPr>
          <w:rFonts w:eastAsia="Arial"/>
          <w:i/>
        </w:rPr>
        <w:t xml:space="preserve"> </w:t>
      </w:r>
      <w:r w:rsidRPr="00CF1757">
        <w:rPr>
          <w:i/>
          <w:color w:val="000000"/>
        </w:rPr>
        <w:t>&lt;...gydymo vaistiniu preparatu kaštai, mažėja ne mažiau kaip 5 proc....&gt;,</w:t>
      </w:r>
      <w:r w:rsidRPr="00CF1757">
        <w:rPr>
          <w:rFonts w:eastAsia="Arial"/>
          <w:i/>
        </w:rPr>
        <w:t xml:space="preserve"> </w:t>
      </w:r>
      <w:r>
        <w:rPr>
          <w:rFonts w:eastAsia="Arial"/>
          <w:i/>
        </w:rPr>
        <w:t>mirikizumabo</w:t>
      </w:r>
      <w:r w:rsidRPr="00CF1757">
        <w:rPr>
          <w:rFonts w:eastAsia="Arial"/>
          <w:i/>
        </w:rPr>
        <w:t xml:space="preserve"> pakuočių (30</w:t>
      </w:r>
      <w:r>
        <w:rPr>
          <w:rFonts w:eastAsia="Arial"/>
          <w:i/>
        </w:rPr>
        <w:t>0</w:t>
      </w:r>
      <w:r w:rsidRPr="00CF1757">
        <w:rPr>
          <w:rFonts w:eastAsia="Arial"/>
          <w:i/>
        </w:rPr>
        <w:t xml:space="preserve"> mg ir </w:t>
      </w:r>
      <w:r>
        <w:rPr>
          <w:rFonts w:eastAsia="Arial"/>
          <w:i/>
        </w:rPr>
        <w:t>200</w:t>
      </w:r>
      <w:r w:rsidRPr="00CF1757">
        <w:rPr>
          <w:rFonts w:eastAsia="Arial"/>
          <w:i/>
        </w:rPr>
        <w:t xml:space="preserve"> mg) kaina atitinkamai turi būti sumažinta </w:t>
      </w:r>
      <w:r w:rsidRPr="006C2AAF">
        <w:rPr>
          <w:rFonts w:eastAsia="Arial"/>
          <w:i/>
          <w:u w:val="single"/>
        </w:rPr>
        <w:t xml:space="preserve">papildoma </w:t>
      </w:r>
      <w:r>
        <w:rPr>
          <w:rFonts w:eastAsia="Arial"/>
          <w:i/>
          <w:u w:val="single"/>
        </w:rPr>
        <w:t>(</w:t>
      </w:r>
      <w:r w:rsidRPr="006C2AAF">
        <w:rPr>
          <w:rFonts w:eastAsia="Arial"/>
          <w:i/>
          <w:u w:val="single"/>
        </w:rPr>
        <w:t>ne</w:t>
      </w:r>
      <w:r>
        <w:rPr>
          <w:rFonts w:eastAsia="Arial"/>
          <w:i/>
          <w:u w:val="single"/>
        </w:rPr>
        <w:t>i Tarnyba</w:t>
      </w:r>
      <w:r w:rsidRPr="006C2AAF">
        <w:rPr>
          <w:rFonts w:eastAsia="Arial"/>
          <w:i/>
          <w:u w:val="single"/>
        </w:rPr>
        <w:t xml:space="preserve"> </w:t>
      </w:r>
      <w:r>
        <w:rPr>
          <w:rFonts w:eastAsia="Arial"/>
          <w:i/>
          <w:u w:val="single"/>
        </w:rPr>
        <w:t>nurodo rekomendacijose), ne</w:t>
      </w:r>
      <w:r w:rsidRPr="006C2AAF">
        <w:rPr>
          <w:rFonts w:eastAsia="Arial"/>
          <w:i/>
          <w:u w:val="single"/>
        </w:rPr>
        <w:t xml:space="preserve"> mažes</w:t>
      </w:r>
      <w:r w:rsidR="00147D1D">
        <w:rPr>
          <w:rFonts w:eastAsia="Arial"/>
          <w:i/>
          <w:u w:val="single"/>
        </w:rPr>
        <w:t>n</w:t>
      </w:r>
      <w:r w:rsidRPr="006C2AAF">
        <w:rPr>
          <w:rFonts w:eastAsia="Arial"/>
          <w:i/>
          <w:u w:val="single"/>
        </w:rPr>
        <w:t>e nei 5 proc.</w:t>
      </w:r>
      <w:r>
        <w:rPr>
          <w:rFonts w:eastAsia="Arial"/>
          <w:i/>
        </w:rPr>
        <w:t xml:space="preserve"> nuolaida</w:t>
      </w:r>
      <w:r w:rsidRPr="00CF1757">
        <w:rPr>
          <w:rFonts w:eastAsia="Arial"/>
          <w:i/>
        </w:rPr>
        <w:t xml:space="preserve">, </w:t>
      </w:r>
      <w:r>
        <w:rPr>
          <w:rFonts w:eastAsia="Arial"/>
          <w:i/>
        </w:rPr>
        <w:t xml:space="preserve">siekiant, kad atitiktų </w:t>
      </w:r>
      <w:r w:rsidRPr="00CF1757">
        <w:rPr>
          <w:rFonts w:eastAsia="Arial"/>
          <w:i/>
        </w:rPr>
        <w:t xml:space="preserve">KMA analizei taikomo </w:t>
      </w:r>
      <w:r>
        <w:rPr>
          <w:rFonts w:eastAsia="Arial"/>
          <w:i/>
        </w:rPr>
        <w:t>5 proc. kaštų mažinimo kriterij</w:t>
      </w:r>
      <w:r w:rsidR="00147D1D">
        <w:rPr>
          <w:rFonts w:eastAsia="Arial"/>
          <w:i/>
        </w:rPr>
        <w:t>ų</w:t>
      </w:r>
      <w:r>
        <w:rPr>
          <w:rFonts w:eastAsia="Arial"/>
          <w:i/>
        </w:rPr>
        <w:t>.</w:t>
      </w:r>
    </w:p>
    <w:p w14:paraId="381E4F17" w14:textId="77777777" w:rsidR="00D54D0A" w:rsidRPr="00E33EFF" w:rsidRDefault="00D54D0A" w:rsidP="00381024"/>
    <w:p w14:paraId="18B4292E" w14:textId="5C36756E" w:rsidR="000723FF" w:rsidRPr="00E33EFF" w:rsidRDefault="00D54D0A" w:rsidP="00CC09D4">
      <w:pPr>
        <w:tabs>
          <w:tab w:val="left" w:pos="567"/>
        </w:tabs>
        <w:ind w:left="567" w:hanging="567"/>
        <w:jc w:val="both"/>
        <w:rPr>
          <w:b/>
          <w:color w:val="000000"/>
          <w:lang w:eastAsia="lt-LT"/>
        </w:rPr>
      </w:pPr>
      <w:r>
        <w:rPr>
          <w:b/>
          <w:color w:val="000000"/>
          <w:lang w:eastAsia="lt-LT"/>
        </w:rPr>
        <w:t>9</w:t>
      </w:r>
      <w:r w:rsidR="00CC09D4">
        <w:rPr>
          <w:b/>
          <w:color w:val="000000"/>
          <w:lang w:eastAsia="lt-LT"/>
        </w:rPr>
        <w:t>.</w:t>
      </w:r>
      <w:r w:rsidR="00CC09D4">
        <w:rPr>
          <w:b/>
          <w:color w:val="000000"/>
          <w:lang w:eastAsia="lt-LT"/>
        </w:rPr>
        <w:tab/>
      </w:r>
      <w:r w:rsidR="000723FF" w:rsidRPr="00E33EFF">
        <w:rPr>
          <w:b/>
          <w:color w:val="000000"/>
          <w:lang w:eastAsia="lt-LT"/>
        </w:rPr>
        <w:t xml:space="preserve">SIŪLOMOS KOMPENSUOTI TERAPINĖS INDIKACIJOS IR SKYRIMO SĄLYGOS </w:t>
      </w:r>
    </w:p>
    <w:p w14:paraId="691340BB" w14:textId="77777777" w:rsidR="000723FF" w:rsidRPr="00E33EFF" w:rsidRDefault="000723FF" w:rsidP="000723FF">
      <w:pPr>
        <w:tabs>
          <w:tab w:val="left" w:pos="426"/>
        </w:tabs>
        <w:jc w:val="both"/>
        <w:rPr>
          <w:b/>
          <w:color w:val="000000"/>
          <w:lang w:eastAsia="lt-LT"/>
        </w:rPr>
      </w:pPr>
    </w:p>
    <w:p w14:paraId="529C92C4" w14:textId="152E5FB4" w:rsidR="000723FF" w:rsidRPr="00DC5BAC" w:rsidRDefault="000723FF" w:rsidP="00824B92">
      <w:pPr>
        <w:rPr>
          <w:b/>
          <w:lang w:eastAsia="lt-LT"/>
        </w:rPr>
      </w:pPr>
      <w:r w:rsidRPr="00DC5BAC">
        <w:rPr>
          <w:b/>
          <w:lang w:eastAsia="lt-LT"/>
        </w:rPr>
        <w:t>Terapinės indikacijos</w:t>
      </w:r>
    </w:p>
    <w:p w14:paraId="13EF34B7" w14:textId="77777777" w:rsidR="00A85C13" w:rsidRPr="0035383E" w:rsidRDefault="00A85C13" w:rsidP="00A85C13">
      <w:pPr>
        <w:pStyle w:val="NoSpacing"/>
        <w:spacing w:line="280" w:lineRule="atLeast"/>
        <w:rPr>
          <w:rFonts w:ascii="Times New Roman" w:hAnsi="Times New Roman"/>
          <w:b/>
          <w:color w:val="000000" w:themeColor="text1"/>
          <w:sz w:val="24"/>
          <w:szCs w:val="24"/>
          <w:lang w:eastAsia="lt-LT"/>
        </w:rPr>
      </w:pPr>
    </w:p>
    <w:p w14:paraId="5AC611E4" w14:textId="13CF6BF1" w:rsidR="00A85C13" w:rsidRPr="0035383E" w:rsidRDefault="007705EF" w:rsidP="00A85C13">
      <w:pPr>
        <w:pStyle w:val="NoSpacing"/>
        <w:spacing w:line="280" w:lineRule="atLeast"/>
        <w:rPr>
          <w:rFonts w:ascii="Times New Roman" w:hAnsi="Times New Roman"/>
          <w:color w:val="000000" w:themeColor="text1"/>
          <w:sz w:val="24"/>
          <w:szCs w:val="24"/>
        </w:rPr>
      </w:pPr>
      <w:sdt>
        <w:sdtPr>
          <w:rPr>
            <w:rStyle w:val="Style2"/>
            <w:rFonts w:ascii="Times New Roman" w:hAnsi="Times New Roman"/>
            <w:color w:val="000000" w:themeColor="text1"/>
            <w:sz w:val="24"/>
            <w:szCs w:val="24"/>
          </w:rPr>
          <w:id w:val="1290926973"/>
          <w15:color w:val="FFCC00"/>
          <w14:checkbox>
            <w14:checked w14:val="1"/>
            <w14:checkedState w14:val="2612" w14:font="MS Gothic"/>
            <w14:uncheckedState w14:val="2610" w14:font="MS Gothic"/>
          </w14:checkbox>
        </w:sdtPr>
        <w:sdtEndPr>
          <w:rPr>
            <w:rStyle w:val="Style2"/>
          </w:rPr>
        </w:sdtEndPr>
        <w:sdtContent>
          <w:r w:rsidR="00147D1D">
            <w:rPr>
              <w:rStyle w:val="Style2"/>
              <w:rFonts w:ascii="MS Gothic" w:eastAsia="MS Gothic" w:hAnsi="MS Gothic" w:hint="eastAsia"/>
              <w:color w:val="000000" w:themeColor="text1"/>
              <w:sz w:val="24"/>
              <w:szCs w:val="24"/>
            </w:rPr>
            <w:t>☒</w:t>
          </w:r>
        </w:sdtContent>
      </w:sdt>
      <w:r w:rsidR="00A85C13" w:rsidRPr="0035383E">
        <w:rPr>
          <w:rFonts w:ascii="Times New Roman" w:hAnsi="Times New Roman"/>
          <w:color w:val="000000" w:themeColor="text1"/>
          <w:sz w:val="24"/>
          <w:szCs w:val="24"/>
        </w:rPr>
        <w:t xml:space="preserve"> Siūloma kompensuoti Pareiškėjo teikiamą indikaciją be pakeitimų.</w:t>
      </w:r>
    </w:p>
    <w:p w14:paraId="7BA9479E" w14:textId="77777777" w:rsidR="00A85C13" w:rsidRPr="00C86745" w:rsidRDefault="00A85C13" w:rsidP="00A85C13">
      <w:pPr>
        <w:pStyle w:val="ListParagraph"/>
        <w:spacing w:after="120" w:line="280" w:lineRule="atLeast"/>
        <w:ind w:left="0"/>
        <w:contextualSpacing w:val="0"/>
        <w:jc w:val="both"/>
        <w:rPr>
          <w:i/>
          <w:color w:val="000000" w:themeColor="text1"/>
        </w:rPr>
      </w:pPr>
      <w:r w:rsidRPr="00C86745">
        <w:rPr>
          <w:i/>
          <w:color w:val="000000" w:themeColor="text1"/>
        </w:rPr>
        <w:t>Suaugusiems pacientams, sergantiems vidutinio sunkumo ar sunkiu aktyviu opiniu kolitu, kuriems įprastinis arba biologinis gydymas sukėlė nepakankamą atsaką, atsakas išnyko arba gydymas buvo netoleruojamas.</w:t>
      </w:r>
    </w:p>
    <w:p w14:paraId="282D78E7" w14:textId="77777777" w:rsidR="00A85C13" w:rsidRPr="0035383E" w:rsidRDefault="007705EF" w:rsidP="00A85C13">
      <w:pPr>
        <w:pStyle w:val="NoSpacing"/>
        <w:spacing w:line="280" w:lineRule="atLeast"/>
        <w:rPr>
          <w:rFonts w:ascii="Times New Roman" w:hAnsi="Times New Roman"/>
          <w:color w:val="000000" w:themeColor="text1"/>
          <w:sz w:val="24"/>
          <w:szCs w:val="24"/>
        </w:rPr>
      </w:pPr>
      <w:sdt>
        <w:sdtPr>
          <w:rPr>
            <w:rStyle w:val="Style2"/>
            <w:rFonts w:ascii="Times New Roman" w:hAnsi="Times New Roman"/>
            <w:color w:val="000000" w:themeColor="text1"/>
            <w:sz w:val="24"/>
            <w:szCs w:val="24"/>
          </w:rPr>
          <w:id w:val="1688563698"/>
          <w15:color w:val="FFCC00"/>
          <w14:checkbox>
            <w14:checked w14:val="0"/>
            <w14:checkedState w14:val="2612" w14:font="MS Gothic"/>
            <w14:uncheckedState w14:val="2610" w14:font="MS Gothic"/>
          </w14:checkbox>
        </w:sdtPr>
        <w:sdtEndPr>
          <w:rPr>
            <w:rStyle w:val="Style2"/>
          </w:rPr>
        </w:sdtEndPr>
        <w:sdtContent>
          <w:r w:rsidR="00A85C13">
            <w:rPr>
              <w:rStyle w:val="Style2"/>
              <w:rFonts w:ascii="MS Gothic" w:eastAsia="MS Gothic" w:hAnsi="MS Gothic" w:hint="eastAsia"/>
              <w:color w:val="000000" w:themeColor="text1"/>
              <w:sz w:val="24"/>
              <w:szCs w:val="24"/>
            </w:rPr>
            <w:t>☐</w:t>
          </w:r>
        </w:sdtContent>
      </w:sdt>
      <w:r w:rsidR="00A85C13" w:rsidRPr="0035383E">
        <w:rPr>
          <w:rFonts w:ascii="Times New Roman" w:hAnsi="Times New Roman"/>
          <w:color w:val="000000" w:themeColor="text1"/>
          <w:sz w:val="24"/>
          <w:szCs w:val="24"/>
        </w:rPr>
        <w:t xml:space="preserve"> Siūloma kompensuoti Pareiškėjo teikiamą indikaciją su pakeitimais.</w:t>
      </w:r>
    </w:p>
    <w:p w14:paraId="7383FD2C" w14:textId="77777777" w:rsidR="00A85C13" w:rsidRPr="0035383E" w:rsidRDefault="00A85C13" w:rsidP="00A85C13">
      <w:pPr>
        <w:pStyle w:val="NoSpacing"/>
        <w:spacing w:line="280" w:lineRule="atLeast"/>
        <w:rPr>
          <w:rFonts w:ascii="Times New Roman" w:hAnsi="Times New Roman"/>
          <w:color w:val="000000" w:themeColor="text1"/>
          <w:sz w:val="24"/>
          <w:szCs w:val="24"/>
        </w:rPr>
      </w:pPr>
    </w:p>
    <w:p w14:paraId="29947739" w14:textId="77777777" w:rsidR="00A85C13" w:rsidRPr="0035383E" w:rsidRDefault="00A85C13" w:rsidP="00A85C13">
      <w:pPr>
        <w:pStyle w:val="NoSpacing"/>
        <w:spacing w:line="280" w:lineRule="atLeast"/>
        <w:rPr>
          <w:rFonts w:ascii="Times New Roman" w:hAnsi="Times New Roman"/>
          <w:b/>
          <w:color w:val="000000" w:themeColor="text1"/>
          <w:sz w:val="24"/>
          <w:szCs w:val="24"/>
        </w:rPr>
      </w:pPr>
      <w:r w:rsidRPr="0035383E">
        <w:rPr>
          <w:rFonts w:ascii="Times New Roman" w:hAnsi="Times New Roman"/>
          <w:b/>
          <w:color w:val="000000" w:themeColor="text1"/>
          <w:sz w:val="24"/>
          <w:szCs w:val="24"/>
        </w:rPr>
        <w:t>Skyrimo sąlygos</w:t>
      </w:r>
    </w:p>
    <w:p w14:paraId="71B55A7C" w14:textId="6B1B38BD" w:rsidR="00680225" w:rsidRDefault="00147D1D" w:rsidP="00A85C13">
      <w:pPr>
        <w:pStyle w:val="NoSpacing"/>
        <w:spacing w:line="280" w:lineRule="atLeast"/>
        <w:rPr>
          <w:rFonts w:ascii="Times New Roman" w:hAnsi="Times New Roman"/>
          <w:color w:val="000000" w:themeColor="text1"/>
          <w:sz w:val="24"/>
          <w:szCs w:val="24"/>
        </w:rPr>
      </w:pPr>
      <w:bookmarkStart w:id="0" w:name="_Hlk178016859"/>
      <w:r>
        <w:rPr>
          <w:rFonts w:ascii="Times New Roman" w:hAnsi="Times New Roman"/>
          <w:color w:val="000000" w:themeColor="text1"/>
          <w:sz w:val="24"/>
          <w:szCs w:val="24"/>
        </w:rPr>
        <w:t>Siūloma nustatyti tokias skyrimo sąlygas</w:t>
      </w:r>
      <w:r>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w:t>
      </w:r>
    </w:p>
    <w:bookmarkEnd w:id="0"/>
    <w:p w14:paraId="28358EDA" w14:textId="77777777" w:rsidR="00147D1D" w:rsidRDefault="00147D1D" w:rsidP="00A85C13">
      <w:pPr>
        <w:pStyle w:val="NoSpacing"/>
        <w:spacing w:line="280" w:lineRule="atLeast"/>
        <w:rPr>
          <w:rFonts w:ascii="Times New Roman" w:hAnsi="Times New Roman"/>
          <w:color w:val="000000" w:themeColor="text1"/>
          <w:sz w:val="24"/>
          <w:szCs w:val="24"/>
        </w:rPr>
      </w:pPr>
    </w:p>
    <w:p w14:paraId="793D3E1D" w14:textId="77777777" w:rsidR="00680225" w:rsidRPr="00A92A41" w:rsidRDefault="00680225" w:rsidP="00680225">
      <w:pPr>
        <w:pStyle w:val="NoSpacing"/>
        <w:spacing w:line="280" w:lineRule="atLeast"/>
        <w:rPr>
          <w:rFonts w:ascii="Times New Roman" w:hAnsi="Times New Roman"/>
          <w:i/>
          <w:color w:val="000000" w:themeColor="text1"/>
          <w:sz w:val="24"/>
          <w:szCs w:val="24"/>
        </w:rPr>
      </w:pPr>
      <w:r w:rsidRPr="00A92A41">
        <w:rPr>
          <w:rFonts w:ascii="Times New Roman" w:hAnsi="Times New Roman"/>
          <w:i/>
          <w:color w:val="000000" w:themeColor="text1"/>
          <w:sz w:val="24"/>
          <w:szCs w:val="24"/>
        </w:rPr>
        <w:t>Skiriamas sveikatos apsaugos ministro nustatyta tvarka suaugusiems pacientams, sergantiems vidutinio sunkumo ir sunkiu aktyviu opiniu kolitu, kuriems buvo nepakankamas atsakas į išprastą̨ gydymą̨, dingęs atsakas ar jie tokio gydymo netoleravo, arba jiems yra medicininių kontraindikacijų tokiam gydymui.</w:t>
      </w:r>
    </w:p>
    <w:p w14:paraId="2CA37FF6" w14:textId="77777777" w:rsidR="00680225" w:rsidRDefault="00680225" w:rsidP="00A85C13">
      <w:pPr>
        <w:pStyle w:val="NoSpacing"/>
        <w:spacing w:line="280" w:lineRule="atLeast"/>
        <w:rPr>
          <w:rFonts w:ascii="Times New Roman" w:hAnsi="Times New Roman"/>
          <w:color w:val="000000" w:themeColor="text1"/>
          <w:sz w:val="24"/>
          <w:szCs w:val="24"/>
        </w:rPr>
      </w:pPr>
    </w:p>
    <w:p w14:paraId="08FC7A5A" w14:textId="77777777" w:rsidR="00A85C13" w:rsidRPr="0035383E" w:rsidRDefault="00A85C13" w:rsidP="00A85C13">
      <w:pPr>
        <w:pStyle w:val="NoSpacing"/>
        <w:spacing w:line="280" w:lineRule="atLeast"/>
        <w:rPr>
          <w:rFonts w:ascii="Times New Roman" w:hAnsi="Times New Roman"/>
          <w:color w:val="000000" w:themeColor="text1"/>
          <w:sz w:val="24"/>
          <w:szCs w:val="24"/>
        </w:rPr>
      </w:pPr>
    </w:p>
    <w:p w14:paraId="7CDFF220" w14:textId="58191D98" w:rsidR="000723FF" w:rsidRDefault="000723FF" w:rsidP="00824B92">
      <w:pPr>
        <w:rPr>
          <w:b/>
        </w:rPr>
      </w:pPr>
    </w:p>
    <w:p w14:paraId="5EAC01C4" w14:textId="4F31CF55" w:rsidR="00147D1D" w:rsidRPr="000723FF" w:rsidRDefault="00147D1D" w:rsidP="00824B92">
      <w:pPr>
        <w:rPr>
          <w:b/>
        </w:rPr>
      </w:pPr>
      <w:r>
        <w:rPr>
          <w:rStyle w:val="EndnoteReference"/>
          <w:b/>
        </w:rPr>
        <w:endnoteReference w:id="1"/>
      </w:r>
    </w:p>
    <w:sectPr w:rsidR="00147D1D" w:rsidRPr="000723FF"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B40280" w14:textId="77777777" w:rsidR="00253EC1" w:rsidRDefault="00253EC1">
      <w:r>
        <w:separator/>
      </w:r>
    </w:p>
  </w:endnote>
  <w:endnote w:type="continuationSeparator" w:id="0">
    <w:p w14:paraId="21AC1B1E" w14:textId="77777777" w:rsidR="00253EC1" w:rsidRDefault="00253EC1">
      <w:r>
        <w:continuationSeparator/>
      </w:r>
    </w:p>
  </w:endnote>
  <w:endnote w:id="1">
    <w:p w14:paraId="44EBBF27" w14:textId="2E779548" w:rsidR="00147D1D" w:rsidRDefault="00147D1D" w:rsidP="00147D1D">
      <w:pPr>
        <w:pStyle w:val="Footer"/>
      </w:pPr>
      <w:r>
        <w:rPr>
          <w:rStyle w:val="EndnoteReference"/>
        </w:rPr>
        <w:t>1</w:t>
      </w:r>
      <w:r w:rsidRPr="00147D1D">
        <w:t>-</w:t>
      </w:r>
      <w:r>
        <w:t xml:space="preserve"> </w:t>
      </w:r>
      <w:r w:rsidRPr="009D615E">
        <w:rPr>
          <w:sz w:val="20"/>
        </w:rPr>
        <w:t xml:space="preserve">skyrimo sąlygų formuluotė pagal kitų biologinių vaistinių preparatų įrašytų į kompensuojamųjų vaistinių preparatų skyrimo sąlygas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687A72" w14:textId="77777777" w:rsidR="00253EC1" w:rsidRDefault="00253EC1">
      <w:r>
        <w:separator/>
      </w:r>
    </w:p>
  </w:footnote>
  <w:footnote w:type="continuationSeparator" w:id="0">
    <w:p w14:paraId="689659CE" w14:textId="77777777" w:rsidR="00253EC1" w:rsidRDefault="00253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86FB2" w14:textId="77777777"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81DB01" w14:textId="77777777" w:rsidR="00347FAA" w:rsidRDefault="00347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BD5F9" w14:textId="326D8BFF"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57D8">
      <w:rPr>
        <w:rStyle w:val="PageNumber"/>
        <w:noProof/>
      </w:rPr>
      <w:t>7</w:t>
    </w:r>
    <w:r>
      <w:rPr>
        <w:rStyle w:val="PageNumber"/>
      </w:rPr>
      <w:fldChar w:fldCharType="end"/>
    </w:r>
  </w:p>
  <w:p w14:paraId="13EC872E" w14:textId="77777777" w:rsidR="00347FAA" w:rsidRDefault="00347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E1C8F"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6"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23937687">
    <w:abstractNumId w:val="6"/>
  </w:num>
  <w:num w:numId="2" w16cid:durableId="1493990208">
    <w:abstractNumId w:val="1"/>
  </w:num>
  <w:num w:numId="3" w16cid:durableId="1132862305">
    <w:abstractNumId w:val="8"/>
  </w:num>
  <w:num w:numId="4" w16cid:durableId="1907371150">
    <w:abstractNumId w:val="7"/>
  </w:num>
  <w:num w:numId="5" w16cid:durableId="1217886859">
    <w:abstractNumId w:val="5"/>
  </w:num>
  <w:num w:numId="6" w16cid:durableId="1214120728">
    <w:abstractNumId w:val="4"/>
  </w:num>
  <w:num w:numId="7" w16cid:durableId="32777624">
    <w:abstractNumId w:val="3"/>
  </w:num>
  <w:num w:numId="8" w16cid:durableId="229269390">
    <w:abstractNumId w:val="11"/>
  </w:num>
  <w:num w:numId="9" w16cid:durableId="625544588">
    <w:abstractNumId w:val="0"/>
  </w:num>
  <w:num w:numId="10" w16cid:durableId="1620138901">
    <w:abstractNumId w:val="9"/>
  </w:num>
  <w:num w:numId="11" w16cid:durableId="1227911701">
    <w:abstractNumId w:val="10"/>
  </w:num>
  <w:num w:numId="12" w16cid:durableId="572738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02E9"/>
    <w:rsid w:val="00003F5B"/>
    <w:rsid w:val="000114DD"/>
    <w:rsid w:val="000136F7"/>
    <w:rsid w:val="0002686C"/>
    <w:rsid w:val="00031D0E"/>
    <w:rsid w:val="000337E6"/>
    <w:rsid w:val="0003402E"/>
    <w:rsid w:val="00034EAE"/>
    <w:rsid w:val="00042924"/>
    <w:rsid w:val="00053975"/>
    <w:rsid w:val="00057A2B"/>
    <w:rsid w:val="000606BE"/>
    <w:rsid w:val="000723FF"/>
    <w:rsid w:val="000736B8"/>
    <w:rsid w:val="00074677"/>
    <w:rsid w:val="0008190F"/>
    <w:rsid w:val="00081D9C"/>
    <w:rsid w:val="00082907"/>
    <w:rsid w:val="0008378D"/>
    <w:rsid w:val="000908A5"/>
    <w:rsid w:val="00092805"/>
    <w:rsid w:val="000C454C"/>
    <w:rsid w:val="000D5038"/>
    <w:rsid w:val="000E29D4"/>
    <w:rsid w:val="000F3540"/>
    <w:rsid w:val="00100491"/>
    <w:rsid w:val="00104E2E"/>
    <w:rsid w:val="00107287"/>
    <w:rsid w:val="00117406"/>
    <w:rsid w:val="00121EF0"/>
    <w:rsid w:val="00124A9E"/>
    <w:rsid w:val="00130703"/>
    <w:rsid w:val="0013153F"/>
    <w:rsid w:val="00137177"/>
    <w:rsid w:val="001408B8"/>
    <w:rsid w:val="00147D1D"/>
    <w:rsid w:val="001517E2"/>
    <w:rsid w:val="001521D9"/>
    <w:rsid w:val="001554E2"/>
    <w:rsid w:val="00160105"/>
    <w:rsid w:val="00164146"/>
    <w:rsid w:val="0017369C"/>
    <w:rsid w:val="00175D57"/>
    <w:rsid w:val="00180C39"/>
    <w:rsid w:val="00180D96"/>
    <w:rsid w:val="00184BD3"/>
    <w:rsid w:val="0019066B"/>
    <w:rsid w:val="001921F3"/>
    <w:rsid w:val="001B3C5B"/>
    <w:rsid w:val="001B4092"/>
    <w:rsid w:val="001D746F"/>
    <w:rsid w:val="001E4BBB"/>
    <w:rsid w:val="001E6304"/>
    <w:rsid w:val="0020381E"/>
    <w:rsid w:val="00213471"/>
    <w:rsid w:val="00215906"/>
    <w:rsid w:val="00241CD8"/>
    <w:rsid w:val="00244B09"/>
    <w:rsid w:val="002519CB"/>
    <w:rsid w:val="00253EC1"/>
    <w:rsid w:val="0025697F"/>
    <w:rsid w:val="00260258"/>
    <w:rsid w:val="0026588E"/>
    <w:rsid w:val="00272428"/>
    <w:rsid w:val="00272948"/>
    <w:rsid w:val="00291ED8"/>
    <w:rsid w:val="00292392"/>
    <w:rsid w:val="002946C7"/>
    <w:rsid w:val="002B3CC1"/>
    <w:rsid w:val="002C09E0"/>
    <w:rsid w:val="002C1BB1"/>
    <w:rsid w:val="002C2786"/>
    <w:rsid w:val="002C3A10"/>
    <w:rsid w:val="002C4A90"/>
    <w:rsid w:val="002C4ED5"/>
    <w:rsid w:val="002D02EF"/>
    <w:rsid w:val="002E0702"/>
    <w:rsid w:val="002E57AD"/>
    <w:rsid w:val="002E6F80"/>
    <w:rsid w:val="002F0E4F"/>
    <w:rsid w:val="002F1053"/>
    <w:rsid w:val="00317B0E"/>
    <w:rsid w:val="00347FAA"/>
    <w:rsid w:val="0035172D"/>
    <w:rsid w:val="0036187D"/>
    <w:rsid w:val="00367EDB"/>
    <w:rsid w:val="00381024"/>
    <w:rsid w:val="00386307"/>
    <w:rsid w:val="003874DE"/>
    <w:rsid w:val="00393E9F"/>
    <w:rsid w:val="0039696E"/>
    <w:rsid w:val="003B211A"/>
    <w:rsid w:val="003C141F"/>
    <w:rsid w:val="003C6B0E"/>
    <w:rsid w:val="003C7257"/>
    <w:rsid w:val="003C7E35"/>
    <w:rsid w:val="003D1877"/>
    <w:rsid w:val="003D1E99"/>
    <w:rsid w:val="003D6208"/>
    <w:rsid w:val="00404E8A"/>
    <w:rsid w:val="0040622F"/>
    <w:rsid w:val="00413F24"/>
    <w:rsid w:val="00422853"/>
    <w:rsid w:val="00423160"/>
    <w:rsid w:val="00423D83"/>
    <w:rsid w:val="00453862"/>
    <w:rsid w:val="0045469B"/>
    <w:rsid w:val="00461338"/>
    <w:rsid w:val="004677DB"/>
    <w:rsid w:val="0047414A"/>
    <w:rsid w:val="00476256"/>
    <w:rsid w:val="0048630F"/>
    <w:rsid w:val="004947A1"/>
    <w:rsid w:val="0049482A"/>
    <w:rsid w:val="004979D3"/>
    <w:rsid w:val="004A00E7"/>
    <w:rsid w:val="004A3A61"/>
    <w:rsid w:val="004B205D"/>
    <w:rsid w:val="004B59BA"/>
    <w:rsid w:val="004B5A03"/>
    <w:rsid w:val="004C263A"/>
    <w:rsid w:val="004D48A6"/>
    <w:rsid w:val="004D7B8F"/>
    <w:rsid w:val="004E4B10"/>
    <w:rsid w:val="004E6458"/>
    <w:rsid w:val="004E6E7D"/>
    <w:rsid w:val="004F1AAC"/>
    <w:rsid w:val="004F1AE2"/>
    <w:rsid w:val="004F34F0"/>
    <w:rsid w:val="004F3B2B"/>
    <w:rsid w:val="004F6050"/>
    <w:rsid w:val="005005EF"/>
    <w:rsid w:val="005123C2"/>
    <w:rsid w:val="0052144B"/>
    <w:rsid w:val="00524066"/>
    <w:rsid w:val="00534E11"/>
    <w:rsid w:val="005378D8"/>
    <w:rsid w:val="005400D9"/>
    <w:rsid w:val="005476A4"/>
    <w:rsid w:val="0055019B"/>
    <w:rsid w:val="00556E63"/>
    <w:rsid w:val="005601A4"/>
    <w:rsid w:val="00566DBB"/>
    <w:rsid w:val="005767DB"/>
    <w:rsid w:val="005815E6"/>
    <w:rsid w:val="0058712F"/>
    <w:rsid w:val="005976CE"/>
    <w:rsid w:val="005A23D4"/>
    <w:rsid w:val="005A2D1E"/>
    <w:rsid w:val="005B3756"/>
    <w:rsid w:val="005B717E"/>
    <w:rsid w:val="005C493F"/>
    <w:rsid w:val="005C6BF7"/>
    <w:rsid w:val="005C71BF"/>
    <w:rsid w:val="005D002C"/>
    <w:rsid w:val="005D30E1"/>
    <w:rsid w:val="005D6555"/>
    <w:rsid w:val="005D7BDF"/>
    <w:rsid w:val="005E4870"/>
    <w:rsid w:val="005F07D7"/>
    <w:rsid w:val="005F71D9"/>
    <w:rsid w:val="005F7602"/>
    <w:rsid w:val="006031C8"/>
    <w:rsid w:val="006062BE"/>
    <w:rsid w:val="00613143"/>
    <w:rsid w:val="00613501"/>
    <w:rsid w:val="0061611B"/>
    <w:rsid w:val="006166A8"/>
    <w:rsid w:val="006174A1"/>
    <w:rsid w:val="00621D6C"/>
    <w:rsid w:val="00632041"/>
    <w:rsid w:val="00633B49"/>
    <w:rsid w:val="0064297F"/>
    <w:rsid w:val="00645102"/>
    <w:rsid w:val="00646CF3"/>
    <w:rsid w:val="00653D11"/>
    <w:rsid w:val="00662983"/>
    <w:rsid w:val="00680225"/>
    <w:rsid w:val="006834D3"/>
    <w:rsid w:val="00692625"/>
    <w:rsid w:val="00695CD3"/>
    <w:rsid w:val="006A38B6"/>
    <w:rsid w:val="006B1987"/>
    <w:rsid w:val="006B5B71"/>
    <w:rsid w:val="006B6CB0"/>
    <w:rsid w:val="006C0296"/>
    <w:rsid w:val="006C2B64"/>
    <w:rsid w:val="006D4C85"/>
    <w:rsid w:val="006D66AC"/>
    <w:rsid w:val="006D7001"/>
    <w:rsid w:val="006E33F6"/>
    <w:rsid w:val="006F1251"/>
    <w:rsid w:val="006F1C23"/>
    <w:rsid w:val="00702C18"/>
    <w:rsid w:val="00703166"/>
    <w:rsid w:val="007127F3"/>
    <w:rsid w:val="007301CF"/>
    <w:rsid w:val="007316FB"/>
    <w:rsid w:val="007374D0"/>
    <w:rsid w:val="00737E2D"/>
    <w:rsid w:val="007424D5"/>
    <w:rsid w:val="00746250"/>
    <w:rsid w:val="00750A88"/>
    <w:rsid w:val="007523DD"/>
    <w:rsid w:val="00757B7E"/>
    <w:rsid w:val="007656B2"/>
    <w:rsid w:val="0077016F"/>
    <w:rsid w:val="007705EF"/>
    <w:rsid w:val="007713AD"/>
    <w:rsid w:val="00795DC5"/>
    <w:rsid w:val="00797153"/>
    <w:rsid w:val="007A21F7"/>
    <w:rsid w:val="007A2B68"/>
    <w:rsid w:val="007B0DDA"/>
    <w:rsid w:val="007C0875"/>
    <w:rsid w:val="007C1B90"/>
    <w:rsid w:val="007C6794"/>
    <w:rsid w:val="007C7519"/>
    <w:rsid w:val="007D3347"/>
    <w:rsid w:val="007E5466"/>
    <w:rsid w:val="007F0193"/>
    <w:rsid w:val="007F1949"/>
    <w:rsid w:val="007F2592"/>
    <w:rsid w:val="00800A08"/>
    <w:rsid w:val="00817A84"/>
    <w:rsid w:val="008225A4"/>
    <w:rsid w:val="00824B92"/>
    <w:rsid w:val="00826D5E"/>
    <w:rsid w:val="00832013"/>
    <w:rsid w:val="00832DB7"/>
    <w:rsid w:val="00834732"/>
    <w:rsid w:val="0085200C"/>
    <w:rsid w:val="00857C52"/>
    <w:rsid w:val="00860D5F"/>
    <w:rsid w:val="00880A44"/>
    <w:rsid w:val="0088345E"/>
    <w:rsid w:val="0088656F"/>
    <w:rsid w:val="00891EF6"/>
    <w:rsid w:val="008A0303"/>
    <w:rsid w:val="008A5FDD"/>
    <w:rsid w:val="008C3947"/>
    <w:rsid w:val="008E473B"/>
    <w:rsid w:val="008E51A6"/>
    <w:rsid w:val="008E7329"/>
    <w:rsid w:val="008F2ED5"/>
    <w:rsid w:val="0092297E"/>
    <w:rsid w:val="00923651"/>
    <w:rsid w:val="00927B56"/>
    <w:rsid w:val="009341BF"/>
    <w:rsid w:val="00937907"/>
    <w:rsid w:val="00941739"/>
    <w:rsid w:val="00943E06"/>
    <w:rsid w:val="00951573"/>
    <w:rsid w:val="00963003"/>
    <w:rsid w:val="00966EEF"/>
    <w:rsid w:val="009717C7"/>
    <w:rsid w:val="00971B28"/>
    <w:rsid w:val="00983471"/>
    <w:rsid w:val="009909AB"/>
    <w:rsid w:val="00997E8E"/>
    <w:rsid w:val="009B37DB"/>
    <w:rsid w:val="009C7A8C"/>
    <w:rsid w:val="009D23F9"/>
    <w:rsid w:val="009D4FA8"/>
    <w:rsid w:val="009E44AE"/>
    <w:rsid w:val="009E6CD6"/>
    <w:rsid w:val="009F4D66"/>
    <w:rsid w:val="00A00C3C"/>
    <w:rsid w:val="00A01091"/>
    <w:rsid w:val="00A042B9"/>
    <w:rsid w:val="00A06DBB"/>
    <w:rsid w:val="00A22ADF"/>
    <w:rsid w:val="00A31E86"/>
    <w:rsid w:val="00A54D87"/>
    <w:rsid w:val="00A5553C"/>
    <w:rsid w:val="00A701C9"/>
    <w:rsid w:val="00A81785"/>
    <w:rsid w:val="00A84803"/>
    <w:rsid w:val="00A84C51"/>
    <w:rsid w:val="00A85C13"/>
    <w:rsid w:val="00A86F2B"/>
    <w:rsid w:val="00A91366"/>
    <w:rsid w:val="00A93AA6"/>
    <w:rsid w:val="00AA4E48"/>
    <w:rsid w:val="00AA6202"/>
    <w:rsid w:val="00AA7B57"/>
    <w:rsid w:val="00AB0F80"/>
    <w:rsid w:val="00AC26FC"/>
    <w:rsid w:val="00AC4A99"/>
    <w:rsid w:val="00AC64D2"/>
    <w:rsid w:val="00AD02E7"/>
    <w:rsid w:val="00AE0FE8"/>
    <w:rsid w:val="00AE1322"/>
    <w:rsid w:val="00AF60D5"/>
    <w:rsid w:val="00B00959"/>
    <w:rsid w:val="00B04415"/>
    <w:rsid w:val="00B06509"/>
    <w:rsid w:val="00B11D60"/>
    <w:rsid w:val="00B13D65"/>
    <w:rsid w:val="00B14A4B"/>
    <w:rsid w:val="00B21805"/>
    <w:rsid w:val="00B3072E"/>
    <w:rsid w:val="00B36E15"/>
    <w:rsid w:val="00B37245"/>
    <w:rsid w:val="00B4017A"/>
    <w:rsid w:val="00B4468D"/>
    <w:rsid w:val="00B557D8"/>
    <w:rsid w:val="00B71C72"/>
    <w:rsid w:val="00B81E92"/>
    <w:rsid w:val="00B908D7"/>
    <w:rsid w:val="00B915AB"/>
    <w:rsid w:val="00B935E8"/>
    <w:rsid w:val="00B93B30"/>
    <w:rsid w:val="00B94CB5"/>
    <w:rsid w:val="00BA0DD9"/>
    <w:rsid w:val="00BA5DBC"/>
    <w:rsid w:val="00BB6312"/>
    <w:rsid w:val="00BC4D06"/>
    <w:rsid w:val="00BC6811"/>
    <w:rsid w:val="00BD18D3"/>
    <w:rsid w:val="00BD585E"/>
    <w:rsid w:val="00BD6919"/>
    <w:rsid w:val="00BE1EA7"/>
    <w:rsid w:val="00BE7489"/>
    <w:rsid w:val="00BF2E0D"/>
    <w:rsid w:val="00BF3927"/>
    <w:rsid w:val="00BF3F8B"/>
    <w:rsid w:val="00BF76DA"/>
    <w:rsid w:val="00C07C7B"/>
    <w:rsid w:val="00C16245"/>
    <w:rsid w:val="00C22DC5"/>
    <w:rsid w:val="00C24479"/>
    <w:rsid w:val="00C273F2"/>
    <w:rsid w:val="00C37B53"/>
    <w:rsid w:val="00C42E2D"/>
    <w:rsid w:val="00C50B11"/>
    <w:rsid w:val="00C517D2"/>
    <w:rsid w:val="00C5772E"/>
    <w:rsid w:val="00C62B36"/>
    <w:rsid w:val="00C7012C"/>
    <w:rsid w:val="00C712EA"/>
    <w:rsid w:val="00CA217D"/>
    <w:rsid w:val="00CA3266"/>
    <w:rsid w:val="00CB4759"/>
    <w:rsid w:val="00CC09D4"/>
    <w:rsid w:val="00CC668D"/>
    <w:rsid w:val="00CC7832"/>
    <w:rsid w:val="00CF0C1C"/>
    <w:rsid w:val="00CF27FD"/>
    <w:rsid w:val="00CF5F12"/>
    <w:rsid w:val="00D00D8F"/>
    <w:rsid w:val="00D21F3A"/>
    <w:rsid w:val="00D23808"/>
    <w:rsid w:val="00D3016A"/>
    <w:rsid w:val="00D3363C"/>
    <w:rsid w:val="00D417D2"/>
    <w:rsid w:val="00D42960"/>
    <w:rsid w:val="00D43BD7"/>
    <w:rsid w:val="00D4485B"/>
    <w:rsid w:val="00D4708D"/>
    <w:rsid w:val="00D4744C"/>
    <w:rsid w:val="00D521DE"/>
    <w:rsid w:val="00D5470B"/>
    <w:rsid w:val="00D54D0A"/>
    <w:rsid w:val="00D63068"/>
    <w:rsid w:val="00D6498C"/>
    <w:rsid w:val="00D76A70"/>
    <w:rsid w:val="00D83182"/>
    <w:rsid w:val="00D8521E"/>
    <w:rsid w:val="00D9291C"/>
    <w:rsid w:val="00D93A97"/>
    <w:rsid w:val="00D970E4"/>
    <w:rsid w:val="00DB1F64"/>
    <w:rsid w:val="00DC2F53"/>
    <w:rsid w:val="00DC5BAC"/>
    <w:rsid w:val="00DC6816"/>
    <w:rsid w:val="00DC76C2"/>
    <w:rsid w:val="00DD1CF2"/>
    <w:rsid w:val="00DE4484"/>
    <w:rsid w:val="00DF41B7"/>
    <w:rsid w:val="00DF4A4A"/>
    <w:rsid w:val="00DF583C"/>
    <w:rsid w:val="00E03C3F"/>
    <w:rsid w:val="00E06FD7"/>
    <w:rsid w:val="00E07417"/>
    <w:rsid w:val="00E24D45"/>
    <w:rsid w:val="00E33DB8"/>
    <w:rsid w:val="00E33EFF"/>
    <w:rsid w:val="00E34387"/>
    <w:rsid w:val="00E348BA"/>
    <w:rsid w:val="00E369FE"/>
    <w:rsid w:val="00E37C6F"/>
    <w:rsid w:val="00E475F8"/>
    <w:rsid w:val="00E5102E"/>
    <w:rsid w:val="00E5721C"/>
    <w:rsid w:val="00E619C6"/>
    <w:rsid w:val="00E745A1"/>
    <w:rsid w:val="00E81529"/>
    <w:rsid w:val="00E83A13"/>
    <w:rsid w:val="00E9223F"/>
    <w:rsid w:val="00EB6FC5"/>
    <w:rsid w:val="00EC2356"/>
    <w:rsid w:val="00EC2582"/>
    <w:rsid w:val="00EC337C"/>
    <w:rsid w:val="00ED0CFF"/>
    <w:rsid w:val="00ED31D2"/>
    <w:rsid w:val="00EE0EAC"/>
    <w:rsid w:val="00EE3322"/>
    <w:rsid w:val="00EE33CB"/>
    <w:rsid w:val="00F0061A"/>
    <w:rsid w:val="00F02834"/>
    <w:rsid w:val="00F04EEB"/>
    <w:rsid w:val="00F05467"/>
    <w:rsid w:val="00F055D2"/>
    <w:rsid w:val="00F07CD7"/>
    <w:rsid w:val="00F1193C"/>
    <w:rsid w:val="00F127E9"/>
    <w:rsid w:val="00F14B5D"/>
    <w:rsid w:val="00F259FC"/>
    <w:rsid w:val="00F31E13"/>
    <w:rsid w:val="00F36972"/>
    <w:rsid w:val="00F42426"/>
    <w:rsid w:val="00F456BC"/>
    <w:rsid w:val="00F50666"/>
    <w:rsid w:val="00F67C08"/>
    <w:rsid w:val="00F70C9E"/>
    <w:rsid w:val="00F74A74"/>
    <w:rsid w:val="00F7572C"/>
    <w:rsid w:val="00F8382C"/>
    <w:rsid w:val="00F855D7"/>
    <w:rsid w:val="00F92035"/>
    <w:rsid w:val="00F92748"/>
    <w:rsid w:val="00FA4169"/>
    <w:rsid w:val="00FB0D41"/>
    <w:rsid w:val="00FB2030"/>
    <w:rsid w:val="00FC31F9"/>
    <w:rsid w:val="00FD0E46"/>
    <w:rsid w:val="00FD1CF2"/>
    <w:rsid w:val="00FD3EDF"/>
    <w:rsid w:val="00FD7020"/>
    <w:rsid w:val="00FD793C"/>
    <w:rsid w:val="00FD7FF8"/>
    <w:rsid w:val="00FE0FD5"/>
    <w:rsid w:val="00FE20E6"/>
    <w:rsid w:val="00FE3E3B"/>
    <w:rsid w:val="00FF2F3D"/>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15:docId w15:val="{793D0AF3-5D90-4378-9937-020242CB5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aliases w:val="- H24"/>
    <w:basedOn w:val="Normal"/>
    <w:link w:val="FooterChar"/>
    <w:uiPriority w:val="99"/>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aliases w:val="- H24 Char"/>
    <w:basedOn w:val="DefaultParagraphFont"/>
    <w:link w:val="Footer"/>
    <w:uiPriority w:val="99"/>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basedOn w:val="TableNormal"/>
    <w:uiPriority w:val="39"/>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Summary Bullets,Bullet 1,Bullet1,Bullet List,Section 5,List Paragraph CCT minutes,Table Legend,Bullets Points,Use Case List Paragraph,List Paragraph1,Body Bullet,Table Number Paragraph,Colorful List - Accent 11,List Paragraph 1,Ref,B1"/>
    <w:basedOn w:val="Normal"/>
    <w:link w:val="ListParagraphChar"/>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link w:val="NoSpacingChar"/>
    <w:uiPriority w:val="1"/>
    <w:qFormat/>
    <w:rsid w:val="00B13D65"/>
    <w:rPr>
      <w:rFonts w:ascii="Calibri" w:eastAsia="Calibri" w:hAnsi="Calibri"/>
      <w:sz w:val="22"/>
      <w:szCs w:val="22"/>
      <w:lang w:eastAsia="en-US"/>
    </w:rPr>
  </w:style>
  <w:style w:type="table" w:customStyle="1" w:styleId="Lentelstinklelis1">
    <w:name w:val="Lentelės tinklelis1"/>
    <w:basedOn w:val="TableNormal"/>
    <w:next w:val="TableGrid"/>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256"/>
    <w:rPr>
      <w:sz w:val="24"/>
      <w:szCs w:val="24"/>
      <w:lang w:eastAsia="en-US"/>
    </w:rPr>
  </w:style>
  <w:style w:type="character" w:customStyle="1" w:styleId="ListParagraphChar">
    <w:name w:val="List Paragraph Char"/>
    <w:aliases w:val="Summary Bullets Char,Bullet 1 Char,Bullet1 Char,Bullet List Char,Section 5 Char,List Paragraph CCT minutes Char,Table Legend Char,Bullets Points Char,Use Case List Paragraph Char,List Paragraph1 Char,Body Bullet Char,Ref Char,B1 Char"/>
    <w:basedOn w:val="DefaultParagraphFont"/>
    <w:link w:val="ListParagraph"/>
    <w:uiPriority w:val="34"/>
    <w:qFormat/>
    <w:rsid w:val="003D1877"/>
    <w:rPr>
      <w:sz w:val="24"/>
      <w:szCs w:val="24"/>
      <w:lang w:eastAsia="en-US"/>
    </w:rPr>
  </w:style>
  <w:style w:type="character" w:customStyle="1" w:styleId="NoSpacingChar">
    <w:name w:val="No Spacing Char"/>
    <w:basedOn w:val="DefaultParagraphFont"/>
    <w:link w:val="NoSpacing"/>
    <w:uiPriority w:val="1"/>
    <w:locked/>
    <w:rsid w:val="00680225"/>
    <w:rPr>
      <w:rFonts w:ascii="Calibri" w:eastAsia="Calibri" w:hAnsi="Calibri"/>
      <w:sz w:val="22"/>
      <w:szCs w:val="22"/>
      <w:lang w:eastAsia="en-US"/>
    </w:rPr>
  </w:style>
  <w:style w:type="paragraph" w:styleId="EndnoteText">
    <w:name w:val="endnote text"/>
    <w:basedOn w:val="Normal"/>
    <w:link w:val="EndnoteTextChar"/>
    <w:semiHidden/>
    <w:unhideWhenUsed/>
    <w:rsid w:val="00147D1D"/>
    <w:rPr>
      <w:sz w:val="20"/>
      <w:szCs w:val="20"/>
    </w:rPr>
  </w:style>
  <w:style w:type="character" w:customStyle="1" w:styleId="EndnoteTextChar">
    <w:name w:val="Endnote Text Char"/>
    <w:basedOn w:val="DefaultParagraphFont"/>
    <w:link w:val="EndnoteText"/>
    <w:semiHidden/>
    <w:rsid w:val="00147D1D"/>
    <w:rPr>
      <w:lang w:eastAsia="en-US"/>
    </w:rPr>
  </w:style>
  <w:style w:type="character" w:styleId="EndnoteReference">
    <w:name w:val="endnote reference"/>
    <w:basedOn w:val="DefaultParagraphFont"/>
    <w:semiHidden/>
    <w:unhideWhenUsed/>
    <w:rsid w:val="00147D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DB60824EC144AB3B75C05A5823BEE2D"/>
        <w:category>
          <w:name w:val="Bendrosios nuostatos"/>
          <w:gallery w:val="placeholder"/>
        </w:category>
        <w:types>
          <w:type w:val="bbPlcHdr"/>
        </w:types>
        <w:behaviors>
          <w:behavior w:val="content"/>
        </w:behaviors>
        <w:guid w:val="{BCA21354-5277-4E37-94EF-AC6CA7E9D852}"/>
      </w:docPartPr>
      <w:docPartBody>
        <w:p w:rsidR="00E44A86" w:rsidRDefault="005E40DD" w:rsidP="005E40DD">
          <w:pPr>
            <w:pStyle w:val="CDB60824EC144AB3B75C05A5823BEE2D"/>
          </w:pPr>
          <w:r>
            <w:rPr>
              <w:rStyle w:val="PlaceholderText"/>
            </w:rPr>
            <w:t>Click here to enter a date.</w:t>
          </w:r>
        </w:p>
      </w:docPartBody>
    </w:docPart>
    <w:docPart>
      <w:docPartPr>
        <w:name w:val="A0026BF0EA9C4634A9A55BD35C12EF5C"/>
        <w:category>
          <w:name w:val="General"/>
          <w:gallery w:val="placeholder"/>
        </w:category>
        <w:types>
          <w:type w:val="bbPlcHdr"/>
        </w:types>
        <w:behaviors>
          <w:behavior w:val="content"/>
        </w:behaviors>
        <w:guid w:val="{E19753CE-ACAC-40CF-AABC-025C28D21460}"/>
      </w:docPartPr>
      <w:docPartBody>
        <w:p w:rsidR="00837B42" w:rsidRDefault="00792814" w:rsidP="00792814">
          <w:pPr>
            <w:pStyle w:val="A0026BF0EA9C4634A9A55BD35C12EF5C"/>
          </w:pPr>
          <w:r>
            <w:rPr>
              <w:rStyle w:val="PlaceholderText"/>
            </w:rPr>
            <w:t>Click here to enter a date.</w:t>
          </w:r>
        </w:p>
      </w:docPartBody>
    </w:docPart>
    <w:docPart>
      <w:docPartPr>
        <w:name w:val="5D1FF1C56AD0438D917E154CDFF4CAA5"/>
        <w:category>
          <w:name w:val="General"/>
          <w:gallery w:val="placeholder"/>
        </w:category>
        <w:types>
          <w:type w:val="bbPlcHdr"/>
        </w:types>
        <w:behaviors>
          <w:behavior w:val="content"/>
        </w:behaviors>
        <w:guid w:val="{0916F588-4A75-4623-8566-78FCD8E7838C}"/>
      </w:docPartPr>
      <w:docPartBody>
        <w:p w:rsidR="00837B42" w:rsidRDefault="00792814" w:rsidP="00792814">
          <w:pPr>
            <w:pStyle w:val="5D1FF1C56AD0438D917E154CDFF4CAA5"/>
          </w:pPr>
          <w:r>
            <w:rPr>
              <w:rStyle w:val="PlaceholderText"/>
            </w:rPr>
            <w:t>Click here to enter a date.</w:t>
          </w:r>
        </w:p>
      </w:docPartBody>
    </w:docPart>
    <w:docPart>
      <w:docPartPr>
        <w:name w:val="A9731594A2834497A63033790A6A3AFF"/>
        <w:category>
          <w:name w:val="General"/>
          <w:gallery w:val="placeholder"/>
        </w:category>
        <w:types>
          <w:type w:val="bbPlcHdr"/>
        </w:types>
        <w:behaviors>
          <w:behavior w:val="content"/>
        </w:behaviors>
        <w:guid w:val="{ADFFDD56-3BD1-43C6-9BA7-0DF7C53902FE}"/>
      </w:docPartPr>
      <w:docPartBody>
        <w:p w:rsidR="00837B42" w:rsidRDefault="00792814" w:rsidP="00792814">
          <w:pPr>
            <w:pStyle w:val="A9731594A2834497A63033790A6A3AFF"/>
          </w:pPr>
          <w:r>
            <w:rPr>
              <w:rStyle w:val="PlaceholderText"/>
            </w:rPr>
            <w:t>Click here to enter a date.</w:t>
          </w:r>
        </w:p>
      </w:docPartBody>
    </w:docPart>
    <w:docPart>
      <w:docPartPr>
        <w:name w:val="267B7274E16440BC9CD39D7119E74DCF"/>
        <w:category>
          <w:name w:val="General"/>
          <w:gallery w:val="placeholder"/>
        </w:category>
        <w:types>
          <w:type w:val="bbPlcHdr"/>
        </w:types>
        <w:behaviors>
          <w:behavior w:val="content"/>
        </w:behaviors>
        <w:guid w:val="{2DDAEBBF-77F4-41D0-A56C-1D7799CB5679}"/>
      </w:docPartPr>
      <w:docPartBody>
        <w:p w:rsidR="00837B42" w:rsidRDefault="00792814" w:rsidP="00792814">
          <w:pPr>
            <w:pStyle w:val="267B7274E16440BC9CD39D7119E74DCF"/>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61157"/>
    <w:rsid w:val="000937FE"/>
    <w:rsid w:val="000A559A"/>
    <w:rsid w:val="000D24D4"/>
    <w:rsid w:val="00142692"/>
    <w:rsid w:val="001C35A9"/>
    <w:rsid w:val="001F47C5"/>
    <w:rsid w:val="00237556"/>
    <w:rsid w:val="0039303B"/>
    <w:rsid w:val="003F0E20"/>
    <w:rsid w:val="004144A3"/>
    <w:rsid w:val="004160E7"/>
    <w:rsid w:val="004416C6"/>
    <w:rsid w:val="00452205"/>
    <w:rsid w:val="004F5AB2"/>
    <w:rsid w:val="005074B9"/>
    <w:rsid w:val="005E40DD"/>
    <w:rsid w:val="00640038"/>
    <w:rsid w:val="007219C1"/>
    <w:rsid w:val="0074261C"/>
    <w:rsid w:val="00753462"/>
    <w:rsid w:val="00772325"/>
    <w:rsid w:val="00792814"/>
    <w:rsid w:val="007A2FE0"/>
    <w:rsid w:val="007C6D1D"/>
    <w:rsid w:val="007F0193"/>
    <w:rsid w:val="00837B42"/>
    <w:rsid w:val="0090074D"/>
    <w:rsid w:val="009B3BF0"/>
    <w:rsid w:val="009D5E5E"/>
    <w:rsid w:val="009F1BB4"/>
    <w:rsid w:val="00AB6ED4"/>
    <w:rsid w:val="00B14210"/>
    <w:rsid w:val="00B23DC0"/>
    <w:rsid w:val="00B96656"/>
    <w:rsid w:val="00BE29C1"/>
    <w:rsid w:val="00C2401D"/>
    <w:rsid w:val="00C53A68"/>
    <w:rsid w:val="00CA5BB4"/>
    <w:rsid w:val="00CB4BD1"/>
    <w:rsid w:val="00CE2DA9"/>
    <w:rsid w:val="00CE44BE"/>
    <w:rsid w:val="00D107CD"/>
    <w:rsid w:val="00D4356B"/>
    <w:rsid w:val="00D7162F"/>
    <w:rsid w:val="00E44A86"/>
    <w:rsid w:val="00E522EB"/>
    <w:rsid w:val="00E60827"/>
    <w:rsid w:val="00E73FF6"/>
    <w:rsid w:val="00E9223F"/>
    <w:rsid w:val="00EF6E0C"/>
    <w:rsid w:val="00F55028"/>
    <w:rsid w:val="00F67C0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92814"/>
    <w:rPr>
      <w:color w:val="808080"/>
    </w:rPr>
  </w:style>
  <w:style w:type="paragraph" w:customStyle="1" w:styleId="CDB60824EC144AB3B75C05A5823BEE2D">
    <w:name w:val="CDB60824EC144AB3B75C05A5823BEE2D"/>
    <w:rsid w:val="005E40DD"/>
  </w:style>
  <w:style w:type="paragraph" w:customStyle="1" w:styleId="A0026BF0EA9C4634A9A55BD35C12EF5C">
    <w:name w:val="A0026BF0EA9C4634A9A55BD35C12EF5C"/>
    <w:rsid w:val="00792814"/>
  </w:style>
  <w:style w:type="paragraph" w:customStyle="1" w:styleId="5D1FF1C56AD0438D917E154CDFF4CAA5">
    <w:name w:val="5D1FF1C56AD0438D917E154CDFF4CAA5"/>
    <w:rsid w:val="00792814"/>
  </w:style>
  <w:style w:type="paragraph" w:customStyle="1" w:styleId="A9731594A2834497A63033790A6A3AFF">
    <w:name w:val="A9731594A2834497A63033790A6A3AFF"/>
    <w:rsid w:val="00792814"/>
  </w:style>
  <w:style w:type="paragraph" w:customStyle="1" w:styleId="267B7274E16440BC9CD39D7119E74DCF">
    <w:name w:val="267B7274E16440BC9CD39D7119E74DCF"/>
    <w:rsid w:val="007928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DBF45-9D37-437D-BC8E-08DA5D887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2640</Words>
  <Characters>19674</Characters>
  <Application>Microsoft Office Word</Application>
  <DocSecurity>0</DocSecurity>
  <Lines>163</Lines>
  <Paragraphs>44</Paragraphs>
  <ScaleCrop>false</ScaleCrop>
  <Company/>
  <LinksUpToDate>false</LinksUpToDate>
  <CharactersWithSpaces>22270</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Adomaitis</dc:creator>
  <cp:keywords/>
  <dc:description/>
  <cp:lastModifiedBy>Roland Adomaitis</cp:lastModifiedBy>
  <cp:revision>5</cp:revision>
  <dcterms:created xsi:type="dcterms:W3CDTF">2024-09-27T12:46:00Z</dcterms:created>
  <dcterms:modified xsi:type="dcterms:W3CDTF">2024-09-27T12:53:00Z</dcterms:modified>
</cp:coreProperties>
</file>