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6ED6C" w14:textId="77777777" w:rsidR="00063961" w:rsidRPr="001F216C" w:rsidRDefault="00063961" w:rsidP="00063961">
      <w:pPr>
        <w:tabs>
          <w:tab w:val="center" w:pos="4819"/>
          <w:tab w:val="right" w:pos="9638"/>
        </w:tabs>
        <w:rPr>
          <w:rFonts w:ascii="Arial" w:eastAsia="Arial" w:hAnsi="Arial" w:cs="Arial"/>
          <w:sz w:val="22"/>
          <w:szCs w:val="22"/>
        </w:rPr>
      </w:pPr>
    </w:p>
    <w:p w14:paraId="6E3F4477" w14:textId="77777777" w:rsidR="00063961" w:rsidRPr="00D05364" w:rsidRDefault="00063961" w:rsidP="00063961">
      <w:pPr>
        <w:ind w:left="6096"/>
      </w:pPr>
      <w:r w:rsidRPr="00D05364">
        <w:t>Forma patvirtinta</w:t>
      </w:r>
    </w:p>
    <w:p w14:paraId="0C32695E" w14:textId="77777777" w:rsidR="00063961" w:rsidRPr="00D05364" w:rsidRDefault="00063961" w:rsidP="00063961">
      <w:pPr>
        <w:ind w:left="6096"/>
      </w:pPr>
      <w:r w:rsidRPr="00D05364">
        <w:t>Valstybinės vaistų kontrolės tarnybos prie Lietuvos Respublikos sveikatos apsaugos ministerijos viršininko 2021 m. lapkričio 12 d. įsakymu Nr. (1.72E)1A-1418</w:t>
      </w:r>
    </w:p>
    <w:p w14:paraId="0500F06D" w14:textId="77777777" w:rsidR="00063961" w:rsidRPr="00D05364" w:rsidRDefault="00063961" w:rsidP="00063961">
      <w:pPr>
        <w:ind w:left="6096"/>
        <w:rPr>
          <w:rFonts w:eastAsia="Arial"/>
          <w:szCs w:val="24"/>
        </w:rPr>
      </w:pPr>
      <w:r w:rsidRPr="00D05364">
        <w:t>(Valstybinės vaistų kontrolės tarnybos prie Lietuvos Respublikos sveikatos apsaugos ministerijos viršininko 2022 m.                         d. įsakymo Nr.                    redakcija)</w:t>
      </w:r>
    </w:p>
    <w:p w14:paraId="10143EB2" w14:textId="77777777" w:rsidR="00063961" w:rsidRPr="00D05364" w:rsidRDefault="00063961" w:rsidP="00063961">
      <w:pPr>
        <w:spacing w:line="276" w:lineRule="auto"/>
        <w:ind w:left="5812"/>
        <w:rPr>
          <w:rFonts w:eastAsia="Arial"/>
          <w:szCs w:val="24"/>
        </w:rPr>
      </w:pPr>
    </w:p>
    <w:p w14:paraId="73B5F5DF" w14:textId="77777777" w:rsidR="00063961" w:rsidRPr="00D05364" w:rsidRDefault="00063961" w:rsidP="00063961">
      <w:pPr>
        <w:spacing w:line="280" w:lineRule="atLeast"/>
        <w:rPr>
          <w:rFonts w:eastAsia="Arial"/>
          <w:b/>
          <w:szCs w:val="24"/>
        </w:rPr>
      </w:pPr>
    </w:p>
    <w:p w14:paraId="6B8E980F" w14:textId="77777777" w:rsidR="007764E1" w:rsidRPr="00E33EFF" w:rsidRDefault="007764E1" w:rsidP="007764E1">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592DB02D" w14:textId="77777777" w:rsidR="00063961" w:rsidRPr="00D05364" w:rsidRDefault="00063961" w:rsidP="00063961">
      <w:pPr>
        <w:spacing w:line="280" w:lineRule="atLeast"/>
        <w:jc w:val="center"/>
        <w:rPr>
          <w:rFonts w:eastAsia="Arial"/>
          <w:color w:val="000000"/>
          <w:szCs w:val="24"/>
        </w:rPr>
      </w:pPr>
    </w:p>
    <w:p w14:paraId="6DDE5993" w14:textId="41B3E0D0" w:rsidR="00063961" w:rsidRPr="008800F4" w:rsidRDefault="00063961" w:rsidP="008800F4">
      <w:pPr>
        <w:jc w:val="center"/>
        <w:rPr>
          <w:b/>
          <w:szCs w:val="24"/>
        </w:rPr>
      </w:pPr>
      <w:r>
        <w:rPr>
          <w:b/>
          <w:szCs w:val="24"/>
        </w:rPr>
        <w:t xml:space="preserve">Metalyse 5000 VV (25 mg) </w:t>
      </w:r>
      <w:r w:rsidRPr="009B3B4D">
        <w:rPr>
          <w:b/>
          <w:szCs w:val="24"/>
        </w:rPr>
        <w:t>milteliai injekciniam tirpalui</w:t>
      </w:r>
    </w:p>
    <w:p w14:paraId="7B4D6232" w14:textId="2CC456F1" w:rsidR="00063961" w:rsidRPr="008800F4" w:rsidRDefault="00063961" w:rsidP="008800F4">
      <w:pPr>
        <w:jc w:val="center"/>
        <w:rPr>
          <w:b/>
          <w:bCs/>
          <w:szCs w:val="24"/>
        </w:rPr>
      </w:pPr>
      <w:r w:rsidRPr="009B3B4D">
        <w:rPr>
          <w:b/>
          <w:bCs/>
          <w:szCs w:val="24"/>
        </w:rPr>
        <w:t>Tenekteplazė</w:t>
      </w:r>
    </w:p>
    <w:p w14:paraId="62BD0435" w14:textId="77777777" w:rsidR="00063961" w:rsidRPr="00D05364" w:rsidRDefault="00063961" w:rsidP="00063961">
      <w:pPr>
        <w:jc w:val="center"/>
        <w:rPr>
          <w:b/>
          <w:szCs w:val="24"/>
        </w:rPr>
      </w:pPr>
      <w:r>
        <w:rPr>
          <w:b/>
          <w:szCs w:val="24"/>
        </w:rPr>
        <w:t>STV - 182</w:t>
      </w:r>
    </w:p>
    <w:p w14:paraId="61BEB2AC" w14:textId="77777777" w:rsidR="00063961" w:rsidRDefault="00063961" w:rsidP="008800F4">
      <w:pPr>
        <w:spacing w:line="280" w:lineRule="atLeast"/>
        <w:rPr>
          <w:rFonts w:eastAsia="Arial"/>
          <w:szCs w:val="24"/>
        </w:rPr>
      </w:pPr>
    </w:p>
    <w:p w14:paraId="3CDBDCD6" w14:textId="77777777" w:rsidR="00E13BAD" w:rsidRPr="00E33EFF" w:rsidRDefault="00E13BAD" w:rsidP="00E13BAD">
      <w:pPr>
        <w:rPr>
          <w:b/>
        </w:rPr>
      </w:pPr>
    </w:p>
    <w:p w14:paraId="59B3E36B" w14:textId="77777777" w:rsidR="00E13BAD" w:rsidRDefault="00E13BAD" w:rsidP="00E13BAD">
      <w:pPr>
        <w:pStyle w:val="Sraopastraipa"/>
        <w:numPr>
          <w:ilvl w:val="0"/>
          <w:numId w:val="8"/>
        </w:numPr>
        <w:tabs>
          <w:tab w:val="left" w:pos="567"/>
        </w:tabs>
        <w:ind w:left="567" w:hanging="567"/>
        <w:rPr>
          <w:b/>
          <w:bCs/>
          <w:caps/>
        </w:rPr>
      </w:pPr>
      <w:r w:rsidRPr="00E33EFF">
        <w:rPr>
          <w:b/>
          <w:bCs/>
          <w:caps/>
        </w:rPr>
        <w:t>Bendroji dalis</w:t>
      </w:r>
    </w:p>
    <w:p w14:paraId="17E615DB" w14:textId="77777777" w:rsidR="00E13BAD" w:rsidRPr="00E33EFF" w:rsidRDefault="00E13BAD" w:rsidP="00E13BAD">
      <w:pPr>
        <w:pStyle w:val="Sraopastraipa"/>
        <w:tabs>
          <w:tab w:val="left" w:pos="567"/>
        </w:tabs>
        <w:ind w:left="567"/>
        <w:rPr>
          <w:b/>
          <w:bCs/>
          <w:caps/>
        </w:rPr>
      </w:pPr>
    </w:p>
    <w:tbl>
      <w:tblPr>
        <w:tblStyle w:val="Lentelstinklelis"/>
        <w:tblW w:w="9918" w:type="dxa"/>
        <w:tblLook w:val="04A0" w:firstRow="1" w:lastRow="0" w:firstColumn="1" w:lastColumn="0" w:noHBand="0" w:noVBand="1"/>
      </w:tblPr>
      <w:tblGrid>
        <w:gridCol w:w="705"/>
        <w:gridCol w:w="4117"/>
        <w:gridCol w:w="5096"/>
      </w:tblGrid>
      <w:tr w:rsidR="00063961" w:rsidRPr="00D05364" w14:paraId="21ABDAFC" w14:textId="77777777" w:rsidTr="00BA574E">
        <w:trPr>
          <w:trHeight w:val="342"/>
        </w:trPr>
        <w:tc>
          <w:tcPr>
            <w:tcW w:w="705" w:type="dxa"/>
          </w:tcPr>
          <w:p w14:paraId="6BD95795" w14:textId="77777777" w:rsidR="00063961" w:rsidRPr="002D703E" w:rsidRDefault="00063961" w:rsidP="00BA574E">
            <w:pPr>
              <w:tabs>
                <w:tab w:val="left" w:pos="284"/>
              </w:tabs>
              <w:spacing w:line="280" w:lineRule="atLeast"/>
              <w:rPr>
                <w:rFonts w:eastAsia="Arial"/>
                <w:bCs/>
                <w:szCs w:val="24"/>
              </w:rPr>
            </w:pPr>
            <w:r w:rsidRPr="002D703E">
              <w:rPr>
                <w:rFonts w:eastAsia="Arial"/>
                <w:bCs/>
                <w:szCs w:val="24"/>
              </w:rPr>
              <w:t>1.1</w:t>
            </w:r>
          </w:p>
        </w:tc>
        <w:tc>
          <w:tcPr>
            <w:tcW w:w="4117" w:type="dxa"/>
          </w:tcPr>
          <w:p w14:paraId="0C01ECF0" w14:textId="77777777" w:rsidR="00063961" w:rsidRPr="002D703E" w:rsidRDefault="00063961" w:rsidP="00BA574E">
            <w:pPr>
              <w:tabs>
                <w:tab w:val="left" w:pos="284"/>
              </w:tabs>
              <w:spacing w:line="280" w:lineRule="atLeast"/>
              <w:rPr>
                <w:bCs/>
                <w:color w:val="000000"/>
                <w:szCs w:val="24"/>
                <w:lang w:eastAsia="lt-LT"/>
              </w:rPr>
            </w:pPr>
            <w:r w:rsidRPr="002D703E">
              <w:rPr>
                <w:bCs/>
                <w:color w:val="000000"/>
                <w:szCs w:val="24"/>
                <w:lang w:eastAsia="lt-LT"/>
              </w:rPr>
              <w:t>Pareiškėjas</w:t>
            </w:r>
          </w:p>
        </w:tc>
        <w:tc>
          <w:tcPr>
            <w:tcW w:w="5096" w:type="dxa"/>
          </w:tcPr>
          <w:p w14:paraId="40EB65C4" w14:textId="77777777" w:rsidR="00063961" w:rsidRPr="00D05364" w:rsidRDefault="00063961" w:rsidP="00BA574E">
            <w:pPr>
              <w:pStyle w:val="Sraopastraipa"/>
              <w:spacing w:after="120"/>
              <w:ind w:left="0"/>
              <w:contextualSpacing w:val="0"/>
              <w:jc w:val="both"/>
              <w:rPr>
                <w:szCs w:val="24"/>
              </w:rPr>
            </w:pPr>
            <w:r w:rsidRPr="00C267C1">
              <w:rPr>
                <w:szCs w:val="24"/>
              </w:rPr>
              <w:t>Boehringer Ingelheim RCV GmbH &amp; Co KG</w:t>
            </w:r>
            <w:r>
              <w:rPr>
                <w:szCs w:val="24"/>
              </w:rPr>
              <w:t xml:space="preserve"> </w:t>
            </w:r>
            <w:r w:rsidRPr="005B062B">
              <w:rPr>
                <w:szCs w:val="24"/>
              </w:rPr>
              <w:t>Lietuvos filialas</w:t>
            </w:r>
          </w:p>
        </w:tc>
      </w:tr>
      <w:tr w:rsidR="00063961" w:rsidRPr="00D05364" w14:paraId="4F960CDD" w14:textId="77777777" w:rsidTr="00BA574E">
        <w:trPr>
          <w:trHeight w:val="479"/>
        </w:trPr>
        <w:tc>
          <w:tcPr>
            <w:tcW w:w="705" w:type="dxa"/>
          </w:tcPr>
          <w:p w14:paraId="58FCB3A9" w14:textId="77777777" w:rsidR="00063961" w:rsidRPr="002D703E" w:rsidRDefault="00063961" w:rsidP="00BA574E">
            <w:pPr>
              <w:tabs>
                <w:tab w:val="left" w:pos="284"/>
              </w:tabs>
              <w:spacing w:line="280" w:lineRule="atLeast"/>
              <w:rPr>
                <w:rFonts w:eastAsia="Arial"/>
                <w:bCs/>
                <w:szCs w:val="24"/>
              </w:rPr>
            </w:pPr>
            <w:r w:rsidRPr="002D703E">
              <w:rPr>
                <w:rFonts w:eastAsia="Arial"/>
                <w:bCs/>
                <w:szCs w:val="24"/>
              </w:rPr>
              <w:t>1.2</w:t>
            </w:r>
          </w:p>
        </w:tc>
        <w:tc>
          <w:tcPr>
            <w:tcW w:w="4117" w:type="dxa"/>
          </w:tcPr>
          <w:p w14:paraId="71854A7C" w14:textId="27209723" w:rsidR="00063961" w:rsidRPr="002D703E" w:rsidRDefault="00063961" w:rsidP="00BA574E">
            <w:pPr>
              <w:tabs>
                <w:tab w:val="left" w:pos="284"/>
              </w:tabs>
              <w:spacing w:line="280" w:lineRule="atLeast"/>
              <w:rPr>
                <w:bCs/>
                <w:color w:val="000000"/>
                <w:szCs w:val="24"/>
                <w:lang w:eastAsia="lt-LT"/>
              </w:rPr>
            </w:pPr>
            <w:r w:rsidRPr="002D703E">
              <w:rPr>
                <w:bCs/>
                <w:color w:val="000000"/>
                <w:szCs w:val="24"/>
                <w:lang w:eastAsia="lt-LT"/>
              </w:rPr>
              <w:t xml:space="preserve">Registracijos data </w:t>
            </w:r>
          </w:p>
          <w:p w14:paraId="21876D10" w14:textId="77777777" w:rsidR="00063961" w:rsidRPr="002D703E" w:rsidRDefault="00063961" w:rsidP="00BA574E">
            <w:pPr>
              <w:tabs>
                <w:tab w:val="left" w:pos="284"/>
              </w:tabs>
              <w:spacing w:line="280" w:lineRule="atLeast"/>
              <w:rPr>
                <w:bCs/>
                <w:color w:val="000000"/>
                <w:szCs w:val="24"/>
                <w:lang w:eastAsia="lt-LT"/>
              </w:rPr>
            </w:pPr>
          </w:p>
        </w:tc>
        <w:tc>
          <w:tcPr>
            <w:tcW w:w="5096" w:type="dxa"/>
          </w:tcPr>
          <w:p w14:paraId="636FB595" w14:textId="77777777" w:rsidR="00063961" w:rsidRPr="00FB32FE" w:rsidRDefault="00000000" w:rsidP="00BA574E">
            <w:pPr>
              <w:pStyle w:val="Sraopastraipa"/>
              <w:tabs>
                <w:tab w:val="center" w:pos="2440"/>
              </w:tabs>
              <w:spacing w:after="120"/>
              <w:ind w:left="0"/>
              <w:contextualSpacing w:val="0"/>
              <w:jc w:val="both"/>
              <w:rPr>
                <w:rStyle w:val="Style2"/>
                <w:szCs w:val="24"/>
              </w:rPr>
            </w:pPr>
            <w:sdt>
              <w:sdtPr>
                <w:rPr>
                  <w:rFonts w:eastAsia="Arial"/>
                  <w:sz w:val="32"/>
                </w:rPr>
                <w:alias w:val="Nurodykite konkrečią dieną"/>
                <w:tag w:val="Nurodykite pradžios datą"/>
                <w:id w:val="423238108"/>
                <w:placeholder>
                  <w:docPart w:val="3DE6E3845F764C728B0F940ACB2DD7FB"/>
                </w:placeholder>
                <w15:color w:val="FFCC99"/>
                <w:date w:fullDate="2001-02-23T00:00:00Z">
                  <w:dateFormat w:val="yyyy 'm.' MMMM d 'd.'"/>
                  <w:lid w:val="lt-LT"/>
                  <w:storeMappedDataAs w:val="dateTime"/>
                  <w:calendar w:val="gregorian"/>
                </w:date>
              </w:sdtPr>
              <w:sdtContent>
                <w:r w:rsidR="00063961" w:rsidRPr="00FB32FE">
                  <w:rPr>
                    <w:rFonts w:eastAsia="Arial"/>
                  </w:rPr>
                  <w:t>2001 m. vasario 23 d.</w:t>
                </w:r>
              </w:sdtContent>
            </w:sdt>
            <w:r w:rsidR="00063961" w:rsidRPr="00FB32FE">
              <w:rPr>
                <w:rFonts w:ascii="Helvetica" w:hAnsi="Helvetica" w:cs="Helvetica"/>
                <w:sz w:val="18"/>
                <w:szCs w:val="18"/>
                <w:lang w:eastAsia="lt-LT"/>
              </w:rPr>
              <w:tab/>
            </w:r>
          </w:p>
        </w:tc>
      </w:tr>
      <w:tr w:rsidR="00063961" w:rsidRPr="00D05364" w14:paraId="2A72F576" w14:textId="77777777" w:rsidTr="00BA574E">
        <w:trPr>
          <w:trHeight w:val="1328"/>
        </w:trPr>
        <w:tc>
          <w:tcPr>
            <w:tcW w:w="705" w:type="dxa"/>
          </w:tcPr>
          <w:p w14:paraId="4A785E2A" w14:textId="77777777" w:rsidR="00063961" w:rsidRPr="002D703E" w:rsidRDefault="00063961" w:rsidP="00BA574E">
            <w:pPr>
              <w:tabs>
                <w:tab w:val="left" w:pos="284"/>
              </w:tabs>
              <w:spacing w:line="280" w:lineRule="atLeast"/>
              <w:rPr>
                <w:rFonts w:eastAsia="Arial"/>
                <w:bCs/>
                <w:szCs w:val="24"/>
              </w:rPr>
            </w:pPr>
            <w:r w:rsidRPr="002D703E">
              <w:rPr>
                <w:rFonts w:eastAsia="Arial"/>
                <w:bCs/>
                <w:szCs w:val="24"/>
              </w:rPr>
              <w:t>1.3</w:t>
            </w:r>
          </w:p>
        </w:tc>
        <w:tc>
          <w:tcPr>
            <w:tcW w:w="4117" w:type="dxa"/>
          </w:tcPr>
          <w:p w14:paraId="06C14FF9" w14:textId="77777777" w:rsidR="00063961" w:rsidRPr="002D703E" w:rsidRDefault="00063961" w:rsidP="00BA574E">
            <w:pPr>
              <w:pStyle w:val="Betarp"/>
              <w:rPr>
                <w:rFonts w:ascii="Times New Roman" w:hAnsi="Times New Roman"/>
                <w:bCs/>
                <w:szCs w:val="24"/>
              </w:rPr>
            </w:pPr>
            <w:r w:rsidRPr="002D703E">
              <w:rPr>
                <w:rFonts w:ascii="Times New Roman" w:hAnsi="Times New Roman"/>
                <w:bCs/>
                <w:szCs w:val="24"/>
              </w:rPr>
              <w:t xml:space="preserve">Paraiškos tipas </w:t>
            </w:r>
          </w:p>
          <w:p w14:paraId="4125A759" w14:textId="77777777" w:rsidR="00063961" w:rsidRPr="002D703E" w:rsidRDefault="00063961" w:rsidP="00BA574E">
            <w:pPr>
              <w:rPr>
                <w:bCs/>
                <w:szCs w:val="24"/>
              </w:rPr>
            </w:pPr>
            <w:r w:rsidRPr="002D703E">
              <w:rPr>
                <w:bCs/>
                <w:szCs w:val="24"/>
              </w:rPr>
              <w:t xml:space="preserve">(pagal </w:t>
            </w:r>
            <w:r w:rsidRPr="002D703E">
              <w:rPr>
                <w:bCs/>
                <w:szCs w:val="24"/>
                <w:shd w:val="clear" w:color="auto" w:fill="FFFFFF"/>
              </w:rPr>
              <w:t>vaistinio preparato registracijos tipą, įtvirtintą</w:t>
            </w:r>
            <w:r w:rsidRPr="002D703E">
              <w:rPr>
                <w:bCs/>
                <w:szCs w:val="24"/>
              </w:rPr>
              <w:t xml:space="preserve"> Direktyvos 2001/83/EB straipsniuose)</w:t>
            </w:r>
          </w:p>
          <w:p w14:paraId="5C91DB65" w14:textId="77777777" w:rsidR="00063961" w:rsidRPr="002D703E" w:rsidRDefault="00063961" w:rsidP="00BA574E">
            <w:pPr>
              <w:tabs>
                <w:tab w:val="left" w:pos="284"/>
              </w:tabs>
              <w:spacing w:line="280" w:lineRule="atLeast"/>
              <w:rPr>
                <w:bCs/>
                <w:color w:val="000000"/>
                <w:szCs w:val="24"/>
                <w:lang w:eastAsia="lt-LT"/>
              </w:rPr>
            </w:pPr>
          </w:p>
        </w:tc>
        <w:tc>
          <w:tcPr>
            <w:tcW w:w="5096" w:type="dxa"/>
          </w:tcPr>
          <w:p w14:paraId="629A9844" w14:textId="77777777" w:rsidR="00063961" w:rsidRPr="00D05364" w:rsidRDefault="00000000" w:rsidP="00BA574E">
            <w:sdt>
              <w:sdtPr>
                <w:rPr>
                  <w:rStyle w:val="Style2"/>
                  <w:szCs w:val="24"/>
                </w:rPr>
                <w:id w:val="-366596377"/>
                <w15:color w:val="FFCC00"/>
                <w14:checkbox>
                  <w14:checked w14:val="1"/>
                  <w14:checkedState w14:val="2612" w14:font="MS Gothic"/>
                  <w14:uncheckedState w14:val="2610" w14:font="MS Gothic"/>
                </w14:checkbox>
              </w:sdtPr>
              <w:sdtContent>
                <w:r w:rsidR="00063961">
                  <w:rPr>
                    <w:rStyle w:val="Style2"/>
                    <w:rFonts w:ascii="MS Gothic" w:eastAsia="MS Gothic" w:hAnsi="MS Gothic" w:hint="eastAsia"/>
                    <w:szCs w:val="24"/>
                  </w:rPr>
                  <w:t>☒</w:t>
                </w:r>
              </w:sdtContent>
            </w:sdt>
            <w:r w:rsidR="00063961" w:rsidRPr="00D05364">
              <w:t xml:space="preserve"> 8.3 str. (pilna byla, pagrįsta savais tyrimais) </w:t>
            </w:r>
          </w:p>
          <w:p w14:paraId="5FD05C17" w14:textId="77777777" w:rsidR="00063961" w:rsidRPr="00D05364" w:rsidRDefault="00000000" w:rsidP="00BA574E">
            <w:sdt>
              <w:sdtPr>
                <w:rPr>
                  <w:rStyle w:val="Style2"/>
                  <w:szCs w:val="24"/>
                </w:rPr>
                <w:id w:val="675462298"/>
                <w15:color w:val="FFCC00"/>
                <w14:checkbox>
                  <w14:checked w14:val="0"/>
                  <w14:checkedState w14:val="2612" w14:font="MS Gothic"/>
                  <w14:uncheckedState w14:val="2610" w14:font="MS Gothic"/>
                </w14:checkbox>
              </w:sdtPr>
              <w:sdtContent>
                <w:r w:rsidR="00063961" w:rsidRPr="00D05364">
                  <w:rPr>
                    <w:rStyle w:val="Style2"/>
                    <w:rFonts w:ascii="Segoe UI Symbol" w:eastAsia="MS Gothic" w:hAnsi="Segoe UI Symbol" w:cs="Segoe UI Symbol"/>
                    <w:szCs w:val="24"/>
                  </w:rPr>
                  <w:t>☐</w:t>
                </w:r>
              </w:sdtContent>
            </w:sdt>
            <w:r w:rsidR="00063961" w:rsidRPr="00D05364">
              <w:t xml:space="preserve"> 10 a str. (pripažintas medicininis vartojimas) </w:t>
            </w:r>
          </w:p>
          <w:p w14:paraId="5769D411" w14:textId="77777777" w:rsidR="00063961" w:rsidRPr="00D05364" w:rsidRDefault="00000000" w:rsidP="00BA574E">
            <w:sdt>
              <w:sdtPr>
                <w:rPr>
                  <w:rStyle w:val="Style2"/>
                  <w:szCs w:val="24"/>
                </w:rPr>
                <w:id w:val="-1290435890"/>
                <w15:color w:val="FFCC00"/>
                <w14:checkbox>
                  <w14:checked w14:val="0"/>
                  <w14:checkedState w14:val="2612" w14:font="MS Gothic"/>
                  <w14:uncheckedState w14:val="2610" w14:font="MS Gothic"/>
                </w14:checkbox>
              </w:sdtPr>
              <w:sdtContent>
                <w:r w:rsidR="00063961" w:rsidRPr="00D05364">
                  <w:rPr>
                    <w:rStyle w:val="Style2"/>
                    <w:rFonts w:ascii="MS Gothic" w:eastAsia="MS Gothic" w:hAnsi="MS Gothic" w:hint="eastAsia"/>
                    <w:szCs w:val="24"/>
                  </w:rPr>
                  <w:t>☐</w:t>
                </w:r>
              </w:sdtContent>
            </w:sdt>
            <w:r w:rsidR="00063961" w:rsidRPr="00D05364">
              <w:t xml:space="preserve"> 10.1 str. (generinis)</w:t>
            </w:r>
          </w:p>
          <w:p w14:paraId="11F977BB" w14:textId="77777777" w:rsidR="00063961" w:rsidRPr="00D05364" w:rsidRDefault="00000000" w:rsidP="00BA574E">
            <w:pPr>
              <w:rPr>
                <w:rStyle w:val="Style2"/>
                <w:szCs w:val="24"/>
              </w:rPr>
            </w:pPr>
            <w:sdt>
              <w:sdtPr>
                <w:rPr>
                  <w:rStyle w:val="Style2"/>
                  <w:szCs w:val="24"/>
                </w:rPr>
                <w:id w:val="-124545030"/>
                <w15:color w:val="FFCC00"/>
                <w14:checkbox>
                  <w14:checked w14:val="0"/>
                  <w14:checkedState w14:val="2612" w14:font="MS Gothic"/>
                  <w14:uncheckedState w14:val="2610" w14:font="MS Gothic"/>
                </w14:checkbox>
              </w:sdtPr>
              <w:sdtContent>
                <w:r w:rsidR="00063961" w:rsidRPr="00D05364">
                  <w:rPr>
                    <w:rStyle w:val="Style2"/>
                    <w:rFonts w:ascii="Segoe UI Symbol" w:eastAsia="MS Gothic" w:hAnsi="Segoe UI Symbol" w:cs="Segoe UI Symbol"/>
                    <w:szCs w:val="24"/>
                  </w:rPr>
                  <w:t>☐</w:t>
                </w:r>
              </w:sdtContent>
            </w:sdt>
            <w:r w:rsidR="00063961" w:rsidRPr="00D05364">
              <w:t xml:space="preserve"> 10.3 str. (hibridinis)</w:t>
            </w:r>
          </w:p>
        </w:tc>
      </w:tr>
      <w:tr w:rsidR="00063961" w:rsidRPr="00D05364" w14:paraId="0CF3264D" w14:textId="77777777" w:rsidTr="00BA574E">
        <w:trPr>
          <w:trHeight w:val="1109"/>
        </w:trPr>
        <w:tc>
          <w:tcPr>
            <w:tcW w:w="705" w:type="dxa"/>
          </w:tcPr>
          <w:p w14:paraId="173F7002" w14:textId="77777777" w:rsidR="00063961" w:rsidRPr="002D703E" w:rsidRDefault="00063961" w:rsidP="00BA574E">
            <w:pPr>
              <w:tabs>
                <w:tab w:val="left" w:pos="284"/>
              </w:tabs>
              <w:spacing w:line="280" w:lineRule="atLeast"/>
              <w:rPr>
                <w:rFonts w:eastAsia="Arial"/>
                <w:bCs/>
                <w:szCs w:val="24"/>
              </w:rPr>
            </w:pPr>
            <w:r w:rsidRPr="002D703E">
              <w:rPr>
                <w:rFonts w:eastAsia="Arial"/>
                <w:bCs/>
                <w:szCs w:val="24"/>
              </w:rPr>
              <w:t>1.4</w:t>
            </w:r>
          </w:p>
        </w:tc>
        <w:tc>
          <w:tcPr>
            <w:tcW w:w="4117" w:type="dxa"/>
          </w:tcPr>
          <w:p w14:paraId="77B8C2C8" w14:textId="77777777" w:rsidR="00063961" w:rsidRPr="002D703E" w:rsidRDefault="00063961" w:rsidP="00BA574E">
            <w:pPr>
              <w:tabs>
                <w:tab w:val="left" w:pos="284"/>
              </w:tabs>
              <w:spacing w:line="280" w:lineRule="atLeast"/>
              <w:rPr>
                <w:bCs/>
                <w:color w:val="000000"/>
                <w:szCs w:val="24"/>
                <w:lang w:eastAsia="lt-LT"/>
              </w:rPr>
            </w:pPr>
            <w:r w:rsidRPr="002D703E">
              <w:rPr>
                <w:bCs/>
                <w:color w:val="000000"/>
                <w:szCs w:val="24"/>
                <w:lang w:eastAsia="lt-LT"/>
              </w:rPr>
              <w:t>Ar vaistinis preparatas įrašytas į Bendrijos retųjų vaistinių preparatų registrą?</w:t>
            </w:r>
          </w:p>
          <w:p w14:paraId="7EEFDEBC" w14:textId="1E28FBD7" w:rsidR="00063961" w:rsidRPr="002D703E" w:rsidRDefault="00063961" w:rsidP="00BA574E">
            <w:pPr>
              <w:tabs>
                <w:tab w:val="left" w:pos="284"/>
              </w:tabs>
              <w:spacing w:line="280" w:lineRule="atLeast"/>
              <w:jc w:val="both"/>
              <w:rPr>
                <w:bCs/>
                <w:color w:val="000000"/>
                <w:sz w:val="22"/>
                <w:szCs w:val="22"/>
                <w:lang w:eastAsia="lt-LT"/>
              </w:rPr>
            </w:pPr>
          </w:p>
        </w:tc>
        <w:tc>
          <w:tcPr>
            <w:tcW w:w="5096" w:type="dxa"/>
          </w:tcPr>
          <w:p w14:paraId="5340BEA4" w14:textId="77777777" w:rsidR="00063961" w:rsidRPr="00D05364" w:rsidRDefault="00000000" w:rsidP="00BA574E">
            <w:sdt>
              <w:sdtPr>
                <w:rPr>
                  <w:rStyle w:val="Style2"/>
                  <w:szCs w:val="24"/>
                </w:rPr>
                <w:id w:val="2024432173"/>
                <w15:color w:val="FFCC00"/>
                <w14:checkbox>
                  <w14:checked w14:val="0"/>
                  <w14:checkedState w14:val="2612" w14:font="MS Gothic"/>
                  <w14:uncheckedState w14:val="2610" w14:font="MS Gothic"/>
                </w14:checkbox>
              </w:sdtPr>
              <w:sdtContent>
                <w:r w:rsidR="00063961">
                  <w:rPr>
                    <w:rStyle w:val="Style2"/>
                    <w:rFonts w:ascii="MS Gothic" w:eastAsia="MS Gothic" w:hAnsi="MS Gothic" w:hint="eastAsia"/>
                    <w:szCs w:val="24"/>
                  </w:rPr>
                  <w:t>☐</w:t>
                </w:r>
              </w:sdtContent>
            </w:sdt>
            <w:r w:rsidR="00063961" w:rsidRPr="00D05364">
              <w:t xml:space="preserve"> Taip</w:t>
            </w:r>
          </w:p>
          <w:p w14:paraId="75C47616" w14:textId="23CFC1DE" w:rsidR="00063961" w:rsidRPr="002D703E" w:rsidRDefault="00000000" w:rsidP="00BA574E">
            <w:sdt>
              <w:sdtPr>
                <w:rPr>
                  <w:rStyle w:val="Style2"/>
                  <w:szCs w:val="24"/>
                </w:rPr>
                <w:id w:val="-970507926"/>
                <w15:color w:val="FFCC00"/>
                <w14:checkbox>
                  <w14:checked w14:val="1"/>
                  <w14:checkedState w14:val="2612" w14:font="MS Gothic"/>
                  <w14:uncheckedState w14:val="2610" w14:font="MS Gothic"/>
                </w14:checkbox>
              </w:sdtPr>
              <w:sdtContent>
                <w:r w:rsidR="00063961">
                  <w:rPr>
                    <w:rStyle w:val="Style2"/>
                    <w:rFonts w:ascii="MS Gothic" w:eastAsia="MS Gothic" w:hAnsi="MS Gothic" w:hint="eastAsia"/>
                    <w:szCs w:val="24"/>
                  </w:rPr>
                  <w:t>☒</w:t>
                </w:r>
              </w:sdtContent>
            </w:sdt>
            <w:r w:rsidR="00063961" w:rsidRPr="00D05364">
              <w:t xml:space="preserve"> Ne</w:t>
            </w:r>
          </w:p>
        </w:tc>
      </w:tr>
      <w:tr w:rsidR="002D703E" w:rsidRPr="00D05364" w14:paraId="4D07AA11" w14:textId="77777777" w:rsidTr="00BA574E">
        <w:trPr>
          <w:trHeight w:val="1109"/>
        </w:trPr>
        <w:tc>
          <w:tcPr>
            <w:tcW w:w="705" w:type="dxa"/>
          </w:tcPr>
          <w:p w14:paraId="7F8BA905" w14:textId="0698D007" w:rsidR="002D703E" w:rsidRPr="002D703E" w:rsidRDefault="002D703E" w:rsidP="002D703E">
            <w:pPr>
              <w:tabs>
                <w:tab w:val="left" w:pos="284"/>
              </w:tabs>
              <w:spacing w:line="280" w:lineRule="atLeast"/>
              <w:rPr>
                <w:rFonts w:eastAsia="Arial"/>
                <w:bCs/>
                <w:szCs w:val="24"/>
              </w:rPr>
            </w:pPr>
            <w:r>
              <w:rPr>
                <w:rFonts w:eastAsia="Arial"/>
                <w:bCs/>
                <w:szCs w:val="24"/>
              </w:rPr>
              <w:t>1.5</w:t>
            </w:r>
          </w:p>
        </w:tc>
        <w:tc>
          <w:tcPr>
            <w:tcW w:w="4117" w:type="dxa"/>
          </w:tcPr>
          <w:p w14:paraId="2BE014FC" w14:textId="167F75C1" w:rsidR="002D703E" w:rsidRPr="002D703E" w:rsidRDefault="002D703E" w:rsidP="002D703E">
            <w:pPr>
              <w:tabs>
                <w:tab w:val="left" w:pos="284"/>
              </w:tabs>
              <w:spacing w:line="280" w:lineRule="atLeast"/>
              <w:rPr>
                <w:bCs/>
                <w:color w:val="000000"/>
                <w:szCs w:val="24"/>
                <w:lang w:eastAsia="lt-LT"/>
              </w:rPr>
            </w:pPr>
            <w:r w:rsidRPr="00E33EFF">
              <w:t>STV paraiškos pobūdis</w:t>
            </w:r>
          </w:p>
        </w:tc>
        <w:tc>
          <w:tcPr>
            <w:tcW w:w="5096" w:type="dxa"/>
          </w:tcPr>
          <w:p w14:paraId="185F0AD8" w14:textId="77777777" w:rsidR="002D703E" w:rsidRPr="00E33EFF" w:rsidRDefault="00000000" w:rsidP="002D703E">
            <w:sdt>
              <w:sdtPr>
                <w:rPr>
                  <w:rStyle w:val="Style2"/>
                </w:rPr>
                <w:id w:val="-1625231886"/>
                <w15:color w:val="FFCC00"/>
                <w14:checkbox>
                  <w14:checked w14:val="1"/>
                  <w14:checkedState w14:val="2612" w14:font="MS Gothic"/>
                  <w14:uncheckedState w14:val="2610" w14:font="MS Gothic"/>
                </w14:checkbox>
              </w:sdtPr>
              <w:sdtContent>
                <w:r w:rsidR="002D703E">
                  <w:rPr>
                    <w:rStyle w:val="Style2"/>
                    <w:rFonts w:ascii="MS Gothic" w:eastAsia="MS Gothic" w:hAnsi="MS Gothic" w:hint="eastAsia"/>
                  </w:rPr>
                  <w:t>☒</w:t>
                </w:r>
              </w:sdtContent>
            </w:sdt>
            <w:r w:rsidR="002D703E" w:rsidRPr="00E33EFF">
              <w:t xml:space="preserve"> Pilna paraiška</w:t>
            </w:r>
          </w:p>
          <w:p w14:paraId="4E91DE3D" w14:textId="112FC5C8" w:rsidR="002D703E" w:rsidRDefault="00000000" w:rsidP="002D703E">
            <w:pPr>
              <w:rPr>
                <w:rStyle w:val="Style2"/>
                <w:szCs w:val="24"/>
              </w:rPr>
            </w:pPr>
            <w:sdt>
              <w:sdtPr>
                <w:rPr>
                  <w:rStyle w:val="Style2"/>
                </w:rPr>
                <w:id w:val="-1191297634"/>
                <w15:color w:val="FFCC00"/>
                <w14:checkbox>
                  <w14:checked w14:val="0"/>
                  <w14:checkedState w14:val="2612" w14:font="MS Gothic"/>
                  <w14:uncheckedState w14:val="2610" w14:font="MS Gothic"/>
                </w14:checkbox>
              </w:sdtPr>
              <w:sdtContent>
                <w:r w:rsidR="002D703E" w:rsidRPr="00E33EFF">
                  <w:rPr>
                    <w:rStyle w:val="Style2"/>
                    <w:rFonts w:ascii="MS Gothic" w:eastAsia="MS Gothic" w:hAnsi="MS Gothic" w:hint="eastAsia"/>
                  </w:rPr>
                  <w:t>☐</w:t>
                </w:r>
              </w:sdtContent>
            </w:sdt>
            <w:r w:rsidR="002D703E" w:rsidRPr="00E33EFF">
              <w:t xml:space="preserve"> Supaprastinta paraiška</w:t>
            </w:r>
          </w:p>
        </w:tc>
      </w:tr>
      <w:tr w:rsidR="002D703E" w:rsidRPr="00D05364" w14:paraId="50257D4E" w14:textId="77777777" w:rsidTr="00BA574E">
        <w:trPr>
          <w:trHeight w:val="958"/>
        </w:trPr>
        <w:tc>
          <w:tcPr>
            <w:tcW w:w="705" w:type="dxa"/>
            <w:tcBorders>
              <w:bottom w:val="single" w:sz="4" w:space="0" w:color="auto"/>
            </w:tcBorders>
          </w:tcPr>
          <w:p w14:paraId="671118A2" w14:textId="52569022" w:rsidR="002D703E" w:rsidRPr="002D703E" w:rsidRDefault="002D703E" w:rsidP="002D703E">
            <w:pPr>
              <w:tabs>
                <w:tab w:val="left" w:pos="284"/>
              </w:tabs>
              <w:spacing w:line="280" w:lineRule="atLeast"/>
              <w:rPr>
                <w:rFonts w:eastAsia="Arial"/>
                <w:bCs/>
                <w:szCs w:val="24"/>
              </w:rPr>
            </w:pPr>
            <w:r w:rsidRPr="002D703E">
              <w:rPr>
                <w:rFonts w:eastAsia="Arial"/>
                <w:bCs/>
                <w:szCs w:val="24"/>
              </w:rPr>
              <w:t>1.</w:t>
            </w:r>
            <w:r>
              <w:rPr>
                <w:rFonts w:eastAsia="Arial"/>
                <w:bCs/>
                <w:szCs w:val="24"/>
              </w:rPr>
              <w:t>6</w:t>
            </w:r>
          </w:p>
        </w:tc>
        <w:tc>
          <w:tcPr>
            <w:tcW w:w="4117" w:type="dxa"/>
            <w:tcBorders>
              <w:bottom w:val="single" w:sz="4" w:space="0" w:color="auto"/>
            </w:tcBorders>
          </w:tcPr>
          <w:p w14:paraId="15EAF5B1" w14:textId="77777777" w:rsidR="002D703E" w:rsidRPr="002D703E" w:rsidRDefault="002D703E" w:rsidP="002D703E">
            <w:pPr>
              <w:tabs>
                <w:tab w:val="left" w:pos="284"/>
              </w:tabs>
              <w:spacing w:line="280" w:lineRule="atLeast"/>
              <w:rPr>
                <w:bCs/>
                <w:color w:val="000000"/>
                <w:szCs w:val="24"/>
                <w:lang w:eastAsia="lt-LT"/>
              </w:rPr>
            </w:pPr>
            <w:r w:rsidRPr="002D703E">
              <w:rPr>
                <w:bCs/>
                <w:color w:val="000000"/>
                <w:szCs w:val="24"/>
                <w:lang w:eastAsia="lt-LT"/>
              </w:rPr>
              <w:t>Pareiškėjo teikiama (-os) kompensuoti preparato indikacija (-os)</w:t>
            </w:r>
          </w:p>
          <w:p w14:paraId="71E03DEC" w14:textId="77777777" w:rsidR="002D703E" w:rsidRPr="002D703E" w:rsidRDefault="002D703E" w:rsidP="002D703E">
            <w:pPr>
              <w:tabs>
                <w:tab w:val="left" w:pos="284"/>
              </w:tabs>
              <w:spacing w:line="280" w:lineRule="atLeast"/>
              <w:rPr>
                <w:bCs/>
                <w:color w:val="000000"/>
                <w:szCs w:val="24"/>
                <w:lang w:eastAsia="lt-LT"/>
              </w:rPr>
            </w:pPr>
            <w:r w:rsidRPr="002D703E">
              <w:rPr>
                <w:bCs/>
                <w:color w:val="000000"/>
                <w:szCs w:val="24"/>
                <w:lang w:eastAsia="lt-LT"/>
              </w:rPr>
              <w:t xml:space="preserve">Kodas pagal TLK-10 AM  </w:t>
            </w:r>
          </w:p>
        </w:tc>
        <w:tc>
          <w:tcPr>
            <w:tcW w:w="5096" w:type="dxa"/>
            <w:tcBorders>
              <w:bottom w:val="single" w:sz="4" w:space="0" w:color="auto"/>
            </w:tcBorders>
          </w:tcPr>
          <w:p w14:paraId="42B47089" w14:textId="77777777" w:rsidR="002D703E" w:rsidRPr="00097CC4" w:rsidRDefault="002D703E" w:rsidP="002D703E">
            <w:pPr>
              <w:spacing w:before="60" w:after="60"/>
              <w:jc w:val="both"/>
              <w:rPr>
                <w:rFonts w:eastAsia="Arial"/>
                <w:i/>
                <w:color w:val="000000"/>
              </w:rPr>
            </w:pPr>
            <w:r w:rsidRPr="00097CC4">
              <w:rPr>
                <w:rFonts w:eastAsia="Arial"/>
                <w:color w:val="000000"/>
              </w:rPr>
              <w:t>Metalyse skirtas ūminį išeminį insultą (ŪII) patyrusių suaugusiųjų tromboliziniam gydymui, kai nuo paskutinės žinomos geros savijautos būsenos praėjo ne daugiau kaip 4,5 val., ir atmesta intrakranijinės hemoragijos galimybė.</w:t>
            </w:r>
          </w:p>
          <w:p w14:paraId="1F4DFD88" w14:textId="77777777" w:rsidR="002D703E" w:rsidRPr="00D05364" w:rsidRDefault="002D703E" w:rsidP="002D703E">
            <w:pPr>
              <w:pStyle w:val="Sraopastraipa"/>
              <w:spacing w:after="120"/>
              <w:ind w:left="0"/>
              <w:contextualSpacing w:val="0"/>
              <w:jc w:val="both"/>
              <w:rPr>
                <w:szCs w:val="24"/>
              </w:rPr>
            </w:pPr>
          </w:p>
          <w:p w14:paraId="0E040202" w14:textId="77777777" w:rsidR="002D703E" w:rsidRPr="00D05364" w:rsidRDefault="002D703E" w:rsidP="002D703E">
            <w:pPr>
              <w:pStyle w:val="Sraopastraipa"/>
              <w:spacing w:after="120"/>
              <w:ind w:left="0"/>
              <w:contextualSpacing w:val="0"/>
              <w:jc w:val="both"/>
              <w:rPr>
                <w:szCs w:val="24"/>
              </w:rPr>
            </w:pPr>
          </w:p>
          <w:p w14:paraId="4ACDB1A9" w14:textId="77777777" w:rsidR="002D703E" w:rsidRPr="00D05364" w:rsidRDefault="002D703E" w:rsidP="002D703E">
            <w:pPr>
              <w:pStyle w:val="Sraopastraipa"/>
              <w:spacing w:after="120"/>
              <w:ind w:left="0"/>
              <w:contextualSpacing w:val="0"/>
              <w:jc w:val="both"/>
              <w:rPr>
                <w:szCs w:val="24"/>
              </w:rPr>
            </w:pPr>
            <w:r w:rsidRPr="008A43A7">
              <w:rPr>
                <w:szCs w:val="24"/>
              </w:rPr>
              <w:t>I63</w:t>
            </w:r>
          </w:p>
        </w:tc>
      </w:tr>
      <w:tr w:rsidR="002D703E" w:rsidRPr="00D05364" w14:paraId="385DBBE3" w14:textId="77777777" w:rsidTr="00BA574E">
        <w:trPr>
          <w:trHeight w:val="479"/>
        </w:trPr>
        <w:tc>
          <w:tcPr>
            <w:tcW w:w="705" w:type="dxa"/>
            <w:tcBorders>
              <w:top w:val="single" w:sz="4" w:space="0" w:color="auto"/>
              <w:left w:val="single" w:sz="4" w:space="0" w:color="auto"/>
              <w:bottom w:val="single" w:sz="4" w:space="0" w:color="auto"/>
              <w:right w:val="single" w:sz="4" w:space="0" w:color="auto"/>
            </w:tcBorders>
          </w:tcPr>
          <w:p w14:paraId="4944FC2B" w14:textId="2DFE2EC0" w:rsidR="002D703E" w:rsidRPr="002D703E" w:rsidRDefault="002D703E" w:rsidP="002D703E">
            <w:pPr>
              <w:tabs>
                <w:tab w:val="left" w:pos="284"/>
              </w:tabs>
              <w:spacing w:line="280" w:lineRule="atLeast"/>
              <w:rPr>
                <w:rFonts w:eastAsia="Arial"/>
                <w:bCs/>
                <w:szCs w:val="24"/>
              </w:rPr>
            </w:pPr>
            <w:r w:rsidRPr="002D703E">
              <w:rPr>
                <w:rFonts w:eastAsia="Arial"/>
                <w:bCs/>
                <w:szCs w:val="24"/>
              </w:rPr>
              <w:lastRenderedPageBreak/>
              <w:t>1.</w:t>
            </w:r>
            <w:r w:rsidR="009571C7">
              <w:rPr>
                <w:rFonts w:eastAsia="Arial"/>
                <w:bCs/>
                <w:szCs w:val="24"/>
              </w:rPr>
              <w:t>7</w:t>
            </w:r>
          </w:p>
        </w:tc>
        <w:tc>
          <w:tcPr>
            <w:tcW w:w="4117" w:type="dxa"/>
            <w:tcBorders>
              <w:top w:val="single" w:sz="4" w:space="0" w:color="auto"/>
              <w:left w:val="single" w:sz="4" w:space="0" w:color="auto"/>
              <w:bottom w:val="single" w:sz="4" w:space="0" w:color="auto"/>
              <w:right w:val="single" w:sz="4" w:space="0" w:color="auto"/>
            </w:tcBorders>
          </w:tcPr>
          <w:p w14:paraId="768AC77F" w14:textId="77777777" w:rsidR="002D703E" w:rsidRPr="002D703E" w:rsidRDefault="002D703E" w:rsidP="002D703E">
            <w:pPr>
              <w:tabs>
                <w:tab w:val="left" w:pos="284"/>
              </w:tabs>
              <w:spacing w:line="280" w:lineRule="atLeast"/>
              <w:rPr>
                <w:color w:val="000000"/>
                <w:szCs w:val="24"/>
                <w:u w:val="single"/>
                <w:lang w:eastAsia="lt-LT"/>
              </w:rPr>
            </w:pPr>
            <w:r w:rsidRPr="002D703E">
              <w:rPr>
                <w:color w:val="000000"/>
                <w:szCs w:val="24"/>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79264B6F" w14:textId="77777777" w:rsidR="002D703E" w:rsidRPr="00154EEF" w:rsidRDefault="002D703E" w:rsidP="002D703E">
            <w:pPr>
              <w:spacing w:line="360" w:lineRule="auto"/>
              <w:ind w:firstLine="720"/>
              <w:jc w:val="both"/>
              <w:rPr>
                <w:szCs w:val="24"/>
              </w:rPr>
            </w:pPr>
            <w:r w:rsidRPr="00154EEF">
              <w:rPr>
                <w:szCs w:val="24"/>
              </w:rPr>
              <w:t>Gydymą pradėti ir tęsti gali tik gydytojas neurologas ar gydytojas anesteziologas reanimatologas.</w:t>
            </w:r>
          </w:p>
          <w:p w14:paraId="4D28D251" w14:textId="77777777" w:rsidR="002D703E" w:rsidRPr="00154EEF" w:rsidRDefault="002D703E" w:rsidP="002D703E">
            <w:pPr>
              <w:spacing w:line="360" w:lineRule="auto"/>
              <w:ind w:firstLine="720"/>
              <w:jc w:val="both"/>
              <w:rPr>
                <w:szCs w:val="24"/>
              </w:rPr>
            </w:pPr>
            <w:r w:rsidRPr="00154EEF">
              <w:rPr>
                <w:szCs w:val="24"/>
              </w:rPr>
              <w:t>Neurologas, skirdamas vaistinį preparatą tenekteplazę smegenų infarktui (TLK-10-AM kodas I63) gydyti, turi vadovautis  nurodytais tinkamumo (netinkamumo) intraveninei trombolizei atlikti kriterijais.</w:t>
            </w:r>
          </w:p>
          <w:p w14:paraId="321943F8" w14:textId="77777777" w:rsidR="002D703E" w:rsidRPr="00154EEF" w:rsidRDefault="002D703E" w:rsidP="002D703E">
            <w:pPr>
              <w:spacing w:line="360" w:lineRule="auto"/>
              <w:ind w:firstLine="720"/>
              <w:jc w:val="both"/>
              <w:rPr>
                <w:szCs w:val="24"/>
              </w:rPr>
            </w:pPr>
            <w:r w:rsidRPr="00154EEF">
              <w:rPr>
                <w:szCs w:val="24"/>
              </w:rPr>
              <w:t>1. Tinkamumo intraveninei trombolizei kriterijai:</w:t>
            </w:r>
          </w:p>
          <w:p w14:paraId="0E515312" w14:textId="77777777" w:rsidR="002D703E" w:rsidRPr="00154EEF" w:rsidRDefault="002D703E" w:rsidP="002D703E">
            <w:pPr>
              <w:spacing w:line="360" w:lineRule="auto"/>
              <w:ind w:firstLine="720"/>
              <w:jc w:val="both"/>
              <w:rPr>
                <w:szCs w:val="24"/>
              </w:rPr>
            </w:pPr>
            <w:r w:rsidRPr="00154EEF">
              <w:rPr>
                <w:szCs w:val="24"/>
              </w:rPr>
              <w:t>1.1. Tenekteplazės infuzija turi būti pradėta praėjus ne daugiau kaip 4,5 valandos nuo ūminio išeminio insulto simptomų atsiradimo pradžios;</w:t>
            </w:r>
          </w:p>
          <w:p w14:paraId="60EC8213" w14:textId="77777777" w:rsidR="002D703E" w:rsidRPr="00154EEF" w:rsidRDefault="002D703E" w:rsidP="002D703E">
            <w:pPr>
              <w:spacing w:line="360" w:lineRule="auto"/>
              <w:ind w:firstLine="720"/>
              <w:jc w:val="both"/>
              <w:rPr>
                <w:szCs w:val="24"/>
              </w:rPr>
            </w:pPr>
            <w:r w:rsidRPr="00154EEF">
              <w:rPr>
                <w:szCs w:val="24"/>
              </w:rPr>
              <w:t>1.2. pacientas iki insulto pradžios buvo savarankiškas kasdienėje veikloje;</w:t>
            </w:r>
          </w:p>
          <w:p w14:paraId="6C46F701" w14:textId="77777777" w:rsidR="002D703E" w:rsidRPr="00154EEF" w:rsidRDefault="002D703E" w:rsidP="002D703E">
            <w:pPr>
              <w:spacing w:line="360" w:lineRule="auto"/>
              <w:ind w:firstLine="720"/>
              <w:jc w:val="both"/>
              <w:rPr>
                <w:szCs w:val="24"/>
              </w:rPr>
            </w:pPr>
            <w:r w:rsidRPr="00154EEF">
              <w:rPr>
                <w:szCs w:val="24"/>
              </w:rPr>
              <w:t>1.3. paciento amžius – 18 metų ar daugiau;</w:t>
            </w:r>
          </w:p>
          <w:p w14:paraId="797ED4F9" w14:textId="77777777" w:rsidR="002D703E" w:rsidRPr="00154EEF" w:rsidRDefault="002D703E" w:rsidP="002D703E">
            <w:pPr>
              <w:spacing w:line="360" w:lineRule="auto"/>
              <w:ind w:firstLine="720"/>
              <w:jc w:val="both"/>
              <w:rPr>
                <w:szCs w:val="24"/>
              </w:rPr>
            </w:pPr>
            <w:r w:rsidRPr="00154EEF">
              <w:rPr>
                <w:szCs w:val="24"/>
              </w:rPr>
              <w:t>2. netinkamumo intraveninei trombolizei kriterijai:</w:t>
            </w:r>
          </w:p>
          <w:p w14:paraId="11BD5F27" w14:textId="77777777" w:rsidR="002D703E" w:rsidRPr="00154EEF" w:rsidRDefault="002D703E" w:rsidP="002D703E">
            <w:pPr>
              <w:spacing w:line="360" w:lineRule="auto"/>
              <w:ind w:firstLine="720"/>
              <w:jc w:val="both"/>
              <w:rPr>
                <w:szCs w:val="24"/>
              </w:rPr>
            </w:pPr>
            <w:r w:rsidRPr="00154EEF">
              <w:rPr>
                <w:szCs w:val="24"/>
              </w:rPr>
              <w:t>2.1. pacientas vartoja netiesioginio veikimo antikoaguliantus ir  (arba) protrombino laikas yra 15 sek. (tarptautinis normalizuotas santykis (TNS) ≥1,7) ar didesnis. Jei pacientas vartoja (arba pastaruoju metu vartojo) netiesioginio veikimo geriamuosius antikoaguliantus, tačiau TNS &lt;1,7, tai nelaikoma netinkamumo kriterijumi intraveninei trombolizei;</w:t>
            </w:r>
          </w:p>
          <w:p w14:paraId="28F8170A" w14:textId="77777777" w:rsidR="002D703E" w:rsidRPr="00154EEF" w:rsidRDefault="002D703E" w:rsidP="002D703E">
            <w:pPr>
              <w:spacing w:line="360" w:lineRule="auto"/>
              <w:ind w:firstLine="720"/>
              <w:jc w:val="both"/>
              <w:rPr>
                <w:szCs w:val="24"/>
              </w:rPr>
            </w:pPr>
            <w:r w:rsidRPr="00154EEF">
              <w:rPr>
                <w:szCs w:val="24"/>
              </w:rPr>
              <w:t>2.2. nuo geriamųjų ne vitamino K antagonistų (tiesioginių trombino ar faktoriaus Xa inhibitorių) paskutinės dozės suvartojimo praėjo mažiau kaip 24 val.;</w:t>
            </w:r>
          </w:p>
          <w:p w14:paraId="50989321" w14:textId="77777777" w:rsidR="002D703E" w:rsidRPr="00154EEF" w:rsidRDefault="002D703E" w:rsidP="002D703E">
            <w:pPr>
              <w:spacing w:line="360" w:lineRule="auto"/>
              <w:ind w:firstLine="720"/>
              <w:jc w:val="both"/>
              <w:rPr>
                <w:szCs w:val="24"/>
              </w:rPr>
            </w:pPr>
            <w:r w:rsidRPr="00154EEF">
              <w:rPr>
                <w:szCs w:val="24"/>
              </w:rPr>
              <w:lastRenderedPageBreak/>
              <w:t>2.3. kraujavimas iš virškinamojo trakto ar šlapimo takų per pastarąsias 3 sav.;</w:t>
            </w:r>
          </w:p>
          <w:p w14:paraId="0851312F" w14:textId="77777777" w:rsidR="002D703E" w:rsidRPr="00154EEF" w:rsidRDefault="002D703E" w:rsidP="002D703E">
            <w:pPr>
              <w:spacing w:line="360" w:lineRule="auto"/>
              <w:ind w:firstLine="720"/>
              <w:jc w:val="both"/>
              <w:rPr>
                <w:szCs w:val="24"/>
              </w:rPr>
            </w:pPr>
            <w:r w:rsidRPr="00154EEF">
              <w:rPr>
                <w:szCs w:val="24"/>
              </w:rPr>
              <w:t>2.4. per pastarąsias 10 dienų punktuota kraujagyslė, kurios neįmanoma užspausti;</w:t>
            </w:r>
          </w:p>
          <w:p w14:paraId="2DD88389" w14:textId="77777777" w:rsidR="002D703E" w:rsidRPr="00154EEF" w:rsidRDefault="002D703E" w:rsidP="002D703E">
            <w:pPr>
              <w:spacing w:line="360" w:lineRule="auto"/>
              <w:ind w:firstLine="720"/>
              <w:jc w:val="both"/>
              <w:rPr>
                <w:szCs w:val="24"/>
              </w:rPr>
            </w:pPr>
            <w:r w:rsidRPr="00154EEF">
              <w:rPr>
                <w:szCs w:val="24"/>
              </w:rPr>
              <w:t>2.5. atlikta didžioji operacija per pastaruosius 3 mėn.;</w:t>
            </w:r>
          </w:p>
          <w:p w14:paraId="663ADFBB" w14:textId="77777777" w:rsidR="002D703E" w:rsidRPr="00154EEF" w:rsidRDefault="002D703E" w:rsidP="002D703E">
            <w:pPr>
              <w:spacing w:line="360" w:lineRule="auto"/>
              <w:ind w:firstLine="720"/>
              <w:jc w:val="both"/>
              <w:rPr>
                <w:szCs w:val="24"/>
              </w:rPr>
            </w:pPr>
            <w:r w:rsidRPr="00154EEF">
              <w:rPr>
                <w:szCs w:val="24"/>
              </w:rPr>
              <w:t>2.6. hemoraginė diatezė arba hemoraginė retinopatija;</w:t>
            </w:r>
          </w:p>
          <w:p w14:paraId="7BA5F547" w14:textId="77777777" w:rsidR="002D703E" w:rsidRPr="00154EEF" w:rsidRDefault="002D703E" w:rsidP="002D703E">
            <w:pPr>
              <w:spacing w:line="360" w:lineRule="auto"/>
              <w:ind w:firstLine="720"/>
              <w:jc w:val="both"/>
              <w:rPr>
                <w:szCs w:val="24"/>
              </w:rPr>
            </w:pPr>
            <w:r w:rsidRPr="00154EEF">
              <w:rPr>
                <w:szCs w:val="24"/>
              </w:rPr>
              <w:t xml:space="preserve">2.7. intrasmegeninė kraujosruva (toliau –ISK) anamnezėje; </w:t>
            </w:r>
          </w:p>
          <w:p w14:paraId="28BF97A9" w14:textId="77777777" w:rsidR="002D703E" w:rsidRPr="00154EEF" w:rsidRDefault="002D703E" w:rsidP="002D703E">
            <w:pPr>
              <w:spacing w:line="360" w:lineRule="auto"/>
              <w:ind w:firstLine="720"/>
              <w:jc w:val="both"/>
              <w:rPr>
                <w:szCs w:val="24"/>
              </w:rPr>
            </w:pPr>
            <w:r w:rsidRPr="00154EEF">
              <w:rPr>
                <w:szCs w:val="24"/>
              </w:rPr>
              <w:t>2.8. sunki centrinės nervų sistemos liga ar sveikatos sutrikimas anamnezėje arba kitokia gretutinė lėtinė liga ar sveikatos sutrikimas, kurie reikšmingai apsunkina gyvenimo prognozę;</w:t>
            </w:r>
          </w:p>
          <w:p w14:paraId="5929F367" w14:textId="77777777" w:rsidR="002D703E" w:rsidRPr="00154EEF" w:rsidRDefault="002D703E" w:rsidP="002D703E">
            <w:pPr>
              <w:spacing w:line="360" w:lineRule="auto"/>
              <w:ind w:firstLine="720"/>
              <w:jc w:val="both"/>
              <w:rPr>
                <w:szCs w:val="24"/>
              </w:rPr>
            </w:pPr>
            <w:r w:rsidRPr="00154EEF">
              <w:rPr>
                <w:szCs w:val="24"/>
              </w:rPr>
              <w:t>2.9. nekontroliuojama arterinė hipertenzija: sistolinis AKS &gt;185 mmHg arba diastolinis AKS &gt;110 mmHg iki gydymo pradžios;</w:t>
            </w:r>
          </w:p>
          <w:p w14:paraId="396B9B6C" w14:textId="77777777" w:rsidR="002D703E" w:rsidRPr="00154EEF" w:rsidRDefault="002D703E" w:rsidP="002D703E">
            <w:pPr>
              <w:spacing w:line="360" w:lineRule="auto"/>
              <w:ind w:firstLine="720"/>
              <w:jc w:val="both"/>
              <w:rPr>
                <w:szCs w:val="24"/>
              </w:rPr>
            </w:pPr>
            <w:r w:rsidRPr="00154EEF">
              <w:rPr>
                <w:szCs w:val="24"/>
              </w:rPr>
              <w:t>2.10. infekcinis perikarditas ūminis ir poūmis endokarditas (TLK-10-AM kodai I30.1, I33);</w:t>
            </w:r>
          </w:p>
          <w:p w14:paraId="70365260" w14:textId="77777777" w:rsidR="002D703E" w:rsidRPr="00154EEF" w:rsidRDefault="002D703E" w:rsidP="002D703E">
            <w:pPr>
              <w:spacing w:line="360" w:lineRule="auto"/>
              <w:ind w:firstLine="720"/>
              <w:jc w:val="both"/>
              <w:rPr>
                <w:szCs w:val="24"/>
              </w:rPr>
            </w:pPr>
            <w:r w:rsidRPr="00154EEF">
              <w:rPr>
                <w:szCs w:val="24"/>
              </w:rPr>
              <w:t>2.11. ūminis pankreatitas (TLK-10-AM kodas K85);</w:t>
            </w:r>
          </w:p>
          <w:p w14:paraId="6F032C67" w14:textId="77777777" w:rsidR="002D703E" w:rsidRPr="00154EEF" w:rsidRDefault="002D703E" w:rsidP="002D703E">
            <w:pPr>
              <w:spacing w:line="360" w:lineRule="auto"/>
              <w:ind w:firstLine="720"/>
              <w:jc w:val="both"/>
              <w:rPr>
                <w:szCs w:val="24"/>
              </w:rPr>
            </w:pPr>
            <w:r w:rsidRPr="00154EEF">
              <w:rPr>
                <w:szCs w:val="24"/>
              </w:rPr>
              <w:t>2.12. arterioveninė smegenų kraujagyslių formavimosi yda arba nustatyta neplyšusi intrakranijinė aneurizma (TLK-10-AM kodai I67.1, Q28.2);</w:t>
            </w:r>
          </w:p>
          <w:p w14:paraId="67CB4B40" w14:textId="77777777" w:rsidR="002D703E" w:rsidRPr="00154EEF" w:rsidRDefault="002D703E" w:rsidP="002D703E">
            <w:pPr>
              <w:spacing w:line="360" w:lineRule="auto"/>
              <w:ind w:firstLine="720"/>
              <w:jc w:val="both"/>
              <w:rPr>
                <w:szCs w:val="24"/>
              </w:rPr>
            </w:pPr>
            <w:r w:rsidRPr="00154EEF">
              <w:rPr>
                <w:szCs w:val="24"/>
              </w:rPr>
              <w:t>2.13. navikas, dėl kurio padidėjusi kraujavimo rizika;</w:t>
            </w:r>
          </w:p>
          <w:p w14:paraId="7D12BC60" w14:textId="77777777" w:rsidR="002D703E" w:rsidRPr="00154EEF" w:rsidRDefault="002D703E" w:rsidP="002D703E">
            <w:pPr>
              <w:spacing w:line="360" w:lineRule="auto"/>
              <w:ind w:firstLine="720"/>
              <w:jc w:val="both"/>
              <w:rPr>
                <w:szCs w:val="24"/>
              </w:rPr>
            </w:pPr>
            <w:r w:rsidRPr="00154EEF">
              <w:rPr>
                <w:szCs w:val="24"/>
              </w:rPr>
              <w:t>2.14. sunki kepenų liga;</w:t>
            </w:r>
          </w:p>
          <w:p w14:paraId="52D19ED1" w14:textId="77777777" w:rsidR="002D703E" w:rsidRPr="00154EEF" w:rsidRDefault="002D703E" w:rsidP="002D703E">
            <w:pPr>
              <w:spacing w:line="360" w:lineRule="auto"/>
              <w:ind w:firstLine="720"/>
              <w:jc w:val="both"/>
              <w:rPr>
                <w:szCs w:val="24"/>
              </w:rPr>
            </w:pPr>
            <w:r w:rsidRPr="00154EEF">
              <w:rPr>
                <w:szCs w:val="24"/>
              </w:rPr>
              <w:t>2.15. atliekant galvos smegenų KT nustatomi ISK arba spontaninės subarachnoidinės kraujosruvos požymiai arba ankstyvi pakitimai, būdingi dideliam išeminiam insultui;</w:t>
            </w:r>
          </w:p>
          <w:p w14:paraId="4EC6A027" w14:textId="77777777" w:rsidR="002D703E" w:rsidRPr="00154EEF" w:rsidRDefault="002D703E" w:rsidP="002D703E">
            <w:pPr>
              <w:spacing w:line="360" w:lineRule="auto"/>
              <w:ind w:firstLine="720"/>
              <w:jc w:val="both"/>
              <w:rPr>
                <w:szCs w:val="24"/>
              </w:rPr>
            </w:pPr>
            <w:r w:rsidRPr="00154EEF">
              <w:rPr>
                <w:szCs w:val="24"/>
              </w:rPr>
              <w:lastRenderedPageBreak/>
              <w:t>2.16. labai sunki neurologinė būklė: ≥24 balai pagal NIH insulto skalę;</w:t>
            </w:r>
          </w:p>
          <w:p w14:paraId="34FAC50C" w14:textId="77777777" w:rsidR="002D703E" w:rsidRPr="00154EEF" w:rsidRDefault="002D703E" w:rsidP="002D703E">
            <w:pPr>
              <w:spacing w:line="360" w:lineRule="auto"/>
              <w:ind w:firstLine="720"/>
              <w:jc w:val="both"/>
              <w:rPr>
                <w:szCs w:val="24"/>
              </w:rPr>
            </w:pPr>
            <w:r w:rsidRPr="00154EEF">
              <w:rPr>
                <w:szCs w:val="24"/>
              </w:rPr>
              <w:t>2.17. per pastarąsias 48 val. pacientui buvo skirtas heparinas ir yra prailgėjęs aktyvinto dalinio tromboplastino laikas (ADTL) (≥2 kartus viršija viršutinę normos ribą) arba nuo paskutinės mažos molekulinės masės heparinų dozės paskyrimo praėjo mažiau kaip 12 val.;</w:t>
            </w:r>
          </w:p>
          <w:p w14:paraId="13661EC6" w14:textId="77777777" w:rsidR="002D703E" w:rsidRPr="00154EEF" w:rsidRDefault="002D703E" w:rsidP="002D703E">
            <w:pPr>
              <w:spacing w:line="360" w:lineRule="auto"/>
              <w:ind w:firstLine="720"/>
              <w:jc w:val="both"/>
              <w:rPr>
                <w:szCs w:val="24"/>
              </w:rPr>
            </w:pPr>
            <w:r w:rsidRPr="00154EEF">
              <w:rPr>
                <w:szCs w:val="24"/>
              </w:rPr>
              <w:t>2.18. trombocitopenija &lt;100 x 109/l (&lt;100 000/mm3);</w:t>
            </w:r>
          </w:p>
          <w:p w14:paraId="4FB75B5C" w14:textId="77777777" w:rsidR="002D703E" w:rsidRPr="00154EEF" w:rsidRDefault="002D703E" w:rsidP="002D703E">
            <w:pPr>
              <w:spacing w:line="360" w:lineRule="auto"/>
              <w:ind w:firstLine="720"/>
              <w:jc w:val="both"/>
              <w:rPr>
                <w:szCs w:val="24"/>
              </w:rPr>
            </w:pPr>
            <w:r w:rsidRPr="00154EEF">
              <w:rPr>
                <w:szCs w:val="24"/>
              </w:rPr>
              <w:t>2.19. per pastaruosius 3 mėnesius buvęs insultas, intrakranijinė operacija arba sunki galvos trauma;</w:t>
            </w:r>
          </w:p>
          <w:p w14:paraId="4838B28F" w14:textId="77777777" w:rsidR="002D703E" w:rsidRPr="00154EEF" w:rsidRDefault="002D703E" w:rsidP="002D703E">
            <w:pPr>
              <w:spacing w:line="360" w:lineRule="auto"/>
              <w:ind w:firstLine="720"/>
              <w:jc w:val="both"/>
              <w:rPr>
                <w:szCs w:val="24"/>
              </w:rPr>
            </w:pPr>
            <w:r w:rsidRPr="00154EEF">
              <w:rPr>
                <w:szCs w:val="24"/>
              </w:rPr>
              <w:t>2.20. gliukozės koncentracija kraujyje &lt;2,8 mmol/l arba &gt;22,3 mmol/l;</w:t>
            </w:r>
          </w:p>
          <w:p w14:paraId="4227057F" w14:textId="77777777" w:rsidR="002D703E" w:rsidRPr="00154EEF" w:rsidRDefault="002D703E" w:rsidP="002D703E">
            <w:pPr>
              <w:spacing w:line="360" w:lineRule="auto"/>
              <w:ind w:firstLine="720"/>
              <w:jc w:val="both"/>
              <w:rPr>
                <w:szCs w:val="24"/>
              </w:rPr>
            </w:pPr>
            <w:r w:rsidRPr="00154EEF">
              <w:rPr>
                <w:szCs w:val="24"/>
              </w:rPr>
              <w:t>2.21. traukuliai insulto pradžioje;</w:t>
            </w:r>
          </w:p>
          <w:p w14:paraId="6E0AA20A" w14:textId="77777777" w:rsidR="002D703E" w:rsidRPr="00154EEF" w:rsidRDefault="002D703E" w:rsidP="002D703E">
            <w:pPr>
              <w:spacing w:line="360" w:lineRule="auto"/>
              <w:ind w:firstLine="720"/>
              <w:jc w:val="both"/>
              <w:rPr>
                <w:szCs w:val="24"/>
              </w:rPr>
            </w:pPr>
            <w:r w:rsidRPr="00154EEF">
              <w:rPr>
                <w:szCs w:val="24"/>
              </w:rPr>
              <w:t>2.22. nėštumas arba gimdymas per pastarąsias 10 parų.</w:t>
            </w:r>
          </w:p>
          <w:p w14:paraId="28F74FB9" w14:textId="77777777" w:rsidR="002D703E" w:rsidRPr="00CC2B25" w:rsidRDefault="002D703E" w:rsidP="002D703E">
            <w:pPr>
              <w:spacing w:line="360" w:lineRule="auto"/>
              <w:ind w:firstLine="720"/>
              <w:jc w:val="both"/>
              <w:rPr>
                <w:szCs w:val="24"/>
              </w:rPr>
            </w:pPr>
            <w:r w:rsidRPr="00154EEF">
              <w:rPr>
                <w:szCs w:val="24"/>
              </w:rPr>
              <w:t>3. Sprendimą atlikti trombolizę priima neurologas. Jei yra neesminių nuokrypių nuo tinkamumo intraveninei trombolizei atlikti kriterijų, trombolizės atlikimo klausimas sprendžiamas individualiai pagal ASPĮ nustatytas vidaus tvarkos taisykles.</w:t>
            </w:r>
          </w:p>
          <w:p w14:paraId="45145716" w14:textId="77777777" w:rsidR="002D703E" w:rsidRPr="00D05364" w:rsidRDefault="002D703E" w:rsidP="002D703E">
            <w:pPr>
              <w:pStyle w:val="Sraopastraipa"/>
              <w:spacing w:after="120"/>
              <w:ind w:left="0"/>
              <w:contextualSpacing w:val="0"/>
              <w:jc w:val="both"/>
              <w:rPr>
                <w:szCs w:val="24"/>
              </w:rPr>
            </w:pPr>
          </w:p>
        </w:tc>
      </w:tr>
      <w:tr w:rsidR="002D703E" w:rsidRPr="00D05364" w14:paraId="4F731043" w14:textId="77777777" w:rsidTr="00BA574E">
        <w:trPr>
          <w:trHeight w:val="479"/>
        </w:trPr>
        <w:tc>
          <w:tcPr>
            <w:tcW w:w="705" w:type="dxa"/>
            <w:tcBorders>
              <w:top w:val="single" w:sz="4" w:space="0" w:color="auto"/>
              <w:left w:val="single" w:sz="4" w:space="0" w:color="auto"/>
              <w:bottom w:val="single" w:sz="4" w:space="0" w:color="auto"/>
              <w:right w:val="single" w:sz="4" w:space="0" w:color="auto"/>
            </w:tcBorders>
          </w:tcPr>
          <w:p w14:paraId="7EFDC595" w14:textId="3AACB2D3" w:rsidR="002D703E" w:rsidRPr="007F3ACC" w:rsidRDefault="002D703E" w:rsidP="002D703E">
            <w:pPr>
              <w:tabs>
                <w:tab w:val="left" w:pos="284"/>
              </w:tabs>
              <w:spacing w:line="280" w:lineRule="atLeast"/>
              <w:rPr>
                <w:rFonts w:eastAsia="Arial"/>
                <w:bCs/>
                <w:szCs w:val="24"/>
              </w:rPr>
            </w:pPr>
            <w:r w:rsidRPr="007F3ACC">
              <w:rPr>
                <w:rFonts w:eastAsia="Arial"/>
                <w:bCs/>
                <w:szCs w:val="24"/>
              </w:rPr>
              <w:lastRenderedPageBreak/>
              <w:t>1.</w:t>
            </w:r>
            <w:r w:rsidR="009571C7">
              <w:rPr>
                <w:rFonts w:eastAsia="Arial"/>
                <w:bCs/>
                <w:szCs w:val="24"/>
              </w:rPr>
              <w:t>8</w:t>
            </w:r>
          </w:p>
        </w:tc>
        <w:tc>
          <w:tcPr>
            <w:tcW w:w="4117" w:type="dxa"/>
            <w:tcBorders>
              <w:top w:val="single" w:sz="4" w:space="0" w:color="auto"/>
              <w:left w:val="single" w:sz="4" w:space="0" w:color="auto"/>
              <w:bottom w:val="single" w:sz="4" w:space="0" w:color="auto"/>
              <w:right w:val="single" w:sz="4" w:space="0" w:color="auto"/>
            </w:tcBorders>
          </w:tcPr>
          <w:p w14:paraId="31FF6F00" w14:textId="77777777" w:rsidR="002D703E" w:rsidRPr="00E33EFF" w:rsidRDefault="002D703E" w:rsidP="002D703E">
            <w:pPr>
              <w:rPr>
                <w:bCs/>
                <w:color w:val="000000"/>
                <w:lang w:eastAsia="lt-LT"/>
              </w:rPr>
            </w:pPr>
            <w:r w:rsidRPr="00E33EFF">
              <w:rPr>
                <w:bCs/>
                <w:color w:val="000000"/>
                <w:lang w:eastAsia="lt-LT"/>
              </w:rPr>
              <w:t xml:space="preserve">Pareiškėjo teikiamas palyginamasis </w:t>
            </w:r>
            <w:r>
              <w:rPr>
                <w:bCs/>
                <w:color w:val="000000"/>
                <w:lang w:eastAsia="lt-LT"/>
              </w:rPr>
              <w:t>gydymas</w:t>
            </w:r>
          </w:p>
          <w:p w14:paraId="6891E854" w14:textId="0FCFCD30" w:rsidR="002D703E" w:rsidRPr="00D05364" w:rsidRDefault="002D703E" w:rsidP="002D703E">
            <w:pPr>
              <w:tabs>
                <w:tab w:val="left" w:pos="284"/>
              </w:tabs>
              <w:spacing w:line="280" w:lineRule="atLeast"/>
              <w:rPr>
                <w:b/>
                <w:bCs/>
                <w:color w:val="000000"/>
                <w:szCs w:val="24"/>
                <w:lang w:eastAsia="lt-LT"/>
              </w:rPr>
            </w:pPr>
          </w:p>
        </w:tc>
        <w:tc>
          <w:tcPr>
            <w:tcW w:w="5096" w:type="dxa"/>
            <w:tcBorders>
              <w:top w:val="single" w:sz="4" w:space="0" w:color="auto"/>
              <w:left w:val="single" w:sz="4" w:space="0" w:color="auto"/>
              <w:bottom w:val="single" w:sz="4" w:space="0" w:color="auto"/>
              <w:right w:val="single" w:sz="4" w:space="0" w:color="auto"/>
            </w:tcBorders>
          </w:tcPr>
          <w:p w14:paraId="66EECE7E" w14:textId="77777777" w:rsidR="002D703E" w:rsidRPr="00E33EFF" w:rsidRDefault="00000000" w:rsidP="002D703E">
            <w:sdt>
              <w:sdtPr>
                <w:rPr>
                  <w:rStyle w:val="Style2"/>
                </w:rPr>
                <w:id w:val="1480955706"/>
                <w15:color w:val="FFCC00"/>
                <w14:checkbox>
                  <w14:checked w14:val="1"/>
                  <w14:checkedState w14:val="2612" w14:font="MS Gothic"/>
                  <w14:uncheckedState w14:val="2610" w14:font="MS Gothic"/>
                </w14:checkbox>
              </w:sdtPr>
              <w:sdtContent>
                <w:r w:rsidR="002D703E">
                  <w:rPr>
                    <w:rStyle w:val="Style2"/>
                    <w:rFonts w:ascii="MS Gothic" w:eastAsia="MS Gothic" w:hAnsi="MS Gothic" w:hint="eastAsia"/>
                  </w:rPr>
                  <w:t>☒</w:t>
                </w:r>
              </w:sdtContent>
            </w:sdt>
            <w:r w:rsidR="002D703E" w:rsidRPr="00E33EFF">
              <w:t xml:space="preserve"> Tinkamas</w:t>
            </w:r>
          </w:p>
          <w:p w14:paraId="251FC91C" w14:textId="7274A40B" w:rsidR="002D703E" w:rsidRPr="00D05364" w:rsidRDefault="00000000" w:rsidP="002D703E">
            <w:pPr>
              <w:rPr>
                <w:rStyle w:val="Style2"/>
                <w:szCs w:val="24"/>
              </w:rPr>
            </w:pPr>
            <w:sdt>
              <w:sdtPr>
                <w:rPr>
                  <w:rStyle w:val="Style2"/>
                </w:rPr>
                <w:id w:val="-352420698"/>
                <w15:color w:val="FFCC00"/>
                <w14:checkbox>
                  <w14:checked w14:val="0"/>
                  <w14:checkedState w14:val="2612" w14:font="MS Gothic"/>
                  <w14:uncheckedState w14:val="2610" w14:font="MS Gothic"/>
                </w14:checkbox>
              </w:sdtPr>
              <w:sdtContent>
                <w:r w:rsidR="002D703E" w:rsidRPr="00E33EFF">
                  <w:rPr>
                    <w:rStyle w:val="Style2"/>
                    <w:rFonts w:ascii="MS Gothic" w:eastAsia="MS Gothic" w:hAnsi="MS Gothic" w:hint="eastAsia"/>
                  </w:rPr>
                  <w:t>☐</w:t>
                </w:r>
              </w:sdtContent>
            </w:sdt>
            <w:r w:rsidR="002D703E" w:rsidRPr="00E33EFF">
              <w:t xml:space="preserve"> Netinkama</w:t>
            </w:r>
          </w:p>
        </w:tc>
      </w:tr>
    </w:tbl>
    <w:p w14:paraId="3EAD3471" w14:textId="77777777" w:rsidR="00063961" w:rsidRPr="00D05364" w:rsidRDefault="00063961" w:rsidP="00063961">
      <w:pPr>
        <w:spacing w:line="276" w:lineRule="auto"/>
        <w:rPr>
          <w:rFonts w:eastAsia="Arial"/>
          <w:szCs w:val="24"/>
        </w:rPr>
      </w:pPr>
    </w:p>
    <w:p w14:paraId="15C1BB21" w14:textId="2B90EF64" w:rsidR="00063961" w:rsidRPr="00D05364" w:rsidRDefault="00063961" w:rsidP="00063961">
      <w:pPr>
        <w:spacing w:line="276" w:lineRule="auto"/>
        <w:rPr>
          <w:rFonts w:eastAsia="Arial"/>
          <w:b/>
          <w:szCs w:val="24"/>
        </w:rPr>
      </w:pPr>
      <w:r w:rsidRPr="00D05364">
        <w:rPr>
          <w:rFonts w:eastAsia="Arial"/>
          <w:b/>
          <w:szCs w:val="24"/>
        </w:rPr>
        <w:t>1.</w:t>
      </w:r>
      <w:r w:rsidR="004567B3">
        <w:rPr>
          <w:rFonts w:eastAsia="Arial"/>
          <w:b/>
          <w:szCs w:val="24"/>
        </w:rPr>
        <w:t>9</w:t>
      </w:r>
      <w:r>
        <w:rPr>
          <w:rFonts w:eastAsia="Arial"/>
          <w:b/>
          <w:szCs w:val="24"/>
        </w:rPr>
        <w:t xml:space="preserve"> </w:t>
      </w:r>
      <w:r w:rsidRPr="00D05364">
        <w:rPr>
          <w:rFonts w:eastAsia="Arial"/>
          <w:b/>
          <w:szCs w:val="24"/>
        </w:rPr>
        <w:t>Kitų valstybių atsakingų institucijų atlikto Sveikatos technologijų vertinimo (toliau – STV) vertinimo išvados</w:t>
      </w:r>
    </w:p>
    <w:p w14:paraId="44349FEE" w14:textId="77777777" w:rsidR="00063961" w:rsidRPr="00D05364" w:rsidRDefault="00063961" w:rsidP="00063961">
      <w:pPr>
        <w:spacing w:line="276" w:lineRule="auto"/>
        <w:rPr>
          <w:rFonts w:eastAsia="Arial"/>
          <w:szCs w:val="24"/>
        </w:rPr>
      </w:pPr>
    </w:p>
    <w:tbl>
      <w:tblPr>
        <w:tblStyle w:val="Lentelstinklelis"/>
        <w:tblW w:w="9918" w:type="dxa"/>
        <w:tblLook w:val="04A0" w:firstRow="1" w:lastRow="0" w:firstColumn="1" w:lastColumn="0" w:noHBand="0" w:noVBand="1"/>
      </w:tblPr>
      <w:tblGrid>
        <w:gridCol w:w="2927"/>
        <w:gridCol w:w="1915"/>
        <w:gridCol w:w="2351"/>
        <w:gridCol w:w="2725"/>
      </w:tblGrid>
      <w:tr w:rsidR="00063961" w:rsidRPr="00D05364" w14:paraId="0410C7DD" w14:textId="77777777" w:rsidTr="00BA574E">
        <w:trPr>
          <w:trHeight w:val="924"/>
        </w:trPr>
        <w:tc>
          <w:tcPr>
            <w:tcW w:w="2927" w:type="dxa"/>
          </w:tcPr>
          <w:p w14:paraId="31E8371E" w14:textId="77777777" w:rsidR="00063961" w:rsidRPr="00D05364" w:rsidRDefault="00063961" w:rsidP="00BA574E">
            <w:pPr>
              <w:spacing w:line="276" w:lineRule="auto"/>
              <w:rPr>
                <w:rFonts w:eastAsia="Arial"/>
                <w:szCs w:val="24"/>
              </w:rPr>
            </w:pPr>
            <w:r w:rsidRPr="00D05364">
              <w:rPr>
                <w:rFonts w:eastAsia="Arial"/>
                <w:szCs w:val="24"/>
              </w:rPr>
              <w:t>STV agentūros pavadinimas, šalis</w:t>
            </w:r>
          </w:p>
        </w:tc>
        <w:tc>
          <w:tcPr>
            <w:tcW w:w="1915" w:type="dxa"/>
          </w:tcPr>
          <w:p w14:paraId="34974294" w14:textId="77777777" w:rsidR="00063961" w:rsidRPr="00D05364" w:rsidRDefault="00063961" w:rsidP="00BA574E">
            <w:pPr>
              <w:spacing w:line="276" w:lineRule="auto"/>
              <w:rPr>
                <w:rFonts w:eastAsia="Arial"/>
                <w:szCs w:val="24"/>
              </w:rPr>
            </w:pPr>
            <w:r w:rsidRPr="00D05364">
              <w:rPr>
                <w:rFonts w:eastAsia="Arial"/>
                <w:szCs w:val="24"/>
              </w:rPr>
              <w:t>STV vertinimas atliktas</w:t>
            </w:r>
          </w:p>
        </w:tc>
        <w:tc>
          <w:tcPr>
            <w:tcW w:w="2351" w:type="dxa"/>
          </w:tcPr>
          <w:p w14:paraId="29E208F3" w14:textId="77777777" w:rsidR="00063961" w:rsidRPr="00D05364" w:rsidRDefault="00063961" w:rsidP="00BA574E">
            <w:pPr>
              <w:spacing w:line="276" w:lineRule="auto"/>
              <w:rPr>
                <w:rFonts w:eastAsia="Arial"/>
                <w:szCs w:val="24"/>
              </w:rPr>
            </w:pPr>
            <w:r w:rsidRPr="00D05364">
              <w:rPr>
                <w:rFonts w:eastAsia="Arial"/>
                <w:szCs w:val="24"/>
              </w:rPr>
              <w:t>Klinikinio vertinimo išvada</w:t>
            </w:r>
          </w:p>
        </w:tc>
        <w:tc>
          <w:tcPr>
            <w:tcW w:w="2725" w:type="dxa"/>
          </w:tcPr>
          <w:p w14:paraId="5F7E1C4E" w14:textId="77777777" w:rsidR="00063961" w:rsidRPr="00D05364" w:rsidRDefault="00063961" w:rsidP="00BA574E">
            <w:pPr>
              <w:spacing w:line="276" w:lineRule="auto"/>
              <w:rPr>
                <w:rFonts w:eastAsia="Arial"/>
                <w:szCs w:val="24"/>
              </w:rPr>
            </w:pPr>
            <w:r w:rsidRPr="00D05364">
              <w:rPr>
                <w:rFonts w:eastAsia="Arial"/>
                <w:szCs w:val="24"/>
              </w:rPr>
              <w:t>Farmakoekonominio vertinimo išvada</w:t>
            </w:r>
          </w:p>
        </w:tc>
      </w:tr>
      <w:tr w:rsidR="00F21169" w:rsidRPr="00D05364" w14:paraId="548C2703" w14:textId="77777777" w:rsidTr="00B64351">
        <w:trPr>
          <w:trHeight w:val="1765"/>
        </w:trPr>
        <w:tc>
          <w:tcPr>
            <w:tcW w:w="2927" w:type="dxa"/>
          </w:tcPr>
          <w:p w14:paraId="12D00F80" w14:textId="77777777" w:rsidR="00F21169" w:rsidRPr="00D05364" w:rsidRDefault="00F21169" w:rsidP="00BA574E">
            <w:pPr>
              <w:autoSpaceDE w:val="0"/>
              <w:autoSpaceDN w:val="0"/>
              <w:adjustRightInd w:val="0"/>
              <w:rPr>
                <w:bCs/>
                <w:szCs w:val="24"/>
              </w:rPr>
            </w:pPr>
            <w:r w:rsidRPr="00D05364">
              <w:rPr>
                <w:bCs/>
                <w:szCs w:val="24"/>
              </w:rPr>
              <w:lastRenderedPageBreak/>
              <w:t>Nacionalinis sveikatos ir klinikinės kompetencijos institutas, Didžioji Britanija</w:t>
            </w:r>
          </w:p>
          <w:p w14:paraId="52EF6D67" w14:textId="77777777" w:rsidR="00F21169" w:rsidRPr="00D05364" w:rsidRDefault="00F21169" w:rsidP="00BA574E">
            <w:pPr>
              <w:spacing w:line="276" w:lineRule="auto"/>
              <w:rPr>
                <w:rFonts w:eastAsia="Arial"/>
                <w:szCs w:val="24"/>
              </w:rPr>
            </w:pPr>
            <w:r w:rsidRPr="00D05364">
              <w:rPr>
                <w:rFonts w:eastAsia="Arial"/>
                <w:szCs w:val="24"/>
              </w:rPr>
              <w:t xml:space="preserve">(angl. </w:t>
            </w:r>
            <w:r w:rsidRPr="00D05364">
              <w:rPr>
                <w:rFonts w:eastAsia="Arial"/>
                <w:i/>
                <w:szCs w:val="24"/>
              </w:rPr>
              <w:t>National Institute for Health and Care Excellence, NICE</w:t>
            </w:r>
            <w:r w:rsidRPr="00D05364">
              <w:rPr>
                <w:rFonts w:eastAsia="Arial"/>
                <w:szCs w:val="24"/>
              </w:rPr>
              <w:t>)</w:t>
            </w:r>
          </w:p>
        </w:tc>
        <w:tc>
          <w:tcPr>
            <w:tcW w:w="1915" w:type="dxa"/>
          </w:tcPr>
          <w:p w14:paraId="4644E255" w14:textId="77777777" w:rsidR="00F21169" w:rsidRPr="00D05364" w:rsidRDefault="00000000" w:rsidP="00BA574E">
            <w:sdt>
              <w:sdtPr>
                <w:rPr>
                  <w:rStyle w:val="Style2"/>
                  <w:szCs w:val="24"/>
                </w:rPr>
                <w:id w:val="1558205022"/>
                <w15:color w:val="FFCC00"/>
                <w14:checkbox>
                  <w14:checked w14:val="0"/>
                  <w14:checkedState w14:val="2612" w14:font="MS Gothic"/>
                  <w14:uncheckedState w14:val="2610" w14:font="MS Gothic"/>
                </w14:checkbox>
              </w:sdtPr>
              <w:sdtContent>
                <w:r w:rsidR="00F21169">
                  <w:rPr>
                    <w:rStyle w:val="Style2"/>
                    <w:rFonts w:ascii="MS Gothic" w:eastAsia="MS Gothic" w:hAnsi="MS Gothic" w:hint="eastAsia"/>
                    <w:szCs w:val="24"/>
                  </w:rPr>
                  <w:t>☐</w:t>
                </w:r>
              </w:sdtContent>
            </w:sdt>
            <w:r w:rsidR="00F21169" w:rsidRPr="00D05364">
              <w:t xml:space="preserve"> Taip</w:t>
            </w:r>
          </w:p>
          <w:p w14:paraId="5BABAF85" w14:textId="77777777" w:rsidR="00F21169" w:rsidRPr="00D05364" w:rsidRDefault="00000000" w:rsidP="00BA574E">
            <w:sdt>
              <w:sdtPr>
                <w:rPr>
                  <w:rStyle w:val="Style2"/>
                  <w:szCs w:val="24"/>
                </w:rPr>
                <w:id w:val="866029625"/>
                <w15:color w:val="FFCC00"/>
                <w14:checkbox>
                  <w14:checked w14:val="1"/>
                  <w14:checkedState w14:val="2612" w14:font="MS Gothic"/>
                  <w14:uncheckedState w14:val="2610" w14:font="MS Gothic"/>
                </w14:checkbox>
              </w:sdtPr>
              <w:sdtContent>
                <w:r w:rsidR="00F21169">
                  <w:rPr>
                    <w:rStyle w:val="Style2"/>
                    <w:rFonts w:ascii="MS Gothic" w:eastAsia="MS Gothic" w:hAnsi="MS Gothic" w:hint="eastAsia"/>
                    <w:szCs w:val="24"/>
                  </w:rPr>
                  <w:t>☒</w:t>
                </w:r>
              </w:sdtContent>
            </w:sdt>
            <w:r w:rsidR="00F21169" w:rsidRPr="00D05364">
              <w:t xml:space="preserve"> Ne</w:t>
            </w:r>
          </w:p>
          <w:p w14:paraId="64795695" w14:textId="2077290C" w:rsidR="00F21169" w:rsidRPr="00D05364" w:rsidRDefault="00F21169" w:rsidP="00BA574E">
            <w:pPr>
              <w:rPr>
                <w:rFonts w:eastAsia="Arial"/>
              </w:rPr>
            </w:pPr>
          </w:p>
        </w:tc>
        <w:tc>
          <w:tcPr>
            <w:tcW w:w="5076" w:type="dxa"/>
            <w:gridSpan w:val="2"/>
          </w:tcPr>
          <w:p w14:paraId="557A6BF3" w14:textId="2E21EAB2" w:rsidR="00F21169" w:rsidRPr="00D05364" w:rsidRDefault="00F21169" w:rsidP="00BA574E">
            <w:pPr>
              <w:spacing w:line="276" w:lineRule="auto"/>
              <w:rPr>
                <w:rFonts w:eastAsia="Arial"/>
                <w:szCs w:val="24"/>
              </w:rPr>
            </w:pPr>
            <w:r>
              <w:rPr>
                <w:rFonts w:eastAsia="Arial"/>
                <w:szCs w:val="24"/>
              </w:rPr>
              <w:t>Vyksta vertinimas</w:t>
            </w:r>
          </w:p>
        </w:tc>
      </w:tr>
      <w:tr w:rsidR="00F21169" w:rsidRPr="00D05364" w14:paraId="2567280F" w14:textId="77777777" w:rsidTr="00B875FF">
        <w:trPr>
          <w:trHeight w:val="1547"/>
        </w:trPr>
        <w:tc>
          <w:tcPr>
            <w:tcW w:w="2927" w:type="dxa"/>
          </w:tcPr>
          <w:p w14:paraId="1FC180D9" w14:textId="77777777" w:rsidR="00F21169" w:rsidRPr="00D05364" w:rsidRDefault="00F21169" w:rsidP="00BA574E">
            <w:pPr>
              <w:spacing w:line="276" w:lineRule="auto"/>
              <w:rPr>
                <w:rFonts w:eastAsia="Arial"/>
                <w:szCs w:val="24"/>
              </w:rPr>
            </w:pPr>
            <w:r w:rsidRPr="00D05364">
              <w:rPr>
                <w:rFonts w:eastAsia="Arial"/>
                <w:szCs w:val="24"/>
              </w:rPr>
              <w:t>Kanados sveikatos technologijų agentūra</w:t>
            </w:r>
          </w:p>
          <w:p w14:paraId="5D78C7BE" w14:textId="77777777" w:rsidR="00F21169" w:rsidRPr="00D05364" w:rsidRDefault="00F21169" w:rsidP="00BA574E">
            <w:pPr>
              <w:spacing w:line="276" w:lineRule="auto"/>
              <w:rPr>
                <w:rFonts w:eastAsia="Arial"/>
                <w:szCs w:val="24"/>
              </w:rPr>
            </w:pPr>
            <w:r w:rsidRPr="00D05364">
              <w:rPr>
                <w:rFonts w:eastAsia="Arial"/>
                <w:szCs w:val="24"/>
              </w:rPr>
              <w:t xml:space="preserve">(angl. </w:t>
            </w:r>
            <w:r w:rsidRPr="00D05364">
              <w:rPr>
                <w:rFonts w:eastAsia="Arial"/>
                <w:i/>
                <w:szCs w:val="24"/>
              </w:rPr>
              <w:t>Canadian health Technology Assessment agency, CADTH</w:t>
            </w:r>
            <w:r w:rsidRPr="00D05364">
              <w:rPr>
                <w:rFonts w:eastAsia="Arial"/>
                <w:szCs w:val="24"/>
              </w:rPr>
              <w:t>)</w:t>
            </w:r>
          </w:p>
        </w:tc>
        <w:tc>
          <w:tcPr>
            <w:tcW w:w="1915" w:type="dxa"/>
          </w:tcPr>
          <w:p w14:paraId="7D93A5BA" w14:textId="77777777" w:rsidR="00F21169" w:rsidRPr="00D05364" w:rsidRDefault="00000000" w:rsidP="00BA574E">
            <w:sdt>
              <w:sdtPr>
                <w:rPr>
                  <w:rStyle w:val="Style2"/>
                  <w:szCs w:val="24"/>
                </w:rPr>
                <w:id w:val="-372539057"/>
                <w15:color w:val="FFCC00"/>
                <w14:checkbox>
                  <w14:checked w14:val="1"/>
                  <w14:checkedState w14:val="2612" w14:font="MS Gothic"/>
                  <w14:uncheckedState w14:val="2610" w14:font="MS Gothic"/>
                </w14:checkbox>
              </w:sdtPr>
              <w:sdtContent>
                <w:r w:rsidR="00F21169">
                  <w:rPr>
                    <w:rStyle w:val="Style2"/>
                    <w:rFonts w:ascii="MS Gothic" w:eastAsia="MS Gothic" w:hAnsi="MS Gothic" w:hint="eastAsia"/>
                    <w:szCs w:val="24"/>
                  </w:rPr>
                  <w:t>☒</w:t>
                </w:r>
              </w:sdtContent>
            </w:sdt>
            <w:r w:rsidR="00F21169" w:rsidRPr="00D05364">
              <w:t xml:space="preserve"> Taip</w:t>
            </w:r>
          </w:p>
          <w:p w14:paraId="2449CB61" w14:textId="77777777" w:rsidR="00F21169" w:rsidRPr="00D05364" w:rsidRDefault="00000000" w:rsidP="00BA574E">
            <w:sdt>
              <w:sdtPr>
                <w:rPr>
                  <w:rStyle w:val="Style2"/>
                  <w:szCs w:val="24"/>
                </w:rPr>
                <w:id w:val="594442222"/>
                <w15:color w:val="FFCC00"/>
                <w14:checkbox>
                  <w14:checked w14:val="0"/>
                  <w14:checkedState w14:val="2612" w14:font="MS Gothic"/>
                  <w14:uncheckedState w14:val="2610" w14:font="MS Gothic"/>
                </w14:checkbox>
              </w:sdtPr>
              <w:sdtContent>
                <w:r w:rsidR="00F21169" w:rsidRPr="00D05364">
                  <w:rPr>
                    <w:rStyle w:val="Style2"/>
                    <w:rFonts w:ascii="Segoe UI Symbol" w:eastAsia="MS Gothic" w:hAnsi="Segoe UI Symbol" w:cs="Segoe UI Symbol"/>
                    <w:szCs w:val="24"/>
                  </w:rPr>
                  <w:t>☐</w:t>
                </w:r>
              </w:sdtContent>
            </w:sdt>
            <w:r w:rsidR="00F21169" w:rsidRPr="00D05364">
              <w:t xml:space="preserve"> Ne</w:t>
            </w:r>
          </w:p>
          <w:p w14:paraId="3E0C16FD" w14:textId="5FF88DF8" w:rsidR="00F21169" w:rsidRPr="00D05364" w:rsidRDefault="00000000" w:rsidP="00BA574E">
            <w:pPr>
              <w:spacing w:line="276" w:lineRule="auto"/>
              <w:rPr>
                <w:rFonts w:eastAsia="Arial"/>
                <w:szCs w:val="24"/>
              </w:rPr>
            </w:pPr>
            <w:sdt>
              <w:sdtPr>
                <w:rPr>
                  <w:szCs w:val="24"/>
                </w:rPr>
                <w:alias w:val="Nurodykite konkrečią dieną"/>
                <w:tag w:val="Nurodykite pradžios datą"/>
                <w:id w:val="1072468416"/>
                <w:placeholder>
                  <w:docPart w:val="E9C74B1C5A334328B8EE12999DD5D119"/>
                </w:placeholder>
                <w15:color w:val="FFCC99"/>
                <w:date w:fullDate="2023-02-03T00:00:00Z">
                  <w:dateFormat w:val="yyyy 'm.' MMMM d 'd.'"/>
                  <w:lid w:val="lt-LT"/>
                  <w:storeMappedDataAs w:val="dateTime"/>
                  <w:calendar w:val="gregorian"/>
                </w:date>
              </w:sdtPr>
              <w:sdtContent>
                <w:r w:rsidR="00F21169">
                  <w:rPr>
                    <w:szCs w:val="24"/>
                  </w:rPr>
                  <w:t>2023 m. vasario 3 d.</w:t>
                </w:r>
              </w:sdtContent>
            </w:sdt>
          </w:p>
        </w:tc>
        <w:tc>
          <w:tcPr>
            <w:tcW w:w="5076" w:type="dxa"/>
            <w:gridSpan w:val="2"/>
          </w:tcPr>
          <w:p w14:paraId="12BADAC3" w14:textId="38F5A5EE" w:rsidR="00F21169" w:rsidRPr="00D05364" w:rsidRDefault="00F21169" w:rsidP="00BA574E">
            <w:pPr>
              <w:spacing w:line="276" w:lineRule="auto"/>
              <w:rPr>
                <w:rFonts w:eastAsia="Arial"/>
                <w:szCs w:val="24"/>
              </w:rPr>
            </w:pPr>
            <w:r w:rsidRPr="003B40A2">
              <w:rPr>
                <w:rFonts w:eastAsia="Arial"/>
                <w:szCs w:val="24"/>
              </w:rPr>
              <w:t>Tenekteplazė siejama su mažesniais gydymo kaštais ir yra pirmo pasirinkimo vaistas ūminio išeminio insulto gydymui</w:t>
            </w:r>
          </w:p>
        </w:tc>
      </w:tr>
      <w:tr w:rsidR="00F21169" w:rsidRPr="00D05364" w14:paraId="2740023A" w14:textId="77777777" w:rsidTr="00575DFB">
        <w:trPr>
          <w:trHeight w:val="1927"/>
        </w:trPr>
        <w:tc>
          <w:tcPr>
            <w:tcW w:w="2927" w:type="dxa"/>
          </w:tcPr>
          <w:p w14:paraId="01788A4A" w14:textId="77777777" w:rsidR="00F21169" w:rsidRPr="00D05364" w:rsidRDefault="00F21169" w:rsidP="00BA574E">
            <w:pPr>
              <w:spacing w:line="276" w:lineRule="auto"/>
              <w:rPr>
                <w:rFonts w:eastAsia="Arial"/>
                <w:szCs w:val="24"/>
              </w:rPr>
            </w:pPr>
            <w:r w:rsidRPr="00D05364">
              <w:rPr>
                <w:rFonts w:eastAsia="Arial"/>
                <w:szCs w:val="24"/>
              </w:rPr>
              <w:t>Nacionalinis farmakoekonomikos centras, Airija</w:t>
            </w:r>
          </w:p>
          <w:p w14:paraId="085DED43" w14:textId="77777777" w:rsidR="00F21169" w:rsidRPr="00D05364" w:rsidRDefault="00F21169" w:rsidP="00BA574E">
            <w:pPr>
              <w:spacing w:line="276" w:lineRule="auto"/>
              <w:rPr>
                <w:rFonts w:eastAsia="Arial"/>
                <w:szCs w:val="24"/>
              </w:rPr>
            </w:pPr>
            <w:r w:rsidRPr="00D05364">
              <w:rPr>
                <w:rFonts w:eastAsia="Arial"/>
                <w:szCs w:val="24"/>
              </w:rPr>
              <w:t>(angl.</w:t>
            </w:r>
            <w:r w:rsidRPr="00D05364">
              <w:rPr>
                <w:rFonts w:eastAsia="Arial"/>
                <w:i/>
                <w:szCs w:val="24"/>
              </w:rPr>
              <w:t xml:space="preserve"> National Centre for Pharmacoeconomics, NCPE</w:t>
            </w:r>
            <w:r w:rsidRPr="00D05364">
              <w:rPr>
                <w:rFonts w:eastAsia="Arial"/>
                <w:szCs w:val="24"/>
              </w:rPr>
              <w:t>)</w:t>
            </w:r>
          </w:p>
        </w:tc>
        <w:tc>
          <w:tcPr>
            <w:tcW w:w="1915" w:type="dxa"/>
          </w:tcPr>
          <w:p w14:paraId="1663D58C" w14:textId="77777777" w:rsidR="00F21169" w:rsidRPr="00D05364" w:rsidRDefault="00000000" w:rsidP="00BA574E">
            <w:sdt>
              <w:sdtPr>
                <w:rPr>
                  <w:rStyle w:val="Style2"/>
                  <w:szCs w:val="24"/>
                </w:rPr>
                <w:id w:val="-1888403732"/>
                <w15:color w:val="FFCC00"/>
                <w14:checkbox>
                  <w14:checked w14:val="0"/>
                  <w14:checkedState w14:val="2612" w14:font="MS Gothic"/>
                  <w14:uncheckedState w14:val="2610" w14:font="MS Gothic"/>
                </w14:checkbox>
              </w:sdtPr>
              <w:sdtContent>
                <w:r w:rsidR="00F21169">
                  <w:rPr>
                    <w:rStyle w:val="Style2"/>
                    <w:rFonts w:ascii="MS Gothic" w:eastAsia="MS Gothic" w:hAnsi="MS Gothic" w:hint="eastAsia"/>
                    <w:szCs w:val="24"/>
                  </w:rPr>
                  <w:t>☐</w:t>
                </w:r>
              </w:sdtContent>
            </w:sdt>
            <w:r w:rsidR="00F21169" w:rsidRPr="00D05364">
              <w:t xml:space="preserve"> Taip</w:t>
            </w:r>
          </w:p>
          <w:p w14:paraId="0F040F4D" w14:textId="77777777" w:rsidR="00F21169" w:rsidRPr="00D05364" w:rsidRDefault="00000000" w:rsidP="00BA574E">
            <w:sdt>
              <w:sdtPr>
                <w:rPr>
                  <w:rStyle w:val="Style2"/>
                  <w:szCs w:val="24"/>
                </w:rPr>
                <w:id w:val="1092201793"/>
                <w15:color w:val="FFCC00"/>
                <w14:checkbox>
                  <w14:checked w14:val="1"/>
                  <w14:checkedState w14:val="2612" w14:font="MS Gothic"/>
                  <w14:uncheckedState w14:val="2610" w14:font="MS Gothic"/>
                </w14:checkbox>
              </w:sdtPr>
              <w:sdtContent>
                <w:r w:rsidR="00F21169">
                  <w:rPr>
                    <w:rStyle w:val="Style2"/>
                    <w:rFonts w:ascii="MS Gothic" w:eastAsia="MS Gothic" w:hAnsi="MS Gothic" w:hint="eastAsia"/>
                    <w:szCs w:val="24"/>
                  </w:rPr>
                  <w:t>☒</w:t>
                </w:r>
              </w:sdtContent>
            </w:sdt>
            <w:r w:rsidR="00F21169" w:rsidRPr="00D05364">
              <w:t xml:space="preserve"> Ne</w:t>
            </w:r>
          </w:p>
          <w:p w14:paraId="29CBB7FB" w14:textId="393C4738" w:rsidR="00F21169" w:rsidRPr="00D05364" w:rsidRDefault="00F21169" w:rsidP="00BA574E">
            <w:pPr>
              <w:spacing w:line="276" w:lineRule="auto"/>
              <w:rPr>
                <w:rFonts w:eastAsia="Arial"/>
                <w:szCs w:val="24"/>
              </w:rPr>
            </w:pPr>
          </w:p>
        </w:tc>
        <w:tc>
          <w:tcPr>
            <w:tcW w:w="5076" w:type="dxa"/>
            <w:gridSpan w:val="2"/>
          </w:tcPr>
          <w:p w14:paraId="3778902E" w14:textId="77777777" w:rsidR="00F21169" w:rsidRPr="00D05364" w:rsidRDefault="00F21169" w:rsidP="00BA574E">
            <w:pPr>
              <w:spacing w:line="276" w:lineRule="auto"/>
              <w:rPr>
                <w:rFonts w:eastAsia="Arial"/>
                <w:szCs w:val="24"/>
              </w:rPr>
            </w:pPr>
          </w:p>
        </w:tc>
      </w:tr>
    </w:tbl>
    <w:p w14:paraId="6D1ADA65" w14:textId="77777777" w:rsidR="0017293A" w:rsidRDefault="0017293A"/>
    <w:p w14:paraId="659D0443" w14:textId="77777777" w:rsidR="00310E38" w:rsidRDefault="00310E38"/>
    <w:p w14:paraId="5F271588" w14:textId="77777777" w:rsidR="00310E38" w:rsidRDefault="00310E38"/>
    <w:p w14:paraId="0ABD6D2F" w14:textId="3D48731D" w:rsidR="00310E38" w:rsidRDefault="00310E38" w:rsidP="00310E38">
      <w:pPr>
        <w:tabs>
          <w:tab w:val="left" w:pos="284"/>
        </w:tabs>
        <w:rPr>
          <w:b/>
          <w:bCs/>
          <w:caps/>
        </w:rPr>
      </w:pPr>
      <w:r>
        <w:rPr>
          <w:b/>
          <w:bCs/>
          <w:caps/>
        </w:rPr>
        <w:t>2</w:t>
      </w:r>
      <w:r w:rsidRPr="00D05364">
        <w:rPr>
          <w:b/>
          <w:bCs/>
          <w:caps/>
        </w:rPr>
        <w:t>. Klinikinio vertinimo apibendrinimas</w:t>
      </w:r>
    </w:p>
    <w:p w14:paraId="69647669" w14:textId="77777777" w:rsidR="00786F0A" w:rsidRPr="00D05364" w:rsidRDefault="00786F0A" w:rsidP="00310E38">
      <w:pPr>
        <w:tabs>
          <w:tab w:val="left" w:pos="284"/>
        </w:tabs>
        <w:rPr>
          <w:b/>
          <w:bCs/>
          <w:caps/>
        </w:rPr>
      </w:pPr>
    </w:p>
    <w:p w14:paraId="20124FFC" w14:textId="77777777" w:rsidR="00310E38" w:rsidRPr="00E00CFE" w:rsidRDefault="00310E38" w:rsidP="00310E38">
      <w:pPr>
        <w:spacing w:before="60" w:after="120" w:line="360" w:lineRule="auto"/>
        <w:ind w:firstLine="720"/>
        <w:contextualSpacing/>
        <w:jc w:val="both"/>
        <w:rPr>
          <w:szCs w:val="24"/>
        </w:rPr>
      </w:pPr>
      <w:r w:rsidRPr="00E00CFE">
        <w:rPr>
          <w:szCs w:val="24"/>
        </w:rPr>
        <w:t xml:space="preserve">Ūminis išeminis insultas (angl. </w:t>
      </w:r>
      <w:r w:rsidRPr="00E00CFE">
        <w:rPr>
          <w:i/>
          <w:iCs/>
          <w:szCs w:val="24"/>
        </w:rPr>
        <w:t>acute ischemic stroke</w:t>
      </w:r>
      <w:r w:rsidRPr="00E00CFE">
        <w:rPr>
          <w:szCs w:val="24"/>
        </w:rPr>
        <w:t xml:space="preserve">; AIS), kuris sudaro apie 76 proc. visų insultų, pasižymi deguonies tiekimo į smegenis sutrikimu, sukeliančiu neurologinius pažeidimus arba mirtį. Dėl perfuzijos sutrikimo atsirandantis deguonies ir gliukozės trūkumas sukelia smegenų audinio nekrozę, neuronų funkcijos praradimą ir apoptozę. Išgyvenusieji insultą dažnai lieka su ilgalaike kognityvine ir funkcine negalia, o po penkerių metų insultas kartojasi iki 25% išgyvenusiųjų. </w:t>
      </w:r>
      <w:r w:rsidRPr="00E00CFE">
        <w:rPr>
          <w:rFonts w:eastAsia="Arial"/>
        </w:rPr>
        <w:t>Ūminis išeminis insultas (ŪII)</w:t>
      </w:r>
      <w:r w:rsidRPr="00E00CFE">
        <w:rPr>
          <w:szCs w:val="24"/>
        </w:rPr>
        <w:t xml:space="preserve"> Lietuvoje gydomas rekombinantiniu plazminogeno aktyvatoriumi - alteplaze.</w:t>
      </w:r>
    </w:p>
    <w:p w14:paraId="79933AF4" w14:textId="77777777" w:rsidR="00310E38" w:rsidRPr="00E00CFE" w:rsidRDefault="00310E38" w:rsidP="00310E38">
      <w:pPr>
        <w:spacing w:before="60" w:after="120" w:line="360" w:lineRule="auto"/>
        <w:ind w:firstLine="720"/>
        <w:contextualSpacing/>
        <w:jc w:val="both"/>
        <w:rPr>
          <w:szCs w:val="24"/>
        </w:rPr>
      </w:pPr>
      <w:r w:rsidRPr="00E00CFE">
        <w:rPr>
          <w:szCs w:val="24"/>
        </w:rPr>
        <w:t xml:space="preserve">Pareiškėjas pateikė vaistinį preparatą tenekteplazę sveikatos technologijos vertinimui pagal TLK 10 AM: I63. Tenekteplazės veiksmingumas ir saugumas ūminio išeminio insulto gydymui buvo tirtas dviejuose tyrimuose: EXTEND-IA TNK (N=202) ir AcT (N=1577). </w:t>
      </w:r>
    </w:p>
    <w:p w14:paraId="20499CA0" w14:textId="77777777" w:rsidR="00310E38" w:rsidRPr="00E00CFE" w:rsidRDefault="00310E38" w:rsidP="00310E38">
      <w:pPr>
        <w:spacing w:before="60" w:after="120" w:line="360" w:lineRule="auto"/>
        <w:ind w:firstLine="720"/>
        <w:contextualSpacing/>
        <w:jc w:val="both"/>
        <w:rPr>
          <w:rFonts w:eastAsia="Arial"/>
        </w:rPr>
      </w:pPr>
      <w:r w:rsidRPr="00E00CFE">
        <w:rPr>
          <w:rFonts w:eastAsia="Arial"/>
        </w:rPr>
        <w:t xml:space="preserve">Tenekteplazė yra rekombinantinis fibrinui specifinis plazminogeno aktyvatorius, pagamintas iš natūralaus audinių plazminogeno aktyvatoriaus (angl. </w:t>
      </w:r>
      <w:r w:rsidRPr="00E00CFE">
        <w:rPr>
          <w:rFonts w:eastAsia="Arial"/>
          <w:i/>
          <w:iCs/>
        </w:rPr>
        <w:t>t-PA</w:t>
      </w:r>
      <w:r w:rsidRPr="00E00CFE">
        <w:rPr>
          <w:rFonts w:eastAsia="Arial"/>
        </w:rPr>
        <w:t>), trijose vietose pakeitus baltymo struktūrą. Vaistinis preparatas, prisijungęs prie trombo sudėtyje (kraujo krešulyje) esančio fibrino, selektyviai verčia prie trombo prisijungusį plazminogeną plazminu, kuris suardo rišamąją trombo medžiagą, t.y. fibriną.</w:t>
      </w:r>
    </w:p>
    <w:p w14:paraId="430A74E0" w14:textId="77777777" w:rsidR="00310E38" w:rsidRDefault="00310E38" w:rsidP="00310E38">
      <w:pPr>
        <w:spacing w:before="60" w:after="120" w:line="360" w:lineRule="auto"/>
        <w:ind w:firstLine="720"/>
        <w:contextualSpacing/>
        <w:jc w:val="both"/>
        <w:rPr>
          <w:rFonts w:eastAsia="Arial"/>
          <w:color w:val="000000"/>
        </w:rPr>
      </w:pPr>
      <w:r>
        <w:rPr>
          <w:rFonts w:eastAsia="Arial"/>
          <w:color w:val="000000"/>
        </w:rPr>
        <w:t xml:space="preserve">Tenekteplazės klinikinis veiksmingumas grindžiamas tiesioginio palyginimo klinikinių tyrimų EXTEND-IA ir AcT duomenimis ir rezultatais ūminį išeminį insultą (ŪII) patyrusių </w:t>
      </w:r>
      <w:r>
        <w:rPr>
          <w:rFonts w:eastAsia="Arial"/>
          <w:color w:val="000000"/>
        </w:rPr>
        <w:lastRenderedPageBreak/>
        <w:t xml:space="preserve">suaugusiųjų pacientų populiacijoje. Palyginamuoju gydymu buvo pasirinktas vaistinis preparatas alteplazė, kuris yra kompensuojamas pacientų, sergančių ŪII, gydymui su atitinkamomis skyrimo sąlygomis (analogiškos skyrimo sąlygos siūlomos ir vaistiniam preparatui tenekteplazei) Lietuvoje. </w:t>
      </w:r>
    </w:p>
    <w:p w14:paraId="03328B8C" w14:textId="77777777" w:rsidR="00310E38" w:rsidRDefault="00310E38" w:rsidP="00310E38">
      <w:pPr>
        <w:pStyle w:val="Tekstas"/>
        <w:spacing w:line="360" w:lineRule="auto"/>
        <w:ind w:firstLine="720"/>
      </w:pPr>
      <w:r w:rsidRPr="00DF1FB9">
        <w:rPr>
          <w:rFonts w:eastAsia="Arial"/>
          <w:color w:val="000000"/>
          <w:lang w:val="lt-LT"/>
        </w:rPr>
        <w:t xml:space="preserve">Pirminė tiriamoji baigtis EXTEND-IA TNK tyrime buvo </w:t>
      </w:r>
      <w:r w:rsidRPr="00DF1FB9">
        <w:rPr>
          <w:lang w:val="lt-LT"/>
        </w:rPr>
        <w:t xml:space="preserve">didesnės kaip 50 proc išemijos pažeistos srities reperfuzija arba šalinti tinkamo krešulio nebuvimas pradinio angiografinio vertinimo metu. </w:t>
      </w:r>
      <w:r w:rsidRPr="00CC1B47">
        <w:rPr>
          <w:lang w:val="lt-LT"/>
        </w:rPr>
        <w:t>Pirminė</w:t>
      </w:r>
      <w:r w:rsidRPr="00CC1B47">
        <w:rPr>
          <w:spacing w:val="-2"/>
          <w:lang w:val="lt-LT"/>
        </w:rPr>
        <w:t xml:space="preserve"> </w:t>
      </w:r>
      <w:r w:rsidRPr="00CC1B47">
        <w:rPr>
          <w:lang w:val="lt-LT"/>
        </w:rPr>
        <w:t>baigtis</w:t>
      </w:r>
      <w:r w:rsidRPr="00CC1B47">
        <w:rPr>
          <w:spacing w:val="-3"/>
          <w:lang w:val="lt-LT"/>
        </w:rPr>
        <w:t xml:space="preserve"> </w:t>
      </w:r>
      <w:r w:rsidRPr="00CC1B47">
        <w:rPr>
          <w:lang w:val="lt-LT"/>
        </w:rPr>
        <w:t>nustatyta</w:t>
      </w:r>
      <w:r w:rsidRPr="00CC1B47">
        <w:rPr>
          <w:spacing w:val="-3"/>
          <w:lang w:val="lt-LT"/>
        </w:rPr>
        <w:t xml:space="preserve"> </w:t>
      </w:r>
      <w:r w:rsidRPr="00CC1B47">
        <w:rPr>
          <w:lang w:val="lt-LT"/>
        </w:rPr>
        <w:t>22</w:t>
      </w:r>
      <w:r w:rsidRPr="00CC1B47">
        <w:rPr>
          <w:spacing w:val="-2"/>
          <w:lang w:val="lt-LT"/>
        </w:rPr>
        <w:t xml:space="preserve"> </w:t>
      </w:r>
      <w:r>
        <w:rPr>
          <w:lang w:val="lt-LT"/>
        </w:rPr>
        <w:t>proc</w:t>
      </w:r>
      <w:r w:rsidRPr="00CC1B47">
        <w:rPr>
          <w:spacing w:val="-3"/>
          <w:lang w:val="lt-LT"/>
        </w:rPr>
        <w:t xml:space="preserve"> </w:t>
      </w:r>
      <w:r w:rsidRPr="00CC1B47">
        <w:rPr>
          <w:lang w:val="lt-LT"/>
        </w:rPr>
        <w:t>tenekteplaze</w:t>
      </w:r>
      <w:r w:rsidRPr="00CC1B47">
        <w:rPr>
          <w:spacing w:val="-3"/>
          <w:lang w:val="lt-LT"/>
        </w:rPr>
        <w:t xml:space="preserve"> </w:t>
      </w:r>
      <w:r w:rsidRPr="00CC1B47">
        <w:rPr>
          <w:lang w:val="lt-LT"/>
        </w:rPr>
        <w:t>gydytų</w:t>
      </w:r>
      <w:r w:rsidRPr="00CC1B47">
        <w:rPr>
          <w:spacing w:val="-3"/>
          <w:lang w:val="lt-LT"/>
        </w:rPr>
        <w:t xml:space="preserve"> </w:t>
      </w:r>
      <w:r w:rsidRPr="00CC1B47">
        <w:rPr>
          <w:lang w:val="lt-LT"/>
        </w:rPr>
        <w:t>pacientų,</w:t>
      </w:r>
      <w:r w:rsidRPr="00CC1B47">
        <w:rPr>
          <w:spacing w:val="-3"/>
          <w:lang w:val="lt-LT"/>
        </w:rPr>
        <w:t xml:space="preserve"> </w:t>
      </w:r>
      <w:r w:rsidRPr="00CC1B47">
        <w:rPr>
          <w:lang w:val="lt-LT"/>
        </w:rPr>
        <w:t>palyginti</w:t>
      </w:r>
      <w:r w:rsidRPr="00CC1B47">
        <w:rPr>
          <w:spacing w:val="-3"/>
          <w:lang w:val="lt-LT"/>
        </w:rPr>
        <w:t xml:space="preserve"> </w:t>
      </w:r>
      <w:r w:rsidRPr="00CC1B47">
        <w:rPr>
          <w:lang w:val="lt-LT"/>
        </w:rPr>
        <w:t>su</w:t>
      </w:r>
      <w:r w:rsidRPr="00CC1B47">
        <w:rPr>
          <w:spacing w:val="-3"/>
          <w:lang w:val="lt-LT"/>
        </w:rPr>
        <w:t xml:space="preserve"> </w:t>
      </w:r>
      <w:r w:rsidRPr="00CC1B47">
        <w:rPr>
          <w:lang w:val="lt-LT"/>
        </w:rPr>
        <w:t>10</w:t>
      </w:r>
      <w:r w:rsidRPr="00CC1B47">
        <w:rPr>
          <w:spacing w:val="-5"/>
          <w:lang w:val="lt-LT"/>
        </w:rPr>
        <w:t xml:space="preserve"> </w:t>
      </w:r>
      <w:r>
        <w:rPr>
          <w:lang w:val="lt-LT"/>
        </w:rPr>
        <w:t>proc</w:t>
      </w:r>
      <w:r w:rsidRPr="00CC1B47">
        <w:rPr>
          <w:spacing w:val="-3"/>
          <w:lang w:val="lt-LT"/>
        </w:rPr>
        <w:t xml:space="preserve"> </w:t>
      </w:r>
      <w:r w:rsidRPr="00CC1B47">
        <w:rPr>
          <w:lang w:val="lt-LT"/>
        </w:rPr>
        <w:t>alteplaze</w:t>
      </w:r>
      <w:r w:rsidRPr="00CC1B47">
        <w:rPr>
          <w:spacing w:val="-3"/>
          <w:lang w:val="lt-LT"/>
        </w:rPr>
        <w:t xml:space="preserve"> </w:t>
      </w:r>
      <w:r w:rsidRPr="00CC1B47">
        <w:rPr>
          <w:lang w:val="lt-LT"/>
        </w:rPr>
        <w:t xml:space="preserve">gydytų pacientų (dažnio skirtumas: 12 </w:t>
      </w:r>
      <w:r>
        <w:rPr>
          <w:lang w:val="lt-LT"/>
        </w:rPr>
        <w:t>proc.</w:t>
      </w:r>
      <w:r w:rsidRPr="00CC1B47">
        <w:rPr>
          <w:lang w:val="lt-LT"/>
        </w:rPr>
        <w:t xml:space="preserve">; 95 </w:t>
      </w:r>
      <w:r>
        <w:rPr>
          <w:lang w:val="lt-LT"/>
        </w:rPr>
        <w:t>proc</w:t>
      </w:r>
      <w:r w:rsidRPr="00CC1B47">
        <w:rPr>
          <w:lang w:val="lt-LT"/>
        </w:rPr>
        <w:t xml:space="preserve"> PI 2, 21; dažnio santykis: 2,2; 95 </w:t>
      </w:r>
      <w:r>
        <w:rPr>
          <w:lang w:val="lt-LT"/>
        </w:rPr>
        <w:t>proc.</w:t>
      </w:r>
      <w:r w:rsidRPr="00CC1B47">
        <w:rPr>
          <w:lang w:val="lt-LT"/>
        </w:rPr>
        <w:t xml:space="preserve"> </w:t>
      </w:r>
      <w:r>
        <w:rPr>
          <w:lang w:val="lt-LT"/>
        </w:rPr>
        <w:t>P</w:t>
      </w:r>
      <w:r w:rsidRPr="00CC1B47">
        <w:rPr>
          <w:lang w:val="lt-LT"/>
        </w:rPr>
        <w:t>I 1,1, 4</w:t>
      </w:r>
      <w:r>
        <w:rPr>
          <w:lang w:val="lt-LT"/>
        </w:rPr>
        <w:t>,</w:t>
      </w:r>
      <w:r w:rsidRPr="00CC1B47">
        <w:rPr>
          <w:lang w:val="lt-LT"/>
        </w:rPr>
        <w:t>4).</w:t>
      </w:r>
      <w:r>
        <w:rPr>
          <w:lang w:val="lt-LT"/>
        </w:rPr>
        <w:t xml:space="preserve"> Skirtumas nėra statistiškai reikšmingas. Perfuzija buvo vertinama remiantis modifikuota smegenų išemijos gydymo skale (</w:t>
      </w:r>
      <w:r w:rsidRPr="00462652">
        <w:rPr>
          <w:i/>
          <w:iCs/>
          <w:lang w:val="lt-LT"/>
        </w:rPr>
        <w:t>angl</w:t>
      </w:r>
      <w:r>
        <w:rPr>
          <w:lang w:val="lt-LT"/>
        </w:rPr>
        <w:t xml:space="preserve">. </w:t>
      </w:r>
      <w:r w:rsidRPr="009713D2">
        <w:t>Modified treatment in cerebral infarction (mTICI) score</w:t>
      </w:r>
      <w:r>
        <w:t>) (vertės nuo 0 [reperfuzija nepasiekta] iki 3 [pilna reperfuzija]).</w:t>
      </w:r>
    </w:p>
    <w:p w14:paraId="452028FD" w14:textId="77777777" w:rsidR="00310E38" w:rsidRPr="00B37B3A" w:rsidRDefault="00310E38" w:rsidP="00310E38">
      <w:pPr>
        <w:pStyle w:val="Tekstas"/>
        <w:spacing w:line="360" w:lineRule="auto"/>
        <w:ind w:firstLine="720"/>
        <w:rPr>
          <w:lang w:val="lt-LT"/>
        </w:rPr>
      </w:pPr>
      <w:r>
        <w:t xml:space="preserve">AcT tyrime, </w:t>
      </w:r>
      <w:r>
        <w:rPr>
          <w:rFonts w:eastAsia="Arial"/>
          <w:iCs/>
        </w:rPr>
        <w:t>p</w:t>
      </w:r>
      <w:r w:rsidRPr="00481FED">
        <w:rPr>
          <w:rFonts w:eastAsia="Arial"/>
          <w:iCs/>
        </w:rPr>
        <w:t>irminė</w:t>
      </w:r>
      <w:r>
        <w:rPr>
          <w:rFonts w:eastAsia="Arial"/>
          <w:iCs/>
        </w:rPr>
        <w:t xml:space="preserve"> tiriamoji baigtis buvo pacientų dalis, kurių mRS balas buvo 0-1 nuo 90 iki 120 dienos nuo tyrimo </w:t>
      </w:r>
      <w:r w:rsidRPr="00601632">
        <w:rPr>
          <w:rFonts w:eastAsia="Arial"/>
          <w:iCs/>
        </w:rPr>
        <w:t>pradžios (mRS yra 7 balų skalė, kur 0 rodo, jog nėra jokios neurologinio deficito simptomatikos, o 6 – mirtį).</w:t>
      </w:r>
      <w:r>
        <w:rPr>
          <w:rFonts w:eastAsia="Arial"/>
          <w:iCs/>
        </w:rPr>
        <w:t xml:space="preserve"> Ji nustatyta </w:t>
      </w:r>
      <w:r>
        <w:t>296 (36,9 proc.) iš 802 pacientų tenekteplazės grupėje ir</w:t>
      </w:r>
      <w:r w:rsidRPr="00C54188">
        <w:t xml:space="preserve"> 266 (34.8</w:t>
      </w:r>
      <w:r>
        <w:t xml:space="preserve"> proc.</w:t>
      </w:r>
      <w:r w:rsidRPr="00C54188">
        <w:t xml:space="preserve">) </w:t>
      </w:r>
      <w:r>
        <w:t xml:space="preserve">iš 765 pacientų alteplazės grupėje </w:t>
      </w:r>
      <w:r w:rsidRPr="00C54188">
        <w:t>(</w:t>
      </w:r>
      <w:r>
        <w:t xml:space="preserve">nekoreguotos rizikos skirtumas </w:t>
      </w:r>
      <w:r w:rsidRPr="00C54188">
        <w:t>2</w:t>
      </w:r>
      <w:r>
        <w:t>,</w:t>
      </w:r>
      <w:r w:rsidRPr="00C54188">
        <w:t>1</w:t>
      </w:r>
      <w:r>
        <w:t xml:space="preserve"> proc.</w:t>
      </w:r>
      <w:r w:rsidRPr="00C54188">
        <w:t xml:space="preserve"> [95</w:t>
      </w:r>
      <w:r>
        <w:t xml:space="preserve"> proc.</w:t>
      </w:r>
      <w:r w:rsidRPr="00C54188">
        <w:t xml:space="preserve"> </w:t>
      </w:r>
      <w:r>
        <w:t>P</w:t>
      </w:r>
      <w:r w:rsidRPr="00C54188">
        <w:t xml:space="preserve">I –2.6 </w:t>
      </w:r>
      <w:r>
        <w:t>iki</w:t>
      </w:r>
      <w:r w:rsidRPr="00C54188">
        <w:t xml:space="preserve"> 6.9]). </w:t>
      </w:r>
      <w:r>
        <w:t>Duomenys tenkino ne mažesnio klinikinio veiksmingumo kriterijus</w:t>
      </w:r>
      <w:r w:rsidRPr="00C54188">
        <w:t xml:space="preserve">. </w:t>
      </w:r>
      <w:r>
        <w:t>Efektyvumo duomenys buvo palankūs tenekteplazei, bet nerodė didesnio pranašumo už alteplazę vertinant antrines baigtis (p = 0,19).</w:t>
      </w:r>
    </w:p>
    <w:p w14:paraId="7DD1556A" w14:textId="77777777" w:rsidR="00310E38" w:rsidRPr="00DF1FB9" w:rsidRDefault="00310E38" w:rsidP="00310E38">
      <w:pPr>
        <w:pStyle w:val="Tekstas"/>
        <w:spacing w:line="360" w:lineRule="auto"/>
        <w:ind w:firstLine="720"/>
        <w:rPr>
          <w:iCs/>
          <w:lang w:val="lt-LT"/>
        </w:rPr>
      </w:pPr>
      <w:r w:rsidRPr="00CC1B47">
        <w:rPr>
          <w:lang w:val="lt-LT"/>
        </w:rPr>
        <w:t>Pagrindinės</w:t>
      </w:r>
      <w:r w:rsidRPr="00CC1B47">
        <w:rPr>
          <w:spacing w:val="-4"/>
          <w:lang w:val="lt-LT"/>
        </w:rPr>
        <w:t xml:space="preserve"> </w:t>
      </w:r>
      <w:r w:rsidRPr="00CC1B47">
        <w:rPr>
          <w:lang w:val="lt-LT"/>
        </w:rPr>
        <w:t>saugumo</w:t>
      </w:r>
      <w:r w:rsidRPr="00CC1B47">
        <w:rPr>
          <w:spacing w:val="-4"/>
          <w:lang w:val="lt-LT"/>
        </w:rPr>
        <w:t xml:space="preserve"> </w:t>
      </w:r>
      <w:r w:rsidRPr="00CC1B47">
        <w:rPr>
          <w:lang w:val="lt-LT"/>
        </w:rPr>
        <w:t>baigtys</w:t>
      </w:r>
      <w:r w:rsidRPr="00CC1B47">
        <w:rPr>
          <w:spacing w:val="-4"/>
          <w:lang w:val="lt-LT"/>
        </w:rPr>
        <w:t xml:space="preserve"> </w:t>
      </w:r>
      <w:r>
        <w:rPr>
          <w:spacing w:val="-4"/>
          <w:lang w:val="lt-LT"/>
        </w:rPr>
        <w:t xml:space="preserve">abiejuose tyrimuose </w:t>
      </w:r>
      <w:r w:rsidRPr="00CC1B47">
        <w:rPr>
          <w:lang w:val="lt-LT"/>
        </w:rPr>
        <w:t>buvo</w:t>
      </w:r>
      <w:r w:rsidRPr="00CC1B47">
        <w:rPr>
          <w:spacing w:val="-4"/>
          <w:lang w:val="lt-LT"/>
        </w:rPr>
        <w:t xml:space="preserve"> </w:t>
      </w:r>
      <w:r w:rsidRPr="00CC1B47">
        <w:rPr>
          <w:lang w:val="lt-LT"/>
        </w:rPr>
        <w:t>simptominis</w:t>
      </w:r>
      <w:r w:rsidRPr="00CC1B47">
        <w:rPr>
          <w:spacing w:val="-4"/>
          <w:lang w:val="lt-LT"/>
        </w:rPr>
        <w:t xml:space="preserve"> </w:t>
      </w:r>
      <w:r w:rsidRPr="00CC1B47">
        <w:rPr>
          <w:lang w:val="lt-LT"/>
        </w:rPr>
        <w:t>intracerebrinis</w:t>
      </w:r>
      <w:r w:rsidRPr="00CC1B47">
        <w:rPr>
          <w:spacing w:val="-3"/>
          <w:lang w:val="lt-LT"/>
        </w:rPr>
        <w:t xml:space="preserve"> </w:t>
      </w:r>
      <w:r w:rsidRPr="00CC1B47">
        <w:rPr>
          <w:lang w:val="lt-LT"/>
        </w:rPr>
        <w:t>kraujavimas</w:t>
      </w:r>
      <w:r>
        <w:rPr>
          <w:lang w:val="lt-LT"/>
        </w:rPr>
        <w:t xml:space="preserve"> ir mirtis per 90 dienų po trombolizinio gydymo. AcT tyrime s</w:t>
      </w:r>
      <w:r w:rsidRPr="00CC1B47">
        <w:rPr>
          <w:lang w:val="lt-LT"/>
        </w:rPr>
        <w:t xml:space="preserve">varbių rodiklio skirtumų, vertinant simptominį intracerebrinį kraujavimą per 24 val., nenustatyta. Vaizdinimo metodais nustatyti intrakranijinio kraujavimo rodikliai (vertinti nežinant simptomų būsenos ir gydymo vietos) skirtumų abiejose gydymo grupėse neparodė, o vaizdinimo metodais nustatytos 2 tipo parenchimos hematomos (t. y. hematomos, apimančios ≥ 30 </w:t>
      </w:r>
      <w:r>
        <w:rPr>
          <w:lang w:val="lt-LT"/>
        </w:rPr>
        <w:t>proc.</w:t>
      </w:r>
      <w:r w:rsidRPr="00CC1B47">
        <w:rPr>
          <w:lang w:val="lt-LT"/>
        </w:rPr>
        <w:t xml:space="preserve"> infarkto srities su akivaizdžiu masės efektu) rodikliai buvo panašūs į tyrime gautus simptominio intracerebrinio kraujavimo rodiklius.</w:t>
      </w:r>
      <w:r w:rsidRPr="00CC1B47">
        <w:rPr>
          <w:spacing w:val="-1"/>
          <w:lang w:val="lt-LT"/>
        </w:rPr>
        <w:t xml:space="preserve"> </w:t>
      </w:r>
      <w:r w:rsidRPr="00CC1B47">
        <w:rPr>
          <w:lang w:val="lt-LT"/>
        </w:rPr>
        <w:t>Svarbių</w:t>
      </w:r>
      <w:r w:rsidRPr="00CC1B47">
        <w:rPr>
          <w:spacing w:val="-1"/>
          <w:lang w:val="lt-LT"/>
        </w:rPr>
        <w:t xml:space="preserve"> </w:t>
      </w:r>
      <w:r w:rsidRPr="00CC1B47">
        <w:rPr>
          <w:lang w:val="lt-LT"/>
        </w:rPr>
        <w:t>rodiklio</w:t>
      </w:r>
      <w:r w:rsidRPr="00CC1B47">
        <w:rPr>
          <w:spacing w:val="-1"/>
          <w:lang w:val="lt-LT"/>
        </w:rPr>
        <w:t xml:space="preserve"> </w:t>
      </w:r>
      <w:r w:rsidRPr="00CC1B47">
        <w:rPr>
          <w:lang w:val="lt-LT"/>
        </w:rPr>
        <w:t>skirtumų, vertinant</w:t>
      </w:r>
      <w:r w:rsidRPr="00CC1B47">
        <w:rPr>
          <w:spacing w:val="-1"/>
          <w:lang w:val="lt-LT"/>
        </w:rPr>
        <w:t xml:space="preserve"> </w:t>
      </w:r>
      <w:r w:rsidRPr="00CC1B47">
        <w:rPr>
          <w:lang w:val="lt-LT"/>
        </w:rPr>
        <w:t>90</w:t>
      </w:r>
      <w:r w:rsidRPr="00CC1B47">
        <w:rPr>
          <w:spacing w:val="-1"/>
          <w:lang w:val="lt-LT"/>
        </w:rPr>
        <w:t xml:space="preserve"> </w:t>
      </w:r>
      <w:r w:rsidRPr="00CC1B47">
        <w:rPr>
          <w:lang w:val="lt-LT"/>
        </w:rPr>
        <w:t>parų</w:t>
      </w:r>
      <w:r w:rsidRPr="00CC1B47">
        <w:rPr>
          <w:spacing w:val="-1"/>
          <w:lang w:val="lt-LT"/>
        </w:rPr>
        <w:t xml:space="preserve"> </w:t>
      </w:r>
      <w:r w:rsidRPr="00CC1B47">
        <w:rPr>
          <w:lang w:val="lt-LT"/>
        </w:rPr>
        <w:t>mirštamumą</w:t>
      </w:r>
      <w:r w:rsidRPr="00CC1B47">
        <w:rPr>
          <w:spacing w:val="-1"/>
          <w:lang w:val="lt-LT"/>
        </w:rPr>
        <w:t xml:space="preserve"> </w:t>
      </w:r>
      <w:r w:rsidRPr="00CC1B47">
        <w:rPr>
          <w:lang w:val="lt-LT"/>
        </w:rPr>
        <w:t>po</w:t>
      </w:r>
      <w:r w:rsidRPr="00CC1B47">
        <w:rPr>
          <w:spacing w:val="-1"/>
          <w:lang w:val="lt-LT"/>
        </w:rPr>
        <w:t xml:space="preserve"> </w:t>
      </w:r>
      <w:r w:rsidRPr="00CC1B47">
        <w:rPr>
          <w:lang w:val="lt-LT"/>
        </w:rPr>
        <w:t>gydymo</w:t>
      </w:r>
      <w:r w:rsidRPr="00CC1B47">
        <w:rPr>
          <w:spacing w:val="-1"/>
          <w:lang w:val="lt-LT"/>
        </w:rPr>
        <w:t xml:space="preserve"> </w:t>
      </w:r>
      <w:r w:rsidRPr="00CC1B47">
        <w:rPr>
          <w:lang w:val="lt-LT"/>
        </w:rPr>
        <w:t>praėjus 90 parų, nenustatyta.</w:t>
      </w:r>
      <w:r>
        <w:rPr>
          <w:lang w:val="lt-LT"/>
        </w:rPr>
        <w:t xml:space="preserve"> EXTEND – IA TNK tyrime s</w:t>
      </w:r>
      <w:r w:rsidRPr="00CC1B47">
        <w:rPr>
          <w:lang w:val="lt-LT"/>
        </w:rPr>
        <w:t xml:space="preserve">imptominį intracerebrinį kraujavimą (angl., </w:t>
      </w:r>
      <w:r w:rsidRPr="00CC1B47">
        <w:rPr>
          <w:i/>
          <w:lang w:val="lt-LT"/>
        </w:rPr>
        <w:t>sICH</w:t>
      </w:r>
      <w:r w:rsidRPr="00CC1B47">
        <w:rPr>
          <w:lang w:val="lt-LT"/>
        </w:rPr>
        <w:t xml:space="preserve">) kiekvienoje grupėje patyrė po 1 </w:t>
      </w:r>
      <w:r>
        <w:rPr>
          <w:lang w:val="lt-LT"/>
        </w:rPr>
        <w:t>proc.</w:t>
      </w:r>
      <w:r w:rsidRPr="00CC1B47">
        <w:rPr>
          <w:lang w:val="lt-LT"/>
        </w:rPr>
        <w:t xml:space="preserve"> pacientų. Tenekteplazės grupėje nustatyta 10 mirčių (10 </w:t>
      </w:r>
      <w:r>
        <w:rPr>
          <w:lang w:val="lt-LT"/>
        </w:rPr>
        <w:t>proc.</w:t>
      </w:r>
      <w:r w:rsidRPr="00CC1B47">
        <w:rPr>
          <w:lang w:val="lt-LT"/>
        </w:rPr>
        <w:t xml:space="preserve">), o alteplazės grupėje – 18 mirčių (18 </w:t>
      </w:r>
      <w:r>
        <w:rPr>
          <w:lang w:val="lt-LT"/>
        </w:rPr>
        <w:t>proc.</w:t>
      </w:r>
      <w:r w:rsidRPr="00CC1B47">
        <w:rPr>
          <w:lang w:val="lt-LT"/>
        </w:rPr>
        <w:t>); šis skirtumas pagal iš anksto apibūdintą logistinės regresijos analizę nebuvo reikšmingas. Dauguma mirčių buvo susijusios su masyvaus insulto progresavimu (9 tenekteplazės grupėje ir 14 alteplazės grupėje).</w:t>
      </w:r>
      <w:r w:rsidRPr="00CC1B47">
        <w:rPr>
          <w:spacing w:val="-3"/>
          <w:lang w:val="lt-LT"/>
        </w:rPr>
        <w:t xml:space="preserve"> </w:t>
      </w:r>
      <w:r w:rsidRPr="00CC1B47">
        <w:rPr>
          <w:lang w:val="lt-LT"/>
        </w:rPr>
        <w:t>Vartojant</w:t>
      </w:r>
      <w:r w:rsidRPr="00CC1B47">
        <w:rPr>
          <w:spacing w:val="-3"/>
          <w:lang w:val="lt-LT"/>
        </w:rPr>
        <w:t xml:space="preserve"> </w:t>
      </w:r>
      <w:r w:rsidRPr="00CC1B47">
        <w:rPr>
          <w:lang w:val="lt-LT"/>
        </w:rPr>
        <w:t>0,25</w:t>
      </w:r>
      <w:r w:rsidRPr="00CC1B47">
        <w:rPr>
          <w:spacing w:val="-3"/>
          <w:lang w:val="lt-LT"/>
        </w:rPr>
        <w:t xml:space="preserve"> </w:t>
      </w:r>
      <w:r w:rsidRPr="00CC1B47">
        <w:rPr>
          <w:lang w:val="lt-LT"/>
        </w:rPr>
        <w:t>mg/kg</w:t>
      </w:r>
      <w:r w:rsidRPr="00CC1B47">
        <w:rPr>
          <w:spacing w:val="-3"/>
          <w:lang w:val="lt-LT"/>
        </w:rPr>
        <w:t xml:space="preserve"> </w:t>
      </w:r>
      <w:r w:rsidRPr="00CC1B47">
        <w:rPr>
          <w:lang w:val="lt-LT"/>
        </w:rPr>
        <w:t>tenekteplazės</w:t>
      </w:r>
      <w:r w:rsidRPr="00CC1B47">
        <w:rPr>
          <w:spacing w:val="-3"/>
          <w:lang w:val="lt-LT"/>
        </w:rPr>
        <w:t xml:space="preserve"> </w:t>
      </w:r>
      <w:r w:rsidRPr="00CC1B47">
        <w:rPr>
          <w:lang w:val="lt-LT"/>
        </w:rPr>
        <w:t>nustatyti</w:t>
      </w:r>
      <w:r w:rsidRPr="00CC1B47">
        <w:rPr>
          <w:spacing w:val="-3"/>
          <w:lang w:val="lt-LT"/>
        </w:rPr>
        <w:t xml:space="preserve"> </w:t>
      </w:r>
      <w:r w:rsidRPr="00CC1B47">
        <w:rPr>
          <w:lang w:val="lt-LT"/>
        </w:rPr>
        <w:t>panašūs</w:t>
      </w:r>
      <w:r w:rsidRPr="00CC1B47">
        <w:rPr>
          <w:spacing w:val="-3"/>
          <w:lang w:val="lt-LT"/>
        </w:rPr>
        <w:t xml:space="preserve"> </w:t>
      </w:r>
      <w:r w:rsidRPr="00CC1B47">
        <w:rPr>
          <w:lang w:val="lt-LT"/>
        </w:rPr>
        <w:t>saugumo</w:t>
      </w:r>
      <w:r w:rsidRPr="00CC1B47">
        <w:rPr>
          <w:spacing w:val="-3"/>
          <w:lang w:val="lt-LT"/>
        </w:rPr>
        <w:t xml:space="preserve"> </w:t>
      </w:r>
      <w:r w:rsidRPr="00CC1B47">
        <w:rPr>
          <w:lang w:val="lt-LT"/>
        </w:rPr>
        <w:t>duomenys</w:t>
      </w:r>
      <w:r w:rsidRPr="00CC1B47">
        <w:rPr>
          <w:spacing w:val="-3"/>
          <w:lang w:val="lt-LT"/>
        </w:rPr>
        <w:t xml:space="preserve"> </w:t>
      </w:r>
      <w:r w:rsidRPr="00CC1B47">
        <w:rPr>
          <w:lang w:val="lt-LT"/>
        </w:rPr>
        <w:t>kaip</w:t>
      </w:r>
      <w:r w:rsidRPr="00CC1B47">
        <w:rPr>
          <w:spacing w:val="-3"/>
          <w:lang w:val="lt-LT"/>
        </w:rPr>
        <w:t xml:space="preserve"> </w:t>
      </w:r>
      <w:r w:rsidRPr="00CC1B47">
        <w:rPr>
          <w:lang w:val="lt-LT"/>
        </w:rPr>
        <w:t>ir</w:t>
      </w:r>
      <w:r w:rsidRPr="00CC1B47">
        <w:rPr>
          <w:spacing w:val="-3"/>
          <w:lang w:val="lt-LT"/>
        </w:rPr>
        <w:t xml:space="preserve"> </w:t>
      </w:r>
      <w:r w:rsidRPr="00CC1B47">
        <w:rPr>
          <w:lang w:val="lt-LT"/>
        </w:rPr>
        <w:t>vartojant 0,9 mg/kg alteplazės.</w:t>
      </w:r>
      <w:r>
        <w:rPr>
          <w:lang w:val="lt-LT"/>
        </w:rPr>
        <w:t xml:space="preserve"> Bendrai, </w:t>
      </w:r>
      <w:r w:rsidRPr="00DF1FB9">
        <w:rPr>
          <w:iCs/>
          <w:lang w:val="lt-LT"/>
        </w:rPr>
        <w:t>reikšmingų tenekteplazės ir alteplazės saugumo skirtumų abiejuose klinikiniuose tyrimuose nenustatyta.</w:t>
      </w:r>
    </w:p>
    <w:p w14:paraId="62C6BCBD" w14:textId="77777777" w:rsidR="00310E38" w:rsidRPr="00AE08E4" w:rsidRDefault="00310E38" w:rsidP="00310E38">
      <w:pPr>
        <w:tabs>
          <w:tab w:val="left" w:pos="426"/>
        </w:tabs>
        <w:spacing w:line="360" w:lineRule="auto"/>
        <w:ind w:firstLine="425"/>
        <w:jc w:val="both"/>
      </w:pPr>
      <w:r>
        <w:rPr>
          <w:iCs/>
        </w:rPr>
        <w:lastRenderedPageBreak/>
        <w:t xml:space="preserve">Pagrindinis klinikinių tyrimų pranašumas: </w:t>
      </w:r>
      <w:r>
        <w:rPr>
          <w:color w:val="000000"/>
          <w:szCs w:val="24"/>
          <w:lang w:eastAsia="lt-LT"/>
        </w:rPr>
        <w:t>k</w:t>
      </w:r>
      <w:r w:rsidRPr="0002150F">
        <w:rPr>
          <w:color w:val="000000"/>
          <w:szCs w:val="24"/>
          <w:lang w:eastAsia="lt-LT"/>
        </w:rPr>
        <w:t xml:space="preserve">linikinis veiksmingumas grindžiamas tiesioginio palyginimo klinikinio tyrimo </w:t>
      </w:r>
      <w:r w:rsidRPr="0002150F">
        <w:rPr>
          <w:szCs w:val="24"/>
        </w:rPr>
        <w:t xml:space="preserve">EXTEND-IA TNK ir </w:t>
      </w:r>
      <w:r w:rsidRPr="00A2052D">
        <w:t>AcT tyrimo rezultatais</w:t>
      </w:r>
      <w:r>
        <w:t xml:space="preserve"> tinkamoje pacientų populiacijoje ir palyginamuoju gydymu atitinkančiu įprastą klinikinę praktiką Lietuvoje. Pagrindinis klinikinių įrodymų trūkumas: </w:t>
      </w:r>
      <w:r>
        <w:rPr>
          <w:color w:val="000000"/>
          <w:szCs w:val="24"/>
          <w:lang w:eastAsia="lt-LT"/>
        </w:rPr>
        <w:t>k</w:t>
      </w:r>
      <w:r w:rsidRPr="00CB0FFC">
        <w:rPr>
          <w:color w:val="000000"/>
          <w:szCs w:val="24"/>
          <w:lang w:eastAsia="lt-LT"/>
        </w:rPr>
        <w:t xml:space="preserve">linikinis </w:t>
      </w:r>
      <w:r w:rsidRPr="00CB0FFC">
        <w:rPr>
          <w:szCs w:val="24"/>
        </w:rPr>
        <w:t xml:space="preserve">EXTEND-IA TNK ir </w:t>
      </w:r>
      <w:r w:rsidRPr="00A2052D">
        <w:t>AcT tyrim</w:t>
      </w:r>
      <w:r>
        <w:t>as buvo atviro dizaino tyrimai.</w:t>
      </w:r>
    </w:p>
    <w:p w14:paraId="7D439AF6" w14:textId="77777777" w:rsidR="00310E38" w:rsidRPr="00DF1FB9" w:rsidRDefault="00310E38" w:rsidP="00310E38">
      <w:pPr>
        <w:pStyle w:val="Tekstas"/>
        <w:spacing w:line="360" w:lineRule="auto"/>
        <w:ind w:firstLine="720"/>
        <w:rPr>
          <w:iCs/>
          <w:lang w:val="lt-LT"/>
        </w:rPr>
      </w:pPr>
      <w:r w:rsidRPr="00DF1FB9">
        <w:rPr>
          <w:iCs/>
          <w:lang w:val="lt-LT"/>
        </w:rPr>
        <w:t>Apibendrinant, rezultatai rodo, kad tenekteplazės veiksmingumas ir saugumas yra panašus į alteplazės veiksmingumą.</w:t>
      </w:r>
    </w:p>
    <w:p w14:paraId="7CEB2C71" w14:textId="77777777" w:rsidR="002D75AE" w:rsidRPr="00DF1FB9" w:rsidRDefault="002D75AE" w:rsidP="00310E38">
      <w:pPr>
        <w:pStyle w:val="Tekstas"/>
        <w:spacing w:line="360" w:lineRule="auto"/>
        <w:ind w:firstLine="720"/>
        <w:rPr>
          <w:iCs/>
          <w:lang w:val="lt-LT"/>
        </w:rPr>
      </w:pPr>
    </w:p>
    <w:p w14:paraId="0ACD4752" w14:textId="0D4DC8AE" w:rsidR="002D75AE" w:rsidRPr="002D75AE" w:rsidRDefault="002D75AE" w:rsidP="002D75AE">
      <w:pPr>
        <w:pStyle w:val="Sraopastraipa"/>
        <w:numPr>
          <w:ilvl w:val="0"/>
          <w:numId w:val="2"/>
        </w:numPr>
        <w:tabs>
          <w:tab w:val="left" w:pos="567"/>
        </w:tabs>
        <w:rPr>
          <w:b/>
          <w:bCs/>
          <w:caps/>
        </w:rPr>
      </w:pPr>
      <w:r>
        <w:rPr>
          <w:b/>
          <w:bCs/>
          <w:caps/>
        </w:rPr>
        <w:t xml:space="preserve"> </w:t>
      </w:r>
      <w:r w:rsidRPr="002D75AE">
        <w:rPr>
          <w:b/>
          <w:bCs/>
          <w:caps/>
        </w:rPr>
        <w:t>ekonominio vertinimo apibendrinimas</w:t>
      </w:r>
    </w:p>
    <w:p w14:paraId="0035BCE1" w14:textId="77777777" w:rsidR="002D75AE" w:rsidRDefault="002D75AE" w:rsidP="002D75AE">
      <w:pPr>
        <w:shd w:val="clear" w:color="auto" w:fill="FFFFFF"/>
        <w:spacing w:line="360" w:lineRule="auto"/>
        <w:ind w:firstLine="720"/>
        <w:rPr>
          <w:szCs w:val="24"/>
          <w:lang w:eastAsia="lt-LT"/>
        </w:rPr>
      </w:pPr>
    </w:p>
    <w:p w14:paraId="289BBE09" w14:textId="77777777" w:rsidR="002D75AE" w:rsidRDefault="002D75AE" w:rsidP="00786F0A">
      <w:pPr>
        <w:shd w:val="clear" w:color="auto" w:fill="FFFFFF"/>
        <w:spacing w:line="360" w:lineRule="auto"/>
        <w:ind w:firstLine="720"/>
        <w:jc w:val="both"/>
        <w:rPr>
          <w:szCs w:val="24"/>
          <w:lang w:eastAsia="lt-LT"/>
        </w:rPr>
      </w:pPr>
      <w:r>
        <w:rPr>
          <w:szCs w:val="24"/>
          <w:lang w:eastAsia="lt-LT"/>
        </w:rPr>
        <w:t>Vertinimui pateikta kaštų mažinimo analizė, kurioje lyginami Metalyse (tenekteplazės) ir alteplazės įsigijimo kaštai</w:t>
      </w:r>
      <w:r w:rsidRPr="007B7662">
        <w:rPr>
          <w:szCs w:val="24"/>
          <w:lang w:eastAsia="lt-LT"/>
        </w:rPr>
        <w:t xml:space="preserve">. </w:t>
      </w:r>
      <w:r w:rsidRPr="00194B19">
        <w:rPr>
          <w:szCs w:val="24"/>
          <w:lang w:eastAsia="lt-LT"/>
        </w:rPr>
        <w:t>Analizė at</w:t>
      </w:r>
      <w:r>
        <w:rPr>
          <w:szCs w:val="24"/>
          <w:lang w:eastAsia="lt-LT"/>
        </w:rPr>
        <w:t>liek</w:t>
      </w:r>
      <w:r w:rsidRPr="00194B19">
        <w:rPr>
          <w:szCs w:val="24"/>
          <w:lang w:eastAsia="lt-LT"/>
        </w:rPr>
        <w:t xml:space="preserve">ama taikant prielaidą apie nesiskiriantį vaistinių preparatų veiksmingumą. Tarnybos manymu, analizės struktūra yra tinkama analizės rezultato interpretavimui. Apskaičiavus analizės rezultatą, nustatyta, jog gydymas </w:t>
      </w:r>
      <w:r>
        <w:rPr>
          <w:szCs w:val="24"/>
          <w:lang w:eastAsia="lt-LT"/>
        </w:rPr>
        <w:t>Metalyse</w:t>
      </w:r>
      <w:r w:rsidRPr="00194B19">
        <w:rPr>
          <w:szCs w:val="24"/>
          <w:lang w:eastAsia="lt-LT"/>
        </w:rPr>
        <w:t xml:space="preserve"> yra pigesnė gydymo alternatyva.</w:t>
      </w:r>
      <w:r>
        <w:rPr>
          <w:szCs w:val="24"/>
          <w:lang w:eastAsia="lt-LT"/>
        </w:rPr>
        <w:t xml:space="preserve"> </w:t>
      </w:r>
    </w:p>
    <w:p w14:paraId="5111AAEA" w14:textId="77777777" w:rsidR="00786F0A" w:rsidRDefault="00786F0A" w:rsidP="00786F0A">
      <w:pPr>
        <w:shd w:val="clear" w:color="auto" w:fill="FFFFFF"/>
        <w:spacing w:line="360" w:lineRule="auto"/>
        <w:ind w:firstLine="720"/>
        <w:jc w:val="both"/>
        <w:rPr>
          <w:szCs w:val="24"/>
          <w:lang w:eastAsia="lt-LT"/>
        </w:rPr>
      </w:pPr>
    </w:p>
    <w:p w14:paraId="32D16B5A" w14:textId="31992FE8" w:rsidR="00760C31" w:rsidRPr="00F21169" w:rsidRDefault="00760C31" w:rsidP="00F21169">
      <w:pPr>
        <w:spacing w:line="280" w:lineRule="atLeast"/>
        <w:rPr>
          <w:rFonts w:eastAsia="Arial"/>
          <w:b/>
          <w:szCs w:val="24"/>
        </w:rPr>
      </w:pPr>
      <w:r w:rsidRPr="00F21169">
        <w:rPr>
          <w:rFonts w:eastAsia="Arial"/>
          <w:b/>
          <w:szCs w:val="24"/>
        </w:rPr>
        <w:t>Pagrindinis ekonominės analizės rezultatas</w:t>
      </w: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7"/>
        <w:gridCol w:w="1613"/>
        <w:gridCol w:w="2019"/>
        <w:gridCol w:w="3579"/>
      </w:tblGrid>
      <w:tr w:rsidR="00760C31" w:rsidRPr="00D05364" w14:paraId="316A36E5" w14:textId="77777777" w:rsidTr="00BA574E">
        <w:trPr>
          <w:trHeight w:val="364"/>
          <w:jc w:val="center"/>
        </w:trPr>
        <w:tc>
          <w:tcPr>
            <w:tcW w:w="9908" w:type="dxa"/>
            <w:gridSpan w:val="4"/>
            <w:tcBorders>
              <w:top w:val="single" w:sz="12" w:space="0" w:color="auto"/>
              <w:bottom w:val="single" w:sz="4" w:space="0" w:color="auto"/>
            </w:tcBorders>
            <w:vAlign w:val="center"/>
          </w:tcPr>
          <w:p w14:paraId="2710250D" w14:textId="77777777" w:rsidR="00760C31" w:rsidRPr="00D05364" w:rsidRDefault="00760C31" w:rsidP="00BA574E">
            <w:pPr>
              <w:tabs>
                <w:tab w:val="left" w:pos="567"/>
              </w:tabs>
              <w:jc w:val="center"/>
              <w:rPr>
                <w:b/>
                <w:i/>
                <w:iCs/>
                <w:color w:val="00B050"/>
                <w:sz w:val="22"/>
                <w:szCs w:val="22"/>
                <w:lang w:eastAsia="lt-LT"/>
              </w:rPr>
            </w:pPr>
            <w:bookmarkStart w:id="0" w:name="_Hlk173940979"/>
            <w:r w:rsidRPr="00D05364">
              <w:rPr>
                <w:b/>
                <w:szCs w:val="24"/>
                <w:lang w:eastAsia="lt-LT"/>
              </w:rPr>
              <w:t>Kaštai</w:t>
            </w:r>
          </w:p>
        </w:tc>
      </w:tr>
      <w:bookmarkEnd w:id="0"/>
      <w:tr w:rsidR="00760C31" w:rsidRPr="00D05364" w14:paraId="5E425083" w14:textId="77777777" w:rsidTr="00BA574E">
        <w:trPr>
          <w:jc w:val="center"/>
        </w:trPr>
        <w:tc>
          <w:tcPr>
            <w:tcW w:w="2697" w:type="dxa"/>
            <w:tcBorders>
              <w:top w:val="single" w:sz="4" w:space="0" w:color="auto"/>
              <w:bottom w:val="single" w:sz="4" w:space="0" w:color="auto"/>
            </w:tcBorders>
          </w:tcPr>
          <w:p w14:paraId="52C8BA7E" w14:textId="77777777" w:rsidR="00760C31" w:rsidRPr="00D05364" w:rsidRDefault="00760C31" w:rsidP="00BA574E">
            <w:pPr>
              <w:tabs>
                <w:tab w:val="left" w:pos="567"/>
              </w:tabs>
              <w:jc w:val="both"/>
              <w:rPr>
                <w:color w:val="00B050"/>
                <w:szCs w:val="24"/>
                <w:lang w:eastAsia="lt-LT"/>
              </w:rPr>
            </w:pPr>
          </w:p>
        </w:tc>
        <w:tc>
          <w:tcPr>
            <w:tcW w:w="1613" w:type="dxa"/>
            <w:tcBorders>
              <w:top w:val="single" w:sz="4" w:space="0" w:color="auto"/>
              <w:bottom w:val="single" w:sz="4" w:space="0" w:color="auto"/>
            </w:tcBorders>
            <w:vAlign w:val="center"/>
          </w:tcPr>
          <w:p w14:paraId="79A762AA" w14:textId="77777777" w:rsidR="00760C31" w:rsidRPr="00D05364" w:rsidRDefault="00760C31" w:rsidP="00BA574E">
            <w:pPr>
              <w:tabs>
                <w:tab w:val="left" w:pos="567"/>
              </w:tabs>
              <w:jc w:val="center"/>
              <w:rPr>
                <w:i/>
                <w:iCs/>
                <w:szCs w:val="24"/>
                <w:lang w:eastAsia="lt-LT"/>
              </w:rPr>
            </w:pPr>
            <w:r>
              <w:rPr>
                <w:i/>
                <w:iCs/>
                <w:szCs w:val="24"/>
                <w:lang w:eastAsia="lt-LT"/>
              </w:rPr>
              <w:t>Metalyse (tenekteplazė)</w:t>
            </w:r>
          </w:p>
        </w:tc>
        <w:tc>
          <w:tcPr>
            <w:tcW w:w="2019" w:type="dxa"/>
            <w:tcBorders>
              <w:top w:val="single" w:sz="4" w:space="0" w:color="auto"/>
              <w:bottom w:val="single" w:sz="4" w:space="0" w:color="auto"/>
            </w:tcBorders>
            <w:vAlign w:val="center"/>
          </w:tcPr>
          <w:p w14:paraId="25810D5E" w14:textId="77777777" w:rsidR="00760C31" w:rsidRPr="00D05364" w:rsidRDefault="00760C31" w:rsidP="00BA574E">
            <w:pPr>
              <w:tabs>
                <w:tab w:val="left" w:pos="567"/>
              </w:tabs>
              <w:jc w:val="center"/>
              <w:rPr>
                <w:i/>
                <w:iCs/>
                <w:szCs w:val="24"/>
                <w:lang w:eastAsia="lt-LT"/>
              </w:rPr>
            </w:pPr>
            <w:r>
              <w:rPr>
                <w:i/>
                <w:iCs/>
                <w:szCs w:val="24"/>
                <w:lang w:eastAsia="lt-LT"/>
              </w:rPr>
              <w:t>Alteplazė</w:t>
            </w:r>
          </w:p>
        </w:tc>
        <w:tc>
          <w:tcPr>
            <w:tcW w:w="3579" w:type="dxa"/>
            <w:tcBorders>
              <w:top w:val="single" w:sz="4" w:space="0" w:color="auto"/>
              <w:bottom w:val="single" w:sz="4" w:space="0" w:color="auto"/>
            </w:tcBorders>
            <w:vAlign w:val="center"/>
          </w:tcPr>
          <w:p w14:paraId="62EAA17E" w14:textId="77777777" w:rsidR="00760C31" w:rsidRPr="00D05364" w:rsidRDefault="00760C31" w:rsidP="00BA574E">
            <w:pPr>
              <w:tabs>
                <w:tab w:val="left" w:pos="567"/>
              </w:tabs>
              <w:jc w:val="center"/>
              <w:rPr>
                <w:i/>
                <w:szCs w:val="24"/>
                <w:lang w:eastAsia="lt-LT"/>
              </w:rPr>
            </w:pPr>
            <w:r w:rsidRPr="00D05364">
              <w:rPr>
                <w:i/>
                <w:szCs w:val="24"/>
                <w:lang w:eastAsia="lt-LT"/>
              </w:rPr>
              <w:t>Skirtumas</w:t>
            </w:r>
          </w:p>
        </w:tc>
      </w:tr>
      <w:tr w:rsidR="00760C31" w:rsidRPr="00D05364" w14:paraId="5163E960" w14:textId="77777777" w:rsidTr="00BA574E">
        <w:trPr>
          <w:jc w:val="center"/>
        </w:trPr>
        <w:tc>
          <w:tcPr>
            <w:tcW w:w="2697" w:type="dxa"/>
            <w:tcBorders>
              <w:top w:val="single" w:sz="4" w:space="0" w:color="auto"/>
              <w:bottom w:val="single" w:sz="4" w:space="0" w:color="auto"/>
            </w:tcBorders>
            <w:vAlign w:val="center"/>
          </w:tcPr>
          <w:p w14:paraId="3117A774" w14:textId="77777777" w:rsidR="00760C31" w:rsidRPr="00D05364" w:rsidRDefault="00760C31" w:rsidP="00BA574E">
            <w:pPr>
              <w:tabs>
                <w:tab w:val="left" w:pos="567"/>
              </w:tabs>
              <w:rPr>
                <w:iCs/>
                <w:color w:val="000000"/>
                <w:szCs w:val="24"/>
                <w:lang w:eastAsia="lt-LT"/>
              </w:rPr>
            </w:pPr>
            <w:r w:rsidRPr="00D05364">
              <w:rPr>
                <w:iCs/>
                <w:color w:val="000000"/>
                <w:szCs w:val="24"/>
                <w:lang w:eastAsia="lt-LT"/>
              </w:rPr>
              <w:t>Vaistinių preparatų įsigijimo kaštai</w:t>
            </w:r>
          </w:p>
        </w:tc>
        <w:tc>
          <w:tcPr>
            <w:tcW w:w="1613" w:type="dxa"/>
            <w:tcBorders>
              <w:top w:val="single" w:sz="4" w:space="0" w:color="auto"/>
              <w:bottom w:val="single" w:sz="4" w:space="0" w:color="auto"/>
            </w:tcBorders>
            <w:vAlign w:val="center"/>
          </w:tcPr>
          <w:p w14:paraId="737FDC43" w14:textId="6CBCD236" w:rsidR="00760C31" w:rsidRPr="00DC3018" w:rsidRDefault="00571C7B" w:rsidP="00571C7B">
            <w:pPr>
              <w:tabs>
                <w:tab w:val="left" w:pos="567"/>
              </w:tabs>
              <w:rPr>
                <w:szCs w:val="24"/>
                <w:highlight w:val="yellow"/>
                <w:u w:val="single"/>
                <w:lang w:eastAsia="lt-LT"/>
              </w:rPr>
            </w:pPr>
            <w:r>
              <w:rPr>
                <w:szCs w:val="24"/>
                <w:highlight w:val="yellow"/>
                <w:u w:val="single"/>
                <w:lang w:eastAsia="lt-LT"/>
              </w:rPr>
              <w:t>***</w:t>
            </w:r>
          </w:p>
        </w:tc>
        <w:tc>
          <w:tcPr>
            <w:tcW w:w="2019" w:type="dxa"/>
            <w:tcBorders>
              <w:top w:val="single" w:sz="4" w:space="0" w:color="auto"/>
              <w:bottom w:val="single" w:sz="4" w:space="0" w:color="auto"/>
            </w:tcBorders>
            <w:vAlign w:val="center"/>
          </w:tcPr>
          <w:p w14:paraId="0B31EF5A" w14:textId="61C2370A" w:rsidR="00760C31" w:rsidRPr="00DC3018" w:rsidRDefault="00571C7B" w:rsidP="00BA574E">
            <w:pPr>
              <w:tabs>
                <w:tab w:val="left" w:pos="567"/>
              </w:tabs>
              <w:jc w:val="center"/>
              <w:rPr>
                <w:szCs w:val="24"/>
                <w:highlight w:val="yellow"/>
                <w:u w:val="single"/>
                <w:lang w:eastAsia="lt-LT"/>
              </w:rPr>
            </w:pPr>
            <w:r>
              <w:rPr>
                <w:szCs w:val="24"/>
                <w:u w:val="single"/>
                <w:lang w:eastAsia="lt-LT"/>
              </w:rPr>
              <w:t>***</w:t>
            </w:r>
          </w:p>
        </w:tc>
        <w:tc>
          <w:tcPr>
            <w:tcW w:w="3579" w:type="dxa"/>
            <w:tcBorders>
              <w:top w:val="single" w:sz="4" w:space="0" w:color="auto"/>
              <w:bottom w:val="single" w:sz="4" w:space="0" w:color="auto"/>
            </w:tcBorders>
            <w:vAlign w:val="center"/>
          </w:tcPr>
          <w:p w14:paraId="15B810A9" w14:textId="09842BF5" w:rsidR="00760C31" w:rsidRPr="00DC3018" w:rsidRDefault="00571C7B" w:rsidP="00BA574E">
            <w:pPr>
              <w:tabs>
                <w:tab w:val="left" w:pos="567"/>
              </w:tabs>
              <w:jc w:val="center"/>
              <w:rPr>
                <w:szCs w:val="24"/>
                <w:highlight w:val="yellow"/>
                <w:u w:val="single"/>
                <w:lang w:eastAsia="lt-LT"/>
              </w:rPr>
            </w:pPr>
            <w:r>
              <w:rPr>
                <w:szCs w:val="24"/>
                <w:u w:val="single"/>
                <w:lang w:eastAsia="lt-LT"/>
              </w:rPr>
              <w:t>***</w:t>
            </w:r>
          </w:p>
        </w:tc>
      </w:tr>
    </w:tbl>
    <w:p w14:paraId="20F5A4BB" w14:textId="39AC4B1C" w:rsidR="00310E38" w:rsidRDefault="00310E38"/>
    <w:p w14:paraId="06787218" w14:textId="77777777" w:rsidR="007D5787" w:rsidRDefault="007D5787" w:rsidP="007D5787">
      <w:pPr>
        <w:shd w:val="clear" w:color="auto" w:fill="FFFFFF"/>
        <w:spacing w:line="276" w:lineRule="auto"/>
        <w:jc w:val="both"/>
        <w:rPr>
          <w:iCs/>
          <w:color w:val="000000" w:themeColor="text1"/>
          <w:lang w:eastAsia="lt-LT"/>
        </w:rPr>
      </w:pPr>
    </w:p>
    <w:p w14:paraId="55BDC195" w14:textId="77777777" w:rsidR="007D5787" w:rsidRPr="00E33EFF" w:rsidRDefault="007D5787" w:rsidP="007D5787">
      <w:pPr>
        <w:tabs>
          <w:tab w:val="left" w:pos="426"/>
        </w:tabs>
        <w:rPr>
          <w:b/>
          <w:bCs/>
          <w:caps/>
        </w:rPr>
      </w:pPr>
    </w:p>
    <w:p w14:paraId="6BB85A2D" w14:textId="1BE59B0E" w:rsidR="007D5787" w:rsidRPr="007D5787" w:rsidRDefault="007D5787" w:rsidP="007D5787">
      <w:pPr>
        <w:pStyle w:val="Sraopastraipa"/>
        <w:numPr>
          <w:ilvl w:val="0"/>
          <w:numId w:val="2"/>
        </w:numPr>
        <w:tabs>
          <w:tab w:val="left" w:pos="567"/>
        </w:tabs>
        <w:rPr>
          <w:b/>
          <w:bCs/>
          <w:caps/>
        </w:rPr>
      </w:pPr>
      <w:r>
        <w:rPr>
          <w:b/>
          <w:bCs/>
          <w:caps/>
        </w:rPr>
        <w:t xml:space="preserve"> </w:t>
      </w:r>
      <w:r w:rsidRPr="007D5787">
        <w:rPr>
          <w:b/>
          <w:bCs/>
          <w:caps/>
        </w:rPr>
        <w:t xml:space="preserve">Pacientų organizacijų pateikti duomenys </w:t>
      </w:r>
    </w:p>
    <w:p w14:paraId="1A686384" w14:textId="77777777" w:rsidR="007D5787" w:rsidRPr="00E33EFF" w:rsidRDefault="00000000" w:rsidP="007D578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7D5787" w:rsidRPr="00E33EFF">
            <w:rPr>
              <w:rStyle w:val="Style2"/>
              <w:rFonts w:ascii="MS Gothic" w:eastAsia="MS Gothic" w:hAnsi="MS Gothic" w:hint="eastAsia"/>
            </w:rPr>
            <w:t>☐</w:t>
          </w:r>
        </w:sdtContent>
      </w:sdt>
      <w:r w:rsidR="007D5787" w:rsidRPr="00E33EFF">
        <w:t xml:space="preserve"> Pacientų organizacijos pozicija pateikta. Žr. priedą.</w:t>
      </w:r>
    </w:p>
    <w:p w14:paraId="31BE7979" w14:textId="77777777" w:rsidR="007D5787" w:rsidRDefault="00000000" w:rsidP="007D578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7D5787">
            <w:rPr>
              <w:rStyle w:val="Style2"/>
              <w:rFonts w:ascii="MS Gothic" w:eastAsia="MS Gothic" w:hAnsi="MS Gothic" w:hint="eastAsia"/>
            </w:rPr>
            <w:t>☒</w:t>
          </w:r>
        </w:sdtContent>
      </w:sdt>
      <w:r w:rsidR="007D5787" w:rsidRPr="00E33EFF">
        <w:t xml:space="preserve"> Pacientų organizacijos pozicija nepateikta.</w:t>
      </w:r>
    </w:p>
    <w:p w14:paraId="6D532210" w14:textId="77777777" w:rsidR="007D5787" w:rsidRDefault="007D5787" w:rsidP="007D5787">
      <w:pPr>
        <w:spacing w:after="120"/>
        <w:jc w:val="both"/>
      </w:pPr>
    </w:p>
    <w:p w14:paraId="16434B7A" w14:textId="77777777" w:rsidR="007D5787" w:rsidRPr="00E33EFF" w:rsidRDefault="007D5787" w:rsidP="007D5787">
      <w:pPr>
        <w:spacing w:after="120"/>
        <w:jc w:val="both"/>
      </w:pPr>
    </w:p>
    <w:p w14:paraId="2EB35014" w14:textId="59C6B1F5" w:rsidR="007D5787" w:rsidRPr="007D5787" w:rsidRDefault="007D5787" w:rsidP="007D5787">
      <w:pPr>
        <w:pStyle w:val="Sraopastraipa"/>
        <w:numPr>
          <w:ilvl w:val="0"/>
          <w:numId w:val="2"/>
        </w:numPr>
        <w:tabs>
          <w:tab w:val="left" w:pos="567"/>
        </w:tabs>
        <w:rPr>
          <w:b/>
          <w:bCs/>
          <w:caps/>
        </w:rPr>
      </w:pPr>
      <w:r>
        <w:rPr>
          <w:b/>
          <w:bCs/>
          <w:caps/>
        </w:rPr>
        <w:t xml:space="preserve"> </w:t>
      </w:r>
      <w:r w:rsidRPr="007D5787">
        <w:rPr>
          <w:b/>
          <w:bCs/>
          <w:caps/>
        </w:rPr>
        <w:t>Gydytojų organizacijų pateikti duomenys</w:t>
      </w:r>
    </w:p>
    <w:p w14:paraId="3013D10E" w14:textId="09F0FA59" w:rsidR="007D5787" w:rsidRPr="00E33EFF" w:rsidRDefault="00000000" w:rsidP="007D5787">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CD23A1">
            <w:rPr>
              <w:rStyle w:val="Style2"/>
              <w:rFonts w:ascii="MS Gothic" w:eastAsia="MS Gothic" w:hAnsi="MS Gothic" w:hint="eastAsia"/>
            </w:rPr>
            <w:t>☐</w:t>
          </w:r>
        </w:sdtContent>
      </w:sdt>
      <w:r w:rsidR="007D5787" w:rsidRPr="00E33EFF">
        <w:t xml:space="preserve"> Gydytojų specialistų organizacijos pozicija pateikta. Žr. priedą.</w:t>
      </w:r>
    </w:p>
    <w:p w14:paraId="0347CC00" w14:textId="48D171CC" w:rsidR="007D5787" w:rsidRPr="00E33EFF" w:rsidRDefault="00000000" w:rsidP="007D5787">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CD23A1">
            <w:rPr>
              <w:rStyle w:val="Style2"/>
              <w:rFonts w:ascii="MS Gothic" w:eastAsia="MS Gothic" w:hAnsi="MS Gothic" w:hint="eastAsia"/>
            </w:rPr>
            <w:t>☒</w:t>
          </w:r>
        </w:sdtContent>
      </w:sdt>
      <w:r w:rsidR="007D5787" w:rsidRPr="00E33EFF">
        <w:t xml:space="preserve"> Gydytojų specialistų organizacijos pozicija nepateikta.</w:t>
      </w:r>
    </w:p>
    <w:p w14:paraId="4BF878E8" w14:textId="77777777" w:rsidR="007D5787" w:rsidRPr="00E33EFF" w:rsidRDefault="007D5787" w:rsidP="007D5787">
      <w:pPr>
        <w:spacing w:after="120"/>
        <w:jc w:val="both"/>
      </w:pPr>
    </w:p>
    <w:p w14:paraId="2757005B" w14:textId="77777777" w:rsidR="00365343" w:rsidRDefault="00365343"/>
    <w:p w14:paraId="6218A8B8" w14:textId="190E4130" w:rsidR="00365343" w:rsidRPr="00365343" w:rsidRDefault="00365343" w:rsidP="00365343">
      <w:pPr>
        <w:pStyle w:val="Sraopastraipa"/>
        <w:numPr>
          <w:ilvl w:val="0"/>
          <w:numId w:val="2"/>
        </w:numPr>
        <w:spacing w:line="276" w:lineRule="auto"/>
        <w:rPr>
          <w:rFonts w:eastAsia="Arial"/>
          <w:b/>
          <w:szCs w:val="24"/>
        </w:rPr>
      </w:pPr>
      <w:r w:rsidRPr="00365343">
        <w:rPr>
          <w:rFonts w:eastAsia="Arial"/>
          <w:b/>
          <w:szCs w:val="24"/>
        </w:rPr>
        <w:t>IŠVADA</w:t>
      </w:r>
    </w:p>
    <w:p w14:paraId="670D76A2" w14:textId="77777777" w:rsidR="00365343" w:rsidRPr="00365343" w:rsidRDefault="00365343"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i/>
          <w:color w:val="00B050"/>
          <w:szCs w:val="24"/>
        </w:rPr>
      </w:pPr>
    </w:p>
    <w:tbl>
      <w:tblPr>
        <w:tblStyle w:val="Lentelstinklelis"/>
        <w:tblW w:w="9918" w:type="dxa"/>
        <w:jc w:val="center"/>
        <w:tblLook w:val="04A0" w:firstRow="1" w:lastRow="0" w:firstColumn="1" w:lastColumn="0" w:noHBand="0" w:noVBand="1"/>
      </w:tblPr>
      <w:tblGrid>
        <w:gridCol w:w="4886"/>
        <w:gridCol w:w="5032"/>
      </w:tblGrid>
      <w:tr w:rsidR="00365343" w:rsidRPr="00365343" w14:paraId="51075CB9" w14:textId="77777777" w:rsidTr="00BA574E">
        <w:trPr>
          <w:trHeight w:val="532"/>
          <w:jc w:val="center"/>
        </w:trPr>
        <w:tc>
          <w:tcPr>
            <w:tcW w:w="4886" w:type="dxa"/>
            <w:vAlign w:val="center"/>
          </w:tcPr>
          <w:p w14:paraId="0A8D02E4" w14:textId="77777777" w:rsidR="00365343" w:rsidRPr="00365343" w:rsidRDefault="00365343"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szCs w:val="24"/>
              </w:rPr>
            </w:pPr>
            <w:r w:rsidRPr="00365343">
              <w:rPr>
                <w:rFonts w:eastAsia="MS Gothic"/>
                <w:b/>
                <w:bCs/>
                <w:szCs w:val="24"/>
              </w:rPr>
              <w:lastRenderedPageBreak/>
              <w:t>Rekomenduojama kompensuoti</w:t>
            </w:r>
          </w:p>
        </w:tc>
        <w:tc>
          <w:tcPr>
            <w:tcW w:w="5032" w:type="dxa"/>
            <w:vAlign w:val="center"/>
          </w:tcPr>
          <w:p w14:paraId="5EB496BB" w14:textId="77777777" w:rsidR="00365343" w:rsidRPr="00365343" w:rsidRDefault="00365343"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szCs w:val="24"/>
              </w:rPr>
            </w:pPr>
            <w:r w:rsidRPr="00365343">
              <w:rPr>
                <w:rFonts w:eastAsia="MS Gothic"/>
                <w:b/>
                <w:bCs/>
                <w:szCs w:val="24"/>
              </w:rPr>
              <w:t>Rekomenduojama nekompensuoti</w:t>
            </w:r>
          </w:p>
        </w:tc>
      </w:tr>
      <w:tr w:rsidR="00365343" w:rsidRPr="00365343" w14:paraId="31B890DE" w14:textId="77777777" w:rsidTr="00BA574E">
        <w:trPr>
          <w:trHeight w:val="494"/>
          <w:jc w:val="center"/>
        </w:trPr>
        <w:tc>
          <w:tcPr>
            <w:tcW w:w="9918" w:type="dxa"/>
            <w:gridSpan w:val="2"/>
            <w:vAlign w:val="center"/>
          </w:tcPr>
          <w:p w14:paraId="227D086A" w14:textId="77777777" w:rsidR="00365343" w:rsidRPr="00365343" w:rsidRDefault="00365343"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szCs w:val="24"/>
              </w:rPr>
            </w:pPr>
            <w:r w:rsidRPr="00365343">
              <w:rPr>
                <w:rFonts w:eastAsia="MS Gothic"/>
                <w:b/>
                <w:bCs/>
                <w:szCs w:val="24"/>
              </w:rPr>
              <w:t>Palyginamasis efektyvumas</w:t>
            </w:r>
          </w:p>
        </w:tc>
      </w:tr>
      <w:tr w:rsidR="00365343" w:rsidRPr="00365343" w14:paraId="37458A08" w14:textId="77777777" w:rsidTr="00BA574E">
        <w:trPr>
          <w:trHeight w:val="1546"/>
          <w:jc w:val="center"/>
        </w:trPr>
        <w:tc>
          <w:tcPr>
            <w:tcW w:w="4886" w:type="dxa"/>
          </w:tcPr>
          <w:p w14:paraId="109A5DA2" w14:textId="77777777" w:rsidR="00365343" w:rsidRPr="00365343" w:rsidRDefault="00000000"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szCs w:val="24"/>
                </w:rPr>
                <w:id w:val="-253974781"/>
                <w15:color w:val="FFCC00"/>
                <w14:checkbox>
                  <w14:checked w14:val="0"/>
                  <w14:checkedState w14:val="2612" w14:font="MS Gothic"/>
                  <w14:uncheckedState w14:val="2610" w14:font="MS Gothic"/>
                </w14:checkbox>
              </w:sdtPr>
              <w:sdtContent>
                <w:r w:rsidR="00365343" w:rsidRPr="00365343">
                  <w:rPr>
                    <w:rFonts w:ascii="Segoe UI Symbol" w:eastAsia="MS Gothic" w:hAnsi="Segoe UI Symbol" w:cs="Segoe UI Symbol"/>
                    <w:szCs w:val="24"/>
                  </w:rPr>
                  <w:t>☐</w:t>
                </w:r>
              </w:sdtContent>
            </w:sdt>
            <w:r w:rsidR="00365343" w:rsidRPr="00365343">
              <w:rPr>
                <w:szCs w:val="24"/>
              </w:rPr>
              <w:t xml:space="preserve"> 32.1. yra didesnis, lyginant su įprasta klinikine praktika</w:t>
            </w:r>
          </w:p>
          <w:p w14:paraId="0D06C02F" w14:textId="77777777" w:rsidR="00365343" w:rsidRPr="00365343" w:rsidRDefault="00365343"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707849E" w14:textId="77777777" w:rsidR="00365343" w:rsidRPr="00365343" w:rsidRDefault="00000000"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szCs w:val="24"/>
                </w:rPr>
                <w:id w:val="-2042735340"/>
                <w15:color w:val="FFCC00"/>
                <w14:checkbox>
                  <w14:checked w14:val="1"/>
                  <w14:checkedState w14:val="2612" w14:font="MS Gothic"/>
                  <w14:uncheckedState w14:val="2610" w14:font="MS Gothic"/>
                </w14:checkbox>
              </w:sdtPr>
              <w:sdtContent>
                <w:r w:rsidR="00365343" w:rsidRPr="00365343">
                  <w:rPr>
                    <w:rFonts w:eastAsia="MS Gothic" w:hint="eastAsia"/>
                    <w:szCs w:val="24"/>
                  </w:rPr>
                  <w:t>☒</w:t>
                </w:r>
              </w:sdtContent>
            </w:sdt>
            <w:r w:rsidR="00365343" w:rsidRPr="00365343">
              <w:rPr>
                <w:szCs w:val="24"/>
              </w:rPr>
              <w:t xml:space="preserve"> 32.1. iš esmės nesiskiria, lyginant su įprasta klinikine praktika</w:t>
            </w:r>
          </w:p>
        </w:tc>
        <w:tc>
          <w:tcPr>
            <w:tcW w:w="5032" w:type="dxa"/>
          </w:tcPr>
          <w:p w14:paraId="56778E6B" w14:textId="77777777" w:rsidR="00365343" w:rsidRPr="00365343" w:rsidRDefault="00000000"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szCs w:val="24"/>
                </w:rPr>
                <w:id w:val="1223253010"/>
                <w15:color w:val="FFCC00"/>
                <w14:checkbox>
                  <w14:checked w14:val="0"/>
                  <w14:checkedState w14:val="2612" w14:font="MS Gothic"/>
                  <w14:uncheckedState w14:val="2610" w14:font="MS Gothic"/>
                </w14:checkbox>
              </w:sdtPr>
              <w:sdtContent>
                <w:r w:rsidR="00365343" w:rsidRPr="00365343">
                  <w:rPr>
                    <w:rFonts w:ascii="Segoe UI Symbol" w:eastAsia="MS Gothic" w:hAnsi="Segoe UI Symbol" w:cs="Segoe UI Symbol"/>
                    <w:szCs w:val="24"/>
                  </w:rPr>
                  <w:t>☐</w:t>
                </w:r>
              </w:sdtContent>
            </w:sdt>
            <w:r w:rsidR="00365343" w:rsidRPr="00365343">
              <w:rPr>
                <w:szCs w:val="24"/>
              </w:rPr>
              <w:t xml:space="preserve"> 33.1. yra mažesnis, lyginant su įprasta klinikine praktika</w:t>
            </w:r>
          </w:p>
          <w:p w14:paraId="439F83BA" w14:textId="77777777" w:rsidR="00365343" w:rsidRPr="00365343" w:rsidRDefault="00365343"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98D3CC7" w14:textId="77777777" w:rsidR="00365343" w:rsidRPr="00365343" w:rsidRDefault="00000000"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szCs w:val="24"/>
                </w:rPr>
                <w:id w:val="-2100856797"/>
                <w15:color w:val="FFCC00"/>
                <w14:checkbox>
                  <w14:checked w14:val="0"/>
                  <w14:checkedState w14:val="2612" w14:font="MS Gothic"/>
                  <w14:uncheckedState w14:val="2610" w14:font="MS Gothic"/>
                </w14:checkbox>
              </w:sdtPr>
              <w:sdtContent>
                <w:r w:rsidR="00365343" w:rsidRPr="00365343">
                  <w:rPr>
                    <w:rFonts w:ascii="Segoe UI Symbol" w:eastAsia="MS Gothic" w:hAnsi="Segoe UI Symbol" w:cs="Segoe UI Symbol"/>
                    <w:szCs w:val="24"/>
                  </w:rPr>
                  <w:t>☐</w:t>
                </w:r>
              </w:sdtContent>
            </w:sdt>
            <w:r w:rsidR="00365343" w:rsidRPr="00365343">
              <w:rPr>
                <w:szCs w:val="24"/>
              </w:rPr>
              <w:t xml:space="preserve"> 33.1. yra neįrodytas kaip toks pat, lyginant su įprasta klinikine praktika</w:t>
            </w:r>
          </w:p>
          <w:p w14:paraId="1A617FB4" w14:textId="77777777" w:rsidR="00365343" w:rsidRPr="00365343" w:rsidRDefault="00365343"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296CD4F7" w14:textId="77777777" w:rsidR="00365343" w:rsidRPr="00365343" w:rsidRDefault="00000000"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szCs w:val="24"/>
                </w:rPr>
                <w:id w:val="-1085991623"/>
                <w15:color w:val="FFCC00"/>
                <w14:checkbox>
                  <w14:checked w14:val="0"/>
                  <w14:checkedState w14:val="2612" w14:font="MS Gothic"/>
                  <w14:uncheckedState w14:val="2610" w14:font="MS Gothic"/>
                </w14:checkbox>
              </w:sdtPr>
              <w:sdtContent>
                <w:r w:rsidR="00365343" w:rsidRPr="00365343">
                  <w:rPr>
                    <w:rFonts w:ascii="Segoe UI Symbol" w:eastAsia="MS Gothic" w:hAnsi="Segoe UI Symbol" w:cs="Segoe UI Symbol"/>
                    <w:szCs w:val="24"/>
                  </w:rPr>
                  <w:t>☐</w:t>
                </w:r>
              </w:sdtContent>
            </w:sdt>
            <w:r w:rsidR="00365343" w:rsidRPr="00365343">
              <w:rPr>
                <w:szCs w:val="24"/>
              </w:rPr>
              <w:t xml:space="preserve"> 33.1. yra neįrodytas kaip didesnis, lyginant su įprasta klinikine praktika</w:t>
            </w:r>
          </w:p>
          <w:p w14:paraId="4F32C087" w14:textId="77777777" w:rsidR="00365343" w:rsidRPr="00365343" w:rsidRDefault="00365343"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910C8BE" w14:textId="77777777" w:rsidR="00365343" w:rsidRPr="00365343" w:rsidRDefault="00000000"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szCs w:val="24"/>
                </w:rPr>
                <w:id w:val="908262085"/>
                <w15:color w:val="FFCC00"/>
                <w14:checkbox>
                  <w14:checked w14:val="0"/>
                  <w14:checkedState w14:val="2612" w14:font="MS Gothic"/>
                  <w14:uncheckedState w14:val="2610" w14:font="MS Gothic"/>
                </w14:checkbox>
              </w:sdtPr>
              <w:sdtContent>
                <w:r w:rsidR="00365343" w:rsidRPr="00365343">
                  <w:rPr>
                    <w:rFonts w:ascii="Segoe UI Symbol" w:eastAsia="MS Gothic" w:hAnsi="Segoe UI Symbol" w:cs="Segoe UI Symbol"/>
                    <w:szCs w:val="24"/>
                  </w:rPr>
                  <w:t>☐</w:t>
                </w:r>
              </w:sdtContent>
            </w:sdt>
            <w:r w:rsidR="00365343" w:rsidRPr="00365343">
              <w:rPr>
                <w:szCs w:val="24"/>
              </w:rPr>
              <w:t xml:space="preserve"> 33.1. pateikti duomenys apie palyginamąjį efektyvumą yra netinkami vertinti</w:t>
            </w:r>
          </w:p>
          <w:p w14:paraId="43F208B9" w14:textId="77777777" w:rsidR="00365343" w:rsidRPr="00365343" w:rsidRDefault="00365343"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Gothic"/>
                <w:szCs w:val="24"/>
              </w:rPr>
            </w:pPr>
          </w:p>
        </w:tc>
      </w:tr>
      <w:tr w:rsidR="00365343" w:rsidRPr="00365343" w14:paraId="3830BF6E" w14:textId="77777777" w:rsidTr="00BA574E">
        <w:trPr>
          <w:trHeight w:val="485"/>
          <w:jc w:val="center"/>
        </w:trPr>
        <w:tc>
          <w:tcPr>
            <w:tcW w:w="9918" w:type="dxa"/>
            <w:gridSpan w:val="2"/>
            <w:vAlign w:val="center"/>
          </w:tcPr>
          <w:p w14:paraId="01CD332C" w14:textId="77777777" w:rsidR="00365343" w:rsidRPr="00365343" w:rsidRDefault="00365343"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szCs w:val="24"/>
              </w:rPr>
            </w:pPr>
            <w:r w:rsidRPr="00365343">
              <w:rPr>
                <w:rFonts w:eastAsia="MS Gothic"/>
                <w:b/>
                <w:bCs/>
                <w:szCs w:val="24"/>
              </w:rPr>
              <w:t>Klinikinis veiksmingumas</w:t>
            </w:r>
          </w:p>
        </w:tc>
      </w:tr>
      <w:tr w:rsidR="00365343" w:rsidRPr="00365343" w14:paraId="3434A6EF" w14:textId="77777777" w:rsidTr="00BA574E">
        <w:trPr>
          <w:jc w:val="center"/>
        </w:trPr>
        <w:tc>
          <w:tcPr>
            <w:tcW w:w="4886" w:type="dxa"/>
          </w:tcPr>
          <w:p w14:paraId="412CAB64" w14:textId="77777777" w:rsidR="00365343" w:rsidRPr="00365343" w:rsidRDefault="00000000"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szCs w:val="24"/>
                </w:rPr>
                <w:id w:val="-1127164120"/>
                <w15:color w:val="FFCC00"/>
                <w14:checkbox>
                  <w14:checked w14:val="0"/>
                  <w14:checkedState w14:val="2612" w14:font="MS Gothic"/>
                  <w14:uncheckedState w14:val="2610" w14:font="MS Gothic"/>
                </w14:checkbox>
              </w:sdtPr>
              <w:sdtContent>
                <w:r w:rsidR="00365343" w:rsidRPr="00365343">
                  <w:rPr>
                    <w:rFonts w:eastAsia="MS Gothic" w:hint="eastAsia"/>
                    <w:szCs w:val="24"/>
                  </w:rPr>
                  <w:t>☐</w:t>
                </w:r>
              </w:sdtContent>
            </w:sdt>
            <w:r w:rsidR="00365343" w:rsidRPr="00365343">
              <w:rPr>
                <w:szCs w:val="24"/>
              </w:rPr>
              <w:t xml:space="preserve"> 32.2. yra įvertintas kaip pagrindžiantis papildomos naudos pacientų sveikatai sukūrimą, lyginant su įprasta klinikine praktika</w:t>
            </w:r>
          </w:p>
          <w:p w14:paraId="69B7F04B" w14:textId="77777777" w:rsidR="00365343" w:rsidRPr="00365343" w:rsidRDefault="00365343"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08A6CB3" w14:textId="77777777" w:rsidR="00365343" w:rsidRPr="00365343" w:rsidRDefault="00000000"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szCs w:val="24"/>
                </w:rPr>
                <w:id w:val="-2108182463"/>
                <w15:color w:val="FFCC00"/>
                <w14:checkbox>
                  <w14:checked w14:val="1"/>
                  <w14:checkedState w14:val="2612" w14:font="MS Gothic"/>
                  <w14:uncheckedState w14:val="2610" w14:font="MS Gothic"/>
                </w14:checkbox>
              </w:sdtPr>
              <w:sdtContent>
                <w:r w:rsidR="00365343" w:rsidRPr="00365343">
                  <w:rPr>
                    <w:rFonts w:eastAsia="MS Gothic" w:hint="eastAsia"/>
                    <w:szCs w:val="24"/>
                  </w:rPr>
                  <w:t>☒</w:t>
                </w:r>
              </w:sdtContent>
            </w:sdt>
            <w:r w:rsidR="00365343" w:rsidRPr="00365343">
              <w:rPr>
                <w:szCs w:val="24"/>
              </w:rPr>
              <w:t xml:space="preserve"> 32.2. yra įvertintas kaip pagrindžiantis nesiskiriančios naudos pacientų sveikatai sukūrimą, lyginant su įprasta klinikine praktika</w:t>
            </w:r>
          </w:p>
          <w:p w14:paraId="6978E7BE" w14:textId="77777777" w:rsidR="00365343" w:rsidRPr="00365343" w:rsidRDefault="00365343"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Gothic"/>
                <w:szCs w:val="24"/>
              </w:rPr>
            </w:pPr>
          </w:p>
        </w:tc>
        <w:tc>
          <w:tcPr>
            <w:tcW w:w="5032" w:type="dxa"/>
          </w:tcPr>
          <w:p w14:paraId="5E5F4042" w14:textId="77777777" w:rsidR="00365343" w:rsidRPr="00365343" w:rsidRDefault="00000000" w:rsidP="00365343">
            <w:pPr>
              <w:jc w:val="both"/>
              <w:rPr>
                <w:szCs w:val="24"/>
              </w:rPr>
            </w:pPr>
            <w:sdt>
              <w:sdtPr>
                <w:rPr>
                  <w:szCs w:val="24"/>
                </w:rPr>
                <w:id w:val="90213628"/>
                <w15:color w:val="FFCC00"/>
                <w14:checkbox>
                  <w14:checked w14:val="0"/>
                  <w14:checkedState w14:val="2612" w14:font="MS Gothic"/>
                  <w14:uncheckedState w14:val="2610" w14:font="MS Gothic"/>
                </w14:checkbox>
              </w:sdtPr>
              <w:sdtContent>
                <w:r w:rsidR="00365343" w:rsidRPr="00365343">
                  <w:rPr>
                    <w:rFonts w:ascii="Segoe UI Symbol" w:eastAsia="MS Gothic" w:hAnsi="Segoe UI Symbol" w:cs="Segoe UI Symbol"/>
                    <w:szCs w:val="24"/>
                  </w:rPr>
                  <w:t>☐</w:t>
                </w:r>
              </w:sdtContent>
            </w:sdt>
            <w:r w:rsidR="00365343" w:rsidRPr="00365343">
              <w:rPr>
                <w:szCs w:val="24"/>
              </w:rPr>
              <w:t xml:space="preserve"> 33.1. yra įvertintas kaip nepagrindžiantis papildomos naudos pacientų sveikatai sukūrimo, lyginant su įprasta klinikine praktika</w:t>
            </w:r>
          </w:p>
          <w:p w14:paraId="073114D3" w14:textId="77777777" w:rsidR="00365343" w:rsidRPr="00365343" w:rsidRDefault="00365343" w:rsidP="00365343">
            <w:pPr>
              <w:jc w:val="both"/>
              <w:rPr>
                <w:szCs w:val="24"/>
              </w:rPr>
            </w:pPr>
          </w:p>
          <w:p w14:paraId="00F884E6" w14:textId="77777777" w:rsidR="00365343" w:rsidRPr="00365343" w:rsidRDefault="00000000" w:rsidP="00365343">
            <w:pPr>
              <w:jc w:val="both"/>
              <w:rPr>
                <w:szCs w:val="24"/>
              </w:rPr>
            </w:pPr>
            <w:sdt>
              <w:sdtPr>
                <w:rPr>
                  <w:szCs w:val="24"/>
                </w:rPr>
                <w:id w:val="47114242"/>
                <w15:color w:val="FFCC00"/>
                <w14:checkbox>
                  <w14:checked w14:val="0"/>
                  <w14:checkedState w14:val="2612" w14:font="MS Gothic"/>
                  <w14:uncheckedState w14:val="2610" w14:font="MS Gothic"/>
                </w14:checkbox>
              </w:sdtPr>
              <w:sdtContent>
                <w:r w:rsidR="00365343" w:rsidRPr="00365343">
                  <w:rPr>
                    <w:rFonts w:ascii="Segoe UI Symbol" w:eastAsia="MS Gothic" w:hAnsi="Segoe UI Symbol" w:cs="Segoe UI Symbol"/>
                    <w:szCs w:val="24"/>
                  </w:rPr>
                  <w:t>☐</w:t>
                </w:r>
              </w:sdtContent>
            </w:sdt>
            <w:r w:rsidR="00365343" w:rsidRPr="00365343">
              <w:rPr>
                <w:szCs w:val="24"/>
              </w:rPr>
              <w:t xml:space="preserve"> 33.1. yra įvertintas kaip nepagrindžiantis nesiskiriančios naudos pacientų sveikatai sukūrimo, lyginant su įprasta klinikine praktika</w:t>
            </w:r>
          </w:p>
          <w:p w14:paraId="590F1F67" w14:textId="77777777" w:rsidR="00365343" w:rsidRPr="00365343" w:rsidRDefault="00365343" w:rsidP="00365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Gothic"/>
                <w:szCs w:val="24"/>
              </w:rPr>
            </w:pPr>
          </w:p>
        </w:tc>
      </w:tr>
    </w:tbl>
    <w:p w14:paraId="62F4EF12" w14:textId="77777777" w:rsidR="00365343" w:rsidRPr="00365343" w:rsidRDefault="00365343" w:rsidP="00365343">
      <w:pPr>
        <w:rPr>
          <w:rFonts w:eastAsia="Arial"/>
          <w:szCs w:val="24"/>
        </w:rPr>
      </w:pPr>
    </w:p>
    <w:tbl>
      <w:tblPr>
        <w:tblStyle w:val="Lentelstinklelis"/>
        <w:tblW w:w="0" w:type="auto"/>
        <w:jc w:val="center"/>
        <w:tblLook w:val="04A0" w:firstRow="1" w:lastRow="0" w:firstColumn="1" w:lastColumn="0" w:noHBand="0" w:noVBand="1"/>
      </w:tblPr>
      <w:tblGrid>
        <w:gridCol w:w="4814"/>
        <w:gridCol w:w="4814"/>
      </w:tblGrid>
      <w:tr w:rsidR="000B67A3" w:rsidRPr="000B67A3" w14:paraId="6132D3AA" w14:textId="77777777" w:rsidTr="00BA574E">
        <w:trPr>
          <w:trHeight w:val="510"/>
          <w:jc w:val="center"/>
        </w:trPr>
        <w:tc>
          <w:tcPr>
            <w:tcW w:w="4886" w:type="dxa"/>
            <w:vAlign w:val="center"/>
          </w:tcPr>
          <w:p w14:paraId="650CFECC" w14:textId="77777777" w:rsidR="000B67A3" w:rsidRPr="000B67A3" w:rsidRDefault="000B67A3" w:rsidP="000B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szCs w:val="24"/>
              </w:rPr>
            </w:pPr>
            <w:r w:rsidRPr="000B67A3">
              <w:rPr>
                <w:rFonts w:eastAsia="MS Gothic"/>
                <w:b/>
                <w:bCs/>
                <w:szCs w:val="24"/>
              </w:rPr>
              <w:t>Rekomenduojama kompensuoti</w:t>
            </w:r>
          </w:p>
        </w:tc>
        <w:tc>
          <w:tcPr>
            <w:tcW w:w="4885" w:type="dxa"/>
            <w:vAlign w:val="center"/>
          </w:tcPr>
          <w:p w14:paraId="3E97D0D2" w14:textId="77777777" w:rsidR="000B67A3" w:rsidRPr="000B67A3" w:rsidRDefault="000B67A3" w:rsidP="000B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szCs w:val="24"/>
              </w:rPr>
            </w:pPr>
            <w:r w:rsidRPr="000B67A3">
              <w:rPr>
                <w:rFonts w:eastAsia="MS Gothic"/>
                <w:b/>
                <w:bCs/>
                <w:szCs w:val="24"/>
              </w:rPr>
              <w:t>Rekomenduojama nekompensuoti</w:t>
            </w:r>
          </w:p>
        </w:tc>
      </w:tr>
      <w:tr w:rsidR="000B67A3" w:rsidRPr="000B67A3" w14:paraId="7043A0E2" w14:textId="77777777" w:rsidTr="00BA574E">
        <w:trPr>
          <w:trHeight w:val="510"/>
          <w:jc w:val="center"/>
        </w:trPr>
        <w:tc>
          <w:tcPr>
            <w:tcW w:w="9771" w:type="dxa"/>
            <w:gridSpan w:val="2"/>
            <w:vAlign w:val="center"/>
          </w:tcPr>
          <w:p w14:paraId="75EF169E" w14:textId="77777777" w:rsidR="000B67A3" w:rsidRPr="000B67A3" w:rsidRDefault="000B67A3" w:rsidP="000B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MS Gothic"/>
                <w:b/>
                <w:bCs/>
                <w:szCs w:val="24"/>
              </w:rPr>
            </w:pPr>
            <w:r w:rsidRPr="000B67A3">
              <w:rPr>
                <w:rFonts w:eastAsia="MS Gothic"/>
                <w:b/>
                <w:bCs/>
                <w:szCs w:val="24"/>
              </w:rPr>
              <w:t>Kaštų naudingumas</w:t>
            </w:r>
          </w:p>
        </w:tc>
      </w:tr>
      <w:tr w:rsidR="000B67A3" w:rsidRPr="000B67A3" w14:paraId="5634376B" w14:textId="77777777" w:rsidTr="00BA574E">
        <w:trPr>
          <w:jc w:val="center"/>
        </w:trPr>
        <w:tc>
          <w:tcPr>
            <w:tcW w:w="4886" w:type="dxa"/>
          </w:tcPr>
          <w:p w14:paraId="6D7FF71C" w14:textId="77777777" w:rsidR="000B67A3" w:rsidRPr="000B67A3" w:rsidRDefault="00000000" w:rsidP="000B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sz w:val="32"/>
                </w:rPr>
                <w:id w:val="-1975984416"/>
                <w15:color w:val="FFCC00"/>
                <w14:checkbox>
                  <w14:checked w14:val="0"/>
                  <w14:checkedState w14:val="2612" w14:font="MS Gothic"/>
                  <w14:uncheckedState w14:val="2610" w14:font="MS Gothic"/>
                </w14:checkbox>
              </w:sdtPr>
              <w:sdtContent>
                <w:r w:rsidR="000B67A3" w:rsidRPr="000B67A3">
                  <w:rPr>
                    <w:rFonts w:ascii="Segoe UI Symbol" w:eastAsia="MS Gothic" w:hAnsi="Segoe UI Symbol" w:cs="Segoe UI Symbol"/>
                    <w:sz w:val="32"/>
                  </w:rPr>
                  <w:t>☐</w:t>
                </w:r>
              </w:sdtContent>
            </w:sdt>
            <w:r w:rsidR="000B67A3" w:rsidRPr="000B67A3">
              <w:t xml:space="preserve"> 32.3. atitinka referencinę naudingumo vertę, taikant PGS</w:t>
            </w:r>
          </w:p>
          <w:p w14:paraId="6137D47F" w14:textId="77777777" w:rsidR="000B67A3" w:rsidRPr="000B67A3" w:rsidRDefault="000B67A3" w:rsidP="000B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5DFF88F" w14:textId="77777777" w:rsidR="000B67A3" w:rsidRPr="000B67A3" w:rsidRDefault="00000000" w:rsidP="000B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sdt>
              <w:sdtPr>
                <w:rPr>
                  <w:sz w:val="32"/>
                </w:rPr>
                <w:id w:val="-1308081728"/>
                <w15:color w:val="FFCC00"/>
                <w14:checkbox>
                  <w14:checked w14:val="1"/>
                  <w14:checkedState w14:val="2612" w14:font="MS Gothic"/>
                  <w14:uncheckedState w14:val="2610" w14:font="MS Gothic"/>
                </w14:checkbox>
              </w:sdtPr>
              <w:sdtContent>
                <w:r w:rsidR="000B67A3" w:rsidRPr="000B67A3">
                  <w:rPr>
                    <w:rFonts w:eastAsia="MS Gothic" w:hint="eastAsia"/>
                    <w:sz w:val="32"/>
                  </w:rPr>
                  <w:t>☒</w:t>
                </w:r>
              </w:sdtContent>
            </w:sdt>
            <w:r w:rsidR="000B67A3" w:rsidRPr="000B67A3">
              <w:t xml:space="preserve"> 32.3. gydymo juo kaštai yra mažesni ar tokie patys esant iš esmės nesiskiriančiam palyginamajam efektyvumui, taikant PGS, </w:t>
            </w:r>
            <w:r w:rsidR="000B67A3" w:rsidRPr="000B67A3">
              <w:rPr>
                <w:szCs w:val="24"/>
              </w:rPr>
              <w:t>lyginant su įprasta klinikine praktika</w:t>
            </w:r>
          </w:p>
          <w:p w14:paraId="6C4F596B" w14:textId="77777777" w:rsidR="000B67A3" w:rsidRPr="000B67A3" w:rsidRDefault="000B67A3" w:rsidP="000B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Gothic"/>
                <w:szCs w:val="24"/>
              </w:rPr>
            </w:pPr>
          </w:p>
        </w:tc>
        <w:tc>
          <w:tcPr>
            <w:tcW w:w="4885" w:type="dxa"/>
          </w:tcPr>
          <w:p w14:paraId="3B26450C" w14:textId="77777777" w:rsidR="000B67A3" w:rsidRPr="000B67A3" w:rsidRDefault="00000000" w:rsidP="000B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sz w:val="32"/>
                </w:rPr>
                <w:id w:val="1365405113"/>
                <w15:color w:val="FFCC00"/>
                <w14:checkbox>
                  <w14:checked w14:val="0"/>
                  <w14:checkedState w14:val="2612" w14:font="MS Gothic"/>
                  <w14:uncheckedState w14:val="2610" w14:font="MS Gothic"/>
                </w14:checkbox>
              </w:sdtPr>
              <w:sdtContent>
                <w:r w:rsidR="000B67A3" w:rsidRPr="000B67A3">
                  <w:rPr>
                    <w:rFonts w:ascii="Segoe UI Symbol" w:eastAsia="MS Gothic" w:hAnsi="Segoe UI Symbol" w:cs="Segoe UI Symbol"/>
                    <w:sz w:val="32"/>
                  </w:rPr>
                  <w:t>☐</w:t>
                </w:r>
              </w:sdtContent>
            </w:sdt>
            <w:r w:rsidR="000B67A3" w:rsidRPr="000B67A3">
              <w:t xml:space="preserve"> 33.3. neatitinka referencinės naudingumo vertės Lietuvos Respublikoje</w:t>
            </w:r>
          </w:p>
          <w:p w14:paraId="4633BBD8" w14:textId="77777777" w:rsidR="000B67A3" w:rsidRPr="000B67A3" w:rsidRDefault="000B67A3" w:rsidP="000B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9BA292E" w14:textId="77777777" w:rsidR="000B67A3" w:rsidRPr="000B67A3" w:rsidRDefault="00000000" w:rsidP="000B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sdt>
              <w:sdtPr>
                <w:rPr>
                  <w:sz w:val="32"/>
                </w:rPr>
                <w:id w:val="-1135473618"/>
                <w15:color w:val="FFCC00"/>
                <w14:checkbox>
                  <w14:checked w14:val="0"/>
                  <w14:checkedState w14:val="2612" w14:font="MS Gothic"/>
                  <w14:uncheckedState w14:val="2610" w14:font="MS Gothic"/>
                </w14:checkbox>
              </w:sdtPr>
              <w:sdtContent>
                <w:r w:rsidR="000B67A3" w:rsidRPr="000B67A3">
                  <w:rPr>
                    <w:rFonts w:ascii="Segoe UI Symbol" w:eastAsia="MS Gothic" w:hAnsi="Segoe UI Symbol" w:cs="Segoe UI Symbol"/>
                    <w:sz w:val="32"/>
                  </w:rPr>
                  <w:t>☐</w:t>
                </w:r>
              </w:sdtContent>
            </w:sdt>
            <w:r w:rsidR="000B67A3" w:rsidRPr="000B67A3">
              <w:t xml:space="preserve"> 33.3. gydymo juo kaštai yra didesni esant iš esmės nesiskiriančiam palyginamajam efektyvumui, taikant PGS, </w:t>
            </w:r>
            <w:r w:rsidR="000B67A3" w:rsidRPr="000B67A3">
              <w:rPr>
                <w:szCs w:val="24"/>
              </w:rPr>
              <w:t>lyginant su įprasta klinikine praktika</w:t>
            </w:r>
          </w:p>
          <w:p w14:paraId="05CAB024" w14:textId="77777777" w:rsidR="000B67A3" w:rsidRPr="000B67A3" w:rsidRDefault="000B67A3" w:rsidP="000B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14:paraId="4BD4142B" w14:textId="77777777" w:rsidR="000B67A3" w:rsidRPr="000B67A3" w:rsidRDefault="00000000" w:rsidP="000B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sz w:val="32"/>
                </w:rPr>
                <w:id w:val="-2008360022"/>
                <w15:color w:val="FFCC00"/>
                <w14:checkbox>
                  <w14:checked w14:val="0"/>
                  <w14:checkedState w14:val="2612" w14:font="MS Gothic"/>
                  <w14:uncheckedState w14:val="2610" w14:font="MS Gothic"/>
                </w14:checkbox>
              </w:sdtPr>
              <w:sdtContent>
                <w:r w:rsidR="000B67A3" w:rsidRPr="000B67A3">
                  <w:rPr>
                    <w:rFonts w:ascii="Segoe UI Symbol" w:eastAsia="MS Gothic" w:hAnsi="Segoe UI Symbol" w:cs="Segoe UI Symbol"/>
                    <w:sz w:val="32"/>
                  </w:rPr>
                  <w:t>☐</w:t>
                </w:r>
              </w:sdtContent>
            </w:sdt>
            <w:r w:rsidR="000B67A3" w:rsidRPr="000B67A3">
              <w:t xml:space="preserve"> 33.3. pateikti duomenys apie kaštų naudingumą yra netinkami vertinti</w:t>
            </w:r>
          </w:p>
          <w:p w14:paraId="22168D37" w14:textId="77777777" w:rsidR="000B67A3" w:rsidRPr="000B67A3" w:rsidRDefault="000B67A3" w:rsidP="000B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bl>
    <w:p w14:paraId="6A6A0FB7" w14:textId="77777777" w:rsidR="00365343" w:rsidRDefault="00365343"/>
    <w:p w14:paraId="46B59E5A" w14:textId="77777777" w:rsidR="005E7A70" w:rsidRDefault="005E7A70"/>
    <w:p w14:paraId="02AC5FD6" w14:textId="1EDAFE85" w:rsidR="005E7A70" w:rsidRPr="005E7A70" w:rsidRDefault="005E7A70" w:rsidP="005E7A70">
      <w:pPr>
        <w:pStyle w:val="Sraopastraipa"/>
        <w:numPr>
          <w:ilvl w:val="0"/>
          <w:numId w:val="2"/>
        </w:numPr>
        <w:rPr>
          <w:b/>
        </w:rPr>
      </w:pPr>
      <w:r w:rsidRPr="005E7A70">
        <w:rPr>
          <w:b/>
        </w:rPr>
        <w:t>REKOMENDACIJA</w:t>
      </w:r>
    </w:p>
    <w:p w14:paraId="29E548F8" w14:textId="77777777" w:rsidR="005E7A70" w:rsidRPr="00D05364" w:rsidRDefault="005E7A70" w:rsidP="005E7A70">
      <w:pPr>
        <w:rPr>
          <w:b/>
        </w:rPr>
      </w:pPr>
    </w:p>
    <w:p w14:paraId="5C2D1CB9" w14:textId="77777777" w:rsidR="005E7A70" w:rsidRPr="00E33EFF" w:rsidRDefault="005E7A70" w:rsidP="00786F0A">
      <w:pPr>
        <w:spacing w:line="360" w:lineRule="auto"/>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w:t>
      </w:r>
      <w:r w:rsidRPr="00E33EFF">
        <w:lastRenderedPageBreak/>
        <w:t>balandžio 5 d. įsakymu Nr. V-159 „Dėl vaistinių preparatų ir medicinos pagalbos priemonių įrašymo į kompensavimo sąrašus ir jų keitimo tvarkos aprašo patvirtinimo“</w:t>
      </w:r>
      <w:r>
        <w:t>,</w:t>
      </w:r>
      <w:r w:rsidRPr="00E33EFF">
        <w:t xml:space="preserve"> punktu</w:t>
      </w:r>
      <w:r>
        <w:t xml:space="preserve"> </w:t>
      </w:r>
      <w:r w:rsidRPr="00E33EFF">
        <w:t>34.3. kompensuoti vaistinį preparatą pagal paraiškoje nurodytą indikaciją</w:t>
      </w:r>
      <w:r>
        <w:t xml:space="preserve"> </w:t>
      </w:r>
      <w:r w:rsidRPr="00E33EFF">
        <w:t>su skyrimo sąlygomis</w:t>
      </w:r>
      <w:r>
        <w:t xml:space="preserve">, </w:t>
      </w:r>
      <w:r w:rsidRPr="00E33EFF">
        <w:t>taikant PGS, dėl iš esmės nesiskiriančio gydymo efektyvumo ir sukuriamos naudos pacientų sveikatai, lyginant su įprasta klinikine praktika, ir dėl mažesnių gydymo kaštų dydžio (kaštų minimizavimas).</w:t>
      </w:r>
    </w:p>
    <w:p w14:paraId="5914812C" w14:textId="77777777" w:rsidR="005E7A70" w:rsidRDefault="005E7A70"/>
    <w:p w14:paraId="7B0B8F1F" w14:textId="77777777" w:rsidR="00663163" w:rsidRDefault="00663163"/>
    <w:p w14:paraId="18A86695" w14:textId="4AEE4C4D" w:rsidR="00663163" w:rsidRPr="00663163" w:rsidRDefault="00663163" w:rsidP="00663163">
      <w:pPr>
        <w:pStyle w:val="Sraopastraipa"/>
        <w:numPr>
          <w:ilvl w:val="0"/>
          <w:numId w:val="2"/>
        </w:numPr>
        <w:tabs>
          <w:tab w:val="left" w:pos="567"/>
        </w:tabs>
        <w:jc w:val="both"/>
        <w:rPr>
          <w:b/>
          <w:lang w:eastAsia="lt-LT"/>
        </w:rPr>
      </w:pPr>
      <w:r>
        <w:rPr>
          <w:b/>
          <w:lang w:eastAsia="lt-LT"/>
        </w:rPr>
        <w:t xml:space="preserve"> </w:t>
      </w:r>
      <w:r w:rsidRPr="00663163">
        <w:rPr>
          <w:b/>
          <w:lang w:eastAsia="lt-LT"/>
        </w:rPr>
        <w:t xml:space="preserve">SIŪLOMOS KOMPENSUOTI TERAPINĖS INDIKACIJOS IR SKYRIMO SĄLYGOS </w:t>
      </w:r>
    </w:p>
    <w:p w14:paraId="0F741CF3" w14:textId="77777777" w:rsidR="00663163" w:rsidRPr="008A7038" w:rsidRDefault="00663163" w:rsidP="00663163">
      <w:pPr>
        <w:spacing w:line="276" w:lineRule="auto"/>
        <w:jc w:val="both"/>
        <w:rPr>
          <w:i/>
          <w:iCs/>
        </w:rPr>
      </w:pPr>
    </w:p>
    <w:p w14:paraId="7487604E" w14:textId="77777777" w:rsidR="00663163" w:rsidRDefault="00663163" w:rsidP="00663163">
      <w:pPr>
        <w:pStyle w:val="Betarp"/>
        <w:rPr>
          <w:rFonts w:ascii="Times New Roman" w:hAnsi="Times New Roman"/>
          <w:b/>
          <w:sz w:val="24"/>
          <w:szCs w:val="24"/>
          <w:lang w:eastAsia="lt-LT"/>
        </w:rPr>
      </w:pPr>
      <w:r w:rsidRPr="008A7038">
        <w:rPr>
          <w:rFonts w:ascii="Times New Roman" w:hAnsi="Times New Roman"/>
          <w:b/>
          <w:sz w:val="24"/>
          <w:szCs w:val="24"/>
          <w:lang w:eastAsia="lt-LT"/>
        </w:rPr>
        <w:t>Terapinės indikacijos</w:t>
      </w:r>
    </w:p>
    <w:p w14:paraId="0C1F787F" w14:textId="77777777" w:rsidR="00CD23A1" w:rsidRPr="008A7038" w:rsidRDefault="00CD23A1" w:rsidP="00663163">
      <w:pPr>
        <w:pStyle w:val="Betarp"/>
        <w:rPr>
          <w:rFonts w:ascii="Times New Roman" w:hAnsi="Times New Roman"/>
          <w:b/>
          <w:sz w:val="24"/>
          <w:szCs w:val="24"/>
          <w:lang w:eastAsia="lt-LT"/>
        </w:rPr>
      </w:pPr>
    </w:p>
    <w:p w14:paraId="08867BDD" w14:textId="77777777" w:rsidR="00663163" w:rsidRPr="008A7038" w:rsidRDefault="00000000" w:rsidP="00663163">
      <w:pPr>
        <w:pStyle w:val="Betarp"/>
        <w:jc w:val="both"/>
      </w:pPr>
      <w:sdt>
        <w:sdtPr>
          <w:rPr>
            <w:rStyle w:val="Style2"/>
            <w:rFonts w:ascii="Times New Roman" w:hAnsi="Times New Roman"/>
            <w:sz w:val="24"/>
            <w:szCs w:val="24"/>
          </w:rPr>
          <w:id w:val="-154227290"/>
          <w15:color w:val="FFCC00"/>
          <w14:checkbox>
            <w14:checked w14:val="1"/>
            <w14:checkedState w14:val="2612" w14:font="MS Gothic"/>
            <w14:uncheckedState w14:val="2610" w14:font="MS Gothic"/>
          </w14:checkbox>
        </w:sdtPr>
        <w:sdtContent>
          <w:r w:rsidR="00663163" w:rsidRPr="008A7038">
            <w:rPr>
              <w:rStyle w:val="Style2"/>
              <w:rFonts w:ascii="MS Gothic" w:eastAsia="MS Gothic" w:hAnsi="MS Gothic"/>
              <w:sz w:val="24"/>
              <w:szCs w:val="24"/>
            </w:rPr>
            <w:t>☒</w:t>
          </w:r>
        </w:sdtContent>
      </w:sdt>
      <w:r w:rsidR="00663163" w:rsidRPr="008A7038">
        <w:rPr>
          <w:rFonts w:ascii="Times New Roman" w:hAnsi="Times New Roman"/>
          <w:sz w:val="24"/>
          <w:szCs w:val="24"/>
        </w:rPr>
        <w:t xml:space="preserve"> Siūloma kompensuoti Pareiškėjo teikiamą indikaciją be pakeitimų.</w:t>
      </w:r>
      <w:r w:rsidR="00663163" w:rsidRPr="008A7038">
        <w:t xml:space="preserve"> </w:t>
      </w:r>
    </w:p>
    <w:p w14:paraId="2A4A7393" w14:textId="77777777" w:rsidR="00663163" w:rsidRPr="008A7038" w:rsidRDefault="00663163" w:rsidP="00663163">
      <w:pPr>
        <w:pStyle w:val="Betarp"/>
        <w:jc w:val="both"/>
        <w:rPr>
          <w:rFonts w:ascii="Times New Roman" w:hAnsi="Times New Roman"/>
          <w:sz w:val="24"/>
          <w:szCs w:val="24"/>
        </w:rPr>
      </w:pPr>
    </w:p>
    <w:p w14:paraId="0B62440B" w14:textId="77777777" w:rsidR="00663163" w:rsidRPr="00097CC4" w:rsidRDefault="00663163" w:rsidP="00786F0A">
      <w:pPr>
        <w:spacing w:before="60" w:after="60" w:line="360" w:lineRule="auto"/>
        <w:jc w:val="both"/>
        <w:rPr>
          <w:rFonts w:eastAsia="Arial"/>
          <w:i/>
          <w:color w:val="000000"/>
        </w:rPr>
      </w:pPr>
      <w:r w:rsidRPr="00097CC4">
        <w:rPr>
          <w:rFonts w:eastAsia="Arial"/>
          <w:color w:val="000000"/>
        </w:rPr>
        <w:t>Metalyse skirtas ūminį išeminį insultą (ŪII) patyrusių suaugusiųjų tromboliziniam gydymui, kai nuo paskutinės žinomos geros savijautos būsenos praėjo ne daugiau kaip 4,5 val., ir atmesta intrakranijinės hemoragijos galimybė.</w:t>
      </w:r>
    </w:p>
    <w:p w14:paraId="1B77D03A" w14:textId="77777777" w:rsidR="00663163" w:rsidRPr="008A7038" w:rsidRDefault="00663163" w:rsidP="00786F0A">
      <w:pPr>
        <w:pStyle w:val="Betarp"/>
        <w:spacing w:line="360" w:lineRule="auto"/>
        <w:rPr>
          <w:rFonts w:ascii="Times New Roman" w:hAnsi="Times New Roman"/>
          <w:sz w:val="24"/>
          <w:szCs w:val="24"/>
        </w:rPr>
      </w:pPr>
    </w:p>
    <w:p w14:paraId="5E7BF3B8" w14:textId="77777777" w:rsidR="00663163" w:rsidRPr="008A7038" w:rsidRDefault="00663163" w:rsidP="00663163">
      <w:pPr>
        <w:pStyle w:val="Betarp"/>
        <w:rPr>
          <w:rFonts w:ascii="Times New Roman" w:hAnsi="Times New Roman"/>
          <w:b/>
          <w:sz w:val="24"/>
          <w:szCs w:val="24"/>
        </w:rPr>
      </w:pPr>
      <w:r w:rsidRPr="008A7038">
        <w:rPr>
          <w:rFonts w:ascii="Times New Roman" w:hAnsi="Times New Roman"/>
          <w:b/>
          <w:sz w:val="24"/>
          <w:szCs w:val="24"/>
        </w:rPr>
        <w:t>Skyrimo sąlygos</w:t>
      </w:r>
    </w:p>
    <w:p w14:paraId="6663AB1D" w14:textId="77777777" w:rsidR="00663163" w:rsidRDefault="00663163"/>
    <w:p w14:paraId="0405A6C1" w14:textId="77777777" w:rsidR="00C17DDF" w:rsidRPr="00154EEF" w:rsidRDefault="00C17DDF" w:rsidP="00C17DDF">
      <w:pPr>
        <w:spacing w:line="360" w:lineRule="auto"/>
        <w:ind w:firstLine="720"/>
        <w:jc w:val="both"/>
        <w:rPr>
          <w:szCs w:val="24"/>
        </w:rPr>
      </w:pPr>
      <w:r w:rsidRPr="00154EEF">
        <w:rPr>
          <w:szCs w:val="24"/>
        </w:rPr>
        <w:t>Gydymą pradėti ir tęsti gali tik gydytojas neurologas ar gydytojas anesteziologas reanimatologas.</w:t>
      </w:r>
    </w:p>
    <w:p w14:paraId="67DADD07" w14:textId="77777777" w:rsidR="00C17DDF" w:rsidRPr="00154EEF" w:rsidRDefault="00C17DDF" w:rsidP="00C17DDF">
      <w:pPr>
        <w:spacing w:line="360" w:lineRule="auto"/>
        <w:ind w:firstLine="720"/>
        <w:jc w:val="both"/>
        <w:rPr>
          <w:szCs w:val="24"/>
        </w:rPr>
      </w:pPr>
      <w:r w:rsidRPr="00154EEF">
        <w:rPr>
          <w:szCs w:val="24"/>
        </w:rPr>
        <w:t>Neurologas, skirdamas vaistinį preparatą tenekteplazę smegenų infarktui (TLK-10-AM kodas I63) gydyti, turi vadovautis  nurodytais tinkamumo (netinkamumo) intraveninei trombolizei atlikti kriterijais.</w:t>
      </w:r>
    </w:p>
    <w:p w14:paraId="525E539B" w14:textId="77777777" w:rsidR="00C17DDF" w:rsidRPr="00154EEF" w:rsidRDefault="00C17DDF" w:rsidP="00C17DDF">
      <w:pPr>
        <w:spacing w:line="360" w:lineRule="auto"/>
        <w:ind w:firstLine="720"/>
        <w:jc w:val="both"/>
        <w:rPr>
          <w:szCs w:val="24"/>
        </w:rPr>
      </w:pPr>
      <w:r w:rsidRPr="00154EEF">
        <w:rPr>
          <w:szCs w:val="24"/>
        </w:rPr>
        <w:t>1. Tinkamumo intraveninei trombolizei kriterijai:</w:t>
      </w:r>
    </w:p>
    <w:p w14:paraId="07BA37C8" w14:textId="77777777" w:rsidR="00C17DDF" w:rsidRPr="00154EEF" w:rsidRDefault="00C17DDF" w:rsidP="00C17DDF">
      <w:pPr>
        <w:spacing w:line="360" w:lineRule="auto"/>
        <w:ind w:firstLine="720"/>
        <w:jc w:val="both"/>
        <w:rPr>
          <w:szCs w:val="24"/>
        </w:rPr>
      </w:pPr>
      <w:r w:rsidRPr="00154EEF">
        <w:rPr>
          <w:szCs w:val="24"/>
        </w:rPr>
        <w:t>1.1. Tenekteplazės infuzija turi būti pradėta praėjus ne daugiau kaip 4,5 valandos nuo ūminio išeminio insulto simptomų atsiradimo pradžios;</w:t>
      </w:r>
    </w:p>
    <w:p w14:paraId="0DFA984D" w14:textId="77777777" w:rsidR="00C17DDF" w:rsidRPr="00154EEF" w:rsidRDefault="00C17DDF" w:rsidP="00C17DDF">
      <w:pPr>
        <w:spacing w:line="360" w:lineRule="auto"/>
        <w:ind w:firstLine="720"/>
        <w:jc w:val="both"/>
        <w:rPr>
          <w:szCs w:val="24"/>
        </w:rPr>
      </w:pPr>
      <w:r w:rsidRPr="00154EEF">
        <w:rPr>
          <w:szCs w:val="24"/>
        </w:rPr>
        <w:t>1.2. pacientas iki insulto pradžios buvo savarankiškas kasdienėje veikloje;</w:t>
      </w:r>
    </w:p>
    <w:p w14:paraId="61B16EA1" w14:textId="77777777" w:rsidR="00C17DDF" w:rsidRPr="00154EEF" w:rsidRDefault="00C17DDF" w:rsidP="00C17DDF">
      <w:pPr>
        <w:spacing w:line="360" w:lineRule="auto"/>
        <w:ind w:firstLine="720"/>
        <w:jc w:val="both"/>
        <w:rPr>
          <w:szCs w:val="24"/>
        </w:rPr>
      </w:pPr>
      <w:r w:rsidRPr="00154EEF">
        <w:rPr>
          <w:szCs w:val="24"/>
        </w:rPr>
        <w:t>1.3. paciento amžius – 18 metų ar daugiau;</w:t>
      </w:r>
    </w:p>
    <w:p w14:paraId="6EEDFA37" w14:textId="77777777" w:rsidR="00C17DDF" w:rsidRPr="00154EEF" w:rsidRDefault="00C17DDF" w:rsidP="00C17DDF">
      <w:pPr>
        <w:spacing w:line="360" w:lineRule="auto"/>
        <w:ind w:firstLine="720"/>
        <w:jc w:val="both"/>
        <w:rPr>
          <w:szCs w:val="24"/>
        </w:rPr>
      </w:pPr>
      <w:r w:rsidRPr="00154EEF">
        <w:rPr>
          <w:szCs w:val="24"/>
        </w:rPr>
        <w:t>2. netinkamumo intraveninei trombolizei kriterijai:</w:t>
      </w:r>
    </w:p>
    <w:p w14:paraId="3AA5071E" w14:textId="77777777" w:rsidR="00C17DDF" w:rsidRPr="00154EEF" w:rsidRDefault="00C17DDF" w:rsidP="00C17DDF">
      <w:pPr>
        <w:spacing w:line="360" w:lineRule="auto"/>
        <w:ind w:firstLine="720"/>
        <w:jc w:val="both"/>
        <w:rPr>
          <w:szCs w:val="24"/>
        </w:rPr>
      </w:pPr>
      <w:r w:rsidRPr="00154EEF">
        <w:rPr>
          <w:szCs w:val="24"/>
        </w:rPr>
        <w:t>2.1. pacientas vartoja netiesioginio veikimo antikoaguliantus ir  (arba) protrombino laikas yra 15 sek. (tarptautinis normalizuotas santykis (TNS) ≥1,7) ar didesnis. Jei pacientas vartoja (arba pastaruoju metu vartojo) netiesioginio veikimo geriamuosius antikoaguliantus, tačiau TNS &lt;1,7, tai nelaikoma netinkamumo kriterijumi intraveninei trombolizei;</w:t>
      </w:r>
    </w:p>
    <w:p w14:paraId="680EDC8B" w14:textId="77777777" w:rsidR="00C17DDF" w:rsidRPr="00154EEF" w:rsidRDefault="00C17DDF" w:rsidP="00C17DDF">
      <w:pPr>
        <w:spacing w:line="360" w:lineRule="auto"/>
        <w:ind w:firstLine="720"/>
        <w:jc w:val="both"/>
        <w:rPr>
          <w:szCs w:val="24"/>
        </w:rPr>
      </w:pPr>
      <w:r w:rsidRPr="00154EEF">
        <w:rPr>
          <w:szCs w:val="24"/>
        </w:rPr>
        <w:t>2.2. nuo geriamųjų ne vitamino K antagonistų (tiesioginių trombino ar faktoriaus Xa inhibitorių) paskutinės dozės suvartojimo praėjo mažiau kaip 24 val.;</w:t>
      </w:r>
    </w:p>
    <w:p w14:paraId="1D2FA7C0" w14:textId="77777777" w:rsidR="00C17DDF" w:rsidRPr="00154EEF" w:rsidRDefault="00C17DDF" w:rsidP="00C17DDF">
      <w:pPr>
        <w:spacing w:line="360" w:lineRule="auto"/>
        <w:ind w:firstLine="720"/>
        <w:jc w:val="both"/>
        <w:rPr>
          <w:szCs w:val="24"/>
        </w:rPr>
      </w:pPr>
      <w:r w:rsidRPr="00154EEF">
        <w:rPr>
          <w:szCs w:val="24"/>
        </w:rPr>
        <w:t>2.3. kraujavimas iš virškinamojo trakto ar šlapimo takų per pastarąsias 3 sav.;</w:t>
      </w:r>
    </w:p>
    <w:p w14:paraId="48432FC4" w14:textId="77777777" w:rsidR="00C17DDF" w:rsidRPr="00154EEF" w:rsidRDefault="00C17DDF" w:rsidP="00C17DDF">
      <w:pPr>
        <w:spacing w:line="360" w:lineRule="auto"/>
        <w:ind w:firstLine="720"/>
        <w:jc w:val="both"/>
        <w:rPr>
          <w:szCs w:val="24"/>
        </w:rPr>
      </w:pPr>
      <w:r w:rsidRPr="00154EEF">
        <w:rPr>
          <w:szCs w:val="24"/>
        </w:rPr>
        <w:lastRenderedPageBreak/>
        <w:t>2.4. per pastarąsias 10 dienų punktuota kraujagyslė, kurios neįmanoma užspausti;</w:t>
      </w:r>
    </w:p>
    <w:p w14:paraId="548C42D3" w14:textId="77777777" w:rsidR="00C17DDF" w:rsidRPr="00154EEF" w:rsidRDefault="00C17DDF" w:rsidP="00C17DDF">
      <w:pPr>
        <w:spacing w:line="360" w:lineRule="auto"/>
        <w:ind w:firstLine="720"/>
        <w:jc w:val="both"/>
        <w:rPr>
          <w:szCs w:val="24"/>
        </w:rPr>
      </w:pPr>
      <w:r w:rsidRPr="00154EEF">
        <w:rPr>
          <w:szCs w:val="24"/>
        </w:rPr>
        <w:t>2.5. atlikta didžioji operacija per pastaruosius 3 mėn.;</w:t>
      </w:r>
    </w:p>
    <w:p w14:paraId="23EC8394" w14:textId="77777777" w:rsidR="00C17DDF" w:rsidRPr="00154EEF" w:rsidRDefault="00C17DDF" w:rsidP="00C17DDF">
      <w:pPr>
        <w:spacing w:line="360" w:lineRule="auto"/>
        <w:ind w:firstLine="720"/>
        <w:jc w:val="both"/>
        <w:rPr>
          <w:szCs w:val="24"/>
        </w:rPr>
      </w:pPr>
      <w:r w:rsidRPr="00154EEF">
        <w:rPr>
          <w:szCs w:val="24"/>
        </w:rPr>
        <w:t>2.6. hemoraginė diatezė arba hemoraginė retinopatija;</w:t>
      </w:r>
    </w:p>
    <w:p w14:paraId="43807FF6" w14:textId="77777777" w:rsidR="00C17DDF" w:rsidRPr="00154EEF" w:rsidRDefault="00C17DDF" w:rsidP="00C17DDF">
      <w:pPr>
        <w:spacing w:line="360" w:lineRule="auto"/>
        <w:ind w:firstLine="720"/>
        <w:jc w:val="both"/>
        <w:rPr>
          <w:szCs w:val="24"/>
        </w:rPr>
      </w:pPr>
      <w:r w:rsidRPr="00154EEF">
        <w:rPr>
          <w:szCs w:val="24"/>
        </w:rPr>
        <w:t xml:space="preserve">2.7. intrasmegeninė kraujosruva (toliau –ISK) anamnezėje; </w:t>
      </w:r>
    </w:p>
    <w:p w14:paraId="33B9C6E0" w14:textId="77777777" w:rsidR="00C17DDF" w:rsidRPr="00154EEF" w:rsidRDefault="00C17DDF" w:rsidP="00C17DDF">
      <w:pPr>
        <w:spacing w:line="360" w:lineRule="auto"/>
        <w:ind w:firstLine="720"/>
        <w:jc w:val="both"/>
        <w:rPr>
          <w:szCs w:val="24"/>
        </w:rPr>
      </w:pPr>
      <w:r w:rsidRPr="00154EEF">
        <w:rPr>
          <w:szCs w:val="24"/>
        </w:rPr>
        <w:t>2.8. sunki centrinės nervų sistemos liga ar sveikatos sutrikimas anamnezėje arba kitokia gretutinė lėtinė liga ar sveikatos sutrikimas, kurie reikšmingai apsunkina gyvenimo prognozę;</w:t>
      </w:r>
    </w:p>
    <w:p w14:paraId="790F564A" w14:textId="77777777" w:rsidR="00C17DDF" w:rsidRPr="00154EEF" w:rsidRDefault="00C17DDF" w:rsidP="00C17DDF">
      <w:pPr>
        <w:spacing w:line="360" w:lineRule="auto"/>
        <w:ind w:firstLine="720"/>
        <w:jc w:val="both"/>
        <w:rPr>
          <w:szCs w:val="24"/>
        </w:rPr>
      </w:pPr>
      <w:r w:rsidRPr="00154EEF">
        <w:rPr>
          <w:szCs w:val="24"/>
        </w:rPr>
        <w:t>2.9. nekontroliuojama arterinė hipertenzija: sistolinis AKS &gt;185 mmHg arba diastolinis AKS &gt;110 mmHg iki gydymo pradžios;</w:t>
      </w:r>
    </w:p>
    <w:p w14:paraId="5C6E49B2" w14:textId="77777777" w:rsidR="00C17DDF" w:rsidRPr="00154EEF" w:rsidRDefault="00C17DDF" w:rsidP="00C17DDF">
      <w:pPr>
        <w:spacing w:line="360" w:lineRule="auto"/>
        <w:ind w:firstLine="720"/>
        <w:jc w:val="both"/>
        <w:rPr>
          <w:szCs w:val="24"/>
        </w:rPr>
      </w:pPr>
      <w:r w:rsidRPr="00154EEF">
        <w:rPr>
          <w:szCs w:val="24"/>
        </w:rPr>
        <w:t>2.10. infekcinis perikarditas ūminis ir poūmis endokarditas (TLK-10-AM kodai I30.1, I33);</w:t>
      </w:r>
    </w:p>
    <w:p w14:paraId="0E0E1266" w14:textId="77777777" w:rsidR="00C17DDF" w:rsidRPr="00154EEF" w:rsidRDefault="00C17DDF" w:rsidP="00C17DDF">
      <w:pPr>
        <w:spacing w:line="360" w:lineRule="auto"/>
        <w:ind w:firstLine="720"/>
        <w:jc w:val="both"/>
        <w:rPr>
          <w:szCs w:val="24"/>
        </w:rPr>
      </w:pPr>
      <w:r w:rsidRPr="00154EEF">
        <w:rPr>
          <w:szCs w:val="24"/>
        </w:rPr>
        <w:t>2.11. ūminis pankreatitas (TLK-10-AM kodas K85);</w:t>
      </w:r>
    </w:p>
    <w:p w14:paraId="4CE499A3" w14:textId="77777777" w:rsidR="00C17DDF" w:rsidRPr="00154EEF" w:rsidRDefault="00C17DDF" w:rsidP="00C17DDF">
      <w:pPr>
        <w:spacing w:line="360" w:lineRule="auto"/>
        <w:ind w:firstLine="720"/>
        <w:jc w:val="both"/>
        <w:rPr>
          <w:szCs w:val="24"/>
        </w:rPr>
      </w:pPr>
      <w:r w:rsidRPr="00154EEF">
        <w:rPr>
          <w:szCs w:val="24"/>
        </w:rPr>
        <w:t>2.12. arterioveninė smegenų kraujagyslių formavimosi yda arba nustatyta neplyšusi intrakranijinė aneurizma (TLK-10-AM kodai I67.1, Q28.2);</w:t>
      </w:r>
    </w:p>
    <w:p w14:paraId="78E6E019" w14:textId="77777777" w:rsidR="00C17DDF" w:rsidRPr="00154EEF" w:rsidRDefault="00C17DDF" w:rsidP="00C17DDF">
      <w:pPr>
        <w:spacing w:line="360" w:lineRule="auto"/>
        <w:ind w:firstLine="720"/>
        <w:jc w:val="both"/>
        <w:rPr>
          <w:szCs w:val="24"/>
        </w:rPr>
      </w:pPr>
      <w:r w:rsidRPr="00154EEF">
        <w:rPr>
          <w:szCs w:val="24"/>
        </w:rPr>
        <w:t>2.13. navikas, dėl kurio padidėjusi kraujavimo rizika;</w:t>
      </w:r>
    </w:p>
    <w:p w14:paraId="4C300FC6" w14:textId="77777777" w:rsidR="00C17DDF" w:rsidRPr="00154EEF" w:rsidRDefault="00C17DDF" w:rsidP="00C17DDF">
      <w:pPr>
        <w:spacing w:line="360" w:lineRule="auto"/>
        <w:ind w:firstLine="720"/>
        <w:jc w:val="both"/>
        <w:rPr>
          <w:szCs w:val="24"/>
        </w:rPr>
      </w:pPr>
      <w:r w:rsidRPr="00154EEF">
        <w:rPr>
          <w:szCs w:val="24"/>
        </w:rPr>
        <w:t>2.14. sunki kepenų liga;</w:t>
      </w:r>
    </w:p>
    <w:p w14:paraId="6AD9FFF6" w14:textId="77777777" w:rsidR="00C17DDF" w:rsidRPr="00154EEF" w:rsidRDefault="00C17DDF" w:rsidP="00C17DDF">
      <w:pPr>
        <w:spacing w:line="360" w:lineRule="auto"/>
        <w:ind w:firstLine="720"/>
        <w:jc w:val="both"/>
        <w:rPr>
          <w:szCs w:val="24"/>
        </w:rPr>
      </w:pPr>
      <w:r w:rsidRPr="00154EEF">
        <w:rPr>
          <w:szCs w:val="24"/>
        </w:rPr>
        <w:t>2.15. atliekant galvos smegenų KT nustatomi ISK arba spontaninės subarachnoidinės kraujosruvos požymiai arba ankstyvi pakitimai, būdingi dideliam išeminiam insultui;</w:t>
      </w:r>
    </w:p>
    <w:p w14:paraId="483D62D3" w14:textId="77777777" w:rsidR="00C17DDF" w:rsidRPr="00154EEF" w:rsidRDefault="00C17DDF" w:rsidP="00C17DDF">
      <w:pPr>
        <w:spacing w:line="360" w:lineRule="auto"/>
        <w:ind w:firstLine="720"/>
        <w:jc w:val="both"/>
        <w:rPr>
          <w:szCs w:val="24"/>
        </w:rPr>
      </w:pPr>
      <w:r w:rsidRPr="00154EEF">
        <w:rPr>
          <w:szCs w:val="24"/>
        </w:rPr>
        <w:t>2.16. labai sunki neurologinė būklė: ≥24 balai pagal NIH insulto skalę;</w:t>
      </w:r>
    </w:p>
    <w:p w14:paraId="76050633" w14:textId="77777777" w:rsidR="00C17DDF" w:rsidRPr="00154EEF" w:rsidRDefault="00C17DDF" w:rsidP="00C17DDF">
      <w:pPr>
        <w:spacing w:line="360" w:lineRule="auto"/>
        <w:ind w:firstLine="720"/>
        <w:jc w:val="both"/>
        <w:rPr>
          <w:szCs w:val="24"/>
        </w:rPr>
      </w:pPr>
      <w:r w:rsidRPr="00154EEF">
        <w:rPr>
          <w:szCs w:val="24"/>
        </w:rPr>
        <w:t>2.17. per pastarąsias 48 val. pacientui buvo skirtas heparinas ir yra prailgėjęs aktyvinto dalinio tromboplastino laikas (ADTL) (≥2 kartus viršija viršutinę normos ribą) arba nuo paskutinės mažos molekulinės masės heparinų dozės paskyrimo praėjo mažiau kaip 12 val.;</w:t>
      </w:r>
    </w:p>
    <w:p w14:paraId="39CBD2A8" w14:textId="77777777" w:rsidR="00C17DDF" w:rsidRPr="00154EEF" w:rsidRDefault="00C17DDF" w:rsidP="00C17DDF">
      <w:pPr>
        <w:spacing w:line="360" w:lineRule="auto"/>
        <w:ind w:firstLine="720"/>
        <w:jc w:val="both"/>
        <w:rPr>
          <w:szCs w:val="24"/>
        </w:rPr>
      </w:pPr>
      <w:r w:rsidRPr="00154EEF">
        <w:rPr>
          <w:szCs w:val="24"/>
        </w:rPr>
        <w:t>2.18. trombocitopenija &lt;100 x 109/l (&lt;100 000/mm3);</w:t>
      </w:r>
    </w:p>
    <w:p w14:paraId="5B5D41E2" w14:textId="77777777" w:rsidR="00C17DDF" w:rsidRPr="00154EEF" w:rsidRDefault="00C17DDF" w:rsidP="00C17DDF">
      <w:pPr>
        <w:spacing w:line="360" w:lineRule="auto"/>
        <w:ind w:firstLine="720"/>
        <w:jc w:val="both"/>
        <w:rPr>
          <w:szCs w:val="24"/>
        </w:rPr>
      </w:pPr>
      <w:r w:rsidRPr="00154EEF">
        <w:rPr>
          <w:szCs w:val="24"/>
        </w:rPr>
        <w:t>2.19. per pastaruosius 3 mėnesius buvęs insultas, intrakranijinė operacija arba sunki galvos trauma;</w:t>
      </w:r>
    </w:p>
    <w:p w14:paraId="23B5668D" w14:textId="77777777" w:rsidR="00C17DDF" w:rsidRPr="00154EEF" w:rsidRDefault="00C17DDF" w:rsidP="00C17DDF">
      <w:pPr>
        <w:spacing w:line="360" w:lineRule="auto"/>
        <w:ind w:firstLine="720"/>
        <w:jc w:val="both"/>
        <w:rPr>
          <w:szCs w:val="24"/>
        </w:rPr>
      </w:pPr>
      <w:r w:rsidRPr="00154EEF">
        <w:rPr>
          <w:szCs w:val="24"/>
        </w:rPr>
        <w:t>2.20. gliukozės koncentracija kraujyje &lt;2,8 mmol/l arba &gt;22,3 mmol/l;</w:t>
      </w:r>
    </w:p>
    <w:p w14:paraId="012BF4D6" w14:textId="77777777" w:rsidR="00C17DDF" w:rsidRPr="00154EEF" w:rsidRDefault="00C17DDF" w:rsidP="00C17DDF">
      <w:pPr>
        <w:spacing w:line="360" w:lineRule="auto"/>
        <w:ind w:firstLine="720"/>
        <w:jc w:val="both"/>
        <w:rPr>
          <w:szCs w:val="24"/>
        </w:rPr>
      </w:pPr>
      <w:r w:rsidRPr="00154EEF">
        <w:rPr>
          <w:szCs w:val="24"/>
        </w:rPr>
        <w:t>2.21. traukuliai insulto pradžioje;</w:t>
      </w:r>
    </w:p>
    <w:p w14:paraId="0E5C5F68" w14:textId="77777777" w:rsidR="00C17DDF" w:rsidRPr="00154EEF" w:rsidRDefault="00C17DDF" w:rsidP="00C17DDF">
      <w:pPr>
        <w:spacing w:line="360" w:lineRule="auto"/>
        <w:ind w:firstLine="720"/>
        <w:jc w:val="both"/>
        <w:rPr>
          <w:szCs w:val="24"/>
        </w:rPr>
      </w:pPr>
      <w:r w:rsidRPr="00154EEF">
        <w:rPr>
          <w:szCs w:val="24"/>
        </w:rPr>
        <w:t>2.22. nėštumas arba gimdymas per pastarąsias 10 parų.</w:t>
      </w:r>
    </w:p>
    <w:p w14:paraId="08C4CBF6" w14:textId="77777777" w:rsidR="00C17DDF" w:rsidRPr="00CC2B25" w:rsidRDefault="00C17DDF" w:rsidP="00C17DDF">
      <w:pPr>
        <w:spacing w:line="360" w:lineRule="auto"/>
        <w:ind w:firstLine="720"/>
        <w:jc w:val="both"/>
        <w:rPr>
          <w:szCs w:val="24"/>
        </w:rPr>
      </w:pPr>
      <w:r w:rsidRPr="00154EEF">
        <w:rPr>
          <w:szCs w:val="24"/>
        </w:rPr>
        <w:t>3. Sprendimą atlikti trombolizę priima neurologas. Jei yra neesminių nuokrypių nuo tinkamumo intraveninei trombolizei atlikti kriterijų, trombolizės atlikimo klausimas sprendžiamas individualiai pagal ASPĮ nustatytas vidaus tvarkos taisykles.</w:t>
      </w:r>
    </w:p>
    <w:p w14:paraId="0070D770" w14:textId="77777777" w:rsidR="00C17DDF" w:rsidRDefault="00C17DDF"/>
    <w:sectPr w:rsidR="00C17DD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6C3FB" w14:textId="77777777" w:rsidR="0058249A" w:rsidRDefault="0058249A" w:rsidP="00BE77BF">
      <w:r>
        <w:separator/>
      </w:r>
    </w:p>
  </w:endnote>
  <w:endnote w:type="continuationSeparator" w:id="0">
    <w:p w14:paraId="015AE479" w14:textId="77777777" w:rsidR="0058249A" w:rsidRDefault="0058249A" w:rsidP="00BE77BF">
      <w:r>
        <w:continuationSeparator/>
      </w:r>
    </w:p>
  </w:endnote>
  <w:endnote w:type="continuationNotice" w:id="1">
    <w:p w14:paraId="4D66B29A" w14:textId="77777777" w:rsidR="0058249A" w:rsidRDefault="00582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D2A25" w14:textId="77777777" w:rsidR="0058249A" w:rsidRDefault="0058249A" w:rsidP="00BE77BF">
      <w:r>
        <w:separator/>
      </w:r>
    </w:p>
  </w:footnote>
  <w:footnote w:type="continuationSeparator" w:id="0">
    <w:p w14:paraId="468C005D" w14:textId="77777777" w:rsidR="0058249A" w:rsidRDefault="0058249A" w:rsidP="00BE77BF">
      <w:r>
        <w:continuationSeparator/>
      </w:r>
    </w:p>
  </w:footnote>
  <w:footnote w:type="continuationNotice" w:id="1">
    <w:p w14:paraId="2B6E6A25" w14:textId="77777777" w:rsidR="0058249A" w:rsidRDefault="005824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816B09"/>
    <w:multiLevelType w:val="hybridMultilevel"/>
    <w:tmpl w:val="8FBEE17A"/>
    <w:lvl w:ilvl="0" w:tplc="0427000F">
      <w:start w:val="16"/>
      <w:numFmt w:val="decimal"/>
      <w:lvlText w:val="%1."/>
      <w:lvlJc w:val="left"/>
      <w:pPr>
        <w:ind w:left="-36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2" w15:restartNumberingAfterBreak="0">
    <w:nsid w:val="1ACA5B9E"/>
    <w:multiLevelType w:val="hybridMultilevel"/>
    <w:tmpl w:val="741E24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F7349F"/>
    <w:multiLevelType w:val="hybridMultilevel"/>
    <w:tmpl w:val="D74E5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C847B5"/>
    <w:multiLevelType w:val="hybridMultilevel"/>
    <w:tmpl w:val="DC009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C1411D"/>
    <w:multiLevelType w:val="hybridMultilevel"/>
    <w:tmpl w:val="A7D07C1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C452B0"/>
    <w:multiLevelType w:val="hybridMultilevel"/>
    <w:tmpl w:val="E2F47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8224AE"/>
    <w:multiLevelType w:val="hybridMultilevel"/>
    <w:tmpl w:val="73F0424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3706967">
    <w:abstractNumId w:val="1"/>
  </w:num>
  <w:num w:numId="2" w16cid:durableId="463233552">
    <w:abstractNumId w:val="7"/>
  </w:num>
  <w:num w:numId="3" w16cid:durableId="200096616">
    <w:abstractNumId w:val="2"/>
  </w:num>
  <w:num w:numId="4" w16cid:durableId="1435591194">
    <w:abstractNumId w:val="5"/>
  </w:num>
  <w:num w:numId="5" w16cid:durableId="307133711">
    <w:abstractNumId w:val="4"/>
  </w:num>
  <w:num w:numId="6" w16cid:durableId="660734814">
    <w:abstractNumId w:val="3"/>
  </w:num>
  <w:num w:numId="7" w16cid:durableId="124810971">
    <w:abstractNumId w:val="6"/>
  </w:num>
  <w:num w:numId="8" w16cid:durableId="1106926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61"/>
    <w:rsid w:val="00063961"/>
    <w:rsid w:val="000A3DEE"/>
    <w:rsid w:val="000B67A3"/>
    <w:rsid w:val="0017293A"/>
    <w:rsid w:val="00231A2C"/>
    <w:rsid w:val="002D4887"/>
    <w:rsid w:val="002D703E"/>
    <w:rsid w:val="002D75AE"/>
    <w:rsid w:val="002F48E5"/>
    <w:rsid w:val="00310E38"/>
    <w:rsid w:val="003547AD"/>
    <w:rsid w:val="00365343"/>
    <w:rsid w:val="004567B3"/>
    <w:rsid w:val="00481A9D"/>
    <w:rsid w:val="00501834"/>
    <w:rsid w:val="00515671"/>
    <w:rsid w:val="00525D1E"/>
    <w:rsid w:val="00571C7B"/>
    <w:rsid w:val="0058249A"/>
    <w:rsid w:val="005D6D85"/>
    <w:rsid w:val="005E7A70"/>
    <w:rsid w:val="00663163"/>
    <w:rsid w:val="006C7E6D"/>
    <w:rsid w:val="00760C31"/>
    <w:rsid w:val="007764E1"/>
    <w:rsid w:val="00786F0A"/>
    <w:rsid w:val="007B23B0"/>
    <w:rsid w:val="007D5787"/>
    <w:rsid w:val="007F3911"/>
    <w:rsid w:val="007F3ACC"/>
    <w:rsid w:val="00843BF4"/>
    <w:rsid w:val="008800F4"/>
    <w:rsid w:val="00884F59"/>
    <w:rsid w:val="008F62F3"/>
    <w:rsid w:val="009571C7"/>
    <w:rsid w:val="009C5748"/>
    <w:rsid w:val="009D01D1"/>
    <w:rsid w:val="00BE77BF"/>
    <w:rsid w:val="00C17DDF"/>
    <w:rsid w:val="00C914EC"/>
    <w:rsid w:val="00CB14F3"/>
    <w:rsid w:val="00CD23A1"/>
    <w:rsid w:val="00DC3018"/>
    <w:rsid w:val="00DF1FB9"/>
    <w:rsid w:val="00E13BAD"/>
    <w:rsid w:val="00E237B1"/>
    <w:rsid w:val="00E671BC"/>
    <w:rsid w:val="00F21169"/>
    <w:rsid w:val="00FF0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02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96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63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63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39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39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39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396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396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396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396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39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639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39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39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39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39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39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39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39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39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39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39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39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39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3961"/>
    <w:rPr>
      <w:i/>
      <w:iCs/>
      <w:color w:val="404040" w:themeColor="text1" w:themeTint="BF"/>
    </w:rPr>
  </w:style>
  <w:style w:type="paragraph" w:styleId="Sraopastraipa">
    <w:name w:val="List Paragraph"/>
    <w:aliases w:val="Bullets Points,Table Header Row,Bullet Paragraph,Bullet Point,Dairy Paragraphe,Table Legend,Bullet List,Bullet1,Bullet 1,1. Bullet Blank,Bulleted - 2,List Paragraph CCT minutes,Section 5,Bullet List 2,Colorful List - Accent 11"/>
    <w:basedOn w:val="prastasis"/>
    <w:link w:val="SraopastraipaDiagrama"/>
    <w:uiPriority w:val="34"/>
    <w:qFormat/>
    <w:rsid w:val="00063961"/>
    <w:pPr>
      <w:ind w:left="720"/>
      <w:contextualSpacing/>
    </w:pPr>
  </w:style>
  <w:style w:type="character" w:styleId="Rykuspabraukimas">
    <w:name w:val="Intense Emphasis"/>
    <w:basedOn w:val="Numatytasispastraiposriftas"/>
    <w:uiPriority w:val="21"/>
    <w:qFormat/>
    <w:rsid w:val="00063961"/>
    <w:rPr>
      <w:i/>
      <w:iCs/>
      <w:color w:val="0F4761" w:themeColor="accent1" w:themeShade="BF"/>
    </w:rPr>
  </w:style>
  <w:style w:type="paragraph" w:styleId="Iskirtacitata">
    <w:name w:val="Intense Quote"/>
    <w:basedOn w:val="prastasis"/>
    <w:next w:val="prastasis"/>
    <w:link w:val="IskirtacitataDiagrama"/>
    <w:uiPriority w:val="30"/>
    <w:qFormat/>
    <w:rsid w:val="00063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3961"/>
    <w:rPr>
      <w:i/>
      <w:iCs/>
      <w:color w:val="0F4761" w:themeColor="accent1" w:themeShade="BF"/>
    </w:rPr>
  </w:style>
  <w:style w:type="character" w:styleId="Rykinuoroda">
    <w:name w:val="Intense Reference"/>
    <w:basedOn w:val="Numatytasispastraiposriftas"/>
    <w:uiPriority w:val="32"/>
    <w:qFormat/>
    <w:rsid w:val="00063961"/>
    <w:rPr>
      <w:b/>
      <w:bCs/>
      <w:smallCaps/>
      <w:color w:val="0F4761" w:themeColor="accent1" w:themeShade="BF"/>
      <w:spacing w:val="5"/>
    </w:rPr>
  </w:style>
  <w:style w:type="character" w:styleId="Vietosrezervavimoenklotekstas">
    <w:name w:val="Placeholder Text"/>
    <w:basedOn w:val="Numatytasispastraiposriftas"/>
    <w:uiPriority w:val="99"/>
    <w:rsid w:val="00063961"/>
    <w:rPr>
      <w:color w:val="808080"/>
    </w:rPr>
  </w:style>
  <w:style w:type="table" w:styleId="Lentelstinklelis">
    <w:name w:val="Table Grid"/>
    <w:basedOn w:val="prastojilentel"/>
    <w:rsid w:val="00063961"/>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Numatytasispastraiposriftas"/>
    <w:uiPriority w:val="1"/>
    <w:rsid w:val="00063961"/>
    <w:rPr>
      <w:sz w:val="32"/>
    </w:rPr>
  </w:style>
  <w:style w:type="paragraph" w:styleId="Betarp">
    <w:name w:val="No Spacing"/>
    <w:uiPriority w:val="1"/>
    <w:qFormat/>
    <w:rsid w:val="00063961"/>
    <w:pPr>
      <w:spacing w:after="0" w:line="240" w:lineRule="auto"/>
    </w:pPr>
    <w:rPr>
      <w:rFonts w:ascii="Calibri" w:eastAsia="Calibri" w:hAnsi="Calibri" w:cs="Times New Roman"/>
      <w:kern w:val="0"/>
      <w14:ligatures w14:val="none"/>
    </w:rPr>
  </w:style>
  <w:style w:type="paragraph" w:customStyle="1" w:styleId="Tekstas">
    <w:name w:val="Tekstas"/>
    <w:basedOn w:val="prastasis"/>
    <w:qFormat/>
    <w:rsid w:val="00310E38"/>
    <w:pPr>
      <w:spacing w:after="120"/>
      <w:jc w:val="both"/>
    </w:pPr>
    <w:rPr>
      <w:szCs w:val="24"/>
      <w:lang w:val="en-GB"/>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rsid w:val="00E13BAD"/>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BE77BF"/>
    <w:pPr>
      <w:tabs>
        <w:tab w:val="center" w:pos="4819"/>
        <w:tab w:val="right" w:pos="9638"/>
      </w:tabs>
    </w:pPr>
  </w:style>
  <w:style w:type="character" w:customStyle="1" w:styleId="AntratsDiagrama">
    <w:name w:val="Antraštės Diagrama"/>
    <w:basedOn w:val="Numatytasispastraiposriftas"/>
    <w:link w:val="Antrats"/>
    <w:uiPriority w:val="99"/>
    <w:rsid w:val="00BE77BF"/>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77BF"/>
    <w:pPr>
      <w:tabs>
        <w:tab w:val="center" w:pos="4819"/>
        <w:tab w:val="right" w:pos="9638"/>
      </w:tabs>
    </w:pPr>
  </w:style>
  <w:style w:type="character" w:customStyle="1" w:styleId="PoratDiagrama">
    <w:name w:val="Poraštė Diagrama"/>
    <w:basedOn w:val="Numatytasispastraiposriftas"/>
    <w:link w:val="Porat"/>
    <w:uiPriority w:val="99"/>
    <w:rsid w:val="00BE77BF"/>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E6E3845F764C728B0F940ACB2DD7FB"/>
        <w:category>
          <w:name w:val="Bendrosios nuostatos"/>
          <w:gallery w:val="placeholder"/>
        </w:category>
        <w:types>
          <w:type w:val="bbPlcHdr"/>
        </w:types>
        <w:behaviors>
          <w:behavior w:val="content"/>
        </w:behaviors>
        <w:guid w:val="{B38A9AC7-9890-44AC-BF67-D60BC36DB215}"/>
      </w:docPartPr>
      <w:docPartBody>
        <w:p w:rsidR="00106856" w:rsidRDefault="00250978" w:rsidP="00250978">
          <w:pPr>
            <w:pStyle w:val="3DE6E3845F764C728B0F940ACB2DD7FB"/>
          </w:pPr>
          <w:r>
            <w:rPr>
              <w:rStyle w:val="Vietosrezervavimoenklotekstas"/>
            </w:rPr>
            <w:t>Click here to enter a date.</w:t>
          </w:r>
        </w:p>
      </w:docPartBody>
    </w:docPart>
    <w:docPart>
      <w:docPartPr>
        <w:name w:val="E9C74B1C5A334328B8EE12999DD5D119"/>
        <w:category>
          <w:name w:val="Bendrosios nuostatos"/>
          <w:gallery w:val="placeholder"/>
        </w:category>
        <w:types>
          <w:type w:val="bbPlcHdr"/>
        </w:types>
        <w:behaviors>
          <w:behavior w:val="content"/>
        </w:behaviors>
        <w:guid w:val="{BA88B38F-155F-4044-99B0-0E1F0785A20E}"/>
      </w:docPartPr>
      <w:docPartBody>
        <w:p w:rsidR="00106856" w:rsidRDefault="00106856" w:rsidP="00106856">
          <w:pPr>
            <w:pStyle w:val="E9C74B1C5A334328B8EE12999DD5D119"/>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78"/>
    <w:rsid w:val="00106856"/>
    <w:rsid w:val="00250978"/>
    <w:rsid w:val="002F5DE0"/>
    <w:rsid w:val="00481A9D"/>
    <w:rsid w:val="00501834"/>
    <w:rsid w:val="00515671"/>
    <w:rsid w:val="005D6D85"/>
    <w:rsid w:val="00771F01"/>
    <w:rsid w:val="00843BF4"/>
    <w:rsid w:val="00884F59"/>
    <w:rsid w:val="008F62F3"/>
    <w:rsid w:val="00A67127"/>
    <w:rsid w:val="00CB14F3"/>
    <w:rsid w:val="00CC5CEA"/>
    <w:rsid w:val="00DE3DAB"/>
    <w:rsid w:val="00E512B4"/>
    <w:rsid w:val="00F778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106856"/>
    <w:rPr>
      <w:color w:val="808080"/>
    </w:rPr>
  </w:style>
  <w:style w:type="paragraph" w:customStyle="1" w:styleId="3DE6E3845F764C728B0F940ACB2DD7FB">
    <w:name w:val="3DE6E3845F764C728B0F940ACB2DD7FB"/>
    <w:rsid w:val="00250978"/>
  </w:style>
  <w:style w:type="paragraph" w:customStyle="1" w:styleId="E9C74B1C5A334328B8EE12999DD5D119">
    <w:name w:val="E9C74B1C5A334328B8EE12999DD5D119"/>
    <w:rsid w:val="00106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11143</Words>
  <Characters>6352</Characters>
  <Application>Microsoft Office Word</Application>
  <DocSecurity>0</DocSecurity>
  <Lines>52</Lines>
  <Paragraphs>34</Paragraphs>
  <ScaleCrop>false</ScaleCrop>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2024-09-29T13:42:00Z</dcterms:created>
  <dcterms:modified xsi:type="dcterms:W3CDTF">2024-09-30T08:18:00Z</dcterms:modified>
</cp:coreProperties>
</file>