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623D0445" w:rsidR="00B13D65" w:rsidRDefault="00B13D65" w:rsidP="003B211A">
      <w:pPr>
        <w:jc w:val="center"/>
        <w:rPr>
          <w:b/>
        </w:rPr>
      </w:pPr>
    </w:p>
    <w:p w14:paraId="65C09F24" w14:textId="77777777" w:rsidR="00975331" w:rsidRPr="00D05364" w:rsidRDefault="00975331" w:rsidP="00975331">
      <w:pPr>
        <w:jc w:val="center"/>
        <w:rPr>
          <w:b/>
        </w:rPr>
      </w:pPr>
      <w:r>
        <w:rPr>
          <w:b/>
        </w:rPr>
        <w:t xml:space="preserve">BESREMI 250 </w:t>
      </w:r>
      <w:proofErr w:type="spellStart"/>
      <w:r>
        <w:rPr>
          <w:b/>
        </w:rPr>
        <w:t>mikrogramų</w:t>
      </w:r>
      <w:proofErr w:type="spellEnd"/>
      <w:r>
        <w:rPr>
          <w:b/>
        </w:rPr>
        <w:t xml:space="preserve">/0,5 ml infekcinis tirpalas užpildytame </w:t>
      </w:r>
      <w:proofErr w:type="spellStart"/>
      <w:r>
        <w:rPr>
          <w:b/>
        </w:rPr>
        <w:t>švirkštiklyje</w:t>
      </w:r>
      <w:proofErr w:type="spellEnd"/>
    </w:p>
    <w:p w14:paraId="048BF72E" w14:textId="77777777" w:rsidR="00975331" w:rsidRDefault="00975331" w:rsidP="00975331">
      <w:pPr>
        <w:jc w:val="center"/>
        <w:rPr>
          <w:color w:val="000000"/>
        </w:rPr>
      </w:pPr>
      <w:r w:rsidRPr="000F444F">
        <w:rPr>
          <w:color w:val="000000"/>
        </w:rPr>
        <w:t xml:space="preserve"> </w:t>
      </w:r>
    </w:p>
    <w:p w14:paraId="0AE0CC8D" w14:textId="26089DB6" w:rsidR="00F00A34" w:rsidRPr="000F444F" w:rsidRDefault="00F00A34" w:rsidP="00975331">
      <w:pPr>
        <w:jc w:val="center"/>
        <w:rPr>
          <w:lang w:eastAsia="en-GB"/>
        </w:rPr>
      </w:pPr>
      <w:r w:rsidRPr="000F444F">
        <w:rPr>
          <w:color w:val="000000"/>
        </w:rPr>
        <w:t>(</w:t>
      </w:r>
      <w:proofErr w:type="spellStart"/>
      <w:r w:rsidR="00975331" w:rsidRPr="00975331">
        <w:t>Ropeginterferon</w:t>
      </w:r>
      <w:r w:rsidR="002B3217">
        <w:t>as</w:t>
      </w:r>
      <w:proofErr w:type="spellEnd"/>
      <w:r w:rsidR="00975331" w:rsidRPr="00975331">
        <w:t xml:space="preserve"> alfa-2b</w:t>
      </w:r>
      <w:r w:rsidRPr="000F444F">
        <w:t>)</w:t>
      </w:r>
    </w:p>
    <w:p w14:paraId="6D13E6A8" w14:textId="77777777" w:rsidR="00F00A34" w:rsidRPr="00D05364" w:rsidRDefault="00F00A34" w:rsidP="00F00A34"/>
    <w:p w14:paraId="2F84A608" w14:textId="6160F98D" w:rsidR="00F00A34" w:rsidRPr="00B15382" w:rsidRDefault="00F00A34" w:rsidP="00F00A34">
      <w:pPr>
        <w:jc w:val="center"/>
        <w:rPr>
          <w:b/>
          <w:lang w:val="en-US"/>
        </w:rPr>
      </w:pPr>
      <w:r>
        <w:rPr>
          <w:b/>
        </w:rPr>
        <w:t>STV-</w:t>
      </w:r>
      <w:r w:rsidR="00975331">
        <w:rPr>
          <w:b/>
          <w:lang w:val="en-US"/>
        </w:rPr>
        <w:t>114</w:t>
      </w:r>
    </w:p>
    <w:p w14:paraId="1E2B8830" w14:textId="77777777" w:rsidR="008B2311" w:rsidRDefault="008B2311" w:rsidP="006F3037">
      <w:pPr>
        <w:rPr>
          <w:b/>
        </w:rPr>
      </w:pPr>
    </w:p>
    <w:p w14:paraId="33D987A0" w14:textId="77777777" w:rsidR="001A0642" w:rsidRDefault="001A0642" w:rsidP="003B211A">
      <w:pPr>
        <w:jc w:val="center"/>
        <w:rPr>
          <w:b/>
        </w:rPr>
      </w:pPr>
    </w:p>
    <w:p w14:paraId="78C89D1C" w14:textId="0DA88316" w:rsidR="00D4485B" w:rsidRDefault="00B13D65" w:rsidP="00937907">
      <w:pPr>
        <w:pStyle w:val="ListParagraph"/>
        <w:numPr>
          <w:ilvl w:val="0"/>
          <w:numId w:val="12"/>
        </w:numPr>
        <w:tabs>
          <w:tab w:val="left" w:pos="284"/>
        </w:tabs>
        <w:rPr>
          <w:b/>
          <w:bCs/>
          <w:caps/>
        </w:rPr>
      </w:pPr>
      <w:r>
        <w:rPr>
          <w:b/>
          <w:bCs/>
          <w:caps/>
        </w:rPr>
        <w:t>Bendroji dalis</w:t>
      </w:r>
    </w:p>
    <w:p w14:paraId="04A7C7A7" w14:textId="77777777" w:rsidR="00B13D65"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5C40F8" w:rsidRPr="00E33EFF" w14:paraId="3ADF7773" w14:textId="77777777" w:rsidTr="00281513">
        <w:trPr>
          <w:trHeight w:val="538"/>
        </w:trPr>
        <w:tc>
          <w:tcPr>
            <w:tcW w:w="632" w:type="dxa"/>
          </w:tcPr>
          <w:p w14:paraId="6D66E8B0" w14:textId="77777777" w:rsidR="005C40F8" w:rsidRPr="00E33EFF" w:rsidRDefault="005C40F8" w:rsidP="00281513">
            <w:pPr>
              <w:rPr>
                <w:rFonts w:eastAsia="Arial"/>
              </w:rPr>
            </w:pPr>
            <w:r w:rsidRPr="00E33EFF">
              <w:rPr>
                <w:rFonts w:eastAsia="Arial"/>
              </w:rPr>
              <w:t>1.1</w:t>
            </w:r>
          </w:p>
        </w:tc>
        <w:tc>
          <w:tcPr>
            <w:tcW w:w="3694" w:type="dxa"/>
          </w:tcPr>
          <w:p w14:paraId="1FF993E9" w14:textId="77777777" w:rsidR="005C40F8" w:rsidRPr="00E33EFF" w:rsidRDefault="005C40F8" w:rsidP="00281513">
            <w:pPr>
              <w:rPr>
                <w:rFonts w:eastAsia="Arial"/>
              </w:rPr>
            </w:pPr>
            <w:r w:rsidRPr="00E33EFF">
              <w:rPr>
                <w:rFonts w:eastAsia="Arial"/>
              </w:rPr>
              <w:t>Pareiškėjas</w:t>
            </w:r>
          </w:p>
          <w:p w14:paraId="44AC21BE" w14:textId="77777777" w:rsidR="005C40F8" w:rsidRPr="00E33EFF" w:rsidRDefault="005C40F8" w:rsidP="00281513">
            <w:pPr>
              <w:rPr>
                <w:rFonts w:eastAsia="Arial"/>
              </w:rPr>
            </w:pPr>
          </w:p>
        </w:tc>
        <w:tc>
          <w:tcPr>
            <w:tcW w:w="5167" w:type="dxa"/>
          </w:tcPr>
          <w:p w14:paraId="1A975689" w14:textId="77777777" w:rsidR="005C40F8" w:rsidRPr="00E33EFF" w:rsidRDefault="005C40F8" w:rsidP="00281513">
            <w:pPr>
              <w:rPr>
                <w:rFonts w:eastAsia="Arial"/>
              </w:rPr>
            </w:pPr>
            <w:r>
              <w:t xml:space="preserve">AOP Orphan </w:t>
            </w:r>
            <w:proofErr w:type="spellStart"/>
            <w:r>
              <w:t>Pharmaceuticals</w:t>
            </w:r>
            <w:proofErr w:type="spellEnd"/>
            <w:r>
              <w:t xml:space="preserve"> </w:t>
            </w:r>
            <w:proofErr w:type="spellStart"/>
            <w:r>
              <w:t>GmbH</w:t>
            </w:r>
            <w:proofErr w:type="spellEnd"/>
            <w:r>
              <w:t xml:space="preserve"> atstovybė Baltijos šalims</w:t>
            </w:r>
          </w:p>
        </w:tc>
      </w:tr>
      <w:tr w:rsidR="005C40F8" w:rsidRPr="00E33EFF" w14:paraId="19853294" w14:textId="77777777" w:rsidTr="00281513">
        <w:trPr>
          <w:trHeight w:val="538"/>
        </w:trPr>
        <w:tc>
          <w:tcPr>
            <w:tcW w:w="632" w:type="dxa"/>
          </w:tcPr>
          <w:p w14:paraId="29F63AAA" w14:textId="77777777" w:rsidR="005C40F8" w:rsidRPr="00E33EFF" w:rsidRDefault="005C40F8" w:rsidP="00281513">
            <w:pPr>
              <w:rPr>
                <w:rFonts w:eastAsia="Arial"/>
              </w:rPr>
            </w:pPr>
            <w:r w:rsidRPr="00E33EFF">
              <w:rPr>
                <w:rFonts w:eastAsia="Arial"/>
              </w:rPr>
              <w:t>1.2</w:t>
            </w:r>
          </w:p>
        </w:tc>
        <w:tc>
          <w:tcPr>
            <w:tcW w:w="3694" w:type="dxa"/>
          </w:tcPr>
          <w:p w14:paraId="663554F6" w14:textId="77777777" w:rsidR="005C40F8" w:rsidRPr="00E33EFF" w:rsidRDefault="005C40F8" w:rsidP="00281513">
            <w:pPr>
              <w:rPr>
                <w:bCs/>
                <w:color w:val="000000"/>
                <w:lang w:eastAsia="lt-LT"/>
              </w:rPr>
            </w:pPr>
            <w:r w:rsidRPr="00E33EFF">
              <w:rPr>
                <w:bCs/>
                <w:color w:val="000000"/>
                <w:lang w:eastAsia="lt-LT"/>
              </w:rPr>
              <w:t xml:space="preserve">Registracijos data </w:t>
            </w:r>
          </w:p>
          <w:p w14:paraId="27094CF7" w14:textId="77777777" w:rsidR="005C40F8" w:rsidRPr="00E33EFF" w:rsidRDefault="005C40F8" w:rsidP="00281513">
            <w:pPr>
              <w:rPr>
                <w:bCs/>
                <w:color w:val="000000"/>
                <w:lang w:eastAsia="lt-LT"/>
              </w:rPr>
            </w:pPr>
          </w:p>
        </w:tc>
        <w:tc>
          <w:tcPr>
            <w:tcW w:w="5167" w:type="dxa"/>
          </w:tcPr>
          <w:p w14:paraId="2ADA7347" w14:textId="77777777" w:rsidR="005C40F8" w:rsidRPr="00F63888" w:rsidRDefault="00000000" w:rsidP="00281513">
            <w:pPr>
              <w:rPr>
                <w:rStyle w:val="Style2"/>
                <w:color w:val="000000" w:themeColor="text1"/>
                <w:sz w:val="24"/>
              </w:rPr>
            </w:pPr>
            <w:sdt>
              <w:sdtPr>
                <w:rPr>
                  <w:sz w:val="32"/>
                </w:rPr>
                <w:alias w:val="Nurodykite konkrečią dieną"/>
                <w:tag w:val="Nurodykite pradžios datą"/>
                <w:id w:val="2135133965"/>
                <w:placeholder>
                  <w:docPart w:val="32CE3052C92E49BC81AE549E8380FCDA"/>
                </w:placeholder>
                <w15:color w:val="FFCC99"/>
                <w:date>
                  <w:dateFormat w:val="yyyy 'm.' MMMM d 'd.'"/>
                  <w:lid w:val="lt-LT"/>
                  <w:storeMappedDataAs w:val="dateTime"/>
                  <w:calendar w:val="gregorian"/>
                </w:date>
              </w:sdtPr>
              <w:sdtEndPr>
                <w:rPr>
                  <w:sz w:val="24"/>
                </w:rPr>
              </w:sdtEndPr>
              <w:sdtContent>
                <w:r w:rsidR="005C40F8" w:rsidRPr="00F50663">
                  <w:t>2019 vasario 19 d.</w:t>
                </w:r>
              </w:sdtContent>
            </w:sdt>
          </w:p>
        </w:tc>
      </w:tr>
      <w:tr w:rsidR="005C40F8" w:rsidRPr="00E33EFF" w14:paraId="64462157" w14:textId="77777777" w:rsidTr="00281513">
        <w:trPr>
          <w:trHeight w:val="1500"/>
        </w:trPr>
        <w:tc>
          <w:tcPr>
            <w:tcW w:w="632" w:type="dxa"/>
          </w:tcPr>
          <w:p w14:paraId="25F20BB1" w14:textId="77777777" w:rsidR="005C40F8" w:rsidRPr="00E33EFF" w:rsidRDefault="005C40F8" w:rsidP="00281513">
            <w:pPr>
              <w:rPr>
                <w:rFonts w:eastAsia="Arial"/>
              </w:rPr>
            </w:pPr>
            <w:r w:rsidRPr="00E33EFF">
              <w:rPr>
                <w:rFonts w:eastAsia="Arial"/>
              </w:rPr>
              <w:t>1.3</w:t>
            </w:r>
          </w:p>
        </w:tc>
        <w:tc>
          <w:tcPr>
            <w:tcW w:w="3694" w:type="dxa"/>
          </w:tcPr>
          <w:p w14:paraId="51B75A6B" w14:textId="77777777" w:rsidR="005C40F8" w:rsidRPr="00E33EFF" w:rsidRDefault="005C40F8" w:rsidP="00281513">
            <w:r w:rsidRPr="00E33EFF">
              <w:t xml:space="preserve">Paraiškos tipas </w:t>
            </w:r>
          </w:p>
          <w:p w14:paraId="0214A1E7" w14:textId="77777777" w:rsidR="005C40F8" w:rsidRPr="00E33EFF" w:rsidRDefault="005C40F8" w:rsidP="00281513">
            <w:r w:rsidRPr="00E33EFF">
              <w:t xml:space="preserve">(pagal </w:t>
            </w:r>
            <w:r w:rsidRPr="00E33EFF">
              <w:rPr>
                <w:color w:val="333333"/>
                <w:shd w:val="clear" w:color="auto" w:fill="FFFFFF"/>
              </w:rPr>
              <w:t>vaistinio preparato registracijos tipą, įtvirtintą</w:t>
            </w:r>
            <w:r w:rsidRPr="00E33EFF">
              <w:t xml:space="preserve"> Direktyvos 2001/83/EB </w:t>
            </w:r>
            <w:proofErr w:type="spellStart"/>
            <w:r w:rsidRPr="00E33EFF">
              <w:t>straipsiuose</w:t>
            </w:r>
            <w:proofErr w:type="spellEnd"/>
            <w:r w:rsidRPr="00E33EFF">
              <w:t>)</w:t>
            </w:r>
          </w:p>
          <w:p w14:paraId="6C93C506" w14:textId="77777777" w:rsidR="005C40F8" w:rsidRPr="00E33EFF" w:rsidRDefault="005C40F8" w:rsidP="00281513">
            <w:pPr>
              <w:rPr>
                <w:bCs/>
                <w:color w:val="000000"/>
                <w:lang w:eastAsia="lt-LT"/>
              </w:rPr>
            </w:pPr>
          </w:p>
        </w:tc>
        <w:tc>
          <w:tcPr>
            <w:tcW w:w="5167" w:type="dxa"/>
          </w:tcPr>
          <w:p w14:paraId="7BFA7A87" w14:textId="77777777" w:rsidR="005C40F8" w:rsidRPr="00E33EFF" w:rsidRDefault="00000000" w:rsidP="00281513">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5C40F8">
                  <w:rPr>
                    <w:rStyle w:val="Style2"/>
                    <w:rFonts w:ascii="MS Gothic" w:eastAsia="MS Gothic" w:hAnsi="MS Gothic" w:hint="eastAsia"/>
                    <w:sz w:val="22"/>
                    <w:szCs w:val="22"/>
                  </w:rPr>
                  <w:t>☒</w:t>
                </w:r>
              </w:sdtContent>
            </w:sdt>
            <w:r w:rsidR="005C40F8" w:rsidRPr="00E33EFF">
              <w:rPr>
                <w:sz w:val="22"/>
                <w:szCs w:val="22"/>
              </w:rPr>
              <w:t xml:space="preserve">8.3 str. (pilna byla, pagrįsta savais tyrimais) </w:t>
            </w:r>
          </w:p>
          <w:p w14:paraId="533B8DD8" w14:textId="77777777" w:rsidR="005C40F8" w:rsidRPr="00E33EFF" w:rsidRDefault="00000000" w:rsidP="00281513">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2"/>
                    <w:szCs w:val="22"/>
                  </w:rPr>
                  <w:t>☐</w:t>
                </w:r>
              </w:sdtContent>
            </w:sdt>
            <w:r w:rsidR="005C40F8" w:rsidRPr="00E33EFF">
              <w:rPr>
                <w:sz w:val="22"/>
                <w:szCs w:val="22"/>
              </w:rPr>
              <w:t xml:space="preserve">10 a str. (pripažintas medicininis vartojimas) </w:t>
            </w:r>
          </w:p>
          <w:p w14:paraId="2EBD7A9A" w14:textId="77777777" w:rsidR="005C40F8" w:rsidRPr="00E33EFF" w:rsidRDefault="00000000" w:rsidP="00281513">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2"/>
                    <w:szCs w:val="22"/>
                  </w:rPr>
                  <w:t>☐</w:t>
                </w:r>
              </w:sdtContent>
            </w:sdt>
            <w:r w:rsidR="005C40F8" w:rsidRPr="00E33EFF">
              <w:rPr>
                <w:sz w:val="22"/>
                <w:szCs w:val="22"/>
              </w:rPr>
              <w:t>10.1 str. (</w:t>
            </w:r>
            <w:proofErr w:type="spellStart"/>
            <w:r w:rsidR="005C40F8" w:rsidRPr="00E33EFF">
              <w:rPr>
                <w:sz w:val="22"/>
                <w:szCs w:val="22"/>
              </w:rPr>
              <w:t>generinis</w:t>
            </w:r>
            <w:proofErr w:type="spellEnd"/>
            <w:r w:rsidR="005C40F8" w:rsidRPr="00E33EFF">
              <w:rPr>
                <w:sz w:val="22"/>
                <w:szCs w:val="22"/>
              </w:rPr>
              <w:t>)</w:t>
            </w:r>
          </w:p>
          <w:p w14:paraId="36152556" w14:textId="77777777" w:rsidR="005C40F8" w:rsidRPr="00E33EFF" w:rsidRDefault="00000000" w:rsidP="00281513">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2"/>
                    <w:szCs w:val="22"/>
                  </w:rPr>
                  <w:t>☐</w:t>
                </w:r>
              </w:sdtContent>
            </w:sdt>
            <w:r w:rsidR="005C40F8" w:rsidRPr="00E33EFF">
              <w:rPr>
                <w:sz w:val="22"/>
                <w:szCs w:val="22"/>
              </w:rPr>
              <w:t>10.3 str. (hibridinis)</w:t>
            </w:r>
          </w:p>
        </w:tc>
      </w:tr>
      <w:tr w:rsidR="005C40F8" w:rsidRPr="00E33EFF" w14:paraId="54EEC2C6" w14:textId="77777777" w:rsidTr="00281513">
        <w:trPr>
          <w:trHeight w:val="1442"/>
        </w:trPr>
        <w:tc>
          <w:tcPr>
            <w:tcW w:w="632" w:type="dxa"/>
          </w:tcPr>
          <w:p w14:paraId="717A0349" w14:textId="77777777" w:rsidR="005C40F8" w:rsidRPr="00E33EFF" w:rsidRDefault="005C40F8" w:rsidP="00281513">
            <w:pPr>
              <w:rPr>
                <w:rFonts w:eastAsia="Arial"/>
              </w:rPr>
            </w:pPr>
            <w:r w:rsidRPr="00E33EFF">
              <w:rPr>
                <w:rFonts w:eastAsia="Arial"/>
              </w:rPr>
              <w:t>1.4</w:t>
            </w:r>
          </w:p>
        </w:tc>
        <w:tc>
          <w:tcPr>
            <w:tcW w:w="3694" w:type="dxa"/>
          </w:tcPr>
          <w:p w14:paraId="70DCEAF2" w14:textId="77777777" w:rsidR="005C40F8" w:rsidRPr="00E33EFF" w:rsidRDefault="005C40F8" w:rsidP="00281513">
            <w:pPr>
              <w:rPr>
                <w:bCs/>
                <w:color w:val="000000"/>
                <w:lang w:eastAsia="lt-LT"/>
              </w:rPr>
            </w:pPr>
            <w:r w:rsidRPr="00E33EFF">
              <w:rPr>
                <w:bCs/>
                <w:color w:val="000000"/>
                <w:lang w:eastAsia="lt-LT"/>
              </w:rPr>
              <w:t xml:space="preserve">Ar vaistinis preparatas įrašytas į Bendrijos retųjų vaistinių preparatų registrą? </w:t>
            </w:r>
          </w:p>
          <w:p w14:paraId="662E479D" w14:textId="77777777" w:rsidR="005C40F8" w:rsidRPr="00E33EFF" w:rsidRDefault="005C40F8" w:rsidP="00281513">
            <w:pPr>
              <w:rPr>
                <w:bCs/>
                <w:color w:val="000000"/>
                <w:lang w:eastAsia="lt-LT"/>
              </w:rPr>
            </w:pPr>
          </w:p>
        </w:tc>
        <w:tc>
          <w:tcPr>
            <w:tcW w:w="5167" w:type="dxa"/>
          </w:tcPr>
          <w:p w14:paraId="187E3C10" w14:textId="77777777" w:rsidR="005C40F8" w:rsidRPr="00E33EFF" w:rsidRDefault="00000000" w:rsidP="00281513">
            <w:sdt>
              <w:sdtPr>
                <w:rPr>
                  <w:rStyle w:val="Style2"/>
                  <w:sz w:val="24"/>
                </w:rPr>
                <w:id w:val="1144012284"/>
                <w15:color w:val="FFCC00"/>
                <w14:checkbox>
                  <w14:checked w14:val="0"/>
                  <w14:checkedState w14:val="2612" w14:font="MS Gothic"/>
                  <w14:uncheckedState w14:val="2610" w14:font="MS Gothic"/>
                </w14:checkbox>
              </w:sdtPr>
              <w:sdtContent>
                <w:r w:rsidR="005C40F8" w:rsidRPr="00E33EFF">
                  <w:rPr>
                    <w:rStyle w:val="Style2"/>
                    <w:rFonts w:ascii="MS Gothic" w:eastAsia="MS Gothic" w:hAnsi="MS Gothic" w:hint="eastAsia"/>
                    <w:sz w:val="24"/>
                  </w:rPr>
                  <w:t>☐</w:t>
                </w:r>
              </w:sdtContent>
            </w:sdt>
            <w:r w:rsidR="005C40F8" w:rsidRPr="00E33EFF">
              <w:t xml:space="preserve"> Taip</w:t>
            </w:r>
          </w:p>
          <w:p w14:paraId="3DD2E61D" w14:textId="77777777" w:rsidR="005C40F8" w:rsidRPr="00E33EFF" w:rsidRDefault="00000000" w:rsidP="00281513">
            <w:sdt>
              <w:sdtPr>
                <w:rPr>
                  <w:rStyle w:val="Style2"/>
                  <w:sz w:val="24"/>
                </w:rPr>
                <w:id w:val="1042330708"/>
                <w15:color w:val="FFCC00"/>
                <w14:checkbox>
                  <w14:checked w14:val="1"/>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Ne</w:t>
            </w:r>
          </w:p>
          <w:p w14:paraId="5ED2B821" w14:textId="77777777" w:rsidR="005C40F8" w:rsidRPr="00E33EFF" w:rsidRDefault="00000000" w:rsidP="00281513">
            <w:pPr>
              <w:rPr>
                <w:rFonts w:eastAsia="Arial"/>
              </w:rPr>
            </w:pPr>
            <w:sdt>
              <w:sdtPr>
                <w:alias w:val="Nurodykite konkrečią dieną"/>
                <w:tag w:val="Nurodykite pradžios datą"/>
                <w:id w:val="693498901"/>
                <w:placeholder>
                  <w:docPart w:val="DBD6A6E84E7D48F7A9A3EB0068AF70A1"/>
                </w:placeholder>
                <w:showingPlcHdr/>
                <w15:color w:val="FFCC99"/>
                <w:date w:fullDate="2022-05-18T00:00:00Z">
                  <w:dateFormat w:val="yyyy 'm.' MMMM d 'd.'"/>
                  <w:lid w:val="lt-LT"/>
                  <w:storeMappedDataAs w:val="dateTime"/>
                  <w:calendar w:val="gregorian"/>
                </w:date>
              </w:sdtPr>
              <w:sdtContent>
                <w:r w:rsidR="005C40F8" w:rsidRPr="00E33EFF">
                  <w:rPr>
                    <w:rStyle w:val="PlaceholderText"/>
                  </w:rPr>
                  <w:t>Click here to enter a date.</w:t>
                </w:r>
              </w:sdtContent>
            </w:sdt>
          </w:p>
        </w:tc>
      </w:tr>
      <w:tr w:rsidR="005C40F8" w:rsidRPr="00E33EFF" w14:paraId="39AE2080" w14:textId="77777777" w:rsidTr="00281513">
        <w:trPr>
          <w:trHeight w:val="476"/>
        </w:trPr>
        <w:tc>
          <w:tcPr>
            <w:tcW w:w="632" w:type="dxa"/>
          </w:tcPr>
          <w:p w14:paraId="66B2F846" w14:textId="77777777" w:rsidR="005C40F8" w:rsidRPr="00E33EFF" w:rsidRDefault="005C40F8" w:rsidP="00281513">
            <w:pPr>
              <w:rPr>
                <w:rFonts w:eastAsia="Arial"/>
              </w:rPr>
            </w:pPr>
            <w:r w:rsidRPr="00E33EFF">
              <w:rPr>
                <w:rFonts w:eastAsia="Arial"/>
              </w:rPr>
              <w:t>1.5</w:t>
            </w:r>
          </w:p>
        </w:tc>
        <w:tc>
          <w:tcPr>
            <w:tcW w:w="3694" w:type="dxa"/>
          </w:tcPr>
          <w:p w14:paraId="7AEB872B" w14:textId="77777777" w:rsidR="005C40F8" w:rsidRPr="00E33EFF" w:rsidRDefault="005C40F8" w:rsidP="00281513">
            <w:pPr>
              <w:rPr>
                <w:bCs/>
                <w:color w:val="000000"/>
                <w:lang w:eastAsia="lt-LT"/>
              </w:rPr>
            </w:pPr>
            <w:r w:rsidRPr="00E33EFF">
              <w:t>STV paraiškos pobūdis</w:t>
            </w:r>
          </w:p>
        </w:tc>
        <w:tc>
          <w:tcPr>
            <w:tcW w:w="5167" w:type="dxa"/>
          </w:tcPr>
          <w:p w14:paraId="38AD727C" w14:textId="77777777" w:rsidR="005C40F8" w:rsidRPr="00E33EFF" w:rsidRDefault="00000000" w:rsidP="00281513">
            <w:sdt>
              <w:sdtPr>
                <w:rPr>
                  <w:rStyle w:val="Style2"/>
                  <w:sz w:val="24"/>
                </w:rPr>
                <w:id w:val="1342053346"/>
                <w15:color w:val="FFCC00"/>
                <w14:checkbox>
                  <w14:checked w14:val="1"/>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Pilna paraiška</w:t>
            </w:r>
          </w:p>
          <w:p w14:paraId="710DCE3E" w14:textId="77777777" w:rsidR="005C40F8" w:rsidRPr="00E33EFF" w:rsidRDefault="00000000" w:rsidP="00281513">
            <w:sdt>
              <w:sdtPr>
                <w:rPr>
                  <w:rStyle w:val="Style2"/>
                  <w:sz w:val="24"/>
                </w:rPr>
                <w:id w:val="-335920851"/>
                <w15:color w:val="FFCC00"/>
                <w14:checkbox>
                  <w14:checked w14:val="0"/>
                  <w14:checkedState w14:val="2612" w14:font="MS Gothic"/>
                  <w14:uncheckedState w14:val="2610" w14:font="MS Gothic"/>
                </w14:checkbox>
              </w:sdtPr>
              <w:sdtContent>
                <w:r w:rsidR="005C40F8" w:rsidRPr="00E33EFF">
                  <w:rPr>
                    <w:rStyle w:val="Style2"/>
                    <w:rFonts w:ascii="MS Gothic" w:eastAsia="MS Gothic" w:hAnsi="MS Gothic" w:hint="eastAsia"/>
                    <w:sz w:val="24"/>
                  </w:rPr>
                  <w:t>☐</w:t>
                </w:r>
              </w:sdtContent>
            </w:sdt>
            <w:r w:rsidR="005C40F8" w:rsidRPr="00E33EFF">
              <w:t xml:space="preserve"> Supaprastinta paraiška</w:t>
            </w:r>
          </w:p>
        </w:tc>
      </w:tr>
      <w:tr w:rsidR="005C40F8" w:rsidRPr="00E33EFF" w14:paraId="1A6F8C1A" w14:textId="77777777" w:rsidTr="00281513">
        <w:trPr>
          <w:trHeight w:val="1922"/>
        </w:trPr>
        <w:tc>
          <w:tcPr>
            <w:tcW w:w="632" w:type="dxa"/>
          </w:tcPr>
          <w:p w14:paraId="6821B1A1" w14:textId="77777777" w:rsidR="005C40F8" w:rsidRPr="00E33EFF" w:rsidRDefault="005C40F8" w:rsidP="00281513">
            <w:pPr>
              <w:rPr>
                <w:rFonts w:eastAsia="Arial"/>
              </w:rPr>
            </w:pPr>
            <w:r w:rsidRPr="00E33EFF">
              <w:rPr>
                <w:rFonts w:eastAsia="Arial"/>
              </w:rPr>
              <w:t>1.6</w:t>
            </w:r>
          </w:p>
        </w:tc>
        <w:tc>
          <w:tcPr>
            <w:tcW w:w="3694" w:type="dxa"/>
          </w:tcPr>
          <w:p w14:paraId="6FA8533D" w14:textId="77777777" w:rsidR="005C40F8" w:rsidRPr="00E33EFF" w:rsidRDefault="005C40F8" w:rsidP="00281513">
            <w:pPr>
              <w:rPr>
                <w:bCs/>
                <w:color w:val="000000"/>
                <w:lang w:eastAsia="lt-LT"/>
              </w:rPr>
            </w:pPr>
            <w:r w:rsidRPr="00E33EFF">
              <w:rPr>
                <w:bCs/>
                <w:color w:val="000000"/>
                <w:lang w:eastAsia="lt-LT"/>
              </w:rPr>
              <w:t>Pareiškėjo teikiama (-</w:t>
            </w:r>
            <w:proofErr w:type="spellStart"/>
            <w:r w:rsidRPr="00E33EFF">
              <w:rPr>
                <w:bCs/>
                <w:color w:val="000000"/>
                <w:lang w:eastAsia="lt-LT"/>
              </w:rPr>
              <w:t>os</w:t>
            </w:r>
            <w:proofErr w:type="spellEnd"/>
            <w:r w:rsidRPr="00E33EFF">
              <w:rPr>
                <w:bCs/>
                <w:color w:val="000000"/>
                <w:lang w:eastAsia="lt-LT"/>
              </w:rPr>
              <w:t>) kompensuoti vaistinio preparato indikacija (-</w:t>
            </w:r>
            <w:proofErr w:type="spellStart"/>
            <w:r w:rsidRPr="00E33EFF">
              <w:rPr>
                <w:bCs/>
                <w:color w:val="000000"/>
                <w:lang w:eastAsia="lt-LT"/>
              </w:rPr>
              <w:t>os</w:t>
            </w:r>
            <w:proofErr w:type="spellEnd"/>
            <w:r w:rsidRPr="00E33EFF">
              <w:rPr>
                <w:bCs/>
                <w:color w:val="000000"/>
                <w:lang w:eastAsia="lt-LT"/>
              </w:rPr>
              <w:t>)</w:t>
            </w:r>
          </w:p>
          <w:p w14:paraId="278E3EA0" w14:textId="77777777" w:rsidR="005C40F8" w:rsidRDefault="005C40F8" w:rsidP="00281513">
            <w:pPr>
              <w:rPr>
                <w:bCs/>
                <w:color w:val="000000"/>
                <w:lang w:eastAsia="lt-LT"/>
              </w:rPr>
            </w:pPr>
          </w:p>
          <w:p w14:paraId="17055685" w14:textId="77777777" w:rsidR="005C40F8" w:rsidRPr="00E33EFF" w:rsidRDefault="005C40F8" w:rsidP="00281513">
            <w:pPr>
              <w:rPr>
                <w:bCs/>
                <w:color w:val="000000"/>
                <w:lang w:eastAsia="lt-LT"/>
              </w:rPr>
            </w:pPr>
            <w:r w:rsidRPr="00E33EFF">
              <w:rPr>
                <w:bCs/>
                <w:color w:val="000000"/>
                <w:lang w:eastAsia="lt-LT"/>
              </w:rPr>
              <w:t>Kodas pagal TLK-10 AM</w:t>
            </w:r>
          </w:p>
        </w:tc>
        <w:tc>
          <w:tcPr>
            <w:tcW w:w="5167" w:type="dxa"/>
          </w:tcPr>
          <w:p w14:paraId="42D4F05A" w14:textId="77777777" w:rsidR="005C40F8" w:rsidRPr="00045BAC" w:rsidRDefault="005C40F8" w:rsidP="00281513">
            <w:pPr>
              <w:pStyle w:val="ListParagraph"/>
              <w:spacing w:after="120"/>
              <w:ind w:left="0"/>
              <w:contextualSpacing w:val="0"/>
              <w:jc w:val="both"/>
            </w:pPr>
            <w:proofErr w:type="spellStart"/>
            <w:r w:rsidRPr="00045BAC">
              <w:t>Besremi</w:t>
            </w:r>
            <w:proofErr w:type="spellEnd"/>
            <w:r w:rsidRPr="00045BAC">
              <w:t xml:space="preserve">, kaip </w:t>
            </w:r>
            <w:proofErr w:type="spellStart"/>
            <w:r w:rsidRPr="00045BAC">
              <w:t>monoterapija</w:t>
            </w:r>
            <w:proofErr w:type="spellEnd"/>
            <w:r w:rsidRPr="00045BAC">
              <w:t xml:space="preserve">, yra skirtas suaugusiesiems gydyti tikrąją </w:t>
            </w:r>
            <w:proofErr w:type="spellStart"/>
            <w:r w:rsidRPr="00045BAC">
              <w:t>policitemiją</w:t>
            </w:r>
            <w:proofErr w:type="spellEnd"/>
            <w:r w:rsidRPr="00045BAC">
              <w:t xml:space="preserve"> be simptominės </w:t>
            </w:r>
            <w:proofErr w:type="spellStart"/>
            <w:r w:rsidRPr="00045BAC">
              <w:t>splenomegalijos</w:t>
            </w:r>
            <w:proofErr w:type="spellEnd"/>
            <w:r w:rsidRPr="00045BAC">
              <w:t>.</w:t>
            </w:r>
          </w:p>
          <w:p w14:paraId="7E1583D5" w14:textId="77777777" w:rsidR="005C40F8" w:rsidRPr="00E33EFF" w:rsidRDefault="005C40F8" w:rsidP="00281513">
            <w:pPr>
              <w:pStyle w:val="ListParagraph"/>
              <w:spacing w:after="120" w:line="276" w:lineRule="auto"/>
              <w:ind w:left="0"/>
              <w:contextualSpacing w:val="0"/>
              <w:jc w:val="both"/>
            </w:pPr>
            <w:r w:rsidRPr="00045BAC">
              <w:t>D45</w:t>
            </w:r>
          </w:p>
        </w:tc>
      </w:tr>
      <w:tr w:rsidR="005C40F8" w:rsidRPr="00E33EFF" w14:paraId="786B55AF" w14:textId="77777777" w:rsidTr="00281513">
        <w:trPr>
          <w:trHeight w:val="378"/>
        </w:trPr>
        <w:tc>
          <w:tcPr>
            <w:tcW w:w="632" w:type="dxa"/>
          </w:tcPr>
          <w:p w14:paraId="445E6F87" w14:textId="77777777" w:rsidR="005C40F8" w:rsidRPr="00E33EFF" w:rsidRDefault="005C40F8" w:rsidP="00281513">
            <w:pPr>
              <w:rPr>
                <w:rFonts w:eastAsia="Arial"/>
              </w:rPr>
            </w:pPr>
            <w:r w:rsidRPr="00E33EFF">
              <w:rPr>
                <w:rFonts w:eastAsia="Arial"/>
              </w:rPr>
              <w:lastRenderedPageBreak/>
              <w:t>1.6</w:t>
            </w:r>
          </w:p>
        </w:tc>
        <w:tc>
          <w:tcPr>
            <w:tcW w:w="3694" w:type="dxa"/>
          </w:tcPr>
          <w:p w14:paraId="75E95CB7" w14:textId="77777777" w:rsidR="005C40F8" w:rsidRPr="00E33EFF" w:rsidRDefault="005C40F8" w:rsidP="00281513">
            <w:pPr>
              <w:rPr>
                <w:bCs/>
                <w:color w:val="000000"/>
                <w:u w:val="single"/>
                <w:lang w:eastAsia="lt-LT"/>
              </w:rPr>
            </w:pPr>
            <w:r w:rsidRPr="00E33EFF">
              <w:rPr>
                <w:bCs/>
                <w:color w:val="000000"/>
                <w:lang w:eastAsia="lt-LT"/>
              </w:rPr>
              <w:t xml:space="preserve">Pareiškėjo teikiamos skyrimo sąlygos </w:t>
            </w:r>
          </w:p>
        </w:tc>
        <w:tc>
          <w:tcPr>
            <w:tcW w:w="5167" w:type="dxa"/>
          </w:tcPr>
          <w:p w14:paraId="1496CE0C" w14:textId="77777777" w:rsidR="005C40F8" w:rsidRPr="00E33EFF" w:rsidRDefault="005C40F8" w:rsidP="00281513">
            <w:r w:rsidRPr="00045BAC">
              <w:t xml:space="preserve">Tikrąja </w:t>
            </w:r>
            <w:proofErr w:type="spellStart"/>
            <w:r w:rsidRPr="00045BAC">
              <w:t>policitemija</w:t>
            </w:r>
            <w:proofErr w:type="spellEnd"/>
            <w:r w:rsidRPr="00045BAC">
              <w:t xml:space="preserve"> sergantiems pacientams, kuriems reikia </w:t>
            </w:r>
            <w:proofErr w:type="spellStart"/>
            <w:r w:rsidRPr="00045BAC">
              <w:t>citoredukcinio</w:t>
            </w:r>
            <w:proofErr w:type="spellEnd"/>
            <w:r w:rsidRPr="00045BAC">
              <w:t xml:space="preserve"> gydymo ir </w:t>
            </w:r>
            <w:r w:rsidRPr="007D046E">
              <w:t xml:space="preserve">kurių negalima gydyti </w:t>
            </w:r>
            <w:proofErr w:type="spellStart"/>
            <w:r w:rsidRPr="007D046E">
              <w:t>hidroksikarbamidu</w:t>
            </w:r>
            <w:proofErr w:type="spellEnd"/>
            <w:r w:rsidRPr="007D046E">
              <w:t>.</w:t>
            </w:r>
          </w:p>
        </w:tc>
      </w:tr>
      <w:tr w:rsidR="005C40F8" w:rsidRPr="00E33EFF" w14:paraId="3BF94FC7" w14:textId="77777777" w:rsidTr="00281513">
        <w:trPr>
          <w:trHeight w:val="378"/>
        </w:trPr>
        <w:tc>
          <w:tcPr>
            <w:tcW w:w="632" w:type="dxa"/>
          </w:tcPr>
          <w:p w14:paraId="48C304AC" w14:textId="77777777" w:rsidR="005C40F8" w:rsidRPr="00E33EFF" w:rsidRDefault="005C40F8" w:rsidP="00281513">
            <w:pPr>
              <w:rPr>
                <w:rFonts w:eastAsia="Arial"/>
              </w:rPr>
            </w:pPr>
            <w:r w:rsidRPr="00E33EFF">
              <w:rPr>
                <w:rFonts w:eastAsia="Arial"/>
              </w:rPr>
              <w:t>1.7</w:t>
            </w:r>
          </w:p>
        </w:tc>
        <w:tc>
          <w:tcPr>
            <w:tcW w:w="3694" w:type="dxa"/>
          </w:tcPr>
          <w:p w14:paraId="7C971C1D" w14:textId="77777777" w:rsidR="005C40F8" w:rsidRDefault="005C40F8" w:rsidP="00281513">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4C1E7860" w14:textId="1B5E8776" w:rsidR="005C40F8" w:rsidRDefault="005C40F8" w:rsidP="00281513">
            <w:pPr>
              <w:rPr>
                <w:bCs/>
                <w:i/>
                <w:color w:val="000000"/>
                <w:lang w:eastAsia="lt-LT"/>
              </w:rPr>
            </w:pPr>
            <w:r w:rsidRPr="007C7519">
              <w:rPr>
                <w:bCs/>
                <w:i/>
                <w:color w:val="000000"/>
                <w:lang w:eastAsia="lt-LT"/>
              </w:rPr>
              <w:t>Tiesioginis</w:t>
            </w:r>
            <w:r w:rsidR="001938AC">
              <w:rPr>
                <w:bCs/>
                <w:i/>
                <w:color w:val="000000"/>
                <w:lang w:eastAsia="lt-LT"/>
              </w:rPr>
              <w:t xml:space="preserve"> palyginimas</w:t>
            </w:r>
          </w:p>
          <w:p w14:paraId="47FCCDD2" w14:textId="77777777" w:rsidR="005C40F8" w:rsidRDefault="005C40F8" w:rsidP="00281513">
            <w:pPr>
              <w:rPr>
                <w:color w:val="000000"/>
                <w:lang w:eastAsia="lt-LT"/>
              </w:rPr>
            </w:pPr>
          </w:p>
          <w:p w14:paraId="4870CE0D" w14:textId="77777777" w:rsidR="005C40F8" w:rsidRPr="00E33EFF" w:rsidRDefault="005C40F8" w:rsidP="00281513">
            <w:pPr>
              <w:rPr>
                <w:bCs/>
                <w:color w:val="000000"/>
                <w:lang w:eastAsia="lt-LT"/>
              </w:rPr>
            </w:pPr>
          </w:p>
        </w:tc>
        <w:tc>
          <w:tcPr>
            <w:tcW w:w="5167" w:type="dxa"/>
          </w:tcPr>
          <w:p w14:paraId="2A9D9D9E" w14:textId="77777777" w:rsidR="005C40F8" w:rsidRDefault="005C40F8" w:rsidP="00281513">
            <w:pPr>
              <w:rPr>
                <w:rStyle w:val="Style2"/>
                <w:sz w:val="24"/>
              </w:rPr>
            </w:pPr>
          </w:p>
          <w:p w14:paraId="7BB48884" w14:textId="77777777" w:rsidR="005C40F8" w:rsidRPr="00E33EFF" w:rsidRDefault="005C40F8" w:rsidP="00281513"/>
          <w:p w14:paraId="57E63327" w14:textId="77777777" w:rsidR="005C40F8" w:rsidRPr="00E33EFF" w:rsidRDefault="00000000" w:rsidP="00281513">
            <w:sdt>
              <w:sdtPr>
                <w:rPr>
                  <w:rStyle w:val="Style2"/>
                  <w:sz w:val="24"/>
                </w:rPr>
                <w:id w:val="-439376113"/>
                <w15:color w:val="FFCC00"/>
                <w14:checkbox>
                  <w14:checked w14:val="1"/>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Tinkamas</w:t>
            </w:r>
          </w:p>
          <w:p w14:paraId="35453B1B" w14:textId="77777777" w:rsidR="005C40F8" w:rsidRPr="00E33EFF" w:rsidRDefault="00000000" w:rsidP="00281513">
            <w:sdt>
              <w:sdtPr>
                <w:rPr>
                  <w:rStyle w:val="Style2"/>
                  <w:sz w:val="24"/>
                </w:rPr>
                <w:id w:val="991603600"/>
                <w15:color w:val="FFCC00"/>
                <w14:checkbox>
                  <w14:checked w14:val="0"/>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Netinkama</w:t>
            </w:r>
            <w:r w:rsidR="005C40F8">
              <w:t>s</w:t>
            </w:r>
          </w:p>
        </w:tc>
      </w:tr>
    </w:tbl>
    <w:p w14:paraId="108176F7" w14:textId="3D3163D5" w:rsidR="00F70C9E" w:rsidRDefault="00F70C9E" w:rsidP="00E03C3F">
      <w:pPr>
        <w:pStyle w:val="ListParagraph"/>
        <w:tabs>
          <w:tab w:val="left" w:pos="426"/>
        </w:tabs>
        <w:ind w:left="0"/>
        <w:rPr>
          <w:b/>
          <w:bCs/>
          <w:caps/>
        </w:rPr>
      </w:pPr>
    </w:p>
    <w:p w14:paraId="1948C8BA" w14:textId="77777777" w:rsidR="008B2311" w:rsidRDefault="008B2311" w:rsidP="00E03C3F">
      <w:pPr>
        <w:pStyle w:val="ListParagraph"/>
        <w:tabs>
          <w:tab w:val="left" w:pos="426"/>
        </w:tabs>
        <w:ind w:left="0"/>
        <w:rPr>
          <w:b/>
          <w:bCs/>
          <w:caps/>
        </w:rPr>
      </w:pPr>
    </w:p>
    <w:p w14:paraId="1242813B" w14:textId="75D28358" w:rsidR="0032204D" w:rsidRDefault="00F70C9E" w:rsidP="0032204D">
      <w:pPr>
        <w:pStyle w:val="ListParagraph"/>
        <w:numPr>
          <w:ilvl w:val="1"/>
          <w:numId w:val="12"/>
        </w:numPr>
        <w:spacing w:line="276" w:lineRule="auto"/>
        <w:jc w:val="both"/>
        <w:rPr>
          <w:rFonts w:eastAsia="Arial"/>
          <w:b/>
        </w:rPr>
      </w:pPr>
      <w:r w:rsidRPr="0032204D">
        <w:rPr>
          <w:rFonts w:eastAsia="Arial"/>
          <w:b/>
        </w:rPr>
        <w:t xml:space="preserve">Kitų </w:t>
      </w:r>
      <w:r w:rsidR="00DF583C" w:rsidRPr="0032204D">
        <w:rPr>
          <w:rFonts w:eastAsia="Arial"/>
          <w:b/>
        </w:rPr>
        <w:t xml:space="preserve">valstybių </w:t>
      </w:r>
      <w:r w:rsidRPr="0032204D">
        <w:rPr>
          <w:rFonts w:eastAsia="Arial"/>
          <w:b/>
        </w:rPr>
        <w:t xml:space="preserve">atsakingų institucijų atlikto </w:t>
      </w:r>
      <w:r w:rsidR="00DF583C" w:rsidRPr="0032204D">
        <w:rPr>
          <w:rFonts w:eastAsia="Arial"/>
          <w:b/>
        </w:rPr>
        <w:t>Sveikatos technologijų vertinimo (toliau – STV)</w:t>
      </w:r>
      <w:r w:rsidRPr="0032204D">
        <w:rPr>
          <w:rFonts w:eastAsia="Arial"/>
          <w:b/>
        </w:rPr>
        <w:t xml:space="preserve"> išvados</w:t>
      </w:r>
    </w:p>
    <w:p w14:paraId="2805AC0C" w14:textId="7CA6238B" w:rsidR="0032204D" w:rsidRDefault="0032204D" w:rsidP="0032204D">
      <w:pPr>
        <w:pStyle w:val="ListParagraph"/>
        <w:spacing w:line="276" w:lineRule="auto"/>
        <w:jc w:val="both"/>
        <w:rPr>
          <w:rFonts w:eastAsia="Arial"/>
          <w:b/>
        </w:rPr>
      </w:pPr>
    </w:p>
    <w:tbl>
      <w:tblPr>
        <w:tblStyle w:val="TableGrid"/>
        <w:tblW w:w="9918" w:type="dxa"/>
        <w:tblLook w:val="04A0" w:firstRow="1" w:lastRow="0" w:firstColumn="1" w:lastColumn="0" w:noHBand="0" w:noVBand="1"/>
      </w:tblPr>
      <w:tblGrid>
        <w:gridCol w:w="2927"/>
        <w:gridCol w:w="1915"/>
        <w:gridCol w:w="2351"/>
        <w:gridCol w:w="2725"/>
      </w:tblGrid>
      <w:tr w:rsidR="00E073B4" w:rsidRPr="00D05364" w14:paraId="7A4E6A48" w14:textId="77777777" w:rsidTr="00C44ADA">
        <w:trPr>
          <w:trHeight w:val="924"/>
        </w:trPr>
        <w:tc>
          <w:tcPr>
            <w:tcW w:w="2927" w:type="dxa"/>
          </w:tcPr>
          <w:p w14:paraId="10324BAC" w14:textId="77777777" w:rsidR="0032204D" w:rsidRPr="00D05364" w:rsidRDefault="0032204D" w:rsidP="00C44ADA">
            <w:pPr>
              <w:spacing w:line="276" w:lineRule="auto"/>
              <w:rPr>
                <w:rFonts w:eastAsia="Arial"/>
              </w:rPr>
            </w:pPr>
            <w:r w:rsidRPr="00D05364">
              <w:rPr>
                <w:rFonts w:eastAsia="Arial"/>
              </w:rPr>
              <w:t>STV agentūros pavadinimas, šalis</w:t>
            </w:r>
          </w:p>
        </w:tc>
        <w:tc>
          <w:tcPr>
            <w:tcW w:w="1915" w:type="dxa"/>
          </w:tcPr>
          <w:p w14:paraId="748DC58C" w14:textId="77777777" w:rsidR="0032204D" w:rsidRPr="00D05364" w:rsidRDefault="0032204D" w:rsidP="00C44ADA">
            <w:pPr>
              <w:spacing w:line="276" w:lineRule="auto"/>
              <w:rPr>
                <w:rFonts w:eastAsia="Arial"/>
              </w:rPr>
            </w:pPr>
            <w:r w:rsidRPr="00D05364">
              <w:rPr>
                <w:rFonts w:eastAsia="Arial"/>
              </w:rPr>
              <w:t>STV vertinimas atliktas</w:t>
            </w:r>
          </w:p>
        </w:tc>
        <w:tc>
          <w:tcPr>
            <w:tcW w:w="2351" w:type="dxa"/>
          </w:tcPr>
          <w:p w14:paraId="7DE0714F" w14:textId="77777777" w:rsidR="0032204D" w:rsidRPr="00D05364" w:rsidRDefault="0032204D" w:rsidP="00C44ADA">
            <w:pPr>
              <w:spacing w:line="276" w:lineRule="auto"/>
              <w:rPr>
                <w:rFonts w:eastAsia="Arial"/>
              </w:rPr>
            </w:pPr>
            <w:r w:rsidRPr="00D05364">
              <w:rPr>
                <w:rFonts w:eastAsia="Arial"/>
              </w:rPr>
              <w:t>Klinikinio vertinimo išvada</w:t>
            </w:r>
          </w:p>
        </w:tc>
        <w:tc>
          <w:tcPr>
            <w:tcW w:w="2725" w:type="dxa"/>
          </w:tcPr>
          <w:p w14:paraId="2667E1CE" w14:textId="77777777" w:rsidR="0032204D" w:rsidRPr="00D05364" w:rsidRDefault="0032204D" w:rsidP="00C44ADA">
            <w:pPr>
              <w:spacing w:line="276" w:lineRule="auto"/>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540135" w:rsidRPr="00D05364" w14:paraId="2A46B181" w14:textId="77777777" w:rsidTr="00BC4844">
        <w:trPr>
          <w:trHeight w:val="1765"/>
        </w:trPr>
        <w:tc>
          <w:tcPr>
            <w:tcW w:w="2927" w:type="dxa"/>
          </w:tcPr>
          <w:p w14:paraId="2D50532E" w14:textId="77777777" w:rsidR="00540135" w:rsidRPr="00521380" w:rsidRDefault="00540135" w:rsidP="00C44ADA">
            <w:pPr>
              <w:autoSpaceDE w:val="0"/>
              <w:autoSpaceDN w:val="0"/>
              <w:adjustRightInd w:val="0"/>
              <w:rPr>
                <w:bCs/>
              </w:rPr>
            </w:pPr>
            <w:r w:rsidRPr="00521380">
              <w:rPr>
                <w:bCs/>
              </w:rPr>
              <w:t>Nacionalinis sveikatos ir klinikinės kompetencijos institutas, Didžioji Britanija</w:t>
            </w:r>
          </w:p>
          <w:p w14:paraId="7D93CB79" w14:textId="77777777" w:rsidR="00540135" w:rsidRPr="00521380" w:rsidRDefault="00540135" w:rsidP="00C44ADA">
            <w:pPr>
              <w:spacing w:line="276" w:lineRule="auto"/>
              <w:rPr>
                <w:rFonts w:eastAsia="Arial"/>
              </w:rPr>
            </w:pPr>
            <w:r w:rsidRPr="00521380">
              <w:rPr>
                <w:rFonts w:eastAsia="Arial"/>
              </w:rPr>
              <w:t xml:space="preserve">(angl. </w:t>
            </w:r>
            <w:proofErr w:type="spellStart"/>
            <w:r w:rsidRPr="00521380">
              <w:rPr>
                <w:rFonts w:eastAsia="Arial"/>
                <w:i/>
              </w:rPr>
              <w:t>National</w:t>
            </w:r>
            <w:proofErr w:type="spellEnd"/>
            <w:r w:rsidRPr="00521380">
              <w:rPr>
                <w:rFonts w:eastAsia="Arial"/>
                <w:i/>
              </w:rPr>
              <w:t xml:space="preserve"> Institute </w:t>
            </w:r>
            <w:proofErr w:type="spellStart"/>
            <w:r w:rsidRPr="00521380">
              <w:rPr>
                <w:rFonts w:eastAsia="Arial"/>
                <w:i/>
              </w:rPr>
              <w:t>for</w:t>
            </w:r>
            <w:proofErr w:type="spellEnd"/>
            <w:r w:rsidRPr="00521380">
              <w:rPr>
                <w:rFonts w:eastAsia="Arial"/>
                <w:i/>
              </w:rPr>
              <w:t xml:space="preserve"> Health </w:t>
            </w:r>
            <w:proofErr w:type="spellStart"/>
            <w:r w:rsidRPr="00521380">
              <w:rPr>
                <w:rFonts w:eastAsia="Arial"/>
                <w:i/>
              </w:rPr>
              <w:t>and</w:t>
            </w:r>
            <w:proofErr w:type="spellEnd"/>
            <w:r w:rsidRPr="00521380">
              <w:rPr>
                <w:rFonts w:eastAsia="Arial"/>
                <w:i/>
              </w:rPr>
              <w:t xml:space="preserve"> Care </w:t>
            </w:r>
            <w:proofErr w:type="spellStart"/>
            <w:r w:rsidRPr="00521380">
              <w:rPr>
                <w:rFonts w:eastAsia="Arial"/>
                <w:i/>
              </w:rPr>
              <w:t>Excellence</w:t>
            </w:r>
            <w:proofErr w:type="spellEnd"/>
            <w:r w:rsidRPr="00521380">
              <w:rPr>
                <w:rFonts w:eastAsia="Arial"/>
                <w:i/>
              </w:rPr>
              <w:t>, NICE</w:t>
            </w:r>
            <w:r w:rsidRPr="00521380">
              <w:rPr>
                <w:rFonts w:eastAsia="Arial"/>
              </w:rPr>
              <w:t>)</w:t>
            </w:r>
          </w:p>
        </w:tc>
        <w:tc>
          <w:tcPr>
            <w:tcW w:w="1915" w:type="dxa"/>
          </w:tcPr>
          <w:p w14:paraId="29F1D0E7" w14:textId="77777777" w:rsidR="00540135" w:rsidRPr="00521380" w:rsidRDefault="00000000" w:rsidP="00C44ADA">
            <w:sdt>
              <w:sdtPr>
                <w:rPr>
                  <w:rStyle w:val="Style2"/>
                </w:rPr>
                <w:id w:val="1785611796"/>
              </w:sdtPr>
              <w:sdtContent>
                <w:r w:rsidR="00540135" w:rsidRPr="00521380">
                  <w:rPr>
                    <w:rStyle w:val="Style2"/>
                    <w:rFonts w:ascii="MS Gothic" w:eastAsia="MS Gothic" w:hAnsi="MS Gothic" w:hint="eastAsia"/>
                  </w:rPr>
                  <w:t>☐</w:t>
                </w:r>
              </w:sdtContent>
            </w:sdt>
            <w:r w:rsidR="00540135" w:rsidRPr="00521380">
              <w:t xml:space="preserve"> Taip</w:t>
            </w:r>
          </w:p>
          <w:p w14:paraId="3CE7EFC8" w14:textId="77777777" w:rsidR="00540135" w:rsidRPr="00521380" w:rsidRDefault="00000000" w:rsidP="00C44ADA">
            <w:sdt>
              <w:sdtPr>
                <w:rPr>
                  <w:rStyle w:val="Style2"/>
                </w:rPr>
                <w:id w:val="-926799301"/>
              </w:sdtPr>
              <w:sdtContent>
                <w:r w:rsidR="00540135" w:rsidRPr="00521380">
                  <w:rPr>
                    <w:rStyle w:val="Style2"/>
                    <w:rFonts w:ascii="MS Gothic" w:eastAsia="MS Gothic" w:hAnsi="MS Gothic" w:hint="eastAsia"/>
                  </w:rPr>
                  <w:t>☒</w:t>
                </w:r>
              </w:sdtContent>
            </w:sdt>
            <w:r w:rsidR="00540135" w:rsidRPr="00521380">
              <w:t xml:space="preserve"> Ne</w:t>
            </w:r>
          </w:p>
        </w:tc>
        <w:tc>
          <w:tcPr>
            <w:tcW w:w="5076" w:type="dxa"/>
            <w:gridSpan w:val="2"/>
          </w:tcPr>
          <w:p w14:paraId="3176812F" w14:textId="6B87F0C6" w:rsidR="00540135" w:rsidRPr="00521380" w:rsidRDefault="00975331" w:rsidP="00C44ADA">
            <w:pPr>
              <w:spacing w:line="276" w:lineRule="auto"/>
              <w:rPr>
                <w:rFonts w:eastAsia="Arial"/>
              </w:rPr>
            </w:pPr>
            <w:r>
              <w:rPr>
                <w:rFonts w:eastAsia="Arial"/>
              </w:rPr>
              <w:t>Procese</w:t>
            </w:r>
          </w:p>
        </w:tc>
      </w:tr>
      <w:tr w:rsidR="00540135" w:rsidRPr="00D05364" w14:paraId="31D618AE" w14:textId="77777777" w:rsidTr="004317FD">
        <w:trPr>
          <w:trHeight w:val="1125"/>
        </w:trPr>
        <w:tc>
          <w:tcPr>
            <w:tcW w:w="2927" w:type="dxa"/>
          </w:tcPr>
          <w:p w14:paraId="75147C00" w14:textId="77777777" w:rsidR="00540135" w:rsidRPr="00D05364" w:rsidRDefault="00540135" w:rsidP="00C44ADA">
            <w:pPr>
              <w:spacing w:line="276" w:lineRule="auto"/>
              <w:rPr>
                <w:rFonts w:eastAsia="Arial"/>
              </w:rPr>
            </w:pPr>
            <w:r w:rsidRPr="00D05364">
              <w:rPr>
                <w:rFonts w:eastAsia="Arial"/>
              </w:rPr>
              <w:t>Kanados sveikatos technologijų agentūra</w:t>
            </w:r>
          </w:p>
          <w:p w14:paraId="2DE5F98C" w14:textId="77777777" w:rsidR="00540135" w:rsidRPr="00D05364" w:rsidRDefault="00540135" w:rsidP="00C44ADA">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915" w:type="dxa"/>
          </w:tcPr>
          <w:p w14:paraId="6AA338EA" w14:textId="22DAB4FD" w:rsidR="00540135" w:rsidRPr="00D05364" w:rsidRDefault="00000000" w:rsidP="00C44ADA">
            <w:sdt>
              <w:sdtPr>
                <w:rPr>
                  <w:rStyle w:val="Style2"/>
                </w:rPr>
                <w:id w:val="119269425"/>
              </w:sdtPr>
              <w:sdtContent>
                <w:r w:rsidR="00540135" w:rsidRPr="00D05364">
                  <w:rPr>
                    <w:rStyle w:val="Style2"/>
                    <w:rFonts w:ascii="Segoe UI Symbol" w:eastAsia="MS Gothic" w:hAnsi="Segoe UI Symbol" w:cs="Segoe UI Symbol"/>
                  </w:rPr>
                  <w:t>☐</w:t>
                </w:r>
              </w:sdtContent>
            </w:sdt>
            <w:r w:rsidR="00540135" w:rsidRPr="00D05364">
              <w:t xml:space="preserve"> Taip</w:t>
            </w:r>
          </w:p>
          <w:p w14:paraId="12CB46AC" w14:textId="19F25426" w:rsidR="00540135" w:rsidRPr="00D05364" w:rsidRDefault="00000000" w:rsidP="00C44ADA">
            <w:sdt>
              <w:sdtPr>
                <w:rPr>
                  <w:rStyle w:val="Style2"/>
                </w:rPr>
                <w:id w:val="1916654976"/>
              </w:sdtPr>
              <w:sdtContent>
                <w:r w:rsidR="00540135">
                  <w:rPr>
                    <w:rStyle w:val="Style2"/>
                    <w:rFonts w:ascii="MS Gothic" w:eastAsia="MS Gothic" w:hAnsi="MS Gothic" w:hint="eastAsia"/>
                  </w:rPr>
                  <w:t>☒</w:t>
                </w:r>
              </w:sdtContent>
            </w:sdt>
            <w:r w:rsidR="00540135" w:rsidRPr="00D05364">
              <w:t xml:space="preserve"> Ne</w:t>
            </w:r>
          </w:p>
          <w:p w14:paraId="1B62E9E9" w14:textId="1CC00CD4" w:rsidR="00540135" w:rsidRPr="00D05364" w:rsidRDefault="00000000" w:rsidP="00C44ADA">
            <w:pPr>
              <w:spacing w:line="276" w:lineRule="auto"/>
              <w:rPr>
                <w:rFonts w:eastAsia="Arial"/>
              </w:rPr>
            </w:pPr>
            <w:sdt>
              <w:sdtPr>
                <w:alias w:val="Nurodykite konkrečią dieną"/>
                <w:tag w:val="Nurodykite pradžios datą"/>
                <w:id w:val="119276294"/>
                <w:showingPlcHdr/>
                <w:date>
                  <w:dateFormat w:val="yyyy 'm.' MMMM d 'd.'"/>
                  <w:lid w:val="lt-LT"/>
                  <w:storeMappedDataAs w:val="dateTime"/>
                  <w:calendar w:val="gregorian"/>
                </w:date>
              </w:sdtPr>
              <w:sdtContent>
                <w:r w:rsidR="00540135">
                  <w:t xml:space="preserve">     </w:t>
                </w:r>
              </w:sdtContent>
            </w:sdt>
          </w:p>
        </w:tc>
        <w:tc>
          <w:tcPr>
            <w:tcW w:w="5076" w:type="dxa"/>
            <w:gridSpan w:val="2"/>
          </w:tcPr>
          <w:p w14:paraId="6D6E0C2D" w14:textId="23B39D61" w:rsidR="00540135" w:rsidRPr="00D05364" w:rsidRDefault="00975331" w:rsidP="00C44ADA">
            <w:pPr>
              <w:spacing w:line="276" w:lineRule="auto"/>
              <w:rPr>
                <w:rFonts w:eastAsia="Arial"/>
              </w:rPr>
            </w:pPr>
            <w:r>
              <w:rPr>
                <w:rFonts w:eastAsia="Arial"/>
              </w:rPr>
              <w:t>-</w:t>
            </w:r>
          </w:p>
        </w:tc>
      </w:tr>
      <w:tr w:rsidR="00E073B4" w:rsidRPr="00D05364" w14:paraId="7FF6DDCF" w14:textId="77777777" w:rsidTr="000A4CE3">
        <w:trPr>
          <w:trHeight w:val="1927"/>
        </w:trPr>
        <w:tc>
          <w:tcPr>
            <w:tcW w:w="2927" w:type="dxa"/>
          </w:tcPr>
          <w:p w14:paraId="7D7D8846" w14:textId="77777777" w:rsidR="00E073B4" w:rsidRPr="00D05364" w:rsidRDefault="00E073B4" w:rsidP="00C44ADA">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53E1E70E" w14:textId="77777777" w:rsidR="00E073B4" w:rsidRPr="00D05364" w:rsidRDefault="00E073B4" w:rsidP="00C44ADA">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1C69E738" w14:textId="1EF079F4" w:rsidR="00E073B4" w:rsidRPr="00D05364" w:rsidRDefault="00000000" w:rsidP="00C44ADA">
            <w:sdt>
              <w:sdtPr>
                <w:rPr>
                  <w:rStyle w:val="Style2"/>
                </w:rPr>
                <w:id w:val="959923631"/>
              </w:sdtPr>
              <w:sdtContent>
                <w:sdt>
                  <w:sdtPr>
                    <w:rPr>
                      <w:rStyle w:val="Style2"/>
                    </w:rPr>
                    <w:id w:val="-1738855451"/>
                  </w:sdtPr>
                  <w:sdtContent>
                    <w:r w:rsidR="00975331" w:rsidRPr="00D05364">
                      <w:rPr>
                        <w:rStyle w:val="Style2"/>
                        <w:rFonts w:ascii="Segoe UI Symbol" w:eastAsia="MS Gothic" w:hAnsi="Segoe UI Symbol" w:cs="Segoe UI Symbol"/>
                      </w:rPr>
                      <w:t>☐</w:t>
                    </w:r>
                  </w:sdtContent>
                </w:sdt>
              </w:sdtContent>
            </w:sdt>
            <w:r w:rsidR="00E073B4" w:rsidRPr="00D05364">
              <w:t xml:space="preserve"> Taip</w:t>
            </w:r>
          </w:p>
          <w:p w14:paraId="25D80EBC" w14:textId="7BA2C0B5" w:rsidR="00E073B4" w:rsidRPr="00D05364" w:rsidRDefault="00000000" w:rsidP="00C44ADA">
            <w:sdt>
              <w:sdtPr>
                <w:rPr>
                  <w:rStyle w:val="Style2"/>
                </w:rPr>
                <w:id w:val="-1877453846"/>
              </w:sdtPr>
              <w:sdtContent>
                <w:sdt>
                  <w:sdtPr>
                    <w:rPr>
                      <w:rStyle w:val="Style2"/>
                    </w:rPr>
                    <w:id w:val="-554085529"/>
                  </w:sdtPr>
                  <w:sdtContent>
                    <w:r w:rsidR="00975331">
                      <w:rPr>
                        <w:rStyle w:val="Style2"/>
                        <w:rFonts w:ascii="MS Gothic" w:eastAsia="MS Gothic" w:hAnsi="MS Gothic" w:hint="eastAsia"/>
                      </w:rPr>
                      <w:t>☒</w:t>
                    </w:r>
                  </w:sdtContent>
                </w:sdt>
              </w:sdtContent>
            </w:sdt>
            <w:r w:rsidR="00E073B4" w:rsidRPr="00D05364">
              <w:t xml:space="preserve"> Ne</w:t>
            </w:r>
          </w:p>
          <w:p w14:paraId="6CBA0F65" w14:textId="598AB5A4" w:rsidR="00E073B4" w:rsidRPr="00D05364" w:rsidRDefault="00000000" w:rsidP="00975331">
            <w:pPr>
              <w:spacing w:line="276" w:lineRule="auto"/>
              <w:rPr>
                <w:rFonts w:eastAsia="Arial"/>
              </w:rPr>
            </w:pPr>
            <w:sdt>
              <w:sdtPr>
                <w:alias w:val="Nurodykite konkrečią dieną"/>
                <w:tag w:val="Nurodykite pradžios datą"/>
                <w:id w:val="-1991705866"/>
                <w:showingPlcHdr/>
                <w:date w:fullDate="2021-01-06T00:00:00Z">
                  <w:dateFormat w:val="yyyy 'm.' MMMM d 'd.'"/>
                  <w:lid w:val="lt-LT"/>
                  <w:storeMappedDataAs w:val="dateTime"/>
                  <w:calendar w:val="gregorian"/>
                </w:date>
              </w:sdtPr>
              <w:sdtContent>
                <w:r w:rsidR="00975331">
                  <w:t xml:space="preserve">     </w:t>
                </w:r>
              </w:sdtContent>
            </w:sdt>
          </w:p>
        </w:tc>
        <w:tc>
          <w:tcPr>
            <w:tcW w:w="5076" w:type="dxa"/>
            <w:gridSpan w:val="2"/>
          </w:tcPr>
          <w:p w14:paraId="0D1529F2" w14:textId="30615338" w:rsidR="00E073B4" w:rsidRPr="00D05364" w:rsidRDefault="00975331" w:rsidP="00C44ADA">
            <w:pPr>
              <w:spacing w:line="276" w:lineRule="auto"/>
              <w:rPr>
                <w:rFonts w:eastAsia="Arial"/>
              </w:rPr>
            </w:pPr>
            <w:r>
              <w:rPr>
                <w:rFonts w:eastAsia="Arial"/>
              </w:rPr>
              <w:t>Procese</w:t>
            </w:r>
          </w:p>
        </w:tc>
      </w:tr>
    </w:tbl>
    <w:p w14:paraId="5F8A623F" w14:textId="77777777" w:rsidR="0032204D" w:rsidRPr="00521380" w:rsidRDefault="0032204D" w:rsidP="00521380">
      <w:pPr>
        <w:spacing w:line="276" w:lineRule="auto"/>
        <w:jc w:val="both"/>
        <w:rPr>
          <w:rFonts w:eastAsia="Arial"/>
          <w:b/>
        </w:rPr>
      </w:pPr>
    </w:p>
    <w:p w14:paraId="5E82BD7C" w14:textId="2A60CFA6" w:rsidR="00F93EB1" w:rsidRDefault="00F93EB1">
      <w:pPr>
        <w:rPr>
          <w:b/>
          <w:bCs/>
          <w:caps/>
        </w:rPr>
      </w:pPr>
      <w:r>
        <w:rPr>
          <w:b/>
          <w:bCs/>
          <w:caps/>
        </w:rPr>
        <w:br w:type="page"/>
      </w:r>
    </w:p>
    <w:p w14:paraId="5F0ADBE9" w14:textId="77777777" w:rsidR="008651E2" w:rsidRDefault="008651E2" w:rsidP="00E03C3F">
      <w:pPr>
        <w:pStyle w:val="ListParagraph"/>
        <w:tabs>
          <w:tab w:val="left" w:pos="426"/>
        </w:tabs>
        <w:ind w:left="0"/>
        <w:rPr>
          <w:b/>
          <w:bCs/>
          <w:caps/>
        </w:rPr>
      </w:pPr>
    </w:p>
    <w:p w14:paraId="5055E8A8" w14:textId="6B3820E3" w:rsidR="002E6F80" w:rsidRDefault="00CC7832" w:rsidP="00937907">
      <w:pPr>
        <w:pStyle w:val="ListParagraph"/>
        <w:numPr>
          <w:ilvl w:val="0"/>
          <w:numId w:val="12"/>
        </w:numPr>
        <w:tabs>
          <w:tab w:val="left" w:pos="284"/>
        </w:tabs>
        <w:rPr>
          <w:b/>
          <w:bCs/>
          <w:caps/>
        </w:rPr>
      </w:pPr>
      <w:r w:rsidRPr="00616854">
        <w:rPr>
          <w:b/>
          <w:bCs/>
          <w:caps/>
        </w:rPr>
        <w:t>Klinikinio vertinimo a</w:t>
      </w:r>
      <w:r w:rsidR="00D4485B" w:rsidRPr="00616854">
        <w:rPr>
          <w:b/>
          <w:bCs/>
          <w:caps/>
        </w:rPr>
        <w:t>pibendrinimas</w:t>
      </w:r>
    </w:p>
    <w:p w14:paraId="2A8F36F6" w14:textId="77777777" w:rsidR="00F00A34" w:rsidRDefault="00F00A34" w:rsidP="00A93AA6">
      <w:pPr>
        <w:pStyle w:val="ListParagraph"/>
        <w:tabs>
          <w:tab w:val="left" w:pos="426"/>
        </w:tabs>
        <w:ind w:left="0"/>
        <w:rPr>
          <w:i/>
          <w:iCs/>
          <w:u w:val="single"/>
        </w:rPr>
      </w:pPr>
    </w:p>
    <w:p w14:paraId="2AA062B9" w14:textId="4E7424C3" w:rsidR="00975331" w:rsidRDefault="00975331" w:rsidP="00441C96">
      <w:pPr>
        <w:spacing w:line="276" w:lineRule="auto"/>
        <w:ind w:firstLine="720"/>
        <w:jc w:val="both"/>
      </w:pPr>
      <w:r>
        <w:t xml:space="preserve">Tikroji </w:t>
      </w:r>
      <w:proofErr w:type="spellStart"/>
      <w:r>
        <w:t>policitemija</w:t>
      </w:r>
      <w:proofErr w:type="spellEnd"/>
      <w:r>
        <w:t xml:space="preserve"> (TP) (TLK-10 kodas D45) yra reto tipo įgyta lėtinė </w:t>
      </w:r>
      <w:proofErr w:type="spellStart"/>
      <w:r>
        <w:t>mieloproliferacinė</w:t>
      </w:r>
      <w:proofErr w:type="spellEnd"/>
      <w:r>
        <w:t xml:space="preserve"> </w:t>
      </w:r>
      <w:proofErr w:type="spellStart"/>
      <w:r>
        <w:t>neoplazija</w:t>
      </w:r>
      <w:proofErr w:type="spellEnd"/>
      <w:r>
        <w:t xml:space="preserve"> (MPN). Europos retų ligų organizacijos „</w:t>
      </w:r>
      <w:proofErr w:type="spellStart"/>
      <w:r>
        <w:t>Orphanet</w:t>
      </w:r>
      <w:proofErr w:type="spellEnd"/>
      <w:r>
        <w:t>“ skaičiavimu, Europos Sąjungoje ligos dažnis siekia 0,4 – 2,8 atvejo 100 000 gyventojų, o paplitimas Europoje – 3 atvejai 10 000 gyventojų. Remiantis šiais duomenimis, ligos dažnio Lietuvoje rodiklis turėtų būti 30 – 230 pacientų.</w:t>
      </w:r>
    </w:p>
    <w:p w14:paraId="65F829AC" w14:textId="77777777" w:rsidR="00975331" w:rsidRDefault="00975331" w:rsidP="00441C96">
      <w:pPr>
        <w:spacing w:after="120" w:line="276" w:lineRule="auto"/>
        <w:ind w:firstLine="720"/>
        <w:jc w:val="both"/>
      </w:pPr>
      <w:r w:rsidRPr="002D1265">
        <w:t xml:space="preserve">Dauguma TP atvejų yra nepaveldimi, bet susiję su pacientui per gyvenimą atsiradusiais somatiniais genetiniais pokyčiais atskirose ląstelėse. Beveik visiems TP sergantiems pacientams nustatomas somatinis Janus </w:t>
      </w:r>
      <w:proofErr w:type="spellStart"/>
      <w:r w:rsidRPr="002D1265">
        <w:t>kinazės</w:t>
      </w:r>
      <w:proofErr w:type="spellEnd"/>
      <w:r w:rsidRPr="002D1265">
        <w:t xml:space="preserve"> 2 (JAK2) genetinis defektas. </w:t>
      </w:r>
      <w:r>
        <w:t xml:space="preserve">TP yra ilgalaikė, alinanti, gyvybei grėsminga liga. Dėl ligos pobūdžio TP yra susijusi su didesne trombozės, kraujavimo ir progresavimo vystantis </w:t>
      </w:r>
      <w:proofErr w:type="spellStart"/>
      <w:r>
        <w:t>mielofibrozei</w:t>
      </w:r>
      <w:proofErr w:type="spellEnd"/>
      <w:r>
        <w:t xml:space="preserve"> ir antrinei ūminei </w:t>
      </w:r>
      <w:proofErr w:type="spellStart"/>
      <w:r>
        <w:t>mielodinei</w:t>
      </w:r>
      <w:proofErr w:type="spellEnd"/>
      <w:r>
        <w:t xml:space="preserve"> leukemijai rizika. Nemažai daliai pacientų TP diagnozuojama atsitiktinai, gydytojui vertinant laboratorinių kraujo tyrimų rezultatu. Žmogus ilgus metus gali sirgti TP be jokių ligos simptomų. Tačiau ligos eigoje, tirštėjant kraujui ir lėtėjant jo tėkmei, vystosi įvairūs simptomai. Ligos simptomai, kaip antai didžiulis nuovargis ir </w:t>
      </w:r>
      <w:proofErr w:type="spellStart"/>
      <w:r>
        <w:t>akvageninis</w:t>
      </w:r>
      <w:proofErr w:type="spellEnd"/>
      <w:r>
        <w:t xml:space="preserve"> niežulys, dėl kurio tampa neįmanoma praustis, labai paveikia pacientų gyvenimo kokybę.</w:t>
      </w:r>
    </w:p>
    <w:p w14:paraId="145947B2" w14:textId="1738976B" w:rsidR="00C451AD" w:rsidRDefault="00A04AF3" w:rsidP="00A04AF3">
      <w:pPr>
        <w:tabs>
          <w:tab w:val="left" w:pos="426"/>
        </w:tabs>
        <w:spacing w:line="276" w:lineRule="auto"/>
        <w:jc w:val="both"/>
      </w:pPr>
      <w:r>
        <w:tab/>
      </w:r>
      <w:r w:rsidR="00975331" w:rsidRPr="00CA415D">
        <w:t xml:space="preserve">Vaistinio preparato </w:t>
      </w:r>
      <w:proofErr w:type="spellStart"/>
      <w:r w:rsidR="00975331" w:rsidRPr="00CA415D">
        <w:t>ropeginterferonas</w:t>
      </w:r>
      <w:proofErr w:type="spellEnd"/>
      <w:r w:rsidR="00975331" w:rsidRPr="00CA415D">
        <w:t xml:space="preserve"> alfa-2b palyginamasis efektyvumas lyginant jį su </w:t>
      </w:r>
      <w:proofErr w:type="spellStart"/>
      <w:r w:rsidR="00975331" w:rsidRPr="00CA415D">
        <w:t>hidroksikarbamidu</w:t>
      </w:r>
      <w:proofErr w:type="spellEnd"/>
      <w:r w:rsidR="00975331" w:rsidRPr="00CA415D">
        <w:t xml:space="preserve"> grindžiamas tiesioginių klinikinių tyrimų PROUD-PV ir tęstinio tyrimo CONTINUATION-PV duomenimis. </w:t>
      </w:r>
      <w:r w:rsidR="00C451AD" w:rsidRPr="00CA415D">
        <w:t>Atsižvelgiant įprastinę praktiką Lietuvoje bei klinikinio tyrimo duomenis</w:t>
      </w:r>
      <w:r w:rsidR="00C451AD">
        <w:t>,</w:t>
      </w:r>
      <w:r w:rsidR="00C451AD" w:rsidRPr="00CA415D">
        <w:t xml:space="preserve"> palyginamasis gydymas </w:t>
      </w:r>
      <w:proofErr w:type="spellStart"/>
      <w:r w:rsidR="00C451AD" w:rsidRPr="00CA415D">
        <w:rPr>
          <w:i/>
        </w:rPr>
        <w:t>hidroksikarbamidu</w:t>
      </w:r>
      <w:proofErr w:type="spellEnd"/>
      <w:r w:rsidR="00C451AD" w:rsidRPr="00CA415D">
        <w:t xml:space="preserve"> laikomas tinkam</w:t>
      </w:r>
      <w:r>
        <w:t>u</w:t>
      </w:r>
      <w:r w:rsidR="00C451AD" w:rsidRPr="00CA415D">
        <w:t>.</w:t>
      </w:r>
    </w:p>
    <w:p w14:paraId="7E53403B" w14:textId="77777777" w:rsidR="00A04AF3" w:rsidRDefault="00A04AF3" w:rsidP="00A04AF3">
      <w:pPr>
        <w:spacing w:after="120" w:line="276" w:lineRule="auto"/>
        <w:ind w:firstLine="720"/>
        <w:jc w:val="both"/>
        <w:rPr>
          <w:rStyle w:val="Emphasis"/>
        </w:rPr>
      </w:pPr>
    </w:p>
    <w:p w14:paraId="0A47F5B0" w14:textId="55176A3B" w:rsidR="00263C5E" w:rsidRPr="00A04AF3" w:rsidRDefault="00975331" w:rsidP="00A04AF3">
      <w:pPr>
        <w:spacing w:after="120" w:line="276" w:lineRule="auto"/>
        <w:ind w:firstLine="720"/>
        <w:jc w:val="both"/>
        <w:rPr>
          <w:rStyle w:val="Emphasis"/>
        </w:rPr>
      </w:pPr>
      <w:r w:rsidRPr="00A04AF3">
        <w:rPr>
          <w:rStyle w:val="Emphasis"/>
        </w:rPr>
        <w:t xml:space="preserve">Tiesioginis palyginimas </w:t>
      </w:r>
    </w:p>
    <w:p w14:paraId="53B163B6" w14:textId="3A827A97" w:rsidR="00975331" w:rsidRDefault="00975331" w:rsidP="00441C96">
      <w:pPr>
        <w:tabs>
          <w:tab w:val="left" w:pos="426"/>
        </w:tabs>
        <w:spacing w:line="276" w:lineRule="auto"/>
        <w:jc w:val="both"/>
      </w:pPr>
      <w:r w:rsidRPr="00A04AF3">
        <w:rPr>
          <w:i/>
        </w:rPr>
        <w:tab/>
        <w:t>PROUD-PV</w:t>
      </w:r>
      <w:r w:rsidR="00A04AF3" w:rsidRPr="00A04AF3">
        <w:rPr>
          <w:i/>
        </w:rPr>
        <w:t xml:space="preserve"> klinikinis tyrimas</w:t>
      </w:r>
      <w:r w:rsidR="00A04AF3">
        <w:rPr>
          <w:i/>
        </w:rPr>
        <w:t>.</w:t>
      </w:r>
      <w:r w:rsidRPr="00CA415D">
        <w:t xml:space="preserve"> </w:t>
      </w:r>
      <w:r w:rsidR="00A04AF3" w:rsidRPr="00A04AF3">
        <w:t>PROUD-PV</w:t>
      </w:r>
      <w:r w:rsidR="00A04AF3" w:rsidRPr="00CA415D">
        <w:t xml:space="preserve"> </w:t>
      </w:r>
      <w:r w:rsidRPr="00CA415D">
        <w:t>yra III fazės, atviras</w:t>
      </w:r>
      <w:r w:rsidR="00CF4854">
        <w:t>is</w:t>
      </w:r>
      <w:r w:rsidRPr="00CA415D">
        <w:t>, atsitiktinių imčių, aktyviai kontroliuojamas, tiesioginio palyginimo klinikinis tyrimas, kuriame dalyvavo</w:t>
      </w:r>
      <w:r w:rsidRPr="00CA415D">
        <w:rPr>
          <w:rFonts w:eastAsia="Arial"/>
        </w:rPr>
        <w:t xml:space="preserve"> 257 </w:t>
      </w:r>
      <w:r w:rsidRPr="00CA415D">
        <w:t xml:space="preserve">suaugusieji, sergantiems tikrąja </w:t>
      </w:r>
      <w:proofErr w:type="spellStart"/>
      <w:r w:rsidRPr="00CA415D">
        <w:t>policitemija</w:t>
      </w:r>
      <w:proofErr w:type="spellEnd"/>
      <w:r w:rsidRPr="00CA415D">
        <w:t xml:space="preserve">. Pagrindinis PROUD-PV tyrimo tikslas buvo įvertinti </w:t>
      </w:r>
      <w:proofErr w:type="spellStart"/>
      <w:r w:rsidRPr="00CA415D">
        <w:t>ropeginterferono</w:t>
      </w:r>
      <w:proofErr w:type="spellEnd"/>
      <w:r w:rsidRPr="00CA415D">
        <w:t xml:space="preserve"> alfa-2b (</w:t>
      </w:r>
      <w:proofErr w:type="spellStart"/>
      <w:r w:rsidRPr="00CA415D">
        <w:t>Besremi</w:t>
      </w:r>
      <w:proofErr w:type="spellEnd"/>
      <w:r w:rsidRPr="00CA415D">
        <w:t xml:space="preserve">) ir </w:t>
      </w:r>
      <w:proofErr w:type="spellStart"/>
      <w:r w:rsidRPr="00CA415D">
        <w:t>hidroksikarbamido</w:t>
      </w:r>
      <w:proofErr w:type="spellEnd"/>
      <w:r w:rsidRPr="00CA415D">
        <w:t xml:space="preserve"> ne prastesnį (angl. </w:t>
      </w:r>
      <w:proofErr w:type="spellStart"/>
      <w:r w:rsidRPr="00CA415D">
        <w:rPr>
          <w:i/>
        </w:rPr>
        <w:t>non-inferiority</w:t>
      </w:r>
      <w:proofErr w:type="spellEnd"/>
      <w:r w:rsidRPr="00CA415D">
        <w:t xml:space="preserve">) atsaką į ligą. </w:t>
      </w:r>
      <w:proofErr w:type="spellStart"/>
      <w:r w:rsidRPr="00CA415D">
        <w:t>Besremi</w:t>
      </w:r>
      <w:proofErr w:type="spellEnd"/>
      <w:r w:rsidRPr="00CA415D">
        <w:t xml:space="preserve"> ir </w:t>
      </w:r>
      <w:proofErr w:type="spellStart"/>
      <w:r w:rsidRPr="00CA415D">
        <w:t>hidroksikarbamido</w:t>
      </w:r>
      <w:proofErr w:type="spellEnd"/>
      <w:r w:rsidRPr="00CA415D">
        <w:t xml:space="preserve"> dozės buvo palaipsniui ir individualiai didinamos tyrimo metu, kol buvo pasiekta veiksminga dozė (</w:t>
      </w:r>
      <w:proofErr w:type="spellStart"/>
      <w:r w:rsidRPr="00CA415D">
        <w:t>hematokritas</w:t>
      </w:r>
      <w:proofErr w:type="spellEnd"/>
      <w:r w:rsidRPr="00CA415D">
        <w:t xml:space="preserve"> buvo &lt;45</w:t>
      </w:r>
      <w:r>
        <w:t xml:space="preserve"> proc.</w:t>
      </w:r>
      <w:r w:rsidRPr="00CA415D">
        <w:t xml:space="preserve"> be </w:t>
      </w:r>
      <w:proofErr w:type="spellStart"/>
      <w:r w:rsidRPr="00CA415D">
        <w:t>flebotomijos</w:t>
      </w:r>
      <w:proofErr w:type="spellEnd"/>
      <w:r w:rsidRPr="00CA415D">
        <w:t xml:space="preserve"> bei buvo pasiektas ir palaikomas normalizuotas trombocitų ir leukocitų skaičius). Tyrimo metu visiems pacientams taip pat buvo skiriam</w:t>
      </w:r>
      <w:r w:rsidR="008540ED">
        <w:t>o</w:t>
      </w:r>
      <w:r w:rsidRPr="00CA415D">
        <w:t>s mažos aspirin</w:t>
      </w:r>
      <w:r w:rsidR="008540ED">
        <w:t>o</w:t>
      </w:r>
      <w:r w:rsidR="008540ED" w:rsidRPr="008540ED">
        <w:t xml:space="preserve"> </w:t>
      </w:r>
      <w:r w:rsidR="008540ED" w:rsidRPr="00CA415D">
        <w:t>dozės</w:t>
      </w:r>
      <w:r w:rsidRPr="00CA415D">
        <w:t>, išskyrus atvejus k</w:t>
      </w:r>
      <w:r w:rsidR="008540ED">
        <w:t>ai tai</w:t>
      </w:r>
      <w:r w:rsidRPr="00CA415D">
        <w:t xml:space="preserve"> buvo </w:t>
      </w:r>
      <w:proofErr w:type="spellStart"/>
      <w:r w:rsidRPr="00CA415D">
        <w:t>kontraindikuotina</w:t>
      </w:r>
      <w:proofErr w:type="spellEnd"/>
      <w:r w:rsidRPr="00CA415D">
        <w:t xml:space="preserve">. </w:t>
      </w:r>
    </w:p>
    <w:p w14:paraId="7560B652" w14:textId="3B5A0128" w:rsidR="00975331" w:rsidRDefault="00975331" w:rsidP="00441C96">
      <w:pPr>
        <w:tabs>
          <w:tab w:val="left" w:pos="426"/>
        </w:tabs>
        <w:spacing w:line="276" w:lineRule="auto"/>
        <w:jc w:val="both"/>
      </w:pPr>
      <w:r>
        <w:rPr>
          <w:i/>
        </w:rPr>
        <w:tab/>
      </w:r>
      <w:r w:rsidRPr="00CA415D">
        <w:rPr>
          <w:i/>
        </w:rPr>
        <w:t>Tyrimo populiacija</w:t>
      </w:r>
      <w:r w:rsidR="008A5615">
        <w:rPr>
          <w:i/>
        </w:rPr>
        <w:t xml:space="preserve"> -</w:t>
      </w:r>
      <w:r w:rsidRPr="00CA415D">
        <w:t xml:space="preserve"> </w:t>
      </w:r>
      <w:r w:rsidR="002522B3" w:rsidRPr="00CA415D">
        <w:t>sergan</w:t>
      </w:r>
      <w:r w:rsidR="002522B3">
        <w:t>tieji</w:t>
      </w:r>
      <w:r w:rsidRPr="00CA415D">
        <w:t xml:space="preserve"> ankstyva tikrąja </w:t>
      </w:r>
      <w:proofErr w:type="spellStart"/>
      <w:r w:rsidRPr="00CA415D">
        <w:t>policitemija</w:t>
      </w:r>
      <w:proofErr w:type="spellEnd"/>
      <w:r w:rsidRPr="00CA415D">
        <w:t>, kurios trukmė yra vidutiniškai tik keli mėnesiai nuo diagnozės nustatymo</w:t>
      </w:r>
      <w:r w:rsidR="002522B3">
        <w:t xml:space="preserve">. </w:t>
      </w:r>
      <w:r w:rsidR="00C451AD">
        <w:t>T</w:t>
      </w:r>
      <w:r w:rsidR="002522B3">
        <w:t>rečdal</w:t>
      </w:r>
      <w:r w:rsidR="00C451AD">
        <w:t>i</w:t>
      </w:r>
      <w:r w:rsidR="003E0989">
        <w:t>s</w:t>
      </w:r>
      <w:r w:rsidR="002522B3">
        <w:t xml:space="preserve"> pacientų </w:t>
      </w:r>
      <w:r w:rsidR="003E0989">
        <w:t xml:space="preserve">prieš įtraukiant tyrimą </w:t>
      </w:r>
      <w:r w:rsidR="002522B3">
        <w:t>buvo gydy</w:t>
      </w:r>
      <w:r w:rsidR="003E0989">
        <w:t>ti</w:t>
      </w:r>
      <w:r w:rsidR="002522B3">
        <w:t xml:space="preserve"> </w:t>
      </w:r>
      <w:proofErr w:type="spellStart"/>
      <w:r w:rsidR="002522B3" w:rsidRPr="00CA415D">
        <w:t>hidroksikarbamidu</w:t>
      </w:r>
      <w:proofErr w:type="spellEnd"/>
      <w:r w:rsidR="002522B3">
        <w:t xml:space="preserve">. </w:t>
      </w:r>
      <w:r w:rsidRPr="00CA415D">
        <w:t>Beveik pusei pacientų (47</w:t>
      </w:r>
      <w:r>
        <w:t xml:space="preserve"> proc.</w:t>
      </w:r>
      <w:r w:rsidRPr="00CA415D">
        <w:t xml:space="preserve">) </w:t>
      </w:r>
      <w:r w:rsidR="003E0989">
        <w:t xml:space="preserve">tyrimo pradžioje </w:t>
      </w:r>
      <w:r w:rsidRPr="00CA415D">
        <w:t>blužnis buvo normalaus dydžio</w:t>
      </w:r>
      <w:r w:rsidR="003E0989">
        <w:t>.</w:t>
      </w:r>
      <w:r w:rsidRPr="00CA415D">
        <w:t xml:space="preserve"> Vidutinis pacientų amžius įtraukimo metu buvo </w:t>
      </w:r>
      <w:r w:rsidRPr="00775E57">
        <w:t>58,2 met</w:t>
      </w:r>
      <w:r w:rsidR="002522B3">
        <w:t xml:space="preserve">ų, amžiaus </w:t>
      </w:r>
      <w:r w:rsidRPr="00775E57">
        <w:t>mediana – 60 met</w:t>
      </w:r>
      <w:r w:rsidRPr="00CA415D">
        <w:t xml:space="preserve">ų (nuo </w:t>
      </w:r>
      <w:r w:rsidRPr="00775E57">
        <w:t>21 iki 85 met</w:t>
      </w:r>
      <w:r w:rsidRPr="00CA415D">
        <w:t>ų).</w:t>
      </w:r>
      <w:r w:rsidR="0048507D">
        <w:t xml:space="preserve"> </w:t>
      </w:r>
      <w:r w:rsidR="00C451AD">
        <w:t>Klinikinio</w:t>
      </w:r>
      <w:r w:rsidR="0048507D">
        <w:t xml:space="preserve"> tyrimo </w:t>
      </w:r>
      <w:r w:rsidR="0048507D" w:rsidRPr="00CA415D">
        <w:t>PROUD-PV</w:t>
      </w:r>
      <w:r w:rsidR="0048507D">
        <w:t xml:space="preserve"> populiacija atitinka Lietuvos pacientų populiaciją.</w:t>
      </w:r>
    </w:p>
    <w:p w14:paraId="7C8A6751" w14:textId="1DF20982" w:rsidR="008540ED" w:rsidRDefault="00975331" w:rsidP="00441C96">
      <w:pPr>
        <w:tabs>
          <w:tab w:val="left" w:pos="492"/>
        </w:tabs>
        <w:spacing w:line="276" w:lineRule="auto"/>
        <w:jc w:val="both"/>
        <w:outlineLvl w:val="1"/>
        <w:rPr>
          <w:rFonts w:eastAsia="Arial"/>
          <w:i/>
        </w:rPr>
      </w:pPr>
      <w:r w:rsidRPr="00CA415D">
        <w:rPr>
          <w:rFonts w:eastAsia="Arial"/>
          <w:i/>
        </w:rPr>
        <w:tab/>
        <w:t>Pirminė</w:t>
      </w:r>
      <w:r w:rsidR="008540ED">
        <w:rPr>
          <w:rFonts w:eastAsia="Arial"/>
          <w:i/>
        </w:rPr>
        <w:t xml:space="preserve"> vertinamoji</w:t>
      </w:r>
      <w:r w:rsidRPr="00CA415D">
        <w:rPr>
          <w:rFonts w:eastAsia="Arial"/>
          <w:i/>
        </w:rPr>
        <w:t xml:space="preserve"> baigtis</w:t>
      </w:r>
      <w:r w:rsidR="002522B3">
        <w:rPr>
          <w:rFonts w:eastAsia="Arial"/>
          <w:i/>
        </w:rPr>
        <w:t xml:space="preserve">. </w:t>
      </w:r>
      <w:r w:rsidR="00DD0059" w:rsidRPr="00CA415D">
        <w:rPr>
          <w:rFonts w:eastAsia="Arial"/>
        </w:rPr>
        <w:t>PROUD-PV</w:t>
      </w:r>
      <w:r w:rsidR="00DD0059" w:rsidRPr="00DD0059">
        <w:rPr>
          <w:rFonts w:eastAsia="Arial"/>
        </w:rPr>
        <w:t xml:space="preserve"> </w:t>
      </w:r>
      <w:r w:rsidRPr="00CA415D">
        <w:rPr>
          <w:rFonts w:eastAsia="Arial"/>
        </w:rPr>
        <w:t xml:space="preserve">klinikiniame tyrime sudėtinė </w:t>
      </w:r>
      <w:r w:rsidR="00B625C5">
        <w:rPr>
          <w:rFonts w:eastAsia="Arial"/>
        </w:rPr>
        <w:t xml:space="preserve">baigtis </w:t>
      </w:r>
      <w:r w:rsidRPr="00CA415D">
        <w:rPr>
          <w:rFonts w:eastAsia="Arial"/>
        </w:rPr>
        <w:t>(</w:t>
      </w:r>
      <w:r w:rsidRPr="00574C72">
        <w:rPr>
          <w:rFonts w:eastAsia="Arial"/>
          <w:i/>
        </w:rPr>
        <w:t xml:space="preserve">angl. </w:t>
      </w:r>
      <w:proofErr w:type="spellStart"/>
      <w:r w:rsidRPr="00574C72">
        <w:rPr>
          <w:rFonts w:eastAsia="Arial"/>
          <w:i/>
        </w:rPr>
        <w:t>compose</w:t>
      </w:r>
      <w:proofErr w:type="spellEnd"/>
      <w:r w:rsidRPr="00574C72">
        <w:rPr>
          <w:rFonts w:eastAsia="Arial"/>
          <w:i/>
        </w:rPr>
        <w:t xml:space="preserve"> </w:t>
      </w:r>
      <w:proofErr w:type="spellStart"/>
      <w:r w:rsidRPr="00574C72">
        <w:rPr>
          <w:rFonts w:eastAsia="Arial"/>
          <w:i/>
        </w:rPr>
        <w:t>outcome</w:t>
      </w:r>
      <w:proofErr w:type="spellEnd"/>
      <w:r w:rsidRPr="00CA415D">
        <w:rPr>
          <w:rFonts w:eastAsia="Arial"/>
        </w:rPr>
        <w:t xml:space="preserve">), apimanti </w:t>
      </w:r>
      <w:r w:rsidR="00F41876">
        <w:t>pilną</w:t>
      </w:r>
      <w:r w:rsidRPr="00CA415D">
        <w:t xml:space="preserve"> hematologinį atsa</w:t>
      </w:r>
      <w:r w:rsidR="00F41876">
        <w:t xml:space="preserve">ką su normaliu blužnies dydžiu </w:t>
      </w:r>
      <w:r w:rsidRPr="00CA415D">
        <w:t>nustatyta 26 (21</w:t>
      </w:r>
      <w:r>
        <w:t xml:space="preserve"> proc.</w:t>
      </w:r>
      <w:r w:rsidRPr="00CA415D">
        <w:t xml:space="preserve">) iš 122 pacientų </w:t>
      </w:r>
      <w:proofErr w:type="spellStart"/>
      <w:r w:rsidRPr="00CA415D">
        <w:t>ropeginterferono</w:t>
      </w:r>
      <w:proofErr w:type="spellEnd"/>
      <w:r w:rsidRPr="00CA415D">
        <w:t xml:space="preserve"> alfa-2b </w:t>
      </w:r>
      <w:r w:rsidRPr="00CA415D">
        <w:rPr>
          <w:rFonts w:eastAsia="Arial"/>
        </w:rPr>
        <w:t>grupėje ir 34 (28</w:t>
      </w:r>
      <w:r>
        <w:rPr>
          <w:rFonts w:eastAsia="Arial"/>
        </w:rPr>
        <w:t xml:space="preserve"> proc.</w:t>
      </w:r>
      <w:r w:rsidRPr="00CA415D">
        <w:rPr>
          <w:rFonts w:eastAsia="Arial"/>
        </w:rPr>
        <w:t xml:space="preserve">) iš 123 pacientų </w:t>
      </w:r>
      <w:proofErr w:type="spellStart"/>
      <w:r w:rsidR="002522B3">
        <w:rPr>
          <w:rFonts w:eastAsia="Arial"/>
        </w:rPr>
        <w:t>hidroksikarbamido</w:t>
      </w:r>
      <w:proofErr w:type="spellEnd"/>
      <w:r w:rsidR="002522B3">
        <w:rPr>
          <w:rFonts w:eastAsia="Arial"/>
        </w:rPr>
        <w:t xml:space="preserve"> grupėje (</w:t>
      </w:r>
      <w:r w:rsidRPr="00CA415D">
        <w:rPr>
          <w:rFonts w:eastAsia="Arial"/>
        </w:rPr>
        <w:t>95</w:t>
      </w:r>
      <w:r>
        <w:rPr>
          <w:rFonts w:eastAsia="Arial"/>
        </w:rPr>
        <w:t xml:space="preserve"> proc.</w:t>
      </w:r>
      <w:r w:rsidRPr="00CA415D">
        <w:rPr>
          <w:rFonts w:eastAsia="Arial"/>
        </w:rPr>
        <w:t xml:space="preserve"> PI: -17,23 iki 4,09, p=0,23</w:t>
      </w:r>
      <w:r w:rsidR="002522B3">
        <w:rPr>
          <w:rFonts w:eastAsia="Arial"/>
        </w:rPr>
        <w:t>)</w:t>
      </w:r>
      <w:r w:rsidRPr="00CA415D">
        <w:rPr>
          <w:rFonts w:eastAsia="Arial"/>
        </w:rPr>
        <w:t>. Remiantis šiais duomenimis daroma</w:t>
      </w:r>
      <w:r w:rsidRPr="00CA415D">
        <w:t xml:space="preserve"> išvada, jog </w:t>
      </w:r>
      <w:proofErr w:type="spellStart"/>
      <w:r w:rsidRPr="00CA415D">
        <w:t>ropeginterferono</w:t>
      </w:r>
      <w:proofErr w:type="spellEnd"/>
      <w:r w:rsidRPr="00CA415D">
        <w:t xml:space="preserve"> alfa-2b palyginamasis efektyvumas, </w:t>
      </w:r>
      <w:r w:rsidR="003E0989">
        <w:t>pa</w:t>
      </w:r>
      <w:r w:rsidRPr="00CA415D">
        <w:t>lygin</w:t>
      </w:r>
      <w:r w:rsidR="003E0989">
        <w:t>us</w:t>
      </w:r>
      <w:r w:rsidRPr="00CA415D">
        <w:t xml:space="preserve"> su </w:t>
      </w:r>
      <w:proofErr w:type="spellStart"/>
      <w:r w:rsidRPr="00CA415D">
        <w:t>hidroksikarbamido</w:t>
      </w:r>
      <w:proofErr w:type="spellEnd"/>
      <w:r w:rsidRPr="00CA415D">
        <w:t xml:space="preserve"> </w:t>
      </w:r>
      <w:r w:rsidRPr="00CA415D">
        <w:rPr>
          <w:b/>
        </w:rPr>
        <w:t>neįrodytas</w:t>
      </w:r>
      <w:r w:rsidRPr="00CA415D">
        <w:t xml:space="preserve"> kaip toks pats.</w:t>
      </w:r>
    </w:p>
    <w:p w14:paraId="3149837C" w14:textId="4743FC3B" w:rsidR="00975331" w:rsidRDefault="00975331" w:rsidP="00441C96">
      <w:pPr>
        <w:spacing w:after="120" w:line="276" w:lineRule="auto"/>
        <w:ind w:firstLine="720"/>
        <w:jc w:val="both"/>
      </w:pPr>
      <w:r w:rsidRPr="00CA415D">
        <w:rPr>
          <w:rFonts w:eastAsia="Arial"/>
          <w:i/>
        </w:rPr>
        <w:t xml:space="preserve">Antrinės </w:t>
      </w:r>
      <w:r w:rsidR="008540ED">
        <w:rPr>
          <w:rFonts w:eastAsia="Arial"/>
          <w:i/>
        </w:rPr>
        <w:t xml:space="preserve">vertinamosios </w:t>
      </w:r>
      <w:r w:rsidRPr="00CA415D">
        <w:rPr>
          <w:rFonts w:eastAsia="Arial"/>
          <w:i/>
        </w:rPr>
        <w:t>baigtys</w:t>
      </w:r>
      <w:r w:rsidR="002522B3">
        <w:rPr>
          <w:rFonts w:eastAsia="Arial"/>
          <w:i/>
        </w:rPr>
        <w:t xml:space="preserve">. </w:t>
      </w:r>
      <w:r w:rsidR="00F41876" w:rsidRPr="00F41876">
        <w:rPr>
          <w:rFonts w:eastAsia="Arial"/>
          <w:u w:val="single"/>
        </w:rPr>
        <w:t>Molekulinis atsakas</w:t>
      </w:r>
      <w:r w:rsidR="00F41876">
        <w:rPr>
          <w:rFonts w:eastAsia="Arial"/>
        </w:rPr>
        <w:t xml:space="preserve"> </w:t>
      </w:r>
      <w:r w:rsidRPr="00CA415D">
        <w:rPr>
          <w:rFonts w:eastAsia="Arial"/>
        </w:rPr>
        <w:t xml:space="preserve">PROUD-PV tyrime nebuvo statistiškai reikšmingas 12 gydymo mėnesį </w:t>
      </w:r>
      <w:proofErr w:type="spellStart"/>
      <w:r w:rsidRPr="00CA415D">
        <w:rPr>
          <w:rFonts w:eastAsia="Arial"/>
        </w:rPr>
        <w:t>ropeginterferono</w:t>
      </w:r>
      <w:proofErr w:type="spellEnd"/>
      <w:r w:rsidRPr="00CA415D">
        <w:rPr>
          <w:rFonts w:eastAsia="Arial"/>
        </w:rPr>
        <w:t xml:space="preserve"> alfa-2b </w:t>
      </w:r>
      <w:r w:rsidR="00B625C5">
        <w:rPr>
          <w:rFonts w:eastAsia="Arial"/>
        </w:rPr>
        <w:t xml:space="preserve">naudai, palyginus su </w:t>
      </w:r>
      <w:proofErr w:type="spellStart"/>
      <w:r w:rsidRPr="00CA415D">
        <w:rPr>
          <w:rFonts w:eastAsia="Arial"/>
        </w:rPr>
        <w:t>hidroksikarbamido</w:t>
      </w:r>
      <w:proofErr w:type="spellEnd"/>
      <w:r w:rsidRPr="00CA415D">
        <w:rPr>
          <w:rFonts w:eastAsia="Arial"/>
        </w:rPr>
        <w:t xml:space="preserve"> </w:t>
      </w:r>
      <w:r w:rsidR="00B625C5" w:rsidRPr="00CA415D">
        <w:rPr>
          <w:rFonts w:eastAsia="Arial"/>
        </w:rPr>
        <w:t>gydym</w:t>
      </w:r>
      <w:r w:rsidR="00B625C5">
        <w:rPr>
          <w:rFonts w:eastAsia="Arial"/>
        </w:rPr>
        <w:t xml:space="preserve">u: </w:t>
      </w:r>
      <w:r w:rsidRPr="00CA415D">
        <w:rPr>
          <w:rFonts w:eastAsia="Arial"/>
        </w:rPr>
        <w:t>42 (34</w:t>
      </w:r>
      <w:r>
        <w:rPr>
          <w:rFonts w:eastAsia="Arial"/>
        </w:rPr>
        <w:t xml:space="preserve"> proc.</w:t>
      </w:r>
      <w:r w:rsidRPr="00CA415D">
        <w:rPr>
          <w:rFonts w:eastAsia="Arial"/>
        </w:rPr>
        <w:t xml:space="preserve">) iš 123 pacientų </w:t>
      </w:r>
      <w:r w:rsidR="00B625C5">
        <w:rPr>
          <w:rFonts w:eastAsia="Arial"/>
        </w:rPr>
        <w:t xml:space="preserve">ir </w:t>
      </w:r>
      <w:r w:rsidR="00B625C5" w:rsidRPr="00CA415D">
        <w:rPr>
          <w:rFonts w:eastAsia="Arial"/>
        </w:rPr>
        <w:t xml:space="preserve"> </w:t>
      </w:r>
      <w:r w:rsidRPr="00CA415D">
        <w:rPr>
          <w:rFonts w:eastAsia="Arial"/>
        </w:rPr>
        <w:t>52 (42</w:t>
      </w:r>
      <w:r>
        <w:rPr>
          <w:rFonts w:eastAsia="Arial"/>
        </w:rPr>
        <w:t xml:space="preserve"> proc.</w:t>
      </w:r>
      <w:r w:rsidR="00B625C5">
        <w:rPr>
          <w:rFonts w:eastAsia="Arial"/>
        </w:rPr>
        <w:t>)</w:t>
      </w:r>
      <w:r w:rsidRPr="00CA415D">
        <w:rPr>
          <w:rFonts w:eastAsia="Arial"/>
        </w:rPr>
        <w:t xml:space="preserve"> iš 123 pacientų atitinkamai, p=0,19. Ab</w:t>
      </w:r>
      <w:r w:rsidR="008540ED">
        <w:rPr>
          <w:rFonts w:eastAsia="Arial"/>
        </w:rPr>
        <w:t>i</w:t>
      </w:r>
      <w:r w:rsidRPr="00CA415D">
        <w:rPr>
          <w:rFonts w:eastAsia="Arial"/>
        </w:rPr>
        <w:t xml:space="preserve">ejose grupėse stebėtas </w:t>
      </w:r>
      <w:r w:rsidRPr="00F41876">
        <w:rPr>
          <w:rFonts w:eastAsia="Arial"/>
          <w:u w:val="single"/>
        </w:rPr>
        <w:t xml:space="preserve">sumažėjęs </w:t>
      </w:r>
      <w:r w:rsidRPr="00F41876">
        <w:rPr>
          <w:u w:val="single"/>
        </w:rPr>
        <w:t>JAK2V617F alelių kiekis</w:t>
      </w:r>
      <w:r w:rsidRPr="00CA415D">
        <w:t xml:space="preserve"> lyginant su baziniu 12 gydymo mėnesį (nuo </w:t>
      </w:r>
      <w:r w:rsidRPr="00CA415D">
        <w:lastRenderedPageBreak/>
        <w:t>41,9</w:t>
      </w:r>
      <w:r>
        <w:t xml:space="preserve"> proc.</w:t>
      </w:r>
      <w:r w:rsidRPr="00CA415D">
        <w:t xml:space="preserve"> iki 30,7</w:t>
      </w:r>
      <w:r>
        <w:t xml:space="preserve"> proc.</w:t>
      </w:r>
      <w:r w:rsidRPr="00CA415D">
        <w:t xml:space="preserve"> </w:t>
      </w:r>
      <w:proofErr w:type="spellStart"/>
      <w:r w:rsidRPr="00CA415D">
        <w:t>ropeginterferono</w:t>
      </w:r>
      <w:proofErr w:type="spellEnd"/>
      <w:r w:rsidRPr="00CA415D">
        <w:t xml:space="preserve"> alfa-2b grupėje ir nuo 42,8</w:t>
      </w:r>
      <w:r>
        <w:t xml:space="preserve"> proc</w:t>
      </w:r>
      <w:r w:rsidR="002522B3">
        <w:t xml:space="preserve">. </w:t>
      </w:r>
      <w:r w:rsidRPr="00CA415D">
        <w:t>iki 25,9</w:t>
      </w:r>
      <w:r>
        <w:t xml:space="preserve"> proc.</w:t>
      </w:r>
      <w:r w:rsidRPr="00CA415D">
        <w:t xml:space="preserve"> </w:t>
      </w:r>
      <w:proofErr w:type="spellStart"/>
      <w:r w:rsidRPr="00CA415D">
        <w:t>hidroksikarbamido</w:t>
      </w:r>
      <w:proofErr w:type="spellEnd"/>
      <w:r w:rsidRPr="00CA415D">
        <w:t xml:space="preserve"> gydymo grupėje.</w:t>
      </w:r>
      <w:r w:rsidR="006D48C5">
        <w:t xml:space="preserve"> </w:t>
      </w:r>
      <w:r w:rsidRPr="00CA415D">
        <w:rPr>
          <w:rFonts w:eastAsia="Arial"/>
        </w:rPr>
        <w:t xml:space="preserve">Remiantis </w:t>
      </w:r>
      <w:r w:rsidR="002522B3">
        <w:rPr>
          <w:rFonts w:eastAsia="Arial"/>
        </w:rPr>
        <w:t xml:space="preserve">klinikinio tyrimo </w:t>
      </w:r>
      <w:r w:rsidR="002522B3" w:rsidRPr="00CA415D">
        <w:rPr>
          <w:rFonts w:eastAsia="Arial"/>
        </w:rPr>
        <w:t xml:space="preserve">PROUD-PV </w:t>
      </w:r>
      <w:r w:rsidRPr="00CA415D">
        <w:rPr>
          <w:rFonts w:eastAsia="Arial"/>
        </w:rPr>
        <w:t xml:space="preserve">duomenimis </w:t>
      </w:r>
      <w:r w:rsidR="006D48C5">
        <w:rPr>
          <w:rFonts w:eastAsia="Arial"/>
        </w:rPr>
        <w:t xml:space="preserve">daroma </w:t>
      </w:r>
      <w:r w:rsidRPr="00CA415D">
        <w:rPr>
          <w:rFonts w:eastAsia="Arial"/>
        </w:rPr>
        <w:t>išvada</w:t>
      </w:r>
      <w:r w:rsidR="006D48C5">
        <w:rPr>
          <w:rFonts w:eastAsia="Arial"/>
        </w:rPr>
        <w:t>, kad</w:t>
      </w:r>
      <w:r w:rsidRPr="00CA415D">
        <w:t xml:space="preserve"> </w:t>
      </w:r>
      <w:proofErr w:type="spellStart"/>
      <w:r w:rsidRPr="00CA415D">
        <w:t>ropeginterferono</w:t>
      </w:r>
      <w:proofErr w:type="spellEnd"/>
      <w:r w:rsidRPr="00CA415D">
        <w:t xml:space="preserve"> alfa-2b palyginamasis efektyvumas lyginant su </w:t>
      </w:r>
      <w:proofErr w:type="spellStart"/>
      <w:r w:rsidRPr="00CA415D">
        <w:t>hidroksikarbamido</w:t>
      </w:r>
      <w:proofErr w:type="spellEnd"/>
      <w:r w:rsidRPr="00CA415D">
        <w:t xml:space="preserve"> </w:t>
      </w:r>
      <w:r w:rsidRPr="00CA415D">
        <w:rPr>
          <w:b/>
        </w:rPr>
        <w:t>neįrodytas</w:t>
      </w:r>
      <w:r w:rsidRPr="00CA415D">
        <w:t xml:space="preserve"> kaip toks pats.</w:t>
      </w:r>
    </w:p>
    <w:p w14:paraId="51E74EF8" w14:textId="2D6C2479" w:rsidR="00975331" w:rsidRPr="00CA415D" w:rsidRDefault="00263C5E" w:rsidP="00EB1D0B">
      <w:pPr>
        <w:spacing w:line="276" w:lineRule="auto"/>
        <w:ind w:firstLine="720"/>
        <w:jc w:val="both"/>
        <w:rPr>
          <w:rFonts w:eastAsia="Arial"/>
          <w:i/>
        </w:rPr>
      </w:pPr>
      <w:r w:rsidRPr="00441C96">
        <w:rPr>
          <w:rFonts w:eastAsia="Arial"/>
          <w:i/>
        </w:rPr>
        <w:t>CONTINUATION-PV</w:t>
      </w:r>
      <w:r>
        <w:rPr>
          <w:rFonts w:eastAsia="Arial"/>
          <w:i/>
        </w:rPr>
        <w:t xml:space="preserve"> tęstinis </w:t>
      </w:r>
      <w:r>
        <w:rPr>
          <w:i/>
        </w:rPr>
        <w:t>klinikinis tyrimas</w:t>
      </w:r>
      <w:r w:rsidR="00EB1D0B">
        <w:rPr>
          <w:rFonts w:eastAsia="Arial"/>
        </w:rPr>
        <w:t xml:space="preserve">. </w:t>
      </w:r>
      <w:r w:rsidR="00EB1D0B" w:rsidRPr="00CA415D">
        <w:t>CONTINUATION-PV tyrime, kuris pradėtas ir tęstas praėjus 1 metams po PROUD-PV tyrimo, vidutinis pacientų amžius buvo &gt;60 metų.</w:t>
      </w:r>
      <w:r w:rsidR="00EB1D0B" w:rsidRPr="00CA415D">
        <w:rPr>
          <w:b/>
        </w:rPr>
        <w:t xml:space="preserve"> </w:t>
      </w:r>
      <w:r w:rsidR="00EB1D0B" w:rsidRPr="00CA415D">
        <w:t xml:space="preserve">Tirti pacientai, kurie jau gydomi </w:t>
      </w:r>
      <w:proofErr w:type="spellStart"/>
      <w:r w:rsidR="00EB1D0B" w:rsidRPr="00CA415D">
        <w:t>citoredukciniu</w:t>
      </w:r>
      <w:proofErr w:type="spellEnd"/>
      <w:r w:rsidR="00EB1D0B" w:rsidRPr="00CA415D">
        <w:t xml:space="preserve"> gydymu (t. y. kurie buvo gydyti </w:t>
      </w:r>
      <w:proofErr w:type="spellStart"/>
      <w:r w:rsidR="00EB1D0B" w:rsidRPr="00CA415D">
        <w:t>ropeginteferonu</w:t>
      </w:r>
      <w:proofErr w:type="spellEnd"/>
      <w:r w:rsidR="00EB1D0B" w:rsidRPr="00CA415D">
        <w:t xml:space="preserve"> alfa-2b arba </w:t>
      </w:r>
      <w:proofErr w:type="spellStart"/>
      <w:r w:rsidR="00EB1D0B" w:rsidRPr="00CA415D">
        <w:t>hidroksikarbamidu</w:t>
      </w:r>
      <w:proofErr w:type="spellEnd"/>
      <w:r w:rsidR="00EB1D0B" w:rsidRPr="00CA415D">
        <w:t xml:space="preserve"> PROUD-PV tyrime). </w:t>
      </w:r>
      <w:r w:rsidR="00EB1D0B">
        <w:rPr>
          <w:rFonts w:eastAsia="Arial"/>
        </w:rPr>
        <w:t>CONT</w:t>
      </w:r>
      <w:r w:rsidR="00975331" w:rsidRPr="00CA415D">
        <w:rPr>
          <w:rFonts w:eastAsia="Arial"/>
        </w:rPr>
        <w:t>INUATION-PV klinikiniame tyrime per 36 gydymo mėnesių laikotarpį pacientų dalis, kuri išlaikė gydymo atsaką</w:t>
      </w:r>
      <w:r w:rsidR="00386CCF">
        <w:rPr>
          <w:rFonts w:eastAsia="Arial"/>
        </w:rPr>
        <w:t>,</w:t>
      </w:r>
      <w:r w:rsidR="00975331" w:rsidRPr="00CA415D">
        <w:rPr>
          <w:rFonts w:eastAsia="Arial"/>
        </w:rPr>
        <w:t xml:space="preserve"> buvo </w:t>
      </w:r>
      <w:r w:rsidR="00975331" w:rsidRPr="00D3104E">
        <w:rPr>
          <w:rFonts w:eastAsia="Arial"/>
        </w:rPr>
        <w:t xml:space="preserve">didesnė </w:t>
      </w:r>
      <w:proofErr w:type="spellStart"/>
      <w:r w:rsidR="00975331" w:rsidRPr="00D3104E">
        <w:rPr>
          <w:rFonts w:eastAsia="Arial"/>
        </w:rPr>
        <w:t>ropeginterferono</w:t>
      </w:r>
      <w:proofErr w:type="spellEnd"/>
      <w:r w:rsidR="00975331" w:rsidRPr="00D3104E">
        <w:rPr>
          <w:rFonts w:eastAsia="Arial"/>
        </w:rPr>
        <w:t xml:space="preserve"> alfa-2b grupėje lyginant su </w:t>
      </w:r>
      <w:proofErr w:type="spellStart"/>
      <w:r w:rsidR="00975331" w:rsidRPr="00D3104E">
        <w:rPr>
          <w:rFonts w:eastAsia="Arial"/>
        </w:rPr>
        <w:t>hidroksikarbamido</w:t>
      </w:r>
      <w:proofErr w:type="spellEnd"/>
      <w:r w:rsidR="00975331" w:rsidRPr="00D3104E">
        <w:rPr>
          <w:rFonts w:eastAsia="Arial"/>
        </w:rPr>
        <w:t xml:space="preserve"> grupe vertinant </w:t>
      </w:r>
      <w:r w:rsidR="00A04AF3">
        <w:rPr>
          <w:rFonts w:eastAsia="Arial"/>
        </w:rPr>
        <w:t>pilną</w:t>
      </w:r>
      <w:r w:rsidR="00975331" w:rsidRPr="00D3104E">
        <w:rPr>
          <w:rFonts w:eastAsia="Arial"/>
        </w:rPr>
        <w:t xml:space="preserve"> hematologinį atsaką ir </w:t>
      </w:r>
      <w:r w:rsidR="00A04AF3">
        <w:rPr>
          <w:rFonts w:eastAsia="Arial"/>
        </w:rPr>
        <w:t>pilną</w:t>
      </w:r>
      <w:r w:rsidR="00A04AF3" w:rsidRPr="00D3104E">
        <w:rPr>
          <w:rFonts w:eastAsia="Arial"/>
        </w:rPr>
        <w:t xml:space="preserve"> </w:t>
      </w:r>
      <w:r w:rsidR="00975331" w:rsidRPr="00D3104E">
        <w:rPr>
          <w:rFonts w:eastAsia="Arial"/>
        </w:rPr>
        <w:t>hematologinį atsaką esant ligos pagerėjimui (7 (39 proc.) iš 95 pacientų lyginant su 11 (15 proc.) iš 76, p=0,0011; 28 (30 proc.) iš 76, p=0,0011; 28 (30 proc.) iš 95 lyginant su 11 (15 proc.) iš 76 p=0,025 atitinkamai). Klinikinio atsako dažnis didėjo</w:t>
      </w:r>
      <w:r w:rsidR="00975331" w:rsidRPr="00CA415D">
        <w:rPr>
          <w:rFonts w:eastAsia="Arial"/>
        </w:rPr>
        <w:t xml:space="preserve"> per pirmus 24 gydymo </w:t>
      </w:r>
      <w:proofErr w:type="spellStart"/>
      <w:r w:rsidR="00975331" w:rsidRPr="00CA415D">
        <w:rPr>
          <w:rFonts w:eastAsia="Arial"/>
        </w:rPr>
        <w:t>ropeginteferonu</w:t>
      </w:r>
      <w:proofErr w:type="spellEnd"/>
      <w:r w:rsidR="00975331" w:rsidRPr="00CA415D">
        <w:rPr>
          <w:rFonts w:eastAsia="Arial"/>
        </w:rPr>
        <w:t xml:space="preserve"> alfa-2b mėnesius</w:t>
      </w:r>
      <w:r w:rsidR="00D3104E">
        <w:rPr>
          <w:rFonts w:eastAsia="Arial"/>
        </w:rPr>
        <w:t>:</w:t>
      </w:r>
      <w:r w:rsidR="00975331" w:rsidRPr="00CA415D">
        <w:rPr>
          <w:rFonts w:eastAsia="Arial"/>
        </w:rPr>
        <w:t xml:space="preserve"> </w:t>
      </w:r>
      <w:r w:rsidR="00D3104E">
        <w:rPr>
          <w:rFonts w:eastAsia="Arial"/>
        </w:rPr>
        <w:t xml:space="preserve">nuo </w:t>
      </w:r>
      <w:r w:rsidR="00975331" w:rsidRPr="00CA415D">
        <w:rPr>
          <w:rFonts w:eastAsia="Arial"/>
        </w:rPr>
        <w:t>46,3</w:t>
      </w:r>
      <w:r w:rsidR="00975331">
        <w:rPr>
          <w:rFonts w:eastAsia="Arial"/>
        </w:rPr>
        <w:t xml:space="preserve"> proc.</w:t>
      </w:r>
      <w:r w:rsidR="00975331" w:rsidRPr="00CA415D">
        <w:rPr>
          <w:rFonts w:eastAsia="Arial"/>
        </w:rPr>
        <w:t xml:space="preserve"> </w:t>
      </w:r>
      <w:r w:rsidR="00D3104E">
        <w:rPr>
          <w:rFonts w:eastAsia="Arial"/>
        </w:rPr>
        <w:t xml:space="preserve">iki </w:t>
      </w:r>
      <w:r w:rsidR="00975331" w:rsidRPr="00CA415D">
        <w:rPr>
          <w:rFonts w:eastAsia="Arial"/>
        </w:rPr>
        <w:t xml:space="preserve"> 49,5</w:t>
      </w:r>
      <w:r w:rsidR="00975331">
        <w:rPr>
          <w:rFonts w:eastAsia="Arial"/>
        </w:rPr>
        <w:t xml:space="preserve"> proc.</w:t>
      </w:r>
      <w:r w:rsidR="00975331" w:rsidRPr="00CA415D">
        <w:rPr>
          <w:rFonts w:eastAsia="Arial"/>
        </w:rPr>
        <w:t xml:space="preserve"> ir išliko stabilus 3-iaisiais gydymo metais (52,6</w:t>
      </w:r>
      <w:r w:rsidR="00975331">
        <w:rPr>
          <w:rFonts w:eastAsia="Arial"/>
        </w:rPr>
        <w:t xml:space="preserve"> proc.</w:t>
      </w:r>
      <w:r w:rsidR="00975331" w:rsidRPr="00CA415D">
        <w:rPr>
          <w:rFonts w:eastAsia="Arial"/>
        </w:rPr>
        <w:t xml:space="preserve">). </w:t>
      </w:r>
    </w:p>
    <w:p w14:paraId="4203AE32" w14:textId="0A28042A" w:rsidR="00A04AF3" w:rsidRDefault="00975331" w:rsidP="00441C96">
      <w:pPr>
        <w:spacing w:line="276" w:lineRule="auto"/>
        <w:ind w:firstLine="720"/>
        <w:jc w:val="both"/>
      </w:pPr>
      <w:r w:rsidRPr="00CA415D">
        <w:t xml:space="preserve">Po 24 ir 36 gydymo mėnesių CONTINUATION-PV tyrime, įvertinus pacientų, kuriems pasireiškė molekulinis atsakas, skaičius buvo žymiai didesnis </w:t>
      </w:r>
      <w:proofErr w:type="spellStart"/>
      <w:r w:rsidRPr="00CA415D">
        <w:t>ropeginterferono</w:t>
      </w:r>
      <w:proofErr w:type="spellEnd"/>
      <w:r w:rsidRPr="00CA415D">
        <w:t xml:space="preserve"> </w:t>
      </w:r>
      <w:r>
        <w:t>alfa-</w:t>
      </w:r>
      <w:r w:rsidRPr="00CA415D">
        <w:t xml:space="preserve">2b grupėje nei </w:t>
      </w:r>
      <w:proofErr w:type="spellStart"/>
      <w:r w:rsidRPr="00CA415D">
        <w:t>hidroksikarbamido</w:t>
      </w:r>
      <w:proofErr w:type="spellEnd"/>
      <w:r w:rsidRPr="00CA415D">
        <w:t xml:space="preserve"> grupėje. 24 ir 36 gydymo mėnesiais, vidutinis JAK2V617F alelio lygis buvo reikšmingai mažesnis </w:t>
      </w:r>
      <w:proofErr w:type="spellStart"/>
      <w:r w:rsidRPr="00CA415D">
        <w:t>ropeginterferono</w:t>
      </w:r>
      <w:proofErr w:type="spellEnd"/>
      <w:r w:rsidRPr="00CA415D">
        <w:t xml:space="preserve">  </w:t>
      </w:r>
      <w:r>
        <w:t>alfa-</w:t>
      </w:r>
      <w:r w:rsidRPr="00CA415D">
        <w:t xml:space="preserve">2b grupėje lyginant su </w:t>
      </w:r>
      <w:proofErr w:type="spellStart"/>
      <w:r w:rsidRPr="00CA415D">
        <w:t>hidroksikarbamidu</w:t>
      </w:r>
      <w:proofErr w:type="spellEnd"/>
      <w:r w:rsidRPr="00CA415D">
        <w:t xml:space="preserve"> gydoma</w:t>
      </w:r>
      <w:r>
        <w:t xml:space="preserve"> grupe</w:t>
      </w:r>
      <w:r w:rsidR="00D3104E">
        <w:t xml:space="preserve">: </w:t>
      </w:r>
      <w:r w:rsidRPr="00CA415D">
        <w:t>24 mėnesį – 20,9</w:t>
      </w:r>
      <w:r>
        <w:t xml:space="preserve"> proc.</w:t>
      </w:r>
      <w:r w:rsidRPr="00CA415D">
        <w:t xml:space="preserve"> </w:t>
      </w:r>
      <w:r w:rsidR="00D3104E">
        <w:t xml:space="preserve">ir 32,1 proc., </w:t>
      </w:r>
      <w:r w:rsidRPr="00CA415D">
        <w:t>atitinkamai</w:t>
      </w:r>
      <w:r w:rsidR="00D3104E">
        <w:t xml:space="preserve"> (</w:t>
      </w:r>
      <w:r w:rsidRPr="00CA415D">
        <w:t>p=0,0001</w:t>
      </w:r>
      <w:r w:rsidR="00D3104E">
        <w:t>)</w:t>
      </w:r>
      <w:r w:rsidRPr="00CA415D">
        <w:t>; 36 mėnesį – 19,7</w:t>
      </w:r>
      <w:r>
        <w:t xml:space="preserve"> proc.</w:t>
      </w:r>
      <w:r w:rsidR="00BF4CA0">
        <w:t xml:space="preserve"> ir </w:t>
      </w:r>
      <w:r w:rsidRPr="00CA415D">
        <w:t>39,3</w:t>
      </w:r>
      <w:r>
        <w:t xml:space="preserve"> proc.</w:t>
      </w:r>
      <w:r w:rsidR="00D3104E">
        <w:t xml:space="preserve">, </w:t>
      </w:r>
      <w:r w:rsidRPr="00CA415D">
        <w:t>atitinkamai</w:t>
      </w:r>
      <w:r w:rsidR="00D3104E">
        <w:t xml:space="preserve"> (</w:t>
      </w:r>
      <w:r w:rsidRPr="00CA415D">
        <w:t xml:space="preserve">p&lt;0,0001). </w:t>
      </w:r>
      <w:proofErr w:type="spellStart"/>
      <w:r w:rsidRPr="006B4051">
        <w:rPr>
          <w:i/>
        </w:rPr>
        <w:t>Post-hoc</w:t>
      </w:r>
      <w:proofErr w:type="spellEnd"/>
      <w:r w:rsidRPr="006B4051">
        <w:rPr>
          <w:i/>
        </w:rPr>
        <w:t xml:space="preserve"> </w:t>
      </w:r>
      <w:r w:rsidRPr="00CA415D">
        <w:t xml:space="preserve">analizėje, mažesnė JAK2V617F alelio įtaka koreliavo su </w:t>
      </w:r>
      <w:r w:rsidR="0048507D">
        <w:t>pilnu</w:t>
      </w:r>
      <w:r w:rsidRPr="00CA415D">
        <w:t xml:space="preserve"> hematologiniu atsaku po 12, 24 ir 36 gydymo mėnesių </w:t>
      </w:r>
      <w:proofErr w:type="spellStart"/>
      <w:r w:rsidRPr="00CA415D">
        <w:t>ropeginterferono</w:t>
      </w:r>
      <w:proofErr w:type="spellEnd"/>
      <w:r w:rsidRPr="00CA415D">
        <w:t xml:space="preserve"> </w:t>
      </w:r>
      <w:r>
        <w:t>alfa-</w:t>
      </w:r>
      <w:r w:rsidRPr="00775E57">
        <w:t xml:space="preserve">2b </w:t>
      </w:r>
      <w:r w:rsidR="0048507D">
        <w:t xml:space="preserve">grupėje. </w:t>
      </w:r>
      <w:r w:rsidR="00EB1D0B">
        <w:t xml:space="preserve">Siekiant įrodyti  </w:t>
      </w:r>
      <w:proofErr w:type="spellStart"/>
      <w:r w:rsidR="0023452D" w:rsidRPr="00CA415D">
        <w:t>ropeginterferono</w:t>
      </w:r>
      <w:proofErr w:type="spellEnd"/>
      <w:r w:rsidR="0023452D" w:rsidRPr="00CA415D">
        <w:t xml:space="preserve"> alfa-2b </w:t>
      </w:r>
      <w:r w:rsidR="0023452D">
        <w:t>efektyvum</w:t>
      </w:r>
      <w:r w:rsidR="008A5615">
        <w:t>ą</w:t>
      </w:r>
      <w:r w:rsidR="0023452D">
        <w:t>, p</w:t>
      </w:r>
      <w:r w:rsidR="00EB1D0B">
        <w:t xml:space="preserve">areiškėjas papildomai pateikė </w:t>
      </w:r>
      <w:r w:rsidR="0023452D">
        <w:t xml:space="preserve">72 mėn. </w:t>
      </w:r>
      <w:r w:rsidR="0023452D" w:rsidRPr="00CA415D">
        <w:t>CONTINUATION-PV tyrim</w:t>
      </w:r>
      <w:r w:rsidR="0023452D">
        <w:t xml:space="preserve">o stebėjimo duomenys. </w:t>
      </w:r>
      <w:r w:rsidR="0048507D">
        <w:t>Pilną</w:t>
      </w:r>
      <w:r w:rsidR="0023452D">
        <w:t xml:space="preserve"> hematologinį atsaką </w:t>
      </w:r>
      <w:r w:rsidR="0048507D">
        <w:t xml:space="preserve">pasiekė </w:t>
      </w:r>
      <w:r w:rsidR="0048507D" w:rsidRPr="009450E4">
        <w:rPr>
          <w:bCs/>
          <w:color w:val="000000" w:themeColor="text1"/>
        </w:rPr>
        <w:t xml:space="preserve">54,5 proc. </w:t>
      </w:r>
      <w:r w:rsidR="0048507D">
        <w:rPr>
          <w:bCs/>
          <w:color w:val="000000" w:themeColor="text1"/>
        </w:rPr>
        <w:t>pacientų gydytų</w:t>
      </w:r>
      <w:r w:rsidR="0048507D" w:rsidRPr="00CA415D">
        <w:t xml:space="preserve"> </w:t>
      </w:r>
      <w:proofErr w:type="spellStart"/>
      <w:r w:rsidR="0023452D" w:rsidRPr="00CA415D">
        <w:t>ropeginterferon</w:t>
      </w:r>
      <w:r w:rsidR="0023452D">
        <w:t>u</w:t>
      </w:r>
      <w:proofErr w:type="spellEnd"/>
      <w:r w:rsidR="0023452D" w:rsidRPr="00CA415D">
        <w:t xml:space="preserve"> alfa-2b</w:t>
      </w:r>
      <w:r w:rsidR="0023452D">
        <w:t xml:space="preserve"> pasiekė</w:t>
      </w:r>
      <w:r w:rsidR="0023452D">
        <w:rPr>
          <w:bCs/>
          <w:color w:val="000000" w:themeColor="text1"/>
        </w:rPr>
        <w:t xml:space="preserve">, </w:t>
      </w:r>
      <w:r w:rsidR="0023452D" w:rsidRPr="009450E4">
        <w:rPr>
          <w:bCs/>
          <w:color w:val="000000" w:themeColor="text1"/>
        </w:rPr>
        <w:t>lyginant su 34,9</w:t>
      </w:r>
      <w:r w:rsidR="0023452D">
        <w:rPr>
          <w:bCs/>
          <w:color w:val="000000" w:themeColor="text1"/>
        </w:rPr>
        <w:t xml:space="preserve"> proc. pacientų gydytų </w:t>
      </w:r>
      <w:proofErr w:type="spellStart"/>
      <w:r w:rsidR="0023452D">
        <w:rPr>
          <w:bCs/>
        </w:rPr>
        <w:t>hidroksikarbamidu</w:t>
      </w:r>
      <w:proofErr w:type="spellEnd"/>
      <w:r w:rsidR="0023452D">
        <w:rPr>
          <w:bCs/>
        </w:rPr>
        <w:t xml:space="preserve">. </w:t>
      </w:r>
      <w:r w:rsidR="00B92487">
        <w:rPr>
          <w:bCs/>
        </w:rPr>
        <w:t xml:space="preserve">Išgyvenamumo be įvykių tikimybė buvo šiek tiek didesnė gydant </w:t>
      </w:r>
      <w:proofErr w:type="spellStart"/>
      <w:r w:rsidR="00B92487" w:rsidRPr="00CA415D">
        <w:t>ropeginterferon</w:t>
      </w:r>
      <w:r w:rsidR="00B92487">
        <w:t>u</w:t>
      </w:r>
      <w:proofErr w:type="spellEnd"/>
      <w:r w:rsidR="00B92487" w:rsidRPr="00CA415D">
        <w:t xml:space="preserve"> alfa-2b</w:t>
      </w:r>
      <w:r w:rsidR="008A5615">
        <w:t xml:space="preserve"> </w:t>
      </w:r>
      <w:r w:rsidR="00B92487">
        <w:t xml:space="preserve"> nei </w:t>
      </w:r>
      <w:proofErr w:type="spellStart"/>
      <w:r w:rsidR="00B92487" w:rsidRPr="00574C72">
        <w:rPr>
          <w:bCs/>
        </w:rPr>
        <w:t>hidroksikarbamid</w:t>
      </w:r>
      <w:r w:rsidR="00B92487">
        <w:rPr>
          <w:bCs/>
        </w:rPr>
        <w:t>u</w:t>
      </w:r>
      <w:proofErr w:type="spellEnd"/>
      <w:r w:rsidR="00B92487">
        <w:rPr>
          <w:bCs/>
        </w:rPr>
        <w:t>:</w:t>
      </w:r>
      <w:r w:rsidR="00B92487" w:rsidRPr="009450E4">
        <w:rPr>
          <w:bCs/>
        </w:rPr>
        <w:t xml:space="preserve"> (</w:t>
      </w:r>
      <w:r w:rsidR="00B92487" w:rsidRPr="009450E4">
        <w:t>0,94 lyginant</w:t>
      </w:r>
      <w:r w:rsidR="00B92487" w:rsidRPr="00CA415D">
        <w:t xml:space="preserve"> su 0,82; </w:t>
      </w:r>
      <w:r w:rsidR="003E0989" w:rsidRPr="00CA415D">
        <w:t>logaritminio</w:t>
      </w:r>
      <w:r w:rsidR="00B92487" w:rsidRPr="00CA415D">
        <w:t xml:space="preserve"> rango kriterijus; p=0,04</w:t>
      </w:r>
      <w:r w:rsidR="00B92487">
        <w:t xml:space="preserve">). </w:t>
      </w:r>
      <w:r w:rsidR="00B92487" w:rsidRPr="009450E4">
        <w:t>Rizikos įvykiai buvo apibrėž</w:t>
      </w:r>
      <w:r w:rsidR="003E0989">
        <w:t>ti</w:t>
      </w:r>
      <w:r w:rsidR="00B92487" w:rsidRPr="009450E4">
        <w:t xml:space="preserve"> kaip </w:t>
      </w:r>
      <w:proofErr w:type="spellStart"/>
      <w:r w:rsidR="00B92487" w:rsidRPr="009450E4">
        <w:t>tromboemboliniai</w:t>
      </w:r>
      <w:proofErr w:type="spellEnd"/>
      <w:r w:rsidR="00B92487" w:rsidRPr="009450E4">
        <w:t xml:space="preserve"> įvykiai, ligos progresavimas arba mirtis.</w:t>
      </w:r>
      <w:r w:rsidR="00B92487">
        <w:t xml:space="preserve"> Vertinant molekulinį atsaką,  </w:t>
      </w:r>
      <w:proofErr w:type="spellStart"/>
      <w:r w:rsidR="00BF4CA0" w:rsidRPr="00574C72">
        <w:rPr>
          <w:bCs/>
        </w:rPr>
        <w:t>ropeginterferonas</w:t>
      </w:r>
      <w:proofErr w:type="spellEnd"/>
      <w:r w:rsidR="00BF4CA0" w:rsidRPr="00574C72">
        <w:rPr>
          <w:bCs/>
        </w:rPr>
        <w:t xml:space="preserve"> alfa-2b</w:t>
      </w:r>
      <w:r w:rsidR="00BF4CA0" w:rsidRPr="00574C72">
        <w:t xml:space="preserve"> ilgainiui </w:t>
      </w:r>
      <w:r w:rsidR="00BF4CA0">
        <w:t>tikėtina</w:t>
      </w:r>
      <w:r w:rsidR="00BF4CA0" w:rsidRPr="00574C72">
        <w:t xml:space="preserve"> sumažino </w:t>
      </w:r>
      <w:r w:rsidR="00BF4CA0" w:rsidRPr="00574C72">
        <w:rPr>
          <w:iCs/>
        </w:rPr>
        <w:t xml:space="preserve">JAK2 </w:t>
      </w:r>
      <w:r w:rsidR="00BF4CA0" w:rsidRPr="00574C72">
        <w:t>alelių kiekį:</w:t>
      </w:r>
      <w:r w:rsidR="00BF4CA0" w:rsidRPr="009450E4">
        <w:t xml:space="preserve"> po 6 metų molekulinį atsaką (pagal ELN kriterijus) pasiekė 66,0 proc. pacientų, o kontrolinėje grupėje –19,4 proc. pacientų (RS: 3,23 [2,01–5,19]; </w:t>
      </w:r>
      <w:r w:rsidR="00BF4CA0" w:rsidRPr="00574C72">
        <w:t>p &lt; 0,0001</w:t>
      </w:r>
      <w:r w:rsidR="00BF4CA0" w:rsidRPr="009450E4">
        <w:t>).</w:t>
      </w:r>
      <w:r w:rsidR="0048507D" w:rsidRPr="0048507D">
        <w:t xml:space="preserve"> </w:t>
      </w:r>
      <w:r w:rsidR="0048507D">
        <w:t xml:space="preserve">Pažymėtina, kad </w:t>
      </w:r>
      <w:r w:rsidR="0048507D" w:rsidRPr="00386CCF">
        <w:t xml:space="preserve">tęstiniame CONTINUATION-PV tyrime nebuvo atliktas </w:t>
      </w:r>
      <w:r w:rsidR="003E0989">
        <w:t>formalus</w:t>
      </w:r>
      <w:r w:rsidR="0048507D" w:rsidRPr="00386CCF">
        <w:t xml:space="preserve"> hipotezės patikrinimas, todėl šio tyrimo rezultatai laikomi žvalgomaisiais. </w:t>
      </w:r>
    </w:p>
    <w:p w14:paraId="04A4925D" w14:textId="3C54A9A6" w:rsidR="005C73C9" w:rsidRPr="009450E4" w:rsidRDefault="0048507D" w:rsidP="00441C96">
      <w:pPr>
        <w:spacing w:line="276" w:lineRule="auto"/>
        <w:ind w:firstLine="720"/>
        <w:jc w:val="both"/>
      </w:pPr>
      <w:r w:rsidRPr="00386CCF">
        <w:t xml:space="preserve">Įvertinus visus pateiktus klinikinius duomenis, galutiniai tyrimų PROUD-PV ir CONTINUATION-PV rezultatai rodo, kad ankstesnėse analizėse nurodytas </w:t>
      </w:r>
      <w:proofErr w:type="spellStart"/>
      <w:r w:rsidRPr="00386CCF">
        <w:t>ropeginterferonas</w:t>
      </w:r>
      <w:proofErr w:type="spellEnd"/>
      <w:r w:rsidRPr="00386CCF">
        <w:t xml:space="preserve"> alfa-2b po</w:t>
      </w:r>
      <w:r w:rsidR="00A04AF3">
        <w:t>veikis</w:t>
      </w:r>
      <w:r w:rsidRPr="00386CCF">
        <w:t xml:space="preserve"> gali keisti ligos eigą tačiau tam </w:t>
      </w:r>
      <w:r>
        <w:t xml:space="preserve">patvirtinti </w:t>
      </w:r>
      <w:r w:rsidRPr="00386CCF">
        <w:t>reikalingi kokybiški ilgalaiki</w:t>
      </w:r>
      <w:r w:rsidR="00A04AF3">
        <w:t>ai</w:t>
      </w:r>
      <w:r w:rsidRPr="00386CCF">
        <w:t xml:space="preserve"> tyrimai.</w:t>
      </w:r>
      <w:r>
        <w:t xml:space="preserve"> Registracinis </w:t>
      </w:r>
      <w:r w:rsidR="008A5615" w:rsidRPr="00CA415D">
        <w:t>III fazės, atviras</w:t>
      </w:r>
      <w:r w:rsidR="008A5615">
        <w:t>is</w:t>
      </w:r>
      <w:r w:rsidR="008A5615" w:rsidRPr="00CA415D">
        <w:t>, atsitiktinių imčių, aktyviai kontroliuojamas, tiesioginio palyginimo klinikinis tyrimas</w:t>
      </w:r>
      <w:r>
        <w:t xml:space="preserve"> </w:t>
      </w:r>
      <w:r w:rsidRPr="00CA415D">
        <w:rPr>
          <w:rFonts w:eastAsia="Arial"/>
        </w:rPr>
        <w:t>PROUD-PV</w:t>
      </w:r>
      <w:r w:rsidR="008A5615" w:rsidRPr="00CA415D">
        <w:t>, kuriame dalyvavo</w:t>
      </w:r>
      <w:r w:rsidR="008A5615" w:rsidRPr="00386CCF">
        <w:t xml:space="preserve"> 257 </w:t>
      </w:r>
      <w:r w:rsidR="008A5615" w:rsidRPr="00CA415D">
        <w:t xml:space="preserve">suaugusieji, sergantiems tikrąja </w:t>
      </w:r>
      <w:proofErr w:type="spellStart"/>
      <w:r w:rsidR="008A5615" w:rsidRPr="00CA415D">
        <w:t>policitemija</w:t>
      </w:r>
      <w:proofErr w:type="spellEnd"/>
      <w:r w:rsidR="008A5615">
        <w:t xml:space="preserve">, neparodė neprastesnio </w:t>
      </w:r>
      <w:proofErr w:type="spellStart"/>
      <w:r w:rsidR="008A5615" w:rsidRPr="00CA415D">
        <w:t>ropeginterferono</w:t>
      </w:r>
      <w:proofErr w:type="spellEnd"/>
      <w:r w:rsidR="008A5615" w:rsidRPr="00CA415D">
        <w:t xml:space="preserve"> alfa-2b</w:t>
      </w:r>
      <w:r w:rsidR="008A5615" w:rsidRPr="009450E4">
        <w:t xml:space="preserve"> </w:t>
      </w:r>
      <w:r w:rsidR="008A5615">
        <w:t>efektyvum</w:t>
      </w:r>
      <w:r w:rsidR="00A04AF3">
        <w:t>o</w:t>
      </w:r>
      <w:r w:rsidR="008A5615">
        <w:t xml:space="preserve">, palyginus </w:t>
      </w:r>
      <w:proofErr w:type="spellStart"/>
      <w:r w:rsidR="008A5615">
        <w:t>hidroksikarbamid</w:t>
      </w:r>
      <w:r w:rsidR="00A04AF3">
        <w:t>u</w:t>
      </w:r>
      <w:proofErr w:type="spellEnd"/>
      <w:r w:rsidR="008A5615">
        <w:t xml:space="preserve">. </w:t>
      </w:r>
    </w:p>
    <w:p w14:paraId="427ABAA4" w14:textId="46805AAE" w:rsidR="00C451AD" w:rsidRDefault="00A27470" w:rsidP="00C451AD">
      <w:pPr>
        <w:spacing w:line="276" w:lineRule="auto"/>
        <w:ind w:firstLine="720"/>
        <w:jc w:val="both"/>
      </w:pPr>
      <w:r>
        <w:rPr>
          <w:bCs/>
          <w:color w:val="000000" w:themeColor="text1"/>
          <w:lang w:eastAsia="lt-LT"/>
        </w:rPr>
        <w:t xml:space="preserve">Sunkių </w:t>
      </w:r>
      <w:r w:rsidR="00A04AF3">
        <w:rPr>
          <w:bCs/>
          <w:color w:val="000000" w:themeColor="text1"/>
          <w:lang w:eastAsia="lt-LT"/>
        </w:rPr>
        <w:t xml:space="preserve">nepageidaujamų reakcijų (toliau- </w:t>
      </w:r>
      <w:r>
        <w:rPr>
          <w:bCs/>
          <w:color w:val="000000" w:themeColor="text1"/>
          <w:lang w:eastAsia="lt-LT"/>
        </w:rPr>
        <w:t>NR</w:t>
      </w:r>
      <w:r w:rsidR="00A04AF3">
        <w:rPr>
          <w:bCs/>
          <w:color w:val="000000" w:themeColor="text1"/>
          <w:lang w:eastAsia="lt-LT"/>
        </w:rPr>
        <w:t>)</w:t>
      </w:r>
      <w:r>
        <w:rPr>
          <w:bCs/>
          <w:color w:val="000000" w:themeColor="text1"/>
          <w:lang w:eastAsia="lt-LT"/>
        </w:rPr>
        <w:t xml:space="preserve"> (</w:t>
      </w:r>
      <w:r w:rsidRPr="00106510">
        <w:rPr>
          <w:bCs/>
          <w:color w:val="000000" w:themeColor="text1"/>
          <w:lang w:eastAsia="lt-LT"/>
        </w:rPr>
        <w:t>3 ar aukštesnio laipsnio</w:t>
      </w:r>
      <w:r>
        <w:rPr>
          <w:bCs/>
          <w:color w:val="000000" w:themeColor="text1"/>
          <w:lang w:eastAsia="lt-LT"/>
        </w:rPr>
        <w:t>)</w:t>
      </w:r>
      <w:r w:rsidRPr="00106510">
        <w:rPr>
          <w:bCs/>
          <w:color w:val="000000" w:themeColor="text1"/>
          <w:lang w:eastAsia="lt-LT"/>
        </w:rPr>
        <w:t xml:space="preserve"> </w:t>
      </w:r>
      <w:r w:rsidR="00A04AF3">
        <w:rPr>
          <w:bCs/>
          <w:color w:val="000000" w:themeColor="text1"/>
          <w:lang w:eastAsia="lt-LT"/>
        </w:rPr>
        <w:t xml:space="preserve">dažnis </w:t>
      </w:r>
      <w:r w:rsidRPr="00106510">
        <w:rPr>
          <w:bCs/>
          <w:color w:val="000000" w:themeColor="text1"/>
          <w:lang w:eastAsia="lt-LT"/>
        </w:rPr>
        <w:t>abiejose gydymo grupėse buvo panaš</w:t>
      </w:r>
      <w:r w:rsidR="00A04AF3">
        <w:rPr>
          <w:bCs/>
          <w:color w:val="000000" w:themeColor="text1"/>
          <w:lang w:eastAsia="lt-LT"/>
        </w:rPr>
        <w:t>u</w:t>
      </w:r>
      <w:r w:rsidR="00440187">
        <w:rPr>
          <w:bCs/>
          <w:color w:val="000000" w:themeColor="text1"/>
          <w:lang w:eastAsia="lt-LT"/>
        </w:rPr>
        <w:t>s</w:t>
      </w:r>
      <w:r w:rsidRPr="00106510">
        <w:rPr>
          <w:bCs/>
          <w:color w:val="000000" w:themeColor="text1"/>
          <w:lang w:eastAsia="lt-LT"/>
        </w:rPr>
        <w:t>. Su gydymu susiję sunk</w:t>
      </w:r>
      <w:r w:rsidR="00A04AF3">
        <w:rPr>
          <w:bCs/>
          <w:color w:val="000000" w:themeColor="text1"/>
          <w:lang w:eastAsia="lt-LT"/>
        </w:rPr>
        <w:t>ios</w:t>
      </w:r>
      <w:r w:rsidRPr="00106510">
        <w:rPr>
          <w:bCs/>
          <w:color w:val="000000" w:themeColor="text1"/>
          <w:lang w:eastAsia="lt-LT"/>
        </w:rPr>
        <w:t xml:space="preserve"> NR pasireiškė 2</w:t>
      </w:r>
      <w:r>
        <w:rPr>
          <w:bCs/>
          <w:color w:val="000000" w:themeColor="text1"/>
          <w:lang w:eastAsia="lt-LT"/>
        </w:rPr>
        <w:t xml:space="preserve"> proc.</w:t>
      </w:r>
      <w:r w:rsidRPr="00106510">
        <w:rPr>
          <w:bCs/>
          <w:color w:val="000000" w:themeColor="text1"/>
          <w:lang w:eastAsia="lt-LT"/>
        </w:rPr>
        <w:t xml:space="preserve"> pacientų </w:t>
      </w:r>
      <w:proofErr w:type="spellStart"/>
      <w:r w:rsidRPr="00106510">
        <w:rPr>
          <w:bCs/>
          <w:color w:val="000000" w:themeColor="text1"/>
          <w:lang w:eastAsia="lt-LT"/>
        </w:rPr>
        <w:t>ropeginterferono</w:t>
      </w:r>
      <w:proofErr w:type="spellEnd"/>
      <w:r w:rsidRPr="00106510">
        <w:rPr>
          <w:bCs/>
          <w:color w:val="000000" w:themeColor="text1"/>
          <w:lang w:eastAsia="lt-LT"/>
        </w:rPr>
        <w:t xml:space="preserve"> </w:t>
      </w:r>
      <w:r>
        <w:rPr>
          <w:bCs/>
          <w:color w:val="000000" w:themeColor="text1"/>
          <w:lang w:eastAsia="lt-LT"/>
        </w:rPr>
        <w:t>alfa-</w:t>
      </w:r>
      <w:r w:rsidRPr="00106510">
        <w:rPr>
          <w:bCs/>
          <w:color w:val="000000" w:themeColor="text1"/>
          <w:lang w:eastAsia="lt-LT"/>
        </w:rPr>
        <w:t xml:space="preserve">2b </w:t>
      </w:r>
      <w:r w:rsidR="00E0451F">
        <w:rPr>
          <w:bCs/>
          <w:color w:val="000000" w:themeColor="text1"/>
          <w:lang w:eastAsia="lt-LT"/>
        </w:rPr>
        <w:t xml:space="preserve">grupėje ir </w:t>
      </w:r>
      <w:r w:rsidRPr="00106510">
        <w:rPr>
          <w:bCs/>
          <w:color w:val="000000" w:themeColor="text1"/>
          <w:lang w:eastAsia="lt-LT"/>
        </w:rPr>
        <w:t>4</w:t>
      </w:r>
      <w:r>
        <w:rPr>
          <w:bCs/>
          <w:color w:val="000000" w:themeColor="text1"/>
          <w:lang w:eastAsia="lt-LT"/>
        </w:rPr>
        <w:t xml:space="preserve"> proc</w:t>
      </w:r>
      <w:r w:rsidR="00E0451F">
        <w:rPr>
          <w:bCs/>
          <w:color w:val="000000" w:themeColor="text1"/>
          <w:lang w:eastAsia="lt-LT"/>
        </w:rPr>
        <w:t>. pacientų</w:t>
      </w:r>
      <w:r w:rsidRPr="00106510">
        <w:rPr>
          <w:bCs/>
          <w:color w:val="000000" w:themeColor="text1"/>
          <w:lang w:eastAsia="lt-LT"/>
        </w:rPr>
        <w:t xml:space="preserve"> </w:t>
      </w:r>
      <w:proofErr w:type="spellStart"/>
      <w:r w:rsidR="00E0451F">
        <w:t>hidroksikarbamido</w:t>
      </w:r>
      <w:proofErr w:type="spellEnd"/>
      <w:r w:rsidRPr="00106510">
        <w:rPr>
          <w:bCs/>
          <w:color w:val="000000" w:themeColor="text1"/>
          <w:lang w:eastAsia="lt-LT"/>
        </w:rPr>
        <w:t xml:space="preserve"> grupės pacientų</w:t>
      </w:r>
      <w:r w:rsidR="00E0451F">
        <w:rPr>
          <w:bCs/>
          <w:color w:val="000000" w:themeColor="text1"/>
          <w:lang w:eastAsia="lt-LT"/>
        </w:rPr>
        <w:t xml:space="preserve">. </w:t>
      </w:r>
      <w:proofErr w:type="spellStart"/>
      <w:r w:rsidR="00975331" w:rsidRPr="006F6833">
        <w:t>Besremi</w:t>
      </w:r>
      <w:proofErr w:type="spellEnd"/>
      <w:r w:rsidR="00975331" w:rsidRPr="006F6833">
        <w:t xml:space="preserve"> </w:t>
      </w:r>
      <w:r w:rsidR="00425A45">
        <w:t xml:space="preserve">nesukelia </w:t>
      </w:r>
      <w:r w:rsidR="00975331" w:rsidRPr="006F6833">
        <w:t>kancerogeninio poveikio.</w:t>
      </w:r>
      <w:r w:rsidR="00975331">
        <w:t xml:space="preserve"> </w:t>
      </w:r>
      <w:r w:rsidR="00425A45">
        <w:t>Tai yra s</w:t>
      </w:r>
      <w:r w:rsidR="00975331" w:rsidRPr="006F6833">
        <w:t>varbiausia</w:t>
      </w:r>
      <w:r w:rsidR="00A04AF3">
        <w:t>s</w:t>
      </w:r>
      <w:r w:rsidR="00975331" w:rsidRPr="006F6833">
        <w:t xml:space="preserve"> neginčijama</w:t>
      </w:r>
      <w:r w:rsidR="00A04AF3">
        <w:t>s</w:t>
      </w:r>
      <w:r w:rsidR="00975331" w:rsidRPr="006F6833">
        <w:t xml:space="preserve"> </w:t>
      </w:r>
      <w:proofErr w:type="spellStart"/>
      <w:r w:rsidR="00975331" w:rsidRPr="006F6833">
        <w:t>ropeginterferono</w:t>
      </w:r>
      <w:proofErr w:type="spellEnd"/>
      <w:r w:rsidR="00975331" w:rsidRPr="006F6833">
        <w:t xml:space="preserve"> alfa-2b </w:t>
      </w:r>
      <w:r w:rsidR="00A04AF3">
        <w:t xml:space="preserve">pranašumas </w:t>
      </w:r>
      <w:r w:rsidR="00975331" w:rsidRPr="006F6833">
        <w:t>lygin</w:t>
      </w:r>
      <w:r w:rsidR="00D4338E">
        <w:t>ant</w:t>
      </w:r>
      <w:r w:rsidR="00975331" w:rsidRPr="006F6833">
        <w:t xml:space="preserve"> su </w:t>
      </w:r>
      <w:proofErr w:type="spellStart"/>
      <w:r w:rsidR="00975331" w:rsidRPr="006F6833">
        <w:t>hidroksikarbamidu</w:t>
      </w:r>
      <w:proofErr w:type="spellEnd"/>
      <w:r w:rsidR="00E0451F">
        <w:t>, kuris gali</w:t>
      </w:r>
      <w:r w:rsidR="00D4338E">
        <w:t xml:space="preserve"> sukelti</w:t>
      </w:r>
      <w:r w:rsidR="00E0451F">
        <w:t xml:space="preserve"> leukemij</w:t>
      </w:r>
      <w:r w:rsidR="00D4338E">
        <w:t>ą</w:t>
      </w:r>
      <w:r w:rsidR="00E0451F">
        <w:t xml:space="preserve"> arba odos vėž</w:t>
      </w:r>
      <w:r w:rsidR="00D4338E">
        <w:t>į, kurių dažnis preparato charakteristikų santraukoje nurodytas kaip nežinomas.</w:t>
      </w:r>
    </w:p>
    <w:p w14:paraId="4C213A27" w14:textId="6EB9ACE9" w:rsidR="0084148C" w:rsidRPr="00775E57" w:rsidRDefault="00CF0672" w:rsidP="00C451AD">
      <w:pPr>
        <w:spacing w:line="276" w:lineRule="auto"/>
        <w:ind w:firstLine="720"/>
        <w:jc w:val="both"/>
        <w:rPr>
          <w:bCs/>
        </w:rPr>
      </w:pPr>
      <w:r w:rsidRPr="00CF0672">
        <w:lastRenderedPageBreak/>
        <w:t xml:space="preserve">Apibendrinant paraiškoje pateiktų klinikinių tyrimų duomenis, daroma </w:t>
      </w:r>
      <w:r w:rsidR="00975331" w:rsidRPr="00CF0672">
        <w:t>išvada</w:t>
      </w:r>
      <w:r w:rsidR="00975331" w:rsidRPr="00441C96">
        <w:t xml:space="preserve">, jog </w:t>
      </w:r>
      <w:proofErr w:type="spellStart"/>
      <w:r w:rsidR="00975331" w:rsidRPr="00441C96">
        <w:t>ropeginterferono</w:t>
      </w:r>
      <w:proofErr w:type="spellEnd"/>
      <w:r w:rsidR="00975331" w:rsidRPr="00441C96">
        <w:t xml:space="preserve"> alfa 2b palyginamasis efektyvumas lyginant su </w:t>
      </w:r>
      <w:proofErr w:type="spellStart"/>
      <w:r w:rsidR="00975331" w:rsidRPr="00441C96">
        <w:t>hidroksikarbamid</w:t>
      </w:r>
      <w:r w:rsidR="006003F0">
        <w:t>u</w:t>
      </w:r>
      <w:proofErr w:type="spellEnd"/>
      <w:r w:rsidR="00975331" w:rsidRPr="00441C96">
        <w:t xml:space="preserve"> neįrodytas kaip toks pats</w:t>
      </w:r>
      <w:r>
        <w:t xml:space="preserve">, o klinikinis veiksmingumas </w:t>
      </w:r>
      <w:r w:rsidRPr="00E33EFF">
        <w:t>įvertintas kaip nepagrindžiantis nesiskiriančios naudos pacientų sveikatai sukūrimo, lyginant su įprasta klinikine praktika</w:t>
      </w:r>
      <w:r w:rsidR="00975331">
        <w:t xml:space="preserve">. </w:t>
      </w:r>
    </w:p>
    <w:p w14:paraId="2A2E17BD" w14:textId="77777777" w:rsidR="00975331" w:rsidRPr="00690A36" w:rsidRDefault="00975331" w:rsidP="00425A4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04C72FFD" w:rsidR="00E03C3F" w:rsidRPr="001D46A7" w:rsidRDefault="00CC7832" w:rsidP="00441C96">
      <w:pPr>
        <w:pStyle w:val="ListParagraph"/>
        <w:numPr>
          <w:ilvl w:val="0"/>
          <w:numId w:val="12"/>
        </w:numPr>
        <w:tabs>
          <w:tab w:val="left" w:pos="426"/>
        </w:tabs>
        <w:spacing w:line="276" w:lineRule="auto"/>
        <w:rPr>
          <w:b/>
          <w:bCs/>
          <w:caps/>
        </w:rPr>
      </w:pPr>
      <w:r w:rsidRPr="001D46A7">
        <w:rPr>
          <w:b/>
          <w:bCs/>
          <w:caps/>
        </w:rPr>
        <w:t xml:space="preserve">Farmakoekonominio vertinimo </w:t>
      </w:r>
      <w:r w:rsidR="002F0E4F" w:rsidRPr="001D46A7">
        <w:rPr>
          <w:b/>
          <w:bCs/>
          <w:caps/>
        </w:rPr>
        <w:t>apibendrinimas</w:t>
      </w:r>
    </w:p>
    <w:p w14:paraId="1A900598" w14:textId="44CA728A" w:rsidR="00C62B36" w:rsidRDefault="00C62B36" w:rsidP="00441C96">
      <w:pPr>
        <w:tabs>
          <w:tab w:val="left" w:pos="426"/>
        </w:tabs>
        <w:spacing w:line="276" w:lineRule="auto"/>
        <w:rPr>
          <w:i/>
          <w:sz w:val="22"/>
          <w:szCs w:val="22"/>
        </w:rPr>
      </w:pPr>
    </w:p>
    <w:p w14:paraId="43981DFF" w14:textId="77777777" w:rsidR="00D039F8" w:rsidRPr="00C60C6D" w:rsidRDefault="00D039F8" w:rsidP="001938AC">
      <w:pPr>
        <w:spacing w:line="276" w:lineRule="auto"/>
        <w:ind w:firstLine="720"/>
        <w:jc w:val="both"/>
      </w:pPr>
      <w:r>
        <w:rPr>
          <w:rFonts w:eastAsia="Arial"/>
          <w:bCs/>
        </w:rPr>
        <w:t xml:space="preserve">Paraiškoje vertinimui buvo pateikta </w:t>
      </w:r>
      <w:proofErr w:type="spellStart"/>
      <w:r>
        <w:rPr>
          <w:rFonts w:eastAsia="Arial"/>
          <w:bCs/>
        </w:rPr>
        <w:t>ropeginterferono</w:t>
      </w:r>
      <w:proofErr w:type="spellEnd"/>
      <w:r>
        <w:rPr>
          <w:rFonts w:eastAsia="Arial"/>
          <w:bCs/>
        </w:rPr>
        <w:t xml:space="preserve"> alfa-2b kaštų naudingumo analizė, pacientams, sergantiems tikrąja </w:t>
      </w:r>
      <w:proofErr w:type="spellStart"/>
      <w:r>
        <w:rPr>
          <w:rFonts w:eastAsia="Arial"/>
          <w:bCs/>
        </w:rPr>
        <w:t>policitemija</w:t>
      </w:r>
      <w:proofErr w:type="spellEnd"/>
      <w:r>
        <w:rPr>
          <w:rFonts w:eastAsia="Arial"/>
          <w:bCs/>
        </w:rPr>
        <w:t xml:space="preserve"> be simptominės </w:t>
      </w:r>
      <w:proofErr w:type="spellStart"/>
      <w:r>
        <w:rPr>
          <w:rFonts w:eastAsia="Arial"/>
          <w:bCs/>
        </w:rPr>
        <w:t>splenomegalijos</w:t>
      </w:r>
      <w:proofErr w:type="spellEnd"/>
      <w:r>
        <w:rPr>
          <w:rFonts w:eastAsia="Arial"/>
          <w:bCs/>
        </w:rPr>
        <w:t xml:space="preserve">. Atlikus išsamų klinikinį vertinimą ir nustačius esminių prieštaravimų klinikinėje dokumentacijos dalyje ir, remiantis </w:t>
      </w:r>
      <w:r w:rsidRPr="00C60C6D">
        <w:rPr>
          <w:rFonts w:eastAsia="Arial"/>
        </w:rPr>
        <w:t xml:space="preserve">Lietuvos Respublikos Sveikatos apsaugos ministro įsakymu „Dėl vaistinių preparatų ir medicinos pagalbos priemonių įrašymo į kompensavimo sąrašus ir jų keitimo tvarkos aprašo patvirtinimo“ 2002 m. balandžio 5 d. Nr. 159 </w:t>
      </w:r>
      <w:r w:rsidRPr="00C60C6D">
        <w:rPr>
          <w:lang w:eastAsia="ru-RU"/>
        </w:rPr>
        <w:t>17</w:t>
      </w:r>
      <w:r w:rsidRPr="00C60C6D">
        <w:rPr>
          <w:vertAlign w:val="superscript"/>
          <w:lang w:eastAsia="ru-RU"/>
        </w:rPr>
        <w:t>1</w:t>
      </w:r>
      <w:r w:rsidRPr="00C60C6D">
        <w:rPr>
          <w:lang w:eastAsia="ru-RU"/>
        </w:rPr>
        <w:t xml:space="preserve"> punktu, ekonominis vertinimas neatliktas.</w:t>
      </w:r>
      <w:r>
        <w:rPr>
          <w:lang w:eastAsia="ru-RU"/>
        </w:rPr>
        <w:t xml:space="preserve"> </w:t>
      </w:r>
      <w:r w:rsidRPr="00C60C6D">
        <w:rPr>
          <w:lang w:eastAsia="ru-RU"/>
        </w:rPr>
        <w:t>Įvertinus pareiškėjo pateiktus atsakymus ir papildomai pateiktą informaciją, nustatyta, jog palyginamasis efektyvumas yra neįrodytas kaip toks pat, o klinikinis veiksmingumas</w:t>
      </w:r>
      <w:r w:rsidRPr="00C60C6D">
        <w:t xml:space="preserve"> yra įvertintas kaip nepagrindžiantis nesiskiriančios naudos pacientų sveikatai sukūrimo, lyginant su įprasta klinikine praktika.</w:t>
      </w:r>
    </w:p>
    <w:p w14:paraId="3DC38D56" w14:textId="77777777" w:rsidR="00D039F8" w:rsidRPr="00C60C6D" w:rsidRDefault="00D039F8" w:rsidP="001938AC">
      <w:pPr>
        <w:spacing w:line="276" w:lineRule="auto"/>
        <w:jc w:val="both"/>
        <w:rPr>
          <w:iCs/>
          <w:lang w:eastAsia="lt-LT"/>
        </w:rPr>
      </w:pPr>
    </w:p>
    <w:p w14:paraId="121203F2" w14:textId="77777777" w:rsidR="00D039F8" w:rsidRPr="00C60C6D" w:rsidRDefault="00D039F8" w:rsidP="00425A45">
      <w:pPr>
        <w:spacing w:line="276" w:lineRule="auto"/>
        <w:ind w:firstLine="720"/>
        <w:jc w:val="both"/>
        <w:rPr>
          <w:lang w:eastAsia="ru-RU"/>
        </w:rPr>
      </w:pPr>
      <w:r w:rsidRPr="00C60C6D">
        <w:rPr>
          <w:lang w:eastAsia="en-GB"/>
        </w:rPr>
        <w:t xml:space="preserve">Vadovaujantis </w:t>
      </w:r>
      <w:r w:rsidRPr="00C60C6D">
        <w:t xml:space="preserve">Lietuvos Respublikos sveikatos apsaugos ministro 2002 m. balandžio 5 d. įsakymu Nr. 159 „Dėl vaistinių preparatų ir medicinos pagalbos priemonių įrašymo į kompensavimo sąrašus ir jų keitimo tvarkos aprašo patvirtinimo“ </w:t>
      </w:r>
      <w:r w:rsidRPr="00C60C6D">
        <w:rPr>
          <w:lang w:eastAsia="ru-RU"/>
        </w:rPr>
        <w:t>17</w:t>
      </w:r>
      <w:r w:rsidRPr="00C60C6D">
        <w:rPr>
          <w:vertAlign w:val="superscript"/>
          <w:lang w:eastAsia="ru-RU"/>
        </w:rPr>
        <w:t>1</w:t>
      </w:r>
      <w:r w:rsidRPr="00C60C6D">
        <w:rPr>
          <w:lang w:eastAsia="ru-RU"/>
        </w:rPr>
        <w:t xml:space="preserve"> punktu „</w:t>
      </w:r>
      <w:r w:rsidRPr="0020018A">
        <w:rPr>
          <w:i/>
          <w:lang w:eastAsia="ru-RU"/>
        </w:rPr>
        <w:t xml:space="preserve">Jei atlikus išsamų klinikinį vertinimą nustatoma, kad Paraiškoje pateiktas palyginamasis gydymas yra netinkamas arba klinikinės dalies vertinimo išvada atitinka Aprašo 33.1 papunktį, </w:t>
      </w:r>
      <w:r w:rsidRPr="004D1032">
        <w:rPr>
          <w:i/>
        </w:rPr>
        <w:t>tai laikoma esminiu Paraiškos trūkumu ir</w:t>
      </w:r>
      <w:r w:rsidRPr="004D1032">
        <w:rPr>
          <w:i/>
          <w:lang w:eastAsia="ru-RU"/>
        </w:rPr>
        <w:t xml:space="preserve"> ekonominis vertinimas neatliekamas</w:t>
      </w:r>
      <w:r w:rsidRPr="00C60C6D">
        <w:rPr>
          <w:i/>
          <w:lang w:eastAsia="ru-RU"/>
        </w:rPr>
        <w:t>“.</w:t>
      </w:r>
      <w:r w:rsidRPr="00C60C6D">
        <w:rPr>
          <w:lang w:eastAsia="ru-RU"/>
        </w:rPr>
        <w:t xml:space="preserve"> </w:t>
      </w:r>
    </w:p>
    <w:p w14:paraId="582E1D60" w14:textId="77777777" w:rsidR="00D039F8" w:rsidRPr="00C60C6D" w:rsidRDefault="00D039F8" w:rsidP="00425A45">
      <w:pPr>
        <w:spacing w:line="276" w:lineRule="auto"/>
        <w:jc w:val="both"/>
        <w:rPr>
          <w:lang w:eastAsia="ru-RU"/>
        </w:rPr>
      </w:pPr>
    </w:p>
    <w:p w14:paraId="7C29CA22" w14:textId="3478DF1E" w:rsidR="00D039F8" w:rsidRPr="00C60C6D" w:rsidRDefault="00F21767" w:rsidP="00425A45">
      <w:pPr>
        <w:spacing w:line="276" w:lineRule="auto"/>
        <w:ind w:firstLine="720"/>
        <w:jc w:val="both"/>
        <w:rPr>
          <w:lang w:eastAsia="ru-RU"/>
        </w:rPr>
      </w:pPr>
      <w:r>
        <w:rPr>
          <w:lang w:eastAsia="ru-RU"/>
        </w:rPr>
        <w:t>Atsižvelgiant į tai, kas išdėstyta  daroma išvada</w:t>
      </w:r>
      <w:r w:rsidR="00D039F8" w:rsidRPr="00C60C6D">
        <w:rPr>
          <w:lang w:eastAsia="ru-RU"/>
        </w:rPr>
        <w:t xml:space="preserve"> jog pateikti duomenys apie kaštų naudingumą yra netinkami vertinti, nes palyginamasis efektyvumas yra neįrodytas kaip toks pat, o klinikinis veiksmingumas</w:t>
      </w:r>
      <w:r w:rsidR="00D039F8" w:rsidRPr="00C60C6D">
        <w:t xml:space="preserve"> yra įvertintas kaip nepagrindžiantis nesiskiriančios naudos pacientų sveikatai sukūrimo, lyginant su įprasta klinikine praktika.</w:t>
      </w:r>
    </w:p>
    <w:p w14:paraId="2598FAAA" w14:textId="77777777" w:rsidR="00D039F8" w:rsidRPr="00D039F8" w:rsidRDefault="00D039F8" w:rsidP="00A93AA6">
      <w:pPr>
        <w:tabs>
          <w:tab w:val="left" w:pos="426"/>
        </w:tabs>
        <w:rPr>
          <w:sz w:val="22"/>
          <w:szCs w:val="22"/>
        </w:rPr>
      </w:pPr>
    </w:p>
    <w:p w14:paraId="4FC424F9" w14:textId="4E767245" w:rsidR="00C62B36" w:rsidRPr="000E229F" w:rsidRDefault="00C62B36" w:rsidP="00937907">
      <w:pPr>
        <w:pStyle w:val="ListParagraph"/>
        <w:numPr>
          <w:ilvl w:val="0"/>
          <w:numId w:val="12"/>
        </w:numPr>
        <w:tabs>
          <w:tab w:val="left" w:pos="284"/>
        </w:tabs>
        <w:rPr>
          <w:b/>
          <w:bCs/>
          <w:caps/>
        </w:rPr>
      </w:pPr>
      <w:r w:rsidRPr="000E229F">
        <w:rPr>
          <w:b/>
          <w:bCs/>
          <w:caps/>
        </w:rPr>
        <w:t xml:space="preserve">Pacientų organizacijų pateikti duomenys </w:t>
      </w:r>
    </w:p>
    <w:p w14:paraId="79BCFF40" w14:textId="419A79E8" w:rsidR="00937907" w:rsidRPr="000E229F"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F00A34">
            <w:rPr>
              <w:rStyle w:val="Style2"/>
              <w:rFonts w:ascii="MS Gothic" w:eastAsia="MS Gothic" w:hAnsi="MS Gothic" w:hint="eastAsia"/>
            </w:rPr>
            <w:t>☐</w:t>
          </w:r>
        </w:sdtContent>
      </w:sdt>
      <w:r w:rsidR="00937907" w:rsidRPr="000E229F">
        <w:t xml:space="preserve"> Pacientų organizacijos pozicija pateikta. Žr. priedą.</w:t>
      </w:r>
    </w:p>
    <w:p w14:paraId="62992180" w14:textId="2FDA4BD3" w:rsidR="00937907" w:rsidRPr="000E229F"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F00A34">
            <w:rPr>
              <w:rStyle w:val="Style2"/>
              <w:rFonts w:ascii="MS Gothic" w:eastAsia="MS Gothic" w:hAnsi="MS Gothic" w:hint="eastAsia"/>
            </w:rPr>
            <w:t>☒</w:t>
          </w:r>
        </w:sdtContent>
      </w:sdt>
      <w:r w:rsidR="00937907" w:rsidRPr="000E229F">
        <w:t xml:space="preserve"> Pacientų organizacijos pozicija </w:t>
      </w:r>
      <w:r w:rsidR="00880A44" w:rsidRPr="000E229F">
        <w:t>ne</w:t>
      </w:r>
      <w:r w:rsidR="00937907" w:rsidRPr="000E229F">
        <w:t>pateikta.</w:t>
      </w:r>
    </w:p>
    <w:p w14:paraId="3D3277FA" w14:textId="3CEEB2D2" w:rsidR="00C62B36" w:rsidRPr="000E229F" w:rsidRDefault="00C62B36" w:rsidP="00937907">
      <w:pPr>
        <w:pStyle w:val="ListParagraph"/>
        <w:numPr>
          <w:ilvl w:val="0"/>
          <w:numId w:val="12"/>
        </w:numPr>
        <w:tabs>
          <w:tab w:val="left" w:pos="426"/>
        </w:tabs>
        <w:rPr>
          <w:b/>
          <w:bCs/>
          <w:caps/>
        </w:rPr>
      </w:pPr>
      <w:r w:rsidRPr="000E229F">
        <w:rPr>
          <w:b/>
          <w:bCs/>
          <w:caps/>
        </w:rPr>
        <w:t>Gydytojų organizacijų pateikti duomenys</w:t>
      </w:r>
    </w:p>
    <w:p w14:paraId="389A346C" w14:textId="21CE4896" w:rsidR="00937907" w:rsidRPr="000E229F"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6221D7">
            <w:rPr>
              <w:rStyle w:val="Style2"/>
              <w:rFonts w:ascii="MS Gothic" w:eastAsia="MS Gothic" w:hAnsi="MS Gothic" w:hint="eastAsia"/>
            </w:rPr>
            <w:t>☒</w:t>
          </w:r>
        </w:sdtContent>
      </w:sdt>
      <w:r w:rsidR="00662983" w:rsidRPr="000E229F">
        <w:t xml:space="preserve"> </w:t>
      </w:r>
      <w:r w:rsidR="00937907" w:rsidRPr="000E229F">
        <w:t xml:space="preserve">Gydytojų specialistų organizacijos pozicija pateikta. </w:t>
      </w:r>
      <w:r w:rsidR="00662983" w:rsidRPr="000E229F">
        <w:t>Žr. priedą</w:t>
      </w:r>
      <w:r w:rsidR="00937907" w:rsidRPr="000E229F">
        <w:t>.</w:t>
      </w:r>
    </w:p>
    <w:p w14:paraId="5D8CC48C" w14:textId="2FE8FC1C" w:rsidR="00662983" w:rsidRPr="006E501F"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6221D7">
            <w:rPr>
              <w:rStyle w:val="Style2"/>
              <w:rFonts w:ascii="MS Gothic" w:eastAsia="MS Gothic" w:hAnsi="MS Gothic" w:hint="eastAsia"/>
            </w:rPr>
            <w:t>☐</w:t>
          </w:r>
        </w:sdtContent>
      </w:sdt>
      <w:r w:rsidR="00662983" w:rsidRPr="000E229F">
        <w:t xml:space="preserve"> </w:t>
      </w:r>
      <w:r w:rsidR="00937907" w:rsidRPr="000E229F">
        <w:t xml:space="preserve">Gydytojų specialistų </w:t>
      </w:r>
      <w:r w:rsidR="00937907" w:rsidRPr="006221D7">
        <w:t xml:space="preserve">organizacijos pozicija </w:t>
      </w:r>
      <w:r w:rsidR="00880A44" w:rsidRPr="006221D7">
        <w:t>ne</w:t>
      </w:r>
      <w:r w:rsidR="00937907" w:rsidRPr="006221D7">
        <w:t>pateikta.</w:t>
      </w:r>
    </w:p>
    <w:p w14:paraId="78F23ECB" w14:textId="23A3A002" w:rsidR="002F0E4F" w:rsidRDefault="002F0E4F" w:rsidP="00937907">
      <w:pPr>
        <w:pStyle w:val="ListParagraph"/>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TableGrid"/>
        <w:tblW w:w="9700" w:type="dxa"/>
        <w:tblLook w:val="04A0" w:firstRow="1" w:lastRow="0" w:firstColumn="1" w:lastColumn="0" w:noHBand="0" w:noVBand="1"/>
      </w:tblPr>
      <w:tblGrid>
        <w:gridCol w:w="4815"/>
        <w:gridCol w:w="4814"/>
        <w:gridCol w:w="71"/>
      </w:tblGrid>
      <w:tr w:rsidR="005C40F8" w:rsidRPr="00E33EFF" w14:paraId="3ADE5668" w14:textId="77777777" w:rsidTr="00281513">
        <w:trPr>
          <w:gridAfter w:val="1"/>
          <w:wAfter w:w="71" w:type="dxa"/>
          <w:trHeight w:val="510"/>
        </w:trPr>
        <w:tc>
          <w:tcPr>
            <w:tcW w:w="4815" w:type="dxa"/>
            <w:vAlign w:val="center"/>
          </w:tcPr>
          <w:p w14:paraId="3CD51D76"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56D8165A"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5C40F8" w:rsidRPr="00E33EFF" w14:paraId="36E568B5" w14:textId="77777777" w:rsidTr="00281513">
        <w:trPr>
          <w:gridAfter w:val="1"/>
          <w:wAfter w:w="71" w:type="dxa"/>
          <w:trHeight w:val="510"/>
        </w:trPr>
        <w:tc>
          <w:tcPr>
            <w:tcW w:w="9629" w:type="dxa"/>
            <w:gridSpan w:val="2"/>
            <w:vAlign w:val="center"/>
          </w:tcPr>
          <w:p w14:paraId="7EA5BA34"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5C40F8" w:rsidRPr="00E33EFF" w14:paraId="2A5EE770" w14:textId="77777777" w:rsidTr="00281513">
        <w:trPr>
          <w:gridAfter w:val="1"/>
          <w:wAfter w:w="71" w:type="dxa"/>
        </w:trPr>
        <w:tc>
          <w:tcPr>
            <w:tcW w:w="4815" w:type="dxa"/>
          </w:tcPr>
          <w:p w14:paraId="19EEBF7F"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4"/>
                  </w:rPr>
                  <w:t>☐</w:t>
                </w:r>
              </w:sdtContent>
            </w:sdt>
            <w:r w:rsidR="005C40F8" w:rsidRPr="00E33EFF">
              <w:t xml:space="preserve"> 32.1. yra didesnis, lyginant su įprasta klinikine praktika</w:t>
            </w:r>
          </w:p>
          <w:p w14:paraId="77353982"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EC3047"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32.1. iš esmės nesiskiria, lyginant su įprasta klinikine praktika</w:t>
            </w:r>
          </w:p>
        </w:tc>
        <w:tc>
          <w:tcPr>
            <w:tcW w:w="4814" w:type="dxa"/>
          </w:tcPr>
          <w:p w14:paraId="3304FDF8"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4"/>
                  </w:rPr>
                  <w:t>☐</w:t>
                </w:r>
              </w:sdtContent>
            </w:sdt>
            <w:r w:rsidR="005C40F8" w:rsidRPr="00E33EFF">
              <w:t xml:space="preserve"> 33.1. yra mažesnis, lyginant su įprasta klinikine praktika</w:t>
            </w:r>
          </w:p>
          <w:p w14:paraId="618FD554"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F7E73B"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1"/>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33.1. yra neįrodytas kaip toks pat, lyginant su įprasta klinikine praktika</w:t>
            </w:r>
          </w:p>
          <w:p w14:paraId="726EBBF7"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D2DE466"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4"/>
                  </w:rPr>
                  <w:t>☐</w:t>
                </w:r>
              </w:sdtContent>
            </w:sdt>
            <w:r w:rsidR="005C40F8" w:rsidRPr="00E33EFF">
              <w:t xml:space="preserve"> 33.1 yra neįrodytas kaip didesnis, lyginant su įprasta klinikine praktika</w:t>
            </w:r>
          </w:p>
          <w:p w14:paraId="049FE5AA"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53A5E9D"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4"/>
                  </w:rPr>
                  <w:t>☐</w:t>
                </w:r>
              </w:sdtContent>
            </w:sdt>
            <w:r w:rsidR="005C40F8" w:rsidRPr="00E33EFF">
              <w:t xml:space="preserve"> 33.1. pateikti duomenys apie palyginamąjį efektyvumą yra netinkami vertinti</w:t>
            </w:r>
          </w:p>
          <w:p w14:paraId="2B4C54D3"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5C40F8" w:rsidRPr="00E33EFF" w14:paraId="07899688" w14:textId="77777777" w:rsidTr="00281513">
        <w:trPr>
          <w:gridAfter w:val="1"/>
          <w:wAfter w:w="71" w:type="dxa"/>
          <w:trHeight w:val="510"/>
        </w:trPr>
        <w:tc>
          <w:tcPr>
            <w:tcW w:w="9629" w:type="dxa"/>
            <w:gridSpan w:val="2"/>
            <w:vAlign w:val="center"/>
          </w:tcPr>
          <w:p w14:paraId="15E183CA"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5C40F8" w:rsidRPr="00E33EFF" w14:paraId="5DB7E8FC" w14:textId="77777777" w:rsidTr="00281513">
        <w:trPr>
          <w:gridAfter w:val="1"/>
          <w:wAfter w:w="71" w:type="dxa"/>
        </w:trPr>
        <w:tc>
          <w:tcPr>
            <w:tcW w:w="4815" w:type="dxa"/>
          </w:tcPr>
          <w:p w14:paraId="44609115"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4"/>
                  </w:rPr>
                  <w:t>☐</w:t>
                </w:r>
              </w:sdtContent>
            </w:sdt>
            <w:r w:rsidR="005C40F8" w:rsidRPr="00E33EFF">
              <w:t xml:space="preserve"> 32.2. yra įvertintas kaip pagrindžiantis papildomos naudos pacientų sveikatai sukūrimą, lyginant su įprasta klinikine praktika</w:t>
            </w:r>
          </w:p>
          <w:p w14:paraId="47AABCE1"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C1CCCF1" w14:textId="77777777" w:rsidR="005C40F8" w:rsidRPr="00E33EFF"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32.2. yra įvertintas kaip pagrindžiantis nesiskiriančios naudos pacientų sveikatai sukūrimą, lyginant su įprasta klinikine praktika</w:t>
            </w:r>
          </w:p>
          <w:p w14:paraId="77EF2525"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2C70F65A" w14:textId="77777777" w:rsidR="005C40F8" w:rsidRPr="00E33EFF" w:rsidRDefault="00000000" w:rsidP="00281513">
            <w:pPr>
              <w:jc w:val="both"/>
            </w:pPr>
            <w:sdt>
              <w:sdtPr>
                <w:rPr>
                  <w:rStyle w:val="Style2"/>
                  <w:sz w:val="24"/>
                </w:rPr>
                <w:id w:val="-1034573056"/>
                <w15:color w:val="FFCC00"/>
                <w14:checkbox>
                  <w14:checked w14:val="0"/>
                  <w14:checkedState w14:val="2612" w14:font="MS Gothic"/>
                  <w14:uncheckedState w14:val="2610" w14:font="MS Gothic"/>
                </w14:checkbox>
              </w:sdtPr>
              <w:sdtContent>
                <w:r w:rsidR="005C40F8" w:rsidRPr="00E33EFF">
                  <w:rPr>
                    <w:rStyle w:val="Style2"/>
                    <w:rFonts w:ascii="Segoe UI Symbol" w:eastAsia="MS Gothic" w:hAnsi="Segoe UI Symbol" w:cs="Segoe UI Symbol"/>
                    <w:sz w:val="24"/>
                  </w:rPr>
                  <w:t>☐</w:t>
                </w:r>
              </w:sdtContent>
            </w:sdt>
            <w:r w:rsidR="005C40F8" w:rsidRPr="00E33EFF">
              <w:t xml:space="preserve"> 33.1. yra įvertintas kaip nepagrindžiantis papildomos naudos pacientų sveikatai sukūrimo, lyginant su  įprasta klinikine praktika</w:t>
            </w:r>
          </w:p>
          <w:p w14:paraId="04A7A28E" w14:textId="77777777" w:rsidR="005C40F8" w:rsidRPr="00E33EFF" w:rsidRDefault="005C40F8" w:rsidP="00281513">
            <w:pPr>
              <w:jc w:val="both"/>
            </w:pPr>
          </w:p>
          <w:p w14:paraId="2E13DC7B" w14:textId="77777777" w:rsidR="005C40F8" w:rsidRPr="00E33EFF" w:rsidRDefault="00000000" w:rsidP="00281513">
            <w:pPr>
              <w:jc w:val="both"/>
            </w:pPr>
            <w:sdt>
              <w:sdtPr>
                <w:rPr>
                  <w:rStyle w:val="Style2"/>
                  <w:sz w:val="24"/>
                </w:rPr>
                <w:id w:val="1289549109"/>
                <w15:color w:val="FFCC00"/>
                <w14:checkbox>
                  <w14:checked w14:val="1"/>
                  <w14:checkedState w14:val="2612" w14:font="MS Gothic"/>
                  <w14:uncheckedState w14:val="2610" w14:font="MS Gothic"/>
                </w14:checkbox>
              </w:sdtPr>
              <w:sdtContent>
                <w:r w:rsidR="005C40F8">
                  <w:rPr>
                    <w:rStyle w:val="Style2"/>
                    <w:rFonts w:ascii="MS Gothic" w:eastAsia="MS Gothic" w:hAnsi="MS Gothic" w:hint="eastAsia"/>
                    <w:sz w:val="24"/>
                  </w:rPr>
                  <w:t>☒</w:t>
                </w:r>
              </w:sdtContent>
            </w:sdt>
            <w:r w:rsidR="005C40F8" w:rsidRPr="00E33EFF">
              <w:t xml:space="preserve"> 33.1. yra įvertintas kaip nepagrindžiantis nesiskiriančios naudos pacientų sveikatai sukūrimo, lyginant su įprasta klinikine praktika</w:t>
            </w:r>
          </w:p>
          <w:p w14:paraId="4AFE2BAE"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3DE999D" w14:textId="77777777" w:rsidR="005C40F8" w:rsidRPr="00E33EFF"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5C40F8" w:rsidRPr="00E33EFF" w14:paraId="5336262C" w14:textId="77777777" w:rsidTr="00281513">
        <w:trPr>
          <w:gridAfter w:val="1"/>
          <w:wAfter w:w="71" w:type="dxa"/>
        </w:trPr>
        <w:tc>
          <w:tcPr>
            <w:tcW w:w="9629" w:type="dxa"/>
            <w:gridSpan w:val="2"/>
          </w:tcPr>
          <w:p w14:paraId="7371FA4A" w14:textId="77777777" w:rsidR="005C40F8" w:rsidRDefault="005C40F8" w:rsidP="00281513">
            <w:pPr>
              <w:jc w:val="center"/>
              <w:rPr>
                <w:rStyle w:val="Style2"/>
                <w:rFonts w:eastAsia="MS Gothic"/>
                <w:b/>
                <w:bCs/>
                <w:sz w:val="24"/>
              </w:rPr>
            </w:pPr>
            <w:r w:rsidRPr="00CB270B">
              <w:rPr>
                <w:rStyle w:val="Style2"/>
                <w:rFonts w:eastAsia="MS Gothic"/>
                <w:b/>
                <w:bCs/>
                <w:sz w:val="24"/>
              </w:rPr>
              <w:t>Kaštų naudingumas</w:t>
            </w:r>
          </w:p>
          <w:p w14:paraId="769BD48D" w14:textId="77777777" w:rsidR="005C40F8" w:rsidRPr="00CB270B" w:rsidRDefault="005C40F8" w:rsidP="00281513">
            <w:pPr>
              <w:jc w:val="center"/>
              <w:rPr>
                <w:rStyle w:val="Style2"/>
                <w:sz w:val="24"/>
              </w:rPr>
            </w:pPr>
          </w:p>
        </w:tc>
      </w:tr>
      <w:tr w:rsidR="005C40F8" w:rsidRPr="004A04CD" w14:paraId="73CA60EA" w14:textId="77777777" w:rsidTr="00281513">
        <w:tc>
          <w:tcPr>
            <w:tcW w:w="4815" w:type="dxa"/>
          </w:tcPr>
          <w:p w14:paraId="5F63570D" w14:textId="77777777" w:rsidR="005C40F8" w:rsidRPr="004A04CD"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975984416"/>
                <w15:color w:val="FFCC00"/>
                <w14:checkbox>
                  <w14:checked w14:val="0"/>
                  <w14:checkedState w14:val="2612" w14:font="MS Gothic"/>
                  <w14:uncheckedState w14:val="2610" w14:font="MS Gothic"/>
                </w14:checkbox>
              </w:sdtPr>
              <w:sdtContent>
                <w:r w:rsidR="005C40F8" w:rsidRPr="004A04CD">
                  <w:rPr>
                    <w:rStyle w:val="Style2"/>
                    <w:rFonts w:ascii="MS Gothic" w:eastAsia="MS Gothic" w:hAnsi="MS Gothic"/>
                  </w:rPr>
                  <w:t>☐</w:t>
                </w:r>
              </w:sdtContent>
            </w:sdt>
            <w:r w:rsidR="005C40F8" w:rsidRPr="004A04CD">
              <w:t xml:space="preserve"> 32.3. atitinka referencinę naudingumo vertę, taikant PGS</w:t>
            </w:r>
          </w:p>
          <w:p w14:paraId="010F6B3D" w14:textId="77777777" w:rsidR="005C40F8" w:rsidRPr="004A04CD"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791AAA6" w14:textId="77777777" w:rsidR="005C40F8" w:rsidRPr="004A04CD"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rPr>
                <w:id w:val="-1308081728"/>
                <w15:color w:val="FFCC00"/>
                <w14:checkbox>
                  <w14:checked w14:val="0"/>
                  <w14:checkedState w14:val="2612" w14:font="MS Gothic"/>
                  <w14:uncheckedState w14:val="2610" w14:font="MS Gothic"/>
                </w14:checkbox>
              </w:sdtPr>
              <w:sdtContent>
                <w:r w:rsidR="005C40F8" w:rsidRPr="004A04CD">
                  <w:rPr>
                    <w:rStyle w:val="Style2"/>
                    <w:rFonts w:ascii="Segoe UI Symbol" w:eastAsia="MS Gothic" w:hAnsi="Segoe UI Symbol" w:cs="Segoe UI Symbol"/>
                  </w:rPr>
                  <w:t>☐</w:t>
                </w:r>
              </w:sdtContent>
            </w:sdt>
            <w:r w:rsidR="005C40F8" w:rsidRPr="004A04CD">
              <w:t xml:space="preserve"> 32.3. gydymo juo kaštai yra mažesni ar tokie patys esant iš esmės nesiskiriančiam palyginamajam efektyvumui, taikant PGS, lyginant su įprasta klinikine praktika</w:t>
            </w:r>
          </w:p>
          <w:p w14:paraId="3A4C7195" w14:textId="77777777" w:rsidR="005C40F8" w:rsidRPr="004A04CD"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rPr>
            </w:pPr>
          </w:p>
        </w:tc>
        <w:tc>
          <w:tcPr>
            <w:tcW w:w="4885" w:type="dxa"/>
            <w:gridSpan w:val="2"/>
          </w:tcPr>
          <w:p w14:paraId="21AE26D0" w14:textId="77777777" w:rsidR="005C40F8" w:rsidRPr="004A04CD"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15:color w:val="FFCC00"/>
                <w14:checkbox>
                  <w14:checked w14:val="0"/>
                  <w14:checkedState w14:val="2612" w14:font="MS Gothic"/>
                  <w14:uncheckedState w14:val="2610" w14:font="MS Gothic"/>
                </w14:checkbox>
              </w:sdtPr>
              <w:sdtContent>
                <w:r w:rsidR="005C40F8" w:rsidRPr="004A04CD">
                  <w:rPr>
                    <w:rStyle w:val="Style2"/>
                    <w:rFonts w:ascii="Segoe UI Symbol" w:eastAsia="MS Gothic" w:hAnsi="Segoe UI Symbol" w:cs="Segoe UI Symbol"/>
                  </w:rPr>
                  <w:t>☐</w:t>
                </w:r>
              </w:sdtContent>
            </w:sdt>
            <w:r w:rsidR="005C40F8" w:rsidRPr="004A04CD">
              <w:t xml:space="preserve"> 33.3. neatitinka referencinės naudingumo vertės Lietuvos Respublikoje</w:t>
            </w:r>
          </w:p>
          <w:p w14:paraId="3113D08E" w14:textId="77777777" w:rsidR="005C40F8" w:rsidRPr="004A04CD"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034AD01" w14:textId="753EB076" w:rsidR="005C40F8" w:rsidRPr="004A04CD"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15:color w:val="FFCC00"/>
                <w14:checkbox>
                  <w14:checked w14:val="0"/>
                  <w14:checkedState w14:val="2612" w14:font="MS Gothic"/>
                  <w14:uncheckedState w14:val="2610" w14:font="MS Gothic"/>
                </w14:checkbox>
              </w:sdtPr>
              <w:sdtContent>
                <w:r w:rsidR="00D039F8">
                  <w:rPr>
                    <w:rStyle w:val="Style2"/>
                    <w:rFonts w:ascii="MS Gothic" w:eastAsia="MS Gothic" w:hAnsi="MS Gothic" w:hint="eastAsia"/>
                  </w:rPr>
                  <w:t>☐</w:t>
                </w:r>
              </w:sdtContent>
            </w:sdt>
            <w:r w:rsidR="005C40F8" w:rsidRPr="004A04CD">
              <w:t xml:space="preserve"> 33.3. gydymo juo kaštai yra didesni esant iš esmės nesiskiriančiam palyginamajam efektyvumui, taikant PGS, lyginant su įprasta klinikine praktika</w:t>
            </w:r>
          </w:p>
          <w:p w14:paraId="5FDDDBE6" w14:textId="77777777" w:rsidR="005C40F8" w:rsidRPr="004A04CD"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5D49ECE8" w14:textId="297EAEBC" w:rsidR="005C40F8" w:rsidRPr="004A04CD" w:rsidRDefault="00000000"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2008360022"/>
                <w15:color w:val="FFCC00"/>
                <w14:checkbox>
                  <w14:checked w14:val="1"/>
                  <w14:checkedState w14:val="2612" w14:font="MS Gothic"/>
                  <w14:uncheckedState w14:val="2610" w14:font="MS Gothic"/>
                </w14:checkbox>
              </w:sdtPr>
              <w:sdtContent>
                <w:r w:rsidR="00D039F8">
                  <w:rPr>
                    <w:rStyle w:val="Style2"/>
                    <w:rFonts w:ascii="MS Gothic" w:eastAsia="MS Gothic" w:hAnsi="MS Gothic" w:cs="Segoe UI Symbol" w:hint="eastAsia"/>
                  </w:rPr>
                  <w:t>☒</w:t>
                </w:r>
              </w:sdtContent>
            </w:sdt>
            <w:r w:rsidR="005C40F8" w:rsidRPr="004A04CD">
              <w:t xml:space="preserve"> 33.3. pateikti duomenys apie kaštų naudingumą yra netinkami vertinti</w:t>
            </w:r>
          </w:p>
          <w:p w14:paraId="78125EC3" w14:textId="77777777" w:rsidR="005C40F8" w:rsidRPr="004A04CD" w:rsidRDefault="005C40F8" w:rsidP="0028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Pr>
            </w:pPr>
          </w:p>
        </w:tc>
      </w:tr>
    </w:tbl>
    <w:p w14:paraId="6E54D44C" w14:textId="77777777" w:rsidR="0055060B" w:rsidRPr="0055060B" w:rsidRDefault="0055060B" w:rsidP="0055060B">
      <w:pPr>
        <w:rPr>
          <w:b/>
        </w:rPr>
      </w:pPr>
    </w:p>
    <w:p w14:paraId="4761590D" w14:textId="77777777" w:rsidR="0055060B" w:rsidRPr="0055060B" w:rsidRDefault="0055060B" w:rsidP="0055060B">
      <w:pPr>
        <w:pStyle w:val="ListParagraph"/>
        <w:numPr>
          <w:ilvl w:val="0"/>
          <w:numId w:val="12"/>
        </w:numPr>
        <w:ind w:left="567" w:hanging="567"/>
        <w:rPr>
          <w:b/>
        </w:rPr>
      </w:pPr>
      <w:r w:rsidRPr="0055060B">
        <w:rPr>
          <w:b/>
        </w:rPr>
        <w:t>REKOMENDACIJA</w:t>
      </w:r>
    </w:p>
    <w:p w14:paraId="3903D418" w14:textId="77777777" w:rsidR="00D039F8" w:rsidRDefault="00D039F8" w:rsidP="00F21767">
      <w:pPr>
        <w:jc w:val="both"/>
      </w:pPr>
    </w:p>
    <w:p w14:paraId="5BAD2245" w14:textId="17D09C2B" w:rsidR="00D039F8" w:rsidRPr="00E33EFF" w:rsidRDefault="00D039F8" w:rsidP="006003F0">
      <w:pPr>
        <w:spacing w:line="276" w:lineRule="auto"/>
        <w:jc w:val="both"/>
      </w:pPr>
      <w:r w:rsidRPr="00E33EFF">
        <w:t xml:space="preserve">Vadovaujantis </w:t>
      </w:r>
      <w:r>
        <w:t>V</w:t>
      </w:r>
      <w:r w:rsidRPr="00E33EFF">
        <w:t>aistinių preparatų ir medicinos pagalbos p</w:t>
      </w:r>
      <w:r>
        <w:t xml:space="preserve">riemonių įrašymo į kompensavimo </w:t>
      </w:r>
      <w:r w:rsidRPr="00E33EFF">
        <w:t>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w:t>
      </w:r>
    </w:p>
    <w:p w14:paraId="1C089A0B" w14:textId="54B29191" w:rsidR="00D039F8" w:rsidRPr="00D039F8" w:rsidRDefault="00D039F8" w:rsidP="006003F0">
      <w:pPr>
        <w:spacing w:line="276" w:lineRule="auto"/>
        <w:jc w:val="both"/>
        <w:rPr>
          <w:rFonts w:eastAsia="Arial"/>
        </w:rPr>
      </w:pPr>
      <w:r w:rsidRPr="00E33EFF">
        <w:t xml:space="preserve">34.4. rekomenduojama </w:t>
      </w:r>
      <w:r w:rsidRPr="00D039F8">
        <w:rPr>
          <w:i/>
        </w:rPr>
        <w:t xml:space="preserve">nekompensuoti </w:t>
      </w:r>
      <w:r w:rsidRPr="00E33EFF">
        <w:t xml:space="preserve">vaistinio preparato pagal paraiškoje nurodytą </w:t>
      </w:r>
      <w:r>
        <w:t>indikaciją,</w:t>
      </w:r>
      <w:r w:rsidRPr="00E33EFF">
        <w:t xml:space="preserve"> su skyrimo sąlygomis</w:t>
      </w:r>
      <w:r>
        <w:t xml:space="preserve">, </w:t>
      </w:r>
      <w:r w:rsidRPr="00E33EFF">
        <w:t>taikant PGS</w:t>
      </w:r>
      <w:r>
        <w:t xml:space="preserve"> </w:t>
      </w:r>
      <w:r w:rsidRPr="00E33EFF">
        <w:t>dėl vertinimo išvadų</w:t>
      </w:r>
      <w:r>
        <w:t xml:space="preserve">, nurodytų 33.1 papunktyje, </w:t>
      </w:r>
      <w:r w:rsidRPr="00E33EFF">
        <w:t xml:space="preserve">neatitikties </w:t>
      </w:r>
      <w:r w:rsidRPr="003D6208">
        <w:t>34.3 papunktyje išdėstytoms sąlygoms</w:t>
      </w:r>
      <w:r>
        <w:t>.</w:t>
      </w:r>
      <w:r w:rsidRPr="00D039F8">
        <w:rPr>
          <w:i/>
          <w:color w:val="00B050"/>
        </w:rPr>
        <w:t xml:space="preserve"> </w:t>
      </w:r>
    </w:p>
    <w:p w14:paraId="2F3CADC5" w14:textId="77777777" w:rsidR="0097328F" w:rsidRDefault="0097328F" w:rsidP="006003F0">
      <w:pPr>
        <w:spacing w:line="276" w:lineRule="auto"/>
        <w:jc w:val="both"/>
        <w:rPr>
          <w:i/>
          <w:iCs/>
        </w:rPr>
      </w:pPr>
    </w:p>
    <w:p w14:paraId="00238513" w14:textId="50C62B99" w:rsidR="000915AB" w:rsidRPr="0053651E" w:rsidRDefault="000915AB" w:rsidP="000915AB">
      <w:pPr>
        <w:pStyle w:val="NoSpacing"/>
        <w:spacing w:line="276" w:lineRule="auto"/>
        <w:jc w:val="both"/>
        <w:rPr>
          <w:rFonts w:ascii="Times New Roman" w:hAnsi="Times New Roman"/>
          <w:i/>
          <w:iCs/>
          <w:sz w:val="24"/>
          <w:szCs w:val="24"/>
        </w:rPr>
      </w:pPr>
    </w:p>
    <w:sectPr w:rsidR="000915AB" w:rsidRPr="0053651E"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AA38E" w14:textId="77777777" w:rsidR="003135F8" w:rsidRDefault="003135F8">
      <w:r>
        <w:separator/>
      </w:r>
    </w:p>
  </w:endnote>
  <w:endnote w:type="continuationSeparator" w:id="0">
    <w:p w14:paraId="0028D5A6" w14:textId="77777777" w:rsidR="003135F8" w:rsidRDefault="0031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69CD2" w14:textId="77777777" w:rsidR="003135F8" w:rsidRDefault="003135F8">
      <w:r>
        <w:separator/>
      </w:r>
    </w:p>
  </w:footnote>
  <w:footnote w:type="continuationSeparator" w:id="0">
    <w:p w14:paraId="34252DEE" w14:textId="77777777" w:rsidR="003135F8" w:rsidRDefault="0031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03E224FE"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217">
      <w:rPr>
        <w:rStyle w:val="PageNumber"/>
        <w:noProof/>
      </w:rPr>
      <w:t>4</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0D879C6"/>
    <w:multiLevelType w:val="hybridMultilevel"/>
    <w:tmpl w:val="F3F8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87D92"/>
    <w:multiLevelType w:val="hybridMultilevel"/>
    <w:tmpl w:val="63A8A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836449">
    <w:abstractNumId w:val="9"/>
  </w:num>
  <w:num w:numId="2" w16cid:durableId="788745981">
    <w:abstractNumId w:val="3"/>
  </w:num>
  <w:num w:numId="3" w16cid:durableId="1759668890">
    <w:abstractNumId w:val="11"/>
  </w:num>
  <w:num w:numId="4" w16cid:durableId="153955486">
    <w:abstractNumId w:val="10"/>
  </w:num>
  <w:num w:numId="5" w16cid:durableId="1423800259">
    <w:abstractNumId w:val="8"/>
  </w:num>
  <w:num w:numId="6" w16cid:durableId="1375158446">
    <w:abstractNumId w:val="7"/>
  </w:num>
  <w:num w:numId="7" w16cid:durableId="2142117347">
    <w:abstractNumId w:val="5"/>
  </w:num>
  <w:num w:numId="8" w16cid:durableId="614874312">
    <w:abstractNumId w:val="17"/>
  </w:num>
  <w:num w:numId="9" w16cid:durableId="1932009969">
    <w:abstractNumId w:val="0"/>
  </w:num>
  <w:num w:numId="10" w16cid:durableId="196552314">
    <w:abstractNumId w:val="12"/>
  </w:num>
  <w:num w:numId="11" w16cid:durableId="379088520">
    <w:abstractNumId w:val="15"/>
  </w:num>
  <w:num w:numId="12" w16cid:durableId="2119400545">
    <w:abstractNumId w:val="4"/>
  </w:num>
  <w:num w:numId="13" w16cid:durableId="1679772566">
    <w:abstractNumId w:val="2"/>
  </w:num>
  <w:num w:numId="14" w16cid:durableId="633754838">
    <w:abstractNumId w:val="13"/>
  </w:num>
  <w:num w:numId="15" w16cid:durableId="1437015534">
    <w:abstractNumId w:val="18"/>
  </w:num>
  <w:num w:numId="16" w16cid:durableId="71583956">
    <w:abstractNumId w:val="16"/>
  </w:num>
  <w:num w:numId="17" w16cid:durableId="967975525">
    <w:abstractNumId w:val="6"/>
  </w:num>
  <w:num w:numId="18" w16cid:durableId="1332836476">
    <w:abstractNumId w:val="1"/>
  </w:num>
  <w:num w:numId="19" w16cid:durableId="2137603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A97"/>
    <w:rsid w:val="00000C01"/>
    <w:rsid w:val="00003F5B"/>
    <w:rsid w:val="00010786"/>
    <w:rsid w:val="000114DD"/>
    <w:rsid w:val="000136DE"/>
    <w:rsid w:val="000136F7"/>
    <w:rsid w:val="0002686C"/>
    <w:rsid w:val="00031D0E"/>
    <w:rsid w:val="000337E6"/>
    <w:rsid w:val="0003402E"/>
    <w:rsid w:val="00034EAE"/>
    <w:rsid w:val="00040236"/>
    <w:rsid w:val="00053EDF"/>
    <w:rsid w:val="000606BE"/>
    <w:rsid w:val="000736B8"/>
    <w:rsid w:val="0008190F"/>
    <w:rsid w:val="00081D9C"/>
    <w:rsid w:val="00082907"/>
    <w:rsid w:val="0008378D"/>
    <w:rsid w:val="000908A5"/>
    <w:rsid w:val="000915AB"/>
    <w:rsid w:val="00092805"/>
    <w:rsid w:val="000C454C"/>
    <w:rsid w:val="000C4CDB"/>
    <w:rsid w:val="000D5038"/>
    <w:rsid w:val="000E229F"/>
    <w:rsid w:val="000E29D4"/>
    <w:rsid w:val="000F3540"/>
    <w:rsid w:val="00100491"/>
    <w:rsid w:val="00104E2E"/>
    <w:rsid w:val="00105007"/>
    <w:rsid w:val="00107287"/>
    <w:rsid w:val="00117406"/>
    <w:rsid w:val="00117E3D"/>
    <w:rsid w:val="00121EF0"/>
    <w:rsid w:val="00124A9E"/>
    <w:rsid w:val="00130703"/>
    <w:rsid w:val="0013153F"/>
    <w:rsid w:val="001408B8"/>
    <w:rsid w:val="001521D9"/>
    <w:rsid w:val="00154B01"/>
    <w:rsid w:val="001554E2"/>
    <w:rsid w:val="001575DA"/>
    <w:rsid w:val="00164146"/>
    <w:rsid w:val="00165F83"/>
    <w:rsid w:val="0017369C"/>
    <w:rsid w:val="00180C39"/>
    <w:rsid w:val="00180D96"/>
    <w:rsid w:val="001921F3"/>
    <w:rsid w:val="001938AC"/>
    <w:rsid w:val="001A0642"/>
    <w:rsid w:val="001A3610"/>
    <w:rsid w:val="001B3C5B"/>
    <w:rsid w:val="001D46A7"/>
    <w:rsid w:val="001E4BBB"/>
    <w:rsid w:val="001E6304"/>
    <w:rsid w:val="001F5531"/>
    <w:rsid w:val="0020381E"/>
    <w:rsid w:val="00213471"/>
    <w:rsid w:val="00214F6C"/>
    <w:rsid w:val="00215906"/>
    <w:rsid w:val="0023452D"/>
    <w:rsid w:val="002522B3"/>
    <w:rsid w:val="0025697F"/>
    <w:rsid w:val="00260258"/>
    <w:rsid w:val="00263C5E"/>
    <w:rsid w:val="00272428"/>
    <w:rsid w:val="00272461"/>
    <w:rsid w:val="00272948"/>
    <w:rsid w:val="00285ED8"/>
    <w:rsid w:val="002946C7"/>
    <w:rsid w:val="002951DD"/>
    <w:rsid w:val="002A6B73"/>
    <w:rsid w:val="002B3217"/>
    <w:rsid w:val="002B3CC1"/>
    <w:rsid w:val="002C09E0"/>
    <w:rsid w:val="002C3A10"/>
    <w:rsid w:val="002C4A90"/>
    <w:rsid w:val="002D02EF"/>
    <w:rsid w:val="002D3679"/>
    <w:rsid w:val="002E0702"/>
    <w:rsid w:val="002E6F80"/>
    <w:rsid w:val="002F0E4F"/>
    <w:rsid w:val="002F1053"/>
    <w:rsid w:val="00306AB6"/>
    <w:rsid w:val="00306D00"/>
    <w:rsid w:val="003121F6"/>
    <w:rsid w:val="003135F8"/>
    <w:rsid w:val="00317B0E"/>
    <w:rsid w:val="0032204D"/>
    <w:rsid w:val="0032354B"/>
    <w:rsid w:val="003446FE"/>
    <w:rsid w:val="003458C3"/>
    <w:rsid w:val="00347864"/>
    <w:rsid w:val="00347FAA"/>
    <w:rsid w:val="0035172D"/>
    <w:rsid w:val="0036187D"/>
    <w:rsid w:val="00381024"/>
    <w:rsid w:val="00386307"/>
    <w:rsid w:val="00386CCF"/>
    <w:rsid w:val="003874DE"/>
    <w:rsid w:val="00390F3E"/>
    <w:rsid w:val="00393E9F"/>
    <w:rsid w:val="0039696E"/>
    <w:rsid w:val="003A5275"/>
    <w:rsid w:val="003B211A"/>
    <w:rsid w:val="003C12B3"/>
    <w:rsid w:val="003C141F"/>
    <w:rsid w:val="003C63AF"/>
    <w:rsid w:val="003C6B0E"/>
    <w:rsid w:val="003C7257"/>
    <w:rsid w:val="003C7E35"/>
    <w:rsid w:val="003E0989"/>
    <w:rsid w:val="003E0A1D"/>
    <w:rsid w:val="003E5FCD"/>
    <w:rsid w:val="00404E8A"/>
    <w:rsid w:val="0040622F"/>
    <w:rsid w:val="00417DCF"/>
    <w:rsid w:val="00420BF8"/>
    <w:rsid w:val="00423160"/>
    <w:rsid w:val="00425A45"/>
    <w:rsid w:val="00436E2F"/>
    <w:rsid w:val="004371DB"/>
    <w:rsid w:val="00440187"/>
    <w:rsid w:val="00441C96"/>
    <w:rsid w:val="00443009"/>
    <w:rsid w:val="00453862"/>
    <w:rsid w:val="00461338"/>
    <w:rsid w:val="00463CE7"/>
    <w:rsid w:val="00464659"/>
    <w:rsid w:val="004677DB"/>
    <w:rsid w:val="0048507D"/>
    <w:rsid w:val="0048630F"/>
    <w:rsid w:val="004947A1"/>
    <w:rsid w:val="0049482A"/>
    <w:rsid w:val="00495B92"/>
    <w:rsid w:val="00496070"/>
    <w:rsid w:val="004979D3"/>
    <w:rsid w:val="004A00E7"/>
    <w:rsid w:val="004A3A61"/>
    <w:rsid w:val="004B59BA"/>
    <w:rsid w:val="004C263A"/>
    <w:rsid w:val="004D7B8F"/>
    <w:rsid w:val="004D7BDC"/>
    <w:rsid w:val="004E0ADB"/>
    <w:rsid w:val="004E6458"/>
    <w:rsid w:val="004E6E7D"/>
    <w:rsid w:val="004F1AAC"/>
    <w:rsid w:val="004F1AE2"/>
    <w:rsid w:val="004F34F0"/>
    <w:rsid w:val="005005EF"/>
    <w:rsid w:val="00521380"/>
    <w:rsid w:val="005227E0"/>
    <w:rsid w:val="005270F1"/>
    <w:rsid w:val="00534E11"/>
    <w:rsid w:val="0053651E"/>
    <w:rsid w:val="005400D9"/>
    <w:rsid w:val="00540135"/>
    <w:rsid w:val="00540971"/>
    <w:rsid w:val="0054469F"/>
    <w:rsid w:val="005476A4"/>
    <w:rsid w:val="0055019B"/>
    <w:rsid w:val="0055060B"/>
    <w:rsid w:val="00554967"/>
    <w:rsid w:val="00556E63"/>
    <w:rsid w:val="005601A4"/>
    <w:rsid w:val="005648CF"/>
    <w:rsid w:val="00566DBB"/>
    <w:rsid w:val="00574C72"/>
    <w:rsid w:val="005776D0"/>
    <w:rsid w:val="005976CE"/>
    <w:rsid w:val="005A23D4"/>
    <w:rsid w:val="005A2D1E"/>
    <w:rsid w:val="005C40F8"/>
    <w:rsid w:val="005C493F"/>
    <w:rsid w:val="005C6BF7"/>
    <w:rsid w:val="005C71BF"/>
    <w:rsid w:val="005C73C9"/>
    <w:rsid w:val="005D002C"/>
    <w:rsid w:val="005D30E1"/>
    <w:rsid w:val="005D499E"/>
    <w:rsid w:val="005D6555"/>
    <w:rsid w:val="005D7BDF"/>
    <w:rsid w:val="005F2950"/>
    <w:rsid w:val="005F71D9"/>
    <w:rsid w:val="005F7602"/>
    <w:rsid w:val="006003F0"/>
    <w:rsid w:val="006108BA"/>
    <w:rsid w:val="00613501"/>
    <w:rsid w:val="006166A8"/>
    <w:rsid w:val="00616854"/>
    <w:rsid w:val="006174A1"/>
    <w:rsid w:val="006221D7"/>
    <w:rsid w:val="00633B49"/>
    <w:rsid w:val="00636A50"/>
    <w:rsid w:val="0064297F"/>
    <w:rsid w:val="00646CF3"/>
    <w:rsid w:val="00662983"/>
    <w:rsid w:val="006661F8"/>
    <w:rsid w:val="006705B8"/>
    <w:rsid w:val="006834D3"/>
    <w:rsid w:val="00690A36"/>
    <w:rsid w:val="00692625"/>
    <w:rsid w:val="00695CD3"/>
    <w:rsid w:val="006A38B6"/>
    <w:rsid w:val="006B1987"/>
    <w:rsid w:val="006B4051"/>
    <w:rsid w:val="006B5B71"/>
    <w:rsid w:val="006B6CB0"/>
    <w:rsid w:val="006C2B64"/>
    <w:rsid w:val="006D48C5"/>
    <w:rsid w:val="006D4C85"/>
    <w:rsid w:val="006E33F6"/>
    <w:rsid w:val="006E6020"/>
    <w:rsid w:val="006F1251"/>
    <w:rsid w:val="006F1C23"/>
    <w:rsid w:val="006F3037"/>
    <w:rsid w:val="00703166"/>
    <w:rsid w:val="007064E5"/>
    <w:rsid w:val="007127F3"/>
    <w:rsid w:val="007301CF"/>
    <w:rsid w:val="007316FB"/>
    <w:rsid w:val="00731FE1"/>
    <w:rsid w:val="00737E2D"/>
    <w:rsid w:val="00742033"/>
    <w:rsid w:val="007424D5"/>
    <w:rsid w:val="00751FFA"/>
    <w:rsid w:val="007523DD"/>
    <w:rsid w:val="00757B7E"/>
    <w:rsid w:val="007605F5"/>
    <w:rsid w:val="00771743"/>
    <w:rsid w:val="00771A84"/>
    <w:rsid w:val="00775E57"/>
    <w:rsid w:val="007822EC"/>
    <w:rsid w:val="00795DC5"/>
    <w:rsid w:val="00797153"/>
    <w:rsid w:val="007B0DDA"/>
    <w:rsid w:val="007B2749"/>
    <w:rsid w:val="007B3C4D"/>
    <w:rsid w:val="007B73B2"/>
    <w:rsid w:val="007C5B6E"/>
    <w:rsid w:val="007C7EFB"/>
    <w:rsid w:val="007D6482"/>
    <w:rsid w:val="007E4A19"/>
    <w:rsid w:val="007E52C1"/>
    <w:rsid w:val="007E5466"/>
    <w:rsid w:val="007F1949"/>
    <w:rsid w:val="00802956"/>
    <w:rsid w:val="008075B7"/>
    <w:rsid w:val="00817A84"/>
    <w:rsid w:val="008225A4"/>
    <w:rsid w:val="00826D5E"/>
    <w:rsid w:val="00832013"/>
    <w:rsid w:val="00834732"/>
    <w:rsid w:val="0084148C"/>
    <w:rsid w:val="00843554"/>
    <w:rsid w:val="0085200C"/>
    <w:rsid w:val="008540ED"/>
    <w:rsid w:val="00857C52"/>
    <w:rsid w:val="008651E2"/>
    <w:rsid w:val="00880A44"/>
    <w:rsid w:val="008827CC"/>
    <w:rsid w:val="0088345E"/>
    <w:rsid w:val="0088656F"/>
    <w:rsid w:val="008A0303"/>
    <w:rsid w:val="008A5615"/>
    <w:rsid w:val="008A5FDD"/>
    <w:rsid w:val="008B2311"/>
    <w:rsid w:val="008C223C"/>
    <w:rsid w:val="008C3947"/>
    <w:rsid w:val="008C5560"/>
    <w:rsid w:val="008E7329"/>
    <w:rsid w:val="008F2ED5"/>
    <w:rsid w:val="009145D2"/>
    <w:rsid w:val="00916202"/>
    <w:rsid w:val="00917BFE"/>
    <w:rsid w:val="0092297E"/>
    <w:rsid w:val="009302F5"/>
    <w:rsid w:val="0093069F"/>
    <w:rsid w:val="009341BF"/>
    <w:rsid w:val="009342B2"/>
    <w:rsid w:val="00937907"/>
    <w:rsid w:val="00941739"/>
    <w:rsid w:val="009450E4"/>
    <w:rsid w:val="00951573"/>
    <w:rsid w:val="009623CB"/>
    <w:rsid w:val="00963003"/>
    <w:rsid w:val="0097328F"/>
    <w:rsid w:val="00975331"/>
    <w:rsid w:val="00983471"/>
    <w:rsid w:val="009909AB"/>
    <w:rsid w:val="009B37DB"/>
    <w:rsid w:val="009C31E9"/>
    <w:rsid w:val="009C7A8C"/>
    <w:rsid w:val="009D23F9"/>
    <w:rsid w:val="009D24B8"/>
    <w:rsid w:val="009D4FA8"/>
    <w:rsid w:val="009E5A8B"/>
    <w:rsid w:val="009E6CD6"/>
    <w:rsid w:val="009F4DE9"/>
    <w:rsid w:val="00A00C3C"/>
    <w:rsid w:val="00A01091"/>
    <w:rsid w:val="00A04AF3"/>
    <w:rsid w:val="00A06DBB"/>
    <w:rsid w:val="00A27470"/>
    <w:rsid w:val="00A31E86"/>
    <w:rsid w:val="00A54D87"/>
    <w:rsid w:val="00A5553C"/>
    <w:rsid w:val="00A71554"/>
    <w:rsid w:val="00A81785"/>
    <w:rsid w:val="00A84803"/>
    <w:rsid w:val="00A84C51"/>
    <w:rsid w:val="00A86F2B"/>
    <w:rsid w:val="00A91366"/>
    <w:rsid w:val="00A93AA6"/>
    <w:rsid w:val="00AA4E48"/>
    <w:rsid w:val="00AA6202"/>
    <w:rsid w:val="00AA6AC8"/>
    <w:rsid w:val="00AA7883"/>
    <w:rsid w:val="00AC4A99"/>
    <w:rsid w:val="00AC64D2"/>
    <w:rsid w:val="00AE0FE8"/>
    <w:rsid w:val="00AE39C1"/>
    <w:rsid w:val="00AF0CB4"/>
    <w:rsid w:val="00AF60D5"/>
    <w:rsid w:val="00B04415"/>
    <w:rsid w:val="00B10046"/>
    <w:rsid w:val="00B11D60"/>
    <w:rsid w:val="00B11E4B"/>
    <w:rsid w:val="00B13D65"/>
    <w:rsid w:val="00B15903"/>
    <w:rsid w:val="00B22497"/>
    <w:rsid w:val="00B236E0"/>
    <w:rsid w:val="00B343AB"/>
    <w:rsid w:val="00B35176"/>
    <w:rsid w:val="00B351ED"/>
    <w:rsid w:val="00B37245"/>
    <w:rsid w:val="00B4017A"/>
    <w:rsid w:val="00B4468D"/>
    <w:rsid w:val="00B46A10"/>
    <w:rsid w:val="00B51BB1"/>
    <w:rsid w:val="00B625C5"/>
    <w:rsid w:val="00B71C72"/>
    <w:rsid w:val="00B81E92"/>
    <w:rsid w:val="00B92487"/>
    <w:rsid w:val="00B93B30"/>
    <w:rsid w:val="00B94CB5"/>
    <w:rsid w:val="00BA0DD9"/>
    <w:rsid w:val="00BB6312"/>
    <w:rsid w:val="00BC4D06"/>
    <w:rsid w:val="00BD0837"/>
    <w:rsid w:val="00BD585E"/>
    <w:rsid w:val="00BE278F"/>
    <w:rsid w:val="00BE5DED"/>
    <w:rsid w:val="00BF26A2"/>
    <w:rsid w:val="00BF2E0D"/>
    <w:rsid w:val="00BF3AFE"/>
    <w:rsid w:val="00BF3F8B"/>
    <w:rsid w:val="00BF4CA0"/>
    <w:rsid w:val="00BF76DA"/>
    <w:rsid w:val="00C07C7B"/>
    <w:rsid w:val="00C24479"/>
    <w:rsid w:val="00C35B63"/>
    <w:rsid w:val="00C37B53"/>
    <w:rsid w:val="00C451AD"/>
    <w:rsid w:val="00C517D2"/>
    <w:rsid w:val="00C62B36"/>
    <w:rsid w:val="00C638D6"/>
    <w:rsid w:val="00C7012C"/>
    <w:rsid w:val="00C91C2D"/>
    <w:rsid w:val="00C96915"/>
    <w:rsid w:val="00CB1C5E"/>
    <w:rsid w:val="00CC201F"/>
    <w:rsid w:val="00CC668D"/>
    <w:rsid w:val="00CC7832"/>
    <w:rsid w:val="00CF0672"/>
    <w:rsid w:val="00CF0C1C"/>
    <w:rsid w:val="00CF1FFA"/>
    <w:rsid w:val="00CF25B5"/>
    <w:rsid w:val="00CF4854"/>
    <w:rsid w:val="00D039F8"/>
    <w:rsid w:val="00D1611D"/>
    <w:rsid w:val="00D2102A"/>
    <w:rsid w:val="00D23808"/>
    <w:rsid w:val="00D2781D"/>
    <w:rsid w:val="00D3016A"/>
    <w:rsid w:val="00D3104E"/>
    <w:rsid w:val="00D317D4"/>
    <w:rsid w:val="00D31A86"/>
    <w:rsid w:val="00D42960"/>
    <w:rsid w:val="00D4338E"/>
    <w:rsid w:val="00D43BD7"/>
    <w:rsid w:val="00D4485B"/>
    <w:rsid w:val="00D46408"/>
    <w:rsid w:val="00D4708D"/>
    <w:rsid w:val="00D4744C"/>
    <w:rsid w:val="00D5152F"/>
    <w:rsid w:val="00D63068"/>
    <w:rsid w:val="00D6498C"/>
    <w:rsid w:val="00D8521E"/>
    <w:rsid w:val="00D9291C"/>
    <w:rsid w:val="00D93A97"/>
    <w:rsid w:val="00D960E7"/>
    <w:rsid w:val="00DA0AF0"/>
    <w:rsid w:val="00DB0A92"/>
    <w:rsid w:val="00DB1F64"/>
    <w:rsid w:val="00DC1346"/>
    <w:rsid w:val="00DC2F53"/>
    <w:rsid w:val="00DC6816"/>
    <w:rsid w:val="00DC76A9"/>
    <w:rsid w:val="00DC76C2"/>
    <w:rsid w:val="00DD0059"/>
    <w:rsid w:val="00DD1CF2"/>
    <w:rsid w:val="00DE6596"/>
    <w:rsid w:val="00DF36A5"/>
    <w:rsid w:val="00DF41B7"/>
    <w:rsid w:val="00DF4A4A"/>
    <w:rsid w:val="00DF526D"/>
    <w:rsid w:val="00DF583C"/>
    <w:rsid w:val="00E03C3F"/>
    <w:rsid w:val="00E0451F"/>
    <w:rsid w:val="00E073B4"/>
    <w:rsid w:val="00E13F26"/>
    <w:rsid w:val="00E23050"/>
    <w:rsid w:val="00E24D45"/>
    <w:rsid w:val="00E33DB8"/>
    <w:rsid w:val="00E34387"/>
    <w:rsid w:val="00E369FE"/>
    <w:rsid w:val="00E37C6F"/>
    <w:rsid w:val="00E475F8"/>
    <w:rsid w:val="00E5102E"/>
    <w:rsid w:val="00E5721C"/>
    <w:rsid w:val="00E6025D"/>
    <w:rsid w:val="00E619C6"/>
    <w:rsid w:val="00E732AB"/>
    <w:rsid w:val="00E745A1"/>
    <w:rsid w:val="00E81529"/>
    <w:rsid w:val="00E83A13"/>
    <w:rsid w:val="00E84FAD"/>
    <w:rsid w:val="00EB1C74"/>
    <w:rsid w:val="00EB1D0B"/>
    <w:rsid w:val="00EB3F4D"/>
    <w:rsid w:val="00EC2356"/>
    <w:rsid w:val="00EC2582"/>
    <w:rsid w:val="00EC337C"/>
    <w:rsid w:val="00EC403D"/>
    <w:rsid w:val="00ED0C4D"/>
    <w:rsid w:val="00ED0CFF"/>
    <w:rsid w:val="00ED31D2"/>
    <w:rsid w:val="00EE0ACF"/>
    <w:rsid w:val="00EE0EAC"/>
    <w:rsid w:val="00EE33CB"/>
    <w:rsid w:val="00EE400D"/>
    <w:rsid w:val="00EE65BE"/>
    <w:rsid w:val="00F0061A"/>
    <w:rsid w:val="00F00A34"/>
    <w:rsid w:val="00F02834"/>
    <w:rsid w:val="00F07CD7"/>
    <w:rsid w:val="00F127E9"/>
    <w:rsid w:val="00F174C8"/>
    <w:rsid w:val="00F21767"/>
    <w:rsid w:val="00F2582E"/>
    <w:rsid w:val="00F36972"/>
    <w:rsid w:val="00F41876"/>
    <w:rsid w:val="00F42426"/>
    <w:rsid w:val="00F456BC"/>
    <w:rsid w:val="00F50663"/>
    <w:rsid w:val="00F50666"/>
    <w:rsid w:val="00F60826"/>
    <w:rsid w:val="00F60C95"/>
    <w:rsid w:val="00F70C9E"/>
    <w:rsid w:val="00F74A74"/>
    <w:rsid w:val="00F8382C"/>
    <w:rsid w:val="00F855D7"/>
    <w:rsid w:val="00F92035"/>
    <w:rsid w:val="00F92748"/>
    <w:rsid w:val="00F938D8"/>
    <w:rsid w:val="00F93EB1"/>
    <w:rsid w:val="00F953C7"/>
    <w:rsid w:val="00FA4169"/>
    <w:rsid w:val="00FB0D41"/>
    <w:rsid w:val="00FB2030"/>
    <w:rsid w:val="00FB7086"/>
    <w:rsid w:val="00FD1CF2"/>
    <w:rsid w:val="00FD3EDF"/>
    <w:rsid w:val="00FD5C2C"/>
    <w:rsid w:val="00FD6192"/>
    <w:rsid w:val="00FD793C"/>
    <w:rsid w:val="00FE0C24"/>
    <w:rsid w:val="00FE20E6"/>
    <w:rsid w:val="00FE3248"/>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5E784CCB-BC85-4DDB-89F4-B1738606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826"/>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Tekstas">
    <w:name w:val="Tekstas"/>
    <w:basedOn w:val="Normal"/>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FootnoteReference">
    <w:name w:val="footnote reference"/>
    <w:basedOn w:val="DefaultParagraphFont"/>
    <w:semiHidden/>
    <w:unhideWhenUsed/>
    <w:rsid w:val="00D960E7"/>
    <w:rPr>
      <w:vertAlign w:val="superscript"/>
    </w:rPr>
  </w:style>
  <w:style w:type="paragraph" w:styleId="FootnoteText">
    <w:name w:val="footnote text"/>
    <w:basedOn w:val="Normal"/>
    <w:link w:val="FootnoteTextChar"/>
    <w:semiHidden/>
    <w:unhideWhenUsed/>
    <w:rsid w:val="00D960E7"/>
    <w:rPr>
      <w:sz w:val="20"/>
      <w:szCs w:val="20"/>
    </w:rPr>
  </w:style>
  <w:style w:type="character" w:customStyle="1" w:styleId="FootnoteTextChar">
    <w:name w:val="Footnote Text Char"/>
    <w:basedOn w:val="DefaultParagraphFont"/>
    <w:link w:val="FootnoteText"/>
    <w:semiHidden/>
    <w:rsid w:val="00D960E7"/>
    <w:rPr>
      <w:lang w:eastAsia="en-US"/>
    </w:rPr>
  </w:style>
  <w:style w:type="paragraph" w:styleId="Revision">
    <w:name w:val="Revision"/>
    <w:hidden/>
    <w:uiPriority w:val="99"/>
    <w:semiHidden/>
    <w:rsid w:val="00775E57"/>
    <w:rPr>
      <w:sz w:val="24"/>
      <w:szCs w:val="24"/>
      <w:lang w:eastAsia="en-US"/>
    </w:rPr>
  </w:style>
  <w:style w:type="paragraph" w:customStyle="1" w:styleId="Default">
    <w:name w:val="Default"/>
    <w:rsid w:val="00425A45"/>
    <w:pPr>
      <w:autoSpaceDE w:val="0"/>
      <w:autoSpaceDN w:val="0"/>
      <w:adjustRightInd w:val="0"/>
    </w:pPr>
    <w:rPr>
      <w:color w:val="000000"/>
      <w:sz w:val="24"/>
      <w:szCs w:val="24"/>
    </w:rPr>
  </w:style>
  <w:style w:type="character" w:styleId="Emphasis">
    <w:name w:val="Emphasis"/>
    <w:basedOn w:val="DefaultParagraphFont"/>
    <w:qFormat/>
    <w:rsid w:val="00A0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410394">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65247025">
      <w:bodyDiv w:val="1"/>
      <w:marLeft w:val="0"/>
      <w:marRight w:val="0"/>
      <w:marTop w:val="0"/>
      <w:marBottom w:val="0"/>
      <w:divBdr>
        <w:top w:val="none" w:sz="0" w:space="0" w:color="auto"/>
        <w:left w:val="none" w:sz="0" w:space="0" w:color="auto"/>
        <w:bottom w:val="none" w:sz="0" w:space="0" w:color="auto"/>
        <w:right w:val="none" w:sz="0" w:space="0" w:color="auto"/>
      </w:divBdr>
    </w:div>
    <w:div w:id="19298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CE3052C92E49BC81AE549E8380FCDA"/>
        <w:category>
          <w:name w:val="General"/>
          <w:gallery w:val="placeholder"/>
        </w:category>
        <w:types>
          <w:type w:val="bbPlcHdr"/>
        </w:types>
        <w:behaviors>
          <w:behavior w:val="content"/>
        </w:behaviors>
        <w:guid w:val="{8D225CDF-287B-4485-A759-182B0666C8AF}"/>
      </w:docPartPr>
      <w:docPartBody>
        <w:p w:rsidR="00E240C3" w:rsidRDefault="00EC13FA" w:rsidP="00EC13FA">
          <w:pPr>
            <w:pStyle w:val="32CE3052C92E49BC81AE549E8380FCDA"/>
          </w:pPr>
          <w:r>
            <w:rPr>
              <w:rStyle w:val="PlaceholderText"/>
            </w:rPr>
            <w:t>Click here to enter a date.</w:t>
          </w:r>
        </w:p>
      </w:docPartBody>
    </w:docPart>
    <w:docPart>
      <w:docPartPr>
        <w:name w:val="DBD6A6E84E7D48F7A9A3EB0068AF70A1"/>
        <w:category>
          <w:name w:val="General"/>
          <w:gallery w:val="placeholder"/>
        </w:category>
        <w:types>
          <w:type w:val="bbPlcHdr"/>
        </w:types>
        <w:behaviors>
          <w:behavior w:val="content"/>
        </w:behaviors>
        <w:guid w:val="{7B4498BF-92FB-4B2F-8AEE-7693207D4BBE}"/>
      </w:docPartPr>
      <w:docPartBody>
        <w:p w:rsidR="00E240C3" w:rsidRDefault="00EC13FA" w:rsidP="00EC13FA">
          <w:pPr>
            <w:pStyle w:val="DBD6A6E84E7D48F7A9A3EB0068AF70A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3250"/>
    <w:rsid w:val="00031C95"/>
    <w:rsid w:val="000563EF"/>
    <w:rsid w:val="000937FE"/>
    <w:rsid w:val="000A559A"/>
    <w:rsid w:val="00106A56"/>
    <w:rsid w:val="001227E4"/>
    <w:rsid w:val="001643F3"/>
    <w:rsid w:val="00211441"/>
    <w:rsid w:val="00220729"/>
    <w:rsid w:val="00220C44"/>
    <w:rsid w:val="002224E2"/>
    <w:rsid w:val="002859A3"/>
    <w:rsid w:val="002C57B8"/>
    <w:rsid w:val="002E74BE"/>
    <w:rsid w:val="003A2F2A"/>
    <w:rsid w:val="003C1AE1"/>
    <w:rsid w:val="003D402D"/>
    <w:rsid w:val="004144A3"/>
    <w:rsid w:val="004160E7"/>
    <w:rsid w:val="00463CE7"/>
    <w:rsid w:val="004B78E8"/>
    <w:rsid w:val="004F31CA"/>
    <w:rsid w:val="005074B9"/>
    <w:rsid w:val="00552E58"/>
    <w:rsid w:val="005D5B58"/>
    <w:rsid w:val="005E40DD"/>
    <w:rsid w:val="006601CE"/>
    <w:rsid w:val="006A2AF4"/>
    <w:rsid w:val="006B28A2"/>
    <w:rsid w:val="007126F3"/>
    <w:rsid w:val="007C6D1D"/>
    <w:rsid w:val="007D17CA"/>
    <w:rsid w:val="007D2E9F"/>
    <w:rsid w:val="007E115F"/>
    <w:rsid w:val="007E6506"/>
    <w:rsid w:val="00843AE5"/>
    <w:rsid w:val="00867DA2"/>
    <w:rsid w:val="008A34C5"/>
    <w:rsid w:val="008C49D4"/>
    <w:rsid w:val="00936288"/>
    <w:rsid w:val="0096442F"/>
    <w:rsid w:val="00964DDE"/>
    <w:rsid w:val="00965277"/>
    <w:rsid w:val="009774A4"/>
    <w:rsid w:val="009B3BF0"/>
    <w:rsid w:val="009D5E5E"/>
    <w:rsid w:val="00A04012"/>
    <w:rsid w:val="00A93542"/>
    <w:rsid w:val="00B23DC0"/>
    <w:rsid w:val="00B343AB"/>
    <w:rsid w:val="00B34FCC"/>
    <w:rsid w:val="00BA301A"/>
    <w:rsid w:val="00CB4BD1"/>
    <w:rsid w:val="00CE2DA9"/>
    <w:rsid w:val="00CE44BE"/>
    <w:rsid w:val="00CE49F2"/>
    <w:rsid w:val="00CE5289"/>
    <w:rsid w:val="00CF66F6"/>
    <w:rsid w:val="00DE62BE"/>
    <w:rsid w:val="00E2060C"/>
    <w:rsid w:val="00E240C3"/>
    <w:rsid w:val="00E44A86"/>
    <w:rsid w:val="00E57EAA"/>
    <w:rsid w:val="00E86D0F"/>
    <w:rsid w:val="00EC13FA"/>
    <w:rsid w:val="00EF6E0C"/>
    <w:rsid w:val="00F64D17"/>
    <w:rsid w:val="00FB276D"/>
    <w:rsid w:val="00FB5553"/>
    <w:rsid w:val="00FC572B"/>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13FA"/>
    <w:rPr>
      <w:color w:val="808080"/>
    </w:rPr>
  </w:style>
  <w:style w:type="paragraph" w:customStyle="1" w:styleId="32CE3052C92E49BC81AE549E8380FCDA">
    <w:name w:val="32CE3052C92E49BC81AE549E8380FCDA"/>
    <w:rsid w:val="00EC13FA"/>
  </w:style>
  <w:style w:type="paragraph" w:customStyle="1" w:styleId="DBD6A6E84E7D48F7A9A3EB0068AF70A1">
    <w:name w:val="DBD6A6E84E7D48F7A9A3EB0068AF70A1"/>
    <w:rsid w:val="00EC1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C7AB-BD4F-4373-A808-0DCE827D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9436</Words>
  <Characters>5380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Jocius</dc:creator>
  <cp:keywords/>
  <dc:description/>
  <cp:lastModifiedBy>Modestas Jocius</cp:lastModifiedBy>
  <cp:revision>2</cp:revision>
  <dcterms:created xsi:type="dcterms:W3CDTF">2024-08-09T06:55:00Z</dcterms:created>
  <dcterms:modified xsi:type="dcterms:W3CDTF">2024-08-09T06:55:00Z</dcterms:modified>
</cp:coreProperties>
</file>