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Pr="000203E1" w:rsidRDefault="005F7602" w:rsidP="002946C7">
      <w:pPr>
        <w:ind w:left="5529"/>
      </w:pP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3210B2A3" w14:textId="7FA9D033" w:rsidR="00C32FBD" w:rsidRPr="00C32FBD" w:rsidRDefault="00C32FBD" w:rsidP="00C32FBD">
      <w:pPr>
        <w:jc w:val="center"/>
        <w:rPr>
          <w:b/>
        </w:rPr>
      </w:pPr>
      <w:r w:rsidRPr="00C32FBD">
        <w:rPr>
          <w:b/>
        </w:rPr>
        <w:t>Keytruda 50 mg, milteliai infuzinio tirpalo koncentratui</w:t>
      </w:r>
    </w:p>
    <w:p w14:paraId="45A1F6AC" w14:textId="77777777" w:rsidR="00C32FBD" w:rsidRPr="00C32FBD" w:rsidRDefault="00C32FBD" w:rsidP="00C32FBD">
      <w:pPr>
        <w:jc w:val="center"/>
        <w:rPr>
          <w:b/>
        </w:rPr>
      </w:pPr>
    </w:p>
    <w:p w14:paraId="71810E0E" w14:textId="77777777" w:rsidR="00C32FBD" w:rsidRPr="00C32FBD" w:rsidRDefault="00C32FBD" w:rsidP="00C32FBD">
      <w:pPr>
        <w:jc w:val="center"/>
        <w:rPr>
          <w:b/>
        </w:rPr>
      </w:pPr>
      <w:r w:rsidRPr="00C32FBD">
        <w:rPr>
          <w:b/>
        </w:rPr>
        <w:t>Pembrolizumabas</w:t>
      </w:r>
    </w:p>
    <w:p w14:paraId="7F052CAA" w14:textId="77777777" w:rsidR="00C32FBD" w:rsidRPr="00C32FBD" w:rsidRDefault="00C32FBD" w:rsidP="00C32FBD">
      <w:pPr>
        <w:jc w:val="center"/>
        <w:rPr>
          <w:b/>
        </w:rPr>
      </w:pPr>
    </w:p>
    <w:p w14:paraId="048F6016" w14:textId="77777777" w:rsidR="00C32FBD" w:rsidRPr="00C32FBD" w:rsidRDefault="00C32FBD" w:rsidP="00C32FBD">
      <w:pPr>
        <w:jc w:val="center"/>
        <w:rPr>
          <w:b/>
        </w:rPr>
      </w:pPr>
      <w:r w:rsidRPr="00C32FBD">
        <w:rPr>
          <w:b/>
        </w:rPr>
        <w:t>STV-81A</w:t>
      </w:r>
    </w:p>
    <w:p w14:paraId="453197C8" w14:textId="77777777" w:rsidR="00D4708D" w:rsidRPr="000203E1" w:rsidRDefault="00D4708D" w:rsidP="003B211A">
      <w:pPr>
        <w:jc w:val="center"/>
        <w:rPr>
          <w:b/>
        </w:rPr>
      </w:pPr>
    </w:p>
    <w:p w14:paraId="78C89D1C" w14:textId="0DEFFAA5" w:rsidR="00D4485B" w:rsidRPr="000203E1" w:rsidRDefault="00B13D65" w:rsidP="00CC09D4">
      <w:pPr>
        <w:pStyle w:val="ListParagraph"/>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1B24C3" w:rsidRPr="000203E1" w14:paraId="18A83EC2" w14:textId="77777777" w:rsidTr="00BE7489">
        <w:trPr>
          <w:trHeight w:val="538"/>
        </w:trPr>
        <w:tc>
          <w:tcPr>
            <w:tcW w:w="632" w:type="dxa"/>
          </w:tcPr>
          <w:p w14:paraId="0646FBEA" w14:textId="77777777" w:rsidR="001B24C3" w:rsidRPr="000203E1" w:rsidRDefault="001B24C3" w:rsidP="001B24C3">
            <w:pPr>
              <w:rPr>
                <w:rFonts w:eastAsia="Arial"/>
              </w:rPr>
            </w:pPr>
            <w:r w:rsidRPr="000203E1">
              <w:rPr>
                <w:rFonts w:eastAsia="Arial"/>
              </w:rPr>
              <w:t>1.1</w:t>
            </w:r>
          </w:p>
        </w:tc>
        <w:tc>
          <w:tcPr>
            <w:tcW w:w="3694" w:type="dxa"/>
          </w:tcPr>
          <w:p w14:paraId="6C3AE864" w14:textId="77777777" w:rsidR="001B24C3" w:rsidRPr="000203E1" w:rsidRDefault="001B24C3" w:rsidP="001B24C3">
            <w:pPr>
              <w:rPr>
                <w:rFonts w:eastAsia="Arial"/>
              </w:rPr>
            </w:pPr>
            <w:r w:rsidRPr="000203E1">
              <w:rPr>
                <w:rFonts w:eastAsia="Arial"/>
              </w:rPr>
              <w:t>Pareiškėjas</w:t>
            </w:r>
          </w:p>
          <w:p w14:paraId="2AF240DC" w14:textId="77777777" w:rsidR="001B24C3" w:rsidRPr="000203E1" w:rsidRDefault="001B24C3" w:rsidP="001B24C3">
            <w:pPr>
              <w:rPr>
                <w:rFonts w:eastAsia="Arial"/>
              </w:rPr>
            </w:pPr>
          </w:p>
        </w:tc>
        <w:tc>
          <w:tcPr>
            <w:tcW w:w="5167" w:type="dxa"/>
          </w:tcPr>
          <w:p w14:paraId="2AAF0D91" w14:textId="2C2BE480" w:rsidR="001B24C3" w:rsidRPr="000203E1" w:rsidRDefault="00C32FBD" w:rsidP="001B24C3">
            <w:pPr>
              <w:rPr>
                <w:rFonts w:eastAsia="Arial"/>
              </w:rPr>
            </w:pPr>
            <w:r w:rsidRPr="00C32FBD">
              <w:t>UAB “Merck Sharp &amp; Dohme“</w:t>
            </w:r>
          </w:p>
        </w:tc>
      </w:tr>
      <w:tr w:rsidR="001B24C3" w:rsidRPr="000203E1" w14:paraId="31998B0D" w14:textId="77777777" w:rsidTr="00BE7489">
        <w:trPr>
          <w:trHeight w:val="538"/>
        </w:trPr>
        <w:tc>
          <w:tcPr>
            <w:tcW w:w="632" w:type="dxa"/>
          </w:tcPr>
          <w:p w14:paraId="2005EC67" w14:textId="662300D0" w:rsidR="001B24C3" w:rsidRPr="000203E1" w:rsidRDefault="001B24C3" w:rsidP="001B24C3">
            <w:pPr>
              <w:rPr>
                <w:rFonts w:eastAsia="Arial"/>
              </w:rPr>
            </w:pPr>
            <w:r w:rsidRPr="000203E1">
              <w:rPr>
                <w:rFonts w:eastAsia="Arial"/>
              </w:rPr>
              <w:t>1.2</w:t>
            </w:r>
          </w:p>
        </w:tc>
        <w:tc>
          <w:tcPr>
            <w:tcW w:w="3694" w:type="dxa"/>
          </w:tcPr>
          <w:p w14:paraId="1E4AE3B1" w14:textId="77777777" w:rsidR="001B24C3" w:rsidRPr="000203E1" w:rsidRDefault="001B24C3" w:rsidP="001B24C3">
            <w:pPr>
              <w:rPr>
                <w:bCs/>
                <w:lang w:eastAsia="lt-LT"/>
              </w:rPr>
            </w:pPr>
            <w:r w:rsidRPr="000203E1">
              <w:rPr>
                <w:bCs/>
                <w:lang w:eastAsia="lt-LT"/>
              </w:rPr>
              <w:t xml:space="preserve">Registracijos data </w:t>
            </w:r>
          </w:p>
          <w:p w14:paraId="3A0DC096" w14:textId="77777777" w:rsidR="001B24C3" w:rsidRPr="000203E1" w:rsidRDefault="001B24C3" w:rsidP="001B24C3">
            <w:pPr>
              <w:rPr>
                <w:bCs/>
                <w:lang w:eastAsia="lt-LT"/>
              </w:rPr>
            </w:pPr>
          </w:p>
        </w:tc>
        <w:tc>
          <w:tcPr>
            <w:tcW w:w="5167" w:type="dxa"/>
          </w:tcPr>
          <w:p w14:paraId="3CA218AD" w14:textId="61998553" w:rsidR="001B24C3" w:rsidRPr="00C32FBD" w:rsidRDefault="00C32FBD" w:rsidP="001B24C3">
            <w:pPr>
              <w:rPr>
                <w:rStyle w:val="Style2"/>
                <w:sz w:val="24"/>
              </w:rPr>
            </w:pPr>
            <w:r w:rsidRPr="00C32FBD">
              <w:t>2015 m. liepos 17 d.</w:t>
            </w:r>
          </w:p>
        </w:tc>
      </w:tr>
      <w:tr w:rsidR="000203E1" w:rsidRPr="000203E1" w14:paraId="15968AE1" w14:textId="77777777" w:rsidTr="00BE7489">
        <w:trPr>
          <w:trHeight w:val="1500"/>
        </w:trPr>
        <w:tc>
          <w:tcPr>
            <w:tcW w:w="632" w:type="dxa"/>
          </w:tcPr>
          <w:p w14:paraId="6A784245" w14:textId="1E461489" w:rsidR="00B13D65" w:rsidRPr="000203E1" w:rsidRDefault="002E0702" w:rsidP="00824B92">
            <w:pPr>
              <w:rPr>
                <w:rFonts w:eastAsia="Arial"/>
              </w:rPr>
            </w:pPr>
            <w:r w:rsidRPr="000203E1">
              <w:rPr>
                <w:rFonts w:eastAsia="Arial"/>
              </w:rPr>
              <w:t>1.3</w:t>
            </w:r>
          </w:p>
        </w:tc>
        <w:tc>
          <w:tcPr>
            <w:tcW w:w="3694" w:type="dxa"/>
          </w:tcPr>
          <w:p w14:paraId="22933506" w14:textId="77777777" w:rsidR="00B13D65" w:rsidRPr="000203E1" w:rsidRDefault="00B13D65" w:rsidP="00824B92">
            <w:r w:rsidRPr="000203E1">
              <w:t xml:space="preserve">Paraiškos tipas </w:t>
            </w:r>
          </w:p>
          <w:p w14:paraId="0465E680" w14:textId="7F0A0714" w:rsidR="00B13D65" w:rsidRPr="000203E1" w:rsidRDefault="00B13D65" w:rsidP="00824B92">
            <w:r w:rsidRPr="000203E1">
              <w:t>(</w:t>
            </w:r>
            <w:r w:rsidR="00695CD3" w:rsidRPr="000203E1">
              <w:t xml:space="preserve">pagal </w:t>
            </w:r>
            <w:r w:rsidR="0039696E" w:rsidRPr="000203E1">
              <w:rPr>
                <w:shd w:val="clear" w:color="auto" w:fill="FFFFFF"/>
              </w:rPr>
              <w:t>vaistinio preparato registracijos tipą, įtvirtintą</w:t>
            </w:r>
            <w:r w:rsidR="0039696E" w:rsidRPr="000203E1">
              <w:t xml:space="preserve"> </w:t>
            </w:r>
            <w:r w:rsidRPr="000203E1">
              <w:t>Direktyv</w:t>
            </w:r>
            <w:r w:rsidR="00695CD3" w:rsidRPr="000203E1">
              <w:t>os</w:t>
            </w:r>
            <w:r w:rsidRPr="000203E1">
              <w:t xml:space="preserve"> 2001/83/EB</w:t>
            </w:r>
            <w:r w:rsidR="00695CD3" w:rsidRPr="000203E1">
              <w:t xml:space="preserve"> straips</w:t>
            </w:r>
            <w:r w:rsidR="0039696E" w:rsidRPr="000203E1">
              <w:t>iuose</w:t>
            </w:r>
            <w:r w:rsidRPr="000203E1">
              <w:t>)</w:t>
            </w:r>
          </w:p>
          <w:p w14:paraId="77089D80" w14:textId="6681D72A" w:rsidR="00B13D65" w:rsidRPr="000203E1" w:rsidRDefault="00B13D65" w:rsidP="00824B92">
            <w:pPr>
              <w:rPr>
                <w:bCs/>
                <w:lang w:eastAsia="lt-LT"/>
              </w:rPr>
            </w:pPr>
          </w:p>
        </w:tc>
        <w:tc>
          <w:tcPr>
            <w:tcW w:w="5167" w:type="dxa"/>
          </w:tcPr>
          <w:p w14:paraId="208F40EC" w14:textId="29DC8EF0" w:rsidR="00B13D65" w:rsidRPr="000203E1" w:rsidRDefault="00953856"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1B24C3">
                  <w:rPr>
                    <w:rStyle w:val="Style2"/>
                    <w:rFonts w:ascii="MS Gothic" w:eastAsia="MS Gothic" w:hAnsi="MS Gothic" w:hint="eastAsia"/>
                    <w:sz w:val="22"/>
                    <w:szCs w:val="22"/>
                  </w:rPr>
                  <w:t>☒</w:t>
                </w:r>
              </w:sdtContent>
            </w:sdt>
            <w:r w:rsidR="00B13D65" w:rsidRPr="000203E1">
              <w:rPr>
                <w:sz w:val="22"/>
                <w:szCs w:val="22"/>
              </w:rPr>
              <w:t xml:space="preserve">8.3 str. (pilna byla, pagrįsta savais tyrimais) </w:t>
            </w:r>
          </w:p>
          <w:p w14:paraId="32BA564E" w14:textId="3FDA3E01" w:rsidR="00B13D65" w:rsidRPr="000203E1" w:rsidRDefault="00953856"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0203E1">
                  <w:rPr>
                    <w:rStyle w:val="Style2"/>
                    <w:rFonts w:ascii="Segoe UI Symbol" w:eastAsia="MS Gothic" w:hAnsi="Segoe UI Symbol" w:cs="Segoe UI Symbol"/>
                    <w:sz w:val="22"/>
                    <w:szCs w:val="22"/>
                  </w:rPr>
                  <w:t>☐</w:t>
                </w:r>
              </w:sdtContent>
            </w:sdt>
            <w:r w:rsidR="00B13D65" w:rsidRPr="000203E1">
              <w:rPr>
                <w:sz w:val="22"/>
                <w:szCs w:val="22"/>
              </w:rPr>
              <w:t xml:space="preserve">10 a str. (pripažintas medicininis vartojimas) </w:t>
            </w:r>
          </w:p>
          <w:p w14:paraId="318DCD7F" w14:textId="32333E53" w:rsidR="00B13D65" w:rsidRPr="000203E1" w:rsidRDefault="00953856"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0203E1">
                  <w:rPr>
                    <w:rStyle w:val="Style2"/>
                    <w:rFonts w:ascii="Segoe UI Symbol" w:eastAsia="MS Gothic" w:hAnsi="Segoe UI Symbol" w:cs="Segoe UI Symbol"/>
                    <w:sz w:val="22"/>
                    <w:szCs w:val="22"/>
                  </w:rPr>
                  <w:t>☐</w:t>
                </w:r>
              </w:sdtContent>
            </w:sdt>
            <w:r w:rsidR="00B13D65" w:rsidRPr="000203E1">
              <w:rPr>
                <w:sz w:val="22"/>
                <w:szCs w:val="22"/>
              </w:rPr>
              <w:t>10.1 str. (generinis)</w:t>
            </w:r>
          </w:p>
          <w:p w14:paraId="3B0A4F72" w14:textId="3F5FB073" w:rsidR="00B13D65" w:rsidRPr="000203E1" w:rsidRDefault="00953856"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0203E1">
                  <w:rPr>
                    <w:rStyle w:val="Style2"/>
                    <w:rFonts w:ascii="Segoe UI Symbol" w:eastAsia="MS Gothic" w:hAnsi="Segoe UI Symbol" w:cs="Segoe UI Symbol"/>
                    <w:sz w:val="22"/>
                    <w:szCs w:val="22"/>
                  </w:rPr>
                  <w:t>☐</w:t>
                </w:r>
              </w:sdtContent>
            </w:sdt>
            <w:r w:rsidR="00B13D65" w:rsidRPr="000203E1">
              <w:rPr>
                <w:sz w:val="22"/>
                <w:szCs w:val="22"/>
              </w:rPr>
              <w:t>10.3 str. (hibridinis)</w:t>
            </w:r>
          </w:p>
        </w:tc>
      </w:tr>
      <w:tr w:rsidR="000203E1" w:rsidRPr="000203E1" w14:paraId="310E9662" w14:textId="77777777" w:rsidTr="00545677">
        <w:trPr>
          <w:trHeight w:val="779"/>
        </w:trPr>
        <w:tc>
          <w:tcPr>
            <w:tcW w:w="632" w:type="dxa"/>
          </w:tcPr>
          <w:p w14:paraId="4B5A91A2" w14:textId="561B5E5F" w:rsidR="00B13D65" w:rsidRPr="000203E1" w:rsidRDefault="00B13D65" w:rsidP="00824B92">
            <w:pPr>
              <w:rPr>
                <w:rFonts w:eastAsia="Arial"/>
              </w:rPr>
            </w:pPr>
            <w:r w:rsidRPr="000203E1">
              <w:rPr>
                <w:rFonts w:eastAsia="Arial"/>
              </w:rPr>
              <w:t>1.</w:t>
            </w:r>
            <w:r w:rsidR="002E0702" w:rsidRPr="000203E1">
              <w:rPr>
                <w:rFonts w:eastAsia="Arial"/>
              </w:rPr>
              <w:t>4</w:t>
            </w:r>
          </w:p>
        </w:tc>
        <w:tc>
          <w:tcPr>
            <w:tcW w:w="3694" w:type="dxa"/>
          </w:tcPr>
          <w:p w14:paraId="483071A3" w14:textId="6356842A" w:rsidR="00B13D65" w:rsidRPr="000203E1" w:rsidRDefault="00B13D65" w:rsidP="00824B92">
            <w:pPr>
              <w:rPr>
                <w:bCs/>
                <w:lang w:eastAsia="lt-LT"/>
              </w:rPr>
            </w:pPr>
            <w:r w:rsidRPr="000203E1">
              <w:rPr>
                <w:bCs/>
                <w:lang w:eastAsia="lt-LT"/>
              </w:rPr>
              <w:t xml:space="preserve">Ar vaistinis preparatas įrašytas į Bendrijos retųjų vaistinių preparatų registrą? </w:t>
            </w:r>
          </w:p>
        </w:tc>
        <w:tc>
          <w:tcPr>
            <w:tcW w:w="5167" w:type="dxa"/>
          </w:tcPr>
          <w:p w14:paraId="26397455" w14:textId="115AB630" w:rsidR="001B24C3" w:rsidRPr="001B24C3" w:rsidRDefault="00C32FBD" w:rsidP="001B24C3">
            <w:pPr>
              <w:rPr>
                <w:rStyle w:val="Style2"/>
                <w:sz w:val="24"/>
              </w:rPr>
            </w:pPr>
            <w:r w:rsidRPr="001B24C3">
              <w:rPr>
                <w:rStyle w:val="Style2"/>
                <w:rFonts w:ascii="Segoe UI Symbol" w:hAnsi="Segoe UI Symbol" w:cs="Segoe UI Symbol"/>
                <w:sz w:val="24"/>
              </w:rPr>
              <w:t>☐</w:t>
            </w:r>
            <w:r w:rsidR="001B24C3" w:rsidRPr="001B24C3">
              <w:rPr>
                <w:rStyle w:val="Style2"/>
                <w:sz w:val="24"/>
              </w:rPr>
              <w:t xml:space="preserve"> Taip</w:t>
            </w:r>
          </w:p>
          <w:p w14:paraId="29C2CBBB" w14:textId="6293D8B8" w:rsidR="00B13D65" w:rsidRPr="00C32FBD" w:rsidRDefault="00C32FBD" w:rsidP="001B24C3">
            <w:r w:rsidRPr="001B24C3">
              <w:rPr>
                <w:rStyle w:val="Style2"/>
                <w:rFonts w:ascii="Segoe UI Symbol" w:hAnsi="Segoe UI Symbol" w:cs="Segoe UI Symbol"/>
                <w:sz w:val="24"/>
              </w:rPr>
              <w:t>☒</w:t>
            </w:r>
            <w:r w:rsidR="001B24C3" w:rsidRPr="001B24C3">
              <w:rPr>
                <w:rStyle w:val="Style2"/>
                <w:sz w:val="24"/>
              </w:rPr>
              <w:t xml:space="preserve"> Ne</w:t>
            </w:r>
          </w:p>
        </w:tc>
      </w:tr>
      <w:tr w:rsidR="000203E1" w:rsidRPr="000203E1" w14:paraId="7841E5F8" w14:textId="77777777" w:rsidTr="00BE7489">
        <w:trPr>
          <w:trHeight w:val="476"/>
        </w:trPr>
        <w:tc>
          <w:tcPr>
            <w:tcW w:w="632" w:type="dxa"/>
          </w:tcPr>
          <w:p w14:paraId="109D2861" w14:textId="73BF27DF" w:rsidR="00D417D2" w:rsidRPr="000203E1" w:rsidRDefault="00D417D2" w:rsidP="00824B92">
            <w:pPr>
              <w:rPr>
                <w:rFonts w:eastAsia="Arial"/>
              </w:rPr>
            </w:pPr>
            <w:r w:rsidRPr="000203E1">
              <w:rPr>
                <w:rFonts w:eastAsia="Arial"/>
              </w:rPr>
              <w:t>1.5</w:t>
            </w:r>
          </w:p>
        </w:tc>
        <w:tc>
          <w:tcPr>
            <w:tcW w:w="3694" w:type="dxa"/>
          </w:tcPr>
          <w:p w14:paraId="7822D63E" w14:textId="68C38334" w:rsidR="00D417D2" w:rsidRPr="000203E1" w:rsidRDefault="00D417D2" w:rsidP="00824B92">
            <w:pPr>
              <w:rPr>
                <w:bCs/>
                <w:lang w:eastAsia="lt-LT"/>
              </w:rPr>
            </w:pPr>
            <w:r w:rsidRPr="000203E1">
              <w:t>STV paraiškos pobūdis</w:t>
            </w:r>
          </w:p>
        </w:tc>
        <w:tc>
          <w:tcPr>
            <w:tcW w:w="5167" w:type="dxa"/>
          </w:tcPr>
          <w:p w14:paraId="403461B9" w14:textId="7E5B1246" w:rsidR="00D417D2" w:rsidRPr="000203E1" w:rsidRDefault="00953856"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1B24C3">
                  <w:rPr>
                    <w:rStyle w:val="Style2"/>
                    <w:rFonts w:ascii="MS Gothic" w:eastAsia="MS Gothic" w:hAnsi="MS Gothic" w:hint="eastAsia"/>
                    <w:sz w:val="24"/>
                  </w:rPr>
                  <w:t>☒</w:t>
                </w:r>
              </w:sdtContent>
            </w:sdt>
            <w:r w:rsidR="00D417D2" w:rsidRPr="000203E1">
              <w:t xml:space="preserve"> Pilna paraiška</w:t>
            </w:r>
          </w:p>
          <w:p w14:paraId="6B8213E3" w14:textId="3495CDF4" w:rsidR="00D417D2" w:rsidRPr="000203E1" w:rsidRDefault="00953856"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0203E1">
                  <w:rPr>
                    <w:rStyle w:val="Style2"/>
                    <w:rFonts w:ascii="MS Gothic" w:eastAsia="MS Gothic" w:hAnsi="MS Gothic" w:hint="eastAsia"/>
                    <w:sz w:val="24"/>
                  </w:rPr>
                  <w:t>☐</w:t>
                </w:r>
              </w:sdtContent>
            </w:sdt>
            <w:r w:rsidR="00D417D2" w:rsidRPr="000203E1">
              <w:t xml:space="preserve"> Supaprastinta paraiška</w:t>
            </w:r>
          </w:p>
        </w:tc>
      </w:tr>
      <w:tr w:rsidR="001B24C3" w:rsidRPr="000203E1" w14:paraId="274D1DAF" w14:textId="77777777" w:rsidTr="00C32FBD">
        <w:trPr>
          <w:trHeight w:val="132"/>
        </w:trPr>
        <w:tc>
          <w:tcPr>
            <w:tcW w:w="632" w:type="dxa"/>
          </w:tcPr>
          <w:p w14:paraId="17ABF217" w14:textId="14AC00D7" w:rsidR="001B24C3" w:rsidRPr="000203E1" w:rsidRDefault="001B24C3" w:rsidP="001B24C3">
            <w:pPr>
              <w:rPr>
                <w:rFonts w:eastAsia="Arial"/>
              </w:rPr>
            </w:pPr>
            <w:r w:rsidRPr="000203E1">
              <w:rPr>
                <w:rFonts w:eastAsia="Arial"/>
              </w:rPr>
              <w:t>1.6</w:t>
            </w:r>
          </w:p>
        </w:tc>
        <w:tc>
          <w:tcPr>
            <w:tcW w:w="3694" w:type="dxa"/>
          </w:tcPr>
          <w:p w14:paraId="4D49DBF5" w14:textId="77777777" w:rsidR="001B24C3" w:rsidRPr="000203E1" w:rsidRDefault="001B24C3" w:rsidP="001B24C3">
            <w:pPr>
              <w:rPr>
                <w:bCs/>
                <w:lang w:eastAsia="lt-LT"/>
              </w:rPr>
            </w:pPr>
            <w:r w:rsidRPr="000203E1">
              <w:rPr>
                <w:bCs/>
                <w:lang w:eastAsia="lt-LT"/>
              </w:rPr>
              <w:t>Pareiškėjo teikiama (-os) kompensuoti vaistinio preparato indikacija (-os)</w:t>
            </w:r>
          </w:p>
          <w:p w14:paraId="6B4FEEC1" w14:textId="6A619694" w:rsidR="001B24C3" w:rsidRPr="000203E1" w:rsidRDefault="001B24C3" w:rsidP="001B24C3">
            <w:pPr>
              <w:rPr>
                <w:bCs/>
                <w:lang w:eastAsia="lt-LT"/>
              </w:rPr>
            </w:pPr>
            <w:r w:rsidRPr="000203E1">
              <w:rPr>
                <w:bCs/>
                <w:lang w:eastAsia="lt-LT"/>
              </w:rPr>
              <w:t>Kodas pagal TLK-10 AM</w:t>
            </w:r>
          </w:p>
        </w:tc>
        <w:tc>
          <w:tcPr>
            <w:tcW w:w="5167" w:type="dxa"/>
          </w:tcPr>
          <w:p w14:paraId="62CD37F8" w14:textId="77777777" w:rsidR="00C32FBD" w:rsidRPr="00C32FBD" w:rsidRDefault="00C32FBD" w:rsidP="00C32FBD">
            <w:bookmarkStart w:id="0" w:name="_Hlk157590160"/>
            <w:r w:rsidRPr="00C32FBD">
              <w:t>Stemplės carcinoma</w:t>
            </w:r>
          </w:p>
          <w:p w14:paraId="75E905D3" w14:textId="77777777" w:rsidR="00C32FBD" w:rsidRPr="00C32FBD" w:rsidRDefault="00C32FBD" w:rsidP="00C32FBD">
            <w:pPr>
              <w:numPr>
                <w:ilvl w:val="0"/>
                <w:numId w:val="14"/>
              </w:numPr>
            </w:pPr>
            <w:r w:rsidRPr="00C32FBD">
              <w:t>KEYTRUDA derinyje su chemoterapija platinos vaistiniais preparatais ir fluoropirimidinu skirtas vietiškai išplitusios nerezekuotinos ar metastazavusios stemplės karcinomos arba HER-2 neigiamos gastroezofaginės jungties adenokarcinomos pirmaeiliam gydymui suaugusiesiems, kurių navikai ekspresuoja PD-L1 ir CPS rodmuo yra ≥ 10.</w:t>
            </w:r>
          </w:p>
          <w:bookmarkEnd w:id="0"/>
          <w:p w14:paraId="13F7DFB0" w14:textId="643C47F8" w:rsidR="001B24C3" w:rsidRPr="000203E1" w:rsidRDefault="00C32FBD" w:rsidP="00C32FBD">
            <w:r w:rsidRPr="00C32FBD">
              <w:t>TLK-10 AM kodai: C15, C16</w:t>
            </w:r>
            <w:r>
              <w:t>.</w:t>
            </w:r>
          </w:p>
        </w:tc>
      </w:tr>
      <w:tr w:rsidR="001B24C3" w:rsidRPr="000203E1" w14:paraId="2F79DC08" w14:textId="77777777" w:rsidTr="00BE7489">
        <w:trPr>
          <w:trHeight w:val="378"/>
        </w:trPr>
        <w:tc>
          <w:tcPr>
            <w:tcW w:w="632" w:type="dxa"/>
          </w:tcPr>
          <w:p w14:paraId="547885A2" w14:textId="2EE70237" w:rsidR="001B24C3" w:rsidRPr="000203E1" w:rsidRDefault="001B24C3" w:rsidP="001B24C3">
            <w:pPr>
              <w:rPr>
                <w:rFonts w:eastAsia="Arial"/>
              </w:rPr>
            </w:pPr>
            <w:r w:rsidRPr="000203E1">
              <w:rPr>
                <w:rFonts w:eastAsia="Arial"/>
              </w:rPr>
              <w:lastRenderedPageBreak/>
              <w:t>1.</w:t>
            </w:r>
            <w:r>
              <w:rPr>
                <w:rFonts w:eastAsia="Arial"/>
              </w:rPr>
              <w:t>7</w:t>
            </w:r>
          </w:p>
        </w:tc>
        <w:tc>
          <w:tcPr>
            <w:tcW w:w="3694" w:type="dxa"/>
          </w:tcPr>
          <w:p w14:paraId="2EAB877F" w14:textId="39A36941" w:rsidR="001B24C3" w:rsidRPr="000203E1" w:rsidRDefault="001B24C3" w:rsidP="001B24C3">
            <w:pPr>
              <w:rPr>
                <w:bCs/>
                <w:u w:val="single"/>
                <w:lang w:eastAsia="lt-LT"/>
              </w:rPr>
            </w:pPr>
            <w:r w:rsidRPr="000203E1">
              <w:rPr>
                <w:bCs/>
                <w:lang w:eastAsia="lt-LT"/>
              </w:rPr>
              <w:t xml:space="preserve">Pareiškėjo teikiamos skyrimo sąlygos </w:t>
            </w:r>
          </w:p>
        </w:tc>
        <w:tc>
          <w:tcPr>
            <w:tcW w:w="5167" w:type="dxa"/>
          </w:tcPr>
          <w:p w14:paraId="0579DF58" w14:textId="6AD40E7A" w:rsidR="001B24C3" w:rsidRPr="000203E1" w:rsidRDefault="00C32FBD" w:rsidP="001B24C3">
            <w:r>
              <w:t>Neteikiamos.</w:t>
            </w:r>
          </w:p>
        </w:tc>
      </w:tr>
      <w:tr w:rsidR="00B13D65" w:rsidRPr="000203E1" w14:paraId="3B125269" w14:textId="77777777" w:rsidTr="00BE7489">
        <w:trPr>
          <w:trHeight w:val="378"/>
        </w:trPr>
        <w:tc>
          <w:tcPr>
            <w:tcW w:w="632" w:type="dxa"/>
          </w:tcPr>
          <w:p w14:paraId="0058E11F" w14:textId="3C0D7626" w:rsidR="00B13D65" w:rsidRPr="000203E1" w:rsidRDefault="00B13D65" w:rsidP="00164D64">
            <w:pPr>
              <w:rPr>
                <w:rFonts w:eastAsia="Arial"/>
              </w:rPr>
            </w:pPr>
            <w:r w:rsidRPr="000203E1">
              <w:rPr>
                <w:rFonts w:eastAsia="Arial"/>
              </w:rPr>
              <w:t>1.</w:t>
            </w:r>
            <w:r w:rsidR="00164D64">
              <w:rPr>
                <w:rFonts w:eastAsia="Arial"/>
              </w:rPr>
              <w:t>8</w:t>
            </w:r>
          </w:p>
        </w:tc>
        <w:tc>
          <w:tcPr>
            <w:tcW w:w="3694" w:type="dxa"/>
          </w:tcPr>
          <w:p w14:paraId="738E1926" w14:textId="77777777" w:rsidR="00B13D65" w:rsidRPr="000203E1" w:rsidRDefault="007656B2" w:rsidP="00824B92">
            <w:pPr>
              <w:rPr>
                <w:bCs/>
                <w:lang w:eastAsia="lt-LT"/>
              </w:rPr>
            </w:pPr>
            <w:r w:rsidRPr="000203E1">
              <w:rPr>
                <w:bCs/>
                <w:lang w:eastAsia="lt-LT"/>
              </w:rPr>
              <w:t>Pareiškėjo teikiamas p</w:t>
            </w:r>
            <w:r w:rsidR="00B13D65" w:rsidRPr="000203E1">
              <w:rPr>
                <w:bCs/>
                <w:lang w:eastAsia="lt-LT"/>
              </w:rPr>
              <w:t>alyginamasis</w:t>
            </w:r>
            <w:r w:rsidR="005B3756" w:rsidRPr="000203E1">
              <w:rPr>
                <w:bCs/>
                <w:lang w:eastAsia="lt-LT"/>
              </w:rPr>
              <w:t xml:space="preserve"> </w:t>
            </w:r>
            <w:r w:rsidR="00B13D65" w:rsidRPr="000203E1">
              <w:rPr>
                <w:bCs/>
                <w:lang w:eastAsia="lt-LT"/>
              </w:rPr>
              <w:t xml:space="preserve">gydymas </w:t>
            </w:r>
          </w:p>
          <w:p w14:paraId="61EC5BBD" w14:textId="7A8BD8B4" w:rsidR="009F4D66" w:rsidRPr="000203E1" w:rsidRDefault="009F4D66" w:rsidP="00824B92">
            <w:pPr>
              <w:rPr>
                <w:bCs/>
                <w:lang w:eastAsia="lt-LT"/>
              </w:rPr>
            </w:pPr>
          </w:p>
          <w:p w14:paraId="62057D94" w14:textId="77777777" w:rsidR="00413F24" w:rsidRPr="000203E1" w:rsidRDefault="00413F24" w:rsidP="00824B92">
            <w:pPr>
              <w:rPr>
                <w:bCs/>
                <w:lang w:eastAsia="lt-LT"/>
              </w:rPr>
            </w:pPr>
          </w:p>
          <w:p w14:paraId="6CC1022E" w14:textId="2B6BCEE1" w:rsidR="009F4D66" w:rsidRPr="000203E1" w:rsidRDefault="009F4D66" w:rsidP="00824B92">
            <w:pPr>
              <w:rPr>
                <w:bCs/>
                <w:lang w:eastAsia="lt-LT"/>
              </w:rPr>
            </w:pPr>
          </w:p>
        </w:tc>
        <w:tc>
          <w:tcPr>
            <w:tcW w:w="5167" w:type="dxa"/>
          </w:tcPr>
          <w:p w14:paraId="6153774E" w14:textId="77777777" w:rsidR="00C32FBD" w:rsidRDefault="00953856" w:rsidP="00824B92">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C32FBD">
                  <w:rPr>
                    <w:rStyle w:val="Style2"/>
                    <w:rFonts w:ascii="MS Gothic" w:eastAsia="MS Gothic" w:hAnsi="MS Gothic" w:hint="eastAsia"/>
                    <w:sz w:val="24"/>
                  </w:rPr>
                  <w:t>☒</w:t>
                </w:r>
              </w:sdtContent>
            </w:sdt>
            <w:r w:rsidR="009F4D66" w:rsidRPr="000203E1">
              <w:t xml:space="preserve"> Tinkamas</w:t>
            </w:r>
          </w:p>
          <w:p w14:paraId="1F113AC0" w14:textId="7E4DD02F" w:rsidR="009F4D66" w:rsidRDefault="00C32FBD" w:rsidP="00824B92">
            <w:r>
              <w:t>Stemplės karcinoma: 5 – fluoruracilo ir cisplatinos derinys;</w:t>
            </w:r>
          </w:p>
          <w:p w14:paraId="38144B44" w14:textId="782EF837" w:rsidR="00C32FBD" w:rsidRPr="000203E1" w:rsidRDefault="00C32FBD" w:rsidP="00824B92">
            <w:r>
              <w:t>Gastroezofaginės jungties adenokarcinoma: 5 – fluoruracilo/kapecitabino ir cisplatinos derinys.</w:t>
            </w:r>
          </w:p>
          <w:p w14:paraId="41B44044" w14:textId="2E791317" w:rsidR="00B13D65" w:rsidRPr="000203E1" w:rsidRDefault="00953856" w:rsidP="00824B9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C32FBD">
                  <w:rPr>
                    <w:rStyle w:val="Style2"/>
                    <w:rFonts w:ascii="MS Gothic" w:eastAsia="MS Gothic" w:hAnsi="MS Gothic" w:hint="eastAsia"/>
                    <w:sz w:val="24"/>
                  </w:rPr>
                  <w:t>☐</w:t>
                </w:r>
              </w:sdtContent>
            </w:sdt>
            <w:r w:rsidR="009F4D66" w:rsidRPr="000203E1">
              <w:t xml:space="preserve"> Netinkama</w:t>
            </w:r>
            <w:r w:rsidR="001B24C3">
              <w:t>s</w:t>
            </w:r>
          </w:p>
        </w:tc>
      </w:tr>
    </w:tbl>
    <w:p w14:paraId="108176F7" w14:textId="640C6F75" w:rsidR="00F70C9E" w:rsidRPr="000203E1" w:rsidRDefault="00F70C9E" w:rsidP="00E03C3F">
      <w:pPr>
        <w:pStyle w:val="ListParagraph"/>
        <w:tabs>
          <w:tab w:val="left" w:pos="426"/>
        </w:tabs>
        <w:ind w:left="0"/>
        <w:rPr>
          <w:b/>
          <w:bCs/>
          <w:caps/>
        </w:rPr>
      </w:pPr>
    </w:p>
    <w:p w14:paraId="2871CA7F" w14:textId="3B173597" w:rsidR="00F70C9E" w:rsidRPr="000203E1" w:rsidRDefault="00F70C9E" w:rsidP="00880A44">
      <w:pPr>
        <w:spacing w:line="276" w:lineRule="auto"/>
        <w:jc w:val="both"/>
        <w:rPr>
          <w:rFonts w:eastAsia="Arial"/>
          <w:b/>
        </w:rPr>
      </w:pPr>
      <w:r w:rsidRPr="000203E1">
        <w:rPr>
          <w:rFonts w:eastAsia="Arial"/>
          <w:b/>
        </w:rPr>
        <w:t>1.</w:t>
      </w:r>
      <w:r w:rsidR="00164D64">
        <w:rPr>
          <w:rFonts w:eastAsia="Arial"/>
          <w:b/>
        </w:rPr>
        <w:t>9</w:t>
      </w:r>
      <w:r w:rsidRPr="000203E1">
        <w:rPr>
          <w:rFonts w:eastAsia="Arial"/>
          <w:b/>
        </w:rPr>
        <w:t xml:space="preserve"> Kitų </w:t>
      </w:r>
      <w:r w:rsidR="00DF583C" w:rsidRPr="000203E1">
        <w:rPr>
          <w:rFonts w:eastAsia="Arial"/>
          <w:b/>
        </w:rPr>
        <w:t xml:space="preserve">valstybių </w:t>
      </w:r>
      <w:r w:rsidRPr="000203E1">
        <w:rPr>
          <w:rFonts w:eastAsia="Arial"/>
          <w:b/>
        </w:rPr>
        <w:t xml:space="preserve">atsakingų institucijų atlikto </w:t>
      </w:r>
      <w:r w:rsidR="00DF583C" w:rsidRPr="000203E1">
        <w:rPr>
          <w:rFonts w:eastAsia="Arial"/>
          <w:b/>
        </w:rPr>
        <w:t>Sveikatos technologijų vertinimo (toliau – STV)</w:t>
      </w:r>
      <w:r w:rsidRPr="000203E1">
        <w:rPr>
          <w:rFonts w:eastAsia="Arial"/>
          <w:b/>
        </w:rPr>
        <w:t xml:space="preserve"> išvados</w:t>
      </w:r>
    </w:p>
    <w:p w14:paraId="30721FDD" w14:textId="77777777" w:rsidR="00F70C9E" w:rsidRDefault="00F70C9E" w:rsidP="00F70C9E">
      <w:pPr>
        <w:spacing w:line="276" w:lineRule="auto"/>
        <w:rPr>
          <w:rFonts w:eastAsia="Arial"/>
        </w:rPr>
      </w:pPr>
    </w:p>
    <w:p w14:paraId="369509D5" w14:textId="77777777" w:rsidR="001B24C3" w:rsidRPr="001A5F98" w:rsidRDefault="001B24C3" w:rsidP="001B24C3">
      <w:pPr>
        <w:spacing w:line="276" w:lineRule="auto"/>
        <w:rPr>
          <w:rFonts w:eastAsia="Arial"/>
        </w:rPr>
      </w:pPr>
    </w:p>
    <w:tbl>
      <w:tblPr>
        <w:tblStyle w:val="TableGrid"/>
        <w:tblW w:w="9918" w:type="dxa"/>
        <w:tblLook w:val="04A0" w:firstRow="1" w:lastRow="0" w:firstColumn="1" w:lastColumn="0" w:noHBand="0" w:noVBand="1"/>
      </w:tblPr>
      <w:tblGrid>
        <w:gridCol w:w="2547"/>
        <w:gridCol w:w="1984"/>
        <w:gridCol w:w="2662"/>
        <w:gridCol w:w="2725"/>
      </w:tblGrid>
      <w:tr w:rsidR="00B06BCA" w:rsidRPr="00B06BCA" w14:paraId="0971E488" w14:textId="77777777" w:rsidTr="00B06BCA">
        <w:trPr>
          <w:trHeight w:val="254"/>
        </w:trPr>
        <w:tc>
          <w:tcPr>
            <w:tcW w:w="2547" w:type="dxa"/>
            <w:tcBorders>
              <w:top w:val="single" w:sz="4" w:space="0" w:color="auto"/>
              <w:left w:val="single" w:sz="4" w:space="0" w:color="auto"/>
              <w:bottom w:val="single" w:sz="4" w:space="0" w:color="auto"/>
              <w:right w:val="single" w:sz="4" w:space="0" w:color="auto"/>
            </w:tcBorders>
            <w:hideMark/>
          </w:tcPr>
          <w:p w14:paraId="19BF641F" w14:textId="77777777" w:rsidR="00B06BCA" w:rsidRPr="00B06BCA" w:rsidRDefault="00B06BCA" w:rsidP="00B06BCA">
            <w:pPr>
              <w:spacing w:line="276" w:lineRule="auto"/>
              <w:rPr>
                <w:rFonts w:eastAsia="Arial"/>
              </w:rPr>
            </w:pPr>
            <w:r w:rsidRPr="00B06BCA">
              <w:rPr>
                <w:rFonts w:eastAsia="Arial"/>
              </w:rPr>
              <w:t>STV agentūros pavadinimas, šalis</w:t>
            </w:r>
          </w:p>
        </w:tc>
        <w:tc>
          <w:tcPr>
            <w:tcW w:w="1984" w:type="dxa"/>
            <w:tcBorders>
              <w:top w:val="single" w:sz="4" w:space="0" w:color="auto"/>
              <w:left w:val="single" w:sz="4" w:space="0" w:color="auto"/>
              <w:bottom w:val="single" w:sz="4" w:space="0" w:color="auto"/>
              <w:right w:val="single" w:sz="4" w:space="0" w:color="auto"/>
            </w:tcBorders>
            <w:hideMark/>
          </w:tcPr>
          <w:p w14:paraId="5E70B31B" w14:textId="77777777" w:rsidR="00B06BCA" w:rsidRPr="00B06BCA" w:rsidRDefault="00B06BCA" w:rsidP="00B06BCA">
            <w:pPr>
              <w:spacing w:line="276" w:lineRule="auto"/>
              <w:rPr>
                <w:rFonts w:eastAsia="Arial"/>
              </w:rPr>
            </w:pPr>
            <w:r w:rsidRPr="00B06BCA">
              <w:rPr>
                <w:rFonts w:eastAsia="Arial"/>
              </w:rPr>
              <w:t>STV vertinimas atliktas</w:t>
            </w:r>
          </w:p>
        </w:tc>
        <w:tc>
          <w:tcPr>
            <w:tcW w:w="2662" w:type="dxa"/>
            <w:tcBorders>
              <w:top w:val="single" w:sz="4" w:space="0" w:color="auto"/>
              <w:left w:val="single" w:sz="4" w:space="0" w:color="auto"/>
              <w:bottom w:val="single" w:sz="4" w:space="0" w:color="auto"/>
              <w:right w:val="single" w:sz="4" w:space="0" w:color="auto"/>
            </w:tcBorders>
            <w:hideMark/>
          </w:tcPr>
          <w:p w14:paraId="2493F557" w14:textId="77777777" w:rsidR="00B06BCA" w:rsidRPr="00B06BCA" w:rsidRDefault="00B06BCA" w:rsidP="00B06BCA">
            <w:pPr>
              <w:spacing w:line="276" w:lineRule="auto"/>
              <w:rPr>
                <w:rFonts w:eastAsia="Arial"/>
              </w:rPr>
            </w:pPr>
            <w:r w:rsidRPr="00B06BCA">
              <w:rPr>
                <w:rFonts w:eastAsia="Arial"/>
              </w:rPr>
              <w:t>Klinikinio vertinimo išvada</w:t>
            </w:r>
          </w:p>
        </w:tc>
        <w:tc>
          <w:tcPr>
            <w:tcW w:w="2725" w:type="dxa"/>
            <w:tcBorders>
              <w:top w:val="single" w:sz="4" w:space="0" w:color="auto"/>
              <w:left w:val="single" w:sz="4" w:space="0" w:color="auto"/>
              <w:bottom w:val="single" w:sz="4" w:space="0" w:color="auto"/>
              <w:right w:val="single" w:sz="4" w:space="0" w:color="auto"/>
            </w:tcBorders>
            <w:hideMark/>
          </w:tcPr>
          <w:p w14:paraId="5B37DEF9" w14:textId="77777777" w:rsidR="00B06BCA" w:rsidRPr="00B06BCA" w:rsidRDefault="00B06BCA" w:rsidP="00B06BCA">
            <w:pPr>
              <w:spacing w:line="276" w:lineRule="auto"/>
              <w:rPr>
                <w:rFonts w:eastAsia="Arial"/>
              </w:rPr>
            </w:pPr>
            <w:r w:rsidRPr="00B06BCA">
              <w:rPr>
                <w:rFonts w:eastAsia="Arial"/>
              </w:rPr>
              <w:t>Farmakoekonominio vertinimo išvada</w:t>
            </w:r>
          </w:p>
        </w:tc>
      </w:tr>
      <w:tr w:rsidR="00B06BCA" w:rsidRPr="00B06BCA" w14:paraId="46090031" w14:textId="77777777" w:rsidTr="00B06BCA">
        <w:trPr>
          <w:trHeight w:val="1765"/>
        </w:trPr>
        <w:tc>
          <w:tcPr>
            <w:tcW w:w="2547" w:type="dxa"/>
            <w:tcBorders>
              <w:top w:val="single" w:sz="4" w:space="0" w:color="auto"/>
              <w:left w:val="single" w:sz="4" w:space="0" w:color="auto"/>
              <w:bottom w:val="single" w:sz="4" w:space="0" w:color="auto"/>
              <w:right w:val="single" w:sz="4" w:space="0" w:color="auto"/>
            </w:tcBorders>
            <w:hideMark/>
          </w:tcPr>
          <w:p w14:paraId="7158E25C" w14:textId="77777777" w:rsidR="00B06BCA" w:rsidRPr="00B06BCA" w:rsidRDefault="00B06BCA" w:rsidP="00B06BCA">
            <w:pPr>
              <w:spacing w:line="276" w:lineRule="auto"/>
              <w:rPr>
                <w:rFonts w:eastAsia="Arial"/>
                <w:bCs/>
              </w:rPr>
            </w:pPr>
            <w:r w:rsidRPr="00B06BCA">
              <w:rPr>
                <w:rFonts w:eastAsia="Arial"/>
                <w:bCs/>
              </w:rPr>
              <w:t>Nacionalinis sveikatos ir klinikinės kompetencijos institutas, Didžioji Britanija</w:t>
            </w:r>
          </w:p>
          <w:p w14:paraId="79F0E306" w14:textId="77777777" w:rsidR="00B06BCA" w:rsidRPr="00B06BCA" w:rsidRDefault="00B06BCA" w:rsidP="00B06BCA">
            <w:pPr>
              <w:spacing w:line="276" w:lineRule="auto"/>
              <w:rPr>
                <w:rFonts w:eastAsia="Arial"/>
              </w:rPr>
            </w:pPr>
            <w:r w:rsidRPr="00B06BCA">
              <w:rPr>
                <w:rFonts w:eastAsia="Arial"/>
              </w:rPr>
              <w:t xml:space="preserve">(angl. </w:t>
            </w:r>
            <w:r w:rsidRPr="00B06BCA">
              <w:rPr>
                <w:rFonts w:eastAsia="Arial"/>
                <w:i/>
              </w:rPr>
              <w:t>National Institute for Health and Care Excellence, NICE</w:t>
            </w:r>
            <w:r w:rsidRPr="00B06BCA">
              <w:rPr>
                <w:rFonts w:eastAsia="Arial"/>
              </w:rPr>
              <w:t>)</w:t>
            </w:r>
          </w:p>
        </w:tc>
        <w:tc>
          <w:tcPr>
            <w:tcW w:w="1984" w:type="dxa"/>
            <w:tcBorders>
              <w:top w:val="single" w:sz="4" w:space="0" w:color="auto"/>
              <w:left w:val="single" w:sz="4" w:space="0" w:color="auto"/>
              <w:bottom w:val="single" w:sz="4" w:space="0" w:color="auto"/>
              <w:right w:val="single" w:sz="4" w:space="0" w:color="auto"/>
            </w:tcBorders>
            <w:hideMark/>
          </w:tcPr>
          <w:p w14:paraId="294243E8" w14:textId="77777777" w:rsidR="00B06BCA" w:rsidRPr="00B06BCA" w:rsidRDefault="00953856" w:rsidP="00B06BCA">
            <w:pPr>
              <w:spacing w:line="276" w:lineRule="auto"/>
              <w:rPr>
                <w:rFonts w:eastAsia="Arial"/>
              </w:rPr>
            </w:pPr>
            <w:sdt>
              <w:sdtPr>
                <w:rPr>
                  <w:rFonts w:eastAsia="Arial"/>
                </w:rPr>
                <w:id w:val="1558205022"/>
                <w14:checkbox>
                  <w14:checked w14:val="1"/>
                  <w14:checkedState w14:val="2612" w14:font="MS Gothic"/>
                  <w14:uncheckedState w14:val="2610" w14:font="MS Gothic"/>
                </w14:checkbox>
              </w:sdtPr>
              <w:sdtEndPr/>
              <w:sdtContent>
                <w:r w:rsidR="00B06BCA" w:rsidRPr="00B06BCA">
                  <w:rPr>
                    <w:rFonts w:ascii="Segoe UI Symbol" w:eastAsia="Arial" w:hAnsi="Segoe UI Symbol" w:cs="Segoe UI Symbol"/>
                  </w:rPr>
                  <w:t>☒</w:t>
                </w:r>
              </w:sdtContent>
            </w:sdt>
            <w:r w:rsidR="00B06BCA" w:rsidRPr="00B06BCA">
              <w:rPr>
                <w:rFonts w:eastAsia="Arial"/>
              </w:rPr>
              <w:t xml:space="preserve"> Taip</w:t>
            </w:r>
          </w:p>
          <w:p w14:paraId="6E33F651" w14:textId="77777777" w:rsidR="00B06BCA" w:rsidRPr="00B06BCA" w:rsidRDefault="00953856" w:rsidP="00B06BCA">
            <w:pPr>
              <w:spacing w:line="276" w:lineRule="auto"/>
              <w:rPr>
                <w:rFonts w:eastAsia="Arial"/>
              </w:rPr>
            </w:pPr>
            <w:sdt>
              <w:sdtPr>
                <w:rPr>
                  <w:rFonts w:eastAsia="Arial"/>
                </w:rPr>
                <w:id w:val="866029625"/>
                <w14:checkbox>
                  <w14:checked w14:val="0"/>
                  <w14:checkedState w14:val="2612" w14:font="MS Gothic"/>
                  <w14:uncheckedState w14:val="2610" w14:font="MS Gothic"/>
                </w14:checkbox>
              </w:sdtPr>
              <w:sdtEndPr/>
              <w:sdtContent>
                <w:r w:rsidR="00B06BCA" w:rsidRPr="00B06BCA">
                  <w:rPr>
                    <w:rFonts w:ascii="Segoe UI Symbol" w:eastAsia="Arial" w:hAnsi="Segoe UI Symbol" w:cs="Segoe UI Symbol"/>
                  </w:rPr>
                  <w:t>☐</w:t>
                </w:r>
              </w:sdtContent>
            </w:sdt>
            <w:r w:rsidR="00B06BCA" w:rsidRPr="00B06BCA">
              <w:rPr>
                <w:rFonts w:eastAsia="Arial"/>
              </w:rPr>
              <w:t xml:space="preserve"> Ne</w:t>
            </w:r>
          </w:p>
          <w:p w14:paraId="5A7D75DD" w14:textId="77777777" w:rsidR="00B06BCA" w:rsidRPr="00B06BCA" w:rsidRDefault="00953856" w:rsidP="00B06BCA">
            <w:pPr>
              <w:spacing w:line="276" w:lineRule="auto"/>
              <w:rPr>
                <w:rFonts w:eastAsia="Arial"/>
              </w:rPr>
            </w:pPr>
            <w:sdt>
              <w:sdtPr>
                <w:rPr>
                  <w:rFonts w:eastAsia="Arial"/>
                </w:rPr>
                <w:alias w:val="Nurodykite konkrečią dieną"/>
                <w:tag w:val="Nurodykite pradžios datą"/>
                <w:id w:val="922837954"/>
                <w:placeholder>
                  <w:docPart w:val="8BEAE86926B842BDB7D94B386D8D9D17"/>
                </w:placeholder>
                <w:date>
                  <w:dateFormat w:val="yyyy 'm.' MMMM d 'd.'"/>
                  <w:lid w:val="lt-LT"/>
                  <w:storeMappedDataAs w:val="dateTime"/>
                  <w:calendar w:val="gregorian"/>
                </w:date>
              </w:sdtPr>
              <w:sdtEndPr/>
              <w:sdtContent>
                <w:r w:rsidR="00B06BCA" w:rsidRPr="00B06BCA">
                  <w:rPr>
                    <w:rFonts w:eastAsia="Arial"/>
                  </w:rPr>
                  <w:t>2021 m. spalio 20 d.</w:t>
                </w:r>
              </w:sdtContent>
            </w:sdt>
          </w:p>
        </w:tc>
        <w:tc>
          <w:tcPr>
            <w:tcW w:w="5387" w:type="dxa"/>
            <w:gridSpan w:val="2"/>
            <w:tcBorders>
              <w:top w:val="single" w:sz="4" w:space="0" w:color="auto"/>
              <w:left w:val="single" w:sz="4" w:space="0" w:color="auto"/>
              <w:bottom w:val="single" w:sz="4" w:space="0" w:color="auto"/>
              <w:right w:val="single" w:sz="4" w:space="0" w:color="auto"/>
            </w:tcBorders>
            <w:hideMark/>
          </w:tcPr>
          <w:p w14:paraId="1A1F839E" w14:textId="77777777" w:rsidR="00B06BCA" w:rsidRPr="00B06BCA" w:rsidRDefault="00B06BCA" w:rsidP="00B06BCA">
            <w:pPr>
              <w:spacing w:line="276" w:lineRule="auto"/>
              <w:rPr>
                <w:rFonts w:eastAsia="Arial"/>
              </w:rPr>
            </w:pPr>
            <w:r w:rsidRPr="00B06BCA">
              <w:rPr>
                <w:rFonts w:eastAsia="Arial"/>
              </w:rPr>
              <w:t>Rekomenduojama kompensuoti pagal komercinį susitarimą derinyje su chemoterapija platinos vaistiniais preparatais ir fluoropirimidinu vietiškai išplitusios nerezekuotinos ar metastazavusios stemplės karcinomos arba HER-2 neigiamos gastroezofaginės jungties adenokarcinomos pirmaeiliam gydymui suaugusiesiems, kurių navikai ekspresuoja PD-L1 ir CPS rodmuo yra ≥ 10.</w:t>
            </w:r>
          </w:p>
        </w:tc>
      </w:tr>
      <w:tr w:rsidR="00B06BCA" w:rsidRPr="00B06BCA" w14:paraId="15837108" w14:textId="77777777" w:rsidTr="00B06BCA">
        <w:trPr>
          <w:trHeight w:val="275"/>
        </w:trPr>
        <w:tc>
          <w:tcPr>
            <w:tcW w:w="2547" w:type="dxa"/>
            <w:tcBorders>
              <w:top w:val="single" w:sz="4" w:space="0" w:color="auto"/>
              <w:left w:val="single" w:sz="4" w:space="0" w:color="auto"/>
              <w:bottom w:val="single" w:sz="4" w:space="0" w:color="auto"/>
              <w:right w:val="single" w:sz="4" w:space="0" w:color="auto"/>
            </w:tcBorders>
            <w:hideMark/>
          </w:tcPr>
          <w:p w14:paraId="62592FB1" w14:textId="77777777" w:rsidR="00B06BCA" w:rsidRPr="00B06BCA" w:rsidRDefault="00B06BCA" w:rsidP="00B06BCA">
            <w:pPr>
              <w:spacing w:line="276" w:lineRule="auto"/>
              <w:rPr>
                <w:rFonts w:eastAsia="Arial"/>
              </w:rPr>
            </w:pPr>
            <w:r w:rsidRPr="00B06BCA">
              <w:rPr>
                <w:rFonts w:eastAsia="Arial"/>
              </w:rPr>
              <w:t>Kanados sveikatos technologijų agentūra</w:t>
            </w:r>
          </w:p>
          <w:p w14:paraId="1287759E" w14:textId="77777777" w:rsidR="00B06BCA" w:rsidRPr="00B06BCA" w:rsidRDefault="00B06BCA" w:rsidP="00B06BCA">
            <w:pPr>
              <w:spacing w:line="276" w:lineRule="auto"/>
              <w:rPr>
                <w:rFonts w:eastAsia="Arial"/>
              </w:rPr>
            </w:pPr>
            <w:r w:rsidRPr="00B06BCA">
              <w:rPr>
                <w:rFonts w:eastAsia="Arial"/>
              </w:rPr>
              <w:t xml:space="preserve">(angl. </w:t>
            </w:r>
            <w:r w:rsidRPr="00B06BCA">
              <w:rPr>
                <w:rFonts w:eastAsia="Arial"/>
                <w:i/>
              </w:rPr>
              <w:t>Canadian health Technology Assessment agency, CADTH</w:t>
            </w:r>
            <w:r w:rsidRPr="00B06BCA">
              <w:rPr>
                <w:rFonts w:eastAsia="Arial"/>
              </w:rPr>
              <w:t>)</w:t>
            </w:r>
          </w:p>
        </w:tc>
        <w:tc>
          <w:tcPr>
            <w:tcW w:w="1984" w:type="dxa"/>
            <w:tcBorders>
              <w:top w:val="single" w:sz="4" w:space="0" w:color="auto"/>
              <w:left w:val="single" w:sz="4" w:space="0" w:color="auto"/>
              <w:bottom w:val="single" w:sz="4" w:space="0" w:color="auto"/>
              <w:right w:val="single" w:sz="4" w:space="0" w:color="auto"/>
            </w:tcBorders>
            <w:hideMark/>
          </w:tcPr>
          <w:p w14:paraId="71B7D97B" w14:textId="77777777" w:rsidR="00B06BCA" w:rsidRPr="00B06BCA" w:rsidRDefault="00953856" w:rsidP="00B06BCA">
            <w:pPr>
              <w:spacing w:line="276" w:lineRule="auto"/>
              <w:rPr>
                <w:rFonts w:eastAsia="Arial"/>
              </w:rPr>
            </w:pPr>
            <w:sdt>
              <w:sdtPr>
                <w:rPr>
                  <w:rFonts w:eastAsia="Arial"/>
                </w:rPr>
                <w:id w:val="-372539057"/>
                <w14:checkbox>
                  <w14:checked w14:val="1"/>
                  <w14:checkedState w14:val="2612" w14:font="MS Gothic"/>
                  <w14:uncheckedState w14:val="2610" w14:font="MS Gothic"/>
                </w14:checkbox>
              </w:sdtPr>
              <w:sdtEndPr/>
              <w:sdtContent>
                <w:r w:rsidR="00B06BCA" w:rsidRPr="00B06BCA">
                  <w:rPr>
                    <w:rFonts w:ascii="Segoe UI Symbol" w:eastAsia="Arial" w:hAnsi="Segoe UI Symbol" w:cs="Segoe UI Symbol"/>
                  </w:rPr>
                  <w:t>☒</w:t>
                </w:r>
              </w:sdtContent>
            </w:sdt>
            <w:r w:rsidR="00B06BCA" w:rsidRPr="00B06BCA">
              <w:rPr>
                <w:rFonts w:eastAsia="Arial"/>
              </w:rPr>
              <w:t xml:space="preserve"> Taip</w:t>
            </w:r>
          </w:p>
          <w:p w14:paraId="351F2E88" w14:textId="77777777" w:rsidR="00B06BCA" w:rsidRPr="00B06BCA" w:rsidRDefault="00953856" w:rsidP="00B06BCA">
            <w:pPr>
              <w:spacing w:line="276" w:lineRule="auto"/>
              <w:rPr>
                <w:rFonts w:eastAsia="Arial"/>
              </w:rPr>
            </w:pPr>
            <w:sdt>
              <w:sdtPr>
                <w:rPr>
                  <w:rFonts w:eastAsia="Arial"/>
                </w:rPr>
                <w:id w:val="594442222"/>
                <w14:checkbox>
                  <w14:checked w14:val="0"/>
                  <w14:checkedState w14:val="2612" w14:font="MS Gothic"/>
                  <w14:uncheckedState w14:val="2610" w14:font="MS Gothic"/>
                </w14:checkbox>
              </w:sdtPr>
              <w:sdtEndPr/>
              <w:sdtContent>
                <w:r w:rsidR="00B06BCA" w:rsidRPr="00B06BCA">
                  <w:rPr>
                    <w:rFonts w:ascii="Segoe UI Symbol" w:eastAsia="Arial" w:hAnsi="Segoe UI Symbol" w:cs="Segoe UI Symbol"/>
                  </w:rPr>
                  <w:t>☐</w:t>
                </w:r>
              </w:sdtContent>
            </w:sdt>
            <w:r w:rsidR="00B06BCA" w:rsidRPr="00B06BCA">
              <w:rPr>
                <w:rFonts w:eastAsia="Arial"/>
              </w:rPr>
              <w:t xml:space="preserve"> Ne</w:t>
            </w:r>
          </w:p>
          <w:p w14:paraId="0848F226" w14:textId="77777777" w:rsidR="00B06BCA" w:rsidRPr="00B06BCA" w:rsidRDefault="00953856" w:rsidP="00B06BCA">
            <w:pPr>
              <w:spacing w:line="276" w:lineRule="auto"/>
              <w:rPr>
                <w:rFonts w:eastAsia="Arial"/>
              </w:rPr>
            </w:pPr>
            <w:sdt>
              <w:sdtPr>
                <w:rPr>
                  <w:rFonts w:eastAsia="Arial"/>
                </w:rPr>
                <w:alias w:val="Nurodykite konkrečią dieną"/>
                <w:tag w:val="Nurodykite pradžios datą"/>
                <w:id w:val="1072468416"/>
                <w:placeholder>
                  <w:docPart w:val="B4712F61389A4B03B903A3BC98D33CED"/>
                </w:placeholder>
                <w:date>
                  <w:dateFormat w:val="yyyy 'm.' MMMM d 'd.'"/>
                  <w:lid w:val="lt-LT"/>
                  <w:storeMappedDataAs w:val="dateTime"/>
                  <w:calendar w:val="gregorian"/>
                </w:date>
              </w:sdtPr>
              <w:sdtEndPr/>
              <w:sdtContent>
                <w:r w:rsidR="00B06BCA" w:rsidRPr="00B06BCA">
                  <w:rPr>
                    <w:rFonts w:eastAsia="Arial"/>
                  </w:rPr>
                  <w:t>2021 m. gruodžio 20 d.</w:t>
                </w:r>
              </w:sdtContent>
            </w:sdt>
          </w:p>
        </w:tc>
        <w:tc>
          <w:tcPr>
            <w:tcW w:w="5387" w:type="dxa"/>
            <w:gridSpan w:val="2"/>
            <w:tcBorders>
              <w:top w:val="single" w:sz="4" w:space="0" w:color="auto"/>
              <w:left w:val="single" w:sz="4" w:space="0" w:color="auto"/>
              <w:bottom w:val="single" w:sz="4" w:space="0" w:color="auto"/>
              <w:right w:val="single" w:sz="4" w:space="0" w:color="auto"/>
            </w:tcBorders>
            <w:hideMark/>
          </w:tcPr>
          <w:p w14:paraId="717E4E01" w14:textId="77777777" w:rsidR="00B06BCA" w:rsidRPr="00B06BCA" w:rsidRDefault="00B06BCA" w:rsidP="00B06BCA">
            <w:pPr>
              <w:spacing w:line="276" w:lineRule="auto"/>
              <w:rPr>
                <w:rFonts w:eastAsia="Arial"/>
              </w:rPr>
            </w:pPr>
            <w:r w:rsidRPr="00B06BCA">
              <w:rPr>
                <w:rFonts w:eastAsia="Arial"/>
              </w:rPr>
              <w:t>Rekomenduojama kompensuoti sumažinus kainą derinyje su chemoterapija platinos vaistiniais preparatais ir fluoropirimidinu vietiškai išplitusios nerezekuotinos ar metastazavusios stemplės karcinomos arba 1 tipo pagal Siewert HER-2 neigiamos gastroezofaginės jungties adenokarcinomos pirmaeiliam gydymui geros funkcinės būklės (ECOG 0 ar 1) suaugusiesiems, kurių navikai ekspresuoja PD-L1 ir CPS rodmuo yra ≥ 10.</w:t>
            </w:r>
          </w:p>
        </w:tc>
      </w:tr>
      <w:tr w:rsidR="00B06BCA" w:rsidRPr="00B06BCA" w14:paraId="0650DE4D" w14:textId="77777777" w:rsidTr="00B06BCA">
        <w:trPr>
          <w:trHeight w:val="132"/>
        </w:trPr>
        <w:tc>
          <w:tcPr>
            <w:tcW w:w="2547" w:type="dxa"/>
            <w:tcBorders>
              <w:top w:val="single" w:sz="4" w:space="0" w:color="auto"/>
              <w:left w:val="single" w:sz="4" w:space="0" w:color="auto"/>
              <w:bottom w:val="single" w:sz="4" w:space="0" w:color="auto"/>
              <w:right w:val="single" w:sz="4" w:space="0" w:color="auto"/>
            </w:tcBorders>
            <w:hideMark/>
          </w:tcPr>
          <w:p w14:paraId="6E93EC56" w14:textId="77777777" w:rsidR="00B06BCA" w:rsidRPr="00B06BCA" w:rsidRDefault="00B06BCA" w:rsidP="00B06BCA">
            <w:pPr>
              <w:spacing w:line="276" w:lineRule="auto"/>
              <w:rPr>
                <w:rFonts w:eastAsia="Arial"/>
              </w:rPr>
            </w:pPr>
            <w:r w:rsidRPr="00B06BCA">
              <w:rPr>
                <w:rFonts w:eastAsia="Arial"/>
              </w:rPr>
              <w:t>Nacionalinis farmakoekonomikos centras, Airija</w:t>
            </w:r>
          </w:p>
          <w:p w14:paraId="3BDE946E" w14:textId="77777777" w:rsidR="00B06BCA" w:rsidRPr="00B06BCA" w:rsidRDefault="00B06BCA" w:rsidP="00B06BCA">
            <w:pPr>
              <w:spacing w:line="276" w:lineRule="auto"/>
              <w:rPr>
                <w:rFonts w:eastAsia="Arial"/>
              </w:rPr>
            </w:pPr>
            <w:r w:rsidRPr="00B06BCA">
              <w:rPr>
                <w:rFonts w:eastAsia="Arial"/>
              </w:rPr>
              <w:t>(angl.</w:t>
            </w:r>
            <w:r w:rsidRPr="00B06BCA">
              <w:rPr>
                <w:rFonts w:eastAsia="Arial"/>
                <w:i/>
              </w:rPr>
              <w:t xml:space="preserve"> National Centre for Pharmacoeconomics, NCPE</w:t>
            </w:r>
            <w:r w:rsidRPr="00B06BCA">
              <w:rPr>
                <w:rFonts w:eastAsia="Arial"/>
              </w:rPr>
              <w:t>)</w:t>
            </w:r>
          </w:p>
        </w:tc>
        <w:tc>
          <w:tcPr>
            <w:tcW w:w="1984" w:type="dxa"/>
            <w:tcBorders>
              <w:top w:val="single" w:sz="4" w:space="0" w:color="auto"/>
              <w:left w:val="single" w:sz="4" w:space="0" w:color="auto"/>
              <w:bottom w:val="single" w:sz="4" w:space="0" w:color="auto"/>
              <w:right w:val="single" w:sz="4" w:space="0" w:color="auto"/>
            </w:tcBorders>
            <w:hideMark/>
          </w:tcPr>
          <w:p w14:paraId="64F11D18" w14:textId="77777777" w:rsidR="00B06BCA" w:rsidRPr="00B06BCA" w:rsidRDefault="00953856" w:rsidP="00B06BCA">
            <w:pPr>
              <w:spacing w:line="276" w:lineRule="auto"/>
              <w:rPr>
                <w:rFonts w:eastAsia="Arial"/>
              </w:rPr>
            </w:pPr>
            <w:sdt>
              <w:sdtPr>
                <w:rPr>
                  <w:rFonts w:eastAsia="Arial"/>
                </w:rPr>
                <w:id w:val="-1888403732"/>
                <w14:checkbox>
                  <w14:checked w14:val="1"/>
                  <w14:checkedState w14:val="2612" w14:font="MS Gothic"/>
                  <w14:uncheckedState w14:val="2610" w14:font="MS Gothic"/>
                </w14:checkbox>
              </w:sdtPr>
              <w:sdtEndPr/>
              <w:sdtContent>
                <w:r w:rsidR="00B06BCA" w:rsidRPr="00B06BCA">
                  <w:rPr>
                    <w:rFonts w:ascii="Segoe UI Symbol" w:eastAsia="Arial" w:hAnsi="Segoe UI Symbol" w:cs="Segoe UI Symbol"/>
                  </w:rPr>
                  <w:t>☒</w:t>
                </w:r>
              </w:sdtContent>
            </w:sdt>
            <w:r w:rsidR="00B06BCA" w:rsidRPr="00B06BCA">
              <w:rPr>
                <w:rFonts w:eastAsia="Arial"/>
              </w:rPr>
              <w:t xml:space="preserve"> Taip</w:t>
            </w:r>
          </w:p>
          <w:p w14:paraId="10F61975" w14:textId="77777777" w:rsidR="00B06BCA" w:rsidRPr="00B06BCA" w:rsidRDefault="00953856" w:rsidP="00B06BCA">
            <w:pPr>
              <w:spacing w:line="276" w:lineRule="auto"/>
              <w:rPr>
                <w:rFonts w:eastAsia="Arial"/>
              </w:rPr>
            </w:pPr>
            <w:sdt>
              <w:sdtPr>
                <w:rPr>
                  <w:rFonts w:eastAsia="Arial"/>
                </w:rPr>
                <w:id w:val="1092201793"/>
                <w14:checkbox>
                  <w14:checked w14:val="0"/>
                  <w14:checkedState w14:val="2612" w14:font="MS Gothic"/>
                  <w14:uncheckedState w14:val="2610" w14:font="MS Gothic"/>
                </w14:checkbox>
              </w:sdtPr>
              <w:sdtEndPr/>
              <w:sdtContent>
                <w:r w:rsidR="00B06BCA" w:rsidRPr="00B06BCA">
                  <w:rPr>
                    <w:rFonts w:ascii="Segoe UI Symbol" w:eastAsia="Arial" w:hAnsi="Segoe UI Symbol" w:cs="Segoe UI Symbol"/>
                  </w:rPr>
                  <w:t>☐</w:t>
                </w:r>
              </w:sdtContent>
            </w:sdt>
            <w:r w:rsidR="00B06BCA" w:rsidRPr="00B06BCA">
              <w:rPr>
                <w:rFonts w:eastAsia="Arial"/>
              </w:rPr>
              <w:t xml:space="preserve"> Ne</w:t>
            </w:r>
          </w:p>
          <w:p w14:paraId="4C3B5B05" w14:textId="77777777" w:rsidR="00B06BCA" w:rsidRPr="00B06BCA" w:rsidRDefault="00953856" w:rsidP="00B06BCA">
            <w:pPr>
              <w:spacing w:line="276" w:lineRule="auto"/>
              <w:rPr>
                <w:rFonts w:eastAsia="Arial"/>
              </w:rPr>
            </w:pPr>
            <w:sdt>
              <w:sdtPr>
                <w:rPr>
                  <w:rFonts w:eastAsia="Arial"/>
                </w:rPr>
                <w:alias w:val="Nurodykite konkrečią dieną"/>
                <w:tag w:val="Nurodykite pradžios datą"/>
                <w:id w:val="-198323198"/>
                <w:placeholder>
                  <w:docPart w:val="726351A16202426B8A4A3462F7198E37"/>
                </w:placeholder>
                <w:date>
                  <w:dateFormat w:val="yyyy 'm.' MMMM d 'd.'"/>
                  <w:lid w:val="lt-LT"/>
                  <w:storeMappedDataAs w:val="dateTime"/>
                  <w:calendar w:val="gregorian"/>
                </w:date>
              </w:sdtPr>
              <w:sdtEndPr/>
              <w:sdtContent>
                <w:r w:rsidR="00B06BCA" w:rsidRPr="00B06BCA">
                  <w:rPr>
                    <w:rFonts w:eastAsia="Arial"/>
                  </w:rPr>
                  <w:t>2021 m. rugpjūčio 5 d.</w:t>
                </w:r>
              </w:sdtContent>
            </w:sdt>
          </w:p>
        </w:tc>
        <w:tc>
          <w:tcPr>
            <w:tcW w:w="5387" w:type="dxa"/>
            <w:gridSpan w:val="2"/>
            <w:tcBorders>
              <w:top w:val="single" w:sz="4" w:space="0" w:color="auto"/>
              <w:left w:val="single" w:sz="4" w:space="0" w:color="auto"/>
              <w:bottom w:val="single" w:sz="4" w:space="0" w:color="auto"/>
              <w:right w:val="single" w:sz="4" w:space="0" w:color="auto"/>
            </w:tcBorders>
            <w:hideMark/>
          </w:tcPr>
          <w:p w14:paraId="1C1FAD87" w14:textId="77777777" w:rsidR="00B06BCA" w:rsidRPr="00B06BCA" w:rsidRDefault="00B06BCA" w:rsidP="00B06BCA">
            <w:pPr>
              <w:spacing w:line="276" w:lineRule="auto"/>
              <w:rPr>
                <w:rFonts w:eastAsia="Arial"/>
              </w:rPr>
            </w:pPr>
            <w:r w:rsidRPr="00B06BCA">
              <w:rPr>
                <w:rFonts w:eastAsia="Arial"/>
              </w:rPr>
              <w:t>Rekomenduojama kompensuoti pagal komercinį susitarimą (teigiamas sprendimas priimtas 2023 m. po konfidencialių derybų dėl kainos) derinyje su chemoterapija platinos vaistiniais preparatais ir fluoropirimidinu vietiškai išplitusios nerezekuotinos ar metastazavusios stemplės karcinomos arba HER-2 neigiamos gastroezofaginės jungties adenokarcinomos pirmaeiliam gydymui suaugusiesiems, kurių navikai ekspresuoja PD-L1 ir CPS rodmuo yra ≥ 10.</w:t>
            </w:r>
          </w:p>
        </w:tc>
      </w:tr>
    </w:tbl>
    <w:p w14:paraId="0B72290B" w14:textId="77777777" w:rsidR="00670980" w:rsidRDefault="00670980">
      <w:pPr>
        <w:rPr>
          <w:b/>
          <w:bCs/>
          <w:caps/>
        </w:rPr>
      </w:pPr>
    </w:p>
    <w:p w14:paraId="26104454" w14:textId="689D7199" w:rsidR="00545677" w:rsidRDefault="00545677">
      <w:pPr>
        <w:rPr>
          <w:b/>
          <w:bCs/>
          <w:caps/>
        </w:rPr>
      </w:pPr>
      <w:r>
        <w:rPr>
          <w:b/>
          <w:bCs/>
          <w:caps/>
        </w:rPr>
        <w:br w:type="page"/>
      </w:r>
    </w:p>
    <w:p w14:paraId="5055E8A8" w14:textId="471A9757" w:rsidR="002E6F80" w:rsidRPr="000203E1" w:rsidRDefault="00CC7832" w:rsidP="00CC09D4">
      <w:pPr>
        <w:pStyle w:val="ListParagraph"/>
        <w:numPr>
          <w:ilvl w:val="0"/>
          <w:numId w:val="12"/>
        </w:numPr>
        <w:tabs>
          <w:tab w:val="left" w:pos="567"/>
        </w:tabs>
        <w:ind w:hanging="720"/>
        <w:rPr>
          <w:b/>
          <w:bCs/>
          <w:caps/>
        </w:rPr>
      </w:pPr>
      <w:r w:rsidRPr="000203E1">
        <w:rPr>
          <w:b/>
          <w:bCs/>
          <w:caps/>
        </w:rPr>
        <w:lastRenderedPageBreak/>
        <w:t>Klinikinio vertinimo a</w:t>
      </w:r>
      <w:r w:rsidR="00D4485B" w:rsidRPr="000203E1">
        <w:rPr>
          <w:b/>
          <w:bCs/>
          <w:caps/>
        </w:rPr>
        <w:t>pibendrinimas</w:t>
      </w:r>
    </w:p>
    <w:p w14:paraId="4E9649FE" w14:textId="77777777" w:rsidR="0035017A" w:rsidRDefault="0035017A" w:rsidP="00A93AA6">
      <w:pPr>
        <w:pStyle w:val="ListParagraph"/>
        <w:tabs>
          <w:tab w:val="left" w:pos="426"/>
        </w:tabs>
        <w:ind w:left="0"/>
        <w:rPr>
          <w:b/>
          <w:bCs/>
          <w:caps/>
        </w:rPr>
      </w:pPr>
    </w:p>
    <w:p w14:paraId="2F815B2D" w14:textId="77777777" w:rsidR="007A08EE" w:rsidRPr="007A08EE" w:rsidRDefault="007A08EE" w:rsidP="007A08EE">
      <w:pPr>
        <w:spacing w:line="276" w:lineRule="auto"/>
        <w:ind w:right="10" w:firstLine="720"/>
        <w:jc w:val="both"/>
        <w:outlineLvl w:val="0"/>
        <w:rPr>
          <w:rFonts w:eastAsia="Arial"/>
          <w:iCs/>
        </w:rPr>
      </w:pPr>
      <w:r w:rsidRPr="007A08EE">
        <w:rPr>
          <w:rFonts w:eastAsia="Arial"/>
          <w:iCs/>
        </w:rPr>
        <w:t>Stemplės vėžys – septintas dažniausiai nustatomas onkologinis susirgimas ir šešta dažniausia mirties nuo onkologinės ligos priežastis pasaulyje. Išskiriami du pagrindiniai stemplės vėžio tipai – plokščiųjų ląstelių karcinoma ir adenokarcinoma. Šiaurės Amerikoje ir Europoje vyrauja stemplės adenokarcinomos atvejai, kurie susiję su gastroezofaginio refliukso liga ir nutukimu. Vyrai serga tris kartus dažniausiai ne moterys. Sergant stemplės vėžiu, prognozė bloga: 5 metų išgyvenamumas nesiekia 20%, nes liga ankstyvojoje jos fazėje dažniausiai yra asimptomė ir nustatoma jau vėlyvoje fazėje.</w:t>
      </w:r>
    </w:p>
    <w:p w14:paraId="109389AB" w14:textId="1A8BD762" w:rsidR="007A08EE" w:rsidRPr="007A08EE" w:rsidRDefault="007A08EE" w:rsidP="007A08EE">
      <w:pPr>
        <w:spacing w:line="276" w:lineRule="auto"/>
        <w:ind w:right="10" w:firstLine="720"/>
        <w:jc w:val="both"/>
        <w:outlineLvl w:val="0"/>
        <w:rPr>
          <w:rFonts w:eastAsia="Arial"/>
          <w:iCs/>
        </w:rPr>
      </w:pPr>
      <w:r w:rsidRPr="007A08EE">
        <w:rPr>
          <w:rFonts w:eastAsia="Arial"/>
          <w:iCs/>
        </w:rPr>
        <w:t xml:space="preserve">Lietuvoje sveikatos apsaugos ministro patvirtintas stemplės vėžio gydymo kompensuojamaisiais vaistais tvarkos aprašas išpublikuotas 2014 m. Lietuvos Nacionalinio vėžio institute dirbantys onkologai chemoterapeutai pateikė aprašui neprieštaraujančią informaciją, jog stemplės vėžio ir GEJ adenokarcinomos gydymui dažniausiai naudojama schema yra cisplatinos ir 5-FU derinys (80% atvejų), GEJ adenokarcinomos dar gydomos cisplatinos ir kapecitabino (15%) arba 5-FU, oksaliplatinos ir leukovorino (FOLFOX, 5%) deriniais. 2022 m. ESMO diagnostikos ir gydymo gairėse nustačius vietiškai išplitusią nerezekuotiną ar metastazavusią stemplės plokščiųjų ląstelių karcinomai, kuri ekspresuoja PD-L1 (angl. </w:t>
      </w:r>
      <w:r w:rsidRPr="007A08EE">
        <w:rPr>
          <w:rFonts w:eastAsia="Arial"/>
          <w:i/>
          <w:iCs/>
        </w:rPr>
        <w:t>Programmed death-ligand 1</w:t>
      </w:r>
      <w:r w:rsidRPr="007A08EE">
        <w:rPr>
          <w:rFonts w:eastAsia="Arial"/>
          <w:iCs/>
        </w:rPr>
        <w:t xml:space="preserve">) ir CPS (angl. </w:t>
      </w:r>
      <w:r w:rsidRPr="007A08EE">
        <w:rPr>
          <w:rFonts w:eastAsia="Arial"/>
          <w:i/>
          <w:iCs/>
        </w:rPr>
        <w:t>Combined positive score</w:t>
      </w:r>
      <w:r w:rsidRPr="007A08EE">
        <w:rPr>
          <w:rFonts w:eastAsia="Arial"/>
          <w:iCs/>
        </w:rPr>
        <w:t>) rodmuo yra ≥ 10, pirmos eilės gydymui rekomenduojamas pembrolizumabo, platinos ir fluoropirimidino derinys (IA rekomendacija). Esant išplitusiai nerezekuotinai ar metastazavusiai stemplės ar GEJ adenokarcinomai, pirmos eilės gydymuikomenduojami platinos ir fluoropirimidino vaistiniai preparatai (IA rekomendacija). Esant navikų PD-L1 ekspresijai ir CPS rodmuo yra ≥ 10, galima pridėti pembrolizumabą (IIA rekomendacija).</w:t>
      </w:r>
    </w:p>
    <w:p w14:paraId="07152111" w14:textId="36B0E0E4" w:rsidR="007A08EE" w:rsidRPr="007A08EE" w:rsidRDefault="007A08EE" w:rsidP="007A08EE">
      <w:pPr>
        <w:spacing w:line="276" w:lineRule="auto"/>
        <w:ind w:right="10" w:firstLine="720"/>
        <w:jc w:val="both"/>
        <w:outlineLvl w:val="0"/>
        <w:rPr>
          <w:rFonts w:eastAsia="Arial"/>
          <w:iCs/>
        </w:rPr>
      </w:pPr>
      <w:r w:rsidRPr="007A08EE">
        <w:rPr>
          <w:rFonts w:eastAsia="Arial"/>
          <w:iCs/>
        </w:rPr>
        <w:t xml:space="preserve">Lietuvoje </w:t>
      </w:r>
      <w:r w:rsidRPr="007A08EE">
        <w:rPr>
          <w:rFonts w:eastAsia="Arial"/>
          <w:bCs/>
          <w:iCs/>
        </w:rPr>
        <w:t>stemplės vėžiui ir GEJ adenokarcinomos gydymui kompensuojamas 5-FU ir</w:t>
      </w:r>
      <w:r w:rsidRPr="007A08EE">
        <w:rPr>
          <w:rFonts w:eastAsia="Arial"/>
          <w:b/>
          <w:iCs/>
        </w:rPr>
        <w:t xml:space="preserve"> </w:t>
      </w:r>
      <w:r w:rsidRPr="007A08EE">
        <w:rPr>
          <w:rFonts w:eastAsia="Arial"/>
          <w:bCs/>
          <w:iCs/>
        </w:rPr>
        <w:t>cisplatina, GEJ adenokarcinomos gydymui papildomai kompensuojamas kapecitabinas (skyrimo sąlyga – „skiriamas tik esant išplitusiam skrandžio vėžiui“) ir docetakselis.</w:t>
      </w:r>
      <w:r w:rsidRPr="007A08EE">
        <w:rPr>
          <w:rFonts w:eastAsia="Arial"/>
          <w:iCs/>
        </w:rPr>
        <w:t xml:space="preserve"> Pareiškėjas siūlo, jog pembrolizumabas šiuo metu Lietuvoje kompensuojamoje ir įrodymus atitinkančioje gydymo schemoje turėtų papildyti pirmos eilės gydymą platinos vaistiniais preparatais (cisplatina) ir fluoropirimidinu (5-FU ar kapecitabinu).</w:t>
      </w:r>
    </w:p>
    <w:p w14:paraId="50A248A4" w14:textId="77777777" w:rsidR="007A08EE" w:rsidRPr="007A08EE" w:rsidRDefault="007A08EE" w:rsidP="007A08EE">
      <w:pPr>
        <w:spacing w:line="276" w:lineRule="auto"/>
        <w:ind w:right="10" w:firstLine="720"/>
        <w:jc w:val="both"/>
        <w:outlineLvl w:val="0"/>
        <w:rPr>
          <w:rFonts w:eastAsia="Arial"/>
          <w:iCs/>
        </w:rPr>
      </w:pPr>
    </w:p>
    <w:p w14:paraId="7CC98FA5" w14:textId="77777777" w:rsidR="007A08EE" w:rsidRPr="007A08EE" w:rsidRDefault="007A08EE" w:rsidP="007A08EE">
      <w:pPr>
        <w:spacing w:line="276" w:lineRule="auto"/>
        <w:ind w:right="10" w:firstLine="720"/>
        <w:jc w:val="both"/>
        <w:outlineLvl w:val="0"/>
        <w:rPr>
          <w:rFonts w:eastAsia="Arial"/>
          <w:bCs/>
          <w:i/>
          <w:iCs/>
        </w:rPr>
      </w:pPr>
      <w:r w:rsidRPr="007A08EE">
        <w:rPr>
          <w:rFonts w:eastAsia="Arial"/>
          <w:bCs/>
          <w:i/>
          <w:iCs/>
        </w:rPr>
        <w:t>Tiesioginis palyginimas</w:t>
      </w:r>
    </w:p>
    <w:p w14:paraId="5B98A580" w14:textId="77777777" w:rsidR="007A08EE" w:rsidRPr="007A08EE" w:rsidRDefault="007A08EE" w:rsidP="007A08EE">
      <w:pPr>
        <w:spacing w:line="276" w:lineRule="auto"/>
        <w:ind w:right="10" w:firstLine="720"/>
        <w:jc w:val="both"/>
        <w:outlineLvl w:val="0"/>
        <w:rPr>
          <w:rFonts w:eastAsia="Arial"/>
          <w:bCs/>
          <w:i/>
          <w:iCs/>
        </w:rPr>
      </w:pPr>
    </w:p>
    <w:p w14:paraId="0A120362" w14:textId="77777777" w:rsidR="007A08EE" w:rsidRPr="007A08EE" w:rsidRDefault="007A08EE" w:rsidP="007A08EE">
      <w:pPr>
        <w:spacing w:line="276" w:lineRule="auto"/>
        <w:ind w:right="10" w:firstLine="720"/>
        <w:jc w:val="both"/>
        <w:outlineLvl w:val="0"/>
        <w:rPr>
          <w:rFonts w:eastAsia="Arial"/>
          <w:bCs/>
          <w:iCs/>
        </w:rPr>
      </w:pPr>
      <w:r w:rsidRPr="007A08EE">
        <w:rPr>
          <w:rFonts w:eastAsia="Arial"/>
          <w:bCs/>
          <w:iCs/>
        </w:rPr>
        <w:t>Klinikinis grindžiamas klinikinio tyrimo KEYNOTE-590 duomenimis. Jame įrodyta, jog 18 metų ir vyresniems geros funkcinės būklės (ECOG 0 arba 1) pacientams, kuriems nustatyta anksčiau negydyta vietiškai išplitusi nerezekuotina ar metastazavusi stemplės karcinoma</w:t>
      </w:r>
      <w:r w:rsidRPr="007A08EE">
        <w:rPr>
          <w:rFonts w:eastAsia="Arial"/>
          <w:b/>
          <w:bCs/>
          <w:iCs/>
        </w:rPr>
        <w:t xml:space="preserve"> </w:t>
      </w:r>
      <w:r w:rsidRPr="007A08EE">
        <w:rPr>
          <w:rFonts w:eastAsia="Arial"/>
          <w:iCs/>
        </w:rPr>
        <w:t>(adeno- ir plokščiųjų ląstelių)</w:t>
      </w:r>
      <w:r w:rsidRPr="007A08EE">
        <w:rPr>
          <w:rFonts w:eastAsia="Arial"/>
          <w:b/>
          <w:bCs/>
          <w:iCs/>
        </w:rPr>
        <w:t xml:space="preserve"> </w:t>
      </w:r>
      <w:r w:rsidRPr="007A08EE">
        <w:rPr>
          <w:rFonts w:eastAsia="Arial"/>
          <w:iCs/>
        </w:rPr>
        <w:t>arba</w:t>
      </w:r>
      <w:r w:rsidRPr="007A08EE">
        <w:rPr>
          <w:rFonts w:eastAsia="Arial"/>
          <w:b/>
          <w:bCs/>
          <w:iCs/>
        </w:rPr>
        <w:t xml:space="preserve"> </w:t>
      </w:r>
      <w:r w:rsidRPr="007A08EE">
        <w:rPr>
          <w:rFonts w:eastAsia="Arial"/>
          <w:iCs/>
        </w:rPr>
        <w:t>1 tipo (pagal Siewert) GEJ adenokarcinoma</w:t>
      </w:r>
      <w:r w:rsidRPr="007A08EE">
        <w:rPr>
          <w:rFonts w:eastAsia="Arial"/>
          <w:bCs/>
          <w:iCs/>
        </w:rPr>
        <w:t xml:space="preserve">, gydymo 5-FU ir cisplatinos deriniu (tinkamas palyginamasis gydymas Lietuvoje) papildymas pembrolizumabu ITT populiacijoje ir anksto numatytuose pogrupiuose (1. stemplės plokščiųjų ląstelių karcinoma ir bet kokia PD-L1 raiška; 2. teigiama PD-L1 raiška, CPS ≥ 10; 3. stemplės plokščiųjų ląstelių karcinoma ir teigiama PD-L1 raiška) atitinkamai 27% (RS 0,73; 95% 0,62 – 0,86; p&lt;0,0001), 28% (RS 0,72; 95% PI 0,60 – 0,88; p=0,0006), 38% (RS 0,62; 95% 0,49 – 0,78; p&lt;0,0001) ir 43% (RS 0,57; 95% PI 0,43 – 0,75; p&lt;0,0001) sumažino </w:t>
      </w:r>
      <w:r w:rsidRPr="007A08EE">
        <w:rPr>
          <w:rFonts w:eastAsia="Arial"/>
          <w:b/>
          <w:bCs/>
          <w:iCs/>
        </w:rPr>
        <w:t>mirties nuo bet kokios priežasties (pirminė vertinamoji baigtis)</w:t>
      </w:r>
      <w:r w:rsidRPr="007A08EE">
        <w:rPr>
          <w:rFonts w:eastAsia="Arial"/>
          <w:bCs/>
          <w:iCs/>
        </w:rPr>
        <w:t xml:space="preserve"> riziką, lyginant su placebo grupe. Panašios tendencijos išliko ir galutinėje ITT populiacijos ir iš anksto numatytų pogrupių analizėje.</w:t>
      </w:r>
    </w:p>
    <w:p w14:paraId="70187EF2" w14:textId="5962E5AA" w:rsidR="007A08EE" w:rsidRPr="007A08EE" w:rsidRDefault="007A08EE" w:rsidP="007A08EE">
      <w:pPr>
        <w:spacing w:line="276" w:lineRule="auto"/>
        <w:ind w:right="10" w:firstLine="720"/>
        <w:jc w:val="both"/>
        <w:outlineLvl w:val="0"/>
        <w:rPr>
          <w:rFonts w:eastAsia="Arial"/>
          <w:bCs/>
          <w:iCs/>
        </w:rPr>
      </w:pPr>
      <w:r w:rsidRPr="007A08EE">
        <w:rPr>
          <w:rFonts w:eastAsia="Arial"/>
          <w:bCs/>
          <w:iCs/>
        </w:rPr>
        <w:t xml:space="preserve">Vertinant pacientų </w:t>
      </w:r>
      <w:r w:rsidRPr="007A08EE">
        <w:rPr>
          <w:rFonts w:eastAsia="Arial"/>
          <w:iCs/>
        </w:rPr>
        <w:t>išgyvenamumą be ligos progresavimo</w:t>
      </w:r>
      <w:r w:rsidRPr="007A08EE">
        <w:rPr>
          <w:rFonts w:eastAsia="Arial"/>
          <w:bCs/>
          <w:iCs/>
        </w:rPr>
        <w:t xml:space="preserve">, gydymo papildymas pembrolizumabu ITT populiacijoje ir anksto numatytuose pogrupiuose (1. stemplės plokščiųjų </w:t>
      </w:r>
      <w:r w:rsidRPr="007A08EE">
        <w:rPr>
          <w:rFonts w:eastAsia="Arial"/>
          <w:bCs/>
          <w:iCs/>
        </w:rPr>
        <w:lastRenderedPageBreak/>
        <w:t xml:space="preserve">ląstelių karcinoma ir bet kokia PD-L1 raiška; 2. stemplės plokščiųjų ląstelių karcinoma ir teigiama PD-L1 raiška) atitinkamai 35% (RS 0,65; 95% 0,55 – 0,76; p&lt;0,0001), 35% (RS 0,65; 95% PI 0,54– 0,78; p&lt;0,0001), 38% (RS 0,62; 95% 0,49 – 0,78; p&lt;0,0001) ir 49% (RS 0,51; 95% PI 0,41 – 0,65; p&lt;0,0001) sumažino </w:t>
      </w:r>
      <w:r w:rsidRPr="007A08EE">
        <w:rPr>
          <w:rFonts w:eastAsia="Arial"/>
          <w:b/>
          <w:iCs/>
        </w:rPr>
        <w:t>ligos progresavimo ar</w:t>
      </w:r>
      <w:r w:rsidRPr="007A08EE">
        <w:rPr>
          <w:rFonts w:eastAsia="Arial"/>
          <w:bCs/>
          <w:iCs/>
        </w:rPr>
        <w:t xml:space="preserve"> </w:t>
      </w:r>
      <w:r w:rsidRPr="007A08EE">
        <w:rPr>
          <w:rFonts w:eastAsia="Arial"/>
          <w:b/>
          <w:bCs/>
          <w:iCs/>
        </w:rPr>
        <w:t>mirties nuo bet kokios priežasties (kita pirminė vertinamoji baigtis)</w:t>
      </w:r>
      <w:r w:rsidRPr="007A08EE">
        <w:rPr>
          <w:rFonts w:eastAsia="Arial"/>
          <w:bCs/>
          <w:iCs/>
        </w:rPr>
        <w:t xml:space="preserve"> riziką, lyginant su placebo grupe.</w:t>
      </w:r>
    </w:p>
    <w:p w14:paraId="76CAFA87" w14:textId="6B33D2A7" w:rsidR="007A08EE" w:rsidRPr="007A08EE" w:rsidRDefault="007A08EE" w:rsidP="007A08EE">
      <w:pPr>
        <w:spacing w:line="276" w:lineRule="auto"/>
        <w:ind w:right="10" w:firstLine="720"/>
        <w:jc w:val="both"/>
        <w:outlineLvl w:val="0"/>
        <w:rPr>
          <w:rFonts w:eastAsia="Arial"/>
          <w:bCs/>
          <w:iCs/>
        </w:rPr>
      </w:pPr>
      <w:r w:rsidRPr="007A08EE">
        <w:rPr>
          <w:rFonts w:eastAsia="Arial"/>
          <w:bCs/>
          <w:iCs/>
        </w:rPr>
        <w:t xml:space="preserve">Vertinant </w:t>
      </w:r>
      <w:r w:rsidRPr="007A08EE">
        <w:rPr>
          <w:rFonts w:eastAsia="Arial"/>
          <w:b/>
          <w:iCs/>
        </w:rPr>
        <w:t>naviko atsaką į gydymą (antrinė vertinamoji baigtis)</w:t>
      </w:r>
      <w:r w:rsidRPr="007A08EE">
        <w:rPr>
          <w:rFonts w:eastAsia="Arial"/>
          <w:bCs/>
          <w:iCs/>
        </w:rPr>
        <w:t>, objektyvus atsako dažnis ITT populiacijoje ir anksto numatytuose pogrupiuose pembrolizumabo grupėje buvo 15,8% (95% PI 9,0 – 22,5; p&lt;0,0001), 22,8% (95% PI 11,6 – 33,4; p&lt;0,0001), 12,8% (95% PI 4,7 – 20,7; p=0,0009) ir 24,0% (95% PI 14,3 – 33,2; p&lt;0,0001) didesnis, lyginant su placebo grupe.</w:t>
      </w:r>
    </w:p>
    <w:p w14:paraId="63FA0D8B" w14:textId="77777777" w:rsidR="007A08EE" w:rsidRPr="007A08EE" w:rsidRDefault="007A08EE" w:rsidP="007A08EE">
      <w:pPr>
        <w:spacing w:line="276" w:lineRule="auto"/>
        <w:ind w:right="10" w:firstLine="720"/>
        <w:jc w:val="both"/>
        <w:outlineLvl w:val="0"/>
        <w:rPr>
          <w:rFonts w:eastAsia="Arial"/>
          <w:bCs/>
          <w:iCs/>
        </w:rPr>
      </w:pPr>
      <w:r w:rsidRPr="007A08EE">
        <w:rPr>
          <w:rFonts w:eastAsia="Arial"/>
          <w:b/>
          <w:bCs/>
          <w:iCs/>
        </w:rPr>
        <w:t>Pacientų praneštos baigtys</w:t>
      </w:r>
      <w:r w:rsidRPr="007A08EE">
        <w:rPr>
          <w:rFonts w:eastAsia="Arial"/>
          <w:iCs/>
        </w:rPr>
        <w:t xml:space="preserve"> buvo įvertintos pacientams užpildant </w:t>
      </w:r>
      <w:r w:rsidRPr="007A08EE">
        <w:rPr>
          <w:rFonts w:eastAsia="Arial"/>
          <w:bCs/>
          <w:iCs/>
        </w:rPr>
        <w:t xml:space="preserve">EORTC QLQ-C30 ir EORTC QLQ-OES18 </w:t>
      </w:r>
      <w:r w:rsidRPr="007A08EE">
        <w:rPr>
          <w:rFonts w:eastAsia="Arial"/>
          <w:iCs/>
        </w:rPr>
        <w:t>klausimynus. Pacientų gyvenimo kokybė tarp tiriamųjų grupių iš esmės nesiskyrė. Reikšmingų</w:t>
      </w:r>
      <w:r w:rsidRPr="007A08EE">
        <w:rPr>
          <w:rFonts w:eastAsia="Arial"/>
          <w:bCs/>
          <w:iCs/>
        </w:rPr>
        <w:t xml:space="preserve"> saugumo problemų ar įvykių nenustatyta, papildomas toksiškumas skiriant pembrolizumabo – 5-FU – cisplatinos derinį yra priimtinas.</w:t>
      </w:r>
    </w:p>
    <w:p w14:paraId="0AE67B1F" w14:textId="77777777" w:rsidR="007A08EE" w:rsidRPr="007A08EE" w:rsidRDefault="007A08EE" w:rsidP="007A08EE">
      <w:pPr>
        <w:spacing w:line="276" w:lineRule="auto"/>
        <w:ind w:right="10" w:firstLine="720"/>
        <w:jc w:val="both"/>
        <w:outlineLvl w:val="0"/>
        <w:rPr>
          <w:rFonts w:eastAsia="Arial"/>
          <w:bCs/>
          <w:iCs/>
        </w:rPr>
      </w:pPr>
      <w:r w:rsidRPr="007A08EE">
        <w:rPr>
          <w:rFonts w:eastAsia="Arial"/>
          <w:bCs/>
          <w:iCs/>
        </w:rPr>
        <w:t xml:space="preserve">Nors pareiškėjas nepateikė šio klinikinio tyrimo duomenų, KEYNOTE-859 (atsitiktinių imčių, dvigubai maskuotas, placebo kontroliuojamas) laikomas paraiškai aktualiu 3 fazės klinikiniu tyrimu, kurio tarpinėje analizėje įrodyta, jog tarp geros funkcinės būklės (ECOG 0 ar 1) pacientų, kuriems nustatyta anksčiau negydyta HER-2 neigiama </w:t>
      </w:r>
      <w:r w:rsidRPr="007A08EE">
        <w:rPr>
          <w:rFonts w:eastAsia="Arial"/>
          <w:iCs/>
        </w:rPr>
        <w:t>vietiškai išplitusi nerezekuotina ar metastazavusi skrandžio ar GEJ adenokarcinoma, kuri ekspresuoja PD-L1 ir CPS rodmuo yra ≥ 10, gydymo platinos vaistiniais preparatais (cisplatina ar oksaliplatina) ir fluoropirimidinu (5-FU ar kapecitabinu) deriniu papildymas pembrolizumabu mirties nuo bet kokios priežasties rizika sumažino 35% (RS 0,65; 95% PI 0,53 – 0,79, p&lt;</w:t>
      </w:r>
      <w:r w:rsidRPr="007A08EE">
        <w:rPr>
          <w:rFonts w:eastAsia="Arial"/>
          <w:iCs/>
        </w:rPr>
        <w:softHyphen/>
        <w:t>0,0001), lyginant su placebo grupe.</w:t>
      </w:r>
    </w:p>
    <w:p w14:paraId="470DFDC6" w14:textId="77777777" w:rsidR="007A08EE" w:rsidRPr="007A08EE" w:rsidRDefault="007A08EE" w:rsidP="007A08EE">
      <w:pPr>
        <w:spacing w:line="276" w:lineRule="auto"/>
        <w:ind w:right="10" w:firstLine="720"/>
        <w:jc w:val="both"/>
        <w:outlineLvl w:val="0"/>
        <w:rPr>
          <w:rFonts w:eastAsia="Arial"/>
          <w:iCs/>
        </w:rPr>
      </w:pPr>
    </w:p>
    <w:p w14:paraId="7ECD6087" w14:textId="77777777" w:rsidR="007A08EE" w:rsidRPr="007A08EE" w:rsidRDefault="007A08EE" w:rsidP="007A08EE">
      <w:pPr>
        <w:spacing w:line="276" w:lineRule="auto"/>
        <w:ind w:right="10" w:firstLine="720"/>
        <w:jc w:val="both"/>
        <w:outlineLvl w:val="0"/>
        <w:rPr>
          <w:rFonts w:eastAsia="Arial"/>
          <w:bCs/>
          <w:i/>
          <w:iCs/>
        </w:rPr>
      </w:pPr>
      <w:r w:rsidRPr="007A08EE">
        <w:rPr>
          <w:rFonts w:eastAsia="Arial"/>
          <w:bCs/>
          <w:i/>
          <w:iCs/>
        </w:rPr>
        <w:t>Netiesioginis palyginimas</w:t>
      </w:r>
    </w:p>
    <w:p w14:paraId="27FD25D0" w14:textId="77777777" w:rsidR="007A08EE" w:rsidRPr="007A08EE" w:rsidRDefault="007A08EE" w:rsidP="007A08EE">
      <w:pPr>
        <w:spacing w:line="276" w:lineRule="auto"/>
        <w:ind w:right="10" w:firstLine="720"/>
        <w:jc w:val="both"/>
        <w:outlineLvl w:val="0"/>
        <w:rPr>
          <w:rFonts w:eastAsia="Arial"/>
          <w:bCs/>
          <w:i/>
          <w:iCs/>
        </w:rPr>
      </w:pPr>
    </w:p>
    <w:p w14:paraId="35A05F53" w14:textId="77777777" w:rsidR="007A08EE" w:rsidRPr="007A08EE" w:rsidRDefault="007A08EE" w:rsidP="007A08EE">
      <w:pPr>
        <w:spacing w:line="276" w:lineRule="auto"/>
        <w:ind w:right="10" w:firstLine="720"/>
        <w:jc w:val="both"/>
        <w:outlineLvl w:val="0"/>
        <w:rPr>
          <w:rFonts w:eastAsia="Arial"/>
          <w:iCs/>
        </w:rPr>
      </w:pPr>
      <w:r w:rsidRPr="007A08EE">
        <w:rPr>
          <w:rFonts w:eastAsia="Arial"/>
          <w:bCs/>
          <w:iCs/>
        </w:rPr>
        <w:t xml:space="preserve">Klinikinis vertinimas buvo atliktas pagal paraiškoje pateiktą netiesioginio palyginimo analizę, į kurią įtraukti I ir II fazės klinikiniai tyrimai, kuriuose buvo tiriamos skirtingos chemoterapinės schemos gydant vietiškai išplitusią nerezekuotiną ar metastazavusią stemplės karcinoma arba 1 tipo (pagal Siewert) GEJ adenokarcinomą. Kadangi </w:t>
      </w:r>
      <w:r w:rsidRPr="007A08EE">
        <w:rPr>
          <w:rFonts w:eastAsia="Arial"/>
          <w:iCs/>
        </w:rPr>
        <w:t>KEYNOTE-590 tyrimo duomenys pagrindžia gydymo 5-FU ir cisplatinos deriniu (vyraujanatis gydymas Lietuvoje) papildymą pembrolizumabu gydant pacientus, kuriems nustatyta stemplės karcinoma ar 1 tipo (pagal Siewert) HER-2 neigiama GEJ adenokarcinoma, į</w:t>
      </w:r>
      <w:r w:rsidRPr="007A08EE">
        <w:rPr>
          <w:rFonts w:eastAsia="Arial"/>
          <w:bCs/>
          <w:iCs/>
        </w:rPr>
        <w:t>vertinus aktualius į netiesioginio palyginimo analizę įtrauktus klinikinius tyrimus (analizuojančius kapecitabino ir cisplatinos derinį, kuris aktualus GEJ adenokarcinomos atveju), nustatyta, kad n</w:t>
      </w:r>
      <w:r w:rsidRPr="007A08EE">
        <w:rPr>
          <w:rFonts w:eastAsia="Arial"/>
          <w:iCs/>
        </w:rPr>
        <w:t>etiesioginio palyginimo analizės</w:t>
      </w:r>
      <w:r w:rsidRPr="007A08EE">
        <w:rPr>
          <w:rFonts w:eastAsia="Arial"/>
          <w:bCs/>
          <w:iCs/>
        </w:rPr>
        <w:t xml:space="preserve"> duomenys yra netinkami vertinti, nes</w:t>
      </w:r>
      <w:r w:rsidRPr="007A08EE">
        <w:rPr>
          <w:rFonts w:eastAsia="Arial"/>
          <w:iCs/>
        </w:rPr>
        <w:t xml:space="preserve"> šiuose tyrimuose lyginama populiacija neatitinka Lietuvai aktualios populiacijos (tyrimuose analizuojama pacientų, kuriems nustatyta stemplės plokščiųjų ląstelių karcinomos populiacija).</w:t>
      </w:r>
    </w:p>
    <w:p w14:paraId="6475C6EC" w14:textId="77777777" w:rsidR="007A08EE" w:rsidRPr="007A08EE" w:rsidRDefault="007A08EE" w:rsidP="007A08EE">
      <w:pPr>
        <w:spacing w:line="276" w:lineRule="auto"/>
        <w:ind w:right="10" w:firstLine="720"/>
        <w:jc w:val="both"/>
        <w:outlineLvl w:val="0"/>
        <w:rPr>
          <w:rFonts w:eastAsia="Arial"/>
          <w:bCs/>
          <w:iCs/>
        </w:rPr>
      </w:pPr>
    </w:p>
    <w:p w14:paraId="155D286C" w14:textId="77777777" w:rsidR="007A08EE" w:rsidRPr="007A08EE" w:rsidRDefault="007A08EE" w:rsidP="007A08EE">
      <w:pPr>
        <w:spacing w:line="276" w:lineRule="auto"/>
        <w:ind w:right="10" w:firstLine="720"/>
        <w:jc w:val="both"/>
        <w:outlineLvl w:val="0"/>
        <w:rPr>
          <w:rFonts w:eastAsia="Arial"/>
          <w:bCs/>
          <w:i/>
          <w:iCs/>
        </w:rPr>
      </w:pPr>
      <w:r w:rsidRPr="007A08EE">
        <w:rPr>
          <w:rFonts w:eastAsia="Arial"/>
          <w:bCs/>
          <w:i/>
          <w:iCs/>
        </w:rPr>
        <w:t>Privalumai ir trūkumai</w:t>
      </w:r>
    </w:p>
    <w:p w14:paraId="31E48529" w14:textId="55B36251" w:rsidR="007A08EE" w:rsidRPr="007A08EE" w:rsidRDefault="007A08EE" w:rsidP="007A08EE">
      <w:pPr>
        <w:spacing w:line="276" w:lineRule="auto"/>
        <w:ind w:right="10" w:firstLine="720"/>
        <w:jc w:val="both"/>
        <w:outlineLvl w:val="0"/>
        <w:rPr>
          <w:rFonts w:eastAsia="Arial"/>
          <w:iCs/>
        </w:rPr>
      </w:pPr>
      <w:r w:rsidRPr="007A08EE">
        <w:rPr>
          <w:rFonts w:eastAsia="Arial"/>
          <w:bCs/>
          <w:iCs/>
        </w:rPr>
        <w:t>Jei vaistinis preparatas būtų įrašytas į kompensavimo sąrašus, gydymo šiuo vaistiniu preparatu taikymas klinikinėje praktikoje galėtų turėti privalumų medicininėms paslaugoms ar pacientams.</w:t>
      </w:r>
    </w:p>
    <w:p w14:paraId="26D54C24" w14:textId="03D05081" w:rsidR="007A08EE" w:rsidRPr="007A08EE" w:rsidRDefault="007A08EE" w:rsidP="007A08EE">
      <w:pPr>
        <w:spacing w:line="276" w:lineRule="auto"/>
        <w:ind w:right="10" w:firstLine="720"/>
        <w:jc w:val="both"/>
        <w:outlineLvl w:val="0"/>
        <w:rPr>
          <w:rFonts w:eastAsia="Arial"/>
          <w:bCs/>
          <w:iCs/>
        </w:rPr>
      </w:pPr>
      <w:r w:rsidRPr="007A08EE">
        <w:rPr>
          <w:rFonts w:eastAsia="Arial"/>
          <w:bCs/>
          <w:iCs/>
          <w:u w:val="single"/>
        </w:rPr>
        <w:t>Privalumai</w:t>
      </w:r>
      <w:r w:rsidRPr="007A08EE">
        <w:rPr>
          <w:rFonts w:eastAsia="Arial"/>
          <w:bCs/>
          <w:iCs/>
        </w:rPr>
        <w:t>. Pacientams ir medicinos paslaugoms – veiksmingas vaistas pacientų populiacijai, kuriai gydymo alternatyvos yra ribotos, ilgesnis išgyvenamumas išliekant gyvenimo kokybei.</w:t>
      </w:r>
    </w:p>
    <w:p w14:paraId="5FD6B72D" w14:textId="2EE5064A" w:rsidR="007A08EE" w:rsidRPr="007A08EE" w:rsidRDefault="007A08EE" w:rsidP="007A08EE">
      <w:pPr>
        <w:spacing w:line="276" w:lineRule="auto"/>
        <w:ind w:right="10" w:firstLine="720"/>
        <w:jc w:val="both"/>
        <w:outlineLvl w:val="0"/>
        <w:rPr>
          <w:rFonts w:eastAsia="Arial"/>
          <w:bCs/>
          <w:iCs/>
        </w:rPr>
      </w:pPr>
      <w:r w:rsidRPr="007A08EE">
        <w:rPr>
          <w:rFonts w:eastAsia="Arial"/>
          <w:bCs/>
          <w:iCs/>
          <w:u w:val="single"/>
        </w:rPr>
        <w:t>Trūkumai</w:t>
      </w:r>
      <w:r w:rsidRPr="007A08EE">
        <w:rPr>
          <w:rFonts w:eastAsia="Arial"/>
          <w:bCs/>
          <w:iCs/>
        </w:rPr>
        <w:t xml:space="preserve">. Papildomas toksinis vaistinio preparato poveikis. </w:t>
      </w:r>
    </w:p>
    <w:p w14:paraId="063FBFF6" w14:textId="3B9E0C78" w:rsidR="00A32E2B" w:rsidRDefault="00A32E2B" w:rsidP="00A32E2B">
      <w:pPr>
        <w:spacing w:line="276" w:lineRule="auto"/>
        <w:ind w:right="10" w:firstLine="720"/>
        <w:jc w:val="both"/>
        <w:outlineLvl w:val="0"/>
        <w:rPr>
          <w:b/>
          <w:bCs/>
          <w:caps/>
        </w:rPr>
      </w:pPr>
    </w:p>
    <w:p w14:paraId="39513E79" w14:textId="6D6AB1FF" w:rsidR="00545677" w:rsidRDefault="00545677" w:rsidP="00A32E2B">
      <w:pPr>
        <w:spacing w:line="276" w:lineRule="auto"/>
        <w:ind w:right="10" w:firstLine="720"/>
        <w:jc w:val="both"/>
        <w:outlineLvl w:val="0"/>
        <w:rPr>
          <w:b/>
          <w:bCs/>
          <w:caps/>
        </w:rPr>
      </w:pPr>
    </w:p>
    <w:p w14:paraId="313B6E30" w14:textId="77777777" w:rsidR="00545677" w:rsidRPr="000203E1" w:rsidRDefault="00545677" w:rsidP="00A32E2B">
      <w:pPr>
        <w:spacing w:line="276" w:lineRule="auto"/>
        <w:ind w:right="10" w:firstLine="720"/>
        <w:jc w:val="both"/>
        <w:outlineLvl w:val="0"/>
        <w:rPr>
          <w:b/>
          <w:bCs/>
          <w:caps/>
        </w:rPr>
      </w:pPr>
    </w:p>
    <w:p w14:paraId="7DE09EB5" w14:textId="69E9DD74" w:rsidR="00E03C3F" w:rsidRPr="000203E1" w:rsidRDefault="00CC7832" w:rsidP="00CC09D4">
      <w:pPr>
        <w:pStyle w:val="ListParagraph"/>
        <w:numPr>
          <w:ilvl w:val="0"/>
          <w:numId w:val="12"/>
        </w:numPr>
        <w:tabs>
          <w:tab w:val="left" w:pos="567"/>
        </w:tabs>
        <w:ind w:hanging="720"/>
        <w:rPr>
          <w:b/>
          <w:bCs/>
          <w:caps/>
        </w:rPr>
      </w:pPr>
      <w:r w:rsidRPr="000203E1">
        <w:rPr>
          <w:b/>
          <w:bCs/>
          <w:caps/>
        </w:rPr>
        <w:lastRenderedPageBreak/>
        <w:t xml:space="preserve">ekonominio vertinimo </w:t>
      </w:r>
      <w:r w:rsidR="002F0E4F" w:rsidRPr="000203E1">
        <w:rPr>
          <w:b/>
          <w:bCs/>
          <w:caps/>
        </w:rPr>
        <w:t>apibendrinimas</w:t>
      </w:r>
    </w:p>
    <w:p w14:paraId="1A63CDBE" w14:textId="6B7F2426" w:rsidR="001B24C3" w:rsidRDefault="001B24C3" w:rsidP="002E6F80">
      <w:pPr>
        <w:tabs>
          <w:tab w:val="left" w:pos="284"/>
        </w:tabs>
        <w:rPr>
          <w:bCs/>
          <w:i/>
          <w:caps/>
        </w:rPr>
      </w:pPr>
    </w:p>
    <w:p w14:paraId="0FEDD716" w14:textId="77777777" w:rsidR="00705D2C" w:rsidRPr="00870D0F" w:rsidRDefault="00705D2C" w:rsidP="00705D2C">
      <w:pPr>
        <w:spacing w:line="276" w:lineRule="auto"/>
        <w:ind w:firstLine="540"/>
        <w:jc w:val="both"/>
        <w:rPr>
          <w:b/>
        </w:rPr>
      </w:pPr>
      <w:r w:rsidRPr="00870D0F">
        <w:rPr>
          <w:iCs/>
          <w:lang w:eastAsia="lt-LT"/>
        </w:rPr>
        <w:t xml:space="preserve">Įprastinėje atvejo analizėje pareiškėjas įtraukia populiaciją iš </w:t>
      </w:r>
      <w:r w:rsidRPr="00870D0F">
        <w:rPr>
          <w:snapToGrid w:val="0"/>
        </w:rPr>
        <w:t xml:space="preserve">KEYNOTE-590 klinikinio tyrimo: anksčiau negydyti pacientai, kuriems nustatyta </w:t>
      </w:r>
      <w:r w:rsidRPr="00870D0F">
        <w:t xml:space="preserve">vietiškai išplitusi nerezekuotina ar metastazavusi stemplės karcinoma arba HER-2 neigiamos gastroezofaginės jungties adenokarcinoma. Atsižvelgiant, kad kompensavimui teikiamos indikacijos populiacija siauresnė, t.y. </w:t>
      </w:r>
      <w:proofErr w:type="spellStart"/>
      <w:r w:rsidRPr="00870D0F">
        <w:rPr>
          <w:lang w:val="en-US"/>
        </w:rPr>
        <w:t>pacien</w:t>
      </w:r>
      <w:proofErr w:type="spellEnd"/>
      <w:r w:rsidRPr="00870D0F">
        <w:t xml:space="preserve">tai, kuriems ekspresuoja PD-L1 ir CPS rodmuo yra ≥ 10, farmakoekonominėje analizėje (toliau – FEA) analizuojamas atitinkamas pogrupis: pacientai, kuriems nustatyta vietiškai išplitusi nerezekuotina ar metastazavusi stemplės karcinoma arba HER-2 neigiamos gastroezofaginės jungties adenokarcinoma, </w:t>
      </w:r>
      <w:r w:rsidRPr="009041BD">
        <w:rPr>
          <w:u w:val="single"/>
        </w:rPr>
        <w:t>kurių navikai ekspresuoja PD-L1 ir CPS rodmuo yra ≥ 10.</w:t>
      </w:r>
    </w:p>
    <w:p w14:paraId="326129D4" w14:textId="77777777" w:rsidR="00705D2C" w:rsidRPr="00870D0F" w:rsidRDefault="00705D2C" w:rsidP="00705D2C">
      <w:pPr>
        <w:spacing w:line="276" w:lineRule="auto"/>
        <w:ind w:firstLine="540"/>
        <w:jc w:val="both"/>
      </w:pPr>
      <w:r w:rsidRPr="00870D0F">
        <w:rPr>
          <w:rFonts w:eastAsia="Arial"/>
        </w:rPr>
        <w:t xml:space="preserve">Įprastinėje atvejo analizėje pembrolizumabas derinyje su </w:t>
      </w:r>
      <w:r w:rsidRPr="00870D0F">
        <w:t>cisplatinos ir 5-fluorouracilo deriniu yra</w:t>
      </w:r>
      <w:r w:rsidRPr="00870D0F">
        <w:rPr>
          <w:rFonts w:eastAsia="Arial"/>
        </w:rPr>
        <w:t xml:space="preserve"> lyginamas su </w:t>
      </w:r>
      <w:r w:rsidRPr="00870D0F">
        <w:t xml:space="preserve">cisplatinos ir 5-fluorouracilo deriniu. Pareiškėjas pateikia klinikinių ekspertų nuomonę, kad cisplatinos ir 5-fluorouracilo derinys stemplės vėžio (TLK- 10-AM – kodas C15) ir gastroezofaginės jungties adenokarcinomos 9 TLK- 10-AM – kodas C16) gydymui yra dažniausiai naudojama schema </w:t>
      </w:r>
      <w:r w:rsidRPr="00870D0F">
        <w:rPr>
          <w:rFonts w:eastAsia="Arial"/>
        </w:rPr>
        <w:t xml:space="preserve">(skiriama 80 proc. pacientų)). Tarnyba sutinka, kad </w:t>
      </w:r>
      <w:r w:rsidRPr="00870D0F">
        <w:t xml:space="preserve">cisplatinos ir 5-fluorouracilo derinys </w:t>
      </w:r>
      <w:r w:rsidRPr="00870D0F">
        <w:rPr>
          <w:rFonts w:eastAsia="Arial"/>
        </w:rPr>
        <w:t>Lietuvoje</w:t>
      </w:r>
      <w:r w:rsidRPr="00870D0F">
        <w:t xml:space="preserve"> gali būti laikomas standartiniu gydymu</w:t>
      </w:r>
      <w:r w:rsidRPr="00870D0F">
        <w:rPr>
          <w:rFonts w:eastAsia="Arial"/>
        </w:rPr>
        <w:t xml:space="preserve"> pirmos eilės stemplės karcinomos ir </w:t>
      </w:r>
      <w:r w:rsidRPr="00870D0F">
        <w:t>gastroezofaginės jungties adenokarcinomos gydymui.</w:t>
      </w:r>
      <w:r>
        <w:t xml:space="preserve"> </w:t>
      </w:r>
      <w:r w:rsidRPr="00870D0F">
        <w:rPr>
          <w:rFonts w:eastAsia="Arial"/>
        </w:rPr>
        <w:t xml:space="preserve">Atsižvelgiant, kad </w:t>
      </w:r>
      <w:r w:rsidRPr="00870D0F">
        <w:t xml:space="preserve">gastroezofaginės jungties adenokarcinomos gydymui yra skiriamos ir </w:t>
      </w:r>
      <w:r w:rsidRPr="00870D0F">
        <w:rPr>
          <w:rFonts w:eastAsia="Arial"/>
        </w:rPr>
        <w:t xml:space="preserve">kitos chemoterapijos schemos, </w:t>
      </w:r>
      <w:r w:rsidRPr="00870D0F">
        <w:t xml:space="preserve">Pareiškėjas ekonominėje analizėje pateikia pembrolizumabo ir chemoterapijos derinio (5-FU + cisplatina) palyginimą su bendra chemoterapijos schema apskaičiuota pagal tikėtinus pacientų gydymo srautus:  5-FU + cisplatina - 80 proc., cisplatina </w:t>
      </w:r>
      <w:r w:rsidRPr="00870D0F">
        <w:rPr>
          <w:lang w:val="en-GB"/>
        </w:rPr>
        <w:t>+ k</w:t>
      </w:r>
      <w:r w:rsidRPr="00870D0F">
        <w:t>apecitabinas -15 proc. ir 5-FU + oksaliplatina + leukovorinas (FOLFOX) - 5 proc. Atsižvelgiant, kad realus bendros chemoterapijos derinio pasiskirstymas Lietuvoje nėra aiškus, Tarnyba vertina šį palyginamąjį kaip alternatyvų scenarijų analizėje.</w:t>
      </w:r>
    </w:p>
    <w:p w14:paraId="548E84C1" w14:textId="77777777" w:rsidR="00705D2C" w:rsidRDefault="00705D2C" w:rsidP="00705D2C">
      <w:pPr>
        <w:spacing w:line="276" w:lineRule="auto"/>
        <w:ind w:firstLine="540"/>
        <w:jc w:val="both"/>
      </w:pPr>
      <w:r w:rsidRPr="00870D0F">
        <w:t>FEA paciento lygmens klinikiniai duomenys įtraukti iš tiesioginio palyginimo KEYNOTE-</w:t>
      </w:r>
      <w:r w:rsidRPr="00870D0F">
        <w:rPr>
          <w:lang w:val="en-GB"/>
        </w:rPr>
        <w:t>590</w:t>
      </w:r>
      <w:r w:rsidRPr="00870D0F">
        <w:t xml:space="preserve"> klinikinio tyrimo, kuriame pembrolizumabo derinyje su cisplatinos 80 mg/m</w:t>
      </w:r>
      <w:r w:rsidRPr="00870D0F">
        <w:rPr>
          <w:vertAlign w:val="superscript"/>
        </w:rPr>
        <w:t>2</w:t>
      </w:r>
      <w:r w:rsidRPr="00870D0F">
        <w:t xml:space="preserve"> doze į veną (1-ąją kiekvieno trijų savaičių trukmės ciklo dieną; skiriant iki šešių ciklų) ir 5-fluorouracilas (5-FU) 800 mg/m</w:t>
      </w:r>
      <w:r w:rsidRPr="00870D0F">
        <w:rPr>
          <w:vertAlign w:val="superscript"/>
        </w:rPr>
        <w:t>2</w:t>
      </w:r>
      <w:r w:rsidRPr="00870D0F">
        <w:t xml:space="preserve"> doze į veną per parą efektyvumas ir saugumas buvo lygintas su cisplatinos ir 5-FU efektyvumu ir saugumu. KEYNOTE-590 daugiacentris, atsitiktinių imčių, dvigubai koduotas, placebu kontroliuojamas tyrimas, kuriame dalyvavo vietiškai išplitusia nerezekuotina ar metastazavusia stemplės karcinoma arba gastroezofaginės jungties karcinoma (I tipo pagal Siewert klasifikaciją) sirgę pacientai.</w:t>
      </w:r>
      <w:r>
        <w:t xml:space="preserve"> </w:t>
      </w:r>
      <w:r w:rsidRPr="00870D0F">
        <w:t xml:space="preserve">Modelyje taikoma ilgesnė laiko perspektyva, besitęsianti po klinikinio tyrimo stebėsenos pabaigos. </w:t>
      </w:r>
      <w:proofErr w:type="spellStart"/>
      <w:r w:rsidRPr="00870D0F">
        <w:rPr>
          <w:snapToGrid w:val="0"/>
          <w:lang w:val="en-US"/>
        </w:rPr>
        <w:t>Tarnyba</w:t>
      </w:r>
      <w:proofErr w:type="spellEnd"/>
      <w:r w:rsidRPr="00870D0F">
        <w:rPr>
          <w:snapToGrid w:val="0"/>
          <w:lang w:val="en-US"/>
        </w:rPr>
        <w:t xml:space="preserve"> </w:t>
      </w:r>
      <w:proofErr w:type="spellStart"/>
      <w:r w:rsidRPr="00870D0F">
        <w:rPr>
          <w:snapToGrid w:val="0"/>
          <w:lang w:val="en-US"/>
        </w:rPr>
        <w:t>laiko</w:t>
      </w:r>
      <w:proofErr w:type="spellEnd"/>
      <w:r w:rsidRPr="00870D0F">
        <w:rPr>
          <w:snapToGrid w:val="0"/>
          <w:lang w:val="en-US"/>
        </w:rPr>
        <w:t xml:space="preserve">, </w:t>
      </w:r>
      <w:proofErr w:type="spellStart"/>
      <w:r w:rsidRPr="00870D0F">
        <w:rPr>
          <w:snapToGrid w:val="0"/>
          <w:lang w:val="en-US"/>
        </w:rPr>
        <w:t>kad</w:t>
      </w:r>
      <w:proofErr w:type="spellEnd"/>
      <w:r w:rsidRPr="00870D0F">
        <w:rPr>
          <w:snapToGrid w:val="0"/>
          <w:lang w:val="en-US"/>
        </w:rPr>
        <w:t xml:space="preserve"> 20 m. </w:t>
      </w:r>
      <w:r w:rsidRPr="00870D0F">
        <w:rPr>
          <w:lang w:eastAsia="lt-LT"/>
        </w:rPr>
        <w:t xml:space="preserve">laikotarpis apims viso gyvenimo laiko perspektyvą ir yra pakankamas sveikatai sukuriamai naudai ir patiriamiems kaštams užfiksuoti (vid. pacientų amžius 61 m.). Duomenų ekstrapoliacijai taikomas </w:t>
      </w:r>
      <w:r w:rsidRPr="00870D0F">
        <w:t>padalintos kohortos išgyvenamumo trijų sveikatos būklių modelis. Įprastinėje atvejo analizėje bendrojo išgyvenamumo duomenų ekstrapoliacijai Pareiškėjas taiko K</w:t>
      </w:r>
      <w:r w:rsidRPr="00870D0F">
        <w:rPr>
          <w:lang w:val="en-US"/>
        </w:rPr>
        <w:t xml:space="preserve">M+ </w:t>
      </w:r>
      <w:proofErr w:type="spellStart"/>
      <w:r w:rsidRPr="00870D0F">
        <w:rPr>
          <w:lang w:val="en-US"/>
        </w:rPr>
        <w:t>parametrin</w:t>
      </w:r>
      <w:proofErr w:type="spellEnd"/>
      <w:r w:rsidRPr="00870D0F">
        <w:t>į</w:t>
      </w:r>
      <w:r w:rsidRPr="00870D0F">
        <w:rPr>
          <w:lang w:val="en-US"/>
        </w:rPr>
        <w:t xml:space="preserve"> (</w:t>
      </w:r>
      <w:proofErr w:type="spellStart"/>
      <w:r w:rsidRPr="00870D0F">
        <w:rPr>
          <w:lang w:val="en-US"/>
        </w:rPr>
        <w:t>angl.</w:t>
      </w:r>
      <w:proofErr w:type="spellEnd"/>
      <w:r w:rsidRPr="00870D0F">
        <w:rPr>
          <w:lang w:val="en-US"/>
        </w:rPr>
        <w:t xml:space="preserve"> two-piece) </w:t>
      </w:r>
      <w:proofErr w:type="spellStart"/>
      <w:r w:rsidRPr="00870D0F">
        <w:rPr>
          <w:lang w:val="en-US"/>
        </w:rPr>
        <w:t>modeliavimą</w:t>
      </w:r>
      <w:proofErr w:type="spellEnd"/>
      <w:r w:rsidRPr="00870D0F">
        <w:rPr>
          <w:lang w:val="en-US"/>
        </w:rPr>
        <w:t xml:space="preserve">. </w:t>
      </w:r>
      <w:r w:rsidRPr="00870D0F">
        <w:t>Pareiškėjo duomenimis, pilnas parametrinis modeliavimas (angl. one-piece) nėra taikomas, kadangi vizualiai blogiau atspindi KM kreives ir rizika pervertinama.</w:t>
      </w:r>
      <w:r>
        <w:t xml:space="preserve"> </w:t>
      </w:r>
      <w:r w:rsidRPr="00870D0F">
        <w:rPr>
          <w:rFonts w:eastAsiaTheme="minorHAnsi"/>
        </w:rPr>
        <w:t xml:space="preserve">Tarnyba sutinka, kad dviejų dalių (angl. two piece) modeliavimas yra tinkamesnis, kadangi rodo didesnę atitiktį KM kreivėms (ankstyvasis laikotarpis, apima didelę dalį gyvų pacientų, KM duomenys pagrįsti) ir sutinka su Pareiškėjo taikomu 40 sav. laikotarpiu,  kadangi pagal Chow statistinio testo rezultatus, matyti tikėtini rizikos struktūriniai pokyčiai nuo 40 sav. bendrojoje populiacijoje, tačiau vertinama, </w:t>
      </w:r>
      <w:r w:rsidRPr="00870D0F">
        <w:rPr>
          <w:lang w:eastAsia="en-GB"/>
        </w:rPr>
        <w:t>kad tikrasis gydymo permbolizumabo deriniu efektas vertinant ilguoju laikotarpiu nėra aiškus, t</w:t>
      </w:r>
      <w:r w:rsidRPr="00870D0F">
        <w:rPr>
          <w:lang w:val="en-US" w:eastAsia="en-GB"/>
        </w:rPr>
        <w:t>r</w:t>
      </w:r>
      <w:r w:rsidRPr="00870D0F">
        <w:rPr>
          <w:lang w:eastAsia="en-GB"/>
        </w:rPr>
        <w:t>ūksta pagrindimo dėl taikomų duomenų ekstrapoliacijos metodų (atnaujintoje Paraiškoje išorės validavimo ir kiti pagrindžiantys duomenys neteikiami). Atsižvelgiant, kad</w:t>
      </w:r>
      <w:r w:rsidRPr="00870D0F">
        <w:rPr>
          <w:rFonts w:eastAsiaTheme="minorHAnsi"/>
        </w:rPr>
        <w:t xml:space="preserve"> duomenų ekstrapoliacijai taikomų modeliavimo metodų parinkimas turi reikšmingos įtakos ICER pokyčiams (taikant pilną arba dalinį modeliavimą ICER rezultatai skiriasi reikšmingai),</w:t>
      </w:r>
      <w:r w:rsidRPr="00870D0F">
        <w:rPr>
          <w:lang w:eastAsia="en-GB"/>
        </w:rPr>
        <w:t xml:space="preserve"> įprastinėje </w:t>
      </w:r>
      <w:r w:rsidRPr="00870D0F">
        <w:rPr>
          <w:lang w:eastAsia="en-GB"/>
        </w:rPr>
        <w:lastRenderedPageBreak/>
        <w:t>atvejo analizėje, Tarnyba taiko prielaidą, kad gydymo pembrolizumabu efektas pradeda mažėti antraisiais metais (po klinikinio tyrimo pabaigos) ir sulyginamas su palyginamosios grupės rizikos santykiu penktaisiais metais (HR</w:t>
      </w:r>
      <w:r w:rsidRPr="00870D0F">
        <w:rPr>
          <w:lang w:val="en-US" w:eastAsia="en-GB"/>
        </w:rPr>
        <w:t xml:space="preserve">=1), </w:t>
      </w:r>
      <w:proofErr w:type="spellStart"/>
      <w:r w:rsidRPr="00870D0F">
        <w:rPr>
          <w:lang w:val="en-US" w:eastAsia="en-GB"/>
        </w:rPr>
        <w:t>taikomas</w:t>
      </w:r>
      <w:proofErr w:type="spellEnd"/>
      <w:r w:rsidRPr="00870D0F">
        <w:rPr>
          <w:lang w:val="en-US" w:eastAsia="en-GB"/>
        </w:rPr>
        <w:t xml:space="preserve"> BI </w:t>
      </w:r>
      <w:proofErr w:type="spellStart"/>
      <w:r w:rsidRPr="00870D0F">
        <w:rPr>
          <w:lang w:val="en-US" w:eastAsia="en-GB"/>
        </w:rPr>
        <w:t>ir</w:t>
      </w:r>
      <w:proofErr w:type="spellEnd"/>
      <w:r w:rsidRPr="00870D0F">
        <w:rPr>
          <w:lang w:val="en-US" w:eastAsia="en-GB"/>
        </w:rPr>
        <w:t xml:space="preserve"> IBLP </w:t>
      </w:r>
      <w:proofErr w:type="spellStart"/>
      <w:r w:rsidRPr="00870D0F">
        <w:rPr>
          <w:lang w:val="en-US" w:eastAsia="en-GB"/>
        </w:rPr>
        <w:t>duomenų</w:t>
      </w:r>
      <w:proofErr w:type="spellEnd"/>
      <w:r w:rsidRPr="00870D0F">
        <w:rPr>
          <w:lang w:val="en-US" w:eastAsia="en-GB"/>
        </w:rPr>
        <w:t xml:space="preserve"> </w:t>
      </w:r>
      <w:r w:rsidRPr="00870D0F">
        <w:rPr>
          <w:rFonts w:eastAsiaTheme="minorHAnsi"/>
        </w:rPr>
        <w:t xml:space="preserve">KM+log-logistic modeliavimas (atsižvelgiant, kad tiksliau atspindimi duomenys ilgalaikėje perspektyvoje vertinant pagal literatūros šaltinių duomenis, kuriuos Pareiškėjas buvo pateikęs ankstesnėje Paraiškoje). </w:t>
      </w:r>
      <w:r w:rsidRPr="00870D0F">
        <w:rPr>
          <w:lang w:eastAsia="en-GB"/>
        </w:rPr>
        <w:t xml:space="preserve">IBLP duomenų ekstrapoliacijai taikomos KM+log-logistic (nuo 10 sav.) parametrinis modeliavimas. Kadangi Pembrolizumabas + 5-FU + cisplatina ir 5-FU + cisplatina </w:t>
      </w:r>
      <w:r w:rsidRPr="00870D0F">
        <w:t xml:space="preserve">palyginamųjų gydymo trukmės duomenys buvo </w:t>
      </w:r>
      <w:r w:rsidRPr="00870D0F">
        <w:rPr>
          <w:lang w:eastAsia="en-GB"/>
        </w:rPr>
        <w:t>brandūs (tyrimo pabaigoje nebuvo pacientų tęsiančių gydymą (0 proc.)), gydymo trukmė FEA modeliuojama pagal KEYNOTE-590 klinikinio tyrimo Kaplan–Meier kreives.</w:t>
      </w:r>
      <w:r w:rsidRPr="00870D0F">
        <w:rPr>
          <w:lang w:val="en-US" w:eastAsia="en-GB"/>
        </w:rPr>
        <w:t xml:space="preserve"> </w:t>
      </w:r>
      <w:r w:rsidRPr="00870D0F">
        <w:t xml:space="preserve">Sveikatai sukuriama nauda buvo vertinama pagal su sveikata susijusią gyvenimo kokybę (angl. </w:t>
      </w:r>
      <w:r w:rsidRPr="00870D0F">
        <w:rPr>
          <w:iCs/>
        </w:rPr>
        <w:t xml:space="preserve">Health realated quality of life, </w:t>
      </w:r>
      <w:r w:rsidRPr="00870D0F">
        <w:t xml:space="preserve">HRQoL), kuri buvo įvertinta klinikiniame tyrime KEYNOTE-590, naudojant EuroQoL EQ-5D-3L klausimyną. Gyvenimo kokybei įvertinti taikomas </w:t>
      </w:r>
      <w:proofErr w:type="spellStart"/>
      <w:r w:rsidRPr="00870D0F">
        <w:rPr>
          <w:snapToGrid w:val="0"/>
          <w:lang w:val="en-GB"/>
        </w:rPr>
        <w:t>laiko</w:t>
      </w:r>
      <w:proofErr w:type="spellEnd"/>
      <w:r w:rsidRPr="00870D0F">
        <w:rPr>
          <w:snapToGrid w:val="0"/>
          <w:lang w:val="en-GB"/>
        </w:rPr>
        <w:t xml:space="preserve"> </w:t>
      </w:r>
      <w:proofErr w:type="spellStart"/>
      <w:r w:rsidRPr="00870D0F">
        <w:rPr>
          <w:snapToGrid w:val="0"/>
          <w:lang w:val="en-GB"/>
        </w:rPr>
        <w:t>iki</w:t>
      </w:r>
      <w:proofErr w:type="spellEnd"/>
      <w:r w:rsidRPr="00870D0F">
        <w:rPr>
          <w:snapToGrid w:val="0"/>
          <w:lang w:val="en-GB"/>
        </w:rPr>
        <w:t xml:space="preserve"> </w:t>
      </w:r>
      <w:proofErr w:type="spellStart"/>
      <w:r w:rsidRPr="00870D0F">
        <w:rPr>
          <w:snapToGrid w:val="0"/>
          <w:lang w:val="en-GB"/>
        </w:rPr>
        <w:t>mirties</w:t>
      </w:r>
      <w:proofErr w:type="spellEnd"/>
      <w:r w:rsidRPr="00870D0F">
        <w:rPr>
          <w:snapToGrid w:val="0"/>
          <w:lang w:val="en-GB"/>
        </w:rPr>
        <w:t xml:space="preserve"> </w:t>
      </w:r>
      <w:proofErr w:type="spellStart"/>
      <w:r w:rsidRPr="00870D0F">
        <w:rPr>
          <w:snapToGrid w:val="0"/>
          <w:lang w:val="en-GB"/>
        </w:rPr>
        <w:t>metodas</w:t>
      </w:r>
      <w:proofErr w:type="spellEnd"/>
      <w:r w:rsidRPr="00870D0F">
        <w:rPr>
          <w:snapToGrid w:val="0"/>
          <w:lang w:val="en-GB"/>
        </w:rPr>
        <w:t xml:space="preserve">. </w:t>
      </w:r>
      <w:proofErr w:type="spellStart"/>
      <w:r w:rsidRPr="00870D0F">
        <w:rPr>
          <w:snapToGrid w:val="0"/>
          <w:lang w:val="en-GB"/>
        </w:rPr>
        <w:t>Tarnyba</w:t>
      </w:r>
      <w:proofErr w:type="spellEnd"/>
      <w:r w:rsidRPr="00870D0F">
        <w:rPr>
          <w:snapToGrid w:val="0"/>
          <w:lang w:val="en-GB"/>
        </w:rPr>
        <w:t xml:space="preserve"> </w:t>
      </w:r>
      <w:proofErr w:type="spellStart"/>
      <w:r w:rsidRPr="00870D0F">
        <w:rPr>
          <w:snapToGrid w:val="0"/>
          <w:lang w:val="en-GB"/>
        </w:rPr>
        <w:t>vertina</w:t>
      </w:r>
      <w:proofErr w:type="spellEnd"/>
      <w:r w:rsidRPr="00870D0F">
        <w:rPr>
          <w:snapToGrid w:val="0"/>
          <w:lang w:val="en-GB"/>
        </w:rPr>
        <w:t xml:space="preserve">, </w:t>
      </w:r>
      <w:proofErr w:type="spellStart"/>
      <w:r w:rsidRPr="00870D0F">
        <w:rPr>
          <w:snapToGrid w:val="0"/>
          <w:lang w:val="en-GB"/>
        </w:rPr>
        <w:t>kad</w:t>
      </w:r>
      <w:proofErr w:type="spellEnd"/>
      <w:r w:rsidRPr="00870D0F">
        <w:rPr>
          <w:snapToGrid w:val="0"/>
          <w:lang w:val="en-GB"/>
        </w:rPr>
        <w:t xml:space="preserve"> </w:t>
      </w:r>
      <w:proofErr w:type="spellStart"/>
      <w:r w:rsidRPr="00870D0F">
        <w:rPr>
          <w:snapToGrid w:val="0"/>
          <w:lang w:val="en-GB"/>
        </w:rPr>
        <w:t>yra</w:t>
      </w:r>
      <w:proofErr w:type="spellEnd"/>
      <w:r w:rsidRPr="00870D0F">
        <w:rPr>
          <w:snapToGrid w:val="0"/>
          <w:lang w:val="en-GB"/>
        </w:rPr>
        <w:t xml:space="preserve"> </w:t>
      </w:r>
      <w:proofErr w:type="spellStart"/>
      <w:r w:rsidRPr="00870D0F">
        <w:rPr>
          <w:snapToGrid w:val="0"/>
          <w:lang w:val="en-GB"/>
        </w:rPr>
        <w:t>tinkamas</w:t>
      </w:r>
      <w:proofErr w:type="spellEnd"/>
      <w:r w:rsidRPr="00870D0F">
        <w:rPr>
          <w:snapToGrid w:val="0"/>
          <w:lang w:val="en-GB"/>
        </w:rPr>
        <w:t xml:space="preserve">, </w:t>
      </w:r>
      <w:proofErr w:type="spellStart"/>
      <w:r w:rsidRPr="00870D0F">
        <w:rPr>
          <w:snapToGrid w:val="0"/>
          <w:lang w:val="en-GB"/>
        </w:rPr>
        <w:t>kadangi</w:t>
      </w:r>
      <w:proofErr w:type="spellEnd"/>
      <w:r w:rsidRPr="00870D0F">
        <w:rPr>
          <w:snapToGrid w:val="0"/>
          <w:lang w:val="en-GB"/>
        </w:rPr>
        <w:t xml:space="preserve"> </w:t>
      </w:r>
      <w:r w:rsidRPr="00870D0F">
        <w:t>naudojama daugiau sveikatos būsenų ir potencialiai geriau atitinka galimus realios klinikinės praktikos rezultatus. KNA taikomi s</w:t>
      </w:r>
      <w:r w:rsidRPr="00870D0F">
        <w:rPr>
          <w:snapToGrid w:val="0"/>
          <w:lang w:val="en-GB"/>
        </w:rPr>
        <w:t xml:space="preserve">u </w:t>
      </w:r>
      <w:proofErr w:type="spellStart"/>
      <w:r w:rsidRPr="00870D0F">
        <w:rPr>
          <w:snapToGrid w:val="0"/>
          <w:lang w:val="en-GB"/>
        </w:rPr>
        <w:t>sveikata</w:t>
      </w:r>
      <w:proofErr w:type="spellEnd"/>
      <w:r w:rsidRPr="00870D0F">
        <w:rPr>
          <w:snapToGrid w:val="0"/>
          <w:lang w:val="en-GB"/>
        </w:rPr>
        <w:t xml:space="preserve"> </w:t>
      </w:r>
      <w:proofErr w:type="spellStart"/>
      <w:r w:rsidRPr="00870D0F">
        <w:rPr>
          <w:snapToGrid w:val="0"/>
          <w:lang w:val="en-GB"/>
        </w:rPr>
        <w:t>susiję</w:t>
      </w:r>
      <w:proofErr w:type="spellEnd"/>
      <w:r w:rsidRPr="00870D0F">
        <w:rPr>
          <w:snapToGrid w:val="0"/>
          <w:lang w:val="en-GB"/>
        </w:rPr>
        <w:t xml:space="preserve"> </w:t>
      </w:r>
      <w:proofErr w:type="spellStart"/>
      <w:r w:rsidRPr="00870D0F">
        <w:rPr>
          <w:snapToGrid w:val="0"/>
          <w:lang w:val="en-GB"/>
        </w:rPr>
        <w:t>gyvenimo</w:t>
      </w:r>
      <w:proofErr w:type="spellEnd"/>
      <w:r w:rsidRPr="00870D0F">
        <w:rPr>
          <w:snapToGrid w:val="0"/>
          <w:lang w:val="en-GB"/>
        </w:rPr>
        <w:t xml:space="preserve"> </w:t>
      </w:r>
      <w:r w:rsidRPr="00870D0F">
        <w:t>kokybės praradimai dėl NR neturi reikšmingos įtakos ICER pokyčiui, laikoma, kad modelyje taikomi gyvenimo kokybės koeficientai yra tinkami. Kitos KNA taikomos prielaidos detalizuojamos vertinimo protokole.</w:t>
      </w:r>
    </w:p>
    <w:p w14:paraId="7A87B8AD" w14:textId="0213F27F" w:rsidR="00705D2C" w:rsidRDefault="00705D2C" w:rsidP="00705D2C">
      <w:pPr>
        <w:spacing w:line="276" w:lineRule="auto"/>
        <w:ind w:firstLine="540"/>
        <w:jc w:val="both"/>
        <w:rPr>
          <w:rFonts w:eastAsiaTheme="minorHAnsi"/>
        </w:rPr>
      </w:pPr>
      <w:r w:rsidRPr="00870D0F">
        <w:t>Analizė atlikta iš PSDF biudžeto perspektyvos, įtraukti tiesiogiai su sveikatos sistema susiję kaštai. Tai atitinka teisės aktuose nustatytus paraiškos rengimo taisyklių reikalavimus. Pareiškėjas įtraukia vaistinių preparatų įsigijimo ir skyrimo, stebėsenos, sekančių eilių bei nepageidaujamų reiškinių valdymo, paliatyvios pagalbos kaštus, Tarnybos atnaujintus pagal 2024 m. II pusm. sveikatos priežiūros paslaugų ir kainyno įkainius. Įprastinėje atvejo analizėje Tarnyba neįtraukia sekančių eilių gydymo kaštų. Tarnyba vertina, kad sekančių eilių gydymo kaštai nėra pagrįsti ir kadangi indikacija kompensavimui yra teikiama pirmos eilės gydymui, Tarnyba taiko supaprastintą variantą ir sekančių eilių gydymo kaštų neįtraukia (kadangi modelyje funkcija neaktyvi, įtraukiami vienodi 1 Eur. kaštai, plačiau aptariama Medicininiai kaštai dalyje).</w:t>
      </w:r>
      <w:r>
        <w:t xml:space="preserve"> </w:t>
      </w:r>
      <w:r w:rsidRPr="00870D0F">
        <w:rPr>
          <w:rFonts w:eastAsiaTheme="minorHAnsi"/>
        </w:rPr>
        <w:t>Pareiškėjas pembrolizumabui teikia kainos nuolaidą. Teikiama prieinamumo gerinimo schema (PGS) (Paraiškos įrašyti vaistinį preparatą į kompensavimo sąrašus formos 1 priedas). PGS siūloma 2023-iųjų metų bazinė pembrolizumabo kaina už 100 mg flakoną –  Eur. Tarnyba įprastinę atvejo analizę atlieka su pembrolizumabo kaina su nuolaida (su PGS).</w:t>
      </w:r>
    </w:p>
    <w:p w14:paraId="57F399BB" w14:textId="17A74B88" w:rsidR="00705D2C" w:rsidRDefault="00705D2C" w:rsidP="00705D2C">
      <w:pPr>
        <w:spacing w:line="276" w:lineRule="auto"/>
        <w:ind w:firstLine="540"/>
        <w:jc w:val="both"/>
        <w:rPr>
          <w:rFonts w:eastAsiaTheme="minorHAnsi"/>
        </w:rPr>
      </w:pPr>
    </w:p>
    <w:p w14:paraId="39C9CC1A" w14:textId="415940C7" w:rsidR="00D07D40" w:rsidRPr="00D07D40" w:rsidRDefault="00705D2C" w:rsidP="00D07D40">
      <w:pPr>
        <w:tabs>
          <w:tab w:val="left" w:pos="426"/>
        </w:tabs>
        <w:jc w:val="center"/>
        <w:rPr>
          <w:b/>
          <w:lang w:eastAsia="lt-LT"/>
        </w:rPr>
      </w:pPr>
      <w:r w:rsidRPr="00E33EFF">
        <w:rPr>
          <w:b/>
          <w:lang w:eastAsia="lt-LT"/>
        </w:rPr>
        <w:t>Ekonominės analizės rezultatas</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096"/>
        <w:gridCol w:w="2756"/>
        <w:gridCol w:w="2757"/>
      </w:tblGrid>
      <w:tr w:rsidR="00D07D40" w:rsidRPr="0035172D" w14:paraId="7B01B7C9" w14:textId="77777777" w:rsidTr="00530243">
        <w:tc>
          <w:tcPr>
            <w:tcW w:w="9609" w:type="dxa"/>
            <w:gridSpan w:val="3"/>
            <w:tcBorders>
              <w:top w:val="single" w:sz="12" w:space="0" w:color="auto"/>
            </w:tcBorders>
          </w:tcPr>
          <w:p w14:paraId="0DA7D777" w14:textId="77777777" w:rsidR="00D07D40" w:rsidRPr="00F70C9E" w:rsidRDefault="00D07D40" w:rsidP="00530243">
            <w:pPr>
              <w:tabs>
                <w:tab w:val="left" w:pos="567"/>
              </w:tabs>
              <w:jc w:val="center"/>
              <w:rPr>
                <w:b/>
                <w:bCs/>
                <w:sz w:val="26"/>
                <w:szCs w:val="26"/>
                <w:lang w:eastAsia="lt-LT"/>
              </w:rPr>
            </w:pPr>
            <w:r w:rsidRPr="00F70C9E">
              <w:rPr>
                <w:b/>
                <w:bCs/>
                <w:sz w:val="26"/>
                <w:szCs w:val="26"/>
                <w:lang w:eastAsia="lt-LT"/>
              </w:rPr>
              <w:t>Rezultatai</w:t>
            </w:r>
          </w:p>
        </w:tc>
      </w:tr>
      <w:tr w:rsidR="00D07D40" w:rsidRPr="0035172D" w14:paraId="63338C37" w14:textId="77777777" w:rsidTr="00716F35">
        <w:tc>
          <w:tcPr>
            <w:tcW w:w="4096" w:type="dxa"/>
          </w:tcPr>
          <w:p w14:paraId="0BF485C5" w14:textId="4B3AC117" w:rsidR="00D07D40" w:rsidRPr="00D07D40" w:rsidRDefault="00D07D40" w:rsidP="00D07D40">
            <w:pPr>
              <w:tabs>
                <w:tab w:val="left" w:pos="567"/>
              </w:tabs>
              <w:jc w:val="right"/>
              <w:rPr>
                <w:iCs/>
                <w:lang w:eastAsia="lt-LT"/>
              </w:rPr>
            </w:pPr>
          </w:p>
        </w:tc>
        <w:tc>
          <w:tcPr>
            <w:tcW w:w="2756" w:type="dxa"/>
          </w:tcPr>
          <w:p w14:paraId="25472657" w14:textId="77777777" w:rsidR="00D07D40" w:rsidRPr="00D07D40" w:rsidRDefault="00D07D40" w:rsidP="00D07D40">
            <w:pPr>
              <w:jc w:val="both"/>
              <w:rPr>
                <w:b/>
                <w:i/>
                <w:iCs/>
                <w:lang w:eastAsia="lt-LT"/>
              </w:rPr>
            </w:pPr>
            <w:r w:rsidRPr="00D07D40">
              <w:rPr>
                <w:b/>
                <w:i/>
                <w:iCs/>
                <w:lang w:eastAsia="lt-LT"/>
              </w:rPr>
              <w:t xml:space="preserve">Lyginant su </w:t>
            </w:r>
          </w:p>
          <w:p w14:paraId="77A23E2D" w14:textId="1F65F3D0" w:rsidR="00D07D40" w:rsidRPr="00D07D40" w:rsidRDefault="00D07D40" w:rsidP="00D07D40">
            <w:pPr>
              <w:jc w:val="both"/>
              <w:rPr>
                <w:b/>
                <w:bCs/>
                <w:i/>
              </w:rPr>
            </w:pPr>
            <w:r w:rsidRPr="00D07D40">
              <w:rPr>
                <w:b/>
                <w:bCs/>
                <w:i/>
              </w:rPr>
              <w:t>5-FU + cisplatina</w:t>
            </w:r>
          </w:p>
        </w:tc>
        <w:tc>
          <w:tcPr>
            <w:tcW w:w="2757" w:type="dxa"/>
          </w:tcPr>
          <w:p w14:paraId="279BA333" w14:textId="77777777" w:rsidR="00D07D40" w:rsidRPr="00D07D40" w:rsidRDefault="00D07D40" w:rsidP="00D07D40">
            <w:pPr>
              <w:jc w:val="both"/>
              <w:rPr>
                <w:i/>
                <w:iCs/>
                <w:lang w:eastAsia="lt-LT"/>
              </w:rPr>
            </w:pPr>
            <w:r w:rsidRPr="00D07D40">
              <w:rPr>
                <w:i/>
                <w:iCs/>
                <w:lang w:eastAsia="lt-LT"/>
              </w:rPr>
              <w:t xml:space="preserve">Lyginant su </w:t>
            </w:r>
          </w:p>
          <w:p w14:paraId="3EBC91D6" w14:textId="5B8BC66D" w:rsidR="00D07D40" w:rsidRPr="00D07D40" w:rsidRDefault="00D07D40" w:rsidP="00D07D40">
            <w:pPr>
              <w:tabs>
                <w:tab w:val="left" w:pos="567"/>
              </w:tabs>
              <w:jc w:val="both"/>
              <w:rPr>
                <w:i/>
                <w:iCs/>
                <w:lang w:val="en-US" w:eastAsia="lt-LT"/>
              </w:rPr>
            </w:pPr>
            <w:r w:rsidRPr="00D07D40">
              <w:rPr>
                <w:bCs/>
                <w:i/>
              </w:rPr>
              <w:t>Chemoterapijos deriniu</w:t>
            </w:r>
            <w:r w:rsidRPr="00D07D40">
              <w:rPr>
                <w:bCs/>
                <w:i/>
                <w:lang w:val="en-US"/>
              </w:rPr>
              <w:t>*</w:t>
            </w:r>
          </w:p>
        </w:tc>
      </w:tr>
      <w:tr w:rsidR="00D07D40" w:rsidRPr="0035172D" w14:paraId="708DCC5A" w14:textId="77777777" w:rsidTr="00716F35">
        <w:tc>
          <w:tcPr>
            <w:tcW w:w="4096" w:type="dxa"/>
          </w:tcPr>
          <w:p w14:paraId="5959ED6E" w14:textId="4F26126F" w:rsidR="00D07D40" w:rsidRPr="00D07D40" w:rsidRDefault="00D07D40" w:rsidP="00D07D40">
            <w:pPr>
              <w:tabs>
                <w:tab w:val="left" w:pos="567"/>
              </w:tabs>
              <w:jc w:val="right"/>
              <w:rPr>
                <w:iCs/>
                <w:lang w:eastAsia="lt-LT"/>
              </w:rPr>
            </w:pPr>
            <w:r w:rsidRPr="00D07D40">
              <w:rPr>
                <w:iCs/>
                <w:lang w:eastAsia="lt-LT"/>
              </w:rPr>
              <w:t>ICER už LY</w:t>
            </w:r>
          </w:p>
        </w:tc>
        <w:tc>
          <w:tcPr>
            <w:tcW w:w="2756" w:type="dxa"/>
          </w:tcPr>
          <w:p w14:paraId="69F67B76" w14:textId="6F8E0B68" w:rsidR="00D07D40" w:rsidRPr="00D07D40" w:rsidRDefault="00D07D40" w:rsidP="00D07D40">
            <w:pPr>
              <w:tabs>
                <w:tab w:val="left" w:pos="567"/>
              </w:tabs>
              <w:jc w:val="both"/>
              <w:rPr>
                <w:b/>
                <w:color w:val="000000"/>
              </w:rPr>
            </w:pPr>
          </w:p>
        </w:tc>
        <w:tc>
          <w:tcPr>
            <w:tcW w:w="2757" w:type="dxa"/>
          </w:tcPr>
          <w:p w14:paraId="2FEB4A4A" w14:textId="41C3C677" w:rsidR="00D07D40" w:rsidRPr="00D07D40" w:rsidRDefault="00D07D40" w:rsidP="00D07D40">
            <w:pPr>
              <w:tabs>
                <w:tab w:val="left" w:pos="567"/>
              </w:tabs>
              <w:jc w:val="both"/>
              <w:rPr>
                <w:i/>
                <w:iCs/>
                <w:lang w:eastAsia="lt-LT"/>
              </w:rPr>
            </w:pPr>
            <w:r w:rsidRPr="00D07D40">
              <w:rPr>
                <w:color w:val="000000"/>
              </w:rPr>
              <w:t xml:space="preserve"> Eur./LYS</w:t>
            </w:r>
          </w:p>
        </w:tc>
      </w:tr>
      <w:tr w:rsidR="00D07D40" w:rsidRPr="0035172D" w14:paraId="3402ED0E" w14:textId="77777777" w:rsidTr="00353B79">
        <w:tc>
          <w:tcPr>
            <w:tcW w:w="4096" w:type="dxa"/>
          </w:tcPr>
          <w:p w14:paraId="4B971324" w14:textId="77777777" w:rsidR="00D07D40" w:rsidRPr="00D07D40" w:rsidRDefault="00D07D40" w:rsidP="00D07D40">
            <w:pPr>
              <w:tabs>
                <w:tab w:val="left" w:pos="567"/>
              </w:tabs>
              <w:jc w:val="right"/>
              <w:rPr>
                <w:iCs/>
                <w:lang w:eastAsia="lt-LT"/>
              </w:rPr>
            </w:pPr>
            <w:r w:rsidRPr="00D07D40">
              <w:rPr>
                <w:iCs/>
                <w:lang w:eastAsia="lt-LT"/>
              </w:rPr>
              <w:t>ICER už QALY</w:t>
            </w:r>
          </w:p>
        </w:tc>
        <w:tc>
          <w:tcPr>
            <w:tcW w:w="2756" w:type="dxa"/>
          </w:tcPr>
          <w:p w14:paraId="0750B122" w14:textId="00DF350E" w:rsidR="00D07D40" w:rsidRPr="00D07D40" w:rsidRDefault="00D07D40" w:rsidP="00D07D40">
            <w:pPr>
              <w:tabs>
                <w:tab w:val="left" w:pos="567"/>
              </w:tabs>
              <w:jc w:val="both"/>
              <w:rPr>
                <w:b/>
                <w:i/>
                <w:iCs/>
                <w:lang w:eastAsia="lt-LT"/>
              </w:rPr>
            </w:pPr>
          </w:p>
        </w:tc>
        <w:tc>
          <w:tcPr>
            <w:tcW w:w="2757" w:type="dxa"/>
          </w:tcPr>
          <w:p w14:paraId="7DC61AE6" w14:textId="2A13C56C" w:rsidR="00D07D40" w:rsidRPr="00D07D40" w:rsidRDefault="00D07D40" w:rsidP="00D07D40">
            <w:pPr>
              <w:tabs>
                <w:tab w:val="left" w:pos="567"/>
              </w:tabs>
              <w:jc w:val="both"/>
              <w:rPr>
                <w:i/>
                <w:iCs/>
                <w:lang w:eastAsia="lt-LT"/>
              </w:rPr>
            </w:pPr>
            <w:r w:rsidRPr="00D07D40">
              <w:rPr>
                <w:color w:val="000000"/>
              </w:rPr>
              <w:t xml:space="preserve"> Eur./QALYS</w:t>
            </w:r>
          </w:p>
        </w:tc>
      </w:tr>
      <w:tr w:rsidR="00D07D40" w:rsidRPr="00884E65" w14:paraId="63258F5A" w14:textId="77777777" w:rsidTr="00A128EA">
        <w:tc>
          <w:tcPr>
            <w:tcW w:w="4096" w:type="dxa"/>
          </w:tcPr>
          <w:p w14:paraId="6F4D0388" w14:textId="77777777" w:rsidR="00D07D40" w:rsidRPr="00D07D40" w:rsidRDefault="00D07D40" w:rsidP="00D07D40">
            <w:pPr>
              <w:tabs>
                <w:tab w:val="left" w:pos="567"/>
              </w:tabs>
              <w:jc w:val="right"/>
              <w:rPr>
                <w:iCs/>
                <w:lang w:eastAsia="lt-LT"/>
              </w:rPr>
            </w:pPr>
            <w:r w:rsidRPr="00D07D40">
              <w:rPr>
                <w:iCs/>
                <w:lang w:eastAsia="lt-LT"/>
              </w:rPr>
              <w:t>Referentinė kaštų naudingumo vertė</w:t>
            </w:r>
          </w:p>
        </w:tc>
        <w:tc>
          <w:tcPr>
            <w:tcW w:w="5513" w:type="dxa"/>
            <w:gridSpan w:val="2"/>
          </w:tcPr>
          <w:p w14:paraId="788D6340" w14:textId="43FB3327" w:rsidR="00D07D40" w:rsidRPr="00D07D40" w:rsidRDefault="00D07D40" w:rsidP="00D07D40">
            <w:pPr>
              <w:tabs>
                <w:tab w:val="left" w:pos="567"/>
              </w:tabs>
              <w:jc w:val="both"/>
              <w:rPr>
                <w:i/>
                <w:iCs/>
                <w:lang w:eastAsia="lt-LT"/>
              </w:rPr>
            </w:pPr>
            <w:r w:rsidRPr="00D07D40">
              <w:rPr>
                <w:lang w:eastAsia="lt-LT"/>
              </w:rPr>
              <w:t>119 011 Eur.</w:t>
            </w:r>
          </w:p>
        </w:tc>
      </w:tr>
    </w:tbl>
    <w:p w14:paraId="1D179305" w14:textId="3C9B0A05" w:rsidR="00705D2C" w:rsidRPr="00D07D40" w:rsidRDefault="00D07D40" w:rsidP="00D07D40">
      <w:pPr>
        <w:tabs>
          <w:tab w:val="left" w:pos="567"/>
        </w:tabs>
        <w:jc w:val="both"/>
        <w:rPr>
          <w:iCs/>
          <w:sz w:val="20"/>
          <w:lang w:eastAsia="lt-LT"/>
        </w:rPr>
      </w:pPr>
      <w:r w:rsidRPr="00C37B53">
        <w:rPr>
          <w:iCs/>
          <w:sz w:val="20"/>
          <w:lang w:eastAsia="lt-LT"/>
        </w:rPr>
        <w:t>ICER – (</w:t>
      </w:r>
      <w:r w:rsidRPr="00C37B53">
        <w:rPr>
          <w:i/>
          <w:sz w:val="20"/>
          <w:lang w:eastAsia="lt-LT"/>
        </w:rPr>
        <w:t>angl. incremental cost-effectiveness ratio</w:t>
      </w:r>
      <w:r w:rsidRPr="00C37B53">
        <w:rPr>
          <w:iCs/>
          <w:sz w:val="20"/>
          <w:lang w:eastAsia="lt-LT"/>
        </w:rPr>
        <w:t>) inkrementinis kaštų naudingumo koeficientas; LY – (</w:t>
      </w:r>
      <w:r w:rsidRPr="00C37B53">
        <w:rPr>
          <w:i/>
          <w:sz w:val="20"/>
          <w:lang w:eastAsia="lt-LT"/>
        </w:rPr>
        <w:t>angl. life years</w:t>
      </w:r>
      <w:r w:rsidRPr="00C37B53">
        <w:rPr>
          <w:iCs/>
          <w:sz w:val="20"/>
          <w:lang w:eastAsia="lt-LT"/>
        </w:rPr>
        <w:t>) gyvenimo metai; QALY- (</w:t>
      </w:r>
      <w:r w:rsidRPr="00C37B53">
        <w:rPr>
          <w:i/>
          <w:sz w:val="20"/>
          <w:lang w:eastAsia="lt-LT"/>
        </w:rPr>
        <w:t xml:space="preserve">angl. quality adjusted life years) </w:t>
      </w:r>
      <w:r w:rsidRPr="00C37B53">
        <w:rPr>
          <w:iCs/>
          <w:sz w:val="20"/>
          <w:lang w:eastAsia="lt-LT"/>
        </w:rPr>
        <w:t>kokybiški gyvenimo metai.</w:t>
      </w:r>
    </w:p>
    <w:p w14:paraId="163A95A0" w14:textId="31DCA457" w:rsidR="00705D2C" w:rsidRDefault="00D07D40" w:rsidP="00D07D40">
      <w:pPr>
        <w:spacing w:line="276" w:lineRule="auto"/>
        <w:jc w:val="both"/>
      </w:pPr>
      <w:r w:rsidRPr="00D07D40">
        <w:rPr>
          <w:sz w:val="20"/>
          <w:szCs w:val="20"/>
        </w:rPr>
        <w:t xml:space="preserve">* </w:t>
      </w:r>
      <w:r w:rsidRPr="00D07D40">
        <w:rPr>
          <w:i/>
          <w:sz w:val="20"/>
          <w:szCs w:val="20"/>
        </w:rPr>
        <w:t xml:space="preserve">bendra chemoterapijos schema apskaičiuota pagal tikėtinus pacientų gydymo srautus:  5-FU + cisplatina - 80 proc., cisplatina </w:t>
      </w:r>
      <w:r w:rsidRPr="00D07D40">
        <w:rPr>
          <w:i/>
          <w:sz w:val="20"/>
          <w:szCs w:val="20"/>
          <w:lang w:val="en-GB"/>
        </w:rPr>
        <w:t>+ k</w:t>
      </w:r>
      <w:r w:rsidRPr="00D07D40">
        <w:rPr>
          <w:i/>
          <w:sz w:val="20"/>
          <w:szCs w:val="20"/>
        </w:rPr>
        <w:t>apecitabinas -15 proc. ir 5-FU + oksaliplatina + leukovorinas (FOLFOX) - 5 proc.</w:t>
      </w:r>
    </w:p>
    <w:p w14:paraId="47D2FF10" w14:textId="77777777" w:rsidR="00D07D40" w:rsidRDefault="00D07D40" w:rsidP="00705D2C">
      <w:pPr>
        <w:spacing w:line="276" w:lineRule="auto"/>
        <w:ind w:firstLine="540"/>
        <w:jc w:val="both"/>
      </w:pPr>
    </w:p>
    <w:p w14:paraId="43C4B983" w14:textId="69EBA410" w:rsidR="00705D2C" w:rsidRDefault="00705D2C" w:rsidP="00705D2C">
      <w:pPr>
        <w:spacing w:line="276" w:lineRule="auto"/>
        <w:ind w:firstLine="540"/>
        <w:jc w:val="both"/>
      </w:pPr>
      <w:r w:rsidRPr="00870D0F">
        <w:rPr>
          <w:lang w:eastAsia="lt-LT"/>
        </w:rPr>
        <w:t xml:space="preserve">Iš gautų ekonominės analizės rezultatų matyti, kad </w:t>
      </w:r>
      <w:r w:rsidRPr="00870D0F">
        <w:rPr>
          <w:rFonts w:eastAsia="Arial"/>
          <w:bCs/>
          <w:lang w:eastAsia="lt-LT"/>
        </w:rPr>
        <w:t xml:space="preserve">pembrolizumabą derinyje </w:t>
      </w:r>
      <w:r w:rsidRPr="00870D0F">
        <w:t xml:space="preserve">su chemoterapija skiriant vietiškai išplitusios nerezekuotinos ar metastazavusios stemplės karcinomos arba HER-2 neigiamos gastroezofaginės jungties adenokarcinomos pirmaeiliam gydymui suaugusiesiems, kurių navikai ekspresuoja PD-L1 ir CPS rodmuo yra ≥ 10 </w:t>
      </w:r>
      <w:r w:rsidRPr="00870D0F">
        <w:rPr>
          <w:lang w:eastAsia="lt-LT"/>
        </w:rPr>
        <w:t>lyginant su standartiniu gydymu (</w:t>
      </w:r>
      <w:r w:rsidRPr="00870D0F">
        <w:rPr>
          <w:bCs/>
        </w:rPr>
        <w:t xml:space="preserve">5-FU + cisplatina) </w:t>
      </w:r>
      <w:r w:rsidRPr="00870D0F">
        <w:rPr>
          <w:bCs/>
          <w:iCs/>
          <w:lang w:eastAsia="lt-LT"/>
        </w:rPr>
        <w:t xml:space="preserve">ir vertinant 20 m. laikotarpiu yra išsaugomi papildomi  kokybiški gyvenimo metai, kurie </w:t>
      </w:r>
      <w:r w:rsidRPr="00870D0F">
        <w:rPr>
          <w:bCs/>
          <w:iCs/>
          <w:lang w:eastAsia="lt-LT"/>
        </w:rPr>
        <w:lastRenderedPageBreak/>
        <w:t xml:space="preserve">lemia </w:t>
      </w:r>
      <w:r w:rsidRPr="00870D0F">
        <w:t xml:space="preserve"> </w:t>
      </w:r>
      <w:r w:rsidRPr="00870D0F">
        <w:rPr>
          <w:bCs/>
          <w:lang w:eastAsia="lt-LT"/>
        </w:rPr>
        <w:t>Eur. papildomas išlaidas. A</w:t>
      </w:r>
      <w:r w:rsidRPr="00870D0F">
        <w:rPr>
          <w:rFonts w:eastAsia="Arial"/>
          <w:lang w:eastAsia="lt-LT"/>
        </w:rPr>
        <w:t>pskaičiuotas ICER (</w:t>
      </w:r>
      <w:r w:rsidRPr="00870D0F">
        <w:t xml:space="preserve"> Eur./QALY</w:t>
      </w:r>
      <w:r w:rsidRPr="00870D0F">
        <w:rPr>
          <w:bCs/>
          <w:lang w:eastAsia="lt-LT"/>
        </w:rPr>
        <w:t>) atitinka sunkiai ligos naštai taikomą referencinę kaštų naudingumo vertę (&lt;</w:t>
      </w:r>
      <w:r w:rsidRPr="00870D0F">
        <w:rPr>
          <w:lang w:eastAsia="lt-LT"/>
        </w:rPr>
        <w:t>119 011 Eur.).</w:t>
      </w:r>
    </w:p>
    <w:p w14:paraId="1A900598" w14:textId="515C2308" w:rsidR="00C62B36" w:rsidRPr="00D07D40" w:rsidRDefault="00705D2C" w:rsidP="00D07D40">
      <w:pPr>
        <w:spacing w:line="276" w:lineRule="auto"/>
        <w:ind w:firstLine="540"/>
        <w:jc w:val="both"/>
      </w:pPr>
      <w:r w:rsidRPr="0067647F">
        <w:t>Tarnyba KNA atlieka įtraukiant pogrupio duomenis</w:t>
      </w:r>
      <w:r w:rsidR="0067647F" w:rsidRPr="0067647F">
        <w:t>, kurių navikai ekspresuoja PD-L1 ir CPS rodmuo yra ≥ 10</w:t>
      </w:r>
      <w:r w:rsidRPr="0067647F">
        <w:t>.</w:t>
      </w:r>
      <w:r w:rsidRPr="00870D0F">
        <w:t xml:space="preserve"> Paminėtina, kad įtraukus visą populiaciją (KEYNOTE-590 klinikinio tyrimo ITT populiacija) KNA rezultatai taip pat atitinka sunkiai ligos naštai taikomą referencinę kaštų naudingumo vertę. Esminių skirtumų KNA rezultatams priklausomai nuo palyginamojo (cisplatina + 5-FU arba bendra apjungta schema) </w:t>
      </w:r>
      <w:r>
        <w:t xml:space="preserve">– taip pat </w:t>
      </w:r>
      <w:r w:rsidRPr="00870D0F">
        <w:t>nėra.</w:t>
      </w:r>
      <w:r>
        <w:t xml:space="preserve"> </w:t>
      </w:r>
      <w:proofErr w:type="spellStart"/>
      <w:r w:rsidRPr="00870D0F">
        <w:rPr>
          <w:lang w:val="en-US" w:eastAsia="en-GB"/>
        </w:rPr>
        <w:t>Paminėtina</w:t>
      </w:r>
      <w:proofErr w:type="spellEnd"/>
      <w:r w:rsidRPr="00870D0F">
        <w:rPr>
          <w:lang w:val="en-US" w:eastAsia="en-GB"/>
        </w:rPr>
        <w:t xml:space="preserve">, </w:t>
      </w:r>
      <w:proofErr w:type="spellStart"/>
      <w:r w:rsidRPr="00870D0F">
        <w:rPr>
          <w:lang w:val="en-US" w:eastAsia="en-GB"/>
        </w:rPr>
        <w:t>kad</w:t>
      </w:r>
      <w:proofErr w:type="spellEnd"/>
      <w:r w:rsidRPr="00870D0F">
        <w:rPr>
          <w:lang w:val="en-US" w:eastAsia="en-GB"/>
        </w:rPr>
        <w:t xml:space="preserve"> </w:t>
      </w:r>
      <w:proofErr w:type="spellStart"/>
      <w:r w:rsidRPr="00870D0F">
        <w:rPr>
          <w:lang w:val="en-US" w:eastAsia="en-GB"/>
        </w:rPr>
        <w:t>nepriklausomai</w:t>
      </w:r>
      <w:proofErr w:type="spellEnd"/>
      <w:r w:rsidRPr="00870D0F">
        <w:rPr>
          <w:lang w:val="en-US" w:eastAsia="en-GB"/>
        </w:rPr>
        <w:t xml:space="preserve"> </w:t>
      </w:r>
      <w:proofErr w:type="spellStart"/>
      <w:r w:rsidRPr="00870D0F">
        <w:rPr>
          <w:lang w:val="en-US" w:eastAsia="en-GB"/>
        </w:rPr>
        <w:t>nuo</w:t>
      </w:r>
      <w:proofErr w:type="spellEnd"/>
      <w:r w:rsidRPr="00870D0F">
        <w:rPr>
          <w:lang w:val="en-US" w:eastAsia="en-GB"/>
        </w:rPr>
        <w:t xml:space="preserve"> </w:t>
      </w:r>
      <w:proofErr w:type="spellStart"/>
      <w:r w:rsidRPr="00870D0F">
        <w:rPr>
          <w:lang w:val="en-US" w:eastAsia="en-GB"/>
        </w:rPr>
        <w:t>ekstrapoliacijai</w:t>
      </w:r>
      <w:proofErr w:type="spellEnd"/>
      <w:r w:rsidRPr="00870D0F">
        <w:rPr>
          <w:lang w:val="en-US" w:eastAsia="en-GB"/>
        </w:rPr>
        <w:t xml:space="preserve"> </w:t>
      </w:r>
      <w:proofErr w:type="spellStart"/>
      <w:r w:rsidRPr="00870D0F">
        <w:rPr>
          <w:lang w:val="en-US" w:eastAsia="en-GB"/>
        </w:rPr>
        <w:t>taikomų</w:t>
      </w:r>
      <w:proofErr w:type="spellEnd"/>
      <w:r w:rsidRPr="00870D0F">
        <w:rPr>
          <w:lang w:val="en-US" w:eastAsia="en-GB"/>
        </w:rPr>
        <w:t xml:space="preserve"> </w:t>
      </w:r>
      <w:proofErr w:type="spellStart"/>
      <w:r w:rsidRPr="00870D0F">
        <w:rPr>
          <w:lang w:val="en-US" w:eastAsia="en-GB"/>
        </w:rPr>
        <w:t>prielaidų</w:t>
      </w:r>
      <w:proofErr w:type="spellEnd"/>
      <w:r w:rsidRPr="00870D0F">
        <w:rPr>
          <w:lang w:val="en-US" w:eastAsia="en-GB"/>
        </w:rPr>
        <w:t xml:space="preserve">, </w:t>
      </w:r>
      <w:proofErr w:type="spellStart"/>
      <w:r w:rsidRPr="00870D0F">
        <w:rPr>
          <w:lang w:val="en-US" w:eastAsia="en-GB"/>
        </w:rPr>
        <w:t>visais</w:t>
      </w:r>
      <w:proofErr w:type="spellEnd"/>
      <w:r w:rsidRPr="00870D0F">
        <w:rPr>
          <w:lang w:val="en-US" w:eastAsia="en-GB"/>
        </w:rPr>
        <w:t xml:space="preserve"> </w:t>
      </w:r>
      <w:proofErr w:type="spellStart"/>
      <w:r w:rsidRPr="00870D0F">
        <w:rPr>
          <w:lang w:val="en-US" w:eastAsia="en-GB"/>
        </w:rPr>
        <w:t>atvejais</w:t>
      </w:r>
      <w:proofErr w:type="spellEnd"/>
      <w:r w:rsidRPr="00870D0F">
        <w:rPr>
          <w:lang w:val="en-US" w:eastAsia="en-GB"/>
        </w:rPr>
        <w:t xml:space="preserve"> </w:t>
      </w:r>
      <w:proofErr w:type="spellStart"/>
      <w:r w:rsidRPr="00870D0F">
        <w:rPr>
          <w:lang w:val="en-US" w:eastAsia="en-GB"/>
        </w:rPr>
        <w:t>sunkliai</w:t>
      </w:r>
      <w:proofErr w:type="spellEnd"/>
      <w:r w:rsidRPr="00870D0F">
        <w:rPr>
          <w:lang w:val="en-US" w:eastAsia="en-GB"/>
        </w:rPr>
        <w:t xml:space="preserve"> </w:t>
      </w:r>
      <w:proofErr w:type="spellStart"/>
      <w:r w:rsidRPr="00870D0F">
        <w:rPr>
          <w:lang w:val="en-US" w:eastAsia="en-GB"/>
        </w:rPr>
        <w:t>ligos</w:t>
      </w:r>
      <w:proofErr w:type="spellEnd"/>
      <w:r w:rsidRPr="00870D0F">
        <w:rPr>
          <w:lang w:val="en-US" w:eastAsia="en-GB"/>
        </w:rPr>
        <w:t xml:space="preserve"> </w:t>
      </w:r>
      <w:proofErr w:type="spellStart"/>
      <w:r w:rsidRPr="00870D0F">
        <w:rPr>
          <w:lang w:val="en-US" w:eastAsia="en-GB"/>
        </w:rPr>
        <w:t>naštai</w:t>
      </w:r>
      <w:proofErr w:type="spellEnd"/>
      <w:r w:rsidRPr="00870D0F">
        <w:rPr>
          <w:lang w:val="en-US" w:eastAsia="en-GB"/>
        </w:rPr>
        <w:t xml:space="preserve"> </w:t>
      </w:r>
      <w:proofErr w:type="spellStart"/>
      <w:r w:rsidRPr="00870D0F">
        <w:rPr>
          <w:lang w:val="en-US" w:eastAsia="en-GB"/>
        </w:rPr>
        <w:t>taikomas</w:t>
      </w:r>
      <w:proofErr w:type="spellEnd"/>
      <w:r w:rsidRPr="00870D0F">
        <w:rPr>
          <w:lang w:val="en-US" w:eastAsia="en-GB"/>
        </w:rPr>
        <w:t xml:space="preserve"> </w:t>
      </w:r>
      <w:proofErr w:type="spellStart"/>
      <w:r w:rsidRPr="00870D0F">
        <w:rPr>
          <w:lang w:val="en-US" w:eastAsia="en-GB"/>
        </w:rPr>
        <w:t>referencinės</w:t>
      </w:r>
      <w:proofErr w:type="spellEnd"/>
      <w:r w:rsidRPr="00870D0F">
        <w:rPr>
          <w:lang w:val="en-US" w:eastAsia="en-GB"/>
        </w:rPr>
        <w:t xml:space="preserve"> </w:t>
      </w:r>
      <w:proofErr w:type="spellStart"/>
      <w:r w:rsidRPr="00870D0F">
        <w:rPr>
          <w:lang w:val="en-US" w:eastAsia="en-GB"/>
        </w:rPr>
        <w:t>kaštų</w:t>
      </w:r>
      <w:proofErr w:type="spellEnd"/>
      <w:r w:rsidRPr="00870D0F">
        <w:rPr>
          <w:lang w:val="en-US" w:eastAsia="en-GB"/>
        </w:rPr>
        <w:t xml:space="preserve"> </w:t>
      </w:r>
      <w:proofErr w:type="spellStart"/>
      <w:r w:rsidRPr="00870D0F">
        <w:rPr>
          <w:lang w:val="en-US" w:eastAsia="en-GB"/>
        </w:rPr>
        <w:t>naudingumo</w:t>
      </w:r>
      <w:proofErr w:type="spellEnd"/>
      <w:r w:rsidRPr="00870D0F">
        <w:rPr>
          <w:lang w:val="en-US" w:eastAsia="en-GB"/>
        </w:rPr>
        <w:t xml:space="preserve"> </w:t>
      </w:r>
      <w:proofErr w:type="spellStart"/>
      <w:r w:rsidRPr="00870D0F">
        <w:rPr>
          <w:lang w:val="en-US" w:eastAsia="en-GB"/>
        </w:rPr>
        <w:t>vertės</w:t>
      </w:r>
      <w:proofErr w:type="spellEnd"/>
      <w:r w:rsidRPr="00870D0F">
        <w:rPr>
          <w:lang w:val="en-US" w:eastAsia="en-GB"/>
        </w:rPr>
        <w:t xml:space="preserve"> </w:t>
      </w:r>
      <w:proofErr w:type="spellStart"/>
      <w:r w:rsidRPr="00870D0F">
        <w:rPr>
          <w:lang w:val="en-US" w:eastAsia="en-GB"/>
        </w:rPr>
        <w:t>slenkstis</w:t>
      </w:r>
      <w:proofErr w:type="spellEnd"/>
      <w:r w:rsidRPr="00870D0F">
        <w:rPr>
          <w:lang w:val="en-US" w:eastAsia="en-GB"/>
        </w:rPr>
        <w:t xml:space="preserve"> </w:t>
      </w:r>
      <w:proofErr w:type="spellStart"/>
      <w:r w:rsidRPr="00870D0F">
        <w:rPr>
          <w:lang w:val="en-US" w:eastAsia="en-GB"/>
        </w:rPr>
        <w:t>nėra</w:t>
      </w:r>
      <w:proofErr w:type="spellEnd"/>
      <w:r w:rsidRPr="00870D0F">
        <w:rPr>
          <w:lang w:val="en-US" w:eastAsia="en-GB"/>
        </w:rPr>
        <w:t xml:space="preserve"> </w:t>
      </w:r>
      <w:proofErr w:type="spellStart"/>
      <w:r w:rsidRPr="00870D0F">
        <w:rPr>
          <w:lang w:val="en-US" w:eastAsia="en-GB"/>
        </w:rPr>
        <w:t>viršijamas</w:t>
      </w:r>
      <w:proofErr w:type="spellEnd"/>
      <w:r w:rsidRPr="00870D0F">
        <w:rPr>
          <w:lang w:val="en-US" w:eastAsia="en-GB"/>
        </w:rPr>
        <w:t xml:space="preserve"> (</w:t>
      </w:r>
      <w:proofErr w:type="spellStart"/>
      <w:r w:rsidRPr="00870D0F">
        <w:rPr>
          <w:lang w:val="en-US" w:eastAsia="en-GB"/>
        </w:rPr>
        <w:t>taikant</w:t>
      </w:r>
      <w:proofErr w:type="spellEnd"/>
      <w:r w:rsidRPr="00870D0F">
        <w:rPr>
          <w:lang w:val="en-US" w:eastAsia="en-GB"/>
        </w:rPr>
        <w:t xml:space="preserve"> </w:t>
      </w:r>
      <w:proofErr w:type="spellStart"/>
      <w:r w:rsidRPr="00870D0F">
        <w:rPr>
          <w:lang w:val="en-US" w:eastAsia="en-GB"/>
        </w:rPr>
        <w:t>pembrolizumabo</w:t>
      </w:r>
      <w:proofErr w:type="spellEnd"/>
      <w:r w:rsidRPr="00870D0F">
        <w:rPr>
          <w:lang w:val="en-US" w:eastAsia="en-GB"/>
        </w:rPr>
        <w:t xml:space="preserve"> </w:t>
      </w:r>
      <w:proofErr w:type="spellStart"/>
      <w:r w:rsidRPr="00870D0F">
        <w:rPr>
          <w:lang w:val="en-US" w:eastAsia="en-GB"/>
        </w:rPr>
        <w:t>kainą</w:t>
      </w:r>
      <w:proofErr w:type="spellEnd"/>
      <w:r w:rsidRPr="00870D0F">
        <w:rPr>
          <w:lang w:val="en-US" w:eastAsia="en-GB"/>
        </w:rPr>
        <w:t xml:space="preserve"> </w:t>
      </w:r>
      <w:proofErr w:type="spellStart"/>
      <w:r w:rsidRPr="00870D0F">
        <w:rPr>
          <w:lang w:val="en-US" w:eastAsia="en-GB"/>
        </w:rPr>
        <w:t>su</w:t>
      </w:r>
      <w:proofErr w:type="spellEnd"/>
      <w:r w:rsidRPr="00870D0F">
        <w:rPr>
          <w:lang w:val="en-US" w:eastAsia="en-GB"/>
        </w:rPr>
        <w:t xml:space="preserve"> </w:t>
      </w:r>
      <w:proofErr w:type="spellStart"/>
      <w:r w:rsidRPr="00870D0F">
        <w:rPr>
          <w:lang w:val="en-US" w:eastAsia="en-GB"/>
        </w:rPr>
        <w:t>nuolaida</w:t>
      </w:r>
      <w:proofErr w:type="spellEnd"/>
      <w:r w:rsidRPr="00870D0F">
        <w:rPr>
          <w:lang w:val="en-US" w:eastAsia="en-GB"/>
        </w:rPr>
        <w:t xml:space="preserve"> (PGS)).</w:t>
      </w:r>
      <w:r>
        <w:rPr>
          <w:lang w:val="en-US" w:eastAsia="en-GB"/>
        </w:rPr>
        <w:t xml:space="preserve"> </w:t>
      </w:r>
      <w:r w:rsidRPr="00870D0F">
        <w:rPr>
          <w:lang w:eastAsia="en-GB"/>
        </w:rPr>
        <w:t>Rezultatus patvirtina jautrumo analizės rezultatai, tiek vienveiksnės tiek scenarijų analizės rezultatais keičiant prielaidas apskaičiuotas ICER nė vienu atveju neviršija sunkiai ligos naštai taikomos referencinės kaštų naudingumo vertės (</w:t>
      </w:r>
      <w:r w:rsidRPr="00870D0F">
        <w:rPr>
          <w:bCs/>
          <w:lang w:eastAsia="lt-LT"/>
        </w:rPr>
        <w:t>&lt;</w:t>
      </w:r>
      <w:r w:rsidRPr="00870D0F">
        <w:rPr>
          <w:lang w:eastAsia="lt-LT"/>
        </w:rPr>
        <w:t>119 011 Eur.).</w:t>
      </w:r>
    </w:p>
    <w:p w14:paraId="33875138" w14:textId="77777777" w:rsidR="0035172D" w:rsidRPr="000203E1" w:rsidRDefault="0035172D" w:rsidP="00A93AA6">
      <w:pPr>
        <w:tabs>
          <w:tab w:val="left" w:pos="426"/>
        </w:tabs>
        <w:rPr>
          <w:b/>
          <w:bCs/>
          <w:caps/>
        </w:rPr>
      </w:pPr>
    </w:p>
    <w:p w14:paraId="4FC424F9" w14:textId="4E767245" w:rsidR="00C62B36" w:rsidRDefault="00C62B36" w:rsidP="00CC09D4">
      <w:pPr>
        <w:pStyle w:val="ListParagraph"/>
        <w:numPr>
          <w:ilvl w:val="0"/>
          <w:numId w:val="12"/>
        </w:numPr>
        <w:tabs>
          <w:tab w:val="left" w:pos="567"/>
        </w:tabs>
        <w:ind w:hanging="720"/>
        <w:rPr>
          <w:b/>
          <w:bCs/>
          <w:caps/>
        </w:rPr>
      </w:pPr>
      <w:r w:rsidRPr="000203E1">
        <w:rPr>
          <w:b/>
          <w:bCs/>
          <w:caps/>
        </w:rPr>
        <w:t xml:space="preserve">Pacientų organizacijų pateikti duomenys </w:t>
      </w:r>
    </w:p>
    <w:p w14:paraId="5C80FC98" w14:textId="77777777" w:rsidR="00B7139E" w:rsidRPr="000203E1" w:rsidRDefault="00B7139E" w:rsidP="00B7139E">
      <w:pPr>
        <w:pStyle w:val="ListParagraph"/>
        <w:tabs>
          <w:tab w:val="left" w:pos="567"/>
        </w:tabs>
        <w:rPr>
          <w:b/>
          <w:bCs/>
          <w:caps/>
        </w:rPr>
      </w:pPr>
    </w:p>
    <w:p w14:paraId="79BCFF40" w14:textId="2F949C73" w:rsidR="00937907" w:rsidRPr="000203E1" w:rsidRDefault="00953856"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0203E1">
            <w:rPr>
              <w:rStyle w:val="Style2"/>
              <w:rFonts w:ascii="MS Gothic" w:eastAsia="MS Gothic" w:hAnsi="MS Gothic" w:hint="eastAsia"/>
              <w:sz w:val="24"/>
            </w:rPr>
            <w:t>☐</w:t>
          </w:r>
        </w:sdtContent>
      </w:sdt>
      <w:r w:rsidR="00937907" w:rsidRPr="000203E1">
        <w:t xml:space="preserve"> Pacientų organizacijos pozicija pateikta.</w:t>
      </w:r>
    </w:p>
    <w:p w14:paraId="62992180" w14:textId="4AF4D538" w:rsidR="00937907" w:rsidRPr="000203E1" w:rsidRDefault="00953856"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B7139E">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59559062" w14:textId="77777777" w:rsidR="00B7139E" w:rsidRPr="000203E1" w:rsidRDefault="00B7139E" w:rsidP="00937907">
      <w:pPr>
        <w:spacing w:after="120"/>
        <w:jc w:val="both"/>
      </w:pPr>
    </w:p>
    <w:p w14:paraId="3D3277FA" w14:textId="3CEEB2D2" w:rsidR="00C62B36" w:rsidRDefault="00C62B36" w:rsidP="00CC09D4">
      <w:pPr>
        <w:pStyle w:val="ListParagraph"/>
        <w:numPr>
          <w:ilvl w:val="0"/>
          <w:numId w:val="12"/>
        </w:numPr>
        <w:tabs>
          <w:tab w:val="left" w:pos="567"/>
        </w:tabs>
        <w:ind w:hanging="720"/>
        <w:rPr>
          <w:b/>
          <w:bCs/>
          <w:caps/>
        </w:rPr>
      </w:pPr>
      <w:r w:rsidRPr="000203E1">
        <w:rPr>
          <w:b/>
          <w:bCs/>
          <w:caps/>
        </w:rPr>
        <w:t>Gydytojų organizacijų pateikti duomenys</w:t>
      </w:r>
    </w:p>
    <w:p w14:paraId="00ADDE44" w14:textId="77777777" w:rsidR="00B7139E" w:rsidRPr="000203E1" w:rsidRDefault="00B7139E" w:rsidP="00B7139E">
      <w:pPr>
        <w:pStyle w:val="ListParagraph"/>
        <w:tabs>
          <w:tab w:val="left" w:pos="567"/>
        </w:tabs>
        <w:rPr>
          <w:b/>
          <w:bCs/>
          <w:caps/>
        </w:rPr>
      </w:pPr>
    </w:p>
    <w:p w14:paraId="389A346C" w14:textId="5F5606BF" w:rsidR="00937907" w:rsidRPr="000203E1" w:rsidRDefault="00953856"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0203E1">
            <w:rPr>
              <w:rStyle w:val="Style2"/>
              <w:rFonts w:ascii="MS Gothic" w:eastAsia="MS Gothic" w:hAnsi="MS Gothic" w:hint="eastAsia"/>
              <w:sz w:val="24"/>
            </w:rPr>
            <w:t>☐</w:t>
          </w:r>
        </w:sdtContent>
      </w:sdt>
      <w:r w:rsidR="00662983" w:rsidRPr="000203E1">
        <w:t xml:space="preserve"> </w:t>
      </w:r>
      <w:r w:rsidR="00937907" w:rsidRPr="000203E1">
        <w:t>Gydytojų specialistų organizacijos pozicija pateikta.</w:t>
      </w:r>
    </w:p>
    <w:p w14:paraId="7AEDE03E" w14:textId="6EC11C41" w:rsidR="00A32E2B" w:rsidRDefault="00953856"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B7139E">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00A81E42" w14:textId="77777777" w:rsidR="00A32E2B" w:rsidRPr="000203E1" w:rsidRDefault="00A32E2B" w:rsidP="00662983">
      <w:pPr>
        <w:spacing w:after="120"/>
        <w:jc w:val="both"/>
      </w:pPr>
    </w:p>
    <w:p w14:paraId="78F23ECB" w14:textId="23A3A002" w:rsidR="002F0E4F" w:rsidRPr="000203E1" w:rsidRDefault="002F0E4F" w:rsidP="00CC09D4">
      <w:pPr>
        <w:pStyle w:val="ListParagraph"/>
        <w:numPr>
          <w:ilvl w:val="0"/>
          <w:numId w:val="12"/>
        </w:numPr>
        <w:tabs>
          <w:tab w:val="left" w:pos="567"/>
        </w:tabs>
        <w:ind w:hanging="720"/>
        <w:rPr>
          <w:b/>
          <w:bCs/>
          <w:caps/>
        </w:rPr>
      </w:pPr>
      <w:r w:rsidRPr="000203E1">
        <w:rPr>
          <w:b/>
          <w:bCs/>
          <w:caps/>
        </w:rPr>
        <w:t xml:space="preserve">Išvada </w:t>
      </w:r>
    </w:p>
    <w:p w14:paraId="08D5B3B6" w14:textId="01D8A774" w:rsidR="0061611B" w:rsidRPr="000203E1" w:rsidRDefault="0061611B" w:rsidP="0061611B">
      <w:pPr>
        <w:rPr>
          <w:i/>
          <w:szCs w:val="22"/>
        </w:rPr>
      </w:pPr>
    </w:p>
    <w:tbl>
      <w:tblPr>
        <w:tblStyle w:val="TableGrid"/>
        <w:tblW w:w="0" w:type="auto"/>
        <w:tblLook w:val="04A0" w:firstRow="1" w:lastRow="0" w:firstColumn="1" w:lastColumn="0" w:noHBand="0" w:noVBand="1"/>
      </w:tblPr>
      <w:tblGrid>
        <w:gridCol w:w="4815"/>
        <w:gridCol w:w="4814"/>
      </w:tblGrid>
      <w:tr w:rsidR="000203E1" w:rsidRPr="000203E1" w14:paraId="25A2473E" w14:textId="77777777" w:rsidTr="00C16245">
        <w:trPr>
          <w:trHeight w:val="510"/>
        </w:trPr>
        <w:tc>
          <w:tcPr>
            <w:tcW w:w="4815" w:type="dxa"/>
            <w:vAlign w:val="center"/>
          </w:tcPr>
          <w:p w14:paraId="7EFE6941" w14:textId="23B8BB6D"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Rekomenduojama kompensuoti</w:t>
            </w:r>
          </w:p>
        </w:tc>
        <w:tc>
          <w:tcPr>
            <w:tcW w:w="4814" w:type="dxa"/>
            <w:vAlign w:val="center"/>
          </w:tcPr>
          <w:p w14:paraId="330A1A5E" w14:textId="19247DC1"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 xml:space="preserve">Rekomenduojama nekompensuoti </w:t>
            </w:r>
          </w:p>
        </w:tc>
      </w:tr>
      <w:tr w:rsidR="000203E1" w:rsidRPr="000203E1" w14:paraId="143A7356" w14:textId="77777777" w:rsidTr="00C16245">
        <w:trPr>
          <w:trHeight w:val="510"/>
        </w:trPr>
        <w:tc>
          <w:tcPr>
            <w:tcW w:w="9629" w:type="dxa"/>
            <w:gridSpan w:val="2"/>
            <w:vAlign w:val="center"/>
          </w:tcPr>
          <w:p w14:paraId="0AF5D6B4" w14:textId="6D8B6C59" w:rsidR="00B13D65" w:rsidRPr="0035017A"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35017A">
              <w:rPr>
                <w:rStyle w:val="Style2"/>
                <w:rFonts w:eastAsia="MS Gothic"/>
                <w:b/>
                <w:bCs/>
                <w:sz w:val="24"/>
              </w:rPr>
              <w:t>Palyginamasis efektyvumas</w:t>
            </w:r>
          </w:p>
        </w:tc>
      </w:tr>
      <w:tr w:rsidR="000203E1" w:rsidRPr="000203E1" w14:paraId="28A0C814" w14:textId="77777777" w:rsidTr="0061611B">
        <w:tc>
          <w:tcPr>
            <w:tcW w:w="4815" w:type="dxa"/>
          </w:tcPr>
          <w:p w14:paraId="216769B5" w14:textId="3C40DA43" w:rsidR="00B13D65" w:rsidRPr="0035017A" w:rsidRDefault="0095385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F1714D">
                  <w:rPr>
                    <w:rStyle w:val="Style2"/>
                    <w:rFonts w:ascii="MS Gothic" w:eastAsia="MS Gothic" w:hAnsi="MS Gothic" w:hint="eastAsia"/>
                    <w:sz w:val="24"/>
                  </w:rPr>
                  <w:t>☒</w:t>
                </w:r>
              </w:sdtContent>
            </w:sdt>
            <w:r w:rsidR="00B13D65" w:rsidRPr="0035017A">
              <w:t xml:space="preserve"> 32.1. yra didesnis</w:t>
            </w:r>
            <w:r w:rsidR="00B00959" w:rsidRPr="0035017A">
              <w:t>, lyginant su įprasta klinikine praktika</w:t>
            </w:r>
          </w:p>
          <w:p w14:paraId="3B48F372" w14:textId="77777777" w:rsidR="00662983" w:rsidRPr="0035017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35017A" w:rsidRDefault="00953856"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35017A">
                  <w:rPr>
                    <w:rStyle w:val="Style2"/>
                    <w:rFonts w:ascii="Segoe UI Symbol" w:eastAsia="MS Gothic" w:hAnsi="Segoe UI Symbol" w:cs="Segoe UI Symbol"/>
                    <w:sz w:val="24"/>
                  </w:rPr>
                  <w:t>☐</w:t>
                </w:r>
              </w:sdtContent>
            </w:sdt>
            <w:r w:rsidR="00B13D65" w:rsidRPr="0035017A">
              <w:t xml:space="preserve"> 32.1. iš esmės nesiskiria</w:t>
            </w:r>
            <w:r w:rsidR="00B00959" w:rsidRPr="0035017A">
              <w:t>, lyginant su įprasta klinikine praktika</w:t>
            </w:r>
          </w:p>
        </w:tc>
        <w:tc>
          <w:tcPr>
            <w:tcW w:w="4814" w:type="dxa"/>
          </w:tcPr>
          <w:p w14:paraId="507828D9" w14:textId="10556E28" w:rsidR="00B13D65" w:rsidRPr="0035017A" w:rsidRDefault="0095385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35017A">
                  <w:rPr>
                    <w:rStyle w:val="Style2"/>
                    <w:rFonts w:ascii="Segoe UI Symbol" w:eastAsia="MS Gothic" w:hAnsi="Segoe UI Symbol" w:cs="Segoe UI Symbol"/>
                    <w:sz w:val="24"/>
                  </w:rPr>
                  <w:t>☐</w:t>
                </w:r>
              </w:sdtContent>
            </w:sdt>
            <w:r w:rsidR="00B13D65" w:rsidRPr="0035017A">
              <w:t xml:space="preserve"> 33.1. yra mažesnis</w:t>
            </w:r>
            <w:r w:rsidR="00B00959" w:rsidRPr="0035017A">
              <w:t>, lyginant su įprasta klinikine praktika</w:t>
            </w:r>
          </w:p>
          <w:p w14:paraId="7F95DEEC" w14:textId="77777777" w:rsidR="00662983" w:rsidRPr="0035017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35017A" w:rsidRDefault="0095385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35017A">
                  <w:rPr>
                    <w:rStyle w:val="Style2"/>
                    <w:rFonts w:ascii="Segoe UI Symbol" w:eastAsia="MS Gothic" w:hAnsi="Segoe UI Symbol" w:cs="Segoe UI Symbol"/>
                    <w:sz w:val="24"/>
                  </w:rPr>
                  <w:t>☐</w:t>
                </w:r>
              </w:sdtContent>
            </w:sdt>
            <w:r w:rsidR="00B13D65" w:rsidRPr="0035017A">
              <w:t xml:space="preserve"> 33.1. yra neįrodytas kaip toks pat</w:t>
            </w:r>
            <w:r w:rsidR="00B00959" w:rsidRPr="0035017A">
              <w:t>, lyginant su įprasta klinikine praktika</w:t>
            </w:r>
          </w:p>
          <w:p w14:paraId="35205E85" w14:textId="77777777" w:rsidR="00662983" w:rsidRPr="0035017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35017A" w:rsidRDefault="0095385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35017A">
                  <w:rPr>
                    <w:rStyle w:val="Style2"/>
                    <w:rFonts w:ascii="Segoe UI Symbol" w:eastAsia="MS Gothic" w:hAnsi="Segoe UI Symbol" w:cs="Segoe UI Symbol"/>
                    <w:sz w:val="24"/>
                  </w:rPr>
                  <w:t>☐</w:t>
                </w:r>
              </w:sdtContent>
            </w:sdt>
            <w:r w:rsidR="00662983" w:rsidRPr="0035017A">
              <w:t xml:space="preserve"> 33.1 </w:t>
            </w:r>
            <w:r w:rsidR="00B00959" w:rsidRPr="0035017A">
              <w:t xml:space="preserve">yra </w:t>
            </w:r>
            <w:r w:rsidR="00B13D65" w:rsidRPr="0035017A">
              <w:t>neįrodytas kaip didesnis</w:t>
            </w:r>
            <w:r w:rsidR="00B00959" w:rsidRPr="0035017A">
              <w:t>, lyginant su įprasta klinikine praktika</w:t>
            </w:r>
          </w:p>
          <w:p w14:paraId="512E653B" w14:textId="77777777" w:rsidR="00662983" w:rsidRPr="0035017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2CD4EE76" w:rsidR="00B13D65" w:rsidRPr="0035017A" w:rsidRDefault="0095385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F1714D">
                  <w:rPr>
                    <w:rStyle w:val="Style2"/>
                    <w:rFonts w:ascii="MS Gothic" w:eastAsia="MS Gothic" w:hAnsi="MS Gothic" w:hint="eastAsia"/>
                    <w:sz w:val="24"/>
                  </w:rPr>
                  <w:t>☐</w:t>
                </w:r>
              </w:sdtContent>
            </w:sdt>
            <w:r w:rsidR="00B13D65" w:rsidRPr="0035017A">
              <w:t xml:space="preserve"> 33.1. pateikti duomenys apie palyginamąjį efektyvumą yra netinkami vertinti</w:t>
            </w:r>
          </w:p>
          <w:p w14:paraId="5DDAA961" w14:textId="77777777" w:rsidR="00B13D65" w:rsidRPr="0035017A"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61CC3FE" w14:textId="77777777" w:rsidTr="00C16245">
        <w:trPr>
          <w:trHeight w:val="510"/>
        </w:trPr>
        <w:tc>
          <w:tcPr>
            <w:tcW w:w="9629" w:type="dxa"/>
            <w:gridSpan w:val="2"/>
            <w:vAlign w:val="center"/>
          </w:tcPr>
          <w:p w14:paraId="1AB46894" w14:textId="3E765638" w:rsidR="00B13D65" w:rsidRPr="0035017A"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35017A">
              <w:rPr>
                <w:rStyle w:val="Style2"/>
                <w:rFonts w:eastAsia="MS Gothic"/>
                <w:b/>
                <w:bCs/>
                <w:sz w:val="24"/>
              </w:rPr>
              <w:t>Klinikinis veiksmingumas</w:t>
            </w:r>
          </w:p>
        </w:tc>
      </w:tr>
      <w:tr w:rsidR="000203E1" w:rsidRPr="000203E1" w14:paraId="3C60570A" w14:textId="77777777" w:rsidTr="0061611B">
        <w:tc>
          <w:tcPr>
            <w:tcW w:w="4815" w:type="dxa"/>
          </w:tcPr>
          <w:p w14:paraId="6897B306" w14:textId="75DB7CDB" w:rsidR="00B13D65" w:rsidRPr="000203E1" w:rsidRDefault="0095385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F1714D">
                  <w:rPr>
                    <w:rStyle w:val="Style2"/>
                    <w:rFonts w:ascii="MS Gothic" w:eastAsia="MS Gothic" w:hAnsi="MS Gothic" w:hint="eastAsia"/>
                    <w:sz w:val="24"/>
                  </w:rPr>
                  <w:t>☒</w:t>
                </w:r>
              </w:sdtContent>
            </w:sdt>
            <w:r w:rsidR="00B13D65" w:rsidRPr="000203E1">
              <w:t xml:space="preserve"> 32.2. yra įvertintas kaip pagrindžiantis papildomos naudos pacientų sveikatai sukūrimą, lyginant su įprasta klinikine praktika</w:t>
            </w:r>
          </w:p>
          <w:p w14:paraId="71D57105"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0203E1" w:rsidRDefault="0095385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32.2. </w:t>
            </w:r>
            <w:r w:rsidR="00B00959" w:rsidRPr="000203E1">
              <w:t xml:space="preserve">yra </w:t>
            </w:r>
            <w:r w:rsidR="00B13D65" w:rsidRPr="000203E1">
              <w:t>įvertintas kaip pagrindžiantis nesiskiriančios naudos pacientų sveikatai sukūrimą, lyginant su įprasta klinikine praktika</w:t>
            </w:r>
          </w:p>
          <w:p w14:paraId="287AD233"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0C75E9FE" w:rsidR="00662983" w:rsidRPr="000203E1" w:rsidRDefault="00953856" w:rsidP="00662983">
            <w:pPr>
              <w:jc w:val="both"/>
            </w:pPr>
            <w:sdt>
              <w:sdtPr>
                <w:rPr>
                  <w:rStyle w:val="Style2"/>
                  <w:sz w:val="24"/>
                </w:rPr>
                <w:id w:val="-1034573056"/>
                <w15:color w:val="FFCC00"/>
                <w14:checkbox>
                  <w14:checked w14:val="1"/>
                  <w14:checkedState w14:val="2612" w14:font="MS Gothic"/>
                  <w14:uncheckedState w14:val="2610" w14:font="MS Gothic"/>
                </w14:checkbox>
              </w:sdtPr>
              <w:sdtEndPr>
                <w:rPr>
                  <w:rStyle w:val="Style2"/>
                </w:rPr>
              </w:sdtEndPr>
              <w:sdtContent>
                <w:r w:rsidR="0035017A">
                  <w:rPr>
                    <w:rStyle w:val="Style2"/>
                    <w:rFonts w:ascii="MS Gothic" w:eastAsia="MS Gothic" w:hAnsi="MS Gothic" w:hint="eastAsia"/>
                    <w:sz w:val="24"/>
                  </w:rPr>
                  <w:t>☒</w:t>
                </w:r>
              </w:sdtContent>
            </w:sdt>
            <w:r w:rsidR="00B13D65" w:rsidRPr="000203E1">
              <w:t xml:space="preserve"> 33.1. yra įvertintas kaip nepagrindžiantis papildomos </w:t>
            </w:r>
            <w:r w:rsidR="00662983" w:rsidRPr="000203E1">
              <w:t>naudos pacientų sveikatai sukūrimo, lyginant su  įprasta klinikine praktika</w:t>
            </w:r>
          </w:p>
          <w:p w14:paraId="6C70BCFC" w14:textId="77777777" w:rsidR="00662983" w:rsidRPr="000203E1" w:rsidRDefault="00662983" w:rsidP="00BD1E5A">
            <w:pPr>
              <w:jc w:val="both"/>
            </w:pPr>
          </w:p>
          <w:p w14:paraId="0ADEC30D" w14:textId="1353964F" w:rsidR="00B13D65" w:rsidRPr="000203E1" w:rsidRDefault="00953856"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0203E1">
                  <w:rPr>
                    <w:rStyle w:val="Style2"/>
                    <w:rFonts w:ascii="Segoe UI Symbol" w:eastAsia="MS Gothic" w:hAnsi="Segoe UI Symbol" w:cs="Segoe UI Symbol"/>
                    <w:sz w:val="24"/>
                  </w:rPr>
                  <w:t>☐</w:t>
                </w:r>
              </w:sdtContent>
            </w:sdt>
            <w:r w:rsidR="00B13D65" w:rsidRPr="000203E1">
              <w:t xml:space="preserve"> </w:t>
            </w:r>
            <w:r w:rsidR="00662983" w:rsidRPr="000203E1">
              <w:t xml:space="preserve">33.1. </w:t>
            </w:r>
            <w:r w:rsidR="00B00959" w:rsidRPr="000203E1">
              <w:t xml:space="preserve">yra įvertintas kaip nepagrindžiantis </w:t>
            </w:r>
            <w:r w:rsidR="00B13D65" w:rsidRPr="000203E1">
              <w:t>nesiskiriančios naudos pacientų sveikatai sukūrimo, lyginant su įprasta klinikine praktika</w:t>
            </w:r>
          </w:p>
          <w:p w14:paraId="1EED7901"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C75AE76" w14:textId="77777777" w:rsidTr="00C16245">
        <w:trPr>
          <w:trHeight w:val="510"/>
        </w:trPr>
        <w:tc>
          <w:tcPr>
            <w:tcW w:w="9629" w:type="dxa"/>
            <w:gridSpan w:val="2"/>
            <w:vAlign w:val="center"/>
          </w:tcPr>
          <w:p w14:paraId="0247EDAD" w14:textId="7FBBB7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lastRenderedPageBreak/>
              <w:t>Kaštų naudingumas</w:t>
            </w:r>
          </w:p>
        </w:tc>
      </w:tr>
      <w:tr w:rsidR="00B13D65" w:rsidRPr="000203E1" w14:paraId="7091A05B" w14:textId="77777777" w:rsidTr="0061611B">
        <w:tc>
          <w:tcPr>
            <w:tcW w:w="4815" w:type="dxa"/>
          </w:tcPr>
          <w:p w14:paraId="69B2A994" w14:textId="1119EB2D" w:rsidR="00B13D65" w:rsidRPr="000203E1" w:rsidRDefault="0095385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EndPr>
                <w:rPr>
                  <w:rStyle w:val="Style2"/>
                </w:rPr>
              </w:sdtEndPr>
              <w:sdtContent>
                <w:r w:rsidR="00705D2C">
                  <w:rPr>
                    <w:rStyle w:val="Style2"/>
                    <w:rFonts w:ascii="MS Gothic" w:eastAsia="MS Gothic" w:hAnsi="MS Gothic" w:hint="eastAsia"/>
                    <w:sz w:val="24"/>
                  </w:rPr>
                  <w:t>☒</w:t>
                </w:r>
              </w:sdtContent>
            </w:sdt>
            <w:r w:rsidR="00B13D65" w:rsidRPr="000203E1">
              <w:t xml:space="preserve"> 32.3. atitinka referencinę naudingumo vertę, </w:t>
            </w:r>
          </w:p>
          <w:p w14:paraId="3F76F153"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04F32137" w:rsidR="00B13D65" w:rsidRPr="000203E1" w:rsidRDefault="0095385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32.3. gydymo juo kaštai yra mažesni ar tokie patys esant iš esmės nesiskiriančiam palyginamajam efektyvumui, </w:t>
            </w:r>
            <w:r w:rsidR="00B00959" w:rsidRPr="000203E1">
              <w:t>lyginant su įprasta klinikine praktika</w:t>
            </w:r>
          </w:p>
          <w:p w14:paraId="25E4BD1E"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0203E1" w:rsidRDefault="0095385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33.3. neatitinka referencinės naudingumo vertės Lietuvos Respublikoje</w:t>
            </w:r>
          </w:p>
          <w:p w14:paraId="229ED51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0A694E72" w:rsidR="00B13D65" w:rsidRPr="000203E1" w:rsidRDefault="0095385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33.3. gydymo juo kaštai yra didesni esant iš esmės nesiskiriančiam palyginamajam efektyvumui</w:t>
            </w:r>
            <w:r w:rsidR="00B00959" w:rsidRPr="000203E1">
              <w:t>, lyginant su įprasta klinikine praktika</w:t>
            </w:r>
          </w:p>
          <w:p w14:paraId="4A9C7D2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61E3122A" w:rsidR="00B13D65" w:rsidRPr="000203E1" w:rsidRDefault="0095385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705D2C">
                  <w:rPr>
                    <w:rStyle w:val="Style2"/>
                    <w:rFonts w:ascii="MS Gothic" w:eastAsia="MS Gothic" w:hAnsi="MS Gothic" w:hint="eastAsia"/>
                    <w:sz w:val="24"/>
                  </w:rPr>
                  <w:t>☐</w:t>
                </w:r>
              </w:sdtContent>
            </w:sdt>
            <w:r w:rsidR="00B13D65" w:rsidRPr="000203E1">
              <w:t xml:space="preserve"> 33.3. pateikti duomenys apie kaštų na</w:t>
            </w:r>
            <w:r w:rsidR="00662983" w:rsidRPr="000203E1">
              <w:t>udingumą yra netinkami vertinti</w:t>
            </w:r>
          </w:p>
          <w:p w14:paraId="470A48A4"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7623B28E" w14:textId="5C1F6F74" w:rsidR="001B24C3" w:rsidRPr="001B24C3" w:rsidRDefault="001B24C3" w:rsidP="00545677"/>
    <w:p w14:paraId="3B2D1F25" w14:textId="7E4DFE7D" w:rsidR="000001B0" w:rsidRPr="000203E1" w:rsidRDefault="000001B0" w:rsidP="00CC09D4">
      <w:pPr>
        <w:pStyle w:val="ListParagraph"/>
        <w:numPr>
          <w:ilvl w:val="0"/>
          <w:numId w:val="12"/>
        </w:numPr>
        <w:ind w:left="567" w:hanging="567"/>
      </w:pPr>
      <w:r w:rsidRPr="000203E1">
        <w:rPr>
          <w:b/>
        </w:rPr>
        <w:t>REKOME</w:t>
      </w:r>
      <w:r w:rsidR="00D83182" w:rsidRPr="000203E1">
        <w:rPr>
          <w:b/>
        </w:rPr>
        <w:t>N</w:t>
      </w:r>
      <w:r w:rsidRPr="000203E1">
        <w:rPr>
          <w:b/>
        </w:rPr>
        <w:t>DACIJA</w:t>
      </w:r>
    </w:p>
    <w:p w14:paraId="47BC1D74" w14:textId="71FEAC3B" w:rsidR="00D07D40" w:rsidRPr="00800F9C" w:rsidRDefault="00D07D40" w:rsidP="00D07D40">
      <w:pPr>
        <w:spacing w:line="276" w:lineRule="auto"/>
        <w:rPr>
          <w:b/>
        </w:rPr>
      </w:pPr>
    </w:p>
    <w:p w14:paraId="16C2D05F" w14:textId="77777777" w:rsidR="00D07D40" w:rsidRPr="00EE6EAE" w:rsidRDefault="00D07D40" w:rsidP="00D07D40">
      <w:pPr>
        <w:spacing w:line="276" w:lineRule="auto"/>
        <w:ind w:firstLine="360"/>
        <w:jc w:val="both"/>
      </w:pPr>
      <w:r w:rsidRPr="00EE6EAE">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4AC08F33" w14:textId="52422B55" w:rsidR="00D07D40" w:rsidRPr="00EE6EAE" w:rsidRDefault="00D07D40" w:rsidP="00D0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E6EAE">
        <w:t xml:space="preserve">34.1. rekomenduojama </w:t>
      </w:r>
      <w:r w:rsidRPr="00EE6EAE">
        <w:rPr>
          <w:i/>
        </w:rPr>
        <w:t xml:space="preserve">kompensuoti </w:t>
      </w:r>
      <w:r w:rsidRPr="00EE6EAE">
        <w:t xml:space="preserve">vaistinį preparatą pagal paraiškoje nurodytą indikaciją </w:t>
      </w:r>
      <w:r w:rsidR="004062D1">
        <w:t>su</w:t>
      </w:r>
      <w:r>
        <w:t xml:space="preserve"> sk</w:t>
      </w:r>
      <w:r w:rsidR="004062D1">
        <w:t>yrimo sąlygomis</w:t>
      </w:r>
      <w:r w:rsidRPr="00EE6EAE">
        <w:t>, taikant PGS, dėl didesnio palyginamojo efektyvumo ir gydymo sukuriamos papildomos naudos pacientų sveikatai, lyginant su įprasta klinikine praktika, ir atitikties referencinei naudingumo vertei.</w:t>
      </w:r>
    </w:p>
    <w:p w14:paraId="01000CD1" w14:textId="77777777" w:rsidR="005465C4" w:rsidRDefault="005465C4" w:rsidP="005465C4">
      <w:pPr>
        <w:spacing w:line="276" w:lineRule="auto"/>
        <w:jc w:val="both"/>
      </w:pPr>
    </w:p>
    <w:p w14:paraId="2D08D7CB" w14:textId="01AFA1E3" w:rsidR="005465C4" w:rsidRPr="000203E1" w:rsidRDefault="005465C4" w:rsidP="005465C4">
      <w:pPr>
        <w:tabs>
          <w:tab w:val="left" w:pos="567"/>
        </w:tabs>
        <w:ind w:left="567" w:hanging="567"/>
        <w:jc w:val="both"/>
        <w:rPr>
          <w:b/>
          <w:lang w:eastAsia="lt-LT"/>
        </w:rPr>
      </w:pPr>
      <w:r w:rsidRPr="000203E1">
        <w:rPr>
          <w:b/>
          <w:lang w:eastAsia="lt-LT"/>
        </w:rPr>
        <w:t>8.</w:t>
      </w:r>
      <w:r w:rsidRPr="000203E1">
        <w:rPr>
          <w:b/>
          <w:lang w:eastAsia="lt-LT"/>
        </w:rPr>
        <w:tab/>
        <w:t xml:space="preserve">SIŪLOMOS KOMPENSUOTI TERAPINĖS INDIKACIJOS IR SKYRIMO SĄLYGOS </w:t>
      </w:r>
    </w:p>
    <w:p w14:paraId="474B60E2" w14:textId="77777777" w:rsidR="005465C4" w:rsidRPr="000203E1" w:rsidRDefault="005465C4" w:rsidP="005465C4">
      <w:pPr>
        <w:tabs>
          <w:tab w:val="left" w:pos="426"/>
        </w:tabs>
        <w:jc w:val="both"/>
        <w:rPr>
          <w:b/>
          <w:lang w:eastAsia="lt-LT"/>
        </w:rPr>
      </w:pPr>
    </w:p>
    <w:p w14:paraId="31D0ABA6" w14:textId="77777777" w:rsidR="005465C4" w:rsidRPr="000203E1" w:rsidRDefault="005465C4" w:rsidP="005465C4">
      <w:pPr>
        <w:rPr>
          <w:b/>
          <w:lang w:eastAsia="lt-LT"/>
        </w:rPr>
      </w:pPr>
      <w:r w:rsidRPr="000203E1">
        <w:rPr>
          <w:b/>
          <w:lang w:eastAsia="lt-LT"/>
        </w:rPr>
        <w:t>Terapinės indikacijos</w:t>
      </w:r>
    </w:p>
    <w:p w14:paraId="2D55C836" w14:textId="7BA5CAF2" w:rsidR="005465C4" w:rsidRPr="000203E1" w:rsidRDefault="00953856" w:rsidP="005465C4">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7E1E86">
            <w:rPr>
              <w:rStyle w:val="Style2"/>
              <w:rFonts w:ascii="MS Gothic" w:eastAsia="MS Gothic" w:hAnsi="MS Gothic" w:hint="eastAsia"/>
            </w:rPr>
            <w:t>☒</w:t>
          </w:r>
        </w:sdtContent>
      </w:sdt>
      <w:r w:rsidR="005465C4" w:rsidRPr="000203E1">
        <w:t xml:space="preserve"> Siūloma kompensuoti Pareiškėjo teikiamą indikaciją be pakeitimų</w:t>
      </w:r>
      <w:r w:rsidR="007E1E86">
        <w:t>*</w:t>
      </w:r>
      <w:r w:rsidR="005465C4" w:rsidRPr="000203E1">
        <w:t>.</w:t>
      </w:r>
    </w:p>
    <w:p w14:paraId="4ABEED09" w14:textId="4A793071" w:rsidR="005465C4" w:rsidRDefault="00953856" w:rsidP="005465C4">
      <w:sdt>
        <w:sdtPr>
          <w:rPr>
            <w:rStyle w:val="Style2"/>
          </w:rPr>
          <w:id w:val="1467245146"/>
          <w15:color w:val="FFCC00"/>
          <w14:checkbox>
            <w14:checked w14:val="0"/>
            <w14:checkedState w14:val="2612" w14:font="MS Gothic"/>
            <w14:uncheckedState w14:val="2610" w14:font="MS Gothic"/>
          </w14:checkbox>
        </w:sdtPr>
        <w:sdtEndPr>
          <w:rPr>
            <w:rStyle w:val="Style2"/>
          </w:rPr>
        </w:sdtEndPr>
        <w:sdtContent>
          <w:r w:rsidR="007E1E86">
            <w:rPr>
              <w:rStyle w:val="Style2"/>
              <w:rFonts w:ascii="MS Gothic" w:eastAsia="MS Gothic" w:hAnsi="MS Gothic" w:hint="eastAsia"/>
            </w:rPr>
            <w:t>☐</w:t>
          </w:r>
        </w:sdtContent>
      </w:sdt>
      <w:r w:rsidR="005465C4" w:rsidRPr="000203E1">
        <w:t xml:space="preserve"> Siūloma kompensuoti Pareiškėjo teikiamą indikaciją su pakeitimais.</w:t>
      </w:r>
    </w:p>
    <w:p w14:paraId="6858E46D" w14:textId="77777777" w:rsidR="00582188" w:rsidRPr="007E1E86" w:rsidRDefault="00582188" w:rsidP="005465C4"/>
    <w:p w14:paraId="377CB65A" w14:textId="16764785" w:rsidR="005465C4" w:rsidRPr="007E1E86" w:rsidRDefault="007E1E86" w:rsidP="005465C4">
      <w:pPr>
        <w:rPr>
          <w:bCs/>
        </w:rPr>
      </w:pPr>
      <w:r>
        <w:t>*</w:t>
      </w:r>
      <w:r w:rsidR="005465C4" w:rsidRPr="007E1E86">
        <w:t>TLK-10 AM kodai</w:t>
      </w:r>
      <w:r w:rsidR="005465C4" w:rsidRPr="007E1E86">
        <w:rPr>
          <w:bCs/>
        </w:rPr>
        <w:t>: C15, C16.0</w:t>
      </w:r>
    </w:p>
    <w:p w14:paraId="02EA5784" w14:textId="77777777" w:rsidR="005465C4" w:rsidRPr="000203E1" w:rsidRDefault="005465C4" w:rsidP="005465C4"/>
    <w:p w14:paraId="116F377A" w14:textId="77777777" w:rsidR="007E1E86" w:rsidRDefault="007E1E86" w:rsidP="005465C4">
      <w:pPr>
        <w:rPr>
          <w:b/>
        </w:rPr>
      </w:pPr>
    </w:p>
    <w:p w14:paraId="732C1766" w14:textId="6D69DDCF" w:rsidR="005465C4" w:rsidRPr="000203E1" w:rsidRDefault="005465C4" w:rsidP="005465C4">
      <w:pPr>
        <w:rPr>
          <w:b/>
        </w:rPr>
      </w:pPr>
      <w:r w:rsidRPr="000203E1">
        <w:rPr>
          <w:b/>
        </w:rPr>
        <w:t>Skyrimo sąlygos</w:t>
      </w:r>
    </w:p>
    <w:p w14:paraId="7D8AA9F3" w14:textId="77777777" w:rsidR="005465C4" w:rsidRPr="000203E1" w:rsidRDefault="00953856" w:rsidP="005465C4">
      <w:sdt>
        <w:sdtPr>
          <w:rPr>
            <w:rStyle w:val="Style2"/>
          </w:rPr>
          <w:id w:val="169305347"/>
          <w15:color w:val="FFCC00"/>
          <w14:checkbox>
            <w14:checked w14:val="0"/>
            <w14:checkedState w14:val="2612" w14:font="MS Gothic"/>
            <w14:uncheckedState w14:val="2610" w14:font="MS Gothic"/>
          </w14:checkbox>
        </w:sdtPr>
        <w:sdtEndPr>
          <w:rPr>
            <w:rStyle w:val="Style2"/>
          </w:rPr>
        </w:sdtEndPr>
        <w:sdtContent>
          <w:r w:rsidR="005465C4" w:rsidRPr="000203E1">
            <w:rPr>
              <w:rStyle w:val="Style2"/>
              <w:rFonts w:ascii="MS Gothic" w:eastAsia="MS Gothic" w:hAnsi="MS Gothic" w:hint="eastAsia"/>
            </w:rPr>
            <w:t>☐</w:t>
          </w:r>
        </w:sdtContent>
      </w:sdt>
      <w:r w:rsidR="005465C4" w:rsidRPr="000203E1">
        <w:t xml:space="preserve"> Pareiškėjo siūlomos skyrimo sąlygos priimtinos. </w:t>
      </w:r>
    </w:p>
    <w:p w14:paraId="5A8C26C1" w14:textId="5BC797A7" w:rsidR="005465C4" w:rsidRDefault="00953856" w:rsidP="005465C4">
      <w:sdt>
        <w:sdtPr>
          <w:rPr>
            <w:rStyle w:val="Style2"/>
          </w:rPr>
          <w:id w:val="1823936883"/>
          <w15:color w:val="FFCC00"/>
          <w14:checkbox>
            <w14:checked w14:val="1"/>
            <w14:checkedState w14:val="2612" w14:font="MS Gothic"/>
            <w14:uncheckedState w14:val="2610" w14:font="MS Gothic"/>
          </w14:checkbox>
        </w:sdtPr>
        <w:sdtEndPr>
          <w:rPr>
            <w:rStyle w:val="Style2"/>
          </w:rPr>
        </w:sdtEndPr>
        <w:sdtContent>
          <w:r w:rsidR="005465C4">
            <w:rPr>
              <w:rStyle w:val="Style2"/>
              <w:rFonts w:ascii="MS Gothic" w:eastAsia="MS Gothic" w:hAnsi="MS Gothic" w:hint="eastAsia"/>
            </w:rPr>
            <w:t>☒</w:t>
          </w:r>
        </w:sdtContent>
      </w:sdt>
      <w:r w:rsidR="005465C4" w:rsidRPr="000203E1">
        <w:t xml:space="preserve"> Pareiškėjo siūlomo</w:t>
      </w:r>
      <w:r w:rsidR="007E1E86">
        <w:t>s skyrimo sąlygos nepriimtinos.</w:t>
      </w:r>
    </w:p>
    <w:p w14:paraId="1311CC5E" w14:textId="74E305E2" w:rsidR="007E1E86" w:rsidRPr="000203E1" w:rsidRDefault="007E1E86" w:rsidP="005465C4">
      <w:r>
        <w:t xml:space="preserve">Siūloma nustatyti </w:t>
      </w:r>
      <w:r w:rsidR="00CE1ED2">
        <w:t>tokias</w:t>
      </w:r>
      <w:r>
        <w:t xml:space="preserve"> skyrimo sąlygas</w:t>
      </w:r>
      <w:r w:rsidR="00CE1ED2">
        <w:t>.</w:t>
      </w:r>
    </w:p>
    <w:p w14:paraId="3C6FCA08" w14:textId="4465A5DD" w:rsidR="005465C4" w:rsidRPr="00A32E2B" w:rsidRDefault="007E1E86" w:rsidP="007E1E86">
      <w:pPr>
        <w:spacing w:line="276" w:lineRule="auto"/>
        <w:jc w:val="both"/>
      </w:pPr>
      <w:r w:rsidRPr="00196CC9">
        <w:rPr>
          <w:lang w:eastAsia="lt-LT"/>
        </w:rPr>
        <w:t xml:space="preserve">Skiriamas derinant su chemoterapija, kurios sudėtyje yra platinos preparatų ir </w:t>
      </w:r>
      <w:r>
        <w:rPr>
          <w:lang w:eastAsia="lt-LT"/>
        </w:rPr>
        <w:t>fluoropirimidinų</w:t>
      </w:r>
      <w:r w:rsidRPr="00196CC9">
        <w:rPr>
          <w:lang w:eastAsia="lt-LT"/>
        </w:rPr>
        <w:t xml:space="preserve">, metastazavusios ar nerezekuotinos stemplės karcinomos ir 1 tipo (pagal </w:t>
      </w:r>
      <w:r w:rsidRPr="00CE1ED2">
        <w:rPr>
          <w:i/>
          <w:iCs/>
          <w:lang w:eastAsia="lt-LT"/>
        </w:rPr>
        <w:t>Siewert</w:t>
      </w:r>
      <w:r w:rsidRPr="00196CC9">
        <w:rPr>
          <w:lang w:eastAsia="lt-LT"/>
        </w:rPr>
        <w:t>) HER-2 neigiamos gastroezofaginės jungties adenokarcinomos pirmaeiliam gydymui geros funkcinės būklės (ECOG 0 ar 1) suaugusiesiems, kurių navikai ekspresuoja PD-L1 ir CPS rodmuo yra ≥ 10. Gydymas tęsiamas iki nepriimtino toksinio poveikio atsiradimo, ligos progresavimo arba planuoto gydymo užbaigimo.</w:t>
      </w:r>
    </w:p>
    <w:sectPr w:rsidR="005465C4" w:rsidRPr="00A32E2B"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CBD05" w14:textId="77777777" w:rsidR="006C4B7A" w:rsidRDefault="006C4B7A">
      <w:r>
        <w:separator/>
      </w:r>
    </w:p>
  </w:endnote>
  <w:endnote w:type="continuationSeparator" w:id="0">
    <w:p w14:paraId="17E95B1B" w14:textId="77777777" w:rsidR="006C4B7A" w:rsidRDefault="006C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0959" w14:textId="77777777" w:rsidR="006C4B7A" w:rsidRDefault="006C4B7A">
      <w:r>
        <w:separator/>
      </w:r>
    </w:p>
  </w:footnote>
  <w:footnote w:type="continuationSeparator" w:id="0">
    <w:p w14:paraId="12188739" w14:textId="77777777" w:rsidR="006C4B7A" w:rsidRDefault="006C4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49320591"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62D1">
      <w:rPr>
        <w:rStyle w:val="PageNumber"/>
        <w:noProof/>
      </w:rPr>
      <w:t>7</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3E05F70"/>
    <w:multiLevelType w:val="hybridMultilevel"/>
    <w:tmpl w:val="0DE44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292E1459"/>
    <w:multiLevelType w:val="hybridMultilevel"/>
    <w:tmpl w:val="7E029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A670EA"/>
    <w:multiLevelType w:val="hybridMultilevel"/>
    <w:tmpl w:val="0F1048A6"/>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37741895">
    <w:abstractNumId w:val="8"/>
  </w:num>
  <w:num w:numId="2" w16cid:durableId="485780799">
    <w:abstractNumId w:val="2"/>
  </w:num>
  <w:num w:numId="3" w16cid:durableId="514195711">
    <w:abstractNumId w:val="11"/>
  </w:num>
  <w:num w:numId="4" w16cid:durableId="32731267">
    <w:abstractNumId w:val="10"/>
  </w:num>
  <w:num w:numId="5" w16cid:durableId="449327408">
    <w:abstractNumId w:val="7"/>
  </w:num>
  <w:num w:numId="6" w16cid:durableId="539705115">
    <w:abstractNumId w:val="6"/>
  </w:num>
  <w:num w:numId="7" w16cid:durableId="1180267989">
    <w:abstractNumId w:val="4"/>
  </w:num>
  <w:num w:numId="8" w16cid:durableId="1748571381">
    <w:abstractNumId w:val="14"/>
  </w:num>
  <w:num w:numId="9" w16cid:durableId="158010187">
    <w:abstractNumId w:val="0"/>
  </w:num>
  <w:num w:numId="10" w16cid:durableId="1887331221">
    <w:abstractNumId w:val="12"/>
  </w:num>
  <w:num w:numId="11" w16cid:durableId="353192809">
    <w:abstractNumId w:val="13"/>
  </w:num>
  <w:num w:numId="12" w16cid:durableId="1907374804">
    <w:abstractNumId w:val="3"/>
  </w:num>
  <w:num w:numId="13" w16cid:durableId="1844587765">
    <w:abstractNumId w:val="5"/>
  </w:num>
  <w:num w:numId="14" w16cid:durableId="24840111">
    <w:abstractNumId w:val="9"/>
  </w:num>
  <w:num w:numId="15" w16cid:durableId="2015188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53975"/>
    <w:rsid w:val="00057650"/>
    <w:rsid w:val="00057A2B"/>
    <w:rsid w:val="000606BE"/>
    <w:rsid w:val="000648BE"/>
    <w:rsid w:val="000723FF"/>
    <w:rsid w:val="000736B8"/>
    <w:rsid w:val="0008190F"/>
    <w:rsid w:val="00081D9C"/>
    <w:rsid w:val="00082907"/>
    <w:rsid w:val="0008378D"/>
    <w:rsid w:val="00083BA9"/>
    <w:rsid w:val="000908A5"/>
    <w:rsid w:val="00092805"/>
    <w:rsid w:val="000C454C"/>
    <w:rsid w:val="000D5038"/>
    <w:rsid w:val="000E29D4"/>
    <w:rsid w:val="000F1F28"/>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64D64"/>
    <w:rsid w:val="0017369C"/>
    <w:rsid w:val="00175D57"/>
    <w:rsid w:val="00180C39"/>
    <w:rsid w:val="00180D96"/>
    <w:rsid w:val="00184BD3"/>
    <w:rsid w:val="001921F3"/>
    <w:rsid w:val="001B24C3"/>
    <w:rsid w:val="001B3C5B"/>
    <w:rsid w:val="001D5B91"/>
    <w:rsid w:val="001D746F"/>
    <w:rsid w:val="001E1F8C"/>
    <w:rsid w:val="001E4BBB"/>
    <w:rsid w:val="001E6304"/>
    <w:rsid w:val="001F5A0A"/>
    <w:rsid w:val="0020381E"/>
    <w:rsid w:val="00211E29"/>
    <w:rsid w:val="00213471"/>
    <w:rsid w:val="00215906"/>
    <w:rsid w:val="00241CD8"/>
    <w:rsid w:val="00244B09"/>
    <w:rsid w:val="002519CB"/>
    <w:rsid w:val="0025697F"/>
    <w:rsid w:val="00260258"/>
    <w:rsid w:val="0026588E"/>
    <w:rsid w:val="00272428"/>
    <w:rsid w:val="00272948"/>
    <w:rsid w:val="00283E59"/>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14816"/>
    <w:rsid w:val="00317B0E"/>
    <w:rsid w:val="0032540A"/>
    <w:rsid w:val="00347FAA"/>
    <w:rsid w:val="0035017A"/>
    <w:rsid w:val="0035172D"/>
    <w:rsid w:val="00357DFE"/>
    <w:rsid w:val="0036187D"/>
    <w:rsid w:val="00367EDB"/>
    <w:rsid w:val="00381024"/>
    <w:rsid w:val="00386307"/>
    <w:rsid w:val="003874DE"/>
    <w:rsid w:val="00393E9F"/>
    <w:rsid w:val="0039696E"/>
    <w:rsid w:val="003B211A"/>
    <w:rsid w:val="003C141F"/>
    <w:rsid w:val="003C1B22"/>
    <w:rsid w:val="003C6B0E"/>
    <w:rsid w:val="003C7257"/>
    <w:rsid w:val="003C7E35"/>
    <w:rsid w:val="003D1E99"/>
    <w:rsid w:val="003D6208"/>
    <w:rsid w:val="00404E8A"/>
    <w:rsid w:val="0040622F"/>
    <w:rsid w:val="004062D1"/>
    <w:rsid w:val="00413F24"/>
    <w:rsid w:val="00415D3D"/>
    <w:rsid w:val="00422853"/>
    <w:rsid w:val="00423160"/>
    <w:rsid w:val="00453862"/>
    <w:rsid w:val="0045469B"/>
    <w:rsid w:val="00460CDB"/>
    <w:rsid w:val="00461338"/>
    <w:rsid w:val="004677DB"/>
    <w:rsid w:val="00476256"/>
    <w:rsid w:val="0048630F"/>
    <w:rsid w:val="004947A1"/>
    <w:rsid w:val="0049482A"/>
    <w:rsid w:val="004979D3"/>
    <w:rsid w:val="004A00E7"/>
    <w:rsid w:val="004A3A61"/>
    <w:rsid w:val="004B59BA"/>
    <w:rsid w:val="004B5A03"/>
    <w:rsid w:val="004C263A"/>
    <w:rsid w:val="004C3C57"/>
    <w:rsid w:val="004D48A6"/>
    <w:rsid w:val="004D7B8F"/>
    <w:rsid w:val="004E241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5677"/>
    <w:rsid w:val="005465C4"/>
    <w:rsid w:val="005476A4"/>
    <w:rsid w:val="0055019B"/>
    <w:rsid w:val="00556E63"/>
    <w:rsid w:val="005601A4"/>
    <w:rsid w:val="00566DBB"/>
    <w:rsid w:val="005767DB"/>
    <w:rsid w:val="005815E6"/>
    <w:rsid w:val="00582188"/>
    <w:rsid w:val="0058712F"/>
    <w:rsid w:val="005900FB"/>
    <w:rsid w:val="005976CE"/>
    <w:rsid w:val="005A23D4"/>
    <w:rsid w:val="005A2D1E"/>
    <w:rsid w:val="005A4698"/>
    <w:rsid w:val="005B3756"/>
    <w:rsid w:val="005C493F"/>
    <w:rsid w:val="005C5A0A"/>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66E73"/>
    <w:rsid w:val="00670980"/>
    <w:rsid w:val="0067647F"/>
    <w:rsid w:val="006834D3"/>
    <w:rsid w:val="00692625"/>
    <w:rsid w:val="00695CD3"/>
    <w:rsid w:val="006A38B6"/>
    <w:rsid w:val="006B1987"/>
    <w:rsid w:val="006B5B71"/>
    <w:rsid w:val="006B5D3E"/>
    <w:rsid w:val="006B6CB0"/>
    <w:rsid w:val="006C2B64"/>
    <w:rsid w:val="006C4B7A"/>
    <w:rsid w:val="006D1BF3"/>
    <w:rsid w:val="006D4C85"/>
    <w:rsid w:val="006D66AC"/>
    <w:rsid w:val="006E33F6"/>
    <w:rsid w:val="006F1251"/>
    <w:rsid w:val="006F1C23"/>
    <w:rsid w:val="0070256D"/>
    <w:rsid w:val="00702C18"/>
    <w:rsid w:val="00703166"/>
    <w:rsid w:val="00705D2C"/>
    <w:rsid w:val="007127F3"/>
    <w:rsid w:val="007301CF"/>
    <w:rsid w:val="007316FB"/>
    <w:rsid w:val="00737E2D"/>
    <w:rsid w:val="007424D5"/>
    <w:rsid w:val="00750A88"/>
    <w:rsid w:val="007523DD"/>
    <w:rsid w:val="00757B7E"/>
    <w:rsid w:val="007656B2"/>
    <w:rsid w:val="0077016F"/>
    <w:rsid w:val="007713AD"/>
    <w:rsid w:val="00795DC5"/>
    <w:rsid w:val="00797153"/>
    <w:rsid w:val="007A08EE"/>
    <w:rsid w:val="007A21F7"/>
    <w:rsid w:val="007A2B68"/>
    <w:rsid w:val="007B0DDA"/>
    <w:rsid w:val="007D3347"/>
    <w:rsid w:val="007E1E86"/>
    <w:rsid w:val="007E5466"/>
    <w:rsid w:val="007F14AD"/>
    <w:rsid w:val="007F1949"/>
    <w:rsid w:val="007F2592"/>
    <w:rsid w:val="007F79BE"/>
    <w:rsid w:val="00800A08"/>
    <w:rsid w:val="00817A84"/>
    <w:rsid w:val="008225A4"/>
    <w:rsid w:val="00824B92"/>
    <w:rsid w:val="00826D5E"/>
    <w:rsid w:val="00832013"/>
    <w:rsid w:val="00832DB7"/>
    <w:rsid w:val="00834732"/>
    <w:rsid w:val="00834C5D"/>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02462"/>
    <w:rsid w:val="0092297E"/>
    <w:rsid w:val="00923651"/>
    <w:rsid w:val="00927B56"/>
    <w:rsid w:val="009341BF"/>
    <w:rsid w:val="00937907"/>
    <w:rsid w:val="00941739"/>
    <w:rsid w:val="00951573"/>
    <w:rsid w:val="00953856"/>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32E2B"/>
    <w:rsid w:val="00A3543B"/>
    <w:rsid w:val="00A54D87"/>
    <w:rsid w:val="00A5553C"/>
    <w:rsid w:val="00A701C9"/>
    <w:rsid w:val="00A81785"/>
    <w:rsid w:val="00A84803"/>
    <w:rsid w:val="00A84C51"/>
    <w:rsid w:val="00A86F2B"/>
    <w:rsid w:val="00A91366"/>
    <w:rsid w:val="00A9159F"/>
    <w:rsid w:val="00A92F91"/>
    <w:rsid w:val="00A93AA6"/>
    <w:rsid w:val="00AA4E48"/>
    <w:rsid w:val="00AA6202"/>
    <w:rsid w:val="00AA7B57"/>
    <w:rsid w:val="00AB2806"/>
    <w:rsid w:val="00AC26FC"/>
    <w:rsid w:val="00AC4A99"/>
    <w:rsid w:val="00AC64D2"/>
    <w:rsid w:val="00AD02E7"/>
    <w:rsid w:val="00AE0FE8"/>
    <w:rsid w:val="00AF3A46"/>
    <w:rsid w:val="00AF60D5"/>
    <w:rsid w:val="00B00959"/>
    <w:rsid w:val="00B04415"/>
    <w:rsid w:val="00B06509"/>
    <w:rsid w:val="00B06BCA"/>
    <w:rsid w:val="00B11D60"/>
    <w:rsid w:val="00B13D65"/>
    <w:rsid w:val="00B21805"/>
    <w:rsid w:val="00B3072E"/>
    <w:rsid w:val="00B36E15"/>
    <w:rsid w:val="00B37245"/>
    <w:rsid w:val="00B4017A"/>
    <w:rsid w:val="00B4468D"/>
    <w:rsid w:val="00B7139E"/>
    <w:rsid w:val="00B71C72"/>
    <w:rsid w:val="00B81E92"/>
    <w:rsid w:val="00B908D7"/>
    <w:rsid w:val="00B935E8"/>
    <w:rsid w:val="00B93B30"/>
    <w:rsid w:val="00B94CB5"/>
    <w:rsid w:val="00BA0DD9"/>
    <w:rsid w:val="00BA5DBC"/>
    <w:rsid w:val="00BA6584"/>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2FBD"/>
    <w:rsid w:val="00C37B53"/>
    <w:rsid w:val="00C434EB"/>
    <w:rsid w:val="00C517D2"/>
    <w:rsid w:val="00C5772E"/>
    <w:rsid w:val="00C6029E"/>
    <w:rsid w:val="00C62B36"/>
    <w:rsid w:val="00C7012C"/>
    <w:rsid w:val="00C712EA"/>
    <w:rsid w:val="00CA217D"/>
    <w:rsid w:val="00CC09D4"/>
    <w:rsid w:val="00CC668D"/>
    <w:rsid w:val="00CC7832"/>
    <w:rsid w:val="00CD488E"/>
    <w:rsid w:val="00CE1ED2"/>
    <w:rsid w:val="00CF0C1C"/>
    <w:rsid w:val="00CF27FD"/>
    <w:rsid w:val="00CF5F12"/>
    <w:rsid w:val="00D00D8F"/>
    <w:rsid w:val="00D07D40"/>
    <w:rsid w:val="00D21F3A"/>
    <w:rsid w:val="00D23808"/>
    <w:rsid w:val="00D3016A"/>
    <w:rsid w:val="00D417D2"/>
    <w:rsid w:val="00D41AA0"/>
    <w:rsid w:val="00D42960"/>
    <w:rsid w:val="00D43BD7"/>
    <w:rsid w:val="00D4485B"/>
    <w:rsid w:val="00D46CCD"/>
    <w:rsid w:val="00D4708D"/>
    <w:rsid w:val="00D4744C"/>
    <w:rsid w:val="00D521DE"/>
    <w:rsid w:val="00D5470B"/>
    <w:rsid w:val="00D63068"/>
    <w:rsid w:val="00D6498C"/>
    <w:rsid w:val="00D76A70"/>
    <w:rsid w:val="00D83182"/>
    <w:rsid w:val="00D8521E"/>
    <w:rsid w:val="00D912D9"/>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16605"/>
    <w:rsid w:val="00E24D45"/>
    <w:rsid w:val="00E33DB8"/>
    <w:rsid w:val="00E33EFF"/>
    <w:rsid w:val="00E34387"/>
    <w:rsid w:val="00E348BA"/>
    <w:rsid w:val="00E369FE"/>
    <w:rsid w:val="00E37C6F"/>
    <w:rsid w:val="00E475F8"/>
    <w:rsid w:val="00E5102E"/>
    <w:rsid w:val="00E5721C"/>
    <w:rsid w:val="00E604AF"/>
    <w:rsid w:val="00E619C6"/>
    <w:rsid w:val="00E64ADE"/>
    <w:rsid w:val="00E745A1"/>
    <w:rsid w:val="00E81529"/>
    <w:rsid w:val="00E83A13"/>
    <w:rsid w:val="00E8540A"/>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1714D"/>
    <w:rsid w:val="00F259FC"/>
    <w:rsid w:val="00F3208D"/>
    <w:rsid w:val="00F36972"/>
    <w:rsid w:val="00F42426"/>
    <w:rsid w:val="00F456BC"/>
    <w:rsid w:val="00F50666"/>
    <w:rsid w:val="00F70731"/>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1,Bullet 1,Bullet List,1. Bullet Blank,Bulleted - 2,Dairy Paragraphe,Bullets Points,Table Header Row,Bullet Paragraph,Bullet Point,Table Legend,List Paragraph CCT minutes,Section 5,FooterText,List Paragraph1,numbered,列出段落,Ref,B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1 Char,Bullet 1 Char,Bullet List Char,1. Bullet Blank Char,Bulleted - 2 Char,Dairy Paragraphe Char,Bullets Points Char,Table Header Row Char,Bullet Paragraph Char,Bullet Point Char,Table Legend Char,Section 5 Char,numbered Char"/>
    <w:link w:val="ListParagraph"/>
    <w:uiPriority w:val="34"/>
    <w:locked/>
    <w:rsid w:val="001B24C3"/>
    <w:rPr>
      <w:sz w:val="24"/>
      <w:szCs w:val="24"/>
      <w:lang w:eastAsia="en-US"/>
    </w:rPr>
  </w:style>
  <w:style w:type="paragraph" w:customStyle="1" w:styleId="VVKT">
    <w:name w:val="VVKT"/>
    <w:basedOn w:val="Normal"/>
    <w:link w:val="VVKTChar"/>
    <w:qFormat/>
    <w:rsid w:val="001B24C3"/>
    <w:pPr>
      <w:tabs>
        <w:tab w:val="left" w:pos="567"/>
      </w:tabs>
      <w:spacing w:line="276" w:lineRule="auto"/>
      <w:ind w:firstLine="562"/>
      <w:jc w:val="both"/>
    </w:pPr>
    <w:rPr>
      <w:lang w:eastAsia="lt-LT"/>
    </w:rPr>
  </w:style>
  <w:style w:type="character" w:customStyle="1" w:styleId="VVKTChar">
    <w:name w:val="VVKT Char"/>
    <w:basedOn w:val="DefaultParagraphFont"/>
    <w:link w:val="VVKT"/>
    <w:rsid w:val="001B24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27899">
      <w:bodyDiv w:val="1"/>
      <w:marLeft w:val="0"/>
      <w:marRight w:val="0"/>
      <w:marTop w:val="0"/>
      <w:marBottom w:val="0"/>
      <w:divBdr>
        <w:top w:val="none" w:sz="0" w:space="0" w:color="auto"/>
        <w:left w:val="none" w:sz="0" w:space="0" w:color="auto"/>
        <w:bottom w:val="none" w:sz="0" w:space="0" w:color="auto"/>
        <w:right w:val="none" w:sz="0" w:space="0" w:color="auto"/>
      </w:divBdr>
    </w:div>
    <w:div w:id="305011399">
      <w:bodyDiv w:val="1"/>
      <w:marLeft w:val="0"/>
      <w:marRight w:val="0"/>
      <w:marTop w:val="0"/>
      <w:marBottom w:val="0"/>
      <w:divBdr>
        <w:top w:val="none" w:sz="0" w:space="0" w:color="auto"/>
        <w:left w:val="none" w:sz="0" w:space="0" w:color="auto"/>
        <w:bottom w:val="none" w:sz="0" w:space="0" w:color="auto"/>
        <w:right w:val="none" w:sz="0" w:space="0" w:color="auto"/>
      </w:divBdr>
    </w:div>
    <w:div w:id="334650342">
      <w:bodyDiv w:val="1"/>
      <w:marLeft w:val="0"/>
      <w:marRight w:val="0"/>
      <w:marTop w:val="0"/>
      <w:marBottom w:val="0"/>
      <w:divBdr>
        <w:top w:val="none" w:sz="0" w:space="0" w:color="auto"/>
        <w:left w:val="none" w:sz="0" w:space="0" w:color="auto"/>
        <w:bottom w:val="none" w:sz="0" w:space="0" w:color="auto"/>
        <w:right w:val="none" w:sz="0" w:space="0" w:color="auto"/>
      </w:divBdr>
    </w:div>
    <w:div w:id="425809749">
      <w:bodyDiv w:val="1"/>
      <w:marLeft w:val="0"/>
      <w:marRight w:val="0"/>
      <w:marTop w:val="0"/>
      <w:marBottom w:val="0"/>
      <w:divBdr>
        <w:top w:val="none" w:sz="0" w:space="0" w:color="auto"/>
        <w:left w:val="none" w:sz="0" w:space="0" w:color="auto"/>
        <w:bottom w:val="none" w:sz="0" w:space="0" w:color="auto"/>
        <w:right w:val="none" w:sz="0" w:space="0" w:color="auto"/>
      </w:divBdr>
    </w:div>
    <w:div w:id="569462130">
      <w:bodyDiv w:val="1"/>
      <w:marLeft w:val="0"/>
      <w:marRight w:val="0"/>
      <w:marTop w:val="0"/>
      <w:marBottom w:val="0"/>
      <w:divBdr>
        <w:top w:val="none" w:sz="0" w:space="0" w:color="auto"/>
        <w:left w:val="none" w:sz="0" w:space="0" w:color="auto"/>
        <w:bottom w:val="none" w:sz="0" w:space="0" w:color="auto"/>
        <w:right w:val="none" w:sz="0" w:space="0" w:color="auto"/>
      </w:divBdr>
    </w:div>
    <w:div w:id="1066607584">
      <w:bodyDiv w:val="1"/>
      <w:marLeft w:val="0"/>
      <w:marRight w:val="0"/>
      <w:marTop w:val="0"/>
      <w:marBottom w:val="0"/>
      <w:divBdr>
        <w:top w:val="none" w:sz="0" w:space="0" w:color="auto"/>
        <w:left w:val="none" w:sz="0" w:space="0" w:color="auto"/>
        <w:bottom w:val="none" w:sz="0" w:space="0" w:color="auto"/>
        <w:right w:val="none" w:sz="0" w:space="0" w:color="auto"/>
      </w:divBdr>
    </w:div>
    <w:div w:id="1297561899">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415860152">
      <w:bodyDiv w:val="1"/>
      <w:marLeft w:val="0"/>
      <w:marRight w:val="0"/>
      <w:marTop w:val="0"/>
      <w:marBottom w:val="0"/>
      <w:divBdr>
        <w:top w:val="none" w:sz="0" w:space="0" w:color="auto"/>
        <w:left w:val="none" w:sz="0" w:space="0" w:color="auto"/>
        <w:bottom w:val="none" w:sz="0" w:space="0" w:color="auto"/>
        <w:right w:val="none" w:sz="0" w:space="0" w:color="auto"/>
      </w:divBdr>
    </w:div>
    <w:div w:id="1550650918">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654721128">
      <w:bodyDiv w:val="1"/>
      <w:marLeft w:val="0"/>
      <w:marRight w:val="0"/>
      <w:marTop w:val="0"/>
      <w:marBottom w:val="0"/>
      <w:divBdr>
        <w:top w:val="none" w:sz="0" w:space="0" w:color="auto"/>
        <w:left w:val="none" w:sz="0" w:space="0" w:color="auto"/>
        <w:bottom w:val="none" w:sz="0" w:space="0" w:color="auto"/>
        <w:right w:val="none" w:sz="0" w:space="0" w:color="auto"/>
      </w:divBdr>
    </w:div>
    <w:div w:id="1748378398">
      <w:bodyDiv w:val="1"/>
      <w:marLeft w:val="0"/>
      <w:marRight w:val="0"/>
      <w:marTop w:val="0"/>
      <w:marBottom w:val="0"/>
      <w:divBdr>
        <w:top w:val="none" w:sz="0" w:space="0" w:color="auto"/>
        <w:left w:val="none" w:sz="0" w:space="0" w:color="auto"/>
        <w:bottom w:val="none" w:sz="0" w:space="0" w:color="auto"/>
        <w:right w:val="none" w:sz="0" w:space="0" w:color="auto"/>
      </w:divBdr>
    </w:div>
    <w:div w:id="1830093309">
      <w:bodyDiv w:val="1"/>
      <w:marLeft w:val="0"/>
      <w:marRight w:val="0"/>
      <w:marTop w:val="0"/>
      <w:marBottom w:val="0"/>
      <w:divBdr>
        <w:top w:val="none" w:sz="0" w:space="0" w:color="auto"/>
        <w:left w:val="none" w:sz="0" w:space="0" w:color="auto"/>
        <w:bottom w:val="none" w:sz="0" w:space="0" w:color="auto"/>
        <w:right w:val="none" w:sz="0" w:space="0" w:color="auto"/>
      </w:divBdr>
    </w:div>
    <w:div w:id="1901011709">
      <w:bodyDiv w:val="1"/>
      <w:marLeft w:val="0"/>
      <w:marRight w:val="0"/>
      <w:marTop w:val="0"/>
      <w:marBottom w:val="0"/>
      <w:divBdr>
        <w:top w:val="none" w:sz="0" w:space="0" w:color="auto"/>
        <w:left w:val="none" w:sz="0" w:space="0" w:color="auto"/>
        <w:bottom w:val="none" w:sz="0" w:space="0" w:color="auto"/>
        <w:right w:val="none" w:sz="0" w:space="0" w:color="auto"/>
      </w:divBdr>
    </w:div>
    <w:div w:id="209338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EAE86926B842BDB7D94B386D8D9D17"/>
        <w:category>
          <w:name w:val="General"/>
          <w:gallery w:val="placeholder"/>
        </w:category>
        <w:types>
          <w:type w:val="bbPlcHdr"/>
        </w:types>
        <w:behaviors>
          <w:behavior w:val="content"/>
        </w:behaviors>
        <w:guid w:val="{5424AE31-68C3-4FE0-A6B0-799A6E715D92}"/>
      </w:docPartPr>
      <w:docPartBody>
        <w:p w:rsidR="00081285" w:rsidRDefault="005C0BD9" w:rsidP="005C0BD9">
          <w:pPr>
            <w:pStyle w:val="8BEAE86926B842BDB7D94B386D8D9D17"/>
          </w:pPr>
          <w:r>
            <w:rPr>
              <w:rStyle w:val="PlaceholderText"/>
            </w:rPr>
            <w:t>Click here to enter a date.</w:t>
          </w:r>
        </w:p>
      </w:docPartBody>
    </w:docPart>
    <w:docPart>
      <w:docPartPr>
        <w:name w:val="B4712F61389A4B03B903A3BC98D33CED"/>
        <w:category>
          <w:name w:val="General"/>
          <w:gallery w:val="placeholder"/>
        </w:category>
        <w:types>
          <w:type w:val="bbPlcHdr"/>
        </w:types>
        <w:behaviors>
          <w:behavior w:val="content"/>
        </w:behaviors>
        <w:guid w:val="{E17E25AE-DE14-41A7-83CD-08D86C8EC068}"/>
      </w:docPartPr>
      <w:docPartBody>
        <w:p w:rsidR="00081285" w:rsidRDefault="005C0BD9" w:rsidP="005C0BD9">
          <w:pPr>
            <w:pStyle w:val="B4712F61389A4B03B903A3BC98D33CED"/>
          </w:pPr>
          <w:r>
            <w:rPr>
              <w:rStyle w:val="PlaceholderText"/>
            </w:rPr>
            <w:t>Click here to enter a date.</w:t>
          </w:r>
        </w:p>
      </w:docPartBody>
    </w:docPart>
    <w:docPart>
      <w:docPartPr>
        <w:name w:val="726351A16202426B8A4A3462F7198E37"/>
        <w:category>
          <w:name w:val="General"/>
          <w:gallery w:val="placeholder"/>
        </w:category>
        <w:types>
          <w:type w:val="bbPlcHdr"/>
        </w:types>
        <w:behaviors>
          <w:behavior w:val="content"/>
        </w:behaviors>
        <w:guid w:val="{80B36BD8-0451-4596-95BC-542E6B5BB45E}"/>
      </w:docPartPr>
      <w:docPartBody>
        <w:p w:rsidR="00081285" w:rsidRDefault="005C0BD9" w:rsidP="005C0BD9">
          <w:pPr>
            <w:pStyle w:val="726351A16202426B8A4A3462F7198E37"/>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57650"/>
    <w:rsid w:val="00061157"/>
    <w:rsid w:val="00081285"/>
    <w:rsid w:val="000937FE"/>
    <w:rsid w:val="000A559A"/>
    <w:rsid w:val="000D24D4"/>
    <w:rsid w:val="0016778C"/>
    <w:rsid w:val="001C35A9"/>
    <w:rsid w:val="00237556"/>
    <w:rsid w:val="00244677"/>
    <w:rsid w:val="00296E87"/>
    <w:rsid w:val="0039303B"/>
    <w:rsid w:val="003F0CE7"/>
    <w:rsid w:val="004144A3"/>
    <w:rsid w:val="00415D3D"/>
    <w:rsid w:val="004160E7"/>
    <w:rsid w:val="004416C6"/>
    <w:rsid w:val="00456E96"/>
    <w:rsid w:val="004F5AB2"/>
    <w:rsid w:val="005074B9"/>
    <w:rsid w:val="00540FEE"/>
    <w:rsid w:val="005C0BD9"/>
    <w:rsid w:val="005C62E5"/>
    <w:rsid w:val="005E40DD"/>
    <w:rsid w:val="005E71C2"/>
    <w:rsid w:val="007219C1"/>
    <w:rsid w:val="00753462"/>
    <w:rsid w:val="00772325"/>
    <w:rsid w:val="007A2FE0"/>
    <w:rsid w:val="007C6D1D"/>
    <w:rsid w:val="00850320"/>
    <w:rsid w:val="0090074D"/>
    <w:rsid w:val="00902462"/>
    <w:rsid w:val="00921212"/>
    <w:rsid w:val="009B3BF0"/>
    <w:rsid w:val="009D5E5E"/>
    <w:rsid w:val="009F1BB4"/>
    <w:rsid w:val="00AB6ED4"/>
    <w:rsid w:val="00B14210"/>
    <w:rsid w:val="00B22ED6"/>
    <w:rsid w:val="00B23DC0"/>
    <w:rsid w:val="00B96656"/>
    <w:rsid w:val="00BE2BCA"/>
    <w:rsid w:val="00C2401D"/>
    <w:rsid w:val="00C250D7"/>
    <w:rsid w:val="00C53A68"/>
    <w:rsid w:val="00C6029E"/>
    <w:rsid w:val="00CA5BB4"/>
    <w:rsid w:val="00CB396B"/>
    <w:rsid w:val="00CB4BD1"/>
    <w:rsid w:val="00CD139C"/>
    <w:rsid w:val="00CE2DA9"/>
    <w:rsid w:val="00CE44BE"/>
    <w:rsid w:val="00D0142D"/>
    <w:rsid w:val="00D41AA0"/>
    <w:rsid w:val="00D4356B"/>
    <w:rsid w:val="00D7162F"/>
    <w:rsid w:val="00DB4DB5"/>
    <w:rsid w:val="00DE4D10"/>
    <w:rsid w:val="00E16605"/>
    <w:rsid w:val="00E44A86"/>
    <w:rsid w:val="00E522EB"/>
    <w:rsid w:val="00E60827"/>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0BD9"/>
  </w:style>
  <w:style w:type="paragraph" w:customStyle="1" w:styleId="8BEAE86926B842BDB7D94B386D8D9D17">
    <w:name w:val="8BEAE86926B842BDB7D94B386D8D9D17"/>
    <w:rsid w:val="005C0BD9"/>
    <w:pPr>
      <w:spacing w:line="278" w:lineRule="auto"/>
    </w:pPr>
    <w:rPr>
      <w:kern w:val="2"/>
      <w:sz w:val="24"/>
      <w:szCs w:val="24"/>
      <w:lang w:val="en-GB" w:eastAsia="en-GB"/>
      <w14:ligatures w14:val="standardContextual"/>
    </w:rPr>
  </w:style>
  <w:style w:type="paragraph" w:customStyle="1" w:styleId="B4712F61389A4B03B903A3BC98D33CED">
    <w:name w:val="B4712F61389A4B03B903A3BC98D33CED"/>
    <w:rsid w:val="005C0BD9"/>
    <w:pPr>
      <w:spacing w:line="278" w:lineRule="auto"/>
    </w:pPr>
    <w:rPr>
      <w:kern w:val="2"/>
      <w:sz w:val="24"/>
      <w:szCs w:val="24"/>
      <w:lang w:val="en-GB" w:eastAsia="en-GB"/>
      <w14:ligatures w14:val="standardContextual"/>
    </w:rPr>
  </w:style>
  <w:style w:type="paragraph" w:customStyle="1" w:styleId="726351A16202426B8A4A3462F7198E37">
    <w:name w:val="726351A16202426B8A4A3462F7198E37"/>
    <w:rsid w:val="005C0BD9"/>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4C004-131B-435F-8D35-1B160CA7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2824</Words>
  <Characters>20572</Characters>
  <Application>Microsoft Office Word</Application>
  <DocSecurity>0</DocSecurity>
  <Lines>171</Lines>
  <Paragraphs>46</Paragraphs>
  <ScaleCrop>false</ScaleCrop>
  <Company/>
  <LinksUpToDate>false</LinksUpToDate>
  <CharactersWithSpaces>23350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2024-09-27T07:07:00Z</dcterms:created>
  <dcterms:modified xsi:type="dcterms:W3CDTF">2024-10-03T15:36:00Z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2024-10-03T15:33:27Z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f32e9e7a-33e2-4d00-8c1d-4f07da6ef2c1</vt:lpwstr>
  </property>
  <property fmtid="{D5CDD505-2E9C-101B-9397-08002B2CF9AE}" pid="8" name="MSIP_Label_e81acc0d-dcc4-4dc9-a2c5-be70b05a2fe6_ContentBits">
    <vt:lpwstr>0</vt:lpwstr>
  </property>
  <property fmtid="{D5CDD505-2E9C-101B-9397-08002B2CF9AE}" pid="10" name="_NewReviewCycle">
    <vt:lpwstr/>
  </property>
</Properties>
</file>