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C7514B" w:rsidRDefault="005F7602" w:rsidP="002946C7">
      <w:pPr>
        <w:ind w:left="5529"/>
      </w:pPr>
    </w:p>
    <w:p w14:paraId="12FA4B9E" w14:textId="77777777" w:rsidR="001B3C5B" w:rsidRPr="00C7514B" w:rsidRDefault="001B3C5B" w:rsidP="001B3C5B">
      <w:pPr>
        <w:ind w:left="6096"/>
      </w:pPr>
      <w:r w:rsidRPr="00C7514B">
        <w:t>Forma patvirtinta</w:t>
      </w:r>
    </w:p>
    <w:p w14:paraId="7206970B" w14:textId="70E9BD2E" w:rsidR="004C263A" w:rsidRPr="00C7514B" w:rsidRDefault="001B3C5B" w:rsidP="001B3C5B">
      <w:pPr>
        <w:ind w:left="6096"/>
      </w:pPr>
      <w:r w:rsidRPr="00C7514B">
        <w:t>Valstybinės vaistų kontrolės tarnybos prie Lietuvos Respublikos sveikatos apsaugos ministerijos viršininko 2021 m</w:t>
      </w:r>
      <w:r w:rsidR="004C263A" w:rsidRPr="00C7514B">
        <w:t xml:space="preserve">. lapkričio 12 </w:t>
      </w:r>
      <w:r w:rsidRPr="00C7514B">
        <w:t>d. įsakymu Nr.</w:t>
      </w:r>
      <w:r w:rsidR="004C263A" w:rsidRPr="00C7514B">
        <w:t xml:space="preserve"> (1.72E)1A-1418</w:t>
      </w:r>
    </w:p>
    <w:p w14:paraId="5B219AA6" w14:textId="520B9136" w:rsidR="001B3C5B" w:rsidRPr="00C7514B" w:rsidRDefault="004C263A" w:rsidP="001B3C5B">
      <w:pPr>
        <w:ind w:left="6096"/>
      </w:pPr>
      <w:r w:rsidRPr="00C7514B">
        <w:t>(Valstybinės vaistų kontrolės tarnybos prie Lietuvos Respublikos sveikatos apsaugos ministerijos viršininko 2022 m.                         d. įsakymo Nr.                    redakcija)</w:t>
      </w:r>
    </w:p>
    <w:p w14:paraId="3336BD74" w14:textId="77777777" w:rsidR="001B3C5B" w:rsidRPr="00C7514B" w:rsidRDefault="001B3C5B" w:rsidP="00FA4169"/>
    <w:p w14:paraId="77AFB67E" w14:textId="16397257" w:rsidR="00613501" w:rsidRPr="00C7514B" w:rsidRDefault="002F0E4F" w:rsidP="003B211A">
      <w:pPr>
        <w:jc w:val="center"/>
        <w:rPr>
          <w:b/>
          <w:bCs/>
          <w:caps/>
        </w:rPr>
      </w:pPr>
      <w:r w:rsidRPr="00C7514B">
        <w:rPr>
          <w:b/>
        </w:rPr>
        <w:t xml:space="preserve">REKOMENDACIJA DĖL VAISTINIO PREPARATO </w:t>
      </w:r>
      <w:r w:rsidRPr="00C7514B">
        <w:rPr>
          <w:b/>
          <w:bCs/>
          <w:caps/>
        </w:rPr>
        <w:t>Lietuvos Respublikos Sveikatos apsaugos ministerijos vaistinių preparatų ir medicinos pagalbos priemonių kompensavimo komisijai</w:t>
      </w:r>
    </w:p>
    <w:p w14:paraId="34E4395D" w14:textId="15FB10DF" w:rsidR="00B13D65" w:rsidRPr="00C7514B" w:rsidRDefault="00B13D65" w:rsidP="003B211A">
      <w:pPr>
        <w:jc w:val="center"/>
        <w:rPr>
          <w:b/>
        </w:rPr>
      </w:pPr>
    </w:p>
    <w:p w14:paraId="0C82BFBD" w14:textId="77777777" w:rsidR="00D1654E" w:rsidRPr="00C7514B" w:rsidRDefault="00D1654E" w:rsidP="00D1654E">
      <w:pPr>
        <w:pStyle w:val="drug-info"/>
        <w:shd w:val="clear" w:color="auto" w:fill="FFFFFF"/>
        <w:spacing w:before="0" w:beforeAutospacing="0" w:after="150" w:afterAutospacing="0"/>
        <w:jc w:val="center"/>
        <w:rPr>
          <w:b/>
          <w:bCs/>
        </w:rPr>
      </w:pPr>
      <w:r w:rsidRPr="00C7514B">
        <w:rPr>
          <w:b/>
          <w:bCs/>
        </w:rPr>
        <w:t>KEYTRUDA 25 mg/ml</w:t>
      </w:r>
      <w:r w:rsidRPr="00C7514B">
        <w:rPr>
          <w:b/>
          <w:bCs/>
          <w:lang w:val="en-US"/>
        </w:rPr>
        <w:t xml:space="preserve"> </w:t>
      </w:r>
      <w:r w:rsidRPr="00C7514B">
        <w:rPr>
          <w:b/>
          <w:bCs/>
        </w:rPr>
        <w:t>koncentratas infuziniam tirpalui</w:t>
      </w:r>
    </w:p>
    <w:p w14:paraId="0F027787" w14:textId="77777777" w:rsidR="00D1654E" w:rsidRPr="00C7514B" w:rsidRDefault="00D1654E" w:rsidP="00D1654E">
      <w:pPr>
        <w:jc w:val="center"/>
        <w:rPr>
          <w:b/>
          <w:lang w:val="en-US"/>
        </w:rPr>
      </w:pPr>
      <w:proofErr w:type="spellStart"/>
      <w:r w:rsidRPr="00C7514B">
        <w:rPr>
          <w:b/>
          <w:lang w:val="en-US"/>
        </w:rPr>
        <w:t>Pembrolizumabas</w:t>
      </w:r>
      <w:proofErr w:type="spellEnd"/>
    </w:p>
    <w:p w14:paraId="6CB0338C" w14:textId="77777777" w:rsidR="00D1654E" w:rsidRPr="00C7514B" w:rsidRDefault="00D1654E" w:rsidP="00D1654E">
      <w:pPr>
        <w:jc w:val="center"/>
        <w:rPr>
          <w:b/>
        </w:rPr>
      </w:pPr>
    </w:p>
    <w:p w14:paraId="3EB677AF" w14:textId="018C31BA" w:rsidR="00D1654E" w:rsidRPr="00C7514B" w:rsidRDefault="00D1654E" w:rsidP="00D1654E">
      <w:pPr>
        <w:jc w:val="center"/>
        <w:rPr>
          <w:b/>
          <w:lang w:val="en-US"/>
        </w:rPr>
      </w:pPr>
      <w:r w:rsidRPr="00C7514B">
        <w:rPr>
          <w:b/>
        </w:rPr>
        <w:t xml:space="preserve">Paraiškos numeris STV – </w:t>
      </w:r>
      <w:r w:rsidRPr="00C7514B">
        <w:rPr>
          <w:b/>
          <w:lang w:val="en-US"/>
        </w:rPr>
        <w:t>140</w:t>
      </w:r>
    </w:p>
    <w:p w14:paraId="5BC2EA5D" w14:textId="45A77B4A" w:rsidR="00937907" w:rsidRPr="00C7514B" w:rsidRDefault="00937907" w:rsidP="003B211A">
      <w:pPr>
        <w:jc w:val="center"/>
        <w:rPr>
          <w:b/>
        </w:rPr>
      </w:pPr>
    </w:p>
    <w:p w14:paraId="453197C8" w14:textId="77777777" w:rsidR="00D4708D" w:rsidRPr="00C7514B" w:rsidRDefault="00D4708D" w:rsidP="003B211A">
      <w:pPr>
        <w:jc w:val="center"/>
        <w:rPr>
          <w:b/>
        </w:rPr>
      </w:pPr>
    </w:p>
    <w:p w14:paraId="78C89D1C" w14:textId="0DEFFAA5" w:rsidR="00D4485B" w:rsidRPr="00C7514B" w:rsidRDefault="00B13D65" w:rsidP="00CC09D4">
      <w:pPr>
        <w:pStyle w:val="ListParagraph"/>
        <w:numPr>
          <w:ilvl w:val="0"/>
          <w:numId w:val="12"/>
        </w:numPr>
        <w:tabs>
          <w:tab w:val="left" w:pos="567"/>
        </w:tabs>
        <w:ind w:left="567" w:hanging="567"/>
        <w:rPr>
          <w:b/>
          <w:bCs/>
          <w:caps/>
        </w:rPr>
      </w:pPr>
      <w:r w:rsidRPr="00C7514B">
        <w:rPr>
          <w:b/>
          <w:bCs/>
          <w:caps/>
        </w:rPr>
        <w:t>Bendroji dalis</w:t>
      </w:r>
    </w:p>
    <w:p w14:paraId="04A7C7A7" w14:textId="77777777" w:rsidR="00B13D65" w:rsidRPr="00C7514B"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C7514B" w:rsidRPr="00C7514B" w14:paraId="18A83EC2" w14:textId="77777777" w:rsidTr="00BE7489">
        <w:trPr>
          <w:trHeight w:val="538"/>
        </w:trPr>
        <w:tc>
          <w:tcPr>
            <w:tcW w:w="632" w:type="dxa"/>
          </w:tcPr>
          <w:p w14:paraId="0646FBEA" w14:textId="77777777" w:rsidR="007E30F2" w:rsidRPr="00C7514B" w:rsidRDefault="007E30F2" w:rsidP="007E30F2">
            <w:pPr>
              <w:rPr>
                <w:rFonts w:eastAsia="Arial"/>
              </w:rPr>
            </w:pPr>
            <w:r w:rsidRPr="00C7514B">
              <w:rPr>
                <w:rFonts w:eastAsia="Arial"/>
              </w:rPr>
              <w:t>1.1</w:t>
            </w:r>
          </w:p>
        </w:tc>
        <w:tc>
          <w:tcPr>
            <w:tcW w:w="3694" w:type="dxa"/>
          </w:tcPr>
          <w:p w14:paraId="6C3AE864" w14:textId="77777777" w:rsidR="007E30F2" w:rsidRPr="00C7514B" w:rsidRDefault="007E30F2" w:rsidP="007E30F2">
            <w:pPr>
              <w:rPr>
                <w:rFonts w:eastAsia="Arial"/>
              </w:rPr>
            </w:pPr>
            <w:r w:rsidRPr="00C7514B">
              <w:rPr>
                <w:rFonts w:eastAsia="Arial"/>
              </w:rPr>
              <w:t>Pareiškėjas</w:t>
            </w:r>
          </w:p>
          <w:p w14:paraId="2AF240DC" w14:textId="77777777" w:rsidR="007E30F2" w:rsidRPr="00C7514B" w:rsidRDefault="007E30F2" w:rsidP="007E30F2">
            <w:pPr>
              <w:rPr>
                <w:rFonts w:eastAsia="Arial"/>
              </w:rPr>
            </w:pPr>
          </w:p>
        </w:tc>
        <w:tc>
          <w:tcPr>
            <w:tcW w:w="5167" w:type="dxa"/>
          </w:tcPr>
          <w:p w14:paraId="2AAF0D91" w14:textId="6D77D1EA" w:rsidR="007E30F2" w:rsidRPr="00C7514B" w:rsidRDefault="007E30F2" w:rsidP="007E30F2">
            <w:pPr>
              <w:rPr>
                <w:rFonts w:eastAsia="Arial"/>
              </w:rPr>
            </w:pPr>
            <w:r w:rsidRPr="00C7514B">
              <w:t>UAB “Merck Sharp &amp; Dohme“</w:t>
            </w:r>
          </w:p>
        </w:tc>
      </w:tr>
      <w:tr w:rsidR="00C7514B" w:rsidRPr="00C7514B" w14:paraId="31998B0D" w14:textId="77777777" w:rsidTr="00BE7489">
        <w:trPr>
          <w:trHeight w:val="538"/>
        </w:trPr>
        <w:tc>
          <w:tcPr>
            <w:tcW w:w="632" w:type="dxa"/>
          </w:tcPr>
          <w:p w14:paraId="2005EC67" w14:textId="662300D0" w:rsidR="007E30F2" w:rsidRPr="00C7514B" w:rsidRDefault="007E30F2" w:rsidP="007E30F2">
            <w:pPr>
              <w:rPr>
                <w:rFonts w:eastAsia="Arial"/>
              </w:rPr>
            </w:pPr>
            <w:r w:rsidRPr="00C7514B">
              <w:rPr>
                <w:rFonts w:eastAsia="Arial"/>
              </w:rPr>
              <w:t>1.2</w:t>
            </w:r>
          </w:p>
        </w:tc>
        <w:tc>
          <w:tcPr>
            <w:tcW w:w="3694" w:type="dxa"/>
          </w:tcPr>
          <w:p w14:paraId="1E4AE3B1" w14:textId="77777777" w:rsidR="007E30F2" w:rsidRPr="00C7514B" w:rsidRDefault="007E30F2" w:rsidP="007E30F2">
            <w:pPr>
              <w:rPr>
                <w:bCs/>
                <w:lang w:eastAsia="lt-LT"/>
              </w:rPr>
            </w:pPr>
            <w:r w:rsidRPr="00C7514B">
              <w:rPr>
                <w:bCs/>
                <w:lang w:eastAsia="lt-LT"/>
              </w:rPr>
              <w:t xml:space="preserve">Registracijos data </w:t>
            </w:r>
          </w:p>
          <w:p w14:paraId="3A0DC096" w14:textId="77777777" w:rsidR="007E30F2" w:rsidRPr="00C7514B" w:rsidRDefault="007E30F2" w:rsidP="007E30F2">
            <w:pPr>
              <w:rPr>
                <w:bCs/>
                <w:lang w:eastAsia="lt-LT"/>
              </w:rPr>
            </w:pPr>
          </w:p>
        </w:tc>
        <w:tc>
          <w:tcPr>
            <w:tcW w:w="5167" w:type="dxa"/>
          </w:tcPr>
          <w:p w14:paraId="3CA218AD" w14:textId="73F000B1" w:rsidR="007E30F2" w:rsidRPr="00C7514B" w:rsidRDefault="00A53073" w:rsidP="007E30F2">
            <w:pPr>
              <w:rPr>
                <w:rStyle w:val="Style2"/>
              </w:rPr>
            </w:pPr>
            <w:sdt>
              <w:sdtPr>
                <w:rPr>
                  <w:sz w:val="32"/>
                </w:rPr>
                <w:alias w:val="Nurodykite konkrečią dieną"/>
                <w:tag w:val="Nurodykite pradžios datą"/>
                <w:id w:val="423238108"/>
                <w:placeholder>
                  <w:docPart w:val="A9380CA79ABF48FAB7F067EC2C0E4679"/>
                </w:placeholder>
                <w15:color w:val="FFCC99"/>
                <w:date>
                  <w:dateFormat w:val="yyyy 'm.' MMMM d 'd.'"/>
                  <w:lid w:val="lt-LT"/>
                  <w:storeMappedDataAs w:val="dateTime"/>
                  <w:calendar w:val="gregorian"/>
                </w:date>
              </w:sdtPr>
              <w:sdtEndPr/>
              <w:sdtContent>
                <w:r w:rsidR="007E30F2" w:rsidRPr="00C7514B">
                  <w:t>2015 m. liepos 17 d.</w:t>
                </w:r>
              </w:sdtContent>
            </w:sdt>
            <w:r w:rsidR="007E30F2" w:rsidRPr="00C7514B">
              <w:t xml:space="preserve">, </w:t>
            </w:r>
            <w:r w:rsidR="007E30F2" w:rsidRPr="00C7514B">
              <w:rPr>
                <w:rFonts w:eastAsia="Arial"/>
              </w:rPr>
              <w:t>taikant centralizuotą registracijos procedūrą.</w:t>
            </w:r>
          </w:p>
        </w:tc>
      </w:tr>
      <w:tr w:rsidR="00C7514B" w:rsidRPr="00C7514B" w14:paraId="15968AE1" w14:textId="77777777" w:rsidTr="00BE7489">
        <w:trPr>
          <w:trHeight w:val="1500"/>
        </w:trPr>
        <w:tc>
          <w:tcPr>
            <w:tcW w:w="632" w:type="dxa"/>
          </w:tcPr>
          <w:p w14:paraId="6A784245" w14:textId="1E461489" w:rsidR="007E30F2" w:rsidRPr="00C7514B" w:rsidRDefault="007E30F2" w:rsidP="007E30F2">
            <w:pPr>
              <w:rPr>
                <w:rFonts w:eastAsia="Arial"/>
              </w:rPr>
            </w:pPr>
            <w:r w:rsidRPr="00C7514B">
              <w:rPr>
                <w:rFonts w:eastAsia="Arial"/>
              </w:rPr>
              <w:t>1.3</w:t>
            </w:r>
          </w:p>
        </w:tc>
        <w:tc>
          <w:tcPr>
            <w:tcW w:w="3694" w:type="dxa"/>
          </w:tcPr>
          <w:p w14:paraId="22933506" w14:textId="77777777" w:rsidR="007E30F2" w:rsidRPr="00C7514B" w:rsidRDefault="007E30F2" w:rsidP="007E30F2">
            <w:r w:rsidRPr="00C7514B">
              <w:t xml:space="preserve">Paraiškos tipas </w:t>
            </w:r>
          </w:p>
          <w:p w14:paraId="0465E680" w14:textId="7F0A0714" w:rsidR="007E30F2" w:rsidRPr="00C7514B" w:rsidRDefault="007E30F2" w:rsidP="007E30F2">
            <w:r w:rsidRPr="00C7514B">
              <w:t xml:space="preserve">(pagal </w:t>
            </w:r>
            <w:r w:rsidRPr="00C7514B">
              <w:rPr>
                <w:shd w:val="clear" w:color="auto" w:fill="FFFFFF"/>
              </w:rPr>
              <w:t>vaistinio preparato registracijos tipą, įtvirtintą</w:t>
            </w:r>
            <w:r w:rsidRPr="00C7514B">
              <w:t xml:space="preserve"> Direktyvos 2001/83/EB straipsiuose)</w:t>
            </w:r>
          </w:p>
          <w:p w14:paraId="77089D80" w14:textId="6681D72A" w:rsidR="007E30F2" w:rsidRPr="00C7514B" w:rsidRDefault="007E30F2" w:rsidP="007E30F2">
            <w:pPr>
              <w:rPr>
                <w:bCs/>
                <w:lang w:eastAsia="lt-LT"/>
              </w:rPr>
            </w:pPr>
          </w:p>
        </w:tc>
        <w:tc>
          <w:tcPr>
            <w:tcW w:w="5167" w:type="dxa"/>
          </w:tcPr>
          <w:p w14:paraId="78999865" w14:textId="77777777" w:rsidR="007E30F2" w:rsidRPr="00C7514B" w:rsidRDefault="00A53073" w:rsidP="007E30F2">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7E30F2" w:rsidRPr="00C7514B">
                  <w:rPr>
                    <w:rStyle w:val="Style2"/>
                    <w:rFonts w:ascii="MS Gothic" w:eastAsia="MS Gothic" w:hAnsi="MS Gothic" w:hint="eastAsia"/>
                  </w:rPr>
                  <w:t>☒</w:t>
                </w:r>
              </w:sdtContent>
            </w:sdt>
            <w:r w:rsidR="007E30F2" w:rsidRPr="00C7514B">
              <w:t xml:space="preserve"> 8.3 str. (pilna byla, pagrįsta savais tyrimais) </w:t>
            </w:r>
          </w:p>
          <w:p w14:paraId="37786349" w14:textId="77777777" w:rsidR="007E30F2" w:rsidRPr="00C7514B" w:rsidRDefault="00A53073" w:rsidP="007E30F2">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7E30F2" w:rsidRPr="00C7514B">
                  <w:rPr>
                    <w:rStyle w:val="Style2"/>
                    <w:rFonts w:ascii="Segoe UI Symbol" w:eastAsia="MS Gothic" w:hAnsi="Segoe UI Symbol" w:cs="Segoe UI Symbol"/>
                  </w:rPr>
                  <w:t>☐</w:t>
                </w:r>
              </w:sdtContent>
            </w:sdt>
            <w:r w:rsidR="007E30F2" w:rsidRPr="00C7514B">
              <w:t xml:space="preserve"> 10 a str. (pripažintas medicininis vartojimas) </w:t>
            </w:r>
          </w:p>
          <w:p w14:paraId="2085C675" w14:textId="77777777" w:rsidR="007E30F2" w:rsidRPr="00C7514B" w:rsidRDefault="00A53073" w:rsidP="007E30F2">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7E30F2" w:rsidRPr="00C7514B">
                  <w:rPr>
                    <w:rStyle w:val="Style2"/>
                    <w:rFonts w:ascii="MS Gothic" w:eastAsia="MS Gothic" w:hAnsi="MS Gothic" w:hint="eastAsia"/>
                  </w:rPr>
                  <w:t>☐</w:t>
                </w:r>
              </w:sdtContent>
            </w:sdt>
            <w:r w:rsidR="007E30F2" w:rsidRPr="00C7514B">
              <w:t xml:space="preserve"> 10.1 str. (generinis)</w:t>
            </w:r>
          </w:p>
          <w:p w14:paraId="3B0A4F72" w14:textId="471B2F4D" w:rsidR="007E30F2" w:rsidRPr="00C7514B" w:rsidRDefault="00A53073" w:rsidP="007E30F2">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7E30F2" w:rsidRPr="00C7514B">
                  <w:rPr>
                    <w:rStyle w:val="Style2"/>
                    <w:rFonts w:ascii="Segoe UI Symbol" w:eastAsia="MS Gothic" w:hAnsi="Segoe UI Symbol" w:cs="Segoe UI Symbol"/>
                  </w:rPr>
                  <w:t>☐</w:t>
                </w:r>
              </w:sdtContent>
            </w:sdt>
            <w:r w:rsidR="007E30F2" w:rsidRPr="00C7514B">
              <w:t xml:space="preserve"> 10.3 str. (hibridinis)</w:t>
            </w:r>
          </w:p>
        </w:tc>
      </w:tr>
      <w:tr w:rsidR="00C7514B" w:rsidRPr="00C7514B" w14:paraId="310E9662" w14:textId="77777777" w:rsidTr="00BE7489">
        <w:trPr>
          <w:trHeight w:val="1442"/>
        </w:trPr>
        <w:tc>
          <w:tcPr>
            <w:tcW w:w="632" w:type="dxa"/>
          </w:tcPr>
          <w:p w14:paraId="4B5A91A2" w14:textId="561B5E5F" w:rsidR="00B13D65" w:rsidRPr="00C7514B" w:rsidRDefault="00B13D65" w:rsidP="00824B92">
            <w:pPr>
              <w:rPr>
                <w:rFonts w:eastAsia="Arial"/>
              </w:rPr>
            </w:pPr>
            <w:r w:rsidRPr="00C7514B">
              <w:rPr>
                <w:rFonts w:eastAsia="Arial"/>
              </w:rPr>
              <w:t>1.</w:t>
            </w:r>
            <w:r w:rsidR="002E0702" w:rsidRPr="00C7514B">
              <w:rPr>
                <w:rFonts w:eastAsia="Arial"/>
              </w:rPr>
              <w:t>4</w:t>
            </w:r>
          </w:p>
        </w:tc>
        <w:tc>
          <w:tcPr>
            <w:tcW w:w="3694" w:type="dxa"/>
          </w:tcPr>
          <w:p w14:paraId="6C91E105" w14:textId="77777777" w:rsidR="00B13D65" w:rsidRPr="00C7514B" w:rsidRDefault="00B13D65" w:rsidP="00824B92">
            <w:pPr>
              <w:rPr>
                <w:bCs/>
                <w:lang w:eastAsia="lt-LT"/>
              </w:rPr>
            </w:pPr>
            <w:r w:rsidRPr="00C7514B">
              <w:rPr>
                <w:bCs/>
                <w:lang w:eastAsia="lt-LT"/>
              </w:rPr>
              <w:t xml:space="preserve">Ar vaistinis preparatas įrašytas į Bendrijos retųjų vaistinių preparatų registrą? </w:t>
            </w:r>
          </w:p>
          <w:p w14:paraId="483071A3" w14:textId="2FEB27F0" w:rsidR="00B13D65" w:rsidRPr="00C7514B" w:rsidRDefault="00B13D65" w:rsidP="00824B92">
            <w:pPr>
              <w:rPr>
                <w:bCs/>
                <w:lang w:eastAsia="lt-LT"/>
              </w:rPr>
            </w:pPr>
          </w:p>
        </w:tc>
        <w:tc>
          <w:tcPr>
            <w:tcW w:w="5167" w:type="dxa"/>
          </w:tcPr>
          <w:p w14:paraId="05845C60" w14:textId="10CF4033" w:rsidR="00B13D65" w:rsidRPr="00C7514B" w:rsidRDefault="00A53073"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C7514B">
                  <w:rPr>
                    <w:rStyle w:val="Style2"/>
                    <w:rFonts w:ascii="MS Gothic" w:eastAsia="MS Gothic" w:hAnsi="MS Gothic" w:hint="eastAsia"/>
                    <w:sz w:val="24"/>
                  </w:rPr>
                  <w:t>☐</w:t>
                </w:r>
              </w:sdtContent>
            </w:sdt>
            <w:r w:rsidR="00B13D65" w:rsidRPr="00C7514B">
              <w:t xml:space="preserve"> Taip</w:t>
            </w:r>
          </w:p>
          <w:p w14:paraId="41D88067" w14:textId="50A2D786" w:rsidR="00B13D65" w:rsidRPr="00C7514B" w:rsidRDefault="00A53073"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1877" w:rsidRPr="00C7514B">
                  <w:rPr>
                    <w:rStyle w:val="Style2"/>
                    <w:rFonts w:ascii="MS Gothic" w:eastAsia="MS Gothic" w:hAnsi="MS Gothic" w:hint="eastAsia"/>
                    <w:sz w:val="24"/>
                  </w:rPr>
                  <w:t>☒</w:t>
                </w:r>
              </w:sdtContent>
            </w:sdt>
            <w:r w:rsidR="00B13D65" w:rsidRPr="00C7514B">
              <w:t xml:space="preserve"> Ne</w:t>
            </w:r>
          </w:p>
          <w:p w14:paraId="29C2CBBB" w14:textId="77777777" w:rsidR="00B13D65" w:rsidRPr="00C7514B" w:rsidRDefault="00A53073"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C7514B">
                  <w:rPr>
                    <w:rStyle w:val="PlaceholderText"/>
                    <w:color w:val="auto"/>
                  </w:rPr>
                  <w:t>Click here to enter a date.</w:t>
                </w:r>
              </w:sdtContent>
            </w:sdt>
          </w:p>
        </w:tc>
      </w:tr>
      <w:tr w:rsidR="00C7514B" w:rsidRPr="00C7514B" w14:paraId="7841E5F8" w14:textId="77777777" w:rsidTr="00BE7489">
        <w:trPr>
          <w:trHeight w:val="476"/>
        </w:trPr>
        <w:tc>
          <w:tcPr>
            <w:tcW w:w="632" w:type="dxa"/>
          </w:tcPr>
          <w:p w14:paraId="109D2861" w14:textId="73BF27DF" w:rsidR="00D417D2" w:rsidRPr="00C7514B" w:rsidRDefault="00D417D2" w:rsidP="00824B92">
            <w:pPr>
              <w:rPr>
                <w:rFonts w:eastAsia="Arial"/>
              </w:rPr>
            </w:pPr>
            <w:r w:rsidRPr="00C7514B">
              <w:rPr>
                <w:rFonts w:eastAsia="Arial"/>
              </w:rPr>
              <w:t>1.5</w:t>
            </w:r>
          </w:p>
        </w:tc>
        <w:tc>
          <w:tcPr>
            <w:tcW w:w="3694" w:type="dxa"/>
          </w:tcPr>
          <w:p w14:paraId="7822D63E" w14:textId="68C38334" w:rsidR="00D417D2" w:rsidRPr="00C7514B" w:rsidRDefault="00D417D2" w:rsidP="00824B92">
            <w:pPr>
              <w:rPr>
                <w:bCs/>
                <w:lang w:eastAsia="lt-LT"/>
              </w:rPr>
            </w:pPr>
            <w:r w:rsidRPr="00C7514B">
              <w:t>STV paraiškos pobūdis</w:t>
            </w:r>
          </w:p>
        </w:tc>
        <w:tc>
          <w:tcPr>
            <w:tcW w:w="5167" w:type="dxa"/>
          </w:tcPr>
          <w:p w14:paraId="403461B9" w14:textId="68A37216" w:rsidR="00D417D2" w:rsidRPr="00C7514B" w:rsidRDefault="00A53073"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sidRPr="00C7514B">
                  <w:rPr>
                    <w:rStyle w:val="Style2"/>
                    <w:rFonts w:ascii="MS Gothic" w:eastAsia="MS Gothic" w:hAnsi="MS Gothic" w:hint="eastAsia"/>
                    <w:sz w:val="24"/>
                  </w:rPr>
                  <w:t>☒</w:t>
                </w:r>
              </w:sdtContent>
            </w:sdt>
            <w:r w:rsidR="00D417D2" w:rsidRPr="00C7514B">
              <w:t xml:space="preserve"> Pilna paraiška</w:t>
            </w:r>
          </w:p>
          <w:p w14:paraId="6B8213E3" w14:textId="3495CDF4" w:rsidR="00D417D2" w:rsidRPr="00C7514B" w:rsidRDefault="00A53073"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C7514B">
                  <w:rPr>
                    <w:rStyle w:val="Style2"/>
                    <w:rFonts w:ascii="MS Gothic" w:eastAsia="MS Gothic" w:hAnsi="MS Gothic" w:hint="eastAsia"/>
                    <w:sz w:val="24"/>
                  </w:rPr>
                  <w:t>☐</w:t>
                </w:r>
              </w:sdtContent>
            </w:sdt>
            <w:r w:rsidR="00D417D2" w:rsidRPr="00C7514B">
              <w:t xml:space="preserve"> Supaprastinta paraiška</w:t>
            </w:r>
          </w:p>
        </w:tc>
      </w:tr>
      <w:tr w:rsidR="00C7514B" w:rsidRPr="00C7514B" w14:paraId="274D1DAF" w14:textId="77777777" w:rsidTr="00BE7489">
        <w:trPr>
          <w:trHeight w:val="1922"/>
        </w:trPr>
        <w:tc>
          <w:tcPr>
            <w:tcW w:w="632" w:type="dxa"/>
          </w:tcPr>
          <w:p w14:paraId="17ABF217" w14:textId="14AC00D7" w:rsidR="00D92A49" w:rsidRPr="00C7514B" w:rsidRDefault="00D92A49" w:rsidP="00D92A49">
            <w:pPr>
              <w:rPr>
                <w:rFonts w:eastAsia="Arial"/>
              </w:rPr>
            </w:pPr>
            <w:r w:rsidRPr="00C7514B">
              <w:rPr>
                <w:rFonts w:eastAsia="Arial"/>
              </w:rPr>
              <w:t>1.6</w:t>
            </w:r>
          </w:p>
        </w:tc>
        <w:tc>
          <w:tcPr>
            <w:tcW w:w="3694" w:type="dxa"/>
          </w:tcPr>
          <w:p w14:paraId="4D49DBF5" w14:textId="77777777" w:rsidR="00D92A49" w:rsidRPr="00C7514B" w:rsidRDefault="00D92A49" w:rsidP="00D92A49">
            <w:pPr>
              <w:rPr>
                <w:bCs/>
                <w:lang w:eastAsia="lt-LT"/>
              </w:rPr>
            </w:pPr>
            <w:r w:rsidRPr="00C7514B">
              <w:rPr>
                <w:bCs/>
                <w:lang w:eastAsia="lt-LT"/>
              </w:rPr>
              <w:t>Pareiškėjo teikiama (-os) kompensuoti vaistinio preparato indikacija (-os)</w:t>
            </w:r>
          </w:p>
          <w:p w14:paraId="3FB07EE5" w14:textId="39AB446B" w:rsidR="00D92A49" w:rsidRPr="00C7514B" w:rsidRDefault="00D92A49" w:rsidP="00D92A49">
            <w:pPr>
              <w:rPr>
                <w:bCs/>
                <w:lang w:eastAsia="lt-LT"/>
              </w:rPr>
            </w:pPr>
          </w:p>
          <w:p w14:paraId="7A6C9F2C" w14:textId="6725AEFB" w:rsidR="00D92A49" w:rsidRPr="00C7514B" w:rsidRDefault="00D92A49" w:rsidP="00D92A49">
            <w:pPr>
              <w:rPr>
                <w:bCs/>
                <w:lang w:eastAsia="lt-LT"/>
              </w:rPr>
            </w:pPr>
          </w:p>
          <w:p w14:paraId="2BB6BD0F" w14:textId="16E59951" w:rsidR="00D92A49" w:rsidRPr="00C7514B" w:rsidRDefault="00D92A49" w:rsidP="00D92A49">
            <w:pPr>
              <w:rPr>
                <w:bCs/>
                <w:lang w:eastAsia="lt-LT"/>
              </w:rPr>
            </w:pPr>
          </w:p>
          <w:p w14:paraId="6B4FEEC1" w14:textId="378668B0" w:rsidR="00D92A49" w:rsidRPr="00C7514B" w:rsidRDefault="00D92A49" w:rsidP="00D92A49">
            <w:pPr>
              <w:rPr>
                <w:bCs/>
                <w:lang w:eastAsia="lt-LT"/>
              </w:rPr>
            </w:pPr>
            <w:r w:rsidRPr="00C7514B">
              <w:rPr>
                <w:bCs/>
                <w:lang w:eastAsia="lt-LT"/>
              </w:rPr>
              <w:t>Kodas pagal TLK-10 AM</w:t>
            </w:r>
          </w:p>
        </w:tc>
        <w:tc>
          <w:tcPr>
            <w:tcW w:w="5167" w:type="dxa"/>
          </w:tcPr>
          <w:p w14:paraId="6F074ED1" w14:textId="77777777" w:rsidR="00D92A49" w:rsidRPr="00C7514B" w:rsidRDefault="00D92A49" w:rsidP="00D92A49">
            <w:pPr>
              <w:spacing w:before="20" w:after="20"/>
              <w:jc w:val="both"/>
            </w:pPr>
            <w:r w:rsidRPr="00C7514B">
              <w:t>KEYTRUDA derinant su chemoterapija ir bevacizumabu arba be jo skirtas suaugusiųjų persistuojančio, recidyvavusio ar metastazavusio gimdos kaklelio vėžio gydymui, kai navikai ekspresuoja PD-L1 ir CPS rodmuo yra ≥ 1.</w:t>
            </w:r>
          </w:p>
          <w:p w14:paraId="06679327" w14:textId="77777777" w:rsidR="00D92A49" w:rsidRPr="00C7514B" w:rsidRDefault="00D92A49" w:rsidP="00D92A49">
            <w:pPr>
              <w:spacing w:before="20" w:after="20"/>
              <w:jc w:val="both"/>
            </w:pPr>
          </w:p>
          <w:p w14:paraId="13F7DFB0" w14:textId="4E84EFF2" w:rsidR="00D92A49" w:rsidRPr="00C7514B" w:rsidRDefault="00D92A49" w:rsidP="00D92A49">
            <w:pPr>
              <w:pStyle w:val="ListParagraph"/>
              <w:spacing w:after="120" w:line="276" w:lineRule="auto"/>
              <w:ind w:left="0"/>
              <w:contextualSpacing w:val="0"/>
              <w:jc w:val="both"/>
            </w:pPr>
            <w:r w:rsidRPr="00C7514B">
              <w:rPr>
                <w:lang w:eastAsia="lt-LT"/>
              </w:rPr>
              <w:t xml:space="preserve">TLK-10 AM  </w:t>
            </w:r>
            <w:r w:rsidRPr="00C7514B">
              <w:t>C53</w:t>
            </w:r>
          </w:p>
        </w:tc>
      </w:tr>
      <w:tr w:rsidR="00C7514B" w:rsidRPr="00C7514B" w14:paraId="2F79DC08" w14:textId="77777777" w:rsidTr="00BE7489">
        <w:trPr>
          <w:trHeight w:val="378"/>
        </w:trPr>
        <w:tc>
          <w:tcPr>
            <w:tcW w:w="632" w:type="dxa"/>
          </w:tcPr>
          <w:p w14:paraId="547885A2" w14:textId="08AA8055" w:rsidR="00D92A49" w:rsidRPr="00C7514B" w:rsidRDefault="00D92A49" w:rsidP="00D92A49">
            <w:pPr>
              <w:rPr>
                <w:rFonts w:eastAsia="Arial"/>
              </w:rPr>
            </w:pPr>
            <w:r w:rsidRPr="00C7514B">
              <w:rPr>
                <w:rFonts w:eastAsia="Arial"/>
              </w:rPr>
              <w:lastRenderedPageBreak/>
              <w:t>1.6</w:t>
            </w:r>
          </w:p>
        </w:tc>
        <w:tc>
          <w:tcPr>
            <w:tcW w:w="3694" w:type="dxa"/>
          </w:tcPr>
          <w:p w14:paraId="2EAB877F" w14:textId="39A36941" w:rsidR="00D92A49" w:rsidRPr="00C7514B" w:rsidRDefault="00D92A49" w:rsidP="00D92A49">
            <w:pPr>
              <w:rPr>
                <w:bCs/>
                <w:u w:val="single"/>
                <w:lang w:eastAsia="lt-LT"/>
              </w:rPr>
            </w:pPr>
            <w:r w:rsidRPr="00C7514B">
              <w:rPr>
                <w:bCs/>
                <w:lang w:eastAsia="lt-LT"/>
              </w:rPr>
              <w:t xml:space="preserve">Pareiškėjo teikiamos skyrimo sąlygos </w:t>
            </w:r>
          </w:p>
        </w:tc>
        <w:tc>
          <w:tcPr>
            <w:tcW w:w="5167" w:type="dxa"/>
          </w:tcPr>
          <w:p w14:paraId="0579DF58" w14:textId="638EFD5C" w:rsidR="00D92A49" w:rsidRPr="00C7514B" w:rsidRDefault="00D92A49" w:rsidP="00D92A49">
            <w:r w:rsidRPr="00C7514B">
              <w:t>Skyrimo sąlygos nesiūlomos.</w:t>
            </w:r>
          </w:p>
        </w:tc>
      </w:tr>
      <w:tr w:rsidR="00B13D65" w:rsidRPr="00C7514B" w14:paraId="3B125269" w14:textId="77777777" w:rsidTr="00BE7489">
        <w:trPr>
          <w:trHeight w:val="378"/>
        </w:trPr>
        <w:tc>
          <w:tcPr>
            <w:tcW w:w="632" w:type="dxa"/>
          </w:tcPr>
          <w:p w14:paraId="0058E11F" w14:textId="77777777" w:rsidR="00B13D65" w:rsidRPr="00C7514B" w:rsidRDefault="00B13D65" w:rsidP="00824B92">
            <w:pPr>
              <w:rPr>
                <w:rFonts w:eastAsia="Arial"/>
              </w:rPr>
            </w:pPr>
            <w:r w:rsidRPr="00C7514B">
              <w:rPr>
                <w:rFonts w:eastAsia="Arial"/>
              </w:rPr>
              <w:t>1.7</w:t>
            </w:r>
          </w:p>
        </w:tc>
        <w:tc>
          <w:tcPr>
            <w:tcW w:w="3694" w:type="dxa"/>
          </w:tcPr>
          <w:p w14:paraId="738E1926" w14:textId="50A9DC79" w:rsidR="00B13D65" w:rsidRPr="00C7514B" w:rsidRDefault="007656B2" w:rsidP="00824B92">
            <w:pPr>
              <w:rPr>
                <w:bCs/>
                <w:lang w:eastAsia="lt-LT"/>
              </w:rPr>
            </w:pPr>
            <w:r w:rsidRPr="00C7514B">
              <w:rPr>
                <w:bCs/>
                <w:lang w:eastAsia="lt-LT"/>
              </w:rPr>
              <w:t>Pareiškėjo teikiamas p</w:t>
            </w:r>
            <w:r w:rsidR="00B13D65" w:rsidRPr="00C7514B">
              <w:rPr>
                <w:bCs/>
                <w:lang w:eastAsia="lt-LT"/>
              </w:rPr>
              <w:t>alyginamasis</w:t>
            </w:r>
            <w:r w:rsidR="005B3756" w:rsidRPr="00C7514B">
              <w:rPr>
                <w:bCs/>
                <w:lang w:eastAsia="lt-LT"/>
              </w:rPr>
              <w:t xml:space="preserve"> </w:t>
            </w:r>
            <w:r w:rsidR="00B13D65" w:rsidRPr="00C7514B">
              <w:rPr>
                <w:bCs/>
                <w:lang w:eastAsia="lt-LT"/>
              </w:rPr>
              <w:t>gydymas</w:t>
            </w:r>
            <w:r w:rsidR="0047414A" w:rsidRPr="00C7514B">
              <w:rPr>
                <w:bCs/>
                <w:lang w:eastAsia="lt-LT"/>
              </w:rPr>
              <w:t>:</w:t>
            </w:r>
            <w:r w:rsidR="00B13D65" w:rsidRPr="00C7514B">
              <w:rPr>
                <w:bCs/>
                <w:lang w:eastAsia="lt-LT"/>
              </w:rPr>
              <w:t xml:space="preserve"> </w:t>
            </w:r>
          </w:p>
          <w:p w14:paraId="1F7BF92F" w14:textId="54649510" w:rsidR="007C7519" w:rsidRPr="00C7514B" w:rsidRDefault="007C7519" w:rsidP="00824B92">
            <w:pPr>
              <w:rPr>
                <w:bCs/>
                <w:i/>
                <w:lang w:eastAsia="lt-LT"/>
              </w:rPr>
            </w:pPr>
            <w:r w:rsidRPr="00C7514B">
              <w:rPr>
                <w:bCs/>
                <w:i/>
                <w:lang w:eastAsia="lt-LT"/>
              </w:rPr>
              <w:t>Tiesioginis</w:t>
            </w:r>
            <w:r w:rsidR="00EB3751" w:rsidRPr="00C7514B">
              <w:rPr>
                <w:bCs/>
                <w:i/>
                <w:lang w:eastAsia="lt-LT"/>
              </w:rPr>
              <w:t xml:space="preserve"> (</w:t>
            </w:r>
            <w:r w:rsidR="00C92225" w:rsidRPr="00C7514B">
              <w:rPr>
                <w:bCs/>
                <w:i/>
                <w:lang w:eastAsia="lt-LT"/>
              </w:rPr>
              <w:t>paklitakselis ir cisplatina (arba karboplatina) su bevacizumabu arba be jo)</w:t>
            </w:r>
          </w:p>
          <w:p w14:paraId="643CC07B" w14:textId="2D7C9848" w:rsidR="00D970E4" w:rsidRPr="00C7514B" w:rsidRDefault="00D970E4" w:rsidP="00824B92">
            <w:pPr>
              <w:rPr>
                <w:bCs/>
                <w:i/>
                <w:lang w:eastAsia="lt-LT"/>
              </w:rPr>
            </w:pPr>
          </w:p>
          <w:p w14:paraId="1FEACC56" w14:textId="0E2E44A3" w:rsidR="00D970E4" w:rsidRPr="00C7514B" w:rsidRDefault="00D970E4" w:rsidP="00824B92">
            <w:pPr>
              <w:rPr>
                <w:bCs/>
                <w:i/>
                <w:lang w:eastAsia="lt-LT"/>
              </w:rPr>
            </w:pPr>
          </w:p>
          <w:p w14:paraId="62057D94" w14:textId="77777777" w:rsidR="00413F24" w:rsidRPr="00C7514B" w:rsidRDefault="00413F24" w:rsidP="00824B92">
            <w:pPr>
              <w:rPr>
                <w:bCs/>
                <w:lang w:eastAsia="lt-LT"/>
              </w:rPr>
            </w:pPr>
          </w:p>
          <w:p w14:paraId="6CC1022E" w14:textId="2B6BCEE1" w:rsidR="009F4D66" w:rsidRPr="00C7514B" w:rsidRDefault="009F4D66" w:rsidP="00824B92">
            <w:pPr>
              <w:rPr>
                <w:bCs/>
                <w:lang w:eastAsia="lt-LT"/>
              </w:rPr>
            </w:pPr>
          </w:p>
        </w:tc>
        <w:tc>
          <w:tcPr>
            <w:tcW w:w="5167" w:type="dxa"/>
          </w:tcPr>
          <w:p w14:paraId="3E389C70" w14:textId="22AFFC76" w:rsidR="0047414A" w:rsidRPr="00C7514B" w:rsidRDefault="0047414A" w:rsidP="00824B92">
            <w:pPr>
              <w:rPr>
                <w:rStyle w:val="Style2"/>
                <w:sz w:val="24"/>
              </w:rPr>
            </w:pPr>
          </w:p>
          <w:p w14:paraId="0AC43073" w14:textId="77777777" w:rsidR="00D970E4" w:rsidRPr="00C7514B" w:rsidRDefault="00D970E4" w:rsidP="00D970E4"/>
          <w:p w14:paraId="2383573D" w14:textId="595A2D52" w:rsidR="00D970E4" w:rsidRPr="00C7514B" w:rsidRDefault="00A53073" w:rsidP="00D970E4">
            <w:sdt>
              <w:sdtPr>
                <w:rPr>
                  <w:rStyle w:val="Style2"/>
                  <w:sz w:val="24"/>
                </w:rPr>
                <w:id w:val="-439376113"/>
                <w15:color w:val="FFCC00"/>
                <w14:checkbox>
                  <w14:checked w14:val="1"/>
                  <w14:checkedState w14:val="2612" w14:font="MS Gothic"/>
                  <w14:uncheckedState w14:val="2610" w14:font="MS Gothic"/>
                </w14:checkbox>
              </w:sdtPr>
              <w:sdtEndPr>
                <w:rPr>
                  <w:rStyle w:val="Style2"/>
                </w:rPr>
              </w:sdtEndPr>
              <w:sdtContent>
                <w:r w:rsidR="00EB3751" w:rsidRPr="00C7514B">
                  <w:rPr>
                    <w:rStyle w:val="Style2"/>
                    <w:rFonts w:ascii="MS Gothic" w:eastAsia="MS Gothic" w:hAnsi="MS Gothic" w:hint="eastAsia"/>
                    <w:sz w:val="24"/>
                  </w:rPr>
                  <w:t>☒</w:t>
                </w:r>
              </w:sdtContent>
            </w:sdt>
            <w:r w:rsidR="00D970E4" w:rsidRPr="00C7514B">
              <w:t xml:space="preserve"> Tinkamas</w:t>
            </w:r>
          </w:p>
          <w:p w14:paraId="5474EFC4" w14:textId="5608AB6A" w:rsidR="0047414A" w:rsidRPr="00C7514B" w:rsidRDefault="00A53073" w:rsidP="00D970E4">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EndPr>
                <w:rPr>
                  <w:rStyle w:val="Style2"/>
                </w:rPr>
              </w:sdtEndPr>
              <w:sdtContent>
                <w:r w:rsidR="00EB3751" w:rsidRPr="00C7514B">
                  <w:rPr>
                    <w:rStyle w:val="Style2"/>
                    <w:rFonts w:ascii="MS Gothic" w:eastAsia="MS Gothic" w:hAnsi="MS Gothic" w:hint="eastAsia"/>
                    <w:sz w:val="24"/>
                  </w:rPr>
                  <w:t>☐</w:t>
                </w:r>
              </w:sdtContent>
            </w:sdt>
            <w:r w:rsidR="00D970E4" w:rsidRPr="00C7514B">
              <w:t xml:space="preserve"> Netinkamas</w:t>
            </w:r>
          </w:p>
          <w:p w14:paraId="41B44044" w14:textId="593FA6D7" w:rsidR="00B13D65" w:rsidRPr="00C7514B" w:rsidRDefault="00B13D65" w:rsidP="00824B92"/>
        </w:tc>
      </w:tr>
    </w:tbl>
    <w:p w14:paraId="108176F7" w14:textId="640C6F75" w:rsidR="00F70C9E" w:rsidRPr="00C7514B" w:rsidRDefault="00F70C9E" w:rsidP="00E03C3F">
      <w:pPr>
        <w:pStyle w:val="ListParagraph"/>
        <w:tabs>
          <w:tab w:val="left" w:pos="426"/>
        </w:tabs>
        <w:ind w:left="0"/>
        <w:rPr>
          <w:b/>
          <w:bCs/>
          <w:caps/>
        </w:rPr>
      </w:pPr>
    </w:p>
    <w:p w14:paraId="2871CA7F" w14:textId="2370BDDB" w:rsidR="00F70C9E" w:rsidRPr="00C7514B" w:rsidRDefault="00F70C9E" w:rsidP="00880A44">
      <w:pPr>
        <w:spacing w:line="276" w:lineRule="auto"/>
        <w:jc w:val="both"/>
        <w:rPr>
          <w:rFonts w:eastAsia="Arial"/>
          <w:b/>
        </w:rPr>
      </w:pPr>
      <w:r w:rsidRPr="00C7514B">
        <w:rPr>
          <w:rFonts w:eastAsia="Arial"/>
          <w:b/>
        </w:rPr>
        <w:t xml:space="preserve">1.8 Kitų </w:t>
      </w:r>
      <w:r w:rsidR="00DF583C" w:rsidRPr="00C7514B">
        <w:rPr>
          <w:rFonts w:eastAsia="Arial"/>
          <w:b/>
        </w:rPr>
        <w:t xml:space="preserve">valstybių </w:t>
      </w:r>
      <w:r w:rsidRPr="00C7514B">
        <w:rPr>
          <w:rFonts w:eastAsia="Arial"/>
          <w:b/>
        </w:rPr>
        <w:t xml:space="preserve">atsakingų institucijų atlikto </w:t>
      </w:r>
      <w:r w:rsidR="00DF583C" w:rsidRPr="00C7514B">
        <w:rPr>
          <w:rFonts w:eastAsia="Arial"/>
          <w:b/>
        </w:rPr>
        <w:t>Sveikatos technologijų vertinimo (toliau – STV)</w:t>
      </w:r>
      <w:r w:rsidRPr="00C7514B">
        <w:rPr>
          <w:rFonts w:eastAsia="Arial"/>
          <w:b/>
        </w:rPr>
        <w:t xml:space="preserve"> išvados</w:t>
      </w:r>
    </w:p>
    <w:p w14:paraId="4BEBE9B3" w14:textId="77777777" w:rsidR="00D44EA6" w:rsidRPr="00C7514B" w:rsidRDefault="00D44EA6" w:rsidP="00D44EA6">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C7514B" w:rsidRPr="00C7514B" w14:paraId="42954F53" w14:textId="77777777" w:rsidTr="00907EAD">
        <w:trPr>
          <w:trHeight w:val="924"/>
        </w:trPr>
        <w:tc>
          <w:tcPr>
            <w:tcW w:w="2927" w:type="dxa"/>
          </w:tcPr>
          <w:p w14:paraId="34715E28" w14:textId="77777777" w:rsidR="00D44EA6" w:rsidRPr="00C7514B" w:rsidRDefault="00D44EA6" w:rsidP="00907EAD">
            <w:pPr>
              <w:spacing w:line="276" w:lineRule="auto"/>
              <w:rPr>
                <w:rFonts w:eastAsia="Arial"/>
              </w:rPr>
            </w:pPr>
            <w:r w:rsidRPr="00C7514B">
              <w:rPr>
                <w:rFonts w:eastAsia="Arial"/>
              </w:rPr>
              <w:t>STV agentūros pavadinimas, šalis</w:t>
            </w:r>
          </w:p>
        </w:tc>
        <w:tc>
          <w:tcPr>
            <w:tcW w:w="1915" w:type="dxa"/>
          </w:tcPr>
          <w:p w14:paraId="7C35EE1C" w14:textId="77777777" w:rsidR="00D44EA6" w:rsidRPr="00C7514B" w:rsidRDefault="00D44EA6" w:rsidP="00907EAD">
            <w:pPr>
              <w:spacing w:line="276" w:lineRule="auto"/>
              <w:rPr>
                <w:rFonts w:eastAsia="Arial"/>
              </w:rPr>
            </w:pPr>
            <w:r w:rsidRPr="00C7514B">
              <w:rPr>
                <w:rFonts w:eastAsia="Arial"/>
              </w:rPr>
              <w:t>STV vertinimas atliktas</w:t>
            </w:r>
          </w:p>
        </w:tc>
        <w:tc>
          <w:tcPr>
            <w:tcW w:w="2351" w:type="dxa"/>
          </w:tcPr>
          <w:p w14:paraId="3BFC903F" w14:textId="77777777" w:rsidR="00D44EA6" w:rsidRPr="00C7514B" w:rsidRDefault="00D44EA6" w:rsidP="00907EAD">
            <w:pPr>
              <w:spacing w:line="276" w:lineRule="auto"/>
              <w:rPr>
                <w:rFonts w:eastAsia="Arial"/>
              </w:rPr>
            </w:pPr>
            <w:r w:rsidRPr="00C7514B">
              <w:rPr>
                <w:rFonts w:eastAsia="Arial"/>
              </w:rPr>
              <w:t>Klinikinio vertinimo išvada</w:t>
            </w:r>
          </w:p>
        </w:tc>
        <w:tc>
          <w:tcPr>
            <w:tcW w:w="2725" w:type="dxa"/>
          </w:tcPr>
          <w:p w14:paraId="6336A643" w14:textId="77777777" w:rsidR="00D44EA6" w:rsidRPr="00C7514B" w:rsidRDefault="00D44EA6" w:rsidP="00907EAD">
            <w:pPr>
              <w:spacing w:line="276" w:lineRule="auto"/>
              <w:rPr>
                <w:rFonts w:eastAsia="Arial"/>
              </w:rPr>
            </w:pPr>
            <w:r w:rsidRPr="00C7514B">
              <w:rPr>
                <w:rFonts w:eastAsia="Arial"/>
              </w:rPr>
              <w:t>Farmakoekonominio vertinimo išvada</w:t>
            </w:r>
          </w:p>
        </w:tc>
      </w:tr>
      <w:tr w:rsidR="00C7514B" w:rsidRPr="00C7514B" w14:paraId="2024E93E" w14:textId="77777777" w:rsidTr="009B297D">
        <w:trPr>
          <w:trHeight w:val="1765"/>
        </w:trPr>
        <w:tc>
          <w:tcPr>
            <w:tcW w:w="2927" w:type="dxa"/>
          </w:tcPr>
          <w:p w14:paraId="75110E12" w14:textId="77777777" w:rsidR="002974DA" w:rsidRPr="00C7514B" w:rsidRDefault="002974DA" w:rsidP="00907EAD">
            <w:pPr>
              <w:autoSpaceDE w:val="0"/>
              <w:autoSpaceDN w:val="0"/>
              <w:adjustRightInd w:val="0"/>
              <w:rPr>
                <w:bCs/>
              </w:rPr>
            </w:pPr>
            <w:r w:rsidRPr="00C7514B">
              <w:rPr>
                <w:bCs/>
              </w:rPr>
              <w:t>Nacionalinis sveikatos ir klinikinės kompetencijos institutas, Didžioji Britanija</w:t>
            </w:r>
          </w:p>
          <w:p w14:paraId="2A55D076" w14:textId="77777777" w:rsidR="002974DA" w:rsidRPr="00C7514B" w:rsidRDefault="002974DA" w:rsidP="00907EAD">
            <w:pPr>
              <w:spacing w:line="276" w:lineRule="auto"/>
              <w:rPr>
                <w:rFonts w:eastAsia="Arial"/>
              </w:rPr>
            </w:pPr>
            <w:r w:rsidRPr="00C7514B">
              <w:rPr>
                <w:rFonts w:eastAsia="Arial"/>
              </w:rPr>
              <w:t xml:space="preserve">(angl. </w:t>
            </w:r>
            <w:r w:rsidRPr="00C7514B">
              <w:rPr>
                <w:rFonts w:eastAsia="Arial"/>
                <w:i/>
              </w:rPr>
              <w:t>National Institute for Health and Care Excellence, NICE</w:t>
            </w:r>
            <w:r w:rsidRPr="00C7514B">
              <w:rPr>
                <w:rFonts w:eastAsia="Arial"/>
              </w:rPr>
              <w:t>)</w:t>
            </w:r>
          </w:p>
        </w:tc>
        <w:tc>
          <w:tcPr>
            <w:tcW w:w="1915" w:type="dxa"/>
          </w:tcPr>
          <w:p w14:paraId="392B0586" w14:textId="77777777" w:rsidR="002974DA" w:rsidRPr="00C7514B" w:rsidRDefault="00A53073" w:rsidP="00907EAD">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2974DA" w:rsidRPr="00C7514B">
                  <w:rPr>
                    <w:rStyle w:val="Style2"/>
                    <w:rFonts w:ascii="MS Gothic" w:eastAsia="MS Gothic" w:hAnsi="MS Gothic" w:hint="eastAsia"/>
                  </w:rPr>
                  <w:t>☒</w:t>
                </w:r>
              </w:sdtContent>
            </w:sdt>
            <w:r w:rsidR="002974DA" w:rsidRPr="00C7514B">
              <w:t xml:space="preserve"> Taip</w:t>
            </w:r>
          </w:p>
          <w:p w14:paraId="427FCA89" w14:textId="77777777" w:rsidR="002974DA" w:rsidRPr="00C7514B" w:rsidRDefault="00A53073" w:rsidP="00907EAD">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2974DA" w:rsidRPr="00C7514B">
                  <w:rPr>
                    <w:rStyle w:val="Style2"/>
                    <w:rFonts w:ascii="MS Gothic" w:eastAsia="MS Gothic" w:hAnsi="MS Gothic" w:hint="eastAsia"/>
                  </w:rPr>
                  <w:t>☐</w:t>
                </w:r>
              </w:sdtContent>
            </w:sdt>
            <w:r w:rsidR="002974DA" w:rsidRPr="00C7514B">
              <w:t xml:space="preserve"> Ne</w:t>
            </w:r>
          </w:p>
          <w:p w14:paraId="3B89AFFA" w14:textId="77777777" w:rsidR="002974DA" w:rsidRPr="00C7514B" w:rsidRDefault="00A53073" w:rsidP="00907EAD">
            <w:pPr>
              <w:rPr>
                <w:rFonts w:eastAsia="Arial"/>
              </w:rPr>
            </w:pPr>
            <w:sdt>
              <w:sdtPr>
                <w:alias w:val="Nurodykite konkrečią dieną"/>
                <w:tag w:val="Nurodykite pradžios datą"/>
                <w:id w:val="922837954"/>
                <w:placeholder>
                  <w:docPart w:val="3272E5F5B1A34987B413A32CCDDFDD60"/>
                </w:placeholder>
                <w15:color w:val="FFCC99"/>
                <w:date>
                  <w:dateFormat w:val="yyyy 'm.' MMMM d 'd.'"/>
                  <w:lid w:val="lt-LT"/>
                  <w:storeMappedDataAs w:val="dateTime"/>
                  <w:calendar w:val="gregorian"/>
                </w:date>
              </w:sdtPr>
              <w:sdtEndPr/>
              <w:sdtContent>
                <w:r w:rsidR="002974DA" w:rsidRPr="00C7514B">
                  <w:t>202</w:t>
                </w:r>
                <w:r w:rsidR="002974DA" w:rsidRPr="00C7514B">
                  <w:rPr>
                    <w:lang w:val="en-US"/>
                  </w:rPr>
                  <w:t>3</w:t>
                </w:r>
                <w:r w:rsidR="002974DA" w:rsidRPr="00C7514B">
                  <w:t xml:space="preserve"> m. </w:t>
                </w:r>
                <w:proofErr w:type="spellStart"/>
                <w:r w:rsidR="002974DA" w:rsidRPr="00C7514B">
                  <w:rPr>
                    <w:lang w:val="en-US"/>
                  </w:rPr>
                  <w:t>gruod</w:t>
                </w:r>
                <w:proofErr w:type="spellEnd"/>
                <w:r w:rsidR="002974DA" w:rsidRPr="00C7514B">
                  <w:t>žio 2</w:t>
                </w:r>
                <w:r w:rsidR="002974DA" w:rsidRPr="00C7514B">
                  <w:rPr>
                    <w:lang w:val="en-US"/>
                  </w:rPr>
                  <w:t>3</w:t>
                </w:r>
                <w:r w:rsidR="002974DA" w:rsidRPr="00C7514B">
                  <w:t xml:space="preserve"> d.</w:t>
                </w:r>
              </w:sdtContent>
            </w:sdt>
          </w:p>
        </w:tc>
        <w:tc>
          <w:tcPr>
            <w:tcW w:w="5076" w:type="dxa"/>
            <w:gridSpan w:val="2"/>
            <w:shd w:val="clear" w:color="auto" w:fill="FFFFFF" w:themeFill="background1"/>
          </w:tcPr>
          <w:p w14:paraId="6212DE43" w14:textId="77777777" w:rsidR="002974DA" w:rsidRPr="00C7514B" w:rsidRDefault="002974DA" w:rsidP="00907EAD">
            <w:pPr>
              <w:pStyle w:val="HTMLPreformatted"/>
              <w:shd w:val="clear" w:color="auto" w:fill="FFFFFF" w:themeFill="background1"/>
              <w:rPr>
                <w:rStyle w:val="y2iqfc"/>
                <w:rFonts w:ascii="Times New Roman" w:hAnsi="Times New Roman" w:cs="Times New Roman"/>
                <w:sz w:val="24"/>
              </w:rPr>
            </w:pPr>
            <w:r w:rsidRPr="00C7514B">
              <w:rPr>
                <w:rStyle w:val="y2iqfc"/>
                <w:rFonts w:ascii="Times New Roman" w:hAnsi="Times New Roman" w:cs="Times New Roman"/>
                <w:sz w:val="24"/>
              </w:rPr>
              <w:t>Pembrolizumabas ir chemoterapija su bevacizumabu arba be jo rekomenduojama kaip galimybė gydyti metastazavusį gimdos kaklelio vėžį suaugusiesiems, kurių navikai išreiškia PD-L1, kai bendras teigiamas balas yra ne mažesnis kaip 1. Rekomenduojama, tik jei:</w:t>
            </w:r>
          </w:p>
          <w:p w14:paraId="08E599D8" w14:textId="77777777" w:rsidR="002974DA" w:rsidRPr="00C7514B" w:rsidRDefault="002974DA" w:rsidP="00907EAD">
            <w:pPr>
              <w:pStyle w:val="HTMLPreformatted"/>
              <w:shd w:val="clear" w:color="auto" w:fill="FFFFFF" w:themeFill="background1"/>
              <w:rPr>
                <w:rStyle w:val="y2iqfc"/>
                <w:rFonts w:ascii="Times New Roman" w:hAnsi="Times New Roman" w:cs="Times New Roman"/>
                <w:sz w:val="24"/>
              </w:rPr>
            </w:pPr>
          </w:p>
          <w:p w14:paraId="6B4B9D5A" w14:textId="77777777" w:rsidR="002974DA" w:rsidRPr="00C7514B" w:rsidRDefault="002974DA" w:rsidP="00907EAD">
            <w:pPr>
              <w:pStyle w:val="HTMLPreformatted"/>
              <w:numPr>
                <w:ilvl w:val="0"/>
                <w:numId w:val="13"/>
              </w:numPr>
              <w:shd w:val="clear" w:color="auto" w:fill="FFFFFF" w:themeFill="background1"/>
              <w:rPr>
                <w:rStyle w:val="y2iqfc"/>
                <w:rFonts w:ascii="Times New Roman" w:hAnsi="Times New Roman" w:cs="Times New Roman"/>
                <w:sz w:val="24"/>
              </w:rPr>
            </w:pPr>
            <w:r w:rsidRPr="00C7514B">
              <w:rPr>
                <w:rStyle w:val="y2iqfc"/>
                <w:rFonts w:ascii="Times New Roman" w:hAnsi="Times New Roman" w:cs="Times New Roman"/>
                <w:sz w:val="24"/>
              </w:rPr>
              <w:t>pembrolizumabo vartojimas nutraukiamas po 2 metų nepertraukiamo gydymo arba anksčiau, jei vėžys progresuoja;</w:t>
            </w:r>
          </w:p>
          <w:p w14:paraId="4EE07424" w14:textId="77777777" w:rsidR="002974DA" w:rsidRPr="00C7514B" w:rsidRDefault="002974DA" w:rsidP="00907EAD">
            <w:pPr>
              <w:pStyle w:val="HTMLPreformatted"/>
              <w:shd w:val="clear" w:color="auto" w:fill="FFFFFF" w:themeFill="background1"/>
              <w:rPr>
                <w:rStyle w:val="y2iqfc"/>
                <w:rFonts w:ascii="Times New Roman" w:hAnsi="Times New Roman" w:cs="Times New Roman"/>
                <w:sz w:val="24"/>
              </w:rPr>
            </w:pPr>
          </w:p>
          <w:p w14:paraId="13D45908" w14:textId="77777777" w:rsidR="002974DA" w:rsidRPr="00C7514B" w:rsidRDefault="002974DA" w:rsidP="00907EAD">
            <w:pPr>
              <w:pStyle w:val="HTMLPreformatted"/>
              <w:numPr>
                <w:ilvl w:val="0"/>
                <w:numId w:val="13"/>
              </w:numPr>
              <w:shd w:val="clear" w:color="auto" w:fill="FFFFFF" w:themeFill="background1"/>
              <w:rPr>
                <w:rFonts w:ascii="Times New Roman" w:hAnsi="Times New Roman" w:cs="Times New Roman"/>
                <w:sz w:val="24"/>
              </w:rPr>
            </w:pPr>
            <w:r w:rsidRPr="00C7514B">
              <w:rPr>
                <w:rStyle w:val="y2iqfc"/>
                <w:rFonts w:ascii="Times New Roman" w:hAnsi="Times New Roman" w:cs="Times New Roman"/>
                <w:sz w:val="24"/>
              </w:rPr>
              <w:t>kompanija teikia nuolaidą pagal komercinius susitarimus.</w:t>
            </w:r>
          </w:p>
          <w:p w14:paraId="3E2803C1" w14:textId="77777777" w:rsidR="002974DA" w:rsidRPr="00C7514B" w:rsidRDefault="002974DA" w:rsidP="00907EAD">
            <w:pPr>
              <w:spacing w:line="276" w:lineRule="auto"/>
              <w:rPr>
                <w:rFonts w:eastAsia="Arial"/>
              </w:rPr>
            </w:pPr>
          </w:p>
        </w:tc>
      </w:tr>
      <w:tr w:rsidR="00C7514B" w:rsidRPr="00C7514B" w14:paraId="29918AD1" w14:textId="77777777" w:rsidTr="0043442E">
        <w:trPr>
          <w:trHeight w:val="1125"/>
        </w:trPr>
        <w:tc>
          <w:tcPr>
            <w:tcW w:w="2927" w:type="dxa"/>
          </w:tcPr>
          <w:p w14:paraId="4314B91A" w14:textId="77777777" w:rsidR="002974DA" w:rsidRPr="00C7514B" w:rsidRDefault="002974DA" w:rsidP="00907EAD">
            <w:pPr>
              <w:spacing w:line="276" w:lineRule="auto"/>
              <w:rPr>
                <w:rFonts w:eastAsia="Arial"/>
              </w:rPr>
            </w:pPr>
            <w:r w:rsidRPr="00C7514B">
              <w:rPr>
                <w:rFonts w:eastAsia="Arial"/>
              </w:rPr>
              <w:t>Kanados sveikatos technologijų agentūra</w:t>
            </w:r>
          </w:p>
          <w:p w14:paraId="0D0E0286" w14:textId="77777777" w:rsidR="002974DA" w:rsidRPr="00C7514B" w:rsidRDefault="002974DA" w:rsidP="00907EAD">
            <w:pPr>
              <w:spacing w:line="276" w:lineRule="auto"/>
              <w:rPr>
                <w:rFonts w:eastAsia="Arial"/>
              </w:rPr>
            </w:pPr>
            <w:r w:rsidRPr="00C7514B">
              <w:rPr>
                <w:rFonts w:eastAsia="Arial"/>
              </w:rPr>
              <w:t xml:space="preserve">(angl. </w:t>
            </w:r>
            <w:r w:rsidRPr="00C7514B">
              <w:rPr>
                <w:rFonts w:eastAsia="Arial"/>
                <w:i/>
              </w:rPr>
              <w:t>Canadian health Technology Assessment agency, CADTH</w:t>
            </w:r>
            <w:r w:rsidRPr="00C7514B">
              <w:rPr>
                <w:rFonts w:eastAsia="Arial"/>
              </w:rPr>
              <w:t>)</w:t>
            </w:r>
          </w:p>
        </w:tc>
        <w:tc>
          <w:tcPr>
            <w:tcW w:w="1915" w:type="dxa"/>
          </w:tcPr>
          <w:p w14:paraId="6D838D9E" w14:textId="77777777" w:rsidR="002974DA" w:rsidRPr="00C7514B" w:rsidRDefault="00A53073" w:rsidP="00907EAD">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2974DA" w:rsidRPr="00C7514B">
                  <w:rPr>
                    <w:rStyle w:val="Style2"/>
                    <w:rFonts w:ascii="MS Gothic" w:eastAsia="MS Gothic" w:hAnsi="MS Gothic" w:hint="eastAsia"/>
                  </w:rPr>
                  <w:t>☒</w:t>
                </w:r>
              </w:sdtContent>
            </w:sdt>
            <w:r w:rsidR="002974DA" w:rsidRPr="00C7514B">
              <w:t xml:space="preserve"> Taip</w:t>
            </w:r>
          </w:p>
          <w:p w14:paraId="6ADCD66A" w14:textId="77777777" w:rsidR="002974DA" w:rsidRPr="00C7514B" w:rsidRDefault="00A53073" w:rsidP="00907EAD">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2974DA" w:rsidRPr="00C7514B">
                  <w:rPr>
                    <w:rStyle w:val="Style2"/>
                    <w:rFonts w:ascii="Segoe UI Symbol" w:eastAsia="MS Gothic" w:hAnsi="Segoe UI Symbol" w:cs="Segoe UI Symbol"/>
                  </w:rPr>
                  <w:t>☐</w:t>
                </w:r>
              </w:sdtContent>
            </w:sdt>
            <w:r w:rsidR="002974DA" w:rsidRPr="00C7514B">
              <w:t xml:space="preserve"> Ne</w:t>
            </w:r>
          </w:p>
          <w:p w14:paraId="351A8FA1" w14:textId="77777777" w:rsidR="002974DA" w:rsidRPr="00C7514B" w:rsidRDefault="00A53073" w:rsidP="00907EAD">
            <w:pPr>
              <w:spacing w:line="276" w:lineRule="auto"/>
              <w:rPr>
                <w:rFonts w:eastAsia="Arial"/>
              </w:rPr>
            </w:pPr>
            <w:sdt>
              <w:sdtPr>
                <w:alias w:val="Nurodykite konkrečią dieną"/>
                <w:tag w:val="Nurodykite pradžios datą"/>
                <w:id w:val="1072468416"/>
                <w:placeholder>
                  <w:docPart w:val="16001BCC622D46ADA9FAA8A32575528D"/>
                </w:placeholder>
                <w15:color w:val="FFCC99"/>
                <w:date>
                  <w:dateFormat w:val="yyyy 'm.' MMMM d 'd.'"/>
                  <w:lid w:val="lt-LT"/>
                  <w:storeMappedDataAs w:val="dateTime"/>
                  <w:calendar w:val="gregorian"/>
                </w:date>
              </w:sdtPr>
              <w:sdtEndPr/>
              <w:sdtContent>
                <w:r w:rsidR="002974DA" w:rsidRPr="00C7514B">
                  <w:t>20</w:t>
                </w:r>
                <w:r w:rsidR="002974DA" w:rsidRPr="00C7514B">
                  <w:rPr>
                    <w:lang w:val="en-US"/>
                  </w:rPr>
                  <w:t>22</w:t>
                </w:r>
                <w:r w:rsidR="002974DA" w:rsidRPr="00C7514B">
                  <w:t xml:space="preserve"> m. gruodžio 1 d.</w:t>
                </w:r>
              </w:sdtContent>
            </w:sdt>
          </w:p>
        </w:tc>
        <w:tc>
          <w:tcPr>
            <w:tcW w:w="5076" w:type="dxa"/>
            <w:gridSpan w:val="2"/>
          </w:tcPr>
          <w:p w14:paraId="6F79AA92" w14:textId="26866657" w:rsidR="002974DA" w:rsidRPr="00C7514B" w:rsidRDefault="002974DA" w:rsidP="00907EAD">
            <w:pPr>
              <w:spacing w:line="276" w:lineRule="auto"/>
              <w:rPr>
                <w:rFonts w:eastAsia="Arial"/>
              </w:rPr>
            </w:pPr>
            <w:r w:rsidRPr="00C7514B">
              <w:rPr>
                <w:rFonts w:eastAsia="Arial"/>
              </w:rPr>
              <w:t>Kompensuoti su tam tikrais apribojimais.</w:t>
            </w:r>
          </w:p>
        </w:tc>
      </w:tr>
      <w:tr w:rsidR="00C7514B" w:rsidRPr="00C7514B" w14:paraId="7BAFC93E" w14:textId="77777777" w:rsidTr="00DE24D3">
        <w:trPr>
          <w:trHeight w:val="1927"/>
        </w:trPr>
        <w:tc>
          <w:tcPr>
            <w:tcW w:w="2927" w:type="dxa"/>
          </w:tcPr>
          <w:p w14:paraId="4F873D6E" w14:textId="77777777" w:rsidR="002974DA" w:rsidRPr="00C7514B" w:rsidRDefault="002974DA" w:rsidP="00907EAD">
            <w:pPr>
              <w:spacing w:line="276" w:lineRule="auto"/>
              <w:rPr>
                <w:rFonts w:eastAsia="Arial"/>
              </w:rPr>
            </w:pPr>
            <w:r w:rsidRPr="00C7514B">
              <w:rPr>
                <w:rFonts w:eastAsia="Arial"/>
              </w:rPr>
              <w:t>Nacionalinis farmakoekonomikos centras, Airija</w:t>
            </w:r>
          </w:p>
          <w:p w14:paraId="124C8612" w14:textId="77777777" w:rsidR="002974DA" w:rsidRPr="00C7514B" w:rsidRDefault="002974DA" w:rsidP="00907EAD">
            <w:pPr>
              <w:spacing w:line="276" w:lineRule="auto"/>
              <w:rPr>
                <w:rFonts w:eastAsia="Arial"/>
              </w:rPr>
            </w:pPr>
            <w:r w:rsidRPr="00C7514B">
              <w:rPr>
                <w:rFonts w:eastAsia="Arial"/>
              </w:rPr>
              <w:t>(angl.</w:t>
            </w:r>
            <w:r w:rsidRPr="00C7514B">
              <w:rPr>
                <w:rFonts w:eastAsia="Arial"/>
                <w:i/>
              </w:rPr>
              <w:t xml:space="preserve"> National Centre for Pharmacoeconomics, NCPE</w:t>
            </w:r>
            <w:r w:rsidRPr="00C7514B">
              <w:rPr>
                <w:rFonts w:eastAsia="Arial"/>
              </w:rPr>
              <w:t>)</w:t>
            </w:r>
          </w:p>
        </w:tc>
        <w:tc>
          <w:tcPr>
            <w:tcW w:w="1915" w:type="dxa"/>
          </w:tcPr>
          <w:p w14:paraId="1CC0239A" w14:textId="77777777" w:rsidR="002974DA" w:rsidRPr="00C7514B" w:rsidRDefault="00A53073" w:rsidP="00907EAD">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2974DA" w:rsidRPr="00C7514B">
                  <w:rPr>
                    <w:rStyle w:val="Style2"/>
                    <w:rFonts w:ascii="MS Gothic" w:eastAsia="MS Gothic" w:hAnsi="MS Gothic" w:hint="eastAsia"/>
                  </w:rPr>
                  <w:t>☒</w:t>
                </w:r>
              </w:sdtContent>
            </w:sdt>
            <w:r w:rsidR="002974DA" w:rsidRPr="00C7514B">
              <w:t xml:space="preserve"> Taip</w:t>
            </w:r>
          </w:p>
          <w:p w14:paraId="1222943A" w14:textId="77777777" w:rsidR="002974DA" w:rsidRPr="00C7514B" w:rsidRDefault="00A53073" w:rsidP="00907EAD">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2974DA" w:rsidRPr="00C7514B">
                  <w:rPr>
                    <w:rStyle w:val="Style2"/>
                    <w:rFonts w:ascii="Segoe UI Symbol" w:eastAsia="MS Gothic" w:hAnsi="Segoe UI Symbol" w:cs="Segoe UI Symbol"/>
                  </w:rPr>
                  <w:t>☐</w:t>
                </w:r>
              </w:sdtContent>
            </w:sdt>
            <w:r w:rsidR="002974DA" w:rsidRPr="00C7514B">
              <w:t xml:space="preserve"> Ne</w:t>
            </w:r>
          </w:p>
          <w:p w14:paraId="539D4146" w14:textId="77777777" w:rsidR="002974DA" w:rsidRPr="00C7514B" w:rsidRDefault="00A53073" w:rsidP="00907EAD">
            <w:pPr>
              <w:spacing w:line="276" w:lineRule="auto"/>
              <w:rPr>
                <w:rFonts w:eastAsia="Arial"/>
              </w:rPr>
            </w:pPr>
            <w:sdt>
              <w:sdtPr>
                <w:alias w:val="Nurodykite konkrečią dieną"/>
                <w:tag w:val="Nurodykite pradžios datą"/>
                <w:id w:val="-198323198"/>
                <w:placeholder>
                  <w:docPart w:val="35BF758C5F97468C86AD3046B8F6F585"/>
                </w:placeholder>
                <w15:color w:val="FFCC99"/>
                <w:date>
                  <w:dateFormat w:val="yyyy 'm.' MMMM d 'd.'"/>
                  <w:lid w:val="lt-LT"/>
                  <w:storeMappedDataAs w:val="dateTime"/>
                  <w:calendar w:val="gregorian"/>
                </w:date>
              </w:sdtPr>
              <w:sdtEndPr/>
              <w:sdtContent>
                <w:r w:rsidR="002974DA" w:rsidRPr="00C7514B">
                  <w:t>202</w:t>
                </w:r>
                <w:r w:rsidR="002974DA" w:rsidRPr="00C7514B">
                  <w:rPr>
                    <w:lang w:val="en-US"/>
                  </w:rPr>
                  <w:t xml:space="preserve">2 </w:t>
                </w:r>
                <w:r w:rsidR="002974DA" w:rsidRPr="00C7514B">
                  <w:t xml:space="preserve">m. </w:t>
                </w:r>
                <w:proofErr w:type="spellStart"/>
                <w:r w:rsidR="002974DA" w:rsidRPr="00C7514B">
                  <w:rPr>
                    <w:lang w:val="en-US"/>
                  </w:rPr>
                  <w:t>liepos</w:t>
                </w:r>
                <w:proofErr w:type="spellEnd"/>
                <w:r w:rsidR="002974DA" w:rsidRPr="00C7514B">
                  <w:t xml:space="preserve"> 6 d.</w:t>
                </w:r>
              </w:sdtContent>
            </w:sdt>
          </w:p>
        </w:tc>
        <w:tc>
          <w:tcPr>
            <w:tcW w:w="5076" w:type="dxa"/>
            <w:gridSpan w:val="2"/>
          </w:tcPr>
          <w:p w14:paraId="26613EB7" w14:textId="1153A57C" w:rsidR="002974DA" w:rsidRPr="00C7514B" w:rsidRDefault="002974DA" w:rsidP="00907EAD">
            <w:pPr>
              <w:spacing w:line="276" w:lineRule="auto"/>
              <w:rPr>
                <w:rFonts w:eastAsia="Arial"/>
              </w:rPr>
            </w:pPr>
            <w:proofErr w:type="spellStart"/>
            <w:r w:rsidRPr="00C7514B">
              <w:rPr>
                <w:rFonts w:eastAsia="Arial"/>
                <w:lang w:val="en-US"/>
              </w:rPr>
              <w:t>Kompanija</w:t>
            </w:r>
            <w:proofErr w:type="spellEnd"/>
            <w:r w:rsidRPr="00C7514B">
              <w:rPr>
                <w:rFonts w:eastAsia="Arial"/>
                <w:lang w:val="en-US"/>
              </w:rPr>
              <w:t xml:space="preserve"> </w:t>
            </w:r>
            <w:proofErr w:type="spellStart"/>
            <w:r w:rsidRPr="00C7514B">
              <w:rPr>
                <w:rFonts w:eastAsia="Arial"/>
                <w:lang w:val="en-US"/>
              </w:rPr>
              <w:t>pilnam</w:t>
            </w:r>
            <w:proofErr w:type="spellEnd"/>
            <w:r w:rsidRPr="00C7514B">
              <w:rPr>
                <w:rFonts w:eastAsia="Arial"/>
                <w:lang w:val="en-US"/>
              </w:rPr>
              <w:t xml:space="preserve"> HTA </w:t>
            </w:r>
            <w:proofErr w:type="spellStart"/>
            <w:r w:rsidRPr="00C7514B">
              <w:rPr>
                <w:rFonts w:eastAsia="Arial"/>
                <w:lang w:val="en-US"/>
              </w:rPr>
              <w:t>vertinimui</w:t>
            </w:r>
            <w:proofErr w:type="spellEnd"/>
            <w:r w:rsidRPr="00C7514B">
              <w:rPr>
                <w:rFonts w:eastAsia="Arial"/>
                <w:lang w:val="en-US"/>
              </w:rPr>
              <w:t xml:space="preserve"> </w:t>
            </w:r>
            <w:proofErr w:type="spellStart"/>
            <w:r w:rsidRPr="00C7514B">
              <w:rPr>
                <w:rFonts w:eastAsia="Arial"/>
                <w:lang w:val="en-US"/>
              </w:rPr>
              <w:t>dokument</w:t>
            </w:r>
            <w:proofErr w:type="spellEnd"/>
            <w:r w:rsidRPr="00C7514B">
              <w:rPr>
                <w:rFonts w:eastAsia="Arial"/>
              </w:rPr>
              <w:t>ų nepateikė</w:t>
            </w:r>
          </w:p>
        </w:tc>
      </w:tr>
    </w:tbl>
    <w:p w14:paraId="73290081" w14:textId="45A2BF55" w:rsidR="007A2B68" w:rsidRPr="00C7514B" w:rsidRDefault="007A2B68">
      <w:pPr>
        <w:rPr>
          <w:b/>
          <w:bCs/>
          <w:caps/>
        </w:rPr>
      </w:pPr>
    </w:p>
    <w:p w14:paraId="5055E8A8" w14:textId="471A9757" w:rsidR="002E6F80" w:rsidRPr="00C7514B" w:rsidRDefault="00CC7832" w:rsidP="00CC09D4">
      <w:pPr>
        <w:pStyle w:val="ListParagraph"/>
        <w:numPr>
          <w:ilvl w:val="0"/>
          <w:numId w:val="12"/>
        </w:numPr>
        <w:tabs>
          <w:tab w:val="left" w:pos="567"/>
        </w:tabs>
        <w:ind w:hanging="720"/>
        <w:rPr>
          <w:b/>
          <w:bCs/>
          <w:caps/>
        </w:rPr>
      </w:pPr>
      <w:r w:rsidRPr="00C7514B">
        <w:rPr>
          <w:b/>
          <w:bCs/>
          <w:caps/>
        </w:rPr>
        <w:t>Klinikinio vertinimo a</w:t>
      </w:r>
      <w:r w:rsidR="00D4485B" w:rsidRPr="00C7514B">
        <w:rPr>
          <w:b/>
          <w:bCs/>
          <w:caps/>
        </w:rPr>
        <w:t>pibendrinimas</w:t>
      </w:r>
    </w:p>
    <w:p w14:paraId="25F89291" w14:textId="298C9E79" w:rsidR="00D4485B" w:rsidRPr="00C7514B" w:rsidRDefault="00D4485B" w:rsidP="00A93AA6">
      <w:pPr>
        <w:pStyle w:val="ListParagraph"/>
        <w:tabs>
          <w:tab w:val="left" w:pos="426"/>
        </w:tabs>
        <w:ind w:left="0"/>
        <w:rPr>
          <w:b/>
          <w:bCs/>
          <w:caps/>
        </w:rPr>
      </w:pPr>
    </w:p>
    <w:p w14:paraId="3B69A199" w14:textId="77777777" w:rsidR="00132516" w:rsidRPr="00C7514B" w:rsidRDefault="00132516" w:rsidP="00132516">
      <w:pPr>
        <w:tabs>
          <w:tab w:val="left" w:pos="284"/>
        </w:tabs>
        <w:rPr>
          <w:b/>
          <w:bCs/>
          <w:caps/>
          <w:lang w:eastAsia="en-GB"/>
        </w:rPr>
      </w:pPr>
    </w:p>
    <w:p w14:paraId="5E6932D0" w14:textId="77777777" w:rsidR="00132516" w:rsidRPr="00C7514B" w:rsidRDefault="00132516" w:rsidP="00132516">
      <w:pPr>
        <w:spacing w:after="120" w:line="276" w:lineRule="auto"/>
        <w:ind w:firstLine="720"/>
        <w:jc w:val="both"/>
        <w:rPr>
          <w:lang w:eastAsia="lt-LT"/>
        </w:rPr>
      </w:pPr>
      <w:r w:rsidRPr="00C7514B">
        <w:rPr>
          <w:lang w:eastAsia="lt-LT"/>
        </w:rPr>
        <w:t xml:space="preserve">Lietuvos Respublikoje prašomos kompensuoti indikacijos patvirtintų gydymo rekomendacijų, gairių ar tvarkos aprašo nėra. Tarptautiniu mąstu prašomos kompensuoti indikacijos gydymui </w:t>
      </w:r>
      <w:r w:rsidRPr="00C7514B">
        <w:rPr>
          <w:lang w:eastAsia="lt-LT"/>
        </w:rPr>
        <w:lastRenderedPageBreak/>
        <w:t xml:space="preserve">naudojamos ESMO, NCCN ir ASCO rekomendacijos. ESMO rekomendacijose (2017 m.) prašomos kompensuoti indikacijos atveju </w:t>
      </w:r>
      <w:r w:rsidRPr="00C7514B">
        <w:rPr>
          <w:b/>
          <w:bCs/>
          <w:lang w:eastAsia="lt-LT"/>
        </w:rPr>
        <w:t>rekomenduojama paklitakselis ir cisplatina derinyje su bevacizumabu</w:t>
      </w:r>
      <w:r w:rsidRPr="00C7514B">
        <w:rPr>
          <w:lang w:eastAsia="lt-LT"/>
        </w:rPr>
        <w:t xml:space="preserve"> (IA), o NCCN ir ASCO rekomendacijose rekomenduojamas </w:t>
      </w:r>
      <w:r w:rsidRPr="00C7514B">
        <w:rPr>
          <w:b/>
          <w:bCs/>
          <w:lang w:eastAsia="lt-LT"/>
        </w:rPr>
        <w:t>pembrolizumabo derinys su cisplatina/paklitakseliu arba su karboplatina/paklitakseliu kartu su bevacizumabu arba be jo</w:t>
      </w:r>
      <w:r w:rsidRPr="00C7514B">
        <w:rPr>
          <w:lang w:eastAsia="lt-LT"/>
        </w:rPr>
        <w:t xml:space="preserve"> (įrodymų lygis NCCN – 1-a kategorija; ASCO – stiprus).</w:t>
      </w:r>
    </w:p>
    <w:p w14:paraId="04CF334D" w14:textId="77777777" w:rsidR="00132516" w:rsidRPr="00C7514B" w:rsidRDefault="00132516" w:rsidP="00132516">
      <w:pPr>
        <w:spacing w:after="120" w:line="276" w:lineRule="auto"/>
        <w:ind w:firstLine="720"/>
        <w:jc w:val="both"/>
        <w:rPr>
          <w:i/>
          <w:lang w:eastAsia="lt-LT"/>
        </w:rPr>
      </w:pPr>
      <w:r w:rsidRPr="00C7514B">
        <w:rPr>
          <w:i/>
          <w:lang w:eastAsia="lt-LT"/>
        </w:rPr>
        <w:t>Tiesioginis palyginimas</w:t>
      </w:r>
    </w:p>
    <w:p w14:paraId="1BEFCD5E" w14:textId="262C2F2C" w:rsidR="00132516" w:rsidRPr="00C7514B" w:rsidRDefault="00132516" w:rsidP="00132516">
      <w:pPr>
        <w:spacing w:after="120" w:line="276" w:lineRule="auto"/>
        <w:ind w:firstLine="720"/>
        <w:jc w:val="both"/>
        <w:rPr>
          <w:lang w:eastAsia="lt-LT"/>
        </w:rPr>
      </w:pPr>
      <w:bookmarkStart w:id="0" w:name="_Hlk178372319"/>
      <w:r w:rsidRPr="00C7514B">
        <w:rPr>
          <w:lang w:eastAsia="lt-LT"/>
        </w:rPr>
        <w:t>Pembrolizumabo derinys su paklitakseliu ir cisplatina arba su paklitakseliu ir karboplatina, kartu su bevacizumabu arba be jo, veiksmingumas buvo tir</w:t>
      </w:r>
      <w:r w:rsidR="00C7514B" w:rsidRPr="00C7514B">
        <w:rPr>
          <w:lang w:eastAsia="lt-LT"/>
        </w:rPr>
        <w:t>tas</w:t>
      </w:r>
      <w:r w:rsidRPr="00C7514B">
        <w:rPr>
          <w:lang w:eastAsia="lt-LT"/>
        </w:rPr>
        <w:t xml:space="preserve"> KEYNOTE-826 daugiacentr</w:t>
      </w:r>
      <w:r w:rsidR="00C7514B" w:rsidRPr="00C7514B">
        <w:rPr>
          <w:lang w:eastAsia="lt-LT"/>
        </w:rPr>
        <w:t>iame</w:t>
      </w:r>
      <w:r w:rsidRPr="00C7514B">
        <w:rPr>
          <w:lang w:eastAsia="lt-LT"/>
        </w:rPr>
        <w:t>, atsitiktinių imčių, dvigubai koduot</w:t>
      </w:r>
      <w:r w:rsidR="00C7514B" w:rsidRPr="00C7514B">
        <w:rPr>
          <w:lang w:eastAsia="lt-LT"/>
        </w:rPr>
        <w:t>ame</w:t>
      </w:r>
      <w:r w:rsidRPr="00C7514B">
        <w:rPr>
          <w:lang w:eastAsia="lt-LT"/>
        </w:rPr>
        <w:t>, placebu kontroliuojam</w:t>
      </w:r>
      <w:r w:rsidR="00C7514B" w:rsidRPr="00C7514B">
        <w:rPr>
          <w:lang w:eastAsia="lt-LT"/>
        </w:rPr>
        <w:t>e</w:t>
      </w:r>
      <w:r w:rsidRPr="00C7514B">
        <w:rPr>
          <w:lang w:eastAsia="lt-LT"/>
        </w:rPr>
        <w:t xml:space="preserve"> tyrim</w:t>
      </w:r>
      <w:r w:rsidR="00C7514B" w:rsidRPr="00C7514B">
        <w:rPr>
          <w:lang w:eastAsia="lt-LT"/>
        </w:rPr>
        <w:t>e</w:t>
      </w:r>
      <w:r w:rsidRPr="00C7514B">
        <w:rPr>
          <w:lang w:eastAsia="lt-LT"/>
        </w:rPr>
        <w:t xml:space="preserve">, kuriame dalyvavo 617 pacienčių, sirgusių persistuojančiu, recidyvavusiu arba po pirmos eilės gydymo metastazavusiu gimdos kaklelio vėžiu, kai joms anksčiau nebuvo skirta chemoterapija. Remiantis įtraukimo ir atmetimo kriterijais pacientų populiacija atitinka Lietuvos populiaciją. Visi tiriamieji vaistiniai preparatai buvo skiriami 1-ąją kiekvieno 3 savaičių trukmės gydymo ciklo dieną. Cisplatinos buvo galima skirti 2-ąją kiekvieno 3 savaičių trukmės gydymo ciklo dieną. Sprendimą skirti bevacizumabo priimdavo tyrėjas prieš atsitiktinę atranką. </w:t>
      </w:r>
    </w:p>
    <w:bookmarkEnd w:id="0"/>
    <w:p w14:paraId="59A6520F" w14:textId="110A3DA4" w:rsidR="00132516" w:rsidRPr="00C7514B" w:rsidRDefault="00132516" w:rsidP="00132516">
      <w:pPr>
        <w:spacing w:after="120" w:line="276" w:lineRule="auto"/>
        <w:ind w:firstLine="720"/>
        <w:jc w:val="both"/>
        <w:rPr>
          <w:lang w:eastAsia="lt-LT"/>
        </w:rPr>
      </w:pPr>
      <w:r w:rsidRPr="00C7514B">
        <w:rPr>
          <w:lang w:eastAsia="lt-LT"/>
        </w:rPr>
        <w:t>Remiantis Centralizuotai apmokamų vaistinių preparatų ir medicinos pagalbos priemonių sąrašu, bevacizumabas, kuris skiriamas kartu su paklitakseliu ir cisplatina arba paklitakseliu ir topotekanu suaugusioms pacientėms, kurioms nustatyta persistuojanti, recidyvavusi ar metastazavusi gimdos kaklelio karcinoma. Atsižvelgiant į įprastą klinikinę praktiką Lietuvoje, apie</w:t>
      </w:r>
      <w:r w:rsidR="00AD47CC" w:rsidRPr="00C7514B">
        <w:rPr>
          <w:lang w:eastAsia="lt-LT"/>
        </w:rPr>
        <w:t xml:space="preserve"> 20 proc. pacienčių gydomos pa</w:t>
      </w:r>
      <w:r w:rsidRPr="00C7514B">
        <w:rPr>
          <w:lang w:eastAsia="lt-LT"/>
        </w:rPr>
        <w:t>klitakselio ir cisplatinos/karboplatinos deriniu ir apie 80 proc. pacienčių - paklitakselio ir  karboplatinos/cisplatinos deriniu kartu su bevacizumau. Klinikinio tyrimo KEYNOTE-826  palyginamasis gydymas vertinamas kaip atitinkantis klinikinę praktiką Lietuvoje.</w:t>
      </w:r>
    </w:p>
    <w:p w14:paraId="5CA6EB27" w14:textId="77777777" w:rsidR="00132516" w:rsidRPr="00C7514B" w:rsidRDefault="00132516" w:rsidP="00132516">
      <w:pPr>
        <w:spacing w:after="120" w:line="276" w:lineRule="auto"/>
        <w:ind w:firstLine="720"/>
        <w:jc w:val="both"/>
        <w:rPr>
          <w:lang w:eastAsia="lt-LT"/>
        </w:rPr>
      </w:pPr>
      <w:r w:rsidRPr="00C7514B">
        <w:rPr>
          <w:lang w:eastAsia="lt-LT"/>
        </w:rPr>
        <w:t>Rezultatai</w:t>
      </w:r>
    </w:p>
    <w:p w14:paraId="0A9831FB" w14:textId="77777777" w:rsidR="00132516" w:rsidRPr="00C7514B" w:rsidRDefault="00132516" w:rsidP="00132516">
      <w:pPr>
        <w:tabs>
          <w:tab w:val="left" w:pos="426"/>
        </w:tabs>
        <w:spacing w:line="276" w:lineRule="auto"/>
        <w:jc w:val="both"/>
        <w:rPr>
          <w:u w:val="single"/>
          <w:lang w:eastAsia="en-GB"/>
        </w:rPr>
      </w:pPr>
      <w:r w:rsidRPr="00C7514B">
        <w:rPr>
          <w:u w:val="single"/>
          <w:lang w:eastAsia="en-GB"/>
        </w:rPr>
        <w:t>Pirminės vertinamosios baigtys:</w:t>
      </w:r>
    </w:p>
    <w:p w14:paraId="0BC21280" w14:textId="7A04DF62" w:rsidR="00132516" w:rsidRPr="00C7514B" w:rsidRDefault="00132516" w:rsidP="00132516">
      <w:pPr>
        <w:tabs>
          <w:tab w:val="left" w:pos="426"/>
        </w:tabs>
        <w:spacing w:line="276" w:lineRule="auto"/>
        <w:jc w:val="both"/>
        <w:rPr>
          <w:lang w:eastAsia="en-GB"/>
        </w:rPr>
      </w:pPr>
      <w:r w:rsidRPr="00C7514B">
        <w:rPr>
          <w:lang w:eastAsia="en-GB"/>
        </w:rPr>
        <w:t>Bendrasis išgyvenamumas (BI), kuris apibrėžiamas kaip laikas nuo randomizacijos iki mirties nuo bet kokios priežasties bei išgyvenamumas be ligos progresavimo (IBLP), kuris apibrėžiamas kaip laikas nuo dokumentuoto ligos progresavimo ar mirtis nuo bet kokios priežasties, priklausomai nuo to, kas įvyksta pirmiau. Pagrindin</w:t>
      </w:r>
      <w:proofErr w:type="spellStart"/>
      <w:r w:rsidR="00D24FCF" w:rsidRPr="00C7514B">
        <w:rPr>
          <w:lang w:val="en-GB" w:eastAsia="en-GB"/>
        </w:rPr>
        <w:t>ių</w:t>
      </w:r>
      <w:proofErr w:type="spellEnd"/>
      <w:r w:rsidRPr="00C7514B">
        <w:rPr>
          <w:lang w:eastAsia="en-GB"/>
        </w:rPr>
        <w:t xml:space="preserve"> vertinamųjų baigčių vertinimas yra tinkam</w:t>
      </w:r>
      <w:r w:rsidRPr="00C7514B">
        <w:rPr>
          <w:lang w:val="en-GB" w:eastAsia="en-GB"/>
        </w:rPr>
        <w:t>a</w:t>
      </w:r>
      <w:r w:rsidRPr="00C7514B">
        <w:rPr>
          <w:lang w:eastAsia="en-GB"/>
        </w:rPr>
        <w:t>s, vertinimas atliktas remiantis RECIST 1.1 kriterijais.</w:t>
      </w:r>
    </w:p>
    <w:p w14:paraId="2F4C6156" w14:textId="77777777" w:rsidR="00132516" w:rsidRPr="00C7514B" w:rsidRDefault="00132516" w:rsidP="00D24FCF">
      <w:pPr>
        <w:spacing w:before="20" w:after="20" w:line="276" w:lineRule="auto"/>
        <w:jc w:val="both"/>
        <w:rPr>
          <w:lang w:eastAsia="en-GB"/>
        </w:rPr>
      </w:pPr>
      <w:r w:rsidRPr="00C7514B">
        <w:rPr>
          <w:lang w:eastAsia="en-GB"/>
        </w:rPr>
        <w:t xml:space="preserve">IBLP mediana (mėn.) buvo ilgesnė pembrolizumabo grupėje nei placebo grupėje pacientėms kurių navikai, ekspresuoja PD-L1 ir CPS rodmuo yra ≥ 1. IBLP  mediana, 10,4 mėnesio (95 % PI 9,7–12,3), palyginti su 8,2 mėn. placebo grupėje (95 % PI 6,3–8,5); ligos progresavimo ar mirties pavojaus santykis 0,62; (95 % PI, 0,50–0,77; P &lt; 0,001). </w:t>
      </w:r>
    </w:p>
    <w:p w14:paraId="203EF9DC" w14:textId="77777777" w:rsidR="00132516" w:rsidRPr="00C7514B" w:rsidRDefault="00132516" w:rsidP="00D2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iCs/>
          <w:lang w:eastAsia="en-GB"/>
        </w:rPr>
      </w:pPr>
      <w:r w:rsidRPr="00C7514B">
        <w:rPr>
          <w:lang w:eastAsia="en-GB"/>
        </w:rPr>
        <w:t>Bendrojo išgyvenamumo mediana nepasiekta nei vienoje pacientų populiacijoje pagal PD-L1 (CPS ≥ 1) raišką, tačiau mirties rizikos santykis 0,64; 95 % PI, 0,50–0,81; P&lt;0,001) rodo pembrolizumabo derinyje su chemoterapija pranašumą. Tačiau duomenys nėra brandus. Pareiškėjo paprašyta pateikti ilgalaikio stebėjimo BI duomenis.</w:t>
      </w:r>
    </w:p>
    <w:p w14:paraId="2B0429B1" w14:textId="77777777" w:rsidR="00132516" w:rsidRPr="00C7514B" w:rsidRDefault="00132516" w:rsidP="00132516">
      <w:pPr>
        <w:tabs>
          <w:tab w:val="left" w:pos="426"/>
        </w:tabs>
        <w:spacing w:line="276" w:lineRule="auto"/>
        <w:jc w:val="both"/>
        <w:rPr>
          <w:u w:val="single"/>
          <w:lang w:eastAsia="en-GB"/>
        </w:rPr>
      </w:pPr>
      <w:r w:rsidRPr="00C7514B">
        <w:rPr>
          <w:u w:val="single"/>
          <w:lang w:eastAsia="en-GB"/>
        </w:rPr>
        <w:t>Antrinės vertinamosios baigtys:</w:t>
      </w:r>
    </w:p>
    <w:p w14:paraId="59C02AB0" w14:textId="77777777" w:rsidR="00132516" w:rsidRPr="00C7514B" w:rsidRDefault="00132516" w:rsidP="00132516">
      <w:pPr>
        <w:tabs>
          <w:tab w:val="left" w:pos="426"/>
        </w:tabs>
        <w:spacing w:line="276" w:lineRule="auto"/>
        <w:jc w:val="both"/>
        <w:rPr>
          <w:u w:val="single"/>
          <w:lang w:eastAsia="en-GB"/>
        </w:rPr>
      </w:pPr>
      <w:r w:rsidRPr="00C7514B">
        <w:rPr>
          <w:lang w:eastAsia="en-GB"/>
        </w:rPr>
        <w:t>Objektyvaus atsako dažnis (OAD), nustatytas tyrėjo pagal RECIST v1.1 kriterijus. Bendrojo atsako dažnis buvo didesnis pembrolizumabo grupėje lyginant su chemoterapijos grupe Remiantis tyrėjų apžvalga, pacientų, kurių atsakas buvo patvirtintas, procentas buvo didesnis pembrolizumabo grupėje nei placebo grupėje tarp tų, kurių PD-L1 bendras teigiamas balas buvo 1 ar daugiau (68,1 %, palyginti su</w:t>
      </w:r>
      <w:r w:rsidRPr="00C7514B">
        <w:rPr>
          <w:u w:val="single"/>
          <w:lang w:eastAsia="en-GB"/>
        </w:rPr>
        <w:t xml:space="preserve"> </w:t>
      </w:r>
      <w:r w:rsidRPr="00C7514B">
        <w:rPr>
          <w:lang w:eastAsia="en-GB"/>
        </w:rPr>
        <w:t>50,2 %).</w:t>
      </w:r>
    </w:p>
    <w:p w14:paraId="3C329567" w14:textId="77777777" w:rsidR="00132516" w:rsidRPr="00C7514B" w:rsidRDefault="00132516" w:rsidP="00132516">
      <w:pPr>
        <w:spacing w:after="120" w:line="276" w:lineRule="auto"/>
        <w:ind w:firstLine="720"/>
        <w:jc w:val="both"/>
        <w:rPr>
          <w:u w:val="single"/>
          <w:lang w:eastAsia="lt-LT"/>
        </w:rPr>
      </w:pPr>
      <w:r w:rsidRPr="00C7514B">
        <w:rPr>
          <w:u w:val="single"/>
          <w:lang w:eastAsia="lt-LT"/>
        </w:rPr>
        <w:t>Pacientų praneštos baigtys</w:t>
      </w:r>
    </w:p>
    <w:p w14:paraId="7B9A66BB" w14:textId="77777777" w:rsidR="00132516" w:rsidRPr="00C7514B" w:rsidRDefault="00132516" w:rsidP="00132516">
      <w:pPr>
        <w:spacing w:after="120" w:line="276" w:lineRule="auto"/>
        <w:ind w:firstLine="720"/>
        <w:jc w:val="both"/>
        <w:rPr>
          <w:lang w:eastAsia="lt-LT"/>
        </w:rPr>
      </w:pPr>
      <w:r w:rsidRPr="00C7514B">
        <w:rPr>
          <w:lang w:eastAsia="lt-LT"/>
        </w:rPr>
        <w:lastRenderedPageBreak/>
        <w:t>Vertinant gyvenimo kokybę EQ-5D-5L klausimynu pacientėms, gydytoms pembrolizumabo deriniu su chemoterapija bei kartu su bevacizumabu arba be jo, lyginant su chemoterapija kartu su bevacizumabu arba be jo gydytais pacientais, stebėtas ilgesnis laikas iki kokybės pablogėjimo (santykinė rizika [SR] 0,75; 95% PI: 0,58 – 0,97; nominali p=0,027). Per daugiau kaip 30-ies savaičių stebėjimo laikotarpį didesnei pacienčių, gydytų pembrolizumabo deriniu su chemoterapija bei kartu su bevacizumabu arba be jo, proporcijai, lyginant su chemoterapija kartu su bevacizumabu arba be jo gydytomis pacientėmis, stebėta pagerėjusi arba stabili sveikatos būklė/gyvenimo kokybė (atitinkamai 78,3% versus 71,1%, nominali p=0,033). EORTC QLQ-C30 klausimyno globalios sveikatos būklės rodiklių skirtumai tarp pacienčių grupių reikšmingai nesiskyrė.</w:t>
      </w:r>
    </w:p>
    <w:p w14:paraId="6D641DB9" w14:textId="77777777" w:rsidR="00132516" w:rsidRPr="00C7514B" w:rsidRDefault="00132516" w:rsidP="00132516">
      <w:pPr>
        <w:spacing w:after="120" w:line="276" w:lineRule="auto"/>
        <w:ind w:firstLine="720"/>
        <w:jc w:val="both"/>
        <w:rPr>
          <w:u w:val="single"/>
          <w:lang w:eastAsia="lt-LT"/>
        </w:rPr>
      </w:pPr>
      <w:r w:rsidRPr="00C7514B">
        <w:rPr>
          <w:u w:val="single"/>
          <w:lang w:eastAsia="lt-LT"/>
        </w:rPr>
        <w:t>Nepageidautinai reiškiniai (NR)</w:t>
      </w:r>
    </w:p>
    <w:p w14:paraId="34D543E9" w14:textId="77777777" w:rsidR="00132516" w:rsidRPr="00C7514B" w:rsidRDefault="00132516" w:rsidP="0013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eastAsia="en-GB"/>
        </w:rPr>
      </w:pPr>
      <w:r w:rsidRPr="00C7514B">
        <w:rPr>
          <w:lang w:eastAsia="en-GB"/>
        </w:rPr>
        <w:tab/>
        <w:t xml:space="preserve">3–5 laipsnio nepageidaujamos reakcijos pasireiškė 81,8 % iš 307 gydytų pacientų pembrolizumabo grupėje ir 75,1 % iš 309 gydytų pacientų placebo grupėje. Abiejose grupėse dažniausiai pasitaikančios bet kokio laipsnio nepageidaujamos reakcijos buvo anemija, alopecija ir pykinimas, o 3–5 laipsnio – anemija, neutropenija, sumažėjęs neutrofilų skaičius ir hipertenzija. Saugumo duomenų vertinimas neparodė nežinomų NR atsiradimo, bendra informacija apie NR dažnius yra preparatų charakteristikos santraukoje (EVA). </w:t>
      </w:r>
    </w:p>
    <w:p w14:paraId="749B054D" w14:textId="77777777" w:rsidR="00132516" w:rsidRPr="00C7514B" w:rsidRDefault="00132516" w:rsidP="00132516">
      <w:pPr>
        <w:spacing w:after="120" w:line="276" w:lineRule="auto"/>
        <w:ind w:firstLine="720"/>
        <w:jc w:val="both"/>
        <w:rPr>
          <w:lang w:eastAsia="lt-LT"/>
        </w:rPr>
      </w:pPr>
      <w:r w:rsidRPr="00C7514B">
        <w:rPr>
          <w:lang w:eastAsia="lt-LT"/>
        </w:rPr>
        <w:t xml:space="preserve">Papildomai pateikti ilgalaikio stebėjimo duomenys patvirtino pembrolizumabo derinyje su chemoterapija ir bevacizumabu arba be jo pranašumą palyginus su įprasta klinikine praktika Lietuvoje. Po 24 stebėjimo mėnesių daugiau nei pusė pacientų pembrolizumabo grupėje buvo gyvi (53,5 proc.), o chemoterapijos grupėje išgyvenusių pacientų buvo 39,4 proc. Mirties RS buvo 0,60 (95 proc. PI: 0,49-0,74; P&lt;0,0001) PD-L1 (CPS ≥1) populiacijoje ir 0,63 (95 proc. PI: 0,52-0,77; P&lt;0,0001) ITT populicijoje. Gydymas pembrolizumabu derinyje su chemoterapija išlaiko pranašumą ilgėjant stebėjimo laikotarpiu ir patvirtino pirminės analizės rezultatus. </w:t>
      </w:r>
    </w:p>
    <w:p w14:paraId="7A275BFF" w14:textId="7F8AA828" w:rsidR="00132516" w:rsidRPr="00C7514B" w:rsidRDefault="00132516" w:rsidP="00C7514B">
      <w:pPr>
        <w:spacing w:line="276" w:lineRule="auto"/>
        <w:ind w:firstLine="720"/>
        <w:jc w:val="both"/>
        <w:rPr>
          <w:lang w:eastAsia="lt-LT"/>
        </w:rPr>
      </w:pPr>
      <w:r w:rsidRPr="00C7514B">
        <w:rPr>
          <w:lang w:eastAsia="lt-LT"/>
        </w:rPr>
        <w:t>Apibendrinant, įvertinus klinikinį veiksmingumą ir palyginamąja saugumą</w:t>
      </w:r>
      <w:r w:rsidR="00C7514B" w:rsidRPr="00C7514B">
        <w:rPr>
          <w:lang w:eastAsia="lt-LT"/>
        </w:rPr>
        <w:t>,</w:t>
      </w:r>
      <w:r w:rsidRPr="00C7514B">
        <w:rPr>
          <w:lang w:eastAsia="lt-LT"/>
        </w:rPr>
        <w:t xml:space="preserve"> tikėtina, kad </w:t>
      </w:r>
      <w:r w:rsidRPr="00C7514B">
        <w:rPr>
          <w:lang w:eastAsia="en-GB"/>
        </w:rPr>
        <w:t>pembrolizumabas derinyje su chemoterapija ir bevacizumabu arba be jo skirtas suaugusiųjų persistuojančio, recidyvavusio ar metastazavusio gimdos kaklelio vėžio g</w:t>
      </w:r>
      <w:r w:rsidRPr="00C7514B">
        <w:rPr>
          <w:b/>
          <w:lang w:eastAsia="en-GB"/>
        </w:rPr>
        <w:t>ydymui</w:t>
      </w:r>
      <w:r w:rsidRPr="00C7514B">
        <w:rPr>
          <w:lang w:eastAsia="en-GB"/>
        </w:rPr>
        <w:t>, kai navikai ekspresuoja PD-L1 ir CPS rodmuo yra ≥ 1, sukuria papildomą naudą pacientų sveikatai, lyginant su įprasta klinikine praktika.</w:t>
      </w:r>
    </w:p>
    <w:p w14:paraId="53013DBF" w14:textId="77777777" w:rsidR="00132516" w:rsidRPr="00C7514B" w:rsidRDefault="00132516" w:rsidP="00132516">
      <w:pPr>
        <w:spacing w:line="276" w:lineRule="auto"/>
        <w:rPr>
          <w:rFonts w:eastAsia="Arial"/>
          <w:iCs/>
          <w:lang w:val="en-US" w:eastAsia="en-GB"/>
        </w:rPr>
      </w:pPr>
    </w:p>
    <w:p w14:paraId="7DE09EB5" w14:textId="69E9DD74" w:rsidR="00E03C3F" w:rsidRPr="00C7514B" w:rsidRDefault="00CC7832" w:rsidP="00CC09D4">
      <w:pPr>
        <w:pStyle w:val="ListParagraph"/>
        <w:numPr>
          <w:ilvl w:val="0"/>
          <w:numId w:val="12"/>
        </w:numPr>
        <w:tabs>
          <w:tab w:val="left" w:pos="567"/>
        </w:tabs>
        <w:ind w:hanging="720"/>
        <w:rPr>
          <w:b/>
          <w:bCs/>
          <w:caps/>
        </w:rPr>
      </w:pPr>
      <w:r w:rsidRPr="00C7514B">
        <w:rPr>
          <w:b/>
          <w:bCs/>
          <w:caps/>
        </w:rPr>
        <w:t xml:space="preserve">ekonominio vertinimo </w:t>
      </w:r>
      <w:r w:rsidR="002F0E4F" w:rsidRPr="00C7514B">
        <w:rPr>
          <w:b/>
          <w:bCs/>
          <w:caps/>
        </w:rPr>
        <w:t>apibendrinimas</w:t>
      </w:r>
    </w:p>
    <w:p w14:paraId="17918A3B" w14:textId="77777777" w:rsidR="002974DA" w:rsidRPr="00C7514B" w:rsidRDefault="002974DA" w:rsidP="002E6F80">
      <w:pPr>
        <w:tabs>
          <w:tab w:val="left" w:pos="284"/>
        </w:tabs>
        <w:rPr>
          <w:i/>
          <w:sz w:val="22"/>
          <w:szCs w:val="22"/>
        </w:rPr>
      </w:pPr>
    </w:p>
    <w:p w14:paraId="1D43ABB6" w14:textId="77777777" w:rsidR="002974DA" w:rsidRPr="00C7514B" w:rsidRDefault="002974DA" w:rsidP="002974DA">
      <w:pPr>
        <w:shd w:val="clear" w:color="auto" w:fill="FFFFFF"/>
        <w:spacing w:line="276" w:lineRule="auto"/>
        <w:rPr>
          <w:lang w:eastAsia="lt-LT"/>
        </w:rPr>
      </w:pPr>
      <w:r w:rsidRPr="00C7514B">
        <w:rPr>
          <w:rFonts w:eastAsia="Arial"/>
        </w:rPr>
        <w:t xml:space="preserve">Pateikta kaštų naudingumo analizė, nagrinėjant suaugusius pacientus, sergančius persistuojančiu, recidyvavusiu ar metastazavusiu gimdos kaklelio vėžiu, kai navikas </w:t>
      </w:r>
      <w:r w:rsidRPr="00C7514B">
        <w:rPr>
          <w:lang w:eastAsia="lt-LT"/>
        </w:rPr>
        <w:t xml:space="preserve">ekspresuoja PD-L1 ir CPS rodmuo yra ≥ 1. Ši pacientų populiacija atitinka KEYNOTE-826 tyrimo populiaciją. </w:t>
      </w:r>
    </w:p>
    <w:p w14:paraId="481F3105" w14:textId="77777777" w:rsidR="002974DA" w:rsidRPr="00C7514B" w:rsidRDefault="002974DA" w:rsidP="002974DA">
      <w:pPr>
        <w:shd w:val="clear" w:color="auto" w:fill="FFFFFF"/>
        <w:spacing w:line="276" w:lineRule="auto"/>
        <w:rPr>
          <w:lang w:eastAsia="lt-LT"/>
        </w:rPr>
      </w:pPr>
      <w:r w:rsidRPr="00C7514B">
        <w:rPr>
          <w:lang w:eastAsia="lt-LT"/>
        </w:rPr>
        <w:t>Analizėje yra lyginamas keytruda (pembrolizumabas) kaštų naudingumas, palyginus su Lietuvos įprasta klinikine praktika: bevacizumabo, paklitakselio, cisplatinos (karboplatinos) derinys bei pakltikselio cisplatinos (karboplatinos) derinys.</w:t>
      </w:r>
    </w:p>
    <w:p w14:paraId="6FA866BA" w14:textId="77777777" w:rsidR="002974DA" w:rsidRPr="00C7514B" w:rsidRDefault="002974DA" w:rsidP="002974DA">
      <w:pPr>
        <w:shd w:val="clear" w:color="auto" w:fill="FFFFFF"/>
        <w:spacing w:line="276" w:lineRule="auto"/>
        <w:rPr>
          <w:lang w:eastAsia="lt-LT"/>
        </w:rPr>
      </w:pPr>
      <w:r w:rsidRPr="00C7514B">
        <w:rPr>
          <w:lang w:eastAsia="lt-LT"/>
        </w:rPr>
        <w:t>Tarnyba po išsamaus vertinimo kreipėsi į Pareiškėją, nurodydama, jog:</w:t>
      </w:r>
    </w:p>
    <w:p w14:paraId="2A79EC93" w14:textId="77777777" w:rsidR="002974DA" w:rsidRPr="00C7514B" w:rsidRDefault="002974DA" w:rsidP="002974DA">
      <w:pPr>
        <w:numPr>
          <w:ilvl w:val="0"/>
          <w:numId w:val="14"/>
        </w:numPr>
        <w:spacing w:line="276" w:lineRule="auto"/>
        <w:contextualSpacing/>
        <w:jc w:val="both"/>
        <w:rPr>
          <w:szCs w:val="20"/>
        </w:rPr>
      </w:pPr>
      <w:r w:rsidRPr="00C7514B">
        <w:rPr>
          <w:szCs w:val="20"/>
        </w:rPr>
        <w:t>Atliekant ekonominės analizės detalųjį vertinimą susidaro įspūdis, kad paraiškoje aprašytų įrodymų ir ekonominiame modelyje taikomų duomenų brandos lygis skiriasi – panašu, kad ekonominiame modelyje naudojamos Kaplano-Mejerio kreivės yra gautos iš tarpinių KEYNOTE-826 klinikinio tyrimo duomenų pjūvio vertinamųjų baigčių rezultatų. Prašome (taip pat ir atsižvelgiant į klinikinės dalies 1 klausimą) atnaujinti ekonominį modelį pritaikant naujausio duomenų pjūvio vertinamųjų baigčių duomenis ir atitinkamai atnaujinti ekonominės analizės rezultatus. Pareiškėjas į šią pastabą atsižvelgė.</w:t>
      </w:r>
    </w:p>
    <w:p w14:paraId="227598BF" w14:textId="77777777" w:rsidR="002974DA" w:rsidRPr="00C7514B" w:rsidRDefault="002974DA" w:rsidP="002974DA">
      <w:pPr>
        <w:numPr>
          <w:ilvl w:val="0"/>
          <w:numId w:val="14"/>
        </w:numPr>
        <w:spacing w:line="276" w:lineRule="auto"/>
        <w:contextualSpacing/>
        <w:jc w:val="both"/>
        <w:rPr>
          <w:szCs w:val="20"/>
        </w:rPr>
      </w:pPr>
      <w:r w:rsidRPr="00C7514B">
        <w:rPr>
          <w:lang w:eastAsia="lt-LT"/>
        </w:rPr>
        <w:lastRenderedPageBreak/>
        <w:t xml:space="preserve">Ekonominėje analizėje yra pateikti du modeliavimo pasirinkimai: išskaidyto išgyvenamumo kohortos modelis (angl. </w:t>
      </w:r>
      <w:r w:rsidRPr="00C7514B">
        <w:rPr>
          <w:i/>
          <w:iCs/>
          <w:lang w:eastAsia="lt-LT"/>
        </w:rPr>
        <w:t>Partitioned Survival Analysis (PartSA)</w:t>
      </w:r>
      <w:r w:rsidRPr="00C7514B">
        <w:rPr>
          <w:lang w:eastAsia="lt-LT"/>
        </w:rPr>
        <w:t xml:space="preserve">) arba pusiau-Markovo būklių perėjimo modelis (angl. </w:t>
      </w:r>
      <w:r w:rsidRPr="00C7514B">
        <w:rPr>
          <w:i/>
          <w:iCs/>
          <w:lang w:eastAsia="lt-LT"/>
        </w:rPr>
        <w:t>semi-Markov State Transition Model (STM)</w:t>
      </w:r>
      <w:r w:rsidRPr="00C7514B">
        <w:rPr>
          <w:lang w:eastAsia="lt-LT"/>
        </w:rPr>
        <w:t>). Tarnybos nuomone</w:t>
      </w:r>
      <w:r w:rsidRPr="00C7514B">
        <w:rPr>
          <w:szCs w:val="20"/>
        </w:rPr>
        <w:t>, pareiškėjo pagrindinio atvejo analizėje taikomas pusiau Markovo būklių perėjimo modelio tipas lemia reikšmingus ekonominėje analizėje modeliuojamo sukuriamų papildomų gyvenimo metų neapibrėžtumus (plačiau aprašyta klausimuose dėl ekonominės vertinimo dalies).</w:t>
      </w:r>
      <w:r w:rsidRPr="00C7514B">
        <w:rPr>
          <w:lang w:eastAsia="lt-LT"/>
        </w:rPr>
        <w:t xml:space="preserve"> Ekonominės analizės pagrindinio atvejo analizėje pasirenkamas STM modeliavimo metodas.</w:t>
      </w:r>
    </w:p>
    <w:p w14:paraId="1471ACF5" w14:textId="77777777" w:rsidR="002974DA" w:rsidRPr="00C7514B" w:rsidRDefault="002974DA" w:rsidP="002974DA">
      <w:pPr>
        <w:spacing w:line="276" w:lineRule="auto"/>
        <w:contextualSpacing/>
        <w:jc w:val="both"/>
        <w:rPr>
          <w:szCs w:val="20"/>
        </w:rPr>
      </w:pPr>
      <w:r w:rsidRPr="00C7514B">
        <w:rPr>
          <w:lang w:eastAsia="lt-LT"/>
        </w:rPr>
        <w:t>Vertinant nustatyta, jog referencinė kaštų naudingumo vertė yra 119 010 eur/QALY, ir ši vertė nėra viršijama nei pagrindinio atvejo analizėje, nei jautrumo analizėje. Laikoma, jog gydymas pembrolizumabu yra kaštams naudingas.</w:t>
      </w:r>
    </w:p>
    <w:p w14:paraId="2FC05D7E" w14:textId="3262E901" w:rsidR="002E6F80" w:rsidRPr="00C7514B" w:rsidRDefault="00937907" w:rsidP="002E6F80">
      <w:pPr>
        <w:tabs>
          <w:tab w:val="left" w:pos="284"/>
        </w:tabs>
        <w:rPr>
          <w:bCs/>
          <w:i/>
          <w:caps/>
          <w:sz w:val="22"/>
          <w:szCs w:val="22"/>
        </w:rPr>
      </w:pPr>
      <w:r w:rsidRPr="00C7514B">
        <w:rPr>
          <w:i/>
          <w:sz w:val="22"/>
          <w:szCs w:val="22"/>
        </w:rPr>
        <w:t>.</w:t>
      </w:r>
      <w:r w:rsidR="002E6F80" w:rsidRPr="00C7514B">
        <w:rPr>
          <w:bCs/>
          <w:i/>
          <w:caps/>
          <w:sz w:val="22"/>
          <w:szCs w:val="22"/>
        </w:rPr>
        <w:t xml:space="preserve"> </w:t>
      </w:r>
    </w:p>
    <w:p w14:paraId="1A900598" w14:textId="4826E5DF" w:rsidR="00C62B36" w:rsidRPr="00C7514B" w:rsidRDefault="00C62B36" w:rsidP="00A93AA6">
      <w:pPr>
        <w:tabs>
          <w:tab w:val="left" w:pos="426"/>
        </w:tabs>
        <w:rPr>
          <w:b/>
          <w:bCs/>
          <w:caps/>
        </w:rPr>
      </w:pPr>
    </w:p>
    <w:p w14:paraId="174D84D7" w14:textId="2A98EE7C" w:rsidR="0035172D" w:rsidRPr="00C7514B" w:rsidRDefault="0035172D" w:rsidP="00A93AA6">
      <w:pPr>
        <w:tabs>
          <w:tab w:val="left" w:pos="426"/>
        </w:tabs>
        <w:rPr>
          <w:b/>
          <w:lang w:eastAsia="lt-LT"/>
        </w:rPr>
      </w:pPr>
      <w:r w:rsidRPr="00C7514B">
        <w:rPr>
          <w:b/>
          <w:lang w:eastAsia="lt-LT"/>
        </w:rPr>
        <w:t>Ekonominės analizės rezultatas</w:t>
      </w:r>
    </w:p>
    <w:p w14:paraId="4801D227" w14:textId="77777777" w:rsidR="009E44AE" w:rsidRPr="00C7514B"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C7514B" w:rsidRPr="00C7514B"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C7514B" w:rsidRDefault="009E44AE" w:rsidP="009E44AE">
            <w:pPr>
              <w:tabs>
                <w:tab w:val="left" w:pos="567"/>
              </w:tabs>
              <w:jc w:val="center"/>
              <w:rPr>
                <w:b/>
                <w:bCs/>
                <w:sz w:val="26"/>
                <w:szCs w:val="26"/>
                <w:lang w:eastAsia="lt-LT"/>
              </w:rPr>
            </w:pPr>
            <w:r w:rsidRPr="00C7514B">
              <w:rPr>
                <w:b/>
                <w:bCs/>
                <w:sz w:val="26"/>
                <w:szCs w:val="26"/>
                <w:lang w:eastAsia="lt-LT"/>
              </w:rPr>
              <w:t>Rezultatai</w:t>
            </w:r>
          </w:p>
        </w:tc>
      </w:tr>
      <w:tr w:rsidR="00C7514B" w:rsidRPr="00C7514B" w14:paraId="319AF392" w14:textId="77777777" w:rsidTr="00BE7489">
        <w:trPr>
          <w:trHeight w:val="267"/>
          <w:jc w:val="center"/>
        </w:trPr>
        <w:tc>
          <w:tcPr>
            <w:tcW w:w="6200" w:type="dxa"/>
            <w:tcBorders>
              <w:left w:val="single" w:sz="4" w:space="0" w:color="auto"/>
            </w:tcBorders>
          </w:tcPr>
          <w:p w14:paraId="44CD8D27" w14:textId="27245A0B" w:rsidR="00BA5DBC" w:rsidRPr="00C7514B" w:rsidRDefault="00BA5DBC" w:rsidP="00BA5DBC">
            <w:pPr>
              <w:tabs>
                <w:tab w:val="left" w:pos="567"/>
              </w:tabs>
              <w:jc w:val="right"/>
              <w:rPr>
                <w:iCs/>
                <w:lang w:eastAsia="lt-LT"/>
              </w:rPr>
            </w:pPr>
            <w:r w:rsidRPr="00C7514B">
              <w:rPr>
                <w:iCs/>
                <w:lang w:eastAsia="lt-LT"/>
              </w:rPr>
              <w:t>Kaštų skirtumas</w:t>
            </w:r>
          </w:p>
        </w:tc>
        <w:tc>
          <w:tcPr>
            <w:tcW w:w="3238" w:type="dxa"/>
            <w:tcBorders>
              <w:right w:val="single" w:sz="4" w:space="0" w:color="auto"/>
            </w:tcBorders>
          </w:tcPr>
          <w:p w14:paraId="1CACF0B4" w14:textId="516EF69B" w:rsidR="00BA5DBC" w:rsidRPr="00C7514B" w:rsidRDefault="002974DA" w:rsidP="00BA5DBC">
            <w:pPr>
              <w:tabs>
                <w:tab w:val="left" w:pos="567"/>
              </w:tabs>
              <w:jc w:val="both"/>
              <w:rPr>
                <w:i/>
                <w:iCs/>
                <w:lang w:eastAsia="lt-LT"/>
              </w:rPr>
            </w:pPr>
            <w:r w:rsidRPr="00C7514B">
              <w:rPr>
                <w:i/>
                <w:iCs/>
                <w:lang w:eastAsia="lt-LT"/>
              </w:rPr>
              <w:t>eur</w:t>
            </w:r>
          </w:p>
        </w:tc>
      </w:tr>
      <w:tr w:rsidR="00C7514B" w:rsidRPr="00C7514B" w14:paraId="49F818A3" w14:textId="77777777" w:rsidTr="00BE7489">
        <w:trPr>
          <w:trHeight w:val="267"/>
          <w:jc w:val="center"/>
        </w:trPr>
        <w:tc>
          <w:tcPr>
            <w:tcW w:w="6200" w:type="dxa"/>
            <w:tcBorders>
              <w:left w:val="single" w:sz="4" w:space="0" w:color="auto"/>
            </w:tcBorders>
          </w:tcPr>
          <w:p w14:paraId="021DB925" w14:textId="389F1BF5" w:rsidR="00BA5DBC" w:rsidRPr="00C7514B" w:rsidRDefault="00BA5DBC" w:rsidP="00BA5DBC">
            <w:pPr>
              <w:tabs>
                <w:tab w:val="left" w:pos="567"/>
              </w:tabs>
              <w:jc w:val="right"/>
              <w:rPr>
                <w:iCs/>
                <w:lang w:eastAsia="lt-LT"/>
              </w:rPr>
            </w:pPr>
            <w:r w:rsidRPr="00C7514B">
              <w:rPr>
                <w:iCs/>
                <w:lang w:eastAsia="lt-LT"/>
              </w:rPr>
              <w:t>Papildomi gyvenimo metai (LY)</w:t>
            </w:r>
          </w:p>
        </w:tc>
        <w:tc>
          <w:tcPr>
            <w:tcW w:w="3238" w:type="dxa"/>
            <w:tcBorders>
              <w:right w:val="single" w:sz="4" w:space="0" w:color="auto"/>
            </w:tcBorders>
          </w:tcPr>
          <w:p w14:paraId="4954817B" w14:textId="55E52B06" w:rsidR="00BA5DBC" w:rsidRPr="00C7514B" w:rsidRDefault="002974DA" w:rsidP="00BA5DBC">
            <w:pPr>
              <w:tabs>
                <w:tab w:val="left" w:pos="567"/>
              </w:tabs>
              <w:jc w:val="both"/>
              <w:rPr>
                <w:i/>
                <w:iCs/>
                <w:lang w:eastAsia="lt-LT"/>
              </w:rPr>
            </w:pPr>
            <w:r w:rsidRPr="00C7514B">
              <w:rPr>
                <w:i/>
                <w:iCs/>
                <w:lang w:eastAsia="lt-LT"/>
              </w:rPr>
              <w:t xml:space="preserve"> LY</w:t>
            </w:r>
          </w:p>
        </w:tc>
      </w:tr>
      <w:tr w:rsidR="00C7514B" w:rsidRPr="00C7514B" w14:paraId="20ADA742" w14:textId="77777777" w:rsidTr="00BE7489">
        <w:trPr>
          <w:trHeight w:val="267"/>
          <w:jc w:val="center"/>
        </w:trPr>
        <w:tc>
          <w:tcPr>
            <w:tcW w:w="6200" w:type="dxa"/>
            <w:tcBorders>
              <w:left w:val="single" w:sz="4" w:space="0" w:color="auto"/>
            </w:tcBorders>
          </w:tcPr>
          <w:p w14:paraId="0F567576" w14:textId="2606A2E9" w:rsidR="00BA5DBC" w:rsidRPr="00C7514B" w:rsidRDefault="0058712F" w:rsidP="00BA5DBC">
            <w:pPr>
              <w:tabs>
                <w:tab w:val="left" w:pos="567"/>
              </w:tabs>
              <w:jc w:val="right"/>
              <w:rPr>
                <w:iCs/>
                <w:lang w:eastAsia="lt-LT"/>
              </w:rPr>
            </w:pPr>
            <w:r w:rsidRPr="00C7514B">
              <w:rPr>
                <w:iCs/>
                <w:lang w:eastAsia="lt-LT"/>
              </w:rPr>
              <w:t>Papildomi k</w:t>
            </w:r>
            <w:r w:rsidR="00BA5DBC" w:rsidRPr="00C7514B">
              <w:rPr>
                <w:iCs/>
                <w:lang w:eastAsia="lt-LT"/>
              </w:rPr>
              <w:t>okybiški gyvenimo metai (QALY)</w:t>
            </w:r>
          </w:p>
        </w:tc>
        <w:tc>
          <w:tcPr>
            <w:tcW w:w="3238" w:type="dxa"/>
            <w:tcBorders>
              <w:right w:val="single" w:sz="4" w:space="0" w:color="auto"/>
            </w:tcBorders>
          </w:tcPr>
          <w:p w14:paraId="02E4DAE1" w14:textId="72552694" w:rsidR="00BA5DBC" w:rsidRPr="00C7514B" w:rsidRDefault="002974DA" w:rsidP="00BA5DBC">
            <w:pPr>
              <w:tabs>
                <w:tab w:val="left" w:pos="567"/>
              </w:tabs>
              <w:jc w:val="both"/>
              <w:rPr>
                <w:i/>
                <w:iCs/>
                <w:lang w:eastAsia="lt-LT"/>
              </w:rPr>
            </w:pPr>
            <w:r w:rsidRPr="00C7514B">
              <w:rPr>
                <w:i/>
                <w:iCs/>
                <w:lang w:eastAsia="lt-LT"/>
              </w:rPr>
              <w:t xml:space="preserve"> QALY</w:t>
            </w:r>
          </w:p>
        </w:tc>
      </w:tr>
      <w:tr w:rsidR="00C7514B" w:rsidRPr="00C7514B" w14:paraId="1FADA2B3" w14:textId="77777777" w:rsidTr="00BE7489">
        <w:trPr>
          <w:trHeight w:val="267"/>
          <w:jc w:val="center"/>
        </w:trPr>
        <w:tc>
          <w:tcPr>
            <w:tcW w:w="6200" w:type="dxa"/>
            <w:tcBorders>
              <w:left w:val="single" w:sz="4" w:space="0" w:color="auto"/>
            </w:tcBorders>
          </w:tcPr>
          <w:p w14:paraId="13E089E8" w14:textId="0BCEB339" w:rsidR="00BA5DBC" w:rsidRPr="00C7514B" w:rsidRDefault="00BA5DBC" w:rsidP="009E44AE">
            <w:pPr>
              <w:tabs>
                <w:tab w:val="left" w:pos="567"/>
              </w:tabs>
              <w:jc w:val="right"/>
              <w:rPr>
                <w:iCs/>
                <w:lang w:eastAsia="lt-LT"/>
              </w:rPr>
            </w:pPr>
            <w:r w:rsidRPr="00C7514B">
              <w:rPr>
                <w:iCs/>
                <w:lang w:eastAsia="lt-LT"/>
              </w:rPr>
              <w:t>ICER už LY</w:t>
            </w:r>
          </w:p>
        </w:tc>
        <w:tc>
          <w:tcPr>
            <w:tcW w:w="3238" w:type="dxa"/>
            <w:tcBorders>
              <w:right w:val="single" w:sz="4" w:space="0" w:color="auto"/>
            </w:tcBorders>
          </w:tcPr>
          <w:p w14:paraId="2817448D" w14:textId="28F77B84" w:rsidR="00BA5DBC" w:rsidRPr="00C7514B" w:rsidRDefault="002974DA" w:rsidP="009E44AE">
            <w:pPr>
              <w:tabs>
                <w:tab w:val="left" w:pos="567"/>
              </w:tabs>
              <w:jc w:val="both"/>
              <w:rPr>
                <w:i/>
                <w:iCs/>
                <w:lang w:eastAsia="lt-LT"/>
              </w:rPr>
            </w:pPr>
            <w:r w:rsidRPr="00C7514B">
              <w:rPr>
                <w:i/>
                <w:iCs/>
                <w:lang w:eastAsia="lt-LT"/>
              </w:rPr>
              <w:t>eur/LY</w:t>
            </w:r>
          </w:p>
        </w:tc>
      </w:tr>
      <w:tr w:rsidR="00C7514B" w:rsidRPr="00C7514B" w14:paraId="250DE960" w14:textId="77777777" w:rsidTr="00BE7489">
        <w:trPr>
          <w:trHeight w:val="267"/>
          <w:jc w:val="center"/>
        </w:trPr>
        <w:tc>
          <w:tcPr>
            <w:tcW w:w="6200" w:type="dxa"/>
            <w:tcBorders>
              <w:left w:val="single" w:sz="4" w:space="0" w:color="auto"/>
            </w:tcBorders>
          </w:tcPr>
          <w:p w14:paraId="207EFB23" w14:textId="77777777" w:rsidR="009E44AE" w:rsidRPr="00C7514B" w:rsidRDefault="009E44AE" w:rsidP="009E44AE">
            <w:pPr>
              <w:tabs>
                <w:tab w:val="left" w:pos="567"/>
              </w:tabs>
              <w:jc w:val="right"/>
              <w:rPr>
                <w:iCs/>
                <w:lang w:eastAsia="lt-LT"/>
              </w:rPr>
            </w:pPr>
            <w:r w:rsidRPr="00C7514B">
              <w:rPr>
                <w:iCs/>
                <w:lang w:eastAsia="lt-LT"/>
              </w:rPr>
              <w:t>ICER už QALY</w:t>
            </w:r>
          </w:p>
        </w:tc>
        <w:tc>
          <w:tcPr>
            <w:tcW w:w="3238" w:type="dxa"/>
            <w:tcBorders>
              <w:right w:val="single" w:sz="4" w:space="0" w:color="auto"/>
            </w:tcBorders>
          </w:tcPr>
          <w:p w14:paraId="4275320D" w14:textId="394A3D50" w:rsidR="009E44AE" w:rsidRPr="00C7514B" w:rsidRDefault="002974DA" w:rsidP="009E44AE">
            <w:pPr>
              <w:tabs>
                <w:tab w:val="left" w:pos="567"/>
              </w:tabs>
              <w:jc w:val="both"/>
              <w:rPr>
                <w:i/>
                <w:iCs/>
                <w:lang w:eastAsia="lt-LT"/>
              </w:rPr>
            </w:pPr>
            <w:r w:rsidRPr="00C7514B">
              <w:rPr>
                <w:i/>
                <w:iCs/>
                <w:lang w:eastAsia="lt-LT"/>
              </w:rPr>
              <w:t>eur/QALY</w:t>
            </w:r>
          </w:p>
        </w:tc>
      </w:tr>
      <w:tr w:rsidR="00C7514B" w:rsidRPr="00C7514B"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C7514B" w:rsidRDefault="009E44AE" w:rsidP="009E44AE">
            <w:pPr>
              <w:tabs>
                <w:tab w:val="left" w:pos="567"/>
              </w:tabs>
              <w:jc w:val="right"/>
              <w:rPr>
                <w:iCs/>
                <w:lang w:eastAsia="lt-LT"/>
              </w:rPr>
            </w:pPr>
            <w:r w:rsidRPr="00C7514B">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263C2508" w:rsidR="009E44AE" w:rsidRPr="00C7514B" w:rsidRDefault="002974DA" w:rsidP="009E44AE">
            <w:pPr>
              <w:tabs>
                <w:tab w:val="left" w:pos="567"/>
              </w:tabs>
              <w:jc w:val="both"/>
              <w:rPr>
                <w:i/>
                <w:iCs/>
                <w:lang w:eastAsia="lt-LT"/>
              </w:rPr>
            </w:pPr>
            <w:r w:rsidRPr="00C7514B">
              <w:rPr>
                <w:i/>
                <w:iCs/>
                <w:lang w:eastAsia="lt-LT"/>
              </w:rPr>
              <w:t>119 010 eur/QALY</w:t>
            </w:r>
          </w:p>
        </w:tc>
      </w:tr>
    </w:tbl>
    <w:p w14:paraId="5FC8C737" w14:textId="4136B7F4" w:rsidR="0035172D" w:rsidRPr="00C7514B" w:rsidRDefault="00E5102E" w:rsidP="0035172D">
      <w:pPr>
        <w:tabs>
          <w:tab w:val="left" w:pos="567"/>
        </w:tabs>
        <w:jc w:val="both"/>
        <w:rPr>
          <w:iCs/>
          <w:sz w:val="20"/>
          <w:lang w:eastAsia="lt-LT"/>
        </w:rPr>
      </w:pPr>
      <w:r w:rsidRPr="00C7514B">
        <w:rPr>
          <w:iCs/>
          <w:sz w:val="20"/>
          <w:lang w:eastAsia="lt-LT"/>
        </w:rPr>
        <w:t xml:space="preserve">ICER </w:t>
      </w:r>
      <w:r w:rsidR="00453862" w:rsidRPr="00C7514B">
        <w:rPr>
          <w:iCs/>
          <w:sz w:val="20"/>
          <w:lang w:eastAsia="lt-LT"/>
        </w:rPr>
        <w:t>– (</w:t>
      </w:r>
      <w:r w:rsidR="00453862" w:rsidRPr="00C7514B">
        <w:rPr>
          <w:i/>
          <w:sz w:val="20"/>
          <w:lang w:eastAsia="lt-LT"/>
        </w:rPr>
        <w:t>angl. incremental cost-effectiveness ratio</w:t>
      </w:r>
      <w:r w:rsidR="00453862" w:rsidRPr="00C7514B">
        <w:rPr>
          <w:iCs/>
          <w:sz w:val="20"/>
          <w:lang w:eastAsia="lt-LT"/>
        </w:rPr>
        <w:t>) inkrementinis kaštų naudingumo koeficientas</w:t>
      </w:r>
      <w:r w:rsidRPr="00C7514B">
        <w:rPr>
          <w:iCs/>
          <w:sz w:val="20"/>
          <w:lang w:eastAsia="lt-LT"/>
        </w:rPr>
        <w:t>; LY –</w:t>
      </w:r>
      <w:r w:rsidR="00453862" w:rsidRPr="00C7514B">
        <w:rPr>
          <w:iCs/>
          <w:sz w:val="20"/>
          <w:lang w:eastAsia="lt-LT"/>
        </w:rPr>
        <w:t xml:space="preserve"> (</w:t>
      </w:r>
      <w:r w:rsidR="00453862" w:rsidRPr="00C7514B">
        <w:rPr>
          <w:i/>
          <w:sz w:val="20"/>
          <w:lang w:eastAsia="lt-LT"/>
        </w:rPr>
        <w:t>angl. life years</w:t>
      </w:r>
      <w:r w:rsidR="00453862" w:rsidRPr="00C7514B">
        <w:rPr>
          <w:iCs/>
          <w:sz w:val="20"/>
          <w:lang w:eastAsia="lt-LT"/>
        </w:rPr>
        <w:t>) gyvenimo metai</w:t>
      </w:r>
      <w:r w:rsidRPr="00C7514B">
        <w:rPr>
          <w:iCs/>
          <w:sz w:val="20"/>
          <w:lang w:eastAsia="lt-LT"/>
        </w:rPr>
        <w:t xml:space="preserve">; QALY- </w:t>
      </w:r>
      <w:r w:rsidR="00453862" w:rsidRPr="00C7514B">
        <w:rPr>
          <w:iCs/>
          <w:sz w:val="20"/>
          <w:lang w:eastAsia="lt-LT"/>
        </w:rPr>
        <w:t>(</w:t>
      </w:r>
      <w:r w:rsidR="00453862" w:rsidRPr="00C7514B">
        <w:rPr>
          <w:i/>
          <w:sz w:val="20"/>
          <w:lang w:eastAsia="lt-LT"/>
        </w:rPr>
        <w:t xml:space="preserve">angl. quality adjusted life years) </w:t>
      </w:r>
      <w:r w:rsidR="00453862" w:rsidRPr="00C7514B">
        <w:rPr>
          <w:iCs/>
          <w:sz w:val="20"/>
          <w:lang w:eastAsia="lt-LT"/>
        </w:rPr>
        <w:t>kokybiški gyvenimo metai.</w:t>
      </w:r>
    </w:p>
    <w:p w14:paraId="33875138" w14:textId="77777777" w:rsidR="0035172D" w:rsidRPr="00C7514B" w:rsidRDefault="0035172D" w:rsidP="00A93AA6">
      <w:pPr>
        <w:tabs>
          <w:tab w:val="left" w:pos="426"/>
        </w:tabs>
        <w:rPr>
          <w:b/>
          <w:bCs/>
          <w:caps/>
        </w:rPr>
      </w:pPr>
    </w:p>
    <w:p w14:paraId="4FC424F9" w14:textId="4E767245" w:rsidR="00C62B36" w:rsidRPr="00C7514B" w:rsidRDefault="00C62B36" w:rsidP="00CC09D4">
      <w:pPr>
        <w:pStyle w:val="ListParagraph"/>
        <w:numPr>
          <w:ilvl w:val="0"/>
          <w:numId w:val="12"/>
        </w:numPr>
        <w:tabs>
          <w:tab w:val="left" w:pos="567"/>
        </w:tabs>
        <w:ind w:hanging="720"/>
        <w:rPr>
          <w:b/>
          <w:bCs/>
          <w:caps/>
        </w:rPr>
      </w:pPr>
      <w:r w:rsidRPr="00C7514B">
        <w:rPr>
          <w:b/>
          <w:bCs/>
          <w:caps/>
        </w:rPr>
        <w:t xml:space="preserve">Pacientų organizacijų pateikti duomenys </w:t>
      </w:r>
    </w:p>
    <w:p w14:paraId="79BCFF40" w14:textId="1992DF4A" w:rsidR="00937907" w:rsidRPr="00C7514B" w:rsidRDefault="00A53073"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C7514B">
            <w:rPr>
              <w:rStyle w:val="Style2"/>
              <w:rFonts w:ascii="MS Gothic" w:eastAsia="MS Gothic" w:hAnsi="MS Gothic" w:hint="eastAsia"/>
              <w:sz w:val="24"/>
            </w:rPr>
            <w:t>☐</w:t>
          </w:r>
        </w:sdtContent>
      </w:sdt>
      <w:r w:rsidR="00937907" w:rsidRPr="00C7514B">
        <w:t xml:space="preserve"> Pacientų organizacijos pozicija pateikta. Žr. priedą.</w:t>
      </w:r>
    </w:p>
    <w:p w14:paraId="62992180" w14:textId="59C2738D" w:rsidR="00937907" w:rsidRPr="00C7514B" w:rsidRDefault="00A53073"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25686E" w:rsidRPr="00C7514B">
            <w:rPr>
              <w:rStyle w:val="Style2"/>
              <w:rFonts w:ascii="MS Gothic" w:eastAsia="MS Gothic" w:hAnsi="MS Gothic" w:hint="eastAsia"/>
              <w:sz w:val="24"/>
            </w:rPr>
            <w:t>☒</w:t>
          </w:r>
        </w:sdtContent>
      </w:sdt>
      <w:r w:rsidR="00937907" w:rsidRPr="00C7514B">
        <w:t xml:space="preserve"> Pacientų organizacijos pozicija </w:t>
      </w:r>
      <w:r w:rsidR="00880A44" w:rsidRPr="00C7514B">
        <w:t>ne</w:t>
      </w:r>
      <w:r w:rsidR="00937907" w:rsidRPr="00C7514B">
        <w:t>pateikta.</w:t>
      </w:r>
    </w:p>
    <w:p w14:paraId="03E73D82" w14:textId="77777777" w:rsidR="00D417D2" w:rsidRPr="00C7514B" w:rsidRDefault="00D417D2" w:rsidP="00937907">
      <w:pPr>
        <w:spacing w:after="120"/>
        <w:jc w:val="both"/>
      </w:pPr>
    </w:p>
    <w:p w14:paraId="3D3277FA" w14:textId="3CEEB2D2" w:rsidR="00C62B36" w:rsidRPr="00C7514B" w:rsidRDefault="00C62B36" w:rsidP="00CC09D4">
      <w:pPr>
        <w:pStyle w:val="ListParagraph"/>
        <w:numPr>
          <w:ilvl w:val="0"/>
          <w:numId w:val="12"/>
        </w:numPr>
        <w:tabs>
          <w:tab w:val="left" w:pos="567"/>
        </w:tabs>
        <w:ind w:hanging="720"/>
        <w:rPr>
          <w:b/>
          <w:bCs/>
          <w:caps/>
        </w:rPr>
      </w:pPr>
      <w:r w:rsidRPr="00C7514B">
        <w:rPr>
          <w:b/>
          <w:bCs/>
          <w:caps/>
        </w:rPr>
        <w:t>Gydytojų organizacijų pateikti duomenys</w:t>
      </w:r>
    </w:p>
    <w:p w14:paraId="389A346C" w14:textId="76AF6364" w:rsidR="00937907" w:rsidRPr="00C7514B" w:rsidRDefault="00A53073"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25686E" w:rsidRPr="00C7514B">
            <w:rPr>
              <w:rStyle w:val="Style2"/>
              <w:rFonts w:ascii="MS Gothic" w:eastAsia="MS Gothic" w:hAnsi="MS Gothic" w:hint="eastAsia"/>
              <w:sz w:val="24"/>
            </w:rPr>
            <w:t>☒</w:t>
          </w:r>
        </w:sdtContent>
      </w:sdt>
      <w:r w:rsidR="00662983" w:rsidRPr="00C7514B">
        <w:t xml:space="preserve"> </w:t>
      </w:r>
      <w:r w:rsidR="00937907" w:rsidRPr="00C7514B">
        <w:t xml:space="preserve">Gydytojų specialistų organizacijos pozicija pateikta. </w:t>
      </w:r>
      <w:r w:rsidR="00662983" w:rsidRPr="00C7514B">
        <w:t>Žr. priedą</w:t>
      </w:r>
      <w:r w:rsidR="00937907" w:rsidRPr="00C7514B">
        <w:t>.</w:t>
      </w:r>
    </w:p>
    <w:p w14:paraId="5D8CC48C" w14:textId="7AA56ADF" w:rsidR="00662983" w:rsidRPr="00C7514B" w:rsidRDefault="00A53073"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C7514B">
            <w:rPr>
              <w:rStyle w:val="Style2"/>
              <w:rFonts w:ascii="MS Gothic" w:eastAsia="MS Gothic" w:hAnsi="MS Gothic" w:hint="eastAsia"/>
              <w:sz w:val="24"/>
            </w:rPr>
            <w:t>☐</w:t>
          </w:r>
        </w:sdtContent>
      </w:sdt>
      <w:r w:rsidR="00662983" w:rsidRPr="00C7514B">
        <w:t xml:space="preserve"> </w:t>
      </w:r>
      <w:r w:rsidR="00937907" w:rsidRPr="00C7514B">
        <w:t xml:space="preserve">Gydytojų specialistų organizacijos pozicija </w:t>
      </w:r>
      <w:r w:rsidR="00880A44" w:rsidRPr="00C7514B">
        <w:t>ne</w:t>
      </w:r>
      <w:r w:rsidR="00937907" w:rsidRPr="00C7514B">
        <w:t>pateikta.</w:t>
      </w:r>
    </w:p>
    <w:p w14:paraId="3701D46A" w14:textId="77777777" w:rsidR="00A042B9" w:rsidRPr="00C7514B" w:rsidRDefault="00A042B9" w:rsidP="00662983">
      <w:pPr>
        <w:spacing w:after="120"/>
        <w:jc w:val="both"/>
      </w:pPr>
    </w:p>
    <w:p w14:paraId="78F23ECB" w14:textId="23A3A002" w:rsidR="002F0E4F" w:rsidRPr="00C7514B" w:rsidRDefault="002F0E4F" w:rsidP="00CC09D4">
      <w:pPr>
        <w:pStyle w:val="ListParagraph"/>
        <w:numPr>
          <w:ilvl w:val="0"/>
          <w:numId w:val="12"/>
        </w:numPr>
        <w:tabs>
          <w:tab w:val="left" w:pos="567"/>
        </w:tabs>
        <w:ind w:hanging="720"/>
        <w:rPr>
          <w:b/>
          <w:bCs/>
          <w:caps/>
        </w:rPr>
      </w:pPr>
      <w:r w:rsidRPr="00C7514B">
        <w:rPr>
          <w:b/>
          <w:bCs/>
          <w:caps/>
        </w:rPr>
        <w:t xml:space="preserve">Išvada </w:t>
      </w:r>
    </w:p>
    <w:p w14:paraId="30069D85" w14:textId="77777777" w:rsidR="0061611B" w:rsidRPr="00C7514B" w:rsidRDefault="0061611B" w:rsidP="0061611B">
      <w:pPr>
        <w:ind w:left="360"/>
        <w:rPr>
          <w:i/>
          <w:szCs w:val="22"/>
        </w:rPr>
      </w:pPr>
    </w:p>
    <w:tbl>
      <w:tblPr>
        <w:tblStyle w:val="TableGrid"/>
        <w:tblW w:w="0" w:type="auto"/>
        <w:tblLook w:val="04A0" w:firstRow="1" w:lastRow="0" w:firstColumn="1" w:lastColumn="0" w:noHBand="0" w:noVBand="1"/>
      </w:tblPr>
      <w:tblGrid>
        <w:gridCol w:w="4815"/>
        <w:gridCol w:w="4814"/>
      </w:tblGrid>
      <w:tr w:rsidR="00C7514B" w:rsidRPr="00C7514B" w14:paraId="25A2473E" w14:textId="77777777" w:rsidTr="00C16245">
        <w:trPr>
          <w:trHeight w:val="510"/>
        </w:trPr>
        <w:tc>
          <w:tcPr>
            <w:tcW w:w="4815" w:type="dxa"/>
            <w:vAlign w:val="center"/>
          </w:tcPr>
          <w:p w14:paraId="7EFE6941" w14:textId="23B8BB6D" w:rsidR="00B13D65"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C7514B">
              <w:rPr>
                <w:rStyle w:val="Style2"/>
                <w:rFonts w:eastAsia="MS Gothic"/>
                <w:b/>
                <w:bCs/>
                <w:sz w:val="24"/>
              </w:rPr>
              <w:t>Rekomenduojama kompensuoti</w:t>
            </w:r>
          </w:p>
        </w:tc>
        <w:tc>
          <w:tcPr>
            <w:tcW w:w="4814" w:type="dxa"/>
            <w:vAlign w:val="center"/>
          </w:tcPr>
          <w:p w14:paraId="330A1A5E" w14:textId="19247DC1" w:rsidR="00B13D65"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C7514B">
              <w:rPr>
                <w:rStyle w:val="Style2"/>
                <w:rFonts w:eastAsia="MS Gothic"/>
                <w:b/>
                <w:bCs/>
                <w:sz w:val="24"/>
              </w:rPr>
              <w:t xml:space="preserve">Rekomenduojama nekompensuoti </w:t>
            </w:r>
          </w:p>
        </w:tc>
      </w:tr>
      <w:tr w:rsidR="00C7514B" w:rsidRPr="00C7514B" w14:paraId="143A7356" w14:textId="77777777" w:rsidTr="00C16245">
        <w:trPr>
          <w:trHeight w:val="510"/>
        </w:trPr>
        <w:tc>
          <w:tcPr>
            <w:tcW w:w="9629" w:type="dxa"/>
            <w:gridSpan w:val="2"/>
            <w:vAlign w:val="center"/>
          </w:tcPr>
          <w:p w14:paraId="0AF5D6B4" w14:textId="6D8B6C59" w:rsidR="00B13D65" w:rsidRPr="00C7514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C7514B">
              <w:rPr>
                <w:rStyle w:val="Style2"/>
                <w:rFonts w:eastAsia="MS Gothic"/>
                <w:b/>
                <w:bCs/>
                <w:sz w:val="24"/>
              </w:rPr>
              <w:t>Palyginamasis efektyvumas</w:t>
            </w:r>
          </w:p>
        </w:tc>
      </w:tr>
      <w:tr w:rsidR="00C7514B" w:rsidRPr="00C7514B" w14:paraId="28A0C814" w14:textId="77777777" w:rsidTr="0061611B">
        <w:tc>
          <w:tcPr>
            <w:tcW w:w="4815" w:type="dxa"/>
          </w:tcPr>
          <w:p w14:paraId="216769B5" w14:textId="6A1C747A"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190E50" w:rsidRPr="00C7514B">
                  <w:rPr>
                    <w:rStyle w:val="Style2"/>
                    <w:rFonts w:ascii="MS Gothic" w:eastAsia="MS Gothic" w:hAnsi="MS Gothic" w:hint="eastAsia"/>
                    <w:sz w:val="24"/>
                  </w:rPr>
                  <w:t>☒</w:t>
                </w:r>
              </w:sdtContent>
            </w:sdt>
            <w:r w:rsidR="00B13D65" w:rsidRPr="00C7514B">
              <w:t xml:space="preserve"> 32.1. yra didesnis</w:t>
            </w:r>
            <w:r w:rsidR="00B00959" w:rsidRPr="00C7514B">
              <w:t>, lyginant su įprasta klinikine praktika</w:t>
            </w:r>
          </w:p>
          <w:p w14:paraId="3B48F372"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C7514B" w:rsidRDefault="00A53073"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32.1. iš esmės nesiskiria</w:t>
            </w:r>
            <w:r w:rsidR="00B00959" w:rsidRPr="00C7514B">
              <w:t>, lyginant su įprasta klinikine praktika</w:t>
            </w:r>
          </w:p>
        </w:tc>
        <w:tc>
          <w:tcPr>
            <w:tcW w:w="4814" w:type="dxa"/>
          </w:tcPr>
          <w:p w14:paraId="507828D9" w14:textId="10556E28"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33.1. yra mažesnis</w:t>
            </w:r>
            <w:r w:rsidR="00B00959" w:rsidRPr="00C7514B">
              <w:t>, lyginant su įprasta klinikine praktika</w:t>
            </w:r>
          </w:p>
          <w:p w14:paraId="7F95DEEC"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33.1. yra neįrodytas kaip toks pat</w:t>
            </w:r>
            <w:r w:rsidR="00B00959" w:rsidRPr="00C7514B">
              <w:t>, lyginant su įprasta klinikine praktika</w:t>
            </w:r>
          </w:p>
          <w:p w14:paraId="35205E85"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C7514B">
                  <w:rPr>
                    <w:rStyle w:val="Style2"/>
                    <w:rFonts w:ascii="Segoe UI Symbol" w:eastAsia="MS Gothic" w:hAnsi="Segoe UI Symbol" w:cs="Segoe UI Symbol"/>
                    <w:sz w:val="24"/>
                  </w:rPr>
                  <w:t>☐</w:t>
                </w:r>
              </w:sdtContent>
            </w:sdt>
            <w:r w:rsidR="00662983" w:rsidRPr="00C7514B">
              <w:t xml:space="preserve"> 33.1 </w:t>
            </w:r>
            <w:r w:rsidR="00B00959" w:rsidRPr="00C7514B">
              <w:t xml:space="preserve">yra </w:t>
            </w:r>
            <w:r w:rsidR="00B13D65" w:rsidRPr="00C7514B">
              <w:t>neįrodytas kaip didesnis</w:t>
            </w:r>
            <w:r w:rsidR="00B00959" w:rsidRPr="00C7514B">
              <w:t>, lyginant su įprasta klinikine praktika</w:t>
            </w:r>
          </w:p>
          <w:p w14:paraId="512E653B"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33.1. pateikti duomenys apie palyginamąjį efektyvumą yra netinkami vertinti</w:t>
            </w:r>
          </w:p>
          <w:p w14:paraId="5DDAA961" w14:textId="77777777" w:rsidR="00B13D65" w:rsidRPr="00C7514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C7514B" w:rsidRPr="00C7514B" w14:paraId="161CC3FE" w14:textId="77777777" w:rsidTr="00C16245">
        <w:trPr>
          <w:trHeight w:val="510"/>
        </w:trPr>
        <w:tc>
          <w:tcPr>
            <w:tcW w:w="9629" w:type="dxa"/>
            <w:gridSpan w:val="2"/>
            <w:vAlign w:val="center"/>
          </w:tcPr>
          <w:p w14:paraId="1AB46894" w14:textId="3E765638" w:rsidR="00B13D65" w:rsidRPr="00C7514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C7514B">
              <w:rPr>
                <w:rStyle w:val="Style2"/>
                <w:rFonts w:eastAsia="MS Gothic"/>
                <w:b/>
                <w:bCs/>
                <w:sz w:val="24"/>
              </w:rPr>
              <w:lastRenderedPageBreak/>
              <w:t>Klinikinis veiksmingumas</w:t>
            </w:r>
          </w:p>
        </w:tc>
      </w:tr>
      <w:tr w:rsidR="00C7514B" w:rsidRPr="00C7514B" w14:paraId="3C60570A" w14:textId="77777777" w:rsidTr="0061611B">
        <w:tc>
          <w:tcPr>
            <w:tcW w:w="4815" w:type="dxa"/>
          </w:tcPr>
          <w:p w14:paraId="6897B306" w14:textId="6628F9A9"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190E50" w:rsidRPr="00C7514B">
                  <w:rPr>
                    <w:rStyle w:val="Style2"/>
                    <w:rFonts w:ascii="MS Gothic" w:eastAsia="MS Gothic" w:hAnsi="MS Gothic" w:hint="eastAsia"/>
                    <w:sz w:val="24"/>
                  </w:rPr>
                  <w:t>☒</w:t>
                </w:r>
              </w:sdtContent>
            </w:sdt>
            <w:r w:rsidR="00B13D65" w:rsidRPr="00C7514B">
              <w:t xml:space="preserve"> 32.2. yra įvertintas kaip pagrindžiantis papildomos naudos pacientų sveikatai sukūrimą, lyginant su įprasta klinikine praktika</w:t>
            </w:r>
          </w:p>
          <w:p w14:paraId="71D57105"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32.2. </w:t>
            </w:r>
            <w:r w:rsidR="00B00959" w:rsidRPr="00C7514B">
              <w:t xml:space="preserve">yra </w:t>
            </w:r>
            <w:r w:rsidR="00B13D65" w:rsidRPr="00C7514B">
              <w:t>įvertintas kaip pagrindžiantis nesiskiriančios naudos pacientų sveikatai sukūrimą, lyginant su įprasta klinikine praktika</w:t>
            </w:r>
          </w:p>
          <w:p w14:paraId="287AD233" w14:textId="77777777" w:rsidR="00B13D65" w:rsidRPr="00C7514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C7514B" w:rsidRDefault="00A53073"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33.1. yra įvertintas kaip nepagrindžiantis papildomos </w:t>
            </w:r>
            <w:r w:rsidR="00662983" w:rsidRPr="00C7514B">
              <w:t>naudos pacientų sveikatai sukūrimo, lyginant su  įprasta klinikine praktika</w:t>
            </w:r>
          </w:p>
          <w:p w14:paraId="6C70BCFC" w14:textId="77777777" w:rsidR="00662983" w:rsidRPr="00C7514B" w:rsidRDefault="00662983" w:rsidP="00BD1E5A">
            <w:pPr>
              <w:jc w:val="both"/>
            </w:pPr>
          </w:p>
          <w:p w14:paraId="0ADEC30D" w14:textId="1353964F" w:rsidR="00B13D65" w:rsidRPr="00C7514B" w:rsidRDefault="00A53073"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C7514B">
                  <w:rPr>
                    <w:rStyle w:val="Style2"/>
                    <w:rFonts w:ascii="Segoe UI Symbol" w:eastAsia="MS Gothic" w:hAnsi="Segoe UI Symbol" w:cs="Segoe UI Symbol"/>
                    <w:sz w:val="24"/>
                  </w:rPr>
                  <w:t>☐</w:t>
                </w:r>
              </w:sdtContent>
            </w:sdt>
            <w:r w:rsidR="00B13D65" w:rsidRPr="00C7514B">
              <w:t xml:space="preserve"> </w:t>
            </w:r>
            <w:r w:rsidR="00662983" w:rsidRPr="00C7514B">
              <w:t xml:space="preserve">33.1. </w:t>
            </w:r>
            <w:r w:rsidR="00B00959" w:rsidRPr="00C7514B">
              <w:t xml:space="preserve">yra įvertintas kaip nepagrindžiantis </w:t>
            </w:r>
            <w:r w:rsidR="00B13D65" w:rsidRPr="00C7514B">
              <w:t>nesiskiriančios naudos pacientų sveikatai sukūrimo, lyginant su įprasta klinikine praktika</w:t>
            </w:r>
          </w:p>
          <w:p w14:paraId="1EED7901" w14:textId="77777777" w:rsidR="00B13D65" w:rsidRPr="00C7514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C7514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C7514B" w:rsidRPr="00C7514B" w14:paraId="1C75AE76" w14:textId="77777777" w:rsidTr="00C16245">
        <w:trPr>
          <w:trHeight w:val="510"/>
        </w:trPr>
        <w:tc>
          <w:tcPr>
            <w:tcW w:w="9629" w:type="dxa"/>
            <w:gridSpan w:val="2"/>
            <w:vAlign w:val="center"/>
          </w:tcPr>
          <w:p w14:paraId="0247EDAD" w14:textId="7FBBB759" w:rsidR="00B13D65" w:rsidRPr="00C7514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C7514B">
              <w:rPr>
                <w:rStyle w:val="Style2"/>
                <w:rFonts w:eastAsia="MS Gothic"/>
                <w:b/>
                <w:bCs/>
                <w:sz w:val="24"/>
              </w:rPr>
              <w:t>Kaštų naudingumas</w:t>
            </w:r>
          </w:p>
        </w:tc>
      </w:tr>
      <w:tr w:rsidR="00B13D65" w:rsidRPr="00C7514B" w14:paraId="7091A05B" w14:textId="77777777" w:rsidTr="0061611B">
        <w:tc>
          <w:tcPr>
            <w:tcW w:w="4815" w:type="dxa"/>
          </w:tcPr>
          <w:p w14:paraId="69B2A994" w14:textId="733DA649"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2974DA" w:rsidRPr="00C7514B">
                  <w:rPr>
                    <w:rStyle w:val="Style2"/>
                    <w:rFonts w:ascii="MS Gothic" w:eastAsia="MS Gothic" w:hAnsi="MS Gothic" w:hint="eastAsia"/>
                    <w:sz w:val="24"/>
                  </w:rPr>
                  <w:t>☒</w:t>
                </w:r>
              </w:sdtContent>
            </w:sdt>
            <w:r w:rsidR="00B13D65" w:rsidRPr="00C7514B">
              <w:t xml:space="preserve"> 32.3. atitinka referencinę naudingumo vertę, taikant</w:t>
            </w:r>
            <w:r w:rsidR="002974DA" w:rsidRPr="00C7514B">
              <w:t xml:space="preserve"> PGS</w:t>
            </w:r>
          </w:p>
          <w:p w14:paraId="3F76F153"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256AD19"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32.3. gydymo juo kaštai yra mažesni ar tokie patys esant iš esmės nesiskiriančiam palyginamajam efektyvumui, taikant </w:t>
            </w:r>
            <w:r w:rsidR="002974DA" w:rsidRPr="00C7514B">
              <w:t>PGS</w:t>
            </w:r>
            <w:r w:rsidR="00B00959" w:rsidRPr="00C7514B">
              <w:t>, lyginant su įprasta klinikine praktika</w:t>
            </w:r>
          </w:p>
          <w:p w14:paraId="25E4BD1E" w14:textId="77777777" w:rsidR="00B13D65" w:rsidRPr="00C7514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33.3. neatitinka referencinės naudingumo vertės Lietuvos Respublikoje</w:t>
            </w:r>
          </w:p>
          <w:p w14:paraId="229ED51A"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35A351E"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33.3. gydymo juo kaštai yra didesni esant iš esmės nesiskiriančiam palyginamajam efektyvumui, taikant</w:t>
            </w:r>
            <w:r w:rsidR="002974DA" w:rsidRPr="00C7514B">
              <w:t xml:space="preserve"> PGS,</w:t>
            </w:r>
            <w:r w:rsidR="00B00959" w:rsidRPr="00C7514B">
              <w:t xml:space="preserve"> lyginant su įprasta klinikine praktika</w:t>
            </w:r>
          </w:p>
          <w:p w14:paraId="4A9C7D2A" w14:textId="77777777" w:rsidR="00662983" w:rsidRPr="00C7514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C7514B" w:rsidRDefault="00A5307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C7514B">
                  <w:rPr>
                    <w:rStyle w:val="Style2"/>
                    <w:rFonts w:ascii="Segoe UI Symbol" w:eastAsia="MS Gothic" w:hAnsi="Segoe UI Symbol" w:cs="Segoe UI Symbol"/>
                    <w:sz w:val="24"/>
                  </w:rPr>
                  <w:t>☐</w:t>
                </w:r>
              </w:sdtContent>
            </w:sdt>
            <w:r w:rsidR="00B13D65" w:rsidRPr="00C7514B">
              <w:t xml:space="preserve"> 33.3. pateikti duomenys apie kaštų na</w:t>
            </w:r>
            <w:r w:rsidR="00662983" w:rsidRPr="00C7514B">
              <w:t>udingumą yra netinkami vertinti</w:t>
            </w:r>
          </w:p>
          <w:p w14:paraId="470A48A4" w14:textId="77777777" w:rsidR="00B13D65" w:rsidRPr="00C7514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77777777" w:rsidR="009E44AE" w:rsidRPr="00C7514B" w:rsidRDefault="009E44AE" w:rsidP="00381024"/>
    <w:p w14:paraId="3B2D1F25" w14:textId="3A80E19F" w:rsidR="000001B0" w:rsidRPr="00C7514B" w:rsidRDefault="000001B0" w:rsidP="00CC09D4">
      <w:pPr>
        <w:pStyle w:val="ListParagraph"/>
        <w:numPr>
          <w:ilvl w:val="0"/>
          <w:numId w:val="12"/>
        </w:numPr>
        <w:ind w:left="567" w:hanging="567"/>
      </w:pPr>
      <w:bookmarkStart w:id="1" w:name="_Hlk178372479"/>
      <w:r w:rsidRPr="00C7514B">
        <w:rPr>
          <w:b/>
        </w:rPr>
        <w:t>REKOME</w:t>
      </w:r>
      <w:r w:rsidR="00D83182" w:rsidRPr="00C7514B">
        <w:rPr>
          <w:b/>
        </w:rPr>
        <w:t>N</w:t>
      </w:r>
      <w:r w:rsidRPr="00C7514B">
        <w:rPr>
          <w:b/>
        </w:rPr>
        <w:t>DACIJA</w:t>
      </w:r>
    </w:p>
    <w:p w14:paraId="7D5C6700" w14:textId="77777777" w:rsidR="00D5470B" w:rsidRPr="00C7514B" w:rsidRDefault="00D5470B" w:rsidP="00C712EA">
      <w:pPr>
        <w:pStyle w:val="ListParagraph"/>
        <w:ind w:left="426"/>
      </w:pPr>
    </w:p>
    <w:p w14:paraId="0FFF7877" w14:textId="77777777" w:rsidR="002974DA" w:rsidRPr="00C7514B" w:rsidRDefault="002974DA" w:rsidP="00C7514B">
      <w:pPr>
        <w:spacing w:line="276" w:lineRule="auto"/>
        <w:jc w:val="both"/>
        <w:rPr>
          <w:szCs w:val="20"/>
        </w:rPr>
      </w:pPr>
      <w:r w:rsidRPr="00C7514B">
        <w:rPr>
          <w:szCs w:val="20"/>
        </w:rP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56BD1E3C" w14:textId="77777777" w:rsidR="002974DA" w:rsidRPr="00C7514B" w:rsidRDefault="002974DA" w:rsidP="00C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0"/>
        </w:rPr>
      </w:pPr>
      <w:r w:rsidRPr="00C7514B">
        <w:rPr>
          <w:szCs w:val="20"/>
        </w:rPr>
        <w:t xml:space="preserve">34.1. rekomenduojama </w:t>
      </w:r>
      <w:r w:rsidRPr="00C7514B">
        <w:rPr>
          <w:i/>
          <w:szCs w:val="20"/>
        </w:rPr>
        <w:t xml:space="preserve">kompensuoti </w:t>
      </w:r>
      <w:r w:rsidRPr="00C7514B">
        <w:rPr>
          <w:szCs w:val="20"/>
        </w:rPr>
        <w:t>vaistinį preparatą pagal paraiškoje nurodytą indikaciją su skyrimo sąlygomis, taikant PGS, dėl didesnio palyginamojo efektyvumo ir gydymo sukuriamos papildomos naudos pacientų sveikatai, lyginant su įprasta klinikine praktika, ir atitikties referencinei naudingumo vertei.</w:t>
      </w:r>
    </w:p>
    <w:bookmarkEnd w:id="1"/>
    <w:p w14:paraId="06BC01EE" w14:textId="44333E0B" w:rsidR="000723FF" w:rsidRPr="00C7514B" w:rsidRDefault="000723FF" w:rsidP="00381024"/>
    <w:p w14:paraId="18B4292E" w14:textId="283851CE" w:rsidR="000723FF" w:rsidRPr="00C7514B" w:rsidRDefault="00CC09D4" w:rsidP="00CC09D4">
      <w:pPr>
        <w:tabs>
          <w:tab w:val="left" w:pos="567"/>
        </w:tabs>
        <w:ind w:left="567" w:hanging="567"/>
        <w:jc w:val="both"/>
        <w:rPr>
          <w:b/>
          <w:lang w:eastAsia="lt-LT"/>
        </w:rPr>
      </w:pPr>
      <w:r w:rsidRPr="00C7514B">
        <w:rPr>
          <w:b/>
          <w:lang w:eastAsia="lt-LT"/>
        </w:rPr>
        <w:t>8.</w:t>
      </w:r>
      <w:r w:rsidRPr="00C7514B">
        <w:rPr>
          <w:b/>
          <w:lang w:eastAsia="lt-LT"/>
        </w:rPr>
        <w:tab/>
      </w:r>
      <w:r w:rsidR="000723FF" w:rsidRPr="00C7514B">
        <w:rPr>
          <w:b/>
          <w:lang w:eastAsia="lt-LT"/>
        </w:rPr>
        <w:t xml:space="preserve">SIŪLOMOS KOMPENSUOTI TERAPINĖS INDIKACIJOS IR SKYRIMO SĄLYGOS </w:t>
      </w:r>
    </w:p>
    <w:p w14:paraId="691340BB" w14:textId="77777777" w:rsidR="000723FF" w:rsidRPr="00C7514B" w:rsidRDefault="000723FF" w:rsidP="000723FF">
      <w:pPr>
        <w:tabs>
          <w:tab w:val="left" w:pos="426"/>
        </w:tabs>
        <w:jc w:val="both"/>
        <w:rPr>
          <w:b/>
          <w:lang w:eastAsia="lt-LT"/>
        </w:rPr>
      </w:pPr>
    </w:p>
    <w:p w14:paraId="529C92C4" w14:textId="152E5FB4" w:rsidR="000723FF" w:rsidRPr="00C7514B" w:rsidRDefault="000723FF" w:rsidP="00824B92">
      <w:pPr>
        <w:rPr>
          <w:b/>
          <w:lang w:eastAsia="lt-LT"/>
        </w:rPr>
      </w:pPr>
      <w:r w:rsidRPr="00C7514B">
        <w:rPr>
          <w:b/>
          <w:lang w:eastAsia="lt-LT"/>
        </w:rPr>
        <w:t>Terapinės indikacijos</w:t>
      </w:r>
    </w:p>
    <w:p w14:paraId="5BB746DD" w14:textId="7C4747DC" w:rsidR="000723FF" w:rsidRPr="00C7514B" w:rsidRDefault="00A53073"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8602B3" w:rsidRPr="00C7514B">
            <w:rPr>
              <w:rStyle w:val="Style2"/>
              <w:rFonts w:ascii="MS Gothic" w:eastAsia="MS Gothic" w:hAnsi="MS Gothic" w:hint="eastAsia"/>
            </w:rPr>
            <w:t>☒</w:t>
          </w:r>
        </w:sdtContent>
      </w:sdt>
      <w:r w:rsidR="000723FF" w:rsidRPr="00C7514B">
        <w:t xml:space="preserve"> Siūloma kompensuoti Pareiškėjo teikiamą indikaciją be pakeitimų.</w:t>
      </w:r>
    </w:p>
    <w:p w14:paraId="7AF5C776" w14:textId="77777777" w:rsidR="005A7F1A" w:rsidRPr="00C7514B" w:rsidRDefault="005A7F1A" w:rsidP="005A7F1A">
      <w:pPr>
        <w:spacing w:before="20" w:after="20"/>
        <w:jc w:val="both"/>
        <w:rPr>
          <w:iCs/>
        </w:rPr>
      </w:pPr>
      <w:r w:rsidRPr="00C7514B">
        <w:rPr>
          <w:iCs/>
        </w:rPr>
        <w:t>KEYTRUDA derinant su chemoterapija ir bevacizumabu arba be jo skirtas suaugusiųjų persistuojančio, recidyvavusio ar metastazavusio gimdos kaklelio vėžio gydymui, kai navikai ekspresuoja PD-L1 ir CPS rodmuo yra ≥ 1.</w:t>
      </w:r>
    </w:p>
    <w:p w14:paraId="597367EF" w14:textId="77777777" w:rsidR="000723FF" w:rsidRPr="00C7514B" w:rsidRDefault="00A53073" w:rsidP="00824B9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0723FF" w:rsidRPr="00C7514B">
            <w:rPr>
              <w:rStyle w:val="Style2"/>
              <w:rFonts w:ascii="MS Gothic" w:eastAsia="MS Gothic" w:hAnsi="MS Gothic"/>
            </w:rPr>
            <w:t>☐</w:t>
          </w:r>
        </w:sdtContent>
      </w:sdt>
      <w:r w:rsidR="000723FF" w:rsidRPr="00C7514B">
        <w:t xml:space="preserve"> Siūloma kompensuoti Pareiškėjo teikiamą indikaciją su pakeitimais.</w:t>
      </w:r>
    </w:p>
    <w:p w14:paraId="7DD65F7E" w14:textId="77777777" w:rsidR="000723FF" w:rsidRPr="00C7514B" w:rsidRDefault="000723FF" w:rsidP="00824B92"/>
    <w:p w14:paraId="241A6E6B" w14:textId="77777777" w:rsidR="000723FF" w:rsidRPr="00C7514B" w:rsidRDefault="000723FF" w:rsidP="00824B92">
      <w:pPr>
        <w:rPr>
          <w:b/>
        </w:rPr>
      </w:pPr>
      <w:r w:rsidRPr="00C7514B">
        <w:rPr>
          <w:b/>
        </w:rPr>
        <w:lastRenderedPageBreak/>
        <w:t>Skyrimo sąlygos</w:t>
      </w:r>
    </w:p>
    <w:p w14:paraId="250ACC46" w14:textId="73894ED7" w:rsidR="000723FF" w:rsidRPr="00C7514B" w:rsidRDefault="00A53073" w:rsidP="00824B92">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5A7F1A" w:rsidRPr="00C7514B">
            <w:rPr>
              <w:rStyle w:val="Style2"/>
              <w:rFonts w:ascii="MS Gothic" w:eastAsia="MS Gothic" w:hAnsi="MS Gothic" w:hint="eastAsia"/>
            </w:rPr>
            <w:t>☒</w:t>
          </w:r>
        </w:sdtContent>
      </w:sdt>
      <w:r w:rsidR="000723FF" w:rsidRPr="00C7514B">
        <w:t xml:space="preserve"> Pareiškėjo siūlomos skyrimo sąlygos priimtinos. </w:t>
      </w:r>
    </w:p>
    <w:p w14:paraId="2A4B6542" w14:textId="44A14B69" w:rsidR="000723FF" w:rsidRDefault="005A7F1A" w:rsidP="00824B92">
      <w:pPr>
        <w:rPr>
          <w:iCs/>
        </w:rPr>
      </w:pPr>
      <w:bookmarkStart w:id="2" w:name="_Hlk178372579"/>
      <w:r w:rsidRPr="00C7514B">
        <w:rPr>
          <w:iCs/>
        </w:rPr>
        <w:t>Pagal registruotą indikaciją</w:t>
      </w:r>
      <w:r w:rsidR="00C7514B">
        <w:rPr>
          <w:iCs/>
        </w:rPr>
        <w:t>.</w:t>
      </w:r>
    </w:p>
    <w:bookmarkEnd w:id="2"/>
    <w:p w14:paraId="1FBE0D53" w14:textId="77777777" w:rsidR="00C7514B" w:rsidRPr="00C7514B" w:rsidRDefault="00C7514B" w:rsidP="00824B92">
      <w:pPr>
        <w:rPr>
          <w:iCs/>
        </w:rPr>
      </w:pPr>
    </w:p>
    <w:p w14:paraId="297867ED" w14:textId="77777777" w:rsidR="000723FF" w:rsidRPr="00C7514B" w:rsidRDefault="00A53073" w:rsidP="00824B92">
      <w:sdt>
        <w:sdtPr>
          <w:rPr>
            <w:rStyle w:val="Style2"/>
          </w:rPr>
          <w:id w:val="1823936883"/>
          <w15:color w:val="FFCC00"/>
          <w14:checkbox>
            <w14:checked w14:val="0"/>
            <w14:checkedState w14:val="2612" w14:font="MS Gothic"/>
            <w14:uncheckedState w14:val="2610" w14:font="MS Gothic"/>
          </w14:checkbox>
        </w:sdtPr>
        <w:sdtEndPr>
          <w:rPr>
            <w:rStyle w:val="Style2"/>
          </w:rPr>
        </w:sdtEndPr>
        <w:sdtContent>
          <w:r w:rsidR="000723FF" w:rsidRPr="00C7514B">
            <w:rPr>
              <w:rStyle w:val="Style2"/>
              <w:rFonts w:ascii="MS Gothic" w:eastAsia="MS Gothic" w:hAnsi="MS Gothic"/>
            </w:rPr>
            <w:t>☐</w:t>
          </w:r>
        </w:sdtContent>
      </w:sdt>
      <w:r w:rsidR="000723FF" w:rsidRPr="00C7514B">
        <w:t xml:space="preserve"> Pareiškėjo siūlomos skyrimo sąlygos nepriimtinos. </w:t>
      </w:r>
    </w:p>
    <w:sectPr w:rsidR="000723FF" w:rsidRPr="00C7514B"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81FB" w14:textId="77777777" w:rsidR="00A52E14" w:rsidRDefault="00A52E14">
      <w:r>
        <w:separator/>
      </w:r>
    </w:p>
  </w:endnote>
  <w:endnote w:type="continuationSeparator" w:id="0">
    <w:p w14:paraId="7253A398" w14:textId="77777777" w:rsidR="00A52E14" w:rsidRDefault="00A5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AC29" w14:textId="77777777" w:rsidR="00A52E14" w:rsidRDefault="00A52E14">
      <w:r>
        <w:separator/>
      </w:r>
    </w:p>
  </w:footnote>
  <w:footnote w:type="continuationSeparator" w:id="0">
    <w:p w14:paraId="270BC443" w14:textId="77777777" w:rsidR="00A52E14" w:rsidRDefault="00A5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C99C7D8"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FA1">
      <w:rPr>
        <w:rStyle w:val="PageNumber"/>
        <w:noProof/>
      </w:rPr>
      <w:t>4</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C66FE"/>
    <w:multiLevelType w:val="hybridMultilevel"/>
    <w:tmpl w:val="84A63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2720C1"/>
    <w:multiLevelType w:val="hybridMultilevel"/>
    <w:tmpl w:val="41E09EA4"/>
    <w:lvl w:ilvl="0" w:tplc="C69A98E0">
      <w:start w:val="1"/>
      <w:numFmt w:val="bullet"/>
      <w:lvlText w:val="-"/>
      <w:lvlJc w:val="left"/>
      <w:pPr>
        <w:ind w:left="1152" w:hanging="360"/>
      </w:pPr>
      <w:rPr>
        <w:rFonts w:ascii="Times New Roman" w:eastAsia="Times New Roman" w:hAnsi="Times New Roman" w:cs="Times New Roman" w:hint="default"/>
        <w:b w:val="0"/>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1295872132">
    <w:abstractNumId w:val="6"/>
  </w:num>
  <w:num w:numId="2" w16cid:durableId="1903979390">
    <w:abstractNumId w:val="1"/>
  </w:num>
  <w:num w:numId="3" w16cid:durableId="673265433">
    <w:abstractNumId w:val="9"/>
  </w:num>
  <w:num w:numId="4" w16cid:durableId="1150554934">
    <w:abstractNumId w:val="8"/>
  </w:num>
  <w:num w:numId="5" w16cid:durableId="680009495">
    <w:abstractNumId w:val="5"/>
  </w:num>
  <w:num w:numId="6" w16cid:durableId="1916433027">
    <w:abstractNumId w:val="4"/>
  </w:num>
  <w:num w:numId="7" w16cid:durableId="1826436150">
    <w:abstractNumId w:val="3"/>
  </w:num>
  <w:num w:numId="8" w16cid:durableId="1059941896">
    <w:abstractNumId w:val="12"/>
  </w:num>
  <w:num w:numId="9" w16cid:durableId="964968326">
    <w:abstractNumId w:val="0"/>
  </w:num>
  <w:num w:numId="10" w16cid:durableId="2106993432">
    <w:abstractNumId w:val="10"/>
  </w:num>
  <w:num w:numId="11" w16cid:durableId="1235626383">
    <w:abstractNumId w:val="11"/>
  </w:num>
  <w:num w:numId="12" w16cid:durableId="1070346642">
    <w:abstractNumId w:val="2"/>
  </w:num>
  <w:num w:numId="13" w16cid:durableId="1615556836">
    <w:abstractNumId w:val="7"/>
  </w:num>
  <w:num w:numId="14" w16cid:durableId="1905949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193"/>
    <w:rsid w:val="00042924"/>
    <w:rsid w:val="00053975"/>
    <w:rsid w:val="00057A2B"/>
    <w:rsid w:val="000606BE"/>
    <w:rsid w:val="000723FF"/>
    <w:rsid w:val="000736B8"/>
    <w:rsid w:val="0008190F"/>
    <w:rsid w:val="00081D9C"/>
    <w:rsid w:val="00082907"/>
    <w:rsid w:val="0008378D"/>
    <w:rsid w:val="000908A5"/>
    <w:rsid w:val="00092805"/>
    <w:rsid w:val="000942B8"/>
    <w:rsid w:val="000B79BB"/>
    <w:rsid w:val="000C454C"/>
    <w:rsid w:val="000D5038"/>
    <w:rsid w:val="000E29D4"/>
    <w:rsid w:val="000F3540"/>
    <w:rsid w:val="00100491"/>
    <w:rsid w:val="00104E2E"/>
    <w:rsid w:val="00107287"/>
    <w:rsid w:val="00117406"/>
    <w:rsid w:val="00121EF0"/>
    <w:rsid w:val="00124A9E"/>
    <w:rsid w:val="00130703"/>
    <w:rsid w:val="0013153F"/>
    <w:rsid w:val="00132516"/>
    <w:rsid w:val="001408B8"/>
    <w:rsid w:val="001517E2"/>
    <w:rsid w:val="001521D9"/>
    <w:rsid w:val="001554E2"/>
    <w:rsid w:val="00160105"/>
    <w:rsid w:val="00164146"/>
    <w:rsid w:val="0017369C"/>
    <w:rsid w:val="00175D57"/>
    <w:rsid w:val="00180C39"/>
    <w:rsid w:val="00180D96"/>
    <w:rsid w:val="00184BD3"/>
    <w:rsid w:val="00190E50"/>
    <w:rsid w:val="001921F3"/>
    <w:rsid w:val="001B3C5B"/>
    <w:rsid w:val="001B7B27"/>
    <w:rsid w:val="001D746F"/>
    <w:rsid w:val="001E4BBB"/>
    <w:rsid w:val="001E6304"/>
    <w:rsid w:val="0020381E"/>
    <w:rsid w:val="00213471"/>
    <w:rsid w:val="00215906"/>
    <w:rsid w:val="00241CD8"/>
    <w:rsid w:val="00244B09"/>
    <w:rsid w:val="002519CB"/>
    <w:rsid w:val="0025686E"/>
    <w:rsid w:val="0025697F"/>
    <w:rsid w:val="00260258"/>
    <w:rsid w:val="0026588E"/>
    <w:rsid w:val="00272428"/>
    <w:rsid w:val="00272948"/>
    <w:rsid w:val="00292392"/>
    <w:rsid w:val="002946C7"/>
    <w:rsid w:val="002974DA"/>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55988"/>
    <w:rsid w:val="0036187D"/>
    <w:rsid w:val="00367294"/>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B7455"/>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7F1A"/>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0996"/>
    <w:rsid w:val="00662983"/>
    <w:rsid w:val="006834D3"/>
    <w:rsid w:val="00692625"/>
    <w:rsid w:val="00695CD3"/>
    <w:rsid w:val="006A1C8D"/>
    <w:rsid w:val="006A38B6"/>
    <w:rsid w:val="006B1987"/>
    <w:rsid w:val="006B5B71"/>
    <w:rsid w:val="006B6CB0"/>
    <w:rsid w:val="006C0296"/>
    <w:rsid w:val="006C2751"/>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0875"/>
    <w:rsid w:val="007C6794"/>
    <w:rsid w:val="007C7519"/>
    <w:rsid w:val="007D3347"/>
    <w:rsid w:val="007E30F2"/>
    <w:rsid w:val="007E5466"/>
    <w:rsid w:val="007F1949"/>
    <w:rsid w:val="007F2592"/>
    <w:rsid w:val="00800A08"/>
    <w:rsid w:val="00817A84"/>
    <w:rsid w:val="008225A4"/>
    <w:rsid w:val="00824B92"/>
    <w:rsid w:val="00826D5E"/>
    <w:rsid w:val="00832013"/>
    <w:rsid w:val="00832DB7"/>
    <w:rsid w:val="00834732"/>
    <w:rsid w:val="0085200C"/>
    <w:rsid w:val="00857C52"/>
    <w:rsid w:val="008602B3"/>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3E06"/>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2E14"/>
    <w:rsid w:val="00A53073"/>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D47CC"/>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0EF0"/>
    <w:rsid w:val="00BA5DBC"/>
    <w:rsid w:val="00BB6312"/>
    <w:rsid w:val="00BC4D06"/>
    <w:rsid w:val="00BC7F23"/>
    <w:rsid w:val="00BD18D3"/>
    <w:rsid w:val="00BD585E"/>
    <w:rsid w:val="00BD6919"/>
    <w:rsid w:val="00BE1EA7"/>
    <w:rsid w:val="00BE7489"/>
    <w:rsid w:val="00BF2E0D"/>
    <w:rsid w:val="00BF3927"/>
    <w:rsid w:val="00BF3F8B"/>
    <w:rsid w:val="00BF76DA"/>
    <w:rsid w:val="00C07C7B"/>
    <w:rsid w:val="00C16245"/>
    <w:rsid w:val="00C2061D"/>
    <w:rsid w:val="00C22DC5"/>
    <w:rsid w:val="00C24479"/>
    <w:rsid w:val="00C273F2"/>
    <w:rsid w:val="00C37B53"/>
    <w:rsid w:val="00C517D2"/>
    <w:rsid w:val="00C5772E"/>
    <w:rsid w:val="00C62B36"/>
    <w:rsid w:val="00C7012C"/>
    <w:rsid w:val="00C712EA"/>
    <w:rsid w:val="00C7514B"/>
    <w:rsid w:val="00C92225"/>
    <w:rsid w:val="00CA217D"/>
    <w:rsid w:val="00CC09D4"/>
    <w:rsid w:val="00CC668D"/>
    <w:rsid w:val="00CC7832"/>
    <w:rsid w:val="00CF0C1C"/>
    <w:rsid w:val="00CF27FD"/>
    <w:rsid w:val="00CF5F12"/>
    <w:rsid w:val="00D00D8F"/>
    <w:rsid w:val="00D1654E"/>
    <w:rsid w:val="00D16FA1"/>
    <w:rsid w:val="00D21F3A"/>
    <w:rsid w:val="00D23808"/>
    <w:rsid w:val="00D24FCF"/>
    <w:rsid w:val="00D3016A"/>
    <w:rsid w:val="00D417D2"/>
    <w:rsid w:val="00D42960"/>
    <w:rsid w:val="00D43BD7"/>
    <w:rsid w:val="00D4485B"/>
    <w:rsid w:val="00D44EA6"/>
    <w:rsid w:val="00D4708D"/>
    <w:rsid w:val="00D4744C"/>
    <w:rsid w:val="00D521DE"/>
    <w:rsid w:val="00D5470B"/>
    <w:rsid w:val="00D63068"/>
    <w:rsid w:val="00D6498C"/>
    <w:rsid w:val="00D76A70"/>
    <w:rsid w:val="00D83182"/>
    <w:rsid w:val="00D8521E"/>
    <w:rsid w:val="00D9291C"/>
    <w:rsid w:val="00D92A49"/>
    <w:rsid w:val="00D93A97"/>
    <w:rsid w:val="00D970E4"/>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633F6"/>
    <w:rsid w:val="00E745A1"/>
    <w:rsid w:val="00E81529"/>
    <w:rsid w:val="00E83A13"/>
    <w:rsid w:val="00EB37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Dossier table,Section 3- footnotes,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paragraph" w:customStyle="1" w:styleId="drug-info">
    <w:name w:val="drug-info"/>
    <w:basedOn w:val="Normal"/>
    <w:rsid w:val="00D1654E"/>
    <w:pPr>
      <w:spacing w:before="100" w:beforeAutospacing="1" w:after="100" w:afterAutospacing="1"/>
    </w:pPr>
    <w:rPr>
      <w:lang w:eastAsia="en-GB"/>
    </w:rPr>
  </w:style>
  <w:style w:type="paragraph" w:styleId="HTMLPreformatted">
    <w:name w:val="HTML Preformatted"/>
    <w:basedOn w:val="Normal"/>
    <w:link w:val="HTMLPreformattedChar"/>
    <w:uiPriority w:val="99"/>
    <w:unhideWhenUsed/>
    <w:rsid w:val="00D44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D44EA6"/>
    <w:rPr>
      <w:rFonts w:ascii="Courier New" w:hAnsi="Courier New" w:cs="Courier New"/>
      <w:szCs w:val="24"/>
      <w:lang w:eastAsia="en-GB"/>
    </w:rPr>
  </w:style>
  <w:style w:type="character" w:customStyle="1" w:styleId="y2iqfc">
    <w:name w:val="y2iqfc"/>
    <w:basedOn w:val="DefaultParagraphFont"/>
    <w:rsid w:val="00D4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A9380CA79ABF48FAB7F067EC2C0E4679"/>
        <w:category>
          <w:name w:val="General"/>
          <w:gallery w:val="placeholder"/>
        </w:category>
        <w:types>
          <w:type w:val="bbPlcHdr"/>
        </w:types>
        <w:behaviors>
          <w:behavior w:val="content"/>
        </w:behaviors>
        <w:guid w:val="{09D3D167-4604-4845-A115-B84209B34C4A}"/>
      </w:docPartPr>
      <w:docPartBody>
        <w:p w:rsidR="00BD33B4" w:rsidRDefault="00BE12F7" w:rsidP="00BE12F7">
          <w:pPr>
            <w:pStyle w:val="A9380CA79ABF48FAB7F067EC2C0E4679"/>
          </w:pPr>
          <w:r>
            <w:rPr>
              <w:rStyle w:val="PlaceholderText"/>
            </w:rPr>
            <w:t>Click here to enter a date.</w:t>
          </w:r>
        </w:p>
      </w:docPartBody>
    </w:docPart>
    <w:docPart>
      <w:docPartPr>
        <w:name w:val="3272E5F5B1A34987B413A32CCDDFDD60"/>
        <w:category>
          <w:name w:val="General"/>
          <w:gallery w:val="placeholder"/>
        </w:category>
        <w:types>
          <w:type w:val="bbPlcHdr"/>
        </w:types>
        <w:behaviors>
          <w:behavior w:val="content"/>
        </w:behaviors>
        <w:guid w:val="{053AC20E-CAAF-4A66-A964-A0FD2D8E128B}"/>
      </w:docPartPr>
      <w:docPartBody>
        <w:p w:rsidR="005F4FDE" w:rsidRDefault="002B4432" w:rsidP="002B4432">
          <w:pPr>
            <w:pStyle w:val="3272E5F5B1A34987B413A32CCDDFDD60"/>
          </w:pPr>
          <w:r>
            <w:rPr>
              <w:rStyle w:val="PlaceholderText"/>
            </w:rPr>
            <w:t>Click here to enter a date.</w:t>
          </w:r>
        </w:p>
      </w:docPartBody>
    </w:docPart>
    <w:docPart>
      <w:docPartPr>
        <w:name w:val="16001BCC622D46ADA9FAA8A32575528D"/>
        <w:category>
          <w:name w:val="General"/>
          <w:gallery w:val="placeholder"/>
        </w:category>
        <w:types>
          <w:type w:val="bbPlcHdr"/>
        </w:types>
        <w:behaviors>
          <w:behavior w:val="content"/>
        </w:behaviors>
        <w:guid w:val="{1D464EA4-B47A-48F9-8E3B-97A52E3C074A}"/>
      </w:docPartPr>
      <w:docPartBody>
        <w:p w:rsidR="005F4FDE" w:rsidRDefault="002B4432" w:rsidP="002B4432">
          <w:pPr>
            <w:pStyle w:val="16001BCC622D46ADA9FAA8A32575528D"/>
          </w:pPr>
          <w:r>
            <w:rPr>
              <w:rStyle w:val="PlaceholderText"/>
            </w:rPr>
            <w:t>Click here to enter a date.</w:t>
          </w:r>
        </w:p>
      </w:docPartBody>
    </w:docPart>
    <w:docPart>
      <w:docPartPr>
        <w:name w:val="35BF758C5F97468C86AD3046B8F6F585"/>
        <w:category>
          <w:name w:val="General"/>
          <w:gallery w:val="placeholder"/>
        </w:category>
        <w:types>
          <w:type w:val="bbPlcHdr"/>
        </w:types>
        <w:behaviors>
          <w:behavior w:val="content"/>
        </w:behaviors>
        <w:guid w:val="{3C8A7C68-98A3-4C36-BA38-479BBADC0B2B}"/>
      </w:docPartPr>
      <w:docPartBody>
        <w:p w:rsidR="005F4FDE" w:rsidRDefault="002B4432" w:rsidP="002B4432">
          <w:pPr>
            <w:pStyle w:val="35BF758C5F97468C86AD3046B8F6F58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942B8"/>
    <w:rsid w:val="000A559A"/>
    <w:rsid w:val="000D24D4"/>
    <w:rsid w:val="001C35A9"/>
    <w:rsid w:val="001F47C5"/>
    <w:rsid w:val="00237556"/>
    <w:rsid w:val="002B4432"/>
    <w:rsid w:val="002C13EA"/>
    <w:rsid w:val="00367294"/>
    <w:rsid w:val="0039303B"/>
    <w:rsid w:val="004144A3"/>
    <w:rsid w:val="004160E7"/>
    <w:rsid w:val="004416C6"/>
    <w:rsid w:val="004F5AB2"/>
    <w:rsid w:val="005017E1"/>
    <w:rsid w:val="005074B9"/>
    <w:rsid w:val="005E40DD"/>
    <w:rsid w:val="005F4FDE"/>
    <w:rsid w:val="00661E76"/>
    <w:rsid w:val="007219C1"/>
    <w:rsid w:val="0074261C"/>
    <w:rsid w:val="00753462"/>
    <w:rsid w:val="00772325"/>
    <w:rsid w:val="007A2FE0"/>
    <w:rsid w:val="007C6D1D"/>
    <w:rsid w:val="0090074D"/>
    <w:rsid w:val="009B3BF0"/>
    <w:rsid w:val="009D5E5E"/>
    <w:rsid w:val="009F1BB4"/>
    <w:rsid w:val="00AB6ED4"/>
    <w:rsid w:val="00B14210"/>
    <w:rsid w:val="00B23DC0"/>
    <w:rsid w:val="00B96656"/>
    <w:rsid w:val="00BD33B4"/>
    <w:rsid w:val="00BE12F7"/>
    <w:rsid w:val="00BE29C1"/>
    <w:rsid w:val="00C2401D"/>
    <w:rsid w:val="00C53A68"/>
    <w:rsid w:val="00CA5BB4"/>
    <w:rsid w:val="00CB4BD1"/>
    <w:rsid w:val="00CE2DA9"/>
    <w:rsid w:val="00CE44BE"/>
    <w:rsid w:val="00D107CD"/>
    <w:rsid w:val="00D4356B"/>
    <w:rsid w:val="00D7162F"/>
    <w:rsid w:val="00E44A86"/>
    <w:rsid w:val="00E522EB"/>
    <w:rsid w:val="00E60827"/>
    <w:rsid w:val="00E73FF6"/>
    <w:rsid w:val="00EC21E5"/>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432"/>
    <w:rPr>
      <w:color w:val="808080"/>
    </w:rPr>
  </w:style>
  <w:style w:type="paragraph" w:customStyle="1" w:styleId="CDB60824EC144AB3B75C05A5823BEE2D">
    <w:name w:val="CDB60824EC144AB3B75C05A5823BEE2D"/>
    <w:rsid w:val="005E40DD"/>
  </w:style>
  <w:style w:type="paragraph" w:customStyle="1" w:styleId="A9380CA79ABF48FAB7F067EC2C0E4679">
    <w:name w:val="A9380CA79ABF48FAB7F067EC2C0E4679"/>
    <w:rsid w:val="00BE12F7"/>
  </w:style>
  <w:style w:type="paragraph" w:customStyle="1" w:styleId="3272E5F5B1A34987B413A32CCDDFDD60">
    <w:name w:val="3272E5F5B1A34987B413A32CCDDFDD60"/>
    <w:rsid w:val="002B4432"/>
  </w:style>
  <w:style w:type="paragraph" w:customStyle="1" w:styleId="16001BCC622D46ADA9FAA8A32575528D">
    <w:name w:val="16001BCC622D46ADA9FAA8A32575528D"/>
    <w:rsid w:val="002B4432"/>
  </w:style>
  <w:style w:type="paragraph" w:customStyle="1" w:styleId="35BF758C5F97468C86AD3046B8F6F585">
    <w:name w:val="35BF758C5F97468C86AD3046B8F6F585"/>
    <w:rsid w:val="002B4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319F-89CE-4619-81CD-E06670D3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1828</Words>
  <Characters>13111</Characters>
  <Application>Microsoft Office Word</Application>
  <DocSecurity>0</DocSecurity>
  <Lines>109</Lines>
  <Paragraphs>29</Paragraphs>
  <ScaleCrop>false</ScaleCrop>
  <Company/>
  <LinksUpToDate>false</LinksUpToDate>
  <CharactersWithSpaces>14910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2024-09-30T06:56:00Z</dcterms:created>
  <dcterms:modified xsi:type="dcterms:W3CDTF">2024-10-03T15:40:00Z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2024-10-03T15:37:48Z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f648699e-b5d3-4cd9-8575-b3344690d302</vt:lpwstr>
  </property>
  <property fmtid="{D5CDD505-2E9C-101B-9397-08002B2CF9AE}" pid="8" name="MSIP_Label_e81acc0d-dcc4-4dc9-a2c5-be70b05a2fe6_ContentBits">
    <vt:lpwstr>0</vt:lpwstr>
  </property>
  <property fmtid="{D5CDD505-2E9C-101B-9397-08002B2CF9AE}" pid="10" name="_NewReviewCycle">
    <vt:lpwstr/>
  </property>
</Properties>
</file>