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9463CD" w:rsidRDefault="005F7602" w:rsidP="009463CD"/>
    <w:p w14:paraId="12FA4B9E" w14:textId="77777777" w:rsidR="001B3C5B" w:rsidRPr="009463CD" w:rsidRDefault="001B3C5B" w:rsidP="001B3C5B">
      <w:pPr>
        <w:ind w:left="6096"/>
      </w:pPr>
      <w:r w:rsidRPr="009463CD">
        <w:t>Forma patvirtinta</w:t>
      </w:r>
    </w:p>
    <w:p w14:paraId="7206970B" w14:textId="70E9BD2E" w:rsidR="004C263A" w:rsidRPr="009463CD" w:rsidRDefault="001B3C5B" w:rsidP="001B3C5B">
      <w:pPr>
        <w:ind w:left="6096"/>
      </w:pPr>
      <w:r w:rsidRPr="009463CD">
        <w:t>Valstybinės vaistų kontrolės tarnybos prie Lietuvos Respublikos sveikatos apsaugos ministerijos viršininko 2021 m</w:t>
      </w:r>
      <w:r w:rsidR="004C263A" w:rsidRPr="009463CD">
        <w:t xml:space="preserve">. lapkričio 12 </w:t>
      </w:r>
      <w:r w:rsidRPr="009463CD">
        <w:t>d. įsakymu Nr.</w:t>
      </w:r>
      <w:r w:rsidR="004C263A" w:rsidRPr="009463CD">
        <w:t xml:space="preserve"> (1.72E)1A-1418</w:t>
      </w:r>
    </w:p>
    <w:p w14:paraId="5B219AA6" w14:textId="520B9136" w:rsidR="001B3C5B" w:rsidRPr="009463CD" w:rsidRDefault="004C263A" w:rsidP="001B3C5B">
      <w:pPr>
        <w:ind w:left="6096"/>
      </w:pPr>
      <w:r w:rsidRPr="009463CD">
        <w:t>(Valstybinės vaistų kontrolės tarnybos prie Lietuvos Respublikos sveikatos apsaugos ministerijos viršininko 2022 m.                         d. įsakymo Nr.                    redakcija)</w:t>
      </w:r>
    </w:p>
    <w:p w14:paraId="3336BD74" w14:textId="77777777" w:rsidR="001B3C5B" w:rsidRPr="009463CD" w:rsidRDefault="001B3C5B" w:rsidP="00FA4169"/>
    <w:p w14:paraId="77AFB67E" w14:textId="16397257" w:rsidR="00613501" w:rsidRPr="009463CD" w:rsidRDefault="002F0E4F" w:rsidP="003B211A">
      <w:pPr>
        <w:jc w:val="center"/>
        <w:rPr>
          <w:b/>
          <w:bCs/>
          <w:caps/>
        </w:rPr>
      </w:pPr>
      <w:r w:rsidRPr="009463CD">
        <w:rPr>
          <w:b/>
        </w:rPr>
        <w:t xml:space="preserve">REKOMENDACIJA DĖL VAISTINIO PREPARATO </w:t>
      </w:r>
      <w:r w:rsidRPr="009463CD">
        <w:rPr>
          <w:b/>
          <w:bCs/>
          <w:caps/>
        </w:rPr>
        <w:t>Lietuvos Respublikos Sveikatos apsaugos ministerijos vaistinių preparatų ir medicinos pagalbos priemonių kompensavimo komisijai</w:t>
      </w:r>
    </w:p>
    <w:p w14:paraId="34E4395D" w14:textId="623D0445" w:rsidR="00B13D65" w:rsidRPr="009463CD" w:rsidRDefault="00B13D65" w:rsidP="003B211A">
      <w:pPr>
        <w:jc w:val="center"/>
        <w:rPr>
          <w:b/>
        </w:rPr>
      </w:pPr>
    </w:p>
    <w:p w14:paraId="66D3E4A9" w14:textId="77777777" w:rsidR="004F39B8" w:rsidRPr="009463CD" w:rsidRDefault="004F39B8" w:rsidP="004F39B8">
      <w:pPr>
        <w:jc w:val="center"/>
        <w:rPr>
          <w:b/>
        </w:rPr>
      </w:pPr>
      <w:r w:rsidRPr="009463CD">
        <w:rPr>
          <w:b/>
        </w:rPr>
        <w:t>Lynparza 100mg ir 150mg plėvele dengtos tabletės</w:t>
      </w:r>
    </w:p>
    <w:p w14:paraId="69F825F2" w14:textId="77777777" w:rsidR="004F39B8" w:rsidRPr="009463CD" w:rsidRDefault="004F39B8" w:rsidP="004F39B8">
      <w:pPr>
        <w:jc w:val="center"/>
      </w:pPr>
    </w:p>
    <w:p w14:paraId="6FD4AD19" w14:textId="77777777" w:rsidR="004F39B8" w:rsidRPr="009463CD" w:rsidRDefault="004F39B8" w:rsidP="004F39B8">
      <w:pPr>
        <w:jc w:val="center"/>
      </w:pPr>
      <w:r w:rsidRPr="009463CD">
        <w:t>(</w:t>
      </w:r>
      <w:r w:rsidRPr="009463CD">
        <w:rPr>
          <w:b/>
        </w:rPr>
        <w:t>Olaparibas</w:t>
      </w:r>
      <w:r w:rsidRPr="009463CD">
        <w:t>)</w:t>
      </w:r>
    </w:p>
    <w:p w14:paraId="4D017F68" w14:textId="77777777" w:rsidR="004F39B8" w:rsidRPr="009463CD" w:rsidRDefault="004F39B8" w:rsidP="004F39B8">
      <w:pPr>
        <w:jc w:val="center"/>
      </w:pPr>
    </w:p>
    <w:p w14:paraId="4D81A534" w14:textId="77777777" w:rsidR="004F39B8" w:rsidRPr="009463CD" w:rsidRDefault="004F39B8" w:rsidP="004F39B8">
      <w:pPr>
        <w:jc w:val="center"/>
        <w:rPr>
          <w:b/>
        </w:rPr>
      </w:pPr>
      <w:r w:rsidRPr="009463CD">
        <w:rPr>
          <w:b/>
        </w:rPr>
        <w:t>STV-153</w:t>
      </w:r>
    </w:p>
    <w:p w14:paraId="1E2B8830" w14:textId="77777777" w:rsidR="008B2311" w:rsidRPr="009463CD" w:rsidRDefault="008B2311" w:rsidP="006F3037">
      <w:pPr>
        <w:rPr>
          <w:b/>
        </w:rPr>
      </w:pPr>
    </w:p>
    <w:p w14:paraId="33D987A0" w14:textId="77777777" w:rsidR="001A0642" w:rsidRPr="009463CD" w:rsidRDefault="001A0642" w:rsidP="003B211A">
      <w:pPr>
        <w:jc w:val="center"/>
        <w:rPr>
          <w:b/>
        </w:rPr>
      </w:pPr>
    </w:p>
    <w:p w14:paraId="78C89D1C" w14:textId="0DA88316" w:rsidR="00D4485B" w:rsidRPr="009463CD" w:rsidRDefault="00B13D65" w:rsidP="00937907">
      <w:pPr>
        <w:pStyle w:val="ListParagraph"/>
        <w:numPr>
          <w:ilvl w:val="0"/>
          <w:numId w:val="12"/>
        </w:numPr>
        <w:tabs>
          <w:tab w:val="left" w:pos="284"/>
        </w:tabs>
        <w:rPr>
          <w:b/>
          <w:bCs/>
          <w:caps/>
        </w:rPr>
      </w:pPr>
      <w:r w:rsidRPr="009463CD">
        <w:rPr>
          <w:b/>
          <w:bCs/>
          <w:caps/>
        </w:rPr>
        <w:t>Bendroji dalis</w:t>
      </w:r>
    </w:p>
    <w:p w14:paraId="04A7C7A7" w14:textId="77777777" w:rsidR="00B13D65" w:rsidRPr="009463CD" w:rsidRDefault="00B13D65" w:rsidP="00E03C3F">
      <w:pPr>
        <w:pStyle w:val="ListParagraph"/>
        <w:tabs>
          <w:tab w:val="left" w:pos="284"/>
        </w:tabs>
        <w:ind w:left="0"/>
        <w:rPr>
          <w:b/>
          <w:bCs/>
          <w:caps/>
        </w:rPr>
      </w:pPr>
    </w:p>
    <w:tbl>
      <w:tblPr>
        <w:tblStyle w:val="TableGrid"/>
        <w:tblW w:w="9918" w:type="dxa"/>
        <w:tblLook w:val="04A0" w:firstRow="1" w:lastRow="0" w:firstColumn="1" w:lastColumn="0" w:noHBand="0" w:noVBand="1"/>
      </w:tblPr>
      <w:tblGrid>
        <w:gridCol w:w="705"/>
        <w:gridCol w:w="4117"/>
        <w:gridCol w:w="5096"/>
      </w:tblGrid>
      <w:tr w:rsidR="004F39B8" w:rsidRPr="009463CD" w14:paraId="16FE3559" w14:textId="77777777" w:rsidTr="000D5E12">
        <w:trPr>
          <w:trHeight w:val="342"/>
        </w:trPr>
        <w:tc>
          <w:tcPr>
            <w:tcW w:w="705" w:type="dxa"/>
          </w:tcPr>
          <w:p w14:paraId="42604F2C" w14:textId="77777777" w:rsidR="004F39B8" w:rsidRPr="009463CD" w:rsidRDefault="004F39B8" w:rsidP="000D5E12">
            <w:pPr>
              <w:tabs>
                <w:tab w:val="left" w:pos="284"/>
              </w:tabs>
              <w:spacing w:line="280" w:lineRule="atLeast"/>
              <w:rPr>
                <w:rFonts w:eastAsia="Arial"/>
                <w:b/>
              </w:rPr>
            </w:pPr>
            <w:r w:rsidRPr="009463CD">
              <w:rPr>
                <w:rFonts w:eastAsia="Arial"/>
                <w:b/>
              </w:rPr>
              <w:t>1.1</w:t>
            </w:r>
          </w:p>
        </w:tc>
        <w:tc>
          <w:tcPr>
            <w:tcW w:w="4117" w:type="dxa"/>
          </w:tcPr>
          <w:p w14:paraId="03CA340A"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Pareiškėjas</w:t>
            </w:r>
          </w:p>
        </w:tc>
        <w:tc>
          <w:tcPr>
            <w:tcW w:w="5096" w:type="dxa"/>
          </w:tcPr>
          <w:p w14:paraId="7F3B0A11" w14:textId="77777777" w:rsidR="004F39B8" w:rsidRPr="009463CD" w:rsidRDefault="004F39B8" w:rsidP="000D5E12">
            <w:pPr>
              <w:pStyle w:val="ListParagraph"/>
              <w:spacing w:after="120"/>
              <w:ind w:left="0"/>
              <w:contextualSpacing w:val="0"/>
              <w:jc w:val="both"/>
            </w:pPr>
            <w:r w:rsidRPr="009463CD">
              <w:t>Astra Zeneca UAB</w:t>
            </w:r>
          </w:p>
        </w:tc>
      </w:tr>
      <w:tr w:rsidR="004F39B8" w:rsidRPr="009463CD" w14:paraId="44D06F1B" w14:textId="77777777" w:rsidTr="000D5E12">
        <w:trPr>
          <w:trHeight w:val="479"/>
        </w:trPr>
        <w:tc>
          <w:tcPr>
            <w:tcW w:w="705" w:type="dxa"/>
          </w:tcPr>
          <w:p w14:paraId="315164E2" w14:textId="77777777" w:rsidR="004F39B8" w:rsidRPr="009463CD" w:rsidRDefault="004F39B8" w:rsidP="000D5E12">
            <w:pPr>
              <w:tabs>
                <w:tab w:val="left" w:pos="284"/>
              </w:tabs>
              <w:spacing w:line="280" w:lineRule="atLeast"/>
              <w:rPr>
                <w:rFonts w:eastAsia="Arial"/>
                <w:b/>
              </w:rPr>
            </w:pPr>
            <w:r w:rsidRPr="009463CD">
              <w:rPr>
                <w:rFonts w:eastAsia="Arial"/>
                <w:b/>
              </w:rPr>
              <w:t>1.2</w:t>
            </w:r>
          </w:p>
        </w:tc>
        <w:tc>
          <w:tcPr>
            <w:tcW w:w="4117" w:type="dxa"/>
          </w:tcPr>
          <w:p w14:paraId="1A980BDE"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Registracijos data (EVA)</w:t>
            </w:r>
          </w:p>
          <w:p w14:paraId="560C0E5A" w14:textId="77777777" w:rsidR="004F39B8" w:rsidRPr="009463CD" w:rsidRDefault="004F39B8" w:rsidP="000D5E12">
            <w:pPr>
              <w:tabs>
                <w:tab w:val="left" w:pos="284"/>
              </w:tabs>
              <w:spacing w:line="280" w:lineRule="atLeast"/>
              <w:rPr>
                <w:bCs/>
                <w:color w:val="000000"/>
                <w:lang w:eastAsia="lt-LT"/>
              </w:rPr>
            </w:pPr>
          </w:p>
        </w:tc>
        <w:tc>
          <w:tcPr>
            <w:tcW w:w="5096" w:type="dxa"/>
          </w:tcPr>
          <w:p w14:paraId="278F7035" w14:textId="77777777" w:rsidR="004F39B8" w:rsidRPr="009463CD" w:rsidRDefault="00000000" w:rsidP="000D5E12">
            <w:pPr>
              <w:pStyle w:val="ListParagraph"/>
              <w:spacing w:after="120"/>
              <w:ind w:left="0"/>
              <w:contextualSpacing w:val="0"/>
              <w:jc w:val="both"/>
              <w:rPr>
                <w:rStyle w:val="Style2"/>
              </w:rPr>
            </w:pPr>
            <w:sdt>
              <w:sdtPr>
                <w:rPr>
                  <w:sz w:val="32"/>
                </w:rPr>
                <w:alias w:val="Nurodykite konkrečią dieną"/>
                <w:tag w:val="Nurodykite pradžios datą"/>
                <w:id w:val="423238108"/>
                <w:placeholder>
                  <w:docPart w:val="5D1B531EE8774159A74F151C7D24BC66"/>
                </w:placeholder>
                <w15:color w:val="FFCC99"/>
                <w:date>
                  <w:dateFormat w:val="yyyy 'm.' MMMM d 'd.'"/>
                  <w:lid w:val="lt-LT"/>
                  <w:storeMappedDataAs w:val="dateTime"/>
                  <w:calendar w:val="gregorian"/>
                </w:date>
              </w:sdtPr>
              <w:sdtContent>
                <w:r w:rsidR="004F39B8" w:rsidRPr="009463CD">
                  <w:t>2014 gruodžio 16 d.</w:t>
                </w:r>
              </w:sdtContent>
            </w:sdt>
          </w:p>
        </w:tc>
      </w:tr>
      <w:tr w:rsidR="004F39B8" w:rsidRPr="009463CD" w14:paraId="1BA8E355" w14:textId="77777777" w:rsidTr="000D5E12">
        <w:trPr>
          <w:trHeight w:val="1328"/>
        </w:trPr>
        <w:tc>
          <w:tcPr>
            <w:tcW w:w="705" w:type="dxa"/>
          </w:tcPr>
          <w:p w14:paraId="0B432E16" w14:textId="77777777" w:rsidR="004F39B8" w:rsidRPr="009463CD" w:rsidRDefault="004F39B8" w:rsidP="000D5E12">
            <w:pPr>
              <w:tabs>
                <w:tab w:val="left" w:pos="284"/>
              </w:tabs>
              <w:spacing w:line="280" w:lineRule="atLeast"/>
              <w:rPr>
                <w:rFonts w:eastAsia="Arial"/>
                <w:b/>
              </w:rPr>
            </w:pPr>
            <w:r w:rsidRPr="009463CD">
              <w:rPr>
                <w:rFonts w:eastAsia="Arial"/>
                <w:b/>
              </w:rPr>
              <w:t>1.3</w:t>
            </w:r>
          </w:p>
        </w:tc>
        <w:tc>
          <w:tcPr>
            <w:tcW w:w="4117" w:type="dxa"/>
          </w:tcPr>
          <w:p w14:paraId="2B4BBC37" w14:textId="77777777" w:rsidR="004F39B8" w:rsidRPr="009463CD" w:rsidRDefault="004F39B8" w:rsidP="000D5E12">
            <w:pPr>
              <w:pStyle w:val="NoSpacing"/>
              <w:rPr>
                <w:rFonts w:ascii="Times New Roman" w:hAnsi="Times New Roman"/>
                <w:b/>
                <w:sz w:val="24"/>
                <w:szCs w:val="24"/>
              </w:rPr>
            </w:pPr>
            <w:r w:rsidRPr="009463CD">
              <w:rPr>
                <w:rFonts w:ascii="Times New Roman" w:hAnsi="Times New Roman"/>
                <w:b/>
                <w:sz w:val="24"/>
                <w:szCs w:val="24"/>
              </w:rPr>
              <w:t xml:space="preserve">Paraiškos tipas </w:t>
            </w:r>
          </w:p>
          <w:p w14:paraId="138042A1" w14:textId="77777777" w:rsidR="004F39B8" w:rsidRPr="009463CD" w:rsidRDefault="004F39B8" w:rsidP="000D5E12">
            <w:pPr>
              <w:rPr>
                <w:b/>
              </w:rPr>
            </w:pPr>
            <w:r w:rsidRPr="009463CD">
              <w:rPr>
                <w:b/>
              </w:rPr>
              <w:t xml:space="preserve">(pagal </w:t>
            </w:r>
            <w:r w:rsidRPr="009463CD">
              <w:rPr>
                <w:b/>
                <w:shd w:val="clear" w:color="auto" w:fill="FFFFFF"/>
              </w:rPr>
              <w:t>vaistinio preparato registracijos tipą, įtvirtintą</w:t>
            </w:r>
            <w:r w:rsidRPr="009463CD">
              <w:rPr>
                <w:b/>
              </w:rPr>
              <w:t xml:space="preserve"> Direktyvos 2001/83/EB straipsniuose)</w:t>
            </w:r>
          </w:p>
          <w:p w14:paraId="3A88DA41" w14:textId="77777777" w:rsidR="004F39B8" w:rsidRPr="009463CD" w:rsidRDefault="004F39B8" w:rsidP="000D5E12">
            <w:pPr>
              <w:tabs>
                <w:tab w:val="left" w:pos="284"/>
              </w:tabs>
              <w:spacing w:line="280" w:lineRule="atLeast"/>
              <w:rPr>
                <w:b/>
                <w:bCs/>
                <w:color w:val="000000"/>
                <w:lang w:eastAsia="lt-LT"/>
              </w:rPr>
            </w:pPr>
          </w:p>
        </w:tc>
        <w:tc>
          <w:tcPr>
            <w:tcW w:w="5096" w:type="dxa"/>
          </w:tcPr>
          <w:p w14:paraId="2F29B932" w14:textId="77777777" w:rsidR="004F39B8" w:rsidRPr="009463CD" w:rsidRDefault="00000000" w:rsidP="000D5E12">
            <w:sdt>
              <w:sdtPr>
                <w:rPr>
                  <w:rStyle w:val="Style2"/>
                </w:rPr>
                <w:id w:val="-366596377"/>
                <w15:color w:val="FFCC00"/>
                <w14:checkbox>
                  <w14:checked w14:val="1"/>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8.3 str. (pilna byla, pagrįsta savais tyrimais) </w:t>
            </w:r>
          </w:p>
          <w:p w14:paraId="6EB274E0" w14:textId="77777777" w:rsidR="004F39B8" w:rsidRPr="009463CD" w:rsidRDefault="00000000" w:rsidP="000D5E12">
            <w:sdt>
              <w:sdtPr>
                <w:rPr>
                  <w:rStyle w:val="Style2"/>
                </w:rPr>
                <w:id w:val="675462298"/>
                <w15:color w:val="FFCC00"/>
                <w14:checkbox>
                  <w14:checked w14:val="0"/>
                  <w14:checkedState w14:val="2612" w14:font="MS Gothic"/>
                  <w14:uncheckedState w14:val="2610" w14:font="MS Gothic"/>
                </w14:checkbox>
              </w:sdtPr>
              <w:sdtContent>
                <w:r w:rsidR="004F39B8" w:rsidRPr="009463CD">
                  <w:rPr>
                    <w:rStyle w:val="Style2"/>
                    <w:rFonts w:ascii="Segoe UI Symbol" w:eastAsia="MS Gothic" w:hAnsi="Segoe UI Symbol" w:cs="Segoe UI Symbol"/>
                  </w:rPr>
                  <w:t>☐</w:t>
                </w:r>
              </w:sdtContent>
            </w:sdt>
            <w:r w:rsidR="004F39B8" w:rsidRPr="009463CD">
              <w:t xml:space="preserve"> 10 a str. (pripažintas medicininis vartojimas) </w:t>
            </w:r>
          </w:p>
          <w:p w14:paraId="4F3A9AAD" w14:textId="77777777" w:rsidR="004F39B8" w:rsidRPr="009463CD" w:rsidRDefault="00000000" w:rsidP="000D5E12">
            <w:sdt>
              <w:sdtPr>
                <w:rPr>
                  <w:rStyle w:val="Style2"/>
                </w:rPr>
                <w:id w:val="-1290435890"/>
                <w15:color w:val="FFCC00"/>
                <w14:checkbox>
                  <w14:checked w14:val="0"/>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10.1 str. (generinis)</w:t>
            </w:r>
          </w:p>
          <w:p w14:paraId="164CCEDE" w14:textId="77777777" w:rsidR="004F39B8" w:rsidRPr="009463CD" w:rsidRDefault="00000000" w:rsidP="000D5E12">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4F39B8" w:rsidRPr="009463CD">
                  <w:rPr>
                    <w:rStyle w:val="Style2"/>
                    <w:rFonts w:ascii="Segoe UI Symbol" w:eastAsia="MS Gothic" w:hAnsi="Segoe UI Symbol" w:cs="Segoe UI Symbol"/>
                  </w:rPr>
                  <w:t>☐</w:t>
                </w:r>
              </w:sdtContent>
            </w:sdt>
            <w:r w:rsidR="004F39B8" w:rsidRPr="009463CD">
              <w:t xml:space="preserve"> 10.3 str. (hibridinis)</w:t>
            </w:r>
          </w:p>
        </w:tc>
      </w:tr>
      <w:tr w:rsidR="004F39B8" w:rsidRPr="009463CD" w14:paraId="64056F78" w14:textId="77777777" w:rsidTr="000D5E12">
        <w:trPr>
          <w:trHeight w:val="1109"/>
        </w:trPr>
        <w:tc>
          <w:tcPr>
            <w:tcW w:w="705" w:type="dxa"/>
          </w:tcPr>
          <w:p w14:paraId="3925EEB3" w14:textId="77777777" w:rsidR="004F39B8" w:rsidRPr="009463CD" w:rsidRDefault="004F39B8" w:rsidP="000D5E12">
            <w:pPr>
              <w:tabs>
                <w:tab w:val="left" w:pos="284"/>
              </w:tabs>
              <w:spacing w:line="280" w:lineRule="atLeast"/>
              <w:rPr>
                <w:rFonts w:eastAsia="Arial"/>
                <w:b/>
              </w:rPr>
            </w:pPr>
            <w:r w:rsidRPr="009463CD">
              <w:rPr>
                <w:rFonts w:eastAsia="Arial"/>
                <w:b/>
              </w:rPr>
              <w:t>1.4</w:t>
            </w:r>
          </w:p>
        </w:tc>
        <w:tc>
          <w:tcPr>
            <w:tcW w:w="4117" w:type="dxa"/>
          </w:tcPr>
          <w:p w14:paraId="7F43130E"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Ar vaistinis preparatas įrašytas į Bendrijos retųjų vaistinių preparatų registrą?</w:t>
            </w:r>
          </w:p>
          <w:p w14:paraId="4B3EEB9C" w14:textId="77777777" w:rsidR="004F39B8" w:rsidRPr="009463CD" w:rsidRDefault="004F39B8" w:rsidP="000D5E12">
            <w:pPr>
              <w:tabs>
                <w:tab w:val="left" w:pos="284"/>
              </w:tabs>
              <w:spacing w:line="280" w:lineRule="atLeast"/>
              <w:jc w:val="both"/>
              <w:rPr>
                <w:b/>
                <w:bCs/>
                <w:color w:val="000000"/>
                <w:sz w:val="22"/>
                <w:szCs w:val="22"/>
                <w:lang w:eastAsia="lt-LT"/>
              </w:rPr>
            </w:pPr>
          </w:p>
        </w:tc>
        <w:tc>
          <w:tcPr>
            <w:tcW w:w="5096" w:type="dxa"/>
          </w:tcPr>
          <w:p w14:paraId="47E18C53" w14:textId="77777777" w:rsidR="004F39B8" w:rsidRPr="009463CD" w:rsidRDefault="00000000" w:rsidP="000D5E12">
            <w:sdt>
              <w:sdtPr>
                <w:rPr>
                  <w:rStyle w:val="Style2"/>
                </w:rPr>
                <w:id w:val="2024432173"/>
                <w15:color w:val="FFCC00"/>
                <w14:checkbox>
                  <w14:checked w14:val="0"/>
                  <w14:checkedState w14:val="2612" w14:font="MS Gothic"/>
                  <w14:uncheckedState w14:val="2610" w14:font="MS Gothic"/>
                </w14:checkbox>
              </w:sdtPr>
              <w:sdtContent>
                <w:r w:rsidR="004F39B8" w:rsidRPr="009463CD">
                  <w:rPr>
                    <w:rStyle w:val="Style2"/>
                    <w:rFonts w:ascii="Segoe UI Symbol" w:eastAsia="MS Gothic" w:hAnsi="Segoe UI Symbol" w:cs="Segoe UI Symbol"/>
                  </w:rPr>
                  <w:t>☐</w:t>
                </w:r>
              </w:sdtContent>
            </w:sdt>
            <w:r w:rsidR="004F39B8" w:rsidRPr="009463CD">
              <w:t xml:space="preserve"> Taip</w:t>
            </w:r>
          </w:p>
          <w:p w14:paraId="32D11F06" w14:textId="77777777" w:rsidR="004F39B8" w:rsidRPr="009463CD" w:rsidRDefault="00000000" w:rsidP="000D5E12">
            <w:sdt>
              <w:sdtPr>
                <w:rPr>
                  <w:rStyle w:val="Style2"/>
                </w:rPr>
                <w:id w:val="-970507926"/>
                <w15:color w:val="FFCC00"/>
                <w14:checkbox>
                  <w14:checked w14:val="1"/>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Ne</w:t>
            </w:r>
          </w:p>
          <w:p w14:paraId="1B9FFEFA" w14:textId="77777777" w:rsidR="004F39B8" w:rsidRPr="009463CD" w:rsidRDefault="00000000" w:rsidP="000D5E12">
            <w:pPr>
              <w:rPr>
                <w:rFonts w:eastAsia="Arial"/>
                <w:b/>
              </w:rPr>
            </w:pPr>
            <w:sdt>
              <w:sdtPr>
                <w:alias w:val="Nurodykite konkrečią dieną"/>
                <w:tag w:val="Nurodykite pradžios datą"/>
                <w:id w:val="693498901"/>
                <w:placeholder>
                  <w:docPart w:val="9F6DC770B7CD44C2823B997493D494FC"/>
                </w:placeholder>
                <w:showingPlcHdr/>
                <w15:color w:val="FFCC99"/>
                <w:date w:fullDate="2022-05-18T00:00:00Z">
                  <w:dateFormat w:val="yyyy 'm.' MMMM d 'd.'"/>
                  <w:lid w:val="lt-LT"/>
                  <w:storeMappedDataAs w:val="dateTime"/>
                  <w:calendar w:val="gregorian"/>
                </w:date>
              </w:sdtPr>
              <w:sdtContent>
                <w:r w:rsidR="004F39B8" w:rsidRPr="009463CD">
                  <w:rPr>
                    <w:rStyle w:val="PlaceholderText"/>
                  </w:rPr>
                  <w:t>Click here to enter a date.</w:t>
                </w:r>
              </w:sdtContent>
            </w:sdt>
          </w:p>
        </w:tc>
      </w:tr>
      <w:tr w:rsidR="004F39B8" w:rsidRPr="009463CD" w14:paraId="1EDB1A86" w14:textId="77777777" w:rsidTr="000D5E12">
        <w:trPr>
          <w:trHeight w:val="958"/>
        </w:trPr>
        <w:tc>
          <w:tcPr>
            <w:tcW w:w="705" w:type="dxa"/>
            <w:tcBorders>
              <w:bottom w:val="single" w:sz="4" w:space="0" w:color="auto"/>
            </w:tcBorders>
          </w:tcPr>
          <w:p w14:paraId="3F9246B4" w14:textId="77777777" w:rsidR="004F39B8" w:rsidRPr="009463CD" w:rsidRDefault="004F39B8" w:rsidP="000D5E12">
            <w:pPr>
              <w:tabs>
                <w:tab w:val="left" w:pos="284"/>
              </w:tabs>
              <w:spacing w:line="280" w:lineRule="atLeast"/>
              <w:rPr>
                <w:rFonts w:eastAsia="Arial"/>
                <w:b/>
              </w:rPr>
            </w:pPr>
            <w:r w:rsidRPr="009463CD">
              <w:rPr>
                <w:rFonts w:eastAsia="Arial"/>
                <w:b/>
              </w:rPr>
              <w:t>1.5</w:t>
            </w:r>
          </w:p>
        </w:tc>
        <w:tc>
          <w:tcPr>
            <w:tcW w:w="4117" w:type="dxa"/>
            <w:tcBorders>
              <w:bottom w:val="single" w:sz="4" w:space="0" w:color="auto"/>
            </w:tcBorders>
          </w:tcPr>
          <w:p w14:paraId="69AF47BF"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Pareiškėjo teikiama (-os) kompensuoti preparato indikacija (-os)</w:t>
            </w:r>
          </w:p>
          <w:p w14:paraId="04605ADC"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 xml:space="preserve">Kodas pagal TLK-10 AM  </w:t>
            </w:r>
          </w:p>
        </w:tc>
        <w:tc>
          <w:tcPr>
            <w:tcW w:w="5096" w:type="dxa"/>
            <w:tcBorders>
              <w:bottom w:val="single" w:sz="4" w:space="0" w:color="auto"/>
            </w:tcBorders>
          </w:tcPr>
          <w:p w14:paraId="7F8A4FAF" w14:textId="77777777" w:rsidR="004F39B8" w:rsidRPr="009463CD" w:rsidRDefault="004F39B8" w:rsidP="000D5E12">
            <w:pPr>
              <w:pStyle w:val="Tekstas"/>
              <w:rPr>
                <w:rFonts w:eastAsia="Arial"/>
              </w:rPr>
            </w:pPr>
            <w:r w:rsidRPr="009463CD">
              <w:rPr>
                <w:rFonts w:eastAsia="Arial"/>
              </w:rPr>
              <w:t xml:space="preserve">Monoterapijai arba kartu su endokrininiais vaistiniais preparatais – suaugusiųjų pacientų, sergančių germinacinių </w:t>
            </w:r>
            <w:r w:rsidRPr="009463CD">
              <w:rPr>
                <w:rFonts w:eastAsia="Arial"/>
                <w:i/>
              </w:rPr>
              <w:t>BRCA1/2</w:t>
            </w:r>
            <w:r w:rsidRPr="009463CD">
              <w:rPr>
                <w:rFonts w:eastAsia="Arial"/>
              </w:rPr>
              <w:t xml:space="preserve"> mutacijų turinčiu HER2 neigiamu didelės rizikos ankstyvuoju krūties vėžiu, adjuvantiniam gydymui po anksčiau taikytos neoadjuvantinės arba adjuvantinės chemoterapijos.</w:t>
            </w:r>
          </w:p>
          <w:p w14:paraId="781FDB64" w14:textId="77777777" w:rsidR="004F39B8" w:rsidRPr="009463CD" w:rsidRDefault="004F39B8" w:rsidP="000D5E12">
            <w:pPr>
              <w:pStyle w:val="Tekstas"/>
              <w:rPr>
                <w:rFonts w:eastAsia="Arial"/>
                <w:i/>
              </w:rPr>
            </w:pPr>
            <w:r w:rsidRPr="009463CD">
              <w:rPr>
                <w:rFonts w:eastAsia="Arial"/>
              </w:rPr>
              <w:t>TLK-10 C50</w:t>
            </w:r>
          </w:p>
          <w:p w14:paraId="79307E0A" w14:textId="77777777" w:rsidR="004F39B8" w:rsidRPr="009463CD" w:rsidRDefault="004F39B8" w:rsidP="000D5E12">
            <w:pPr>
              <w:pStyle w:val="ListParagraph"/>
              <w:spacing w:after="120"/>
              <w:ind w:left="0"/>
              <w:contextualSpacing w:val="0"/>
              <w:jc w:val="both"/>
            </w:pPr>
          </w:p>
          <w:p w14:paraId="5460496E" w14:textId="77777777" w:rsidR="004F39B8" w:rsidRPr="009463CD" w:rsidRDefault="004F39B8" w:rsidP="000D5E12">
            <w:pPr>
              <w:pStyle w:val="ListParagraph"/>
              <w:spacing w:after="120"/>
              <w:ind w:left="0"/>
              <w:contextualSpacing w:val="0"/>
              <w:jc w:val="both"/>
            </w:pPr>
          </w:p>
          <w:p w14:paraId="0CEDEE49" w14:textId="77777777" w:rsidR="004F39B8" w:rsidRPr="009463CD" w:rsidRDefault="004F39B8" w:rsidP="000D5E12">
            <w:pPr>
              <w:pStyle w:val="ListParagraph"/>
              <w:spacing w:after="120"/>
              <w:ind w:left="0"/>
              <w:contextualSpacing w:val="0"/>
              <w:jc w:val="both"/>
            </w:pPr>
          </w:p>
        </w:tc>
      </w:tr>
      <w:tr w:rsidR="004F39B8" w:rsidRPr="009463CD" w14:paraId="4E700477" w14:textId="77777777" w:rsidTr="000D5E12">
        <w:trPr>
          <w:trHeight w:val="479"/>
        </w:trPr>
        <w:tc>
          <w:tcPr>
            <w:tcW w:w="705" w:type="dxa"/>
            <w:tcBorders>
              <w:top w:val="single" w:sz="4" w:space="0" w:color="auto"/>
              <w:left w:val="single" w:sz="4" w:space="0" w:color="auto"/>
              <w:bottom w:val="single" w:sz="4" w:space="0" w:color="auto"/>
              <w:right w:val="single" w:sz="4" w:space="0" w:color="auto"/>
            </w:tcBorders>
          </w:tcPr>
          <w:p w14:paraId="56953C67" w14:textId="77777777" w:rsidR="004F39B8" w:rsidRPr="009463CD" w:rsidRDefault="004F39B8" w:rsidP="000D5E12">
            <w:pPr>
              <w:tabs>
                <w:tab w:val="left" w:pos="284"/>
              </w:tabs>
              <w:spacing w:line="280" w:lineRule="atLeast"/>
              <w:rPr>
                <w:rFonts w:eastAsia="Arial"/>
                <w:b/>
              </w:rPr>
            </w:pPr>
            <w:r w:rsidRPr="009463CD">
              <w:rPr>
                <w:rFonts w:eastAsia="Arial"/>
                <w:b/>
              </w:rPr>
              <w:lastRenderedPageBreak/>
              <w:t>1.6</w:t>
            </w:r>
          </w:p>
        </w:tc>
        <w:tc>
          <w:tcPr>
            <w:tcW w:w="4117" w:type="dxa"/>
            <w:tcBorders>
              <w:top w:val="single" w:sz="4" w:space="0" w:color="auto"/>
              <w:left w:val="single" w:sz="4" w:space="0" w:color="auto"/>
              <w:bottom w:val="single" w:sz="4" w:space="0" w:color="auto"/>
              <w:right w:val="single" w:sz="4" w:space="0" w:color="auto"/>
            </w:tcBorders>
          </w:tcPr>
          <w:p w14:paraId="363B1E53" w14:textId="77777777" w:rsidR="004F39B8" w:rsidRPr="009463CD" w:rsidRDefault="004F39B8" w:rsidP="000D5E12">
            <w:pPr>
              <w:tabs>
                <w:tab w:val="left" w:pos="284"/>
              </w:tabs>
              <w:spacing w:line="280" w:lineRule="atLeast"/>
              <w:rPr>
                <w:bCs/>
                <w:color w:val="000000"/>
                <w:u w:val="single"/>
                <w:lang w:eastAsia="lt-LT"/>
              </w:rPr>
            </w:pPr>
            <w:r w:rsidRPr="009463CD">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15072701" w14:textId="77777777" w:rsidR="004F39B8" w:rsidRPr="009463CD" w:rsidRDefault="004F39B8" w:rsidP="000D5E12">
            <w:pPr>
              <w:pStyle w:val="ListParagraph"/>
              <w:spacing w:after="120"/>
              <w:ind w:left="0"/>
              <w:contextualSpacing w:val="0"/>
              <w:jc w:val="both"/>
            </w:pPr>
            <w:r w:rsidRPr="009463CD">
              <w:t>Nesiūloma</w:t>
            </w:r>
          </w:p>
        </w:tc>
      </w:tr>
      <w:tr w:rsidR="004F39B8" w:rsidRPr="009463CD" w14:paraId="35C10584" w14:textId="77777777" w:rsidTr="000D5E12">
        <w:trPr>
          <w:trHeight w:val="479"/>
        </w:trPr>
        <w:tc>
          <w:tcPr>
            <w:tcW w:w="705" w:type="dxa"/>
            <w:tcBorders>
              <w:top w:val="single" w:sz="4" w:space="0" w:color="auto"/>
              <w:left w:val="single" w:sz="4" w:space="0" w:color="auto"/>
              <w:bottom w:val="single" w:sz="4" w:space="0" w:color="auto"/>
              <w:right w:val="single" w:sz="4" w:space="0" w:color="auto"/>
            </w:tcBorders>
          </w:tcPr>
          <w:p w14:paraId="3A681E6D" w14:textId="77777777" w:rsidR="004F39B8" w:rsidRPr="009463CD" w:rsidRDefault="004F39B8" w:rsidP="000D5E12">
            <w:pPr>
              <w:tabs>
                <w:tab w:val="left" w:pos="284"/>
              </w:tabs>
              <w:spacing w:line="280" w:lineRule="atLeast"/>
              <w:rPr>
                <w:rFonts w:eastAsia="Arial"/>
                <w:b/>
              </w:rPr>
            </w:pPr>
            <w:r w:rsidRPr="009463CD">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4764033B" w14:textId="77777777" w:rsidR="004F39B8" w:rsidRPr="009463CD" w:rsidRDefault="004F39B8" w:rsidP="000D5E12">
            <w:pPr>
              <w:tabs>
                <w:tab w:val="left" w:pos="284"/>
              </w:tabs>
              <w:spacing w:line="280" w:lineRule="atLeast"/>
              <w:rPr>
                <w:b/>
                <w:bCs/>
                <w:color w:val="000000"/>
                <w:lang w:eastAsia="lt-LT"/>
              </w:rPr>
            </w:pPr>
            <w:r w:rsidRPr="009463CD">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62DCBAC9" w14:textId="77777777" w:rsidR="004F39B8" w:rsidRPr="009463CD" w:rsidRDefault="00000000" w:rsidP="000D5E12">
            <w:sdt>
              <w:sdtPr>
                <w:rPr>
                  <w:rStyle w:val="Style2"/>
                </w:rPr>
                <w:id w:val="-468433535"/>
                <w15:color w:val="FFCC00"/>
                <w14:checkbox>
                  <w14:checked w14:val="1"/>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Pilna paraiška</w:t>
            </w:r>
          </w:p>
          <w:p w14:paraId="48F68E61" w14:textId="77777777" w:rsidR="004F39B8" w:rsidRPr="009463CD" w:rsidRDefault="00000000" w:rsidP="000D5E12">
            <w:pPr>
              <w:rPr>
                <w:rStyle w:val="Style2"/>
              </w:rPr>
            </w:pPr>
            <w:sdt>
              <w:sdtPr>
                <w:rPr>
                  <w:rStyle w:val="Style2"/>
                </w:rPr>
                <w:id w:val="-1489014904"/>
                <w15:color w:val="FFCC00"/>
                <w14:checkbox>
                  <w14:checked w14:val="0"/>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Supaprastinta paraiška</w:t>
            </w:r>
          </w:p>
        </w:tc>
      </w:tr>
      <w:tr w:rsidR="004F39B8" w:rsidRPr="009463CD" w14:paraId="29D49EFE" w14:textId="77777777" w:rsidTr="000D5E12">
        <w:trPr>
          <w:trHeight w:val="479"/>
        </w:trPr>
        <w:tc>
          <w:tcPr>
            <w:tcW w:w="705" w:type="dxa"/>
            <w:tcBorders>
              <w:top w:val="single" w:sz="4" w:space="0" w:color="auto"/>
              <w:left w:val="single" w:sz="4" w:space="0" w:color="auto"/>
              <w:bottom w:val="single" w:sz="4" w:space="0" w:color="auto"/>
              <w:right w:val="single" w:sz="4" w:space="0" w:color="auto"/>
            </w:tcBorders>
          </w:tcPr>
          <w:p w14:paraId="48FD7078" w14:textId="77777777" w:rsidR="004F39B8" w:rsidRPr="009463CD" w:rsidRDefault="004F39B8" w:rsidP="000D5E12">
            <w:pPr>
              <w:tabs>
                <w:tab w:val="left" w:pos="284"/>
              </w:tabs>
              <w:spacing w:line="280" w:lineRule="atLeast"/>
              <w:rPr>
                <w:rFonts w:eastAsia="Arial"/>
                <w:b/>
              </w:rPr>
            </w:pPr>
            <w:r w:rsidRPr="009463CD">
              <w:rPr>
                <w:rFonts w:eastAsia="Arial"/>
                <w:b/>
              </w:rPr>
              <w:t>1.8</w:t>
            </w:r>
          </w:p>
        </w:tc>
        <w:tc>
          <w:tcPr>
            <w:tcW w:w="4117" w:type="dxa"/>
            <w:tcBorders>
              <w:top w:val="single" w:sz="4" w:space="0" w:color="auto"/>
              <w:left w:val="single" w:sz="4" w:space="0" w:color="auto"/>
              <w:bottom w:val="single" w:sz="4" w:space="0" w:color="auto"/>
              <w:right w:val="single" w:sz="4" w:space="0" w:color="auto"/>
            </w:tcBorders>
          </w:tcPr>
          <w:p w14:paraId="3DD08B6D" w14:textId="77777777" w:rsidR="004F39B8" w:rsidRPr="0041602F" w:rsidRDefault="004F39B8" w:rsidP="000D5E12">
            <w:pPr>
              <w:tabs>
                <w:tab w:val="left" w:pos="284"/>
              </w:tabs>
              <w:spacing w:line="280" w:lineRule="atLeast"/>
              <w:rPr>
                <w:b/>
                <w:bCs/>
                <w:color w:val="000000"/>
                <w:lang w:eastAsia="lt-LT"/>
              </w:rPr>
            </w:pPr>
            <w:r w:rsidRPr="0041602F">
              <w:rPr>
                <w:b/>
                <w:bCs/>
                <w:color w:val="000000"/>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tcPr>
          <w:p w14:paraId="0481BAA7" w14:textId="68D5DC0E" w:rsidR="004F39B8" w:rsidRPr="0041602F" w:rsidRDefault="00000000" w:rsidP="000D5E12">
            <w:sdt>
              <w:sdtPr>
                <w:rPr>
                  <w:rStyle w:val="Style2"/>
                </w:rPr>
                <w:id w:val="1348903796"/>
                <w15:color w:val="FFCC00"/>
                <w14:checkbox>
                  <w14:checked w14:val="1"/>
                  <w14:checkedState w14:val="2612" w14:font="MS Gothic"/>
                  <w14:uncheckedState w14:val="2610" w14:font="MS Gothic"/>
                </w14:checkbox>
              </w:sdtPr>
              <w:sdtContent>
                <w:r w:rsidR="0041602F" w:rsidRPr="0041602F">
                  <w:rPr>
                    <w:rStyle w:val="Style2"/>
                    <w:rFonts w:ascii="MS Gothic" w:eastAsia="MS Gothic" w:hAnsi="MS Gothic" w:hint="eastAsia"/>
                  </w:rPr>
                  <w:t>☒</w:t>
                </w:r>
              </w:sdtContent>
            </w:sdt>
            <w:r w:rsidR="004F39B8" w:rsidRPr="0041602F">
              <w:t xml:space="preserve"> Tiesioginis palyginimas</w:t>
            </w:r>
          </w:p>
          <w:p w14:paraId="7FE25B47" w14:textId="77777777" w:rsidR="004F39B8" w:rsidRPr="0041602F" w:rsidRDefault="00000000" w:rsidP="000D5E12">
            <w:sdt>
              <w:sdtPr>
                <w:rPr>
                  <w:sz w:val="32"/>
                  <w:szCs w:val="32"/>
                </w:rPr>
                <w:id w:val="-210416744"/>
                <w15:color w:val="FFCC00"/>
                <w14:checkbox>
                  <w14:checked w14:val="0"/>
                  <w14:checkedState w14:val="2612" w14:font="MS Gothic"/>
                  <w14:uncheckedState w14:val="2610" w14:font="MS Gothic"/>
                </w14:checkbox>
              </w:sdtPr>
              <w:sdtContent>
                <w:r w:rsidR="004F39B8" w:rsidRPr="0041602F">
                  <w:rPr>
                    <w:rFonts w:ascii="Segoe UI Symbol" w:eastAsia="MS Gothic" w:hAnsi="Segoe UI Symbol" w:cs="Segoe UI Symbol"/>
                    <w:sz w:val="32"/>
                    <w:szCs w:val="32"/>
                  </w:rPr>
                  <w:t>☐</w:t>
                </w:r>
              </w:sdtContent>
            </w:sdt>
            <w:r w:rsidR="004F39B8" w:rsidRPr="0041602F">
              <w:t xml:space="preserve"> Netiesioginis palyginimas</w:t>
            </w:r>
          </w:p>
        </w:tc>
      </w:tr>
      <w:tr w:rsidR="004F39B8" w:rsidRPr="009463CD" w14:paraId="66DE49E8" w14:textId="77777777" w:rsidTr="000D5E12">
        <w:trPr>
          <w:trHeight w:val="479"/>
        </w:trPr>
        <w:tc>
          <w:tcPr>
            <w:tcW w:w="705" w:type="dxa"/>
            <w:tcBorders>
              <w:top w:val="single" w:sz="4" w:space="0" w:color="auto"/>
              <w:left w:val="single" w:sz="4" w:space="0" w:color="auto"/>
              <w:bottom w:val="single" w:sz="4" w:space="0" w:color="auto"/>
              <w:right w:val="single" w:sz="4" w:space="0" w:color="auto"/>
            </w:tcBorders>
          </w:tcPr>
          <w:p w14:paraId="5CE434D6" w14:textId="77777777" w:rsidR="004F39B8" w:rsidRPr="009463CD" w:rsidRDefault="004F39B8" w:rsidP="000D5E12">
            <w:pPr>
              <w:tabs>
                <w:tab w:val="left" w:pos="284"/>
              </w:tabs>
              <w:spacing w:line="280" w:lineRule="atLeast"/>
              <w:rPr>
                <w:rFonts w:eastAsia="Arial"/>
                <w:b/>
              </w:rPr>
            </w:pPr>
            <w:r w:rsidRPr="009463CD">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39CBE948" w14:textId="77777777" w:rsidR="004F39B8" w:rsidRPr="009463CD" w:rsidRDefault="004F39B8" w:rsidP="000D5E12">
            <w:pPr>
              <w:tabs>
                <w:tab w:val="left" w:pos="284"/>
              </w:tabs>
              <w:spacing w:line="280" w:lineRule="atLeast"/>
              <w:rPr>
                <w:b/>
                <w:bCs/>
                <w:color w:val="000000"/>
                <w:lang w:eastAsia="lt-LT"/>
              </w:rPr>
            </w:pPr>
            <w:r w:rsidRPr="009463CD">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5EC14C71" w14:textId="79AA4B97" w:rsidR="004F39B8" w:rsidRPr="0041602F" w:rsidRDefault="00000000" w:rsidP="000D5E12">
            <w:sdt>
              <w:sdtPr>
                <w:rPr>
                  <w:rStyle w:val="Style2"/>
                </w:rPr>
                <w:id w:val="-836689216"/>
                <w15:color w:val="FFCC00"/>
                <w14:checkbox>
                  <w14:checked w14:val="1"/>
                  <w14:checkedState w14:val="2612" w14:font="MS Gothic"/>
                  <w14:uncheckedState w14:val="2610" w14:font="MS Gothic"/>
                </w14:checkbox>
              </w:sdtPr>
              <w:sdtContent>
                <w:r w:rsidR="0041602F" w:rsidRPr="0041602F">
                  <w:rPr>
                    <w:rStyle w:val="Style2"/>
                    <w:rFonts w:ascii="MS Gothic" w:eastAsia="MS Gothic" w:hAnsi="MS Gothic" w:hint="eastAsia"/>
                  </w:rPr>
                  <w:t>☒</w:t>
                </w:r>
              </w:sdtContent>
            </w:sdt>
            <w:r w:rsidR="004F39B8" w:rsidRPr="0041602F">
              <w:t xml:space="preserve"> Kaštų naudingumo analizė</w:t>
            </w:r>
          </w:p>
          <w:p w14:paraId="389E6A5C" w14:textId="77777777" w:rsidR="004F39B8" w:rsidRPr="009463CD" w:rsidRDefault="00000000" w:rsidP="000D5E12">
            <w:sdt>
              <w:sdtPr>
                <w:rPr>
                  <w:rStyle w:val="Style2"/>
                </w:rPr>
                <w:id w:val="2013950720"/>
                <w15:color w:val="FFCC00"/>
                <w14:checkbox>
                  <w14:checked w14:val="0"/>
                  <w14:checkedState w14:val="2612" w14:font="MS Gothic"/>
                  <w14:uncheckedState w14:val="2610" w14:font="MS Gothic"/>
                </w14:checkbox>
              </w:sdtPr>
              <w:sdtContent>
                <w:r w:rsidR="004F39B8" w:rsidRPr="0041602F">
                  <w:rPr>
                    <w:rStyle w:val="Style2"/>
                    <w:rFonts w:ascii="MS Gothic" w:eastAsia="MS Gothic" w:hAnsi="MS Gothic"/>
                  </w:rPr>
                  <w:t>☐</w:t>
                </w:r>
              </w:sdtContent>
            </w:sdt>
            <w:r w:rsidR="004F39B8" w:rsidRPr="0041602F">
              <w:t xml:space="preserve"> Kaštų mažinimo analizė</w:t>
            </w:r>
          </w:p>
          <w:p w14:paraId="3063270F" w14:textId="77777777" w:rsidR="004F39B8" w:rsidRPr="009463CD" w:rsidRDefault="00000000" w:rsidP="000D5E12">
            <w:sdt>
              <w:sdtPr>
                <w:rPr>
                  <w:rStyle w:val="Style2"/>
                </w:rPr>
                <w:id w:val="362025833"/>
                <w15:color w:val="FFCC00"/>
                <w14:checkbox>
                  <w14:checked w14:val="0"/>
                  <w14:checkedState w14:val="2612" w14:font="MS Gothic"/>
                  <w14:uncheckedState w14:val="2610" w14:font="MS Gothic"/>
                </w14:checkbox>
              </w:sdtPr>
              <w:sdtContent>
                <w:r w:rsidR="004F39B8" w:rsidRPr="009463CD">
                  <w:rPr>
                    <w:rStyle w:val="Style2"/>
                    <w:rFonts w:ascii="Segoe UI Symbol" w:eastAsia="MS Gothic" w:hAnsi="Segoe UI Symbol" w:cs="Segoe UI Symbol"/>
                  </w:rPr>
                  <w:t>☐</w:t>
                </w:r>
              </w:sdtContent>
            </w:sdt>
            <w:r w:rsidR="004F39B8" w:rsidRPr="009463CD">
              <w:t xml:space="preserve"> Kita: </w:t>
            </w:r>
            <w:sdt>
              <w:sdtPr>
                <w:alias w:val="Įrašykite"/>
                <w:tag w:val="Įrašykite"/>
                <w:id w:val="-16472040"/>
                <w:placeholder>
                  <w:docPart w:val="2E19D2E2F2D54440A9FC184608F56C2E"/>
                </w:placeholder>
                <w15:color w:val="FFCC99"/>
              </w:sdtPr>
              <w:sdtContent>
                <w:r w:rsidR="004F39B8" w:rsidRPr="009463CD">
                  <w:t>_________________</w:t>
                </w:r>
              </w:sdtContent>
            </w:sdt>
            <w:r w:rsidR="004F39B8" w:rsidRPr="009463CD">
              <w:t xml:space="preserve"> </w:t>
            </w:r>
          </w:p>
        </w:tc>
      </w:tr>
    </w:tbl>
    <w:p w14:paraId="108176F7" w14:textId="3D3163D5" w:rsidR="00F70C9E" w:rsidRPr="009463CD" w:rsidRDefault="00F70C9E" w:rsidP="00E03C3F">
      <w:pPr>
        <w:pStyle w:val="ListParagraph"/>
        <w:tabs>
          <w:tab w:val="left" w:pos="426"/>
        </w:tabs>
        <w:ind w:left="0"/>
        <w:rPr>
          <w:b/>
          <w:bCs/>
          <w:caps/>
        </w:rPr>
      </w:pPr>
    </w:p>
    <w:p w14:paraId="1948C8BA" w14:textId="77777777" w:rsidR="008B2311" w:rsidRPr="009463CD" w:rsidRDefault="008B2311" w:rsidP="00E03C3F">
      <w:pPr>
        <w:pStyle w:val="ListParagraph"/>
        <w:tabs>
          <w:tab w:val="left" w:pos="426"/>
        </w:tabs>
        <w:ind w:left="0"/>
        <w:rPr>
          <w:b/>
          <w:bCs/>
          <w:caps/>
        </w:rPr>
      </w:pPr>
    </w:p>
    <w:p w14:paraId="1242813B" w14:textId="75D28358" w:rsidR="0032204D" w:rsidRPr="009463CD" w:rsidRDefault="00F70C9E" w:rsidP="0032204D">
      <w:pPr>
        <w:pStyle w:val="ListParagraph"/>
        <w:numPr>
          <w:ilvl w:val="1"/>
          <w:numId w:val="12"/>
        </w:numPr>
        <w:spacing w:line="276" w:lineRule="auto"/>
        <w:jc w:val="both"/>
        <w:rPr>
          <w:rFonts w:eastAsia="Arial"/>
          <w:b/>
        </w:rPr>
      </w:pPr>
      <w:r w:rsidRPr="009463CD">
        <w:rPr>
          <w:rFonts w:eastAsia="Arial"/>
          <w:b/>
        </w:rPr>
        <w:t xml:space="preserve">Kitų </w:t>
      </w:r>
      <w:r w:rsidR="00DF583C" w:rsidRPr="009463CD">
        <w:rPr>
          <w:rFonts w:eastAsia="Arial"/>
          <w:b/>
        </w:rPr>
        <w:t xml:space="preserve">valstybių </w:t>
      </w:r>
      <w:r w:rsidRPr="009463CD">
        <w:rPr>
          <w:rFonts w:eastAsia="Arial"/>
          <w:b/>
        </w:rPr>
        <w:t xml:space="preserve">atsakingų institucijų atlikto </w:t>
      </w:r>
      <w:r w:rsidR="00DF583C" w:rsidRPr="009463CD">
        <w:rPr>
          <w:rFonts w:eastAsia="Arial"/>
          <w:b/>
        </w:rPr>
        <w:t>Sveikatos technologijų vertinimo (toliau – STV)</w:t>
      </w:r>
      <w:r w:rsidRPr="009463CD">
        <w:rPr>
          <w:rFonts w:eastAsia="Arial"/>
          <w:b/>
        </w:rPr>
        <w:t xml:space="preserve"> išvados</w:t>
      </w:r>
    </w:p>
    <w:p w14:paraId="2805AC0C" w14:textId="7CA6238B" w:rsidR="0032204D" w:rsidRPr="009463CD" w:rsidRDefault="0032204D" w:rsidP="0032204D">
      <w:pPr>
        <w:pStyle w:val="ListParagraph"/>
        <w:spacing w:line="276" w:lineRule="auto"/>
        <w:jc w:val="both"/>
        <w:rPr>
          <w:rFonts w:eastAsia="Arial"/>
          <w:b/>
        </w:rPr>
      </w:pPr>
    </w:p>
    <w:tbl>
      <w:tblPr>
        <w:tblStyle w:val="TableGrid"/>
        <w:tblW w:w="9918" w:type="dxa"/>
        <w:tblLook w:val="04A0" w:firstRow="1" w:lastRow="0" w:firstColumn="1" w:lastColumn="0" w:noHBand="0" w:noVBand="1"/>
      </w:tblPr>
      <w:tblGrid>
        <w:gridCol w:w="2927"/>
        <w:gridCol w:w="1915"/>
        <w:gridCol w:w="2351"/>
        <w:gridCol w:w="2725"/>
      </w:tblGrid>
      <w:tr w:rsidR="004F39B8" w:rsidRPr="009463CD" w14:paraId="398B4505" w14:textId="77777777" w:rsidTr="000D5E12">
        <w:trPr>
          <w:trHeight w:val="924"/>
        </w:trPr>
        <w:tc>
          <w:tcPr>
            <w:tcW w:w="2927" w:type="dxa"/>
          </w:tcPr>
          <w:p w14:paraId="79C131A6" w14:textId="77777777" w:rsidR="004F39B8" w:rsidRPr="009463CD" w:rsidRDefault="004F39B8" w:rsidP="000D5E12">
            <w:pPr>
              <w:spacing w:line="276" w:lineRule="auto"/>
              <w:rPr>
                <w:rFonts w:eastAsia="Arial"/>
              </w:rPr>
            </w:pPr>
            <w:r w:rsidRPr="009463CD">
              <w:rPr>
                <w:rFonts w:eastAsia="Arial"/>
              </w:rPr>
              <w:t>STV agentūros pavadinimas, šalis</w:t>
            </w:r>
          </w:p>
        </w:tc>
        <w:tc>
          <w:tcPr>
            <w:tcW w:w="1915" w:type="dxa"/>
          </w:tcPr>
          <w:p w14:paraId="039AAFAF" w14:textId="77777777" w:rsidR="004F39B8" w:rsidRPr="009463CD" w:rsidRDefault="004F39B8" w:rsidP="000D5E12">
            <w:pPr>
              <w:spacing w:line="276" w:lineRule="auto"/>
              <w:rPr>
                <w:rFonts w:eastAsia="Arial"/>
              </w:rPr>
            </w:pPr>
            <w:r w:rsidRPr="009463CD">
              <w:rPr>
                <w:rFonts w:eastAsia="Arial"/>
              </w:rPr>
              <w:t>STV vertinimas atliktas</w:t>
            </w:r>
          </w:p>
        </w:tc>
        <w:tc>
          <w:tcPr>
            <w:tcW w:w="2351" w:type="dxa"/>
          </w:tcPr>
          <w:p w14:paraId="60528225" w14:textId="77777777" w:rsidR="004F39B8" w:rsidRPr="009463CD" w:rsidRDefault="004F39B8" w:rsidP="000D5E12">
            <w:pPr>
              <w:spacing w:line="276" w:lineRule="auto"/>
              <w:rPr>
                <w:rFonts w:eastAsia="Arial"/>
              </w:rPr>
            </w:pPr>
            <w:r w:rsidRPr="009463CD">
              <w:rPr>
                <w:rFonts w:eastAsia="Arial"/>
              </w:rPr>
              <w:t>Klinikinio vertinimo išvada</w:t>
            </w:r>
          </w:p>
        </w:tc>
        <w:tc>
          <w:tcPr>
            <w:tcW w:w="2725" w:type="dxa"/>
          </w:tcPr>
          <w:p w14:paraId="5857C0C6" w14:textId="77777777" w:rsidR="004F39B8" w:rsidRPr="009463CD" w:rsidRDefault="004F39B8" w:rsidP="000D5E12">
            <w:pPr>
              <w:spacing w:line="276" w:lineRule="auto"/>
              <w:rPr>
                <w:rFonts w:eastAsia="Arial"/>
              </w:rPr>
            </w:pPr>
            <w:r w:rsidRPr="009463CD">
              <w:rPr>
                <w:rFonts w:eastAsia="Arial"/>
              </w:rPr>
              <w:t>Farmakoekonominio vertinimo išvada</w:t>
            </w:r>
          </w:p>
        </w:tc>
      </w:tr>
      <w:tr w:rsidR="004F39B8" w:rsidRPr="009463CD" w14:paraId="655E9C9F" w14:textId="77777777" w:rsidTr="000D5E12">
        <w:trPr>
          <w:trHeight w:val="1765"/>
        </w:trPr>
        <w:tc>
          <w:tcPr>
            <w:tcW w:w="2927" w:type="dxa"/>
          </w:tcPr>
          <w:p w14:paraId="2EE3A988" w14:textId="77777777" w:rsidR="004F39B8" w:rsidRPr="009463CD" w:rsidRDefault="004F39B8" w:rsidP="000D5E12">
            <w:pPr>
              <w:autoSpaceDE w:val="0"/>
              <w:autoSpaceDN w:val="0"/>
              <w:adjustRightInd w:val="0"/>
              <w:rPr>
                <w:bCs/>
              </w:rPr>
            </w:pPr>
            <w:r w:rsidRPr="009463CD">
              <w:rPr>
                <w:bCs/>
              </w:rPr>
              <w:t>Nacionalinis sveikatos ir klinikinės kompetencijos institutas, Didžioji Britanija</w:t>
            </w:r>
          </w:p>
          <w:p w14:paraId="6EEBA2A4" w14:textId="77777777" w:rsidR="004F39B8" w:rsidRPr="009463CD" w:rsidRDefault="004F39B8" w:rsidP="000D5E12">
            <w:pPr>
              <w:spacing w:line="276" w:lineRule="auto"/>
              <w:rPr>
                <w:rFonts w:eastAsia="Arial"/>
              </w:rPr>
            </w:pPr>
            <w:r w:rsidRPr="009463CD">
              <w:rPr>
                <w:rFonts w:eastAsia="Arial"/>
              </w:rPr>
              <w:t xml:space="preserve">(angl. </w:t>
            </w:r>
            <w:r w:rsidRPr="009463CD">
              <w:rPr>
                <w:rFonts w:eastAsia="Arial"/>
                <w:i/>
              </w:rPr>
              <w:t>National Institute for Health and Care Excellence, NICE</w:t>
            </w:r>
            <w:r w:rsidRPr="009463CD">
              <w:rPr>
                <w:rFonts w:eastAsia="Arial"/>
              </w:rPr>
              <w:t>)</w:t>
            </w:r>
          </w:p>
        </w:tc>
        <w:tc>
          <w:tcPr>
            <w:tcW w:w="1915" w:type="dxa"/>
          </w:tcPr>
          <w:p w14:paraId="60CB5E6B" w14:textId="77777777" w:rsidR="004F39B8" w:rsidRPr="009463CD" w:rsidRDefault="00000000" w:rsidP="000D5E12">
            <w:sdt>
              <w:sdtPr>
                <w:rPr>
                  <w:rStyle w:val="Style2"/>
                </w:rPr>
                <w:id w:val="1558205022"/>
                <w15:color w:val="FFCC00"/>
                <w14:checkbox>
                  <w14:checked w14:val="1"/>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Taip</w:t>
            </w:r>
          </w:p>
          <w:p w14:paraId="74F21DFD" w14:textId="77777777" w:rsidR="004F39B8" w:rsidRPr="009463CD" w:rsidRDefault="00000000" w:rsidP="000D5E12">
            <w:sdt>
              <w:sdtPr>
                <w:rPr>
                  <w:rStyle w:val="Style2"/>
                </w:rPr>
                <w:id w:val="866029625"/>
                <w15:color w:val="FFCC00"/>
                <w14:checkbox>
                  <w14:checked w14:val="0"/>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Ne</w:t>
            </w:r>
          </w:p>
          <w:p w14:paraId="07755B10" w14:textId="77777777" w:rsidR="004F39B8" w:rsidRPr="009463CD" w:rsidRDefault="004F39B8" w:rsidP="000D5E12">
            <w:pPr>
              <w:rPr>
                <w:rFonts w:eastAsia="Arial"/>
              </w:rPr>
            </w:pPr>
            <w:r w:rsidRPr="009463CD">
              <w:rPr>
                <w:rFonts w:eastAsia="Arial"/>
              </w:rPr>
              <w:t>2023 m. balandžio 6 d.</w:t>
            </w:r>
          </w:p>
        </w:tc>
        <w:tc>
          <w:tcPr>
            <w:tcW w:w="5076" w:type="dxa"/>
            <w:gridSpan w:val="2"/>
          </w:tcPr>
          <w:p w14:paraId="3C333ADF" w14:textId="77777777" w:rsidR="004F39B8" w:rsidRPr="009463CD" w:rsidRDefault="004F39B8" w:rsidP="000D5E12">
            <w:pPr>
              <w:spacing w:line="276" w:lineRule="auto"/>
              <w:rPr>
                <w:rFonts w:eastAsia="Arial"/>
              </w:rPr>
            </w:pPr>
            <w:r w:rsidRPr="009463CD">
              <w:rPr>
                <w:rFonts w:eastAsia="Arial"/>
              </w:rPr>
              <w:t>Rekomenduojamas</w:t>
            </w:r>
          </w:p>
          <w:p w14:paraId="1466507C" w14:textId="77777777" w:rsidR="004F39B8" w:rsidRPr="009463CD" w:rsidRDefault="004F39B8" w:rsidP="000D5E12">
            <w:pPr>
              <w:spacing w:line="276" w:lineRule="auto"/>
              <w:rPr>
                <w:rFonts w:eastAsia="Arial"/>
              </w:rPr>
            </w:pPr>
            <w:r w:rsidRPr="009463CD">
              <w:rPr>
                <w:rFonts w:eastAsia="Arial"/>
              </w:rPr>
              <w:t xml:space="preserve">monoterapijai ar kartu su endokrininiais vaistiniais preparatais, kaip papildomas HER2 adjuvantinis gydymo variantas, suaugusiųjų pacientų, sergančių germinacinių </w:t>
            </w:r>
            <w:r w:rsidRPr="009463CD">
              <w:rPr>
                <w:rFonts w:eastAsia="Arial"/>
                <w:i/>
              </w:rPr>
              <w:t>BRCA1/2</w:t>
            </w:r>
            <w:r w:rsidRPr="009463CD">
              <w:rPr>
                <w:rFonts w:eastAsia="Arial"/>
              </w:rPr>
              <w:t xml:space="preserve"> mutacijų turinčiu HER2 neigiamu didelės rizikos ankstyvuoju krūties vėžiu, po anksčiau taikytos neoadjuvantinės arba adjuvantinės chemoterapijos.</w:t>
            </w:r>
          </w:p>
          <w:p w14:paraId="342A65DC" w14:textId="77777777" w:rsidR="004F39B8" w:rsidRPr="009463CD" w:rsidRDefault="004F39B8" w:rsidP="000D5E12">
            <w:pPr>
              <w:spacing w:line="276" w:lineRule="auto"/>
              <w:rPr>
                <w:rFonts w:eastAsia="Arial"/>
              </w:rPr>
            </w:pPr>
          </w:p>
          <w:p w14:paraId="59928755" w14:textId="77777777" w:rsidR="004F39B8" w:rsidRPr="009463CD" w:rsidRDefault="004F39B8" w:rsidP="000D5E12">
            <w:pPr>
              <w:spacing w:line="276" w:lineRule="auto"/>
              <w:rPr>
                <w:rFonts w:eastAsia="Arial"/>
              </w:rPr>
            </w:pPr>
            <w:r w:rsidRPr="009463CD">
              <w:rPr>
                <w:rFonts w:eastAsia="Arial"/>
              </w:rPr>
              <w:t>Tai rekomenduojama  tik tuo atveju, jei įmonė tai suteikia pagal komercinį susitarimą.</w:t>
            </w:r>
          </w:p>
        </w:tc>
      </w:tr>
      <w:tr w:rsidR="004F39B8" w:rsidRPr="009463CD" w14:paraId="7E7ABA9F" w14:textId="77777777" w:rsidTr="000D5E12">
        <w:trPr>
          <w:trHeight w:val="1547"/>
        </w:trPr>
        <w:tc>
          <w:tcPr>
            <w:tcW w:w="2927" w:type="dxa"/>
          </w:tcPr>
          <w:p w14:paraId="79AB6A4E" w14:textId="77777777" w:rsidR="004F39B8" w:rsidRPr="009463CD" w:rsidRDefault="004F39B8" w:rsidP="000D5E12">
            <w:pPr>
              <w:spacing w:line="276" w:lineRule="auto"/>
              <w:rPr>
                <w:rFonts w:eastAsia="Arial"/>
              </w:rPr>
            </w:pPr>
            <w:r w:rsidRPr="009463CD">
              <w:rPr>
                <w:rFonts w:eastAsia="Arial"/>
              </w:rPr>
              <w:t>Kanados sveikatos technologijų agentūra</w:t>
            </w:r>
          </w:p>
          <w:p w14:paraId="401A3DC7" w14:textId="77777777" w:rsidR="004F39B8" w:rsidRPr="009463CD" w:rsidRDefault="004F39B8" w:rsidP="000D5E12">
            <w:pPr>
              <w:spacing w:line="276" w:lineRule="auto"/>
              <w:rPr>
                <w:rFonts w:eastAsia="Arial"/>
              </w:rPr>
            </w:pPr>
            <w:r w:rsidRPr="009463CD">
              <w:rPr>
                <w:rFonts w:eastAsia="Arial"/>
              </w:rPr>
              <w:t xml:space="preserve">(angl. </w:t>
            </w:r>
            <w:r w:rsidRPr="009463CD">
              <w:rPr>
                <w:rFonts w:eastAsia="Arial"/>
                <w:i/>
              </w:rPr>
              <w:t>Canadian health Technology Assessment agency, CADTH</w:t>
            </w:r>
            <w:r w:rsidRPr="009463CD">
              <w:rPr>
                <w:rFonts w:eastAsia="Arial"/>
              </w:rPr>
              <w:t>)</w:t>
            </w:r>
          </w:p>
        </w:tc>
        <w:tc>
          <w:tcPr>
            <w:tcW w:w="1915" w:type="dxa"/>
          </w:tcPr>
          <w:p w14:paraId="49C0D67B" w14:textId="77777777" w:rsidR="004F39B8" w:rsidRPr="009463CD" w:rsidRDefault="00000000" w:rsidP="000D5E12">
            <w:sdt>
              <w:sdtPr>
                <w:rPr>
                  <w:rStyle w:val="Style2"/>
                </w:rPr>
                <w:id w:val="-372539057"/>
                <w15:color w:val="FFCC00"/>
                <w14:checkbox>
                  <w14:checked w14:val="1"/>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Taip</w:t>
            </w:r>
          </w:p>
          <w:p w14:paraId="05F108B3" w14:textId="77777777" w:rsidR="004F39B8" w:rsidRPr="009463CD" w:rsidRDefault="00000000" w:rsidP="000D5E12">
            <w:sdt>
              <w:sdtPr>
                <w:rPr>
                  <w:rStyle w:val="Style2"/>
                </w:rPr>
                <w:id w:val="594442222"/>
                <w15:color w:val="FFCC00"/>
                <w14:checkbox>
                  <w14:checked w14:val="0"/>
                  <w14:checkedState w14:val="2612" w14:font="MS Gothic"/>
                  <w14:uncheckedState w14:val="2610" w14:font="MS Gothic"/>
                </w14:checkbox>
              </w:sdtPr>
              <w:sdtContent>
                <w:r w:rsidR="004F39B8" w:rsidRPr="009463CD">
                  <w:rPr>
                    <w:rStyle w:val="Style2"/>
                    <w:rFonts w:ascii="Segoe UI Symbol" w:eastAsia="MS Gothic" w:hAnsi="Segoe UI Symbol" w:cs="Segoe UI Symbol"/>
                  </w:rPr>
                  <w:t>☐</w:t>
                </w:r>
              </w:sdtContent>
            </w:sdt>
            <w:r w:rsidR="004F39B8" w:rsidRPr="009463CD">
              <w:t xml:space="preserve"> Ne</w:t>
            </w:r>
          </w:p>
          <w:p w14:paraId="0AE7709B" w14:textId="77777777" w:rsidR="004F39B8" w:rsidRPr="009463CD" w:rsidRDefault="00000000" w:rsidP="000D5E12">
            <w:pPr>
              <w:spacing w:line="276" w:lineRule="auto"/>
              <w:rPr>
                <w:rFonts w:eastAsia="Arial"/>
              </w:rPr>
            </w:pPr>
            <w:sdt>
              <w:sdtPr>
                <w:alias w:val="Nurodykite konkrečią dieną"/>
                <w:tag w:val="Nurodykite pradžios datą"/>
                <w:id w:val="1072468416"/>
                <w:placeholder>
                  <w:docPart w:val="4FA0ED17652B4542A3B7E6F4A34D39F9"/>
                </w:placeholder>
                <w15:color w:val="FFCC99"/>
                <w:date>
                  <w:dateFormat w:val="yyyy 'm.' MMMM d 'd.'"/>
                  <w:lid w:val="lt-LT"/>
                  <w:storeMappedDataAs w:val="dateTime"/>
                  <w:calendar w:val="gregorian"/>
                </w:date>
              </w:sdtPr>
              <w:sdtContent>
                <w:r w:rsidR="004F39B8" w:rsidRPr="009463CD">
                  <w:t>2023 kovo 23 d.</w:t>
                </w:r>
              </w:sdtContent>
            </w:sdt>
          </w:p>
        </w:tc>
        <w:tc>
          <w:tcPr>
            <w:tcW w:w="5076" w:type="dxa"/>
            <w:gridSpan w:val="2"/>
          </w:tcPr>
          <w:p w14:paraId="6BD798E9" w14:textId="77777777" w:rsidR="004F39B8" w:rsidRPr="009463CD" w:rsidRDefault="004F39B8" w:rsidP="000D5E12">
            <w:pPr>
              <w:spacing w:line="276" w:lineRule="auto"/>
              <w:rPr>
                <w:rFonts w:eastAsia="Arial"/>
              </w:rPr>
            </w:pPr>
            <w:r w:rsidRPr="009463CD">
              <w:rPr>
                <w:rFonts w:eastAsia="Arial"/>
              </w:rPr>
              <w:t>Gydymas olaparibu turėtų būti pradėtas pacientams, įtariant žalingą gBRCAm, sergant HER2-neigiamu didelės rizikos ankstyvos stadijos krūties vėžiu, jei tenkinami šie kriterijai:</w:t>
            </w:r>
          </w:p>
          <w:p w14:paraId="49122219" w14:textId="77777777" w:rsidR="004F39B8" w:rsidRPr="009463CD" w:rsidRDefault="004F39B8" w:rsidP="004F39B8">
            <w:pPr>
              <w:pStyle w:val="ListParagraph"/>
              <w:numPr>
                <w:ilvl w:val="1"/>
                <w:numId w:val="22"/>
              </w:numPr>
              <w:spacing w:line="276" w:lineRule="auto"/>
              <w:rPr>
                <w:rFonts w:eastAsia="Arial"/>
              </w:rPr>
            </w:pPr>
            <w:r w:rsidRPr="009463CD">
              <w:rPr>
                <w:rFonts w:eastAsia="Arial"/>
              </w:rPr>
              <w:t>Pacientams, kuriems buvo atlikta operacija ir gavo adjuvantą chemoterapiją:</w:t>
            </w:r>
          </w:p>
          <w:p w14:paraId="57B2F1DF" w14:textId="77777777" w:rsidR="004F39B8" w:rsidRPr="009463CD" w:rsidRDefault="004F39B8" w:rsidP="004F39B8">
            <w:pPr>
              <w:pStyle w:val="ListParagraph"/>
              <w:numPr>
                <w:ilvl w:val="1"/>
                <w:numId w:val="20"/>
              </w:numPr>
              <w:spacing w:line="276" w:lineRule="auto"/>
              <w:rPr>
                <w:rFonts w:eastAsia="Arial"/>
              </w:rPr>
            </w:pPr>
            <w:r w:rsidRPr="009463CD">
              <w:rPr>
                <w:rFonts w:eastAsia="Arial"/>
              </w:rPr>
              <w:t xml:space="preserve">Tie, kurie turi TNBC (angl. </w:t>
            </w:r>
            <w:r w:rsidRPr="009463CD">
              <w:rPr>
                <w:rFonts w:eastAsia="Arial"/>
                <w:i/>
              </w:rPr>
              <w:t>Triple-negative breast cancer</w:t>
            </w:r>
            <w:r w:rsidRPr="009463CD">
              <w:rPr>
                <w:rFonts w:eastAsia="Arial"/>
              </w:rPr>
              <w:t xml:space="preserve">), turi būti nustatytas limfmazgis - teigiamas arba esant neigiamam limfmazgis, kai Pt (angl. </w:t>
            </w:r>
            <w:r w:rsidRPr="009463CD">
              <w:rPr>
                <w:rFonts w:eastAsia="Arial"/>
                <w:i/>
              </w:rPr>
              <w:t>Pathological tumor)≥</w:t>
            </w:r>
            <w:r w:rsidRPr="009463CD">
              <w:rPr>
                <w:rFonts w:eastAsia="Arial"/>
              </w:rPr>
              <w:t>2,ARBA</w:t>
            </w:r>
          </w:p>
          <w:p w14:paraId="06F5DB38" w14:textId="77777777" w:rsidR="004F39B8" w:rsidRPr="009463CD" w:rsidRDefault="004F39B8" w:rsidP="004F39B8">
            <w:pPr>
              <w:pStyle w:val="ListParagraph"/>
              <w:numPr>
                <w:ilvl w:val="1"/>
                <w:numId w:val="20"/>
              </w:numPr>
              <w:spacing w:line="276" w:lineRule="auto"/>
              <w:rPr>
                <w:rFonts w:eastAsia="Arial"/>
              </w:rPr>
            </w:pPr>
            <w:r w:rsidRPr="009463CD">
              <w:rPr>
                <w:rFonts w:eastAsia="Arial"/>
              </w:rPr>
              <w:t xml:space="preserve">Tie kurių HR (angl. </w:t>
            </w:r>
            <w:r w:rsidRPr="009463CD">
              <w:rPr>
                <w:rFonts w:eastAsia="Arial"/>
                <w:i/>
              </w:rPr>
              <w:t>hormon receptor</w:t>
            </w:r>
            <w:r w:rsidRPr="009463CD">
              <w:rPr>
                <w:rFonts w:eastAsia="Arial"/>
              </w:rPr>
              <w:t>) teigiamas, HER2 – neigiama liga, bet yra ≥4 patologiškai patvirtinti teigiami limfmazgiai, ARBA</w:t>
            </w:r>
          </w:p>
          <w:p w14:paraId="20E7B9B4" w14:textId="77777777" w:rsidR="004F39B8" w:rsidRPr="009463CD" w:rsidRDefault="004F39B8" w:rsidP="004F39B8">
            <w:pPr>
              <w:pStyle w:val="ListParagraph"/>
              <w:numPr>
                <w:ilvl w:val="1"/>
                <w:numId w:val="21"/>
              </w:numPr>
              <w:spacing w:line="276" w:lineRule="auto"/>
              <w:rPr>
                <w:rFonts w:eastAsia="Arial"/>
              </w:rPr>
            </w:pPr>
            <w:r w:rsidRPr="009463CD">
              <w:rPr>
                <w:rFonts w:eastAsia="Arial"/>
              </w:rPr>
              <w:lastRenderedPageBreak/>
              <w:t>Pacientams, kuriems atlikta neoadjuvantinė chemoterapija po operacijos:</w:t>
            </w:r>
          </w:p>
          <w:p w14:paraId="74CBF75E" w14:textId="77777777" w:rsidR="004F39B8" w:rsidRPr="009463CD" w:rsidRDefault="004F39B8" w:rsidP="004F39B8">
            <w:pPr>
              <w:pStyle w:val="ListParagraph"/>
              <w:numPr>
                <w:ilvl w:val="1"/>
                <w:numId w:val="20"/>
              </w:numPr>
              <w:spacing w:line="276" w:lineRule="auto"/>
              <w:rPr>
                <w:rFonts w:eastAsia="Arial"/>
              </w:rPr>
            </w:pPr>
            <w:r w:rsidRPr="009463CD">
              <w:rPr>
                <w:rFonts w:eastAsia="Arial"/>
              </w:rPr>
              <w:t>Tie, kurie turi TNBC, turi likutinį invazinį krūties vėžį krūtyje ir (arba) pašalinti limfmazgiai, ARBA</w:t>
            </w:r>
          </w:p>
          <w:p w14:paraId="4FDDCE34" w14:textId="77777777" w:rsidR="004F39B8" w:rsidRPr="009463CD" w:rsidRDefault="004F39B8" w:rsidP="004F39B8">
            <w:pPr>
              <w:pStyle w:val="ListParagraph"/>
              <w:numPr>
                <w:ilvl w:val="1"/>
                <w:numId w:val="20"/>
              </w:numPr>
              <w:spacing w:line="276" w:lineRule="auto"/>
              <w:rPr>
                <w:rFonts w:eastAsia="Arial"/>
              </w:rPr>
            </w:pPr>
            <w:r w:rsidRPr="009463CD">
              <w:rPr>
                <w:rFonts w:eastAsia="Arial"/>
              </w:rPr>
              <w:t>Tie, kurių HR teigiamas, HER2 – neigiama liga, bet turi likutinį krūties vėžį krūtyje ir (arba) pašalinti limfmazgiai ir CPS+EGa (ligos stadijos nustatymo skalė) balas ≥3.</w:t>
            </w:r>
          </w:p>
          <w:p w14:paraId="0B3C80E1" w14:textId="77777777" w:rsidR="004F39B8" w:rsidRPr="009463CD" w:rsidRDefault="004F39B8" w:rsidP="004F39B8">
            <w:pPr>
              <w:pStyle w:val="ListParagraph"/>
              <w:numPr>
                <w:ilvl w:val="0"/>
                <w:numId w:val="20"/>
              </w:numPr>
              <w:spacing w:line="276" w:lineRule="auto"/>
              <w:rPr>
                <w:rFonts w:eastAsia="Arial"/>
              </w:rPr>
            </w:pPr>
            <w:r w:rsidRPr="009463CD">
              <w:rPr>
                <w:rFonts w:eastAsia="Arial"/>
              </w:rPr>
              <w:t>Pacientams, prieš pradedant gydymą olaparibu, turi būti nustatyta germinancinė BRCA1/2 mutacija</w:t>
            </w:r>
          </w:p>
          <w:p w14:paraId="2B28DF01" w14:textId="77777777" w:rsidR="004F39B8" w:rsidRPr="009463CD" w:rsidRDefault="004F39B8" w:rsidP="004F39B8">
            <w:pPr>
              <w:pStyle w:val="ListParagraph"/>
              <w:numPr>
                <w:ilvl w:val="0"/>
                <w:numId w:val="20"/>
              </w:numPr>
              <w:spacing w:line="276" w:lineRule="auto"/>
              <w:rPr>
                <w:rFonts w:eastAsia="Arial"/>
              </w:rPr>
            </w:pPr>
            <w:r w:rsidRPr="009463CD">
              <w:rPr>
                <w:rFonts w:eastAsia="Arial"/>
              </w:rPr>
              <w:t>Pacientai nėra tinkami, jei turi HER2 teigiamą ir metastazavusį vėžį</w:t>
            </w:r>
          </w:p>
          <w:p w14:paraId="59FFE3BB" w14:textId="77777777" w:rsidR="004F39B8" w:rsidRPr="009463CD" w:rsidRDefault="004F39B8" w:rsidP="004F39B8">
            <w:pPr>
              <w:pStyle w:val="ListParagraph"/>
              <w:numPr>
                <w:ilvl w:val="0"/>
                <w:numId w:val="20"/>
              </w:numPr>
              <w:spacing w:line="276" w:lineRule="auto"/>
              <w:rPr>
                <w:rFonts w:eastAsia="Arial"/>
              </w:rPr>
            </w:pPr>
            <w:r w:rsidRPr="009463CD">
              <w:rPr>
                <w:rFonts w:eastAsia="Arial"/>
              </w:rPr>
              <w:t>Pacientai turi būti baigę neoadjuvantinę arba adjuvantinę chemoterapiją, kurių sudėtyje yra antraciklinų, taksanų arba abiejų derinys</w:t>
            </w:r>
          </w:p>
          <w:p w14:paraId="48D069E1" w14:textId="77777777" w:rsidR="004F39B8" w:rsidRPr="009463CD" w:rsidRDefault="004F39B8" w:rsidP="004F39B8">
            <w:pPr>
              <w:pStyle w:val="ListParagraph"/>
              <w:numPr>
                <w:ilvl w:val="0"/>
                <w:numId w:val="20"/>
              </w:numPr>
              <w:spacing w:line="276" w:lineRule="auto"/>
              <w:rPr>
                <w:rFonts w:eastAsia="Arial"/>
              </w:rPr>
            </w:pPr>
            <w:r w:rsidRPr="009463CD">
              <w:rPr>
                <w:rFonts w:eastAsia="Arial"/>
              </w:rPr>
              <w:t>Olaparibas turėtų būti pradėtas iki 12 savaičių nuo paskutinio taikyto gydymo, įskaitant operaciją, chemoterapiją ar spindulinę terapiją.</w:t>
            </w:r>
          </w:p>
        </w:tc>
      </w:tr>
      <w:tr w:rsidR="004F39B8" w:rsidRPr="009463CD" w14:paraId="0C50F0BD" w14:textId="77777777" w:rsidTr="000D5E12">
        <w:trPr>
          <w:trHeight w:val="1927"/>
        </w:trPr>
        <w:tc>
          <w:tcPr>
            <w:tcW w:w="2927" w:type="dxa"/>
          </w:tcPr>
          <w:p w14:paraId="45565674" w14:textId="77777777" w:rsidR="004F39B8" w:rsidRPr="009463CD" w:rsidRDefault="004F39B8" w:rsidP="000D5E12">
            <w:pPr>
              <w:spacing w:line="276" w:lineRule="auto"/>
              <w:rPr>
                <w:rFonts w:eastAsia="Arial"/>
              </w:rPr>
            </w:pPr>
            <w:r w:rsidRPr="009463CD">
              <w:rPr>
                <w:rFonts w:eastAsia="Arial"/>
              </w:rPr>
              <w:lastRenderedPageBreak/>
              <w:t>Nacionalinis farmakoekonomikos centras, Airija</w:t>
            </w:r>
          </w:p>
          <w:p w14:paraId="1C3F812D" w14:textId="77777777" w:rsidR="004F39B8" w:rsidRPr="009463CD" w:rsidRDefault="004F39B8" w:rsidP="000D5E12">
            <w:pPr>
              <w:spacing w:line="276" w:lineRule="auto"/>
              <w:rPr>
                <w:rFonts w:eastAsia="Arial"/>
              </w:rPr>
            </w:pPr>
            <w:r w:rsidRPr="009463CD">
              <w:rPr>
                <w:rFonts w:eastAsia="Arial"/>
              </w:rPr>
              <w:t>(angl.</w:t>
            </w:r>
            <w:r w:rsidRPr="009463CD">
              <w:rPr>
                <w:rFonts w:eastAsia="Arial"/>
                <w:i/>
              </w:rPr>
              <w:t xml:space="preserve"> National Centre for Pharmacoeconomics, NCPE</w:t>
            </w:r>
            <w:r w:rsidRPr="009463CD">
              <w:rPr>
                <w:rFonts w:eastAsia="Arial"/>
              </w:rPr>
              <w:t>)</w:t>
            </w:r>
          </w:p>
        </w:tc>
        <w:tc>
          <w:tcPr>
            <w:tcW w:w="1915" w:type="dxa"/>
          </w:tcPr>
          <w:p w14:paraId="4B4B5771" w14:textId="77777777" w:rsidR="004F39B8" w:rsidRPr="009463CD" w:rsidRDefault="00000000" w:rsidP="000D5E12">
            <w:sdt>
              <w:sdtPr>
                <w:rPr>
                  <w:rStyle w:val="Style2"/>
                </w:rPr>
                <w:id w:val="-1888403732"/>
                <w15:color w:val="FFCC00"/>
                <w14:checkbox>
                  <w14:checked w14:val="0"/>
                  <w14:checkedState w14:val="2612" w14:font="MS Gothic"/>
                  <w14:uncheckedState w14:val="2610" w14:font="MS Gothic"/>
                </w14:checkbox>
              </w:sdtPr>
              <w:sdtContent>
                <w:r w:rsidR="004F39B8" w:rsidRPr="009463CD">
                  <w:rPr>
                    <w:rStyle w:val="Style2"/>
                    <w:rFonts w:ascii="Segoe UI Symbol" w:eastAsia="MS Gothic" w:hAnsi="Segoe UI Symbol" w:cs="Segoe UI Symbol"/>
                  </w:rPr>
                  <w:t>☐</w:t>
                </w:r>
              </w:sdtContent>
            </w:sdt>
            <w:r w:rsidR="004F39B8" w:rsidRPr="009463CD">
              <w:t xml:space="preserve"> Taip</w:t>
            </w:r>
          </w:p>
          <w:p w14:paraId="24665774" w14:textId="77777777" w:rsidR="004F39B8" w:rsidRPr="009463CD" w:rsidRDefault="00000000" w:rsidP="000D5E12">
            <w:sdt>
              <w:sdtPr>
                <w:rPr>
                  <w:rStyle w:val="Style2"/>
                </w:rPr>
                <w:id w:val="1092201793"/>
                <w15:color w:val="FFCC00"/>
                <w14:checkbox>
                  <w14:checked w14:val="1"/>
                  <w14:checkedState w14:val="2612" w14:font="MS Gothic"/>
                  <w14:uncheckedState w14:val="2610" w14:font="MS Gothic"/>
                </w14:checkbox>
              </w:sdtPr>
              <w:sdtContent>
                <w:r w:rsidR="004F39B8" w:rsidRPr="009463CD">
                  <w:rPr>
                    <w:rStyle w:val="Style2"/>
                    <w:rFonts w:ascii="MS Gothic" w:eastAsia="MS Gothic" w:hAnsi="MS Gothic"/>
                  </w:rPr>
                  <w:t>☒</w:t>
                </w:r>
              </w:sdtContent>
            </w:sdt>
            <w:r w:rsidR="004F39B8" w:rsidRPr="009463CD">
              <w:t xml:space="preserve"> Ne</w:t>
            </w:r>
          </w:p>
          <w:p w14:paraId="0535C8F9" w14:textId="77777777" w:rsidR="004F39B8" w:rsidRPr="009463CD" w:rsidRDefault="00000000" w:rsidP="000D5E12">
            <w:pPr>
              <w:spacing w:line="276" w:lineRule="auto"/>
              <w:rPr>
                <w:rFonts w:eastAsia="Arial"/>
              </w:rPr>
            </w:pPr>
            <w:sdt>
              <w:sdtPr>
                <w:alias w:val="Nurodykite konkrečią dieną"/>
                <w:tag w:val="Nurodykite pradžios datą"/>
                <w:id w:val="-198323198"/>
                <w:placeholder>
                  <w:docPart w:val="E2B2E444C1A243FD95A05C12A2839A58"/>
                </w:placeholder>
                <w15:color w:val="FFCC99"/>
                <w:date>
                  <w:dateFormat w:val="yyyy 'm.' MMMM d 'd.'"/>
                  <w:lid w:val="lt-LT"/>
                  <w:storeMappedDataAs w:val="dateTime"/>
                  <w:calendar w:val="gregorian"/>
                </w:date>
              </w:sdtPr>
              <w:sdtContent>
                <w:r w:rsidR="004F39B8" w:rsidRPr="009463CD">
                  <w:t>2015 gruodžio 17 d.</w:t>
                </w:r>
              </w:sdtContent>
            </w:sdt>
          </w:p>
        </w:tc>
        <w:tc>
          <w:tcPr>
            <w:tcW w:w="2351" w:type="dxa"/>
          </w:tcPr>
          <w:p w14:paraId="7B6BA509" w14:textId="77777777" w:rsidR="004F39B8" w:rsidRPr="009463CD" w:rsidRDefault="004F39B8" w:rsidP="000D5E12">
            <w:pPr>
              <w:spacing w:line="276" w:lineRule="auto"/>
              <w:rPr>
                <w:rFonts w:eastAsia="Arial"/>
              </w:rPr>
            </w:pPr>
            <w:r w:rsidRPr="009463CD">
              <w:rPr>
                <w:rFonts w:eastAsia="Arial"/>
              </w:rPr>
              <w:t>-</w:t>
            </w:r>
          </w:p>
        </w:tc>
        <w:tc>
          <w:tcPr>
            <w:tcW w:w="2725" w:type="dxa"/>
          </w:tcPr>
          <w:p w14:paraId="6BA74D64" w14:textId="77777777" w:rsidR="004F39B8" w:rsidRPr="009463CD" w:rsidRDefault="004F39B8" w:rsidP="000D5E12">
            <w:pPr>
              <w:spacing w:line="276" w:lineRule="auto"/>
              <w:rPr>
                <w:rFonts w:eastAsia="Arial"/>
              </w:rPr>
            </w:pPr>
            <w:r w:rsidRPr="009463CD">
              <w:rPr>
                <w:rFonts w:eastAsia="Arial"/>
              </w:rPr>
              <w:t>-</w:t>
            </w:r>
          </w:p>
        </w:tc>
      </w:tr>
      <w:tr w:rsidR="004F39B8" w:rsidRPr="009463CD" w14:paraId="043E28D2" w14:textId="77777777" w:rsidTr="000D5E12">
        <w:trPr>
          <w:trHeight w:val="690"/>
        </w:trPr>
        <w:tc>
          <w:tcPr>
            <w:tcW w:w="2927" w:type="dxa"/>
          </w:tcPr>
          <w:p w14:paraId="18303C6F" w14:textId="77777777" w:rsidR="004F39B8" w:rsidRPr="009463CD" w:rsidRDefault="004F39B8" w:rsidP="000D5E12">
            <w:pPr>
              <w:spacing w:line="276" w:lineRule="auto"/>
              <w:rPr>
                <w:rFonts w:eastAsia="Arial"/>
              </w:rPr>
            </w:pPr>
            <w:r w:rsidRPr="009463CD">
              <w:rPr>
                <w:rFonts w:eastAsia="Arial"/>
              </w:rPr>
              <w:t>Kita</w:t>
            </w:r>
          </w:p>
          <w:p w14:paraId="0D8B2387" w14:textId="77777777" w:rsidR="004F39B8" w:rsidRPr="009463CD" w:rsidRDefault="004F39B8" w:rsidP="000D5E12">
            <w:pPr>
              <w:spacing w:line="276" w:lineRule="auto"/>
              <w:rPr>
                <w:rFonts w:eastAsia="Arial"/>
              </w:rPr>
            </w:pPr>
          </w:p>
        </w:tc>
        <w:tc>
          <w:tcPr>
            <w:tcW w:w="1915" w:type="dxa"/>
          </w:tcPr>
          <w:p w14:paraId="2DDEA42C" w14:textId="77777777" w:rsidR="004F39B8" w:rsidRPr="009463CD" w:rsidRDefault="00000000" w:rsidP="000D5E12">
            <w:sdt>
              <w:sdtPr>
                <w:rPr>
                  <w:rStyle w:val="Style2"/>
                </w:rPr>
                <w:id w:val="1634437882"/>
                <w15:color w:val="FFCC00"/>
                <w14:checkbox>
                  <w14:checked w14:val="0"/>
                  <w14:checkedState w14:val="2612" w14:font="MS Gothic"/>
                  <w14:uncheckedState w14:val="2610" w14:font="MS Gothic"/>
                </w14:checkbox>
              </w:sdtPr>
              <w:sdtContent>
                <w:r w:rsidR="004F39B8" w:rsidRPr="009463CD">
                  <w:rPr>
                    <w:rStyle w:val="Style2"/>
                    <w:rFonts w:ascii="Segoe UI Symbol" w:eastAsia="MS Gothic" w:hAnsi="Segoe UI Symbol" w:cs="Segoe UI Symbol"/>
                  </w:rPr>
                  <w:t>☐</w:t>
                </w:r>
              </w:sdtContent>
            </w:sdt>
            <w:r w:rsidR="004F39B8" w:rsidRPr="009463CD">
              <w:t xml:space="preserve"> Taip</w:t>
            </w:r>
          </w:p>
          <w:p w14:paraId="514CF351" w14:textId="77777777" w:rsidR="004F39B8" w:rsidRPr="009463CD" w:rsidRDefault="00000000" w:rsidP="000D5E12">
            <w:sdt>
              <w:sdtPr>
                <w:rPr>
                  <w:rStyle w:val="Style2"/>
                </w:rPr>
                <w:id w:val="85655384"/>
                <w15:color w:val="FFCC00"/>
                <w14:checkbox>
                  <w14:checked w14:val="0"/>
                  <w14:checkedState w14:val="2612" w14:font="MS Gothic"/>
                  <w14:uncheckedState w14:val="2610" w14:font="MS Gothic"/>
                </w14:checkbox>
              </w:sdtPr>
              <w:sdtContent>
                <w:r w:rsidR="004F39B8" w:rsidRPr="009463CD">
                  <w:rPr>
                    <w:rStyle w:val="Style2"/>
                    <w:rFonts w:ascii="Segoe UI Symbol" w:eastAsia="MS Gothic" w:hAnsi="Segoe UI Symbol" w:cs="Segoe UI Symbol"/>
                  </w:rPr>
                  <w:t>☐</w:t>
                </w:r>
              </w:sdtContent>
            </w:sdt>
            <w:r w:rsidR="004F39B8" w:rsidRPr="009463CD">
              <w:t xml:space="preserve"> Ne</w:t>
            </w:r>
          </w:p>
          <w:p w14:paraId="101F4145" w14:textId="77777777" w:rsidR="004F39B8" w:rsidRPr="009463CD" w:rsidRDefault="00000000" w:rsidP="000D5E12">
            <w:pPr>
              <w:pStyle w:val="ListParagraph"/>
              <w:spacing w:after="120"/>
              <w:ind w:left="0"/>
              <w:contextualSpacing w:val="0"/>
              <w:jc w:val="both"/>
              <w:rPr>
                <w:rStyle w:val="Style2"/>
              </w:rPr>
            </w:pPr>
            <w:sdt>
              <w:sdtPr>
                <w:rPr>
                  <w:sz w:val="32"/>
                </w:rPr>
                <w:alias w:val="Nurodykite konkrečią dieną"/>
                <w:tag w:val="Nurodykite pradžios datą"/>
                <w:id w:val="1004862963"/>
                <w:placeholder>
                  <w:docPart w:val="40A2D39358BD455A9FE242CC3D0736B2"/>
                </w:placeholder>
                <w:showingPlcHdr/>
                <w15:color w:val="FFCC99"/>
                <w:date w:fullDate="2022-05-18T00:00:00Z">
                  <w:dateFormat w:val="yyyy 'm.' MMMM d 'd.'"/>
                  <w:lid w:val="lt-LT"/>
                  <w:storeMappedDataAs w:val="dateTime"/>
                  <w:calendar w:val="gregorian"/>
                </w:date>
              </w:sdtPr>
              <w:sdtContent>
                <w:r w:rsidR="004F39B8" w:rsidRPr="009463CD">
                  <w:rPr>
                    <w:rStyle w:val="PlaceholderText"/>
                  </w:rPr>
                  <w:t>Click here to enter a date.</w:t>
                </w:r>
              </w:sdtContent>
            </w:sdt>
          </w:p>
        </w:tc>
        <w:tc>
          <w:tcPr>
            <w:tcW w:w="2351" w:type="dxa"/>
          </w:tcPr>
          <w:p w14:paraId="1A17BB8D" w14:textId="77777777" w:rsidR="004F39B8" w:rsidRPr="009463CD" w:rsidRDefault="004F39B8" w:rsidP="000D5E12">
            <w:pPr>
              <w:spacing w:line="276" w:lineRule="auto"/>
              <w:rPr>
                <w:rFonts w:eastAsia="Arial"/>
              </w:rPr>
            </w:pPr>
          </w:p>
        </w:tc>
        <w:tc>
          <w:tcPr>
            <w:tcW w:w="2725" w:type="dxa"/>
          </w:tcPr>
          <w:p w14:paraId="1B82CEA4" w14:textId="77777777" w:rsidR="004F39B8" w:rsidRPr="009463CD" w:rsidRDefault="004F39B8" w:rsidP="000D5E12">
            <w:pPr>
              <w:spacing w:line="276" w:lineRule="auto"/>
              <w:rPr>
                <w:rFonts w:eastAsia="Arial"/>
              </w:rPr>
            </w:pPr>
          </w:p>
        </w:tc>
      </w:tr>
    </w:tbl>
    <w:p w14:paraId="5F8A623F" w14:textId="77777777" w:rsidR="0032204D" w:rsidRPr="009463CD" w:rsidRDefault="0032204D" w:rsidP="00521380">
      <w:pPr>
        <w:spacing w:line="276" w:lineRule="auto"/>
        <w:jc w:val="both"/>
        <w:rPr>
          <w:rFonts w:eastAsia="Arial"/>
          <w:b/>
        </w:rPr>
      </w:pPr>
    </w:p>
    <w:p w14:paraId="5E82BD7C" w14:textId="2A60CFA6" w:rsidR="00F93EB1" w:rsidRPr="009463CD" w:rsidRDefault="00F93EB1">
      <w:pPr>
        <w:rPr>
          <w:b/>
          <w:bCs/>
          <w:caps/>
        </w:rPr>
      </w:pPr>
      <w:r w:rsidRPr="009463CD">
        <w:rPr>
          <w:b/>
          <w:bCs/>
          <w:caps/>
        </w:rPr>
        <w:br w:type="page"/>
      </w:r>
    </w:p>
    <w:p w14:paraId="5F0ADBE9" w14:textId="77777777" w:rsidR="008651E2" w:rsidRPr="009463CD" w:rsidRDefault="008651E2" w:rsidP="00E03C3F">
      <w:pPr>
        <w:pStyle w:val="ListParagraph"/>
        <w:tabs>
          <w:tab w:val="left" w:pos="426"/>
        </w:tabs>
        <w:ind w:left="0"/>
        <w:rPr>
          <w:b/>
          <w:bCs/>
          <w:caps/>
        </w:rPr>
      </w:pPr>
    </w:p>
    <w:p w14:paraId="5055E8A8" w14:textId="6B3820E3" w:rsidR="002E6F80" w:rsidRPr="009463CD" w:rsidRDefault="00CC7832" w:rsidP="00937907">
      <w:pPr>
        <w:pStyle w:val="ListParagraph"/>
        <w:numPr>
          <w:ilvl w:val="0"/>
          <w:numId w:val="12"/>
        </w:numPr>
        <w:tabs>
          <w:tab w:val="left" w:pos="284"/>
        </w:tabs>
        <w:rPr>
          <w:b/>
          <w:bCs/>
          <w:caps/>
        </w:rPr>
      </w:pPr>
      <w:r w:rsidRPr="009463CD">
        <w:rPr>
          <w:b/>
          <w:bCs/>
          <w:caps/>
        </w:rPr>
        <w:t>Klinikinio vertinimo a</w:t>
      </w:r>
      <w:r w:rsidR="00D4485B" w:rsidRPr="009463CD">
        <w:rPr>
          <w:b/>
          <w:bCs/>
          <w:caps/>
        </w:rPr>
        <w:t>pibendrinimas</w:t>
      </w:r>
    </w:p>
    <w:p w14:paraId="2A8F36F6" w14:textId="77777777" w:rsidR="00F00A34" w:rsidRPr="009463CD" w:rsidRDefault="00F00A34" w:rsidP="00A93AA6">
      <w:pPr>
        <w:pStyle w:val="ListParagraph"/>
        <w:tabs>
          <w:tab w:val="left" w:pos="426"/>
        </w:tabs>
        <w:ind w:left="0"/>
        <w:rPr>
          <w:i/>
          <w:iCs/>
          <w:u w:val="single"/>
        </w:rPr>
      </w:pPr>
    </w:p>
    <w:p w14:paraId="55C5BB27" w14:textId="77777777" w:rsidR="003A5E33" w:rsidRPr="009463CD" w:rsidRDefault="003A5E33" w:rsidP="003A5E33">
      <w:pPr>
        <w:spacing w:line="276" w:lineRule="auto"/>
        <w:ind w:firstLine="720"/>
        <w:contextualSpacing/>
        <w:jc w:val="both"/>
        <w:rPr>
          <w:color w:val="000000" w:themeColor="text1"/>
        </w:rPr>
      </w:pPr>
      <w:r w:rsidRPr="009463CD">
        <w:t xml:space="preserve">Krūties vėžys (KV) – dažniausia vėžio lokalizacija pasaulyje, penkta dažniausia mirties priežastis ir pirma moterų mirties priežastis. Nors KV etiologija yra kompleksinė ir nepilnai ištirta, šiuo metu nustatyta visa eilė rizikos veiksnių. Svarbiausias veiksnys – KV atvejai šeimoje, kuriuos dažniausiai nulemia genetinė predispozicija; apie 5–10% visų KV atvejų yra susiję su germinacinių ląstelių mutacijų paveldėjimu, dažniausiai </w:t>
      </w:r>
      <w:r w:rsidRPr="009463CD">
        <w:rPr>
          <w:i/>
          <w:iCs/>
        </w:rPr>
        <w:t>BRCA1/2</w:t>
      </w:r>
      <w:r w:rsidRPr="009463CD">
        <w:t xml:space="preserve"> genuose. Papildomai, apie 3% visų KV atvejų nustatomos somatinės </w:t>
      </w:r>
      <w:r w:rsidRPr="009463CD">
        <w:rPr>
          <w:i/>
          <w:iCs/>
        </w:rPr>
        <w:t>BRCA</w:t>
      </w:r>
      <w:r w:rsidRPr="009463CD">
        <w:t xml:space="preserve"> mutacijos. </w:t>
      </w:r>
      <w:r w:rsidRPr="009463CD">
        <w:rPr>
          <w:i/>
          <w:iCs/>
        </w:rPr>
        <w:t>BRCA</w:t>
      </w:r>
      <w:r w:rsidRPr="009463CD">
        <w:t xml:space="preserve"> mutacijos ženkliai didina KV išsivystymo riziką – esant germinacinėms </w:t>
      </w:r>
      <w:r w:rsidRPr="009463CD">
        <w:rPr>
          <w:i/>
          <w:iCs/>
        </w:rPr>
        <w:t>BRCA</w:t>
      </w:r>
      <w:r w:rsidRPr="009463CD">
        <w:t xml:space="preserve"> mutacijoms (g</w:t>
      </w:r>
      <w:r w:rsidRPr="009463CD">
        <w:rPr>
          <w:i/>
          <w:iCs/>
        </w:rPr>
        <w:t>BRCA</w:t>
      </w:r>
      <w:r w:rsidRPr="009463CD">
        <w:t xml:space="preserve">m) viso gyvenimo laikotarpio KV išsivystymo rizika yra 45–65%. Lietuvoje, </w:t>
      </w:r>
      <w:r w:rsidRPr="009463CD">
        <w:rPr>
          <w:color w:val="000000" w:themeColor="text1"/>
        </w:rPr>
        <w:t>remiantis 2017 m registro ir klinikinės logikos duomenimis per metus galėtų būti apie 40-50 naujų aukštos aKV rizikos pacientų su gBRCA mutacijomis ir kuriems buvo taikytas neaodajuvantinis arba adjuvantinis gydymas chemoterapija.</w:t>
      </w:r>
    </w:p>
    <w:p w14:paraId="1DA9AAE6" w14:textId="77777777" w:rsidR="003A5E33" w:rsidRPr="009463CD" w:rsidRDefault="003A5E33" w:rsidP="003A5E33">
      <w:pPr>
        <w:pBdr>
          <w:top w:val="nil"/>
          <w:left w:val="nil"/>
          <w:bottom w:val="nil"/>
          <w:right w:val="nil"/>
          <w:between w:val="nil"/>
        </w:pBdr>
        <w:spacing w:line="276" w:lineRule="auto"/>
        <w:ind w:firstLine="720"/>
        <w:jc w:val="both"/>
        <w:rPr>
          <w:rFonts w:eastAsia="Arial"/>
          <w:color w:val="000000"/>
        </w:rPr>
      </w:pPr>
      <w:r w:rsidRPr="009463CD">
        <w:rPr>
          <w:rFonts w:eastAsia="Arial"/>
          <w:color w:val="000000"/>
        </w:rPr>
        <w:t>Olaparibas stipriai slopina žmogaus fermentus – poli (ADF ribozės) polimerazes (PARP-1, PARP-2, PARP-3). Nustatyta, kad šis vaistinis preparatas slopina atrinktų navikinių ląstelių linijų augimą in vitro bei navikų augimą in vivo, veikdamas vienas arba kartu su ištirta chemoterapija arba naujais hormoniniais vaistiniais preparatais (NHP).</w:t>
      </w:r>
    </w:p>
    <w:p w14:paraId="110E0A55" w14:textId="77777777" w:rsidR="003A5E33" w:rsidRPr="009463CD" w:rsidRDefault="003A5E33" w:rsidP="003A5E33">
      <w:pPr>
        <w:pBdr>
          <w:top w:val="nil"/>
          <w:left w:val="nil"/>
          <w:bottom w:val="nil"/>
          <w:right w:val="nil"/>
          <w:between w:val="nil"/>
        </w:pBdr>
        <w:spacing w:line="276" w:lineRule="auto"/>
        <w:ind w:firstLine="720"/>
        <w:jc w:val="both"/>
        <w:rPr>
          <w:color w:val="000000" w:themeColor="text1"/>
        </w:rPr>
      </w:pPr>
      <w:r w:rsidRPr="009463CD">
        <w:rPr>
          <w:color w:val="000000" w:themeColor="text1"/>
          <w:spacing w:val="-5"/>
        </w:rPr>
        <w:t xml:space="preserve">Didelės rizikos aKV </w:t>
      </w:r>
      <w:r w:rsidRPr="009463CD">
        <w:rPr>
          <w:color w:val="000000" w:themeColor="text1"/>
        </w:rPr>
        <w:t xml:space="preserve">turinčiam BRCA mutaciją ir neturinčiam HER2 (TKVN) sergantiems pacientams standartinis </w:t>
      </w:r>
      <w:r w:rsidRPr="009463CD">
        <w:rPr>
          <w:color w:val="000000" w:themeColor="text1"/>
          <w:spacing w:val="-5"/>
        </w:rPr>
        <w:t>pirminis</w:t>
      </w:r>
      <w:r w:rsidRPr="009463CD">
        <w:rPr>
          <w:color w:val="000000" w:themeColor="text1"/>
        </w:rPr>
        <w:t xml:space="preserve"> gydymas pradedamas neoadjuvantine chemoterapija (</w:t>
      </w:r>
      <w:r w:rsidRPr="009463CD">
        <w:rPr>
          <w:color w:val="000000" w:themeColor="text1"/>
          <w:spacing w:val="-5"/>
        </w:rPr>
        <w:t>gydymas vaistais iki numatomo operacinio gydymo). Po to gali būti atlikta operacija ir paliekama pacientė stebėjimui arba atliekama operacija ir skiriamas adjuvantinis gydymas (</w:t>
      </w:r>
      <w:r w:rsidRPr="009463CD">
        <w:rPr>
          <w:color w:val="000000" w:themeColor="text1"/>
        </w:rPr>
        <w:t xml:space="preserve">tai </w:t>
      </w:r>
      <w:r w:rsidRPr="009463CD">
        <w:rPr>
          <w:color w:val="000000" w:themeColor="text1"/>
          <w:spacing w:val="-5"/>
        </w:rPr>
        <w:t xml:space="preserve"> krūties vėžio gydymas vaistais, atlikus operaciją, skirtas galimiems mikroskopiniams naviko židiniams panaikinti). </w:t>
      </w:r>
      <w:r w:rsidRPr="009463CD">
        <w:rPr>
          <w:color w:val="000000" w:themeColor="text1"/>
        </w:rPr>
        <w:t xml:space="preserve"> Pacientams, kuriems nustatyti HR (+) ir HER2 (-) krūties vėžys, papildomai taip pat gali būti skiriama adjuvantinė hormonoterpija po operacinio gydymo. Olaparibas būtų skiriamas kaip papildomas gydymas (</w:t>
      </w:r>
      <w:r w:rsidRPr="009463CD">
        <w:rPr>
          <w:i/>
          <w:color w:val="000000" w:themeColor="text1"/>
        </w:rPr>
        <w:t>angl. add-on therapy</w:t>
      </w:r>
      <w:r w:rsidRPr="009463CD">
        <w:rPr>
          <w:color w:val="000000" w:themeColor="text1"/>
        </w:rPr>
        <w:t>) po neoadjuvantinės ar adjuvantinės chemoterapijos:</w:t>
      </w:r>
    </w:p>
    <w:p w14:paraId="62AF0B03" w14:textId="77777777" w:rsidR="003A5E33" w:rsidRPr="009463CD" w:rsidRDefault="003A5E33" w:rsidP="003A5E33">
      <w:pPr>
        <w:pStyle w:val="ListParagraph"/>
        <w:numPr>
          <w:ilvl w:val="0"/>
          <w:numId w:val="23"/>
        </w:numPr>
        <w:pBdr>
          <w:top w:val="nil"/>
          <w:left w:val="nil"/>
          <w:bottom w:val="nil"/>
          <w:right w:val="nil"/>
          <w:between w:val="nil"/>
        </w:pBdr>
        <w:spacing w:line="276" w:lineRule="auto"/>
        <w:jc w:val="both"/>
        <w:rPr>
          <w:color w:val="000000" w:themeColor="text1"/>
        </w:rPr>
      </w:pPr>
      <w:r w:rsidRPr="009463CD">
        <w:rPr>
          <w:color w:val="000000" w:themeColor="text1"/>
        </w:rPr>
        <w:t>monoterapijoje esant ankstyvam TNKV ar</w:t>
      </w:r>
    </w:p>
    <w:p w14:paraId="70464B67" w14:textId="77777777" w:rsidR="003A5E33" w:rsidRPr="009463CD" w:rsidRDefault="003A5E33" w:rsidP="003A5E33">
      <w:pPr>
        <w:pStyle w:val="ListParagraph"/>
        <w:numPr>
          <w:ilvl w:val="0"/>
          <w:numId w:val="23"/>
        </w:numPr>
        <w:pBdr>
          <w:top w:val="nil"/>
          <w:left w:val="nil"/>
          <w:bottom w:val="nil"/>
          <w:right w:val="nil"/>
          <w:between w:val="nil"/>
        </w:pBdr>
        <w:spacing w:line="276" w:lineRule="auto"/>
        <w:jc w:val="both"/>
        <w:rPr>
          <w:color w:val="000000" w:themeColor="text1"/>
        </w:rPr>
      </w:pPr>
      <w:r w:rsidRPr="009463CD">
        <w:rPr>
          <w:color w:val="000000" w:themeColor="text1"/>
        </w:rPr>
        <w:t>kartu su hormoniniu gydymu esant HR (+) ir HER2 (-) ankstyvam krūties vėžiui.</w:t>
      </w:r>
    </w:p>
    <w:p w14:paraId="53C79C0A" w14:textId="77777777" w:rsidR="003A5E33" w:rsidRPr="009463CD" w:rsidRDefault="003A5E33" w:rsidP="003A5E33">
      <w:pPr>
        <w:spacing w:line="276" w:lineRule="auto"/>
        <w:ind w:firstLine="720"/>
        <w:contextualSpacing/>
        <w:jc w:val="both"/>
        <w:rPr>
          <w:color w:val="000000" w:themeColor="text1"/>
        </w:rPr>
      </w:pPr>
      <w:r w:rsidRPr="009463CD">
        <w:rPr>
          <w:color w:val="000000" w:themeColor="text1"/>
        </w:rPr>
        <w:t>Lietuvoje krūties vėžiui gydyti skirtų vaistų skyrimo tvarką reglamentuoja 2011 m. liepos 22 d. SAM įsakymas Nr. V-713 ,,Dėl krūties piktybinio naviko ambulatorinio gydymo kompensuojamaisiais vaistais tvarkos aprašo patvirtinimo“. Remiantis sveikatos priežiūros specialistų organizacijų pozicija ir krūties vėžiui Lietuvoje gydyti skirtų vaistų skyrimo tvarką reglamentuojantį dokumentu, po standartinės neo ar adjuvantinės chemoterapijos aKV sergantiems aukštos atsinaujinimo rizikos pacientams su gBRCA mutacijomis Lietuvoje nėra patvirtinto ir prieinamo gydymo. Tokiems pacientams taikoma stebėjimo ir laukimo taktika, o gydymas pradedamas tik ligai progresuojant. Olaparibas būtų skiriamas kaip papildomas adjuvantinis gydymas (</w:t>
      </w:r>
      <w:r w:rsidRPr="009463CD">
        <w:rPr>
          <w:i/>
          <w:color w:val="000000" w:themeColor="text1"/>
        </w:rPr>
        <w:t>angl. add-on therapy</w:t>
      </w:r>
      <w:r w:rsidRPr="009463CD">
        <w:rPr>
          <w:color w:val="000000" w:themeColor="text1"/>
        </w:rPr>
        <w:t xml:space="preserve">) po neoadjuvantinės ar adjuvantinės chemoterapijos (standartinės įprastos gydymo praktikos), todėl tinkamu palyginamuoju gydymas būtų rutiniškas ligos stebėjimas dėl galimo atsinaujinimo. </w:t>
      </w:r>
    </w:p>
    <w:p w14:paraId="2BB9FB95" w14:textId="77777777" w:rsidR="003A5E33" w:rsidRPr="009463CD" w:rsidRDefault="003A5E33" w:rsidP="003A5E33">
      <w:pPr>
        <w:spacing w:line="276" w:lineRule="auto"/>
        <w:ind w:firstLine="360"/>
        <w:jc w:val="both"/>
        <w:rPr>
          <w:color w:val="000000" w:themeColor="text1"/>
        </w:rPr>
      </w:pPr>
      <w:r w:rsidRPr="009463CD">
        <w:rPr>
          <w:color w:val="000000" w:themeColor="text1"/>
        </w:rPr>
        <w:t xml:space="preserve">Paraiškoje pateiktame tiesioginio palyginimo klinikiniame tyrime Olympia palyginamasis gydymas – placebas, laikomas tinkamu palyginamuoju gydymu. </w:t>
      </w:r>
    </w:p>
    <w:p w14:paraId="18F555B4" w14:textId="77777777" w:rsidR="003A5E33" w:rsidRPr="009463CD" w:rsidRDefault="003A5E33" w:rsidP="003A5E33">
      <w:pPr>
        <w:spacing w:line="276" w:lineRule="auto"/>
        <w:ind w:firstLine="720"/>
        <w:jc w:val="both"/>
        <w:outlineLvl w:val="1"/>
        <w:rPr>
          <w:color w:val="000000"/>
        </w:rPr>
      </w:pPr>
      <w:r w:rsidRPr="009463CD">
        <w:rPr>
          <w:color w:val="000000"/>
        </w:rPr>
        <w:t>Klinikinis vertinimas grindžiamas III fazės atsitiktinių imčių, dvigubai koduoto, lygiagrečių grupių, placebu kontroliuojamo daugiacentrio tyrimu (OlympiA), kurio metu</w:t>
      </w:r>
      <w:r w:rsidRPr="009463CD">
        <w:t xml:space="preserve"> tirtas olaparibo palyginamasis </w:t>
      </w:r>
      <w:r w:rsidRPr="009463CD">
        <w:rPr>
          <w:color w:val="000000"/>
        </w:rPr>
        <w:t xml:space="preserve">efektyvumas ir saugumas adjuvantiniam gydymui, pacientams kurie serga germinancinę BRCA 1/ 2 turinčiu, HER2 neigiamu didelės rizikos ankstyvuoju krūties vėžiu ir kuriems anksčiau taikytas definityvinis lokalus gydymas ir neodjuvantinė arba adjuvantinė chemoterapija. </w:t>
      </w:r>
    </w:p>
    <w:p w14:paraId="16E59450" w14:textId="77777777" w:rsidR="003A5E33" w:rsidRPr="009463CD" w:rsidRDefault="003A5E33" w:rsidP="003A5E33">
      <w:pPr>
        <w:spacing w:line="276" w:lineRule="auto"/>
        <w:ind w:firstLine="720"/>
        <w:jc w:val="both"/>
        <w:outlineLvl w:val="1"/>
        <w:rPr>
          <w:i/>
        </w:rPr>
      </w:pPr>
      <w:r w:rsidRPr="009463CD">
        <w:rPr>
          <w:i/>
        </w:rPr>
        <w:lastRenderedPageBreak/>
        <w:t>Tiesioginis palyginimas</w:t>
      </w:r>
    </w:p>
    <w:p w14:paraId="00778434" w14:textId="7F1571BA" w:rsidR="003A5E33" w:rsidRPr="009463CD" w:rsidRDefault="003A5E33" w:rsidP="003A5E33">
      <w:pPr>
        <w:spacing w:line="276" w:lineRule="auto"/>
        <w:ind w:firstLine="720"/>
        <w:jc w:val="both"/>
        <w:outlineLvl w:val="1"/>
      </w:pPr>
      <w:r w:rsidRPr="009463CD">
        <w:t>Į OlympiA klinikinį tyrimą buvo įtraukti 1836 pacientai.</w:t>
      </w:r>
      <w:r w:rsidR="009463CD">
        <w:t xml:space="preserve"> Pacientai buvo atsitiktine atranka atrinkti</w:t>
      </w:r>
      <w:r w:rsidRPr="009463CD">
        <w:t xml:space="preserve"> (1:1) vartoti olaparibą 300 mg (2 tabletes po 150 mg) 2 kartus per parą (n = 921) arba placebą (n = 915). </w:t>
      </w:r>
      <w:r w:rsidR="009463CD">
        <w:t xml:space="preserve">Atsitiktinė atranka </w:t>
      </w:r>
      <w:r w:rsidRPr="009463CD">
        <w:t>buvo stratifikuota pagal hormonų receptorių būklę (HR teigiama / HER2 neigiama lyginant su TNKV), ankstesnę neoadjuvantinę chemoterapiją plg. su adjuvantine ir platinos vaistinių preparatų vartojimą šiam krūties vėžiui gydyti (taip ar ne). Gydymas tęstas iki 1 metų, arba kol liga pradės progresuoti arba kol pasireikš nepriimtinas toksinis poveikis. HR teigiamais navikais sirgusiems pacientams taip pat taikytas endokrininis gydymas.</w:t>
      </w:r>
    </w:p>
    <w:p w14:paraId="041768C8" w14:textId="77777777" w:rsidR="003A5E33" w:rsidRPr="009463CD" w:rsidRDefault="003A5E33" w:rsidP="003A5E33">
      <w:pPr>
        <w:spacing w:line="276" w:lineRule="auto"/>
        <w:ind w:firstLine="720"/>
        <w:jc w:val="both"/>
      </w:pPr>
      <w:r w:rsidRPr="009463CD">
        <w:t>Stebėjimo mediana numatytoje populiacijoje (</w:t>
      </w:r>
      <w:r w:rsidRPr="009463CD">
        <w:rPr>
          <w:i/>
        </w:rPr>
        <w:t>angl. intention to treat, ITT</w:t>
      </w:r>
      <w:r w:rsidRPr="009463CD">
        <w:t xml:space="preserve">) buvo 3,5 metų [2,5-4,5 metų], 3,6 metų – TNKV sergančiųjų populiacijoje [2,5-4,7] ir 3,4 metų HR teigiamoje grupėje [2,5-4,1 metų]. Demografinės ir pradinės abejų grupių tiriamųjų savybės buvo gerai subalansuotos. 82,2 % pacientų sirgo TNKV, o 18 % – HR+ liga. 50 % pacientų anksčiau taikyta neoadjuvantinė ir 50 % – adjuvantinė chemoterapija, 94 % vartojo antraciklinų ar taksanų. Iš viso 26 % pacientų nuo krūties vėžio anksčiau gydyti platinos vaistiniais preparatais. 87 % olaparibo ir 92 % placebo grupės pacientų, sirgusių HR+ liga, kartu taikytas endokrininis gydymas. Iš viso endokrininis gydymas kartu taikytas 89,5 % pacientų, sirgusių HR+ liga (letrozolas – 23,7 %, tamoksifenas – 40,9 %, anastrozolas – 17,2 %, eksemestanas – 14,8 %). Tyrime dalyvavusiems pacientams, BRCA1 genų mutacijos nustatytos 72,3% pacientų, BRCA2 – 27,2% pacientų ir 0,4% pacientų, kuriems nustatytas BRCA1 ir BRCA2 geno mutacija. Ankstesnis su liga susijęs krūties vėžio gydymas buvo gerai subalansuotas tarp dviejų tiriamųjų grupių ir pacientai gavo tokį ankstesnį gydymą, kurį turėjo gauti pagal numatytus klinikinio tyrimo tinkamumo kriterijus. </w:t>
      </w:r>
    </w:p>
    <w:p w14:paraId="111B6261" w14:textId="77777777" w:rsidR="003A5E33" w:rsidRPr="009463CD" w:rsidRDefault="003A5E33" w:rsidP="003A5E33">
      <w:pPr>
        <w:spacing w:line="276" w:lineRule="auto"/>
        <w:ind w:firstLine="720"/>
        <w:jc w:val="both"/>
      </w:pPr>
      <w:r w:rsidRPr="009463CD">
        <w:rPr>
          <w:b/>
        </w:rPr>
        <w:t>Pirminė vertinamoji baigtis</w:t>
      </w:r>
      <w:r w:rsidRPr="009463CD">
        <w:t xml:space="preserve"> buvo išgyvenamumas be invazinės ligos (iDFS/IBIL) ir </w:t>
      </w:r>
      <w:r w:rsidRPr="009463CD">
        <w:rPr>
          <w:b/>
        </w:rPr>
        <w:t>antrinės vertinamosios baigtys</w:t>
      </w:r>
      <w:r w:rsidRPr="009463CD">
        <w:t xml:space="preserve"> - bendras išgyvenamumas (BI), be tolimųjų metastazių išgyventas laikotarpis (DDFS ir pacientų praneštos baigtys pagal FACIT-Fatigue ir EORTC QLQ-C30 klausimynus.</w:t>
      </w:r>
    </w:p>
    <w:p w14:paraId="6299D82B" w14:textId="77777777" w:rsidR="003A5E33" w:rsidRPr="009463CD" w:rsidRDefault="003A5E33" w:rsidP="003A5E33">
      <w:pPr>
        <w:spacing w:line="276" w:lineRule="auto"/>
        <w:ind w:firstLine="720"/>
        <w:jc w:val="both"/>
      </w:pPr>
      <w:r w:rsidRPr="009463CD">
        <w:t>Planuojant klinikinį tyrimą OlympiA, buvo apskaičiuota, jog norint pasiekti 90% galią siekiant nustatyti 0,7 rizikos santykį pirminiai vertinamajai baigčiai – iDFS), taikant dvejų pusių P reikšmę &lt; 0,05.  Kuomet imties dydis yra 1800 pacientų, pirminė iDFS analizė atsispindėtų iDFS atvejai tarpe 330 numatytos populiacijos pacientų (ITT populiacija). Atlikus tarpinę iDFS analizę visoje ITT populiacijoje buvo stebimi pokyčiai nustačius 165 iDFS atvejus tarp pirmųjų 900 randomizuotų pacientų. Pranašumo ribos buvo esant p&lt;0,005 iDFS ir DDFS vertinamosioms baigtims ir p&lt;0,01 BI.</w:t>
      </w:r>
    </w:p>
    <w:p w14:paraId="4306DBA5" w14:textId="77777777" w:rsidR="003A5E33" w:rsidRPr="009463CD" w:rsidRDefault="003A5E33" w:rsidP="003A5E33">
      <w:pPr>
        <w:spacing w:line="276" w:lineRule="auto"/>
        <w:ind w:firstLine="720"/>
        <w:jc w:val="both"/>
      </w:pPr>
      <w:r w:rsidRPr="009463CD">
        <w:t>Po vidutinio stebėjimo laikotarpio - 2,5 metų, pacientams, atsitiktinai atrinktiems į olaparibo grupę, statistiškai reikšmingai ir kliniškai reikšmingai pagerėjo iDFS, lyginant su placebu (rizikos santykis (RS) 0,58; 99,5% PI 0,41-0,82, p&lt;0,001) ir DDFS (RS 0,57; 99,5% PI 0,39-0,83, p&lt;0,001), o tai atitiko visišką pagerėjimą per 3 metus 8,8% iDFS ir 7,1% DDFS. Mirčių skaičius buvo mažesnis olaparibo grupėje nei placebo grupėje (59 ir 86 atitinkamai), tačiau skirtumas (RS 0,68; 99,5% PI 0,44-1,05, P&lt;0,02) neatitiko iš anksto nustatytos BI bendrojo statistinio reikšmingumo ribos (P&lt;0,01). Saugumo analizė buvo nuosekli ir nestebėta ankstyvos ūminės mieloidinės leukemijos susirgimo rizikos padidėjimo požymių. Antros tarpinės analizės metu iš anksto numatytas BI turėjo būti nustatomas kuomet tyrime buvo pranešta apie 330 iDFS atvejų. Būtent šios analizės duomenys yra pateikiami.</w:t>
      </w:r>
    </w:p>
    <w:p w14:paraId="792515D1" w14:textId="77777777" w:rsidR="003A5E33" w:rsidRPr="009463CD" w:rsidRDefault="003A5E33" w:rsidP="003A5E33">
      <w:pPr>
        <w:spacing w:line="276" w:lineRule="auto"/>
        <w:ind w:firstLine="720"/>
        <w:jc w:val="both"/>
      </w:pPr>
      <w:r w:rsidRPr="009463CD">
        <w:rPr>
          <w:b/>
        </w:rPr>
        <w:t>Pirminė vertinamoji baigtis</w:t>
      </w:r>
      <w:r w:rsidRPr="009463CD">
        <w:t xml:space="preserve"> –IBIL buvo vertinama bendroje pacientų populiacijoje bei iš anksto numatytuose atskiruose pogrupiuose. Remiantis klinikinio tyrimo OlympiA duomenimis, olaparibo monoterapija reikšmingai prailgina IBIL pacientams, kuriems nustatyta BRCA 1 ir/ar 2 mutacija bei pacientams su trigubai neigimu krūties vėžiu (HR- ir HER2-), palyginus su aktyvaus </w:t>
      </w:r>
      <w:r w:rsidRPr="009463CD">
        <w:lastRenderedPageBreak/>
        <w:t>stebėjimo pacientų IBIL (RS 0,56; 95% PI:0,43-0,73). Tačiau pacientų pogrupiui su HR+, HER2- ir kuriems buvo taikyta adjuvantinė chemoterapija rizikos santykio įvertis buvo &gt;1, bet mažas pogrupio dydis ir mažas įvykių skaičius lemia platų PI (RS 1,36; 95% PI:0,41-4,71), o tai rodo neapibrėžtį formuluojant galutinę išvadą.</w:t>
      </w:r>
    </w:p>
    <w:p w14:paraId="1EC2DAB4" w14:textId="77777777" w:rsidR="003A5E33" w:rsidRPr="009463CD" w:rsidRDefault="003A5E33" w:rsidP="003A5E33">
      <w:pPr>
        <w:spacing w:line="276" w:lineRule="auto"/>
        <w:ind w:firstLine="720"/>
        <w:jc w:val="both"/>
      </w:pPr>
      <w:r w:rsidRPr="009463CD">
        <w:rPr>
          <w:b/>
        </w:rPr>
        <w:t>Antrinės vertinamosios baigtys</w:t>
      </w:r>
      <w:r w:rsidRPr="009463CD">
        <w:t xml:space="preserve"> - BI ir DDFS buvo vertinami bendroje pacientų populiacijoje bei iš anksto numatytuose atskiruose pogrupiuose. Bendroje populiacijoje BI nustatytas statistiškai reikšmingai ilgesnis olaparibo grupės pacientų (palyginus su placebo) (RS 0,68; 99% PI 0,44-1,05, p=0,02). Olaparibo grupės pacientų DDFS taip pat buvo statistiškai reikšmingai ilgesnis negu placebo (RS 0,57; 95% PI 0,3-0,83, p&lt;0,001). </w:t>
      </w:r>
    </w:p>
    <w:p w14:paraId="344CF4E5" w14:textId="77777777" w:rsidR="003A5E33" w:rsidRPr="009463CD" w:rsidRDefault="003A5E33" w:rsidP="003A5E33">
      <w:pPr>
        <w:spacing w:line="276" w:lineRule="auto"/>
        <w:ind w:firstLine="720"/>
        <w:jc w:val="both"/>
      </w:pPr>
      <w:r w:rsidRPr="009463CD">
        <w:t xml:space="preserve">Atkreipiamas dėmesys, jog analizuojant pogrupių rezultatus, pacientams, sirgusiems HR+ ir HER2- krūties vėžiu, vertinant pirminę ir antrines vertinamąsias baigtis, statistiškai reikšmingų skirtumų tarp palyginamųjų grupių nenustatyta. </w:t>
      </w:r>
    </w:p>
    <w:p w14:paraId="075BD64D" w14:textId="77777777" w:rsidR="003A5E33" w:rsidRPr="009463CD" w:rsidRDefault="003A5E33" w:rsidP="003A5E33">
      <w:pPr>
        <w:spacing w:line="276" w:lineRule="auto"/>
        <w:ind w:firstLine="720"/>
        <w:jc w:val="both"/>
      </w:pPr>
      <w:r w:rsidRPr="009463CD">
        <w:rPr>
          <w:b/>
        </w:rPr>
        <w:t>Kitos antrinės vertinamosios baigtys</w:t>
      </w:r>
      <w:r w:rsidRPr="009463CD">
        <w:t xml:space="preserve"> – pacientų praneštos baigtys. </w:t>
      </w:r>
      <w:r w:rsidRPr="009463CD">
        <w:rPr>
          <w:rFonts w:eastAsia="Arial"/>
        </w:rPr>
        <w:t xml:space="preserve">Pacientų praneštų baigčių vertinimas neparodė, </w:t>
      </w:r>
      <w:r w:rsidRPr="009463CD">
        <w:rPr>
          <w:rFonts w:eastAsia="Arial"/>
        </w:rPr>
        <w:tab/>
        <w:t>kad gydymas olaparibu kliniškai reikšmingai gerintų pacientų bendrą sveikatos kokybę, palyginus su placebo. Gyvenimo kokybės vertinimas apėmė bendrą sveikatos būklę, fizinius sugebėjimus ir emocinę būseną.</w:t>
      </w:r>
    </w:p>
    <w:p w14:paraId="69390B08" w14:textId="77777777" w:rsidR="003A5E33" w:rsidRPr="009463CD" w:rsidRDefault="003A5E33" w:rsidP="003A5E33">
      <w:pPr>
        <w:spacing w:line="276" w:lineRule="auto"/>
        <w:jc w:val="both"/>
        <w:rPr>
          <w:rFonts w:eastAsia="Arial"/>
        </w:rPr>
      </w:pPr>
      <w:r w:rsidRPr="009463CD">
        <w:rPr>
          <w:rFonts w:eastAsia="Arial"/>
        </w:rPr>
        <w:t xml:space="preserve">      </w:t>
      </w:r>
      <w:r w:rsidRPr="009463CD">
        <w:rPr>
          <w:rFonts w:eastAsia="Arial"/>
          <w:i/>
        </w:rPr>
        <w:t xml:space="preserve">      </w:t>
      </w:r>
      <w:r w:rsidRPr="009463CD">
        <w:rPr>
          <w:rFonts w:eastAsia="Arial"/>
        </w:rPr>
        <w:t xml:space="preserve">Nepageidaujami reiškiniai (NR) pasireiškę bent 10% bet kurioje tiriamojoje grupėje buvo pykinimas, nuovargis, anemija vėmimas, galvos skausmas ir NR įvykę vartojant olaparibą atitiko informaciją apie NR pagal produkto charakteristiką. </w:t>
      </w:r>
      <w:r w:rsidRPr="009463CD">
        <w:t xml:space="preserve">3 ar didesnio laipsnio NR, pasireiškusios &gt; 1 % pacienčių olaparibo grupėje, buvo anemija (8,7 %), neutropenija (4,8 %), leukopenija (3 %), nuovargis ar astenija (1,8 %), ir limfopenija (1,2 %). </w:t>
      </w:r>
      <w:r w:rsidRPr="009463CD">
        <w:rPr>
          <w:rFonts w:eastAsia="Arial"/>
        </w:rPr>
        <w:t>NR dėl kurių nutrauktas visam laikui tiriamojo vaisto vartojimas pasireškė 9,9% olaparibo grupėje ir 4,2% placebo grupėje.</w:t>
      </w:r>
    </w:p>
    <w:p w14:paraId="4C69218D" w14:textId="77777777" w:rsidR="003A5E33" w:rsidRPr="009463CD" w:rsidRDefault="003A5E33" w:rsidP="003A5E33">
      <w:pPr>
        <w:spacing w:line="276" w:lineRule="auto"/>
        <w:ind w:firstLine="720"/>
        <w:jc w:val="both"/>
        <w:rPr>
          <w:rFonts w:eastAsia="Arial"/>
        </w:rPr>
      </w:pPr>
      <w:r w:rsidRPr="009463CD">
        <w:t xml:space="preserve">NR lėmusios mirtį buvo širdies sustojimas 1 pacientui olaparibo grupėje ir ūmi mieloidinė leukemija bei kiaušidžių vėžys 1 pacientui placebo grupėje.Buvo pranešta apie 59 pacientų mirtį olaparibo grupėje ir 86 pacientų placebo grupėje (RS 0,68, 99% PI: 0,44-1,05, p=0,02). Mirties priežastis krūties vėžys olaparibo grupėje buvo 93% ir 95% placebo grupėje. </w:t>
      </w:r>
    </w:p>
    <w:p w14:paraId="7838EA6C" w14:textId="77777777" w:rsidR="003A5E33" w:rsidRPr="009463CD" w:rsidRDefault="003A5E33" w:rsidP="003A5E33">
      <w:pPr>
        <w:spacing w:line="276" w:lineRule="auto"/>
        <w:ind w:firstLine="720"/>
        <w:jc w:val="both"/>
        <w:rPr>
          <w:rFonts w:eastAsia="Arial"/>
        </w:rPr>
      </w:pPr>
      <w:r w:rsidRPr="009463CD">
        <w:t>Ypatingos svarbos NR buvo pneumonitas, spindulinis pneumonitas, ūmi mieloidinė leukemija ir nauji pirminiai piktybiniai navikai. Nė viena iš kategorijų neturėjo daugiau pranešimų apie šiuos ypatingus NR vartojant olaparibą, lyginant su placebu.</w:t>
      </w:r>
    </w:p>
    <w:p w14:paraId="3A862706" w14:textId="5B0669EC" w:rsidR="003A5E33" w:rsidRPr="00F83AC7" w:rsidRDefault="0041602F" w:rsidP="003A5E33">
      <w:pPr>
        <w:tabs>
          <w:tab w:val="left" w:pos="426"/>
        </w:tabs>
        <w:spacing w:line="276" w:lineRule="auto"/>
        <w:jc w:val="both"/>
        <w:rPr>
          <w:rFonts w:eastAsia="Arial"/>
        </w:rPr>
      </w:pPr>
      <w:r>
        <w:tab/>
      </w:r>
      <w:r>
        <w:tab/>
      </w:r>
      <w:r w:rsidR="003A5E33" w:rsidRPr="009463CD">
        <w:t xml:space="preserve">Atsižvelgiant į tai </w:t>
      </w:r>
      <w:r w:rsidR="003A5E33" w:rsidRPr="00F83AC7">
        <w:t>siūlom</w:t>
      </w:r>
      <w:r w:rsidRPr="00F83AC7">
        <w:t>a</w:t>
      </w:r>
      <w:r w:rsidR="003A5E33" w:rsidRPr="00F83AC7">
        <w:t xml:space="preserve"> nustatyti skyrimo sąlygas, nurodant, kad olaparibas skiriamas </w:t>
      </w:r>
      <w:r w:rsidR="003A5E33" w:rsidRPr="00F83AC7">
        <w:rPr>
          <w:rFonts w:eastAsia="Arial"/>
        </w:rPr>
        <w:t>suaugusiems pacientams, sergantiems ankstyvuoju krūties vėžiu esant germinacinei (t. y. genetiškai paveldėtai) BRCA1/2 mutacijai arba ankstyvuoju trigubai neigiamu krūties vėžiu, adjuvantiniam gydymui po anksčiau taikytos neo-adjuvantinės ar adjuvantinės chemoterapijos.</w:t>
      </w:r>
    </w:p>
    <w:p w14:paraId="4793D956" w14:textId="133F8118" w:rsidR="003A5E33" w:rsidRPr="009463CD" w:rsidRDefault="003A5E33" w:rsidP="003A5E33">
      <w:pPr>
        <w:tabs>
          <w:tab w:val="left" w:pos="426"/>
        </w:tabs>
        <w:spacing w:line="276" w:lineRule="auto"/>
        <w:jc w:val="both"/>
        <w:rPr>
          <w:rFonts w:eastAsia="Arial"/>
        </w:rPr>
      </w:pPr>
      <w:r w:rsidRPr="00F83AC7">
        <w:rPr>
          <w:rFonts w:eastAsia="Arial"/>
        </w:rPr>
        <w:tab/>
      </w:r>
      <w:r w:rsidR="0041602F" w:rsidRPr="00F83AC7">
        <w:rPr>
          <w:rFonts w:eastAsia="Arial"/>
        </w:rPr>
        <w:tab/>
      </w:r>
      <w:r w:rsidRPr="00F83AC7">
        <w:rPr>
          <w:rFonts w:eastAsia="Arial"/>
        </w:rPr>
        <w:t xml:space="preserve">Apibendrinant, </w:t>
      </w:r>
      <w:r w:rsidRPr="00F83AC7">
        <w:t xml:space="preserve">lyginant su įprasta klinikine praktika (t. y. stebėjimo ir laukimo taktika/placebo), </w:t>
      </w:r>
      <w:r w:rsidRPr="00F83AC7">
        <w:rPr>
          <w:rFonts w:eastAsia="Arial"/>
        </w:rPr>
        <w:t xml:space="preserve">gydymas olaparibu </w:t>
      </w:r>
      <w:r w:rsidRPr="00F83AC7">
        <w:t xml:space="preserve">yra įvertintas kaip pagrindžiantis papildomos naudos </w:t>
      </w:r>
      <w:r w:rsidRPr="00F83AC7">
        <w:rPr>
          <w:rFonts w:eastAsia="Arial"/>
        </w:rPr>
        <w:t xml:space="preserve">suaugusiems pacientams, sergantiems germinacinių </w:t>
      </w:r>
      <w:r w:rsidRPr="00F83AC7">
        <w:rPr>
          <w:rFonts w:eastAsia="Arial"/>
          <w:i/>
        </w:rPr>
        <w:t>BRCA1/2</w:t>
      </w:r>
      <w:r w:rsidRPr="00F83AC7">
        <w:rPr>
          <w:rFonts w:eastAsia="Arial"/>
        </w:rPr>
        <w:t xml:space="preserve"> mutacijų turinčiu HER2 neigiamu didelės rizikos ankstyvuoju</w:t>
      </w:r>
      <w:r w:rsidRPr="009463CD">
        <w:rPr>
          <w:rFonts w:eastAsia="Arial"/>
        </w:rPr>
        <w:t xml:space="preserve"> krūties vėžiu, adjuvantiniam gydymui po anksčiau taikytos neoadjuvantinės arba adjuvantinės chemoterapijos. </w:t>
      </w:r>
    </w:p>
    <w:p w14:paraId="2A2E17BD" w14:textId="77777777" w:rsidR="00975331" w:rsidRPr="009463CD" w:rsidRDefault="00975331" w:rsidP="009753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206F8A2F" w:rsidR="00E03C3F" w:rsidRPr="009463CD" w:rsidRDefault="00CC7832" w:rsidP="00937907">
      <w:pPr>
        <w:pStyle w:val="ListParagraph"/>
        <w:numPr>
          <w:ilvl w:val="0"/>
          <w:numId w:val="12"/>
        </w:numPr>
        <w:tabs>
          <w:tab w:val="left" w:pos="426"/>
        </w:tabs>
        <w:rPr>
          <w:b/>
          <w:bCs/>
          <w:caps/>
        </w:rPr>
      </w:pPr>
      <w:r w:rsidRPr="009463CD">
        <w:rPr>
          <w:b/>
          <w:bCs/>
          <w:caps/>
        </w:rPr>
        <w:t xml:space="preserve">Farmakoekonominio vertinimo </w:t>
      </w:r>
      <w:r w:rsidR="002F0E4F" w:rsidRPr="009463CD">
        <w:rPr>
          <w:b/>
          <w:bCs/>
          <w:caps/>
        </w:rPr>
        <w:t>apibendrinimas</w:t>
      </w:r>
    </w:p>
    <w:p w14:paraId="28372708" w14:textId="77777777" w:rsidR="00B83467" w:rsidRPr="009463CD" w:rsidRDefault="00B83467" w:rsidP="0079741F">
      <w:pPr>
        <w:shd w:val="clear" w:color="auto" w:fill="FFFFFF"/>
        <w:spacing w:line="276" w:lineRule="auto"/>
        <w:jc w:val="both"/>
        <w:rPr>
          <w:rFonts w:eastAsia="Arial"/>
        </w:rPr>
      </w:pPr>
    </w:p>
    <w:p w14:paraId="6FB67436" w14:textId="1EA69F3D" w:rsidR="00B83467" w:rsidRPr="009463CD" w:rsidRDefault="00B83467" w:rsidP="0079741F">
      <w:pPr>
        <w:shd w:val="clear" w:color="auto" w:fill="FFFFFF"/>
        <w:spacing w:line="276" w:lineRule="auto"/>
        <w:jc w:val="both"/>
        <w:rPr>
          <w:rFonts w:eastAsia="Arial"/>
        </w:rPr>
      </w:pPr>
      <w:r w:rsidRPr="009463CD">
        <w:rPr>
          <w:rFonts w:eastAsia="Arial"/>
        </w:rPr>
        <w:t>Vertinimui pateikta kaštų naudingumo analizė, kurioje nagrinėjami pacientai, sergantys BRCA teigiamu, HER2 neigiamu ankstyvu krūties vėžiu, kurie gavo vietinį gydymą ir chemoterapiją. Analizėje olaparibo (</w:t>
      </w:r>
      <w:r w:rsidR="0041602F">
        <w:rPr>
          <w:rFonts w:eastAsia="Arial"/>
        </w:rPr>
        <w:t>L</w:t>
      </w:r>
      <w:r w:rsidRPr="009463CD">
        <w:rPr>
          <w:rFonts w:eastAsia="Arial"/>
        </w:rPr>
        <w:t xml:space="preserve">ynparza) kaštų naudingumas lyginamas su stebėjimo ir laukimo taktika – tai atitinka standartinę Lietuvos klinikinę praktiką. Analizėje taikomas 5 būklių Markovo modelis – </w:t>
      </w:r>
      <w:r w:rsidRPr="009463CD">
        <w:rPr>
          <w:rFonts w:eastAsia="Arial"/>
        </w:rPr>
        <w:lastRenderedPageBreak/>
        <w:t>laikoma, jog analizės struktūra yra tinkama. Klinikinių duo</w:t>
      </w:r>
      <w:r w:rsidR="00A3757E" w:rsidRPr="009463CD">
        <w:rPr>
          <w:rFonts w:eastAsia="Arial"/>
        </w:rPr>
        <w:t>m</w:t>
      </w:r>
      <w:r w:rsidRPr="009463CD">
        <w:rPr>
          <w:rFonts w:eastAsia="Arial"/>
        </w:rPr>
        <w:t>enų šaltinis analizėje yra OlympiA klinik</w:t>
      </w:r>
      <w:r w:rsidR="0041602F">
        <w:rPr>
          <w:rFonts w:eastAsia="Arial"/>
        </w:rPr>
        <w:t>i</w:t>
      </w:r>
      <w:r w:rsidRPr="009463CD">
        <w:rPr>
          <w:rFonts w:eastAsia="Arial"/>
        </w:rPr>
        <w:t xml:space="preserve">nis tyrimas. </w:t>
      </w:r>
    </w:p>
    <w:p w14:paraId="45952E42" w14:textId="1BDD04CE" w:rsidR="00B83467" w:rsidRPr="009463CD" w:rsidRDefault="00B83467" w:rsidP="0079741F">
      <w:pPr>
        <w:shd w:val="clear" w:color="auto" w:fill="FFFFFF"/>
        <w:spacing w:line="276" w:lineRule="auto"/>
        <w:jc w:val="both"/>
        <w:rPr>
          <w:rFonts w:eastAsia="Arial"/>
        </w:rPr>
      </w:pPr>
      <w:r w:rsidRPr="009463CD">
        <w:rPr>
          <w:rFonts w:eastAsia="Arial"/>
        </w:rPr>
        <w:t>Tarnyba pabrėžia, jog analizėje keičiant prielaidas, kurios neturi didelės įtakos analizės rezultatui (ICER įverčiui), gali kisti ligos naštos įvertis – tai gali kardinaliai pakeisti sprendimą dėl kompensavimo. Vis dėlto, Tarnybos įvertintoje pagri</w:t>
      </w:r>
      <w:r w:rsidR="000036E8" w:rsidRPr="009463CD">
        <w:rPr>
          <w:rFonts w:eastAsia="Arial"/>
        </w:rPr>
        <w:t xml:space="preserve">ndinio atvejo analizėje, ligos </w:t>
      </w:r>
      <w:r w:rsidRPr="009463CD">
        <w:rPr>
          <w:rFonts w:eastAsia="Arial"/>
        </w:rPr>
        <w:t>n</w:t>
      </w:r>
      <w:r w:rsidR="000036E8" w:rsidRPr="009463CD">
        <w:rPr>
          <w:rFonts w:eastAsia="Arial"/>
        </w:rPr>
        <w:t>a</w:t>
      </w:r>
      <w:r w:rsidRPr="009463CD">
        <w:rPr>
          <w:rFonts w:eastAsia="Arial"/>
        </w:rPr>
        <w:t xml:space="preserve">šta yra įvertinta kaip </w:t>
      </w:r>
      <w:r w:rsidR="0096728D">
        <w:rPr>
          <w:rFonts w:eastAsia="Arial"/>
        </w:rPr>
        <w:t>***</w:t>
      </w:r>
      <w:r w:rsidRPr="009463CD">
        <w:rPr>
          <w:rFonts w:eastAsia="Arial"/>
        </w:rPr>
        <w:t xml:space="preserve">, todėl Tarnyba analizės rezultatą interpretuoja laikant, jog referencinė kaštų naudingumo vertė yra </w:t>
      </w:r>
      <w:r w:rsidR="0096728D">
        <w:rPr>
          <w:rFonts w:eastAsia="Arial"/>
        </w:rPr>
        <w:t>***</w:t>
      </w:r>
      <w:r w:rsidRPr="009463CD">
        <w:rPr>
          <w:rFonts w:eastAsia="Arial"/>
        </w:rPr>
        <w:t xml:space="preserve"> BVP </w:t>
      </w:r>
      <w:r w:rsidRPr="0041602F">
        <w:rPr>
          <w:rFonts w:eastAsia="Arial"/>
          <w:i/>
          <w:iCs/>
        </w:rPr>
        <w:t>per capita</w:t>
      </w:r>
      <w:r w:rsidRPr="009463CD">
        <w:rPr>
          <w:rFonts w:eastAsia="Arial"/>
        </w:rPr>
        <w:t xml:space="preserve"> (</w:t>
      </w:r>
      <w:r w:rsidR="0096728D">
        <w:rPr>
          <w:rFonts w:eastAsia="Arial"/>
        </w:rPr>
        <w:t>***</w:t>
      </w:r>
      <w:r w:rsidRPr="009463CD">
        <w:rPr>
          <w:rFonts w:eastAsia="Arial"/>
        </w:rPr>
        <w:t xml:space="preserve"> eur/QALY).</w:t>
      </w:r>
    </w:p>
    <w:p w14:paraId="071C7086" w14:textId="12EA97FF" w:rsidR="00B83467" w:rsidRPr="009463CD" w:rsidRDefault="00B83467" w:rsidP="0079741F">
      <w:pPr>
        <w:shd w:val="clear" w:color="auto" w:fill="FFFFFF"/>
        <w:spacing w:line="276" w:lineRule="auto"/>
        <w:jc w:val="both"/>
        <w:rPr>
          <w:rFonts w:eastAsia="Arial"/>
        </w:rPr>
      </w:pPr>
      <w:r w:rsidRPr="009463CD">
        <w:rPr>
          <w:rFonts w:eastAsia="Arial"/>
        </w:rPr>
        <w:t>Įvertinus analizės rezultatą nustatyta, jog gydymas olaparibu (</w:t>
      </w:r>
      <w:r w:rsidR="0041602F">
        <w:rPr>
          <w:rFonts w:eastAsia="Arial"/>
        </w:rPr>
        <w:t>L</w:t>
      </w:r>
      <w:r w:rsidRPr="009463CD">
        <w:rPr>
          <w:rFonts w:eastAsia="Arial"/>
        </w:rPr>
        <w:t>ynparza) yra kaštams naudingas.</w:t>
      </w:r>
    </w:p>
    <w:p w14:paraId="721500C4" w14:textId="7C7555BB" w:rsidR="00B83467" w:rsidRPr="009463CD" w:rsidRDefault="00B83467" w:rsidP="0079741F">
      <w:pPr>
        <w:tabs>
          <w:tab w:val="left" w:pos="426"/>
        </w:tabs>
        <w:rPr>
          <w:b/>
          <w:bCs/>
          <w:caps/>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29"/>
        <w:gridCol w:w="3579"/>
      </w:tblGrid>
      <w:tr w:rsidR="00B83467" w:rsidRPr="009463CD" w14:paraId="435F5C58" w14:textId="77777777" w:rsidTr="00725203">
        <w:trPr>
          <w:trHeight w:val="347"/>
          <w:jc w:val="center"/>
        </w:trPr>
        <w:tc>
          <w:tcPr>
            <w:tcW w:w="9908" w:type="dxa"/>
            <w:gridSpan w:val="2"/>
            <w:tcBorders>
              <w:top w:val="single" w:sz="12" w:space="0" w:color="auto"/>
            </w:tcBorders>
            <w:vAlign w:val="center"/>
          </w:tcPr>
          <w:p w14:paraId="0D9C61C4" w14:textId="77777777" w:rsidR="00B83467" w:rsidRPr="009463CD" w:rsidRDefault="00B83467" w:rsidP="00725203">
            <w:pPr>
              <w:tabs>
                <w:tab w:val="left" w:pos="567"/>
              </w:tabs>
              <w:jc w:val="center"/>
              <w:rPr>
                <w:b/>
                <w:bCs/>
                <w:sz w:val="26"/>
                <w:szCs w:val="26"/>
                <w:lang w:eastAsia="lt-LT"/>
              </w:rPr>
            </w:pPr>
            <w:r w:rsidRPr="009463CD">
              <w:rPr>
                <w:b/>
                <w:bCs/>
                <w:sz w:val="26"/>
                <w:szCs w:val="26"/>
                <w:lang w:eastAsia="lt-LT"/>
              </w:rPr>
              <w:t>Rezultatai</w:t>
            </w:r>
          </w:p>
        </w:tc>
      </w:tr>
      <w:tr w:rsidR="00B83467" w:rsidRPr="009463CD" w14:paraId="1F14AC45" w14:textId="77777777" w:rsidTr="00725203">
        <w:trPr>
          <w:jc w:val="center"/>
        </w:trPr>
        <w:tc>
          <w:tcPr>
            <w:tcW w:w="6329" w:type="dxa"/>
          </w:tcPr>
          <w:p w14:paraId="3C666207" w14:textId="132826B6" w:rsidR="00B83467" w:rsidRPr="009463CD" w:rsidRDefault="00B83467" w:rsidP="00725203">
            <w:pPr>
              <w:tabs>
                <w:tab w:val="left" w:pos="567"/>
              </w:tabs>
              <w:jc w:val="right"/>
              <w:rPr>
                <w:iCs/>
                <w:lang w:eastAsia="lt-LT"/>
              </w:rPr>
            </w:pPr>
            <w:r w:rsidRPr="009463CD">
              <w:rPr>
                <w:iCs/>
                <w:lang w:eastAsia="lt-LT"/>
              </w:rPr>
              <w:t>Kaštų skirtumas</w:t>
            </w:r>
          </w:p>
        </w:tc>
        <w:tc>
          <w:tcPr>
            <w:tcW w:w="3579" w:type="dxa"/>
          </w:tcPr>
          <w:p w14:paraId="3ECB7A03" w14:textId="378CD7FF" w:rsidR="00B83467" w:rsidRPr="0096728D" w:rsidRDefault="0096728D" w:rsidP="00725203">
            <w:pPr>
              <w:tabs>
                <w:tab w:val="left" w:pos="567"/>
              </w:tabs>
              <w:jc w:val="both"/>
              <w:rPr>
                <w:i/>
                <w:iCs/>
                <w:lang w:eastAsia="lt-LT"/>
              </w:rPr>
            </w:pPr>
            <w:r>
              <w:rPr>
                <w:i/>
                <w:iCs/>
                <w:lang w:eastAsia="lt-LT"/>
              </w:rPr>
              <w:t>***</w:t>
            </w:r>
            <w:r w:rsidR="00B83467" w:rsidRPr="0096728D">
              <w:rPr>
                <w:i/>
                <w:iCs/>
                <w:lang w:eastAsia="lt-LT"/>
              </w:rPr>
              <w:t xml:space="preserve"> eur</w:t>
            </w:r>
          </w:p>
        </w:tc>
      </w:tr>
      <w:tr w:rsidR="00B83467" w:rsidRPr="009463CD" w14:paraId="5213753E" w14:textId="77777777" w:rsidTr="00725203">
        <w:trPr>
          <w:jc w:val="center"/>
        </w:trPr>
        <w:tc>
          <w:tcPr>
            <w:tcW w:w="6329" w:type="dxa"/>
          </w:tcPr>
          <w:p w14:paraId="66D29269" w14:textId="365FF7DF" w:rsidR="00B83467" w:rsidRPr="009463CD" w:rsidRDefault="00B83467" w:rsidP="00B83467">
            <w:pPr>
              <w:tabs>
                <w:tab w:val="left" w:pos="567"/>
              </w:tabs>
              <w:jc w:val="right"/>
              <w:rPr>
                <w:iCs/>
                <w:lang w:eastAsia="lt-LT"/>
              </w:rPr>
            </w:pPr>
            <w:r w:rsidRPr="009463CD">
              <w:rPr>
                <w:iCs/>
                <w:lang w:eastAsia="lt-LT"/>
              </w:rPr>
              <w:t>ICER už LY</w:t>
            </w:r>
          </w:p>
        </w:tc>
        <w:tc>
          <w:tcPr>
            <w:tcW w:w="3579" w:type="dxa"/>
          </w:tcPr>
          <w:p w14:paraId="3747A1B5" w14:textId="39AF6A92" w:rsidR="00B83467" w:rsidRPr="0096728D" w:rsidRDefault="0096728D" w:rsidP="00B83467">
            <w:pPr>
              <w:tabs>
                <w:tab w:val="left" w:pos="567"/>
              </w:tabs>
              <w:jc w:val="both"/>
              <w:rPr>
                <w:i/>
                <w:iCs/>
                <w:lang w:eastAsia="lt-LT"/>
              </w:rPr>
            </w:pPr>
            <w:r>
              <w:rPr>
                <w:i/>
                <w:iCs/>
                <w:lang w:eastAsia="lt-LT"/>
              </w:rPr>
              <w:t>***</w:t>
            </w:r>
            <w:r w:rsidR="00B83467" w:rsidRPr="0096728D">
              <w:rPr>
                <w:i/>
                <w:iCs/>
                <w:lang w:eastAsia="lt-LT"/>
              </w:rPr>
              <w:t xml:space="preserve"> eur/LY</w:t>
            </w:r>
          </w:p>
        </w:tc>
      </w:tr>
      <w:tr w:rsidR="00B83467" w:rsidRPr="009463CD" w14:paraId="7EF80A6A" w14:textId="77777777" w:rsidTr="00725203">
        <w:trPr>
          <w:jc w:val="center"/>
        </w:trPr>
        <w:tc>
          <w:tcPr>
            <w:tcW w:w="6329" w:type="dxa"/>
          </w:tcPr>
          <w:p w14:paraId="77218B1C" w14:textId="77777777" w:rsidR="00B83467" w:rsidRPr="009463CD" w:rsidRDefault="00B83467" w:rsidP="00B83467">
            <w:pPr>
              <w:tabs>
                <w:tab w:val="left" w:pos="567"/>
              </w:tabs>
              <w:jc w:val="right"/>
              <w:rPr>
                <w:iCs/>
                <w:lang w:eastAsia="lt-LT"/>
              </w:rPr>
            </w:pPr>
            <w:r w:rsidRPr="009463CD">
              <w:rPr>
                <w:iCs/>
                <w:lang w:eastAsia="lt-LT"/>
              </w:rPr>
              <w:t>ICER už QALY</w:t>
            </w:r>
          </w:p>
        </w:tc>
        <w:tc>
          <w:tcPr>
            <w:tcW w:w="3579" w:type="dxa"/>
          </w:tcPr>
          <w:p w14:paraId="5CE2AC47" w14:textId="06B87DCA" w:rsidR="00B83467" w:rsidRPr="0096728D" w:rsidRDefault="0096728D" w:rsidP="00B83467">
            <w:pPr>
              <w:tabs>
                <w:tab w:val="left" w:pos="567"/>
              </w:tabs>
              <w:jc w:val="both"/>
              <w:rPr>
                <w:i/>
                <w:iCs/>
                <w:lang w:eastAsia="lt-LT"/>
              </w:rPr>
            </w:pPr>
            <w:r>
              <w:rPr>
                <w:i/>
                <w:iCs/>
                <w:lang w:eastAsia="lt-LT"/>
              </w:rPr>
              <w:t>***</w:t>
            </w:r>
            <w:r w:rsidR="00B83467" w:rsidRPr="0096728D">
              <w:rPr>
                <w:i/>
                <w:iCs/>
                <w:lang w:eastAsia="lt-LT"/>
              </w:rPr>
              <w:t xml:space="preserve"> eur/QALY</w:t>
            </w:r>
          </w:p>
        </w:tc>
      </w:tr>
      <w:tr w:rsidR="00B83467" w:rsidRPr="009463CD" w14:paraId="475D98ED" w14:textId="77777777" w:rsidTr="00725203">
        <w:trPr>
          <w:jc w:val="center"/>
        </w:trPr>
        <w:tc>
          <w:tcPr>
            <w:tcW w:w="6329" w:type="dxa"/>
          </w:tcPr>
          <w:p w14:paraId="0CB4708F" w14:textId="77777777" w:rsidR="00B83467" w:rsidRPr="009463CD" w:rsidRDefault="00B83467" w:rsidP="00B83467">
            <w:pPr>
              <w:tabs>
                <w:tab w:val="left" w:pos="567"/>
              </w:tabs>
              <w:jc w:val="right"/>
              <w:rPr>
                <w:iCs/>
                <w:lang w:eastAsia="lt-LT"/>
              </w:rPr>
            </w:pPr>
            <w:r w:rsidRPr="009463CD">
              <w:rPr>
                <w:iCs/>
                <w:lang w:eastAsia="lt-LT"/>
              </w:rPr>
              <w:t>Referencinė kaštų naudingumo vertė</w:t>
            </w:r>
          </w:p>
        </w:tc>
        <w:tc>
          <w:tcPr>
            <w:tcW w:w="3579" w:type="dxa"/>
          </w:tcPr>
          <w:p w14:paraId="014ECEBB" w14:textId="36BBC528" w:rsidR="00B83467" w:rsidRPr="0096728D" w:rsidRDefault="0096728D" w:rsidP="00B83467">
            <w:pPr>
              <w:tabs>
                <w:tab w:val="left" w:pos="567"/>
              </w:tabs>
              <w:jc w:val="both"/>
              <w:rPr>
                <w:i/>
                <w:iCs/>
                <w:lang w:eastAsia="lt-LT"/>
              </w:rPr>
            </w:pPr>
            <w:r>
              <w:rPr>
                <w:i/>
                <w:iCs/>
                <w:lang w:eastAsia="lt-LT"/>
              </w:rPr>
              <w:t>***</w:t>
            </w:r>
            <w:r w:rsidR="00B83467" w:rsidRPr="0096728D">
              <w:rPr>
                <w:i/>
                <w:iCs/>
                <w:lang w:eastAsia="lt-LT"/>
              </w:rPr>
              <w:t xml:space="preserve"> eur/QALY</w:t>
            </w:r>
          </w:p>
        </w:tc>
      </w:tr>
    </w:tbl>
    <w:p w14:paraId="3C66DDC5" w14:textId="77777777" w:rsidR="00B83467" w:rsidRPr="009463CD" w:rsidRDefault="00B83467" w:rsidP="0079741F">
      <w:pPr>
        <w:tabs>
          <w:tab w:val="left" w:pos="426"/>
        </w:tabs>
        <w:rPr>
          <w:b/>
          <w:bCs/>
          <w:caps/>
        </w:rPr>
      </w:pPr>
    </w:p>
    <w:p w14:paraId="1A900598" w14:textId="65638B29" w:rsidR="00C62B36" w:rsidRPr="009463CD" w:rsidRDefault="00C62B36" w:rsidP="00A93AA6">
      <w:pPr>
        <w:tabs>
          <w:tab w:val="left" w:pos="426"/>
        </w:tabs>
        <w:rPr>
          <w:i/>
          <w:sz w:val="22"/>
          <w:szCs w:val="22"/>
        </w:rPr>
      </w:pPr>
    </w:p>
    <w:p w14:paraId="4FC424F9" w14:textId="4E767245" w:rsidR="00C62B36" w:rsidRPr="009463CD" w:rsidRDefault="00C62B36" w:rsidP="00937907">
      <w:pPr>
        <w:pStyle w:val="ListParagraph"/>
        <w:numPr>
          <w:ilvl w:val="0"/>
          <w:numId w:val="12"/>
        </w:numPr>
        <w:tabs>
          <w:tab w:val="left" w:pos="284"/>
        </w:tabs>
        <w:rPr>
          <w:b/>
          <w:bCs/>
          <w:caps/>
        </w:rPr>
      </w:pPr>
      <w:r w:rsidRPr="009463CD">
        <w:rPr>
          <w:b/>
          <w:bCs/>
          <w:caps/>
        </w:rPr>
        <w:t xml:space="preserve">Pacientų organizacijų pateikti duomenys </w:t>
      </w:r>
    </w:p>
    <w:p w14:paraId="79BCFF40" w14:textId="2CBDFDCB" w:rsidR="00937907" w:rsidRPr="009463CD" w:rsidRDefault="00000000" w:rsidP="00937907">
      <w:pPr>
        <w:spacing w:after="120"/>
        <w:jc w:val="both"/>
      </w:pPr>
      <w:sdt>
        <w:sdtPr>
          <w:rPr>
            <w:rStyle w:val="Style2"/>
            <w:rFonts w:ascii="MS Gothic" w:eastAsia="MS Gothic" w:hAnsi="MS Gothic"/>
          </w:rPr>
          <w:id w:val="1150014178"/>
          <w15:color w:val="FFCC00"/>
          <w14:checkbox>
            <w14:checked w14:val="1"/>
            <w14:checkedState w14:val="2612" w14:font="MS Gothic"/>
            <w14:uncheckedState w14:val="2610" w14:font="MS Gothic"/>
          </w14:checkbox>
        </w:sdtPr>
        <w:sdtContent>
          <w:r w:rsidR="003A20BA">
            <w:rPr>
              <w:rStyle w:val="Style2"/>
              <w:rFonts w:ascii="MS Gothic" w:eastAsia="MS Gothic" w:hAnsi="MS Gothic" w:hint="eastAsia"/>
            </w:rPr>
            <w:t>☒</w:t>
          </w:r>
        </w:sdtContent>
      </w:sdt>
      <w:r w:rsidR="00937907" w:rsidRPr="009463CD">
        <w:t xml:space="preserve"> Pacientų organizacijos pozicija pateikta. Žr. priedą.</w:t>
      </w:r>
    </w:p>
    <w:p w14:paraId="62992180" w14:textId="0C3C571E" w:rsidR="00937907" w:rsidRPr="009463CD" w:rsidRDefault="00000000" w:rsidP="00937907">
      <w:pPr>
        <w:spacing w:after="120"/>
        <w:jc w:val="both"/>
      </w:pPr>
      <w:sdt>
        <w:sdtPr>
          <w:rPr>
            <w:rStyle w:val="Style2"/>
            <w:rFonts w:ascii="MS Gothic" w:eastAsia="MS Gothic" w:hAnsi="MS Gothic"/>
          </w:rPr>
          <w:id w:val="-1545513810"/>
          <w15:color w:val="FFCC00"/>
          <w14:checkbox>
            <w14:checked w14:val="0"/>
            <w14:checkedState w14:val="2612" w14:font="MS Gothic"/>
            <w14:uncheckedState w14:val="2610" w14:font="MS Gothic"/>
          </w14:checkbox>
        </w:sdtPr>
        <w:sdtContent>
          <w:r w:rsidR="003A20BA">
            <w:rPr>
              <w:rStyle w:val="Style2"/>
              <w:rFonts w:ascii="MS Gothic" w:eastAsia="MS Gothic" w:hAnsi="MS Gothic" w:hint="eastAsia"/>
            </w:rPr>
            <w:t>☐</w:t>
          </w:r>
        </w:sdtContent>
      </w:sdt>
      <w:r w:rsidR="00937907" w:rsidRPr="009463CD">
        <w:t xml:space="preserve"> Pacientų organizacijos pozicija </w:t>
      </w:r>
      <w:r w:rsidR="00880A44" w:rsidRPr="009463CD">
        <w:t>ne</w:t>
      </w:r>
      <w:r w:rsidR="00937907" w:rsidRPr="009463CD">
        <w:t>pateikta.</w:t>
      </w:r>
    </w:p>
    <w:p w14:paraId="3D3277FA" w14:textId="3CEEB2D2" w:rsidR="00C62B36" w:rsidRPr="009463CD" w:rsidRDefault="00C62B36" w:rsidP="00937907">
      <w:pPr>
        <w:pStyle w:val="ListParagraph"/>
        <w:numPr>
          <w:ilvl w:val="0"/>
          <w:numId w:val="12"/>
        </w:numPr>
        <w:tabs>
          <w:tab w:val="left" w:pos="426"/>
        </w:tabs>
        <w:rPr>
          <w:b/>
          <w:bCs/>
          <w:caps/>
        </w:rPr>
      </w:pPr>
      <w:r w:rsidRPr="009463CD">
        <w:rPr>
          <w:b/>
          <w:bCs/>
          <w:caps/>
        </w:rPr>
        <w:t>Gydytojų organizacijų pateikti duomenys</w:t>
      </w:r>
    </w:p>
    <w:p w14:paraId="389A346C" w14:textId="21CE4896" w:rsidR="00937907" w:rsidRPr="009463CD" w:rsidRDefault="0000000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6221D7" w:rsidRPr="009463CD">
            <w:rPr>
              <w:rStyle w:val="Style2"/>
              <w:rFonts w:ascii="MS Gothic" w:eastAsia="MS Gothic" w:hAnsi="MS Gothic"/>
            </w:rPr>
            <w:t>☒</w:t>
          </w:r>
        </w:sdtContent>
      </w:sdt>
      <w:r w:rsidR="00662983" w:rsidRPr="009463CD">
        <w:t xml:space="preserve"> </w:t>
      </w:r>
      <w:r w:rsidR="00937907" w:rsidRPr="009463CD">
        <w:t xml:space="preserve">Gydytojų specialistų organizacijos pozicija pateikta. </w:t>
      </w:r>
      <w:r w:rsidR="00662983" w:rsidRPr="009463CD">
        <w:t>Žr. priedą</w:t>
      </w:r>
      <w:r w:rsidR="00937907" w:rsidRPr="009463CD">
        <w:t>.</w:t>
      </w:r>
    </w:p>
    <w:p w14:paraId="5D8CC48C" w14:textId="2FE8FC1C" w:rsidR="00662983" w:rsidRPr="009463CD" w:rsidRDefault="0000000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6221D7" w:rsidRPr="009463CD">
            <w:rPr>
              <w:rStyle w:val="Style2"/>
              <w:rFonts w:ascii="MS Gothic" w:eastAsia="MS Gothic" w:hAnsi="MS Gothic"/>
            </w:rPr>
            <w:t>☐</w:t>
          </w:r>
        </w:sdtContent>
      </w:sdt>
      <w:r w:rsidR="00662983" w:rsidRPr="009463CD">
        <w:t xml:space="preserve"> </w:t>
      </w:r>
      <w:r w:rsidR="00937907" w:rsidRPr="009463CD">
        <w:t xml:space="preserve">Gydytojų specialistų organizacijos pozicija </w:t>
      </w:r>
      <w:r w:rsidR="00880A44" w:rsidRPr="009463CD">
        <w:t>ne</w:t>
      </w:r>
      <w:r w:rsidR="00937907" w:rsidRPr="009463CD">
        <w:t>pateikta.</w:t>
      </w:r>
    </w:p>
    <w:p w14:paraId="78F23ECB" w14:textId="23A3A002" w:rsidR="002F0E4F" w:rsidRPr="009463CD" w:rsidRDefault="002F0E4F" w:rsidP="00937907">
      <w:pPr>
        <w:pStyle w:val="ListParagraph"/>
        <w:numPr>
          <w:ilvl w:val="0"/>
          <w:numId w:val="12"/>
        </w:numPr>
        <w:tabs>
          <w:tab w:val="left" w:pos="426"/>
        </w:tabs>
        <w:rPr>
          <w:b/>
          <w:bCs/>
          <w:caps/>
        </w:rPr>
      </w:pPr>
      <w:r w:rsidRPr="009463CD">
        <w:rPr>
          <w:b/>
          <w:bCs/>
          <w:caps/>
        </w:rPr>
        <w:t xml:space="preserve">Išvada </w:t>
      </w:r>
    </w:p>
    <w:p w14:paraId="573E407F" w14:textId="77777777" w:rsidR="00797153" w:rsidRPr="009463CD"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9463CD" w14:paraId="25A2473E" w14:textId="77777777" w:rsidTr="00BD1E5A">
        <w:tc>
          <w:tcPr>
            <w:tcW w:w="4981" w:type="dxa"/>
          </w:tcPr>
          <w:p w14:paraId="7EFE6941" w14:textId="23B8BB6D" w:rsidR="00B13D65"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9463CD">
              <w:rPr>
                <w:rStyle w:val="Style2"/>
                <w:rFonts w:eastAsia="MS Gothic"/>
                <w:b/>
                <w:bCs/>
                <w:sz w:val="24"/>
              </w:rPr>
              <w:t>Rekomenduojama kompensuoti</w:t>
            </w:r>
          </w:p>
        </w:tc>
        <w:tc>
          <w:tcPr>
            <w:tcW w:w="4981" w:type="dxa"/>
          </w:tcPr>
          <w:p w14:paraId="330A1A5E" w14:textId="19247DC1" w:rsidR="00B13D65"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9463CD">
              <w:rPr>
                <w:rStyle w:val="Style2"/>
                <w:rFonts w:eastAsia="MS Gothic"/>
                <w:b/>
                <w:bCs/>
                <w:sz w:val="24"/>
              </w:rPr>
              <w:t xml:space="preserve">Rekomenduojama nekompensuoti </w:t>
            </w:r>
          </w:p>
        </w:tc>
      </w:tr>
      <w:tr w:rsidR="00B13D65" w:rsidRPr="009463CD" w14:paraId="143A7356" w14:textId="77777777" w:rsidTr="00BD1E5A">
        <w:tc>
          <w:tcPr>
            <w:tcW w:w="9962" w:type="dxa"/>
            <w:gridSpan w:val="2"/>
          </w:tcPr>
          <w:p w14:paraId="5D93D240"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463CD">
              <w:rPr>
                <w:rStyle w:val="Style2"/>
                <w:rFonts w:eastAsia="MS Gothic"/>
                <w:b/>
                <w:bCs/>
                <w:sz w:val="24"/>
              </w:rPr>
              <w:t>Palyginamasis efektyvumas</w:t>
            </w:r>
          </w:p>
          <w:p w14:paraId="0AF5D6B4"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9463CD" w14:paraId="28A0C814" w14:textId="77777777" w:rsidTr="00BD1E5A">
        <w:tc>
          <w:tcPr>
            <w:tcW w:w="4981" w:type="dxa"/>
          </w:tcPr>
          <w:p w14:paraId="216769B5" w14:textId="538F5465"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3A5E33" w:rsidRPr="009463CD">
                  <w:rPr>
                    <w:rStyle w:val="Style2"/>
                    <w:rFonts w:ascii="MS Gothic" w:eastAsia="MS Gothic" w:hAnsi="MS Gothic"/>
                    <w:sz w:val="24"/>
                  </w:rPr>
                  <w:t>☒</w:t>
                </w:r>
              </w:sdtContent>
            </w:sdt>
            <w:r w:rsidR="00B13D65" w:rsidRPr="009463CD">
              <w:t xml:space="preserve"> 32.1. yra didesnis</w:t>
            </w:r>
          </w:p>
          <w:p w14:paraId="3B48F372"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DBA8A7E" w:rsidR="00B13D65" w:rsidRPr="009463CD"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AA6AC8" w:rsidRPr="009463CD">
                  <w:rPr>
                    <w:rStyle w:val="Style2"/>
                    <w:rFonts w:ascii="MS Gothic" w:eastAsia="MS Gothic" w:hAnsi="MS Gothic"/>
                    <w:sz w:val="24"/>
                  </w:rPr>
                  <w:t>☐</w:t>
                </w:r>
              </w:sdtContent>
            </w:sdt>
            <w:r w:rsidR="00B13D65" w:rsidRPr="009463CD">
              <w:t xml:space="preserve"> 32.1. iš esmės nesiskiria</w:t>
            </w:r>
          </w:p>
        </w:tc>
        <w:tc>
          <w:tcPr>
            <w:tcW w:w="4981" w:type="dxa"/>
          </w:tcPr>
          <w:p w14:paraId="507828D9" w14:textId="09AE523F"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9463CD">
                  <w:rPr>
                    <w:rStyle w:val="Style2"/>
                    <w:rFonts w:ascii="Segoe UI Symbol" w:eastAsia="MS Gothic" w:hAnsi="Segoe UI Symbol" w:cs="Segoe UI Symbol"/>
                    <w:sz w:val="24"/>
                  </w:rPr>
                  <w:t>☐</w:t>
                </w:r>
              </w:sdtContent>
            </w:sdt>
            <w:r w:rsidR="00B13D65" w:rsidRPr="009463CD">
              <w:t xml:space="preserve"> 33.1. yra mažesnis</w:t>
            </w:r>
          </w:p>
          <w:p w14:paraId="7F95DEEC"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4A920610" w:rsidR="00662983"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3A5E33" w:rsidRPr="009463CD">
                  <w:rPr>
                    <w:rStyle w:val="Style2"/>
                    <w:rFonts w:ascii="MS Gothic" w:eastAsia="MS Gothic" w:hAnsi="MS Gothic"/>
                    <w:sz w:val="24"/>
                  </w:rPr>
                  <w:t>☐</w:t>
                </w:r>
              </w:sdtContent>
            </w:sdt>
            <w:r w:rsidR="00B13D65" w:rsidRPr="009463CD">
              <w:t xml:space="preserve"> 33.1. yra neįrodytas kaip toks pat</w:t>
            </w:r>
          </w:p>
          <w:p w14:paraId="35205E85"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48592A25"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F2582E" w:rsidRPr="009463CD">
                  <w:rPr>
                    <w:rStyle w:val="Style2"/>
                    <w:rFonts w:ascii="MS Gothic" w:eastAsia="MS Gothic" w:hAnsi="MS Gothic"/>
                    <w:sz w:val="24"/>
                  </w:rPr>
                  <w:t>☐</w:t>
                </w:r>
              </w:sdtContent>
            </w:sdt>
            <w:r w:rsidR="00662983" w:rsidRPr="009463CD">
              <w:t xml:space="preserve"> 33.1 </w:t>
            </w:r>
            <w:r w:rsidR="00B13D65" w:rsidRPr="009463CD">
              <w:t>neįrodytas kaip didesnis</w:t>
            </w:r>
          </w:p>
          <w:p w14:paraId="512E653B"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9463CD">
                  <w:rPr>
                    <w:rStyle w:val="Style2"/>
                    <w:rFonts w:ascii="Segoe UI Symbol" w:eastAsia="MS Gothic" w:hAnsi="Segoe UI Symbol" w:cs="Segoe UI Symbol"/>
                    <w:sz w:val="24"/>
                  </w:rPr>
                  <w:t>☐</w:t>
                </w:r>
              </w:sdtContent>
            </w:sdt>
            <w:r w:rsidR="00B13D65" w:rsidRPr="009463CD">
              <w:t xml:space="preserve"> 33.1. pateikti duomenys apie palyginamąjį efektyvumą yra netinkami vertinti</w:t>
            </w:r>
          </w:p>
          <w:p w14:paraId="5DDAA961"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9463CD" w14:paraId="161CC3FE" w14:textId="77777777" w:rsidTr="00BD1E5A">
        <w:tc>
          <w:tcPr>
            <w:tcW w:w="9962" w:type="dxa"/>
            <w:gridSpan w:val="2"/>
          </w:tcPr>
          <w:p w14:paraId="3B2878F0"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463CD">
              <w:rPr>
                <w:rStyle w:val="Style2"/>
                <w:rFonts w:eastAsia="MS Gothic"/>
                <w:b/>
                <w:bCs/>
                <w:sz w:val="24"/>
              </w:rPr>
              <w:t>Klinikinis veiksmingumas</w:t>
            </w:r>
          </w:p>
          <w:p w14:paraId="1AB46894"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9463CD" w14:paraId="3C60570A" w14:textId="77777777" w:rsidTr="00BD1E5A">
        <w:tc>
          <w:tcPr>
            <w:tcW w:w="4981" w:type="dxa"/>
          </w:tcPr>
          <w:p w14:paraId="6897B306" w14:textId="5057FB3C"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3A5E33" w:rsidRPr="009463CD">
                  <w:rPr>
                    <w:rStyle w:val="Style2"/>
                    <w:rFonts w:ascii="MS Gothic" w:eastAsia="MS Gothic" w:hAnsi="MS Gothic"/>
                    <w:sz w:val="24"/>
                  </w:rPr>
                  <w:t>☒</w:t>
                </w:r>
              </w:sdtContent>
            </w:sdt>
            <w:r w:rsidR="00B13D65" w:rsidRPr="009463CD">
              <w:t xml:space="preserve"> 32.2. yra įvertintas kaip pagrindžiantis papildomos naudos pacientų sveikatai sukūrimą, lyginant su įprasta klinikine praktika</w:t>
            </w:r>
          </w:p>
          <w:p w14:paraId="71D57105"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317AC76"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AA6AC8" w:rsidRPr="009463CD">
                  <w:rPr>
                    <w:rStyle w:val="Style2"/>
                    <w:rFonts w:ascii="MS Gothic" w:eastAsia="MS Gothic" w:hAnsi="MS Gothic"/>
                    <w:sz w:val="24"/>
                  </w:rPr>
                  <w:t>☐</w:t>
                </w:r>
              </w:sdtContent>
            </w:sdt>
            <w:r w:rsidR="00B13D65" w:rsidRPr="009463CD">
              <w:t xml:space="preserve"> 32.2. įvertintas kaip pagrindžiantis nesiskiriančios naudos pacientų sveikatai sukūrimą, lyginant su įprasta klinikine praktika</w:t>
            </w:r>
          </w:p>
          <w:p w14:paraId="287AD233"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028E972D" w:rsidR="00662983" w:rsidRPr="009463CD"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F2582E" w:rsidRPr="009463CD">
                  <w:rPr>
                    <w:rStyle w:val="Style2"/>
                    <w:rFonts w:ascii="MS Gothic" w:eastAsia="MS Gothic" w:hAnsi="MS Gothic"/>
                    <w:sz w:val="24"/>
                  </w:rPr>
                  <w:t>☐</w:t>
                </w:r>
              </w:sdtContent>
            </w:sdt>
            <w:r w:rsidR="00B13D65" w:rsidRPr="009463CD">
              <w:t xml:space="preserve"> 33.1. yra įvertintas kaip nepagrindžiantis papildomos </w:t>
            </w:r>
            <w:r w:rsidR="00662983" w:rsidRPr="009463CD">
              <w:t>naudos pacientų sveikatai sukūrimo, lyginant su  įprasta klinikine praktika.</w:t>
            </w:r>
          </w:p>
          <w:p w14:paraId="6C70BCFC" w14:textId="77777777" w:rsidR="00662983" w:rsidRPr="009463CD" w:rsidRDefault="00662983" w:rsidP="00BD1E5A">
            <w:pPr>
              <w:jc w:val="both"/>
            </w:pPr>
          </w:p>
          <w:p w14:paraId="0ADEC30D" w14:textId="7B798451" w:rsidR="00B13D65" w:rsidRPr="009463CD"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3A5E33" w:rsidRPr="009463CD">
                  <w:rPr>
                    <w:rStyle w:val="Style2"/>
                    <w:rFonts w:ascii="MS Gothic" w:eastAsia="MS Gothic" w:hAnsi="MS Gothic"/>
                    <w:sz w:val="24"/>
                  </w:rPr>
                  <w:t>☐</w:t>
                </w:r>
              </w:sdtContent>
            </w:sdt>
            <w:r w:rsidR="00B13D65" w:rsidRPr="009463CD">
              <w:t xml:space="preserve"> </w:t>
            </w:r>
            <w:r w:rsidR="00662983" w:rsidRPr="009463CD">
              <w:t xml:space="preserve">33.1. </w:t>
            </w:r>
            <w:r w:rsidR="00F2582E" w:rsidRPr="009463CD">
              <w:t xml:space="preserve">yra įvertintas kaip nepagrindžiantis </w:t>
            </w:r>
            <w:r w:rsidR="00B13D65" w:rsidRPr="009463CD">
              <w:t>nesiskiriančios naudos pacientų sveikatai sukūrimo, lyginant su įprasta klinikine praktika.</w:t>
            </w:r>
          </w:p>
          <w:p w14:paraId="1EED7901"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9463CD" w14:paraId="1C75AE76" w14:textId="77777777" w:rsidTr="00BD1E5A">
        <w:tc>
          <w:tcPr>
            <w:tcW w:w="9962" w:type="dxa"/>
            <w:gridSpan w:val="2"/>
          </w:tcPr>
          <w:p w14:paraId="56F7FA3E"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463CD">
              <w:rPr>
                <w:rStyle w:val="Style2"/>
                <w:rFonts w:eastAsia="MS Gothic"/>
                <w:b/>
                <w:bCs/>
                <w:sz w:val="24"/>
              </w:rPr>
              <w:lastRenderedPageBreak/>
              <w:t>Kaštų naudingumas</w:t>
            </w:r>
          </w:p>
          <w:p w14:paraId="0247EDAD"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9463CD" w14:paraId="7091A05B" w14:textId="77777777" w:rsidTr="00BD1E5A">
        <w:tc>
          <w:tcPr>
            <w:tcW w:w="4981" w:type="dxa"/>
          </w:tcPr>
          <w:p w14:paraId="69B2A994" w14:textId="171517AA"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B83467" w:rsidRPr="009463CD">
                  <w:rPr>
                    <w:rStyle w:val="Style2"/>
                    <w:rFonts w:ascii="MS Gothic" w:eastAsia="MS Gothic" w:hAnsi="MS Gothic"/>
                    <w:sz w:val="24"/>
                  </w:rPr>
                  <w:t>☒</w:t>
                </w:r>
              </w:sdtContent>
            </w:sdt>
            <w:r w:rsidR="00B13D65" w:rsidRPr="009463CD">
              <w:t xml:space="preserve"> 32.3. atitinka referencinę naudingumo vertę, </w:t>
            </w:r>
            <w:r w:rsidR="00B83467" w:rsidRPr="009463CD">
              <w:t>ne</w:t>
            </w:r>
            <w:r w:rsidR="00B13D65" w:rsidRPr="009463CD">
              <w:t>taikant</w:t>
            </w:r>
            <w:r w:rsidR="00662983" w:rsidRPr="009463CD">
              <w:t xml:space="preserve"> </w:t>
            </w:r>
            <w:r w:rsidR="00662983" w:rsidRPr="00FA1623">
              <w:t>PGS</w:t>
            </w:r>
            <w:r w:rsidR="00FA1623">
              <w:t>.</w:t>
            </w:r>
          </w:p>
          <w:p w14:paraId="3F76F153"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05B4D79D" w:rsidR="00B13D65" w:rsidRPr="009463CD"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3C63AF" w:rsidRPr="009463CD">
                  <w:rPr>
                    <w:rStyle w:val="Style2"/>
                    <w:rFonts w:ascii="MS Gothic" w:eastAsia="MS Gothic" w:hAnsi="MS Gothic"/>
                    <w:sz w:val="24"/>
                  </w:rPr>
                  <w:t>☐</w:t>
                </w:r>
              </w:sdtContent>
            </w:sdt>
            <w:r w:rsidR="00B13D65" w:rsidRPr="009463CD">
              <w:t xml:space="preserve"> 32.3. </w:t>
            </w:r>
            <w:r w:rsidR="005648CF" w:rsidRPr="009463CD">
              <w:t xml:space="preserve">gydymo juo kaštai yra mažesni ar tokie patys esant iš esmės nesiskiriančiam palyginamajam efektyvumui, </w:t>
            </w:r>
            <w:r w:rsidR="00B83467" w:rsidRPr="009463CD">
              <w:t>ne</w:t>
            </w:r>
            <w:r w:rsidR="005648CF" w:rsidRPr="009463CD">
              <w:t>taikant PGS.</w:t>
            </w:r>
          </w:p>
        </w:tc>
        <w:tc>
          <w:tcPr>
            <w:tcW w:w="4981" w:type="dxa"/>
          </w:tcPr>
          <w:p w14:paraId="53380063" w14:textId="07F023EC"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9463CD">
                  <w:rPr>
                    <w:rStyle w:val="Style2"/>
                    <w:rFonts w:ascii="Segoe UI Symbol" w:eastAsia="MS Gothic" w:hAnsi="Segoe UI Symbol" w:cs="Segoe UI Symbol"/>
                    <w:sz w:val="24"/>
                  </w:rPr>
                  <w:t>☐</w:t>
                </w:r>
              </w:sdtContent>
            </w:sdt>
            <w:r w:rsidR="00B13D65" w:rsidRPr="009463CD">
              <w:t xml:space="preserve"> 33.3. neatitinka referencinės naudingumo vertės Lietuvos Respublikoje;</w:t>
            </w:r>
          </w:p>
          <w:p w14:paraId="229ED51A"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EEB8502"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9463CD">
                  <w:rPr>
                    <w:rStyle w:val="Style2"/>
                    <w:rFonts w:ascii="Segoe UI Symbol" w:eastAsia="MS Gothic" w:hAnsi="Segoe UI Symbol" w:cs="Segoe UI Symbol"/>
                    <w:sz w:val="24"/>
                  </w:rPr>
                  <w:t>☐</w:t>
                </w:r>
              </w:sdtContent>
            </w:sdt>
            <w:r w:rsidR="00B13D65" w:rsidRPr="009463CD">
              <w:t xml:space="preserve"> 33.3. gydymo juo kaštai yra didesni esant iš esmės nesiskiriančiam palyginamajam efektyvumui, </w:t>
            </w:r>
            <w:r w:rsidR="00B83467" w:rsidRPr="009463CD">
              <w:t>ne</w:t>
            </w:r>
            <w:r w:rsidR="00B13D65" w:rsidRPr="009463CD">
              <w:t>taikant</w:t>
            </w:r>
            <w:r w:rsidR="00662983" w:rsidRPr="009463CD">
              <w:t xml:space="preserve"> PGS</w:t>
            </w:r>
          </w:p>
          <w:p w14:paraId="4A9C7D2A" w14:textId="77777777" w:rsidR="00662983" w:rsidRPr="009463CD"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33F2A8E6" w:rsidR="00B13D65" w:rsidRPr="009463CD"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975331" w:rsidRPr="009463CD">
                  <w:rPr>
                    <w:rStyle w:val="Style2"/>
                    <w:rFonts w:ascii="MS Gothic" w:eastAsia="MS Gothic" w:hAnsi="MS Gothic"/>
                    <w:sz w:val="24"/>
                  </w:rPr>
                  <w:t>☐</w:t>
                </w:r>
              </w:sdtContent>
            </w:sdt>
            <w:r w:rsidR="00B13D65" w:rsidRPr="009463CD">
              <w:t xml:space="preserve"> 33.3. pateikti duomenys apie kaštų na</w:t>
            </w:r>
            <w:r w:rsidR="00662983" w:rsidRPr="009463CD">
              <w:t>udingumą yra netinkami vertinti</w:t>
            </w:r>
          </w:p>
          <w:p w14:paraId="470A48A4" w14:textId="77777777" w:rsidR="00B13D65" w:rsidRPr="009463CD"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9463CD" w:rsidRDefault="0055060B" w:rsidP="0055060B">
      <w:pPr>
        <w:rPr>
          <w:b/>
        </w:rPr>
      </w:pPr>
    </w:p>
    <w:p w14:paraId="4761590D" w14:textId="77777777" w:rsidR="0055060B" w:rsidRPr="009463CD" w:rsidRDefault="0055060B" w:rsidP="0055060B">
      <w:pPr>
        <w:pStyle w:val="ListParagraph"/>
        <w:numPr>
          <w:ilvl w:val="0"/>
          <w:numId w:val="12"/>
        </w:numPr>
        <w:ind w:left="567" w:hanging="567"/>
        <w:rPr>
          <w:b/>
        </w:rPr>
      </w:pPr>
      <w:r w:rsidRPr="009463CD">
        <w:rPr>
          <w:b/>
        </w:rPr>
        <w:t>REKOMENDACIJA</w:t>
      </w:r>
    </w:p>
    <w:p w14:paraId="7CA221DC" w14:textId="77777777" w:rsidR="0055060B" w:rsidRPr="009463CD" w:rsidRDefault="0055060B" w:rsidP="0055060B">
      <w:pPr>
        <w:rPr>
          <w:i/>
          <w:color w:val="00B050"/>
        </w:rPr>
      </w:pPr>
    </w:p>
    <w:p w14:paraId="7B98A92F" w14:textId="7DBB7BD9" w:rsidR="00B83467" w:rsidRDefault="00B83467" w:rsidP="00B83467">
      <w:pPr>
        <w:jc w:val="both"/>
      </w:pPr>
      <w:r w:rsidRPr="009463CD">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34.1. rekomenduojama </w:t>
      </w:r>
      <w:r w:rsidRPr="009463CD">
        <w:rPr>
          <w:i/>
        </w:rPr>
        <w:t xml:space="preserve">kompensuoti </w:t>
      </w:r>
      <w:r w:rsidRPr="009463CD">
        <w:t>vaistinį preparatą pagal paraiškoje nurodytą indikaciją su skyrimo sąlygomis, netaikant PGS, dėl didesnio palyginamojo efektyvumo ir gydymo sukuriamos papildomos naudos pacientų sveikatai, lyginant su įprasta klinikine praktika, ir atitikties referencinei naudingumo vertei.</w:t>
      </w:r>
    </w:p>
    <w:p w14:paraId="1C8B34A3" w14:textId="396BC9F0" w:rsidR="0015256D" w:rsidRDefault="0015256D" w:rsidP="00B83467">
      <w:pPr>
        <w:jc w:val="both"/>
      </w:pPr>
    </w:p>
    <w:p w14:paraId="598ADBB6" w14:textId="1F8BABFF" w:rsidR="0015256D" w:rsidRPr="00FA1623" w:rsidRDefault="0015256D" w:rsidP="0015256D">
      <w:pPr>
        <w:pStyle w:val="Heading1"/>
        <w:jc w:val="both"/>
        <w:rPr>
          <w:lang w:eastAsia="lt-LT"/>
        </w:rPr>
      </w:pPr>
      <w:r w:rsidRPr="00FA1623">
        <w:rPr>
          <w:lang w:eastAsia="lt-LT"/>
        </w:rPr>
        <w:t xml:space="preserve">8. Siūloma kompensuoti terapinė indikacija ir skyrimo sąlygos </w:t>
      </w:r>
    </w:p>
    <w:p w14:paraId="3F1BBFBE" w14:textId="77777777" w:rsidR="0015256D" w:rsidRPr="00C8625F" w:rsidRDefault="0015256D" w:rsidP="0015256D">
      <w:pPr>
        <w:tabs>
          <w:tab w:val="left" w:pos="426"/>
        </w:tabs>
        <w:spacing w:line="276" w:lineRule="auto"/>
        <w:jc w:val="both"/>
        <w:rPr>
          <w:b/>
          <w:color w:val="000000"/>
          <w:highlight w:val="yellow"/>
          <w:lang w:eastAsia="lt-LT"/>
        </w:rPr>
      </w:pPr>
    </w:p>
    <w:p w14:paraId="2697A1B5" w14:textId="77777777" w:rsidR="0015256D" w:rsidRPr="00FA1623" w:rsidRDefault="0015256D" w:rsidP="0015256D">
      <w:pPr>
        <w:pStyle w:val="NoSpacing"/>
        <w:spacing w:line="276" w:lineRule="auto"/>
        <w:rPr>
          <w:rFonts w:ascii="Times New Roman" w:hAnsi="Times New Roman"/>
          <w:b/>
          <w:sz w:val="24"/>
          <w:szCs w:val="24"/>
          <w:lang w:eastAsia="lt-LT"/>
        </w:rPr>
      </w:pPr>
      <w:r w:rsidRPr="00FA1623">
        <w:rPr>
          <w:rFonts w:ascii="Times New Roman" w:hAnsi="Times New Roman"/>
          <w:b/>
          <w:sz w:val="24"/>
          <w:szCs w:val="24"/>
          <w:lang w:eastAsia="lt-LT"/>
        </w:rPr>
        <w:t>Terapinės indikacijos</w:t>
      </w:r>
    </w:p>
    <w:p w14:paraId="222373BF" w14:textId="77777777" w:rsidR="0015256D" w:rsidRPr="00FA1623" w:rsidRDefault="00000000" w:rsidP="0015256D">
      <w:pPr>
        <w:pStyle w:val="NoSpacing"/>
        <w:spacing w:line="276"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15256D" w:rsidRPr="00FA1623">
            <w:rPr>
              <w:rStyle w:val="Style2"/>
              <w:rFonts w:ascii="MS Gothic" w:eastAsia="MS Gothic" w:hAnsi="MS Gothic"/>
              <w:sz w:val="24"/>
              <w:szCs w:val="24"/>
            </w:rPr>
            <w:t>☒</w:t>
          </w:r>
        </w:sdtContent>
      </w:sdt>
      <w:r w:rsidR="0015256D" w:rsidRPr="00FA1623">
        <w:rPr>
          <w:rFonts w:ascii="Times New Roman" w:hAnsi="Times New Roman"/>
          <w:sz w:val="24"/>
          <w:szCs w:val="24"/>
        </w:rPr>
        <w:t xml:space="preserve"> Siūloma kompensuoti Pareiškėjo teikiamą indikaciją be pakeitimų.</w:t>
      </w:r>
    </w:p>
    <w:p w14:paraId="451C3BCE" w14:textId="77777777" w:rsidR="0015256D" w:rsidRPr="00FA1623" w:rsidRDefault="0015256D" w:rsidP="0015256D">
      <w:pPr>
        <w:pStyle w:val="Tekstas"/>
        <w:spacing w:line="276" w:lineRule="auto"/>
        <w:rPr>
          <w:rFonts w:eastAsia="Arial"/>
        </w:rPr>
      </w:pPr>
    </w:p>
    <w:p w14:paraId="672F2A5F" w14:textId="77777777" w:rsidR="0015256D" w:rsidRPr="00FA1623" w:rsidRDefault="0015256D" w:rsidP="0015256D">
      <w:pPr>
        <w:pStyle w:val="Tekstas"/>
        <w:spacing w:line="276" w:lineRule="auto"/>
        <w:rPr>
          <w:rFonts w:eastAsia="Arial"/>
          <w:i/>
        </w:rPr>
      </w:pPr>
      <w:r w:rsidRPr="00FA1623">
        <w:rPr>
          <w:rFonts w:eastAsia="Arial"/>
          <w:i/>
        </w:rPr>
        <w:t>Monoterapijai arba kartu su endokrininiais vaistiniais preparatais – suaugusiųjų pacientų, sergančių germinacinių BRCA1/2 mutacijų turinčiu HER2 neigiamu didelės rizikos ankstyvuoju krūties vėžiu, adjuvantiniam gydymui po anksčiau taikytos neoadjuvantinės arba adjuvantinės chemoterapijos.</w:t>
      </w:r>
    </w:p>
    <w:p w14:paraId="177964DE" w14:textId="77777777" w:rsidR="0015256D" w:rsidRPr="00FA1623" w:rsidRDefault="0015256D" w:rsidP="0015256D">
      <w:pPr>
        <w:pStyle w:val="Tekstas"/>
        <w:spacing w:line="276" w:lineRule="auto"/>
        <w:rPr>
          <w:rFonts w:eastAsia="Arial"/>
          <w:i/>
        </w:rPr>
      </w:pPr>
      <w:r w:rsidRPr="00FA1623">
        <w:rPr>
          <w:rFonts w:eastAsia="Arial"/>
          <w:i/>
        </w:rPr>
        <w:t>TLK-10 C50</w:t>
      </w:r>
    </w:p>
    <w:p w14:paraId="271F50C6" w14:textId="77777777" w:rsidR="0015256D" w:rsidRPr="00FA1623" w:rsidRDefault="0015256D" w:rsidP="0015256D">
      <w:pPr>
        <w:pStyle w:val="NoSpacing"/>
        <w:spacing w:line="276" w:lineRule="auto"/>
        <w:rPr>
          <w:rFonts w:ascii="Times New Roman" w:hAnsi="Times New Roman"/>
          <w:sz w:val="24"/>
          <w:szCs w:val="24"/>
        </w:rPr>
      </w:pPr>
    </w:p>
    <w:p w14:paraId="776A7147" w14:textId="77777777" w:rsidR="0015256D" w:rsidRPr="00FA1623" w:rsidRDefault="00000000" w:rsidP="0015256D">
      <w:pPr>
        <w:pStyle w:val="NoSpacing"/>
        <w:spacing w:line="276" w:lineRule="auto"/>
        <w:rPr>
          <w:rFonts w:ascii="Times New Roman" w:hAnsi="Times New Roman"/>
          <w:sz w:val="24"/>
          <w:szCs w:val="24"/>
        </w:rPr>
      </w:pPr>
      <w:sdt>
        <w:sdtPr>
          <w:rPr>
            <w:rStyle w:val="Style2"/>
            <w:rFonts w:ascii="Times New Roman" w:hAnsi="Times New Roman"/>
            <w:sz w:val="24"/>
            <w:szCs w:val="24"/>
          </w:rPr>
          <w:id w:val="1467245146"/>
          <w15:color w:val="FFCC00"/>
          <w14:checkbox>
            <w14:checked w14:val="0"/>
            <w14:checkedState w14:val="2612" w14:font="MS Gothic"/>
            <w14:uncheckedState w14:val="2610" w14:font="MS Gothic"/>
          </w14:checkbox>
        </w:sdtPr>
        <w:sdtContent>
          <w:r w:rsidR="0015256D" w:rsidRPr="00FA1623">
            <w:rPr>
              <w:rStyle w:val="Style2"/>
              <w:rFonts w:ascii="Segoe UI Symbol" w:eastAsia="MS Gothic" w:hAnsi="Segoe UI Symbol" w:cs="Segoe UI Symbol"/>
              <w:sz w:val="24"/>
              <w:szCs w:val="24"/>
            </w:rPr>
            <w:t>☐</w:t>
          </w:r>
        </w:sdtContent>
      </w:sdt>
      <w:r w:rsidR="0015256D" w:rsidRPr="00FA1623">
        <w:rPr>
          <w:rFonts w:ascii="Times New Roman" w:hAnsi="Times New Roman"/>
          <w:sz w:val="24"/>
          <w:szCs w:val="24"/>
        </w:rPr>
        <w:t xml:space="preserve"> Siūloma kompensuoti Pareiškėjo teikiamą indikaciją su pakeitimais.</w:t>
      </w:r>
    </w:p>
    <w:p w14:paraId="772ECEE8" w14:textId="77777777" w:rsidR="0015256D" w:rsidRPr="00FA1623" w:rsidRDefault="0015256D" w:rsidP="00B83467">
      <w:pPr>
        <w:jc w:val="both"/>
      </w:pPr>
    </w:p>
    <w:p w14:paraId="63860551" w14:textId="77777777" w:rsidR="0015256D" w:rsidRPr="00FA1623" w:rsidRDefault="0015256D" w:rsidP="0015256D">
      <w:pPr>
        <w:pStyle w:val="NoSpacing"/>
        <w:spacing w:line="276" w:lineRule="auto"/>
        <w:rPr>
          <w:rFonts w:ascii="Times New Roman" w:hAnsi="Times New Roman"/>
          <w:b/>
          <w:sz w:val="24"/>
          <w:szCs w:val="24"/>
        </w:rPr>
      </w:pPr>
      <w:r w:rsidRPr="00FA1623">
        <w:rPr>
          <w:rFonts w:ascii="Times New Roman" w:hAnsi="Times New Roman"/>
          <w:b/>
          <w:sz w:val="24"/>
          <w:szCs w:val="24"/>
        </w:rPr>
        <w:t>Skyrimo sąlygos</w:t>
      </w:r>
    </w:p>
    <w:p w14:paraId="2786DEAD" w14:textId="77777777" w:rsidR="0015256D" w:rsidRPr="00FA1623" w:rsidRDefault="00000000" w:rsidP="0015256D">
      <w:pPr>
        <w:pStyle w:val="NoSpacing"/>
        <w:spacing w:line="276" w:lineRule="auto"/>
        <w:rPr>
          <w:rFonts w:ascii="Times New Roman" w:hAnsi="Times New Roman"/>
          <w:sz w:val="24"/>
          <w:szCs w:val="24"/>
        </w:rPr>
      </w:pPr>
      <w:sdt>
        <w:sdtPr>
          <w:rPr>
            <w:rStyle w:val="Style2"/>
            <w:rFonts w:ascii="Times New Roman" w:hAnsi="Times New Roman"/>
            <w:sz w:val="24"/>
            <w:szCs w:val="24"/>
          </w:rPr>
          <w:id w:val="169305347"/>
          <w15:color w:val="FFCC00"/>
          <w14:checkbox>
            <w14:checked w14:val="1"/>
            <w14:checkedState w14:val="2612" w14:font="MS Gothic"/>
            <w14:uncheckedState w14:val="2610" w14:font="MS Gothic"/>
          </w14:checkbox>
        </w:sdtPr>
        <w:sdtContent>
          <w:r w:rsidR="0015256D" w:rsidRPr="00FA1623">
            <w:rPr>
              <w:rStyle w:val="Style2"/>
              <w:rFonts w:ascii="MS Gothic" w:eastAsia="MS Gothic" w:hAnsi="MS Gothic"/>
              <w:sz w:val="24"/>
              <w:szCs w:val="24"/>
            </w:rPr>
            <w:t>☒</w:t>
          </w:r>
        </w:sdtContent>
      </w:sdt>
      <w:r w:rsidR="0015256D" w:rsidRPr="00FA1623">
        <w:rPr>
          <w:rFonts w:ascii="Times New Roman" w:hAnsi="Times New Roman"/>
          <w:sz w:val="24"/>
          <w:szCs w:val="24"/>
        </w:rPr>
        <w:t xml:space="preserve"> Pareiškėjo siūlomos skyrimo sąlygos priimtinos. </w:t>
      </w:r>
    </w:p>
    <w:p w14:paraId="7C195C0D" w14:textId="77777777" w:rsidR="0015256D" w:rsidRPr="00FA1623" w:rsidRDefault="0015256D" w:rsidP="0015256D">
      <w:pPr>
        <w:pStyle w:val="NoSpacing"/>
        <w:spacing w:line="276" w:lineRule="auto"/>
        <w:rPr>
          <w:rFonts w:ascii="Times New Roman" w:hAnsi="Times New Roman"/>
          <w:sz w:val="24"/>
          <w:szCs w:val="24"/>
        </w:rPr>
      </w:pPr>
      <w:r w:rsidRPr="00FA1623">
        <w:rPr>
          <w:rFonts w:ascii="Times New Roman" w:hAnsi="Times New Roman"/>
          <w:sz w:val="24"/>
          <w:szCs w:val="24"/>
        </w:rPr>
        <w:t>Pagal registruotą indikaciją</w:t>
      </w:r>
    </w:p>
    <w:p w14:paraId="73ED4A51" w14:textId="77777777" w:rsidR="0015256D" w:rsidRPr="00FA1623" w:rsidRDefault="0015256D" w:rsidP="0015256D">
      <w:pPr>
        <w:pStyle w:val="NoSpacing"/>
        <w:spacing w:line="276" w:lineRule="auto"/>
        <w:rPr>
          <w:rFonts w:ascii="Times New Roman" w:hAnsi="Times New Roman"/>
          <w:sz w:val="24"/>
          <w:szCs w:val="24"/>
        </w:rPr>
      </w:pPr>
    </w:p>
    <w:p w14:paraId="7148FF55" w14:textId="77777777" w:rsidR="0015256D" w:rsidRPr="00A13198" w:rsidRDefault="00000000" w:rsidP="0015256D">
      <w:pPr>
        <w:pStyle w:val="NoSpacing"/>
        <w:spacing w:line="276" w:lineRule="auto"/>
        <w:rPr>
          <w:rFonts w:ascii="Times New Roman" w:hAnsi="Times New Roman"/>
          <w:sz w:val="24"/>
          <w:szCs w:val="24"/>
        </w:rPr>
      </w:pPr>
      <w:sdt>
        <w:sdtPr>
          <w:rPr>
            <w:rStyle w:val="Style2"/>
            <w:rFonts w:ascii="Times New Roman" w:hAnsi="Times New Roman"/>
            <w:sz w:val="24"/>
            <w:szCs w:val="24"/>
          </w:rPr>
          <w:id w:val="1823936883"/>
          <w15:color w:val="FFCC00"/>
          <w14:checkbox>
            <w14:checked w14:val="0"/>
            <w14:checkedState w14:val="2612" w14:font="MS Gothic"/>
            <w14:uncheckedState w14:val="2610" w14:font="MS Gothic"/>
          </w14:checkbox>
        </w:sdtPr>
        <w:sdtContent>
          <w:r w:rsidR="0015256D" w:rsidRPr="00FA1623">
            <w:rPr>
              <w:rStyle w:val="Style2"/>
              <w:rFonts w:ascii="MS Gothic" w:eastAsia="MS Gothic" w:hAnsi="MS Gothic"/>
              <w:sz w:val="24"/>
              <w:szCs w:val="24"/>
            </w:rPr>
            <w:t>☐</w:t>
          </w:r>
        </w:sdtContent>
      </w:sdt>
      <w:r w:rsidR="0015256D" w:rsidRPr="00FA1623">
        <w:rPr>
          <w:rFonts w:ascii="Times New Roman" w:hAnsi="Times New Roman"/>
          <w:sz w:val="24"/>
          <w:szCs w:val="24"/>
        </w:rPr>
        <w:t xml:space="preserve"> Pareiškėjo siūlomos skyrimo sąlygos nepriimtinos.</w:t>
      </w:r>
      <w:r w:rsidR="0015256D" w:rsidRPr="00A13198">
        <w:rPr>
          <w:rFonts w:ascii="Times New Roman" w:hAnsi="Times New Roman"/>
          <w:sz w:val="24"/>
          <w:szCs w:val="24"/>
        </w:rPr>
        <w:t xml:space="preserve"> </w:t>
      </w:r>
    </w:p>
    <w:p w14:paraId="5B343333" w14:textId="77777777" w:rsidR="003C63AF" w:rsidRPr="009463CD" w:rsidRDefault="003C63AF" w:rsidP="001A3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1A6ACBE" w14:textId="026E8294" w:rsidR="00C91C2D" w:rsidRPr="009463CD" w:rsidRDefault="0097328F" w:rsidP="00554967">
      <w:pPr>
        <w:spacing w:line="276" w:lineRule="auto"/>
        <w:jc w:val="both"/>
      </w:pPr>
      <w:r w:rsidRPr="009463CD">
        <w:t xml:space="preserve"> </w:t>
      </w:r>
    </w:p>
    <w:p w14:paraId="0E1C990A" w14:textId="77777777" w:rsidR="0097328F" w:rsidRPr="009463CD" w:rsidRDefault="0097328F" w:rsidP="0097328F">
      <w:pPr>
        <w:spacing w:line="276" w:lineRule="auto"/>
        <w:jc w:val="both"/>
        <w:rPr>
          <w:i/>
          <w:iCs/>
        </w:rPr>
      </w:pPr>
    </w:p>
    <w:p w14:paraId="64A1BB6B" w14:textId="77777777" w:rsidR="0097328F" w:rsidRPr="009463CD" w:rsidRDefault="0097328F" w:rsidP="0097328F">
      <w:pPr>
        <w:spacing w:line="276" w:lineRule="auto"/>
        <w:jc w:val="both"/>
        <w:rPr>
          <w:i/>
          <w:iCs/>
        </w:rPr>
      </w:pPr>
    </w:p>
    <w:p w14:paraId="2F3CADC5" w14:textId="77777777" w:rsidR="0097328F" w:rsidRPr="009463CD" w:rsidRDefault="0097328F" w:rsidP="0097328F">
      <w:pPr>
        <w:spacing w:line="276" w:lineRule="auto"/>
        <w:jc w:val="both"/>
        <w:rPr>
          <w:i/>
          <w:iCs/>
        </w:rPr>
      </w:pPr>
    </w:p>
    <w:p w14:paraId="00238513" w14:textId="50C62B99" w:rsidR="000915AB" w:rsidRPr="009463CD" w:rsidRDefault="000915AB" w:rsidP="000915AB">
      <w:pPr>
        <w:pStyle w:val="NoSpacing"/>
        <w:spacing w:line="276" w:lineRule="auto"/>
        <w:jc w:val="both"/>
        <w:rPr>
          <w:rFonts w:ascii="Times New Roman" w:hAnsi="Times New Roman"/>
          <w:i/>
          <w:iCs/>
          <w:sz w:val="24"/>
          <w:szCs w:val="24"/>
        </w:rPr>
      </w:pPr>
    </w:p>
    <w:sectPr w:rsidR="000915AB" w:rsidRPr="009463CD"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041B" w14:textId="77777777" w:rsidR="002F4240" w:rsidRDefault="002F4240">
      <w:r>
        <w:separator/>
      </w:r>
    </w:p>
  </w:endnote>
  <w:endnote w:type="continuationSeparator" w:id="0">
    <w:p w14:paraId="5FA8DD6C" w14:textId="77777777" w:rsidR="002F4240" w:rsidRDefault="002F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197B" w14:textId="77777777" w:rsidR="002F4240" w:rsidRDefault="002F4240">
      <w:r>
        <w:separator/>
      </w:r>
    </w:p>
  </w:footnote>
  <w:footnote w:type="continuationSeparator" w:id="0">
    <w:p w14:paraId="6117C207" w14:textId="77777777" w:rsidR="002F4240" w:rsidRDefault="002F4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7BD53756"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625F">
      <w:rPr>
        <w:rStyle w:val="PageNumber"/>
        <w:noProof/>
      </w:rPr>
      <w:t>8</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0D879C6"/>
    <w:multiLevelType w:val="hybridMultilevel"/>
    <w:tmpl w:val="F3F8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D2E58"/>
    <w:multiLevelType w:val="multilevel"/>
    <w:tmpl w:val="82660BE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332605BF"/>
    <w:multiLevelType w:val="hybridMultilevel"/>
    <w:tmpl w:val="484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830DB5"/>
    <w:multiLevelType w:val="multilevel"/>
    <w:tmpl w:val="06E627C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A3F12"/>
    <w:multiLevelType w:val="hybridMultilevel"/>
    <w:tmpl w:val="C27248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1E19E2"/>
    <w:multiLevelType w:val="multilevel"/>
    <w:tmpl w:val="3294E9B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E95EA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87D92"/>
    <w:multiLevelType w:val="hybridMultilevel"/>
    <w:tmpl w:val="63A8A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579858">
    <w:abstractNumId w:val="10"/>
  </w:num>
  <w:num w:numId="2" w16cid:durableId="380829743">
    <w:abstractNumId w:val="3"/>
  </w:num>
  <w:num w:numId="3" w16cid:durableId="1146124972">
    <w:abstractNumId w:val="14"/>
  </w:num>
  <w:num w:numId="4" w16cid:durableId="227304510">
    <w:abstractNumId w:val="12"/>
  </w:num>
  <w:num w:numId="5" w16cid:durableId="1043867772">
    <w:abstractNumId w:val="8"/>
  </w:num>
  <w:num w:numId="6" w16cid:durableId="291712837">
    <w:abstractNumId w:val="7"/>
  </w:num>
  <w:num w:numId="7" w16cid:durableId="1438981843">
    <w:abstractNumId w:val="5"/>
  </w:num>
  <w:num w:numId="8" w16cid:durableId="1994529022">
    <w:abstractNumId w:val="21"/>
  </w:num>
  <w:num w:numId="9" w16cid:durableId="1210066379">
    <w:abstractNumId w:val="0"/>
  </w:num>
  <w:num w:numId="10" w16cid:durableId="1101292582">
    <w:abstractNumId w:val="15"/>
  </w:num>
  <w:num w:numId="11" w16cid:durableId="198784993">
    <w:abstractNumId w:val="19"/>
  </w:num>
  <w:num w:numId="12" w16cid:durableId="373241202">
    <w:abstractNumId w:val="4"/>
  </w:num>
  <w:num w:numId="13" w16cid:durableId="568885126">
    <w:abstractNumId w:val="2"/>
  </w:num>
  <w:num w:numId="14" w16cid:durableId="1835291318">
    <w:abstractNumId w:val="17"/>
  </w:num>
  <w:num w:numId="15" w16cid:durableId="1808820202">
    <w:abstractNumId w:val="22"/>
  </w:num>
  <w:num w:numId="16" w16cid:durableId="938487548">
    <w:abstractNumId w:val="20"/>
  </w:num>
  <w:num w:numId="17" w16cid:durableId="1454981167">
    <w:abstractNumId w:val="6"/>
  </w:num>
  <w:num w:numId="18" w16cid:durableId="790585874">
    <w:abstractNumId w:val="1"/>
  </w:num>
  <w:num w:numId="19" w16cid:durableId="540482609">
    <w:abstractNumId w:val="18"/>
  </w:num>
  <w:num w:numId="20" w16cid:durableId="104925583">
    <w:abstractNumId w:val="16"/>
  </w:num>
  <w:num w:numId="21" w16cid:durableId="329993486">
    <w:abstractNumId w:val="9"/>
  </w:num>
  <w:num w:numId="22" w16cid:durableId="2078244098">
    <w:abstractNumId w:val="13"/>
  </w:num>
  <w:num w:numId="23" w16cid:durableId="728841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C01"/>
    <w:rsid w:val="000036E8"/>
    <w:rsid w:val="00003F5B"/>
    <w:rsid w:val="00010786"/>
    <w:rsid w:val="000114DD"/>
    <w:rsid w:val="000136DE"/>
    <w:rsid w:val="000136F7"/>
    <w:rsid w:val="0002686C"/>
    <w:rsid w:val="00031D0E"/>
    <w:rsid w:val="000337E6"/>
    <w:rsid w:val="0003402E"/>
    <w:rsid w:val="00034EAE"/>
    <w:rsid w:val="00040236"/>
    <w:rsid w:val="000606BE"/>
    <w:rsid w:val="000736B8"/>
    <w:rsid w:val="0008190F"/>
    <w:rsid w:val="00081D9C"/>
    <w:rsid w:val="00082907"/>
    <w:rsid w:val="0008378D"/>
    <w:rsid w:val="000908A5"/>
    <w:rsid w:val="000915AB"/>
    <w:rsid w:val="00092805"/>
    <w:rsid w:val="000C454C"/>
    <w:rsid w:val="000C4CDB"/>
    <w:rsid w:val="000D5038"/>
    <w:rsid w:val="000E229F"/>
    <w:rsid w:val="000E29D4"/>
    <w:rsid w:val="000F3540"/>
    <w:rsid w:val="00100491"/>
    <w:rsid w:val="00104E2E"/>
    <w:rsid w:val="00107287"/>
    <w:rsid w:val="00117406"/>
    <w:rsid w:val="00117E3D"/>
    <w:rsid w:val="00121EF0"/>
    <w:rsid w:val="00124A9E"/>
    <w:rsid w:val="00130703"/>
    <w:rsid w:val="0013153F"/>
    <w:rsid w:val="001408B8"/>
    <w:rsid w:val="001521D9"/>
    <w:rsid w:val="0015256D"/>
    <w:rsid w:val="00154B01"/>
    <w:rsid w:val="001554E2"/>
    <w:rsid w:val="00164146"/>
    <w:rsid w:val="00164F07"/>
    <w:rsid w:val="00165F83"/>
    <w:rsid w:val="0017369C"/>
    <w:rsid w:val="00180C39"/>
    <w:rsid w:val="00180D96"/>
    <w:rsid w:val="001921F3"/>
    <w:rsid w:val="001A0642"/>
    <w:rsid w:val="001A3610"/>
    <w:rsid w:val="001B3C5B"/>
    <w:rsid w:val="001D46A7"/>
    <w:rsid w:val="001E4BBB"/>
    <w:rsid w:val="001E6304"/>
    <w:rsid w:val="0020381E"/>
    <w:rsid w:val="00213471"/>
    <w:rsid w:val="00214F6C"/>
    <w:rsid w:val="00215906"/>
    <w:rsid w:val="002417B1"/>
    <w:rsid w:val="0025697F"/>
    <w:rsid w:val="00260258"/>
    <w:rsid w:val="00272428"/>
    <w:rsid w:val="00272461"/>
    <w:rsid w:val="00272948"/>
    <w:rsid w:val="002946C7"/>
    <w:rsid w:val="002A6B73"/>
    <w:rsid w:val="002B3CC1"/>
    <w:rsid w:val="002C09E0"/>
    <w:rsid w:val="002C3A10"/>
    <w:rsid w:val="002C4A90"/>
    <w:rsid w:val="002D02EF"/>
    <w:rsid w:val="002D3679"/>
    <w:rsid w:val="002E0702"/>
    <w:rsid w:val="002E6F80"/>
    <w:rsid w:val="002F0E4F"/>
    <w:rsid w:val="002F1053"/>
    <w:rsid w:val="002F4240"/>
    <w:rsid w:val="00306AB6"/>
    <w:rsid w:val="00306D00"/>
    <w:rsid w:val="00317B0E"/>
    <w:rsid w:val="0032204D"/>
    <w:rsid w:val="0032354B"/>
    <w:rsid w:val="003446FE"/>
    <w:rsid w:val="003458C3"/>
    <w:rsid w:val="00347864"/>
    <w:rsid w:val="00347FAA"/>
    <w:rsid w:val="0035172D"/>
    <w:rsid w:val="0036187D"/>
    <w:rsid w:val="00381024"/>
    <w:rsid w:val="00386307"/>
    <w:rsid w:val="003874DE"/>
    <w:rsid w:val="00390F3E"/>
    <w:rsid w:val="00393E9F"/>
    <w:rsid w:val="0039696E"/>
    <w:rsid w:val="003A20BA"/>
    <w:rsid w:val="003A5E33"/>
    <w:rsid w:val="003B211A"/>
    <w:rsid w:val="003C12B3"/>
    <w:rsid w:val="003C141F"/>
    <w:rsid w:val="003C63AF"/>
    <w:rsid w:val="003C6B0E"/>
    <w:rsid w:val="003C7257"/>
    <w:rsid w:val="003C7E35"/>
    <w:rsid w:val="003E5FCD"/>
    <w:rsid w:val="00404E8A"/>
    <w:rsid w:val="0040622F"/>
    <w:rsid w:val="0041602F"/>
    <w:rsid w:val="00417DCF"/>
    <w:rsid w:val="00420BF8"/>
    <w:rsid w:val="00423160"/>
    <w:rsid w:val="00436E2F"/>
    <w:rsid w:val="00443009"/>
    <w:rsid w:val="00453862"/>
    <w:rsid w:val="00461338"/>
    <w:rsid w:val="00464659"/>
    <w:rsid w:val="004677DB"/>
    <w:rsid w:val="0048630F"/>
    <w:rsid w:val="004947A1"/>
    <w:rsid w:val="0049482A"/>
    <w:rsid w:val="00495B92"/>
    <w:rsid w:val="00496070"/>
    <w:rsid w:val="004979D3"/>
    <w:rsid w:val="004A00E7"/>
    <w:rsid w:val="004A3A61"/>
    <w:rsid w:val="004B59BA"/>
    <w:rsid w:val="004C263A"/>
    <w:rsid w:val="004D7B8F"/>
    <w:rsid w:val="004D7BDC"/>
    <w:rsid w:val="004E0ADB"/>
    <w:rsid w:val="004E6458"/>
    <w:rsid w:val="004E6E7D"/>
    <w:rsid w:val="004F1AAC"/>
    <w:rsid w:val="004F1AE2"/>
    <w:rsid w:val="004F34F0"/>
    <w:rsid w:val="004F39B8"/>
    <w:rsid w:val="005005EF"/>
    <w:rsid w:val="00521380"/>
    <w:rsid w:val="005227E0"/>
    <w:rsid w:val="0052422C"/>
    <w:rsid w:val="005270F1"/>
    <w:rsid w:val="00534E11"/>
    <w:rsid w:val="0053651E"/>
    <w:rsid w:val="005400D9"/>
    <w:rsid w:val="00540135"/>
    <w:rsid w:val="00540971"/>
    <w:rsid w:val="0054469F"/>
    <w:rsid w:val="005476A4"/>
    <w:rsid w:val="0055019B"/>
    <w:rsid w:val="0055060B"/>
    <w:rsid w:val="00554967"/>
    <w:rsid w:val="00556E63"/>
    <w:rsid w:val="005601A4"/>
    <w:rsid w:val="005648CF"/>
    <w:rsid w:val="00566DBB"/>
    <w:rsid w:val="00574C72"/>
    <w:rsid w:val="005976CE"/>
    <w:rsid w:val="005A23D4"/>
    <w:rsid w:val="005A2D1E"/>
    <w:rsid w:val="005C493F"/>
    <w:rsid w:val="005C6BF7"/>
    <w:rsid w:val="005C71BF"/>
    <w:rsid w:val="005C73C9"/>
    <w:rsid w:val="005D002C"/>
    <w:rsid w:val="005D30E1"/>
    <w:rsid w:val="005D499E"/>
    <w:rsid w:val="005D6555"/>
    <w:rsid w:val="005D7BDF"/>
    <w:rsid w:val="005F2950"/>
    <w:rsid w:val="005F71D9"/>
    <w:rsid w:val="005F7602"/>
    <w:rsid w:val="006108BA"/>
    <w:rsid w:val="00613501"/>
    <w:rsid w:val="006166A8"/>
    <w:rsid w:val="00616854"/>
    <w:rsid w:val="006174A1"/>
    <w:rsid w:val="006221D7"/>
    <w:rsid w:val="00633B49"/>
    <w:rsid w:val="00634186"/>
    <w:rsid w:val="00636A50"/>
    <w:rsid w:val="0064297F"/>
    <w:rsid w:val="00646CF3"/>
    <w:rsid w:val="00662983"/>
    <w:rsid w:val="006661F8"/>
    <w:rsid w:val="006705B8"/>
    <w:rsid w:val="006834D3"/>
    <w:rsid w:val="00690A36"/>
    <w:rsid w:val="00692625"/>
    <w:rsid w:val="00695CD3"/>
    <w:rsid w:val="006A38B6"/>
    <w:rsid w:val="006B1987"/>
    <w:rsid w:val="006B5B71"/>
    <w:rsid w:val="006B6CB0"/>
    <w:rsid w:val="006C2B64"/>
    <w:rsid w:val="006D4C85"/>
    <w:rsid w:val="006D584E"/>
    <w:rsid w:val="006E33F6"/>
    <w:rsid w:val="006E6020"/>
    <w:rsid w:val="006F1251"/>
    <w:rsid w:val="006F1C23"/>
    <w:rsid w:val="006F3037"/>
    <w:rsid w:val="00703166"/>
    <w:rsid w:val="007127F3"/>
    <w:rsid w:val="007301CF"/>
    <w:rsid w:val="007316FB"/>
    <w:rsid w:val="00737E2D"/>
    <w:rsid w:val="00742033"/>
    <w:rsid w:val="007424D5"/>
    <w:rsid w:val="00751FFA"/>
    <w:rsid w:val="007523DD"/>
    <w:rsid w:val="00757B7E"/>
    <w:rsid w:val="00771743"/>
    <w:rsid w:val="00771A84"/>
    <w:rsid w:val="00795DC5"/>
    <w:rsid w:val="00797153"/>
    <w:rsid w:val="0079741F"/>
    <w:rsid w:val="007B0DDA"/>
    <w:rsid w:val="007B2749"/>
    <w:rsid w:val="007B3C4D"/>
    <w:rsid w:val="007C5B6E"/>
    <w:rsid w:val="007C7EFB"/>
    <w:rsid w:val="007D6482"/>
    <w:rsid w:val="007E4A19"/>
    <w:rsid w:val="007E52C1"/>
    <w:rsid w:val="007E5466"/>
    <w:rsid w:val="007F1949"/>
    <w:rsid w:val="00802956"/>
    <w:rsid w:val="008075B7"/>
    <w:rsid w:val="00817A84"/>
    <w:rsid w:val="008225A4"/>
    <w:rsid w:val="008257ED"/>
    <w:rsid w:val="00826D5E"/>
    <w:rsid w:val="00832013"/>
    <w:rsid w:val="00834732"/>
    <w:rsid w:val="0084148C"/>
    <w:rsid w:val="00843554"/>
    <w:rsid w:val="0085200C"/>
    <w:rsid w:val="00857C52"/>
    <w:rsid w:val="008651E2"/>
    <w:rsid w:val="00880A44"/>
    <w:rsid w:val="008827CC"/>
    <w:rsid w:val="0088345E"/>
    <w:rsid w:val="0088656F"/>
    <w:rsid w:val="008A0303"/>
    <w:rsid w:val="008A5FDD"/>
    <w:rsid w:val="008B2311"/>
    <w:rsid w:val="008C223C"/>
    <w:rsid w:val="008C3947"/>
    <w:rsid w:val="008C5560"/>
    <w:rsid w:val="008E7329"/>
    <w:rsid w:val="008F2ED5"/>
    <w:rsid w:val="009145D2"/>
    <w:rsid w:val="00916202"/>
    <w:rsid w:val="00917BFE"/>
    <w:rsid w:val="00920EED"/>
    <w:rsid w:val="0092297E"/>
    <w:rsid w:val="009302F5"/>
    <w:rsid w:val="0093069F"/>
    <w:rsid w:val="009341BF"/>
    <w:rsid w:val="009342B2"/>
    <w:rsid w:val="00937907"/>
    <w:rsid w:val="00941739"/>
    <w:rsid w:val="009450E4"/>
    <w:rsid w:val="009463CD"/>
    <w:rsid w:val="00951573"/>
    <w:rsid w:val="009623CB"/>
    <w:rsid w:val="00963003"/>
    <w:rsid w:val="0096728D"/>
    <w:rsid w:val="0097328F"/>
    <w:rsid w:val="00975331"/>
    <w:rsid w:val="00983471"/>
    <w:rsid w:val="009909AB"/>
    <w:rsid w:val="00992860"/>
    <w:rsid w:val="009B37DB"/>
    <w:rsid w:val="009C31E9"/>
    <w:rsid w:val="009C7A8C"/>
    <w:rsid w:val="009D23F9"/>
    <w:rsid w:val="009D2799"/>
    <w:rsid w:val="009D4FA8"/>
    <w:rsid w:val="009E5A8B"/>
    <w:rsid w:val="009E6CD6"/>
    <w:rsid w:val="009F4DE9"/>
    <w:rsid w:val="00A00C3C"/>
    <w:rsid w:val="00A01091"/>
    <w:rsid w:val="00A06DBB"/>
    <w:rsid w:val="00A31E86"/>
    <w:rsid w:val="00A3757E"/>
    <w:rsid w:val="00A473A1"/>
    <w:rsid w:val="00A52BC7"/>
    <w:rsid w:val="00A54D87"/>
    <w:rsid w:val="00A5553C"/>
    <w:rsid w:val="00A71554"/>
    <w:rsid w:val="00A81785"/>
    <w:rsid w:val="00A84803"/>
    <w:rsid w:val="00A84C51"/>
    <w:rsid w:val="00A86F2B"/>
    <w:rsid w:val="00A91366"/>
    <w:rsid w:val="00A93AA6"/>
    <w:rsid w:val="00AA4E48"/>
    <w:rsid w:val="00AA6202"/>
    <w:rsid w:val="00AA6AC8"/>
    <w:rsid w:val="00AA7883"/>
    <w:rsid w:val="00AC1D95"/>
    <w:rsid w:val="00AC4A99"/>
    <w:rsid w:val="00AC64D2"/>
    <w:rsid w:val="00AD65B5"/>
    <w:rsid w:val="00AE0FE8"/>
    <w:rsid w:val="00AE39C1"/>
    <w:rsid w:val="00AF0CB4"/>
    <w:rsid w:val="00AF60D5"/>
    <w:rsid w:val="00B04415"/>
    <w:rsid w:val="00B10046"/>
    <w:rsid w:val="00B11D60"/>
    <w:rsid w:val="00B11E4B"/>
    <w:rsid w:val="00B13D65"/>
    <w:rsid w:val="00B15903"/>
    <w:rsid w:val="00B176E8"/>
    <w:rsid w:val="00B22497"/>
    <w:rsid w:val="00B236E0"/>
    <w:rsid w:val="00B35176"/>
    <w:rsid w:val="00B351ED"/>
    <w:rsid w:val="00B37245"/>
    <w:rsid w:val="00B4017A"/>
    <w:rsid w:val="00B4468D"/>
    <w:rsid w:val="00B46A10"/>
    <w:rsid w:val="00B51BB1"/>
    <w:rsid w:val="00B625C5"/>
    <w:rsid w:val="00B714D2"/>
    <w:rsid w:val="00B71C72"/>
    <w:rsid w:val="00B81E92"/>
    <w:rsid w:val="00B83467"/>
    <w:rsid w:val="00B93B30"/>
    <w:rsid w:val="00B94CB5"/>
    <w:rsid w:val="00BA0DD9"/>
    <w:rsid w:val="00BA1FA2"/>
    <w:rsid w:val="00BB6312"/>
    <w:rsid w:val="00BC4D06"/>
    <w:rsid w:val="00BD0837"/>
    <w:rsid w:val="00BD585E"/>
    <w:rsid w:val="00BD5F77"/>
    <w:rsid w:val="00BE5DED"/>
    <w:rsid w:val="00BF26A2"/>
    <w:rsid w:val="00BF2E0D"/>
    <w:rsid w:val="00BF3F8B"/>
    <w:rsid w:val="00BF76DA"/>
    <w:rsid w:val="00C07C7B"/>
    <w:rsid w:val="00C24479"/>
    <w:rsid w:val="00C35B63"/>
    <w:rsid w:val="00C37B53"/>
    <w:rsid w:val="00C517D2"/>
    <w:rsid w:val="00C62B36"/>
    <w:rsid w:val="00C638D6"/>
    <w:rsid w:val="00C7012C"/>
    <w:rsid w:val="00C8625F"/>
    <w:rsid w:val="00C91C2D"/>
    <w:rsid w:val="00C96915"/>
    <w:rsid w:val="00CB1C5E"/>
    <w:rsid w:val="00CC201F"/>
    <w:rsid w:val="00CC668D"/>
    <w:rsid w:val="00CC7832"/>
    <w:rsid w:val="00CE79C8"/>
    <w:rsid w:val="00CF0C1C"/>
    <w:rsid w:val="00CF1FFA"/>
    <w:rsid w:val="00D0046D"/>
    <w:rsid w:val="00D1611D"/>
    <w:rsid w:val="00D2102A"/>
    <w:rsid w:val="00D23808"/>
    <w:rsid w:val="00D2781D"/>
    <w:rsid w:val="00D3016A"/>
    <w:rsid w:val="00D317D4"/>
    <w:rsid w:val="00D31A86"/>
    <w:rsid w:val="00D42960"/>
    <w:rsid w:val="00D43BD7"/>
    <w:rsid w:val="00D4485B"/>
    <w:rsid w:val="00D46408"/>
    <w:rsid w:val="00D4708D"/>
    <w:rsid w:val="00D4744C"/>
    <w:rsid w:val="00D5152F"/>
    <w:rsid w:val="00D63068"/>
    <w:rsid w:val="00D6498C"/>
    <w:rsid w:val="00D8521E"/>
    <w:rsid w:val="00D9291C"/>
    <w:rsid w:val="00D93A97"/>
    <w:rsid w:val="00D960E7"/>
    <w:rsid w:val="00DA0AF0"/>
    <w:rsid w:val="00DB0A92"/>
    <w:rsid w:val="00DB1F64"/>
    <w:rsid w:val="00DB7222"/>
    <w:rsid w:val="00DC1346"/>
    <w:rsid w:val="00DC2F53"/>
    <w:rsid w:val="00DC6816"/>
    <w:rsid w:val="00DC76C2"/>
    <w:rsid w:val="00DD0059"/>
    <w:rsid w:val="00DD1CF2"/>
    <w:rsid w:val="00DE6596"/>
    <w:rsid w:val="00DF36A5"/>
    <w:rsid w:val="00DF41B7"/>
    <w:rsid w:val="00DF4A4A"/>
    <w:rsid w:val="00DF583C"/>
    <w:rsid w:val="00E03C3F"/>
    <w:rsid w:val="00E073B4"/>
    <w:rsid w:val="00E13F26"/>
    <w:rsid w:val="00E23050"/>
    <w:rsid w:val="00E24D45"/>
    <w:rsid w:val="00E33DB8"/>
    <w:rsid w:val="00E34387"/>
    <w:rsid w:val="00E369FE"/>
    <w:rsid w:val="00E37C6F"/>
    <w:rsid w:val="00E475F8"/>
    <w:rsid w:val="00E5102E"/>
    <w:rsid w:val="00E5721C"/>
    <w:rsid w:val="00E6025D"/>
    <w:rsid w:val="00E619C6"/>
    <w:rsid w:val="00E732AB"/>
    <w:rsid w:val="00E745A1"/>
    <w:rsid w:val="00E81529"/>
    <w:rsid w:val="00E83A13"/>
    <w:rsid w:val="00E84FAD"/>
    <w:rsid w:val="00EB1C74"/>
    <w:rsid w:val="00EC2356"/>
    <w:rsid w:val="00EC2582"/>
    <w:rsid w:val="00EC337C"/>
    <w:rsid w:val="00ED0C4D"/>
    <w:rsid w:val="00ED0CFF"/>
    <w:rsid w:val="00ED31D2"/>
    <w:rsid w:val="00EE0ACF"/>
    <w:rsid w:val="00EE0EAC"/>
    <w:rsid w:val="00EE33CB"/>
    <w:rsid w:val="00EE400D"/>
    <w:rsid w:val="00EE7BAD"/>
    <w:rsid w:val="00F0061A"/>
    <w:rsid w:val="00F00A34"/>
    <w:rsid w:val="00F02834"/>
    <w:rsid w:val="00F07CD7"/>
    <w:rsid w:val="00F127E9"/>
    <w:rsid w:val="00F174C8"/>
    <w:rsid w:val="00F2582E"/>
    <w:rsid w:val="00F36972"/>
    <w:rsid w:val="00F42426"/>
    <w:rsid w:val="00F456BC"/>
    <w:rsid w:val="00F50666"/>
    <w:rsid w:val="00F60C95"/>
    <w:rsid w:val="00F70C9E"/>
    <w:rsid w:val="00F74A74"/>
    <w:rsid w:val="00F8382C"/>
    <w:rsid w:val="00F83AC7"/>
    <w:rsid w:val="00F855D7"/>
    <w:rsid w:val="00F92035"/>
    <w:rsid w:val="00F92748"/>
    <w:rsid w:val="00F938D8"/>
    <w:rsid w:val="00F93EB1"/>
    <w:rsid w:val="00F953C7"/>
    <w:rsid w:val="00FA1623"/>
    <w:rsid w:val="00FA4169"/>
    <w:rsid w:val="00FB0D41"/>
    <w:rsid w:val="00FB2030"/>
    <w:rsid w:val="00FB7086"/>
    <w:rsid w:val="00FD1CF2"/>
    <w:rsid w:val="00FD3EDF"/>
    <w:rsid w:val="00FD6192"/>
    <w:rsid w:val="00FD793C"/>
    <w:rsid w:val="00FE0C24"/>
    <w:rsid w:val="00FE20E6"/>
    <w:rsid w:val="00FE3248"/>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uiPriority w:val="99"/>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Dossier table,Summary Table"/>
    <w:basedOn w:val="TableNorma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paragraph" w:customStyle="1" w:styleId="Tekstas">
    <w:name w:val="Tekstas"/>
    <w:basedOn w:val="Normal"/>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character" w:styleId="FootnoteReference">
    <w:name w:val="footnote reference"/>
    <w:basedOn w:val="DefaultParagraphFont"/>
    <w:semiHidden/>
    <w:unhideWhenUsed/>
    <w:rsid w:val="00D960E7"/>
    <w:rPr>
      <w:vertAlign w:val="superscript"/>
    </w:rPr>
  </w:style>
  <w:style w:type="paragraph" w:styleId="FootnoteText">
    <w:name w:val="footnote text"/>
    <w:basedOn w:val="Normal"/>
    <w:link w:val="FootnoteTextChar"/>
    <w:semiHidden/>
    <w:unhideWhenUsed/>
    <w:rsid w:val="00D960E7"/>
    <w:rPr>
      <w:sz w:val="20"/>
      <w:szCs w:val="20"/>
    </w:rPr>
  </w:style>
  <w:style w:type="character" w:customStyle="1" w:styleId="FootnoteTextChar">
    <w:name w:val="Footnote Text Char"/>
    <w:basedOn w:val="DefaultParagraphFont"/>
    <w:link w:val="FootnoteText"/>
    <w:semiHidden/>
    <w:rsid w:val="00D960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10394">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65247025">
      <w:bodyDiv w:val="1"/>
      <w:marLeft w:val="0"/>
      <w:marRight w:val="0"/>
      <w:marTop w:val="0"/>
      <w:marBottom w:val="0"/>
      <w:divBdr>
        <w:top w:val="none" w:sz="0" w:space="0" w:color="auto"/>
        <w:left w:val="none" w:sz="0" w:space="0" w:color="auto"/>
        <w:bottom w:val="none" w:sz="0" w:space="0" w:color="auto"/>
        <w:right w:val="none" w:sz="0" w:space="0" w:color="auto"/>
      </w:divBdr>
    </w:div>
    <w:div w:id="19298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1B531EE8774159A74F151C7D24BC66"/>
        <w:category>
          <w:name w:val="General"/>
          <w:gallery w:val="placeholder"/>
        </w:category>
        <w:types>
          <w:type w:val="bbPlcHdr"/>
        </w:types>
        <w:behaviors>
          <w:behavior w:val="content"/>
        </w:behaviors>
        <w:guid w:val="{9873E93F-F3B7-4B7E-93F7-14D6AB587651}"/>
      </w:docPartPr>
      <w:docPartBody>
        <w:p w:rsidR="00176847" w:rsidRDefault="00895DD5" w:rsidP="00895DD5">
          <w:pPr>
            <w:pStyle w:val="5D1B531EE8774159A74F151C7D24BC66"/>
          </w:pPr>
          <w:r>
            <w:rPr>
              <w:rStyle w:val="PlaceholderText"/>
            </w:rPr>
            <w:t>Click here to enter a date.</w:t>
          </w:r>
        </w:p>
      </w:docPartBody>
    </w:docPart>
    <w:docPart>
      <w:docPartPr>
        <w:name w:val="9F6DC770B7CD44C2823B997493D494FC"/>
        <w:category>
          <w:name w:val="General"/>
          <w:gallery w:val="placeholder"/>
        </w:category>
        <w:types>
          <w:type w:val="bbPlcHdr"/>
        </w:types>
        <w:behaviors>
          <w:behavior w:val="content"/>
        </w:behaviors>
        <w:guid w:val="{E4F28F7B-861E-4A89-99A7-B222F8661FFA}"/>
      </w:docPartPr>
      <w:docPartBody>
        <w:p w:rsidR="00176847" w:rsidRDefault="00895DD5" w:rsidP="00895DD5">
          <w:pPr>
            <w:pStyle w:val="9F6DC770B7CD44C2823B997493D494FC"/>
          </w:pPr>
          <w:r>
            <w:rPr>
              <w:rStyle w:val="PlaceholderText"/>
            </w:rPr>
            <w:t>Click here to enter a date.</w:t>
          </w:r>
        </w:p>
      </w:docPartBody>
    </w:docPart>
    <w:docPart>
      <w:docPartPr>
        <w:name w:val="2E19D2E2F2D54440A9FC184608F56C2E"/>
        <w:category>
          <w:name w:val="General"/>
          <w:gallery w:val="placeholder"/>
        </w:category>
        <w:types>
          <w:type w:val="bbPlcHdr"/>
        </w:types>
        <w:behaviors>
          <w:behavior w:val="content"/>
        </w:behaviors>
        <w:guid w:val="{9148287E-F43E-4796-94E3-05110C518D67}"/>
      </w:docPartPr>
      <w:docPartBody>
        <w:p w:rsidR="00176847" w:rsidRDefault="00895DD5" w:rsidP="00895DD5">
          <w:pPr>
            <w:pStyle w:val="2E19D2E2F2D54440A9FC184608F56C2E"/>
          </w:pPr>
          <w:r w:rsidRPr="00546469">
            <w:rPr>
              <w:rStyle w:val="PlaceholderText"/>
            </w:rPr>
            <w:t>Click or tap here to enter text.</w:t>
          </w:r>
        </w:p>
      </w:docPartBody>
    </w:docPart>
    <w:docPart>
      <w:docPartPr>
        <w:name w:val="4FA0ED17652B4542A3B7E6F4A34D39F9"/>
        <w:category>
          <w:name w:val="General"/>
          <w:gallery w:val="placeholder"/>
        </w:category>
        <w:types>
          <w:type w:val="bbPlcHdr"/>
        </w:types>
        <w:behaviors>
          <w:behavior w:val="content"/>
        </w:behaviors>
        <w:guid w:val="{1D4DFDE7-62A8-4F67-B00E-D9607D41701C}"/>
      </w:docPartPr>
      <w:docPartBody>
        <w:p w:rsidR="00176847" w:rsidRDefault="00895DD5" w:rsidP="00895DD5">
          <w:pPr>
            <w:pStyle w:val="4FA0ED17652B4542A3B7E6F4A34D39F9"/>
          </w:pPr>
          <w:r>
            <w:rPr>
              <w:rStyle w:val="PlaceholderText"/>
            </w:rPr>
            <w:t>Click here to enter a date.</w:t>
          </w:r>
        </w:p>
      </w:docPartBody>
    </w:docPart>
    <w:docPart>
      <w:docPartPr>
        <w:name w:val="E2B2E444C1A243FD95A05C12A2839A58"/>
        <w:category>
          <w:name w:val="General"/>
          <w:gallery w:val="placeholder"/>
        </w:category>
        <w:types>
          <w:type w:val="bbPlcHdr"/>
        </w:types>
        <w:behaviors>
          <w:behavior w:val="content"/>
        </w:behaviors>
        <w:guid w:val="{CD9D7FDA-0690-4AD5-9189-1851B94F598E}"/>
      </w:docPartPr>
      <w:docPartBody>
        <w:p w:rsidR="00176847" w:rsidRDefault="00895DD5" w:rsidP="00895DD5">
          <w:pPr>
            <w:pStyle w:val="E2B2E444C1A243FD95A05C12A2839A58"/>
          </w:pPr>
          <w:r>
            <w:rPr>
              <w:rStyle w:val="PlaceholderText"/>
            </w:rPr>
            <w:t>Click here to enter a date.</w:t>
          </w:r>
        </w:p>
      </w:docPartBody>
    </w:docPart>
    <w:docPart>
      <w:docPartPr>
        <w:name w:val="40A2D39358BD455A9FE242CC3D0736B2"/>
        <w:category>
          <w:name w:val="General"/>
          <w:gallery w:val="placeholder"/>
        </w:category>
        <w:types>
          <w:type w:val="bbPlcHdr"/>
        </w:types>
        <w:behaviors>
          <w:behavior w:val="content"/>
        </w:behaviors>
        <w:guid w:val="{9D4A27FF-5509-44F1-9171-53C0B28F1180}"/>
      </w:docPartPr>
      <w:docPartBody>
        <w:p w:rsidR="00176847" w:rsidRDefault="00895DD5" w:rsidP="00895DD5">
          <w:pPr>
            <w:pStyle w:val="40A2D39358BD455A9FE242CC3D0736B2"/>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0274E"/>
    <w:rsid w:val="00013250"/>
    <w:rsid w:val="00031C95"/>
    <w:rsid w:val="000937FE"/>
    <w:rsid w:val="000A559A"/>
    <w:rsid w:val="00106A56"/>
    <w:rsid w:val="001227E4"/>
    <w:rsid w:val="00176847"/>
    <w:rsid w:val="00211441"/>
    <w:rsid w:val="00220729"/>
    <w:rsid w:val="002224E2"/>
    <w:rsid w:val="002859A3"/>
    <w:rsid w:val="0038324D"/>
    <w:rsid w:val="003A2F2A"/>
    <w:rsid w:val="003C1AE1"/>
    <w:rsid w:val="003D402D"/>
    <w:rsid w:val="004144A3"/>
    <w:rsid w:val="004160E7"/>
    <w:rsid w:val="00426EE8"/>
    <w:rsid w:val="00441230"/>
    <w:rsid w:val="004B78E8"/>
    <w:rsid w:val="004F31CA"/>
    <w:rsid w:val="005074B9"/>
    <w:rsid w:val="0052422C"/>
    <w:rsid w:val="00541B52"/>
    <w:rsid w:val="00552E58"/>
    <w:rsid w:val="005E40DD"/>
    <w:rsid w:val="00634186"/>
    <w:rsid w:val="007126F3"/>
    <w:rsid w:val="007C6D1D"/>
    <w:rsid w:val="007D17CA"/>
    <w:rsid w:val="007E115F"/>
    <w:rsid w:val="007E6506"/>
    <w:rsid w:val="00843AE5"/>
    <w:rsid w:val="008468F9"/>
    <w:rsid w:val="00895DD5"/>
    <w:rsid w:val="008A34C5"/>
    <w:rsid w:val="008C49D4"/>
    <w:rsid w:val="00936288"/>
    <w:rsid w:val="0096442F"/>
    <w:rsid w:val="00964DDE"/>
    <w:rsid w:val="00965277"/>
    <w:rsid w:val="009774A4"/>
    <w:rsid w:val="00992860"/>
    <w:rsid w:val="009B3BF0"/>
    <w:rsid w:val="009D5E5E"/>
    <w:rsid w:val="00A04012"/>
    <w:rsid w:val="00A93542"/>
    <w:rsid w:val="00B23DC0"/>
    <w:rsid w:val="00B34FCC"/>
    <w:rsid w:val="00CB4BD1"/>
    <w:rsid w:val="00CE2DA9"/>
    <w:rsid w:val="00CE44BE"/>
    <w:rsid w:val="00CE49F2"/>
    <w:rsid w:val="00CE5289"/>
    <w:rsid w:val="00CF66F6"/>
    <w:rsid w:val="00DC3E70"/>
    <w:rsid w:val="00DE62BE"/>
    <w:rsid w:val="00E44A86"/>
    <w:rsid w:val="00E86D0F"/>
    <w:rsid w:val="00EF6E0C"/>
    <w:rsid w:val="00F64D17"/>
    <w:rsid w:val="00FB276D"/>
    <w:rsid w:val="00FB5553"/>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5DD5"/>
    <w:rPr>
      <w:color w:val="808080"/>
    </w:rPr>
  </w:style>
  <w:style w:type="paragraph" w:customStyle="1" w:styleId="5D1B531EE8774159A74F151C7D24BC66">
    <w:name w:val="5D1B531EE8774159A74F151C7D24BC66"/>
    <w:rsid w:val="00895DD5"/>
  </w:style>
  <w:style w:type="paragraph" w:customStyle="1" w:styleId="9F6DC770B7CD44C2823B997493D494FC">
    <w:name w:val="9F6DC770B7CD44C2823B997493D494FC"/>
    <w:rsid w:val="00895DD5"/>
  </w:style>
  <w:style w:type="paragraph" w:customStyle="1" w:styleId="2E19D2E2F2D54440A9FC184608F56C2E">
    <w:name w:val="2E19D2E2F2D54440A9FC184608F56C2E"/>
    <w:rsid w:val="00895DD5"/>
  </w:style>
  <w:style w:type="paragraph" w:customStyle="1" w:styleId="4FA0ED17652B4542A3B7E6F4A34D39F9">
    <w:name w:val="4FA0ED17652B4542A3B7E6F4A34D39F9"/>
    <w:rsid w:val="00895DD5"/>
  </w:style>
  <w:style w:type="paragraph" w:customStyle="1" w:styleId="E2B2E444C1A243FD95A05C12A2839A58">
    <w:name w:val="E2B2E444C1A243FD95A05C12A2839A58"/>
    <w:rsid w:val="00895DD5"/>
  </w:style>
  <w:style w:type="paragraph" w:customStyle="1" w:styleId="40A2D39358BD455A9FE242CC3D0736B2">
    <w:name w:val="40A2D39358BD455A9FE242CC3D0736B2"/>
    <w:rsid w:val="00895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7B261-9D63-42E4-9BF0-A0BD251F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2928</Words>
  <Characters>16694</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2024-09-30T07:54:00Z</dcterms:created>
  <dcterms:modified xsi:type="dcterms:W3CDTF">2024-10-07T13:17:00Z</dcterms:modified>
</cp:coreProperties>
</file>