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3FB7CC33" w14:textId="77777777" w:rsidR="00C72447" w:rsidRPr="004310DE" w:rsidRDefault="00C72447" w:rsidP="00C72447">
      <w:pPr>
        <w:jc w:val="center"/>
        <w:rPr>
          <w:b/>
        </w:rPr>
      </w:pPr>
      <w:r w:rsidRPr="004310DE">
        <w:rPr>
          <w:b/>
        </w:rPr>
        <w:t>NUBEQA 300 mg plėvele dengtos tabletės</w:t>
      </w:r>
    </w:p>
    <w:p w14:paraId="6A28CE70" w14:textId="77777777" w:rsidR="00C72447" w:rsidRPr="00EA61A5" w:rsidRDefault="00C72447" w:rsidP="00C72447">
      <w:pPr>
        <w:jc w:val="center"/>
        <w:rPr>
          <w:b/>
        </w:rPr>
      </w:pPr>
      <w:r w:rsidRPr="00EA61A5">
        <w:rPr>
          <w:b/>
        </w:rPr>
        <w:t>Darolutamidas</w:t>
      </w:r>
    </w:p>
    <w:p w14:paraId="0A244148" w14:textId="77777777" w:rsidR="00C72447" w:rsidRPr="00D05364" w:rsidRDefault="00C72447" w:rsidP="00C72447">
      <w:pPr>
        <w:jc w:val="center"/>
        <w:rPr>
          <w:b/>
        </w:rPr>
      </w:pPr>
      <w:r>
        <w:rPr>
          <w:b/>
        </w:rPr>
        <w:t>STV-141</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C72447" w:rsidRPr="00E33EFF" w14:paraId="18A83EC2" w14:textId="77777777" w:rsidTr="0063234F">
        <w:trPr>
          <w:trHeight w:val="85"/>
        </w:trPr>
        <w:tc>
          <w:tcPr>
            <w:tcW w:w="632" w:type="dxa"/>
          </w:tcPr>
          <w:p w14:paraId="0646FBEA" w14:textId="77777777" w:rsidR="00C72447" w:rsidRPr="00E33EFF" w:rsidRDefault="00C72447" w:rsidP="00C72447">
            <w:pPr>
              <w:rPr>
                <w:rFonts w:eastAsia="Arial"/>
              </w:rPr>
            </w:pPr>
            <w:r w:rsidRPr="00E33EFF">
              <w:rPr>
                <w:rFonts w:eastAsia="Arial"/>
              </w:rPr>
              <w:t>1.1</w:t>
            </w:r>
          </w:p>
        </w:tc>
        <w:tc>
          <w:tcPr>
            <w:tcW w:w="3694" w:type="dxa"/>
          </w:tcPr>
          <w:p w14:paraId="6C3AE864" w14:textId="77777777" w:rsidR="00C72447" w:rsidRPr="00E33EFF" w:rsidRDefault="00C72447" w:rsidP="00C72447">
            <w:pPr>
              <w:rPr>
                <w:rFonts w:eastAsia="Arial"/>
              </w:rPr>
            </w:pPr>
            <w:r w:rsidRPr="00E33EFF">
              <w:rPr>
                <w:rFonts w:eastAsia="Arial"/>
              </w:rPr>
              <w:t>Pareiškėjas</w:t>
            </w:r>
          </w:p>
          <w:p w14:paraId="2AF240DC" w14:textId="77777777" w:rsidR="00C72447" w:rsidRPr="00E33EFF" w:rsidRDefault="00C72447" w:rsidP="00C72447">
            <w:pPr>
              <w:rPr>
                <w:rFonts w:eastAsia="Arial"/>
              </w:rPr>
            </w:pPr>
          </w:p>
        </w:tc>
        <w:tc>
          <w:tcPr>
            <w:tcW w:w="5167" w:type="dxa"/>
          </w:tcPr>
          <w:p w14:paraId="2AAF0D91" w14:textId="4A91D5D4" w:rsidR="00C72447" w:rsidRPr="00C72447" w:rsidRDefault="00C72447" w:rsidP="00C72447">
            <w:pPr>
              <w:rPr>
                <w:rFonts w:eastAsia="Arial"/>
              </w:rPr>
            </w:pPr>
            <w:r w:rsidRPr="00C72447">
              <w:t>Bayer AG, Vokietija</w:t>
            </w:r>
          </w:p>
        </w:tc>
      </w:tr>
      <w:tr w:rsidR="00C72447" w:rsidRPr="00E33EFF" w14:paraId="31998B0D" w14:textId="77777777" w:rsidTr="0063234F">
        <w:trPr>
          <w:trHeight w:val="85"/>
        </w:trPr>
        <w:tc>
          <w:tcPr>
            <w:tcW w:w="632" w:type="dxa"/>
          </w:tcPr>
          <w:p w14:paraId="2005EC67" w14:textId="662300D0" w:rsidR="00C72447" w:rsidRPr="00E33EFF" w:rsidRDefault="00C72447" w:rsidP="00C72447">
            <w:pPr>
              <w:rPr>
                <w:rFonts w:eastAsia="Arial"/>
              </w:rPr>
            </w:pPr>
            <w:r w:rsidRPr="00E33EFF">
              <w:rPr>
                <w:rFonts w:eastAsia="Arial"/>
              </w:rPr>
              <w:t>1.2</w:t>
            </w:r>
          </w:p>
        </w:tc>
        <w:tc>
          <w:tcPr>
            <w:tcW w:w="3694" w:type="dxa"/>
          </w:tcPr>
          <w:p w14:paraId="1E4AE3B1" w14:textId="77777777" w:rsidR="00C72447" w:rsidRPr="00E33EFF" w:rsidRDefault="00C72447" w:rsidP="00C72447">
            <w:pPr>
              <w:rPr>
                <w:bCs/>
                <w:color w:val="000000"/>
                <w:lang w:eastAsia="lt-LT"/>
              </w:rPr>
            </w:pPr>
            <w:r w:rsidRPr="00E33EFF">
              <w:rPr>
                <w:bCs/>
                <w:color w:val="000000"/>
                <w:lang w:eastAsia="lt-LT"/>
              </w:rPr>
              <w:t xml:space="preserve">Registracijos data </w:t>
            </w:r>
          </w:p>
          <w:p w14:paraId="3A0DC096" w14:textId="77777777" w:rsidR="00C72447" w:rsidRPr="00E33EFF" w:rsidRDefault="00C72447" w:rsidP="00C72447">
            <w:pPr>
              <w:rPr>
                <w:bCs/>
                <w:color w:val="000000"/>
                <w:lang w:eastAsia="lt-LT"/>
              </w:rPr>
            </w:pPr>
          </w:p>
        </w:tc>
        <w:tc>
          <w:tcPr>
            <w:tcW w:w="5167" w:type="dxa"/>
          </w:tcPr>
          <w:p w14:paraId="3CA218AD" w14:textId="3E8F2417" w:rsidR="00C72447" w:rsidRPr="00C72447" w:rsidRDefault="00000000" w:rsidP="00C72447">
            <w:pPr>
              <w:rPr>
                <w:rStyle w:val="Style2"/>
                <w:sz w:val="24"/>
              </w:rPr>
            </w:pPr>
            <w:sdt>
              <w:sdtPr>
                <w:rPr>
                  <w:sz w:val="32"/>
                </w:rPr>
                <w:alias w:val="Nurodykite konkrečią dieną"/>
                <w:tag w:val="Nurodykite pradžios datą"/>
                <w:id w:val="423238108"/>
                <w:placeholder>
                  <w:docPart w:val="0D5824FD7DEF45A293336A7943524776"/>
                </w:placeholder>
                <w15:color w:val="FFCC99"/>
                <w:date>
                  <w:dateFormat w:val="yyyy 'm.' MMMM d 'd.'"/>
                  <w:lid w:val="lt-LT"/>
                  <w:storeMappedDataAs w:val="dateTime"/>
                  <w:calendar w:val="gregorian"/>
                </w:date>
              </w:sdtPr>
              <w:sdtEndPr>
                <w:rPr>
                  <w:sz w:val="24"/>
                </w:rPr>
              </w:sdtEndPr>
              <w:sdtContent>
                <w:r w:rsidR="00C72447" w:rsidRPr="00C72447">
                  <w:t>2020 m. kovo 27 d.</w:t>
                </w:r>
              </w:sdtContent>
            </w:sdt>
          </w:p>
        </w:tc>
      </w:tr>
      <w:tr w:rsidR="00C72447" w:rsidRPr="00E33EFF" w14:paraId="15968AE1" w14:textId="77777777" w:rsidTr="0063234F">
        <w:trPr>
          <w:trHeight w:val="605"/>
        </w:trPr>
        <w:tc>
          <w:tcPr>
            <w:tcW w:w="632" w:type="dxa"/>
          </w:tcPr>
          <w:p w14:paraId="6A784245" w14:textId="1E461489" w:rsidR="00C72447" w:rsidRPr="00E33EFF" w:rsidRDefault="00C72447" w:rsidP="00C72447">
            <w:pPr>
              <w:rPr>
                <w:rFonts w:eastAsia="Arial"/>
              </w:rPr>
            </w:pPr>
            <w:r w:rsidRPr="00E33EFF">
              <w:rPr>
                <w:rFonts w:eastAsia="Arial"/>
              </w:rPr>
              <w:t>1.3</w:t>
            </w:r>
          </w:p>
        </w:tc>
        <w:tc>
          <w:tcPr>
            <w:tcW w:w="3694" w:type="dxa"/>
          </w:tcPr>
          <w:p w14:paraId="22933506" w14:textId="77777777" w:rsidR="00C72447" w:rsidRPr="00E33EFF" w:rsidRDefault="00C72447" w:rsidP="00C72447">
            <w:r w:rsidRPr="00E33EFF">
              <w:t xml:space="preserve">Paraiškos tipas </w:t>
            </w:r>
          </w:p>
          <w:p w14:paraId="0465E680" w14:textId="7F0A0714" w:rsidR="00C72447" w:rsidRPr="00E33EFF" w:rsidRDefault="00C72447" w:rsidP="00C72447">
            <w:r w:rsidRPr="00E33EFF">
              <w:t xml:space="preserve">(pagal </w:t>
            </w:r>
            <w:r w:rsidRPr="00E33EFF">
              <w:rPr>
                <w:color w:val="333333"/>
                <w:shd w:val="clear" w:color="auto" w:fill="FFFFFF"/>
              </w:rPr>
              <w:t>vaistinio preparato registracijos tipą, įtvirtintą</w:t>
            </w:r>
            <w:r w:rsidRPr="00E33EFF">
              <w:t xml:space="preserve"> Direktyvos 2001/83/EB straipsiuose)</w:t>
            </w:r>
          </w:p>
          <w:p w14:paraId="77089D80" w14:textId="6681D72A" w:rsidR="00C72447" w:rsidRPr="00E33EFF" w:rsidRDefault="00C72447" w:rsidP="00C72447">
            <w:pPr>
              <w:rPr>
                <w:bCs/>
                <w:color w:val="000000"/>
                <w:lang w:eastAsia="lt-LT"/>
              </w:rPr>
            </w:pPr>
          </w:p>
        </w:tc>
        <w:tc>
          <w:tcPr>
            <w:tcW w:w="5167" w:type="dxa"/>
          </w:tcPr>
          <w:p w14:paraId="76B5EAEB" w14:textId="203C00C9" w:rsidR="00C72447" w:rsidRPr="00C72447" w:rsidRDefault="00000000" w:rsidP="00C72447">
            <w:sdt>
              <w:sdtPr>
                <w:rPr>
                  <w:rStyle w:val="Style2"/>
                  <w:sz w:val="24"/>
                </w:rPr>
                <w:id w:val="-366596377"/>
                <w15:color w:val="FFCC00"/>
                <w14:checkbox>
                  <w14:checked w14:val="1"/>
                  <w14:checkedState w14:val="2612" w14:font="MS Gothic"/>
                  <w14:uncheckedState w14:val="2610" w14:font="MS Gothic"/>
                </w14:checkbox>
              </w:sdtPr>
              <w:sdtContent>
                <w:r w:rsidR="00C72447">
                  <w:rPr>
                    <w:rStyle w:val="Style2"/>
                    <w:rFonts w:ascii="MS Gothic" w:eastAsia="MS Gothic" w:hAnsi="MS Gothic" w:hint="eastAsia"/>
                    <w:sz w:val="24"/>
                  </w:rPr>
                  <w:t>☒</w:t>
                </w:r>
              </w:sdtContent>
            </w:sdt>
            <w:r w:rsidR="00C72447" w:rsidRPr="00C72447">
              <w:t xml:space="preserve"> 8.3 str. (pilna byla, pagrįsta savais tyrimais) </w:t>
            </w:r>
          </w:p>
          <w:p w14:paraId="3C023E25" w14:textId="1B153476" w:rsidR="00C72447" w:rsidRPr="00C72447" w:rsidRDefault="00000000" w:rsidP="00C72447">
            <w:sdt>
              <w:sdtPr>
                <w:rPr>
                  <w:rStyle w:val="Style2"/>
                  <w:sz w:val="24"/>
                </w:rPr>
                <w:id w:val="675462298"/>
                <w15:color w:val="FFCC00"/>
                <w14:checkbox>
                  <w14:checked w14:val="0"/>
                  <w14:checkedState w14:val="2612" w14:font="MS Gothic"/>
                  <w14:uncheckedState w14:val="2610" w14:font="MS Gothic"/>
                </w14:checkbox>
              </w:sdtPr>
              <w:sdtContent>
                <w:r w:rsidR="00C72447">
                  <w:rPr>
                    <w:rStyle w:val="Style2"/>
                    <w:rFonts w:ascii="MS Gothic" w:eastAsia="MS Gothic" w:hAnsi="MS Gothic" w:hint="eastAsia"/>
                    <w:sz w:val="24"/>
                  </w:rPr>
                  <w:t>☐</w:t>
                </w:r>
              </w:sdtContent>
            </w:sdt>
            <w:r w:rsidR="00C72447" w:rsidRPr="00C72447">
              <w:t xml:space="preserve"> 10 a str. (pripažintas medicininis vartojimas) </w:t>
            </w:r>
          </w:p>
          <w:p w14:paraId="3D16E630" w14:textId="534423D9" w:rsidR="00C72447" w:rsidRPr="00C72447" w:rsidRDefault="00000000" w:rsidP="00C72447">
            <w:sdt>
              <w:sdtPr>
                <w:rPr>
                  <w:rStyle w:val="Style2"/>
                  <w:sz w:val="24"/>
                </w:rPr>
                <w:id w:val="-1290435890"/>
                <w15:color w:val="FFCC00"/>
                <w14:checkbox>
                  <w14:checked w14:val="0"/>
                  <w14:checkedState w14:val="2612" w14:font="MS Gothic"/>
                  <w14:uncheckedState w14:val="2610" w14:font="MS Gothic"/>
                </w14:checkbox>
              </w:sdtPr>
              <w:sdtContent>
                <w:r w:rsidR="00C72447">
                  <w:rPr>
                    <w:rStyle w:val="Style2"/>
                    <w:rFonts w:ascii="MS Gothic" w:eastAsia="MS Gothic" w:hAnsi="MS Gothic" w:hint="eastAsia"/>
                    <w:sz w:val="24"/>
                  </w:rPr>
                  <w:t>☐</w:t>
                </w:r>
              </w:sdtContent>
            </w:sdt>
            <w:r w:rsidR="00C72447" w:rsidRPr="00C72447">
              <w:t xml:space="preserve"> 10.1 str. (generinis)</w:t>
            </w:r>
          </w:p>
          <w:p w14:paraId="3B0A4F72" w14:textId="38AF7F1F" w:rsidR="00C72447" w:rsidRPr="00C72447" w:rsidRDefault="00000000" w:rsidP="00C72447">
            <w:pPr>
              <w:rPr>
                <w:rStyle w:val="Style2"/>
                <w:sz w:val="24"/>
              </w:rPr>
            </w:pPr>
            <w:sdt>
              <w:sdtPr>
                <w:rPr>
                  <w:rStyle w:val="Style2"/>
                  <w:sz w:val="24"/>
                </w:rPr>
                <w:id w:val="-124545030"/>
                <w15:color w:val="FFCC00"/>
                <w14:checkbox>
                  <w14:checked w14:val="0"/>
                  <w14:checkedState w14:val="2612" w14:font="MS Gothic"/>
                  <w14:uncheckedState w14:val="2610" w14:font="MS Gothic"/>
                </w14:checkbox>
              </w:sdtPr>
              <w:sdtContent>
                <w:r w:rsidR="00C72447">
                  <w:rPr>
                    <w:rStyle w:val="Style2"/>
                    <w:rFonts w:ascii="MS Gothic" w:eastAsia="MS Gothic" w:hAnsi="MS Gothic" w:hint="eastAsia"/>
                    <w:sz w:val="24"/>
                  </w:rPr>
                  <w:t>☐</w:t>
                </w:r>
              </w:sdtContent>
            </w:sdt>
            <w:r w:rsidR="00C72447" w:rsidRPr="00C72447">
              <w:t xml:space="preserve"> 10.3 str. (hibridinis)</w:t>
            </w:r>
          </w:p>
        </w:tc>
      </w:tr>
      <w:tr w:rsidR="00C72447" w:rsidRPr="00E33EFF" w14:paraId="310E9662" w14:textId="77777777" w:rsidTr="0063234F">
        <w:trPr>
          <w:trHeight w:val="502"/>
        </w:trPr>
        <w:tc>
          <w:tcPr>
            <w:tcW w:w="632" w:type="dxa"/>
          </w:tcPr>
          <w:p w14:paraId="4B5A91A2" w14:textId="561B5E5F" w:rsidR="00C72447" w:rsidRPr="00E33EFF" w:rsidRDefault="00C72447" w:rsidP="00C72447">
            <w:pPr>
              <w:rPr>
                <w:rFonts w:eastAsia="Arial"/>
              </w:rPr>
            </w:pPr>
            <w:r w:rsidRPr="00E33EFF">
              <w:rPr>
                <w:rFonts w:eastAsia="Arial"/>
              </w:rPr>
              <w:t>1.4</w:t>
            </w:r>
          </w:p>
        </w:tc>
        <w:tc>
          <w:tcPr>
            <w:tcW w:w="3694" w:type="dxa"/>
          </w:tcPr>
          <w:p w14:paraId="6C91E105" w14:textId="77777777" w:rsidR="00C72447" w:rsidRPr="00E33EFF" w:rsidRDefault="00C72447" w:rsidP="00C72447">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1E90AFDB" w:rsidR="00C72447" w:rsidRPr="00E33EFF" w:rsidRDefault="00C72447" w:rsidP="00C72447">
            <w:pPr>
              <w:rPr>
                <w:bCs/>
                <w:color w:val="000000"/>
                <w:lang w:eastAsia="lt-LT"/>
              </w:rPr>
            </w:pPr>
          </w:p>
        </w:tc>
        <w:tc>
          <w:tcPr>
            <w:tcW w:w="5167" w:type="dxa"/>
          </w:tcPr>
          <w:p w14:paraId="5B82C638" w14:textId="22203BEA" w:rsidR="00C72447" w:rsidRPr="00C72447" w:rsidRDefault="00000000" w:rsidP="00C72447">
            <w:sdt>
              <w:sdtPr>
                <w:rPr>
                  <w:rStyle w:val="Style2"/>
                  <w:sz w:val="24"/>
                </w:rPr>
                <w:id w:val="2024432173"/>
                <w15:color w:val="FFCC00"/>
                <w14:checkbox>
                  <w14:checked w14:val="0"/>
                  <w14:checkedState w14:val="2612" w14:font="MS Gothic"/>
                  <w14:uncheckedState w14:val="2610" w14:font="MS Gothic"/>
                </w14:checkbox>
              </w:sdtPr>
              <w:sdtContent>
                <w:r w:rsidR="00C72447">
                  <w:rPr>
                    <w:rStyle w:val="Style2"/>
                    <w:rFonts w:ascii="MS Gothic" w:eastAsia="MS Gothic" w:hAnsi="MS Gothic" w:hint="eastAsia"/>
                    <w:sz w:val="24"/>
                  </w:rPr>
                  <w:t>☐</w:t>
                </w:r>
              </w:sdtContent>
            </w:sdt>
            <w:r w:rsidR="00C72447" w:rsidRPr="00C72447">
              <w:t xml:space="preserve"> Taip</w:t>
            </w:r>
          </w:p>
          <w:p w14:paraId="42FB2763" w14:textId="77777777" w:rsidR="00C72447" w:rsidRPr="00C72447" w:rsidRDefault="00000000" w:rsidP="00C72447">
            <w:sdt>
              <w:sdtPr>
                <w:rPr>
                  <w:rStyle w:val="Style2"/>
                  <w:sz w:val="24"/>
                </w:rPr>
                <w:id w:val="-970507926"/>
                <w15:color w:val="FFCC00"/>
                <w14:checkbox>
                  <w14:checked w14:val="1"/>
                  <w14:checkedState w14:val="2612" w14:font="MS Gothic"/>
                  <w14:uncheckedState w14:val="2610" w14:font="MS Gothic"/>
                </w14:checkbox>
              </w:sdtPr>
              <w:sdtContent>
                <w:r w:rsidR="00C72447" w:rsidRPr="00C72447">
                  <w:rPr>
                    <w:rStyle w:val="Style2"/>
                    <w:rFonts w:ascii="MS Gothic" w:eastAsia="MS Gothic" w:hAnsi="MS Gothic" w:hint="eastAsia"/>
                    <w:sz w:val="24"/>
                  </w:rPr>
                  <w:t>☒</w:t>
                </w:r>
              </w:sdtContent>
            </w:sdt>
            <w:r w:rsidR="00C72447" w:rsidRPr="00C72447">
              <w:t xml:space="preserve"> Ne</w:t>
            </w:r>
          </w:p>
          <w:p w14:paraId="29C2CBBB" w14:textId="3822E106" w:rsidR="00C72447" w:rsidRPr="00C72447" w:rsidRDefault="00000000" w:rsidP="00C72447">
            <w:pPr>
              <w:rPr>
                <w:rFonts w:eastAsia="Arial"/>
              </w:rPr>
            </w:pPr>
            <w:sdt>
              <w:sdtPr>
                <w:alias w:val="Nurodykite konkrečią dieną"/>
                <w:tag w:val="Nurodykite pradžios datą"/>
                <w:id w:val="693498901"/>
                <w:placeholder>
                  <w:docPart w:val="928C7CEA279843A5A22AE807CF2CEDF8"/>
                </w:placeholder>
                <w:showingPlcHdr/>
                <w15:color w:val="FFCC99"/>
                <w:date w:fullDate="2022-05-18T00:00:00Z">
                  <w:dateFormat w:val="yyyy 'm.' MMMM d 'd.'"/>
                  <w:lid w:val="lt-LT"/>
                  <w:storeMappedDataAs w:val="dateTime"/>
                  <w:calendar w:val="gregorian"/>
                </w:date>
              </w:sdtPr>
              <w:sdtContent>
                <w:r w:rsidR="00C72447" w:rsidRPr="00C72447">
                  <w:rPr>
                    <w:rStyle w:val="PlaceholderText"/>
                  </w:rPr>
                  <w:t>Click here to enter a date.</w:t>
                </w:r>
              </w:sdtContent>
            </w:sdt>
          </w:p>
        </w:tc>
      </w:tr>
      <w:tr w:rsidR="00C72447" w:rsidRPr="00E33EFF" w14:paraId="7841E5F8" w14:textId="77777777" w:rsidTr="00BE7489">
        <w:trPr>
          <w:trHeight w:val="476"/>
        </w:trPr>
        <w:tc>
          <w:tcPr>
            <w:tcW w:w="632" w:type="dxa"/>
          </w:tcPr>
          <w:p w14:paraId="109D2861" w14:textId="73BF27DF" w:rsidR="00C72447" w:rsidRPr="00E33EFF" w:rsidRDefault="00C72447" w:rsidP="00C72447">
            <w:pPr>
              <w:rPr>
                <w:rFonts w:eastAsia="Arial"/>
              </w:rPr>
            </w:pPr>
            <w:r w:rsidRPr="00E33EFF">
              <w:rPr>
                <w:rFonts w:eastAsia="Arial"/>
              </w:rPr>
              <w:t>1.5</w:t>
            </w:r>
          </w:p>
        </w:tc>
        <w:tc>
          <w:tcPr>
            <w:tcW w:w="3694" w:type="dxa"/>
          </w:tcPr>
          <w:p w14:paraId="7822D63E" w14:textId="68C38334" w:rsidR="00C72447" w:rsidRPr="00E33EFF" w:rsidRDefault="00C72447" w:rsidP="00C72447">
            <w:pPr>
              <w:rPr>
                <w:bCs/>
                <w:color w:val="000000"/>
                <w:lang w:eastAsia="lt-LT"/>
              </w:rPr>
            </w:pPr>
            <w:r w:rsidRPr="00E33EFF">
              <w:t>STV paraiškos pobūdis</w:t>
            </w:r>
          </w:p>
        </w:tc>
        <w:tc>
          <w:tcPr>
            <w:tcW w:w="5167" w:type="dxa"/>
          </w:tcPr>
          <w:p w14:paraId="403461B9" w14:textId="70FFC381" w:rsidR="00C72447" w:rsidRPr="00E33EFF" w:rsidRDefault="00000000" w:rsidP="00C72447">
            <w:sdt>
              <w:sdtPr>
                <w:rPr>
                  <w:rStyle w:val="Style2"/>
                  <w:sz w:val="24"/>
                </w:rPr>
                <w:id w:val="-468433535"/>
                <w15:color w:val="FFCC00"/>
                <w14:checkbox>
                  <w14:checked w14:val="1"/>
                  <w14:checkedState w14:val="2612" w14:font="MS Gothic"/>
                  <w14:uncheckedState w14:val="2610" w14:font="MS Gothic"/>
                </w14:checkbox>
              </w:sdtPr>
              <w:sdtContent>
                <w:r w:rsidR="00C72447">
                  <w:rPr>
                    <w:rStyle w:val="Style2"/>
                    <w:rFonts w:ascii="MS Gothic" w:eastAsia="MS Gothic" w:hAnsi="MS Gothic" w:hint="eastAsia"/>
                    <w:sz w:val="24"/>
                  </w:rPr>
                  <w:t>☒</w:t>
                </w:r>
              </w:sdtContent>
            </w:sdt>
            <w:r w:rsidR="00C72447" w:rsidRPr="00E33EFF">
              <w:t xml:space="preserve"> Pilna paraiška</w:t>
            </w:r>
          </w:p>
          <w:p w14:paraId="6B8213E3" w14:textId="3495CDF4" w:rsidR="00C72447" w:rsidRPr="00E33EFF" w:rsidRDefault="00000000" w:rsidP="00C72447">
            <w:sdt>
              <w:sdtPr>
                <w:rPr>
                  <w:rStyle w:val="Style2"/>
                  <w:sz w:val="24"/>
                </w:rPr>
                <w:id w:val="-1489014904"/>
                <w15:color w:val="FFCC00"/>
                <w14:checkbox>
                  <w14:checked w14:val="0"/>
                  <w14:checkedState w14:val="2612" w14:font="MS Gothic"/>
                  <w14:uncheckedState w14:val="2610" w14:font="MS Gothic"/>
                </w14:checkbox>
              </w:sdtPr>
              <w:sdtContent>
                <w:r w:rsidR="00C72447" w:rsidRPr="00E33EFF">
                  <w:rPr>
                    <w:rStyle w:val="Style2"/>
                    <w:rFonts w:ascii="MS Gothic" w:eastAsia="MS Gothic" w:hAnsi="MS Gothic" w:hint="eastAsia"/>
                    <w:sz w:val="24"/>
                  </w:rPr>
                  <w:t>☐</w:t>
                </w:r>
              </w:sdtContent>
            </w:sdt>
            <w:r w:rsidR="00C72447" w:rsidRPr="00E33EFF">
              <w:t xml:space="preserve"> Supaprastinta paraiška</w:t>
            </w:r>
          </w:p>
        </w:tc>
      </w:tr>
      <w:tr w:rsidR="00C72447" w:rsidRPr="00E33EFF" w14:paraId="274D1DAF" w14:textId="77777777" w:rsidTr="00C72447">
        <w:trPr>
          <w:trHeight w:val="719"/>
        </w:trPr>
        <w:tc>
          <w:tcPr>
            <w:tcW w:w="632" w:type="dxa"/>
          </w:tcPr>
          <w:p w14:paraId="17ABF217" w14:textId="14AC00D7" w:rsidR="00C72447" w:rsidRPr="00E33EFF" w:rsidRDefault="00C72447" w:rsidP="00C72447">
            <w:pPr>
              <w:rPr>
                <w:rFonts w:eastAsia="Arial"/>
              </w:rPr>
            </w:pPr>
            <w:r w:rsidRPr="00E33EFF">
              <w:rPr>
                <w:rFonts w:eastAsia="Arial"/>
              </w:rPr>
              <w:t>1.6</w:t>
            </w:r>
          </w:p>
        </w:tc>
        <w:tc>
          <w:tcPr>
            <w:tcW w:w="3694" w:type="dxa"/>
          </w:tcPr>
          <w:p w14:paraId="4D49DBF5" w14:textId="77777777" w:rsidR="00C72447" w:rsidRPr="00E33EFF" w:rsidRDefault="00C72447" w:rsidP="00C72447">
            <w:pPr>
              <w:rPr>
                <w:bCs/>
                <w:color w:val="000000"/>
                <w:lang w:eastAsia="lt-LT"/>
              </w:rPr>
            </w:pPr>
            <w:r w:rsidRPr="00E33EFF">
              <w:rPr>
                <w:bCs/>
                <w:color w:val="000000"/>
                <w:lang w:eastAsia="lt-LT"/>
              </w:rPr>
              <w:t>Pareiškėjo teikiama (-os) kompensuoti vaistinio preparato indikacija (-os)</w:t>
            </w:r>
          </w:p>
          <w:p w14:paraId="3A6B054C" w14:textId="77777777" w:rsidR="00C72447" w:rsidRDefault="00C72447" w:rsidP="00C72447">
            <w:pPr>
              <w:rPr>
                <w:bCs/>
                <w:color w:val="000000"/>
                <w:lang w:eastAsia="lt-LT"/>
              </w:rPr>
            </w:pPr>
          </w:p>
          <w:p w14:paraId="6B4FEEC1" w14:textId="378668B0" w:rsidR="00C72447" w:rsidRPr="00E33EFF" w:rsidRDefault="00C72447" w:rsidP="00C72447">
            <w:pPr>
              <w:rPr>
                <w:bCs/>
                <w:color w:val="000000"/>
                <w:lang w:eastAsia="lt-LT"/>
              </w:rPr>
            </w:pPr>
            <w:r w:rsidRPr="00E33EFF">
              <w:rPr>
                <w:bCs/>
                <w:color w:val="000000"/>
                <w:lang w:eastAsia="lt-LT"/>
              </w:rPr>
              <w:t>Kodas pagal TLK-10 AM</w:t>
            </w:r>
          </w:p>
        </w:tc>
        <w:tc>
          <w:tcPr>
            <w:tcW w:w="5167" w:type="dxa"/>
          </w:tcPr>
          <w:p w14:paraId="4BD72CB5" w14:textId="77777777" w:rsidR="00C72447" w:rsidRDefault="00C72447" w:rsidP="00C72447">
            <w:pPr>
              <w:spacing w:after="120"/>
              <w:jc w:val="both"/>
            </w:pPr>
            <w:r w:rsidRPr="00EA61A5">
              <w:t xml:space="preserve">NUBEQA skirtas gydyti </w:t>
            </w:r>
            <w:r>
              <w:t xml:space="preserve">suaugusiems vyrams, sergantiems </w:t>
            </w:r>
            <w:r w:rsidRPr="00EA61A5">
              <w:t>metastazavusiu hormonams jautriu prostatos vėžiu (mHJPV), kartu skiriant docetakselį ir a</w:t>
            </w:r>
            <w:r>
              <w:t>ndrogenų deprivacijos terapiją.</w:t>
            </w:r>
          </w:p>
          <w:p w14:paraId="13F7DFB0" w14:textId="18DB01E2" w:rsidR="00C72447" w:rsidRPr="00E33EFF" w:rsidRDefault="00C72447" w:rsidP="00C72447">
            <w:r>
              <w:t>TLK kodas C61.0</w:t>
            </w:r>
          </w:p>
        </w:tc>
      </w:tr>
      <w:tr w:rsidR="00C72447" w:rsidRPr="00E33EFF" w14:paraId="2F79DC08" w14:textId="77777777" w:rsidTr="00BE7489">
        <w:trPr>
          <w:trHeight w:val="378"/>
        </w:trPr>
        <w:tc>
          <w:tcPr>
            <w:tcW w:w="632" w:type="dxa"/>
          </w:tcPr>
          <w:p w14:paraId="547885A2" w14:textId="08AA8055" w:rsidR="00C72447" w:rsidRPr="00E33EFF" w:rsidRDefault="00C72447" w:rsidP="00C72447">
            <w:pPr>
              <w:rPr>
                <w:rFonts w:eastAsia="Arial"/>
              </w:rPr>
            </w:pPr>
            <w:r w:rsidRPr="00E33EFF">
              <w:rPr>
                <w:rFonts w:eastAsia="Arial"/>
              </w:rPr>
              <w:t>1.6</w:t>
            </w:r>
          </w:p>
        </w:tc>
        <w:tc>
          <w:tcPr>
            <w:tcW w:w="3694" w:type="dxa"/>
          </w:tcPr>
          <w:p w14:paraId="2EAB877F" w14:textId="39A36941" w:rsidR="00C72447" w:rsidRPr="00E33EFF" w:rsidRDefault="00C72447" w:rsidP="00C72447">
            <w:pPr>
              <w:rPr>
                <w:bCs/>
                <w:color w:val="000000"/>
                <w:u w:val="single"/>
                <w:lang w:eastAsia="lt-LT"/>
              </w:rPr>
            </w:pPr>
            <w:r w:rsidRPr="00E33EFF">
              <w:rPr>
                <w:bCs/>
                <w:color w:val="000000"/>
                <w:lang w:eastAsia="lt-LT"/>
              </w:rPr>
              <w:t xml:space="preserve">Pareiškėjo teikiamos skyrimo sąlygos </w:t>
            </w:r>
          </w:p>
        </w:tc>
        <w:tc>
          <w:tcPr>
            <w:tcW w:w="5167" w:type="dxa"/>
          </w:tcPr>
          <w:p w14:paraId="0579DF58" w14:textId="5A946F49" w:rsidR="00C72447" w:rsidRPr="00E33EFF" w:rsidRDefault="00C72447" w:rsidP="00C72447">
            <w:r>
              <w:t>Nėra.</w:t>
            </w:r>
          </w:p>
        </w:tc>
      </w:tr>
      <w:tr w:rsidR="00C72447" w:rsidRPr="00E33EFF" w14:paraId="3B125269" w14:textId="77777777" w:rsidTr="0063234F">
        <w:trPr>
          <w:trHeight w:val="85"/>
        </w:trPr>
        <w:tc>
          <w:tcPr>
            <w:tcW w:w="632" w:type="dxa"/>
          </w:tcPr>
          <w:p w14:paraId="0058E11F" w14:textId="77777777" w:rsidR="00C72447" w:rsidRPr="00E33EFF" w:rsidRDefault="00C72447" w:rsidP="00C72447">
            <w:pPr>
              <w:rPr>
                <w:rFonts w:eastAsia="Arial"/>
              </w:rPr>
            </w:pPr>
            <w:r w:rsidRPr="00E33EFF">
              <w:rPr>
                <w:rFonts w:eastAsia="Arial"/>
              </w:rPr>
              <w:t>1.7</w:t>
            </w:r>
          </w:p>
        </w:tc>
        <w:tc>
          <w:tcPr>
            <w:tcW w:w="3694" w:type="dxa"/>
          </w:tcPr>
          <w:p w14:paraId="61EC5BBD" w14:textId="4FABFBA4" w:rsidR="00C72447" w:rsidRPr="00E33EFF" w:rsidRDefault="00C72447" w:rsidP="00C72447">
            <w:pPr>
              <w:rPr>
                <w:bCs/>
                <w:color w:val="000000"/>
                <w:lang w:eastAsia="lt-LT"/>
              </w:rPr>
            </w:pPr>
            <w:r w:rsidRPr="00E33EFF">
              <w:rPr>
                <w:bCs/>
                <w:color w:val="000000"/>
                <w:lang w:eastAsia="lt-LT"/>
              </w:rPr>
              <w:t xml:space="preserve">Pareiškėjo teikiamas palyginamasis </w:t>
            </w:r>
            <w:r>
              <w:rPr>
                <w:bCs/>
                <w:color w:val="000000"/>
                <w:lang w:eastAsia="lt-LT"/>
              </w:rPr>
              <w:t>gydymas</w:t>
            </w:r>
          </w:p>
          <w:p w14:paraId="62057D94" w14:textId="77777777" w:rsidR="00C72447" w:rsidRPr="00E33EFF" w:rsidRDefault="00C72447" w:rsidP="00C72447">
            <w:pPr>
              <w:rPr>
                <w:bCs/>
                <w:color w:val="000000"/>
                <w:lang w:eastAsia="lt-LT"/>
              </w:rPr>
            </w:pPr>
          </w:p>
          <w:p w14:paraId="6CC1022E" w14:textId="2B6BCEE1" w:rsidR="00C72447" w:rsidRPr="00E33EFF" w:rsidRDefault="00C72447" w:rsidP="00C72447">
            <w:pPr>
              <w:rPr>
                <w:bCs/>
                <w:color w:val="000000"/>
                <w:lang w:eastAsia="lt-LT"/>
              </w:rPr>
            </w:pPr>
          </w:p>
        </w:tc>
        <w:tc>
          <w:tcPr>
            <w:tcW w:w="5167" w:type="dxa"/>
          </w:tcPr>
          <w:p w14:paraId="1F113AC0" w14:textId="7DC78C39" w:rsidR="00C72447" w:rsidRPr="00E33EFF" w:rsidRDefault="00000000" w:rsidP="00C72447">
            <w:sdt>
              <w:sdtPr>
                <w:rPr>
                  <w:rStyle w:val="Style2"/>
                  <w:sz w:val="24"/>
                </w:rPr>
                <w:id w:val="1480955706"/>
                <w15:color w:val="FFCC00"/>
                <w14:checkbox>
                  <w14:checked w14:val="1"/>
                  <w14:checkedState w14:val="2612" w14:font="MS Gothic"/>
                  <w14:uncheckedState w14:val="2610" w14:font="MS Gothic"/>
                </w14:checkbox>
              </w:sdtPr>
              <w:sdtContent>
                <w:r w:rsidR="00C72447">
                  <w:rPr>
                    <w:rStyle w:val="Style2"/>
                    <w:rFonts w:ascii="MS Gothic" w:eastAsia="MS Gothic" w:hAnsi="MS Gothic" w:hint="eastAsia"/>
                    <w:sz w:val="24"/>
                  </w:rPr>
                  <w:t>☒</w:t>
                </w:r>
              </w:sdtContent>
            </w:sdt>
            <w:r w:rsidR="00C72447" w:rsidRPr="00E33EFF">
              <w:t xml:space="preserve"> Tinkamas</w:t>
            </w:r>
          </w:p>
          <w:p w14:paraId="41B44044" w14:textId="2EB18E9F" w:rsidR="00C72447" w:rsidRPr="00E33EFF" w:rsidRDefault="00000000" w:rsidP="00C72447">
            <w:sdt>
              <w:sdtPr>
                <w:rPr>
                  <w:rStyle w:val="Style2"/>
                  <w:sz w:val="24"/>
                </w:rPr>
                <w:id w:val="-352420698"/>
                <w15:color w:val="FFCC00"/>
                <w14:checkbox>
                  <w14:checked w14:val="0"/>
                  <w14:checkedState w14:val="2612" w14:font="MS Gothic"/>
                  <w14:uncheckedState w14:val="2610" w14:font="MS Gothic"/>
                </w14:checkbox>
              </w:sdtPr>
              <w:sdtContent>
                <w:r w:rsidR="00C72447" w:rsidRPr="00E33EFF">
                  <w:rPr>
                    <w:rStyle w:val="Style2"/>
                    <w:rFonts w:ascii="MS Gothic" w:eastAsia="MS Gothic" w:hAnsi="MS Gothic" w:hint="eastAsia"/>
                    <w:sz w:val="24"/>
                  </w:rPr>
                  <w:t>☐</w:t>
                </w:r>
              </w:sdtContent>
            </w:sdt>
            <w:r w:rsidR="00C72447" w:rsidRPr="00E33EFF">
              <w:t xml:space="preserve"> Netinkama</w:t>
            </w:r>
            <w:r w:rsidR="00BE70C9">
              <w:t>s</w:t>
            </w:r>
          </w:p>
        </w:tc>
      </w:tr>
    </w:tbl>
    <w:p w14:paraId="108176F7" w14:textId="640C6F75" w:rsidR="00F70C9E" w:rsidRPr="00E33EFF" w:rsidRDefault="00F70C9E" w:rsidP="00E03C3F">
      <w:pPr>
        <w:pStyle w:val="ListParagraph"/>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lastRenderedPageBreak/>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C72447" w:rsidRPr="00E33EFF" w14:paraId="129FA8F6" w14:textId="77777777" w:rsidTr="003C0727">
        <w:trPr>
          <w:trHeight w:val="2267"/>
        </w:trPr>
        <w:tc>
          <w:tcPr>
            <w:tcW w:w="2855" w:type="dxa"/>
          </w:tcPr>
          <w:p w14:paraId="70C60EDF" w14:textId="77777777" w:rsidR="00C72447" w:rsidRPr="003D2BFD" w:rsidRDefault="00C72447" w:rsidP="00C72447">
            <w:pPr>
              <w:autoSpaceDE w:val="0"/>
              <w:autoSpaceDN w:val="0"/>
              <w:adjustRightInd w:val="0"/>
              <w:rPr>
                <w:bCs/>
              </w:rPr>
            </w:pPr>
            <w:r w:rsidRPr="003D2BFD">
              <w:rPr>
                <w:bCs/>
              </w:rPr>
              <w:t>Nacionalinis sveikatos ir klinikinės kompetencijos institutas, Didžioji Britanija</w:t>
            </w:r>
          </w:p>
          <w:p w14:paraId="49C6520D" w14:textId="7935711A" w:rsidR="00C72447" w:rsidRPr="00E33EFF" w:rsidRDefault="00C72447" w:rsidP="00C72447">
            <w:pPr>
              <w:rPr>
                <w:rFonts w:eastAsia="Arial"/>
                <w:lang w:val="en-GB"/>
              </w:rPr>
            </w:pPr>
            <w:r w:rsidRPr="003D2BFD">
              <w:rPr>
                <w:rFonts w:eastAsia="Arial"/>
              </w:rPr>
              <w:t xml:space="preserve">(angl. </w:t>
            </w:r>
            <w:r w:rsidRPr="003D2BFD">
              <w:rPr>
                <w:rFonts w:eastAsia="Arial"/>
                <w:i/>
              </w:rPr>
              <w:t>National Institute for Health and Care Excellence, NICE</w:t>
            </w:r>
            <w:r w:rsidRPr="003D2BFD">
              <w:rPr>
                <w:rFonts w:eastAsia="Arial"/>
              </w:rPr>
              <w:t>)</w:t>
            </w:r>
          </w:p>
        </w:tc>
        <w:tc>
          <w:tcPr>
            <w:tcW w:w="1851" w:type="dxa"/>
          </w:tcPr>
          <w:p w14:paraId="3F5C17C0" w14:textId="77777777" w:rsidR="00C72447" w:rsidRPr="00D05364" w:rsidRDefault="00000000" w:rsidP="00C72447">
            <w:sdt>
              <w:sdtPr>
                <w:rPr>
                  <w:rStyle w:val="Style2"/>
                </w:rPr>
                <w:id w:val="1558205022"/>
                <w15:color w:val="FFCC00"/>
                <w14:checkbox>
                  <w14:checked w14:val="1"/>
                  <w14:checkedState w14:val="2612" w14:font="MS Gothic"/>
                  <w14:uncheckedState w14:val="2610" w14:font="MS Gothic"/>
                </w14:checkbox>
              </w:sdtPr>
              <w:sdtContent>
                <w:r w:rsidR="00C72447">
                  <w:rPr>
                    <w:rStyle w:val="Style2"/>
                    <w:rFonts w:ascii="MS Gothic" w:eastAsia="MS Gothic" w:hAnsi="MS Gothic" w:hint="eastAsia"/>
                  </w:rPr>
                  <w:t>☒</w:t>
                </w:r>
              </w:sdtContent>
            </w:sdt>
            <w:r w:rsidR="00C72447" w:rsidRPr="00D05364">
              <w:t xml:space="preserve"> Taip</w:t>
            </w:r>
          </w:p>
          <w:p w14:paraId="4B080694" w14:textId="77777777" w:rsidR="00C72447" w:rsidRPr="00D05364" w:rsidRDefault="00000000" w:rsidP="00C72447">
            <w:sdt>
              <w:sdtPr>
                <w:rPr>
                  <w:rStyle w:val="Style2"/>
                </w:rPr>
                <w:id w:val="866029625"/>
                <w15:color w:val="FFCC00"/>
                <w14:checkbox>
                  <w14:checked w14:val="0"/>
                  <w14:checkedState w14:val="2612" w14:font="MS Gothic"/>
                  <w14:uncheckedState w14:val="2610" w14:font="MS Gothic"/>
                </w14:checkbox>
              </w:sdtPr>
              <w:sdtContent>
                <w:r w:rsidR="00C72447" w:rsidRPr="00D05364">
                  <w:rPr>
                    <w:rStyle w:val="Style2"/>
                    <w:rFonts w:ascii="MS Gothic" w:eastAsia="MS Gothic" w:hAnsi="MS Gothic" w:hint="eastAsia"/>
                  </w:rPr>
                  <w:t>☐</w:t>
                </w:r>
              </w:sdtContent>
            </w:sdt>
            <w:r w:rsidR="00C72447" w:rsidRPr="00D05364">
              <w:t xml:space="preserve"> Ne</w:t>
            </w:r>
          </w:p>
          <w:p w14:paraId="7916359D" w14:textId="0DF12FD7" w:rsidR="00C72447" w:rsidRPr="00E33EFF" w:rsidRDefault="00000000" w:rsidP="00C72447">
            <w:pPr>
              <w:rPr>
                <w:rFonts w:eastAsia="Arial"/>
              </w:rPr>
            </w:pPr>
            <w:sdt>
              <w:sdtPr>
                <w:alias w:val="Nurodykite konkrečią dieną"/>
                <w:tag w:val="Nurodykite pradžios datą"/>
                <w:id w:val="922837954"/>
                <w:placeholder>
                  <w:docPart w:val="E44E8F92531D47EDA40B057D7A611A95"/>
                </w:placeholder>
                <w15:color w:val="FFCC99"/>
                <w:date>
                  <w:dateFormat w:val="yyyy 'm.' MMMM d 'd.'"/>
                  <w:lid w:val="lt-LT"/>
                  <w:storeMappedDataAs w:val="dateTime"/>
                  <w:calendar w:val="gregorian"/>
                </w:date>
              </w:sdtPr>
              <w:sdtContent>
                <w:r w:rsidR="00C72447">
                  <w:t>2023 m. birželio 21 d.</w:t>
                </w:r>
              </w:sdtContent>
            </w:sdt>
          </w:p>
        </w:tc>
        <w:tc>
          <w:tcPr>
            <w:tcW w:w="4787" w:type="dxa"/>
            <w:gridSpan w:val="2"/>
          </w:tcPr>
          <w:p w14:paraId="67430EE7" w14:textId="573EF92A" w:rsidR="00C72447" w:rsidRPr="00E33EFF" w:rsidRDefault="00C72447" w:rsidP="00C72447">
            <w:pPr>
              <w:rPr>
                <w:rFonts w:eastAsia="Arial"/>
              </w:rPr>
            </w:pPr>
            <w:r>
              <w:rPr>
                <w:rFonts w:eastAsia="Arial"/>
              </w:rPr>
              <w:t>D</w:t>
            </w:r>
            <w:r w:rsidRPr="00502089">
              <w:rPr>
                <w:rFonts w:eastAsia="Arial"/>
              </w:rPr>
              <w:t>arolutamidas kartu su docetakseliu rekomenduojamas kaip priemonė suaugusiųjų hormonams jautriam metastazavusiam prostatos vėžiui gydyti. Darolutamidas rekomenduojamas tik tuo atveju, jei bendrovė jį teikia pagal komercinį susitari</w:t>
            </w:r>
            <w:r>
              <w:rPr>
                <w:rFonts w:eastAsia="Arial"/>
              </w:rPr>
              <w:t>mą.</w:t>
            </w:r>
          </w:p>
        </w:tc>
      </w:tr>
      <w:tr w:rsidR="00C72447" w:rsidRPr="00E33EFF" w14:paraId="1CC31474" w14:textId="77777777" w:rsidTr="008D2968">
        <w:trPr>
          <w:trHeight w:val="1547"/>
        </w:trPr>
        <w:tc>
          <w:tcPr>
            <w:tcW w:w="2855" w:type="dxa"/>
          </w:tcPr>
          <w:p w14:paraId="76EFC85B" w14:textId="77777777" w:rsidR="00C72447" w:rsidRPr="003D2BFD" w:rsidRDefault="00C72447" w:rsidP="00C72447">
            <w:pPr>
              <w:spacing w:line="276" w:lineRule="auto"/>
              <w:rPr>
                <w:rFonts w:eastAsia="Arial"/>
              </w:rPr>
            </w:pPr>
            <w:r w:rsidRPr="003D2BFD">
              <w:rPr>
                <w:rFonts w:eastAsia="Arial"/>
              </w:rPr>
              <w:t>Kanados sveikatos technologijų agentūra</w:t>
            </w:r>
          </w:p>
          <w:p w14:paraId="2C593A82" w14:textId="67E631A2" w:rsidR="00C72447" w:rsidRPr="00E33EFF" w:rsidRDefault="00C72447" w:rsidP="00C72447">
            <w:pPr>
              <w:rPr>
                <w:rFonts w:eastAsia="Arial"/>
                <w:lang w:val="en-GB"/>
              </w:rPr>
            </w:pPr>
            <w:r w:rsidRPr="003D2BFD">
              <w:rPr>
                <w:rFonts w:eastAsia="Arial"/>
              </w:rPr>
              <w:t xml:space="preserve">(angl. </w:t>
            </w:r>
            <w:r w:rsidRPr="003D2BFD">
              <w:rPr>
                <w:rFonts w:eastAsia="Arial"/>
                <w:i/>
              </w:rPr>
              <w:t>Canadian health Technology Assessment agency, CADTH</w:t>
            </w:r>
            <w:r w:rsidRPr="003D2BFD">
              <w:rPr>
                <w:rFonts w:eastAsia="Arial"/>
              </w:rPr>
              <w:t>)</w:t>
            </w:r>
          </w:p>
        </w:tc>
        <w:tc>
          <w:tcPr>
            <w:tcW w:w="1851" w:type="dxa"/>
          </w:tcPr>
          <w:p w14:paraId="25E995C1" w14:textId="77777777" w:rsidR="00C72447" w:rsidRPr="00D05364" w:rsidRDefault="00000000" w:rsidP="00C72447">
            <w:sdt>
              <w:sdtPr>
                <w:rPr>
                  <w:rStyle w:val="Style2"/>
                </w:rPr>
                <w:id w:val="-372539057"/>
                <w15:color w:val="FFCC00"/>
                <w14:checkbox>
                  <w14:checked w14:val="1"/>
                  <w14:checkedState w14:val="2612" w14:font="MS Gothic"/>
                  <w14:uncheckedState w14:val="2610" w14:font="MS Gothic"/>
                </w14:checkbox>
              </w:sdtPr>
              <w:sdtContent>
                <w:r w:rsidR="00C72447">
                  <w:rPr>
                    <w:rStyle w:val="Style2"/>
                    <w:rFonts w:ascii="MS Gothic" w:eastAsia="MS Gothic" w:hAnsi="MS Gothic" w:hint="eastAsia"/>
                  </w:rPr>
                  <w:t>☒</w:t>
                </w:r>
              </w:sdtContent>
            </w:sdt>
            <w:r w:rsidR="00C72447" w:rsidRPr="00D05364">
              <w:t xml:space="preserve"> Taip</w:t>
            </w:r>
          </w:p>
          <w:p w14:paraId="0D22CA42" w14:textId="77777777" w:rsidR="00C72447" w:rsidRPr="00D05364" w:rsidRDefault="00000000" w:rsidP="00C72447">
            <w:sdt>
              <w:sdtPr>
                <w:rPr>
                  <w:rStyle w:val="Style2"/>
                </w:rPr>
                <w:id w:val="594442222"/>
                <w15:color w:val="FFCC00"/>
                <w14:checkbox>
                  <w14:checked w14:val="0"/>
                  <w14:checkedState w14:val="2612" w14:font="MS Gothic"/>
                  <w14:uncheckedState w14:val="2610" w14:font="MS Gothic"/>
                </w14:checkbox>
              </w:sdtPr>
              <w:sdtContent>
                <w:r w:rsidR="00C72447">
                  <w:rPr>
                    <w:rStyle w:val="Style2"/>
                    <w:rFonts w:ascii="MS Gothic" w:eastAsia="MS Gothic" w:hAnsi="MS Gothic" w:hint="eastAsia"/>
                  </w:rPr>
                  <w:t>☐</w:t>
                </w:r>
              </w:sdtContent>
            </w:sdt>
            <w:r w:rsidR="00C72447" w:rsidRPr="00D05364">
              <w:t xml:space="preserve"> Ne</w:t>
            </w:r>
          </w:p>
          <w:p w14:paraId="0C0988CC" w14:textId="0AB601D9" w:rsidR="00C72447" w:rsidRPr="00E33EFF" w:rsidRDefault="00000000" w:rsidP="00C72447">
            <w:pPr>
              <w:rPr>
                <w:rFonts w:eastAsia="Arial"/>
              </w:rPr>
            </w:pPr>
            <w:sdt>
              <w:sdtPr>
                <w:alias w:val="Nurodykite konkrečią dieną"/>
                <w:tag w:val="Nurodykite pradžios datą"/>
                <w:id w:val="1072468416"/>
                <w:placeholder>
                  <w:docPart w:val="629347C67EB54DC38543F0DD78DFDAE9"/>
                </w:placeholder>
                <w15:color w:val="FFCC99"/>
                <w:date>
                  <w:dateFormat w:val="yyyy 'm.' MMMM d 'd.'"/>
                  <w:lid w:val="lt-LT"/>
                  <w:storeMappedDataAs w:val="dateTime"/>
                  <w:calendar w:val="gregorian"/>
                </w:date>
              </w:sdtPr>
              <w:sdtContent>
                <w:r w:rsidR="00C72447">
                  <w:t>2023 m. kovo 28 d.</w:t>
                </w:r>
              </w:sdtContent>
            </w:sdt>
          </w:p>
        </w:tc>
        <w:tc>
          <w:tcPr>
            <w:tcW w:w="4787" w:type="dxa"/>
            <w:gridSpan w:val="2"/>
          </w:tcPr>
          <w:p w14:paraId="5C8CB330" w14:textId="22EF0FBC" w:rsidR="00C72447" w:rsidRPr="00E33EFF" w:rsidRDefault="00C72447" w:rsidP="00C72447">
            <w:pPr>
              <w:rPr>
                <w:rFonts w:eastAsia="Arial"/>
              </w:rPr>
            </w:pPr>
            <w:r w:rsidRPr="00367117">
              <w:rPr>
                <w:rFonts w:eastAsia="Arial"/>
              </w:rPr>
              <w:t xml:space="preserve">Darolutamidas gali būti kompensuojamas pacientų, sergančių metastazavusiu </w:t>
            </w:r>
            <w:r>
              <w:rPr>
                <w:rFonts w:eastAsia="Arial"/>
              </w:rPr>
              <w:t>hormonams jautriu prostatos vėžiu gydymui kartu su docetakseliu, jeigu yra įvykdomos visos sąlygos.</w:t>
            </w:r>
          </w:p>
        </w:tc>
      </w:tr>
      <w:tr w:rsidR="00C72447" w:rsidRPr="00E33EFF" w14:paraId="21C94D47" w14:textId="77777777" w:rsidTr="00A35CC7">
        <w:trPr>
          <w:trHeight w:val="2160"/>
        </w:trPr>
        <w:tc>
          <w:tcPr>
            <w:tcW w:w="2855" w:type="dxa"/>
          </w:tcPr>
          <w:p w14:paraId="5E3E9723" w14:textId="77777777" w:rsidR="00C72447" w:rsidRPr="003D2BFD" w:rsidRDefault="00C72447" w:rsidP="00C72447">
            <w:pPr>
              <w:spacing w:line="276" w:lineRule="auto"/>
              <w:rPr>
                <w:rFonts w:eastAsia="Arial"/>
              </w:rPr>
            </w:pPr>
            <w:r w:rsidRPr="003D2BFD">
              <w:rPr>
                <w:rFonts w:eastAsia="Arial"/>
              </w:rPr>
              <w:t>Nacionalinis farmakoekonomikos centras, Airija</w:t>
            </w:r>
          </w:p>
          <w:p w14:paraId="736F5072" w14:textId="2238F009" w:rsidR="00C72447" w:rsidRPr="00E33EFF" w:rsidRDefault="00C72447" w:rsidP="00C72447">
            <w:pPr>
              <w:rPr>
                <w:rFonts w:eastAsia="Arial"/>
              </w:rPr>
            </w:pPr>
            <w:r w:rsidRPr="003D2BFD">
              <w:rPr>
                <w:rFonts w:eastAsia="Arial"/>
              </w:rPr>
              <w:t>(angl.</w:t>
            </w:r>
            <w:r w:rsidRPr="003D2BFD">
              <w:rPr>
                <w:rFonts w:eastAsia="Arial"/>
                <w:i/>
              </w:rPr>
              <w:t xml:space="preserve"> National Centre for Pharmacoeconomics, NCPE</w:t>
            </w:r>
            <w:r w:rsidRPr="003D2BFD">
              <w:rPr>
                <w:rFonts w:eastAsia="Arial"/>
              </w:rPr>
              <w:t>)</w:t>
            </w:r>
          </w:p>
        </w:tc>
        <w:tc>
          <w:tcPr>
            <w:tcW w:w="1851" w:type="dxa"/>
          </w:tcPr>
          <w:p w14:paraId="483B7790" w14:textId="77777777" w:rsidR="00C72447" w:rsidRPr="00D05364" w:rsidRDefault="00000000" w:rsidP="00C72447">
            <w:sdt>
              <w:sdtPr>
                <w:rPr>
                  <w:rStyle w:val="Style2"/>
                </w:rPr>
                <w:id w:val="-1888403732"/>
                <w15:color w:val="FFCC00"/>
                <w14:checkbox>
                  <w14:checked w14:val="0"/>
                  <w14:checkedState w14:val="2612" w14:font="MS Gothic"/>
                  <w14:uncheckedState w14:val="2610" w14:font="MS Gothic"/>
                </w14:checkbox>
              </w:sdtPr>
              <w:sdtContent>
                <w:r w:rsidR="00C72447" w:rsidRPr="00D05364">
                  <w:rPr>
                    <w:rStyle w:val="Style2"/>
                    <w:rFonts w:ascii="Segoe UI Symbol" w:eastAsia="MS Gothic" w:hAnsi="Segoe UI Symbol" w:cs="Segoe UI Symbol"/>
                  </w:rPr>
                  <w:t>☐</w:t>
                </w:r>
              </w:sdtContent>
            </w:sdt>
            <w:r w:rsidR="00C72447" w:rsidRPr="00D05364">
              <w:t xml:space="preserve"> Taip</w:t>
            </w:r>
          </w:p>
          <w:p w14:paraId="2C66A81B" w14:textId="77777777" w:rsidR="00C72447" w:rsidRPr="00D05364" w:rsidRDefault="00000000" w:rsidP="00C72447">
            <w:sdt>
              <w:sdtPr>
                <w:rPr>
                  <w:rStyle w:val="Style2"/>
                </w:rPr>
                <w:id w:val="1092201793"/>
                <w15:color w:val="FFCC00"/>
                <w14:checkbox>
                  <w14:checked w14:val="1"/>
                  <w14:checkedState w14:val="2612" w14:font="MS Gothic"/>
                  <w14:uncheckedState w14:val="2610" w14:font="MS Gothic"/>
                </w14:checkbox>
              </w:sdtPr>
              <w:sdtContent>
                <w:r w:rsidR="00C72447">
                  <w:rPr>
                    <w:rStyle w:val="Style2"/>
                    <w:rFonts w:ascii="MS Gothic" w:eastAsia="MS Gothic" w:hAnsi="MS Gothic" w:hint="eastAsia"/>
                  </w:rPr>
                  <w:t>☒</w:t>
                </w:r>
              </w:sdtContent>
            </w:sdt>
            <w:r w:rsidR="00C72447" w:rsidRPr="00D05364">
              <w:t xml:space="preserve"> Ne</w:t>
            </w:r>
          </w:p>
          <w:p w14:paraId="69AA1151" w14:textId="794BD0A6" w:rsidR="00C72447" w:rsidRPr="00E33EFF" w:rsidRDefault="00000000" w:rsidP="00C72447">
            <w:pPr>
              <w:rPr>
                <w:rFonts w:eastAsia="Arial"/>
              </w:rPr>
            </w:pPr>
            <w:sdt>
              <w:sdtPr>
                <w:alias w:val="Nurodykite konkrečią dieną"/>
                <w:tag w:val="Nurodykite pradžios datą"/>
                <w:id w:val="-198323198"/>
                <w:placeholder>
                  <w:docPart w:val="37B1CD52BD1C4E7FBB8DCF181832E55F"/>
                </w:placeholder>
                <w:showingPlcHdr/>
                <w15:color w:val="FFCC99"/>
                <w:date w:fullDate="2022-05-18T00:00:00Z">
                  <w:dateFormat w:val="yyyy 'm.' MMMM d 'd.'"/>
                  <w:lid w:val="lt-LT"/>
                  <w:storeMappedDataAs w:val="dateTime"/>
                  <w:calendar w:val="gregorian"/>
                </w:date>
              </w:sdtPr>
              <w:sdtContent>
                <w:r w:rsidR="00C72447" w:rsidRPr="00D05364">
                  <w:rPr>
                    <w:rStyle w:val="PlaceholderText"/>
                  </w:rPr>
                  <w:t>Click here to enter a date.</w:t>
                </w:r>
              </w:sdtContent>
            </w:sdt>
          </w:p>
        </w:tc>
        <w:tc>
          <w:tcPr>
            <w:tcW w:w="4787" w:type="dxa"/>
            <w:gridSpan w:val="2"/>
          </w:tcPr>
          <w:p w14:paraId="60651AFD" w14:textId="7E21E742" w:rsidR="00C72447" w:rsidRPr="00E33EFF" w:rsidRDefault="00C72447" w:rsidP="00C72447">
            <w:pPr>
              <w:rPr>
                <w:rFonts w:eastAsia="Arial"/>
              </w:rPr>
            </w:pPr>
          </w:p>
        </w:tc>
      </w:tr>
    </w:tbl>
    <w:p w14:paraId="2EB7FD31" w14:textId="4D2A8479" w:rsidR="007A2B68" w:rsidRDefault="007A2B68" w:rsidP="00E03C3F">
      <w:pPr>
        <w:pStyle w:val="ListParagraph"/>
        <w:tabs>
          <w:tab w:val="left" w:pos="426"/>
        </w:tabs>
        <w:ind w:left="0"/>
        <w:rPr>
          <w:b/>
          <w:bCs/>
          <w:caps/>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5F89291" w14:textId="37F2AD86" w:rsidR="00D4485B" w:rsidRDefault="00D4485B" w:rsidP="00A93AA6">
      <w:pPr>
        <w:pStyle w:val="ListParagraph"/>
        <w:tabs>
          <w:tab w:val="left" w:pos="426"/>
        </w:tabs>
        <w:ind w:left="0"/>
        <w:rPr>
          <w:b/>
          <w:bCs/>
          <w:caps/>
        </w:rPr>
      </w:pPr>
    </w:p>
    <w:p w14:paraId="4A9A703D" w14:textId="77777777" w:rsidR="00C72447" w:rsidRPr="00F07FB1" w:rsidRDefault="00C72447" w:rsidP="00C72447">
      <w:pPr>
        <w:spacing w:line="360" w:lineRule="auto"/>
        <w:ind w:firstLine="720"/>
        <w:jc w:val="both"/>
        <w:rPr>
          <w:i/>
          <w:color w:val="000000"/>
          <w:sz w:val="20"/>
        </w:rPr>
      </w:pPr>
      <w:r w:rsidRPr="00F07FB1">
        <w:rPr>
          <w:color w:val="000000"/>
        </w:rPr>
        <w:t>Prostatos vėžys – tai priešinės liaukos piktybinė liga. Šiuo metu Lietuvoje tai yra dažniausia vyrų onkologinė liga. Bendras penkerių metų išgyvenamumo vidurkis yra 87 proc. pacientų, sergančių prostatos vėžiu, tačiau diagnozavus metastazavusią stadiją, penkerių metų išgyvenamumas sumažėja iki 49 proc. Sumažėjęs išgyvenamumas daugiausia susijęs su metastazavusio hormonams jautraus prostatos vėžio (mHJPV) progresavimu į metastazavusį kastracijai atsparų prostatos vėžį (mKAPV), o tai pabrėžia gydymo, užkertančio kelią progresavimui iki mKAPV, svarbą.</w:t>
      </w:r>
      <w:r w:rsidRPr="00F07FB1">
        <w:rPr>
          <w:i/>
          <w:color w:val="000000"/>
          <w:sz w:val="20"/>
        </w:rPr>
        <w:t xml:space="preserve"> </w:t>
      </w:r>
      <w:r w:rsidRPr="00F07FB1">
        <w:rPr>
          <w:color w:val="000000"/>
        </w:rPr>
        <w:t>Nacionalinio vėžio instituto duomenimis Lietuvoje 2017 metais III-IV stadijos prostatos vėžys buvo nustatytas 21 proc. visų pacientų. Apie 25 proc. pacientų, sergančių metastazavusiu prostatos vėžiu, gydomi su docetakseliu, t.y. šiems pacientams galėtų būti skiriamas darolutamidas.</w:t>
      </w:r>
    </w:p>
    <w:p w14:paraId="21D0C022" w14:textId="77777777" w:rsidR="00C72447" w:rsidRPr="00F07FB1" w:rsidRDefault="00C72447" w:rsidP="00C72447">
      <w:pPr>
        <w:spacing w:line="360" w:lineRule="auto"/>
        <w:ind w:firstLine="720"/>
        <w:jc w:val="both"/>
        <w:rPr>
          <w:color w:val="000000"/>
          <w:szCs w:val="20"/>
        </w:rPr>
      </w:pPr>
      <w:r w:rsidRPr="00F07FB1">
        <w:rPr>
          <w:color w:val="000000"/>
        </w:rPr>
        <w:t>Gydant prostatos vėžį yra labai svarbu atitolinti ligos progresavimą iš mHJPV į mKAPV, nes mKAPV yra susijusi su gyvenimo kokybės pablogėjimu ir prastesnėmis prognozėmis.</w:t>
      </w:r>
      <w:r w:rsidRPr="00F07FB1">
        <w:rPr>
          <w:color w:val="000000"/>
          <w:vertAlign w:val="superscript"/>
        </w:rPr>
        <w:t xml:space="preserve"> </w:t>
      </w:r>
      <w:r w:rsidRPr="00F07FB1">
        <w:rPr>
          <w:color w:val="000000"/>
        </w:rPr>
        <w:t xml:space="preserve"> Skiriant vaistinį preparatą darolutamidą kartu su docetakseliu ir androgenų trūkumo terapija (angl. androgen deprivation therapy; ADT), galima būtų statistiškai reikšmingai atitolinti ligos progresavimą į mKAPV.</w:t>
      </w:r>
    </w:p>
    <w:p w14:paraId="6067A860" w14:textId="3967B719" w:rsidR="00C72447" w:rsidRPr="00F07FB1" w:rsidRDefault="00C72447" w:rsidP="00C72447">
      <w:pPr>
        <w:spacing w:line="360" w:lineRule="auto"/>
        <w:ind w:firstLine="720"/>
        <w:jc w:val="both"/>
        <w:rPr>
          <w:color w:val="000000"/>
        </w:rPr>
      </w:pPr>
      <w:r w:rsidRPr="00F07FB1">
        <w:rPr>
          <w:color w:val="000000"/>
        </w:rPr>
        <w:t>Šiuo metu Lietuvoje prostatos (priešinės liaukos) vėžio gydymą reglamentuoja 2011 m. lapkričio mėn. 2d. LR Sveikatos apsaugos ministro įsakymas Nr. V-941 "Dėl priešinės liaukos (prostatos) piktybinio naviko ambulatorinio gydymo kompensuojamaisiais vaistais tvarkos aprašo patvirtinimo“. Nustačius metastazav</w:t>
      </w:r>
      <w:r w:rsidR="00C212F9">
        <w:rPr>
          <w:color w:val="000000"/>
        </w:rPr>
        <w:t>u</w:t>
      </w:r>
      <w:r w:rsidRPr="00F07FB1">
        <w:rPr>
          <w:color w:val="000000"/>
        </w:rPr>
        <w:t>sį kastracijai jautrų prostatos vėžį skiriama chirurginė kastracija, o pacientui atsisakius chirurginės kastracijos, skiriama kastracija vaistais (Gonadropino išsisikyrimą skatinančio hormono [GISH] analogu, kurio veikimo trukmė ne ilgesnė kaip 6 mėnesiai, ir papildomai gydymo pradžioje ne ilgiau kaip 1 mėnesį kartu skiriamas gydymas antiandrogenu). Didelės rizikos pacientams (t. y. pacientams, kuriems diagnozuotos daugybinės kaulinės ir (ar) visceralinės metastazės), kurie gali būti gydomi chemoterapiniais vaistais, kartu su chirurgine kastracija, o pacientui atsisakius chirurginės kastracijos, su kastracija vaistais (GISH analogu, kurio veikimo trukmė ne ilgesnė kaip 6 mėnesiai, ir papildomai gydymo pradžioje ne ilgiau kaip 1 mėnesį kartu skiriamas gydymas antiandrogenu) skiriamas docetakselis – po 75 mg/m</w:t>
      </w:r>
      <w:r w:rsidRPr="00F07FB1">
        <w:rPr>
          <w:color w:val="000000"/>
          <w:vertAlign w:val="superscript"/>
        </w:rPr>
        <w:t>2</w:t>
      </w:r>
      <w:r w:rsidRPr="00F07FB1">
        <w:rPr>
          <w:color w:val="000000"/>
        </w:rPr>
        <w:t xml:space="preserve"> į veną kas 3 savaites, ne daugiau kaip 6 kursai. Gydymo hormoniniais ir (ar) chemoterapiniais vaistais efektyvumas vertinamas pagal PSA lygio, kuris nustatomas kas 3 mėnesius nuo gydymo hormoniniais ir (ar) chemoterapiniais vaistais pradžios, dinamiką, ligos simptomus ir radiologinių tyrimų duomenis. Gydymas laikomas efektyviu, jei PSA lygis mažėja ir stabilizuojasi, ligos simptomai susilpnėja arba išnyksta, radiologiniais tyrimais nenustatoma naujų metastazių.</w:t>
      </w:r>
    </w:p>
    <w:p w14:paraId="03B3446B" w14:textId="77777777" w:rsidR="00C72447" w:rsidRPr="00F07FB1" w:rsidRDefault="00C72447" w:rsidP="00C72447">
      <w:pPr>
        <w:spacing w:line="360" w:lineRule="auto"/>
        <w:ind w:firstLine="645"/>
        <w:jc w:val="both"/>
        <w:rPr>
          <w:color w:val="000000"/>
        </w:rPr>
      </w:pPr>
      <w:r w:rsidRPr="00F07FB1">
        <w:rPr>
          <w:color w:val="000000"/>
        </w:rPr>
        <w:t xml:space="preserve">Darolutamidas kartu su docetakseliu ir ADT yra pirmoji, trijų vaistų kombinuoto gydymo galimybė pacientams, sergantiems mHJPV. Darolutamidas yra androgenų receptorių (AR) inhibitorius, turintis lanksčią polinę-pakeistąją pirazolo struktūrą, kuris su dideliu afiniškumu jungiasi </w:t>
      </w:r>
      <w:r w:rsidRPr="00F07FB1">
        <w:rPr>
          <w:color w:val="000000"/>
        </w:rPr>
        <w:lastRenderedPageBreak/>
        <w:t>tiesiogiai prie receptoriaus ligandą surišančio domeno. Darolutamidas konkurenciniu būdu slopina androgenų jungimąsi, AR branduolių translokaciją ir AR sąlygojamą transkripciją. Pagrindiniam metabolitui, ketodarolutamidui, nustatytas į darolutamidą panašus poveikis in vitro. Gydymas darolutamidu mažina prostatos naviko ląstelių vešėjimą, dėl to pasireiškia stiprus antinavikinis poveikis. Derinant darolutamidą su ADT ir docetakseliu, gaunamas multimodalinis požiūris į mHJPV gydymą: docetakselis nukreiptas į androgenams nejautrų naviko komponentą, taip pašalindamas naviko heterogeniškumas; AR ašis nukreipta centralizuotai su ADT; ir pridedant darolutamido, labai veiksmingo AR antagonisto, optimizuojamas nukreipimas į AR ašį.</w:t>
      </w:r>
    </w:p>
    <w:p w14:paraId="0F5472AC" w14:textId="77777777" w:rsidR="00C72447" w:rsidRPr="00F07FB1" w:rsidRDefault="00C72447" w:rsidP="00C72447">
      <w:pPr>
        <w:tabs>
          <w:tab w:val="left" w:pos="426"/>
        </w:tabs>
        <w:spacing w:line="360" w:lineRule="auto"/>
        <w:jc w:val="both"/>
        <w:rPr>
          <w:color w:val="000000"/>
        </w:rPr>
      </w:pPr>
      <w:r w:rsidRPr="00F07FB1">
        <w:rPr>
          <w:rFonts w:eastAsia="Arial"/>
        </w:rPr>
        <w:tab/>
      </w:r>
      <w:r w:rsidRPr="00F07FB1">
        <w:rPr>
          <w:rFonts w:eastAsia="Arial"/>
        </w:rPr>
        <w:tab/>
        <w:t xml:space="preserve">2020 m. Europos onkologų draugijos (angl. ESMO) gairės nurodo, kad didelės rizikos pacientams turėtų būti skiriamas gydymas ADT + docetakseliu (2 paveikslas). ESMO gairėse gydymas </w:t>
      </w:r>
      <w:r w:rsidRPr="00F07FB1">
        <w:rPr>
          <w:color w:val="000000"/>
        </w:rPr>
        <w:t>darolutamidu nėra siūlomas, tačiau tai lemia, kad registracinis tyrimas buvo paskelbtas jau po gairių išleidimo, todėl gairėse negalėjo būti minimas ir rekomenduojamas.</w:t>
      </w:r>
    </w:p>
    <w:p w14:paraId="35BFF3FF" w14:textId="77777777" w:rsidR="00C72447" w:rsidRPr="001F796D" w:rsidRDefault="00C72447" w:rsidP="00C72447">
      <w:pPr>
        <w:tabs>
          <w:tab w:val="left" w:pos="426"/>
        </w:tabs>
        <w:spacing w:line="360" w:lineRule="auto"/>
        <w:jc w:val="both"/>
        <w:rPr>
          <w:rFonts w:eastAsia="Arial"/>
        </w:rPr>
      </w:pPr>
      <w:r w:rsidRPr="00F07FB1">
        <w:rPr>
          <w:bCs/>
          <w:lang w:eastAsia="lt-LT"/>
        </w:rPr>
        <w:tab/>
      </w:r>
      <w:r w:rsidRPr="00F07FB1">
        <w:rPr>
          <w:bCs/>
          <w:lang w:eastAsia="lt-LT"/>
        </w:rPr>
        <w:tab/>
        <w:t>Pagal Lietuvos Respublikos sveikatos apsaugos ministro 2002 m. balandžio 5 d. įsakymą Nr. V-159 „Dė</w:t>
      </w:r>
      <w:r w:rsidRPr="00F07FB1">
        <w:rPr>
          <w:bCs/>
        </w:rPr>
        <w:t xml:space="preserve">l vaistinių preparatų ir medicinos pagalbos priemonių įrašymo į kompensavimo sąrašus ir jų keitimo tvarkos aprašo patvirtinimo“ (116-119 pp.) tinkamas palyginamasis gydymas – placebas kartu skiriant </w:t>
      </w:r>
      <w:r w:rsidRPr="00F07FB1">
        <w:rPr>
          <w:rFonts w:eastAsia="Arial"/>
        </w:rPr>
        <w:t>docetakselį ir ADT</w:t>
      </w:r>
      <w:r w:rsidRPr="00F07FB1">
        <w:rPr>
          <w:bCs/>
        </w:rPr>
        <w:t>.</w:t>
      </w:r>
      <w:r w:rsidRPr="001F796D">
        <w:rPr>
          <w:bCs/>
        </w:rPr>
        <w:t xml:space="preserve"> </w:t>
      </w:r>
    </w:p>
    <w:p w14:paraId="20004A5E" w14:textId="77777777" w:rsidR="00C72447" w:rsidRDefault="00C72447" w:rsidP="00C72447">
      <w:pPr>
        <w:spacing w:line="276" w:lineRule="auto"/>
        <w:rPr>
          <w:rFonts w:eastAsia="Arial"/>
          <w:i/>
          <w:color w:val="00B050"/>
          <w:highlight w:val="yellow"/>
        </w:rPr>
      </w:pPr>
    </w:p>
    <w:p w14:paraId="4631ABA0" w14:textId="77777777" w:rsidR="00C72447" w:rsidRPr="00AA10A8" w:rsidRDefault="00C72447" w:rsidP="00C72447">
      <w:pPr>
        <w:tabs>
          <w:tab w:val="left" w:pos="426"/>
        </w:tabs>
        <w:spacing w:line="360" w:lineRule="auto"/>
        <w:jc w:val="both"/>
        <w:rPr>
          <w:i/>
        </w:rPr>
      </w:pPr>
      <w:r w:rsidRPr="00C77274">
        <w:rPr>
          <w:i/>
        </w:rPr>
        <w:t>Tiesioginis palyginimas</w:t>
      </w:r>
    </w:p>
    <w:p w14:paraId="7A91EACB" w14:textId="77777777" w:rsidR="00C72447" w:rsidRDefault="00C72447" w:rsidP="00C72447">
      <w:pPr>
        <w:tabs>
          <w:tab w:val="left" w:pos="492"/>
        </w:tabs>
        <w:spacing w:line="360" w:lineRule="auto"/>
        <w:jc w:val="both"/>
        <w:outlineLvl w:val="1"/>
        <w:rPr>
          <w:rFonts w:eastAsia="Arial"/>
          <w:b/>
        </w:rPr>
      </w:pPr>
      <w:r>
        <w:tab/>
        <w:t>Darolutamido ir docetakselio derinio veiksmingumas ir saugumas vertinti atliekant daugiacentrį, dvigubai koduotą, placebu kontroliuojamą III fazės tyrimą ARASENS, kuriame dalyvavo mHJPV sergantys pacientai.</w:t>
      </w:r>
    </w:p>
    <w:p w14:paraId="4AE96D80" w14:textId="77777777" w:rsidR="00C72447" w:rsidRDefault="00C72447" w:rsidP="00C72447">
      <w:pPr>
        <w:tabs>
          <w:tab w:val="left" w:pos="492"/>
        </w:tabs>
        <w:spacing w:line="360" w:lineRule="auto"/>
        <w:jc w:val="both"/>
        <w:outlineLvl w:val="1"/>
        <w:rPr>
          <w:rFonts w:eastAsia="Arial"/>
        </w:rPr>
      </w:pPr>
      <w:r>
        <w:rPr>
          <w:rFonts w:eastAsia="Arial"/>
        </w:rPr>
        <w:tab/>
      </w:r>
      <w:r>
        <w:rPr>
          <w:rFonts w:eastAsia="Arial"/>
        </w:rPr>
        <w:tab/>
      </w:r>
      <w:r w:rsidRPr="00857A17">
        <w:rPr>
          <w:rFonts w:eastAsia="Arial"/>
        </w:rPr>
        <w:t xml:space="preserve">Į tyrimą buvo įtraukti </w:t>
      </w:r>
      <w:r>
        <w:rPr>
          <w:rFonts w:eastAsia="Arial"/>
        </w:rPr>
        <w:t xml:space="preserve">18 </w:t>
      </w:r>
      <w:r w:rsidRPr="00857A17">
        <w:rPr>
          <w:rFonts w:eastAsia="Arial"/>
        </w:rPr>
        <w:t xml:space="preserve">m. </w:t>
      </w:r>
      <w:r>
        <w:rPr>
          <w:rFonts w:eastAsia="Arial"/>
        </w:rPr>
        <w:t>ir vyresni vyrai</w:t>
      </w:r>
      <w:r w:rsidRPr="00857A17">
        <w:rPr>
          <w:rFonts w:eastAsia="Arial"/>
        </w:rPr>
        <w:t xml:space="preserve">, kuriems buvo </w:t>
      </w:r>
      <w:r>
        <w:rPr>
          <w:rFonts w:eastAsia="Arial"/>
        </w:rPr>
        <w:t xml:space="preserve">histologiškai patvirtinta prostatos adenokarcinoma ir kurie atitiko įtraukimo kriterijus, buvo geros ECOG funkcinės klasės ir neturėjo gretutinių ligų, kurios galėjo lemti išeitis. </w:t>
      </w:r>
      <w:r w:rsidRPr="00397E31">
        <w:rPr>
          <w:rFonts w:eastAsia="Arial"/>
        </w:rPr>
        <w:t xml:space="preserve">Pacientų, dalyvavusių tyrime, populiacija atitinka Pareiškėjo siūlomą kompensuoti indikaciją ir skyrimo sąlygas Lietuvoje. </w:t>
      </w:r>
    </w:p>
    <w:p w14:paraId="781A95CC" w14:textId="77777777" w:rsidR="00C72447" w:rsidRPr="00BF2E9B" w:rsidRDefault="00C72447" w:rsidP="00C72447">
      <w:pPr>
        <w:tabs>
          <w:tab w:val="left" w:pos="492"/>
        </w:tabs>
        <w:spacing w:line="360" w:lineRule="auto"/>
        <w:jc w:val="both"/>
        <w:outlineLvl w:val="1"/>
        <w:rPr>
          <w:rFonts w:eastAsia="Arial"/>
        </w:rPr>
      </w:pPr>
      <w:r>
        <w:rPr>
          <w:rFonts w:eastAsia="Arial"/>
        </w:rPr>
        <w:tab/>
      </w:r>
      <w:r>
        <w:rPr>
          <w:rFonts w:eastAsia="Arial"/>
        </w:rPr>
        <w:tab/>
      </w:r>
      <w:r w:rsidRPr="00F14207">
        <w:t xml:space="preserve">Iš viso </w:t>
      </w:r>
      <w:r>
        <w:t>1306</w:t>
      </w:r>
      <w:r w:rsidRPr="00F14207">
        <w:t xml:space="preserve"> pacientai atsitiktine tvarka santykiu 1:1 buvo suskirstyti į grupes, </w:t>
      </w:r>
      <w:r>
        <w:t>651</w:t>
      </w:r>
      <w:r w:rsidRPr="00F14207">
        <w:t xml:space="preserve"> pacientai atsitiktiniu būdu buvo atrinkti į </w:t>
      </w:r>
      <w:r>
        <w:t xml:space="preserve">darolutamido + docetakselio + ADT grupę </w:t>
      </w:r>
      <w:r w:rsidRPr="00F14207">
        <w:t xml:space="preserve">ir </w:t>
      </w:r>
      <w:r>
        <w:t xml:space="preserve">654 pacientai – į placebo + docetakselio + ADT </w:t>
      </w:r>
      <w:r w:rsidRPr="00F14207">
        <w:t>grupę</w:t>
      </w:r>
      <w:r>
        <w:t>. Pacientams atsitiktinių imčių būdu paskirta gerti 300 mg darolutamido du kartus per parą arba atitinkamą placebo.</w:t>
      </w:r>
      <w:r w:rsidRPr="00B06F8C">
        <w:rPr>
          <w:rFonts w:eastAsia="Arial"/>
        </w:rPr>
        <w:t xml:space="preserve"> </w:t>
      </w:r>
      <w:r w:rsidRPr="008E0C99">
        <w:rPr>
          <w:rFonts w:eastAsia="Arial"/>
        </w:rPr>
        <w:t xml:space="preserve">Visi pacientai </w:t>
      </w:r>
      <w:r>
        <w:rPr>
          <w:rFonts w:eastAsia="Arial"/>
        </w:rPr>
        <w:t>vartojo</w:t>
      </w:r>
      <w:r w:rsidRPr="008E0C99">
        <w:rPr>
          <w:rFonts w:eastAsia="Arial"/>
        </w:rPr>
        <w:t xml:space="preserve"> </w:t>
      </w:r>
      <w:r>
        <w:rPr>
          <w:rFonts w:eastAsia="Arial"/>
        </w:rPr>
        <w:t>ADT</w:t>
      </w:r>
      <w:r w:rsidRPr="008E0C99">
        <w:rPr>
          <w:rFonts w:eastAsia="Arial"/>
        </w:rPr>
        <w:t xml:space="preserve"> arba buvo operuoti (</w:t>
      </w:r>
      <w:r>
        <w:rPr>
          <w:rFonts w:eastAsia="Arial"/>
        </w:rPr>
        <w:t xml:space="preserve">atlikta </w:t>
      </w:r>
      <w:r w:rsidRPr="008E0C99">
        <w:rPr>
          <w:rFonts w:eastAsia="Arial"/>
        </w:rPr>
        <w:t xml:space="preserve">orchidektomija) ne vėliau kaip per 12 savaičių iki </w:t>
      </w:r>
      <w:r>
        <w:rPr>
          <w:rFonts w:eastAsia="Arial"/>
        </w:rPr>
        <w:t>randomizacijos ir gavo šešis docetakselio ciklus</w:t>
      </w:r>
      <w:r w:rsidRPr="008E0C99">
        <w:rPr>
          <w:rFonts w:eastAsia="Arial"/>
        </w:rPr>
        <w:t xml:space="preserve"> (75</w:t>
      </w:r>
      <w:r>
        <w:t>75 mg/m</w:t>
      </w:r>
      <w:r w:rsidRPr="008E0C99">
        <w:rPr>
          <w:vertAlign w:val="superscript"/>
        </w:rPr>
        <w:t>2</w:t>
      </w:r>
      <w:r w:rsidRPr="008E0C99">
        <w:rPr>
          <w:rFonts w:eastAsia="Arial"/>
        </w:rPr>
        <w:t xml:space="preserve">, kas 21 dieną). </w:t>
      </w:r>
      <w:r w:rsidRPr="00B06F8C">
        <w:t>Pirminės baigties vertinimui buvo visi abiejų grupių pacientų duomenys.</w:t>
      </w:r>
    </w:p>
    <w:p w14:paraId="2EF1AC32" w14:textId="77777777" w:rsidR="00C72447" w:rsidRPr="00085B58" w:rsidRDefault="00C72447" w:rsidP="00C72447">
      <w:pPr>
        <w:tabs>
          <w:tab w:val="left" w:pos="426"/>
        </w:tabs>
        <w:spacing w:line="360" w:lineRule="auto"/>
        <w:jc w:val="both"/>
      </w:pPr>
      <w:r>
        <w:tab/>
      </w:r>
      <w:r>
        <w:tab/>
        <w:t xml:space="preserve">Abejose gydymo grupėse pacientai tolygiai paskirstyti pagal toliau nurodytus demografinius duomenis ir ligos charakteristikas. Amžiaus mediana buvo 67 metai (intervalas 41–89), 0,5 proc. pacientų buvo 85 metų arba vyresni. Daugumai pacientų (78 proc.) diagnozės metu nustatytas 8 arba didesnis laipsnis pagal Glisono (Gleason) skalę. 71 proc. pacientų fizinė būklė įvertinta 0 balų ir 29 </w:t>
      </w:r>
      <w:r>
        <w:lastRenderedPageBreak/>
        <w:t>proc. pacientų – 1 balu pagal ECOG PS skalę. 86,1 proc. pacientų sirgo naujai atsiradusia (de novo) ir 12,9 proc. – pasikartojusia liga. Daugumai pacientų (86,1 proc.) liga buvo metastatinė jau diagnozės metu. 77,0 proc. pacientų sirgo labai išplitusia liga, o 23,0 proc. sirgo mažai išplitusia liga. Labai išplitusi liga apibrėžta kaip metastazių vidaus organuose arba 4 ar daugiau kaulų pakitimų buvimas, su bent 1 metastaze už stuburo ir dubens kaulų ribų. Bendrosios charakteristikos tolygiai pasiskirsčiusios tarp grupių.</w:t>
      </w:r>
    </w:p>
    <w:p w14:paraId="0867C206" w14:textId="77777777" w:rsidR="00C72447" w:rsidRDefault="00C72447" w:rsidP="00C72447">
      <w:pPr>
        <w:tabs>
          <w:tab w:val="left" w:pos="426"/>
        </w:tabs>
        <w:spacing w:line="360" w:lineRule="auto"/>
        <w:jc w:val="both"/>
      </w:pPr>
      <w:r>
        <w:rPr>
          <w:rFonts w:eastAsia="Arial"/>
          <w:color w:val="000000" w:themeColor="text1"/>
        </w:rPr>
        <w:tab/>
      </w:r>
      <w:r>
        <w:rPr>
          <w:rFonts w:eastAsia="Arial"/>
          <w:color w:val="000000" w:themeColor="text1"/>
        </w:rPr>
        <w:tab/>
      </w:r>
      <w:r w:rsidRPr="00085B58">
        <w:rPr>
          <w:rFonts w:eastAsia="Arial"/>
        </w:rPr>
        <w:t xml:space="preserve">Tyrimo </w:t>
      </w:r>
      <w:r w:rsidRPr="00085B58">
        <w:rPr>
          <w:rFonts w:eastAsia="Arial"/>
          <w:u w:val="single"/>
        </w:rPr>
        <w:t>pagrindinė</w:t>
      </w:r>
      <w:r w:rsidRPr="00822D7E">
        <w:rPr>
          <w:rFonts w:eastAsia="Arial"/>
        </w:rPr>
        <w:t xml:space="preserve"> (</w:t>
      </w:r>
      <w:r w:rsidRPr="00B06F8C">
        <w:rPr>
          <w:rFonts w:eastAsia="Arial"/>
        </w:rPr>
        <w:t xml:space="preserve">pirminė) veiksmingumo vertinamoji </w:t>
      </w:r>
      <w:r w:rsidRPr="00B06F8C">
        <w:rPr>
          <w:rFonts w:eastAsia="Arial"/>
          <w:u w:val="single"/>
        </w:rPr>
        <w:t>baigtis</w:t>
      </w:r>
      <w:r w:rsidRPr="00B06F8C">
        <w:rPr>
          <w:rFonts w:eastAsia="Arial"/>
        </w:rPr>
        <w:t xml:space="preserve"> buvo </w:t>
      </w:r>
      <w:r w:rsidRPr="00B06F8C">
        <w:t xml:space="preserve">BI kuris buvo apibrėžta kaip laikotarpis nuo randomizacijos iki mirties dėl bet kokios priežasties. </w:t>
      </w:r>
      <w:r w:rsidRPr="004A6525">
        <w:rPr>
          <w:szCs w:val="27"/>
          <w:lang w:eastAsia="lt-LT"/>
        </w:rPr>
        <w:t xml:space="preserve">Pagrindinė </w:t>
      </w:r>
      <w:r>
        <w:rPr>
          <w:szCs w:val="27"/>
          <w:lang w:eastAsia="lt-LT"/>
        </w:rPr>
        <w:t>BI</w:t>
      </w:r>
      <w:r w:rsidRPr="004A6525">
        <w:rPr>
          <w:szCs w:val="27"/>
          <w:lang w:eastAsia="lt-LT"/>
        </w:rPr>
        <w:t xml:space="preserve"> analizė buvo atlikta po to, kai mirė 533 pacientai (229 pacientai </w:t>
      </w:r>
      <w:r>
        <w:rPr>
          <w:szCs w:val="27"/>
          <w:lang w:eastAsia="lt-LT"/>
        </w:rPr>
        <w:t xml:space="preserve">[35,2 proc.] </w:t>
      </w:r>
      <w:r w:rsidRPr="004A6525">
        <w:rPr>
          <w:szCs w:val="27"/>
          <w:lang w:eastAsia="lt-LT"/>
        </w:rPr>
        <w:t xml:space="preserve">darolutamido grupėje ir 304 pacientai </w:t>
      </w:r>
      <w:r>
        <w:rPr>
          <w:szCs w:val="27"/>
          <w:lang w:eastAsia="lt-LT"/>
        </w:rPr>
        <w:t xml:space="preserve">[46,5 proc.] </w:t>
      </w:r>
      <w:r w:rsidRPr="004A6525">
        <w:rPr>
          <w:szCs w:val="27"/>
          <w:lang w:eastAsia="lt-LT"/>
        </w:rPr>
        <w:t>placeb</w:t>
      </w:r>
      <w:r>
        <w:rPr>
          <w:szCs w:val="27"/>
          <w:lang w:eastAsia="lt-LT"/>
        </w:rPr>
        <w:t>o</w:t>
      </w:r>
      <w:r w:rsidRPr="004A6525">
        <w:rPr>
          <w:szCs w:val="27"/>
          <w:lang w:eastAsia="lt-LT"/>
        </w:rPr>
        <w:t xml:space="preserve"> grupėje). Mirties rizika darolutamido grupėje buvo 32,5</w:t>
      </w:r>
      <w:r>
        <w:rPr>
          <w:szCs w:val="27"/>
          <w:lang w:eastAsia="lt-LT"/>
        </w:rPr>
        <w:t xml:space="preserve"> proc.</w:t>
      </w:r>
      <w:r w:rsidRPr="004A6525">
        <w:rPr>
          <w:szCs w:val="27"/>
          <w:lang w:eastAsia="lt-LT"/>
        </w:rPr>
        <w:t xml:space="preserve"> mažesnė nei placeb</w:t>
      </w:r>
      <w:r>
        <w:rPr>
          <w:szCs w:val="27"/>
          <w:lang w:eastAsia="lt-LT"/>
        </w:rPr>
        <w:t>o</w:t>
      </w:r>
      <w:r w:rsidRPr="004A6525">
        <w:rPr>
          <w:szCs w:val="27"/>
          <w:lang w:eastAsia="lt-LT"/>
        </w:rPr>
        <w:t xml:space="preserve"> grupėje (</w:t>
      </w:r>
      <w:r>
        <w:rPr>
          <w:szCs w:val="27"/>
          <w:lang w:eastAsia="lt-LT"/>
        </w:rPr>
        <w:t>RS 0,68; 95 proc.</w:t>
      </w:r>
      <w:r w:rsidRPr="004A6525">
        <w:rPr>
          <w:szCs w:val="27"/>
          <w:lang w:eastAsia="lt-LT"/>
        </w:rPr>
        <w:t xml:space="preserve"> </w:t>
      </w:r>
      <w:r>
        <w:rPr>
          <w:szCs w:val="27"/>
          <w:lang w:eastAsia="lt-LT"/>
        </w:rPr>
        <w:t>PI 0,57-</w:t>
      </w:r>
      <w:r w:rsidRPr="004A6525">
        <w:rPr>
          <w:szCs w:val="27"/>
          <w:lang w:eastAsia="lt-LT"/>
        </w:rPr>
        <w:t xml:space="preserve">0,80; </w:t>
      </w:r>
      <w:r>
        <w:rPr>
          <w:szCs w:val="27"/>
          <w:lang w:eastAsia="lt-LT"/>
        </w:rPr>
        <w:t>p</w:t>
      </w:r>
      <w:r w:rsidRPr="004A6525">
        <w:rPr>
          <w:szCs w:val="27"/>
          <w:lang w:eastAsia="lt-LT"/>
        </w:rPr>
        <w:t xml:space="preserve">&lt;0,001). </w:t>
      </w:r>
      <w:r>
        <w:rPr>
          <w:szCs w:val="27"/>
          <w:lang w:eastAsia="lt-LT"/>
        </w:rPr>
        <w:t xml:space="preserve">BI mediana dorolutamido grupėje buvo nepasiekta (95 proc. PI  nepasiekta (NP)-NP), o placebo grupėje buvo 48,9 mėn. (95 proc. PI 44,4-NP). </w:t>
      </w:r>
      <w:r w:rsidRPr="00EE533C">
        <w:rPr>
          <w:rFonts w:eastAsia="Arial"/>
          <w:color w:val="000000" w:themeColor="text1"/>
        </w:rPr>
        <w:t>Analizuojant pacientų pogrupius (pvz., sudarytus pagal amžių, metastazių išplitimą, rasę, ECOG balą) nustatyta, kad Nubeqa</w:t>
      </w:r>
      <w:r w:rsidRPr="00EE533C">
        <w:t xml:space="preserve"> sumažino pagrindinės vertinamosios baigties (BI) atvejų riziką</w:t>
      </w:r>
      <w:r>
        <w:t xml:space="preserve"> beveik visose grupėse</w:t>
      </w:r>
      <w:r w:rsidRPr="00EE533C">
        <w:t>.</w:t>
      </w:r>
    </w:p>
    <w:p w14:paraId="0F8B1B14" w14:textId="77777777" w:rsidR="00C72447" w:rsidRPr="00AA10A8" w:rsidRDefault="00C72447" w:rsidP="00C72447">
      <w:pPr>
        <w:tabs>
          <w:tab w:val="left" w:pos="426"/>
        </w:tabs>
        <w:spacing w:line="360" w:lineRule="auto"/>
        <w:jc w:val="both"/>
        <w:rPr>
          <w:noProof/>
        </w:rPr>
      </w:pPr>
      <w:r w:rsidRPr="00AA10A8">
        <w:rPr>
          <w:rFonts w:eastAsia="Arial"/>
          <w:color w:val="000000" w:themeColor="text1"/>
        </w:rPr>
        <w:tab/>
      </w:r>
      <w:r w:rsidRPr="00AA10A8">
        <w:rPr>
          <w:rFonts w:eastAsia="Arial"/>
          <w:color w:val="000000" w:themeColor="text1"/>
        </w:rPr>
        <w:tab/>
        <w:t xml:space="preserve">Vertinant antrines baigtis, </w:t>
      </w:r>
      <w:r w:rsidRPr="00AA10A8">
        <w:rPr>
          <w:noProof/>
        </w:rPr>
        <w:t>Nabeqa vartojusių pacientų grupės rezultatai buvo statistiškai patikimai pranašesnis už placebo gydymo schemą:</w:t>
      </w:r>
    </w:p>
    <w:p w14:paraId="669A78E6" w14:textId="77777777" w:rsidR="00C72447" w:rsidRDefault="00C72447" w:rsidP="00C72447">
      <w:pPr>
        <w:pStyle w:val="ListParagraph"/>
        <w:numPr>
          <w:ilvl w:val="0"/>
          <w:numId w:val="17"/>
        </w:numPr>
        <w:spacing w:line="360" w:lineRule="auto"/>
        <w:jc w:val="both"/>
      </w:pPr>
      <w:r>
        <w:t>Laikotarpis iki kastracijai atsparaus ligos vystymosi buvo žymiai ilgesnis darolutamido grupėje (RS 0,36; 95 proc. PI 0,30-0,42; p&lt;0,001).</w:t>
      </w:r>
    </w:p>
    <w:p w14:paraId="4F1CF6F5" w14:textId="77777777" w:rsidR="00C72447" w:rsidRDefault="00C72447" w:rsidP="00C72447">
      <w:pPr>
        <w:pStyle w:val="ListParagraph"/>
        <w:numPr>
          <w:ilvl w:val="0"/>
          <w:numId w:val="17"/>
        </w:numPr>
        <w:spacing w:line="360" w:lineRule="auto"/>
        <w:jc w:val="both"/>
      </w:pPr>
      <w:r>
        <w:t>Laikotarpis iki skausmo progresijos taip pat buvo žymiai ilgesnis darolutamido grupėje (RS 0,79; 95 proc. PI 0,66-0,95; P=0,01).</w:t>
      </w:r>
    </w:p>
    <w:p w14:paraId="253AE1F5" w14:textId="77777777" w:rsidR="00C72447" w:rsidRDefault="00C72447" w:rsidP="00C72447">
      <w:pPr>
        <w:pStyle w:val="ListParagraph"/>
        <w:numPr>
          <w:ilvl w:val="0"/>
          <w:numId w:val="17"/>
        </w:numPr>
        <w:spacing w:line="360" w:lineRule="auto"/>
        <w:jc w:val="both"/>
      </w:pPr>
      <w:r>
        <w:t>Išgyvenamumas be simptominių su skeletu susijusių reiškinių buvo ilgesnis</w:t>
      </w:r>
      <w:r w:rsidRPr="004310DE">
        <w:t xml:space="preserve"> </w:t>
      </w:r>
      <w:r>
        <w:t>darolutamido grupėje (RS 0,61; 95 proc. PI 0,52-0,72; P&lt;0,001).</w:t>
      </w:r>
      <w:r w:rsidRPr="004310DE">
        <w:t xml:space="preserve"> </w:t>
      </w:r>
    </w:p>
    <w:p w14:paraId="5EFB3C62" w14:textId="77777777" w:rsidR="00C72447" w:rsidRDefault="00C72447" w:rsidP="00C72447">
      <w:pPr>
        <w:pStyle w:val="ListParagraph"/>
        <w:numPr>
          <w:ilvl w:val="0"/>
          <w:numId w:val="17"/>
        </w:numPr>
        <w:spacing w:line="360" w:lineRule="auto"/>
        <w:jc w:val="both"/>
      </w:pPr>
      <w:r>
        <w:t>Laikas iki pirmojo simptominio su skeletu susijusio reiškinio buvo ilgesnis</w:t>
      </w:r>
      <w:r w:rsidRPr="004310DE">
        <w:t xml:space="preserve"> </w:t>
      </w:r>
      <w:r>
        <w:t>darolutamido grupėje (RS 0,71; 95 proc. PI 0,54-0,94; p</w:t>
      </w:r>
      <w:r w:rsidRPr="004310DE">
        <w:rPr>
          <w:lang w:val="en-US"/>
        </w:rPr>
        <w:t>=</w:t>
      </w:r>
      <w:r>
        <w:t>0,02).</w:t>
      </w:r>
      <w:r w:rsidRPr="004310DE">
        <w:t xml:space="preserve"> </w:t>
      </w:r>
    </w:p>
    <w:p w14:paraId="67486745" w14:textId="77777777" w:rsidR="00C72447" w:rsidRDefault="00C72447" w:rsidP="00C72447">
      <w:pPr>
        <w:pStyle w:val="ListParagraph"/>
        <w:numPr>
          <w:ilvl w:val="0"/>
          <w:numId w:val="17"/>
        </w:numPr>
        <w:spacing w:line="360" w:lineRule="auto"/>
        <w:jc w:val="both"/>
      </w:pPr>
      <w:r>
        <w:t>Laikas iki tolesnės antineoplazinės terapijos pradžios</w:t>
      </w:r>
      <w:r w:rsidRPr="004310DE">
        <w:t xml:space="preserve"> </w:t>
      </w:r>
      <w:r>
        <w:t>buvo ilgesnis</w:t>
      </w:r>
      <w:r w:rsidRPr="004310DE">
        <w:t xml:space="preserve"> </w:t>
      </w:r>
      <w:r>
        <w:t>darolutamido grupėje (RS 0,39; 95 proc. PI 0,33-0,46; P&lt;0,001).</w:t>
      </w:r>
    </w:p>
    <w:p w14:paraId="5FAEC2F1" w14:textId="77777777" w:rsidR="00C72447" w:rsidRDefault="00C72447" w:rsidP="00C72447">
      <w:pPr>
        <w:spacing w:line="360" w:lineRule="auto"/>
        <w:jc w:val="both"/>
      </w:pPr>
    </w:p>
    <w:p w14:paraId="4E798193" w14:textId="77777777" w:rsidR="00C72447" w:rsidRPr="00AA10A8" w:rsidRDefault="00C72447" w:rsidP="00E854AF">
      <w:pPr>
        <w:spacing w:line="360" w:lineRule="auto"/>
        <w:ind w:firstLine="720"/>
        <w:jc w:val="both"/>
      </w:pPr>
      <w:r>
        <w:t>Pacientų praneštos baigtys buvo vertinamos remiantis antrine baigtimi – laikas iki su liga susijusių fizinių simptomų pasunkėjimo. Fizinės būklės simptomų pablogėjimas buvo pastebėtas 54 proc. pacientų darolutamido + docetakselio grupėje ir 47 proc. pacientų placebo + docetakselio grupėje. Nėra laiko iki ligos sukeltų fizinės būklės simptomų pablogėjimo reikšmingo skirtumo tarp gydymo grupių (RS 1,04; 95 proc. PI: 0,89-1,22; p=0,59).</w:t>
      </w:r>
    </w:p>
    <w:p w14:paraId="266CBF11" w14:textId="77777777" w:rsidR="00C72447" w:rsidRPr="00AA10A8" w:rsidRDefault="00C72447" w:rsidP="00E854AF">
      <w:pPr>
        <w:spacing w:line="360" w:lineRule="auto"/>
        <w:ind w:firstLine="720"/>
        <w:jc w:val="both"/>
        <w:rPr>
          <w:rFonts w:eastAsia="Arial"/>
          <w:iCs/>
          <w:highlight w:val="yellow"/>
        </w:rPr>
      </w:pPr>
      <w:r w:rsidRPr="00AA10A8">
        <w:rPr>
          <w:rFonts w:eastAsia="Arial"/>
          <w:iCs/>
        </w:rPr>
        <w:t xml:space="preserve">Apibendrinant klinikinio tyrimo </w:t>
      </w:r>
      <w:r>
        <w:rPr>
          <w:rFonts w:eastAsia="Arial"/>
          <w:iCs/>
        </w:rPr>
        <w:t xml:space="preserve">ARASENS </w:t>
      </w:r>
      <w:r w:rsidRPr="00AA10A8">
        <w:rPr>
          <w:rFonts w:eastAsia="Arial"/>
          <w:iCs/>
        </w:rPr>
        <w:t>rezultatus, pacientams, sergantiems</w:t>
      </w:r>
      <w:r>
        <w:rPr>
          <w:rFonts w:eastAsia="Arial"/>
          <w:iCs/>
        </w:rPr>
        <w:t xml:space="preserve"> </w:t>
      </w:r>
      <w:r>
        <w:t>mHJPV</w:t>
      </w:r>
      <w:r w:rsidRPr="00AA10A8">
        <w:rPr>
          <w:rFonts w:eastAsia="Arial"/>
          <w:iCs/>
        </w:rPr>
        <w:t xml:space="preserve">, gydymas </w:t>
      </w:r>
      <w:r>
        <w:rPr>
          <w:rFonts w:eastAsia="Arial"/>
          <w:iCs/>
        </w:rPr>
        <w:t xml:space="preserve">Nubeqa </w:t>
      </w:r>
      <w:r w:rsidRPr="00AA10A8">
        <w:rPr>
          <w:rFonts w:eastAsia="Arial"/>
          <w:iCs/>
        </w:rPr>
        <w:t xml:space="preserve">reikšmingai pagerino bendrojo išgyvenamumo rodmens rezultatus, o mirties įvykio </w:t>
      </w:r>
      <w:r w:rsidRPr="00AA10A8">
        <w:rPr>
          <w:rFonts w:eastAsia="Arial"/>
          <w:iCs/>
        </w:rPr>
        <w:lastRenderedPageBreak/>
        <w:t>tikimybę statistiškai reikšmingai sumažino 3</w:t>
      </w:r>
      <w:r>
        <w:rPr>
          <w:rFonts w:eastAsia="Arial"/>
          <w:iCs/>
          <w:lang w:val="en-US"/>
        </w:rPr>
        <w:t>2</w:t>
      </w:r>
      <w:r w:rsidRPr="00AA10A8">
        <w:rPr>
          <w:rFonts w:eastAsia="Arial"/>
          <w:iCs/>
        </w:rPr>
        <w:t xml:space="preserve"> proc. Taip pat</w:t>
      </w:r>
      <w:r>
        <w:rPr>
          <w:rFonts w:eastAsia="Arial"/>
          <w:iCs/>
        </w:rPr>
        <w:t xml:space="preserve"> </w:t>
      </w:r>
      <w:r w:rsidRPr="00AA10A8">
        <w:rPr>
          <w:rFonts w:eastAsia="Arial"/>
          <w:iCs/>
        </w:rPr>
        <w:t>statistiškai reikšminga</w:t>
      </w:r>
      <w:r>
        <w:rPr>
          <w:rFonts w:eastAsia="Arial"/>
          <w:iCs/>
        </w:rPr>
        <w:t xml:space="preserve">i prailgino laikotarpį iki kastracijai atsparaus prostatos vėžio atsiradimo </w:t>
      </w:r>
      <w:r w:rsidRPr="00AA10A8">
        <w:rPr>
          <w:rFonts w:eastAsia="Arial"/>
          <w:iCs/>
        </w:rPr>
        <w:t xml:space="preserve">bei </w:t>
      </w:r>
      <w:r>
        <w:rPr>
          <w:rFonts w:eastAsia="Arial"/>
          <w:iCs/>
        </w:rPr>
        <w:t xml:space="preserve">buvo statistiškai reikšmingas poveikis </w:t>
      </w:r>
      <w:r w:rsidRPr="00AA10A8">
        <w:rPr>
          <w:rFonts w:eastAsia="Arial"/>
          <w:iCs/>
        </w:rPr>
        <w:t xml:space="preserve">kitoms antrinėms vertinamosiomis baigtims. Atsižvelgiant į tai, daroma išvada, kad </w:t>
      </w:r>
      <w:r>
        <w:rPr>
          <w:rFonts w:eastAsia="Arial"/>
          <w:iCs/>
        </w:rPr>
        <w:t>Nubeqa</w:t>
      </w:r>
      <w:r w:rsidRPr="00AA10A8">
        <w:rPr>
          <w:rFonts w:eastAsia="Arial"/>
          <w:iCs/>
        </w:rPr>
        <w:t xml:space="preserve"> sukuria papildomą naudą pacientų sveikatai.</w:t>
      </w:r>
    </w:p>
    <w:p w14:paraId="1014165D" w14:textId="77777777" w:rsidR="0063234F" w:rsidRPr="00E33EFF" w:rsidRDefault="0063234F" w:rsidP="00A93AA6">
      <w:pPr>
        <w:pStyle w:val="ListParagraph"/>
        <w:tabs>
          <w:tab w:val="left" w:pos="426"/>
        </w:tabs>
        <w:ind w:left="0"/>
        <w:rPr>
          <w:b/>
          <w:bCs/>
          <w:caps/>
        </w:rPr>
      </w:pPr>
    </w:p>
    <w:p w14:paraId="7DE09EB5" w14:textId="69E9DD74" w:rsidR="00E03C3F" w:rsidRPr="00015C71" w:rsidRDefault="00CC7832" w:rsidP="00CC09D4">
      <w:pPr>
        <w:pStyle w:val="ListParagraph"/>
        <w:numPr>
          <w:ilvl w:val="0"/>
          <w:numId w:val="12"/>
        </w:numPr>
        <w:tabs>
          <w:tab w:val="left" w:pos="567"/>
        </w:tabs>
        <w:ind w:hanging="720"/>
        <w:rPr>
          <w:b/>
          <w:bCs/>
          <w:caps/>
        </w:rPr>
      </w:pPr>
      <w:r w:rsidRPr="00015C71">
        <w:rPr>
          <w:b/>
          <w:bCs/>
          <w:caps/>
        </w:rPr>
        <w:t xml:space="preserve">ekonominio vertinimo </w:t>
      </w:r>
      <w:r w:rsidR="002F0E4F" w:rsidRPr="00015C71">
        <w:rPr>
          <w:b/>
          <w:bCs/>
          <w:caps/>
        </w:rPr>
        <w:t>apibendrinimas</w:t>
      </w:r>
    </w:p>
    <w:p w14:paraId="33875138" w14:textId="4A2E2FDB" w:rsidR="0035172D" w:rsidRDefault="0035172D" w:rsidP="00A93AA6">
      <w:pPr>
        <w:tabs>
          <w:tab w:val="left" w:pos="426"/>
        </w:tabs>
        <w:rPr>
          <w:b/>
          <w:bCs/>
          <w:caps/>
        </w:rPr>
      </w:pPr>
    </w:p>
    <w:p w14:paraId="218595ED" w14:textId="0F7330E8" w:rsidR="00015C71" w:rsidRDefault="00015C71" w:rsidP="00E854AF">
      <w:pPr>
        <w:shd w:val="clear" w:color="auto" w:fill="FFFFFF"/>
        <w:spacing w:line="360" w:lineRule="auto"/>
        <w:ind w:firstLine="720"/>
        <w:jc w:val="both"/>
        <w:rPr>
          <w:rFonts w:eastAsia="Arial"/>
        </w:rPr>
      </w:pPr>
      <w:r>
        <w:rPr>
          <w:rFonts w:eastAsia="Arial"/>
        </w:rPr>
        <w:t>Vertinimui pateikta kaštų naudingumo analizė, kurioje nagrinėjami 18 metų ir vyresni pacientai, kuriems buvo diagnozuotas mHJPV (metastazavęs, horm</w:t>
      </w:r>
      <w:r w:rsidR="004052A0">
        <w:rPr>
          <w:rFonts w:eastAsia="Arial"/>
        </w:rPr>
        <w:t>o</w:t>
      </w:r>
      <w:r>
        <w:rPr>
          <w:rFonts w:eastAsia="Arial"/>
        </w:rPr>
        <w:t>n</w:t>
      </w:r>
      <w:r w:rsidR="004052A0">
        <w:rPr>
          <w:rFonts w:eastAsia="Arial"/>
        </w:rPr>
        <w:t>am</w:t>
      </w:r>
      <w:r>
        <w:rPr>
          <w:rFonts w:eastAsia="Arial"/>
        </w:rPr>
        <w:t>s jautrus prostatos vėžys). Analizėje įvertinamas Nubeqa (darolutamido)+docetaxel+ADT kaštų naudingumas, paly</w:t>
      </w:r>
      <w:r w:rsidR="004052A0">
        <w:rPr>
          <w:rFonts w:eastAsia="Arial"/>
        </w:rPr>
        <w:t>g</w:t>
      </w:r>
      <w:r>
        <w:rPr>
          <w:rFonts w:eastAsia="Arial"/>
        </w:rPr>
        <w:t>inus su placebu+docetaxel ir ADT. Laikoma, jog šis palyginamasis gydymas atitinka įprastą Lietuvos klinikinę praktiką.</w:t>
      </w:r>
    </w:p>
    <w:p w14:paraId="1CD56C48" w14:textId="056B32B3" w:rsidR="00015C71" w:rsidRDefault="00015C71" w:rsidP="00E854AF">
      <w:pPr>
        <w:shd w:val="clear" w:color="auto" w:fill="FFFFFF"/>
        <w:spacing w:line="360" w:lineRule="auto"/>
        <w:jc w:val="both"/>
        <w:rPr>
          <w:bCs/>
          <w:color w:val="000000"/>
          <w:lang w:eastAsia="lt-LT"/>
        </w:rPr>
      </w:pPr>
      <w:r>
        <w:rPr>
          <w:rFonts w:eastAsia="Arial"/>
        </w:rPr>
        <w:t>Analizėje taikomas padalintos kohortos išgyvena</w:t>
      </w:r>
      <w:r w:rsidR="004052A0">
        <w:rPr>
          <w:rFonts w:eastAsia="Arial"/>
        </w:rPr>
        <w:t>m</w:t>
      </w:r>
      <w:r>
        <w:rPr>
          <w:rFonts w:eastAsia="Arial"/>
        </w:rPr>
        <w:t xml:space="preserve">umo modelis su </w:t>
      </w:r>
      <w:r>
        <w:rPr>
          <w:iCs/>
          <w:color w:val="000000" w:themeColor="text1"/>
          <w:lang w:eastAsia="lt-LT"/>
        </w:rPr>
        <w:t>trimis sveikatos būklėmis: sveikatos būklė prieš ligos progresavimą, ligos progresavimas ir mirtis. Laikoma, jog ši analizės struktūra yra tinkama analizės rezultato įvertinimui ir interpretavimui. Klinikiniai duomenys analizėje buvo grįsti ARASENS klinikiniu tyrimu. Pirminio išsamaus vertinimo metu nustatyta, jog analizės rezultatas stipriai kinta keičiant parametrinius skirstinius. Dėl šios priežasties, Tarnyba kreipės</w:t>
      </w:r>
      <w:r w:rsidR="004052A0">
        <w:rPr>
          <w:iCs/>
          <w:color w:val="000000" w:themeColor="text1"/>
          <w:lang w:eastAsia="lt-LT"/>
        </w:rPr>
        <w:t>i</w:t>
      </w:r>
      <w:r>
        <w:rPr>
          <w:iCs/>
          <w:color w:val="000000" w:themeColor="text1"/>
          <w:lang w:eastAsia="lt-LT"/>
        </w:rPr>
        <w:t xml:space="preserve"> į Pareiškėją ir nurodė, jog parametrinės funkcijos turi būti pasirenkamos pagal tinkamumą, atsižvelgiant į AIC ir BIC. </w:t>
      </w:r>
      <w:r>
        <w:rPr>
          <w:bCs/>
          <w:color w:val="000000"/>
          <w:lang w:eastAsia="lt-LT"/>
        </w:rPr>
        <w:t>Tarnyba pabrėžia, jog parametrinių skirstinių tinkamumo vertinimas pagal AIC ir BIC kriterijus, rodo tik gautos kreivės panašumą su Kaplan-Meier kreive, tačiau nenurodo tolimesnės kreivės dinamikos ir nepateikia visiško aiškumo, neužtikrina, jog kreivė pasibaigus Kaplan-Meier atitiks realius rezultatus. Vis dėlto, taikant funkcijų pasirinkimą pagal AIC ir BIC, gaunamas konservatyvesnis analizės rezultatas, todėl šis rezultatas nagrinėjamas pagrindinio atvejo analizėje.</w:t>
      </w:r>
    </w:p>
    <w:p w14:paraId="42A7CF10" w14:textId="77777777" w:rsidR="00015C71" w:rsidRDefault="00015C71" w:rsidP="00E854AF">
      <w:pPr>
        <w:shd w:val="clear" w:color="auto" w:fill="FFFFFF"/>
        <w:spacing w:line="360" w:lineRule="auto"/>
        <w:jc w:val="both"/>
        <w:rPr>
          <w:bCs/>
          <w:color w:val="000000"/>
          <w:lang w:eastAsia="lt-LT"/>
        </w:rPr>
      </w:pPr>
      <w:r>
        <w:rPr>
          <w:bCs/>
          <w:color w:val="000000"/>
          <w:lang w:eastAsia="lt-LT"/>
        </w:rPr>
        <w:t>Analizėje taikomas 100 proc. nurodymų laikymasis – nėra pilnai aišku, koks būtų Lietuvos populiacijos pacientų nurodymų laikymasis, todėl siekiant konservatyvaus rezultato, pagrindinio atvejo analizėje taikomas 100 proc. nurodymų laikymasis visoms pacientų grupėms.</w:t>
      </w:r>
    </w:p>
    <w:p w14:paraId="3ABF6889" w14:textId="77777777" w:rsidR="00015C71" w:rsidRDefault="00015C71" w:rsidP="00E854AF">
      <w:pPr>
        <w:shd w:val="clear" w:color="auto" w:fill="FFFFFF"/>
        <w:spacing w:line="360" w:lineRule="auto"/>
        <w:jc w:val="both"/>
        <w:rPr>
          <w:bCs/>
          <w:color w:val="000000"/>
          <w:lang w:eastAsia="lt-LT"/>
        </w:rPr>
      </w:pPr>
      <w:r>
        <w:rPr>
          <w:bCs/>
          <w:color w:val="000000"/>
          <w:lang w:eastAsia="lt-LT"/>
        </w:rPr>
        <w:t>Analizėje pritaikomas gyvenimo kokybės įverčių koregavimas, pagal pacientų amžių (Pareiškėjo pagrindinio atvejo analizėje ši prielaida nebuvo taikoma, ir šis netaikymas nebuvo pagrįstas. Vis dėlto, modelyje pateikta galimybė taikyti gyvenimo kokybės įverčių korekciją pagal amžių – ši prielaida nagrinėjama pagrindinio atvejo analizėje).</w:t>
      </w:r>
    </w:p>
    <w:p w14:paraId="5C1A33CC" w14:textId="4733A967" w:rsidR="00015C71" w:rsidRDefault="00015C71" w:rsidP="00E854AF">
      <w:pPr>
        <w:shd w:val="clear" w:color="auto" w:fill="FFFFFF"/>
        <w:spacing w:line="360" w:lineRule="auto"/>
        <w:jc w:val="both"/>
        <w:rPr>
          <w:bCs/>
          <w:color w:val="000000"/>
          <w:lang w:eastAsia="lt-LT"/>
        </w:rPr>
      </w:pPr>
      <w:r>
        <w:rPr>
          <w:bCs/>
          <w:color w:val="000000"/>
          <w:lang w:eastAsia="lt-LT"/>
        </w:rPr>
        <w:t xml:space="preserve">Tarnybai nėra pilnai aišku, ar Pareiškėjo analizėje taikomas asmens sveikatos priežiūros </w:t>
      </w:r>
      <w:r w:rsidR="004052A0">
        <w:rPr>
          <w:bCs/>
          <w:color w:val="000000"/>
          <w:lang w:eastAsia="lt-LT"/>
        </w:rPr>
        <w:t>pa</w:t>
      </w:r>
      <w:r>
        <w:rPr>
          <w:bCs/>
          <w:color w:val="000000"/>
          <w:lang w:eastAsia="lt-LT"/>
        </w:rPr>
        <w:t>slaugų poreikis atitinka Lietuvos klinikinę praktiką. Tarnyba kreipėsi į Pareiškėją su prašymu pagrįsti taikomas ASPP ir jų poreikį analizėje. Pareiškėjas nepateikė pagrindimo, jog taikomas ASPP poreikis atitinka Lietuvos klini</w:t>
      </w:r>
      <w:r w:rsidR="004052A0">
        <w:rPr>
          <w:bCs/>
          <w:color w:val="000000"/>
          <w:lang w:eastAsia="lt-LT"/>
        </w:rPr>
        <w:t>k</w:t>
      </w:r>
      <w:r>
        <w:rPr>
          <w:bCs/>
          <w:color w:val="000000"/>
          <w:lang w:eastAsia="lt-LT"/>
        </w:rPr>
        <w:t xml:space="preserve">inę praktiką, todėl Tarnybai lieka neaišku, ar šis poreikis butų panašus ir Lietuvoje. Vis dėlto, Tarnyba vertina, jog Pareiškėjo pateiktas analizės rezultatas gali būti </w:t>
      </w:r>
      <w:r>
        <w:rPr>
          <w:bCs/>
          <w:color w:val="000000"/>
          <w:lang w:eastAsia="lt-LT"/>
        </w:rPr>
        <w:lastRenderedPageBreak/>
        <w:t>interpretuojamas ir naudojamas sprendimo priėmimui. Atlikus analizės rezultato perskaičiavimą, nustatyta, jog darolutamidas (Nubeqa) nėra kaštams naudingas ir reikalinga papildoma nuolaida, siekiant jog gydymas Nubeqa būtų kaštams naudingas.</w:t>
      </w:r>
    </w:p>
    <w:p w14:paraId="05A5067A" w14:textId="4FE05828" w:rsidR="00F3323E" w:rsidRDefault="00F3323E" w:rsidP="00015C71">
      <w:pPr>
        <w:shd w:val="clear" w:color="auto" w:fill="FFFFFF"/>
        <w:spacing w:line="276" w:lineRule="auto"/>
        <w:jc w:val="both"/>
        <w:rPr>
          <w:bCs/>
          <w:color w:val="000000"/>
          <w:lang w:eastAsia="lt-LT"/>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98"/>
        <w:gridCol w:w="2410"/>
      </w:tblGrid>
      <w:tr w:rsidR="00F3323E" w:rsidRPr="00D05364" w14:paraId="244D3398" w14:textId="77777777" w:rsidTr="00F241C7">
        <w:trPr>
          <w:trHeight w:val="347"/>
          <w:jc w:val="center"/>
        </w:trPr>
        <w:tc>
          <w:tcPr>
            <w:tcW w:w="9908" w:type="dxa"/>
            <w:gridSpan w:val="2"/>
            <w:tcBorders>
              <w:top w:val="single" w:sz="12" w:space="0" w:color="auto"/>
            </w:tcBorders>
            <w:vAlign w:val="center"/>
          </w:tcPr>
          <w:p w14:paraId="703B0C21" w14:textId="77777777" w:rsidR="00F3323E" w:rsidRPr="00D05364" w:rsidRDefault="00F3323E" w:rsidP="00F241C7">
            <w:pPr>
              <w:tabs>
                <w:tab w:val="left" w:pos="567"/>
              </w:tabs>
              <w:jc w:val="center"/>
              <w:rPr>
                <w:b/>
                <w:bCs/>
                <w:sz w:val="26"/>
                <w:szCs w:val="26"/>
                <w:lang w:eastAsia="lt-LT"/>
              </w:rPr>
            </w:pPr>
            <w:r w:rsidRPr="00D05364">
              <w:rPr>
                <w:b/>
                <w:bCs/>
                <w:sz w:val="26"/>
                <w:szCs w:val="26"/>
                <w:lang w:eastAsia="lt-LT"/>
              </w:rPr>
              <w:t>Rezultatai</w:t>
            </w:r>
          </w:p>
        </w:tc>
      </w:tr>
      <w:tr w:rsidR="00F3323E" w:rsidRPr="00D05364" w14:paraId="1C55D294" w14:textId="77777777" w:rsidTr="00F3323E">
        <w:trPr>
          <w:jc w:val="center"/>
        </w:trPr>
        <w:tc>
          <w:tcPr>
            <w:tcW w:w="7498" w:type="dxa"/>
          </w:tcPr>
          <w:p w14:paraId="40C10D62" w14:textId="7FCFD8D6" w:rsidR="00F3323E" w:rsidRPr="00D05364" w:rsidRDefault="00F3323E" w:rsidP="00F241C7">
            <w:pPr>
              <w:tabs>
                <w:tab w:val="left" w:pos="567"/>
              </w:tabs>
              <w:jc w:val="right"/>
              <w:rPr>
                <w:iCs/>
                <w:lang w:eastAsia="lt-LT"/>
              </w:rPr>
            </w:pPr>
            <w:r>
              <w:rPr>
                <w:iCs/>
                <w:lang w:eastAsia="lt-LT"/>
              </w:rPr>
              <w:t>Kaštų skirtumas</w:t>
            </w:r>
          </w:p>
        </w:tc>
        <w:tc>
          <w:tcPr>
            <w:tcW w:w="2410" w:type="dxa"/>
          </w:tcPr>
          <w:p w14:paraId="492B4729" w14:textId="60533C2E" w:rsidR="00F3323E" w:rsidRPr="00D05364" w:rsidRDefault="00F3323E" w:rsidP="00F241C7">
            <w:pPr>
              <w:tabs>
                <w:tab w:val="left" w:pos="567"/>
              </w:tabs>
              <w:jc w:val="both"/>
              <w:rPr>
                <w:i/>
                <w:iCs/>
                <w:lang w:eastAsia="lt-LT"/>
              </w:rPr>
            </w:pPr>
          </w:p>
        </w:tc>
      </w:tr>
      <w:tr w:rsidR="00F3323E" w:rsidRPr="00D05364" w14:paraId="2096E3D4" w14:textId="77777777" w:rsidTr="00F3323E">
        <w:trPr>
          <w:jc w:val="center"/>
        </w:trPr>
        <w:tc>
          <w:tcPr>
            <w:tcW w:w="7498" w:type="dxa"/>
          </w:tcPr>
          <w:p w14:paraId="4C05AE04" w14:textId="171FE3ED" w:rsidR="00F3323E" w:rsidRPr="00D05364" w:rsidRDefault="00F3323E" w:rsidP="00F241C7">
            <w:pPr>
              <w:tabs>
                <w:tab w:val="left" w:pos="567"/>
              </w:tabs>
              <w:jc w:val="right"/>
              <w:rPr>
                <w:iCs/>
                <w:lang w:eastAsia="lt-LT"/>
              </w:rPr>
            </w:pPr>
            <w:r>
              <w:rPr>
                <w:iCs/>
                <w:lang w:eastAsia="lt-LT"/>
              </w:rPr>
              <w:t>Papildomi LY</w:t>
            </w:r>
          </w:p>
        </w:tc>
        <w:tc>
          <w:tcPr>
            <w:tcW w:w="2410" w:type="dxa"/>
          </w:tcPr>
          <w:p w14:paraId="10F1A014" w14:textId="74389363" w:rsidR="00F3323E" w:rsidRPr="00D05364" w:rsidRDefault="00F3323E" w:rsidP="00F241C7">
            <w:pPr>
              <w:tabs>
                <w:tab w:val="left" w:pos="567"/>
              </w:tabs>
              <w:jc w:val="both"/>
              <w:rPr>
                <w:i/>
                <w:iCs/>
                <w:lang w:eastAsia="lt-LT"/>
              </w:rPr>
            </w:pPr>
          </w:p>
        </w:tc>
      </w:tr>
      <w:tr w:rsidR="00F3323E" w:rsidRPr="00D05364" w14:paraId="6B9473F5" w14:textId="77777777" w:rsidTr="00F3323E">
        <w:trPr>
          <w:jc w:val="center"/>
        </w:trPr>
        <w:tc>
          <w:tcPr>
            <w:tcW w:w="7498" w:type="dxa"/>
          </w:tcPr>
          <w:p w14:paraId="73410C8A" w14:textId="5D22E2F5" w:rsidR="00F3323E" w:rsidRPr="00D05364" w:rsidRDefault="00F3323E" w:rsidP="00F241C7">
            <w:pPr>
              <w:tabs>
                <w:tab w:val="left" w:pos="567"/>
              </w:tabs>
              <w:jc w:val="right"/>
              <w:rPr>
                <w:iCs/>
                <w:lang w:eastAsia="lt-LT"/>
              </w:rPr>
            </w:pPr>
            <w:r>
              <w:rPr>
                <w:iCs/>
                <w:lang w:eastAsia="lt-LT"/>
              </w:rPr>
              <w:t>Papildomi QALY</w:t>
            </w:r>
          </w:p>
        </w:tc>
        <w:tc>
          <w:tcPr>
            <w:tcW w:w="2410" w:type="dxa"/>
          </w:tcPr>
          <w:p w14:paraId="218AF98E" w14:textId="397B45A3" w:rsidR="00F3323E" w:rsidRPr="00D05364" w:rsidRDefault="00F3323E" w:rsidP="00F241C7">
            <w:pPr>
              <w:tabs>
                <w:tab w:val="left" w:pos="567"/>
              </w:tabs>
              <w:jc w:val="both"/>
              <w:rPr>
                <w:i/>
                <w:iCs/>
                <w:lang w:eastAsia="lt-LT"/>
              </w:rPr>
            </w:pPr>
          </w:p>
        </w:tc>
      </w:tr>
      <w:tr w:rsidR="00F3323E" w:rsidRPr="00D05364" w14:paraId="01D6A7C8" w14:textId="77777777" w:rsidTr="00F3323E">
        <w:trPr>
          <w:jc w:val="center"/>
        </w:trPr>
        <w:tc>
          <w:tcPr>
            <w:tcW w:w="7498" w:type="dxa"/>
          </w:tcPr>
          <w:p w14:paraId="3ADE2B68" w14:textId="5B77B284" w:rsidR="00F3323E" w:rsidRPr="00D05364" w:rsidRDefault="00F3323E" w:rsidP="00F3323E">
            <w:pPr>
              <w:tabs>
                <w:tab w:val="left" w:pos="567"/>
              </w:tabs>
              <w:jc w:val="right"/>
              <w:rPr>
                <w:iCs/>
                <w:lang w:eastAsia="lt-LT"/>
              </w:rPr>
            </w:pPr>
            <w:r w:rsidRPr="00D05364">
              <w:rPr>
                <w:iCs/>
                <w:lang w:eastAsia="lt-LT"/>
              </w:rPr>
              <w:t>ICER už LY</w:t>
            </w:r>
          </w:p>
        </w:tc>
        <w:tc>
          <w:tcPr>
            <w:tcW w:w="2410" w:type="dxa"/>
          </w:tcPr>
          <w:p w14:paraId="78341A02" w14:textId="492B3DAE" w:rsidR="00F3323E" w:rsidRDefault="00F3323E" w:rsidP="00F3323E">
            <w:pPr>
              <w:tabs>
                <w:tab w:val="left" w:pos="567"/>
              </w:tabs>
              <w:jc w:val="both"/>
              <w:rPr>
                <w:i/>
                <w:iCs/>
                <w:lang w:eastAsia="lt-LT"/>
              </w:rPr>
            </w:pPr>
          </w:p>
        </w:tc>
      </w:tr>
      <w:tr w:rsidR="00F3323E" w:rsidRPr="00D05364" w14:paraId="04960434" w14:textId="77777777" w:rsidTr="00F3323E">
        <w:trPr>
          <w:jc w:val="center"/>
        </w:trPr>
        <w:tc>
          <w:tcPr>
            <w:tcW w:w="7498" w:type="dxa"/>
          </w:tcPr>
          <w:p w14:paraId="237C33B6" w14:textId="77777777" w:rsidR="00F3323E" w:rsidRPr="00D05364" w:rsidRDefault="00F3323E" w:rsidP="00F241C7">
            <w:pPr>
              <w:tabs>
                <w:tab w:val="left" w:pos="567"/>
              </w:tabs>
              <w:jc w:val="right"/>
              <w:rPr>
                <w:iCs/>
                <w:lang w:eastAsia="lt-LT"/>
              </w:rPr>
            </w:pPr>
            <w:r w:rsidRPr="00D05364">
              <w:rPr>
                <w:iCs/>
                <w:lang w:eastAsia="lt-LT"/>
              </w:rPr>
              <w:t>ICER už QALY</w:t>
            </w:r>
          </w:p>
        </w:tc>
        <w:tc>
          <w:tcPr>
            <w:tcW w:w="2410" w:type="dxa"/>
          </w:tcPr>
          <w:p w14:paraId="6ED88C94" w14:textId="1AEA1048" w:rsidR="00F3323E" w:rsidRPr="00D05364" w:rsidRDefault="00F3323E" w:rsidP="00F241C7">
            <w:pPr>
              <w:tabs>
                <w:tab w:val="left" w:pos="567"/>
              </w:tabs>
              <w:jc w:val="both"/>
              <w:rPr>
                <w:i/>
                <w:iCs/>
                <w:lang w:eastAsia="lt-LT"/>
              </w:rPr>
            </w:pPr>
          </w:p>
        </w:tc>
      </w:tr>
      <w:tr w:rsidR="00F3323E" w:rsidRPr="00D05364" w14:paraId="5AE5E19C" w14:textId="77777777" w:rsidTr="00F3323E">
        <w:trPr>
          <w:jc w:val="center"/>
        </w:trPr>
        <w:tc>
          <w:tcPr>
            <w:tcW w:w="7498" w:type="dxa"/>
          </w:tcPr>
          <w:p w14:paraId="0A2BEAE1" w14:textId="77777777" w:rsidR="00F3323E" w:rsidRPr="00D05364" w:rsidRDefault="00F3323E" w:rsidP="00F241C7">
            <w:pPr>
              <w:tabs>
                <w:tab w:val="left" w:pos="567"/>
              </w:tabs>
              <w:jc w:val="right"/>
              <w:rPr>
                <w:iCs/>
                <w:lang w:eastAsia="lt-LT"/>
              </w:rPr>
            </w:pPr>
            <w:r w:rsidRPr="00D05364">
              <w:rPr>
                <w:iCs/>
                <w:lang w:eastAsia="lt-LT"/>
              </w:rPr>
              <w:t>Referencinė kaštų naudingumo vertė</w:t>
            </w:r>
          </w:p>
        </w:tc>
        <w:tc>
          <w:tcPr>
            <w:tcW w:w="2410" w:type="dxa"/>
          </w:tcPr>
          <w:p w14:paraId="51DE5EC1" w14:textId="207F6C5B" w:rsidR="00F3323E" w:rsidRPr="00D05364" w:rsidRDefault="00F3323E" w:rsidP="00F241C7">
            <w:pPr>
              <w:tabs>
                <w:tab w:val="left" w:pos="567"/>
              </w:tabs>
              <w:jc w:val="both"/>
              <w:rPr>
                <w:i/>
                <w:iCs/>
                <w:lang w:eastAsia="lt-LT"/>
              </w:rPr>
            </w:pPr>
          </w:p>
        </w:tc>
      </w:tr>
    </w:tbl>
    <w:p w14:paraId="6CA2C979" w14:textId="77777777" w:rsidR="00F3323E" w:rsidRDefault="00F3323E" w:rsidP="00015C71">
      <w:pPr>
        <w:shd w:val="clear" w:color="auto" w:fill="FFFFFF"/>
        <w:spacing w:line="276" w:lineRule="auto"/>
        <w:jc w:val="both"/>
        <w:rPr>
          <w:iCs/>
          <w:color w:val="000000" w:themeColor="text1"/>
          <w:lang w:eastAsia="lt-LT"/>
        </w:rPr>
      </w:pPr>
    </w:p>
    <w:p w14:paraId="3D901BA4" w14:textId="77777777" w:rsidR="00C72447" w:rsidRPr="00E33EFF" w:rsidRDefault="00C72447"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265291E"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63234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71437A30"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4052A0">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49EF66FE"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4052A0">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6604B7B1"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2C6FDB7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63234F">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36509676" w:rsidR="00B13D65" w:rsidRPr="00E33EFF" w:rsidRDefault="00000000" w:rsidP="00632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0C5E755E" w:rsidR="00B13D65" w:rsidRPr="00015C7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63234F" w:rsidRPr="00015C71">
                  <w:rPr>
                    <w:rStyle w:val="Style2"/>
                    <w:rFonts w:ascii="MS Gothic" w:eastAsia="MS Gothic" w:hAnsi="MS Gothic" w:hint="eastAsia"/>
                    <w:sz w:val="24"/>
                  </w:rPr>
                  <w:t>☒</w:t>
                </w:r>
              </w:sdtContent>
            </w:sdt>
            <w:r w:rsidR="00B13D65" w:rsidRPr="00015C71">
              <w:t xml:space="preserve"> 32.2. yra įvertintas kaip pagrindžiantis papildomos naudos pacientų sveikatai sukūrimą</w:t>
            </w:r>
          </w:p>
          <w:p w14:paraId="71D57105" w14:textId="77777777" w:rsidR="00662983" w:rsidRPr="00015C7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0D725CF" w:rsidR="00B13D65" w:rsidRPr="00015C7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015C71">
                  <w:rPr>
                    <w:rStyle w:val="Style2"/>
                    <w:rFonts w:ascii="Segoe UI Symbol" w:eastAsia="MS Gothic" w:hAnsi="Segoe UI Symbol" w:cs="Segoe UI Symbol"/>
                    <w:sz w:val="24"/>
                  </w:rPr>
                  <w:t>☐</w:t>
                </w:r>
              </w:sdtContent>
            </w:sdt>
            <w:r w:rsidR="00B13D65" w:rsidRPr="00015C71">
              <w:t xml:space="preserve"> 32.2. </w:t>
            </w:r>
            <w:r w:rsidR="00B00959" w:rsidRPr="00015C71">
              <w:t xml:space="preserve">yra </w:t>
            </w:r>
            <w:r w:rsidR="00B13D65" w:rsidRPr="00015C71">
              <w:t>įvertintas kaip pagrindžiantis nesiskiriančios naudos pacientų sveikatai sukūrimą</w:t>
            </w:r>
          </w:p>
          <w:p w14:paraId="287AD233" w14:textId="77777777" w:rsidR="00B13D65" w:rsidRPr="00015C7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015C71"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015C71">
                  <w:rPr>
                    <w:rStyle w:val="Style2"/>
                    <w:rFonts w:ascii="Segoe UI Symbol" w:eastAsia="MS Gothic" w:hAnsi="Segoe UI Symbol" w:cs="Segoe UI Symbol"/>
                    <w:sz w:val="24"/>
                  </w:rPr>
                  <w:t>☐</w:t>
                </w:r>
              </w:sdtContent>
            </w:sdt>
            <w:r w:rsidR="00B13D65" w:rsidRPr="00015C71">
              <w:t xml:space="preserve"> 33.1. yra įvertintas kaip nepagrindžiantis papildomos </w:t>
            </w:r>
            <w:r w:rsidR="00662983" w:rsidRPr="00015C71">
              <w:t>naudos pacientų sveikatai sukūrimo, lyginant su  įprasta klinikine praktika</w:t>
            </w:r>
          </w:p>
          <w:p w14:paraId="6C70BCFC" w14:textId="77777777" w:rsidR="00662983" w:rsidRPr="00015C71" w:rsidRDefault="00662983" w:rsidP="00BD1E5A">
            <w:pPr>
              <w:jc w:val="both"/>
            </w:pPr>
          </w:p>
          <w:p w14:paraId="0ADEC30D" w14:textId="1353964F" w:rsidR="00B13D65" w:rsidRPr="00015C71"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015C71">
                  <w:rPr>
                    <w:rStyle w:val="Style2"/>
                    <w:rFonts w:ascii="Segoe UI Symbol" w:eastAsia="MS Gothic" w:hAnsi="Segoe UI Symbol" w:cs="Segoe UI Symbol"/>
                    <w:sz w:val="24"/>
                  </w:rPr>
                  <w:t>☐</w:t>
                </w:r>
              </w:sdtContent>
            </w:sdt>
            <w:r w:rsidR="00B13D65" w:rsidRPr="00015C71">
              <w:t xml:space="preserve"> </w:t>
            </w:r>
            <w:r w:rsidR="00662983" w:rsidRPr="00015C71">
              <w:t xml:space="preserve">33.1. </w:t>
            </w:r>
            <w:r w:rsidR="00B00959" w:rsidRPr="00015C71">
              <w:t xml:space="preserve">yra įvertintas kaip nepagrindžiantis </w:t>
            </w:r>
            <w:r w:rsidR="00B13D65" w:rsidRPr="00015C71">
              <w:t>nesiskiriančios naudos pacientų sveikatai sukūrimo, lyginant su įprasta klinikine praktika</w:t>
            </w:r>
          </w:p>
          <w:p w14:paraId="1EED7901" w14:textId="77777777" w:rsidR="00B13D65" w:rsidRPr="00015C7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015C7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4B35AE">
        <w:trPr>
          <w:trHeight w:val="510"/>
        </w:trPr>
        <w:tc>
          <w:tcPr>
            <w:tcW w:w="9629" w:type="dxa"/>
            <w:gridSpan w:val="2"/>
            <w:shd w:val="clear" w:color="auto" w:fill="auto"/>
            <w:vAlign w:val="center"/>
          </w:tcPr>
          <w:p w14:paraId="0247EDAD" w14:textId="7FBBB759" w:rsidR="00B13D65" w:rsidRPr="00015C71"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015C71">
              <w:rPr>
                <w:rStyle w:val="Style2"/>
                <w:rFonts w:eastAsia="MS Gothic"/>
                <w:b/>
                <w:bCs/>
                <w:sz w:val="24"/>
              </w:rPr>
              <w:lastRenderedPageBreak/>
              <w:t>Kaštų naudingumas</w:t>
            </w:r>
          </w:p>
        </w:tc>
      </w:tr>
      <w:tr w:rsidR="00B13D65" w:rsidRPr="00E33EFF" w14:paraId="7091A05B" w14:textId="77777777" w:rsidTr="004B35AE">
        <w:tc>
          <w:tcPr>
            <w:tcW w:w="4815" w:type="dxa"/>
            <w:shd w:val="clear" w:color="auto" w:fill="auto"/>
          </w:tcPr>
          <w:p w14:paraId="69B2A994" w14:textId="69C9B885" w:rsidR="00B13D65" w:rsidRPr="00015C7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015C71">
                  <w:rPr>
                    <w:rStyle w:val="Style2"/>
                    <w:rFonts w:ascii="MS Gothic" w:eastAsia="MS Gothic" w:hAnsi="MS Gothic" w:hint="eastAsia"/>
                    <w:sz w:val="24"/>
                  </w:rPr>
                  <w:t>☐</w:t>
                </w:r>
              </w:sdtContent>
            </w:sdt>
            <w:r w:rsidR="00B13D65" w:rsidRPr="00015C71">
              <w:t xml:space="preserve"> 32.3. atitinka referencinę naudingumo vertę, netaikant PGS</w:t>
            </w:r>
          </w:p>
          <w:p w14:paraId="3F76F153" w14:textId="77777777" w:rsidR="00662983" w:rsidRPr="00015C7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21A45F6" w:rsidR="00B13D65" w:rsidRPr="00015C7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015C71">
                  <w:rPr>
                    <w:rStyle w:val="Style2"/>
                    <w:rFonts w:ascii="Segoe UI Symbol" w:eastAsia="MS Gothic" w:hAnsi="Segoe UI Symbol" w:cs="Segoe UI Symbol"/>
                    <w:sz w:val="24"/>
                  </w:rPr>
                  <w:t>☐</w:t>
                </w:r>
              </w:sdtContent>
            </w:sdt>
            <w:r w:rsidR="00B13D65" w:rsidRPr="00015C71">
              <w:t xml:space="preserve"> 32.3. gydymo juo kaštai yra mažesni ar tokie patys esant iš esmės nesiskiriančiam palyginamajam efektyvumui, netaikant PGS</w:t>
            </w:r>
            <w:r w:rsidR="00B00959" w:rsidRPr="00015C71">
              <w:t>, lyginant su įprasta klinikine praktika</w:t>
            </w:r>
          </w:p>
          <w:p w14:paraId="25E4BD1E" w14:textId="77777777" w:rsidR="00B13D65" w:rsidRPr="00015C7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shd w:val="clear" w:color="auto" w:fill="auto"/>
          </w:tcPr>
          <w:p w14:paraId="53380063" w14:textId="48A92CBD" w:rsidR="00B13D65" w:rsidRPr="00015C7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015C71">
                  <w:rPr>
                    <w:rStyle w:val="Style2"/>
                    <w:rFonts w:ascii="MS Gothic" w:eastAsia="MS Gothic" w:hAnsi="MS Gothic" w:hint="eastAsia"/>
                    <w:sz w:val="24"/>
                  </w:rPr>
                  <w:t>☒</w:t>
                </w:r>
              </w:sdtContent>
            </w:sdt>
            <w:r w:rsidR="00B13D65" w:rsidRPr="00015C71">
              <w:t xml:space="preserve"> 33.3. neatitinka referencinės naudingumo vertės Lietuvos Respublikoje</w:t>
            </w:r>
          </w:p>
          <w:p w14:paraId="229ED51A" w14:textId="77777777" w:rsidR="00662983" w:rsidRPr="00015C7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5A179F08" w:rsidR="00B13D65" w:rsidRPr="00015C7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015C71">
                  <w:rPr>
                    <w:rStyle w:val="Style2"/>
                    <w:rFonts w:ascii="Segoe UI Symbol" w:eastAsia="MS Gothic" w:hAnsi="Segoe UI Symbol" w:cs="Segoe UI Symbol"/>
                    <w:sz w:val="24"/>
                  </w:rPr>
                  <w:t>☐</w:t>
                </w:r>
              </w:sdtContent>
            </w:sdt>
            <w:r w:rsidR="00B13D65" w:rsidRPr="00015C71">
              <w:t xml:space="preserve"> 33.3. gydymo juo kaštai yra didesni esant iš esmės nesiskiriančiam palyginamajam efektyvumui, </w:t>
            </w:r>
            <w:r w:rsidR="004B35AE" w:rsidRPr="00015C71">
              <w:t>net</w:t>
            </w:r>
            <w:r w:rsidR="00B13D65" w:rsidRPr="00015C71">
              <w:t>aikant PGS</w:t>
            </w:r>
            <w:r w:rsidR="00B00959" w:rsidRPr="00015C71">
              <w:t>, lyginant su įprasta klinikine praktika</w:t>
            </w:r>
          </w:p>
          <w:p w14:paraId="4A9C7D2A" w14:textId="77777777" w:rsidR="00662983" w:rsidRPr="00015C71"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015C71"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015C71">
                  <w:rPr>
                    <w:rStyle w:val="Style2"/>
                    <w:rFonts w:ascii="Segoe UI Symbol" w:eastAsia="MS Gothic" w:hAnsi="Segoe UI Symbol" w:cs="Segoe UI Symbol"/>
                    <w:sz w:val="24"/>
                  </w:rPr>
                  <w:t>☐</w:t>
                </w:r>
              </w:sdtContent>
            </w:sdt>
            <w:r w:rsidR="00B13D65" w:rsidRPr="00015C71">
              <w:t xml:space="preserve"> 33.3. pateikti duomenys apie kaštų na</w:t>
            </w:r>
            <w:r w:rsidR="00662983" w:rsidRPr="00015C71">
              <w:t>udingumą yra netinkami vertinti</w:t>
            </w:r>
          </w:p>
          <w:p w14:paraId="470A48A4" w14:textId="77777777" w:rsidR="00B13D65" w:rsidRPr="00015C71"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3B2D1F25" w14:textId="3A80E19F" w:rsidR="000001B0" w:rsidRPr="00015C71" w:rsidRDefault="000001B0" w:rsidP="00CC09D4">
      <w:pPr>
        <w:pStyle w:val="ListParagraph"/>
        <w:numPr>
          <w:ilvl w:val="0"/>
          <w:numId w:val="12"/>
        </w:numPr>
        <w:ind w:left="567" w:hanging="567"/>
      </w:pPr>
      <w:r w:rsidRPr="00015C71">
        <w:rPr>
          <w:b/>
        </w:rPr>
        <w:t>REKOME</w:t>
      </w:r>
      <w:r w:rsidR="00D83182" w:rsidRPr="00015C71">
        <w:rPr>
          <w:b/>
        </w:rPr>
        <w:t>N</w:t>
      </w:r>
      <w:r w:rsidRPr="00015C71">
        <w:rPr>
          <w:b/>
        </w:rPr>
        <w:t>DACIJA</w:t>
      </w:r>
    </w:p>
    <w:p w14:paraId="1BF9BF66" w14:textId="77777777" w:rsidR="00015C71" w:rsidRPr="00015C71" w:rsidRDefault="00015C71" w:rsidP="00015C71">
      <w:pPr>
        <w:rPr>
          <w:b/>
        </w:rPr>
      </w:pPr>
    </w:p>
    <w:p w14:paraId="57307003" w14:textId="77777777" w:rsidR="00015C71" w:rsidRPr="00E33EFF" w:rsidRDefault="00015C71" w:rsidP="00E854AF">
      <w:pPr>
        <w:spacing w:line="360" w:lineRule="auto"/>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 </w:t>
      </w:r>
    </w:p>
    <w:p w14:paraId="784619A0" w14:textId="612F647D" w:rsidR="00015C71" w:rsidRPr="008567E9" w:rsidRDefault="00015C71" w:rsidP="00E854AF">
      <w:pPr>
        <w:spacing w:line="360" w:lineRule="auto"/>
        <w:jc w:val="both"/>
      </w:pPr>
      <w:r w:rsidRPr="00E33EFF">
        <w:t xml:space="preserve">34.4. rekomenduojama </w:t>
      </w:r>
      <w:r w:rsidRPr="00015C71">
        <w:rPr>
          <w:i/>
        </w:rPr>
        <w:t xml:space="preserve">nekompensuoti </w:t>
      </w:r>
      <w:r w:rsidRPr="00E33EFF">
        <w:t>vaistinio prepa</w:t>
      </w:r>
      <w:r>
        <w:t xml:space="preserve">rato pagal paraiškoje nurodytą </w:t>
      </w:r>
      <w:r w:rsidRPr="00E33EFF">
        <w:t xml:space="preserve">indikaciją </w:t>
      </w:r>
      <w:r>
        <w:t>su skyrimo sąlygomis</w:t>
      </w:r>
      <w:r w:rsidRPr="00E33EFF">
        <w:t xml:space="preserve">, </w:t>
      </w:r>
      <w:r>
        <w:t>netaikant PGS</w:t>
      </w:r>
      <w:r w:rsidRPr="00E33EFF">
        <w:t xml:space="preserve"> dėl vertinimo išvadų</w:t>
      </w:r>
      <w:r>
        <w:t xml:space="preserve">, nurodytų 33.3 papunktyje, </w:t>
      </w:r>
      <w:r w:rsidRPr="00E33EFF">
        <w:t xml:space="preserve"> neatitikties </w:t>
      </w:r>
      <w:r w:rsidRPr="003D6208">
        <w:t>34.1 papunktyje išdėstytoms sąlygoms</w:t>
      </w:r>
      <w:r>
        <w:t>.</w:t>
      </w:r>
    </w:p>
    <w:p w14:paraId="7D5C6700" w14:textId="77777777" w:rsidR="00D5470B" w:rsidRPr="004B35AE" w:rsidRDefault="00D5470B" w:rsidP="00E854AF">
      <w:pPr>
        <w:pStyle w:val="ListParagraph"/>
        <w:spacing w:line="360" w:lineRule="auto"/>
        <w:ind w:left="426"/>
      </w:pPr>
    </w:p>
    <w:p w14:paraId="52A1D868" w14:textId="77777777" w:rsidR="00C07BB2" w:rsidRPr="00FE303B" w:rsidRDefault="00C07BB2" w:rsidP="00E854AF">
      <w:pPr>
        <w:shd w:val="clear" w:color="auto" w:fill="FFFFFF"/>
        <w:spacing w:line="360" w:lineRule="auto"/>
        <w:jc w:val="both"/>
        <w:rPr>
          <w:bCs/>
          <w:i/>
        </w:rPr>
      </w:pPr>
      <w:bookmarkStart w:id="0" w:name="_Hlk178374343"/>
      <w:r w:rsidRPr="00FE303B">
        <w:rPr>
          <w:bCs/>
          <w:i/>
        </w:rPr>
        <w:t>Papildom</w:t>
      </w:r>
      <w:r>
        <w:rPr>
          <w:bCs/>
          <w:i/>
        </w:rPr>
        <w:t>os</w:t>
      </w:r>
      <w:r w:rsidRPr="00FE303B">
        <w:rPr>
          <w:bCs/>
          <w:i/>
        </w:rPr>
        <w:t xml:space="preserve"> pastabos ir pasiūlymai</w:t>
      </w:r>
    </w:p>
    <w:p w14:paraId="25F7FF60" w14:textId="7CA6E354" w:rsidR="00C07BB2" w:rsidRPr="004817CE" w:rsidRDefault="00C07BB2" w:rsidP="00E854AF">
      <w:pPr>
        <w:shd w:val="clear" w:color="auto" w:fill="FFFFFF"/>
        <w:spacing w:line="360" w:lineRule="auto"/>
        <w:jc w:val="both"/>
        <w:rPr>
          <w:bCs/>
        </w:rPr>
      </w:pPr>
      <w:r>
        <w:rPr>
          <w:bCs/>
        </w:rPr>
        <w:t>A</w:t>
      </w:r>
      <w:r w:rsidRPr="004817CE">
        <w:rPr>
          <w:bCs/>
        </w:rPr>
        <w:t xml:space="preserve">tsižvelgiant į </w:t>
      </w:r>
      <w:r>
        <w:rPr>
          <w:bCs/>
        </w:rPr>
        <w:t>papildomą gydymo Nubeqa sukuriamą naudą Tarnyba</w:t>
      </w:r>
      <w:r w:rsidRPr="004817CE" w:rsidDel="008074EB">
        <w:rPr>
          <w:bCs/>
        </w:rPr>
        <w:t xml:space="preserve"> </w:t>
      </w:r>
      <w:r w:rsidRPr="004817CE">
        <w:rPr>
          <w:bCs/>
        </w:rPr>
        <w:t>vadovauja</w:t>
      </w:r>
      <w:r>
        <w:rPr>
          <w:bCs/>
        </w:rPr>
        <w:t>masi</w:t>
      </w:r>
      <w:r w:rsidRPr="004817CE">
        <w:rPr>
          <w:bCs/>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FE303B">
        <w:rPr>
          <w:b/>
          <w:bCs/>
        </w:rPr>
        <w:t>kompensuoti</w:t>
      </w:r>
      <w:r w:rsidRPr="004817CE">
        <w:rPr>
          <w:bCs/>
        </w:rPr>
        <w:t xml:space="preserve"> vaistinį preparatą</w:t>
      </w:r>
      <w:r>
        <w:rPr>
          <w:bCs/>
        </w:rPr>
        <w:t xml:space="preserve"> darolutamidas (Nubeqa) 8 skyriuje nurodytoms indikacijoms, su sąlyga jog N</w:t>
      </w:r>
      <w:r w:rsidR="001F3ECF">
        <w:rPr>
          <w:bCs/>
        </w:rPr>
        <w:t xml:space="preserve">ubeqa kaina bus sumažinta bent </w:t>
      </w:r>
      <w:r w:rsidR="00B760E4">
        <w:rPr>
          <w:bCs/>
        </w:rPr>
        <w:t>**</w:t>
      </w:r>
      <w:r>
        <w:rPr>
          <w:bCs/>
        </w:rPr>
        <w:t xml:space="preserve"> tokiu atveju laikoma, jog gydymas Nubeqa yra kaštams naudingas.</w:t>
      </w:r>
    </w:p>
    <w:bookmarkEnd w:id="0"/>
    <w:p w14:paraId="209C0E87" w14:textId="77777777" w:rsidR="004B35AE" w:rsidRPr="004B35AE" w:rsidRDefault="004B35AE" w:rsidP="000E59A8">
      <w:pPr>
        <w:spacing w:line="360" w:lineRule="auto"/>
        <w:jc w:val="both"/>
      </w:pPr>
    </w:p>
    <w:p w14:paraId="18B4292E" w14:textId="0B054868" w:rsidR="000723FF" w:rsidRPr="00C83718" w:rsidRDefault="00CC09D4" w:rsidP="00CC09D4">
      <w:pPr>
        <w:tabs>
          <w:tab w:val="left" w:pos="567"/>
        </w:tabs>
        <w:ind w:left="567" w:hanging="567"/>
        <w:jc w:val="both"/>
        <w:rPr>
          <w:b/>
          <w:color w:val="000000"/>
          <w:lang w:eastAsia="lt-LT"/>
        </w:rPr>
      </w:pPr>
      <w:r w:rsidRPr="00C83718">
        <w:rPr>
          <w:b/>
          <w:color w:val="000000"/>
          <w:lang w:eastAsia="lt-LT"/>
        </w:rPr>
        <w:t>8.</w:t>
      </w:r>
      <w:r w:rsidRPr="00C83718">
        <w:rPr>
          <w:b/>
          <w:color w:val="000000"/>
          <w:lang w:eastAsia="lt-LT"/>
        </w:rPr>
        <w:tab/>
      </w:r>
      <w:r w:rsidR="000723FF" w:rsidRPr="00C83718">
        <w:rPr>
          <w:b/>
          <w:color w:val="000000"/>
          <w:lang w:eastAsia="lt-LT"/>
        </w:rPr>
        <w:t xml:space="preserve">SIŪLOMOS KOMPENSUOTI TERAPINĖS </w:t>
      </w:r>
      <w:r w:rsidR="0063234F" w:rsidRPr="00C83718">
        <w:rPr>
          <w:b/>
          <w:color w:val="000000"/>
          <w:lang w:eastAsia="lt-LT"/>
        </w:rPr>
        <w:t>INDIKACIJOS IR SKYRIMO SĄLYGOS</w:t>
      </w:r>
    </w:p>
    <w:p w14:paraId="691340BB" w14:textId="77777777" w:rsidR="000723FF" w:rsidRPr="00C83718" w:rsidRDefault="000723FF" w:rsidP="000723FF">
      <w:pPr>
        <w:tabs>
          <w:tab w:val="left" w:pos="426"/>
        </w:tabs>
        <w:jc w:val="both"/>
        <w:rPr>
          <w:b/>
          <w:color w:val="000000"/>
          <w:lang w:eastAsia="lt-LT"/>
        </w:rPr>
      </w:pPr>
    </w:p>
    <w:p w14:paraId="150EF998" w14:textId="77777777" w:rsidR="0063234F" w:rsidRPr="00C83718" w:rsidRDefault="0063234F" w:rsidP="0063234F">
      <w:pPr>
        <w:pStyle w:val="NoSpacing"/>
        <w:spacing w:line="360" w:lineRule="auto"/>
        <w:outlineLvl w:val="0"/>
        <w:rPr>
          <w:rFonts w:ascii="Times New Roman" w:hAnsi="Times New Roman"/>
          <w:b/>
          <w:sz w:val="24"/>
          <w:szCs w:val="24"/>
          <w:lang w:eastAsia="lt-LT"/>
        </w:rPr>
      </w:pPr>
      <w:r w:rsidRPr="00C83718">
        <w:rPr>
          <w:rFonts w:ascii="Times New Roman" w:hAnsi="Times New Roman"/>
          <w:b/>
          <w:sz w:val="24"/>
          <w:szCs w:val="24"/>
          <w:lang w:eastAsia="lt-LT"/>
        </w:rPr>
        <w:t>Terapinės indikacijos</w:t>
      </w:r>
    </w:p>
    <w:p w14:paraId="7A8A05F2" w14:textId="41E364C9" w:rsidR="0063234F" w:rsidRPr="00C83718" w:rsidRDefault="0063234F" w:rsidP="0063234F">
      <w:pPr>
        <w:pStyle w:val="NoSpacing"/>
        <w:spacing w:line="360" w:lineRule="auto"/>
        <w:rPr>
          <w:rFonts w:ascii="Times New Roman" w:hAnsi="Times New Roman"/>
          <w:sz w:val="24"/>
          <w:szCs w:val="24"/>
        </w:rPr>
      </w:pPr>
      <w:r w:rsidRPr="00C83718">
        <w:rPr>
          <w:rStyle w:val="Style2"/>
          <w:rFonts w:ascii="MS Gothic" w:eastAsia="MS Gothic" w:hAnsi="MS Gothic" w:hint="eastAsia"/>
          <w:sz w:val="24"/>
          <w:szCs w:val="24"/>
        </w:rPr>
        <w:t>☒</w:t>
      </w:r>
      <w:r w:rsidRPr="00C83718">
        <w:t xml:space="preserve"> </w:t>
      </w:r>
      <w:r w:rsidRPr="00C83718">
        <w:rPr>
          <w:rFonts w:ascii="Times New Roman" w:hAnsi="Times New Roman"/>
          <w:sz w:val="24"/>
          <w:szCs w:val="24"/>
        </w:rPr>
        <w:t>Siūloma kompensuoti Pareiškėjo teikiamą indikaciją be pakeitimų</w:t>
      </w:r>
      <w:r w:rsidR="0032683E" w:rsidRPr="00C83718">
        <w:rPr>
          <w:rFonts w:ascii="Times New Roman" w:hAnsi="Times New Roman"/>
          <w:sz w:val="24"/>
          <w:szCs w:val="24"/>
        </w:rPr>
        <w:t>.</w:t>
      </w:r>
      <w:r w:rsidRPr="00C83718">
        <w:rPr>
          <w:rFonts w:ascii="Times New Roman" w:hAnsi="Times New Roman"/>
          <w:sz w:val="24"/>
          <w:szCs w:val="24"/>
        </w:rPr>
        <w:t xml:space="preserve"> </w:t>
      </w:r>
    </w:p>
    <w:p w14:paraId="5D1EB89B" w14:textId="77777777" w:rsidR="00C72447" w:rsidRPr="00C83718" w:rsidRDefault="00C72447" w:rsidP="00C72447">
      <w:pPr>
        <w:pStyle w:val="NoSpacing"/>
        <w:spacing w:line="360" w:lineRule="auto"/>
        <w:jc w:val="both"/>
        <w:rPr>
          <w:rFonts w:ascii="Times New Roman" w:hAnsi="Times New Roman"/>
          <w:sz w:val="24"/>
          <w:szCs w:val="24"/>
        </w:rPr>
      </w:pPr>
      <w:r w:rsidRPr="00C83718">
        <w:rPr>
          <w:rFonts w:ascii="Times New Roman" w:hAnsi="Times New Roman"/>
          <w:sz w:val="24"/>
          <w:szCs w:val="24"/>
        </w:rPr>
        <w:lastRenderedPageBreak/>
        <w:t>NUBEQA skirtas gydyti suaugusiems vyrams, sergantiems metastazavusiu hormonams jautriu prostatos vėžiu (mHJPV), kartu skiriant docetakselį ir androgenų deprivacijos terapiją.</w:t>
      </w:r>
    </w:p>
    <w:p w14:paraId="3963E62B" w14:textId="77777777" w:rsidR="0063234F" w:rsidRPr="00C83718" w:rsidRDefault="0063234F" w:rsidP="0063234F">
      <w:pPr>
        <w:pStyle w:val="NoSpacing"/>
        <w:spacing w:line="360" w:lineRule="auto"/>
        <w:rPr>
          <w:rFonts w:ascii="Times New Roman" w:hAnsi="Times New Roman"/>
          <w:sz w:val="24"/>
          <w:szCs w:val="24"/>
        </w:rPr>
      </w:pPr>
    </w:p>
    <w:p w14:paraId="4881E380" w14:textId="77777777" w:rsidR="0063234F" w:rsidRPr="00C83718" w:rsidRDefault="0063234F" w:rsidP="0063234F">
      <w:pPr>
        <w:pStyle w:val="NoSpacing"/>
        <w:spacing w:line="360" w:lineRule="auto"/>
        <w:outlineLvl w:val="0"/>
        <w:rPr>
          <w:rFonts w:ascii="Times New Roman" w:hAnsi="Times New Roman"/>
          <w:b/>
          <w:sz w:val="24"/>
          <w:szCs w:val="24"/>
        </w:rPr>
      </w:pPr>
      <w:r w:rsidRPr="00C83718">
        <w:rPr>
          <w:rFonts w:ascii="Times New Roman" w:hAnsi="Times New Roman"/>
          <w:b/>
          <w:sz w:val="24"/>
          <w:szCs w:val="24"/>
        </w:rPr>
        <w:t>Skyrimo sąlygos</w:t>
      </w:r>
    </w:p>
    <w:p w14:paraId="68C905D4" w14:textId="5BAB9050" w:rsidR="00C83718" w:rsidRPr="00C72447" w:rsidRDefault="00000000" w:rsidP="00C72447">
      <w:pPr>
        <w:pStyle w:val="NoSpacing"/>
        <w:spacing w:line="360" w:lineRule="auto"/>
        <w:rPr>
          <w:rFonts w:ascii="Times New Roman" w:hAnsi="Times New Roman"/>
          <w:sz w:val="24"/>
          <w:szCs w:val="24"/>
        </w:rPr>
      </w:pPr>
      <w:sdt>
        <w:sdtPr>
          <w:rPr>
            <w:rStyle w:val="Style2"/>
            <w:rFonts w:ascii="Times New Roman" w:hAnsi="Times New Roman"/>
            <w:sz w:val="24"/>
            <w:szCs w:val="24"/>
          </w:rPr>
          <w:id w:val="-394818678"/>
        </w:sdtPr>
        <w:sdtContent>
          <w:sdt>
            <w:sdtPr>
              <w:rPr>
                <w:rStyle w:val="Style2"/>
                <w:rFonts w:ascii="Times New Roman" w:hAnsi="Times New Roman"/>
                <w:sz w:val="24"/>
                <w:szCs w:val="24"/>
              </w:rPr>
              <w:id w:val="1402716141"/>
            </w:sdtPr>
            <w:sdtContent>
              <w:r w:rsidR="0063234F" w:rsidRPr="00C83718">
                <w:rPr>
                  <w:rStyle w:val="Style2"/>
                  <w:rFonts w:ascii="MS Gothic" w:eastAsia="MS Gothic" w:hAnsi="MS Gothic" w:hint="eastAsia"/>
                  <w:sz w:val="24"/>
                  <w:szCs w:val="24"/>
                </w:rPr>
                <w:t>☒</w:t>
              </w:r>
            </w:sdtContent>
          </w:sdt>
        </w:sdtContent>
      </w:sdt>
      <w:r w:rsidR="0063234F" w:rsidRPr="00C83718">
        <w:rPr>
          <w:rStyle w:val="Style2"/>
          <w:rFonts w:ascii="Times New Roman" w:eastAsia="MS Gothic" w:hAnsi="Times New Roman"/>
          <w:sz w:val="24"/>
          <w:szCs w:val="24"/>
        </w:rPr>
        <w:t xml:space="preserve"> </w:t>
      </w:r>
      <w:r w:rsidR="0063234F" w:rsidRPr="00C83718">
        <w:rPr>
          <w:rFonts w:ascii="Times New Roman" w:hAnsi="Times New Roman"/>
          <w:sz w:val="24"/>
          <w:szCs w:val="24"/>
        </w:rPr>
        <w:t>Pareiškėjo siūlomos skyrimo sąlygos priimtinos</w:t>
      </w:r>
      <w:r w:rsidR="00C72447" w:rsidRPr="00C83718">
        <w:rPr>
          <w:rFonts w:ascii="Times New Roman" w:hAnsi="Times New Roman"/>
          <w:sz w:val="24"/>
          <w:szCs w:val="24"/>
        </w:rPr>
        <w:t>.</w:t>
      </w:r>
    </w:p>
    <w:sectPr w:rsidR="00C83718" w:rsidRPr="00C72447"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48F11" w14:textId="77777777" w:rsidR="000B1A98" w:rsidRDefault="000B1A98">
      <w:r>
        <w:separator/>
      </w:r>
    </w:p>
  </w:endnote>
  <w:endnote w:type="continuationSeparator" w:id="0">
    <w:p w14:paraId="22531D78" w14:textId="77777777" w:rsidR="000B1A98" w:rsidRDefault="000B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99AC" w14:textId="0A5AB8F2" w:rsidR="008F2323" w:rsidRDefault="008F2323">
    <w:pPr>
      <w:pStyle w:val="Footer"/>
    </w:pPr>
    <w:r>
      <w:rPr>
        <w:noProof/>
      </w:rPr>
      <mc:AlternateContent>
        <mc:Choice Requires="wps">
          <w:drawing>
            <wp:anchor distT="0" distB="0" distL="0" distR="0" simplePos="0" relativeHeight="251659264" behindDoc="0" locked="0" layoutInCell="1" allowOverlap="1" wp14:anchorId="5575CB58" wp14:editId="60C2C36D">
              <wp:simplePos x="635" y="635"/>
              <wp:positionH relativeFrom="page">
                <wp:align>right</wp:align>
              </wp:positionH>
              <wp:positionV relativeFrom="page">
                <wp:align>bottom</wp:align>
              </wp:positionV>
              <wp:extent cx="1622425" cy="531495"/>
              <wp:effectExtent l="0" t="0" r="0" b="0"/>
              <wp:wrapNone/>
              <wp:docPr id="305207621"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78D37D9A" w14:textId="64866D69" w:rsidR="008F2323" w:rsidRPr="008F2323" w:rsidRDefault="008F2323" w:rsidP="008F2323">
                          <w:pPr>
                            <w:rPr>
                              <w:rFonts w:ascii="Calibri" w:eastAsia="Calibri" w:hAnsi="Calibri" w:cs="Calibri"/>
                              <w:noProof/>
                              <w:color w:val="FF8939"/>
                              <w:sz w:val="44"/>
                              <w:szCs w:val="44"/>
                            </w:rPr>
                          </w:pPr>
                          <w:r w:rsidRPr="008F2323">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75CB58" id="_x0000_t202" coordsize="21600,21600" o:spt="202" path="m,l,21600r21600,l21600,xe">
              <v:stroke joinstyle="miter"/>
              <v:path gradientshapeok="t" o:connecttype="rect"/>
            </v:shapetype>
            <v:shape id="Text Box 2" o:spid="_x0000_s1026" type="#_x0000_t202" alt="RESTRICTED" style="position:absolute;margin-left:76.55pt;margin-top:0;width:127.75pt;height:41.8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" filled="f" stroked="f">
              <v:fill o:detectmouseclick="t"/>
              <v:textbox style="mso-fit-shape-to-text:t" inset="0,0,20pt,15pt">
                <w:txbxContent>
                  <w:p w14:paraId="78D37D9A" w14:textId="64866D69" w:rsidR="008F2323" w:rsidRPr="008F2323" w:rsidRDefault="008F2323" w:rsidP="008F2323">
                    <w:pPr>
                      <w:rPr>
                        <w:rFonts w:ascii="Calibri" w:eastAsia="Calibri" w:hAnsi="Calibri" w:cs="Calibri"/>
                        <w:noProof/>
                        <w:color w:val="FF8939"/>
                        <w:sz w:val="44"/>
                        <w:szCs w:val="44"/>
                      </w:rPr>
                    </w:pPr>
                    <w:r w:rsidRPr="008F2323">
                      <w:rPr>
                        <w:rFonts w:ascii="Calibri" w:eastAsia="Calibri" w:hAnsi="Calibri" w:cs="Calibri"/>
                        <w:noProof/>
                        <w:color w:val="FF8939"/>
                        <w:sz w:val="44"/>
                        <w:szCs w:val="44"/>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C8F4C" w14:textId="0B48B4B5" w:rsidR="008F2323" w:rsidRDefault="008F2323">
    <w:pPr>
      <w:pStyle w:val="Footer"/>
    </w:pPr>
    <w:r>
      <w:rPr>
        <w:noProof/>
      </w:rPr>
      <mc:AlternateContent>
        <mc:Choice Requires="wps">
          <w:drawing>
            <wp:anchor distT="0" distB="0" distL="0" distR="0" simplePos="0" relativeHeight="251660288" behindDoc="0" locked="0" layoutInCell="1" allowOverlap="1" wp14:anchorId="7F492A30" wp14:editId="643C53D6">
              <wp:simplePos x="635" y="635"/>
              <wp:positionH relativeFrom="page">
                <wp:align>right</wp:align>
              </wp:positionH>
              <wp:positionV relativeFrom="page">
                <wp:align>bottom</wp:align>
              </wp:positionV>
              <wp:extent cx="1622425" cy="531495"/>
              <wp:effectExtent l="0" t="0" r="0" b="0"/>
              <wp:wrapNone/>
              <wp:docPr id="1884433829" name="Text Box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1183E479" w14:textId="0BE0C0AA" w:rsidR="008F2323" w:rsidRPr="008F2323" w:rsidRDefault="008F2323" w:rsidP="008F2323">
                          <w:pPr>
                            <w:rPr>
                              <w:rFonts w:ascii="Calibri" w:eastAsia="Calibri" w:hAnsi="Calibri" w:cs="Calibri"/>
                              <w:noProof/>
                              <w:color w:val="FF8939"/>
                              <w:sz w:val="44"/>
                              <w:szCs w:val="44"/>
                            </w:rPr>
                          </w:pPr>
                          <w:r w:rsidRPr="008F2323">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F492A30" id="_x0000_t202" coordsize="21600,21600" o:spt="202" path="m,l,21600r21600,l21600,xe">
              <v:stroke joinstyle="miter"/>
              <v:path gradientshapeok="t" o:connecttype="rect"/>
            </v:shapetype>
            <v:shape id="Text Box 3" o:spid="_x0000_s1027" type="#_x0000_t202" alt="RESTRICTED" style="position:absolute;margin-left:76.55pt;margin-top:0;width:127.75pt;height:41.8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" filled="f" stroked="f">
              <v:fill o:detectmouseclick="t"/>
              <v:textbox style="mso-fit-shape-to-text:t" inset="0,0,20pt,15pt">
                <w:txbxContent>
                  <w:p w14:paraId="1183E479" w14:textId="0BE0C0AA" w:rsidR="008F2323" w:rsidRPr="008F2323" w:rsidRDefault="008F2323" w:rsidP="008F2323">
                    <w:pPr>
                      <w:rPr>
                        <w:rFonts w:ascii="Calibri" w:eastAsia="Calibri" w:hAnsi="Calibri" w:cs="Calibri"/>
                        <w:noProof/>
                        <w:color w:val="FF8939"/>
                        <w:sz w:val="44"/>
                        <w:szCs w:val="44"/>
                      </w:rPr>
                    </w:pPr>
                    <w:r w:rsidRPr="008F2323">
                      <w:rPr>
                        <w:rFonts w:ascii="Calibri" w:eastAsia="Calibri" w:hAnsi="Calibri" w:cs="Calibri"/>
                        <w:noProof/>
                        <w:color w:val="FF8939"/>
                        <w:sz w:val="44"/>
                        <w:szCs w:val="44"/>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B13452D" w:rsidR="00347FAA" w:rsidRDefault="008F2323">
    <w:pPr>
      <w:pStyle w:val="Footer"/>
      <w:jc w:val="right"/>
      <w:rPr>
        <w:i/>
        <w:sz w:val="16"/>
        <w:szCs w:val="16"/>
      </w:rPr>
    </w:pPr>
    <w:r>
      <w:rPr>
        <w:i/>
        <w:noProof/>
        <w:sz w:val="16"/>
        <w:szCs w:val="16"/>
      </w:rPr>
      <mc:AlternateContent>
        <mc:Choice Requires="wps">
          <w:drawing>
            <wp:anchor distT="0" distB="0" distL="0" distR="0" simplePos="0" relativeHeight="251658240" behindDoc="0" locked="0" layoutInCell="1" allowOverlap="1" wp14:anchorId="2D51BDB8" wp14:editId="540B4FAE">
              <wp:simplePos x="635" y="635"/>
              <wp:positionH relativeFrom="page">
                <wp:align>right</wp:align>
              </wp:positionH>
              <wp:positionV relativeFrom="page">
                <wp:align>bottom</wp:align>
              </wp:positionV>
              <wp:extent cx="1622425" cy="531495"/>
              <wp:effectExtent l="0" t="0" r="0" b="0"/>
              <wp:wrapNone/>
              <wp:docPr id="1946098312" name="Text Box 1"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22425" cy="531495"/>
                      </a:xfrm>
                      <a:prstGeom prst="rect">
                        <a:avLst/>
                      </a:prstGeom>
                      <a:noFill/>
                      <a:ln>
                        <a:noFill/>
                      </a:ln>
                    </wps:spPr>
                    <wps:txbx>
                      <w:txbxContent>
                        <w:p w14:paraId="2D774AFD" w14:textId="54849231" w:rsidR="008F2323" w:rsidRPr="008F2323" w:rsidRDefault="008F2323" w:rsidP="008F2323">
                          <w:pPr>
                            <w:rPr>
                              <w:rFonts w:ascii="Calibri" w:eastAsia="Calibri" w:hAnsi="Calibri" w:cs="Calibri"/>
                              <w:noProof/>
                              <w:color w:val="FF8939"/>
                              <w:sz w:val="44"/>
                              <w:szCs w:val="44"/>
                            </w:rPr>
                          </w:pPr>
                          <w:r w:rsidRPr="008F2323">
                            <w:rPr>
                              <w:rFonts w:ascii="Calibri" w:eastAsia="Calibri" w:hAnsi="Calibri" w:cs="Calibri"/>
                              <w:noProof/>
                              <w:color w:val="FF8939"/>
                              <w:sz w:val="44"/>
                              <w:szCs w:val="44"/>
                            </w:rPr>
                            <w:t>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51BDB8" id="_x0000_t202" coordsize="21600,21600" o:spt="202" path="m,l,21600r21600,l21600,xe">
              <v:stroke joinstyle="miter"/>
              <v:path gradientshapeok="t" o:connecttype="rect"/>
            </v:shapetype>
            <v:shape id="Text Box 1" o:spid="_x0000_s1028" type="#_x0000_t202" alt="RESTRICTED" style="position:absolute;left:0;text-align:left;margin-left:76.55pt;margin-top:0;width:127.75pt;height:41.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" filled="f" stroked="f">
              <v:fill o:detectmouseclick="t"/>
              <v:textbox style="mso-fit-shape-to-text:t" inset="0,0,20pt,15pt">
                <w:txbxContent>
                  <w:p w14:paraId="2D774AFD" w14:textId="54849231" w:rsidR="008F2323" w:rsidRPr="008F2323" w:rsidRDefault="008F2323" w:rsidP="008F2323">
                    <w:pPr>
                      <w:rPr>
                        <w:rFonts w:ascii="Calibri" w:eastAsia="Calibri" w:hAnsi="Calibri" w:cs="Calibri"/>
                        <w:noProof/>
                        <w:color w:val="FF8939"/>
                        <w:sz w:val="44"/>
                        <w:szCs w:val="44"/>
                      </w:rPr>
                    </w:pPr>
                    <w:r w:rsidRPr="008F2323">
                      <w:rPr>
                        <w:rFonts w:ascii="Calibri" w:eastAsia="Calibri" w:hAnsi="Calibri" w:cs="Calibri"/>
                        <w:noProof/>
                        <w:color w:val="FF8939"/>
                        <w:sz w:val="44"/>
                        <w:szCs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C00EE" w14:textId="77777777" w:rsidR="000B1A98" w:rsidRDefault="000B1A98">
      <w:r>
        <w:separator/>
      </w:r>
    </w:p>
  </w:footnote>
  <w:footnote w:type="continuationSeparator" w:id="0">
    <w:p w14:paraId="558EF387" w14:textId="77777777" w:rsidR="000B1A98" w:rsidRDefault="000B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14B14E15"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3ECF">
      <w:rPr>
        <w:rStyle w:val="PageNumber"/>
        <w:noProof/>
      </w:rPr>
      <w:t>9</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D4D471C"/>
    <w:multiLevelType w:val="hybridMultilevel"/>
    <w:tmpl w:val="8A7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A31DD"/>
    <w:multiLevelType w:val="hybridMultilevel"/>
    <w:tmpl w:val="4E6E5EB4"/>
    <w:lvl w:ilvl="0" w:tplc="0409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6A0A4C"/>
    <w:multiLevelType w:val="hybridMultilevel"/>
    <w:tmpl w:val="A20041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7D537D"/>
    <w:multiLevelType w:val="hybridMultilevel"/>
    <w:tmpl w:val="CA8C0CF4"/>
    <w:lvl w:ilvl="0" w:tplc="A34AF8F0">
      <w:start w:val="301"/>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4942728"/>
    <w:multiLevelType w:val="hybridMultilevel"/>
    <w:tmpl w:val="52724CAA"/>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057E3E"/>
    <w:multiLevelType w:val="hybridMultilevel"/>
    <w:tmpl w:val="C5BAF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7C1C6E"/>
    <w:multiLevelType w:val="hybridMultilevel"/>
    <w:tmpl w:val="05C84B60"/>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8595219">
    <w:abstractNumId w:val="8"/>
  </w:num>
  <w:num w:numId="2" w16cid:durableId="1625579901">
    <w:abstractNumId w:val="1"/>
  </w:num>
  <w:num w:numId="3" w16cid:durableId="744644305">
    <w:abstractNumId w:val="11"/>
  </w:num>
  <w:num w:numId="4" w16cid:durableId="938029833">
    <w:abstractNumId w:val="10"/>
  </w:num>
  <w:num w:numId="5" w16cid:durableId="110055526">
    <w:abstractNumId w:val="7"/>
  </w:num>
  <w:num w:numId="6" w16cid:durableId="1165126671">
    <w:abstractNumId w:val="6"/>
  </w:num>
  <w:num w:numId="7" w16cid:durableId="2075543641">
    <w:abstractNumId w:val="3"/>
  </w:num>
  <w:num w:numId="8" w16cid:durableId="794447984">
    <w:abstractNumId w:val="15"/>
  </w:num>
  <w:num w:numId="9" w16cid:durableId="604388612">
    <w:abstractNumId w:val="0"/>
  </w:num>
  <w:num w:numId="10" w16cid:durableId="2131775569">
    <w:abstractNumId w:val="12"/>
  </w:num>
  <w:num w:numId="11" w16cid:durableId="781456173">
    <w:abstractNumId w:val="14"/>
  </w:num>
  <w:num w:numId="12" w16cid:durableId="86851164">
    <w:abstractNumId w:val="2"/>
  </w:num>
  <w:num w:numId="13" w16cid:durableId="138305669">
    <w:abstractNumId w:val="4"/>
  </w:num>
  <w:num w:numId="14" w16cid:durableId="1588462898">
    <w:abstractNumId w:val="5"/>
  </w:num>
  <w:num w:numId="15" w16cid:durableId="1575243738">
    <w:abstractNumId w:val="17"/>
  </w:num>
  <w:num w:numId="16" w16cid:durableId="723406357">
    <w:abstractNumId w:val="13"/>
  </w:num>
  <w:num w:numId="17" w16cid:durableId="1872953835">
    <w:abstractNumId w:val="9"/>
  </w:num>
  <w:num w:numId="18" w16cid:durableId="356003129">
    <w:abstractNumId w:val="18"/>
  </w:num>
  <w:num w:numId="19" w16cid:durableId="1381172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069B7"/>
    <w:rsid w:val="000114DD"/>
    <w:rsid w:val="000136F7"/>
    <w:rsid w:val="00015C71"/>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B1A98"/>
    <w:rsid w:val="000C454C"/>
    <w:rsid w:val="000D5038"/>
    <w:rsid w:val="000E29D4"/>
    <w:rsid w:val="000E59A8"/>
    <w:rsid w:val="000F3540"/>
    <w:rsid w:val="00100491"/>
    <w:rsid w:val="00104E2E"/>
    <w:rsid w:val="00107287"/>
    <w:rsid w:val="00117406"/>
    <w:rsid w:val="0012102E"/>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1F3ECF"/>
    <w:rsid w:val="0020381E"/>
    <w:rsid w:val="00204C33"/>
    <w:rsid w:val="00213471"/>
    <w:rsid w:val="00215906"/>
    <w:rsid w:val="002167F2"/>
    <w:rsid w:val="0024102C"/>
    <w:rsid w:val="00241CD8"/>
    <w:rsid w:val="00244B09"/>
    <w:rsid w:val="00246F8A"/>
    <w:rsid w:val="002519CB"/>
    <w:rsid w:val="002526D1"/>
    <w:rsid w:val="0025697F"/>
    <w:rsid w:val="00260258"/>
    <w:rsid w:val="0026588E"/>
    <w:rsid w:val="00272428"/>
    <w:rsid w:val="00272948"/>
    <w:rsid w:val="00285C0B"/>
    <w:rsid w:val="00292392"/>
    <w:rsid w:val="002946C7"/>
    <w:rsid w:val="002948CC"/>
    <w:rsid w:val="002B3CC1"/>
    <w:rsid w:val="002C09E0"/>
    <w:rsid w:val="002C1BB1"/>
    <w:rsid w:val="002C2786"/>
    <w:rsid w:val="002C3A10"/>
    <w:rsid w:val="002C4A90"/>
    <w:rsid w:val="002C4ED5"/>
    <w:rsid w:val="002D02EF"/>
    <w:rsid w:val="002E0702"/>
    <w:rsid w:val="002E57AD"/>
    <w:rsid w:val="002E6F80"/>
    <w:rsid w:val="002F0E4F"/>
    <w:rsid w:val="002F1053"/>
    <w:rsid w:val="003153ED"/>
    <w:rsid w:val="003167A6"/>
    <w:rsid w:val="00317B0E"/>
    <w:rsid w:val="0032683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4A09"/>
    <w:rsid w:val="003D6208"/>
    <w:rsid w:val="00404E8A"/>
    <w:rsid w:val="004052A0"/>
    <w:rsid w:val="0040622F"/>
    <w:rsid w:val="00413F24"/>
    <w:rsid w:val="00422853"/>
    <w:rsid w:val="00423160"/>
    <w:rsid w:val="00431003"/>
    <w:rsid w:val="00453862"/>
    <w:rsid w:val="0045469B"/>
    <w:rsid w:val="004578AA"/>
    <w:rsid w:val="0046034C"/>
    <w:rsid w:val="00461338"/>
    <w:rsid w:val="004677DB"/>
    <w:rsid w:val="00476256"/>
    <w:rsid w:val="0048630F"/>
    <w:rsid w:val="004947A1"/>
    <w:rsid w:val="0049482A"/>
    <w:rsid w:val="004979D3"/>
    <w:rsid w:val="004A00E7"/>
    <w:rsid w:val="004A3A61"/>
    <w:rsid w:val="004B3287"/>
    <w:rsid w:val="004B35AE"/>
    <w:rsid w:val="004B59BA"/>
    <w:rsid w:val="004B5A03"/>
    <w:rsid w:val="004B7515"/>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B6F9A"/>
    <w:rsid w:val="005C493F"/>
    <w:rsid w:val="005C6BF7"/>
    <w:rsid w:val="005C71BF"/>
    <w:rsid w:val="005D002C"/>
    <w:rsid w:val="005D30E1"/>
    <w:rsid w:val="005D6555"/>
    <w:rsid w:val="005D7BDF"/>
    <w:rsid w:val="005E216B"/>
    <w:rsid w:val="005E4870"/>
    <w:rsid w:val="005F71D9"/>
    <w:rsid w:val="005F7602"/>
    <w:rsid w:val="006062BE"/>
    <w:rsid w:val="00613143"/>
    <w:rsid w:val="00613501"/>
    <w:rsid w:val="0061611B"/>
    <w:rsid w:val="006166A8"/>
    <w:rsid w:val="006174A1"/>
    <w:rsid w:val="00621D6C"/>
    <w:rsid w:val="0063234F"/>
    <w:rsid w:val="00633B49"/>
    <w:rsid w:val="0064297F"/>
    <w:rsid w:val="00645102"/>
    <w:rsid w:val="00646CF3"/>
    <w:rsid w:val="00653D11"/>
    <w:rsid w:val="00661005"/>
    <w:rsid w:val="00661277"/>
    <w:rsid w:val="00662983"/>
    <w:rsid w:val="00674CAB"/>
    <w:rsid w:val="006834D3"/>
    <w:rsid w:val="00691F88"/>
    <w:rsid w:val="00692625"/>
    <w:rsid w:val="00695CD3"/>
    <w:rsid w:val="006A38B6"/>
    <w:rsid w:val="006B1987"/>
    <w:rsid w:val="006B5B71"/>
    <w:rsid w:val="006B6CB0"/>
    <w:rsid w:val="006C0296"/>
    <w:rsid w:val="006C2B64"/>
    <w:rsid w:val="006D4C85"/>
    <w:rsid w:val="006D66AC"/>
    <w:rsid w:val="006E33F6"/>
    <w:rsid w:val="006F1251"/>
    <w:rsid w:val="006F1C23"/>
    <w:rsid w:val="006F2FF4"/>
    <w:rsid w:val="00702C18"/>
    <w:rsid w:val="00703166"/>
    <w:rsid w:val="007127F3"/>
    <w:rsid w:val="007301CF"/>
    <w:rsid w:val="007316FB"/>
    <w:rsid w:val="007374D0"/>
    <w:rsid w:val="00737E2D"/>
    <w:rsid w:val="007424D5"/>
    <w:rsid w:val="00750A88"/>
    <w:rsid w:val="007523DD"/>
    <w:rsid w:val="00757B7E"/>
    <w:rsid w:val="007656B2"/>
    <w:rsid w:val="0077016F"/>
    <w:rsid w:val="007713AD"/>
    <w:rsid w:val="0077641B"/>
    <w:rsid w:val="00795DC5"/>
    <w:rsid w:val="00797153"/>
    <w:rsid w:val="007A21F7"/>
    <w:rsid w:val="007A2B68"/>
    <w:rsid w:val="007B0DDA"/>
    <w:rsid w:val="007C7718"/>
    <w:rsid w:val="007D3347"/>
    <w:rsid w:val="007E4316"/>
    <w:rsid w:val="007E5466"/>
    <w:rsid w:val="007E57AE"/>
    <w:rsid w:val="007E59A3"/>
    <w:rsid w:val="007F1949"/>
    <w:rsid w:val="007F2592"/>
    <w:rsid w:val="00800A08"/>
    <w:rsid w:val="00806AD9"/>
    <w:rsid w:val="00817A84"/>
    <w:rsid w:val="008225A4"/>
    <w:rsid w:val="00824B92"/>
    <w:rsid w:val="00826D5E"/>
    <w:rsid w:val="00832013"/>
    <w:rsid w:val="00832DB7"/>
    <w:rsid w:val="00834732"/>
    <w:rsid w:val="0085200C"/>
    <w:rsid w:val="00852922"/>
    <w:rsid w:val="00857C52"/>
    <w:rsid w:val="00860D5F"/>
    <w:rsid w:val="00880A44"/>
    <w:rsid w:val="0088345E"/>
    <w:rsid w:val="0088656F"/>
    <w:rsid w:val="00891EF6"/>
    <w:rsid w:val="008A0303"/>
    <w:rsid w:val="008A2B23"/>
    <w:rsid w:val="008A5FDD"/>
    <w:rsid w:val="008C3947"/>
    <w:rsid w:val="008E3102"/>
    <w:rsid w:val="008E473B"/>
    <w:rsid w:val="008E51A6"/>
    <w:rsid w:val="008E7329"/>
    <w:rsid w:val="008F2323"/>
    <w:rsid w:val="008F2ED5"/>
    <w:rsid w:val="00906E17"/>
    <w:rsid w:val="0092297E"/>
    <w:rsid w:val="00923651"/>
    <w:rsid w:val="009260E8"/>
    <w:rsid w:val="00927B56"/>
    <w:rsid w:val="009341BF"/>
    <w:rsid w:val="00937907"/>
    <w:rsid w:val="00941739"/>
    <w:rsid w:val="00951573"/>
    <w:rsid w:val="00957A70"/>
    <w:rsid w:val="00963003"/>
    <w:rsid w:val="00966EEF"/>
    <w:rsid w:val="00971B28"/>
    <w:rsid w:val="00983471"/>
    <w:rsid w:val="009909AB"/>
    <w:rsid w:val="009957A9"/>
    <w:rsid w:val="009B37DB"/>
    <w:rsid w:val="009C7A8C"/>
    <w:rsid w:val="009D23F9"/>
    <w:rsid w:val="009D4FA8"/>
    <w:rsid w:val="009E44AE"/>
    <w:rsid w:val="009E6CD6"/>
    <w:rsid w:val="009F4D66"/>
    <w:rsid w:val="00A00C3C"/>
    <w:rsid w:val="00A01091"/>
    <w:rsid w:val="00A042B9"/>
    <w:rsid w:val="00A06DBB"/>
    <w:rsid w:val="00A16D0D"/>
    <w:rsid w:val="00A17585"/>
    <w:rsid w:val="00A22ADF"/>
    <w:rsid w:val="00A31E86"/>
    <w:rsid w:val="00A536EE"/>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20A7"/>
    <w:rsid w:val="00B04415"/>
    <w:rsid w:val="00B06509"/>
    <w:rsid w:val="00B11D60"/>
    <w:rsid w:val="00B13D65"/>
    <w:rsid w:val="00B21805"/>
    <w:rsid w:val="00B222F4"/>
    <w:rsid w:val="00B3072E"/>
    <w:rsid w:val="00B36E15"/>
    <w:rsid w:val="00B37245"/>
    <w:rsid w:val="00B4017A"/>
    <w:rsid w:val="00B4468D"/>
    <w:rsid w:val="00B5443F"/>
    <w:rsid w:val="00B67885"/>
    <w:rsid w:val="00B71C72"/>
    <w:rsid w:val="00B760E4"/>
    <w:rsid w:val="00B81E92"/>
    <w:rsid w:val="00B908D7"/>
    <w:rsid w:val="00B915AB"/>
    <w:rsid w:val="00B935E8"/>
    <w:rsid w:val="00B93B30"/>
    <w:rsid w:val="00B94CB5"/>
    <w:rsid w:val="00BA0DD9"/>
    <w:rsid w:val="00BA5DBC"/>
    <w:rsid w:val="00BA7205"/>
    <w:rsid w:val="00BB6312"/>
    <w:rsid w:val="00BC4D06"/>
    <w:rsid w:val="00BD0141"/>
    <w:rsid w:val="00BD585E"/>
    <w:rsid w:val="00BD6919"/>
    <w:rsid w:val="00BE1EA7"/>
    <w:rsid w:val="00BE70C9"/>
    <w:rsid w:val="00BE7489"/>
    <w:rsid w:val="00BF2E0D"/>
    <w:rsid w:val="00BF3927"/>
    <w:rsid w:val="00BF3F8B"/>
    <w:rsid w:val="00BF76DA"/>
    <w:rsid w:val="00C07BB2"/>
    <w:rsid w:val="00C07C7B"/>
    <w:rsid w:val="00C16245"/>
    <w:rsid w:val="00C212F9"/>
    <w:rsid w:val="00C21A21"/>
    <w:rsid w:val="00C22DC5"/>
    <w:rsid w:val="00C24479"/>
    <w:rsid w:val="00C273F2"/>
    <w:rsid w:val="00C37B53"/>
    <w:rsid w:val="00C517D2"/>
    <w:rsid w:val="00C5772E"/>
    <w:rsid w:val="00C62B36"/>
    <w:rsid w:val="00C7012C"/>
    <w:rsid w:val="00C70793"/>
    <w:rsid w:val="00C712EA"/>
    <w:rsid w:val="00C72447"/>
    <w:rsid w:val="00C83718"/>
    <w:rsid w:val="00CA217D"/>
    <w:rsid w:val="00CC09D4"/>
    <w:rsid w:val="00CC668D"/>
    <w:rsid w:val="00CC7832"/>
    <w:rsid w:val="00CF0C1C"/>
    <w:rsid w:val="00CF27FD"/>
    <w:rsid w:val="00CF5F12"/>
    <w:rsid w:val="00D00D8F"/>
    <w:rsid w:val="00D21F3A"/>
    <w:rsid w:val="00D224FE"/>
    <w:rsid w:val="00D23808"/>
    <w:rsid w:val="00D3016A"/>
    <w:rsid w:val="00D417D2"/>
    <w:rsid w:val="00D42960"/>
    <w:rsid w:val="00D43BD7"/>
    <w:rsid w:val="00D4485B"/>
    <w:rsid w:val="00D4708D"/>
    <w:rsid w:val="00D4744C"/>
    <w:rsid w:val="00D521DE"/>
    <w:rsid w:val="00D5470B"/>
    <w:rsid w:val="00D6283E"/>
    <w:rsid w:val="00D63068"/>
    <w:rsid w:val="00D6498C"/>
    <w:rsid w:val="00D74DC4"/>
    <w:rsid w:val="00D76A70"/>
    <w:rsid w:val="00D83182"/>
    <w:rsid w:val="00D8521E"/>
    <w:rsid w:val="00D9291C"/>
    <w:rsid w:val="00D93A97"/>
    <w:rsid w:val="00DB1F64"/>
    <w:rsid w:val="00DC0341"/>
    <w:rsid w:val="00DC2F53"/>
    <w:rsid w:val="00DC51B8"/>
    <w:rsid w:val="00DC5BAC"/>
    <w:rsid w:val="00DC6816"/>
    <w:rsid w:val="00DC76C2"/>
    <w:rsid w:val="00DD1CF2"/>
    <w:rsid w:val="00DE2BA8"/>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854AF"/>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26FF7"/>
    <w:rsid w:val="00F3323E"/>
    <w:rsid w:val="00F36972"/>
    <w:rsid w:val="00F42426"/>
    <w:rsid w:val="00F456BC"/>
    <w:rsid w:val="00F50666"/>
    <w:rsid w:val="00F574B4"/>
    <w:rsid w:val="00F70C9E"/>
    <w:rsid w:val="00F71498"/>
    <w:rsid w:val="00F74A74"/>
    <w:rsid w:val="00F7572C"/>
    <w:rsid w:val="00F8382C"/>
    <w:rsid w:val="00F855D7"/>
    <w:rsid w:val="00F92035"/>
    <w:rsid w:val="00F92748"/>
    <w:rsid w:val="00FA4169"/>
    <w:rsid w:val="00FB0D41"/>
    <w:rsid w:val="00FB2030"/>
    <w:rsid w:val="00FD0E46"/>
    <w:rsid w:val="00FD13AA"/>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C8F911CB-8B81-4FFF-82BA-B64C1890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paragraph" w:styleId="Heading3">
    <w:name w:val="heading 3"/>
    <w:basedOn w:val="Normal"/>
    <w:next w:val="Normal"/>
    <w:link w:val="Heading3Char"/>
    <w:semiHidden/>
    <w:unhideWhenUsed/>
    <w:qFormat/>
    <w:rsid w:val="0085292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Table Grid nm,Dossier table,Section 3- footnotes"/>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List Paragraph CCT minutes,Section 5,Bullet List 2,Colorful List - Accent 1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Default">
    <w:name w:val="Default"/>
    <w:rsid w:val="0063234F"/>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Section 5 Char"/>
    <w:link w:val="ListParagraph"/>
    <w:uiPriority w:val="34"/>
    <w:rsid w:val="0063234F"/>
    <w:rPr>
      <w:sz w:val="24"/>
      <w:szCs w:val="24"/>
      <w:lang w:eastAsia="en-US"/>
    </w:rPr>
  </w:style>
  <w:style w:type="paragraph" w:customStyle="1" w:styleId="0TEXT">
    <w:name w:val="0: TEXT"/>
    <w:basedOn w:val="Normal"/>
    <w:link w:val="0TEXTChar"/>
    <w:qFormat/>
    <w:rsid w:val="004B35AE"/>
    <w:pPr>
      <w:spacing w:before="240"/>
      <w:ind w:firstLine="567"/>
      <w:jc w:val="both"/>
    </w:pPr>
    <w:rPr>
      <w:rFonts w:eastAsiaTheme="minorHAnsi"/>
      <w:bCs/>
      <w:color w:val="000000"/>
      <w:lang w:val="en-GB"/>
    </w:rPr>
  </w:style>
  <w:style w:type="character" w:customStyle="1" w:styleId="0TEXTChar">
    <w:name w:val="0: TEXT Char"/>
    <w:basedOn w:val="DefaultParagraphFont"/>
    <w:link w:val="0TEXT"/>
    <w:rsid w:val="004B35AE"/>
    <w:rPr>
      <w:rFonts w:eastAsiaTheme="minorHAnsi"/>
      <w:bCs/>
      <w:color w:val="000000"/>
      <w:sz w:val="24"/>
      <w:szCs w:val="24"/>
      <w:lang w:val="en-GB" w:eastAsia="en-US"/>
    </w:rPr>
  </w:style>
  <w:style w:type="character" w:customStyle="1" w:styleId="Heading3Char">
    <w:name w:val="Heading 3 Char"/>
    <w:basedOn w:val="DefaultParagraphFont"/>
    <w:link w:val="Heading3"/>
    <w:semiHidden/>
    <w:rsid w:val="0085292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441224649">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D5824FD7DEF45A293336A7943524776"/>
        <w:category>
          <w:name w:val="General"/>
          <w:gallery w:val="placeholder"/>
        </w:category>
        <w:types>
          <w:type w:val="bbPlcHdr"/>
        </w:types>
        <w:behaviors>
          <w:behavior w:val="content"/>
        </w:behaviors>
        <w:guid w:val="{66BBB48A-1717-42A0-93D2-3ED5F49E53EF}"/>
      </w:docPartPr>
      <w:docPartBody>
        <w:p w:rsidR="00C53A7B" w:rsidRDefault="00C53A7B" w:rsidP="00C53A7B">
          <w:pPr>
            <w:pStyle w:val="0D5824FD7DEF45A293336A7943524776"/>
          </w:pPr>
          <w:r>
            <w:rPr>
              <w:rStyle w:val="PlaceholderText"/>
            </w:rPr>
            <w:t>Click here to enter a date.</w:t>
          </w:r>
        </w:p>
      </w:docPartBody>
    </w:docPart>
    <w:docPart>
      <w:docPartPr>
        <w:name w:val="928C7CEA279843A5A22AE807CF2CEDF8"/>
        <w:category>
          <w:name w:val="General"/>
          <w:gallery w:val="placeholder"/>
        </w:category>
        <w:types>
          <w:type w:val="bbPlcHdr"/>
        </w:types>
        <w:behaviors>
          <w:behavior w:val="content"/>
        </w:behaviors>
        <w:guid w:val="{99664611-D94E-400E-8102-10331B878D80}"/>
      </w:docPartPr>
      <w:docPartBody>
        <w:p w:rsidR="00C53A7B" w:rsidRDefault="00C53A7B" w:rsidP="00C53A7B">
          <w:pPr>
            <w:pStyle w:val="928C7CEA279843A5A22AE807CF2CEDF8"/>
          </w:pPr>
          <w:r>
            <w:rPr>
              <w:rStyle w:val="PlaceholderText"/>
            </w:rPr>
            <w:t>Click here to enter a date.</w:t>
          </w:r>
        </w:p>
      </w:docPartBody>
    </w:docPart>
    <w:docPart>
      <w:docPartPr>
        <w:name w:val="E44E8F92531D47EDA40B057D7A611A95"/>
        <w:category>
          <w:name w:val="General"/>
          <w:gallery w:val="placeholder"/>
        </w:category>
        <w:types>
          <w:type w:val="bbPlcHdr"/>
        </w:types>
        <w:behaviors>
          <w:behavior w:val="content"/>
        </w:behaviors>
        <w:guid w:val="{B9E12186-C64A-48BE-9465-2F0C6DCC960F}"/>
      </w:docPartPr>
      <w:docPartBody>
        <w:p w:rsidR="00C53A7B" w:rsidRDefault="00C53A7B" w:rsidP="00C53A7B">
          <w:pPr>
            <w:pStyle w:val="E44E8F92531D47EDA40B057D7A611A95"/>
          </w:pPr>
          <w:r>
            <w:rPr>
              <w:rStyle w:val="PlaceholderText"/>
            </w:rPr>
            <w:t>Click here to enter a date.</w:t>
          </w:r>
        </w:p>
      </w:docPartBody>
    </w:docPart>
    <w:docPart>
      <w:docPartPr>
        <w:name w:val="629347C67EB54DC38543F0DD78DFDAE9"/>
        <w:category>
          <w:name w:val="General"/>
          <w:gallery w:val="placeholder"/>
        </w:category>
        <w:types>
          <w:type w:val="bbPlcHdr"/>
        </w:types>
        <w:behaviors>
          <w:behavior w:val="content"/>
        </w:behaviors>
        <w:guid w:val="{81FBB8EA-BD0E-43DF-AE1F-2B1CB19B325B}"/>
      </w:docPartPr>
      <w:docPartBody>
        <w:p w:rsidR="00C53A7B" w:rsidRDefault="00C53A7B" w:rsidP="00C53A7B">
          <w:pPr>
            <w:pStyle w:val="629347C67EB54DC38543F0DD78DFDAE9"/>
          </w:pPr>
          <w:r>
            <w:rPr>
              <w:rStyle w:val="PlaceholderText"/>
            </w:rPr>
            <w:t>Click here to enter a date.</w:t>
          </w:r>
        </w:p>
      </w:docPartBody>
    </w:docPart>
    <w:docPart>
      <w:docPartPr>
        <w:name w:val="37B1CD52BD1C4E7FBB8DCF181832E55F"/>
        <w:category>
          <w:name w:val="General"/>
          <w:gallery w:val="placeholder"/>
        </w:category>
        <w:types>
          <w:type w:val="bbPlcHdr"/>
        </w:types>
        <w:behaviors>
          <w:behavior w:val="content"/>
        </w:behaviors>
        <w:guid w:val="{17512CCF-D021-46B6-996D-AB345D975BE9}"/>
      </w:docPartPr>
      <w:docPartBody>
        <w:p w:rsidR="00C53A7B" w:rsidRDefault="00C53A7B" w:rsidP="00C53A7B">
          <w:pPr>
            <w:pStyle w:val="37B1CD52BD1C4E7FBB8DCF181832E55F"/>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25DB"/>
    <w:rsid w:val="00061157"/>
    <w:rsid w:val="000937FE"/>
    <w:rsid w:val="000A559A"/>
    <w:rsid w:val="000D24D4"/>
    <w:rsid w:val="000E6D96"/>
    <w:rsid w:val="0012102E"/>
    <w:rsid w:val="001C35A9"/>
    <w:rsid w:val="00237556"/>
    <w:rsid w:val="00246F8A"/>
    <w:rsid w:val="002C50BE"/>
    <w:rsid w:val="00306C2B"/>
    <w:rsid w:val="003167A6"/>
    <w:rsid w:val="003436F6"/>
    <w:rsid w:val="003641F3"/>
    <w:rsid w:val="0039303B"/>
    <w:rsid w:val="003F1ED0"/>
    <w:rsid w:val="004144A3"/>
    <w:rsid w:val="004160E7"/>
    <w:rsid w:val="004416C6"/>
    <w:rsid w:val="004578AA"/>
    <w:rsid w:val="004B7515"/>
    <w:rsid w:val="004F5AB2"/>
    <w:rsid w:val="005074B9"/>
    <w:rsid w:val="005C5F12"/>
    <w:rsid w:val="005E40DD"/>
    <w:rsid w:val="006A6F80"/>
    <w:rsid w:val="006E2A99"/>
    <w:rsid w:val="007219C1"/>
    <w:rsid w:val="00753462"/>
    <w:rsid w:val="00772325"/>
    <w:rsid w:val="007A2FE0"/>
    <w:rsid w:val="007C1D16"/>
    <w:rsid w:val="007C6D1D"/>
    <w:rsid w:val="00823CD4"/>
    <w:rsid w:val="0090074D"/>
    <w:rsid w:val="009B3BF0"/>
    <w:rsid w:val="009D5E5E"/>
    <w:rsid w:val="009F1BB4"/>
    <w:rsid w:val="00A26A12"/>
    <w:rsid w:val="00AB6ED4"/>
    <w:rsid w:val="00B14210"/>
    <w:rsid w:val="00B23DC0"/>
    <w:rsid w:val="00B96656"/>
    <w:rsid w:val="00BE29C1"/>
    <w:rsid w:val="00C2401D"/>
    <w:rsid w:val="00C53A68"/>
    <w:rsid w:val="00C53A7B"/>
    <w:rsid w:val="00CA5BB4"/>
    <w:rsid w:val="00CB4BD1"/>
    <w:rsid w:val="00CE2DA9"/>
    <w:rsid w:val="00CE44BE"/>
    <w:rsid w:val="00D4356B"/>
    <w:rsid w:val="00D7162F"/>
    <w:rsid w:val="00E44A86"/>
    <w:rsid w:val="00E522EB"/>
    <w:rsid w:val="00E60827"/>
    <w:rsid w:val="00E73FF6"/>
    <w:rsid w:val="00EF614F"/>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53A7B"/>
    <w:rPr>
      <w:color w:val="808080"/>
    </w:rPr>
  </w:style>
  <w:style w:type="paragraph" w:customStyle="1" w:styleId="0D5824FD7DEF45A293336A7943524776">
    <w:name w:val="0D5824FD7DEF45A293336A7943524776"/>
    <w:rsid w:val="00C53A7B"/>
    <w:pPr>
      <w:spacing w:line="278" w:lineRule="auto"/>
    </w:pPr>
    <w:rPr>
      <w:kern w:val="2"/>
      <w:sz w:val="24"/>
      <w:szCs w:val="24"/>
      <w:lang w:val="en-US" w:eastAsia="en-US"/>
      <w14:ligatures w14:val="standardContextual"/>
    </w:rPr>
  </w:style>
  <w:style w:type="paragraph" w:customStyle="1" w:styleId="928C7CEA279843A5A22AE807CF2CEDF8">
    <w:name w:val="928C7CEA279843A5A22AE807CF2CEDF8"/>
    <w:rsid w:val="00C53A7B"/>
    <w:pPr>
      <w:spacing w:line="278" w:lineRule="auto"/>
    </w:pPr>
    <w:rPr>
      <w:kern w:val="2"/>
      <w:sz w:val="24"/>
      <w:szCs w:val="24"/>
      <w:lang w:val="en-US" w:eastAsia="en-US"/>
      <w14:ligatures w14:val="standardContextual"/>
    </w:rPr>
  </w:style>
  <w:style w:type="paragraph" w:customStyle="1" w:styleId="E44E8F92531D47EDA40B057D7A611A95">
    <w:name w:val="E44E8F92531D47EDA40B057D7A611A95"/>
    <w:rsid w:val="00C53A7B"/>
    <w:pPr>
      <w:spacing w:line="278" w:lineRule="auto"/>
    </w:pPr>
    <w:rPr>
      <w:kern w:val="2"/>
      <w:sz w:val="24"/>
      <w:szCs w:val="24"/>
      <w:lang w:val="en-US" w:eastAsia="en-US"/>
      <w14:ligatures w14:val="standardContextual"/>
    </w:rPr>
  </w:style>
  <w:style w:type="paragraph" w:customStyle="1" w:styleId="629347C67EB54DC38543F0DD78DFDAE9">
    <w:name w:val="629347C67EB54DC38543F0DD78DFDAE9"/>
    <w:rsid w:val="00C53A7B"/>
    <w:pPr>
      <w:spacing w:line="278" w:lineRule="auto"/>
    </w:pPr>
    <w:rPr>
      <w:kern w:val="2"/>
      <w:sz w:val="24"/>
      <w:szCs w:val="24"/>
      <w:lang w:val="en-US" w:eastAsia="en-US"/>
      <w14:ligatures w14:val="standardContextual"/>
    </w:rPr>
  </w:style>
  <w:style w:type="paragraph" w:customStyle="1" w:styleId="37B1CD52BD1C4E7FBB8DCF181832E55F">
    <w:name w:val="37B1CD52BD1C4E7FBB8DCF181832E55F"/>
    <w:rsid w:val="00C53A7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9FD2-2DA5-42A8-B18D-528C074C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2749</Words>
  <Characters>15671</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18384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Kurtinaityte</dc:creator>
  <cp:keywords/>
  <dc:description/>
  <cp:lastModifiedBy>Solveiga Kurtinaityte</cp:lastModifiedBy>
  <cp:revision>4</cp:revision>
  <cp:lastPrinted>2024-10-08T11:15:00Z</cp:lastPrinted>
  <dcterms:created xsi:type="dcterms:W3CDTF">2024-10-08T11:49:00Z</dcterms:created>
  <dcterms:modified xsi:type="dcterms:W3CDTF">2024-10-08T11:52:00Z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73ff1a88,12311945,70522da5</vt:lpwstr>
  </property>
  <property fmtid="{D5CDD505-2E9C-101B-9397-08002B2CF9AE}" pid="3" name="ClassificationContentMarkingFooterFontProps">
    <vt:lpwstr>#ff8939,22,Calibri</vt:lpwstr>
  </property>
  <property fmtid="{D5CDD505-2E9C-101B-9397-08002B2CF9AE}" pid="4" name="ClassificationContentMarkingFooterText">
    <vt:lpwstr>RESTRICTED</vt:lpwstr>
  </property>
  <property fmtid="{D5CDD505-2E9C-101B-9397-08002B2CF9AE}" pid="5" name="MSIP_Label_2c76c141-ac86-40e5-abf2-c6f60e474cee_Enabled">
    <vt:lpwstr>true</vt:lpwstr>
  </property>
  <property fmtid="{D5CDD505-2E9C-101B-9397-08002B2CF9AE}" pid="6" name="MSIP_Label_2c76c141-ac86-40e5-abf2-c6f60e474cee_SetDate">
    <vt:lpwstr>2024-10-08T11:15:32Z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537a25d1-0787-4ee2-ad04-45f409f1f954</vt:lpwstr>
  </property>
  <property fmtid="{D5CDD505-2E9C-101B-9397-08002B2CF9AE}" pid="11" name="MSIP_Label_2c76c141-ac86-40e5-abf2-c6f60e474cee_ContentBits">
    <vt:lpwstr>2</vt:lpwstr>
  </property>
</Properties>
</file>