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8975C" w14:textId="77777777" w:rsidR="003D3228" w:rsidRPr="00753ABA" w:rsidRDefault="003D3228" w:rsidP="003D3228">
      <w:pPr>
        <w:ind w:left="5529"/>
      </w:pPr>
    </w:p>
    <w:p w14:paraId="154365D6" w14:textId="77777777" w:rsidR="003D3228" w:rsidRPr="00753ABA" w:rsidRDefault="003D3228" w:rsidP="003D3228">
      <w:pPr>
        <w:ind w:left="6096"/>
      </w:pPr>
      <w:r w:rsidRPr="00753ABA">
        <w:t>Forma patvirtinta</w:t>
      </w:r>
    </w:p>
    <w:p w14:paraId="55A68C2C" w14:textId="77777777" w:rsidR="003D3228" w:rsidRPr="00753ABA" w:rsidRDefault="003D3228" w:rsidP="003D3228">
      <w:pPr>
        <w:ind w:left="6096"/>
      </w:pPr>
      <w:r w:rsidRPr="00753ABA">
        <w:t>Valstybinės vaistų kontrolės tarnybos prie Lietuvos Respublikos sveikatos apsaugos ministerijos viršininko 2021 m. lapkričio 12 d. įsakymu Nr. (1.72E)1A-1418</w:t>
      </w:r>
    </w:p>
    <w:p w14:paraId="715C4E1F" w14:textId="77777777" w:rsidR="003D3228" w:rsidRPr="00753ABA" w:rsidRDefault="003D3228" w:rsidP="003D3228">
      <w:pPr>
        <w:ind w:left="6096"/>
      </w:pPr>
      <w:r w:rsidRPr="00753ABA">
        <w:t>(Valstybinės vaistų kontrolės tarnybos prie Lietuvos Respublikos sveikatos apsaugos ministerijos viršininko 2022 m.                         d. įsakymo Nr.                    redakcija)</w:t>
      </w:r>
    </w:p>
    <w:p w14:paraId="7D2DE8CE" w14:textId="77777777" w:rsidR="003D3228" w:rsidRPr="00753ABA" w:rsidRDefault="003D3228" w:rsidP="003D3228"/>
    <w:p w14:paraId="65491641" w14:textId="77777777" w:rsidR="003D3228" w:rsidRPr="00753ABA" w:rsidRDefault="003D3228" w:rsidP="003D3228"/>
    <w:p w14:paraId="3FE79959" w14:textId="77777777" w:rsidR="003D3228" w:rsidRPr="00753ABA" w:rsidRDefault="003D3228" w:rsidP="003D3228">
      <w:pPr>
        <w:jc w:val="center"/>
        <w:rPr>
          <w:b/>
          <w:bCs/>
          <w:caps/>
        </w:rPr>
      </w:pPr>
      <w:r w:rsidRPr="00753ABA">
        <w:rPr>
          <w:b/>
        </w:rPr>
        <w:t xml:space="preserve">REKOMENDACIJA DĖL VAISTINIO PREPARATO </w:t>
      </w:r>
      <w:r w:rsidRPr="00753ABA">
        <w:rPr>
          <w:b/>
          <w:bCs/>
          <w:caps/>
        </w:rPr>
        <w:t>Lietuvos Respublikos Sveikatos apsaugos ministerijos vaistinių preparatų ir medicinos pagalbos priemonių kompensavimo komisijai</w:t>
      </w:r>
    </w:p>
    <w:p w14:paraId="32F2CE17" w14:textId="77777777" w:rsidR="003D3228" w:rsidRPr="00753ABA" w:rsidRDefault="003D3228" w:rsidP="003D3228">
      <w:pPr>
        <w:jc w:val="center"/>
        <w:rPr>
          <w:b/>
        </w:rPr>
      </w:pPr>
    </w:p>
    <w:p w14:paraId="4D4BA9CF" w14:textId="1861DC00" w:rsidR="00E47F57" w:rsidRPr="007847CE" w:rsidRDefault="00E47F57" w:rsidP="00E47F57">
      <w:pPr>
        <w:jc w:val="center"/>
        <w:rPr>
          <w:b/>
        </w:rPr>
      </w:pPr>
      <w:proofErr w:type="spellStart"/>
      <w:r>
        <w:rPr>
          <w:b/>
          <w:lang w:val="en-GB"/>
        </w:rPr>
        <w:t>Xadago</w:t>
      </w:r>
      <w:proofErr w:type="spellEnd"/>
      <w:r w:rsidRPr="00F2610B">
        <w:rPr>
          <w:b/>
          <w:lang w:val="en-GB"/>
        </w:rPr>
        <w:t xml:space="preserve"> </w:t>
      </w:r>
      <w:r w:rsidR="00D36AA9" w:rsidRPr="001704EF">
        <w:rPr>
          <w:b/>
        </w:rPr>
        <w:t>50</w:t>
      </w:r>
      <w:r w:rsidR="002746A2">
        <w:rPr>
          <w:b/>
        </w:rPr>
        <w:t xml:space="preserve"> mg</w:t>
      </w:r>
      <w:r w:rsidR="00D36AA9" w:rsidRPr="001704EF">
        <w:rPr>
          <w:b/>
        </w:rPr>
        <w:t xml:space="preserve">, </w:t>
      </w:r>
      <w:r>
        <w:rPr>
          <w:b/>
          <w:lang w:val="en-GB"/>
        </w:rPr>
        <w:t xml:space="preserve">100 mg </w:t>
      </w:r>
      <w:proofErr w:type="spellStart"/>
      <w:r>
        <w:rPr>
          <w:b/>
          <w:lang w:val="en-GB"/>
        </w:rPr>
        <w:t>plėvele</w:t>
      </w:r>
      <w:proofErr w:type="spellEnd"/>
      <w:r>
        <w:rPr>
          <w:b/>
          <w:lang w:val="en-GB"/>
        </w:rPr>
        <w:t xml:space="preserve"> </w:t>
      </w:r>
      <w:proofErr w:type="spellStart"/>
      <w:r>
        <w:rPr>
          <w:b/>
          <w:lang w:val="en-GB"/>
        </w:rPr>
        <w:t>dengtos</w:t>
      </w:r>
      <w:proofErr w:type="spellEnd"/>
      <w:r>
        <w:rPr>
          <w:b/>
          <w:lang w:val="en-GB"/>
        </w:rPr>
        <w:t xml:space="preserve"> </w:t>
      </w:r>
      <w:proofErr w:type="spellStart"/>
      <w:r>
        <w:rPr>
          <w:b/>
          <w:lang w:val="en-GB"/>
        </w:rPr>
        <w:t>tabletės</w:t>
      </w:r>
      <w:proofErr w:type="spellEnd"/>
    </w:p>
    <w:p w14:paraId="6ABE3F2A" w14:textId="77777777" w:rsidR="00E47F57" w:rsidRPr="00F2610B" w:rsidRDefault="00E47F57" w:rsidP="00E47F57">
      <w:pPr>
        <w:jc w:val="center"/>
        <w:rPr>
          <w:lang w:val="en-GB"/>
        </w:rPr>
      </w:pPr>
    </w:p>
    <w:p w14:paraId="1F8A2DB7" w14:textId="06A1872F" w:rsidR="00E47F57" w:rsidRPr="00E47F57" w:rsidRDefault="00E47F57" w:rsidP="00E47F57">
      <w:pPr>
        <w:jc w:val="center"/>
        <w:rPr>
          <w:b/>
          <w:lang w:val="en-GB"/>
        </w:rPr>
      </w:pPr>
      <w:r w:rsidRPr="00E47F57">
        <w:rPr>
          <w:b/>
          <w:lang w:val="en-GB"/>
        </w:rPr>
        <w:t>(</w:t>
      </w:r>
      <w:proofErr w:type="spellStart"/>
      <w:r w:rsidRPr="00E47F57">
        <w:rPr>
          <w:rFonts w:eastAsia="Arial"/>
          <w:b/>
          <w:color w:val="000000"/>
        </w:rPr>
        <w:t>Safinamidas</w:t>
      </w:r>
      <w:proofErr w:type="spellEnd"/>
      <w:r w:rsidR="00D36AA9">
        <w:rPr>
          <w:rFonts w:eastAsia="Arial"/>
          <w:b/>
          <w:color w:val="000000"/>
        </w:rPr>
        <w:t xml:space="preserve"> </w:t>
      </w:r>
      <w:proofErr w:type="spellStart"/>
      <w:r w:rsidR="00D36AA9" w:rsidRPr="001704EF">
        <w:rPr>
          <w:b/>
        </w:rPr>
        <w:t>metansulfonatas</w:t>
      </w:r>
      <w:proofErr w:type="spellEnd"/>
      <w:r w:rsidRPr="00E47F57">
        <w:rPr>
          <w:b/>
          <w:lang w:val="en-GB"/>
        </w:rPr>
        <w:t xml:space="preserve">) </w:t>
      </w:r>
    </w:p>
    <w:p w14:paraId="130877D6" w14:textId="77777777" w:rsidR="00E47F57" w:rsidRPr="00F2610B" w:rsidRDefault="00E47F57" w:rsidP="00E47F57">
      <w:pPr>
        <w:jc w:val="center"/>
        <w:rPr>
          <w:lang w:val="en-GB"/>
        </w:rPr>
      </w:pPr>
    </w:p>
    <w:p w14:paraId="46EA029E" w14:textId="77777777" w:rsidR="00E47F57" w:rsidRPr="00F2610B" w:rsidRDefault="00E47F57" w:rsidP="00E47F57">
      <w:pPr>
        <w:jc w:val="center"/>
        <w:rPr>
          <w:b/>
          <w:lang w:val="en-GB"/>
        </w:rPr>
      </w:pPr>
      <w:r w:rsidRPr="00F2610B">
        <w:rPr>
          <w:b/>
          <w:lang w:val="en-GB"/>
        </w:rPr>
        <w:t>STV-</w:t>
      </w:r>
      <w:r>
        <w:rPr>
          <w:b/>
          <w:lang w:val="en-GB"/>
        </w:rPr>
        <w:t>164</w:t>
      </w:r>
    </w:p>
    <w:p w14:paraId="1C3D5BED" w14:textId="54D4506A" w:rsidR="003D3228" w:rsidRPr="00753ABA" w:rsidRDefault="003D3228" w:rsidP="00E47F57">
      <w:pPr>
        <w:rPr>
          <w:b/>
        </w:rPr>
      </w:pPr>
    </w:p>
    <w:p w14:paraId="78FC4FDD" w14:textId="77777777" w:rsidR="003D3228" w:rsidRPr="00753ABA" w:rsidRDefault="003D3228" w:rsidP="003D3228">
      <w:pPr>
        <w:jc w:val="center"/>
        <w:rPr>
          <w:b/>
        </w:rPr>
      </w:pPr>
    </w:p>
    <w:p w14:paraId="0290B70B" w14:textId="77777777" w:rsidR="003D3228" w:rsidRPr="00753ABA" w:rsidRDefault="003D3228" w:rsidP="003D3228">
      <w:pPr>
        <w:pStyle w:val="Sraopastraipa"/>
        <w:numPr>
          <w:ilvl w:val="0"/>
          <w:numId w:val="1"/>
        </w:numPr>
        <w:tabs>
          <w:tab w:val="left" w:pos="567"/>
        </w:tabs>
        <w:ind w:left="567" w:hanging="567"/>
        <w:rPr>
          <w:b/>
          <w:bCs/>
          <w:caps/>
        </w:rPr>
      </w:pPr>
      <w:r w:rsidRPr="00753ABA">
        <w:rPr>
          <w:b/>
          <w:bCs/>
          <w:caps/>
        </w:rPr>
        <w:t>Bendroji dalis</w:t>
      </w:r>
    </w:p>
    <w:p w14:paraId="04CAC7E3" w14:textId="77777777" w:rsidR="003D3228" w:rsidRPr="00753ABA" w:rsidRDefault="003D3228" w:rsidP="003D3228">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E47F57" w:rsidRPr="00CE43C2" w14:paraId="2027F97B" w14:textId="77777777" w:rsidTr="000A2C78">
        <w:trPr>
          <w:trHeight w:val="314"/>
        </w:trPr>
        <w:tc>
          <w:tcPr>
            <w:tcW w:w="632" w:type="dxa"/>
          </w:tcPr>
          <w:p w14:paraId="72630D5B" w14:textId="11E641A1" w:rsidR="00E47F57" w:rsidRPr="00CE43C2" w:rsidRDefault="00E47F57" w:rsidP="00E47F57">
            <w:pPr>
              <w:rPr>
                <w:rFonts w:eastAsia="Arial"/>
                <w:sz w:val="24"/>
                <w:szCs w:val="24"/>
              </w:rPr>
            </w:pPr>
            <w:r w:rsidRPr="00CE43C2">
              <w:rPr>
                <w:rFonts w:eastAsia="Arial"/>
                <w:sz w:val="24"/>
                <w:szCs w:val="24"/>
              </w:rPr>
              <w:t>1.1</w:t>
            </w:r>
          </w:p>
        </w:tc>
        <w:tc>
          <w:tcPr>
            <w:tcW w:w="3694" w:type="dxa"/>
          </w:tcPr>
          <w:p w14:paraId="5D044E3D" w14:textId="7876F33D" w:rsidR="00E47F57" w:rsidRPr="00CE43C2" w:rsidRDefault="00E47F57" w:rsidP="00E47F57">
            <w:pPr>
              <w:rPr>
                <w:rFonts w:eastAsia="Arial"/>
                <w:sz w:val="24"/>
                <w:szCs w:val="24"/>
              </w:rPr>
            </w:pPr>
            <w:r w:rsidRPr="00CE43C2">
              <w:rPr>
                <w:bCs/>
                <w:color w:val="000000"/>
                <w:sz w:val="24"/>
                <w:szCs w:val="24"/>
                <w:lang w:eastAsia="lt-LT"/>
              </w:rPr>
              <w:t>Pareiškėjas</w:t>
            </w:r>
          </w:p>
        </w:tc>
        <w:tc>
          <w:tcPr>
            <w:tcW w:w="5167" w:type="dxa"/>
          </w:tcPr>
          <w:p w14:paraId="093A6456" w14:textId="3FA179D5" w:rsidR="00E47F57" w:rsidRPr="00E47F57" w:rsidRDefault="00E47F57" w:rsidP="00E47F57">
            <w:pPr>
              <w:rPr>
                <w:sz w:val="24"/>
                <w:szCs w:val="24"/>
              </w:rPr>
            </w:pPr>
            <w:r w:rsidRPr="00E47F57">
              <w:rPr>
                <w:sz w:val="24"/>
                <w:szCs w:val="24"/>
              </w:rPr>
              <w:t xml:space="preserve">UAB </w:t>
            </w:r>
            <w:proofErr w:type="spellStart"/>
            <w:r w:rsidRPr="00E47F57">
              <w:rPr>
                <w:sz w:val="24"/>
                <w:szCs w:val="24"/>
              </w:rPr>
              <w:t>Norameda</w:t>
            </w:r>
            <w:proofErr w:type="spellEnd"/>
          </w:p>
        </w:tc>
      </w:tr>
      <w:tr w:rsidR="00E47F57" w:rsidRPr="00CE43C2" w14:paraId="7D20B29B" w14:textId="77777777" w:rsidTr="000A2C78">
        <w:trPr>
          <w:trHeight w:val="156"/>
        </w:trPr>
        <w:tc>
          <w:tcPr>
            <w:tcW w:w="632" w:type="dxa"/>
          </w:tcPr>
          <w:p w14:paraId="389AAD0A" w14:textId="061ACA9E" w:rsidR="00E47F57" w:rsidRPr="00CE43C2" w:rsidRDefault="00E47F57" w:rsidP="00E47F57">
            <w:pPr>
              <w:rPr>
                <w:rFonts w:eastAsia="Arial"/>
                <w:sz w:val="24"/>
                <w:szCs w:val="24"/>
              </w:rPr>
            </w:pPr>
            <w:r w:rsidRPr="00CE43C2">
              <w:rPr>
                <w:rFonts w:eastAsia="Arial"/>
                <w:sz w:val="24"/>
                <w:szCs w:val="24"/>
              </w:rPr>
              <w:t>1.2</w:t>
            </w:r>
          </w:p>
        </w:tc>
        <w:tc>
          <w:tcPr>
            <w:tcW w:w="3694" w:type="dxa"/>
          </w:tcPr>
          <w:p w14:paraId="27C6E66B" w14:textId="77777777" w:rsidR="00E47F57" w:rsidRPr="00CE43C2" w:rsidRDefault="00E47F57" w:rsidP="00E47F57">
            <w:pPr>
              <w:tabs>
                <w:tab w:val="left" w:pos="284"/>
              </w:tabs>
              <w:spacing w:line="280" w:lineRule="atLeast"/>
              <w:rPr>
                <w:bCs/>
                <w:color w:val="000000"/>
                <w:sz w:val="24"/>
                <w:szCs w:val="24"/>
                <w:lang w:eastAsia="lt-LT"/>
              </w:rPr>
            </w:pPr>
            <w:r w:rsidRPr="00CE43C2">
              <w:rPr>
                <w:bCs/>
                <w:color w:val="000000"/>
                <w:sz w:val="24"/>
                <w:szCs w:val="24"/>
                <w:lang w:eastAsia="lt-LT"/>
              </w:rPr>
              <w:t>Registracijos data (EVA)</w:t>
            </w:r>
          </w:p>
          <w:p w14:paraId="20ED2BCE" w14:textId="4CDBCFFC" w:rsidR="00E47F57" w:rsidRPr="00CE43C2" w:rsidRDefault="00E47F57" w:rsidP="00E47F57">
            <w:pPr>
              <w:rPr>
                <w:bCs/>
                <w:color w:val="000000"/>
                <w:sz w:val="24"/>
                <w:szCs w:val="24"/>
                <w:lang w:eastAsia="lt-LT"/>
              </w:rPr>
            </w:pPr>
          </w:p>
        </w:tc>
        <w:tc>
          <w:tcPr>
            <w:tcW w:w="5167" w:type="dxa"/>
          </w:tcPr>
          <w:p w14:paraId="45B64924" w14:textId="0FFC2751" w:rsidR="00E47F57" w:rsidRPr="00E47F57" w:rsidRDefault="00000000" w:rsidP="00E47F57">
            <w:pPr>
              <w:rPr>
                <w:rStyle w:val="Style2"/>
                <w:sz w:val="24"/>
                <w:szCs w:val="24"/>
                <w:lang w:eastAsia="en-US"/>
              </w:rPr>
            </w:pPr>
            <w:sdt>
              <w:sdtPr>
                <w:rPr>
                  <w:rFonts w:eastAsia="Arial"/>
                  <w:color w:val="000000"/>
                  <w:sz w:val="32"/>
                </w:rPr>
                <w:alias w:val="Nurodykite konkrečią dieną"/>
                <w:tag w:val="Nurodykite pradžios datą"/>
                <w:id w:val="423238108"/>
                <w:placeholder>
                  <w:docPart w:val="CA355D214E9345DDBDE692AF00F60F32"/>
                </w:placeholder>
                <w15:color w:val="FFCC99"/>
                <w:date w:fullDate="2015-02-24T00:00:00Z">
                  <w:dateFormat w:val="yyyy 'm.' MMMM d 'd.'"/>
                  <w:lid w:val="lt-LT"/>
                  <w:storeMappedDataAs w:val="dateTime"/>
                  <w:calendar w:val="gregorian"/>
                </w:date>
              </w:sdtPr>
              <w:sdtContent>
                <w:r w:rsidR="00E47F57" w:rsidRPr="00E47F57">
                  <w:rPr>
                    <w:rFonts w:eastAsia="Arial"/>
                    <w:color w:val="000000"/>
                    <w:sz w:val="24"/>
                    <w:szCs w:val="24"/>
                  </w:rPr>
                  <w:t>2015 m. vasario 24 d.</w:t>
                </w:r>
              </w:sdtContent>
            </w:sdt>
          </w:p>
        </w:tc>
      </w:tr>
      <w:tr w:rsidR="00881DF5" w:rsidRPr="00CE43C2" w14:paraId="5984B186" w14:textId="77777777" w:rsidTr="000A2C78">
        <w:trPr>
          <w:trHeight w:val="1500"/>
        </w:trPr>
        <w:tc>
          <w:tcPr>
            <w:tcW w:w="632" w:type="dxa"/>
          </w:tcPr>
          <w:p w14:paraId="6A70DDEA" w14:textId="1DDAB0CA" w:rsidR="00881DF5" w:rsidRPr="00CE43C2" w:rsidRDefault="00881DF5" w:rsidP="00881DF5">
            <w:pPr>
              <w:rPr>
                <w:rFonts w:eastAsia="Arial"/>
                <w:sz w:val="24"/>
                <w:szCs w:val="24"/>
              </w:rPr>
            </w:pPr>
            <w:r w:rsidRPr="00CE43C2">
              <w:rPr>
                <w:rFonts w:eastAsia="Arial"/>
                <w:sz w:val="24"/>
                <w:szCs w:val="24"/>
              </w:rPr>
              <w:t>1.3</w:t>
            </w:r>
          </w:p>
        </w:tc>
        <w:tc>
          <w:tcPr>
            <w:tcW w:w="3694" w:type="dxa"/>
          </w:tcPr>
          <w:p w14:paraId="69BCF43F" w14:textId="77777777" w:rsidR="00881DF5" w:rsidRPr="00CE43C2" w:rsidRDefault="00881DF5" w:rsidP="00881DF5">
            <w:pPr>
              <w:pStyle w:val="Betarp"/>
              <w:rPr>
                <w:rFonts w:ascii="Times New Roman" w:hAnsi="Times New Roman"/>
                <w:sz w:val="24"/>
                <w:szCs w:val="24"/>
              </w:rPr>
            </w:pPr>
            <w:r w:rsidRPr="00CE43C2">
              <w:rPr>
                <w:rFonts w:ascii="Times New Roman" w:hAnsi="Times New Roman"/>
                <w:sz w:val="24"/>
                <w:szCs w:val="24"/>
              </w:rPr>
              <w:t xml:space="preserve">Paraiškos tipas </w:t>
            </w:r>
          </w:p>
          <w:p w14:paraId="10F2FDF0" w14:textId="77777777" w:rsidR="00881DF5" w:rsidRPr="00CE43C2" w:rsidRDefault="00881DF5" w:rsidP="00881DF5">
            <w:pPr>
              <w:rPr>
                <w:sz w:val="24"/>
                <w:szCs w:val="24"/>
              </w:rPr>
            </w:pPr>
            <w:r w:rsidRPr="00CE43C2">
              <w:rPr>
                <w:sz w:val="24"/>
                <w:szCs w:val="24"/>
              </w:rPr>
              <w:t xml:space="preserve">(pagal </w:t>
            </w:r>
            <w:r w:rsidRPr="00CE43C2">
              <w:rPr>
                <w:sz w:val="24"/>
                <w:szCs w:val="24"/>
                <w:shd w:val="clear" w:color="auto" w:fill="FFFFFF"/>
              </w:rPr>
              <w:t>vaistinio preparato registracijos tipą, įtvirtintą</w:t>
            </w:r>
            <w:r w:rsidRPr="00CE43C2">
              <w:rPr>
                <w:sz w:val="24"/>
                <w:szCs w:val="24"/>
              </w:rPr>
              <w:t xml:space="preserve"> Direktyvos 2001/83/EB straipsniuose)</w:t>
            </w:r>
          </w:p>
          <w:p w14:paraId="64EBE234" w14:textId="77777777" w:rsidR="00881DF5" w:rsidRPr="00CE43C2" w:rsidRDefault="00881DF5" w:rsidP="00881DF5">
            <w:pPr>
              <w:rPr>
                <w:bCs/>
                <w:color w:val="000000"/>
                <w:sz w:val="24"/>
                <w:szCs w:val="24"/>
                <w:lang w:eastAsia="lt-LT"/>
              </w:rPr>
            </w:pPr>
          </w:p>
        </w:tc>
        <w:tc>
          <w:tcPr>
            <w:tcW w:w="5167" w:type="dxa"/>
          </w:tcPr>
          <w:p w14:paraId="2F6D46B8" w14:textId="77777777" w:rsidR="00881DF5" w:rsidRPr="00CE43C2" w:rsidRDefault="00000000" w:rsidP="00881DF5">
            <w:pPr>
              <w:rPr>
                <w:sz w:val="24"/>
                <w:szCs w:val="24"/>
              </w:rPr>
            </w:pPr>
            <w:sdt>
              <w:sdtPr>
                <w:rPr>
                  <w:rStyle w:val="Style2"/>
                  <w:sz w:val="24"/>
                </w:rPr>
                <w:id w:val="-366596377"/>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8.3 str. (pilna byla, pagrįsta savais tyrimais) </w:t>
            </w:r>
          </w:p>
          <w:p w14:paraId="0E3ECE66" w14:textId="77777777" w:rsidR="00881DF5" w:rsidRPr="00CE43C2" w:rsidRDefault="00000000" w:rsidP="00881DF5">
            <w:pPr>
              <w:rPr>
                <w:sz w:val="24"/>
                <w:szCs w:val="24"/>
              </w:rPr>
            </w:pPr>
            <w:sdt>
              <w:sdtPr>
                <w:rPr>
                  <w:rStyle w:val="Style2"/>
                  <w:sz w:val="24"/>
                </w:rPr>
                <w:id w:val="675462298"/>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10 a str. (pripažintas medicininis vartojimas) </w:t>
            </w:r>
          </w:p>
          <w:p w14:paraId="1A80D275" w14:textId="77777777" w:rsidR="00881DF5" w:rsidRPr="00CE43C2" w:rsidRDefault="00000000" w:rsidP="00881DF5">
            <w:pPr>
              <w:rPr>
                <w:sz w:val="24"/>
                <w:szCs w:val="24"/>
              </w:rPr>
            </w:pPr>
            <w:sdt>
              <w:sdtPr>
                <w:rPr>
                  <w:rStyle w:val="Style2"/>
                  <w:sz w:val="24"/>
                </w:rPr>
                <w:id w:val="-1290435890"/>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10.1 str. (</w:t>
            </w:r>
            <w:proofErr w:type="spellStart"/>
            <w:r w:rsidR="00881DF5" w:rsidRPr="00CE43C2">
              <w:rPr>
                <w:sz w:val="24"/>
                <w:szCs w:val="24"/>
              </w:rPr>
              <w:t>generinis</w:t>
            </w:r>
            <w:proofErr w:type="spellEnd"/>
            <w:r w:rsidR="00881DF5" w:rsidRPr="00CE43C2">
              <w:rPr>
                <w:sz w:val="24"/>
                <w:szCs w:val="24"/>
              </w:rPr>
              <w:t>)</w:t>
            </w:r>
          </w:p>
          <w:p w14:paraId="55E8A813" w14:textId="5B169D35" w:rsidR="00881DF5" w:rsidRPr="00CE43C2" w:rsidRDefault="00000000" w:rsidP="00881DF5">
            <w:pPr>
              <w:rPr>
                <w:rStyle w:val="Style2"/>
                <w:sz w:val="24"/>
                <w:szCs w:val="24"/>
              </w:rPr>
            </w:pPr>
            <w:sdt>
              <w:sdtPr>
                <w:rPr>
                  <w:rStyle w:val="Style2"/>
                  <w:sz w:val="24"/>
                </w:rPr>
                <w:id w:val="-124545030"/>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10.3 str. (hibridinis)</w:t>
            </w:r>
          </w:p>
        </w:tc>
      </w:tr>
      <w:tr w:rsidR="00881DF5" w:rsidRPr="00CE43C2" w14:paraId="0B4151E1" w14:textId="77777777" w:rsidTr="000A2C78">
        <w:trPr>
          <w:trHeight w:val="1035"/>
        </w:trPr>
        <w:tc>
          <w:tcPr>
            <w:tcW w:w="632" w:type="dxa"/>
          </w:tcPr>
          <w:p w14:paraId="529B4C9A" w14:textId="61F7480D" w:rsidR="00881DF5" w:rsidRPr="00CE43C2" w:rsidRDefault="00881DF5" w:rsidP="00881DF5">
            <w:pPr>
              <w:rPr>
                <w:rFonts w:eastAsia="Arial"/>
                <w:sz w:val="24"/>
                <w:szCs w:val="24"/>
              </w:rPr>
            </w:pPr>
            <w:r w:rsidRPr="00CE43C2">
              <w:rPr>
                <w:rFonts w:eastAsia="Arial"/>
                <w:sz w:val="24"/>
                <w:szCs w:val="24"/>
              </w:rPr>
              <w:t>1.4</w:t>
            </w:r>
          </w:p>
        </w:tc>
        <w:tc>
          <w:tcPr>
            <w:tcW w:w="3694" w:type="dxa"/>
          </w:tcPr>
          <w:p w14:paraId="59447A01" w14:textId="77777777" w:rsidR="00881DF5" w:rsidRPr="00CE43C2" w:rsidRDefault="00881DF5" w:rsidP="00881DF5">
            <w:pPr>
              <w:tabs>
                <w:tab w:val="left" w:pos="284"/>
              </w:tabs>
              <w:spacing w:line="280" w:lineRule="atLeast"/>
              <w:rPr>
                <w:bCs/>
                <w:color w:val="000000"/>
                <w:sz w:val="24"/>
                <w:szCs w:val="24"/>
                <w:lang w:eastAsia="lt-LT"/>
              </w:rPr>
            </w:pPr>
            <w:r w:rsidRPr="00CE43C2">
              <w:rPr>
                <w:bCs/>
                <w:color w:val="000000"/>
                <w:sz w:val="24"/>
                <w:szCs w:val="24"/>
                <w:lang w:eastAsia="lt-LT"/>
              </w:rPr>
              <w:t>Ar vaistinis preparatas įrašytas į Bendrijos retųjų vaistinių preparatų registrą?</w:t>
            </w:r>
          </w:p>
          <w:p w14:paraId="33095760" w14:textId="77777777" w:rsidR="00881DF5" w:rsidRPr="00CE43C2" w:rsidRDefault="00881DF5" w:rsidP="00881DF5">
            <w:pPr>
              <w:tabs>
                <w:tab w:val="left" w:pos="284"/>
              </w:tabs>
              <w:spacing w:line="280" w:lineRule="atLeast"/>
              <w:rPr>
                <w:bCs/>
                <w:i/>
                <w:color w:val="000000"/>
                <w:sz w:val="24"/>
                <w:szCs w:val="24"/>
                <w:lang w:eastAsia="lt-LT"/>
              </w:rPr>
            </w:pPr>
          </w:p>
          <w:p w14:paraId="2AD69181" w14:textId="6694105C" w:rsidR="00881DF5" w:rsidRPr="00CE43C2" w:rsidRDefault="00881DF5" w:rsidP="00881DF5">
            <w:pPr>
              <w:rPr>
                <w:bCs/>
                <w:color w:val="000000"/>
                <w:sz w:val="24"/>
                <w:szCs w:val="24"/>
                <w:lang w:eastAsia="lt-LT"/>
              </w:rPr>
            </w:pPr>
          </w:p>
        </w:tc>
        <w:tc>
          <w:tcPr>
            <w:tcW w:w="5167" w:type="dxa"/>
          </w:tcPr>
          <w:p w14:paraId="5B9D0628" w14:textId="77777777" w:rsidR="00881DF5" w:rsidRPr="00CE43C2" w:rsidRDefault="00000000" w:rsidP="00881DF5">
            <w:pPr>
              <w:rPr>
                <w:sz w:val="24"/>
                <w:szCs w:val="24"/>
              </w:rPr>
            </w:pPr>
            <w:sdt>
              <w:sdtPr>
                <w:rPr>
                  <w:rStyle w:val="Style2"/>
                  <w:sz w:val="24"/>
                </w:rPr>
                <w:id w:val="2024432173"/>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Taip</w:t>
            </w:r>
          </w:p>
          <w:p w14:paraId="3202149C" w14:textId="77777777" w:rsidR="00881DF5" w:rsidRPr="00CE43C2" w:rsidRDefault="00000000" w:rsidP="00881DF5">
            <w:pPr>
              <w:rPr>
                <w:sz w:val="24"/>
                <w:szCs w:val="24"/>
              </w:rPr>
            </w:pPr>
            <w:sdt>
              <w:sdtPr>
                <w:rPr>
                  <w:rStyle w:val="Style2"/>
                  <w:sz w:val="24"/>
                </w:rPr>
                <w:id w:val="-970507926"/>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881DF5" w:rsidRPr="00CE43C2">
              <w:rPr>
                <w:sz w:val="24"/>
                <w:szCs w:val="24"/>
              </w:rPr>
              <w:t xml:space="preserve"> Ne</w:t>
            </w:r>
          </w:p>
          <w:p w14:paraId="1862396A" w14:textId="701A3FFB" w:rsidR="00881DF5" w:rsidRPr="00CE43C2" w:rsidRDefault="00881DF5" w:rsidP="00CE43C2">
            <w:pPr>
              <w:jc w:val="both"/>
              <w:rPr>
                <w:rFonts w:eastAsia="Arial"/>
              </w:rPr>
            </w:pPr>
          </w:p>
        </w:tc>
      </w:tr>
      <w:tr w:rsidR="003D3228" w:rsidRPr="00CE43C2" w14:paraId="33E77BB2" w14:textId="77777777" w:rsidTr="000A2C78">
        <w:trPr>
          <w:trHeight w:val="476"/>
        </w:trPr>
        <w:tc>
          <w:tcPr>
            <w:tcW w:w="632" w:type="dxa"/>
          </w:tcPr>
          <w:p w14:paraId="63EEEB52" w14:textId="77777777" w:rsidR="003D3228" w:rsidRPr="00CE43C2" w:rsidRDefault="003D3228" w:rsidP="000A2C78">
            <w:pPr>
              <w:rPr>
                <w:rFonts w:eastAsia="Arial"/>
                <w:sz w:val="24"/>
                <w:szCs w:val="24"/>
              </w:rPr>
            </w:pPr>
            <w:r w:rsidRPr="00CE43C2">
              <w:rPr>
                <w:rFonts w:eastAsia="Arial"/>
                <w:sz w:val="24"/>
                <w:szCs w:val="24"/>
              </w:rPr>
              <w:t>1.5</w:t>
            </w:r>
          </w:p>
        </w:tc>
        <w:tc>
          <w:tcPr>
            <w:tcW w:w="3694" w:type="dxa"/>
          </w:tcPr>
          <w:p w14:paraId="5FC686AC" w14:textId="77777777" w:rsidR="003D3228" w:rsidRPr="00CE43C2" w:rsidRDefault="003D3228" w:rsidP="000A2C78">
            <w:pPr>
              <w:rPr>
                <w:bCs/>
                <w:color w:val="000000"/>
                <w:sz w:val="24"/>
                <w:szCs w:val="24"/>
                <w:lang w:eastAsia="lt-LT"/>
              </w:rPr>
            </w:pPr>
            <w:r w:rsidRPr="00CE43C2">
              <w:rPr>
                <w:sz w:val="24"/>
                <w:szCs w:val="24"/>
              </w:rPr>
              <w:t>STV paraiškos pobūdis</w:t>
            </w:r>
          </w:p>
        </w:tc>
        <w:tc>
          <w:tcPr>
            <w:tcW w:w="5167" w:type="dxa"/>
          </w:tcPr>
          <w:p w14:paraId="5E29652D" w14:textId="77777777" w:rsidR="003D3228" w:rsidRPr="00CE43C2" w:rsidRDefault="00000000" w:rsidP="000A2C78">
            <w:pPr>
              <w:rPr>
                <w:sz w:val="24"/>
                <w:szCs w:val="24"/>
              </w:rPr>
            </w:pPr>
            <w:sdt>
              <w:sdtPr>
                <w:rPr>
                  <w:rStyle w:val="Style2"/>
                  <w:sz w:val="24"/>
                </w:rPr>
                <w:id w:val="-468433535"/>
                <w15:color w:val="FFCC00"/>
                <w14:checkbox>
                  <w14:checked w14:val="1"/>
                  <w14:checkedState w14:val="2612" w14:font="MS Gothic"/>
                  <w14:uncheckedState w14:val="2610" w14:font="MS Gothic"/>
                </w14:checkbox>
              </w:sdtPr>
              <w:sdtContent>
                <w:r w:rsidR="003D3228" w:rsidRPr="00CE43C2">
                  <w:rPr>
                    <w:rStyle w:val="Style2"/>
                    <w:rFonts w:ascii="Segoe UI Symbol" w:eastAsia="MS Gothic" w:hAnsi="Segoe UI Symbol" w:cs="Segoe UI Symbol"/>
                    <w:sz w:val="24"/>
                    <w:szCs w:val="24"/>
                  </w:rPr>
                  <w:t>☒</w:t>
                </w:r>
              </w:sdtContent>
            </w:sdt>
            <w:r w:rsidR="003D3228" w:rsidRPr="00CE43C2">
              <w:rPr>
                <w:sz w:val="24"/>
                <w:szCs w:val="24"/>
              </w:rPr>
              <w:t xml:space="preserve"> Pilna paraiška</w:t>
            </w:r>
          </w:p>
          <w:p w14:paraId="751B5060" w14:textId="77777777" w:rsidR="003D3228" w:rsidRPr="00CE43C2" w:rsidRDefault="00000000" w:rsidP="000A2C78">
            <w:pPr>
              <w:rPr>
                <w:sz w:val="24"/>
                <w:szCs w:val="24"/>
              </w:rPr>
            </w:pPr>
            <w:sdt>
              <w:sdtPr>
                <w:rPr>
                  <w:rStyle w:val="Style2"/>
                  <w:sz w:val="24"/>
                </w:rPr>
                <w:id w:val="-1489014904"/>
                <w15:color w:val="FFCC00"/>
                <w14:checkbox>
                  <w14:checked w14:val="0"/>
                  <w14:checkedState w14:val="2612" w14:font="MS Gothic"/>
                  <w14:uncheckedState w14:val="2610" w14:font="MS Gothic"/>
                </w14:checkbox>
              </w:sdtPr>
              <w:sdtContent>
                <w:r w:rsidR="003D3228" w:rsidRPr="00CE43C2">
                  <w:rPr>
                    <w:rStyle w:val="Style2"/>
                    <w:rFonts w:ascii="Segoe UI Symbol" w:eastAsia="MS Gothic" w:hAnsi="Segoe UI Symbol" w:cs="Segoe UI Symbol"/>
                    <w:sz w:val="24"/>
                    <w:szCs w:val="24"/>
                  </w:rPr>
                  <w:t>☐</w:t>
                </w:r>
              </w:sdtContent>
            </w:sdt>
            <w:r w:rsidR="003D3228" w:rsidRPr="00CE43C2">
              <w:rPr>
                <w:sz w:val="24"/>
                <w:szCs w:val="24"/>
              </w:rPr>
              <w:t xml:space="preserve"> Supaprastinta paraiška</w:t>
            </w:r>
          </w:p>
        </w:tc>
      </w:tr>
      <w:tr w:rsidR="00A66625" w:rsidRPr="00CE43C2" w14:paraId="3FC8027D" w14:textId="77777777" w:rsidTr="000A2C78">
        <w:trPr>
          <w:trHeight w:val="1545"/>
        </w:trPr>
        <w:tc>
          <w:tcPr>
            <w:tcW w:w="632" w:type="dxa"/>
          </w:tcPr>
          <w:p w14:paraId="52812937" w14:textId="77777777" w:rsidR="00A66625" w:rsidRPr="00CE43C2" w:rsidRDefault="00A66625" w:rsidP="00A66625">
            <w:pPr>
              <w:rPr>
                <w:rFonts w:eastAsia="Arial"/>
                <w:sz w:val="24"/>
                <w:szCs w:val="24"/>
              </w:rPr>
            </w:pPr>
            <w:r w:rsidRPr="00CE43C2">
              <w:rPr>
                <w:rFonts w:eastAsia="Arial"/>
                <w:sz w:val="24"/>
                <w:szCs w:val="24"/>
              </w:rPr>
              <w:t>1.6</w:t>
            </w:r>
          </w:p>
        </w:tc>
        <w:tc>
          <w:tcPr>
            <w:tcW w:w="3694" w:type="dxa"/>
          </w:tcPr>
          <w:p w14:paraId="4016FCBF" w14:textId="77777777" w:rsidR="00A66625" w:rsidRPr="00CE43C2" w:rsidRDefault="00A66625" w:rsidP="00A66625">
            <w:pPr>
              <w:rPr>
                <w:bCs/>
                <w:color w:val="000000"/>
                <w:sz w:val="24"/>
                <w:szCs w:val="24"/>
                <w:lang w:eastAsia="lt-LT"/>
              </w:rPr>
            </w:pPr>
            <w:r w:rsidRPr="00CE43C2">
              <w:rPr>
                <w:bCs/>
                <w:color w:val="000000"/>
                <w:sz w:val="24"/>
                <w:szCs w:val="24"/>
                <w:lang w:eastAsia="lt-LT"/>
              </w:rPr>
              <w:t>Pareiškėjo teikiama (-</w:t>
            </w:r>
            <w:proofErr w:type="spellStart"/>
            <w:r w:rsidRPr="00CE43C2">
              <w:rPr>
                <w:bCs/>
                <w:color w:val="000000"/>
                <w:sz w:val="24"/>
                <w:szCs w:val="24"/>
                <w:lang w:eastAsia="lt-LT"/>
              </w:rPr>
              <w:t>os</w:t>
            </w:r>
            <w:proofErr w:type="spellEnd"/>
            <w:r w:rsidRPr="00CE43C2">
              <w:rPr>
                <w:bCs/>
                <w:color w:val="000000"/>
                <w:sz w:val="24"/>
                <w:szCs w:val="24"/>
                <w:lang w:eastAsia="lt-LT"/>
              </w:rPr>
              <w:t>) kompensuoti vaistinio preparato indikacija (-</w:t>
            </w:r>
            <w:proofErr w:type="spellStart"/>
            <w:r w:rsidRPr="00CE43C2">
              <w:rPr>
                <w:bCs/>
                <w:color w:val="000000"/>
                <w:sz w:val="24"/>
                <w:szCs w:val="24"/>
                <w:lang w:eastAsia="lt-LT"/>
              </w:rPr>
              <w:t>os</w:t>
            </w:r>
            <w:proofErr w:type="spellEnd"/>
            <w:r w:rsidRPr="00CE43C2">
              <w:rPr>
                <w:bCs/>
                <w:color w:val="000000"/>
                <w:sz w:val="24"/>
                <w:szCs w:val="24"/>
                <w:lang w:eastAsia="lt-LT"/>
              </w:rPr>
              <w:t>)</w:t>
            </w:r>
          </w:p>
          <w:p w14:paraId="4CEAF617" w14:textId="77777777" w:rsidR="00A66625" w:rsidRPr="00CE43C2" w:rsidRDefault="00A66625" w:rsidP="00A66625">
            <w:pPr>
              <w:rPr>
                <w:bCs/>
                <w:color w:val="000000"/>
                <w:sz w:val="24"/>
                <w:szCs w:val="24"/>
                <w:lang w:eastAsia="lt-LT"/>
              </w:rPr>
            </w:pPr>
          </w:p>
          <w:p w14:paraId="6CEFADDD" w14:textId="77777777" w:rsidR="00A66625" w:rsidRPr="00CE43C2" w:rsidRDefault="00A66625" w:rsidP="00A66625">
            <w:pPr>
              <w:rPr>
                <w:bCs/>
                <w:color w:val="000000"/>
                <w:sz w:val="24"/>
                <w:szCs w:val="24"/>
                <w:lang w:eastAsia="lt-LT"/>
              </w:rPr>
            </w:pPr>
          </w:p>
          <w:p w14:paraId="41EDEB80" w14:textId="77777777" w:rsidR="00A66625" w:rsidRPr="00CE43C2" w:rsidRDefault="00A66625" w:rsidP="00A66625">
            <w:pPr>
              <w:rPr>
                <w:bCs/>
                <w:color w:val="000000"/>
                <w:sz w:val="24"/>
                <w:szCs w:val="24"/>
                <w:lang w:eastAsia="lt-LT"/>
              </w:rPr>
            </w:pPr>
            <w:r w:rsidRPr="00CE43C2">
              <w:rPr>
                <w:bCs/>
                <w:color w:val="000000"/>
                <w:sz w:val="24"/>
                <w:szCs w:val="24"/>
                <w:lang w:eastAsia="lt-LT"/>
              </w:rPr>
              <w:t>Kodas pagal TLK-10 AM</w:t>
            </w:r>
          </w:p>
        </w:tc>
        <w:tc>
          <w:tcPr>
            <w:tcW w:w="5167" w:type="dxa"/>
          </w:tcPr>
          <w:p w14:paraId="49DF224F" w14:textId="77777777" w:rsidR="00E47F57" w:rsidRPr="00E47F57" w:rsidRDefault="00E47F57" w:rsidP="00E47F57">
            <w:pPr>
              <w:pStyle w:val="Sraopastraipa"/>
              <w:spacing w:after="120"/>
              <w:ind w:left="0"/>
              <w:contextualSpacing w:val="0"/>
              <w:jc w:val="both"/>
              <w:rPr>
                <w:rFonts w:eastAsia="Arial"/>
                <w:color w:val="000000"/>
                <w:sz w:val="24"/>
                <w:szCs w:val="24"/>
              </w:rPr>
            </w:pPr>
            <w:r w:rsidRPr="00E47F57">
              <w:rPr>
                <w:rFonts w:eastAsia="Arial"/>
                <w:color w:val="000000"/>
                <w:sz w:val="24"/>
                <w:szCs w:val="24"/>
              </w:rPr>
              <w:t xml:space="preserve">Skirtas suaugusių pacientų, sergančių idiopatine Parkinsono liga (PL), papildomam gydymui kartu su pastovia vien tik </w:t>
            </w:r>
            <w:proofErr w:type="spellStart"/>
            <w:r w:rsidRPr="00E47F57">
              <w:rPr>
                <w:rFonts w:eastAsia="Arial"/>
                <w:color w:val="000000"/>
                <w:sz w:val="24"/>
                <w:szCs w:val="24"/>
              </w:rPr>
              <w:t>levodopos</w:t>
            </w:r>
            <w:proofErr w:type="spellEnd"/>
            <w:r w:rsidRPr="00E47F57">
              <w:rPr>
                <w:rFonts w:eastAsia="Arial"/>
                <w:color w:val="000000"/>
                <w:sz w:val="24"/>
                <w:szCs w:val="24"/>
              </w:rPr>
              <w:t xml:space="preserve"> (L-</w:t>
            </w:r>
            <w:proofErr w:type="spellStart"/>
            <w:r w:rsidRPr="00E47F57">
              <w:rPr>
                <w:rFonts w:eastAsia="Arial"/>
                <w:color w:val="000000"/>
                <w:sz w:val="24"/>
                <w:szCs w:val="24"/>
              </w:rPr>
              <w:t>dopos</w:t>
            </w:r>
            <w:proofErr w:type="spellEnd"/>
            <w:r w:rsidRPr="00E47F57">
              <w:rPr>
                <w:rFonts w:eastAsia="Arial"/>
                <w:color w:val="000000"/>
                <w:sz w:val="24"/>
                <w:szCs w:val="24"/>
              </w:rPr>
              <w:t xml:space="preserve">) ar jos derinio su kitais vaistais nuo PL doze pacientams, kuriems yra vidutinės ar vėlyvos stadijos liga ir pasireiškia </w:t>
            </w:r>
            <w:proofErr w:type="spellStart"/>
            <w:r w:rsidRPr="00E47F57">
              <w:rPr>
                <w:rFonts w:eastAsia="Arial"/>
                <w:color w:val="000000"/>
                <w:sz w:val="24"/>
                <w:szCs w:val="24"/>
              </w:rPr>
              <w:t>fliuktuacijų</w:t>
            </w:r>
            <w:proofErr w:type="spellEnd"/>
            <w:r w:rsidRPr="00E47F57">
              <w:rPr>
                <w:rFonts w:eastAsia="Arial"/>
                <w:color w:val="000000"/>
                <w:sz w:val="24"/>
                <w:szCs w:val="24"/>
              </w:rPr>
              <w:t>.</w:t>
            </w:r>
          </w:p>
          <w:p w14:paraId="74A6D861" w14:textId="423D12F4" w:rsidR="00A66625" w:rsidRPr="00E47F57" w:rsidRDefault="00E47F57" w:rsidP="00E47F57">
            <w:pPr>
              <w:spacing w:after="60"/>
            </w:pPr>
            <w:r w:rsidRPr="00E47F57">
              <w:rPr>
                <w:sz w:val="24"/>
                <w:szCs w:val="24"/>
              </w:rPr>
              <w:t>Ligos TLK-10-AM kodas – G20.</w:t>
            </w:r>
          </w:p>
        </w:tc>
      </w:tr>
      <w:tr w:rsidR="00E47F57" w:rsidRPr="00CE43C2" w14:paraId="09EA0A53" w14:textId="77777777" w:rsidTr="000A2C78">
        <w:trPr>
          <w:trHeight w:val="378"/>
        </w:trPr>
        <w:tc>
          <w:tcPr>
            <w:tcW w:w="632" w:type="dxa"/>
          </w:tcPr>
          <w:p w14:paraId="77145BFC" w14:textId="77777777" w:rsidR="00E47F57" w:rsidRPr="00CE43C2" w:rsidRDefault="00E47F57" w:rsidP="00E47F57">
            <w:pPr>
              <w:rPr>
                <w:rFonts w:eastAsia="Arial"/>
                <w:sz w:val="24"/>
                <w:szCs w:val="24"/>
              </w:rPr>
            </w:pPr>
            <w:r w:rsidRPr="00CE43C2">
              <w:rPr>
                <w:rFonts w:eastAsia="Arial"/>
                <w:sz w:val="24"/>
                <w:szCs w:val="24"/>
              </w:rPr>
              <w:lastRenderedPageBreak/>
              <w:t>1.6</w:t>
            </w:r>
          </w:p>
        </w:tc>
        <w:tc>
          <w:tcPr>
            <w:tcW w:w="3694" w:type="dxa"/>
          </w:tcPr>
          <w:p w14:paraId="6319C5EF" w14:textId="77777777" w:rsidR="00E47F57" w:rsidRPr="00CE43C2" w:rsidRDefault="00E47F57" w:rsidP="00E47F57">
            <w:pPr>
              <w:rPr>
                <w:bCs/>
                <w:color w:val="000000"/>
                <w:sz w:val="24"/>
                <w:szCs w:val="24"/>
                <w:u w:val="single"/>
                <w:lang w:eastAsia="lt-LT"/>
              </w:rPr>
            </w:pPr>
            <w:r w:rsidRPr="00CE43C2">
              <w:rPr>
                <w:color w:val="000000"/>
                <w:sz w:val="24"/>
                <w:szCs w:val="24"/>
                <w:lang w:eastAsia="lt-LT"/>
              </w:rPr>
              <w:t>Pareiškėjo teikiamos skyrimo sąlygos</w:t>
            </w:r>
            <w:r w:rsidRPr="00CE43C2">
              <w:rPr>
                <w:bCs/>
                <w:color w:val="000000"/>
                <w:sz w:val="24"/>
                <w:szCs w:val="24"/>
                <w:lang w:eastAsia="lt-LT"/>
              </w:rPr>
              <w:t xml:space="preserve"> </w:t>
            </w:r>
          </w:p>
        </w:tc>
        <w:tc>
          <w:tcPr>
            <w:tcW w:w="5167" w:type="dxa"/>
          </w:tcPr>
          <w:p w14:paraId="6ECB5789" w14:textId="516B4D58" w:rsidR="00E47F57" w:rsidRPr="00E47F57" w:rsidRDefault="00E47F57" w:rsidP="002746A2">
            <w:pPr>
              <w:jc w:val="both"/>
              <w:rPr>
                <w:sz w:val="24"/>
                <w:szCs w:val="24"/>
              </w:rPr>
            </w:pPr>
            <w:r w:rsidRPr="00E47F57">
              <w:rPr>
                <w:sz w:val="24"/>
                <w:szCs w:val="24"/>
              </w:rPr>
              <w:t xml:space="preserve">Skiria gydytojas neurologas pacientams, kurie serga vėlyvąja (komplikuota) Parkinsono liga ir kuriems gydymas </w:t>
            </w:r>
            <w:proofErr w:type="spellStart"/>
            <w:r w:rsidRPr="00E47F57">
              <w:rPr>
                <w:sz w:val="24"/>
                <w:szCs w:val="24"/>
              </w:rPr>
              <w:t>Levodopa</w:t>
            </w:r>
            <w:proofErr w:type="spellEnd"/>
            <w:r w:rsidRPr="00E47F57">
              <w:rPr>
                <w:sz w:val="24"/>
                <w:szCs w:val="24"/>
              </w:rPr>
              <w:t xml:space="preserve">, dopamino </w:t>
            </w:r>
            <w:proofErr w:type="spellStart"/>
            <w:r w:rsidRPr="00E47F57">
              <w:rPr>
                <w:sz w:val="24"/>
                <w:szCs w:val="24"/>
              </w:rPr>
              <w:t>agonistais</w:t>
            </w:r>
            <w:proofErr w:type="spellEnd"/>
            <w:r w:rsidRPr="00E47F57">
              <w:rPr>
                <w:sz w:val="24"/>
                <w:szCs w:val="24"/>
              </w:rPr>
              <w:t xml:space="preserve">, </w:t>
            </w:r>
            <w:proofErr w:type="spellStart"/>
            <w:r w:rsidRPr="00E47F57">
              <w:rPr>
                <w:sz w:val="24"/>
                <w:szCs w:val="24"/>
              </w:rPr>
              <w:t>anticholinerginiais</w:t>
            </w:r>
            <w:proofErr w:type="spellEnd"/>
            <w:r w:rsidRPr="00E47F57">
              <w:rPr>
                <w:sz w:val="24"/>
                <w:szCs w:val="24"/>
              </w:rPr>
              <w:t xml:space="preserve"> vaistais arba NMDA receptorių antagonistais nėra pakankamai veiksmingas. Vėliau gali išrašyti vidaus ligų arba šeimos gydytojas.</w:t>
            </w:r>
          </w:p>
        </w:tc>
      </w:tr>
      <w:tr w:rsidR="00E47F57" w:rsidRPr="00CE43C2" w14:paraId="5EE66732" w14:textId="77777777" w:rsidTr="000A2C78">
        <w:trPr>
          <w:trHeight w:val="378"/>
        </w:trPr>
        <w:tc>
          <w:tcPr>
            <w:tcW w:w="632" w:type="dxa"/>
          </w:tcPr>
          <w:p w14:paraId="729AC6D3" w14:textId="77777777" w:rsidR="00E47F57" w:rsidRPr="00CE43C2" w:rsidRDefault="00E47F57" w:rsidP="00E47F57">
            <w:pPr>
              <w:rPr>
                <w:rFonts w:eastAsia="Arial"/>
                <w:sz w:val="24"/>
                <w:szCs w:val="24"/>
              </w:rPr>
            </w:pPr>
            <w:r w:rsidRPr="00CE43C2">
              <w:rPr>
                <w:rFonts w:eastAsia="Arial"/>
                <w:sz w:val="24"/>
                <w:szCs w:val="24"/>
              </w:rPr>
              <w:t>1.7</w:t>
            </w:r>
          </w:p>
        </w:tc>
        <w:tc>
          <w:tcPr>
            <w:tcW w:w="3694" w:type="dxa"/>
          </w:tcPr>
          <w:p w14:paraId="36CA8118" w14:textId="4E486002" w:rsidR="00E47F57" w:rsidRPr="00CE43C2" w:rsidRDefault="00E47F57" w:rsidP="00E47F57">
            <w:pPr>
              <w:rPr>
                <w:bCs/>
                <w:color w:val="000000"/>
                <w:sz w:val="24"/>
                <w:szCs w:val="24"/>
                <w:lang w:eastAsia="lt-LT"/>
              </w:rPr>
            </w:pPr>
            <w:r w:rsidRPr="00CE43C2">
              <w:rPr>
                <w:bCs/>
                <w:color w:val="000000"/>
                <w:sz w:val="24"/>
                <w:szCs w:val="24"/>
                <w:lang w:eastAsia="lt-LT"/>
              </w:rPr>
              <w:t xml:space="preserve">Pareiškėjo teikiamas palyginamasis gydymas </w:t>
            </w:r>
          </w:p>
          <w:p w14:paraId="2216A2BC" w14:textId="5EAFC75A" w:rsidR="00E47F57" w:rsidRPr="00CE43C2" w:rsidRDefault="00E47F57" w:rsidP="00E47F57">
            <w:pPr>
              <w:rPr>
                <w:bCs/>
                <w:color w:val="000000"/>
                <w:sz w:val="24"/>
                <w:szCs w:val="24"/>
                <w:lang w:eastAsia="lt-LT"/>
              </w:rPr>
            </w:pPr>
            <w:r>
              <w:rPr>
                <w:bCs/>
                <w:color w:val="000000"/>
                <w:sz w:val="24"/>
                <w:szCs w:val="24"/>
                <w:lang w:eastAsia="lt-LT"/>
              </w:rPr>
              <w:t>Net</w:t>
            </w:r>
            <w:r w:rsidRPr="00CE43C2">
              <w:rPr>
                <w:bCs/>
                <w:color w:val="000000"/>
                <w:sz w:val="24"/>
                <w:szCs w:val="24"/>
                <w:lang w:eastAsia="lt-LT"/>
              </w:rPr>
              <w:t xml:space="preserve">iesioginis palyginimas su </w:t>
            </w:r>
            <w:proofErr w:type="spellStart"/>
            <w:r>
              <w:rPr>
                <w:bCs/>
                <w:color w:val="000000"/>
                <w:sz w:val="24"/>
                <w:szCs w:val="24"/>
                <w:lang w:eastAsia="lt-LT"/>
              </w:rPr>
              <w:t>entakaponu</w:t>
            </w:r>
            <w:proofErr w:type="spellEnd"/>
            <w:r>
              <w:rPr>
                <w:bCs/>
                <w:color w:val="000000"/>
                <w:sz w:val="24"/>
                <w:szCs w:val="24"/>
                <w:lang w:eastAsia="lt-LT"/>
              </w:rPr>
              <w:t>.</w:t>
            </w:r>
          </w:p>
          <w:p w14:paraId="3835E9C2" w14:textId="3BDB478B" w:rsidR="00E47F57" w:rsidRPr="00CE43C2" w:rsidRDefault="00E47F57" w:rsidP="00E47F57">
            <w:pPr>
              <w:rPr>
                <w:bCs/>
                <w:color w:val="000000"/>
                <w:sz w:val="24"/>
                <w:szCs w:val="24"/>
                <w:lang w:eastAsia="lt-LT"/>
              </w:rPr>
            </w:pPr>
          </w:p>
          <w:p w14:paraId="665481F3" w14:textId="77777777" w:rsidR="00E47F57" w:rsidRPr="00CE43C2" w:rsidRDefault="00E47F57" w:rsidP="00E47F57">
            <w:pPr>
              <w:rPr>
                <w:bCs/>
                <w:color w:val="000000"/>
                <w:sz w:val="24"/>
                <w:szCs w:val="24"/>
                <w:lang w:eastAsia="lt-LT"/>
              </w:rPr>
            </w:pPr>
          </w:p>
          <w:p w14:paraId="596DB7D3" w14:textId="1A457135" w:rsidR="00E47F57" w:rsidRPr="00CE43C2" w:rsidRDefault="00E47F57" w:rsidP="00E47F57">
            <w:pPr>
              <w:rPr>
                <w:bCs/>
                <w:color w:val="000000"/>
                <w:sz w:val="24"/>
                <w:szCs w:val="24"/>
                <w:lang w:eastAsia="lt-LT"/>
              </w:rPr>
            </w:pPr>
          </w:p>
        </w:tc>
        <w:tc>
          <w:tcPr>
            <w:tcW w:w="5167" w:type="dxa"/>
          </w:tcPr>
          <w:p w14:paraId="262A3260" w14:textId="77777777" w:rsidR="00E47F57" w:rsidRPr="00CE43C2" w:rsidRDefault="00E47F57" w:rsidP="00E47F57">
            <w:pPr>
              <w:rPr>
                <w:rStyle w:val="Style2"/>
                <w:sz w:val="24"/>
                <w:szCs w:val="24"/>
              </w:rPr>
            </w:pPr>
          </w:p>
          <w:p w14:paraId="6131F5F6" w14:textId="7DAF04AA" w:rsidR="00E47F57" w:rsidRPr="00CE43C2" w:rsidRDefault="00000000" w:rsidP="00E47F57">
            <w:pPr>
              <w:rPr>
                <w:sz w:val="24"/>
                <w:szCs w:val="24"/>
              </w:rPr>
            </w:pPr>
            <w:sdt>
              <w:sdtPr>
                <w:rPr>
                  <w:rStyle w:val="Style2"/>
                  <w:sz w:val="24"/>
                </w:rPr>
                <w:id w:val="1480955706"/>
                <w15:color w:val="FFCC00"/>
                <w14:checkbox>
                  <w14:checked w14:val="1"/>
                  <w14:checkedState w14:val="2612" w14:font="MS Gothic"/>
                  <w14:uncheckedState w14:val="2610" w14:font="MS Gothic"/>
                </w14:checkbox>
              </w:sdtPr>
              <w:sdtContent>
                <w:r w:rsidR="00E47F57" w:rsidRPr="00CE43C2">
                  <w:rPr>
                    <w:rStyle w:val="Style2"/>
                    <w:rFonts w:ascii="Segoe UI Symbol" w:eastAsia="MS Gothic" w:hAnsi="Segoe UI Symbol" w:cs="Segoe UI Symbol"/>
                    <w:sz w:val="24"/>
                    <w:szCs w:val="24"/>
                  </w:rPr>
                  <w:t>☒</w:t>
                </w:r>
              </w:sdtContent>
            </w:sdt>
            <w:r w:rsidR="00E47F57" w:rsidRPr="00CE43C2">
              <w:rPr>
                <w:sz w:val="24"/>
                <w:szCs w:val="24"/>
              </w:rPr>
              <w:t xml:space="preserve"> Tinkamas</w:t>
            </w:r>
          </w:p>
          <w:p w14:paraId="29988CE6" w14:textId="0DA551F2" w:rsidR="00E47F57" w:rsidRPr="00CE43C2" w:rsidRDefault="00000000" w:rsidP="00E47F57">
            <w:pPr>
              <w:rPr>
                <w:sz w:val="24"/>
                <w:szCs w:val="24"/>
              </w:rPr>
            </w:pPr>
            <w:sdt>
              <w:sdtPr>
                <w:rPr>
                  <w:rStyle w:val="Style2"/>
                  <w:sz w:val="24"/>
                </w:rPr>
                <w:id w:val="-352420698"/>
                <w15:color w:val="FFCC00"/>
                <w14:checkbox>
                  <w14:checked w14:val="0"/>
                  <w14:checkedState w14:val="2612" w14:font="MS Gothic"/>
                  <w14:uncheckedState w14:val="2610" w14:font="MS Gothic"/>
                </w14:checkbox>
              </w:sdtPr>
              <w:sdtContent>
                <w:r w:rsidR="00E47F57" w:rsidRPr="00CE43C2">
                  <w:rPr>
                    <w:rStyle w:val="Style2"/>
                    <w:rFonts w:ascii="Segoe UI Symbol" w:eastAsia="MS Gothic" w:hAnsi="Segoe UI Symbol" w:cs="Segoe UI Symbol"/>
                    <w:sz w:val="24"/>
                    <w:szCs w:val="24"/>
                  </w:rPr>
                  <w:t>☐</w:t>
                </w:r>
              </w:sdtContent>
            </w:sdt>
            <w:r w:rsidR="00E47F57" w:rsidRPr="00CE43C2">
              <w:rPr>
                <w:sz w:val="24"/>
                <w:szCs w:val="24"/>
              </w:rPr>
              <w:t xml:space="preserve"> Netinkamas</w:t>
            </w:r>
          </w:p>
          <w:p w14:paraId="4F936132" w14:textId="77777777" w:rsidR="00E47F57" w:rsidRPr="00CE43C2" w:rsidRDefault="00E47F57" w:rsidP="00E47F57">
            <w:pPr>
              <w:rPr>
                <w:sz w:val="24"/>
                <w:szCs w:val="24"/>
              </w:rPr>
            </w:pPr>
          </w:p>
          <w:p w14:paraId="54B5D62D" w14:textId="15CE6229" w:rsidR="00E47F57" w:rsidRPr="00CE43C2" w:rsidRDefault="00E47F57" w:rsidP="00E47F57">
            <w:pPr>
              <w:rPr>
                <w:sz w:val="24"/>
                <w:szCs w:val="24"/>
              </w:rPr>
            </w:pPr>
          </w:p>
        </w:tc>
      </w:tr>
    </w:tbl>
    <w:p w14:paraId="4811C3C1" w14:textId="77777777" w:rsidR="003D3228" w:rsidRPr="00753ABA" w:rsidRDefault="003D3228" w:rsidP="003D3228">
      <w:pPr>
        <w:pStyle w:val="Sraopastraipa"/>
        <w:tabs>
          <w:tab w:val="left" w:pos="426"/>
        </w:tabs>
        <w:ind w:left="0"/>
        <w:rPr>
          <w:b/>
          <w:bCs/>
          <w:caps/>
        </w:rPr>
      </w:pPr>
    </w:p>
    <w:p w14:paraId="6C8F8DBD" w14:textId="77777777" w:rsidR="003D3228" w:rsidRPr="00753ABA" w:rsidRDefault="003D3228" w:rsidP="003D3228">
      <w:pPr>
        <w:spacing w:line="276" w:lineRule="auto"/>
        <w:jc w:val="both"/>
        <w:rPr>
          <w:rFonts w:eastAsia="Arial"/>
          <w:b/>
        </w:rPr>
      </w:pPr>
      <w:r w:rsidRPr="00753ABA">
        <w:rPr>
          <w:rFonts w:eastAsia="Arial"/>
          <w:b/>
        </w:rPr>
        <w:t>1.8 Kitų valstybių atsakingų institucijų atlikto Sveikatos technologijų vertinimo (toliau – STV) išvados</w:t>
      </w:r>
    </w:p>
    <w:p w14:paraId="5A3D8890" w14:textId="77777777" w:rsidR="003D3228" w:rsidRPr="00753ABA" w:rsidRDefault="003D3228" w:rsidP="003D3228">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F00504" w:rsidRPr="00F00504" w14:paraId="3AE1CA4B" w14:textId="77777777" w:rsidTr="007B7F2C">
        <w:trPr>
          <w:trHeight w:val="924"/>
        </w:trPr>
        <w:tc>
          <w:tcPr>
            <w:tcW w:w="2927" w:type="dxa"/>
          </w:tcPr>
          <w:p w14:paraId="33939B51" w14:textId="77777777" w:rsidR="00F00504" w:rsidRPr="00F00504" w:rsidRDefault="00F00504" w:rsidP="007B7F2C">
            <w:pPr>
              <w:spacing w:line="276" w:lineRule="auto"/>
              <w:rPr>
                <w:rFonts w:eastAsia="Arial"/>
                <w:sz w:val="24"/>
                <w:szCs w:val="24"/>
              </w:rPr>
            </w:pPr>
            <w:r w:rsidRPr="00F00504">
              <w:rPr>
                <w:rFonts w:eastAsia="Arial"/>
                <w:sz w:val="24"/>
                <w:szCs w:val="24"/>
              </w:rPr>
              <w:t>STV agentūros pavadinimas, šalis</w:t>
            </w:r>
          </w:p>
        </w:tc>
        <w:tc>
          <w:tcPr>
            <w:tcW w:w="1915" w:type="dxa"/>
          </w:tcPr>
          <w:p w14:paraId="40BA3B08" w14:textId="77777777" w:rsidR="00F00504" w:rsidRPr="00F00504" w:rsidRDefault="00F00504" w:rsidP="007B7F2C">
            <w:pPr>
              <w:spacing w:line="276" w:lineRule="auto"/>
              <w:rPr>
                <w:rFonts w:eastAsia="Arial"/>
                <w:sz w:val="24"/>
                <w:szCs w:val="24"/>
              </w:rPr>
            </w:pPr>
            <w:r w:rsidRPr="00F00504">
              <w:rPr>
                <w:rFonts w:eastAsia="Arial"/>
                <w:sz w:val="24"/>
                <w:szCs w:val="24"/>
              </w:rPr>
              <w:t>STV vertinimas atliktas</w:t>
            </w:r>
          </w:p>
        </w:tc>
        <w:tc>
          <w:tcPr>
            <w:tcW w:w="2351" w:type="dxa"/>
          </w:tcPr>
          <w:p w14:paraId="43777C1F" w14:textId="77777777" w:rsidR="00F00504" w:rsidRPr="00F00504" w:rsidRDefault="00F00504" w:rsidP="007B7F2C">
            <w:pPr>
              <w:spacing w:line="276" w:lineRule="auto"/>
              <w:rPr>
                <w:rFonts w:eastAsia="Arial"/>
                <w:sz w:val="24"/>
                <w:szCs w:val="24"/>
              </w:rPr>
            </w:pPr>
            <w:r w:rsidRPr="00F00504">
              <w:rPr>
                <w:rFonts w:eastAsia="Arial"/>
                <w:sz w:val="24"/>
                <w:szCs w:val="24"/>
              </w:rPr>
              <w:t>Klinikinio vertinimo išvada</w:t>
            </w:r>
          </w:p>
        </w:tc>
        <w:tc>
          <w:tcPr>
            <w:tcW w:w="2725" w:type="dxa"/>
          </w:tcPr>
          <w:p w14:paraId="59E17F69" w14:textId="77777777" w:rsidR="00F00504" w:rsidRPr="00F00504" w:rsidRDefault="00F00504" w:rsidP="007B7F2C">
            <w:pPr>
              <w:spacing w:line="276" w:lineRule="auto"/>
              <w:rPr>
                <w:rFonts w:eastAsia="Arial"/>
                <w:sz w:val="24"/>
                <w:szCs w:val="24"/>
              </w:rPr>
            </w:pPr>
            <w:proofErr w:type="spellStart"/>
            <w:r w:rsidRPr="00F00504">
              <w:rPr>
                <w:rFonts w:eastAsia="Arial"/>
                <w:sz w:val="24"/>
                <w:szCs w:val="24"/>
              </w:rPr>
              <w:t>Farmakoekonominio</w:t>
            </w:r>
            <w:proofErr w:type="spellEnd"/>
            <w:r w:rsidRPr="00F00504">
              <w:rPr>
                <w:rFonts w:eastAsia="Arial"/>
                <w:sz w:val="24"/>
                <w:szCs w:val="24"/>
              </w:rPr>
              <w:t xml:space="preserve"> vertinimo išvada</w:t>
            </w:r>
          </w:p>
        </w:tc>
      </w:tr>
      <w:tr w:rsidR="00F00504" w:rsidRPr="00F00504" w14:paraId="2C665C7E" w14:textId="77777777" w:rsidTr="007B7F2C">
        <w:trPr>
          <w:trHeight w:val="1765"/>
        </w:trPr>
        <w:tc>
          <w:tcPr>
            <w:tcW w:w="2927" w:type="dxa"/>
          </w:tcPr>
          <w:p w14:paraId="031A6F59" w14:textId="77777777" w:rsidR="00F00504" w:rsidRPr="00F00504" w:rsidRDefault="00F00504" w:rsidP="007B7F2C">
            <w:pPr>
              <w:autoSpaceDE w:val="0"/>
              <w:autoSpaceDN w:val="0"/>
              <w:adjustRightInd w:val="0"/>
              <w:rPr>
                <w:bCs/>
                <w:sz w:val="24"/>
                <w:szCs w:val="24"/>
              </w:rPr>
            </w:pPr>
            <w:r w:rsidRPr="00F00504">
              <w:rPr>
                <w:bCs/>
                <w:sz w:val="24"/>
                <w:szCs w:val="24"/>
              </w:rPr>
              <w:t>Nacionalinis sveikatos ir klinikinės kompetencijos institutas, Didžioji Britanija</w:t>
            </w:r>
          </w:p>
          <w:p w14:paraId="282E637A" w14:textId="77777777" w:rsidR="00F00504" w:rsidRPr="00F00504" w:rsidRDefault="00F00504" w:rsidP="007B7F2C">
            <w:pPr>
              <w:spacing w:line="276" w:lineRule="auto"/>
              <w:rPr>
                <w:rFonts w:eastAsia="Arial"/>
                <w:sz w:val="24"/>
                <w:szCs w:val="24"/>
              </w:rPr>
            </w:pPr>
            <w:r w:rsidRPr="00F00504">
              <w:rPr>
                <w:rFonts w:eastAsia="Arial"/>
                <w:sz w:val="24"/>
                <w:szCs w:val="24"/>
              </w:rPr>
              <w:t xml:space="preserve">(angl. </w:t>
            </w:r>
            <w:r w:rsidRPr="00F00504">
              <w:rPr>
                <w:rFonts w:eastAsia="Arial"/>
                <w:i/>
                <w:sz w:val="24"/>
                <w:szCs w:val="24"/>
                <w:lang w:val="en-GB"/>
              </w:rPr>
              <w:t>National Institute for Health and Care Excellence,</w:t>
            </w:r>
            <w:r w:rsidRPr="00F00504">
              <w:rPr>
                <w:rFonts w:eastAsia="Arial"/>
                <w:i/>
                <w:sz w:val="24"/>
                <w:szCs w:val="24"/>
              </w:rPr>
              <w:t xml:space="preserve"> NICE</w:t>
            </w:r>
            <w:r w:rsidRPr="00F00504">
              <w:rPr>
                <w:rFonts w:eastAsia="Arial"/>
                <w:sz w:val="24"/>
                <w:szCs w:val="24"/>
              </w:rPr>
              <w:t>)</w:t>
            </w:r>
          </w:p>
        </w:tc>
        <w:tc>
          <w:tcPr>
            <w:tcW w:w="1915" w:type="dxa"/>
          </w:tcPr>
          <w:p w14:paraId="16AB175E" w14:textId="77777777" w:rsidR="00F00504" w:rsidRPr="00F00504" w:rsidRDefault="00000000" w:rsidP="007B7F2C">
            <w:pPr>
              <w:rPr>
                <w:sz w:val="24"/>
                <w:szCs w:val="24"/>
              </w:rPr>
            </w:pPr>
            <w:sdt>
              <w:sdtPr>
                <w:rPr>
                  <w:rStyle w:val="Style2"/>
                  <w:sz w:val="24"/>
                </w:rPr>
                <w:id w:val="1558205022"/>
                <w15:color w:val="FFCC00"/>
                <w14:checkbox>
                  <w14:checked w14:val="0"/>
                  <w14:checkedState w14:val="2612" w14:font="MS Gothic"/>
                  <w14:uncheckedState w14:val="2610" w14:font="MS Gothic"/>
                </w14:checkbox>
              </w:sdtPr>
              <w:sdtContent>
                <w:r w:rsidR="00F00504" w:rsidRPr="00F00504">
                  <w:rPr>
                    <w:rStyle w:val="Style2"/>
                    <w:rFonts w:ascii="Segoe UI Symbol" w:eastAsia="MS Gothic" w:hAnsi="Segoe UI Symbol" w:cs="Segoe UI Symbol"/>
                    <w:sz w:val="24"/>
                    <w:szCs w:val="24"/>
                  </w:rPr>
                  <w:t>☐</w:t>
                </w:r>
              </w:sdtContent>
            </w:sdt>
            <w:r w:rsidR="00F00504" w:rsidRPr="00F00504">
              <w:rPr>
                <w:sz w:val="24"/>
                <w:szCs w:val="24"/>
              </w:rPr>
              <w:t xml:space="preserve"> Taip</w:t>
            </w:r>
          </w:p>
          <w:p w14:paraId="3CAC25AC" w14:textId="77777777" w:rsidR="00F00504" w:rsidRPr="00F00504" w:rsidRDefault="00000000" w:rsidP="007B7F2C">
            <w:pPr>
              <w:rPr>
                <w:sz w:val="24"/>
                <w:szCs w:val="24"/>
              </w:rPr>
            </w:pPr>
            <w:sdt>
              <w:sdtPr>
                <w:rPr>
                  <w:rStyle w:val="Style2"/>
                  <w:sz w:val="24"/>
                </w:rPr>
                <w:id w:val="866029625"/>
                <w15:color w:val="FFCC00"/>
                <w14:checkbox>
                  <w14:checked w14:val="1"/>
                  <w14:checkedState w14:val="2612" w14:font="MS Gothic"/>
                  <w14:uncheckedState w14:val="2610" w14:font="MS Gothic"/>
                </w14:checkbox>
              </w:sdtPr>
              <w:sdtContent>
                <w:r w:rsidR="00F00504" w:rsidRPr="00F00504">
                  <w:rPr>
                    <w:rStyle w:val="Style2"/>
                    <w:rFonts w:ascii="Segoe UI Symbol" w:eastAsia="MS Gothic" w:hAnsi="Segoe UI Symbol" w:cs="Segoe UI Symbol"/>
                    <w:sz w:val="24"/>
                    <w:szCs w:val="24"/>
                  </w:rPr>
                  <w:t>☒</w:t>
                </w:r>
              </w:sdtContent>
            </w:sdt>
            <w:r w:rsidR="00F00504" w:rsidRPr="00F00504">
              <w:rPr>
                <w:sz w:val="24"/>
                <w:szCs w:val="24"/>
              </w:rPr>
              <w:t xml:space="preserve"> Ne</w:t>
            </w:r>
          </w:p>
          <w:p w14:paraId="332E1DFD" w14:textId="77777777" w:rsidR="00F00504" w:rsidRPr="00F00504" w:rsidRDefault="00000000" w:rsidP="007B7F2C">
            <w:pPr>
              <w:rPr>
                <w:rFonts w:eastAsia="Arial"/>
                <w:sz w:val="24"/>
                <w:szCs w:val="24"/>
              </w:rPr>
            </w:pPr>
            <w:sdt>
              <w:sdtPr>
                <w:alias w:val="Nurodykite konkrečią dieną"/>
                <w:tag w:val="Nurodykite pradžios datą"/>
                <w:id w:val="922837954"/>
                <w:placeholder>
                  <w:docPart w:val="4D9B6DC16D599B41AE47CB99E74F8409"/>
                </w:placeholder>
                <w:showingPlcHdr/>
                <w15:color w:val="FFCC99"/>
                <w:date w:fullDate="2022-05-18T00:00:00Z">
                  <w:dateFormat w:val="yyyy 'm.' MMMM d 'd.'"/>
                  <w:lid w:val="lt-LT"/>
                  <w:storeMappedDataAs w:val="dateTime"/>
                  <w:calendar w:val="gregorian"/>
                </w:date>
              </w:sdtPr>
              <w:sdtContent>
                <w:r w:rsidR="00F00504" w:rsidRPr="00F00504">
                  <w:rPr>
                    <w:rStyle w:val="Vietosrezervavimoenklotekstas"/>
                    <w:sz w:val="24"/>
                    <w:szCs w:val="24"/>
                  </w:rPr>
                  <w:t>Click here to enter a date.</w:t>
                </w:r>
              </w:sdtContent>
            </w:sdt>
          </w:p>
        </w:tc>
        <w:tc>
          <w:tcPr>
            <w:tcW w:w="2351" w:type="dxa"/>
          </w:tcPr>
          <w:p w14:paraId="0B4138F9" w14:textId="77777777" w:rsidR="00F00504" w:rsidRPr="00F00504" w:rsidRDefault="00F00504" w:rsidP="007B7F2C">
            <w:pPr>
              <w:spacing w:line="276" w:lineRule="auto"/>
              <w:rPr>
                <w:rFonts w:eastAsia="Arial"/>
                <w:sz w:val="24"/>
                <w:szCs w:val="24"/>
              </w:rPr>
            </w:pPr>
          </w:p>
        </w:tc>
        <w:tc>
          <w:tcPr>
            <w:tcW w:w="2725" w:type="dxa"/>
          </w:tcPr>
          <w:p w14:paraId="60335590" w14:textId="77777777" w:rsidR="00F00504" w:rsidRPr="00F00504" w:rsidRDefault="00F00504" w:rsidP="007B7F2C">
            <w:pPr>
              <w:spacing w:line="276" w:lineRule="auto"/>
              <w:rPr>
                <w:rFonts w:eastAsia="Arial"/>
                <w:sz w:val="24"/>
                <w:szCs w:val="24"/>
              </w:rPr>
            </w:pPr>
          </w:p>
        </w:tc>
      </w:tr>
      <w:tr w:rsidR="00F00504" w:rsidRPr="00F00504" w14:paraId="77559C11" w14:textId="77777777" w:rsidTr="007B7F2C">
        <w:trPr>
          <w:trHeight w:val="1547"/>
        </w:trPr>
        <w:tc>
          <w:tcPr>
            <w:tcW w:w="2927" w:type="dxa"/>
          </w:tcPr>
          <w:p w14:paraId="6DF705D1" w14:textId="77777777" w:rsidR="00F00504" w:rsidRPr="00F00504" w:rsidRDefault="00F00504" w:rsidP="007B7F2C">
            <w:pPr>
              <w:spacing w:line="276" w:lineRule="auto"/>
              <w:rPr>
                <w:rFonts w:eastAsia="Arial"/>
                <w:sz w:val="24"/>
                <w:szCs w:val="24"/>
              </w:rPr>
            </w:pPr>
            <w:r w:rsidRPr="00F00504">
              <w:rPr>
                <w:rFonts w:eastAsia="Arial"/>
                <w:sz w:val="24"/>
                <w:szCs w:val="24"/>
              </w:rPr>
              <w:t>Kanados sveikatos technologijų agentūra</w:t>
            </w:r>
          </w:p>
          <w:p w14:paraId="38A71E09" w14:textId="77777777" w:rsidR="00F00504" w:rsidRPr="00F00504" w:rsidRDefault="00F00504" w:rsidP="007B7F2C">
            <w:pPr>
              <w:spacing w:line="276" w:lineRule="auto"/>
              <w:rPr>
                <w:rFonts w:eastAsia="Arial"/>
                <w:sz w:val="24"/>
                <w:szCs w:val="24"/>
              </w:rPr>
            </w:pPr>
            <w:r w:rsidRPr="00F00504">
              <w:rPr>
                <w:rFonts w:eastAsia="Arial"/>
                <w:sz w:val="24"/>
                <w:szCs w:val="24"/>
              </w:rPr>
              <w:t xml:space="preserve">(angl. </w:t>
            </w:r>
            <w:r w:rsidRPr="00F00504">
              <w:rPr>
                <w:rFonts w:eastAsia="Arial"/>
                <w:i/>
                <w:sz w:val="24"/>
                <w:szCs w:val="24"/>
                <w:lang w:val="en-GB"/>
              </w:rPr>
              <w:t>Canadian health Technology Assessment agency</w:t>
            </w:r>
            <w:r w:rsidRPr="00F00504">
              <w:rPr>
                <w:rFonts w:eastAsia="Arial"/>
                <w:i/>
                <w:sz w:val="24"/>
                <w:szCs w:val="24"/>
              </w:rPr>
              <w:t>, CADTH</w:t>
            </w:r>
            <w:r w:rsidRPr="00F00504">
              <w:rPr>
                <w:rFonts w:eastAsia="Arial"/>
                <w:sz w:val="24"/>
                <w:szCs w:val="24"/>
              </w:rPr>
              <w:t>)</w:t>
            </w:r>
          </w:p>
        </w:tc>
        <w:tc>
          <w:tcPr>
            <w:tcW w:w="1915" w:type="dxa"/>
          </w:tcPr>
          <w:p w14:paraId="7E380387" w14:textId="77777777" w:rsidR="00F00504" w:rsidRPr="00F00504" w:rsidRDefault="00000000" w:rsidP="007B7F2C">
            <w:pPr>
              <w:rPr>
                <w:sz w:val="24"/>
                <w:szCs w:val="24"/>
              </w:rPr>
            </w:pPr>
            <w:sdt>
              <w:sdtPr>
                <w:rPr>
                  <w:rStyle w:val="Style2"/>
                  <w:sz w:val="24"/>
                </w:rPr>
                <w:id w:val="-372539057"/>
                <w15:color w:val="FFCC00"/>
                <w14:checkbox>
                  <w14:checked w14:val="1"/>
                  <w14:checkedState w14:val="2612" w14:font="MS Gothic"/>
                  <w14:uncheckedState w14:val="2610" w14:font="MS Gothic"/>
                </w14:checkbox>
              </w:sdtPr>
              <w:sdtContent>
                <w:r w:rsidR="00F00504" w:rsidRPr="00F00504">
                  <w:rPr>
                    <w:rStyle w:val="Style2"/>
                    <w:rFonts w:ascii="Segoe UI Symbol" w:eastAsia="MS Gothic" w:hAnsi="Segoe UI Symbol" w:cs="Segoe UI Symbol"/>
                    <w:sz w:val="24"/>
                    <w:szCs w:val="24"/>
                  </w:rPr>
                  <w:t>☒</w:t>
                </w:r>
              </w:sdtContent>
            </w:sdt>
            <w:r w:rsidR="00F00504" w:rsidRPr="00F00504">
              <w:rPr>
                <w:sz w:val="24"/>
                <w:szCs w:val="24"/>
              </w:rPr>
              <w:t xml:space="preserve"> Taip</w:t>
            </w:r>
          </w:p>
          <w:p w14:paraId="45EC3E17" w14:textId="77777777" w:rsidR="00F00504" w:rsidRPr="00F00504" w:rsidRDefault="00000000" w:rsidP="007B7F2C">
            <w:pPr>
              <w:rPr>
                <w:sz w:val="24"/>
                <w:szCs w:val="24"/>
              </w:rPr>
            </w:pPr>
            <w:sdt>
              <w:sdtPr>
                <w:rPr>
                  <w:rStyle w:val="Style2"/>
                  <w:sz w:val="24"/>
                </w:rPr>
                <w:id w:val="594442222"/>
                <w15:color w:val="FFCC00"/>
                <w14:checkbox>
                  <w14:checked w14:val="0"/>
                  <w14:checkedState w14:val="2612" w14:font="MS Gothic"/>
                  <w14:uncheckedState w14:val="2610" w14:font="MS Gothic"/>
                </w14:checkbox>
              </w:sdtPr>
              <w:sdtContent>
                <w:r w:rsidR="00F00504" w:rsidRPr="00F00504">
                  <w:rPr>
                    <w:rStyle w:val="Style2"/>
                    <w:rFonts w:ascii="Segoe UI Symbol" w:eastAsia="MS Gothic" w:hAnsi="Segoe UI Symbol" w:cs="Segoe UI Symbol"/>
                    <w:sz w:val="24"/>
                    <w:szCs w:val="24"/>
                  </w:rPr>
                  <w:t>☐</w:t>
                </w:r>
              </w:sdtContent>
            </w:sdt>
            <w:r w:rsidR="00F00504" w:rsidRPr="00F00504">
              <w:rPr>
                <w:sz w:val="24"/>
                <w:szCs w:val="24"/>
              </w:rPr>
              <w:t xml:space="preserve"> Ne</w:t>
            </w:r>
          </w:p>
          <w:p w14:paraId="1316CF80" w14:textId="77777777" w:rsidR="00F00504" w:rsidRPr="00F00504" w:rsidRDefault="00000000" w:rsidP="007B7F2C">
            <w:pPr>
              <w:spacing w:line="276" w:lineRule="auto"/>
              <w:rPr>
                <w:rFonts w:eastAsia="Arial"/>
                <w:sz w:val="24"/>
                <w:szCs w:val="24"/>
              </w:rPr>
            </w:pPr>
            <w:sdt>
              <w:sdtPr>
                <w:alias w:val="Nurodykite konkrečią dieną"/>
                <w:tag w:val="Nurodykite pradžios datą"/>
                <w:id w:val="1072468416"/>
                <w:placeholder>
                  <w:docPart w:val="2F0B05BA1F98864EBECED08317C817A7"/>
                </w:placeholder>
                <w15:color w:val="FFCC99"/>
                <w:date>
                  <w:dateFormat w:val="yyyy 'm.' MMMM d 'd.'"/>
                  <w:lid w:val="lt-LT"/>
                  <w:storeMappedDataAs w:val="dateTime"/>
                  <w:calendar w:val="gregorian"/>
                </w:date>
              </w:sdtPr>
              <w:sdtContent>
                <w:r w:rsidR="00F00504" w:rsidRPr="00F00504">
                  <w:rPr>
                    <w:sz w:val="24"/>
                    <w:szCs w:val="24"/>
                  </w:rPr>
                  <w:t>2020 kovo 25 d.</w:t>
                </w:r>
              </w:sdtContent>
            </w:sdt>
          </w:p>
        </w:tc>
        <w:tc>
          <w:tcPr>
            <w:tcW w:w="5076" w:type="dxa"/>
            <w:gridSpan w:val="2"/>
          </w:tcPr>
          <w:p w14:paraId="6D231E7D" w14:textId="77777777" w:rsidR="00F00504" w:rsidRPr="00F00504" w:rsidRDefault="00F00504" w:rsidP="007B7F2C">
            <w:pPr>
              <w:spacing w:line="276" w:lineRule="auto"/>
              <w:rPr>
                <w:rFonts w:eastAsia="Arial"/>
                <w:sz w:val="24"/>
                <w:szCs w:val="24"/>
              </w:rPr>
            </w:pPr>
            <w:r w:rsidRPr="00F00504">
              <w:rPr>
                <w:rFonts w:eastAsia="Arial"/>
                <w:sz w:val="24"/>
                <w:szCs w:val="24"/>
              </w:rPr>
              <w:t xml:space="preserve">Rekomenduojama nekompensuoti </w:t>
            </w:r>
            <w:proofErr w:type="spellStart"/>
            <w:r w:rsidRPr="00F00504">
              <w:rPr>
                <w:rFonts w:eastAsia="Arial"/>
                <w:sz w:val="24"/>
                <w:szCs w:val="24"/>
              </w:rPr>
              <w:t>safinamido</w:t>
            </w:r>
            <w:proofErr w:type="spellEnd"/>
            <w:r w:rsidRPr="00F00504">
              <w:rPr>
                <w:rFonts w:eastAsia="Arial"/>
                <w:sz w:val="24"/>
                <w:szCs w:val="24"/>
              </w:rPr>
              <w:t xml:space="preserve"> kaip pridėtinės terapijos Parkinsono liga sergantiems pacientams, vartojantiems stabilias </w:t>
            </w:r>
            <w:proofErr w:type="spellStart"/>
            <w:r w:rsidRPr="00F00504">
              <w:rPr>
                <w:rFonts w:eastAsia="Arial"/>
                <w:sz w:val="24"/>
                <w:szCs w:val="24"/>
              </w:rPr>
              <w:t>levodopos</w:t>
            </w:r>
            <w:proofErr w:type="spellEnd"/>
            <w:r w:rsidRPr="00F00504">
              <w:rPr>
                <w:rFonts w:eastAsia="Arial"/>
                <w:sz w:val="24"/>
                <w:szCs w:val="24"/>
              </w:rPr>
              <w:t xml:space="preserve"> dozes ir patiriantiems „</w:t>
            </w:r>
            <w:proofErr w:type="spellStart"/>
            <w:r w:rsidRPr="00F00504">
              <w:rPr>
                <w:rFonts w:eastAsia="Arial"/>
                <w:sz w:val="24"/>
                <w:szCs w:val="24"/>
              </w:rPr>
              <w:t>off</w:t>
            </w:r>
            <w:proofErr w:type="spellEnd"/>
            <w:r w:rsidRPr="00F00504">
              <w:rPr>
                <w:rFonts w:eastAsia="Arial"/>
                <w:sz w:val="24"/>
                <w:szCs w:val="24"/>
              </w:rPr>
              <w:t>“ epizodus.</w:t>
            </w:r>
          </w:p>
        </w:tc>
      </w:tr>
      <w:tr w:rsidR="00F00504" w:rsidRPr="00F00504" w14:paraId="1548E90A" w14:textId="77777777" w:rsidTr="007B7F2C">
        <w:trPr>
          <w:trHeight w:val="1927"/>
        </w:trPr>
        <w:tc>
          <w:tcPr>
            <w:tcW w:w="2927" w:type="dxa"/>
          </w:tcPr>
          <w:p w14:paraId="2A511F5B" w14:textId="77777777" w:rsidR="00F00504" w:rsidRPr="00F00504" w:rsidRDefault="00F00504" w:rsidP="007B7F2C">
            <w:pPr>
              <w:spacing w:line="276" w:lineRule="auto"/>
              <w:rPr>
                <w:rFonts w:eastAsia="Arial"/>
                <w:sz w:val="24"/>
                <w:szCs w:val="24"/>
              </w:rPr>
            </w:pPr>
            <w:r w:rsidRPr="00F00504">
              <w:rPr>
                <w:rFonts w:eastAsia="Arial"/>
                <w:sz w:val="24"/>
                <w:szCs w:val="24"/>
              </w:rPr>
              <w:t xml:space="preserve">Nacionalinis </w:t>
            </w:r>
            <w:proofErr w:type="spellStart"/>
            <w:r w:rsidRPr="00F00504">
              <w:rPr>
                <w:rFonts w:eastAsia="Arial"/>
                <w:sz w:val="24"/>
                <w:szCs w:val="24"/>
              </w:rPr>
              <w:t>farmakoekonomikos</w:t>
            </w:r>
            <w:proofErr w:type="spellEnd"/>
            <w:r w:rsidRPr="00F00504">
              <w:rPr>
                <w:rFonts w:eastAsia="Arial"/>
                <w:sz w:val="24"/>
                <w:szCs w:val="24"/>
              </w:rPr>
              <w:t xml:space="preserve"> centras, Airija</w:t>
            </w:r>
          </w:p>
          <w:p w14:paraId="052C9E2F" w14:textId="77777777" w:rsidR="00F00504" w:rsidRPr="00F00504" w:rsidRDefault="00F00504" w:rsidP="007B7F2C">
            <w:pPr>
              <w:spacing w:line="276" w:lineRule="auto"/>
              <w:rPr>
                <w:rFonts w:eastAsia="Arial"/>
                <w:sz w:val="24"/>
                <w:szCs w:val="24"/>
              </w:rPr>
            </w:pPr>
            <w:r w:rsidRPr="00F00504">
              <w:rPr>
                <w:rFonts w:eastAsia="Arial"/>
                <w:sz w:val="24"/>
                <w:szCs w:val="24"/>
              </w:rPr>
              <w:t>(angl.</w:t>
            </w:r>
            <w:r w:rsidRPr="00F00504">
              <w:rPr>
                <w:rFonts w:eastAsia="Arial"/>
                <w:i/>
                <w:sz w:val="24"/>
                <w:szCs w:val="24"/>
              </w:rPr>
              <w:t xml:space="preserve"> </w:t>
            </w:r>
            <w:r w:rsidRPr="00F00504">
              <w:rPr>
                <w:rFonts w:eastAsia="Arial"/>
                <w:i/>
                <w:sz w:val="24"/>
                <w:szCs w:val="24"/>
                <w:lang w:val="en-GB"/>
              </w:rPr>
              <w:t>National Centre for Pharmacoeconomics,</w:t>
            </w:r>
            <w:r w:rsidRPr="00F00504">
              <w:rPr>
                <w:rFonts w:eastAsia="Arial"/>
                <w:i/>
                <w:sz w:val="24"/>
                <w:szCs w:val="24"/>
              </w:rPr>
              <w:t xml:space="preserve"> NCPE</w:t>
            </w:r>
            <w:r w:rsidRPr="00F00504">
              <w:rPr>
                <w:rFonts w:eastAsia="Arial"/>
                <w:sz w:val="24"/>
                <w:szCs w:val="24"/>
              </w:rPr>
              <w:t>)</w:t>
            </w:r>
          </w:p>
        </w:tc>
        <w:tc>
          <w:tcPr>
            <w:tcW w:w="1915" w:type="dxa"/>
          </w:tcPr>
          <w:p w14:paraId="1BBD266D" w14:textId="77777777" w:rsidR="00F00504" w:rsidRPr="00F00504" w:rsidRDefault="00000000" w:rsidP="007B7F2C">
            <w:pPr>
              <w:rPr>
                <w:sz w:val="24"/>
                <w:szCs w:val="24"/>
              </w:rPr>
            </w:pPr>
            <w:sdt>
              <w:sdtPr>
                <w:rPr>
                  <w:rStyle w:val="Style2"/>
                  <w:sz w:val="24"/>
                </w:rPr>
                <w:id w:val="-1888403732"/>
                <w15:color w:val="FFCC00"/>
                <w14:checkbox>
                  <w14:checked w14:val="1"/>
                  <w14:checkedState w14:val="2612" w14:font="MS Gothic"/>
                  <w14:uncheckedState w14:val="2610" w14:font="MS Gothic"/>
                </w14:checkbox>
              </w:sdtPr>
              <w:sdtContent>
                <w:r w:rsidR="00F00504" w:rsidRPr="00F00504">
                  <w:rPr>
                    <w:rStyle w:val="Style2"/>
                    <w:rFonts w:ascii="Segoe UI Symbol" w:eastAsia="MS Gothic" w:hAnsi="Segoe UI Symbol" w:cs="Segoe UI Symbol"/>
                    <w:sz w:val="24"/>
                    <w:szCs w:val="24"/>
                  </w:rPr>
                  <w:t>☒</w:t>
                </w:r>
              </w:sdtContent>
            </w:sdt>
            <w:r w:rsidR="00F00504" w:rsidRPr="00F00504">
              <w:rPr>
                <w:sz w:val="24"/>
                <w:szCs w:val="24"/>
              </w:rPr>
              <w:t xml:space="preserve"> Taip</w:t>
            </w:r>
          </w:p>
          <w:p w14:paraId="4277E3A9" w14:textId="77777777" w:rsidR="00F00504" w:rsidRPr="00F00504" w:rsidRDefault="00000000" w:rsidP="007B7F2C">
            <w:pPr>
              <w:rPr>
                <w:sz w:val="24"/>
                <w:szCs w:val="24"/>
              </w:rPr>
            </w:pPr>
            <w:sdt>
              <w:sdtPr>
                <w:rPr>
                  <w:rStyle w:val="Style2"/>
                  <w:sz w:val="24"/>
                </w:rPr>
                <w:id w:val="1092201793"/>
                <w15:color w:val="FFCC00"/>
                <w14:checkbox>
                  <w14:checked w14:val="0"/>
                  <w14:checkedState w14:val="2612" w14:font="MS Gothic"/>
                  <w14:uncheckedState w14:val="2610" w14:font="MS Gothic"/>
                </w14:checkbox>
              </w:sdtPr>
              <w:sdtContent>
                <w:r w:rsidR="00F00504" w:rsidRPr="00F00504">
                  <w:rPr>
                    <w:rStyle w:val="Style2"/>
                    <w:rFonts w:ascii="Segoe UI Symbol" w:eastAsia="MS Gothic" w:hAnsi="Segoe UI Symbol" w:cs="Segoe UI Symbol"/>
                    <w:sz w:val="24"/>
                    <w:szCs w:val="24"/>
                  </w:rPr>
                  <w:t>☐</w:t>
                </w:r>
              </w:sdtContent>
            </w:sdt>
            <w:r w:rsidR="00F00504" w:rsidRPr="00F00504">
              <w:rPr>
                <w:sz w:val="24"/>
                <w:szCs w:val="24"/>
              </w:rPr>
              <w:t xml:space="preserve"> Ne</w:t>
            </w:r>
          </w:p>
          <w:p w14:paraId="0C65AFDA" w14:textId="77777777" w:rsidR="00F00504" w:rsidRPr="00F00504" w:rsidRDefault="00000000" w:rsidP="007B7F2C">
            <w:pPr>
              <w:spacing w:line="276" w:lineRule="auto"/>
              <w:rPr>
                <w:rFonts w:eastAsia="Arial"/>
                <w:sz w:val="24"/>
                <w:szCs w:val="24"/>
              </w:rPr>
            </w:pPr>
            <w:sdt>
              <w:sdtPr>
                <w:alias w:val="Nurodykite konkrečią dieną"/>
                <w:tag w:val="Nurodykite pradžios datą"/>
                <w:id w:val="-198323198"/>
                <w:placeholder>
                  <w:docPart w:val="434100A03B64954CB36521747C10BE53"/>
                </w:placeholder>
                <w15:color w:val="FFCC99"/>
                <w:date>
                  <w:dateFormat w:val="yyyy 'm.' MMMM d 'd.'"/>
                  <w:lid w:val="lt-LT"/>
                  <w:storeMappedDataAs w:val="dateTime"/>
                  <w:calendar w:val="gregorian"/>
                </w:date>
              </w:sdtPr>
              <w:sdtContent>
                <w:r w:rsidR="00F00504" w:rsidRPr="00F00504">
                  <w:rPr>
                    <w:sz w:val="24"/>
                    <w:szCs w:val="24"/>
                  </w:rPr>
                  <w:t>2016 liepos 6 d.</w:t>
                </w:r>
              </w:sdtContent>
            </w:sdt>
          </w:p>
        </w:tc>
        <w:tc>
          <w:tcPr>
            <w:tcW w:w="5076" w:type="dxa"/>
            <w:gridSpan w:val="2"/>
          </w:tcPr>
          <w:p w14:paraId="3417EF6D" w14:textId="77777777" w:rsidR="00F00504" w:rsidRPr="00F00504" w:rsidRDefault="00F00504" w:rsidP="007B7F2C">
            <w:pPr>
              <w:spacing w:line="276" w:lineRule="auto"/>
              <w:rPr>
                <w:rFonts w:eastAsia="Arial"/>
                <w:sz w:val="24"/>
                <w:szCs w:val="24"/>
              </w:rPr>
            </w:pPr>
            <w:r w:rsidRPr="00F00504">
              <w:rPr>
                <w:rFonts w:eastAsia="Arial"/>
                <w:sz w:val="24"/>
                <w:szCs w:val="24"/>
              </w:rPr>
              <w:t xml:space="preserve">Rekomenduojama nekompensuoti </w:t>
            </w:r>
            <w:proofErr w:type="spellStart"/>
            <w:r w:rsidRPr="00F00504">
              <w:rPr>
                <w:rFonts w:eastAsia="Arial"/>
                <w:sz w:val="24"/>
                <w:szCs w:val="24"/>
              </w:rPr>
              <w:t>safinamido</w:t>
            </w:r>
            <w:proofErr w:type="spellEnd"/>
            <w:r w:rsidRPr="00F00504">
              <w:rPr>
                <w:rFonts w:eastAsia="Arial"/>
                <w:sz w:val="24"/>
                <w:szCs w:val="24"/>
              </w:rPr>
              <w:t xml:space="preserve"> idiopatine Parkinsono liga sergantiems suaugusiems pacientams.</w:t>
            </w:r>
          </w:p>
        </w:tc>
      </w:tr>
    </w:tbl>
    <w:p w14:paraId="107F0534" w14:textId="18B9327A" w:rsidR="003D3228" w:rsidRPr="00753ABA" w:rsidRDefault="003D3228" w:rsidP="003D3228">
      <w:pPr>
        <w:pStyle w:val="Sraopastraipa"/>
        <w:tabs>
          <w:tab w:val="left" w:pos="426"/>
        </w:tabs>
        <w:ind w:left="0"/>
        <w:rPr>
          <w:b/>
          <w:bCs/>
          <w:caps/>
        </w:rPr>
      </w:pPr>
    </w:p>
    <w:p w14:paraId="13D22EF1" w14:textId="77777777" w:rsidR="00685CA7" w:rsidRPr="00753ABA" w:rsidRDefault="00685CA7" w:rsidP="003D3228">
      <w:pPr>
        <w:pStyle w:val="Sraopastraipa"/>
        <w:tabs>
          <w:tab w:val="left" w:pos="426"/>
        </w:tabs>
        <w:ind w:left="0"/>
        <w:rPr>
          <w:b/>
          <w:bCs/>
          <w:caps/>
        </w:rPr>
      </w:pPr>
    </w:p>
    <w:p w14:paraId="649E8B3B" w14:textId="2829A691" w:rsidR="00881DF5" w:rsidRDefault="003D3228" w:rsidP="00F00504">
      <w:pPr>
        <w:pStyle w:val="Sraopastraipa"/>
        <w:numPr>
          <w:ilvl w:val="0"/>
          <w:numId w:val="1"/>
        </w:numPr>
        <w:rPr>
          <w:b/>
          <w:bCs/>
          <w:caps/>
        </w:rPr>
      </w:pPr>
      <w:r w:rsidRPr="00753ABA">
        <w:rPr>
          <w:b/>
          <w:bCs/>
          <w:caps/>
        </w:rPr>
        <w:t>Klinikinio vertinimo apibendrinimas</w:t>
      </w:r>
    </w:p>
    <w:p w14:paraId="71E35249" w14:textId="77777777" w:rsidR="00D36AA9" w:rsidRPr="00F00504" w:rsidRDefault="00D36AA9" w:rsidP="00D36AA9">
      <w:pPr>
        <w:pStyle w:val="Sraopastraipa"/>
        <w:rPr>
          <w:b/>
          <w:bCs/>
          <w:caps/>
        </w:rPr>
      </w:pPr>
    </w:p>
    <w:p w14:paraId="13518E28" w14:textId="77777777" w:rsidR="00F00504" w:rsidRPr="00F00504" w:rsidRDefault="00F00504" w:rsidP="004E0944">
      <w:pPr>
        <w:pStyle w:val="Protokolui"/>
        <w:spacing w:line="276" w:lineRule="auto"/>
        <w:rPr>
          <w:rFonts w:ascii="Times New Roman" w:eastAsia="Arial" w:hAnsi="Times New Roman" w:cs="Times New Roman"/>
        </w:rPr>
      </w:pPr>
      <w:r w:rsidRPr="00F00504">
        <w:rPr>
          <w:rFonts w:ascii="Times New Roman" w:eastAsia="Arial" w:hAnsi="Times New Roman" w:cs="Times New Roman"/>
        </w:rPr>
        <w:t xml:space="preserve">Parkinsono liga (PL) – tai lėtinė progresuojanti nežinomos etiologijos (idiopatinė) </w:t>
      </w:r>
      <w:proofErr w:type="spellStart"/>
      <w:r w:rsidRPr="00F00504">
        <w:rPr>
          <w:rFonts w:ascii="Times New Roman" w:eastAsia="Arial" w:hAnsi="Times New Roman" w:cs="Times New Roman"/>
        </w:rPr>
        <w:t>neurodegeneracinė</w:t>
      </w:r>
      <w:proofErr w:type="spellEnd"/>
      <w:r w:rsidRPr="00F00504">
        <w:rPr>
          <w:rFonts w:ascii="Times New Roman" w:eastAsia="Arial" w:hAnsi="Times New Roman" w:cs="Times New Roman"/>
        </w:rPr>
        <w:t xml:space="preserve"> liga, kylanti dėl juodosios medžiagos, </w:t>
      </w:r>
      <w:proofErr w:type="spellStart"/>
      <w:r w:rsidRPr="00F00504">
        <w:rPr>
          <w:rFonts w:ascii="Times New Roman" w:eastAsia="Arial" w:hAnsi="Times New Roman" w:cs="Times New Roman"/>
        </w:rPr>
        <w:t>dopaminerginių</w:t>
      </w:r>
      <w:proofErr w:type="spellEnd"/>
      <w:r w:rsidRPr="00F00504">
        <w:rPr>
          <w:rFonts w:ascii="Times New Roman" w:eastAsia="Arial" w:hAnsi="Times New Roman" w:cs="Times New Roman"/>
        </w:rPr>
        <w:t xml:space="preserve"> neuronų ir dopamino dryžuotajame smegenų kūne sumažėjimo. Sergamumas Parkinsono liga (PL) siekia 4,5–21 </w:t>
      </w:r>
      <w:proofErr w:type="spellStart"/>
      <w:r w:rsidRPr="00F00504">
        <w:rPr>
          <w:rFonts w:ascii="Times New Roman" w:eastAsia="Arial" w:hAnsi="Times New Roman" w:cs="Times New Roman"/>
        </w:rPr>
        <w:t>atv</w:t>
      </w:r>
      <w:proofErr w:type="spellEnd"/>
      <w:r w:rsidRPr="00F00504">
        <w:rPr>
          <w:rFonts w:ascii="Times New Roman" w:eastAsia="Arial" w:hAnsi="Times New Roman" w:cs="Times New Roman"/>
        </w:rPr>
        <w:t>. 100 000 gyventojų per metus, paplitimas daugelyje šalių – apie 180 atvejų 100 000 gyventojų.</w:t>
      </w:r>
    </w:p>
    <w:p w14:paraId="3AC74F80" w14:textId="4CB81B0A" w:rsidR="00F00504" w:rsidRPr="00F00504" w:rsidRDefault="00F00504" w:rsidP="004E0944">
      <w:pPr>
        <w:pStyle w:val="Protokolui"/>
        <w:spacing w:line="276" w:lineRule="auto"/>
        <w:rPr>
          <w:rFonts w:ascii="Times New Roman" w:eastAsia="Arial" w:hAnsi="Times New Roman" w:cs="Times New Roman"/>
        </w:rPr>
      </w:pPr>
      <w:r w:rsidRPr="00F00504">
        <w:rPr>
          <w:rFonts w:ascii="Times New Roman" w:eastAsia="Arial" w:hAnsi="Times New Roman" w:cs="Times New Roman"/>
        </w:rPr>
        <w:t xml:space="preserve">Parkinsono ligos metu pasireiškia </w:t>
      </w:r>
      <w:proofErr w:type="spellStart"/>
      <w:r w:rsidRPr="00F00504">
        <w:rPr>
          <w:rFonts w:ascii="Times New Roman" w:eastAsia="Arial" w:hAnsi="Times New Roman" w:cs="Times New Roman"/>
        </w:rPr>
        <w:t>bradikinezija</w:t>
      </w:r>
      <w:proofErr w:type="spellEnd"/>
      <w:r w:rsidRPr="00F00504">
        <w:rPr>
          <w:rFonts w:ascii="Times New Roman" w:eastAsia="Arial" w:hAnsi="Times New Roman" w:cs="Times New Roman"/>
        </w:rPr>
        <w:t xml:space="preserve">, raumenų </w:t>
      </w:r>
      <w:proofErr w:type="spellStart"/>
      <w:r w:rsidRPr="00F00504">
        <w:rPr>
          <w:rFonts w:ascii="Times New Roman" w:eastAsia="Arial" w:hAnsi="Times New Roman" w:cs="Times New Roman"/>
        </w:rPr>
        <w:t>rigidiškumas</w:t>
      </w:r>
      <w:proofErr w:type="spellEnd"/>
      <w:r w:rsidRPr="00F00504">
        <w:rPr>
          <w:rFonts w:ascii="Times New Roman" w:eastAsia="Arial" w:hAnsi="Times New Roman" w:cs="Times New Roman"/>
        </w:rPr>
        <w:t>, ramybės tremoras, pozicinis (</w:t>
      </w:r>
      <w:proofErr w:type="spellStart"/>
      <w:r w:rsidRPr="00F00504">
        <w:rPr>
          <w:rFonts w:ascii="Times New Roman" w:eastAsia="Arial" w:hAnsi="Times New Roman" w:cs="Times New Roman"/>
        </w:rPr>
        <w:t>posturalinis</w:t>
      </w:r>
      <w:proofErr w:type="spellEnd"/>
      <w:r w:rsidRPr="00F00504">
        <w:rPr>
          <w:rFonts w:ascii="Times New Roman" w:eastAsia="Arial" w:hAnsi="Times New Roman" w:cs="Times New Roman"/>
        </w:rPr>
        <w:t xml:space="preserve">) nestabilumas, kartu pasireiškia ir nemotoriniai simptomai. Pagrindinis PL </w:t>
      </w:r>
      <w:r w:rsidRPr="00F00504">
        <w:rPr>
          <w:rFonts w:ascii="Times New Roman" w:eastAsia="Arial" w:hAnsi="Times New Roman" w:cs="Times New Roman"/>
        </w:rPr>
        <w:lastRenderedPageBreak/>
        <w:t>gydymo tikslas – kiek įmanoma sumažinti funkcinės veiklos sutrikimą. Medi</w:t>
      </w:r>
      <w:r w:rsidR="00D36AA9">
        <w:rPr>
          <w:rFonts w:ascii="Times New Roman" w:eastAsia="Arial" w:hAnsi="Times New Roman" w:cs="Times New Roman"/>
        </w:rPr>
        <w:t>ka</w:t>
      </w:r>
      <w:r w:rsidRPr="00F00504">
        <w:rPr>
          <w:rFonts w:ascii="Times New Roman" w:eastAsia="Arial" w:hAnsi="Times New Roman" w:cs="Times New Roman"/>
        </w:rPr>
        <w:t xml:space="preserve">mentinį PL gydymo pagrindą sudaro </w:t>
      </w:r>
      <w:proofErr w:type="spellStart"/>
      <w:r w:rsidRPr="00F00504">
        <w:rPr>
          <w:rFonts w:ascii="Times New Roman" w:eastAsia="Arial" w:hAnsi="Times New Roman" w:cs="Times New Roman"/>
        </w:rPr>
        <w:t>levodopos</w:t>
      </w:r>
      <w:proofErr w:type="spellEnd"/>
      <w:r w:rsidRPr="00F00504">
        <w:rPr>
          <w:rFonts w:ascii="Times New Roman" w:eastAsia="Arial" w:hAnsi="Times New Roman" w:cs="Times New Roman"/>
        </w:rPr>
        <w:t xml:space="preserve"> (L-</w:t>
      </w:r>
      <w:proofErr w:type="spellStart"/>
      <w:r w:rsidRPr="00F00504">
        <w:rPr>
          <w:rFonts w:ascii="Times New Roman" w:eastAsia="Arial" w:hAnsi="Times New Roman" w:cs="Times New Roman"/>
        </w:rPr>
        <w:t>dopos</w:t>
      </w:r>
      <w:proofErr w:type="spellEnd"/>
      <w:r w:rsidRPr="00F00504">
        <w:rPr>
          <w:rFonts w:ascii="Times New Roman" w:eastAsia="Arial" w:hAnsi="Times New Roman" w:cs="Times New Roman"/>
        </w:rPr>
        <w:t>) preparatai.</w:t>
      </w:r>
    </w:p>
    <w:p w14:paraId="0B41B978" w14:textId="77777777" w:rsidR="00F00504" w:rsidRPr="00F00504" w:rsidRDefault="00F00504" w:rsidP="004E0944">
      <w:pPr>
        <w:pStyle w:val="Protokolui"/>
        <w:spacing w:line="276" w:lineRule="auto"/>
        <w:rPr>
          <w:rFonts w:ascii="Times New Roman" w:eastAsia="Arial" w:hAnsi="Times New Roman" w:cs="Times New Roman"/>
        </w:rPr>
      </w:pPr>
      <w:r w:rsidRPr="00F00504">
        <w:rPr>
          <w:rFonts w:ascii="Times New Roman" w:eastAsia="Arial" w:hAnsi="Times New Roman" w:cs="Times New Roman"/>
        </w:rPr>
        <w:t xml:space="preserve">Vėlyvoji (komplikuota) Parkinsono liga – tai ligos stadija, kai gydant </w:t>
      </w:r>
      <w:proofErr w:type="spellStart"/>
      <w:r w:rsidRPr="00F00504">
        <w:rPr>
          <w:rFonts w:ascii="Times New Roman" w:eastAsia="Arial" w:hAnsi="Times New Roman" w:cs="Times New Roman"/>
        </w:rPr>
        <w:t>levodopos</w:t>
      </w:r>
      <w:proofErr w:type="spellEnd"/>
      <w:r w:rsidRPr="00F00504">
        <w:rPr>
          <w:rFonts w:ascii="Times New Roman" w:eastAsia="Arial" w:hAnsi="Times New Roman" w:cs="Times New Roman"/>
        </w:rPr>
        <w:t xml:space="preserve"> preparatais pacientui pasireiškia su ilgalaikiu gydymu susijusios komplikacijos. Taip atsitinka dėl ligos progresavimo, atsako į </w:t>
      </w:r>
      <w:proofErr w:type="spellStart"/>
      <w:r w:rsidRPr="00F00504">
        <w:rPr>
          <w:rFonts w:ascii="Times New Roman" w:eastAsia="Arial" w:hAnsi="Times New Roman" w:cs="Times New Roman"/>
        </w:rPr>
        <w:t>levodopą</w:t>
      </w:r>
      <w:proofErr w:type="spellEnd"/>
      <w:r w:rsidRPr="00F00504">
        <w:rPr>
          <w:rFonts w:ascii="Times New Roman" w:eastAsia="Arial" w:hAnsi="Times New Roman" w:cs="Times New Roman"/>
        </w:rPr>
        <w:t xml:space="preserve"> sumažėjimo. Motorinės komplikacijos išsivysto &gt;50 proc. visų Parkinsono liga sergančių pacientų po 5–6 metų gydymo </w:t>
      </w:r>
      <w:proofErr w:type="spellStart"/>
      <w:r w:rsidRPr="00F00504">
        <w:rPr>
          <w:rFonts w:ascii="Times New Roman" w:eastAsia="Arial" w:hAnsi="Times New Roman" w:cs="Times New Roman"/>
        </w:rPr>
        <w:t>levodopa</w:t>
      </w:r>
      <w:proofErr w:type="spellEnd"/>
      <w:r w:rsidRPr="00F00504">
        <w:rPr>
          <w:rFonts w:ascii="Times New Roman" w:eastAsia="Arial" w:hAnsi="Times New Roman" w:cs="Times New Roman"/>
        </w:rPr>
        <w:t xml:space="preserve">. Motorinės </w:t>
      </w:r>
      <w:proofErr w:type="spellStart"/>
      <w:r w:rsidRPr="00F00504">
        <w:rPr>
          <w:rFonts w:ascii="Times New Roman" w:eastAsia="Arial" w:hAnsi="Times New Roman" w:cs="Times New Roman"/>
        </w:rPr>
        <w:t>fliuktuacijos</w:t>
      </w:r>
      <w:proofErr w:type="spellEnd"/>
      <w:r w:rsidRPr="00F00504">
        <w:rPr>
          <w:rFonts w:ascii="Times New Roman" w:eastAsia="Arial" w:hAnsi="Times New Roman" w:cs="Times New Roman"/>
        </w:rPr>
        <w:t xml:space="preserve"> – tai laikotarpiai dieną, kai blogą arba nesamą motorinį atsaką į vaistus nuo </w:t>
      </w:r>
      <w:proofErr w:type="spellStart"/>
      <w:r w:rsidRPr="00F00504">
        <w:rPr>
          <w:rFonts w:ascii="Times New Roman" w:eastAsia="Arial" w:hAnsi="Times New Roman" w:cs="Times New Roman"/>
        </w:rPr>
        <w:t>parkinsonizmo</w:t>
      </w:r>
      <w:proofErr w:type="spellEnd"/>
      <w:r w:rsidRPr="00F00504">
        <w:rPr>
          <w:rFonts w:ascii="Times New Roman" w:eastAsia="Arial" w:hAnsi="Times New Roman" w:cs="Times New Roman"/>
        </w:rPr>
        <w:t xml:space="preserve"> keičia pagerėjusios motorikos funkcijos periodai (motorikos svyravimai). </w:t>
      </w:r>
      <w:proofErr w:type="spellStart"/>
      <w:r w:rsidRPr="00F00504">
        <w:rPr>
          <w:rFonts w:ascii="Times New Roman" w:eastAsia="Arial" w:hAnsi="Times New Roman" w:cs="Times New Roman"/>
        </w:rPr>
        <w:t>Diskinezijos</w:t>
      </w:r>
      <w:proofErr w:type="spellEnd"/>
      <w:r w:rsidRPr="00F00504">
        <w:rPr>
          <w:rFonts w:ascii="Times New Roman" w:eastAsia="Arial" w:hAnsi="Times New Roman" w:cs="Times New Roman"/>
        </w:rPr>
        <w:t xml:space="preserve"> – tai per dideli, nenormalūs, nevalingi judesiai. </w:t>
      </w:r>
      <w:proofErr w:type="spellStart"/>
      <w:r w:rsidRPr="00F00504">
        <w:rPr>
          <w:rFonts w:ascii="Times New Roman" w:eastAsia="Arial" w:hAnsi="Times New Roman" w:cs="Times New Roman"/>
        </w:rPr>
        <w:t>Diskinezijos</w:t>
      </w:r>
      <w:proofErr w:type="spellEnd"/>
      <w:r w:rsidRPr="00F00504">
        <w:rPr>
          <w:rFonts w:ascii="Times New Roman" w:eastAsia="Arial" w:hAnsi="Times New Roman" w:cs="Times New Roman"/>
        </w:rPr>
        <w:t xml:space="preserve"> gali būti skausmingos (distonija). </w:t>
      </w:r>
    </w:p>
    <w:p w14:paraId="7374ED82" w14:textId="1D55FCAC" w:rsidR="00F00504" w:rsidRPr="004E0944" w:rsidRDefault="00D36AA9" w:rsidP="004E0944">
      <w:pPr>
        <w:spacing w:line="276" w:lineRule="auto"/>
        <w:jc w:val="both"/>
        <w:rPr>
          <w:rFonts w:eastAsia="Arial"/>
        </w:rPr>
      </w:pPr>
      <w:r>
        <w:rPr>
          <w:rFonts w:eastAsia="Arial"/>
        </w:rPr>
        <w:t>Vadovaujantis</w:t>
      </w:r>
      <w:r w:rsidRPr="00F00504">
        <w:rPr>
          <w:rFonts w:eastAsia="Arial"/>
        </w:rPr>
        <w:t xml:space="preserve"> </w:t>
      </w:r>
      <w:r w:rsidRPr="00551540">
        <w:rPr>
          <w:color w:val="000000"/>
          <w:sz w:val="22"/>
          <w:szCs w:val="22"/>
        </w:rPr>
        <w:t>Lietuvos Respublikos sveikatos apsaugos ministro įsakymu</w:t>
      </w:r>
      <w:r>
        <w:rPr>
          <w:color w:val="000000"/>
          <w:sz w:val="22"/>
          <w:szCs w:val="22"/>
        </w:rPr>
        <w:t xml:space="preserve"> </w:t>
      </w:r>
      <w:r w:rsidRPr="00551540">
        <w:rPr>
          <w:b/>
          <w:bCs/>
          <w:color w:val="000000"/>
          <w:sz w:val="22"/>
          <w:szCs w:val="22"/>
        </w:rPr>
        <w:t>„</w:t>
      </w:r>
      <w:r w:rsidRPr="004E0944">
        <w:rPr>
          <w:color w:val="000000"/>
          <w:sz w:val="22"/>
          <w:szCs w:val="22"/>
        </w:rPr>
        <w:t xml:space="preserve">Dėl Parkinsono ligos ir antrinio </w:t>
      </w:r>
      <w:proofErr w:type="spellStart"/>
      <w:r w:rsidRPr="004E0944">
        <w:rPr>
          <w:color w:val="000000"/>
          <w:sz w:val="22"/>
          <w:szCs w:val="22"/>
        </w:rPr>
        <w:t>parkinsonizmo</w:t>
      </w:r>
      <w:proofErr w:type="spellEnd"/>
      <w:r w:rsidRPr="004E0944">
        <w:rPr>
          <w:color w:val="000000"/>
          <w:sz w:val="22"/>
          <w:szCs w:val="22"/>
        </w:rPr>
        <w:t xml:space="preserve"> ambulatorinio gydymo kompensuojamaisiais vaistais tvarkos aprašo patvirtinimo“</w:t>
      </w:r>
      <w:r w:rsidRPr="00551540">
        <w:rPr>
          <w:b/>
          <w:bCs/>
          <w:color w:val="000000"/>
          <w:sz w:val="22"/>
          <w:szCs w:val="22"/>
        </w:rPr>
        <w:t xml:space="preserve"> </w:t>
      </w:r>
      <w:r w:rsidRPr="00551540">
        <w:rPr>
          <w:color w:val="000000"/>
          <w:sz w:val="22"/>
          <w:szCs w:val="22"/>
        </w:rPr>
        <w:t>2011 m. sausio 27 d., Nr. V-79</w:t>
      </w:r>
      <w:r w:rsidR="00F00504" w:rsidRPr="00F00504">
        <w:rPr>
          <w:rFonts w:eastAsia="Arial"/>
        </w:rPr>
        <w:t xml:space="preserve">, vėlyvosios (komplikuotos) Parkinsono ligos gydymui, jei dėl ilgalaikio gydymo </w:t>
      </w:r>
      <w:proofErr w:type="spellStart"/>
      <w:r w:rsidR="00F00504" w:rsidRPr="00F00504">
        <w:rPr>
          <w:rFonts w:eastAsia="Arial"/>
        </w:rPr>
        <w:t>levodopos</w:t>
      </w:r>
      <w:proofErr w:type="spellEnd"/>
      <w:r w:rsidR="00F00504" w:rsidRPr="00F00504">
        <w:rPr>
          <w:rFonts w:eastAsia="Arial"/>
        </w:rPr>
        <w:t xml:space="preserve"> preparatais atsiranda motorikos </w:t>
      </w:r>
      <w:proofErr w:type="spellStart"/>
      <w:r w:rsidR="00F00504" w:rsidRPr="00F00504">
        <w:rPr>
          <w:rFonts w:eastAsia="Arial"/>
        </w:rPr>
        <w:t>fliuktuacijos</w:t>
      </w:r>
      <w:proofErr w:type="spellEnd"/>
      <w:r w:rsidR="00F00504" w:rsidRPr="00F00504">
        <w:rPr>
          <w:rFonts w:eastAsia="Arial"/>
        </w:rPr>
        <w:t xml:space="preserve"> ar </w:t>
      </w:r>
      <w:proofErr w:type="spellStart"/>
      <w:r w:rsidR="00F00504" w:rsidRPr="00F00504">
        <w:rPr>
          <w:rFonts w:eastAsia="Arial"/>
        </w:rPr>
        <w:t>diskinezijos</w:t>
      </w:r>
      <w:proofErr w:type="spellEnd"/>
      <w:r w:rsidR="00F00504" w:rsidRPr="00F00504">
        <w:rPr>
          <w:rFonts w:eastAsia="Arial"/>
        </w:rPr>
        <w:t xml:space="preserve">, pasirinktinai skiriami šių grupių vaistai: </w:t>
      </w:r>
      <w:proofErr w:type="spellStart"/>
      <w:r w:rsidR="00F00504" w:rsidRPr="004E0944">
        <w:rPr>
          <w:rFonts w:eastAsia="Arial"/>
        </w:rPr>
        <w:t>levodopos</w:t>
      </w:r>
      <w:proofErr w:type="spellEnd"/>
      <w:r w:rsidR="00F00504" w:rsidRPr="004E0944">
        <w:rPr>
          <w:rFonts w:eastAsia="Arial"/>
        </w:rPr>
        <w:t xml:space="preserve"> preparatai kartu su KOMT inhibitoriais arba be jų, dopamino </w:t>
      </w:r>
      <w:proofErr w:type="spellStart"/>
      <w:r w:rsidR="00F00504" w:rsidRPr="004E0944">
        <w:rPr>
          <w:rFonts w:eastAsia="Arial"/>
        </w:rPr>
        <w:t>agonistai</w:t>
      </w:r>
      <w:proofErr w:type="spellEnd"/>
      <w:r w:rsidR="00F00504" w:rsidRPr="004E0944">
        <w:rPr>
          <w:rFonts w:eastAsia="Arial"/>
        </w:rPr>
        <w:t xml:space="preserve">, NMDA receptorių antagonistai, </w:t>
      </w:r>
      <w:proofErr w:type="spellStart"/>
      <w:r w:rsidR="00F00504" w:rsidRPr="004E0944">
        <w:rPr>
          <w:rFonts w:eastAsia="Arial"/>
        </w:rPr>
        <w:t>anticholinerginiai</w:t>
      </w:r>
      <w:proofErr w:type="spellEnd"/>
      <w:r w:rsidR="00F00504" w:rsidRPr="004E0944">
        <w:rPr>
          <w:rFonts w:eastAsia="Arial"/>
        </w:rPr>
        <w:t xml:space="preserve"> vaistai arba MAO-B inhibitoriai. Šiuo metu Lietuvoje vėlyvosios (komplikuotos) PL gydymui kompensuojamas </w:t>
      </w:r>
      <w:r w:rsidR="00CA0FF0" w:rsidRPr="004E0944">
        <w:rPr>
          <w:rFonts w:eastAsia="Arial"/>
        </w:rPr>
        <w:t>sudėtinis vaistinis preparatas</w:t>
      </w:r>
      <w:r w:rsidR="00CA0FF0" w:rsidRPr="004E0944" w:rsidDel="00D36AA9">
        <w:rPr>
          <w:rFonts w:eastAsia="Arial"/>
        </w:rPr>
        <w:t xml:space="preserve"> </w:t>
      </w:r>
      <w:r w:rsidR="00CA0FF0" w:rsidRPr="004E0944">
        <w:rPr>
          <w:rFonts w:eastAsia="Arial"/>
        </w:rPr>
        <w:t>(</w:t>
      </w:r>
      <w:proofErr w:type="spellStart"/>
      <w:r w:rsidR="00F00504" w:rsidRPr="004E0944">
        <w:rPr>
          <w:rFonts w:eastAsia="Arial"/>
        </w:rPr>
        <w:t>levodopos</w:t>
      </w:r>
      <w:proofErr w:type="spellEnd"/>
      <w:r w:rsidR="00CA0FF0" w:rsidRPr="004E0944">
        <w:rPr>
          <w:rFonts w:eastAsia="Arial"/>
        </w:rPr>
        <w:t xml:space="preserve">, </w:t>
      </w:r>
      <w:proofErr w:type="spellStart"/>
      <w:r w:rsidR="00CA0FF0" w:rsidRPr="004E0944">
        <w:rPr>
          <w:rFonts w:eastAsia="Arial"/>
        </w:rPr>
        <w:t>karbidopos</w:t>
      </w:r>
      <w:proofErr w:type="spellEnd"/>
      <w:r w:rsidR="00F00504" w:rsidRPr="004E0944">
        <w:rPr>
          <w:rFonts w:eastAsia="Arial"/>
        </w:rPr>
        <w:t xml:space="preserve"> ir </w:t>
      </w:r>
      <w:proofErr w:type="spellStart"/>
      <w:r w:rsidR="00F00504" w:rsidRPr="004E0944">
        <w:rPr>
          <w:rFonts w:eastAsia="Arial"/>
        </w:rPr>
        <w:t>entakapono</w:t>
      </w:r>
      <w:proofErr w:type="spellEnd"/>
      <w:r w:rsidR="00CA0FF0" w:rsidRPr="004E0944">
        <w:rPr>
          <w:rFonts w:eastAsia="Arial"/>
        </w:rPr>
        <w:t xml:space="preserve"> derinys)</w:t>
      </w:r>
      <w:r w:rsidR="00F00504" w:rsidRPr="004E0944">
        <w:rPr>
          <w:rFonts w:eastAsia="Arial"/>
        </w:rPr>
        <w:t xml:space="preserve">. </w:t>
      </w:r>
      <w:proofErr w:type="spellStart"/>
      <w:r w:rsidR="00F00504" w:rsidRPr="004E0944">
        <w:rPr>
          <w:rFonts w:eastAsia="Arial"/>
        </w:rPr>
        <w:t>Entakaponas</w:t>
      </w:r>
      <w:proofErr w:type="spellEnd"/>
      <w:r w:rsidR="00F00504" w:rsidRPr="004E0944">
        <w:rPr>
          <w:rFonts w:eastAsia="Arial"/>
        </w:rPr>
        <w:t xml:space="preserve"> laikomas tinkamu palyginamuoju gydymu.</w:t>
      </w:r>
    </w:p>
    <w:p w14:paraId="17687BA7" w14:textId="77777777" w:rsidR="00D36AA9" w:rsidRPr="004E0944" w:rsidRDefault="00D36AA9" w:rsidP="00F00504">
      <w:pPr>
        <w:pStyle w:val="VVKT"/>
        <w:rPr>
          <w:i/>
          <w:iCs/>
        </w:rPr>
      </w:pPr>
    </w:p>
    <w:p w14:paraId="1313073C" w14:textId="46D5E96B" w:rsidR="00F00504" w:rsidRPr="004E0944" w:rsidRDefault="00F00504" w:rsidP="00F00504">
      <w:pPr>
        <w:pStyle w:val="VVKT"/>
      </w:pPr>
      <w:r w:rsidRPr="004E0944">
        <w:rPr>
          <w:i/>
          <w:iCs/>
        </w:rPr>
        <w:t>Tiesioginis palyginimas</w:t>
      </w:r>
    </w:p>
    <w:p w14:paraId="5C093980" w14:textId="745373B5" w:rsidR="00F00504" w:rsidRPr="00F00504" w:rsidRDefault="00F00504" w:rsidP="004E0944">
      <w:pPr>
        <w:pStyle w:val="Protokolui"/>
        <w:spacing w:line="276" w:lineRule="auto"/>
        <w:rPr>
          <w:rFonts w:ascii="Times New Roman" w:eastAsia="Arial" w:hAnsi="Times New Roman" w:cs="Times New Roman"/>
          <w:iCs/>
        </w:rPr>
      </w:pPr>
      <w:r w:rsidRPr="004E0944">
        <w:rPr>
          <w:rStyle w:val="ProtokoluiChar"/>
          <w:rFonts w:ascii="Times New Roman" w:hAnsi="Times New Roman" w:cs="Times New Roman"/>
        </w:rPr>
        <w:t xml:space="preserve">Tiesioginiame palyginime pateiktas </w:t>
      </w:r>
      <w:r w:rsidRPr="004E0944">
        <w:rPr>
          <w:rStyle w:val="ProtokoluiChar"/>
          <w:rFonts w:ascii="Times New Roman" w:eastAsia="Arial" w:hAnsi="Times New Roman" w:cs="Times New Roman"/>
        </w:rPr>
        <w:t xml:space="preserve">Studija 016 klinikinis </w:t>
      </w:r>
      <w:proofErr w:type="spellStart"/>
      <w:r w:rsidRPr="004E0944">
        <w:rPr>
          <w:rStyle w:val="ProtokoluiChar"/>
          <w:rFonts w:ascii="Times New Roman" w:eastAsia="Arial" w:hAnsi="Times New Roman" w:cs="Times New Roman"/>
        </w:rPr>
        <w:t>daugiacentris</w:t>
      </w:r>
      <w:proofErr w:type="spellEnd"/>
      <w:r w:rsidRPr="004E0944">
        <w:rPr>
          <w:rStyle w:val="ProtokoluiChar"/>
          <w:rFonts w:ascii="Times New Roman" w:eastAsia="Arial" w:hAnsi="Times New Roman" w:cs="Times New Roman"/>
        </w:rPr>
        <w:t xml:space="preserve">, atsitiktinių imčių, dvigubai </w:t>
      </w:r>
      <w:r w:rsidR="00CA0FF0" w:rsidRPr="004E0944">
        <w:rPr>
          <w:rStyle w:val="ProtokoluiChar"/>
          <w:rFonts w:ascii="Times New Roman" w:eastAsia="Arial" w:hAnsi="Times New Roman" w:cs="Times New Roman"/>
        </w:rPr>
        <w:t>koduotas</w:t>
      </w:r>
      <w:r w:rsidRPr="004E0944">
        <w:rPr>
          <w:rStyle w:val="ProtokoluiChar"/>
          <w:rFonts w:ascii="Times New Roman" w:eastAsia="Arial" w:hAnsi="Times New Roman" w:cs="Times New Roman"/>
        </w:rPr>
        <w:t>, placeb</w:t>
      </w:r>
      <w:r w:rsidR="00CA0FF0" w:rsidRPr="004E0944">
        <w:rPr>
          <w:rStyle w:val="ProtokoluiChar"/>
          <w:rFonts w:ascii="Times New Roman" w:eastAsia="Arial" w:hAnsi="Times New Roman" w:cs="Times New Roman"/>
        </w:rPr>
        <w:t>u</w:t>
      </w:r>
      <w:r w:rsidRPr="004E0944">
        <w:rPr>
          <w:rStyle w:val="ProtokoluiChar"/>
          <w:rFonts w:ascii="Times New Roman" w:eastAsia="Arial" w:hAnsi="Times New Roman" w:cs="Times New Roman"/>
        </w:rPr>
        <w:t xml:space="preserve"> kontroliuojamas tyrimas. Tyrimo tikslas įvertinti </w:t>
      </w:r>
      <w:proofErr w:type="spellStart"/>
      <w:r w:rsidRPr="004E0944">
        <w:rPr>
          <w:rStyle w:val="ProtokoluiChar"/>
          <w:rFonts w:ascii="Times New Roman" w:eastAsia="Arial" w:hAnsi="Times New Roman" w:cs="Times New Roman"/>
        </w:rPr>
        <w:t>safinamido</w:t>
      </w:r>
      <w:proofErr w:type="spellEnd"/>
      <w:r w:rsidRPr="004E0944">
        <w:rPr>
          <w:rStyle w:val="ProtokoluiChar"/>
          <w:rFonts w:ascii="Times New Roman" w:eastAsia="Arial" w:hAnsi="Times New Roman" w:cs="Times New Roman"/>
        </w:rPr>
        <w:t xml:space="preserve"> efektyvumą ir saugumą skiriant pacientams, sergantiems idiopatine Parkinsono liga su motorinėmis </w:t>
      </w:r>
      <w:proofErr w:type="spellStart"/>
      <w:r w:rsidRPr="004E0944">
        <w:rPr>
          <w:rStyle w:val="ProtokoluiChar"/>
          <w:rFonts w:ascii="Times New Roman" w:eastAsia="Arial" w:hAnsi="Times New Roman" w:cs="Times New Roman"/>
        </w:rPr>
        <w:t>fliuktacijomis</w:t>
      </w:r>
      <w:proofErr w:type="spellEnd"/>
      <w:r w:rsidRPr="004E0944">
        <w:rPr>
          <w:rStyle w:val="ProtokoluiChar"/>
          <w:rFonts w:ascii="Times New Roman" w:eastAsia="Arial" w:hAnsi="Times New Roman" w:cs="Times New Roman"/>
        </w:rPr>
        <w:t xml:space="preserve">, gydomais </w:t>
      </w:r>
      <w:proofErr w:type="spellStart"/>
      <w:r w:rsidRPr="004E0944">
        <w:rPr>
          <w:rStyle w:val="ProtokoluiChar"/>
          <w:rFonts w:ascii="Times New Roman" w:eastAsia="Arial" w:hAnsi="Times New Roman" w:cs="Times New Roman"/>
        </w:rPr>
        <w:t>levodopa</w:t>
      </w:r>
      <w:proofErr w:type="spellEnd"/>
      <w:r w:rsidRPr="004E0944">
        <w:rPr>
          <w:rStyle w:val="ProtokoluiChar"/>
          <w:rFonts w:ascii="Times New Roman" w:eastAsia="Arial" w:hAnsi="Times New Roman" w:cs="Times New Roman"/>
        </w:rPr>
        <w:t xml:space="preserve">, kuriems galimas papildomas pastovių dozių dopamino antagonisto ar </w:t>
      </w:r>
      <w:proofErr w:type="spellStart"/>
      <w:r w:rsidRPr="004E0944">
        <w:rPr>
          <w:rStyle w:val="ProtokoluiChar"/>
          <w:rFonts w:ascii="Times New Roman" w:eastAsia="Arial" w:hAnsi="Times New Roman" w:cs="Times New Roman"/>
        </w:rPr>
        <w:t>anticholinerginio</w:t>
      </w:r>
      <w:proofErr w:type="spellEnd"/>
      <w:r w:rsidRPr="004E0944">
        <w:rPr>
          <w:rStyle w:val="ProtokoluiChar"/>
          <w:rFonts w:ascii="Times New Roman" w:eastAsia="Arial" w:hAnsi="Times New Roman" w:cs="Times New Roman"/>
        </w:rPr>
        <w:t xml:space="preserve"> preparato skyrimas. Gydymo</w:t>
      </w:r>
      <w:r w:rsidRPr="00F00504">
        <w:rPr>
          <w:rStyle w:val="ProtokoluiChar"/>
          <w:rFonts w:ascii="Times New Roman" w:eastAsia="Arial" w:hAnsi="Times New Roman" w:cs="Times New Roman"/>
        </w:rPr>
        <w:t xml:space="preserve"> tiriamuoju preparatu trukmė – 24 savaitės. Tyrimui atrink</w:t>
      </w:r>
      <w:r w:rsidR="00CA0FF0">
        <w:rPr>
          <w:rStyle w:val="ProtokoluiChar"/>
          <w:rFonts w:ascii="Times New Roman" w:eastAsia="Arial" w:hAnsi="Times New Roman" w:cs="Times New Roman"/>
        </w:rPr>
        <w:t>t</w:t>
      </w:r>
      <w:r w:rsidRPr="00F00504">
        <w:rPr>
          <w:rStyle w:val="ProtokoluiChar"/>
          <w:rFonts w:ascii="Times New Roman" w:eastAsia="Arial" w:hAnsi="Times New Roman" w:cs="Times New Roman"/>
        </w:rPr>
        <w:t xml:space="preserve">i 669 pacientai: 222 pacientai priskirti placebo grupei,  223 pacientai priskirti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50 mg grupei, 224 pacientai priskirti 100 mg grupei. Pagrindinė vertinamoji baigtis: vidutinės „</w:t>
      </w:r>
      <w:proofErr w:type="spellStart"/>
      <w:r w:rsidRPr="00F00504">
        <w:rPr>
          <w:rStyle w:val="ProtokoluiChar"/>
          <w:rFonts w:ascii="Times New Roman" w:eastAsia="Arial" w:hAnsi="Times New Roman" w:cs="Times New Roman"/>
        </w:rPr>
        <w:t>on</w:t>
      </w:r>
      <w:proofErr w:type="spellEnd"/>
      <w:r w:rsidRPr="00F00504">
        <w:rPr>
          <w:rStyle w:val="ProtokoluiChar"/>
          <w:rFonts w:ascii="Times New Roman" w:eastAsia="Arial" w:hAnsi="Times New Roman" w:cs="Times New Roman"/>
        </w:rPr>
        <w:t xml:space="preserve">“ fazės trukmė prailgėjo statistiškai reikšmingai labiau 50 mg ir 100 mg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grupėse, lyginant su placebo grupe (0,51 valandos, 95% PI (0,07;0,94), p=0,0223 ir 0,55 valandos, 95% PI, (0,12;0,99), p=0,013, atitinkamai). Svarbiausios statistiškai reikšmingos antrinės vertinamosios baigtys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naudai: vidutinės „</w:t>
      </w:r>
      <w:proofErr w:type="spellStart"/>
      <w:r w:rsidRPr="00F00504">
        <w:rPr>
          <w:rStyle w:val="ProtokoluiChar"/>
          <w:rFonts w:ascii="Times New Roman" w:eastAsia="Arial" w:hAnsi="Times New Roman" w:cs="Times New Roman"/>
        </w:rPr>
        <w:t>off</w:t>
      </w:r>
      <w:proofErr w:type="spellEnd"/>
      <w:r w:rsidRPr="00F00504">
        <w:rPr>
          <w:rStyle w:val="ProtokoluiChar"/>
          <w:rFonts w:ascii="Times New Roman" w:eastAsia="Arial" w:hAnsi="Times New Roman" w:cs="Times New Roman"/>
        </w:rPr>
        <w:t xml:space="preserve">“ fazės trukmė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50 mg ir 100 mg grupėse sutrumpėjo; UPDRS II dalies (tik 100 mg grupėje), III dalies, CGI-C, CGI-S skalės įverčiai pagerėjo; pacientų gyvenimo kokybė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100 mg grupėje pagerėjo statistiškai reikšmingai labiau nei placebo grupėje bendrame įvertyje, emocinio </w:t>
      </w:r>
      <w:proofErr w:type="spellStart"/>
      <w:r w:rsidRPr="00F00504">
        <w:rPr>
          <w:rStyle w:val="ProtokoluiChar"/>
          <w:rFonts w:ascii="Times New Roman" w:eastAsia="Arial" w:hAnsi="Times New Roman" w:cs="Times New Roman"/>
        </w:rPr>
        <w:t>gerbūvio</w:t>
      </w:r>
      <w:proofErr w:type="spellEnd"/>
      <w:r w:rsidRPr="00F00504">
        <w:rPr>
          <w:rStyle w:val="ProtokoluiChar"/>
          <w:rFonts w:ascii="Times New Roman" w:eastAsia="Arial" w:hAnsi="Times New Roman" w:cs="Times New Roman"/>
        </w:rPr>
        <w:t xml:space="preserve"> dalyje, komunikacijos dalyje, ir fizinio diskomforto dalyje. Tyrimas turėjo tęstinę fazę, kurios trukmė 18 mėnesių. Tyrime vidutinės „</w:t>
      </w:r>
      <w:proofErr w:type="spellStart"/>
      <w:r w:rsidRPr="00F00504">
        <w:rPr>
          <w:rStyle w:val="ProtokoluiChar"/>
          <w:rFonts w:ascii="Times New Roman" w:eastAsia="Arial" w:hAnsi="Times New Roman" w:cs="Times New Roman"/>
        </w:rPr>
        <w:t>on</w:t>
      </w:r>
      <w:proofErr w:type="spellEnd"/>
      <w:r w:rsidRPr="00F00504">
        <w:rPr>
          <w:rStyle w:val="ProtokoluiChar"/>
          <w:rFonts w:ascii="Times New Roman" w:eastAsia="Arial" w:hAnsi="Times New Roman" w:cs="Times New Roman"/>
        </w:rPr>
        <w:t xml:space="preserve">“ fazės trukmė prailgėjo statistiškai reikšmingai labiau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grupėje. Atlikta </w:t>
      </w:r>
      <w:proofErr w:type="spellStart"/>
      <w:r w:rsidRPr="004E0944">
        <w:rPr>
          <w:rStyle w:val="ProtokoluiChar"/>
          <w:rFonts w:ascii="Times New Roman" w:eastAsia="Arial" w:hAnsi="Times New Roman" w:cs="Times New Roman"/>
          <w:i/>
          <w:iCs/>
        </w:rPr>
        <w:t>Ad</w:t>
      </w:r>
      <w:proofErr w:type="spellEnd"/>
      <w:r w:rsidRPr="004E0944">
        <w:rPr>
          <w:rStyle w:val="ProtokoluiChar"/>
          <w:rFonts w:ascii="Times New Roman" w:eastAsia="Arial" w:hAnsi="Times New Roman" w:cs="Times New Roman"/>
          <w:i/>
          <w:iCs/>
        </w:rPr>
        <w:t xml:space="preserve"> </w:t>
      </w:r>
      <w:proofErr w:type="spellStart"/>
      <w:r w:rsidRPr="004E0944">
        <w:rPr>
          <w:rStyle w:val="ProtokoluiChar"/>
          <w:rFonts w:ascii="Times New Roman" w:eastAsia="Arial" w:hAnsi="Times New Roman" w:cs="Times New Roman"/>
          <w:i/>
          <w:iCs/>
        </w:rPr>
        <w:t>hoc</w:t>
      </w:r>
      <w:proofErr w:type="spellEnd"/>
      <w:r w:rsidRPr="00F00504">
        <w:rPr>
          <w:rStyle w:val="ProtokoluiChar"/>
          <w:rFonts w:ascii="Times New Roman" w:eastAsia="Arial" w:hAnsi="Times New Roman" w:cs="Times New Roman"/>
        </w:rPr>
        <w:t xml:space="preserve"> su vidutinės-sunkios </w:t>
      </w:r>
      <w:proofErr w:type="spellStart"/>
      <w:r w:rsidRPr="00F00504">
        <w:rPr>
          <w:rStyle w:val="ProtokoluiChar"/>
          <w:rFonts w:ascii="Times New Roman" w:eastAsia="Arial" w:hAnsi="Times New Roman" w:cs="Times New Roman"/>
        </w:rPr>
        <w:t>diskinezijos</w:t>
      </w:r>
      <w:proofErr w:type="spellEnd"/>
      <w:r w:rsidRPr="00F00504">
        <w:rPr>
          <w:rStyle w:val="ProtokoluiChar"/>
          <w:rFonts w:ascii="Times New Roman" w:eastAsia="Arial" w:hAnsi="Times New Roman" w:cs="Times New Roman"/>
        </w:rPr>
        <w:t xml:space="preserve"> pacientais: </w:t>
      </w:r>
      <w:proofErr w:type="spellStart"/>
      <w:r w:rsidRPr="00F00504">
        <w:rPr>
          <w:rStyle w:val="ProtokoluiChar"/>
          <w:rFonts w:ascii="Times New Roman" w:eastAsia="Arial" w:hAnsi="Times New Roman" w:cs="Times New Roman"/>
        </w:rPr>
        <w:t>diskinezijos</w:t>
      </w:r>
      <w:proofErr w:type="spellEnd"/>
      <w:r w:rsidRPr="00F00504">
        <w:rPr>
          <w:rStyle w:val="ProtokoluiChar"/>
          <w:rFonts w:ascii="Times New Roman" w:eastAsia="Arial" w:hAnsi="Times New Roman" w:cs="Times New Roman"/>
        </w:rPr>
        <w:t xml:space="preserve"> sumažėjo statistiškai reikšmingai labiau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100 mg grupėje, lyginant su placebo grupe. Kitas tiesioginiame palygin</w:t>
      </w:r>
      <w:r w:rsidR="00CA0FF0">
        <w:rPr>
          <w:rStyle w:val="ProtokoluiChar"/>
          <w:rFonts w:ascii="Times New Roman" w:eastAsia="Arial" w:hAnsi="Times New Roman" w:cs="Times New Roman"/>
        </w:rPr>
        <w:t>im</w:t>
      </w:r>
      <w:r w:rsidRPr="00F00504">
        <w:rPr>
          <w:rStyle w:val="ProtokoluiChar"/>
          <w:rFonts w:ascii="Times New Roman" w:eastAsia="Arial" w:hAnsi="Times New Roman" w:cs="Times New Roman"/>
        </w:rPr>
        <w:t xml:space="preserve">e pateiktas tyrimas - SETTLE klinikinis </w:t>
      </w:r>
      <w:proofErr w:type="spellStart"/>
      <w:r w:rsidRPr="00F00504">
        <w:rPr>
          <w:rStyle w:val="ProtokoluiChar"/>
          <w:rFonts w:ascii="Times New Roman" w:eastAsia="Arial" w:hAnsi="Times New Roman" w:cs="Times New Roman"/>
        </w:rPr>
        <w:t>daugiacentris</w:t>
      </w:r>
      <w:proofErr w:type="spellEnd"/>
      <w:r w:rsidRPr="00F00504">
        <w:rPr>
          <w:rStyle w:val="ProtokoluiChar"/>
          <w:rFonts w:ascii="Times New Roman" w:eastAsia="Arial" w:hAnsi="Times New Roman" w:cs="Times New Roman"/>
        </w:rPr>
        <w:t xml:space="preserve">, atsitiktinių imčių, dvigubai </w:t>
      </w:r>
      <w:r w:rsidR="00CA0FF0">
        <w:rPr>
          <w:rStyle w:val="ProtokoluiChar"/>
          <w:rFonts w:ascii="Times New Roman" w:eastAsia="Arial" w:hAnsi="Times New Roman" w:cs="Times New Roman"/>
        </w:rPr>
        <w:t>koduotas,</w:t>
      </w:r>
      <w:r w:rsidRPr="00F00504">
        <w:rPr>
          <w:rStyle w:val="ProtokoluiChar"/>
          <w:rFonts w:ascii="Times New Roman" w:eastAsia="Arial" w:hAnsi="Times New Roman" w:cs="Times New Roman"/>
        </w:rPr>
        <w:t xml:space="preserve"> placeb</w:t>
      </w:r>
      <w:r w:rsidR="00CA0FF0">
        <w:rPr>
          <w:rStyle w:val="ProtokoluiChar"/>
          <w:rFonts w:ascii="Times New Roman" w:eastAsia="Arial" w:hAnsi="Times New Roman" w:cs="Times New Roman"/>
        </w:rPr>
        <w:t>u</w:t>
      </w:r>
      <w:r w:rsidRPr="00F00504">
        <w:rPr>
          <w:rStyle w:val="ProtokoluiChar"/>
          <w:rFonts w:ascii="Times New Roman" w:eastAsia="Arial" w:hAnsi="Times New Roman" w:cs="Times New Roman"/>
        </w:rPr>
        <w:t xml:space="preserve"> kontroliuojamas tyrimas. Tyrimo tikslas įvertinti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w:t>
      </w:r>
      <w:r w:rsidR="00CA0FF0">
        <w:rPr>
          <w:rStyle w:val="ProtokoluiChar"/>
          <w:rFonts w:ascii="Times New Roman" w:eastAsia="Arial" w:hAnsi="Times New Roman" w:cs="Times New Roman"/>
        </w:rPr>
        <w:t>veiksmingumą</w:t>
      </w:r>
      <w:r w:rsidR="00CA0FF0" w:rsidRPr="00F00504">
        <w:rPr>
          <w:rStyle w:val="ProtokoluiChar"/>
          <w:rFonts w:ascii="Times New Roman" w:eastAsia="Arial" w:hAnsi="Times New Roman" w:cs="Times New Roman"/>
        </w:rPr>
        <w:t xml:space="preserve"> </w:t>
      </w:r>
      <w:r w:rsidRPr="00F00504">
        <w:rPr>
          <w:rStyle w:val="ProtokoluiChar"/>
          <w:rFonts w:ascii="Times New Roman" w:eastAsia="Arial" w:hAnsi="Times New Roman" w:cs="Times New Roman"/>
        </w:rPr>
        <w:t xml:space="preserve">ir saugumą skiriant pacientams, sergantiems idiopatine Parkinsono liga su motorinėmis </w:t>
      </w:r>
      <w:proofErr w:type="spellStart"/>
      <w:r w:rsidRPr="00F00504">
        <w:rPr>
          <w:rStyle w:val="ProtokoluiChar"/>
          <w:rFonts w:ascii="Times New Roman" w:eastAsia="Arial" w:hAnsi="Times New Roman" w:cs="Times New Roman"/>
        </w:rPr>
        <w:t>fliuktacijomis</w:t>
      </w:r>
      <w:proofErr w:type="spellEnd"/>
      <w:r w:rsidRPr="00F00504">
        <w:rPr>
          <w:rStyle w:val="ProtokoluiChar"/>
          <w:rFonts w:ascii="Times New Roman" w:eastAsia="Arial" w:hAnsi="Times New Roman" w:cs="Times New Roman"/>
        </w:rPr>
        <w:t xml:space="preserve">, gydomais </w:t>
      </w:r>
      <w:proofErr w:type="spellStart"/>
      <w:r w:rsidRPr="00F00504">
        <w:rPr>
          <w:rStyle w:val="ProtokoluiChar"/>
          <w:rFonts w:ascii="Times New Roman" w:eastAsia="Arial" w:hAnsi="Times New Roman" w:cs="Times New Roman"/>
        </w:rPr>
        <w:t>levodopa</w:t>
      </w:r>
      <w:proofErr w:type="spellEnd"/>
      <w:r w:rsidRPr="00F00504">
        <w:rPr>
          <w:rStyle w:val="ProtokoluiChar"/>
          <w:rFonts w:ascii="Times New Roman" w:eastAsia="Arial" w:hAnsi="Times New Roman" w:cs="Times New Roman"/>
        </w:rPr>
        <w:t xml:space="preserve">, kuriems galimas papildomas pastovių dozių dopamino antagonisto ar </w:t>
      </w:r>
      <w:proofErr w:type="spellStart"/>
      <w:r w:rsidRPr="00F00504">
        <w:rPr>
          <w:rStyle w:val="ProtokoluiChar"/>
          <w:rFonts w:ascii="Times New Roman" w:eastAsia="Arial" w:hAnsi="Times New Roman" w:cs="Times New Roman"/>
        </w:rPr>
        <w:t>anticholinerginio</w:t>
      </w:r>
      <w:proofErr w:type="spellEnd"/>
      <w:r w:rsidRPr="00F00504">
        <w:rPr>
          <w:rStyle w:val="ProtokoluiChar"/>
          <w:rFonts w:ascii="Times New Roman" w:eastAsia="Arial" w:hAnsi="Times New Roman" w:cs="Times New Roman"/>
        </w:rPr>
        <w:t xml:space="preserve"> preparato skyrimas. Gydymo tiriamuoju preparatu trukmė – 24 savaitės. Tyrimui atrinki 549 pacientai: 275 pacientai priskirti placebo grupei,  274 pacientai priskirti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grupei. Pagrindinė vertinamoji baigtis: vidutinės „</w:t>
      </w:r>
      <w:proofErr w:type="spellStart"/>
      <w:r w:rsidRPr="00F00504">
        <w:rPr>
          <w:rStyle w:val="ProtokoluiChar"/>
          <w:rFonts w:ascii="Times New Roman" w:eastAsia="Arial" w:hAnsi="Times New Roman" w:cs="Times New Roman"/>
        </w:rPr>
        <w:t>on</w:t>
      </w:r>
      <w:proofErr w:type="spellEnd"/>
      <w:r w:rsidRPr="00F00504">
        <w:rPr>
          <w:rStyle w:val="ProtokoluiChar"/>
          <w:rFonts w:ascii="Times New Roman" w:eastAsia="Arial" w:hAnsi="Times New Roman" w:cs="Times New Roman"/>
        </w:rPr>
        <w:t xml:space="preserve">“ fazės trukmė prailgėjo statistiškai reikšmingai labiau </w:t>
      </w:r>
      <w:proofErr w:type="spellStart"/>
      <w:r w:rsidRPr="00F00504">
        <w:rPr>
          <w:rStyle w:val="ProtokoluiChar"/>
          <w:rFonts w:ascii="Times New Roman" w:eastAsia="Arial" w:hAnsi="Times New Roman" w:cs="Times New Roman"/>
        </w:rPr>
        <w:lastRenderedPageBreak/>
        <w:t>safinamido</w:t>
      </w:r>
      <w:proofErr w:type="spellEnd"/>
      <w:r w:rsidRPr="00F00504">
        <w:rPr>
          <w:rStyle w:val="ProtokoluiChar"/>
          <w:rFonts w:ascii="Times New Roman" w:eastAsia="Arial" w:hAnsi="Times New Roman" w:cs="Times New Roman"/>
        </w:rPr>
        <w:t xml:space="preserve"> grupėje, lyginant su placebo grupe (1,42 </w:t>
      </w:r>
      <w:proofErr w:type="spellStart"/>
      <w:r w:rsidRPr="00F00504">
        <w:rPr>
          <w:rStyle w:val="ProtokoluiChar"/>
          <w:rFonts w:ascii="Times New Roman" w:eastAsia="Arial" w:hAnsi="Times New Roman" w:cs="Times New Roman"/>
        </w:rPr>
        <w:t>vs</w:t>
      </w:r>
      <w:proofErr w:type="spellEnd"/>
      <w:r w:rsidRPr="00F00504">
        <w:rPr>
          <w:rStyle w:val="ProtokoluiChar"/>
          <w:rFonts w:ascii="Times New Roman" w:eastAsia="Arial" w:hAnsi="Times New Roman" w:cs="Times New Roman"/>
        </w:rPr>
        <w:t xml:space="preserve"> 0,57, skirtumas 0,96 valandos, 95% PI (0,56;1,37), p&lt;0,001) ir 0,55 valandos, 95% PI, (0,12;0,99), p=0,013, atitinkamai). Svarbiausios statistiškai reikšmingos antrinės vertinamosios baigtys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naudai: vidutinės „</w:t>
      </w:r>
      <w:proofErr w:type="spellStart"/>
      <w:r w:rsidRPr="00F00504">
        <w:rPr>
          <w:rStyle w:val="ProtokoluiChar"/>
          <w:rFonts w:ascii="Times New Roman" w:eastAsia="Arial" w:hAnsi="Times New Roman" w:cs="Times New Roman"/>
        </w:rPr>
        <w:t>off</w:t>
      </w:r>
      <w:proofErr w:type="spellEnd"/>
      <w:r w:rsidRPr="00F00504">
        <w:rPr>
          <w:rStyle w:val="ProtokoluiChar"/>
          <w:rFonts w:ascii="Times New Roman" w:eastAsia="Arial" w:hAnsi="Times New Roman" w:cs="Times New Roman"/>
        </w:rPr>
        <w:t xml:space="preserve">“ fazės trukmė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grupėje sutrumpėjo</w:t>
      </w:r>
      <w:r w:rsidRPr="00F00504">
        <w:rPr>
          <w:rFonts w:ascii="Times New Roman" w:eastAsia="Arial" w:hAnsi="Times New Roman" w:cs="Times New Roman"/>
          <w:iCs/>
        </w:rPr>
        <w:t>; UPDRS III dalies, CGI-C, CGI-S skalės įverčiai pagerėjo; L-</w:t>
      </w:r>
      <w:proofErr w:type="spellStart"/>
      <w:r w:rsidRPr="00F00504">
        <w:rPr>
          <w:rFonts w:ascii="Times New Roman" w:eastAsia="Arial" w:hAnsi="Times New Roman" w:cs="Times New Roman"/>
          <w:iCs/>
        </w:rPr>
        <w:t>dopos</w:t>
      </w:r>
      <w:proofErr w:type="spellEnd"/>
      <w:r w:rsidRPr="00F00504">
        <w:rPr>
          <w:rFonts w:ascii="Times New Roman" w:eastAsia="Arial" w:hAnsi="Times New Roman" w:cs="Times New Roman"/>
          <w:iCs/>
        </w:rPr>
        <w:t xml:space="preserve"> dozė </w:t>
      </w:r>
      <w:proofErr w:type="spellStart"/>
      <w:r w:rsidRPr="00F00504">
        <w:rPr>
          <w:rFonts w:ascii="Times New Roman" w:eastAsia="Arial" w:hAnsi="Times New Roman" w:cs="Times New Roman"/>
          <w:iCs/>
        </w:rPr>
        <w:t>safinamido</w:t>
      </w:r>
      <w:proofErr w:type="spellEnd"/>
      <w:r w:rsidRPr="00F00504">
        <w:rPr>
          <w:rFonts w:ascii="Times New Roman" w:eastAsia="Arial" w:hAnsi="Times New Roman" w:cs="Times New Roman"/>
          <w:iCs/>
        </w:rPr>
        <w:t xml:space="preserve"> grupėje sumažėjo.</w:t>
      </w:r>
    </w:p>
    <w:p w14:paraId="68EFBFE2" w14:textId="77777777" w:rsidR="00F00504" w:rsidRPr="00F00504" w:rsidRDefault="00F00504" w:rsidP="004E0944">
      <w:pPr>
        <w:tabs>
          <w:tab w:val="left" w:pos="284"/>
        </w:tabs>
        <w:spacing w:line="276" w:lineRule="auto"/>
      </w:pPr>
    </w:p>
    <w:p w14:paraId="50A13FE1" w14:textId="77777777" w:rsidR="00F00504" w:rsidRPr="00F00504" w:rsidRDefault="00F00504" w:rsidP="00CA0FF0">
      <w:pPr>
        <w:pStyle w:val="VVKT"/>
        <w:ind w:firstLine="0"/>
      </w:pPr>
      <w:r w:rsidRPr="00F00504">
        <w:rPr>
          <w:i/>
          <w:iCs/>
        </w:rPr>
        <w:t>Netiesioginis palyginimas</w:t>
      </w:r>
    </w:p>
    <w:p w14:paraId="551C8177" w14:textId="77777777" w:rsidR="00F00504" w:rsidRPr="00F00504" w:rsidRDefault="00F00504" w:rsidP="004E0944">
      <w:pPr>
        <w:pStyle w:val="Protokolui"/>
        <w:spacing w:line="276" w:lineRule="auto"/>
        <w:rPr>
          <w:rFonts w:ascii="Times New Roman" w:eastAsia="Arial" w:hAnsi="Times New Roman" w:cs="Times New Roman"/>
          <w:iCs/>
        </w:rPr>
      </w:pPr>
      <w:r w:rsidRPr="00F00504">
        <w:rPr>
          <w:rStyle w:val="ProtokoluiChar"/>
          <w:rFonts w:ascii="Times New Roman" w:hAnsi="Times New Roman" w:cs="Times New Roman"/>
        </w:rPr>
        <w:t>Nesant tinkamo tiesioginio palyginimo su palyginamaisiais preparatais, atlikta netiesioginė palyginamoji analizė su</w:t>
      </w:r>
      <w:r w:rsidRPr="00F00504">
        <w:rPr>
          <w:rStyle w:val="ProtokoluiChar"/>
          <w:rFonts w:ascii="Times New Roman" w:eastAsia="Arial" w:hAnsi="Times New Roman" w:cs="Times New Roman"/>
        </w:rPr>
        <w:t xml:space="preserve"> </w:t>
      </w:r>
      <w:proofErr w:type="spellStart"/>
      <w:r w:rsidRPr="00F00504">
        <w:rPr>
          <w:rStyle w:val="ProtokoluiChar"/>
          <w:rFonts w:ascii="Times New Roman" w:eastAsia="Arial" w:hAnsi="Times New Roman" w:cs="Times New Roman"/>
        </w:rPr>
        <w:t>entakaponu</w:t>
      </w:r>
      <w:proofErr w:type="spellEnd"/>
      <w:r w:rsidRPr="00F00504">
        <w:rPr>
          <w:rStyle w:val="ProtokoluiChar"/>
          <w:rFonts w:ascii="Times New Roman" w:eastAsia="Arial" w:hAnsi="Times New Roman" w:cs="Times New Roman"/>
        </w:rPr>
        <w:t>. Analizei atrinktų tyrimų populiacija sudaryta iš pacientų, sergančių Parkinsono liga ir patiriančių motorines fluktuacijas, bei gydomų nekintama L-</w:t>
      </w:r>
      <w:proofErr w:type="spellStart"/>
      <w:r w:rsidRPr="00F00504">
        <w:rPr>
          <w:rStyle w:val="ProtokoluiChar"/>
          <w:rFonts w:ascii="Times New Roman" w:eastAsia="Arial" w:hAnsi="Times New Roman" w:cs="Times New Roman"/>
        </w:rPr>
        <w:t>dopos</w:t>
      </w:r>
      <w:proofErr w:type="spellEnd"/>
      <w:r w:rsidRPr="00F00504">
        <w:rPr>
          <w:rStyle w:val="ProtokoluiChar"/>
          <w:rFonts w:ascii="Times New Roman" w:eastAsia="Arial" w:hAnsi="Times New Roman" w:cs="Times New Roman"/>
        </w:rPr>
        <w:t xml:space="preserve"> doze. Bendra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tyrimų populiacija buvo 1218 pacientai, </w:t>
      </w:r>
      <w:proofErr w:type="spellStart"/>
      <w:r w:rsidRPr="00F00504">
        <w:rPr>
          <w:rStyle w:val="ProtokoluiChar"/>
          <w:rFonts w:ascii="Times New Roman" w:eastAsia="Arial" w:hAnsi="Times New Roman" w:cs="Times New Roman"/>
        </w:rPr>
        <w:t>entakapono</w:t>
      </w:r>
      <w:proofErr w:type="spellEnd"/>
      <w:r w:rsidRPr="00F00504">
        <w:rPr>
          <w:rStyle w:val="ProtokoluiChar"/>
          <w:rFonts w:ascii="Times New Roman" w:eastAsia="Arial" w:hAnsi="Times New Roman" w:cs="Times New Roman"/>
        </w:rPr>
        <w:t xml:space="preserve"> 839 pacientai. </w:t>
      </w:r>
      <w:proofErr w:type="spellStart"/>
      <w:r w:rsidRPr="00F00504">
        <w:rPr>
          <w:rStyle w:val="ProtokoluiChar"/>
          <w:rFonts w:ascii="Times New Roman" w:eastAsia="Arial" w:hAnsi="Times New Roman" w:cs="Times New Roman"/>
        </w:rPr>
        <w:t>Entakapono</w:t>
      </w:r>
      <w:proofErr w:type="spellEnd"/>
      <w:r w:rsidRPr="00F00504">
        <w:rPr>
          <w:rStyle w:val="ProtokoluiChar"/>
          <w:rFonts w:ascii="Times New Roman" w:eastAsia="Arial" w:hAnsi="Times New Roman" w:cs="Times New Roman"/>
        </w:rPr>
        <w:t xml:space="preserve"> populiacijoje buvo stebimas didesnis L-</w:t>
      </w:r>
      <w:proofErr w:type="spellStart"/>
      <w:r w:rsidRPr="00F00504">
        <w:rPr>
          <w:rStyle w:val="ProtokoluiChar"/>
          <w:rFonts w:ascii="Times New Roman" w:eastAsia="Arial" w:hAnsi="Times New Roman" w:cs="Times New Roman"/>
        </w:rPr>
        <w:t>dopos</w:t>
      </w:r>
      <w:proofErr w:type="spellEnd"/>
      <w:r w:rsidRPr="00F00504">
        <w:rPr>
          <w:rStyle w:val="ProtokoluiChar"/>
          <w:rFonts w:ascii="Times New Roman" w:eastAsia="Arial" w:hAnsi="Times New Roman" w:cs="Times New Roman"/>
        </w:rPr>
        <w:t xml:space="preserve"> dozės sumažėjimas, lyginant su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populiacija (p&lt;0,05).  Nebuvo nustatyta statistiškai reikšmingų skirtumų tarp </w:t>
      </w:r>
      <w:proofErr w:type="spellStart"/>
      <w:r w:rsidRPr="00F00504">
        <w:rPr>
          <w:rStyle w:val="ProtokoluiChar"/>
          <w:rFonts w:ascii="Times New Roman" w:eastAsia="Arial" w:hAnsi="Times New Roman" w:cs="Times New Roman"/>
        </w:rPr>
        <w:t>safinamido</w:t>
      </w:r>
      <w:proofErr w:type="spellEnd"/>
      <w:r w:rsidRPr="00F00504">
        <w:rPr>
          <w:rStyle w:val="ProtokoluiChar"/>
          <w:rFonts w:ascii="Times New Roman" w:eastAsia="Arial" w:hAnsi="Times New Roman" w:cs="Times New Roman"/>
        </w:rPr>
        <w:t xml:space="preserve"> ir </w:t>
      </w:r>
      <w:proofErr w:type="spellStart"/>
      <w:r w:rsidRPr="00F00504">
        <w:rPr>
          <w:rStyle w:val="ProtokoluiChar"/>
          <w:rFonts w:ascii="Times New Roman" w:eastAsia="Arial" w:hAnsi="Times New Roman" w:cs="Times New Roman"/>
        </w:rPr>
        <w:t>entakapono</w:t>
      </w:r>
      <w:proofErr w:type="spellEnd"/>
      <w:r w:rsidRPr="00F00504">
        <w:rPr>
          <w:rStyle w:val="ProtokoluiChar"/>
          <w:rFonts w:ascii="Times New Roman" w:eastAsia="Arial" w:hAnsi="Times New Roman" w:cs="Times New Roman"/>
        </w:rPr>
        <w:t xml:space="preserve"> vertinant „</w:t>
      </w:r>
      <w:proofErr w:type="spellStart"/>
      <w:r w:rsidRPr="00F00504">
        <w:rPr>
          <w:rStyle w:val="ProtokoluiChar"/>
          <w:rFonts w:ascii="Times New Roman" w:eastAsia="Arial" w:hAnsi="Times New Roman" w:cs="Times New Roman"/>
        </w:rPr>
        <w:t>off</w:t>
      </w:r>
      <w:proofErr w:type="spellEnd"/>
      <w:r w:rsidRPr="00F00504">
        <w:rPr>
          <w:rStyle w:val="ProtokoluiChar"/>
          <w:rFonts w:ascii="Times New Roman" w:eastAsia="Arial" w:hAnsi="Times New Roman" w:cs="Times New Roman"/>
        </w:rPr>
        <w:t>“ fazės trukmę</w:t>
      </w:r>
      <w:r w:rsidRPr="00F00504">
        <w:rPr>
          <w:rFonts w:ascii="Times New Roman" w:eastAsia="Arial" w:hAnsi="Times New Roman" w:cs="Times New Roman"/>
          <w:iCs/>
        </w:rPr>
        <w:t xml:space="preserve"> ar „</w:t>
      </w:r>
      <w:proofErr w:type="spellStart"/>
      <w:r w:rsidRPr="00F00504">
        <w:rPr>
          <w:rFonts w:ascii="Times New Roman" w:eastAsia="Arial" w:hAnsi="Times New Roman" w:cs="Times New Roman"/>
          <w:iCs/>
        </w:rPr>
        <w:t>on</w:t>
      </w:r>
      <w:proofErr w:type="spellEnd"/>
      <w:r w:rsidRPr="00F00504">
        <w:rPr>
          <w:rFonts w:ascii="Times New Roman" w:eastAsia="Arial" w:hAnsi="Times New Roman" w:cs="Times New Roman"/>
          <w:iCs/>
        </w:rPr>
        <w:t>“ fazės trukmę, UPDRS pokyčius.</w:t>
      </w:r>
    </w:p>
    <w:p w14:paraId="419F8D32" w14:textId="77777777" w:rsidR="00F00504" w:rsidRPr="00F00504" w:rsidRDefault="00F00504" w:rsidP="004E0944">
      <w:pPr>
        <w:tabs>
          <w:tab w:val="left" w:pos="284"/>
        </w:tabs>
        <w:spacing w:line="276" w:lineRule="auto"/>
        <w:rPr>
          <w:rFonts w:eastAsia="Arial"/>
          <w:iCs/>
        </w:rPr>
      </w:pPr>
    </w:p>
    <w:p w14:paraId="20F87E46" w14:textId="77777777" w:rsidR="00F00504" w:rsidRPr="00F00504" w:rsidRDefault="00F00504" w:rsidP="004E0944">
      <w:pPr>
        <w:tabs>
          <w:tab w:val="left" w:pos="284"/>
        </w:tabs>
        <w:spacing w:line="276" w:lineRule="auto"/>
        <w:rPr>
          <w:rFonts w:eastAsia="Arial"/>
          <w:iCs/>
        </w:rPr>
      </w:pPr>
      <w:r w:rsidRPr="00F00504">
        <w:rPr>
          <w:rFonts w:eastAsia="Arial"/>
          <w:i/>
        </w:rPr>
        <w:t>Kiti tyrimai</w:t>
      </w:r>
    </w:p>
    <w:p w14:paraId="7811055D" w14:textId="408ADBDE" w:rsidR="00F00504" w:rsidRPr="00F00504" w:rsidRDefault="00F00504" w:rsidP="004E0944">
      <w:pPr>
        <w:pStyle w:val="Protokolui"/>
        <w:spacing w:line="276" w:lineRule="auto"/>
        <w:rPr>
          <w:rFonts w:ascii="Times New Roman" w:eastAsia="Arial" w:hAnsi="Times New Roman" w:cs="Times New Roman"/>
        </w:rPr>
      </w:pPr>
      <w:r w:rsidRPr="00F00504">
        <w:rPr>
          <w:rFonts w:ascii="Times New Roman" w:eastAsia="Arial" w:hAnsi="Times New Roman" w:cs="Times New Roman"/>
        </w:rPr>
        <w:t xml:space="preserve">Papildomai pateiktas tyrimas - SYNAPSES yra </w:t>
      </w:r>
      <w:proofErr w:type="spellStart"/>
      <w:r w:rsidRPr="00F00504">
        <w:rPr>
          <w:rFonts w:ascii="Times New Roman" w:eastAsia="Arial" w:hAnsi="Times New Roman" w:cs="Times New Roman"/>
        </w:rPr>
        <w:t>daugiacentris</w:t>
      </w:r>
      <w:proofErr w:type="spellEnd"/>
      <w:r w:rsidRPr="00F00504">
        <w:rPr>
          <w:rFonts w:ascii="Times New Roman" w:eastAsia="Arial" w:hAnsi="Times New Roman" w:cs="Times New Roman"/>
        </w:rPr>
        <w:t>, retrospektyvus-</w:t>
      </w:r>
      <w:proofErr w:type="spellStart"/>
      <w:r w:rsidRPr="00F00504">
        <w:rPr>
          <w:rFonts w:ascii="Times New Roman" w:eastAsia="Arial" w:hAnsi="Times New Roman" w:cs="Times New Roman"/>
        </w:rPr>
        <w:t>prospektyvus</w:t>
      </w:r>
      <w:proofErr w:type="spellEnd"/>
      <w:r w:rsidRPr="00F00504">
        <w:rPr>
          <w:rFonts w:ascii="Times New Roman" w:eastAsia="Arial" w:hAnsi="Times New Roman" w:cs="Times New Roman"/>
        </w:rPr>
        <w:t xml:space="preserve"> </w:t>
      </w:r>
      <w:proofErr w:type="spellStart"/>
      <w:r w:rsidRPr="00F00504">
        <w:rPr>
          <w:rFonts w:ascii="Times New Roman" w:eastAsia="Arial" w:hAnsi="Times New Roman" w:cs="Times New Roman"/>
        </w:rPr>
        <w:t>kohortinis</w:t>
      </w:r>
      <w:proofErr w:type="spellEnd"/>
      <w:r w:rsidRPr="00F00504">
        <w:rPr>
          <w:rFonts w:ascii="Times New Roman" w:eastAsia="Arial" w:hAnsi="Times New Roman" w:cs="Times New Roman"/>
        </w:rPr>
        <w:t xml:space="preserve"> stebėjimo tyrimas. Į tyrimą buvo įtraukiami visi įmanomi pacientai, gydyti </w:t>
      </w:r>
      <w:proofErr w:type="spellStart"/>
      <w:r w:rsidRPr="00F00504">
        <w:rPr>
          <w:rFonts w:ascii="Times New Roman" w:eastAsia="Arial" w:hAnsi="Times New Roman" w:cs="Times New Roman"/>
        </w:rPr>
        <w:t>safinamidu</w:t>
      </w:r>
      <w:proofErr w:type="spellEnd"/>
      <w:r w:rsidRPr="00F00504">
        <w:rPr>
          <w:rFonts w:ascii="Times New Roman" w:eastAsia="Arial" w:hAnsi="Times New Roman" w:cs="Times New Roman"/>
        </w:rPr>
        <w:t xml:space="preserve">. Į tyrimą buvo įtraukti 1610 pacientų. Pacientai buvo tiriami ir stebimi 12 mėnesių. Tyrimo pradžioje 92,2% pacientų turėjo motorinės </w:t>
      </w:r>
      <w:proofErr w:type="spellStart"/>
      <w:r w:rsidRPr="00F00504">
        <w:rPr>
          <w:rFonts w:ascii="Times New Roman" w:eastAsia="Arial" w:hAnsi="Times New Roman" w:cs="Times New Roman"/>
        </w:rPr>
        <w:t>fluktacijas</w:t>
      </w:r>
      <w:proofErr w:type="spellEnd"/>
      <w:r w:rsidRPr="00F00504">
        <w:rPr>
          <w:rFonts w:ascii="Times New Roman" w:eastAsia="Arial" w:hAnsi="Times New Roman" w:cs="Times New Roman"/>
        </w:rPr>
        <w:t>. Pacientų, patiria</w:t>
      </w:r>
      <w:r w:rsidR="002B0ECD">
        <w:rPr>
          <w:rFonts w:ascii="Times New Roman" w:eastAsia="Arial" w:hAnsi="Times New Roman" w:cs="Times New Roman"/>
        </w:rPr>
        <w:t>n</w:t>
      </w:r>
      <w:r w:rsidRPr="00F00504">
        <w:rPr>
          <w:rFonts w:ascii="Times New Roman" w:eastAsia="Arial" w:hAnsi="Times New Roman" w:cs="Times New Roman"/>
        </w:rPr>
        <w:t xml:space="preserve">čių motorines </w:t>
      </w:r>
      <w:proofErr w:type="spellStart"/>
      <w:r w:rsidRPr="00F00504">
        <w:rPr>
          <w:rFonts w:ascii="Times New Roman" w:eastAsia="Arial" w:hAnsi="Times New Roman" w:cs="Times New Roman"/>
        </w:rPr>
        <w:t>fluktacijas</w:t>
      </w:r>
      <w:proofErr w:type="spellEnd"/>
      <w:r w:rsidRPr="00F00504">
        <w:rPr>
          <w:rFonts w:ascii="Times New Roman" w:eastAsia="Arial" w:hAnsi="Times New Roman" w:cs="Times New Roman"/>
        </w:rPr>
        <w:t xml:space="preserve"> dalis, po pirmų 4 </w:t>
      </w:r>
      <w:proofErr w:type="spellStart"/>
      <w:r w:rsidRPr="00F00504">
        <w:rPr>
          <w:rFonts w:ascii="Times New Roman" w:eastAsia="Arial" w:hAnsi="Times New Roman" w:cs="Times New Roman"/>
        </w:rPr>
        <w:t>mėnėsių</w:t>
      </w:r>
      <w:proofErr w:type="spellEnd"/>
      <w:r w:rsidRPr="00F00504">
        <w:rPr>
          <w:rFonts w:ascii="Times New Roman" w:eastAsia="Arial" w:hAnsi="Times New Roman" w:cs="Times New Roman"/>
        </w:rPr>
        <w:t xml:space="preserve"> gydymo sumažėjo iki 73,5% ir viso tyrimo metu išliko sumažėjusi. UPDRS skalės įverčiai kasdienės veiklos, motorinės veiklos, gydymo komplikacijų dalių ir bendras įvertis pagerėjo ir išliko mažesnis už pradinį viso gydymo metu. Po 12 mėn. gydymo 39% pacientų bendrame įvertyje ir 45% motorinės funkcijos įvertyje pasiekė kliniškai reikšmingą pagerėjimą.</w:t>
      </w:r>
    </w:p>
    <w:p w14:paraId="4007BAFE" w14:textId="77777777" w:rsidR="00F00504" w:rsidRPr="00F00504" w:rsidRDefault="00F00504" w:rsidP="00F00504">
      <w:pPr>
        <w:tabs>
          <w:tab w:val="left" w:pos="284"/>
        </w:tabs>
        <w:spacing w:line="280" w:lineRule="atLeast"/>
        <w:rPr>
          <w:rFonts w:eastAsia="Arial"/>
          <w:iCs/>
        </w:rPr>
      </w:pPr>
    </w:p>
    <w:p w14:paraId="039D8602" w14:textId="77777777" w:rsidR="00F00504" w:rsidRPr="00F00504" w:rsidRDefault="00F00504" w:rsidP="00F00504">
      <w:pPr>
        <w:tabs>
          <w:tab w:val="left" w:pos="492"/>
        </w:tabs>
        <w:spacing w:line="276" w:lineRule="auto"/>
        <w:jc w:val="both"/>
        <w:outlineLvl w:val="1"/>
        <w:rPr>
          <w:rFonts w:eastAsia="Arial"/>
          <w:bCs/>
          <w:i/>
          <w:iCs/>
        </w:rPr>
      </w:pPr>
      <w:r w:rsidRPr="00F00504">
        <w:rPr>
          <w:rFonts w:eastAsia="Arial"/>
          <w:bCs/>
          <w:i/>
          <w:iCs/>
        </w:rPr>
        <w:t>Palyginamasis saugumas</w:t>
      </w:r>
    </w:p>
    <w:p w14:paraId="4D2AA523" w14:textId="77777777" w:rsidR="00F00504" w:rsidRPr="00F00504" w:rsidRDefault="00F00504" w:rsidP="004E0944">
      <w:pPr>
        <w:pStyle w:val="Protokolui"/>
        <w:spacing w:line="276" w:lineRule="auto"/>
        <w:rPr>
          <w:rFonts w:ascii="Times New Roman" w:eastAsia="Arial" w:hAnsi="Times New Roman" w:cs="Times New Roman"/>
        </w:rPr>
      </w:pPr>
      <w:proofErr w:type="spellStart"/>
      <w:r w:rsidRPr="00F00504">
        <w:rPr>
          <w:rFonts w:ascii="Times New Roman" w:eastAsia="Arial" w:hAnsi="Times New Roman" w:cs="Times New Roman"/>
        </w:rPr>
        <w:t>Safinamido</w:t>
      </w:r>
      <w:proofErr w:type="spellEnd"/>
      <w:r w:rsidRPr="00F00504">
        <w:rPr>
          <w:rFonts w:ascii="Times New Roman" w:eastAsia="Arial" w:hAnsi="Times New Roman" w:cs="Times New Roman"/>
        </w:rPr>
        <w:t xml:space="preserve"> saugumo rezultatai buvo aptarti EVA mokslinėje diskusijoje (EMA/CHMP/393951/2014) ir įtraukti į preparato charakteristikų santrauką. EVA mokslinėje diskusijoje </w:t>
      </w:r>
      <w:proofErr w:type="spellStart"/>
      <w:r w:rsidRPr="00F00504">
        <w:rPr>
          <w:rFonts w:ascii="Times New Roman" w:eastAsia="Arial" w:hAnsi="Times New Roman" w:cs="Times New Roman"/>
        </w:rPr>
        <w:t>safinamidas</w:t>
      </w:r>
      <w:proofErr w:type="spellEnd"/>
      <w:r w:rsidRPr="00F00504">
        <w:rPr>
          <w:rFonts w:ascii="Times New Roman" w:eastAsia="Arial" w:hAnsi="Times New Roman" w:cs="Times New Roman"/>
        </w:rPr>
        <w:t xml:space="preserve"> vertinamas kaip turintis patenkinamą saugumo profilį.</w:t>
      </w:r>
    </w:p>
    <w:p w14:paraId="780E0235" w14:textId="77777777" w:rsidR="00F00504" w:rsidRPr="00F00504" w:rsidRDefault="00F00504" w:rsidP="00F00504">
      <w:pPr>
        <w:spacing w:line="276" w:lineRule="auto"/>
        <w:jc w:val="both"/>
        <w:rPr>
          <w:rFonts w:eastAsia="Arial"/>
          <w:bCs/>
        </w:rPr>
      </w:pPr>
      <w:r w:rsidRPr="00F00504">
        <w:rPr>
          <w:rFonts w:eastAsia="Arial"/>
          <w:bCs/>
        </w:rPr>
        <w:t xml:space="preserve">Saugumo analizė atlikta remiantis klinikiniais atsitiktinių imčių tyrimais </w:t>
      </w:r>
      <w:proofErr w:type="spellStart"/>
      <w:r w:rsidRPr="00F00504">
        <w:rPr>
          <w:rFonts w:eastAsia="Arial"/>
          <w:bCs/>
        </w:rPr>
        <w:t>Study</w:t>
      </w:r>
      <w:proofErr w:type="spellEnd"/>
      <w:r w:rsidRPr="00F00504">
        <w:rPr>
          <w:rFonts w:eastAsia="Arial"/>
          <w:bCs/>
        </w:rPr>
        <w:t xml:space="preserve"> 016 (NCT01187966) ir SETTLE (NCT00627640). Nei viename tyrime nebuvo statistiškai reikšmingo skirtumo tarp </w:t>
      </w:r>
      <w:proofErr w:type="spellStart"/>
      <w:r w:rsidRPr="00F00504">
        <w:rPr>
          <w:rFonts w:eastAsia="Arial"/>
          <w:bCs/>
        </w:rPr>
        <w:t>safinamido</w:t>
      </w:r>
      <w:proofErr w:type="spellEnd"/>
      <w:r w:rsidRPr="00F00504">
        <w:rPr>
          <w:rFonts w:eastAsia="Arial"/>
          <w:bCs/>
        </w:rPr>
        <w:t xml:space="preserve"> ir placebo vertinant bendrą nepageidaujamų reiškinių (NR) skaičių, bendrą sunkių NR skaičių, bendrą mirčių skaičių, bendrą tiriamųjų, nutraukusių gydymą dėl NR skaičių, taip pat nebuvo reikšmingo skirtumo tarp klinikinio ištyrimo, laboratorinių ar </w:t>
      </w:r>
      <w:proofErr w:type="spellStart"/>
      <w:r w:rsidRPr="00F00504">
        <w:rPr>
          <w:rFonts w:eastAsia="Arial"/>
          <w:bCs/>
        </w:rPr>
        <w:t>elektrokardiografinių</w:t>
      </w:r>
      <w:proofErr w:type="spellEnd"/>
      <w:r w:rsidRPr="00F00504">
        <w:rPr>
          <w:rFonts w:eastAsia="Arial"/>
          <w:bCs/>
        </w:rPr>
        <w:t xml:space="preserve"> tyrimų. Mirčių, susijusių su </w:t>
      </w:r>
      <w:proofErr w:type="spellStart"/>
      <w:r w:rsidRPr="00F00504">
        <w:rPr>
          <w:rFonts w:eastAsia="Arial"/>
          <w:bCs/>
        </w:rPr>
        <w:t>safinamido</w:t>
      </w:r>
      <w:proofErr w:type="spellEnd"/>
      <w:r w:rsidRPr="00F00504">
        <w:rPr>
          <w:rFonts w:eastAsia="Arial"/>
          <w:bCs/>
        </w:rPr>
        <w:t xml:space="preserve"> vartojimu, registruota nebuvo.</w:t>
      </w:r>
    </w:p>
    <w:p w14:paraId="4C77AAEE" w14:textId="77777777" w:rsidR="00F00504" w:rsidRPr="00F00504" w:rsidRDefault="00F00504" w:rsidP="00F00504">
      <w:pPr>
        <w:spacing w:line="276" w:lineRule="auto"/>
        <w:jc w:val="both"/>
        <w:rPr>
          <w:rFonts w:eastAsia="Arial"/>
          <w:iCs/>
          <w:color w:val="000000" w:themeColor="text1"/>
        </w:rPr>
      </w:pPr>
      <w:r w:rsidRPr="00F00504">
        <w:rPr>
          <w:rFonts w:eastAsia="Arial"/>
          <w:bCs/>
        </w:rPr>
        <w:t xml:space="preserve">Atliktoje NPA vertintas gydymo </w:t>
      </w:r>
      <w:proofErr w:type="spellStart"/>
      <w:r w:rsidRPr="00F00504">
        <w:rPr>
          <w:rFonts w:eastAsia="Arial"/>
          <w:bCs/>
        </w:rPr>
        <w:t>entakaponu</w:t>
      </w:r>
      <w:proofErr w:type="spellEnd"/>
      <w:r w:rsidRPr="00F00504">
        <w:rPr>
          <w:rFonts w:eastAsia="Arial"/>
          <w:bCs/>
        </w:rPr>
        <w:t xml:space="preserve"> ir </w:t>
      </w:r>
      <w:proofErr w:type="spellStart"/>
      <w:r w:rsidRPr="00F00504">
        <w:rPr>
          <w:rFonts w:eastAsia="Arial"/>
          <w:bCs/>
        </w:rPr>
        <w:t>safinamidu</w:t>
      </w:r>
      <w:proofErr w:type="spellEnd"/>
      <w:r w:rsidRPr="00F00504">
        <w:rPr>
          <w:rFonts w:eastAsia="Arial"/>
          <w:bCs/>
        </w:rPr>
        <w:t xml:space="preserve"> nutraukimas dėl NR arba mirties ir bendras NR dažnis. Gydymo nutraukimo dėl NR skirtumo tarp </w:t>
      </w:r>
      <w:proofErr w:type="spellStart"/>
      <w:r w:rsidRPr="00F00504">
        <w:rPr>
          <w:rFonts w:eastAsia="Arial"/>
          <w:bCs/>
        </w:rPr>
        <w:t>entakapono</w:t>
      </w:r>
      <w:proofErr w:type="spellEnd"/>
      <w:r w:rsidRPr="00F00504">
        <w:rPr>
          <w:rFonts w:eastAsia="Arial"/>
          <w:bCs/>
        </w:rPr>
        <w:t xml:space="preserve"> ir </w:t>
      </w:r>
      <w:proofErr w:type="spellStart"/>
      <w:r w:rsidRPr="00F00504">
        <w:rPr>
          <w:rFonts w:eastAsia="Arial"/>
          <w:bCs/>
        </w:rPr>
        <w:t>safinamido</w:t>
      </w:r>
      <w:proofErr w:type="spellEnd"/>
      <w:r w:rsidRPr="00F00504">
        <w:rPr>
          <w:rFonts w:eastAsia="Arial"/>
          <w:bCs/>
        </w:rPr>
        <w:t xml:space="preserve"> nebuvo. </w:t>
      </w:r>
      <w:proofErr w:type="spellStart"/>
      <w:r w:rsidRPr="00F00504">
        <w:rPr>
          <w:rFonts w:eastAsia="Arial"/>
          <w:bCs/>
        </w:rPr>
        <w:t>Safinamido</w:t>
      </w:r>
      <w:proofErr w:type="spellEnd"/>
      <w:r w:rsidRPr="00F00504">
        <w:rPr>
          <w:rFonts w:eastAsia="Arial"/>
          <w:bCs/>
        </w:rPr>
        <w:t xml:space="preserve"> grupėje tikimybė patirti NR buvo statistiškai reikšmingai mažesnė, nei </w:t>
      </w:r>
      <w:proofErr w:type="spellStart"/>
      <w:r w:rsidRPr="00F00504">
        <w:rPr>
          <w:rFonts w:eastAsia="Arial"/>
          <w:bCs/>
        </w:rPr>
        <w:t>entakapono</w:t>
      </w:r>
      <w:proofErr w:type="spellEnd"/>
      <w:r w:rsidRPr="00F00504">
        <w:rPr>
          <w:rFonts w:eastAsia="Arial"/>
          <w:bCs/>
        </w:rPr>
        <w:t xml:space="preserve"> grupėje.</w:t>
      </w:r>
    </w:p>
    <w:p w14:paraId="25E55A15" w14:textId="77777777" w:rsidR="00F00504" w:rsidRPr="00F00504" w:rsidRDefault="00F00504" w:rsidP="00F00504">
      <w:pPr>
        <w:spacing w:line="276" w:lineRule="auto"/>
        <w:jc w:val="both"/>
        <w:rPr>
          <w:rFonts w:eastAsia="Arial"/>
          <w:i/>
          <w:color w:val="000000" w:themeColor="text1"/>
        </w:rPr>
      </w:pPr>
    </w:p>
    <w:p w14:paraId="6ABDA780" w14:textId="77777777" w:rsidR="00F00504" w:rsidRPr="00F00504" w:rsidRDefault="00F00504" w:rsidP="00F00504">
      <w:pPr>
        <w:spacing w:line="276" w:lineRule="auto"/>
        <w:jc w:val="both"/>
        <w:rPr>
          <w:rFonts w:eastAsia="Arial"/>
          <w:i/>
          <w:color w:val="000000" w:themeColor="text1"/>
        </w:rPr>
      </w:pPr>
      <w:r w:rsidRPr="00F00504">
        <w:rPr>
          <w:rFonts w:eastAsia="Arial"/>
          <w:i/>
          <w:color w:val="000000" w:themeColor="text1"/>
        </w:rPr>
        <w:t>Privalumai ir trūkumai</w:t>
      </w:r>
    </w:p>
    <w:p w14:paraId="08CFCB78" w14:textId="77777777" w:rsidR="00F00504" w:rsidRPr="00F00504" w:rsidRDefault="00F00504" w:rsidP="00F00504">
      <w:pPr>
        <w:pStyle w:val="Protokolui"/>
        <w:rPr>
          <w:rFonts w:ascii="Times New Roman" w:eastAsia="Arial" w:hAnsi="Times New Roman" w:cs="Times New Roman"/>
          <w:lang w:val="lt-LT"/>
        </w:rPr>
      </w:pPr>
      <w:r w:rsidRPr="00F00504">
        <w:rPr>
          <w:rFonts w:ascii="Times New Roman" w:eastAsia="Arial" w:hAnsi="Times New Roman" w:cs="Times New Roman"/>
          <w:lang w:val="lt-LT"/>
        </w:rPr>
        <w:t>Jei vaistinis preparatas būtų įrašytas į kompensavimo sąrašus, gydymo šiuo vaistiniu preparatu taikymas klinikinėje praktikoje galėtų turėti privalumų ir trūkumų medicininėms paslaugoms ar pacientams.</w:t>
      </w:r>
    </w:p>
    <w:p w14:paraId="26BD78A3" w14:textId="77777777" w:rsidR="00F00504" w:rsidRPr="00F00504" w:rsidRDefault="00F00504" w:rsidP="00F00504">
      <w:pPr>
        <w:spacing w:line="276" w:lineRule="auto"/>
        <w:jc w:val="both"/>
        <w:rPr>
          <w:rFonts w:eastAsia="Arial"/>
          <w:i/>
          <w:iCs/>
          <w:color w:val="000000" w:themeColor="text1"/>
        </w:rPr>
      </w:pPr>
      <w:r w:rsidRPr="00F00504">
        <w:rPr>
          <w:rFonts w:eastAsia="Arial"/>
          <w:i/>
          <w:iCs/>
          <w:color w:val="000000" w:themeColor="text1"/>
        </w:rPr>
        <w:t>Privalumai.</w:t>
      </w:r>
      <w:r w:rsidRPr="00F00504">
        <w:rPr>
          <w:rFonts w:eastAsia="Arial"/>
          <w:iCs/>
          <w:color w:val="000000" w:themeColor="text1"/>
        </w:rPr>
        <w:t xml:space="preserve"> Pacientams – didesnė vėlyvosios Parkinsono ligos sukeliamų motorinių fluktuacijų gydymo pasirinkimo galimybė. Medicinos paslaugoms – esminių privalumų nėra.. </w:t>
      </w:r>
    </w:p>
    <w:p w14:paraId="4DC9C7FA" w14:textId="77777777" w:rsidR="00F00504" w:rsidRPr="00F00504" w:rsidRDefault="00F00504" w:rsidP="00F00504">
      <w:pPr>
        <w:spacing w:line="276" w:lineRule="auto"/>
        <w:jc w:val="both"/>
        <w:rPr>
          <w:rFonts w:eastAsia="Arial"/>
          <w:iCs/>
          <w:color w:val="000000" w:themeColor="text1"/>
        </w:rPr>
      </w:pPr>
      <w:r w:rsidRPr="00F00504">
        <w:rPr>
          <w:rFonts w:eastAsia="Arial"/>
          <w:i/>
          <w:iCs/>
          <w:color w:val="000000" w:themeColor="text1"/>
        </w:rPr>
        <w:t>Trūkumai</w:t>
      </w:r>
      <w:r w:rsidRPr="00F00504">
        <w:rPr>
          <w:rFonts w:eastAsia="Arial"/>
          <w:iCs/>
          <w:color w:val="000000" w:themeColor="text1"/>
        </w:rPr>
        <w:t>. Pacientams ir medicinos paslaugoms –  esminių trūkumų nėra.</w:t>
      </w:r>
    </w:p>
    <w:p w14:paraId="51099597" w14:textId="77777777" w:rsidR="00F00504" w:rsidRPr="00F00504" w:rsidRDefault="00F00504" w:rsidP="008513F5">
      <w:pPr>
        <w:pStyle w:val="VVKT"/>
        <w:ind w:firstLine="0"/>
        <w:jc w:val="both"/>
      </w:pPr>
    </w:p>
    <w:p w14:paraId="77BC9E8A" w14:textId="77777777" w:rsidR="00F00504" w:rsidRPr="00F00504" w:rsidRDefault="00F00504" w:rsidP="008513F5">
      <w:pPr>
        <w:pStyle w:val="VVKT"/>
        <w:jc w:val="both"/>
      </w:pPr>
      <w:r w:rsidRPr="00F00504">
        <w:t xml:space="preserve">Apibendrinant paraiškoje pateiktus duomenis ir nesant tiesioginio palyginimo su palyginamuoju vaistiniu preparatu </w:t>
      </w:r>
      <w:proofErr w:type="spellStart"/>
      <w:r w:rsidRPr="00F00504">
        <w:t>entakaponu</w:t>
      </w:r>
      <w:proofErr w:type="spellEnd"/>
      <w:r w:rsidRPr="00F00504">
        <w:t xml:space="preserve">, daroma išvada, kad </w:t>
      </w:r>
      <w:proofErr w:type="spellStart"/>
      <w:r w:rsidRPr="00F00504">
        <w:t>safinamidas</w:t>
      </w:r>
      <w:proofErr w:type="spellEnd"/>
      <w:r w:rsidRPr="00F00504">
        <w:t xml:space="preserve"> yra iš esmės nesiskiriančio palyginamojo efektyvumo nuo </w:t>
      </w:r>
      <w:proofErr w:type="spellStart"/>
      <w:r w:rsidRPr="00F00504">
        <w:t>entakapono</w:t>
      </w:r>
      <w:proofErr w:type="spellEnd"/>
      <w:r w:rsidRPr="00F00504">
        <w:t xml:space="preserve"> vėlyvosios Parkinsono ligos motorinių </w:t>
      </w:r>
      <w:proofErr w:type="spellStart"/>
      <w:r w:rsidRPr="00F00504">
        <w:t>fliuktacijų</w:t>
      </w:r>
      <w:proofErr w:type="spellEnd"/>
      <w:r w:rsidRPr="00F00504">
        <w:t xml:space="preserve"> gydymui. </w:t>
      </w:r>
      <w:proofErr w:type="spellStart"/>
      <w:r w:rsidRPr="00F00504">
        <w:t>Safinamido</w:t>
      </w:r>
      <w:proofErr w:type="spellEnd"/>
      <w:r w:rsidRPr="00F00504">
        <w:t xml:space="preserve"> klinikinis veiksmingumas vertinamas kaip pagrindžiantis nesiskiriančios naudos pacientų sveikatai sukūrimą, lyginant su įprasta klinikine praktika.</w:t>
      </w:r>
    </w:p>
    <w:p w14:paraId="33471A50" w14:textId="77777777" w:rsidR="003D3228" w:rsidRPr="00F00504" w:rsidRDefault="003D3228" w:rsidP="008513F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49C93293" w14:textId="77777777" w:rsidR="003D3228" w:rsidRPr="00753ABA" w:rsidRDefault="003D3228" w:rsidP="003D3228">
      <w:pPr>
        <w:pStyle w:val="Sraopastraipa"/>
        <w:numPr>
          <w:ilvl w:val="0"/>
          <w:numId w:val="1"/>
        </w:numPr>
        <w:tabs>
          <w:tab w:val="left" w:pos="567"/>
        </w:tabs>
        <w:ind w:hanging="720"/>
        <w:rPr>
          <w:b/>
          <w:bCs/>
          <w:caps/>
        </w:rPr>
      </w:pPr>
      <w:r w:rsidRPr="00753ABA">
        <w:rPr>
          <w:b/>
          <w:bCs/>
          <w:caps/>
        </w:rPr>
        <w:t>ekonominio vertinimo apibendrinimas</w:t>
      </w:r>
    </w:p>
    <w:p w14:paraId="46A5FE21" w14:textId="77777777" w:rsidR="003D3228" w:rsidRPr="00753ABA" w:rsidRDefault="003D3228" w:rsidP="003D3228">
      <w:pPr>
        <w:tabs>
          <w:tab w:val="left" w:pos="426"/>
        </w:tabs>
        <w:rPr>
          <w:i/>
          <w:sz w:val="22"/>
          <w:szCs w:val="22"/>
        </w:rPr>
      </w:pPr>
    </w:p>
    <w:p w14:paraId="500331B2" w14:textId="77777777" w:rsidR="00E47F57" w:rsidRPr="00B41843" w:rsidRDefault="00E47F57" w:rsidP="00E47F57">
      <w:pPr>
        <w:spacing w:line="276" w:lineRule="auto"/>
        <w:ind w:firstLine="360"/>
        <w:jc w:val="both"/>
        <w:rPr>
          <w:rFonts w:eastAsia="Arial"/>
          <w:color w:val="000000"/>
        </w:rPr>
      </w:pPr>
      <w:proofErr w:type="spellStart"/>
      <w:r>
        <w:rPr>
          <w:rFonts w:eastAsia="Arial"/>
          <w:color w:val="000000"/>
        </w:rPr>
        <w:t>Safinamidas</w:t>
      </w:r>
      <w:proofErr w:type="spellEnd"/>
      <w:r>
        <w:rPr>
          <w:rFonts w:eastAsia="Arial"/>
          <w:color w:val="000000"/>
        </w:rPr>
        <w:t xml:space="preserve"> (</w:t>
      </w:r>
      <w:proofErr w:type="spellStart"/>
      <w:r w:rsidRPr="00165D3F">
        <w:rPr>
          <w:rFonts w:eastAsia="Arial"/>
          <w:color w:val="000000"/>
        </w:rPr>
        <w:t>Xadago</w:t>
      </w:r>
      <w:proofErr w:type="spellEnd"/>
      <w:r>
        <w:rPr>
          <w:rFonts w:eastAsia="Arial"/>
          <w:color w:val="000000"/>
        </w:rPr>
        <w:t>)</w:t>
      </w:r>
      <w:r w:rsidRPr="00165D3F">
        <w:rPr>
          <w:rFonts w:eastAsia="Arial"/>
          <w:color w:val="000000"/>
        </w:rPr>
        <w:t xml:space="preserve"> skirtas suaugusių pacientų, sergančių idiopatine Parkinsono liga (PL), papildomam gydymui kartu su pastovia vien tik </w:t>
      </w:r>
      <w:proofErr w:type="spellStart"/>
      <w:r w:rsidRPr="00165D3F">
        <w:rPr>
          <w:rFonts w:eastAsia="Arial"/>
          <w:color w:val="000000"/>
        </w:rPr>
        <w:t>levodopos</w:t>
      </w:r>
      <w:proofErr w:type="spellEnd"/>
      <w:r w:rsidRPr="00165D3F">
        <w:rPr>
          <w:rFonts w:eastAsia="Arial"/>
          <w:color w:val="000000"/>
        </w:rPr>
        <w:t xml:space="preserve"> (L-</w:t>
      </w:r>
      <w:proofErr w:type="spellStart"/>
      <w:r w:rsidRPr="00165D3F">
        <w:rPr>
          <w:rFonts w:eastAsia="Arial"/>
          <w:color w:val="000000"/>
        </w:rPr>
        <w:t>dopos</w:t>
      </w:r>
      <w:proofErr w:type="spellEnd"/>
      <w:r w:rsidRPr="00165D3F">
        <w:rPr>
          <w:rFonts w:eastAsia="Arial"/>
          <w:color w:val="000000"/>
        </w:rPr>
        <w:t xml:space="preserve">) ar jos derinio su kitais vaistais nuo PL doze pacientams, kuriems yra vidutinės ar vėlyvos stadijos liga ir pasireiškia </w:t>
      </w:r>
      <w:proofErr w:type="spellStart"/>
      <w:r w:rsidRPr="00165D3F">
        <w:rPr>
          <w:rFonts w:eastAsia="Arial"/>
          <w:color w:val="000000"/>
        </w:rPr>
        <w:t>fliuktuacijų</w:t>
      </w:r>
      <w:proofErr w:type="spellEnd"/>
      <w:r w:rsidRPr="00165D3F">
        <w:rPr>
          <w:rFonts w:eastAsia="Arial"/>
          <w:color w:val="000000"/>
        </w:rPr>
        <w:t>.</w:t>
      </w:r>
      <w:r>
        <w:rPr>
          <w:rFonts w:eastAsia="Arial"/>
          <w:color w:val="000000"/>
        </w:rPr>
        <w:t xml:space="preserve"> </w:t>
      </w:r>
      <w:r w:rsidRPr="00165D3F">
        <w:t xml:space="preserve">Indikaciją su skyrimo sąlygomis atitinkančios populiacijos klinikinis veiksmingumas ir saugumas pagrįstas SETTLE ir klinikinių tyrimų 016/018 duomenimis. Indikaciją atitinkančios populiacijos duomenys netiesiogiai lyginti </w:t>
      </w:r>
      <w:r w:rsidRPr="00DF0C1D">
        <w:t>taikant tinklinę meta-analizę,</w:t>
      </w:r>
      <w:r w:rsidRPr="00165D3F">
        <w:t xml:space="preserve"> kurioje </w:t>
      </w:r>
      <w:proofErr w:type="spellStart"/>
      <w:r w:rsidRPr="00165D3F">
        <w:t>safinamido</w:t>
      </w:r>
      <w:proofErr w:type="spellEnd"/>
      <w:r w:rsidRPr="00165D3F">
        <w:t xml:space="preserve"> efektyvumas ir saugumas </w:t>
      </w:r>
      <w:r>
        <w:t xml:space="preserve">lygintas su </w:t>
      </w:r>
      <w:proofErr w:type="spellStart"/>
      <w:r>
        <w:t>entakapono</w:t>
      </w:r>
      <w:proofErr w:type="spellEnd"/>
      <w:r>
        <w:t xml:space="preserve"> gydymu. Remiantis </w:t>
      </w:r>
      <w:r w:rsidRPr="00E75D6C">
        <w:t xml:space="preserve">Parkinsono ligos ir antrinio </w:t>
      </w:r>
      <w:proofErr w:type="spellStart"/>
      <w:r w:rsidRPr="00E75D6C">
        <w:t>parkinsonizmo</w:t>
      </w:r>
      <w:proofErr w:type="spellEnd"/>
      <w:r w:rsidRPr="00E75D6C">
        <w:t xml:space="preserve"> ambulatorinio gydymo kompensuojam</w:t>
      </w:r>
      <w:r>
        <w:t>aisiais vaistais tvarkos aprašu bei kompensuojamų vaistų sąrašu (A sąrašu)   p</w:t>
      </w:r>
      <w:r w:rsidRPr="00165D3F">
        <w:t>alyginamasis gydymas</w:t>
      </w:r>
      <w:r>
        <w:t xml:space="preserve"> (</w:t>
      </w:r>
      <w:proofErr w:type="spellStart"/>
      <w:r>
        <w:t>entakaponas</w:t>
      </w:r>
      <w:proofErr w:type="spellEnd"/>
      <w:r>
        <w:t xml:space="preserve">) yra </w:t>
      </w:r>
      <w:r w:rsidRPr="00165D3F">
        <w:t>atitinka įpras</w:t>
      </w:r>
      <w:r>
        <w:t>tą klinikinę praktiką Lietuvoje ir yra tinkamas ekonominės analizės palyginamasis.</w:t>
      </w:r>
    </w:p>
    <w:p w14:paraId="25964EDC" w14:textId="77777777" w:rsidR="00E47F57" w:rsidRDefault="00E47F57" w:rsidP="00E47F57">
      <w:pPr>
        <w:spacing w:line="276" w:lineRule="auto"/>
        <w:jc w:val="both"/>
      </w:pPr>
      <w:r w:rsidRPr="002B1B83">
        <w:t>Remiantis SAM įsakymo Nr. 159 reikalavimais, dėl iš esmės nesiskiriančio gydymo efektyvumo ir sukuriamos naudos pacientų sveikatai, lyginant su įprasta klinikine praktika, Pareiškėjas teikia kaštų mažinimo</w:t>
      </w:r>
      <w:r>
        <w:t xml:space="preserve"> analizę</w:t>
      </w:r>
      <w:r w:rsidRPr="002B1B83">
        <w:t>. Atitinkamai modeliavimas nėra taikomas ir klinikiniai duomenys ekonomi</w:t>
      </w:r>
      <w:r>
        <w:t>nėje analizėje nėra įtraukiami.</w:t>
      </w:r>
    </w:p>
    <w:p w14:paraId="73372513" w14:textId="612313E5" w:rsidR="00E47F57" w:rsidRDefault="00E47F57" w:rsidP="00E47F57">
      <w:pPr>
        <w:spacing w:line="276" w:lineRule="auto"/>
        <w:ind w:firstLine="360"/>
        <w:jc w:val="both"/>
      </w:pPr>
      <w:r>
        <w:t xml:space="preserve">Iš Pareiškėjo pateiktų klinikinių duomenų matyti, kad esminius kaštų skirtumus lemia vaistinių preparatų įsigijimo kaštai. </w:t>
      </w:r>
      <w:r w:rsidRPr="00365EE5">
        <w:t>Kaštai</w:t>
      </w:r>
      <w:r>
        <w:t xml:space="preserve"> vertinami vienerių metų laikotarpiu, kadangi pirmaisiais ir sekančiais gydymo metais vaistinių preparatų dozavimo skirtumų nėra. Apskaičiuojant vaistinių preparatų įsigijimo kaštus papildomų prielaidų netaikoma, apskaičiuojant skiriamų vaistinių preparatų proporcijas, remiamasi faktiniais duomenimis, apie ankstesniaisiais metais PL sergantiems pacientams skirtas pakuotes (2023 m. VLK duomenys). Tarnyba atkreipia dėmesį, kad: </w:t>
      </w:r>
      <w:r w:rsidRPr="00464BF9">
        <w:rPr>
          <w:rFonts w:eastAsia="Arial"/>
          <w:color w:val="000000"/>
        </w:rPr>
        <w:t xml:space="preserve">Pareiškėjas teikia indikaciją kompensavimui kai </w:t>
      </w:r>
      <w:proofErr w:type="spellStart"/>
      <w:r w:rsidRPr="00464BF9">
        <w:rPr>
          <w:rFonts w:eastAsia="Arial"/>
          <w:color w:val="000000"/>
        </w:rPr>
        <w:t>safinamidas</w:t>
      </w:r>
      <w:proofErr w:type="spellEnd"/>
      <w:r w:rsidRPr="00464BF9">
        <w:rPr>
          <w:rFonts w:eastAsia="Arial"/>
          <w:color w:val="000000"/>
        </w:rPr>
        <w:t xml:space="preserve"> yra skiriamas papildomam gydymui (prie jau skiriamų: </w:t>
      </w:r>
      <w:proofErr w:type="spellStart"/>
      <w:r w:rsidRPr="00464BF9">
        <w:rPr>
          <w:rFonts w:eastAsia="Arial"/>
          <w:color w:val="000000"/>
        </w:rPr>
        <w:t>monoterapijai</w:t>
      </w:r>
      <w:proofErr w:type="spellEnd"/>
      <w:r w:rsidRPr="00464BF9">
        <w:rPr>
          <w:rFonts w:eastAsia="Arial"/>
          <w:color w:val="000000"/>
        </w:rPr>
        <w:t xml:space="preserve"> su </w:t>
      </w:r>
      <w:proofErr w:type="spellStart"/>
      <w:r w:rsidRPr="00464BF9">
        <w:rPr>
          <w:rFonts w:eastAsia="Arial"/>
          <w:color w:val="000000"/>
        </w:rPr>
        <w:t>levodopos</w:t>
      </w:r>
      <w:proofErr w:type="spellEnd"/>
      <w:r w:rsidRPr="00464BF9">
        <w:rPr>
          <w:rFonts w:eastAsia="Arial"/>
          <w:color w:val="000000"/>
        </w:rPr>
        <w:t xml:space="preserve"> (L-</w:t>
      </w:r>
      <w:proofErr w:type="spellStart"/>
      <w:r w:rsidRPr="00464BF9">
        <w:rPr>
          <w:rFonts w:eastAsia="Arial"/>
          <w:color w:val="000000"/>
        </w:rPr>
        <w:t>dopos</w:t>
      </w:r>
      <w:proofErr w:type="spellEnd"/>
      <w:r w:rsidRPr="00464BF9">
        <w:rPr>
          <w:rFonts w:eastAsia="Arial"/>
          <w:color w:val="000000"/>
        </w:rPr>
        <w:t>) arba deri</w:t>
      </w:r>
      <w:r>
        <w:rPr>
          <w:rFonts w:eastAsia="Arial"/>
          <w:color w:val="000000"/>
        </w:rPr>
        <w:t>ny su kitais vaistais nuo PL); P</w:t>
      </w:r>
      <w:r w:rsidRPr="00464BF9">
        <w:rPr>
          <w:rFonts w:eastAsia="Arial"/>
          <w:color w:val="000000"/>
        </w:rPr>
        <w:t xml:space="preserve">alyginamasis </w:t>
      </w:r>
      <w:proofErr w:type="spellStart"/>
      <w:r w:rsidRPr="00464BF9">
        <w:rPr>
          <w:rFonts w:eastAsia="Arial"/>
          <w:color w:val="000000"/>
        </w:rPr>
        <w:t>entakaponas</w:t>
      </w:r>
      <w:proofErr w:type="spellEnd"/>
      <w:r w:rsidRPr="00464BF9">
        <w:rPr>
          <w:rFonts w:eastAsia="Arial"/>
          <w:color w:val="000000"/>
        </w:rPr>
        <w:t xml:space="preserve"> pagal vaistinių preparatų charakteristikų santrauką gali būti skiriamas tik derinyje su </w:t>
      </w:r>
      <w:proofErr w:type="spellStart"/>
      <w:r w:rsidRPr="00464BF9">
        <w:rPr>
          <w:rFonts w:eastAsia="TimesNewRoman"/>
        </w:rPr>
        <w:t>levodopa</w:t>
      </w:r>
      <w:proofErr w:type="spellEnd"/>
      <w:r w:rsidRPr="00464BF9">
        <w:rPr>
          <w:rFonts w:eastAsia="TimesNewRoman"/>
        </w:rPr>
        <w:t xml:space="preserve"> / </w:t>
      </w:r>
      <w:proofErr w:type="spellStart"/>
      <w:r w:rsidRPr="00464BF9">
        <w:rPr>
          <w:rFonts w:eastAsia="TimesNewRoman"/>
        </w:rPr>
        <w:t>benser</w:t>
      </w:r>
      <w:r>
        <w:rPr>
          <w:rFonts w:eastAsia="TimesNewRoman"/>
        </w:rPr>
        <w:t>azidu</w:t>
      </w:r>
      <w:proofErr w:type="spellEnd"/>
      <w:r>
        <w:rPr>
          <w:rFonts w:eastAsia="TimesNewRoman"/>
        </w:rPr>
        <w:t xml:space="preserve"> ar </w:t>
      </w:r>
      <w:proofErr w:type="spellStart"/>
      <w:r>
        <w:rPr>
          <w:rFonts w:eastAsia="TimesNewRoman"/>
        </w:rPr>
        <w:t>levodopa</w:t>
      </w:r>
      <w:proofErr w:type="spellEnd"/>
      <w:r>
        <w:rPr>
          <w:rFonts w:eastAsia="TimesNewRoman"/>
        </w:rPr>
        <w:t xml:space="preserve"> / </w:t>
      </w:r>
      <w:proofErr w:type="spellStart"/>
      <w:r>
        <w:rPr>
          <w:rFonts w:eastAsia="TimesNewRoman"/>
        </w:rPr>
        <w:t>karbidopa</w:t>
      </w:r>
      <w:proofErr w:type="spellEnd"/>
      <w:r>
        <w:rPr>
          <w:rFonts w:eastAsia="TimesNewRoman"/>
        </w:rPr>
        <w:t>; Kadangi</w:t>
      </w:r>
      <w:r w:rsidRPr="00464BF9">
        <w:rPr>
          <w:rFonts w:eastAsia="TimesNewRoman"/>
        </w:rPr>
        <w:t xml:space="preserve"> viena kompensuojamų pakuočių Lietuvoje yra kai </w:t>
      </w:r>
      <w:proofErr w:type="spellStart"/>
      <w:r w:rsidRPr="00464BF9">
        <w:rPr>
          <w:rFonts w:eastAsia="TimesNewRoman"/>
        </w:rPr>
        <w:t>enkataponas</w:t>
      </w:r>
      <w:proofErr w:type="spellEnd"/>
      <w:r w:rsidRPr="00464BF9">
        <w:rPr>
          <w:rFonts w:eastAsia="TimesNewRoman"/>
        </w:rPr>
        <w:t xml:space="preserve"> yra sudėtyje (</w:t>
      </w:r>
      <w:proofErr w:type="spellStart"/>
      <w:r w:rsidRPr="00464BF9">
        <w:rPr>
          <w:color w:val="000000"/>
          <w:lang w:eastAsia="lt-LT"/>
        </w:rPr>
        <w:t>Levodopa</w:t>
      </w:r>
      <w:proofErr w:type="spellEnd"/>
      <w:r w:rsidRPr="00464BF9">
        <w:rPr>
          <w:color w:val="000000"/>
          <w:lang w:eastAsia="lt-LT"/>
        </w:rPr>
        <w:t xml:space="preserve"> </w:t>
      </w:r>
      <w:proofErr w:type="spellStart"/>
      <w:r w:rsidRPr="00464BF9">
        <w:rPr>
          <w:color w:val="000000"/>
          <w:lang w:eastAsia="lt-LT"/>
        </w:rPr>
        <w:t>comb</w:t>
      </w:r>
      <w:proofErr w:type="spellEnd"/>
      <w:r w:rsidRPr="00464BF9">
        <w:rPr>
          <w:color w:val="000000"/>
          <w:lang w:eastAsia="lt-LT"/>
        </w:rPr>
        <w:t>.(+</w:t>
      </w:r>
      <w:proofErr w:type="spellStart"/>
      <w:r w:rsidRPr="00464BF9">
        <w:rPr>
          <w:color w:val="000000"/>
          <w:lang w:eastAsia="lt-LT"/>
        </w:rPr>
        <w:t>Carbidopa+Entacaponum</w:t>
      </w:r>
      <w:proofErr w:type="spellEnd"/>
      <w:r w:rsidRPr="00464BF9">
        <w:rPr>
          <w:color w:val="000000"/>
          <w:lang w:eastAsia="lt-LT"/>
        </w:rPr>
        <w:t xml:space="preserve">)), </w:t>
      </w:r>
      <w:r w:rsidRPr="00464BF9">
        <w:rPr>
          <w:rFonts w:eastAsia="TimesNewRoman"/>
        </w:rPr>
        <w:t xml:space="preserve"> </w:t>
      </w:r>
      <w:r w:rsidRPr="00464BF9">
        <w:rPr>
          <w:rFonts w:eastAsia="Arial"/>
          <w:color w:val="000000"/>
        </w:rPr>
        <w:t xml:space="preserve"> apskaičiuojant vaistinių preparatų įsigijimo kaštus Tarnyba lygina bendruosius </w:t>
      </w:r>
      <w:proofErr w:type="spellStart"/>
      <w:r w:rsidRPr="00464BF9">
        <w:rPr>
          <w:rFonts w:eastAsia="Arial"/>
          <w:color w:val="000000"/>
        </w:rPr>
        <w:t>safinamido</w:t>
      </w:r>
      <w:proofErr w:type="spellEnd"/>
      <w:r w:rsidRPr="00464BF9">
        <w:rPr>
          <w:rFonts w:eastAsia="Arial"/>
          <w:color w:val="000000"/>
        </w:rPr>
        <w:t xml:space="preserve"> ir </w:t>
      </w:r>
      <w:proofErr w:type="spellStart"/>
      <w:r w:rsidRPr="00464BF9">
        <w:rPr>
          <w:rFonts w:eastAsia="Arial"/>
          <w:color w:val="000000"/>
        </w:rPr>
        <w:t>entakapono</w:t>
      </w:r>
      <w:proofErr w:type="spellEnd"/>
      <w:r w:rsidRPr="00464BF9">
        <w:rPr>
          <w:rFonts w:eastAsia="Arial"/>
          <w:color w:val="000000"/>
        </w:rPr>
        <w:t xml:space="preserve"> įsigijimo kaštus vartojamus </w:t>
      </w:r>
      <w:r w:rsidRPr="00464BF9">
        <w:rPr>
          <w:rFonts w:eastAsia="Arial"/>
          <w:color w:val="000000"/>
          <w:u w:val="single"/>
        </w:rPr>
        <w:t>deriniuose</w:t>
      </w:r>
      <w:r>
        <w:rPr>
          <w:rFonts w:eastAsia="Arial"/>
          <w:color w:val="000000"/>
          <w:u w:val="single"/>
        </w:rPr>
        <w:t xml:space="preserve"> </w:t>
      </w:r>
      <w:r w:rsidRPr="00B41843">
        <w:rPr>
          <w:rFonts w:eastAsia="Arial"/>
          <w:color w:val="000000"/>
        </w:rPr>
        <w:t xml:space="preserve">(kadangi derinių kaštai skiriasi). Yra laikoma, kad </w:t>
      </w:r>
      <w:proofErr w:type="spellStart"/>
      <w:r w:rsidRPr="00B41843">
        <w:rPr>
          <w:rFonts w:eastAsia="Arial"/>
          <w:color w:val="000000"/>
        </w:rPr>
        <w:t>safinamidas</w:t>
      </w:r>
      <w:proofErr w:type="spellEnd"/>
      <w:r w:rsidRPr="00B41843">
        <w:rPr>
          <w:rFonts w:eastAsia="Arial"/>
          <w:color w:val="000000"/>
        </w:rPr>
        <w:t xml:space="preserve"> derinyje su </w:t>
      </w:r>
      <w:proofErr w:type="spellStart"/>
      <w:r w:rsidRPr="00464BF9">
        <w:rPr>
          <w:rFonts w:eastAsia="TimesNewRoman"/>
        </w:rPr>
        <w:t>levodopa</w:t>
      </w:r>
      <w:proofErr w:type="spellEnd"/>
      <w:r w:rsidRPr="00464BF9">
        <w:rPr>
          <w:rFonts w:eastAsia="TimesNewRoman"/>
        </w:rPr>
        <w:t xml:space="preserve"> / </w:t>
      </w:r>
      <w:proofErr w:type="spellStart"/>
      <w:r w:rsidRPr="00464BF9">
        <w:rPr>
          <w:rFonts w:eastAsia="TimesNewRoman"/>
        </w:rPr>
        <w:t>benser</w:t>
      </w:r>
      <w:r>
        <w:rPr>
          <w:rFonts w:eastAsia="TimesNewRoman"/>
        </w:rPr>
        <w:t>azidu</w:t>
      </w:r>
      <w:proofErr w:type="spellEnd"/>
      <w:r>
        <w:rPr>
          <w:rFonts w:eastAsia="TimesNewRoman"/>
        </w:rPr>
        <w:t xml:space="preserve"> ar </w:t>
      </w:r>
      <w:proofErr w:type="spellStart"/>
      <w:r>
        <w:rPr>
          <w:rFonts w:eastAsia="TimesNewRoman"/>
        </w:rPr>
        <w:t>levodopa</w:t>
      </w:r>
      <w:proofErr w:type="spellEnd"/>
      <w:r>
        <w:rPr>
          <w:rFonts w:eastAsia="TimesNewRoman"/>
        </w:rPr>
        <w:t xml:space="preserve"> / </w:t>
      </w:r>
      <w:proofErr w:type="spellStart"/>
      <w:r>
        <w:rPr>
          <w:rFonts w:eastAsia="TimesNewRoman"/>
        </w:rPr>
        <w:t>karbidopa</w:t>
      </w:r>
      <w:proofErr w:type="spellEnd"/>
      <w:r>
        <w:rPr>
          <w:rFonts w:eastAsia="TimesNewRoman"/>
        </w:rPr>
        <w:t xml:space="preserve"> pakeistų </w:t>
      </w:r>
      <w:proofErr w:type="spellStart"/>
      <w:r>
        <w:rPr>
          <w:rFonts w:eastAsia="TimesNewRoman"/>
        </w:rPr>
        <w:t>enkatapono</w:t>
      </w:r>
      <w:proofErr w:type="spellEnd"/>
      <w:r>
        <w:rPr>
          <w:rFonts w:eastAsia="TimesNewRoman"/>
        </w:rPr>
        <w:t xml:space="preserve"> derinius: </w:t>
      </w:r>
      <w:proofErr w:type="spellStart"/>
      <w:r>
        <w:rPr>
          <w:rFonts w:eastAsia="TimesNewRoman"/>
        </w:rPr>
        <w:t>enkataponas</w:t>
      </w:r>
      <w:proofErr w:type="spellEnd"/>
      <w:r>
        <w:rPr>
          <w:rFonts w:eastAsia="TimesNewRoman"/>
        </w:rPr>
        <w:t xml:space="preserve"> </w:t>
      </w:r>
      <w:r w:rsidRPr="00464BF9">
        <w:rPr>
          <w:rFonts w:eastAsia="Arial"/>
          <w:color w:val="000000"/>
        </w:rPr>
        <w:t xml:space="preserve">derinyje su </w:t>
      </w:r>
      <w:proofErr w:type="spellStart"/>
      <w:r w:rsidRPr="00464BF9">
        <w:rPr>
          <w:rFonts w:eastAsia="TimesNewRoman"/>
        </w:rPr>
        <w:t>levodopa</w:t>
      </w:r>
      <w:proofErr w:type="spellEnd"/>
      <w:r w:rsidRPr="00464BF9">
        <w:rPr>
          <w:rFonts w:eastAsia="TimesNewRoman"/>
        </w:rPr>
        <w:t xml:space="preserve"> / </w:t>
      </w:r>
      <w:proofErr w:type="spellStart"/>
      <w:r w:rsidRPr="00464BF9">
        <w:rPr>
          <w:rFonts w:eastAsia="TimesNewRoman"/>
        </w:rPr>
        <w:t>benser</w:t>
      </w:r>
      <w:r>
        <w:rPr>
          <w:rFonts w:eastAsia="TimesNewRoman"/>
        </w:rPr>
        <w:t>azidu</w:t>
      </w:r>
      <w:proofErr w:type="spellEnd"/>
      <w:r>
        <w:rPr>
          <w:rFonts w:eastAsia="TimesNewRoman"/>
        </w:rPr>
        <w:t xml:space="preserve"> ar </w:t>
      </w:r>
      <w:proofErr w:type="spellStart"/>
      <w:r>
        <w:rPr>
          <w:rFonts w:eastAsia="TimesNewRoman"/>
        </w:rPr>
        <w:t>levodopa</w:t>
      </w:r>
      <w:proofErr w:type="spellEnd"/>
      <w:r>
        <w:rPr>
          <w:rFonts w:eastAsia="TimesNewRoman"/>
        </w:rPr>
        <w:t xml:space="preserve"> / </w:t>
      </w:r>
      <w:proofErr w:type="spellStart"/>
      <w:r>
        <w:rPr>
          <w:rFonts w:eastAsia="TimesNewRoman"/>
        </w:rPr>
        <w:t>karbidopa</w:t>
      </w:r>
      <w:proofErr w:type="spellEnd"/>
      <w:r>
        <w:rPr>
          <w:rFonts w:eastAsia="TimesNewRoman"/>
        </w:rPr>
        <w:t xml:space="preserve"> arba </w:t>
      </w:r>
      <w:proofErr w:type="spellStart"/>
      <w:r>
        <w:rPr>
          <w:color w:val="000000"/>
          <w:lang w:eastAsia="lt-LT"/>
        </w:rPr>
        <w:t>Levodopa</w:t>
      </w:r>
      <w:proofErr w:type="spellEnd"/>
      <w:r>
        <w:rPr>
          <w:color w:val="000000"/>
          <w:lang w:eastAsia="lt-LT"/>
        </w:rPr>
        <w:t xml:space="preserve"> </w:t>
      </w:r>
      <w:proofErr w:type="spellStart"/>
      <w:r>
        <w:rPr>
          <w:color w:val="000000"/>
          <w:lang w:eastAsia="lt-LT"/>
        </w:rPr>
        <w:t>k</w:t>
      </w:r>
      <w:r w:rsidRPr="00464BF9">
        <w:rPr>
          <w:color w:val="000000"/>
          <w:lang w:eastAsia="lt-LT"/>
        </w:rPr>
        <w:t>omb</w:t>
      </w:r>
      <w:proofErr w:type="spellEnd"/>
      <w:r w:rsidRPr="00464BF9">
        <w:rPr>
          <w:color w:val="000000"/>
          <w:lang w:eastAsia="lt-LT"/>
        </w:rPr>
        <w:t>.(+</w:t>
      </w:r>
      <w:proofErr w:type="spellStart"/>
      <w:r w:rsidRPr="00464BF9">
        <w:rPr>
          <w:color w:val="000000"/>
          <w:lang w:eastAsia="lt-LT"/>
        </w:rPr>
        <w:t>Carbidopa+Entacaponum</w:t>
      </w:r>
      <w:proofErr w:type="spellEnd"/>
      <w:r w:rsidRPr="00464BF9">
        <w:rPr>
          <w:color w:val="000000"/>
          <w:lang w:eastAsia="lt-LT"/>
        </w:rPr>
        <w:t>)</w:t>
      </w:r>
      <w:r>
        <w:rPr>
          <w:color w:val="000000"/>
          <w:lang w:eastAsia="lt-LT"/>
        </w:rPr>
        <w:t xml:space="preserve">, todėl ekonominė analizė atliekama lyginant metinius šių derinių įsigijimo kaštus. Ekonominėje analizėje yra taikoma galutinė (su PGS) bazinė </w:t>
      </w:r>
      <w:proofErr w:type="spellStart"/>
      <w:r>
        <w:rPr>
          <w:color w:val="000000"/>
          <w:lang w:eastAsia="lt-LT"/>
        </w:rPr>
        <w:t>safinamido</w:t>
      </w:r>
      <w:proofErr w:type="spellEnd"/>
      <w:r>
        <w:rPr>
          <w:color w:val="000000"/>
          <w:lang w:eastAsia="lt-LT"/>
        </w:rPr>
        <w:t xml:space="preserve"> kaina ir palyginamųjų kainos pagal 2024 m. I </w:t>
      </w:r>
      <w:proofErr w:type="spellStart"/>
      <w:r>
        <w:rPr>
          <w:color w:val="000000"/>
          <w:lang w:eastAsia="lt-LT"/>
        </w:rPr>
        <w:t>pusm</w:t>
      </w:r>
      <w:proofErr w:type="spellEnd"/>
      <w:r>
        <w:rPr>
          <w:color w:val="000000"/>
          <w:lang w:eastAsia="lt-LT"/>
        </w:rPr>
        <w:t xml:space="preserve">. (ir 2024 m. II </w:t>
      </w:r>
      <w:proofErr w:type="spellStart"/>
      <w:r>
        <w:rPr>
          <w:color w:val="000000"/>
          <w:lang w:eastAsia="lt-LT"/>
        </w:rPr>
        <w:t>pusm.projekto</w:t>
      </w:r>
      <w:proofErr w:type="spellEnd"/>
      <w:r>
        <w:rPr>
          <w:color w:val="000000"/>
          <w:lang w:eastAsia="lt-LT"/>
        </w:rPr>
        <w:t xml:space="preserve">) kainynų kainas, </w:t>
      </w:r>
      <w:r w:rsidRPr="00BE5319">
        <w:t xml:space="preserve">dozavimas ekonominėje analizėje taikomas remiantis vaistinių preparatų charakteristikų santraukoje nurodyta informacija ir vadovaujantis Pasaulio sveikatos organizacijos (toliau – PSO) patvirtinta metodika – pagal PSO nustatytą vidutinės terapinės dienos (paros) dozės (angl. </w:t>
      </w:r>
      <w:proofErr w:type="spellStart"/>
      <w:r w:rsidRPr="00B2782B">
        <w:rPr>
          <w:i/>
        </w:rPr>
        <w:t>defined</w:t>
      </w:r>
      <w:proofErr w:type="spellEnd"/>
      <w:r w:rsidRPr="00B2782B">
        <w:rPr>
          <w:i/>
        </w:rPr>
        <w:t xml:space="preserve"> </w:t>
      </w:r>
      <w:proofErr w:type="spellStart"/>
      <w:r w:rsidRPr="00B2782B">
        <w:rPr>
          <w:i/>
        </w:rPr>
        <w:t>daily</w:t>
      </w:r>
      <w:proofErr w:type="spellEnd"/>
      <w:r w:rsidRPr="00B2782B">
        <w:rPr>
          <w:i/>
        </w:rPr>
        <w:t xml:space="preserve"> </w:t>
      </w:r>
      <w:proofErr w:type="spellStart"/>
      <w:r w:rsidRPr="00B2782B">
        <w:rPr>
          <w:i/>
        </w:rPr>
        <w:t>doses</w:t>
      </w:r>
      <w:proofErr w:type="spellEnd"/>
      <w:r w:rsidRPr="00B2782B">
        <w:rPr>
          <w:i/>
        </w:rPr>
        <w:t>,</w:t>
      </w:r>
      <w:r w:rsidRPr="00BE5319">
        <w:t xml:space="preserve"> DDD) reikšmę ir DDD skaičių, tenkan</w:t>
      </w:r>
      <w:r>
        <w:t>tį 1 000 gyventojų per 1 dieną.</w:t>
      </w:r>
    </w:p>
    <w:p w14:paraId="18FC99D4" w14:textId="1447785E" w:rsidR="00E47F57" w:rsidRDefault="00E47F57" w:rsidP="00E47F57">
      <w:pPr>
        <w:spacing w:line="276" w:lineRule="auto"/>
        <w:ind w:firstLine="360"/>
        <w:jc w:val="both"/>
      </w:pPr>
    </w:p>
    <w:p w14:paraId="6A076862" w14:textId="763992EC" w:rsidR="00E47F57" w:rsidRPr="00E47F57" w:rsidRDefault="00E47F57" w:rsidP="00E47F57">
      <w:pPr>
        <w:shd w:val="clear" w:color="auto" w:fill="FFFFFF"/>
        <w:spacing w:line="276" w:lineRule="auto"/>
        <w:jc w:val="center"/>
        <w:rPr>
          <w:b/>
          <w:iCs/>
          <w:lang w:eastAsia="lt-LT"/>
        </w:rPr>
      </w:pPr>
      <w:r w:rsidRPr="00615244">
        <w:rPr>
          <w:b/>
          <w:iCs/>
          <w:lang w:eastAsia="lt-LT"/>
        </w:rPr>
        <w:lastRenderedPageBreak/>
        <w:t xml:space="preserve">Pagrindinis ekonominės analizės rezultatas </w:t>
      </w:r>
    </w:p>
    <w:tbl>
      <w:tblPr>
        <w:tblW w:w="97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194"/>
        <w:gridCol w:w="1741"/>
        <w:gridCol w:w="1844"/>
      </w:tblGrid>
      <w:tr w:rsidR="00E47F57" w:rsidRPr="001E0A76" w14:paraId="7EC2B1CA" w14:textId="77777777" w:rsidTr="00146636">
        <w:trPr>
          <w:trHeight w:val="488"/>
        </w:trPr>
        <w:tc>
          <w:tcPr>
            <w:tcW w:w="3970" w:type="dxa"/>
            <w:shd w:val="clear" w:color="auto" w:fill="auto"/>
            <w:vAlign w:val="center"/>
          </w:tcPr>
          <w:p w14:paraId="393C64B3" w14:textId="77777777" w:rsidR="00E47F57" w:rsidRPr="001E0A76" w:rsidRDefault="00E47F57" w:rsidP="00146636">
            <w:pPr>
              <w:jc w:val="center"/>
              <w:rPr>
                <w:i/>
                <w:lang w:eastAsia="lt-LT"/>
              </w:rPr>
            </w:pPr>
            <w:r w:rsidRPr="001E0A76">
              <w:rPr>
                <w:i/>
                <w:lang w:eastAsia="lt-LT"/>
              </w:rPr>
              <w:t>Vaistinis preparatas/derinys</w:t>
            </w:r>
          </w:p>
        </w:tc>
        <w:tc>
          <w:tcPr>
            <w:tcW w:w="5779" w:type="dxa"/>
            <w:gridSpan w:val="3"/>
            <w:shd w:val="clear" w:color="auto" w:fill="auto"/>
            <w:vAlign w:val="bottom"/>
          </w:tcPr>
          <w:p w14:paraId="5CF0037D" w14:textId="77777777" w:rsidR="00E47F57" w:rsidRPr="001E0A76" w:rsidRDefault="00E47F57" w:rsidP="00146636">
            <w:pPr>
              <w:jc w:val="center"/>
              <w:rPr>
                <w:i/>
                <w:lang w:eastAsia="lt-LT"/>
              </w:rPr>
            </w:pPr>
            <w:r w:rsidRPr="001E0A76">
              <w:rPr>
                <w:i/>
                <w:lang w:eastAsia="lt-LT"/>
              </w:rPr>
              <w:t>Kaina metams, Eur.</w:t>
            </w:r>
          </w:p>
        </w:tc>
      </w:tr>
      <w:tr w:rsidR="00E47F57" w:rsidRPr="001E0A76" w14:paraId="6F23C354" w14:textId="77777777" w:rsidTr="00146636">
        <w:trPr>
          <w:trHeight w:val="488"/>
        </w:trPr>
        <w:tc>
          <w:tcPr>
            <w:tcW w:w="3970" w:type="dxa"/>
            <w:shd w:val="clear" w:color="auto" w:fill="auto"/>
            <w:vAlign w:val="center"/>
          </w:tcPr>
          <w:p w14:paraId="0E2B9B5B" w14:textId="77777777" w:rsidR="00E47F57" w:rsidRPr="001E0A76" w:rsidRDefault="00E47F57" w:rsidP="00146636">
            <w:pPr>
              <w:rPr>
                <w:lang w:val="en-US" w:eastAsia="lt-LT"/>
              </w:rPr>
            </w:pPr>
            <w:proofErr w:type="spellStart"/>
            <w:r w:rsidRPr="001E0A76">
              <w:rPr>
                <w:lang w:eastAsia="lt-LT"/>
              </w:rPr>
              <w:t>Safinamidas</w:t>
            </w:r>
            <w:proofErr w:type="spellEnd"/>
            <w:r w:rsidRPr="001E0A76">
              <w:rPr>
                <w:lang w:eastAsia="lt-LT"/>
              </w:rPr>
              <w:t xml:space="preserve"> </w:t>
            </w:r>
            <w:r w:rsidRPr="001E0A76">
              <w:rPr>
                <w:lang w:val="en-US" w:eastAsia="lt-LT"/>
              </w:rPr>
              <w:t xml:space="preserve">+ </w:t>
            </w:r>
          </w:p>
          <w:p w14:paraId="39F3A709" w14:textId="77777777" w:rsidR="00E47F57" w:rsidRPr="001E0A76" w:rsidRDefault="00E47F57" w:rsidP="00146636">
            <w:pPr>
              <w:rPr>
                <w:lang w:val="en-US" w:eastAsia="lt-LT"/>
              </w:rPr>
            </w:pPr>
            <w:proofErr w:type="spellStart"/>
            <w:r w:rsidRPr="001E0A76">
              <w:rPr>
                <w:lang w:eastAsia="lt-LT"/>
              </w:rPr>
              <w:t>Levodopa</w:t>
            </w:r>
            <w:proofErr w:type="spellEnd"/>
            <w:r w:rsidRPr="001E0A76">
              <w:rPr>
                <w:lang w:eastAsia="lt-LT"/>
              </w:rPr>
              <w:t xml:space="preserve"> + </w:t>
            </w:r>
            <w:proofErr w:type="spellStart"/>
            <w:r w:rsidRPr="001E0A76">
              <w:rPr>
                <w:lang w:eastAsia="lt-LT"/>
              </w:rPr>
              <w:t>Benserazidum</w:t>
            </w:r>
            <w:proofErr w:type="spellEnd"/>
            <w:r w:rsidRPr="001E0A76">
              <w:rPr>
                <w:lang w:eastAsia="lt-LT"/>
              </w:rPr>
              <w:t>/</w:t>
            </w:r>
            <w:proofErr w:type="spellStart"/>
            <w:r w:rsidRPr="001E0A76">
              <w:rPr>
                <w:lang w:eastAsia="lt-LT"/>
              </w:rPr>
              <w:t>Carbidopa</w:t>
            </w:r>
            <w:proofErr w:type="spellEnd"/>
          </w:p>
        </w:tc>
        <w:tc>
          <w:tcPr>
            <w:tcW w:w="5779" w:type="dxa"/>
            <w:gridSpan w:val="3"/>
            <w:shd w:val="clear" w:color="auto" w:fill="auto"/>
            <w:vAlign w:val="bottom"/>
          </w:tcPr>
          <w:p w14:paraId="535BC7DB" w14:textId="236F7DE0" w:rsidR="00E47F57" w:rsidRDefault="009528BB" w:rsidP="00146636">
            <w:pPr>
              <w:jc w:val="right"/>
              <w:rPr>
                <w:b/>
                <w:bCs/>
                <w:lang w:eastAsia="lt-LT"/>
              </w:rPr>
            </w:pPr>
            <w:r>
              <w:rPr>
                <w:b/>
                <w:bCs/>
                <w:lang w:eastAsia="lt-LT"/>
              </w:rPr>
              <w:t>***</w:t>
            </w:r>
            <w:r w:rsidR="00E47F57">
              <w:rPr>
                <w:b/>
                <w:bCs/>
                <w:lang w:eastAsia="lt-LT"/>
              </w:rPr>
              <w:t xml:space="preserve"> Eur.</w:t>
            </w:r>
            <w:r w:rsidR="00E47F57" w:rsidRPr="001E0A76">
              <w:rPr>
                <w:b/>
                <w:bCs/>
                <w:lang w:eastAsia="lt-LT"/>
              </w:rPr>
              <w:t xml:space="preserve"> </w:t>
            </w:r>
          </w:p>
          <w:p w14:paraId="030EF042" w14:textId="72BAA50F" w:rsidR="00E47F57" w:rsidRPr="001E0A76" w:rsidRDefault="00E47F57" w:rsidP="00146636">
            <w:pPr>
              <w:jc w:val="right"/>
              <w:rPr>
                <w:lang w:eastAsia="lt-LT"/>
              </w:rPr>
            </w:pPr>
            <w:r w:rsidRPr="001E0A76">
              <w:rPr>
                <w:b/>
                <w:bCs/>
                <w:lang w:eastAsia="lt-LT"/>
              </w:rPr>
              <w:t>(</w:t>
            </w:r>
            <w:r w:rsidR="009528BB">
              <w:rPr>
                <w:lang w:eastAsia="lt-LT"/>
              </w:rPr>
              <w:t>***</w:t>
            </w:r>
            <w:r w:rsidRPr="001E0A76">
              <w:rPr>
                <w:lang w:eastAsia="lt-LT"/>
              </w:rPr>
              <w:t xml:space="preserve"> + </w:t>
            </w:r>
            <w:r w:rsidR="009528BB">
              <w:rPr>
                <w:lang w:val="en-US" w:eastAsia="lt-LT"/>
              </w:rPr>
              <w:t>***</w:t>
            </w:r>
            <w:r w:rsidRPr="001E0A76">
              <w:rPr>
                <w:lang w:eastAsia="lt-LT"/>
              </w:rPr>
              <w:t>)</w:t>
            </w:r>
          </w:p>
        </w:tc>
      </w:tr>
      <w:tr w:rsidR="00E47F57" w:rsidRPr="001E0A76" w14:paraId="735899CA" w14:textId="77777777" w:rsidTr="00146636">
        <w:trPr>
          <w:trHeight w:val="488"/>
        </w:trPr>
        <w:tc>
          <w:tcPr>
            <w:tcW w:w="3970" w:type="dxa"/>
            <w:shd w:val="clear" w:color="auto" w:fill="auto"/>
            <w:vAlign w:val="center"/>
          </w:tcPr>
          <w:p w14:paraId="4A0965ED" w14:textId="77777777" w:rsidR="00E47F57" w:rsidRPr="001E0A76" w:rsidRDefault="00E47F57" w:rsidP="00146636">
            <w:pPr>
              <w:rPr>
                <w:lang w:eastAsia="lt-LT"/>
              </w:rPr>
            </w:pPr>
            <w:r w:rsidRPr="001E0A76">
              <w:rPr>
                <w:i/>
                <w:lang w:eastAsia="lt-LT"/>
              </w:rPr>
              <w:t>Palyginamasis</w:t>
            </w:r>
          </w:p>
        </w:tc>
        <w:tc>
          <w:tcPr>
            <w:tcW w:w="2194" w:type="dxa"/>
            <w:shd w:val="clear" w:color="auto" w:fill="auto"/>
            <w:vAlign w:val="center"/>
          </w:tcPr>
          <w:p w14:paraId="659821F7" w14:textId="77777777" w:rsidR="00E47F57" w:rsidRPr="001E0A76" w:rsidRDefault="00E47F57" w:rsidP="00146636">
            <w:pPr>
              <w:rPr>
                <w:rFonts w:eastAsiaTheme="majorEastAsia"/>
              </w:rPr>
            </w:pPr>
            <w:r w:rsidRPr="001E0A76">
              <w:rPr>
                <w:i/>
                <w:lang w:eastAsia="lt-LT"/>
              </w:rPr>
              <w:t>Kaina metams, Eur.</w:t>
            </w:r>
          </w:p>
        </w:tc>
        <w:tc>
          <w:tcPr>
            <w:tcW w:w="1741" w:type="dxa"/>
            <w:shd w:val="clear" w:color="auto" w:fill="auto"/>
            <w:noWrap/>
            <w:vAlign w:val="bottom"/>
          </w:tcPr>
          <w:p w14:paraId="185BFE03" w14:textId="77777777" w:rsidR="00E47F57" w:rsidRPr="001E0A76" w:rsidRDefault="00E47F57" w:rsidP="00146636">
            <w:pPr>
              <w:rPr>
                <w:lang w:eastAsia="lt-LT"/>
              </w:rPr>
            </w:pPr>
            <w:r w:rsidRPr="001E0A76">
              <w:rPr>
                <w:i/>
                <w:lang w:eastAsia="lt-LT"/>
              </w:rPr>
              <w:t>Proporcija pagal 202</w:t>
            </w:r>
            <w:r>
              <w:rPr>
                <w:i/>
                <w:lang w:eastAsia="lt-LT"/>
              </w:rPr>
              <w:t>3</w:t>
            </w:r>
            <w:r w:rsidRPr="001E0A76">
              <w:rPr>
                <w:i/>
                <w:lang w:eastAsia="lt-LT"/>
              </w:rPr>
              <w:t xml:space="preserve"> m. pakuotes</w:t>
            </w:r>
          </w:p>
        </w:tc>
        <w:tc>
          <w:tcPr>
            <w:tcW w:w="1844" w:type="dxa"/>
            <w:shd w:val="clear" w:color="auto" w:fill="auto"/>
            <w:noWrap/>
            <w:vAlign w:val="bottom"/>
          </w:tcPr>
          <w:p w14:paraId="1C2C878B" w14:textId="77777777" w:rsidR="00E47F57" w:rsidRPr="001E0A76" w:rsidRDefault="00E47F57" w:rsidP="00146636">
            <w:pPr>
              <w:rPr>
                <w:i/>
              </w:rPr>
            </w:pPr>
            <w:r>
              <w:rPr>
                <w:i/>
                <w:lang w:eastAsia="lt-LT"/>
              </w:rPr>
              <w:t>Bendra kaina (s</w:t>
            </w:r>
            <w:r w:rsidRPr="001E0A76">
              <w:rPr>
                <w:i/>
                <w:lang w:eastAsia="lt-LT"/>
              </w:rPr>
              <w:t>vertinis vidurkis</w:t>
            </w:r>
            <w:r>
              <w:rPr>
                <w:i/>
                <w:lang w:eastAsia="lt-LT"/>
              </w:rPr>
              <w:t>)</w:t>
            </w:r>
          </w:p>
        </w:tc>
      </w:tr>
      <w:tr w:rsidR="00E47F57" w:rsidRPr="001E0A76" w14:paraId="102F1138" w14:textId="77777777" w:rsidTr="00E47F57">
        <w:trPr>
          <w:trHeight w:val="488"/>
        </w:trPr>
        <w:tc>
          <w:tcPr>
            <w:tcW w:w="3970" w:type="dxa"/>
            <w:shd w:val="clear" w:color="auto" w:fill="auto"/>
            <w:vAlign w:val="center"/>
          </w:tcPr>
          <w:p w14:paraId="2910C05D" w14:textId="77777777" w:rsidR="00E47F57" w:rsidRPr="001E0A76" w:rsidRDefault="00E47F57" w:rsidP="00146636">
            <w:pPr>
              <w:rPr>
                <w:lang w:eastAsia="lt-LT"/>
              </w:rPr>
            </w:pPr>
            <w:proofErr w:type="spellStart"/>
            <w:r w:rsidRPr="001E0A76">
              <w:rPr>
                <w:lang w:eastAsia="lt-LT"/>
              </w:rPr>
              <w:t>Levodopa</w:t>
            </w:r>
            <w:proofErr w:type="spellEnd"/>
            <w:r w:rsidRPr="001E0A76">
              <w:rPr>
                <w:lang w:eastAsia="lt-LT"/>
              </w:rPr>
              <w:t xml:space="preserve"> </w:t>
            </w:r>
            <w:proofErr w:type="spellStart"/>
            <w:r w:rsidRPr="001E0A76">
              <w:rPr>
                <w:lang w:eastAsia="lt-LT"/>
              </w:rPr>
              <w:t>komb</w:t>
            </w:r>
            <w:proofErr w:type="spellEnd"/>
            <w:r w:rsidRPr="001E0A76">
              <w:rPr>
                <w:lang w:eastAsia="lt-LT"/>
              </w:rPr>
              <w:t>. +</w:t>
            </w:r>
            <w:proofErr w:type="spellStart"/>
            <w:r w:rsidRPr="001E0A76">
              <w:rPr>
                <w:lang w:eastAsia="lt-LT"/>
              </w:rPr>
              <w:t>Carbidopa+Entacapone</w:t>
            </w:r>
            <w:proofErr w:type="spellEnd"/>
          </w:p>
        </w:tc>
        <w:tc>
          <w:tcPr>
            <w:tcW w:w="2194" w:type="dxa"/>
            <w:shd w:val="clear" w:color="auto" w:fill="auto"/>
            <w:vAlign w:val="center"/>
          </w:tcPr>
          <w:p w14:paraId="02B06B82" w14:textId="18016532" w:rsidR="00E47F57" w:rsidRPr="00E47F57" w:rsidRDefault="009528BB" w:rsidP="00146636">
            <w:pPr>
              <w:rPr>
                <w:bCs/>
                <w:lang w:eastAsia="lt-LT"/>
              </w:rPr>
            </w:pPr>
            <w:r>
              <w:rPr>
                <w:bCs/>
                <w:lang w:eastAsia="lt-LT"/>
              </w:rPr>
              <w:t>***</w:t>
            </w:r>
            <w:r w:rsidR="00E47F57" w:rsidRPr="00E47F57">
              <w:rPr>
                <w:bCs/>
                <w:lang w:eastAsia="lt-LT"/>
              </w:rPr>
              <w:t xml:space="preserve"> Eur.</w:t>
            </w:r>
          </w:p>
        </w:tc>
        <w:tc>
          <w:tcPr>
            <w:tcW w:w="1741" w:type="dxa"/>
            <w:shd w:val="clear" w:color="auto" w:fill="auto"/>
            <w:noWrap/>
            <w:vAlign w:val="center"/>
          </w:tcPr>
          <w:p w14:paraId="451904C9" w14:textId="09A26FC6" w:rsidR="00E47F57" w:rsidRPr="001E0A76" w:rsidRDefault="009528BB" w:rsidP="00146636">
            <w:pPr>
              <w:jc w:val="right"/>
              <w:rPr>
                <w:lang w:eastAsia="lt-LT"/>
              </w:rPr>
            </w:pPr>
            <w:r>
              <w:rPr>
                <w:lang w:eastAsia="lt-LT"/>
              </w:rPr>
              <w:t>***</w:t>
            </w:r>
            <w:r w:rsidR="00E47F57" w:rsidRPr="001E0A76">
              <w:rPr>
                <w:lang w:eastAsia="lt-LT"/>
              </w:rPr>
              <w:t xml:space="preserve"> proc.</w:t>
            </w:r>
          </w:p>
        </w:tc>
        <w:tc>
          <w:tcPr>
            <w:tcW w:w="1844" w:type="dxa"/>
            <w:vMerge w:val="restart"/>
            <w:shd w:val="clear" w:color="auto" w:fill="auto"/>
            <w:noWrap/>
            <w:vAlign w:val="bottom"/>
          </w:tcPr>
          <w:p w14:paraId="6BD97374" w14:textId="563ECE6A" w:rsidR="00E47F57" w:rsidRPr="001E0A76" w:rsidRDefault="009528BB" w:rsidP="00146636">
            <w:r>
              <w:rPr>
                <w:b/>
                <w:bCs/>
                <w:lang w:eastAsia="lt-LT"/>
              </w:rPr>
              <w:t>***</w:t>
            </w:r>
            <w:r w:rsidR="00E47F57">
              <w:rPr>
                <w:b/>
                <w:bCs/>
                <w:lang w:eastAsia="lt-LT"/>
              </w:rPr>
              <w:t xml:space="preserve"> Eur.**</w:t>
            </w:r>
          </w:p>
        </w:tc>
      </w:tr>
      <w:tr w:rsidR="00E47F57" w:rsidRPr="001E0A76" w14:paraId="6D7ACC52" w14:textId="77777777" w:rsidTr="00E47F57">
        <w:trPr>
          <w:trHeight w:val="488"/>
        </w:trPr>
        <w:tc>
          <w:tcPr>
            <w:tcW w:w="3970" w:type="dxa"/>
            <w:shd w:val="clear" w:color="auto" w:fill="auto"/>
            <w:vAlign w:val="center"/>
          </w:tcPr>
          <w:p w14:paraId="78B4505B" w14:textId="77777777" w:rsidR="00E47F57" w:rsidRPr="001E0A76" w:rsidRDefault="00E47F57" w:rsidP="00146636">
            <w:pPr>
              <w:rPr>
                <w:lang w:eastAsia="lt-LT"/>
              </w:rPr>
            </w:pPr>
            <w:proofErr w:type="spellStart"/>
            <w:r w:rsidRPr="001E0A76">
              <w:rPr>
                <w:lang w:eastAsia="lt-LT"/>
              </w:rPr>
              <w:t>Entakaponas</w:t>
            </w:r>
            <w:proofErr w:type="spellEnd"/>
            <w:r w:rsidRPr="001E0A76">
              <w:rPr>
                <w:lang w:eastAsia="lt-LT"/>
              </w:rPr>
              <w:t xml:space="preserve"> + </w:t>
            </w:r>
          </w:p>
          <w:p w14:paraId="387BAA0C" w14:textId="77777777" w:rsidR="00E47F57" w:rsidRPr="001E0A76" w:rsidRDefault="00E47F57" w:rsidP="00146636">
            <w:pPr>
              <w:rPr>
                <w:lang w:eastAsia="lt-LT"/>
              </w:rPr>
            </w:pPr>
            <w:proofErr w:type="spellStart"/>
            <w:r w:rsidRPr="001E0A76">
              <w:rPr>
                <w:lang w:eastAsia="lt-LT"/>
              </w:rPr>
              <w:t>Levodopa</w:t>
            </w:r>
            <w:proofErr w:type="spellEnd"/>
            <w:r w:rsidRPr="001E0A76">
              <w:rPr>
                <w:lang w:eastAsia="lt-LT"/>
              </w:rPr>
              <w:t xml:space="preserve"> + </w:t>
            </w:r>
            <w:proofErr w:type="spellStart"/>
            <w:r w:rsidRPr="001E0A76">
              <w:rPr>
                <w:lang w:eastAsia="lt-LT"/>
              </w:rPr>
              <w:t>Benserazidum</w:t>
            </w:r>
            <w:proofErr w:type="spellEnd"/>
            <w:r w:rsidRPr="001E0A76">
              <w:rPr>
                <w:lang w:eastAsia="lt-LT"/>
              </w:rPr>
              <w:t>/</w:t>
            </w:r>
            <w:proofErr w:type="spellStart"/>
            <w:r w:rsidRPr="001E0A76">
              <w:rPr>
                <w:lang w:eastAsia="lt-LT"/>
              </w:rPr>
              <w:t>Carbidopa</w:t>
            </w:r>
            <w:proofErr w:type="spellEnd"/>
          </w:p>
        </w:tc>
        <w:tc>
          <w:tcPr>
            <w:tcW w:w="2194" w:type="dxa"/>
            <w:shd w:val="clear" w:color="auto" w:fill="auto"/>
            <w:vAlign w:val="center"/>
          </w:tcPr>
          <w:p w14:paraId="7B3752EA" w14:textId="6670CBF1" w:rsidR="00E47F57" w:rsidRPr="00E47F57" w:rsidRDefault="009528BB" w:rsidP="00146636">
            <w:pPr>
              <w:rPr>
                <w:bCs/>
                <w:lang w:eastAsia="lt-LT"/>
              </w:rPr>
            </w:pPr>
            <w:r>
              <w:rPr>
                <w:bCs/>
                <w:lang w:eastAsia="lt-LT"/>
              </w:rPr>
              <w:t>***</w:t>
            </w:r>
            <w:r w:rsidR="00E47F57" w:rsidRPr="00E47F57">
              <w:rPr>
                <w:bCs/>
                <w:lang w:eastAsia="lt-LT"/>
              </w:rPr>
              <w:t xml:space="preserve"> Eur.</w:t>
            </w:r>
          </w:p>
          <w:p w14:paraId="1474E2EE" w14:textId="18D2B731" w:rsidR="00E47F57" w:rsidRPr="00E47F57" w:rsidRDefault="00E47F57" w:rsidP="00146636">
            <w:pPr>
              <w:rPr>
                <w:bCs/>
                <w:lang w:eastAsia="lt-LT"/>
              </w:rPr>
            </w:pPr>
            <w:r w:rsidRPr="00E47F57">
              <w:rPr>
                <w:bCs/>
                <w:lang w:eastAsia="lt-LT"/>
              </w:rPr>
              <w:t xml:space="preserve"> (</w:t>
            </w:r>
            <w:r w:rsidR="009528BB">
              <w:rPr>
                <w:lang w:eastAsia="lt-LT"/>
              </w:rPr>
              <w:t>***</w:t>
            </w:r>
            <w:r w:rsidRPr="00E47F57">
              <w:rPr>
                <w:lang w:eastAsia="lt-LT"/>
              </w:rPr>
              <w:t xml:space="preserve"> </w:t>
            </w:r>
            <w:r w:rsidRPr="00E47F57">
              <w:rPr>
                <w:lang w:val="en-US" w:eastAsia="lt-LT"/>
              </w:rPr>
              <w:t xml:space="preserve">+ </w:t>
            </w:r>
            <w:r w:rsidR="009528BB">
              <w:rPr>
                <w:lang w:val="en-US" w:eastAsia="lt-LT"/>
              </w:rPr>
              <w:t>***</w:t>
            </w:r>
            <w:r w:rsidRPr="00E47F57">
              <w:rPr>
                <w:lang w:eastAsia="lt-LT"/>
              </w:rPr>
              <w:t>)</w:t>
            </w:r>
          </w:p>
        </w:tc>
        <w:tc>
          <w:tcPr>
            <w:tcW w:w="1741" w:type="dxa"/>
            <w:shd w:val="clear" w:color="auto" w:fill="auto"/>
            <w:noWrap/>
            <w:vAlign w:val="center"/>
          </w:tcPr>
          <w:p w14:paraId="63328B1E" w14:textId="40332F8B" w:rsidR="00E47F57" w:rsidRPr="001E0A76" w:rsidRDefault="009528BB" w:rsidP="00146636">
            <w:pPr>
              <w:jc w:val="right"/>
              <w:rPr>
                <w:lang w:eastAsia="lt-LT"/>
              </w:rPr>
            </w:pPr>
            <w:r>
              <w:rPr>
                <w:lang w:eastAsia="lt-LT"/>
              </w:rPr>
              <w:t xml:space="preserve">*** </w:t>
            </w:r>
            <w:r w:rsidR="00E47F57" w:rsidRPr="001E0A76">
              <w:rPr>
                <w:lang w:eastAsia="lt-LT"/>
              </w:rPr>
              <w:t xml:space="preserve"> proc.</w:t>
            </w:r>
          </w:p>
        </w:tc>
        <w:tc>
          <w:tcPr>
            <w:tcW w:w="1844" w:type="dxa"/>
            <w:vMerge/>
            <w:shd w:val="clear" w:color="auto" w:fill="auto"/>
            <w:noWrap/>
            <w:vAlign w:val="bottom"/>
          </w:tcPr>
          <w:p w14:paraId="250FE2C1" w14:textId="77777777" w:rsidR="00E47F57" w:rsidRPr="001E0A76" w:rsidRDefault="00E47F57" w:rsidP="00146636"/>
        </w:tc>
      </w:tr>
      <w:tr w:rsidR="00E47F57" w:rsidRPr="001E0A76" w14:paraId="01A3E63B" w14:textId="77777777" w:rsidTr="00146636">
        <w:trPr>
          <w:trHeight w:val="488"/>
        </w:trPr>
        <w:tc>
          <w:tcPr>
            <w:tcW w:w="7905" w:type="dxa"/>
            <w:gridSpan w:val="3"/>
            <w:shd w:val="clear" w:color="auto" w:fill="auto"/>
            <w:vAlign w:val="center"/>
          </w:tcPr>
          <w:p w14:paraId="1AFD4733" w14:textId="77777777" w:rsidR="00E47F57" w:rsidRPr="001E0A76" w:rsidRDefault="00E47F57" w:rsidP="00146636">
            <w:pPr>
              <w:jc w:val="right"/>
              <w:rPr>
                <w:b/>
                <w:lang w:eastAsia="lt-LT"/>
              </w:rPr>
            </w:pPr>
            <w:r w:rsidRPr="001E0A76">
              <w:rPr>
                <w:b/>
                <w:lang w:eastAsia="lt-LT"/>
              </w:rPr>
              <w:t>Skirtumas, Eur.</w:t>
            </w:r>
          </w:p>
        </w:tc>
        <w:tc>
          <w:tcPr>
            <w:tcW w:w="1844" w:type="dxa"/>
            <w:shd w:val="clear" w:color="auto" w:fill="auto"/>
            <w:noWrap/>
            <w:vAlign w:val="bottom"/>
          </w:tcPr>
          <w:p w14:paraId="01A1281A" w14:textId="53BAB138" w:rsidR="00E47F57" w:rsidRPr="001E0A76" w:rsidRDefault="009528BB" w:rsidP="00146636">
            <w:pPr>
              <w:rPr>
                <w:b/>
              </w:rPr>
            </w:pPr>
            <w:r>
              <w:rPr>
                <w:b/>
              </w:rPr>
              <w:t>***</w:t>
            </w:r>
            <w:r w:rsidR="00E47F57" w:rsidRPr="001E0A76">
              <w:rPr>
                <w:b/>
              </w:rPr>
              <w:t xml:space="preserve"> Eur.</w:t>
            </w:r>
          </w:p>
          <w:p w14:paraId="1E8C263E" w14:textId="77777777" w:rsidR="00E47F57" w:rsidRPr="001E0A76" w:rsidRDefault="00E47F57" w:rsidP="00146636">
            <w:pPr>
              <w:rPr>
                <w:b/>
              </w:rPr>
            </w:pPr>
          </w:p>
        </w:tc>
      </w:tr>
      <w:tr w:rsidR="00E47F57" w:rsidRPr="001E0A76" w14:paraId="2A03A11F" w14:textId="77777777" w:rsidTr="00146636">
        <w:trPr>
          <w:trHeight w:val="488"/>
        </w:trPr>
        <w:tc>
          <w:tcPr>
            <w:tcW w:w="7905" w:type="dxa"/>
            <w:gridSpan w:val="3"/>
            <w:shd w:val="clear" w:color="auto" w:fill="auto"/>
            <w:vAlign w:val="center"/>
          </w:tcPr>
          <w:p w14:paraId="07C40BEA" w14:textId="77777777" w:rsidR="00E47F57" w:rsidRPr="001E0A76" w:rsidRDefault="00E47F57" w:rsidP="00146636">
            <w:pPr>
              <w:jc w:val="right"/>
              <w:rPr>
                <w:b/>
                <w:lang w:eastAsia="lt-LT"/>
              </w:rPr>
            </w:pPr>
            <w:r w:rsidRPr="001E0A76">
              <w:rPr>
                <w:b/>
                <w:lang w:eastAsia="lt-LT"/>
              </w:rPr>
              <w:t>Skirtumas, proc.</w:t>
            </w:r>
          </w:p>
        </w:tc>
        <w:tc>
          <w:tcPr>
            <w:tcW w:w="1844" w:type="dxa"/>
            <w:shd w:val="clear" w:color="auto" w:fill="auto"/>
            <w:noWrap/>
            <w:vAlign w:val="bottom"/>
          </w:tcPr>
          <w:p w14:paraId="0709BAC2" w14:textId="4DCEFF0A" w:rsidR="00E47F57" w:rsidRPr="001E0A76" w:rsidRDefault="009528BB" w:rsidP="00146636">
            <w:pPr>
              <w:rPr>
                <w:b/>
              </w:rPr>
            </w:pPr>
            <w:r>
              <w:rPr>
                <w:b/>
              </w:rPr>
              <w:t>***</w:t>
            </w:r>
            <w:r w:rsidR="00E47F57" w:rsidRPr="001E0A76">
              <w:rPr>
                <w:b/>
              </w:rPr>
              <w:t xml:space="preserve"> proc.</w:t>
            </w:r>
          </w:p>
          <w:p w14:paraId="1B4E684A" w14:textId="77777777" w:rsidR="00E47F57" w:rsidRPr="001E0A76" w:rsidRDefault="00E47F57" w:rsidP="00146636">
            <w:pPr>
              <w:rPr>
                <w:b/>
              </w:rPr>
            </w:pPr>
          </w:p>
        </w:tc>
      </w:tr>
    </w:tbl>
    <w:p w14:paraId="6848EB9D" w14:textId="4E4F4FFA" w:rsidR="00E47F57" w:rsidRPr="004E3471" w:rsidRDefault="00E47F57" w:rsidP="00E47F57">
      <w:pPr>
        <w:pStyle w:val="Tekstas"/>
        <w:spacing w:after="60"/>
        <w:rPr>
          <w:i/>
        </w:rPr>
      </w:pPr>
      <w:r w:rsidRPr="00D61151">
        <w:rPr>
          <w:rFonts w:eastAsiaTheme="majorEastAsia" w:cstheme="majorBidi"/>
          <w:i/>
        </w:rPr>
        <w:t>*</w:t>
      </w:r>
      <w:r>
        <w:rPr>
          <w:rFonts w:eastAsiaTheme="majorEastAsia" w:cstheme="majorBidi"/>
          <w:i/>
        </w:rPr>
        <w:t>*</w:t>
      </w:r>
      <w:r w:rsidRPr="00BE5319">
        <w:rPr>
          <w:rFonts w:eastAsiaTheme="majorEastAsia" w:cstheme="majorBidi"/>
          <w:i/>
        </w:rPr>
        <w:t xml:space="preserve">Apskaičiuojant palyginamojo derinio kainą taikytas svertinis vidurkis pagal faktinius VLK duomenis apie 2023 m. pacientams skirtas pakuotes: </w:t>
      </w:r>
      <w:proofErr w:type="spellStart"/>
      <w:r>
        <w:rPr>
          <w:i/>
        </w:rPr>
        <w:t>Levodopa</w:t>
      </w:r>
      <w:proofErr w:type="spellEnd"/>
      <w:r>
        <w:rPr>
          <w:i/>
        </w:rPr>
        <w:t xml:space="preserve"> </w:t>
      </w:r>
      <w:proofErr w:type="spellStart"/>
      <w:r>
        <w:rPr>
          <w:i/>
        </w:rPr>
        <w:t>komb</w:t>
      </w:r>
      <w:proofErr w:type="spellEnd"/>
      <w:r>
        <w:rPr>
          <w:i/>
        </w:rPr>
        <w:t>.</w:t>
      </w:r>
      <w:r w:rsidRPr="00BE5319">
        <w:rPr>
          <w:i/>
        </w:rPr>
        <w:t>+</w:t>
      </w:r>
      <w:proofErr w:type="spellStart"/>
      <w:r w:rsidRPr="00BE5319">
        <w:rPr>
          <w:i/>
        </w:rPr>
        <w:t>Carbidopa+Entacapone</w:t>
      </w:r>
      <w:proofErr w:type="spellEnd"/>
      <w:r w:rsidRPr="00BE5319">
        <w:rPr>
          <w:i/>
        </w:rPr>
        <w:t xml:space="preserve"> (</w:t>
      </w:r>
      <w:r w:rsidR="009528BB">
        <w:rPr>
          <w:i/>
        </w:rPr>
        <w:t>****</w:t>
      </w:r>
      <w:r w:rsidRPr="00BE5319">
        <w:rPr>
          <w:i/>
        </w:rPr>
        <w:t xml:space="preserve">, </w:t>
      </w:r>
      <w:r w:rsidR="009528BB">
        <w:rPr>
          <w:i/>
        </w:rPr>
        <w:t>***</w:t>
      </w:r>
      <w:r w:rsidRPr="00BE5319">
        <w:rPr>
          <w:i/>
        </w:rPr>
        <w:t xml:space="preserve"> proc.); </w:t>
      </w:r>
      <w:proofErr w:type="spellStart"/>
      <w:r w:rsidRPr="00BE5319">
        <w:rPr>
          <w:i/>
        </w:rPr>
        <w:t>Entakaponas</w:t>
      </w:r>
      <w:proofErr w:type="spellEnd"/>
      <w:r w:rsidRPr="00BE5319">
        <w:rPr>
          <w:i/>
        </w:rPr>
        <w:t xml:space="preserve"> (</w:t>
      </w:r>
      <w:r w:rsidR="009528BB">
        <w:rPr>
          <w:i/>
        </w:rPr>
        <w:t>*</w:t>
      </w:r>
      <w:r w:rsidRPr="00BE5319">
        <w:rPr>
          <w:i/>
        </w:rPr>
        <w:t xml:space="preserve">, </w:t>
      </w:r>
      <w:r w:rsidR="009528BB">
        <w:rPr>
          <w:i/>
        </w:rPr>
        <w:t>*</w:t>
      </w:r>
      <w:r w:rsidRPr="00BE5319">
        <w:rPr>
          <w:i/>
        </w:rPr>
        <w:t>,</w:t>
      </w:r>
      <w:r w:rsidR="009528BB">
        <w:rPr>
          <w:i/>
        </w:rPr>
        <w:t>*</w:t>
      </w:r>
      <w:r w:rsidRPr="00BE5319">
        <w:rPr>
          <w:i/>
        </w:rPr>
        <w:t xml:space="preserve"> proc.).</w:t>
      </w:r>
    </w:p>
    <w:p w14:paraId="14E15ACF" w14:textId="77777777" w:rsidR="00E47F57" w:rsidRPr="00B41843" w:rsidRDefault="00E47F57" w:rsidP="00E47F57">
      <w:pPr>
        <w:spacing w:line="276" w:lineRule="auto"/>
        <w:ind w:firstLine="360"/>
        <w:jc w:val="both"/>
      </w:pPr>
    </w:p>
    <w:p w14:paraId="386D9D5B" w14:textId="1F774DA9" w:rsidR="00CE43C2" w:rsidRPr="00E47F57" w:rsidRDefault="00E47F57" w:rsidP="00E47F57">
      <w:pPr>
        <w:autoSpaceDE w:val="0"/>
        <w:autoSpaceDN w:val="0"/>
        <w:spacing w:line="276" w:lineRule="auto"/>
        <w:ind w:firstLine="270"/>
        <w:jc w:val="both"/>
        <w:rPr>
          <w:u w:val="single"/>
        </w:rPr>
      </w:pPr>
      <w:r w:rsidRPr="00876A00">
        <w:rPr>
          <w:color w:val="000000"/>
          <w:lang w:eastAsia="lt-LT"/>
        </w:rPr>
        <w:t xml:space="preserve">Iš gautų rezultatų matyti, kad palyginamasis skiriamas </w:t>
      </w:r>
      <w:proofErr w:type="spellStart"/>
      <w:r w:rsidRPr="00876A00">
        <w:rPr>
          <w:color w:val="000000"/>
          <w:lang w:eastAsia="lt-LT"/>
        </w:rPr>
        <w:t>e</w:t>
      </w:r>
      <w:r w:rsidR="00782537">
        <w:rPr>
          <w:color w:val="000000"/>
          <w:lang w:eastAsia="lt-LT"/>
        </w:rPr>
        <w:t>ntaka</w:t>
      </w:r>
      <w:r w:rsidRPr="00876A00">
        <w:rPr>
          <w:color w:val="000000"/>
          <w:lang w:eastAsia="lt-LT"/>
        </w:rPr>
        <w:t>ponas</w:t>
      </w:r>
      <w:proofErr w:type="spellEnd"/>
      <w:r w:rsidRPr="00876A00">
        <w:rPr>
          <w:color w:val="000000"/>
          <w:lang w:eastAsia="lt-LT"/>
        </w:rPr>
        <w:t xml:space="preserve"> skiriamas derinyje kaip sudėtinis (toje pačioje pakuotėje (</w:t>
      </w:r>
      <w:proofErr w:type="spellStart"/>
      <w:r w:rsidRPr="00876A00">
        <w:rPr>
          <w:color w:val="000000"/>
          <w:lang w:eastAsia="lt-LT"/>
        </w:rPr>
        <w:t>Levodopa</w:t>
      </w:r>
      <w:proofErr w:type="spellEnd"/>
      <w:r w:rsidRPr="00876A00">
        <w:rPr>
          <w:color w:val="000000"/>
          <w:lang w:eastAsia="lt-LT"/>
        </w:rPr>
        <w:t xml:space="preserve"> </w:t>
      </w:r>
      <w:proofErr w:type="spellStart"/>
      <w:r w:rsidRPr="00876A00">
        <w:rPr>
          <w:color w:val="000000"/>
          <w:lang w:eastAsia="lt-LT"/>
        </w:rPr>
        <w:t>komb</w:t>
      </w:r>
      <w:proofErr w:type="spellEnd"/>
      <w:r w:rsidRPr="00876A00">
        <w:rPr>
          <w:color w:val="000000"/>
          <w:lang w:eastAsia="lt-LT"/>
        </w:rPr>
        <w:t>. +</w:t>
      </w:r>
      <w:proofErr w:type="spellStart"/>
      <w:r w:rsidRPr="00876A00">
        <w:rPr>
          <w:color w:val="000000"/>
          <w:lang w:eastAsia="lt-LT"/>
        </w:rPr>
        <w:t>Carbidopa+Entacapone</w:t>
      </w:r>
      <w:proofErr w:type="spellEnd"/>
      <w:r w:rsidRPr="00876A00">
        <w:rPr>
          <w:color w:val="000000"/>
          <w:lang w:eastAsia="lt-LT"/>
        </w:rPr>
        <w:t xml:space="preserve">)) yra ženkliai pigesnis ir didžioji dalis pacientų (~90 proc. </w:t>
      </w:r>
      <w:proofErr w:type="spellStart"/>
      <w:r w:rsidRPr="00876A00">
        <w:rPr>
          <w:color w:val="000000"/>
          <w:lang w:eastAsia="lt-LT"/>
        </w:rPr>
        <w:t>enkataponą</w:t>
      </w:r>
      <w:proofErr w:type="spellEnd"/>
      <w:r w:rsidRPr="00876A00">
        <w:rPr>
          <w:color w:val="000000"/>
          <w:lang w:eastAsia="lt-LT"/>
        </w:rPr>
        <w:t xml:space="preserve"> vartoja šiuo būdu), atitinkamai </w:t>
      </w:r>
      <w:proofErr w:type="spellStart"/>
      <w:r w:rsidRPr="00876A00">
        <w:rPr>
          <w:color w:val="000000"/>
          <w:lang w:eastAsia="lt-LT"/>
        </w:rPr>
        <w:t>safinamidas</w:t>
      </w:r>
      <w:proofErr w:type="spellEnd"/>
      <w:r w:rsidRPr="00876A00">
        <w:rPr>
          <w:color w:val="000000"/>
          <w:lang w:eastAsia="lt-LT"/>
        </w:rPr>
        <w:t xml:space="preserve"> kaip papildomas gydymas skiriant </w:t>
      </w:r>
      <w:proofErr w:type="spellStart"/>
      <w:r w:rsidRPr="00876A00">
        <w:rPr>
          <w:color w:val="000000"/>
          <w:lang w:eastAsia="lt-LT"/>
        </w:rPr>
        <w:t>Levodopa</w:t>
      </w:r>
      <w:proofErr w:type="spellEnd"/>
      <w:r w:rsidRPr="00876A00">
        <w:rPr>
          <w:color w:val="000000"/>
          <w:lang w:eastAsia="lt-LT"/>
        </w:rPr>
        <w:t xml:space="preserve"> + </w:t>
      </w:r>
      <w:proofErr w:type="spellStart"/>
      <w:r w:rsidRPr="00876A00">
        <w:rPr>
          <w:color w:val="000000"/>
          <w:lang w:eastAsia="lt-LT"/>
        </w:rPr>
        <w:t>Benserazidum</w:t>
      </w:r>
      <w:proofErr w:type="spellEnd"/>
      <w:r w:rsidRPr="00876A00">
        <w:rPr>
          <w:color w:val="000000"/>
          <w:lang w:eastAsia="lt-LT"/>
        </w:rPr>
        <w:t>/</w:t>
      </w:r>
      <w:proofErr w:type="spellStart"/>
      <w:r w:rsidRPr="00876A00">
        <w:rPr>
          <w:color w:val="000000"/>
          <w:lang w:eastAsia="lt-LT"/>
        </w:rPr>
        <w:t>Carbidopa</w:t>
      </w:r>
      <w:proofErr w:type="spellEnd"/>
      <w:r w:rsidRPr="00876A00">
        <w:rPr>
          <w:color w:val="000000"/>
          <w:lang w:eastAsia="lt-LT"/>
        </w:rPr>
        <w:t xml:space="preserve"> būtų brangesnė alternatyva (</w:t>
      </w:r>
      <w:r w:rsidR="009528BB">
        <w:rPr>
          <w:color w:val="000000"/>
          <w:lang w:eastAsia="lt-LT"/>
        </w:rPr>
        <w:t>***</w:t>
      </w:r>
      <w:r w:rsidRPr="00876A00">
        <w:rPr>
          <w:color w:val="000000"/>
          <w:lang w:eastAsia="lt-LT"/>
        </w:rPr>
        <w:t xml:space="preserve"> proc.). Remiantis gautais rezultatais, kaštų mažinimas yra nepasiekiamas.</w:t>
      </w:r>
    </w:p>
    <w:p w14:paraId="6312BA19" w14:textId="77777777" w:rsidR="003D3228" w:rsidRPr="00753ABA" w:rsidRDefault="003D3228" w:rsidP="003D3228">
      <w:pPr>
        <w:tabs>
          <w:tab w:val="left" w:pos="426"/>
        </w:tabs>
        <w:rPr>
          <w:b/>
          <w:bCs/>
          <w:caps/>
        </w:rPr>
      </w:pPr>
    </w:p>
    <w:p w14:paraId="607A2CB8" w14:textId="77777777" w:rsidR="003D3228" w:rsidRPr="00753ABA" w:rsidRDefault="003D3228" w:rsidP="003D3228">
      <w:pPr>
        <w:pStyle w:val="Sraopastraipa"/>
        <w:numPr>
          <w:ilvl w:val="0"/>
          <w:numId w:val="1"/>
        </w:numPr>
        <w:tabs>
          <w:tab w:val="left" w:pos="567"/>
        </w:tabs>
        <w:ind w:hanging="720"/>
        <w:rPr>
          <w:b/>
          <w:bCs/>
          <w:caps/>
        </w:rPr>
      </w:pPr>
      <w:r w:rsidRPr="00753ABA">
        <w:rPr>
          <w:b/>
          <w:bCs/>
          <w:caps/>
        </w:rPr>
        <w:t xml:space="preserve">Pacientų organizacijų pateikti duomenys </w:t>
      </w:r>
    </w:p>
    <w:p w14:paraId="4A126E4D" w14:textId="67D7BBBA" w:rsidR="003D3228" w:rsidRPr="00753ABA" w:rsidRDefault="00000000" w:rsidP="003D3228">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685CA7" w:rsidRPr="00753ABA">
            <w:rPr>
              <w:rStyle w:val="Style2"/>
              <w:rFonts w:ascii="MS Gothic" w:eastAsia="MS Gothic" w:hAnsi="MS Gothic"/>
            </w:rPr>
            <w:t>☐</w:t>
          </w:r>
        </w:sdtContent>
      </w:sdt>
      <w:r w:rsidR="003D3228" w:rsidRPr="00753ABA">
        <w:t xml:space="preserve"> Pacientų organizacijos pozicija pateikta. Žr. priedą.</w:t>
      </w:r>
    </w:p>
    <w:p w14:paraId="401E698C" w14:textId="2F9DAC79" w:rsidR="003D3228" w:rsidRPr="00753ABA" w:rsidRDefault="00000000" w:rsidP="003D3228">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024CC4" w:rsidRPr="00753ABA">
            <w:rPr>
              <w:rStyle w:val="Style2"/>
              <w:rFonts w:ascii="MS Gothic" w:eastAsia="MS Gothic" w:hAnsi="MS Gothic"/>
            </w:rPr>
            <w:t>☒</w:t>
          </w:r>
        </w:sdtContent>
      </w:sdt>
      <w:r w:rsidR="003D3228" w:rsidRPr="00753ABA">
        <w:t xml:space="preserve"> Pacientų organizacijos pozicija nepateikta.</w:t>
      </w:r>
    </w:p>
    <w:p w14:paraId="69C3F713" w14:textId="77777777" w:rsidR="003D3228" w:rsidRPr="00753ABA" w:rsidRDefault="003D3228" w:rsidP="003D3228">
      <w:pPr>
        <w:spacing w:after="120"/>
        <w:jc w:val="both"/>
      </w:pPr>
    </w:p>
    <w:p w14:paraId="1DEA7E3A" w14:textId="77777777" w:rsidR="003D3228" w:rsidRPr="00753ABA" w:rsidRDefault="003D3228" w:rsidP="003D3228">
      <w:pPr>
        <w:pStyle w:val="Sraopastraipa"/>
        <w:numPr>
          <w:ilvl w:val="0"/>
          <w:numId w:val="1"/>
        </w:numPr>
        <w:tabs>
          <w:tab w:val="left" w:pos="567"/>
        </w:tabs>
        <w:ind w:hanging="720"/>
        <w:rPr>
          <w:b/>
          <w:bCs/>
          <w:caps/>
        </w:rPr>
      </w:pPr>
      <w:r w:rsidRPr="00753ABA">
        <w:rPr>
          <w:b/>
          <w:bCs/>
          <w:caps/>
        </w:rPr>
        <w:t>Gydytojų organizacijų pateikti duomenys</w:t>
      </w:r>
    </w:p>
    <w:p w14:paraId="47F9473E" w14:textId="22F14186" w:rsidR="003D3228" w:rsidRPr="00753ABA" w:rsidRDefault="00000000" w:rsidP="003D3228">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685CA7" w:rsidRPr="00753ABA">
            <w:rPr>
              <w:rStyle w:val="Style2"/>
              <w:rFonts w:ascii="MS Gothic" w:eastAsia="MS Gothic" w:hAnsi="MS Gothic"/>
            </w:rPr>
            <w:t>☐</w:t>
          </w:r>
        </w:sdtContent>
      </w:sdt>
      <w:r w:rsidR="003D3228" w:rsidRPr="00753ABA">
        <w:t xml:space="preserve"> Gydytojų specialistų organizacijos pozicija pateikta. </w:t>
      </w:r>
    </w:p>
    <w:p w14:paraId="412EFD00" w14:textId="4EEE7BB1" w:rsidR="003D3228" w:rsidRPr="00753ABA" w:rsidRDefault="00000000" w:rsidP="003D3228">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024CC4" w:rsidRPr="00753ABA">
            <w:rPr>
              <w:rStyle w:val="Style2"/>
              <w:rFonts w:ascii="MS Gothic" w:eastAsia="MS Gothic" w:hAnsi="MS Gothic"/>
            </w:rPr>
            <w:t>☒</w:t>
          </w:r>
        </w:sdtContent>
      </w:sdt>
      <w:r w:rsidR="003D3228" w:rsidRPr="00753ABA">
        <w:t xml:space="preserve"> Gydytojų specialistų organizacijos pozicija nepateikta.</w:t>
      </w:r>
    </w:p>
    <w:p w14:paraId="42ACBCEB" w14:textId="77777777" w:rsidR="003D3228" w:rsidRPr="00753ABA" w:rsidRDefault="003D3228" w:rsidP="003D3228">
      <w:pPr>
        <w:spacing w:after="120"/>
        <w:jc w:val="both"/>
      </w:pPr>
    </w:p>
    <w:p w14:paraId="77D86DFE" w14:textId="77777777" w:rsidR="003D3228" w:rsidRPr="00753ABA" w:rsidRDefault="003D3228" w:rsidP="003D3228">
      <w:pPr>
        <w:pStyle w:val="Sraopastraipa"/>
        <w:numPr>
          <w:ilvl w:val="0"/>
          <w:numId w:val="1"/>
        </w:numPr>
        <w:tabs>
          <w:tab w:val="left" w:pos="567"/>
        </w:tabs>
        <w:ind w:hanging="720"/>
        <w:rPr>
          <w:b/>
          <w:bCs/>
          <w:caps/>
        </w:rPr>
      </w:pPr>
      <w:r w:rsidRPr="00753ABA">
        <w:rPr>
          <w:b/>
          <w:bCs/>
          <w:caps/>
        </w:rPr>
        <w:t xml:space="preserve">Išvada </w:t>
      </w:r>
    </w:p>
    <w:p w14:paraId="45009552" w14:textId="77777777" w:rsidR="003D3228" w:rsidRPr="00753ABA" w:rsidRDefault="003D3228" w:rsidP="003D3228">
      <w:pPr>
        <w:rPr>
          <w:i/>
          <w:color w:val="00B050"/>
          <w:szCs w:val="22"/>
        </w:rPr>
      </w:pPr>
    </w:p>
    <w:tbl>
      <w:tblPr>
        <w:tblStyle w:val="Lentelstinklelis"/>
        <w:tblW w:w="9918" w:type="dxa"/>
        <w:jc w:val="center"/>
        <w:tblLook w:val="04A0" w:firstRow="1" w:lastRow="0" w:firstColumn="1" w:lastColumn="0" w:noHBand="0" w:noVBand="1"/>
      </w:tblPr>
      <w:tblGrid>
        <w:gridCol w:w="4815"/>
        <w:gridCol w:w="71"/>
        <w:gridCol w:w="5032"/>
      </w:tblGrid>
      <w:tr w:rsidR="00685CA7" w:rsidRPr="00CE43C2" w14:paraId="0E6FBC72" w14:textId="77777777" w:rsidTr="000A2C78">
        <w:trPr>
          <w:trHeight w:val="532"/>
          <w:jc w:val="center"/>
        </w:trPr>
        <w:tc>
          <w:tcPr>
            <w:tcW w:w="4886" w:type="dxa"/>
            <w:gridSpan w:val="2"/>
            <w:vAlign w:val="center"/>
          </w:tcPr>
          <w:p w14:paraId="65253F50"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CE43C2">
              <w:rPr>
                <w:rStyle w:val="Style2"/>
                <w:rFonts w:eastAsia="MS Gothic"/>
                <w:b/>
                <w:bCs/>
                <w:sz w:val="24"/>
                <w:szCs w:val="24"/>
              </w:rPr>
              <w:t>Rekomenduojama kompensuoti</w:t>
            </w:r>
          </w:p>
        </w:tc>
        <w:tc>
          <w:tcPr>
            <w:tcW w:w="5032" w:type="dxa"/>
            <w:vAlign w:val="center"/>
          </w:tcPr>
          <w:p w14:paraId="60FABE9F"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CE43C2">
              <w:rPr>
                <w:rStyle w:val="Style2"/>
                <w:rFonts w:eastAsia="MS Gothic"/>
                <w:b/>
                <w:bCs/>
                <w:sz w:val="24"/>
                <w:szCs w:val="24"/>
              </w:rPr>
              <w:t>Rekomenduojama nekompensuoti</w:t>
            </w:r>
          </w:p>
        </w:tc>
      </w:tr>
      <w:tr w:rsidR="00685CA7" w:rsidRPr="00CE43C2" w14:paraId="797C11E2" w14:textId="77777777" w:rsidTr="000A2C78">
        <w:trPr>
          <w:trHeight w:val="494"/>
          <w:jc w:val="center"/>
        </w:trPr>
        <w:tc>
          <w:tcPr>
            <w:tcW w:w="9918" w:type="dxa"/>
            <w:gridSpan w:val="3"/>
            <w:vAlign w:val="center"/>
          </w:tcPr>
          <w:p w14:paraId="6F9D1D5B"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CE43C2">
              <w:rPr>
                <w:rStyle w:val="Style2"/>
                <w:rFonts w:eastAsia="MS Gothic"/>
                <w:b/>
                <w:bCs/>
                <w:sz w:val="24"/>
                <w:szCs w:val="24"/>
              </w:rPr>
              <w:t>Palyginamasis efektyvumas</w:t>
            </w:r>
          </w:p>
        </w:tc>
      </w:tr>
      <w:tr w:rsidR="00685CA7" w:rsidRPr="00CE43C2" w14:paraId="1A099485" w14:textId="77777777" w:rsidTr="000A2C78">
        <w:trPr>
          <w:trHeight w:val="1546"/>
          <w:jc w:val="center"/>
        </w:trPr>
        <w:tc>
          <w:tcPr>
            <w:tcW w:w="4886" w:type="dxa"/>
            <w:gridSpan w:val="2"/>
          </w:tcPr>
          <w:p w14:paraId="27C7059C" w14:textId="7CE940E4"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53974781"/>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685CA7" w:rsidRPr="00CE43C2">
              <w:rPr>
                <w:sz w:val="24"/>
                <w:szCs w:val="24"/>
              </w:rPr>
              <w:t xml:space="preserve"> 32.1. yra didesnis</w:t>
            </w:r>
          </w:p>
          <w:p w14:paraId="192F0AEA"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CC2734C" w14:textId="007200A0"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2042735340"/>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685CA7" w:rsidRPr="00CE43C2">
              <w:rPr>
                <w:sz w:val="24"/>
                <w:szCs w:val="24"/>
              </w:rPr>
              <w:t xml:space="preserve"> 32.1. iš esmės nesiskiria</w:t>
            </w:r>
          </w:p>
        </w:tc>
        <w:tc>
          <w:tcPr>
            <w:tcW w:w="5032" w:type="dxa"/>
          </w:tcPr>
          <w:p w14:paraId="0ACDFE9C" w14:textId="77777777"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223253010"/>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yra mažesnis</w:t>
            </w:r>
          </w:p>
          <w:p w14:paraId="1BAD4B8A"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237AEB1" w14:textId="77777777"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100856797"/>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yra neįrodytas kaip toks pat</w:t>
            </w:r>
          </w:p>
          <w:p w14:paraId="0D35BA09"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12E96CD" w14:textId="77777777"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085991623"/>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yra neįrodytas kaip didesnis</w:t>
            </w:r>
          </w:p>
          <w:p w14:paraId="535C24C4"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0FB5B6E" w14:textId="77777777"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908262085"/>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pateikti duomenys apie palyginamąjį efektyvumą yra netinkami vertinti</w:t>
            </w:r>
          </w:p>
          <w:p w14:paraId="15EF57D7"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685CA7" w:rsidRPr="00CE43C2" w14:paraId="40FF2887" w14:textId="77777777" w:rsidTr="000A2C78">
        <w:trPr>
          <w:trHeight w:val="485"/>
          <w:jc w:val="center"/>
        </w:trPr>
        <w:tc>
          <w:tcPr>
            <w:tcW w:w="9918" w:type="dxa"/>
            <w:gridSpan w:val="3"/>
            <w:vAlign w:val="center"/>
          </w:tcPr>
          <w:p w14:paraId="7C937BBE"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CE43C2">
              <w:rPr>
                <w:rStyle w:val="Style2"/>
                <w:rFonts w:eastAsia="MS Gothic"/>
                <w:b/>
                <w:bCs/>
                <w:sz w:val="24"/>
                <w:szCs w:val="24"/>
              </w:rPr>
              <w:lastRenderedPageBreak/>
              <w:t>Klinikinis veiksmingumas</w:t>
            </w:r>
          </w:p>
        </w:tc>
      </w:tr>
      <w:tr w:rsidR="00685CA7" w:rsidRPr="00CE43C2" w14:paraId="626180B2" w14:textId="77777777" w:rsidTr="000A2C78">
        <w:trPr>
          <w:jc w:val="center"/>
        </w:trPr>
        <w:tc>
          <w:tcPr>
            <w:tcW w:w="4886" w:type="dxa"/>
            <w:gridSpan w:val="2"/>
          </w:tcPr>
          <w:p w14:paraId="17C28A4D" w14:textId="6DFCCF3A"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127164120"/>
                <w15:color w:val="FFCC00"/>
                <w14:checkbox>
                  <w14:checked w14:val="0"/>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685CA7" w:rsidRPr="00CE43C2">
              <w:rPr>
                <w:sz w:val="24"/>
                <w:szCs w:val="24"/>
              </w:rPr>
              <w:t xml:space="preserve"> 32.2. yra įvertintas kaip pagrindžiantis papildomos naudos pacientų sveikatai sukūrimą</w:t>
            </w:r>
          </w:p>
          <w:p w14:paraId="1D407BD9"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DDBFF6F" w14:textId="18B773ED" w:rsidR="00685CA7"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108182463"/>
                <w15:color w:val="FFCC00"/>
                <w14:checkbox>
                  <w14:checked w14:val="1"/>
                  <w14:checkedState w14:val="2612" w14:font="MS Gothic"/>
                  <w14:uncheckedState w14:val="2610" w14:font="MS Gothic"/>
                </w14:checkbox>
              </w:sdtPr>
              <w:sdtContent>
                <w:r w:rsidR="00881DF5" w:rsidRPr="00CE43C2">
                  <w:rPr>
                    <w:rStyle w:val="Style2"/>
                    <w:rFonts w:ascii="Segoe UI Symbol" w:eastAsia="MS Gothic" w:hAnsi="Segoe UI Symbol" w:cs="Segoe UI Symbol"/>
                    <w:sz w:val="24"/>
                    <w:szCs w:val="24"/>
                  </w:rPr>
                  <w:t>☒</w:t>
                </w:r>
              </w:sdtContent>
            </w:sdt>
            <w:r w:rsidR="00685CA7" w:rsidRPr="00CE43C2">
              <w:rPr>
                <w:sz w:val="24"/>
                <w:szCs w:val="24"/>
              </w:rPr>
              <w:t xml:space="preserve"> 32.2. yra įvertintas kaip pagrindžiantis nesiskiriančios naudos pacientų sveikatai sukūrimą</w:t>
            </w:r>
          </w:p>
          <w:p w14:paraId="0BE329BB"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5032" w:type="dxa"/>
          </w:tcPr>
          <w:p w14:paraId="24C4ADB2" w14:textId="77777777" w:rsidR="00685CA7" w:rsidRPr="00CE43C2" w:rsidRDefault="00000000" w:rsidP="000A2C78">
            <w:pPr>
              <w:jc w:val="both"/>
              <w:rPr>
                <w:sz w:val="24"/>
                <w:szCs w:val="24"/>
              </w:rPr>
            </w:pPr>
            <w:sdt>
              <w:sdtPr>
                <w:rPr>
                  <w:rStyle w:val="Style2"/>
                  <w:sz w:val="24"/>
                </w:rPr>
                <w:id w:val="90213628"/>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yra įvertintas kaip nepagrindžiantis papildomos naudos pacientų sveikatai sukūrimo</w:t>
            </w:r>
          </w:p>
          <w:p w14:paraId="28485970" w14:textId="77777777" w:rsidR="00685CA7" w:rsidRPr="00CE43C2" w:rsidRDefault="00685CA7" w:rsidP="000A2C78">
            <w:pPr>
              <w:jc w:val="both"/>
              <w:rPr>
                <w:sz w:val="24"/>
                <w:szCs w:val="24"/>
              </w:rPr>
            </w:pPr>
          </w:p>
          <w:p w14:paraId="7A9BD402" w14:textId="77777777" w:rsidR="00685CA7" w:rsidRPr="00CE43C2" w:rsidRDefault="00000000" w:rsidP="000A2C78">
            <w:pPr>
              <w:jc w:val="both"/>
              <w:rPr>
                <w:sz w:val="24"/>
                <w:szCs w:val="24"/>
              </w:rPr>
            </w:pPr>
            <w:sdt>
              <w:sdtPr>
                <w:rPr>
                  <w:rStyle w:val="Style2"/>
                  <w:sz w:val="24"/>
                </w:rPr>
                <w:id w:val="47114242"/>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685CA7" w:rsidRPr="00CE43C2">
              <w:rPr>
                <w:sz w:val="24"/>
                <w:szCs w:val="24"/>
              </w:rPr>
              <w:t xml:space="preserve"> 33.1. yra įvertintas kaip nepagrindžiantis nesiskiriančios naudos pacientų sveikatai sukūrimo</w:t>
            </w:r>
          </w:p>
          <w:p w14:paraId="47214504" w14:textId="77777777" w:rsidR="00685CA7" w:rsidRPr="00CE43C2"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3D3228" w:rsidRPr="00CE43C2" w14:paraId="38FE3D8A" w14:textId="77777777" w:rsidTr="00685CA7">
        <w:tblPrEx>
          <w:jc w:val="left"/>
        </w:tblPrEx>
        <w:trPr>
          <w:trHeight w:val="510"/>
        </w:trPr>
        <w:tc>
          <w:tcPr>
            <w:tcW w:w="9918" w:type="dxa"/>
            <w:gridSpan w:val="3"/>
            <w:vAlign w:val="center"/>
          </w:tcPr>
          <w:p w14:paraId="20B41E61"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CE43C2">
              <w:rPr>
                <w:rStyle w:val="Style2"/>
                <w:rFonts w:eastAsia="MS Gothic"/>
                <w:b/>
                <w:bCs/>
                <w:sz w:val="24"/>
                <w:szCs w:val="24"/>
              </w:rPr>
              <w:t>Kaštų naudingumas</w:t>
            </w:r>
          </w:p>
        </w:tc>
      </w:tr>
      <w:tr w:rsidR="003D3228" w:rsidRPr="00CE43C2" w14:paraId="21B53462" w14:textId="77777777" w:rsidTr="00685CA7">
        <w:tblPrEx>
          <w:jc w:val="left"/>
        </w:tblPrEx>
        <w:tc>
          <w:tcPr>
            <w:tcW w:w="4815" w:type="dxa"/>
          </w:tcPr>
          <w:p w14:paraId="0C8BA9DB" w14:textId="77777777" w:rsidR="003D3228"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975984416"/>
                <w15:color w:val="FFCC00"/>
                <w14:checkbox>
                  <w14:checked w14:val="0"/>
                  <w14:checkedState w14:val="2612" w14:font="MS Gothic"/>
                  <w14:uncheckedState w14:val="2610" w14:font="MS Gothic"/>
                </w14:checkbox>
              </w:sdtPr>
              <w:sdtContent>
                <w:r w:rsidR="003D3228" w:rsidRPr="00CE43C2">
                  <w:rPr>
                    <w:rStyle w:val="Style2"/>
                    <w:rFonts w:ascii="Segoe UI Symbol" w:eastAsia="MS Gothic" w:hAnsi="Segoe UI Symbol" w:cs="Segoe UI Symbol"/>
                    <w:sz w:val="24"/>
                    <w:szCs w:val="24"/>
                  </w:rPr>
                  <w:t>☐</w:t>
                </w:r>
              </w:sdtContent>
            </w:sdt>
            <w:r w:rsidR="003D3228" w:rsidRPr="00CE43C2">
              <w:rPr>
                <w:sz w:val="24"/>
                <w:szCs w:val="24"/>
              </w:rPr>
              <w:t xml:space="preserve"> 32.3. atitinka referencinę naudingumo vertę</w:t>
            </w:r>
          </w:p>
          <w:p w14:paraId="64FFFE6A"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BD009C4" w14:textId="506328B1" w:rsidR="003D3228"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sdt>
              <w:sdtPr>
                <w:rPr>
                  <w:rStyle w:val="Style2"/>
                  <w:sz w:val="24"/>
                </w:rPr>
                <w:id w:val="-1308081728"/>
                <w15:color w:val="FFCC00"/>
                <w14:checkbox>
                  <w14:checked w14:val="0"/>
                  <w14:checkedState w14:val="2612" w14:font="MS Gothic"/>
                  <w14:uncheckedState w14:val="2610" w14:font="MS Gothic"/>
                </w14:checkbox>
              </w:sdtPr>
              <w:sdtContent>
                <w:r w:rsidR="00685CA7" w:rsidRPr="00CE43C2">
                  <w:rPr>
                    <w:rStyle w:val="Style2"/>
                    <w:rFonts w:ascii="Segoe UI Symbol" w:eastAsia="MS Gothic" w:hAnsi="Segoe UI Symbol" w:cs="Segoe UI Symbol"/>
                    <w:sz w:val="24"/>
                    <w:szCs w:val="24"/>
                  </w:rPr>
                  <w:t>☐</w:t>
                </w:r>
              </w:sdtContent>
            </w:sdt>
            <w:r w:rsidR="003D3228" w:rsidRPr="00CE43C2">
              <w:rPr>
                <w:sz w:val="24"/>
                <w:szCs w:val="24"/>
              </w:rPr>
              <w:t xml:space="preserve"> 32.3. gydymo juo kaštai yra mažesni ar tokie patys esant iš esmės nesiskiriančiam palyginamajam efektyvumui, lyginant su įprasta klinikine praktika</w:t>
            </w:r>
          </w:p>
          <w:p w14:paraId="07137534"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5103" w:type="dxa"/>
            <w:gridSpan w:val="2"/>
          </w:tcPr>
          <w:p w14:paraId="10840CEE" w14:textId="77777777" w:rsidR="003D3228"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65405113"/>
                <w15:color w:val="FFCC00"/>
                <w14:checkbox>
                  <w14:checked w14:val="0"/>
                  <w14:checkedState w14:val="2612" w14:font="MS Gothic"/>
                  <w14:uncheckedState w14:val="2610" w14:font="MS Gothic"/>
                </w14:checkbox>
              </w:sdtPr>
              <w:sdtContent>
                <w:r w:rsidR="003D3228" w:rsidRPr="00CE43C2">
                  <w:rPr>
                    <w:rStyle w:val="Style2"/>
                    <w:rFonts w:ascii="Segoe UI Symbol" w:eastAsia="MS Gothic" w:hAnsi="Segoe UI Symbol" w:cs="Segoe UI Symbol"/>
                    <w:sz w:val="24"/>
                    <w:szCs w:val="24"/>
                  </w:rPr>
                  <w:t>☐</w:t>
                </w:r>
              </w:sdtContent>
            </w:sdt>
            <w:r w:rsidR="003D3228" w:rsidRPr="00CE43C2">
              <w:rPr>
                <w:sz w:val="24"/>
                <w:szCs w:val="24"/>
              </w:rPr>
              <w:t xml:space="preserve"> 33.3. neatitinka referencinės naudingumo vertės Lietuvos Respublikoje</w:t>
            </w:r>
          </w:p>
          <w:p w14:paraId="34F0D36A"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5EB51E4" w14:textId="5A0BFD43" w:rsidR="003D3228"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sdt>
              <w:sdtPr>
                <w:rPr>
                  <w:rStyle w:val="Style2"/>
                  <w:sz w:val="24"/>
                </w:rPr>
                <w:id w:val="-1135473618"/>
                <w15:color w:val="FFCC00"/>
                <w14:checkbox>
                  <w14:checked w14:val="1"/>
                  <w14:checkedState w14:val="2612" w14:font="MS Gothic"/>
                  <w14:uncheckedState w14:val="2610" w14:font="MS Gothic"/>
                </w14:checkbox>
              </w:sdtPr>
              <w:sdtContent>
                <w:r w:rsidR="00CE43C2">
                  <w:rPr>
                    <w:rStyle w:val="Style2"/>
                    <w:rFonts w:ascii="MS Gothic" w:eastAsia="MS Gothic" w:hAnsi="MS Gothic" w:hint="eastAsia"/>
                    <w:sz w:val="24"/>
                    <w:szCs w:val="24"/>
                  </w:rPr>
                  <w:t>☒</w:t>
                </w:r>
              </w:sdtContent>
            </w:sdt>
            <w:r w:rsidR="003D3228" w:rsidRPr="00CE43C2">
              <w:rPr>
                <w:sz w:val="24"/>
                <w:szCs w:val="24"/>
              </w:rPr>
              <w:t xml:space="preserve"> 33.3. gydymo juo kaštai yra didesni esant iš esmės nesiskiriančiam palyginamajam efektyvumui, lyginant su įprasta klinikine praktika</w:t>
            </w:r>
          </w:p>
          <w:p w14:paraId="7FB15D22"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24EE23A" w14:textId="77777777" w:rsidR="003D3228" w:rsidRPr="00CE43C2"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008360022"/>
                <w15:color w:val="FFCC00"/>
                <w14:checkbox>
                  <w14:checked w14:val="0"/>
                  <w14:checkedState w14:val="2612" w14:font="MS Gothic"/>
                  <w14:uncheckedState w14:val="2610" w14:font="MS Gothic"/>
                </w14:checkbox>
              </w:sdtPr>
              <w:sdtContent>
                <w:r w:rsidR="003D3228" w:rsidRPr="00CE43C2">
                  <w:rPr>
                    <w:rStyle w:val="Style2"/>
                    <w:rFonts w:ascii="Segoe UI Symbol" w:eastAsia="MS Gothic" w:hAnsi="Segoe UI Symbol" w:cs="Segoe UI Symbol"/>
                    <w:sz w:val="24"/>
                    <w:szCs w:val="24"/>
                  </w:rPr>
                  <w:t>☐</w:t>
                </w:r>
              </w:sdtContent>
            </w:sdt>
            <w:r w:rsidR="003D3228" w:rsidRPr="00CE43C2">
              <w:rPr>
                <w:sz w:val="24"/>
                <w:szCs w:val="24"/>
              </w:rPr>
              <w:t xml:space="preserve"> 33.3. pateikti duomenys apie kaštų naudingumą yra netinkami vertinti</w:t>
            </w:r>
          </w:p>
          <w:p w14:paraId="3749B518" w14:textId="77777777" w:rsidR="003D3228" w:rsidRPr="00CE43C2"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bl>
    <w:p w14:paraId="3FA76533" w14:textId="77777777" w:rsidR="003D3228" w:rsidRPr="00753ABA" w:rsidRDefault="003D3228" w:rsidP="003D3228"/>
    <w:p w14:paraId="13E227F4" w14:textId="77777777" w:rsidR="003D3228" w:rsidRPr="00753ABA" w:rsidRDefault="003D3228" w:rsidP="003D3228"/>
    <w:p w14:paraId="6623679F" w14:textId="77777777" w:rsidR="003D3228" w:rsidRPr="00753ABA" w:rsidRDefault="003D3228" w:rsidP="003D3228">
      <w:pPr>
        <w:pStyle w:val="Sraopastraipa"/>
        <w:numPr>
          <w:ilvl w:val="0"/>
          <w:numId w:val="1"/>
        </w:numPr>
        <w:ind w:left="567" w:hanging="567"/>
      </w:pPr>
      <w:r w:rsidRPr="00753ABA">
        <w:rPr>
          <w:b/>
        </w:rPr>
        <w:t>REKOMENDACIJA</w:t>
      </w:r>
    </w:p>
    <w:p w14:paraId="5FB068F8" w14:textId="4476094C" w:rsidR="00A66625" w:rsidRPr="00432D48" w:rsidRDefault="00A66625" w:rsidP="00A66625">
      <w:pPr>
        <w:rPr>
          <w:i/>
          <w:color w:val="000000" w:themeColor="text1"/>
        </w:rPr>
      </w:pPr>
    </w:p>
    <w:p w14:paraId="3EFB75AB" w14:textId="77777777" w:rsidR="00DB41D0" w:rsidRPr="000E1966" w:rsidRDefault="00DB41D0" w:rsidP="00DB41D0">
      <w:pPr>
        <w:spacing w:line="276" w:lineRule="auto"/>
        <w:ind w:firstLine="567"/>
        <w:jc w:val="both"/>
        <w:rPr>
          <w:color w:val="000000" w:themeColor="text1"/>
        </w:rPr>
      </w:pPr>
      <w:r w:rsidRPr="000E1966">
        <w:t>Vadovaujantis</w:t>
      </w:r>
      <w:r w:rsidRPr="000E1966">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4FDDFB56" w14:textId="17D8BED3" w:rsidR="00DB41D0" w:rsidRDefault="00DB41D0" w:rsidP="00DB41D0">
      <w:pPr>
        <w:spacing w:line="276" w:lineRule="auto"/>
        <w:jc w:val="both"/>
      </w:pPr>
      <w:r w:rsidRPr="000E1966">
        <w:rPr>
          <w:color w:val="000000"/>
        </w:rPr>
        <w:t>34.4.</w:t>
      </w:r>
      <w:r w:rsidRPr="000E1966">
        <w:rPr>
          <w:color w:val="000000" w:themeColor="text1"/>
        </w:rPr>
        <w:t xml:space="preserve"> </w:t>
      </w:r>
      <w:r w:rsidRPr="000E1966">
        <w:t xml:space="preserve">rekomenduojama </w:t>
      </w:r>
      <w:r w:rsidRPr="000E1966">
        <w:rPr>
          <w:i/>
        </w:rPr>
        <w:t xml:space="preserve">nekompensuoti </w:t>
      </w:r>
      <w:r w:rsidRPr="000E1966">
        <w:t xml:space="preserve">vaistinio preparato pagal paraiškoje nurodytą indikaciją </w:t>
      </w:r>
      <w:proofErr w:type="spellStart"/>
      <w:r w:rsidRPr="000E1966">
        <w:rPr>
          <w:lang w:val="en-US"/>
        </w:rPr>
        <w:t>su</w:t>
      </w:r>
      <w:proofErr w:type="spellEnd"/>
      <w:r w:rsidRPr="000E1966">
        <w:rPr>
          <w:lang w:val="en-US"/>
        </w:rPr>
        <w:t xml:space="preserve"> </w:t>
      </w:r>
      <w:r w:rsidRPr="000E1966">
        <w:t>skyrimo sąlygomis, taikant PGS, dėl iš esmės nesiskiriančio gydymo efektyvumo ir sukuriamos naudos pacientų sveikatai, lyginant su įprasta klinikine praktika ir didesnių gydymo kaštų (kaštų mažinimas nepasiek</w:t>
      </w:r>
      <w:r w:rsidR="003640BD">
        <w:t>tas</w:t>
      </w:r>
      <w:r w:rsidRPr="000E1966">
        <w:t>).</w:t>
      </w:r>
    </w:p>
    <w:p w14:paraId="42046723" w14:textId="03D10FB6" w:rsidR="00615244" w:rsidRDefault="00615244" w:rsidP="00615244">
      <w:pPr>
        <w:rPr>
          <w:lang w:val="en-US"/>
        </w:rPr>
      </w:pPr>
    </w:p>
    <w:p w14:paraId="379882FC" w14:textId="77777777" w:rsidR="003D3228" w:rsidRPr="00753ABA" w:rsidRDefault="003D3228" w:rsidP="003D3228">
      <w:pPr>
        <w:jc w:val="both"/>
      </w:pPr>
    </w:p>
    <w:p w14:paraId="70E5D729" w14:textId="77777777" w:rsidR="003D3228" w:rsidRPr="00753ABA" w:rsidRDefault="003D3228" w:rsidP="003D3228">
      <w:pPr>
        <w:jc w:val="both"/>
      </w:pPr>
    </w:p>
    <w:p w14:paraId="3C7C2306" w14:textId="77777777" w:rsidR="003D3228" w:rsidRPr="00753ABA" w:rsidRDefault="003D3228" w:rsidP="003D3228">
      <w:pPr>
        <w:rPr>
          <w:b/>
        </w:rPr>
      </w:pPr>
    </w:p>
    <w:p w14:paraId="6DFBB571" w14:textId="77777777" w:rsidR="002B0ECD" w:rsidRDefault="002B0ECD"/>
    <w:sectPr w:rsidR="002B0ECD"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7A437" w14:textId="77777777" w:rsidR="006B43F4" w:rsidRDefault="006B43F4">
      <w:r>
        <w:separator/>
      </w:r>
    </w:p>
  </w:endnote>
  <w:endnote w:type="continuationSeparator" w:id="0">
    <w:p w14:paraId="7A699AAD" w14:textId="77777777" w:rsidR="006B43F4" w:rsidRDefault="006B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Arial"/>
    <w:panose1 w:val="00000000000000000000"/>
    <w:charset w:val="80"/>
    <w:family w:val="auto"/>
    <w:notTrueType/>
    <w:pitch w:val="default"/>
    <w:sig w:usb0="00000000" w:usb1="08070000" w:usb2="00000010" w:usb3="00000000" w:csb0="0002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472E8" w14:textId="77777777" w:rsidR="002B0ECD" w:rsidRDefault="002B0ECD">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671E1" w14:textId="77777777" w:rsidR="006B43F4" w:rsidRDefault="006B43F4">
      <w:r>
        <w:separator/>
      </w:r>
    </w:p>
  </w:footnote>
  <w:footnote w:type="continuationSeparator" w:id="0">
    <w:p w14:paraId="43202E6F" w14:textId="77777777" w:rsidR="006B43F4" w:rsidRDefault="006B4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88303" w14:textId="77777777" w:rsidR="002B0ECD" w:rsidRDefault="00685C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BA6B7CC" w14:textId="77777777" w:rsidR="002B0ECD" w:rsidRDefault="002B0E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A29A" w14:textId="572DFDB4" w:rsidR="002B0ECD" w:rsidRDefault="00685C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735E">
      <w:rPr>
        <w:rStyle w:val="Puslapionumeris"/>
        <w:noProof/>
      </w:rPr>
      <w:t>7</w:t>
    </w:r>
    <w:r>
      <w:rPr>
        <w:rStyle w:val="Puslapionumeris"/>
      </w:rPr>
      <w:fldChar w:fldCharType="end"/>
    </w:r>
  </w:p>
  <w:p w14:paraId="52CEE408" w14:textId="77777777" w:rsidR="002B0ECD" w:rsidRDefault="002B0EC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7BF78" w14:textId="77777777" w:rsidR="002B0ECD" w:rsidRDefault="002B0ECD"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1E75"/>
    <w:multiLevelType w:val="hybridMultilevel"/>
    <w:tmpl w:val="499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49E4"/>
    <w:multiLevelType w:val="hybridMultilevel"/>
    <w:tmpl w:val="8E748C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816B09"/>
    <w:multiLevelType w:val="hybridMultilevel"/>
    <w:tmpl w:val="8FBEE17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0A3773"/>
    <w:multiLevelType w:val="hybridMultilevel"/>
    <w:tmpl w:val="E01A00CC"/>
    <w:lvl w:ilvl="0" w:tplc="9A82F144">
      <w:start w:val="1"/>
      <w:numFmt w:val="bullet"/>
      <w:lvlText w:val=""/>
      <w:lvlJc w:val="left"/>
      <w:pPr>
        <w:ind w:left="2498" w:hanging="360"/>
      </w:pPr>
      <w:rPr>
        <w:rFonts w:ascii="Symbol" w:hAnsi="Symbol" w:hint="default"/>
        <w:strike w:val="0"/>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15:restartNumberingAfterBreak="0">
    <w:nsid w:val="296E21F7"/>
    <w:multiLevelType w:val="hybridMultilevel"/>
    <w:tmpl w:val="F780B0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B15C10"/>
    <w:multiLevelType w:val="hybridMultilevel"/>
    <w:tmpl w:val="58B4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D3529"/>
    <w:multiLevelType w:val="hybridMultilevel"/>
    <w:tmpl w:val="4A3A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A6BFC"/>
    <w:multiLevelType w:val="hybridMultilevel"/>
    <w:tmpl w:val="1946FD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FD4BA4"/>
    <w:multiLevelType w:val="hybridMultilevel"/>
    <w:tmpl w:val="4140A2FC"/>
    <w:lvl w:ilvl="0" w:tplc="D59AF96C">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2C16F8D"/>
    <w:multiLevelType w:val="hybridMultilevel"/>
    <w:tmpl w:val="A34C09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59380CB9"/>
    <w:multiLevelType w:val="hybridMultilevel"/>
    <w:tmpl w:val="946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D2182"/>
    <w:multiLevelType w:val="hybridMultilevel"/>
    <w:tmpl w:val="EAF4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2D5B5C"/>
    <w:multiLevelType w:val="hybridMultilevel"/>
    <w:tmpl w:val="3A1C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B733C"/>
    <w:multiLevelType w:val="hybridMultilevel"/>
    <w:tmpl w:val="11A67B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5F63C08"/>
    <w:multiLevelType w:val="hybridMultilevel"/>
    <w:tmpl w:val="5A946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4155561">
    <w:abstractNumId w:val="2"/>
  </w:num>
  <w:num w:numId="2" w16cid:durableId="377362607">
    <w:abstractNumId w:val="12"/>
  </w:num>
  <w:num w:numId="3" w16cid:durableId="174882544">
    <w:abstractNumId w:val="0"/>
  </w:num>
  <w:num w:numId="4" w16cid:durableId="1062944147">
    <w:abstractNumId w:val="10"/>
  </w:num>
  <w:num w:numId="5" w16cid:durableId="124276628">
    <w:abstractNumId w:val="6"/>
  </w:num>
  <w:num w:numId="6" w16cid:durableId="2086995607">
    <w:abstractNumId w:val="14"/>
  </w:num>
  <w:num w:numId="7" w16cid:durableId="538785860">
    <w:abstractNumId w:val="9"/>
  </w:num>
  <w:num w:numId="8" w16cid:durableId="37970132">
    <w:abstractNumId w:val="11"/>
  </w:num>
  <w:num w:numId="9" w16cid:durableId="1199856663">
    <w:abstractNumId w:val="4"/>
  </w:num>
  <w:num w:numId="10" w16cid:durableId="1413501044">
    <w:abstractNumId w:val="13"/>
  </w:num>
  <w:num w:numId="11" w16cid:durableId="288513356">
    <w:abstractNumId w:val="7"/>
  </w:num>
  <w:num w:numId="12" w16cid:durableId="270670264">
    <w:abstractNumId w:val="15"/>
  </w:num>
  <w:num w:numId="13" w16cid:durableId="422533346">
    <w:abstractNumId w:val="1"/>
  </w:num>
  <w:num w:numId="14" w16cid:durableId="1843855897">
    <w:abstractNumId w:val="8"/>
  </w:num>
  <w:num w:numId="15" w16cid:durableId="638876704">
    <w:abstractNumId w:val="5"/>
  </w:num>
  <w:num w:numId="16" w16cid:durableId="1958174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28"/>
    <w:rsid w:val="00024176"/>
    <w:rsid w:val="00024CC4"/>
    <w:rsid w:val="00025E44"/>
    <w:rsid w:val="00080DB9"/>
    <w:rsid w:val="000D345D"/>
    <w:rsid w:val="000F5146"/>
    <w:rsid w:val="000F59C6"/>
    <w:rsid w:val="001137F1"/>
    <w:rsid w:val="00197042"/>
    <w:rsid w:val="001A465F"/>
    <w:rsid w:val="001A735E"/>
    <w:rsid w:val="001B6EE0"/>
    <w:rsid w:val="001C233A"/>
    <w:rsid w:val="001C3896"/>
    <w:rsid w:val="001C4F55"/>
    <w:rsid w:val="001D516F"/>
    <w:rsid w:val="002365B7"/>
    <w:rsid w:val="002746A2"/>
    <w:rsid w:val="002873F3"/>
    <w:rsid w:val="002953FC"/>
    <w:rsid w:val="002A0C91"/>
    <w:rsid w:val="002A4216"/>
    <w:rsid w:val="002B0ECD"/>
    <w:rsid w:val="002B310E"/>
    <w:rsid w:val="002C0709"/>
    <w:rsid w:val="0030743D"/>
    <w:rsid w:val="00312BC5"/>
    <w:rsid w:val="003607DF"/>
    <w:rsid w:val="003640BD"/>
    <w:rsid w:val="0038441A"/>
    <w:rsid w:val="003953F1"/>
    <w:rsid w:val="003A3136"/>
    <w:rsid w:val="003C32CC"/>
    <w:rsid w:val="003D3228"/>
    <w:rsid w:val="004039B0"/>
    <w:rsid w:val="00470B48"/>
    <w:rsid w:val="004C47BC"/>
    <w:rsid w:val="004D1F5A"/>
    <w:rsid w:val="004E0944"/>
    <w:rsid w:val="004E2B3F"/>
    <w:rsid w:val="00563FAC"/>
    <w:rsid w:val="00595C48"/>
    <w:rsid w:val="005D6F7A"/>
    <w:rsid w:val="00613362"/>
    <w:rsid w:val="00615244"/>
    <w:rsid w:val="00622897"/>
    <w:rsid w:val="00652902"/>
    <w:rsid w:val="00676812"/>
    <w:rsid w:val="00685CA7"/>
    <w:rsid w:val="006A1333"/>
    <w:rsid w:val="006A50E8"/>
    <w:rsid w:val="006B43F4"/>
    <w:rsid w:val="006C6423"/>
    <w:rsid w:val="006F64F1"/>
    <w:rsid w:val="006F7769"/>
    <w:rsid w:val="006F7D17"/>
    <w:rsid w:val="00735F3E"/>
    <w:rsid w:val="00753ABA"/>
    <w:rsid w:val="00782537"/>
    <w:rsid w:val="007A4532"/>
    <w:rsid w:val="007B3F58"/>
    <w:rsid w:val="007D62AA"/>
    <w:rsid w:val="007F376F"/>
    <w:rsid w:val="007F41BB"/>
    <w:rsid w:val="0080114F"/>
    <w:rsid w:val="008141A6"/>
    <w:rsid w:val="008513F5"/>
    <w:rsid w:val="00881DF5"/>
    <w:rsid w:val="00892F58"/>
    <w:rsid w:val="008A17B6"/>
    <w:rsid w:val="009054FE"/>
    <w:rsid w:val="00910A6A"/>
    <w:rsid w:val="0091634E"/>
    <w:rsid w:val="009528BB"/>
    <w:rsid w:val="00953939"/>
    <w:rsid w:val="00954853"/>
    <w:rsid w:val="009F06B7"/>
    <w:rsid w:val="00A260B3"/>
    <w:rsid w:val="00A4588C"/>
    <w:rsid w:val="00A61AA3"/>
    <w:rsid w:val="00A66625"/>
    <w:rsid w:val="00A72C58"/>
    <w:rsid w:val="00AD723A"/>
    <w:rsid w:val="00AF15D3"/>
    <w:rsid w:val="00B0055A"/>
    <w:rsid w:val="00C266B2"/>
    <w:rsid w:val="00C51923"/>
    <w:rsid w:val="00C87FFC"/>
    <w:rsid w:val="00CA0FF0"/>
    <w:rsid w:val="00CE2E9B"/>
    <w:rsid w:val="00CE43C2"/>
    <w:rsid w:val="00CF7088"/>
    <w:rsid w:val="00D030A5"/>
    <w:rsid w:val="00D05CAA"/>
    <w:rsid w:val="00D268F8"/>
    <w:rsid w:val="00D36AA9"/>
    <w:rsid w:val="00D46E0B"/>
    <w:rsid w:val="00D65220"/>
    <w:rsid w:val="00DB41D0"/>
    <w:rsid w:val="00DB6B58"/>
    <w:rsid w:val="00DF204E"/>
    <w:rsid w:val="00DF2DB6"/>
    <w:rsid w:val="00E47F57"/>
    <w:rsid w:val="00E75EED"/>
    <w:rsid w:val="00E94588"/>
    <w:rsid w:val="00EB41DB"/>
    <w:rsid w:val="00EC0FC7"/>
    <w:rsid w:val="00EC2CB0"/>
    <w:rsid w:val="00F00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2F77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3228"/>
    <w:rPr>
      <w:rFonts w:ascii="Times New Roman" w:eastAsia="Times New Roman" w:hAnsi="Times New Roman" w:cs="Times New Roman"/>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D3228"/>
    <w:pPr>
      <w:tabs>
        <w:tab w:val="center" w:pos="4986"/>
        <w:tab w:val="right" w:pos="9972"/>
      </w:tabs>
    </w:pPr>
    <w:rPr>
      <w:lang w:eastAsia="en-US"/>
    </w:rPr>
  </w:style>
  <w:style w:type="character" w:customStyle="1" w:styleId="AntratsDiagrama">
    <w:name w:val="Antraštės Diagrama"/>
    <w:basedOn w:val="Numatytasispastraiposriftas"/>
    <w:link w:val="Antrats"/>
    <w:rsid w:val="003D3228"/>
    <w:rPr>
      <w:rFonts w:ascii="Times New Roman" w:eastAsia="Times New Roman" w:hAnsi="Times New Roman" w:cs="Times New Roman"/>
      <w:lang w:val="lt-LT"/>
    </w:rPr>
  </w:style>
  <w:style w:type="paragraph" w:styleId="Porat">
    <w:name w:val="footer"/>
    <w:basedOn w:val="prastasis"/>
    <w:link w:val="PoratDiagrama"/>
    <w:uiPriority w:val="99"/>
    <w:rsid w:val="003D3228"/>
    <w:pPr>
      <w:tabs>
        <w:tab w:val="center" w:pos="4986"/>
        <w:tab w:val="right" w:pos="9972"/>
      </w:tabs>
    </w:pPr>
    <w:rPr>
      <w:lang w:eastAsia="en-US"/>
    </w:rPr>
  </w:style>
  <w:style w:type="character" w:customStyle="1" w:styleId="PoratDiagrama">
    <w:name w:val="Poraštė Diagrama"/>
    <w:basedOn w:val="Numatytasispastraiposriftas"/>
    <w:link w:val="Porat"/>
    <w:uiPriority w:val="99"/>
    <w:rsid w:val="003D3228"/>
    <w:rPr>
      <w:rFonts w:ascii="Times New Roman" w:eastAsia="Times New Roman" w:hAnsi="Times New Roman" w:cs="Times New Roman"/>
      <w:lang w:val="lt-LT"/>
    </w:rPr>
  </w:style>
  <w:style w:type="character" w:styleId="Puslapionumeris">
    <w:name w:val="page number"/>
    <w:basedOn w:val="Numatytasispastraiposriftas"/>
    <w:rsid w:val="003D3228"/>
  </w:style>
  <w:style w:type="table" w:styleId="Lentelstinklelis">
    <w:name w:val="Table Grid"/>
    <w:aliases w:val="Summary box,Dossier Table"/>
    <w:basedOn w:val="prastojilentel"/>
    <w:rsid w:val="003D322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Styl moj,Akapit z listą11,aotm_załączniki,Akapit z listą1,List Paragraph1,Bullet1,Table Legend,Dot pt,F5 List Paragraph,No Spacing1,List Paragraph Char Char Char,Indicator Text,Colorful List - Accent 11,Numbered Para 1,Bullet 1"/>
    <w:basedOn w:val="prastasis"/>
    <w:link w:val="SraopastraipaDiagrama"/>
    <w:uiPriority w:val="34"/>
    <w:qFormat/>
    <w:rsid w:val="003D3228"/>
    <w:pPr>
      <w:ind w:left="720"/>
      <w:contextualSpacing/>
    </w:pPr>
    <w:rPr>
      <w:lang w:eastAsia="en-US"/>
    </w:rPr>
  </w:style>
  <w:style w:type="character" w:customStyle="1" w:styleId="Style2">
    <w:name w:val="Style2"/>
    <w:basedOn w:val="Numatytasispastraiposriftas"/>
    <w:uiPriority w:val="1"/>
    <w:rsid w:val="003D3228"/>
    <w:rPr>
      <w:sz w:val="32"/>
    </w:rPr>
  </w:style>
  <w:style w:type="character" w:styleId="Emfaz">
    <w:name w:val="Emphasis"/>
    <w:basedOn w:val="Numatytasispastraiposriftas"/>
    <w:uiPriority w:val="20"/>
    <w:qFormat/>
    <w:rsid w:val="003D3228"/>
    <w:rPr>
      <w:i/>
      <w:iCs/>
    </w:rPr>
  </w:style>
  <w:style w:type="character" w:customStyle="1" w:styleId="SraopastraipaDiagrama">
    <w:name w:val="Sąrašo pastraipa Diagrama"/>
    <w:aliases w:val="Styl moj Diagrama,Akapit z listą11 Diagrama,aotm_załączniki Diagrama,Akapit z listą1 Diagrama,List Paragraph1 Diagrama,Bullet1 Diagrama,Table Legend Diagrama,Dot pt Diagrama,F5 List Paragraph Diagrama,No Spacing1 Diagrama"/>
    <w:link w:val="Sraopastraipa"/>
    <w:uiPriority w:val="34"/>
    <w:qFormat/>
    <w:locked/>
    <w:rsid w:val="003D3228"/>
    <w:rPr>
      <w:rFonts w:ascii="Times New Roman" w:eastAsia="Times New Roman" w:hAnsi="Times New Roman" w:cs="Times New Roman"/>
      <w:lang w:val="lt-LT"/>
    </w:rPr>
  </w:style>
  <w:style w:type="character" w:customStyle="1" w:styleId="y2iqfc">
    <w:name w:val="y2iqfc"/>
    <w:basedOn w:val="Numatytasispastraiposriftas"/>
    <w:rsid w:val="003D3228"/>
  </w:style>
  <w:style w:type="paragraph" w:customStyle="1" w:styleId="Tekstas">
    <w:name w:val="Tekstas"/>
    <w:basedOn w:val="prastasis"/>
    <w:link w:val="TekstasChar"/>
    <w:qFormat/>
    <w:rsid w:val="003D3228"/>
    <w:pPr>
      <w:spacing w:after="120"/>
      <w:jc w:val="both"/>
    </w:pPr>
    <w:rPr>
      <w:lang w:eastAsia="lt-LT"/>
    </w:rPr>
  </w:style>
  <w:style w:type="paragraph" w:styleId="Antrat">
    <w:name w:val="caption"/>
    <w:aliases w:val="Tables and Figures,NICE Caption,- H17,Caption 3,TableCaption,Table caption,Char1,c,fig cadre,Caption Char Char,Caption Char Char Char Char,fig cadre Char2,Caption Char2,fig cadre Char Char,Char,SMC Caption,AW Caption,IB Caption,Medical Caption"/>
    <w:basedOn w:val="prastasis"/>
    <w:next w:val="prastasis"/>
    <w:link w:val="AntratDiagrama"/>
    <w:unhideWhenUsed/>
    <w:qFormat/>
    <w:rsid w:val="003D3228"/>
    <w:pPr>
      <w:keepNext/>
      <w:spacing w:after="60"/>
      <w:jc w:val="both"/>
    </w:pPr>
    <w:rPr>
      <w:bCs/>
      <w:color w:val="2F5496" w:themeColor="accent1" w:themeShade="BF"/>
      <w:sz w:val="23"/>
      <w:szCs w:val="18"/>
      <w:lang w:eastAsia="lt-LT"/>
    </w:rPr>
  </w:style>
  <w:style w:type="character" w:customStyle="1" w:styleId="AntratDiagrama">
    <w:name w:val="Antraštė Diagrama"/>
    <w:aliases w:val="Tables and Figures Diagrama,NICE Caption Diagrama,- H17 Diagrama,Caption 3 Diagrama,TableCaption Diagrama,Table caption Diagrama,Char1 Diagrama,c Diagrama,fig cadre Diagrama,Caption Char Char Diagrama,fig cadre Char2 Diagrama"/>
    <w:basedOn w:val="Numatytasispastraiposriftas"/>
    <w:link w:val="Antrat"/>
    <w:rsid w:val="003D3228"/>
    <w:rPr>
      <w:rFonts w:ascii="Times New Roman" w:eastAsia="Times New Roman" w:hAnsi="Times New Roman" w:cs="Times New Roman"/>
      <w:bCs/>
      <w:color w:val="2F5496" w:themeColor="accent1" w:themeShade="BF"/>
      <w:sz w:val="23"/>
      <w:szCs w:val="18"/>
      <w:lang w:val="lt-LT" w:eastAsia="lt-LT"/>
    </w:rPr>
  </w:style>
  <w:style w:type="paragraph" w:customStyle="1" w:styleId="VVKT">
    <w:name w:val="VVKT"/>
    <w:link w:val="VVKTChar"/>
    <w:qFormat/>
    <w:rsid w:val="003D3228"/>
    <w:pPr>
      <w:widowControl w:val="0"/>
      <w:spacing w:after="60" w:line="276" w:lineRule="auto"/>
      <w:ind w:firstLine="576"/>
    </w:pPr>
    <w:rPr>
      <w:rFonts w:ascii="Times New Roman" w:eastAsia="Times New Roman" w:hAnsi="Times New Roman" w:cs="Times New Roman"/>
      <w:szCs w:val="20"/>
      <w:lang w:val="lt-LT"/>
    </w:rPr>
  </w:style>
  <w:style w:type="character" w:customStyle="1" w:styleId="VVKTChar">
    <w:name w:val="VVKT Char"/>
    <w:link w:val="VVKT"/>
    <w:rsid w:val="003D3228"/>
    <w:rPr>
      <w:rFonts w:ascii="Times New Roman" w:eastAsia="Times New Roman" w:hAnsi="Times New Roman" w:cs="Times New Roman"/>
      <w:szCs w:val="20"/>
      <w:lang w:val="lt-LT"/>
    </w:rPr>
  </w:style>
  <w:style w:type="character" w:styleId="Vietosrezervavimoenklotekstas">
    <w:name w:val="Placeholder Text"/>
    <w:basedOn w:val="Numatytasispastraiposriftas"/>
    <w:uiPriority w:val="99"/>
    <w:rsid w:val="00685CA7"/>
    <w:rPr>
      <w:color w:val="808080"/>
    </w:rPr>
  </w:style>
  <w:style w:type="character" w:styleId="Komentaronuoroda">
    <w:name w:val="annotation reference"/>
    <w:basedOn w:val="Numatytasispastraiposriftas"/>
    <w:semiHidden/>
    <w:unhideWhenUsed/>
    <w:rsid w:val="007A4532"/>
    <w:rPr>
      <w:sz w:val="16"/>
      <w:szCs w:val="16"/>
    </w:rPr>
  </w:style>
  <w:style w:type="paragraph" w:styleId="Komentarotekstas">
    <w:name w:val="annotation text"/>
    <w:basedOn w:val="prastasis"/>
    <w:link w:val="KomentarotekstasDiagrama"/>
    <w:semiHidden/>
    <w:unhideWhenUsed/>
    <w:rsid w:val="007A4532"/>
    <w:rPr>
      <w:sz w:val="20"/>
      <w:szCs w:val="20"/>
    </w:rPr>
  </w:style>
  <w:style w:type="character" w:customStyle="1" w:styleId="KomentarotekstasDiagrama">
    <w:name w:val="Komentaro tekstas Diagrama"/>
    <w:basedOn w:val="Numatytasispastraiposriftas"/>
    <w:link w:val="Komentarotekstas"/>
    <w:semiHidden/>
    <w:rsid w:val="007A4532"/>
    <w:rPr>
      <w:rFonts w:ascii="Times New Roman" w:eastAsia="Times New Roman" w:hAnsi="Times New Roman" w:cs="Times New Roman"/>
      <w:sz w:val="20"/>
      <w:szCs w:val="20"/>
      <w:lang w:val="lt-LT" w:eastAsia="en-GB"/>
    </w:rPr>
  </w:style>
  <w:style w:type="paragraph" w:styleId="Komentarotema">
    <w:name w:val="annotation subject"/>
    <w:basedOn w:val="Komentarotekstas"/>
    <w:next w:val="Komentarotekstas"/>
    <w:link w:val="KomentarotemaDiagrama"/>
    <w:uiPriority w:val="99"/>
    <w:semiHidden/>
    <w:unhideWhenUsed/>
    <w:rsid w:val="007A4532"/>
    <w:rPr>
      <w:b/>
      <w:bCs/>
    </w:rPr>
  </w:style>
  <w:style w:type="character" w:customStyle="1" w:styleId="KomentarotemaDiagrama">
    <w:name w:val="Komentaro tema Diagrama"/>
    <w:basedOn w:val="KomentarotekstasDiagrama"/>
    <w:link w:val="Komentarotema"/>
    <w:uiPriority w:val="99"/>
    <w:semiHidden/>
    <w:rsid w:val="007A4532"/>
    <w:rPr>
      <w:rFonts w:ascii="Times New Roman" w:eastAsia="Times New Roman" w:hAnsi="Times New Roman" w:cs="Times New Roman"/>
      <w:b/>
      <w:bCs/>
      <w:sz w:val="20"/>
      <w:szCs w:val="20"/>
      <w:lang w:val="lt-LT" w:eastAsia="en-GB"/>
    </w:rPr>
  </w:style>
  <w:style w:type="paragraph" w:styleId="Debesliotekstas">
    <w:name w:val="Balloon Text"/>
    <w:basedOn w:val="prastasis"/>
    <w:link w:val="DebesliotekstasDiagrama"/>
    <w:semiHidden/>
    <w:unhideWhenUsed/>
    <w:rsid w:val="002953FC"/>
    <w:rPr>
      <w:sz w:val="18"/>
      <w:szCs w:val="18"/>
    </w:rPr>
  </w:style>
  <w:style w:type="character" w:customStyle="1" w:styleId="DebesliotekstasDiagrama">
    <w:name w:val="Debesėlio tekstas Diagrama"/>
    <w:basedOn w:val="Numatytasispastraiposriftas"/>
    <w:link w:val="Debesliotekstas"/>
    <w:semiHidden/>
    <w:rsid w:val="002953FC"/>
    <w:rPr>
      <w:rFonts w:ascii="Times New Roman" w:eastAsia="Times New Roman" w:hAnsi="Times New Roman" w:cs="Times New Roman"/>
      <w:sz w:val="18"/>
      <w:szCs w:val="18"/>
      <w:lang w:val="lt-LT" w:eastAsia="en-GB"/>
    </w:rPr>
  </w:style>
  <w:style w:type="character" w:customStyle="1" w:styleId="TekstasChar">
    <w:name w:val="Tekstas Char"/>
    <w:link w:val="Tekstas"/>
    <w:rsid w:val="00024176"/>
    <w:rPr>
      <w:rFonts w:ascii="Times New Roman" w:eastAsia="Times New Roman" w:hAnsi="Times New Roman" w:cs="Times New Roman"/>
      <w:lang w:val="lt-LT" w:eastAsia="lt-LT"/>
    </w:rPr>
  </w:style>
  <w:style w:type="paragraph" w:styleId="Betarp">
    <w:name w:val="No Spacing"/>
    <w:uiPriority w:val="1"/>
    <w:qFormat/>
    <w:rsid w:val="00EB41DB"/>
    <w:rPr>
      <w:rFonts w:ascii="Calibri" w:eastAsia="Calibri" w:hAnsi="Calibri" w:cs="Times New Roman"/>
      <w:sz w:val="22"/>
      <w:szCs w:val="22"/>
      <w:lang w:val="lt-LT"/>
    </w:rPr>
  </w:style>
  <w:style w:type="character" w:styleId="Hipersaitas">
    <w:name w:val="Hyperlink"/>
    <w:basedOn w:val="Numatytasispastraiposriftas"/>
    <w:semiHidden/>
    <w:unhideWhenUsed/>
    <w:rsid w:val="00A66625"/>
    <w:rPr>
      <w:color w:val="0563C1" w:themeColor="hyperlink"/>
      <w:u w:val="single"/>
    </w:rPr>
  </w:style>
  <w:style w:type="character" w:customStyle="1" w:styleId="ProtokoluiChar">
    <w:name w:val="Protokolui Char"/>
    <w:link w:val="Protokolui"/>
    <w:locked/>
    <w:rsid w:val="00F00504"/>
    <w:rPr>
      <w:lang w:val="x-none"/>
    </w:rPr>
  </w:style>
  <w:style w:type="paragraph" w:customStyle="1" w:styleId="Protokolui">
    <w:name w:val="Protokolui"/>
    <w:basedOn w:val="Pagrindinistekstas"/>
    <w:link w:val="ProtokoluiChar"/>
    <w:qFormat/>
    <w:rsid w:val="00F00504"/>
    <w:pPr>
      <w:spacing w:after="0"/>
      <w:ind w:firstLine="432"/>
      <w:jc w:val="both"/>
    </w:pPr>
    <w:rPr>
      <w:rFonts w:asciiTheme="minorHAnsi" w:eastAsiaTheme="minorHAnsi" w:hAnsiTheme="minorHAnsi" w:cstheme="minorBidi"/>
      <w:lang w:val="x-none" w:eastAsia="en-US"/>
    </w:rPr>
  </w:style>
  <w:style w:type="paragraph" w:styleId="Pagrindinistekstas">
    <w:name w:val="Body Text"/>
    <w:basedOn w:val="prastasis"/>
    <w:link w:val="PagrindinistekstasDiagrama"/>
    <w:uiPriority w:val="99"/>
    <w:semiHidden/>
    <w:unhideWhenUsed/>
    <w:rsid w:val="00F00504"/>
    <w:pPr>
      <w:spacing w:after="120"/>
    </w:pPr>
  </w:style>
  <w:style w:type="character" w:customStyle="1" w:styleId="PagrindinistekstasDiagrama">
    <w:name w:val="Pagrindinis tekstas Diagrama"/>
    <w:basedOn w:val="Numatytasispastraiposriftas"/>
    <w:link w:val="Pagrindinistekstas"/>
    <w:uiPriority w:val="99"/>
    <w:semiHidden/>
    <w:rsid w:val="00F00504"/>
    <w:rPr>
      <w:rFonts w:ascii="Times New Roman" w:eastAsia="Times New Roman" w:hAnsi="Times New Roman" w:cs="Times New Roman"/>
      <w:lang w:val="lt-LT" w:eastAsia="en-GB"/>
    </w:rPr>
  </w:style>
  <w:style w:type="paragraph" w:styleId="Pataisymai">
    <w:name w:val="Revision"/>
    <w:hidden/>
    <w:uiPriority w:val="99"/>
    <w:semiHidden/>
    <w:rsid w:val="00D36AA9"/>
    <w:rPr>
      <w:rFonts w:ascii="Times New Roman" w:eastAsia="Times New Roman" w:hAnsi="Times New Roman" w:cs="Times New Roman"/>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857285">
      <w:bodyDiv w:val="1"/>
      <w:marLeft w:val="0"/>
      <w:marRight w:val="0"/>
      <w:marTop w:val="0"/>
      <w:marBottom w:val="0"/>
      <w:divBdr>
        <w:top w:val="none" w:sz="0" w:space="0" w:color="auto"/>
        <w:left w:val="none" w:sz="0" w:space="0" w:color="auto"/>
        <w:bottom w:val="none" w:sz="0" w:space="0" w:color="auto"/>
        <w:right w:val="none" w:sz="0" w:space="0" w:color="auto"/>
      </w:divBdr>
    </w:div>
    <w:div w:id="11229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355D214E9345DDBDE692AF00F60F32"/>
        <w:category>
          <w:name w:val="General"/>
          <w:gallery w:val="placeholder"/>
        </w:category>
        <w:types>
          <w:type w:val="bbPlcHdr"/>
        </w:types>
        <w:behaviors>
          <w:behavior w:val="content"/>
        </w:behaviors>
        <w:guid w:val="{5BBAB363-8876-42B6-8B22-802255411FBC}"/>
      </w:docPartPr>
      <w:docPartBody>
        <w:p w:rsidR="00081D5E" w:rsidRDefault="000E1E9F" w:rsidP="000E1E9F">
          <w:pPr>
            <w:pStyle w:val="CA355D214E9345DDBDE692AF00F60F32"/>
          </w:pPr>
          <w:r>
            <w:rPr>
              <w:rStyle w:val="Vietosrezervavimoenklotekstas"/>
            </w:rPr>
            <w:t>Click here to enter a date.</w:t>
          </w:r>
        </w:p>
      </w:docPartBody>
    </w:docPart>
    <w:docPart>
      <w:docPartPr>
        <w:name w:val="4D9B6DC16D599B41AE47CB99E74F8409"/>
        <w:category>
          <w:name w:val="General"/>
          <w:gallery w:val="placeholder"/>
        </w:category>
        <w:types>
          <w:type w:val="bbPlcHdr"/>
        </w:types>
        <w:behaviors>
          <w:behavior w:val="content"/>
        </w:behaviors>
        <w:guid w:val="{445A460B-5CF9-C748-9826-EF0FF80F8286}"/>
      </w:docPartPr>
      <w:docPartBody>
        <w:p w:rsidR="0041629E" w:rsidRDefault="00081D5E" w:rsidP="00081D5E">
          <w:pPr>
            <w:pStyle w:val="4D9B6DC16D599B41AE47CB99E74F8409"/>
          </w:pPr>
          <w:r>
            <w:rPr>
              <w:rStyle w:val="Vietosrezervavimoenklotekstas"/>
            </w:rPr>
            <w:t>Click here to enter a date.</w:t>
          </w:r>
        </w:p>
      </w:docPartBody>
    </w:docPart>
    <w:docPart>
      <w:docPartPr>
        <w:name w:val="2F0B05BA1F98864EBECED08317C817A7"/>
        <w:category>
          <w:name w:val="General"/>
          <w:gallery w:val="placeholder"/>
        </w:category>
        <w:types>
          <w:type w:val="bbPlcHdr"/>
        </w:types>
        <w:behaviors>
          <w:behavior w:val="content"/>
        </w:behaviors>
        <w:guid w:val="{1EE84044-EE06-D14A-9FD6-6A5594A0DB38}"/>
      </w:docPartPr>
      <w:docPartBody>
        <w:p w:rsidR="0041629E" w:rsidRDefault="00081D5E" w:rsidP="00081D5E">
          <w:pPr>
            <w:pStyle w:val="2F0B05BA1F98864EBECED08317C817A7"/>
          </w:pPr>
          <w:r>
            <w:rPr>
              <w:rStyle w:val="Vietosrezervavimoenklotekstas"/>
            </w:rPr>
            <w:t>Click here to enter a date.</w:t>
          </w:r>
        </w:p>
      </w:docPartBody>
    </w:docPart>
    <w:docPart>
      <w:docPartPr>
        <w:name w:val="434100A03B64954CB36521747C10BE53"/>
        <w:category>
          <w:name w:val="General"/>
          <w:gallery w:val="placeholder"/>
        </w:category>
        <w:types>
          <w:type w:val="bbPlcHdr"/>
        </w:types>
        <w:behaviors>
          <w:behavior w:val="content"/>
        </w:behaviors>
        <w:guid w:val="{759CCA6A-8F67-BA46-AB39-922FF7331714}"/>
      </w:docPartPr>
      <w:docPartBody>
        <w:p w:rsidR="0041629E" w:rsidRDefault="00081D5E" w:rsidP="00081D5E">
          <w:pPr>
            <w:pStyle w:val="434100A03B64954CB36521747C10BE53"/>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Arial"/>
    <w:panose1 w:val="00000000000000000000"/>
    <w:charset w:val="80"/>
    <w:family w:val="auto"/>
    <w:notTrueType/>
    <w:pitch w:val="default"/>
    <w:sig w:usb0="00000000" w:usb1="08070000" w:usb2="00000010" w:usb3="00000000" w:csb0="00020003"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67"/>
    <w:rsid w:val="00081D5E"/>
    <w:rsid w:val="000E1E9F"/>
    <w:rsid w:val="000E2767"/>
    <w:rsid w:val="001526E2"/>
    <w:rsid w:val="001E1A88"/>
    <w:rsid w:val="00231847"/>
    <w:rsid w:val="002A5D0D"/>
    <w:rsid w:val="003A666A"/>
    <w:rsid w:val="0041629E"/>
    <w:rsid w:val="004A48F1"/>
    <w:rsid w:val="004F0A9C"/>
    <w:rsid w:val="00580E0B"/>
    <w:rsid w:val="005B433E"/>
    <w:rsid w:val="00735F3E"/>
    <w:rsid w:val="00754376"/>
    <w:rsid w:val="00782AD8"/>
    <w:rsid w:val="007C0F71"/>
    <w:rsid w:val="008E12F4"/>
    <w:rsid w:val="009054FE"/>
    <w:rsid w:val="00AE36F2"/>
    <w:rsid w:val="00B14550"/>
    <w:rsid w:val="00B4070C"/>
    <w:rsid w:val="00B505A9"/>
    <w:rsid w:val="00B719F0"/>
    <w:rsid w:val="00C37843"/>
    <w:rsid w:val="00C62254"/>
    <w:rsid w:val="00CB60CD"/>
    <w:rsid w:val="00CE2E9B"/>
    <w:rsid w:val="00DA44FD"/>
    <w:rsid w:val="00E170C8"/>
    <w:rsid w:val="00E34660"/>
    <w:rsid w:val="00EA6A93"/>
    <w:rsid w:val="00F20544"/>
    <w:rsid w:val="00FD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81D5E"/>
    <w:rPr>
      <w:color w:val="808080"/>
    </w:rPr>
  </w:style>
  <w:style w:type="paragraph" w:customStyle="1" w:styleId="4D9B6DC16D599B41AE47CB99E74F8409">
    <w:name w:val="4D9B6DC16D599B41AE47CB99E74F8409"/>
    <w:rsid w:val="00081D5E"/>
    <w:rPr>
      <w:lang w:eastAsia="en-GB"/>
    </w:rPr>
  </w:style>
  <w:style w:type="paragraph" w:customStyle="1" w:styleId="2F0B05BA1F98864EBECED08317C817A7">
    <w:name w:val="2F0B05BA1F98864EBECED08317C817A7"/>
    <w:rsid w:val="00081D5E"/>
    <w:rPr>
      <w:lang w:eastAsia="en-GB"/>
    </w:rPr>
  </w:style>
  <w:style w:type="paragraph" w:customStyle="1" w:styleId="434100A03B64954CB36521747C10BE53">
    <w:name w:val="434100A03B64954CB36521747C10BE53"/>
    <w:rsid w:val="00081D5E"/>
    <w:rPr>
      <w:lang w:eastAsia="en-GB"/>
    </w:rPr>
  </w:style>
  <w:style w:type="paragraph" w:customStyle="1" w:styleId="CA355D214E9345DDBDE692AF00F60F32">
    <w:name w:val="CA355D214E9345DDBDE692AF00F60F32"/>
    <w:rsid w:val="000E1E9F"/>
    <w:pPr>
      <w:spacing w:after="160" w:line="259" w:lineRule="auto"/>
    </w:pPr>
    <w:rPr>
      <w:sz w:val="22"/>
      <w:szCs w:val="22"/>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11578</Words>
  <Characters>6600</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2024-09-30T14:06:00Z</dcterms:created>
  <dcterms:modified xsi:type="dcterms:W3CDTF">2024-10-07T12:15:00Z</dcterms:modified>
</cp:coreProperties>
</file>