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40DAF4F9" w14:textId="77777777" w:rsidR="00B96F61" w:rsidRPr="00D05364" w:rsidRDefault="00B96F61" w:rsidP="00B96F61">
      <w:pPr>
        <w:spacing w:line="280" w:lineRule="atLeast"/>
        <w:jc w:val="center"/>
        <w:rPr>
          <w:rFonts w:eastAsia="Arial"/>
          <w:color w:val="000000"/>
        </w:rPr>
      </w:pPr>
    </w:p>
    <w:p w14:paraId="2AF4C5AE" w14:textId="4139BA88" w:rsidR="00B96F61" w:rsidRPr="00D05364" w:rsidRDefault="00B96F61" w:rsidP="00B96F61">
      <w:pPr>
        <w:jc w:val="center"/>
        <w:rPr>
          <w:b/>
        </w:rPr>
      </w:pPr>
      <w:proofErr w:type="spellStart"/>
      <w:r w:rsidRPr="006A1E4A">
        <w:rPr>
          <w:b/>
        </w:rPr>
        <w:t>I</w:t>
      </w:r>
      <w:r>
        <w:rPr>
          <w:b/>
        </w:rPr>
        <w:t>brance</w:t>
      </w:r>
      <w:proofErr w:type="spellEnd"/>
      <w:r>
        <w:rPr>
          <w:b/>
        </w:rPr>
        <w:t xml:space="preserve"> 75/100/125 mg </w:t>
      </w:r>
      <w:r w:rsidRPr="00504ADD">
        <w:rPr>
          <w:b/>
        </w:rPr>
        <w:t>plėvele</w:t>
      </w:r>
      <w:r>
        <w:rPr>
          <w:b/>
        </w:rPr>
        <w:t xml:space="preserve"> </w:t>
      </w:r>
      <w:r w:rsidRPr="00504ADD">
        <w:rPr>
          <w:b/>
        </w:rPr>
        <w:t>dengtos</w:t>
      </w:r>
      <w:r>
        <w:rPr>
          <w:b/>
        </w:rPr>
        <w:t xml:space="preserve"> </w:t>
      </w:r>
      <w:r w:rsidRPr="00504ADD">
        <w:rPr>
          <w:b/>
        </w:rPr>
        <w:t>tabletės</w:t>
      </w:r>
      <w:r w:rsidRPr="006A1E4A">
        <w:rPr>
          <w:b/>
        </w:rPr>
        <w:t xml:space="preserve"> </w:t>
      </w:r>
    </w:p>
    <w:p w14:paraId="0B507A28" w14:textId="77777777" w:rsidR="00B96F61" w:rsidRPr="00D05364" w:rsidRDefault="00B96F61" w:rsidP="00B96F61">
      <w:pPr>
        <w:jc w:val="center"/>
      </w:pPr>
    </w:p>
    <w:p w14:paraId="296B111F" w14:textId="77777777" w:rsidR="00B96F61" w:rsidRPr="00D05364" w:rsidRDefault="00B96F61" w:rsidP="00B96F61">
      <w:pPr>
        <w:jc w:val="center"/>
      </w:pPr>
      <w:r w:rsidRPr="00D05364">
        <w:t>(</w:t>
      </w:r>
      <w:proofErr w:type="spellStart"/>
      <w:r w:rsidRPr="00504ADD">
        <w:rPr>
          <w:b/>
        </w:rPr>
        <w:t>Palbociklibas</w:t>
      </w:r>
      <w:proofErr w:type="spellEnd"/>
      <w:r w:rsidRPr="00D05364">
        <w:t>)</w:t>
      </w:r>
    </w:p>
    <w:p w14:paraId="0B7C9BC5" w14:textId="77777777" w:rsidR="00B96F61" w:rsidRPr="00D05364" w:rsidRDefault="00B96F61" w:rsidP="00B96F61">
      <w:pPr>
        <w:jc w:val="center"/>
      </w:pPr>
    </w:p>
    <w:p w14:paraId="46708F4F" w14:textId="77777777" w:rsidR="00B96F61" w:rsidRPr="00D05364" w:rsidRDefault="00B96F61" w:rsidP="00B96F61">
      <w:pPr>
        <w:jc w:val="center"/>
        <w:rPr>
          <w:b/>
        </w:rPr>
      </w:pPr>
      <w:r>
        <w:rPr>
          <w:b/>
        </w:rPr>
        <w:t>STV-172</w:t>
      </w:r>
    </w:p>
    <w:p w14:paraId="6736B31F" w14:textId="77777777" w:rsidR="00B96F61" w:rsidRPr="00D05364" w:rsidRDefault="00B96F61" w:rsidP="00B96F61">
      <w:pPr>
        <w:spacing w:line="280" w:lineRule="atLeast"/>
        <w:rPr>
          <w:rFonts w:eastAsia="Arial"/>
        </w:rPr>
      </w:pPr>
    </w:p>
    <w:p w14:paraId="5BC2EA5D" w14:textId="38BE1C3A" w:rsidR="00937907" w:rsidRDefault="00B96F61" w:rsidP="00B96F61">
      <w:pPr>
        <w:tabs>
          <w:tab w:val="left" w:pos="284"/>
        </w:tabs>
        <w:spacing w:line="280" w:lineRule="atLeast"/>
        <w:jc w:val="center"/>
        <w:rPr>
          <w:rFonts w:eastAsia="Arial"/>
          <w:b/>
        </w:rPr>
      </w:pPr>
      <w:r w:rsidRPr="00D05364">
        <w:rPr>
          <w:rFonts w:eastAsia="Arial"/>
          <w:b/>
        </w:rPr>
        <w:t>I. BENDROJI DALIS</w:t>
      </w:r>
    </w:p>
    <w:p w14:paraId="6F7A854E" w14:textId="77777777" w:rsidR="00B96F61" w:rsidRPr="00B96F61" w:rsidRDefault="00B96F61" w:rsidP="00B96F61">
      <w:pPr>
        <w:tabs>
          <w:tab w:val="left" w:pos="284"/>
        </w:tabs>
        <w:spacing w:line="280" w:lineRule="atLeast"/>
        <w:jc w:val="center"/>
        <w:rPr>
          <w:rFonts w:eastAsia="Arial"/>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96F61" w:rsidRPr="00E33EFF" w14:paraId="18A83EC2" w14:textId="77777777" w:rsidTr="00BE7489">
        <w:trPr>
          <w:trHeight w:val="538"/>
        </w:trPr>
        <w:tc>
          <w:tcPr>
            <w:tcW w:w="632" w:type="dxa"/>
          </w:tcPr>
          <w:p w14:paraId="0646FBEA" w14:textId="77777777" w:rsidR="00B96F61" w:rsidRPr="00E33EFF" w:rsidRDefault="00B96F61" w:rsidP="00B96F61">
            <w:pPr>
              <w:rPr>
                <w:rFonts w:eastAsia="Arial"/>
              </w:rPr>
            </w:pPr>
            <w:r w:rsidRPr="00E33EFF">
              <w:rPr>
                <w:rFonts w:eastAsia="Arial"/>
              </w:rPr>
              <w:t>1.1</w:t>
            </w:r>
          </w:p>
        </w:tc>
        <w:tc>
          <w:tcPr>
            <w:tcW w:w="3694" w:type="dxa"/>
          </w:tcPr>
          <w:p w14:paraId="6C3AE864" w14:textId="77777777" w:rsidR="00B96F61" w:rsidRPr="00E33EFF" w:rsidRDefault="00B96F61" w:rsidP="00B96F61">
            <w:pPr>
              <w:rPr>
                <w:rFonts w:eastAsia="Arial"/>
              </w:rPr>
            </w:pPr>
            <w:r w:rsidRPr="00E33EFF">
              <w:rPr>
                <w:rFonts w:eastAsia="Arial"/>
              </w:rPr>
              <w:t>Pareiškėjas</w:t>
            </w:r>
          </w:p>
          <w:p w14:paraId="2AF240DC" w14:textId="77777777" w:rsidR="00B96F61" w:rsidRPr="00E33EFF" w:rsidRDefault="00B96F61" w:rsidP="00B96F61">
            <w:pPr>
              <w:rPr>
                <w:rFonts w:eastAsia="Arial"/>
              </w:rPr>
            </w:pPr>
          </w:p>
        </w:tc>
        <w:tc>
          <w:tcPr>
            <w:tcW w:w="5167" w:type="dxa"/>
          </w:tcPr>
          <w:p w14:paraId="2AAF0D91" w14:textId="78522081" w:rsidR="00B96F61" w:rsidRPr="00E33EFF" w:rsidRDefault="00B96F61" w:rsidP="00B96F61">
            <w:pPr>
              <w:rPr>
                <w:rFonts w:eastAsia="Arial"/>
              </w:rPr>
            </w:pPr>
            <w:r w:rsidRPr="004F7814">
              <w:t xml:space="preserve">Pfizer </w:t>
            </w:r>
            <w:proofErr w:type="spellStart"/>
            <w:r w:rsidRPr="004F7814">
              <w:t>Luxembourg</w:t>
            </w:r>
            <w:proofErr w:type="spellEnd"/>
            <w:r w:rsidRPr="004F7814">
              <w:t xml:space="preserve"> </w:t>
            </w:r>
          </w:p>
        </w:tc>
      </w:tr>
      <w:tr w:rsidR="00B96F61" w:rsidRPr="00E33EFF" w14:paraId="31998B0D" w14:textId="77777777" w:rsidTr="00BE7489">
        <w:trPr>
          <w:trHeight w:val="538"/>
        </w:trPr>
        <w:tc>
          <w:tcPr>
            <w:tcW w:w="632" w:type="dxa"/>
          </w:tcPr>
          <w:p w14:paraId="2005EC67" w14:textId="662300D0" w:rsidR="00B96F61" w:rsidRPr="00E33EFF" w:rsidRDefault="00B96F61" w:rsidP="00B96F61">
            <w:pPr>
              <w:rPr>
                <w:rFonts w:eastAsia="Arial"/>
              </w:rPr>
            </w:pPr>
            <w:r w:rsidRPr="00E33EFF">
              <w:rPr>
                <w:rFonts w:eastAsia="Arial"/>
              </w:rPr>
              <w:t>1.2</w:t>
            </w:r>
          </w:p>
        </w:tc>
        <w:tc>
          <w:tcPr>
            <w:tcW w:w="3694" w:type="dxa"/>
          </w:tcPr>
          <w:p w14:paraId="1E4AE3B1" w14:textId="77777777" w:rsidR="00B96F61" w:rsidRPr="00E33EFF" w:rsidRDefault="00B96F61" w:rsidP="00B96F61">
            <w:pPr>
              <w:rPr>
                <w:bCs/>
                <w:color w:val="000000"/>
                <w:lang w:eastAsia="lt-LT"/>
              </w:rPr>
            </w:pPr>
            <w:r w:rsidRPr="00E33EFF">
              <w:rPr>
                <w:bCs/>
                <w:color w:val="000000"/>
                <w:lang w:eastAsia="lt-LT"/>
              </w:rPr>
              <w:t xml:space="preserve">Registracijos data </w:t>
            </w:r>
          </w:p>
          <w:p w14:paraId="3A0DC096" w14:textId="77777777" w:rsidR="00B96F61" w:rsidRPr="00E33EFF" w:rsidRDefault="00B96F61" w:rsidP="00B96F61">
            <w:pPr>
              <w:rPr>
                <w:bCs/>
                <w:color w:val="000000"/>
                <w:lang w:eastAsia="lt-LT"/>
              </w:rPr>
            </w:pPr>
          </w:p>
        </w:tc>
        <w:tc>
          <w:tcPr>
            <w:tcW w:w="5167" w:type="dxa"/>
          </w:tcPr>
          <w:p w14:paraId="3CA218AD" w14:textId="3D19F841" w:rsidR="00B96F61" w:rsidRPr="00B96F61" w:rsidRDefault="00B96F61" w:rsidP="00B96F61">
            <w:pPr>
              <w:rPr>
                <w:rStyle w:val="Style2"/>
                <w:sz w:val="24"/>
              </w:rPr>
            </w:pPr>
            <w:r w:rsidRPr="00B96F61">
              <w:rPr>
                <w:rStyle w:val="Style2"/>
                <w:sz w:val="24"/>
              </w:rPr>
              <w:t>2016-11-09</w:t>
            </w:r>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5222FBE2"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29C2CBBB" w14:textId="0FFF392C" w:rsidR="00B13D65" w:rsidRPr="00B96F61"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lastRenderedPageBreak/>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508D896A" w14:textId="77777777" w:rsidR="00B96F61" w:rsidRPr="00D05364" w:rsidRDefault="00B96F61" w:rsidP="00B96F61">
            <w:pPr>
              <w:spacing w:after="120"/>
              <w:jc w:val="both"/>
            </w:pPr>
            <w:r w:rsidRPr="000660C6">
              <w:t xml:space="preserve">IBRANCE skirtas lokaliai progresavusiam arba </w:t>
            </w:r>
            <w:proofErr w:type="spellStart"/>
            <w:r w:rsidRPr="000660C6">
              <w:t>metastazavusiam</w:t>
            </w:r>
            <w:proofErr w:type="spellEnd"/>
            <w:r w:rsidRPr="000660C6">
              <w:t xml:space="preserve"> krūties vėžiui gydyti, kuriame yra</w:t>
            </w:r>
            <w:r>
              <w:t xml:space="preserve"> </w:t>
            </w:r>
            <w:r w:rsidRPr="000660C6">
              <w:t>hormonų receptorių (HR), o žmogaus epidermio augimo faktoriaus 2-ojo tipo receptorių (HER2)</w:t>
            </w:r>
            <w:r>
              <w:t xml:space="preserve"> </w:t>
            </w:r>
            <w:r w:rsidRPr="000660C6">
              <w:t xml:space="preserve">rodmuo neigiamas, vaisto skiriant kartu su </w:t>
            </w:r>
            <w:proofErr w:type="spellStart"/>
            <w:r w:rsidRPr="000660C6">
              <w:t>aromatazės</w:t>
            </w:r>
            <w:proofErr w:type="spellEnd"/>
            <w:r w:rsidRPr="000660C6">
              <w:t xml:space="preserve"> inhibitoriumi.</w:t>
            </w:r>
            <w:r>
              <w:t xml:space="preserve"> </w:t>
            </w:r>
            <w:r w:rsidRPr="000660C6">
              <w:t xml:space="preserve">Moterims, kurioms prasidėjusi </w:t>
            </w:r>
            <w:proofErr w:type="spellStart"/>
            <w:r w:rsidRPr="000660C6">
              <w:t>premenopauzė</w:t>
            </w:r>
            <w:proofErr w:type="spellEnd"/>
            <w:r w:rsidRPr="000660C6">
              <w:t xml:space="preserve"> arba </w:t>
            </w:r>
            <w:proofErr w:type="spellStart"/>
            <w:r w:rsidRPr="000660C6">
              <w:t>perimenopauzė</w:t>
            </w:r>
            <w:proofErr w:type="spellEnd"/>
            <w:r w:rsidRPr="000660C6">
              <w:t>, endokrininę terapiją reikia derinti</w:t>
            </w:r>
            <w:r>
              <w:t xml:space="preserve"> </w:t>
            </w:r>
            <w:r w:rsidRPr="000660C6">
              <w:t xml:space="preserve">su </w:t>
            </w:r>
            <w:proofErr w:type="spellStart"/>
            <w:r w:rsidRPr="000660C6">
              <w:t>luteinizuojančio</w:t>
            </w:r>
            <w:proofErr w:type="spellEnd"/>
            <w:r w:rsidRPr="000660C6">
              <w:t xml:space="preserve"> hormono išsiskyrimą stimuliuojančio hormono (LHAH) </w:t>
            </w:r>
            <w:proofErr w:type="spellStart"/>
            <w:r w:rsidRPr="000660C6">
              <w:t>agonistu</w:t>
            </w:r>
            <w:proofErr w:type="spellEnd"/>
            <w:r w:rsidRPr="000660C6">
              <w:t>.</w:t>
            </w:r>
          </w:p>
          <w:p w14:paraId="13F7DFB0" w14:textId="60DD86BD" w:rsidR="00B13D65" w:rsidRPr="00E33EFF" w:rsidRDefault="00B96F61" w:rsidP="00B96F61">
            <w:pPr>
              <w:pStyle w:val="Sraopastraipa"/>
              <w:spacing w:after="120" w:line="276" w:lineRule="auto"/>
              <w:ind w:left="0"/>
              <w:contextualSpacing w:val="0"/>
              <w:jc w:val="both"/>
            </w:pPr>
            <w:r>
              <w:t>TLK-</w:t>
            </w:r>
            <w:r>
              <w:rPr>
                <w:lang w:val="en-US"/>
              </w:rPr>
              <w:t>10 AM: C50</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20FF76D0" w14:textId="77777777" w:rsidR="00B96F61" w:rsidRDefault="00B96F61" w:rsidP="00824B92">
            <w:pPr>
              <w:rPr>
                <w:bCs/>
                <w:color w:val="000000"/>
                <w:lang w:eastAsia="lt-LT"/>
              </w:rPr>
            </w:pPr>
          </w:p>
          <w:p w14:paraId="1F7BF92F" w14:textId="1810A9D9" w:rsidR="007C7519" w:rsidRDefault="007C7519" w:rsidP="00824B92">
            <w:pPr>
              <w:rPr>
                <w:bCs/>
                <w:i/>
                <w:color w:val="000000"/>
                <w:lang w:eastAsia="lt-LT"/>
              </w:rPr>
            </w:pPr>
            <w:r w:rsidRPr="007C7519">
              <w:rPr>
                <w:bCs/>
                <w:i/>
                <w:color w:val="000000"/>
                <w:lang w:eastAsia="lt-LT"/>
              </w:rPr>
              <w:t>Tiesioginis</w:t>
            </w:r>
          </w:p>
          <w:p w14:paraId="2E04AFA2" w14:textId="77777777" w:rsidR="00B96F61" w:rsidRDefault="00B96F61" w:rsidP="00824B92">
            <w:pPr>
              <w:rPr>
                <w:bCs/>
                <w:i/>
                <w:color w:val="000000"/>
                <w:lang w:eastAsia="lt-LT"/>
              </w:rPr>
            </w:pPr>
          </w:p>
          <w:p w14:paraId="6CC1022E" w14:textId="1744A77B" w:rsidR="009F4D66" w:rsidRPr="00B96F61" w:rsidRDefault="00B96F61" w:rsidP="00824B92">
            <w:pPr>
              <w:rPr>
                <w:bCs/>
                <w:i/>
                <w:color w:val="000000"/>
                <w:lang w:eastAsia="lt-LT"/>
              </w:rPr>
            </w:pPr>
            <w:r>
              <w:rPr>
                <w:bCs/>
                <w:i/>
                <w:color w:val="000000"/>
                <w:lang w:eastAsia="lt-LT"/>
              </w:rPr>
              <w:t>Netiesioginis</w:t>
            </w:r>
          </w:p>
        </w:tc>
        <w:tc>
          <w:tcPr>
            <w:tcW w:w="5167" w:type="dxa"/>
          </w:tcPr>
          <w:p w14:paraId="5481FC83" w14:textId="77777777" w:rsidR="007C7519" w:rsidRDefault="007C7519" w:rsidP="00824B92">
            <w:pPr>
              <w:rPr>
                <w:rStyle w:val="Style2"/>
                <w:sz w:val="24"/>
              </w:rPr>
            </w:pPr>
          </w:p>
          <w:p w14:paraId="45D7CF8A" w14:textId="77777777" w:rsidR="00B96F61" w:rsidRDefault="00B96F61" w:rsidP="00824B92">
            <w:pPr>
              <w:rPr>
                <w:rStyle w:val="Style2"/>
                <w:sz w:val="24"/>
              </w:rPr>
            </w:pPr>
          </w:p>
          <w:p w14:paraId="09CFBA0D" w14:textId="77777777" w:rsidR="00B96F61" w:rsidRDefault="00B96F61" w:rsidP="00824B92">
            <w:pPr>
              <w:rPr>
                <w:rStyle w:val="Style2"/>
                <w:sz w:val="24"/>
              </w:rPr>
            </w:pPr>
          </w:p>
          <w:p w14:paraId="66741CBF" w14:textId="3910FBD8" w:rsidR="0047414A" w:rsidRDefault="00000000" w:rsidP="0047414A">
            <w:sdt>
              <w:sdtPr>
                <w:rPr>
                  <w:rStyle w:val="Style2"/>
                  <w:sz w:val="24"/>
                </w:rPr>
                <w:id w:val="-834302966"/>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rPr>
                  <w:t>☒</w:t>
                </w:r>
              </w:sdtContent>
            </w:sdt>
            <w:r w:rsidR="0047414A" w:rsidRPr="00E33EFF">
              <w:t xml:space="preserve"> </w:t>
            </w:r>
            <w:r w:rsidR="00B96F61" w:rsidRPr="00E33EFF">
              <w:t>Netinkama</w:t>
            </w:r>
            <w:r w:rsidR="00B96F61">
              <w:t>s</w:t>
            </w:r>
          </w:p>
          <w:p w14:paraId="276FF992" w14:textId="77777777" w:rsidR="00B96F61" w:rsidRPr="00E33EFF" w:rsidRDefault="00B96F61" w:rsidP="0047414A"/>
          <w:p w14:paraId="1F113AC0" w14:textId="7F35CE0A" w:rsidR="009F4D66" w:rsidRPr="00E33EFF"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rPr>
                  <w:t>☒</w:t>
                </w:r>
              </w:sdtContent>
            </w:sdt>
            <w:r w:rsidR="009F4D66" w:rsidRPr="00E33EFF">
              <w:t xml:space="preserve"> Tinkamas</w:t>
            </w:r>
          </w:p>
          <w:p w14:paraId="41B44044" w14:textId="1EA63F84" w:rsidR="00B13D65" w:rsidRPr="00E33EFF" w:rsidRDefault="00B13D65" w:rsidP="00824B92"/>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B96F61" w:rsidRPr="00D05364" w14:paraId="7B15A5F3" w14:textId="77777777" w:rsidTr="006B5FF2">
        <w:trPr>
          <w:trHeight w:val="924"/>
        </w:trPr>
        <w:tc>
          <w:tcPr>
            <w:tcW w:w="2927" w:type="dxa"/>
          </w:tcPr>
          <w:p w14:paraId="29D0580E" w14:textId="77777777" w:rsidR="00B96F61" w:rsidRPr="00D05364" w:rsidRDefault="00B96F61" w:rsidP="000B2F76">
            <w:pPr>
              <w:spacing w:line="276" w:lineRule="auto"/>
              <w:rPr>
                <w:rFonts w:eastAsia="Arial"/>
              </w:rPr>
            </w:pPr>
            <w:r w:rsidRPr="00D05364">
              <w:rPr>
                <w:rFonts w:eastAsia="Arial"/>
              </w:rPr>
              <w:t>STV agentūros pavadinimas, šalis</w:t>
            </w:r>
          </w:p>
        </w:tc>
        <w:tc>
          <w:tcPr>
            <w:tcW w:w="1915" w:type="dxa"/>
          </w:tcPr>
          <w:p w14:paraId="38CECBC1" w14:textId="77777777" w:rsidR="00B96F61" w:rsidRPr="00D05364" w:rsidRDefault="00B96F61" w:rsidP="000B2F76">
            <w:pPr>
              <w:spacing w:line="276" w:lineRule="auto"/>
              <w:rPr>
                <w:rFonts w:eastAsia="Arial"/>
              </w:rPr>
            </w:pPr>
            <w:r w:rsidRPr="00D05364">
              <w:rPr>
                <w:rFonts w:eastAsia="Arial"/>
              </w:rPr>
              <w:t>STV vertinimas atliktas</w:t>
            </w:r>
          </w:p>
        </w:tc>
        <w:tc>
          <w:tcPr>
            <w:tcW w:w="2351" w:type="dxa"/>
          </w:tcPr>
          <w:p w14:paraId="706B8D91" w14:textId="77777777" w:rsidR="00B96F61" w:rsidRPr="00D05364" w:rsidRDefault="00B96F61" w:rsidP="000B2F76">
            <w:pPr>
              <w:spacing w:line="276" w:lineRule="auto"/>
              <w:rPr>
                <w:rFonts w:eastAsia="Arial"/>
              </w:rPr>
            </w:pPr>
            <w:r w:rsidRPr="00D05364">
              <w:rPr>
                <w:rFonts w:eastAsia="Arial"/>
              </w:rPr>
              <w:t>Klinikinio vertinimo išvada</w:t>
            </w:r>
          </w:p>
        </w:tc>
        <w:tc>
          <w:tcPr>
            <w:tcW w:w="2725" w:type="dxa"/>
          </w:tcPr>
          <w:p w14:paraId="6922E770" w14:textId="77777777" w:rsidR="00B96F61" w:rsidRPr="00D05364" w:rsidRDefault="00B96F61" w:rsidP="000B2F76">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B96F61" w:rsidRPr="00D05364" w14:paraId="193E506C" w14:textId="77777777" w:rsidTr="006B5FF2">
        <w:trPr>
          <w:trHeight w:val="1765"/>
        </w:trPr>
        <w:tc>
          <w:tcPr>
            <w:tcW w:w="2927" w:type="dxa"/>
          </w:tcPr>
          <w:p w14:paraId="088C5B8F" w14:textId="77777777" w:rsidR="00B96F61" w:rsidRPr="00D05364" w:rsidRDefault="00B96F61" w:rsidP="000B2F76">
            <w:pPr>
              <w:autoSpaceDE w:val="0"/>
              <w:autoSpaceDN w:val="0"/>
              <w:adjustRightInd w:val="0"/>
              <w:rPr>
                <w:bCs/>
              </w:rPr>
            </w:pPr>
            <w:r w:rsidRPr="00D05364">
              <w:rPr>
                <w:bCs/>
              </w:rPr>
              <w:t>Nacionalinis sveikatos ir klinikinės kompetencijos institutas, Didžioji Britanija</w:t>
            </w:r>
          </w:p>
          <w:p w14:paraId="0BA12F3B" w14:textId="77777777" w:rsidR="00B96F61" w:rsidRPr="00D05364" w:rsidRDefault="00B96F61" w:rsidP="000B2F76">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915" w:type="dxa"/>
          </w:tcPr>
          <w:p w14:paraId="419D9957" w14:textId="77777777" w:rsidR="00B96F61" w:rsidRPr="00D05364" w:rsidRDefault="00000000" w:rsidP="000B2F76">
            <w:sdt>
              <w:sdtPr>
                <w:rPr>
                  <w:rStyle w:val="Style2"/>
                </w:rPr>
                <w:id w:val="1558205022"/>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rPr>
                  <w:t>☒</w:t>
                </w:r>
              </w:sdtContent>
            </w:sdt>
            <w:r w:rsidR="00B96F61" w:rsidRPr="00D05364">
              <w:t xml:space="preserve"> Taip</w:t>
            </w:r>
          </w:p>
          <w:p w14:paraId="56106D34" w14:textId="77777777" w:rsidR="00B96F61" w:rsidRPr="00D05364" w:rsidRDefault="00000000" w:rsidP="000B2F76">
            <w:sdt>
              <w:sdtPr>
                <w:rPr>
                  <w:rStyle w:val="Style2"/>
                </w:rPr>
                <w:id w:val="866029625"/>
                <w15:color w:val="FFCC00"/>
                <w14:checkbox>
                  <w14:checked w14:val="0"/>
                  <w14:checkedState w14:val="2612" w14:font="MS Gothic"/>
                  <w14:uncheckedState w14:val="2610" w14:font="MS Gothic"/>
                </w14:checkbox>
              </w:sdtPr>
              <w:sdtContent>
                <w:r w:rsidR="00B96F61" w:rsidRPr="00D05364">
                  <w:rPr>
                    <w:rStyle w:val="Style2"/>
                    <w:rFonts w:ascii="MS Gothic" w:eastAsia="MS Gothic" w:hAnsi="MS Gothic" w:hint="eastAsia"/>
                  </w:rPr>
                  <w:t>☐</w:t>
                </w:r>
              </w:sdtContent>
            </w:sdt>
            <w:r w:rsidR="00B96F61" w:rsidRPr="00D05364">
              <w:t xml:space="preserve"> Ne</w:t>
            </w:r>
          </w:p>
          <w:p w14:paraId="4F3A527C" w14:textId="77777777" w:rsidR="00B96F61" w:rsidRPr="00696156" w:rsidRDefault="00B96F61" w:rsidP="000B2F76">
            <w:pPr>
              <w:rPr>
                <w:rFonts w:eastAsia="Arial"/>
                <w:lang w:val="en-US"/>
              </w:rPr>
            </w:pPr>
            <w:r>
              <w:rPr>
                <w:rFonts w:eastAsia="Arial"/>
                <w:lang w:val="en-US"/>
              </w:rPr>
              <w:t>2017 11 20</w:t>
            </w:r>
          </w:p>
        </w:tc>
        <w:tc>
          <w:tcPr>
            <w:tcW w:w="2351" w:type="dxa"/>
          </w:tcPr>
          <w:p w14:paraId="0B7B3CC9" w14:textId="77777777" w:rsidR="00B96F61" w:rsidRPr="00BB59B1" w:rsidRDefault="00B96F61" w:rsidP="000B2F76">
            <w:pPr>
              <w:spacing w:after="120"/>
              <w:jc w:val="both"/>
            </w:pPr>
            <w:proofErr w:type="spellStart"/>
            <w:r>
              <w:t>Palbociklibas</w:t>
            </w:r>
            <w:proofErr w:type="spellEnd"/>
            <w:r>
              <w:t xml:space="preserve"> kartu su </w:t>
            </w:r>
            <w:proofErr w:type="spellStart"/>
            <w:r>
              <w:t>aromatazės</w:t>
            </w:r>
            <w:proofErr w:type="spellEnd"/>
            <w:r>
              <w:t xml:space="preserve"> inhibitoriumi</w:t>
            </w:r>
            <w:r w:rsidRPr="000660C6">
              <w:t xml:space="preserve"> </w:t>
            </w:r>
            <w:r>
              <w:t xml:space="preserve">kaip pradinė terapija </w:t>
            </w:r>
            <w:r w:rsidRPr="000660C6">
              <w:t xml:space="preserve">lokaliai progresavusiam arba </w:t>
            </w:r>
            <w:proofErr w:type="spellStart"/>
            <w:r w:rsidRPr="000660C6">
              <w:t>metastazavusiam</w:t>
            </w:r>
            <w:proofErr w:type="spellEnd"/>
            <w:r w:rsidRPr="000660C6">
              <w:t xml:space="preserve"> krūties vėžiui, kuriame yra</w:t>
            </w:r>
            <w:r>
              <w:t xml:space="preserve"> </w:t>
            </w:r>
            <w:r w:rsidRPr="000660C6">
              <w:t>hormonų receptorių (HR), o žmogaus epidermio augimo faktoriaus 2-ojo tipo receptorių (HER2)</w:t>
            </w:r>
            <w:r>
              <w:t xml:space="preserve"> </w:t>
            </w:r>
            <w:r w:rsidRPr="000660C6">
              <w:t>rodmuo neigiamas.</w:t>
            </w:r>
            <w:r>
              <w:t xml:space="preserve"> </w:t>
            </w:r>
            <w:r w:rsidRPr="000660C6">
              <w:t xml:space="preserve">Moterims, kurioms prasidėjusi </w:t>
            </w:r>
            <w:proofErr w:type="spellStart"/>
            <w:r w:rsidRPr="000660C6">
              <w:t>premenopauzė</w:t>
            </w:r>
            <w:proofErr w:type="spellEnd"/>
            <w:r w:rsidRPr="000660C6">
              <w:t xml:space="preserve"> arba </w:t>
            </w:r>
            <w:proofErr w:type="spellStart"/>
            <w:r w:rsidRPr="000660C6">
              <w:t>perimenopauzė</w:t>
            </w:r>
            <w:proofErr w:type="spellEnd"/>
            <w:r w:rsidRPr="000660C6">
              <w:t>, endokrininę terapiją reikia derinti</w:t>
            </w:r>
            <w:r>
              <w:t xml:space="preserve"> </w:t>
            </w:r>
            <w:r w:rsidRPr="000660C6">
              <w:t xml:space="preserve">su </w:t>
            </w:r>
            <w:proofErr w:type="spellStart"/>
            <w:r w:rsidRPr="000660C6">
              <w:t>luteinizuojančio</w:t>
            </w:r>
            <w:proofErr w:type="spellEnd"/>
            <w:r w:rsidRPr="000660C6">
              <w:t xml:space="preserve"> hormono išsiskyrimą stimuliuojančio </w:t>
            </w:r>
            <w:r w:rsidRPr="000660C6">
              <w:lastRenderedPageBreak/>
              <w:t xml:space="preserve">hormono (LHAH) </w:t>
            </w:r>
            <w:proofErr w:type="spellStart"/>
            <w:r w:rsidRPr="000660C6">
              <w:t>agonistu</w:t>
            </w:r>
            <w:proofErr w:type="spellEnd"/>
            <w:r w:rsidRPr="000660C6">
              <w:t>.</w:t>
            </w:r>
          </w:p>
        </w:tc>
        <w:tc>
          <w:tcPr>
            <w:tcW w:w="2725" w:type="dxa"/>
          </w:tcPr>
          <w:p w14:paraId="11D7A76A" w14:textId="77777777" w:rsidR="00B96F61" w:rsidRPr="00D05364" w:rsidRDefault="00B96F61" w:rsidP="000B2F76">
            <w:pPr>
              <w:spacing w:line="276" w:lineRule="auto"/>
              <w:rPr>
                <w:rFonts w:eastAsia="Arial"/>
              </w:rPr>
            </w:pPr>
            <w:r>
              <w:rPr>
                <w:rFonts w:eastAsia="Arial"/>
              </w:rPr>
              <w:lastRenderedPageBreak/>
              <w:t xml:space="preserve">Rekomenduota kompensuoti pritaikius nuolaidą. </w:t>
            </w:r>
          </w:p>
        </w:tc>
      </w:tr>
      <w:tr w:rsidR="006B5FF2" w:rsidRPr="00D05364" w14:paraId="0EAF7D78" w14:textId="77777777" w:rsidTr="008F7645">
        <w:trPr>
          <w:trHeight w:val="1547"/>
        </w:trPr>
        <w:tc>
          <w:tcPr>
            <w:tcW w:w="2927" w:type="dxa"/>
          </w:tcPr>
          <w:p w14:paraId="069FFA95" w14:textId="77777777" w:rsidR="006B5FF2" w:rsidRPr="00D05364" w:rsidRDefault="006B5FF2" w:rsidP="000B2F76">
            <w:pPr>
              <w:spacing w:line="276" w:lineRule="auto"/>
              <w:rPr>
                <w:rFonts w:eastAsia="Arial"/>
              </w:rPr>
            </w:pPr>
            <w:r w:rsidRPr="00D05364">
              <w:rPr>
                <w:rFonts w:eastAsia="Arial"/>
              </w:rPr>
              <w:t>Kanados sveikatos technologijų agentūra</w:t>
            </w:r>
          </w:p>
          <w:p w14:paraId="425CD436" w14:textId="77777777" w:rsidR="006B5FF2" w:rsidRPr="00D05364" w:rsidRDefault="006B5FF2" w:rsidP="000B2F76">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7E45EA4A" w14:textId="77777777" w:rsidR="006B5FF2" w:rsidRPr="00D05364" w:rsidRDefault="00000000" w:rsidP="000B2F76">
            <w:sdt>
              <w:sdtPr>
                <w:rPr>
                  <w:rStyle w:val="Style2"/>
                </w:rPr>
                <w:id w:val="-372539057"/>
                <w15:color w:val="FFCC00"/>
                <w14:checkbox>
                  <w14:checked w14:val="1"/>
                  <w14:checkedState w14:val="2612" w14:font="MS Gothic"/>
                  <w14:uncheckedState w14:val="2610" w14:font="MS Gothic"/>
                </w14:checkbox>
              </w:sdtPr>
              <w:sdtContent>
                <w:r w:rsidR="006B5FF2">
                  <w:rPr>
                    <w:rStyle w:val="Style2"/>
                    <w:rFonts w:ascii="MS Gothic" w:eastAsia="MS Gothic" w:hAnsi="MS Gothic" w:hint="eastAsia"/>
                  </w:rPr>
                  <w:t>☒</w:t>
                </w:r>
              </w:sdtContent>
            </w:sdt>
            <w:r w:rsidR="006B5FF2" w:rsidRPr="00D05364">
              <w:t xml:space="preserve"> Taip</w:t>
            </w:r>
          </w:p>
          <w:p w14:paraId="5B3A0E72" w14:textId="77777777" w:rsidR="006B5FF2" w:rsidRPr="00D05364" w:rsidRDefault="00000000" w:rsidP="000B2F76">
            <w:sdt>
              <w:sdtPr>
                <w:rPr>
                  <w:rStyle w:val="Style2"/>
                </w:rPr>
                <w:id w:val="594442222"/>
                <w15:color w:val="FFCC00"/>
                <w14:checkbox>
                  <w14:checked w14:val="0"/>
                  <w14:checkedState w14:val="2612" w14:font="MS Gothic"/>
                  <w14:uncheckedState w14:val="2610" w14:font="MS Gothic"/>
                </w14:checkbox>
              </w:sdtPr>
              <w:sdtContent>
                <w:r w:rsidR="006B5FF2" w:rsidRPr="00D05364">
                  <w:rPr>
                    <w:rStyle w:val="Style2"/>
                    <w:rFonts w:ascii="Segoe UI Symbol" w:eastAsia="MS Gothic" w:hAnsi="Segoe UI Symbol" w:cs="Segoe UI Symbol"/>
                  </w:rPr>
                  <w:t>☐</w:t>
                </w:r>
              </w:sdtContent>
            </w:sdt>
            <w:r w:rsidR="006B5FF2" w:rsidRPr="00D05364">
              <w:t xml:space="preserve"> Ne</w:t>
            </w:r>
          </w:p>
          <w:p w14:paraId="5D49051A" w14:textId="77777777" w:rsidR="006B5FF2" w:rsidRPr="00D05364" w:rsidRDefault="006B5FF2" w:rsidP="000B2F76">
            <w:pPr>
              <w:spacing w:line="276" w:lineRule="auto"/>
              <w:rPr>
                <w:rFonts w:eastAsia="Arial"/>
              </w:rPr>
            </w:pPr>
            <w:r>
              <w:t>2016 04 16</w:t>
            </w:r>
          </w:p>
        </w:tc>
        <w:tc>
          <w:tcPr>
            <w:tcW w:w="5076" w:type="dxa"/>
            <w:gridSpan w:val="2"/>
          </w:tcPr>
          <w:p w14:paraId="50FCD620" w14:textId="66E34B1E" w:rsidR="006B5FF2" w:rsidRPr="00D05364" w:rsidRDefault="006B5FF2" w:rsidP="000B2F76">
            <w:pPr>
              <w:spacing w:line="276" w:lineRule="auto"/>
              <w:rPr>
                <w:rFonts w:eastAsia="Arial"/>
              </w:rPr>
            </w:pPr>
            <w:proofErr w:type="spellStart"/>
            <w:r>
              <w:t>Palbociklibas</w:t>
            </w:r>
            <w:proofErr w:type="spellEnd"/>
            <w:r>
              <w:t xml:space="preserve"> kartu su </w:t>
            </w:r>
            <w:proofErr w:type="spellStart"/>
            <w:r>
              <w:t>aromatazės</w:t>
            </w:r>
            <w:proofErr w:type="spellEnd"/>
            <w:r>
              <w:t xml:space="preserve"> inhibitoriumi</w:t>
            </w:r>
            <w:r w:rsidRPr="000660C6">
              <w:t xml:space="preserve"> </w:t>
            </w:r>
            <w:r>
              <w:t xml:space="preserve">kaip pradinė terapija moterų po menopauzės </w:t>
            </w:r>
            <w:r w:rsidRPr="000660C6">
              <w:t xml:space="preserve">lokaliai progresavusiam arba </w:t>
            </w:r>
            <w:proofErr w:type="spellStart"/>
            <w:r w:rsidRPr="000660C6">
              <w:t>metastazavusiam</w:t>
            </w:r>
            <w:proofErr w:type="spellEnd"/>
            <w:r w:rsidRPr="000660C6">
              <w:t xml:space="preserve"> krūties vėžiui kuriame yra</w:t>
            </w:r>
            <w:r>
              <w:t xml:space="preserve"> </w:t>
            </w:r>
            <w:r w:rsidRPr="000660C6">
              <w:t>hormonų receptorių (HR), o žmogaus epidermio augimo faktoriaus 2-ojo tipo receptorių (HER2)</w:t>
            </w:r>
            <w:r>
              <w:t xml:space="preserve"> </w:t>
            </w:r>
            <w:r w:rsidRPr="000660C6">
              <w:t>rodmuo neigiamas.</w:t>
            </w:r>
            <w:r>
              <w:t xml:space="preserve"> </w:t>
            </w:r>
          </w:p>
        </w:tc>
      </w:tr>
      <w:tr w:rsidR="00B96F61" w:rsidRPr="00D05364" w14:paraId="36C7535B" w14:textId="77777777" w:rsidTr="000B2F76">
        <w:trPr>
          <w:trHeight w:val="1927"/>
        </w:trPr>
        <w:tc>
          <w:tcPr>
            <w:tcW w:w="2927" w:type="dxa"/>
          </w:tcPr>
          <w:p w14:paraId="7D6D1106" w14:textId="77777777" w:rsidR="00B96F61" w:rsidRPr="00D05364" w:rsidRDefault="00B96F61" w:rsidP="000B2F76">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5C33085E" w14:textId="77777777" w:rsidR="00B96F61" w:rsidRPr="00D05364" w:rsidRDefault="00B96F61" w:rsidP="000B2F76">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2CD4DB49" w14:textId="77777777" w:rsidR="00B96F61" w:rsidRPr="00D05364" w:rsidRDefault="00000000" w:rsidP="000B2F76">
            <w:sdt>
              <w:sdtPr>
                <w:rPr>
                  <w:rStyle w:val="Style2"/>
                </w:rPr>
                <w:id w:val="-1888403732"/>
                <w15:color w:val="FFCC00"/>
                <w14:checkbox>
                  <w14:checked w14:val="0"/>
                  <w14:checkedState w14:val="2612" w14:font="MS Gothic"/>
                  <w14:uncheckedState w14:val="2610" w14:font="MS Gothic"/>
                </w14:checkbox>
              </w:sdtPr>
              <w:sdtContent>
                <w:r w:rsidR="00B96F61">
                  <w:rPr>
                    <w:rStyle w:val="Style2"/>
                    <w:rFonts w:ascii="MS Gothic" w:eastAsia="MS Gothic" w:hAnsi="MS Gothic" w:hint="eastAsia"/>
                  </w:rPr>
                  <w:t>☐</w:t>
                </w:r>
              </w:sdtContent>
            </w:sdt>
            <w:r w:rsidR="00B96F61" w:rsidRPr="00D05364">
              <w:t xml:space="preserve"> Taip</w:t>
            </w:r>
          </w:p>
          <w:p w14:paraId="7CED50E3" w14:textId="77777777" w:rsidR="00B96F61" w:rsidRPr="00D05364" w:rsidRDefault="00000000" w:rsidP="000B2F76">
            <w:sdt>
              <w:sdtPr>
                <w:rPr>
                  <w:rStyle w:val="Style2"/>
                </w:rPr>
                <w:id w:val="1092201793"/>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rPr>
                  <w:t>☒</w:t>
                </w:r>
              </w:sdtContent>
            </w:sdt>
            <w:r w:rsidR="00B96F61" w:rsidRPr="00D05364">
              <w:t xml:space="preserve"> Ne</w:t>
            </w:r>
          </w:p>
          <w:p w14:paraId="37451EB5" w14:textId="77777777" w:rsidR="00B96F61" w:rsidRPr="007F32BC" w:rsidRDefault="00B96F61" w:rsidP="000B2F76">
            <w:pPr>
              <w:spacing w:line="276" w:lineRule="auto"/>
              <w:rPr>
                <w:rFonts w:eastAsia="Arial"/>
                <w:lang w:val="en-US"/>
              </w:rPr>
            </w:pPr>
            <w:r>
              <w:rPr>
                <w:rFonts w:eastAsia="Arial"/>
                <w:lang w:val="en-US"/>
              </w:rPr>
              <w:t>2017 07</w:t>
            </w:r>
          </w:p>
        </w:tc>
        <w:tc>
          <w:tcPr>
            <w:tcW w:w="5076" w:type="dxa"/>
            <w:gridSpan w:val="2"/>
          </w:tcPr>
          <w:p w14:paraId="71B7E489" w14:textId="77777777" w:rsidR="00B96F61" w:rsidRPr="00D05364" w:rsidRDefault="00B96F61" w:rsidP="000B2F76">
            <w:pPr>
              <w:spacing w:line="276" w:lineRule="auto"/>
              <w:rPr>
                <w:rFonts w:eastAsia="Arial"/>
              </w:rPr>
            </w:pPr>
            <w:r>
              <w:rPr>
                <w:rFonts w:eastAsia="Arial"/>
              </w:rPr>
              <w:t xml:space="preserve">Rekomenduota nekompensuoti neįrodžius kaštų efektyvumo </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18C91BBD" w14:textId="6200F5AB" w:rsidR="00B96F61" w:rsidRPr="00D05364" w:rsidRDefault="00B96F61" w:rsidP="00B96F61">
      <w:pPr>
        <w:tabs>
          <w:tab w:val="left" w:pos="284"/>
        </w:tabs>
        <w:rPr>
          <w:b/>
          <w:bCs/>
          <w:caps/>
        </w:rPr>
      </w:pPr>
    </w:p>
    <w:p w14:paraId="7639E71E" w14:textId="77777777" w:rsidR="00B96F61" w:rsidRPr="002270A7" w:rsidRDefault="00B96F61" w:rsidP="00B96F61">
      <w:pPr>
        <w:pStyle w:val="0TEXT"/>
        <w:spacing w:line="276" w:lineRule="auto"/>
        <w:rPr>
          <w:rFonts w:asciiTheme="majorBidi" w:hAnsiTheme="majorBidi" w:cstheme="majorBidi"/>
          <w:lang w:val="en-US"/>
        </w:rPr>
      </w:pPr>
      <w:r>
        <w:rPr>
          <w:rFonts w:asciiTheme="majorBidi" w:hAnsiTheme="majorBidi" w:cstheme="majorBidi"/>
          <w:lang w:val="lt-LT"/>
        </w:rPr>
        <w:t>K</w:t>
      </w:r>
      <w:r w:rsidRPr="00872134">
        <w:rPr>
          <w:rFonts w:asciiTheme="majorBidi" w:hAnsiTheme="majorBidi" w:cstheme="majorBidi"/>
          <w:lang w:val="lt-LT"/>
        </w:rPr>
        <w:t>rū</w:t>
      </w:r>
      <w:r>
        <w:rPr>
          <w:rFonts w:asciiTheme="majorBidi" w:hAnsiTheme="majorBidi" w:cstheme="majorBidi"/>
          <w:lang w:val="lt-LT"/>
        </w:rPr>
        <w:t xml:space="preserve">ties vėžys (toliau - KV) yra dažniausias navikinis susirgimas moterų populiacijoje tiek Lietuvoje, tiek pasaulyje. </w:t>
      </w:r>
      <w:r w:rsidRPr="00B41472">
        <w:rPr>
          <w:rFonts w:asciiTheme="majorBidi" w:hAnsiTheme="majorBidi" w:cstheme="majorBidi"/>
          <w:lang w:val="lt-LT"/>
        </w:rPr>
        <w:t>Lietuvoje naujų susirgimų dažnis</w:t>
      </w:r>
      <w:r>
        <w:rPr>
          <w:rFonts w:asciiTheme="majorBidi" w:hAnsiTheme="majorBidi" w:cstheme="majorBidi"/>
          <w:lang w:val="lt-LT"/>
        </w:rPr>
        <w:t xml:space="preserve"> 2017 m.</w:t>
      </w:r>
      <w:r w:rsidRPr="00B41472">
        <w:rPr>
          <w:rFonts w:asciiTheme="majorBidi" w:hAnsiTheme="majorBidi" w:cstheme="majorBidi"/>
          <w:lang w:val="lt-LT"/>
        </w:rPr>
        <w:t xml:space="preserve"> 100</w:t>
      </w:r>
      <w:r>
        <w:rPr>
          <w:rFonts w:asciiTheme="majorBidi" w:hAnsiTheme="majorBidi" w:cstheme="majorBidi"/>
          <w:lang w:val="lt-LT"/>
        </w:rPr>
        <w:t xml:space="preserve"> tūkst.</w:t>
      </w:r>
      <w:r w:rsidRPr="00B41472">
        <w:rPr>
          <w:rFonts w:asciiTheme="majorBidi" w:hAnsiTheme="majorBidi" w:cstheme="majorBidi"/>
          <w:lang w:val="lt-LT"/>
        </w:rPr>
        <w:t xml:space="preserve"> gyventojų siek</w:t>
      </w:r>
      <w:r>
        <w:rPr>
          <w:rFonts w:asciiTheme="majorBidi" w:hAnsiTheme="majorBidi" w:cstheme="majorBidi"/>
          <w:lang w:val="lt-LT"/>
        </w:rPr>
        <w:t>ė</w:t>
      </w:r>
      <w:r w:rsidRPr="00B41472">
        <w:rPr>
          <w:rFonts w:asciiTheme="majorBidi" w:hAnsiTheme="majorBidi" w:cstheme="majorBidi"/>
          <w:lang w:val="lt-LT"/>
        </w:rPr>
        <w:t xml:space="preserve"> </w:t>
      </w:r>
      <w:r>
        <w:rPr>
          <w:rFonts w:asciiTheme="majorBidi" w:hAnsiTheme="majorBidi" w:cstheme="majorBidi"/>
          <w:lang w:val="lt-LT"/>
        </w:rPr>
        <w:t>52</w:t>
      </w:r>
      <w:r w:rsidRPr="00B41472">
        <w:rPr>
          <w:rFonts w:asciiTheme="majorBidi" w:hAnsiTheme="majorBidi" w:cstheme="majorBidi"/>
          <w:lang w:val="lt-LT"/>
        </w:rPr>
        <w:t>,</w:t>
      </w:r>
      <w:r>
        <w:rPr>
          <w:rFonts w:asciiTheme="majorBidi" w:hAnsiTheme="majorBidi" w:cstheme="majorBidi"/>
          <w:lang w:val="lt-LT"/>
        </w:rPr>
        <w:t>5 (</w:t>
      </w:r>
      <w:r w:rsidRPr="000B2B67">
        <w:rPr>
          <w:rFonts w:asciiTheme="majorBidi" w:hAnsiTheme="majorBidi" w:cstheme="majorBidi"/>
          <w:lang w:val="lt-LT"/>
        </w:rPr>
        <w:t>96,9</w:t>
      </w:r>
      <w:r>
        <w:rPr>
          <w:rFonts w:asciiTheme="majorBidi" w:hAnsiTheme="majorBidi" w:cstheme="majorBidi"/>
          <w:lang w:val="lt-LT"/>
        </w:rPr>
        <w:t xml:space="preserve"> /</w:t>
      </w:r>
      <w:r w:rsidRPr="000B2B67">
        <w:rPr>
          <w:rFonts w:asciiTheme="majorBidi" w:hAnsiTheme="majorBidi" w:cstheme="majorBidi"/>
          <w:lang w:val="lt-LT"/>
        </w:rPr>
        <w:t>100</w:t>
      </w:r>
      <w:r>
        <w:rPr>
          <w:rFonts w:asciiTheme="majorBidi" w:hAnsiTheme="majorBidi" w:cstheme="majorBidi"/>
          <w:lang w:val="lt-LT"/>
        </w:rPr>
        <w:t xml:space="preserve"> tūkst. moterų)</w:t>
      </w:r>
      <w:r w:rsidRPr="00B41472">
        <w:rPr>
          <w:rFonts w:asciiTheme="majorBidi" w:hAnsiTheme="majorBidi" w:cstheme="majorBidi"/>
          <w:lang w:val="lt-LT"/>
        </w:rPr>
        <w:t xml:space="preserve">, o mirčių – </w:t>
      </w:r>
      <w:r>
        <w:rPr>
          <w:rFonts w:asciiTheme="majorBidi" w:hAnsiTheme="majorBidi" w:cstheme="majorBidi"/>
          <w:lang w:val="lt-LT"/>
        </w:rPr>
        <w:t>17</w:t>
      </w:r>
      <w:r w:rsidRPr="00B41472">
        <w:rPr>
          <w:rFonts w:asciiTheme="majorBidi" w:hAnsiTheme="majorBidi" w:cstheme="majorBidi"/>
          <w:lang w:val="lt-LT"/>
        </w:rPr>
        <w:t>,</w:t>
      </w:r>
      <w:r>
        <w:rPr>
          <w:rFonts w:asciiTheme="majorBidi" w:hAnsiTheme="majorBidi" w:cstheme="majorBidi"/>
          <w:lang w:val="lt-LT"/>
        </w:rPr>
        <w:t>3 atvejus (</w:t>
      </w:r>
      <w:r w:rsidRPr="00732D39">
        <w:rPr>
          <w:rFonts w:asciiTheme="majorBidi" w:hAnsiTheme="majorBidi" w:cstheme="majorBidi"/>
          <w:lang w:val="lt-LT"/>
        </w:rPr>
        <w:t xml:space="preserve">32,0 </w:t>
      </w:r>
      <w:r>
        <w:rPr>
          <w:rFonts w:asciiTheme="majorBidi" w:hAnsiTheme="majorBidi" w:cstheme="majorBidi"/>
          <w:lang w:val="lt-LT"/>
        </w:rPr>
        <w:t>atvejų /</w:t>
      </w:r>
      <w:r w:rsidRPr="000B2B67">
        <w:rPr>
          <w:rFonts w:asciiTheme="majorBidi" w:hAnsiTheme="majorBidi" w:cstheme="majorBidi"/>
          <w:lang w:val="lt-LT"/>
        </w:rPr>
        <w:t>100</w:t>
      </w:r>
      <w:r>
        <w:rPr>
          <w:rFonts w:asciiTheme="majorBidi" w:hAnsiTheme="majorBidi" w:cstheme="majorBidi"/>
          <w:lang w:val="lt-LT"/>
        </w:rPr>
        <w:t xml:space="preserve"> tūkst. moterų)</w:t>
      </w:r>
      <w:r w:rsidRPr="00B41472">
        <w:rPr>
          <w:rFonts w:asciiTheme="majorBidi" w:hAnsiTheme="majorBidi" w:cstheme="majorBidi"/>
          <w:lang w:val="lt-LT"/>
        </w:rPr>
        <w:t>.</w:t>
      </w:r>
      <w:r>
        <w:rPr>
          <w:rFonts w:asciiTheme="majorBidi" w:hAnsiTheme="majorBidi" w:cstheme="majorBidi"/>
          <w:lang w:val="lt-LT"/>
        </w:rPr>
        <w:t xml:space="preserve"> Lietuvoje 2017 m. naujai diagnozuotas KV moterų tarpe </w:t>
      </w:r>
      <w:r>
        <w:rPr>
          <w:rFonts w:asciiTheme="majorBidi" w:hAnsiTheme="majorBidi" w:cstheme="majorBidi"/>
          <w:lang w:val="en-US"/>
        </w:rPr>
        <w:t xml:space="preserve">66,4 proc. </w:t>
      </w:r>
      <w:proofErr w:type="spellStart"/>
      <w:r>
        <w:rPr>
          <w:rFonts w:asciiTheme="majorBidi" w:hAnsiTheme="majorBidi" w:cstheme="majorBidi"/>
          <w:lang w:val="en-US"/>
        </w:rPr>
        <w:t>atvej</w:t>
      </w:r>
      <w:proofErr w:type="spellEnd"/>
      <w:r>
        <w:rPr>
          <w:rFonts w:asciiTheme="majorBidi" w:hAnsiTheme="majorBidi" w:cstheme="majorBidi"/>
          <w:lang w:val="lt-LT"/>
        </w:rPr>
        <w:t xml:space="preserve">ų </w:t>
      </w:r>
      <w:proofErr w:type="spellStart"/>
      <w:r>
        <w:rPr>
          <w:rFonts w:asciiTheme="majorBidi" w:hAnsiTheme="majorBidi" w:cstheme="majorBidi"/>
          <w:lang w:val="en-US"/>
        </w:rPr>
        <w:t>buvo</w:t>
      </w:r>
      <w:proofErr w:type="spellEnd"/>
      <w:r>
        <w:rPr>
          <w:rFonts w:asciiTheme="majorBidi" w:hAnsiTheme="majorBidi" w:cstheme="majorBidi"/>
          <w:lang w:val="en-US"/>
        </w:rPr>
        <w:t xml:space="preserve"> I </w:t>
      </w:r>
      <w:proofErr w:type="spellStart"/>
      <w:r>
        <w:rPr>
          <w:rFonts w:asciiTheme="majorBidi" w:hAnsiTheme="majorBidi" w:cstheme="majorBidi"/>
          <w:lang w:val="en-US"/>
        </w:rPr>
        <w:t>ir</w:t>
      </w:r>
      <w:proofErr w:type="spellEnd"/>
      <w:r>
        <w:rPr>
          <w:rFonts w:asciiTheme="majorBidi" w:hAnsiTheme="majorBidi" w:cstheme="majorBidi"/>
          <w:lang w:val="en-US"/>
        </w:rPr>
        <w:t xml:space="preserve"> II, 15 proc. – </w:t>
      </w:r>
      <w:proofErr w:type="gramStart"/>
      <w:r>
        <w:rPr>
          <w:rFonts w:asciiTheme="majorBidi" w:hAnsiTheme="majorBidi" w:cstheme="majorBidi"/>
          <w:lang w:val="en-US"/>
        </w:rPr>
        <w:t xml:space="preserve">III, </w:t>
      </w:r>
      <w:r>
        <w:rPr>
          <w:rFonts w:asciiTheme="majorBidi" w:hAnsiTheme="majorBidi" w:cstheme="majorBidi"/>
          <w:lang w:val="lt-LT"/>
        </w:rPr>
        <w:t xml:space="preserve"> 8</w:t>
      </w:r>
      <w:proofErr w:type="gramEnd"/>
      <w:r>
        <w:rPr>
          <w:rFonts w:asciiTheme="majorBidi" w:hAnsiTheme="majorBidi" w:cstheme="majorBidi"/>
          <w:lang w:val="lt-LT"/>
        </w:rPr>
        <w:t xml:space="preserve">,7 proc. - IV stadijos. Remiantis 2017 m. duomenimis, Lietuvoje mirė </w:t>
      </w:r>
      <w:r w:rsidRPr="002270A7">
        <w:rPr>
          <w:rFonts w:asciiTheme="majorBidi" w:hAnsiTheme="majorBidi" w:cstheme="majorBidi"/>
          <w:lang w:val="lt-LT"/>
        </w:rPr>
        <w:t xml:space="preserve">488 moterys sirgusios </w:t>
      </w:r>
      <w:r>
        <w:rPr>
          <w:rFonts w:asciiTheme="majorBidi" w:hAnsiTheme="majorBidi" w:cstheme="majorBidi"/>
          <w:lang w:val="lt-LT"/>
        </w:rPr>
        <w:t xml:space="preserve">KV, iš kurių </w:t>
      </w:r>
      <w:r w:rsidRPr="002270A7">
        <w:rPr>
          <w:rFonts w:asciiTheme="majorBidi" w:hAnsiTheme="majorBidi" w:cstheme="majorBidi"/>
          <w:lang w:val="lt-LT"/>
        </w:rPr>
        <w:t>16 proc. buvo jaunesn</w:t>
      </w:r>
      <w:r>
        <w:rPr>
          <w:rFonts w:asciiTheme="majorBidi" w:hAnsiTheme="majorBidi" w:cstheme="majorBidi"/>
          <w:lang w:val="lt-LT"/>
        </w:rPr>
        <w:t xml:space="preserve">ės nei </w:t>
      </w:r>
      <w:r w:rsidRPr="002270A7">
        <w:rPr>
          <w:rFonts w:asciiTheme="majorBidi" w:hAnsiTheme="majorBidi" w:cstheme="majorBidi"/>
          <w:lang w:val="lt-LT"/>
        </w:rPr>
        <w:t xml:space="preserve">50 m. </w:t>
      </w:r>
      <w:r w:rsidRPr="00516ACB">
        <w:rPr>
          <w:rFonts w:eastAsia="Arial"/>
          <w:color w:val="000000" w:themeColor="text1"/>
          <w:lang w:val="lt-LT"/>
        </w:rPr>
        <w:t xml:space="preserve">Ligos geros prognozės faktoriai – I-II stadija, lėtas augimas, </w:t>
      </w:r>
      <w:r>
        <w:rPr>
          <w:rFonts w:eastAsia="Arial"/>
          <w:color w:val="000000" w:themeColor="text1"/>
          <w:lang w:val="lt-LT"/>
        </w:rPr>
        <w:t xml:space="preserve">kai </w:t>
      </w:r>
      <w:r w:rsidRPr="00516ACB">
        <w:rPr>
          <w:rFonts w:eastAsia="Arial"/>
          <w:color w:val="000000" w:themeColor="text1"/>
          <w:lang w:val="lt-LT"/>
        </w:rPr>
        <w:t xml:space="preserve">navikui būdinga estrogenų ir/ar progesterono (ER ir PR) receptorių raiška, naviko </w:t>
      </w:r>
      <w:proofErr w:type="spellStart"/>
      <w:r w:rsidRPr="00516ACB">
        <w:rPr>
          <w:rFonts w:eastAsia="Arial"/>
          <w:color w:val="000000" w:themeColor="text1"/>
          <w:lang w:val="lt-LT"/>
        </w:rPr>
        <w:t>diferencijacija</w:t>
      </w:r>
      <w:proofErr w:type="spellEnd"/>
      <w:r w:rsidRPr="00516ACB">
        <w:rPr>
          <w:rFonts w:eastAsia="Arial"/>
          <w:color w:val="000000" w:themeColor="text1"/>
          <w:lang w:val="lt-LT"/>
        </w:rPr>
        <w:t xml:space="preserve">. </w:t>
      </w:r>
      <w:r>
        <w:rPr>
          <w:lang w:val="lt-LT"/>
        </w:rPr>
        <w:t xml:space="preserve">Nustatyta, jog </w:t>
      </w:r>
      <w:r w:rsidRPr="00044EE1">
        <w:rPr>
          <w:rFonts w:asciiTheme="majorBidi" w:hAnsiTheme="majorBidi" w:cstheme="majorBidi"/>
          <w:lang w:val="lt-LT"/>
        </w:rPr>
        <w:t>1 i</w:t>
      </w:r>
      <w:r>
        <w:rPr>
          <w:rFonts w:asciiTheme="majorBidi" w:hAnsiTheme="majorBidi" w:cstheme="majorBidi"/>
          <w:lang w:val="lt-LT"/>
        </w:rPr>
        <w:t xml:space="preserve">š </w:t>
      </w:r>
      <w:r w:rsidRPr="00044EE1">
        <w:rPr>
          <w:rFonts w:asciiTheme="majorBidi" w:hAnsiTheme="majorBidi" w:cstheme="majorBidi"/>
          <w:lang w:val="lt-LT"/>
        </w:rPr>
        <w:t>3</w:t>
      </w:r>
      <w:r>
        <w:rPr>
          <w:rFonts w:asciiTheme="majorBidi" w:hAnsiTheme="majorBidi" w:cstheme="majorBidi"/>
          <w:lang w:val="lt-LT"/>
        </w:rPr>
        <w:t xml:space="preserve"> pacientų ankstyvas KV progresuoja iki </w:t>
      </w:r>
      <w:proofErr w:type="spellStart"/>
      <w:r>
        <w:rPr>
          <w:rFonts w:asciiTheme="majorBidi" w:hAnsiTheme="majorBidi" w:cstheme="majorBidi"/>
          <w:lang w:val="lt-LT"/>
        </w:rPr>
        <w:t>metastatinio</w:t>
      </w:r>
      <w:proofErr w:type="spellEnd"/>
      <w:r>
        <w:rPr>
          <w:rFonts w:asciiTheme="majorBidi" w:hAnsiTheme="majorBidi" w:cstheme="majorBidi"/>
          <w:lang w:val="lt-LT"/>
        </w:rPr>
        <w:t xml:space="preserve"> (toliau - </w:t>
      </w:r>
      <w:proofErr w:type="spellStart"/>
      <w:r>
        <w:rPr>
          <w:rFonts w:asciiTheme="majorBidi" w:hAnsiTheme="majorBidi" w:cstheme="majorBidi"/>
          <w:lang w:val="lt-LT"/>
        </w:rPr>
        <w:t>mKV</w:t>
      </w:r>
      <w:proofErr w:type="spellEnd"/>
      <w:r>
        <w:rPr>
          <w:rFonts w:asciiTheme="majorBidi" w:hAnsiTheme="majorBidi" w:cstheme="majorBidi"/>
          <w:lang w:val="lt-LT"/>
        </w:rPr>
        <w:t>)</w:t>
      </w:r>
      <w:r w:rsidRPr="00044EE1">
        <w:rPr>
          <w:lang w:val="lt-LT"/>
        </w:rPr>
        <w:t xml:space="preserve">. </w:t>
      </w:r>
    </w:p>
    <w:p w14:paraId="2664525A" w14:textId="77777777" w:rsidR="00B96F61" w:rsidRPr="002270A7" w:rsidRDefault="00B96F61" w:rsidP="00B96F61">
      <w:pPr>
        <w:tabs>
          <w:tab w:val="left" w:pos="426"/>
        </w:tabs>
        <w:spacing w:line="276" w:lineRule="auto"/>
        <w:jc w:val="both"/>
        <w:rPr>
          <w:rFonts w:eastAsia="Arial"/>
          <w:bCs/>
          <w:color w:val="000000" w:themeColor="text1"/>
        </w:rPr>
      </w:pPr>
      <w:r w:rsidRPr="004F7814">
        <w:rPr>
          <w:rFonts w:eastAsia="Arial"/>
          <w:b/>
          <w:color w:val="000000" w:themeColor="text1"/>
        </w:rPr>
        <w:tab/>
      </w:r>
      <w:r w:rsidRPr="002D47A7">
        <w:rPr>
          <w:rFonts w:eastAsia="Arial"/>
          <w:bCs/>
          <w:color w:val="000000" w:themeColor="text1"/>
        </w:rPr>
        <w:t xml:space="preserve">Lokaliai progresavusio ar </w:t>
      </w:r>
      <w:proofErr w:type="spellStart"/>
      <w:r w:rsidRPr="002D47A7">
        <w:rPr>
          <w:rFonts w:eastAsia="Arial"/>
          <w:bCs/>
          <w:color w:val="000000" w:themeColor="text1"/>
        </w:rPr>
        <w:t>metastazavusio</w:t>
      </w:r>
      <w:proofErr w:type="spellEnd"/>
      <w:r w:rsidRPr="002D47A7">
        <w:rPr>
          <w:rFonts w:eastAsia="Arial"/>
          <w:bCs/>
          <w:color w:val="000000" w:themeColor="text1"/>
        </w:rPr>
        <w:t xml:space="preserve"> KV, kuriam </w:t>
      </w:r>
      <w:r>
        <w:rPr>
          <w:rFonts w:eastAsia="Arial"/>
          <w:bCs/>
          <w:color w:val="000000" w:themeColor="text1"/>
        </w:rPr>
        <w:t>nustatoma</w:t>
      </w:r>
      <w:r w:rsidRPr="002D47A7">
        <w:rPr>
          <w:rFonts w:eastAsia="Arial"/>
          <w:bCs/>
          <w:color w:val="000000" w:themeColor="text1"/>
        </w:rPr>
        <w:t xml:space="preserve"> hormonų receptorių (HR)</w:t>
      </w:r>
      <w:r>
        <w:rPr>
          <w:rFonts w:eastAsia="Arial"/>
          <w:bCs/>
          <w:color w:val="000000" w:themeColor="text1"/>
        </w:rPr>
        <w:t xml:space="preserve"> ir </w:t>
      </w:r>
      <w:r w:rsidRPr="00816286">
        <w:rPr>
          <w:rFonts w:eastAsia="Arial"/>
          <w:bCs/>
          <w:color w:val="000000" w:themeColor="text1"/>
        </w:rPr>
        <w:t>nenustatoma</w:t>
      </w:r>
      <w:r w:rsidRPr="00516ACB">
        <w:t xml:space="preserve"> </w:t>
      </w:r>
      <w:r>
        <w:t>žmogaus epidermio augimo veiksnio</w:t>
      </w:r>
      <w:r>
        <w:rPr>
          <w:rFonts w:eastAsia="Arial"/>
          <w:bCs/>
          <w:color w:val="000000" w:themeColor="text1"/>
        </w:rPr>
        <w:t xml:space="preserve"> </w:t>
      </w:r>
      <w:r w:rsidRPr="002D47A7">
        <w:rPr>
          <w:rFonts w:eastAsia="Arial"/>
          <w:bCs/>
          <w:color w:val="000000" w:themeColor="text1"/>
        </w:rPr>
        <w:t xml:space="preserve">HER2 </w:t>
      </w:r>
      <w:r>
        <w:rPr>
          <w:rFonts w:eastAsia="Arial"/>
          <w:bCs/>
          <w:color w:val="000000" w:themeColor="text1"/>
        </w:rPr>
        <w:t xml:space="preserve">raiška </w:t>
      </w:r>
      <w:r w:rsidRPr="002D47A7">
        <w:rPr>
          <w:rFonts w:eastAsia="Arial"/>
          <w:bCs/>
          <w:color w:val="000000" w:themeColor="text1"/>
        </w:rPr>
        <w:t xml:space="preserve">standartinis gydymas yra </w:t>
      </w:r>
      <w:proofErr w:type="spellStart"/>
      <w:r w:rsidRPr="002D47A7">
        <w:rPr>
          <w:rFonts w:eastAsia="Arial"/>
          <w:bCs/>
          <w:color w:val="000000" w:themeColor="text1"/>
        </w:rPr>
        <w:t>hormonoterapija</w:t>
      </w:r>
      <w:proofErr w:type="spellEnd"/>
      <w:r>
        <w:rPr>
          <w:rFonts w:eastAsia="Arial"/>
          <w:bCs/>
          <w:color w:val="000000" w:themeColor="text1"/>
        </w:rPr>
        <w:t xml:space="preserve">. </w:t>
      </w:r>
      <w:r w:rsidRPr="002D47A7">
        <w:rPr>
          <w:rFonts w:eastAsia="Arial"/>
          <w:bCs/>
          <w:color w:val="000000" w:themeColor="text1"/>
        </w:rPr>
        <w:t>Pagal Lietuvoje SAM patvirtintą krūties vėžio gydymo kompensuojamaisiais vaistais tvarką</w:t>
      </w:r>
      <w:r>
        <w:rPr>
          <w:rFonts w:eastAsia="Arial"/>
          <w:bCs/>
          <w:color w:val="000000" w:themeColor="text1"/>
        </w:rPr>
        <w:t xml:space="preserve"> (</w:t>
      </w:r>
      <w:r w:rsidRPr="008961BC">
        <w:rPr>
          <w:rFonts w:eastAsia="Arial"/>
          <w:bCs/>
          <w:color w:val="000000" w:themeColor="text1"/>
        </w:rPr>
        <w:t>LR SAM „</w:t>
      </w:r>
      <w:r>
        <w:rPr>
          <w:rFonts w:eastAsia="Arial"/>
          <w:bCs/>
          <w:color w:val="000000" w:themeColor="text1"/>
        </w:rPr>
        <w:t>Krūties piktybinio naviko</w:t>
      </w:r>
      <w:r w:rsidRPr="008961BC">
        <w:rPr>
          <w:rFonts w:eastAsia="Arial"/>
          <w:bCs/>
          <w:color w:val="000000" w:themeColor="text1"/>
        </w:rPr>
        <w:t xml:space="preserve"> </w:t>
      </w:r>
      <w:r>
        <w:rPr>
          <w:rFonts w:eastAsia="Arial"/>
          <w:bCs/>
          <w:color w:val="000000" w:themeColor="text1"/>
        </w:rPr>
        <w:t>ambulatorinio gydymo kompensuojamaisiais vaistais tvarkos aprašas</w:t>
      </w:r>
      <w:r w:rsidRPr="008961BC">
        <w:rPr>
          <w:rFonts w:eastAsia="Arial"/>
          <w:bCs/>
          <w:color w:val="000000" w:themeColor="text1"/>
        </w:rPr>
        <w:t>“ (Nr. V-71</w:t>
      </w:r>
      <w:r>
        <w:rPr>
          <w:rFonts w:eastAsia="Arial"/>
          <w:bCs/>
          <w:color w:val="000000" w:themeColor="text1"/>
        </w:rPr>
        <w:t>3</w:t>
      </w:r>
      <w:r w:rsidRPr="008961BC">
        <w:rPr>
          <w:rFonts w:eastAsia="Arial"/>
          <w:bCs/>
          <w:color w:val="000000" w:themeColor="text1"/>
        </w:rPr>
        <w:t>)</w:t>
      </w:r>
      <w:r>
        <w:rPr>
          <w:rFonts w:eastAsia="Arial"/>
          <w:bCs/>
          <w:color w:val="000000" w:themeColor="text1"/>
        </w:rPr>
        <w:t xml:space="preserve">, toliau – Aprašas), </w:t>
      </w:r>
      <w:proofErr w:type="spellStart"/>
      <w:r>
        <w:rPr>
          <w:rFonts w:eastAsia="Arial"/>
          <w:bCs/>
          <w:color w:val="000000" w:themeColor="text1"/>
        </w:rPr>
        <w:t>mKV</w:t>
      </w:r>
      <w:proofErr w:type="spellEnd"/>
      <w:r>
        <w:rPr>
          <w:rFonts w:eastAsia="Arial"/>
          <w:bCs/>
          <w:color w:val="000000" w:themeColor="text1"/>
        </w:rPr>
        <w:t xml:space="preserve"> </w:t>
      </w:r>
      <w:proofErr w:type="spellStart"/>
      <w:r w:rsidRPr="002D47A7">
        <w:rPr>
          <w:rFonts w:eastAsia="Arial"/>
          <w:bCs/>
          <w:color w:val="000000" w:themeColor="text1"/>
        </w:rPr>
        <w:t>hormonoterapija</w:t>
      </w:r>
      <w:proofErr w:type="spellEnd"/>
      <w:r w:rsidRPr="002D47A7">
        <w:rPr>
          <w:rFonts w:eastAsia="Arial"/>
          <w:bCs/>
          <w:color w:val="000000" w:themeColor="text1"/>
        </w:rPr>
        <w:t xml:space="preserve"> skiriama tik nustačius teigiamus estrogenų ir / ar progesteronų receptorius ar nenustačius hormonų receptorių ir nesant galimybės juos nustatyti, tačiau yra ilgalaikė remisija po pirminio gydymo, ar jei buvo atsakas į ankstesnį gydymą </w:t>
      </w:r>
      <w:proofErr w:type="spellStart"/>
      <w:r w:rsidRPr="002D47A7">
        <w:rPr>
          <w:rFonts w:eastAsia="Arial"/>
          <w:bCs/>
          <w:color w:val="000000" w:themeColor="text1"/>
        </w:rPr>
        <w:t>tamoksifenu</w:t>
      </w:r>
      <w:proofErr w:type="spellEnd"/>
      <w:r>
        <w:rPr>
          <w:rFonts w:eastAsia="Arial"/>
          <w:bCs/>
          <w:color w:val="000000" w:themeColor="text1"/>
        </w:rPr>
        <w:t xml:space="preserve">. </w:t>
      </w:r>
      <w:r>
        <w:t xml:space="preserve">Prieš menopauzę ir </w:t>
      </w:r>
      <w:proofErr w:type="spellStart"/>
      <w:r>
        <w:t>perimenopauzės</w:t>
      </w:r>
      <w:proofErr w:type="spellEnd"/>
      <w:r>
        <w:t xml:space="preserve"> laikotarpiais endokrininę terapiją reikia derinti su gydymu </w:t>
      </w:r>
      <w:proofErr w:type="spellStart"/>
      <w:r>
        <w:t>liuteinizuojantį</w:t>
      </w:r>
      <w:proofErr w:type="spellEnd"/>
      <w:r>
        <w:t xml:space="preserve"> hormoną atpalaiduojančio hormono (LHAH) </w:t>
      </w:r>
      <w:proofErr w:type="spellStart"/>
      <w:r>
        <w:t>agonistu</w:t>
      </w:r>
      <w:proofErr w:type="spellEnd"/>
      <w:r>
        <w:t>.</w:t>
      </w:r>
      <w:r>
        <w:rPr>
          <w:rFonts w:eastAsia="Arial"/>
          <w:bCs/>
          <w:color w:val="000000" w:themeColor="text1"/>
        </w:rPr>
        <w:t xml:space="preserve"> </w:t>
      </w:r>
      <w:r w:rsidRPr="002270A7">
        <w:rPr>
          <w:rFonts w:eastAsia="Arial"/>
          <w:bCs/>
          <w:color w:val="000000" w:themeColor="text1"/>
        </w:rPr>
        <w:t xml:space="preserve">Remiantis Respublikos sveikatos apsaugos ministro 2000 m. sausio 28 d. įsakyme Nr. 49  „Dėl kompensuojamųjų vaistų sąrašų patvirtinimo“ pateiktu ligų ir kompensuojamųjų vaistų joms gydyti sąrašą ir Aprašu, HR+ ir HER2 </w:t>
      </w:r>
      <w:proofErr w:type="spellStart"/>
      <w:r w:rsidRPr="002270A7">
        <w:rPr>
          <w:rFonts w:eastAsia="Arial"/>
          <w:bCs/>
          <w:color w:val="000000" w:themeColor="text1"/>
        </w:rPr>
        <w:t>mKV</w:t>
      </w:r>
      <w:proofErr w:type="spellEnd"/>
      <w:r w:rsidRPr="002270A7">
        <w:rPr>
          <w:rFonts w:eastAsia="Arial"/>
          <w:bCs/>
          <w:color w:val="000000" w:themeColor="text1"/>
        </w:rPr>
        <w:t xml:space="preserve">  skiriama: endokrininė terapija </w:t>
      </w:r>
      <w:proofErr w:type="spellStart"/>
      <w:r w:rsidRPr="002270A7">
        <w:rPr>
          <w:rFonts w:eastAsia="Arial"/>
          <w:bCs/>
          <w:color w:val="000000" w:themeColor="text1"/>
        </w:rPr>
        <w:t>antiestrogenais</w:t>
      </w:r>
      <w:proofErr w:type="spellEnd"/>
      <w:r w:rsidRPr="002270A7">
        <w:rPr>
          <w:rFonts w:eastAsia="Arial"/>
          <w:bCs/>
          <w:color w:val="000000" w:themeColor="text1"/>
        </w:rPr>
        <w:t xml:space="preserve"> (</w:t>
      </w:r>
      <w:proofErr w:type="spellStart"/>
      <w:r w:rsidRPr="002270A7">
        <w:rPr>
          <w:rFonts w:eastAsia="Arial"/>
          <w:bCs/>
          <w:color w:val="000000" w:themeColor="text1"/>
        </w:rPr>
        <w:t>tamoksifenu</w:t>
      </w:r>
      <w:proofErr w:type="spellEnd"/>
      <w:r w:rsidRPr="002270A7">
        <w:rPr>
          <w:rFonts w:eastAsia="Arial"/>
          <w:bCs/>
          <w:color w:val="000000" w:themeColor="text1"/>
        </w:rPr>
        <w:t xml:space="preserve">, </w:t>
      </w:r>
      <w:proofErr w:type="spellStart"/>
      <w:r w:rsidRPr="002270A7">
        <w:rPr>
          <w:rFonts w:eastAsia="Arial"/>
          <w:bCs/>
          <w:color w:val="000000" w:themeColor="text1"/>
        </w:rPr>
        <w:t>fulvestrantu</w:t>
      </w:r>
      <w:proofErr w:type="spellEnd"/>
      <w:r w:rsidRPr="002270A7">
        <w:rPr>
          <w:rFonts w:eastAsia="Arial"/>
          <w:bCs/>
          <w:color w:val="000000" w:themeColor="text1"/>
        </w:rPr>
        <w:t xml:space="preserve">), </w:t>
      </w:r>
      <w:proofErr w:type="spellStart"/>
      <w:r w:rsidRPr="002270A7">
        <w:rPr>
          <w:rFonts w:eastAsia="Arial"/>
          <w:bCs/>
          <w:color w:val="000000" w:themeColor="text1"/>
        </w:rPr>
        <w:t>aromatazės</w:t>
      </w:r>
      <w:proofErr w:type="spellEnd"/>
      <w:r w:rsidRPr="002270A7">
        <w:rPr>
          <w:rFonts w:eastAsia="Arial"/>
          <w:bCs/>
          <w:color w:val="000000" w:themeColor="text1"/>
        </w:rPr>
        <w:t xml:space="preserve"> inhibitoriais (AI) (</w:t>
      </w:r>
      <w:proofErr w:type="spellStart"/>
      <w:r w:rsidRPr="002270A7">
        <w:rPr>
          <w:rFonts w:eastAsia="Arial"/>
          <w:bCs/>
          <w:color w:val="000000" w:themeColor="text1"/>
        </w:rPr>
        <w:t>anastrazolas</w:t>
      </w:r>
      <w:proofErr w:type="spellEnd"/>
      <w:r w:rsidRPr="002270A7">
        <w:rPr>
          <w:rFonts w:eastAsia="Arial"/>
          <w:bCs/>
          <w:color w:val="000000" w:themeColor="text1"/>
        </w:rPr>
        <w:t xml:space="preserve">, </w:t>
      </w:r>
      <w:proofErr w:type="spellStart"/>
      <w:r w:rsidRPr="002270A7">
        <w:rPr>
          <w:rFonts w:eastAsia="Arial"/>
          <w:bCs/>
          <w:color w:val="000000" w:themeColor="text1"/>
        </w:rPr>
        <w:t>letrozolas</w:t>
      </w:r>
      <w:proofErr w:type="spellEnd"/>
      <w:r w:rsidRPr="002270A7">
        <w:rPr>
          <w:rFonts w:eastAsia="Arial"/>
          <w:bCs/>
          <w:color w:val="000000" w:themeColor="text1"/>
        </w:rPr>
        <w:t xml:space="preserve">, </w:t>
      </w:r>
      <w:proofErr w:type="spellStart"/>
      <w:r w:rsidRPr="002270A7">
        <w:rPr>
          <w:rFonts w:eastAsia="Arial"/>
          <w:bCs/>
          <w:color w:val="000000" w:themeColor="text1"/>
        </w:rPr>
        <w:t>eksemestanas</w:t>
      </w:r>
      <w:proofErr w:type="spellEnd"/>
      <w:r w:rsidRPr="002270A7">
        <w:rPr>
          <w:rFonts w:eastAsia="Arial"/>
          <w:bCs/>
          <w:color w:val="000000" w:themeColor="text1"/>
        </w:rPr>
        <w:t xml:space="preserve">), taikinių terapija nuo </w:t>
      </w:r>
      <w:proofErr w:type="spellStart"/>
      <w:r w:rsidRPr="002270A7">
        <w:rPr>
          <w:rFonts w:eastAsia="Arial"/>
          <w:bCs/>
          <w:color w:val="000000" w:themeColor="text1"/>
        </w:rPr>
        <w:t>ciklinų</w:t>
      </w:r>
      <w:proofErr w:type="spellEnd"/>
      <w:r w:rsidRPr="002270A7">
        <w:rPr>
          <w:rFonts w:eastAsia="Arial"/>
          <w:bCs/>
          <w:color w:val="000000" w:themeColor="text1"/>
        </w:rPr>
        <w:t xml:space="preserve"> priklausomų </w:t>
      </w:r>
      <w:proofErr w:type="spellStart"/>
      <w:r w:rsidRPr="002270A7">
        <w:rPr>
          <w:rFonts w:eastAsia="Arial"/>
          <w:bCs/>
          <w:color w:val="000000" w:themeColor="text1"/>
        </w:rPr>
        <w:t>kinazių</w:t>
      </w:r>
      <w:proofErr w:type="spellEnd"/>
      <w:r w:rsidRPr="002270A7">
        <w:rPr>
          <w:rFonts w:eastAsia="Arial"/>
          <w:bCs/>
          <w:color w:val="000000" w:themeColor="text1"/>
        </w:rPr>
        <w:t xml:space="preserve"> (angl. </w:t>
      </w:r>
      <w:proofErr w:type="spellStart"/>
      <w:r w:rsidRPr="002270A7">
        <w:rPr>
          <w:rFonts w:eastAsia="Arial"/>
          <w:bCs/>
          <w:i/>
          <w:iCs/>
          <w:color w:val="000000" w:themeColor="text1"/>
        </w:rPr>
        <w:t>cyclin-dependent</w:t>
      </w:r>
      <w:proofErr w:type="spellEnd"/>
      <w:r w:rsidRPr="002270A7">
        <w:rPr>
          <w:rFonts w:eastAsia="Arial"/>
          <w:bCs/>
          <w:i/>
          <w:iCs/>
          <w:color w:val="000000" w:themeColor="text1"/>
        </w:rPr>
        <w:t xml:space="preserve"> </w:t>
      </w:r>
      <w:proofErr w:type="spellStart"/>
      <w:r w:rsidRPr="002270A7">
        <w:rPr>
          <w:rFonts w:eastAsia="Arial"/>
          <w:bCs/>
          <w:i/>
          <w:iCs/>
          <w:color w:val="000000" w:themeColor="text1"/>
        </w:rPr>
        <w:t>kinases</w:t>
      </w:r>
      <w:proofErr w:type="spellEnd"/>
      <w:r w:rsidRPr="002270A7">
        <w:rPr>
          <w:rFonts w:eastAsia="Arial"/>
          <w:bCs/>
          <w:color w:val="000000" w:themeColor="text1"/>
        </w:rPr>
        <w:t xml:space="preserve"> (CDK4 bei CDK6)) inhibitoriais (</w:t>
      </w:r>
      <w:proofErr w:type="spellStart"/>
      <w:r w:rsidRPr="002270A7">
        <w:rPr>
          <w:rFonts w:eastAsia="Arial"/>
          <w:bCs/>
          <w:color w:val="000000" w:themeColor="text1"/>
        </w:rPr>
        <w:t>ribociklibas</w:t>
      </w:r>
      <w:proofErr w:type="spellEnd"/>
      <w:r w:rsidRPr="002270A7">
        <w:rPr>
          <w:rFonts w:eastAsia="Arial"/>
          <w:bCs/>
          <w:color w:val="000000" w:themeColor="text1"/>
        </w:rPr>
        <w:t xml:space="preserve">, </w:t>
      </w:r>
      <w:proofErr w:type="spellStart"/>
      <w:r w:rsidRPr="002270A7">
        <w:rPr>
          <w:rFonts w:eastAsia="Arial"/>
          <w:bCs/>
          <w:color w:val="000000" w:themeColor="text1"/>
        </w:rPr>
        <w:t>palbociklibas</w:t>
      </w:r>
      <w:proofErr w:type="spellEnd"/>
      <w:r w:rsidRPr="002270A7">
        <w:rPr>
          <w:rFonts w:eastAsia="Arial"/>
          <w:bCs/>
          <w:color w:val="000000" w:themeColor="text1"/>
        </w:rPr>
        <w:t xml:space="preserve">, </w:t>
      </w:r>
      <w:proofErr w:type="spellStart"/>
      <w:r w:rsidRPr="002270A7">
        <w:rPr>
          <w:rFonts w:eastAsia="Arial"/>
          <w:bCs/>
          <w:color w:val="000000" w:themeColor="text1"/>
        </w:rPr>
        <w:t>abemaciklibas</w:t>
      </w:r>
      <w:proofErr w:type="spellEnd"/>
      <w:r w:rsidRPr="002270A7">
        <w:rPr>
          <w:rFonts w:eastAsia="Arial"/>
          <w:bCs/>
          <w:color w:val="000000" w:themeColor="text1"/>
        </w:rPr>
        <w:t xml:space="preserve">). </w:t>
      </w:r>
      <w:proofErr w:type="spellStart"/>
      <w:r w:rsidRPr="002270A7">
        <w:rPr>
          <w:rFonts w:eastAsia="Arial"/>
          <w:bCs/>
          <w:color w:val="000000" w:themeColor="text1"/>
        </w:rPr>
        <w:t>Liutenizuojantį</w:t>
      </w:r>
      <w:proofErr w:type="spellEnd"/>
      <w:r w:rsidRPr="002270A7">
        <w:rPr>
          <w:rFonts w:eastAsia="Arial"/>
          <w:bCs/>
          <w:color w:val="000000" w:themeColor="text1"/>
        </w:rPr>
        <w:t xml:space="preserve"> hormoną </w:t>
      </w:r>
      <w:proofErr w:type="spellStart"/>
      <w:r w:rsidRPr="002270A7">
        <w:rPr>
          <w:rFonts w:eastAsia="Arial"/>
          <w:bCs/>
          <w:color w:val="000000" w:themeColor="text1"/>
        </w:rPr>
        <w:t>atpalaiduodančio</w:t>
      </w:r>
      <w:proofErr w:type="spellEnd"/>
      <w:r w:rsidRPr="002270A7">
        <w:rPr>
          <w:rFonts w:eastAsia="Arial"/>
          <w:bCs/>
          <w:color w:val="000000" w:themeColor="text1"/>
        </w:rPr>
        <w:t xml:space="preserve"> hormono (LHAH) </w:t>
      </w:r>
      <w:proofErr w:type="spellStart"/>
      <w:r w:rsidRPr="002270A7">
        <w:rPr>
          <w:rFonts w:eastAsia="Arial"/>
          <w:bCs/>
          <w:color w:val="000000" w:themeColor="text1"/>
        </w:rPr>
        <w:t>agonistas</w:t>
      </w:r>
      <w:proofErr w:type="spellEnd"/>
      <w:r w:rsidRPr="002270A7">
        <w:rPr>
          <w:rFonts w:eastAsia="Arial"/>
          <w:bCs/>
          <w:color w:val="000000" w:themeColor="text1"/>
        </w:rPr>
        <w:t xml:space="preserve"> (pvz. </w:t>
      </w:r>
      <w:proofErr w:type="spellStart"/>
      <w:r w:rsidRPr="002270A7">
        <w:rPr>
          <w:rFonts w:eastAsia="Arial"/>
          <w:bCs/>
          <w:color w:val="000000" w:themeColor="text1"/>
        </w:rPr>
        <w:t>goserelinas</w:t>
      </w:r>
      <w:proofErr w:type="spellEnd"/>
      <w:r w:rsidRPr="002270A7">
        <w:rPr>
          <w:rFonts w:eastAsia="Arial"/>
          <w:bCs/>
          <w:color w:val="000000" w:themeColor="text1"/>
        </w:rPr>
        <w:t xml:space="preserve">) skiriamas moterims prieš menopauzę ir </w:t>
      </w:r>
      <w:proofErr w:type="spellStart"/>
      <w:r w:rsidRPr="002270A7">
        <w:rPr>
          <w:rFonts w:eastAsia="Arial"/>
          <w:bCs/>
          <w:color w:val="000000" w:themeColor="text1"/>
        </w:rPr>
        <w:t>perimenopauzės</w:t>
      </w:r>
      <w:proofErr w:type="spellEnd"/>
      <w:r w:rsidRPr="002270A7">
        <w:rPr>
          <w:rFonts w:eastAsia="Arial"/>
          <w:bCs/>
          <w:color w:val="000000" w:themeColor="text1"/>
        </w:rPr>
        <w:t xml:space="preserve"> laikotarpiu.</w:t>
      </w:r>
    </w:p>
    <w:p w14:paraId="71B8021C" w14:textId="77777777" w:rsidR="00B96F61" w:rsidRDefault="00B96F61" w:rsidP="00B96F61">
      <w:pPr>
        <w:tabs>
          <w:tab w:val="left" w:pos="426"/>
        </w:tabs>
        <w:spacing w:line="276" w:lineRule="auto"/>
        <w:jc w:val="both"/>
        <w:rPr>
          <w:rFonts w:eastAsia="Arial"/>
          <w:b/>
          <w:color w:val="000000" w:themeColor="text1"/>
        </w:rPr>
      </w:pPr>
      <w:r>
        <w:tab/>
        <w:t xml:space="preserve">Remiantis Europos medicininės onkologijos draugijos </w:t>
      </w:r>
      <w:r w:rsidRPr="002D47A7">
        <w:rPr>
          <w:rFonts w:eastAsia="Arial"/>
          <w:bCs/>
          <w:color w:val="000000" w:themeColor="text1"/>
        </w:rPr>
        <w:t>(</w:t>
      </w:r>
      <w:r>
        <w:rPr>
          <w:rFonts w:eastAsia="Arial"/>
          <w:bCs/>
          <w:color w:val="000000" w:themeColor="text1"/>
        </w:rPr>
        <w:t xml:space="preserve">angl. </w:t>
      </w:r>
      <w:proofErr w:type="spellStart"/>
      <w:r w:rsidRPr="002D47A7">
        <w:rPr>
          <w:rFonts w:eastAsia="Arial"/>
          <w:bCs/>
          <w:color w:val="000000" w:themeColor="text1"/>
        </w:rPr>
        <w:t>E</w:t>
      </w:r>
      <w:r w:rsidRPr="00C50F15">
        <w:rPr>
          <w:rFonts w:eastAsia="Arial"/>
          <w:bCs/>
          <w:i/>
          <w:iCs/>
          <w:color w:val="000000" w:themeColor="text1"/>
        </w:rPr>
        <w:t>uropean</w:t>
      </w:r>
      <w:proofErr w:type="spellEnd"/>
      <w:r w:rsidRPr="00C50F15">
        <w:rPr>
          <w:rFonts w:eastAsia="Arial"/>
          <w:bCs/>
          <w:i/>
          <w:iCs/>
          <w:color w:val="000000" w:themeColor="text1"/>
        </w:rPr>
        <w:t xml:space="preserve"> </w:t>
      </w:r>
      <w:proofErr w:type="spellStart"/>
      <w:r w:rsidRPr="00C50F15">
        <w:rPr>
          <w:rFonts w:eastAsia="Arial"/>
          <w:bCs/>
          <w:i/>
          <w:iCs/>
          <w:color w:val="000000" w:themeColor="text1"/>
        </w:rPr>
        <w:t>Society</w:t>
      </w:r>
      <w:proofErr w:type="spellEnd"/>
      <w:r w:rsidRPr="00C50F15">
        <w:rPr>
          <w:rFonts w:eastAsia="Arial"/>
          <w:bCs/>
          <w:i/>
          <w:iCs/>
          <w:color w:val="000000" w:themeColor="text1"/>
        </w:rPr>
        <w:t xml:space="preserve"> </w:t>
      </w:r>
      <w:proofErr w:type="spellStart"/>
      <w:r w:rsidRPr="00C50F15">
        <w:rPr>
          <w:rFonts w:eastAsia="Arial"/>
          <w:bCs/>
          <w:i/>
          <w:iCs/>
          <w:color w:val="000000" w:themeColor="text1"/>
        </w:rPr>
        <w:t>for</w:t>
      </w:r>
      <w:proofErr w:type="spellEnd"/>
      <w:r w:rsidRPr="00C50F15">
        <w:rPr>
          <w:rFonts w:eastAsia="Arial"/>
          <w:bCs/>
          <w:i/>
          <w:iCs/>
          <w:color w:val="000000" w:themeColor="text1"/>
        </w:rPr>
        <w:t xml:space="preserve"> </w:t>
      </w:r>
      <w:proofErr w:type="spellStart"/>
      <w:r w:rsidRPr="00C50F15">
        <w:rPr>
          <w:rFonts w:eastAsia="Arial"/>
          <w:bCs/>
          <w:i/>
          <w:iCs/>
          <w:color w:val="000000" w:themeColor="text1"/>
        </w:rPr>
        <w:t>Medical</w:t>
      </w:r>
      <w:proofErr w:type="spellEnd"/>
      <w:r w:rsidRPr="00C50F15">
        <w:rPr>
          <w:rFonts w:eastAsia="Arial"/>
          <w:bCs/>
          <w:i/>
          <w:iCs/>
          <w:color w:val="000000" w:themeColor="text1"/>
        </w:rPr>
        <w:t xml:space="preserve"> </w:t>
      </w:r>
      <w:proofErr w:type="spellStart"/>
      <w:r w:rsidRPr="00C50F15">
        <w:rPr>
          <w:rFonts w:eastAsia="Arial"/>
          <w:bCs/>
          <w:i/>
          <w:iCs/>
          <w:color w:val="000000" w:themeColor="text1"/>
        </w:rPr>
        <w:t>Oncology</w:t>
      </w:r>
      <w:proofErr w:type="spellEnd"/>
      <w:r>
        <w:rPr>
          <w:rFonts w:eastAsia="Arial"/>
          <w:bCs/>
          <w:color w:val="000000" w:themeColor="text1"/>
        </w:rPr>
        <w:t xml:space="preserve"> (</w:t>
      </w:r>
      <w:r w:rsidRPr="002D47A7">
        <w:rPr>
          <w:rFonts w:eastAsia="Arial"/>
          <w:bCs/>
          <w:color w:val="000000" w:themeColor="text1"/>
        </w:rPr>
        <w:t>ESMO)</w:t>
      </w:r>
      <w:r>
        <w:rPr>
          <w:rFonts w:eastAsia="Arial"/>
          <w:bCs/>
          <w:color w:val="000000" w:themeColor="text1"/>
        </w:rPr>
        <w:t xml:space="preserve">) </w:t>
      </w:r>
      <w:r w:rsidRPr="002D47A7">
        <w:rPr>
          <w:rFonts w:eastAsia="Arial"/>
          <w:bCs/>
          <w:color w:val="000000" w:themeColor="text1"/>
        </w:rPr>
        <w:t>rekomendacijo</w:t>
      </w:r>
      <w:r>
        <w:rPr>
          <w:rFonts w:eastAsia="Arial"/>
          <w:bCs/>
          <w:color w:val="000000" w:themeColor="text1"/>
        </w:rPr>
        <w:t xml:space="preserve">mis, pirmaeilis HR+/HER2- </w:t>
      </w:r>
      <w:proofErr w:type="spellStart"/>
      <w:r>
        <w:rPr>
          <w:rFonts w:eastAsia="Arial"/>
          <w:bCs/>
          <w:color w:val="000000" w:themeColor="text1"/>
        </w:rPr>
        <w:t>mKV</w:t>
      </w:r>
      <w:proofErr w:type="spellEnd"/>
      <w:r>
        <w:rPr>
          <w:rFonts w:eastAsia="Arial"/>
          <w:bCs/>
          <w:color w:val="000000" w:themeColor="text1"/>
        </w:rPr>
        <w:t xml:space="preserve"> yra endokrininė terapija su </w:t>
      </w:r>
      <w:r w:rsidRPr="00641B89">
        <w:rPr>
          <w:rFonts w:eastAsia="Arial"/>
          <w:bCs/>
          <w:color w:val="000000" w:themeColor="text1"/>
        </w:rPr>
        <w:t xml:space="preserve">CDK4 </w:t>
      </w:r>
      <w:r>
        <w:rPr>
          <w:rFonts w:eastAsia="Arial"/>
          <w:bCs/>
          <w:color w:val="000000" w:themeColor="text1"/>
        </w:rPr>
        <w:t xml:space="preserve">bei </w:t>
      </w:r>
      <w:r w:rsidRPr="00641B89">
        <w:rPr>
          <w:rFonts w:eastAsia="Arial"/>
          <w:bCs/>
          <w:color w:val="000000" w:themeColor="text1"/>
        </w:rPr>
        <w:t>CDK6</w:t>
      </w:r>
      <w:r>
        <w:rPr>
          <w:rFonts w:eastAsia="Arial"/>
          <w:bCs/>
          <w:color w:val="000000" w:themeColor="text1"/>
        </w:rPr>
        <w:t xml:space="preserve"> inhibitoriais (IA lygio rekomendacija). </w:t>
      </w:r>
      <w:r w:rsidRPr="002D47A7">
        <w:rPr>
          <w:rFonts w:eastAsia="Arial"/>
          <w:bCs/>
          <w:color w:val="000000" w:themeColor="text1"/>
        </w:rPr>
        <w:t xml:space="preserve">Chemoterapija turėtų būti skiriama spartaus ligos progresavimo ar atsparumo </w:t>
      </w:r>
      <w:proofErr w:type="spellStart"/>
      <w:r w:rsidRPr="002D47A7">
        <w:rPr>
          <w:rFonts w:eastAsia="Arial"/>
          <w:bCs/>
          <w:color w:val="000000" w:themeColor="text1"/>
        </w:rPr>
        <w:t>hormonoterapijai</w:t>
      </w:r>
      <w:proofErr w:type="spellEnd"/>
      <w:r w:rsidRPr="002D47A7">
        <w:rPr>
          <w:rFonts w:eastAsia="Arial"/>
          <w:bCs/>
          <w:color w:val="000000" w:themeColor="text1"/>
        </w:rPr>
        <w:t xml:space="preserve"> atvejams</w:t>
      </w:r>
      <w:r>
        <w:rPr>
          <w:rFonts w:eastAsia="Arial"/>
          <w:bCs/>
          <w:color w:val="000000" w:themeColor="text1"/>
        </w:rPr>
        <w:t xml:space="preserve">. Remiantis Amerikos Nacionalinio visapusio vėžio tinklo (angl. </w:t>
      </w:r>
      <w:proofErr w:type="spellStart"/>
      <w:r w:rsidRPr="00454F72">
        <w:rPr>
          <w:rFonts w:eastAsia="Arial"/>
          <w:bCs/>
          <w:i/>
          <w:iCs/>
          <w:color w:val="000000" w:themeColor="text1"/>
        </w:rPr>
        <w:t>National</w:t>
      </w:r>
      <w:proofErr w:type="spellEnd"/>
      <w:r w:rsidRPr="00454F72">
        <w:rPr>
          <w:rFonts w:eastAsia="Arial"/>
          <w:bCs/>
          <w:i/>
          <w:iCs/>
          <w:color w:val="000000" w:themeColor="text1"/>
        </w:rPr>
        <w:t xml:space="preserve"> </w:t>
      </w:r>
      <w:proofErr w:type="spellStart"/>
      <w:r w:rsidRPr="00454F72">
        <w:rPr>
          <w:rFonts w:eastAsia="Arial"/>
          <w:bCs/>
          <w:i/>
          <w:iCs/>
          <w:color w:val="000000" w:themeColor="text1"/>
        </w:rPr>
        <w:t>Comprehensive</w:t>
      </w:r>
      <w:proofErr w:type="spellEnd"/>
      <w:r w:rsidRPr="00454F72">
        <w:rPr>
          <w:rFonts w:eastAsia="Arial"/>
          <w:bCs/>
          <w:i/>
          <w:iCs/>
          <w:color w:val="000000" w:themeColor="text1"/>
        </w:rPr>
        <w:t xml:space="preserve"> </w:t>
      </w:r>
      <w:proofErr w:type="spellStart"/>
      <w:r w:rsidRPr="00454F72">
        <w:rPr>
          <w:rFonts w:eastAsia="Arial"/>
          <w:bCs/>
          <w:i/>
          <w:iCs/>
          <w:color w:val="000000" w:themeColor="text1"/>
        </w:rPr>
        <w:t>Cancer</w:t>
      </w:r>
      <w:proofErr w:type="spellEnd"/>
      <w:r w:rsidRPr="00454F72">
        <w:rPr>
          <w:rFonts w:eastAsia="Arial"/>
          <w:bCs/>
          <w:i/>
          <w:iCs/>
          <w:color w:val="000000" w:themeColor="text1"/>
        </w:rPr>
        <w:t xml:space="preserve"> Network</w:t>
      </w:r>
      <w:r>
        <w:rPr>
          <w:rFonts w:eastAsia="Arial"/>
          <w:bCs/>
          <w:color w:val="000000" w:themeColor="text1"/>
        </w:rPr>
        <w:t xml:space="preserve">) rekomendacijomis, </w:t>
      </w:r>
      <w:proofErr w:type="spellStart"/>
      <w:r>
        <w:rPr>
          <w:rFonts w:eastAsia="Arial"/>
          <w:bCs/>
          <w:color w:val="000000" w:themeColor="text1"/>
        </w:rPr>
        <w:t>pirmaeiliui</w:t>
      </w:r>
      <w:proofErr w:type="spellEnd"/>
      <w:r>
        <w:rPr>
          <w:rFonts w:eastAsia="Arial"/>
          <w:bCs/>
          <w:color w:val="000000" w:themeColor="text1"/>
        </w:rPr>
        <w:t xml:space="preserve"> HR+/HER2- </w:t>
      </w:r>
      <w:proofErr w:type="spellStart"/>
      <w:r>
        <w:rPr>
          <w:rFonts w:eastAsia="Arial"/>
          <w:bCs/>
          <w:color w:val="000000" w:themeColor="text1"/>
        </w:rPr>
        <w:t>mKV</w:t>
      </w:r>
      <w:proofErr w:type="spellEnd"/>
      <w:r>
        <w:rPr>
          <w:rFonts w:eastAsia="Arial"/>
          <w:bCs/>
          <w:color w:val="000000" w:themeColor="text1"/>
        </w:rPr>
        <w:t xml:space="preserve"> gydymui skiriami AI su</w:t>
      </w:r>
      <w:r w:rsidRPr="00454F72">
        <w:rPr>
          <w:rFonts w:eastAsia="Arial"/>
          <w:bCs/>
          <w:color w:val="000000" w:themeColor="text1"/>
        </w:rPr>
        <w:t xml:space="preserve"> </w:t>
      </w:r>
      <w:r w:rsidRPr="00641B89">
        <w:rPr>
          <w:rFonts w:eastAsia="Arial"/>
          <w:bCs/>
          <w:color w:val="000000" w:themeColor="text1"/>
        </w:rPr>
        <w:t>CDK4</w:t>
      </w:r>
      <w:r>
        <w:rPr>
          <w:rFonts w:eastAsia="Arial"/>
          <w:bCs/>
          <w:color w:val="000000" w:themeColor="text1"/>
        </w:rPr>
        <w:t>/</w:t>
      </w:r>
      <w:r w:rsidRPr="00641B89">
        <w:rPr>
          <w:rFonts w:eastAsia="Arial"/>
          <w:bCs/>
          <w:color w:val="000000" w:themeColor="text1"/>
        </w:rPr>
        <w:t>CDK6</w:t>
      </w:r>
      <w:r>
        <w:rPr>
          <w:rFonts w:eastAsia="Arial"/>
          <w:bCs/>
          <w:color w:val="000000" w:themeColor="text1"/>
        </w:rPr>
        <w:t xml:space="preserve"> inhibitoriais, </w:t>
      </w:r>
      <w:proofErr w:type="spellStart"/>
      <w:r>
        <w:rPr>
          <w:rFonts w:eastAsia="Arial"/>
          <w:bCs/>
          <w:color w:val="000000" w:themeColor="text1"/>
        </w:rPr>
        <w:t>fulvestrantas</w:t>
      </w:r>
      <w:proofErr w:type="spellEnd"/>
      <w:r>
        <w:rPr>
          <w:rFonts w:eastAsia="Arial"/>
          <w:bCs/>
          <w:color w:val="000000" w:themeColor="text1"/>
        </w:rPr>
        <w:t xml:space="preserve"> su/be AI, </w:t>
      </w:r>
      <w:proofErr w:type="spellStart"/>
      <w:r>
        <w:rPr>
          <w:rFonts w:eastAsia="Arial"/>
          <w:bCs/>
          <w:color w:val="000000" w:themeColor="text1"/>
        </w:rPr>
        <w:t>fulvestrantas</w:t>
      </w:r>
      <w:proofErr w:type="spellEnd"/>
      <w:r>
        <w:rPr>
          <w:rFonts w:eastAsia="Arial"/>
          <w:bCs/>
          <w:color w:val="000000" w:themeColor="text1"/>
        </w:rPr>
        <w:t xml:space="preserve"> su </w:t>
      </w:r>
      <w:r w:rsidRPr="00641B89">
        <w:rPr>
          <w:rFonts w:eastAsia="Arial"/>
          <w:bCs/>
          <w:color w:val="000000" w:themeColor="text1"/>
        </w:rPr>
        <w:t>CDK4</w:t>
      </w:r>
      <w:r>
        <w:rPr>
          <w:rFonts w:eastAsia="Arial"/>
          <w:bCs/>
          <w:color w:val="000000" w:themeColor="text1"/>
        </w:rPr>
        <w:t>/</w:t>
      </w:r>
      <w:r w:rsidRPr="00641B89">
        <w:rPr>
          <w:rFonts w:eastAsia="Arial"/>
          <w:bCs/>
          <w:color w:val="000000" w:themeColor="text1"/>
        </w:rPr>
        <w:t>CDK6</w:t>
      </w:r>
      <w:r>
        <w:rPr>
          <w:rFonts w:eastAsia="Arial"/>
          <w:bCs/>
          <w:color w:val="000000" w:themeColor="text1"/>
        </w:rPr>
        <w:t xml:space="preserve"> inhibitoriumi. </w:t>
      </w:r>
      <w:r>
        <w:rPr>
          <w:rFonts w:eastAsia="Arial"/>
          <w:b/>
          <w:color w:val="000000" w:themeColor="text1"/>
        </w:rPr>
        <w:t xml:space="preserve"> </w:t>
      </w:r>
    </w:p>
    <w:p w14:paraId="3B35EDF3" w14:textId="77777777" w:rsidR="00B96F61" w:rsidRDefault="00B96F61" w:rsidP="00B96F61">
      <w:pPr>
        <w:tabs>
          <w:tab w:val="left" w:pos="426"/>
        </w:tabs>
        <w:spacing w:line="276" w:lineRule="auto"/>
        <w:jc w:val="both"/>
        <w:rPr>
          <w:rFonts w:eastAsia="Arial"/>
          <w:b/>
          <w:color w:val="000000" w:themeColor="text1"/>
        </w:rPr>
      </w:pPr>
    </w:p>
    <w:p w14:paraId="1EF64DD5" w14:textId="77777777" w:rsidR="00B96F61" w:rsidRDefault="00B96F61" w:rsidP="00B96F61">
      <w:pPr>
        <w:tabs>
          <w:tab w:val="left" w:pos="426"/>
        </w:tabs>
        <w:spacing w:line="276" w:lineRule="auto"/>
        <w:jc w:val="both"/>
        <w:rPr>
          <w:rFonts w:eastAsia="Arial"/>
          <w:b/>
          <w:color w:val="000000" w:themeColor="text1"/>
        </w:rPr>
      </w:pPr>
      <w:r>
        <w:rPr>
          <w:rFonts w:eastAsia="Arial"/>
          <w:b/>
          <w:color w:val="000000" w:themeColor="text1"/>
        </w:rPr>
        <w:tab/>
        <w:t>Klinikiniai įrodymai</w:t>
      </w:r>
    </w:p>
    <w:p w14:paraId="6A14B3F3" w14:textId="77777777" w:rsidR="00B96F61" w:rsidRPr="001769BE" w:rsidRDefault="00B96F61" w:rsidP="00B96F61">
      <w:pPr>
        <w:tabs>
          <w:tab w:val="left" w:pos="426"/>
        </w:tabs>
        <w:spacing w:line="276" w:lineRule="auto"/>
        <w:jc w:val="both"/>
        <w:rPr>
          <w:rFonts w:eastAsia="Arial"/>
          <w:bCs/>
          <w:color w:val="000000" w:themeColor="text1"/>
        </w:rPr>
      </w:pPr>
      <w:r>
        <w:rPr>
          <w:rFonts w:eastAsia="Arial"/>
          <w:b/>
          <w:color w:val="000000" w:themeColor="text1"/>
        </w:rPr>
        <w:tab/>
      </w:r>
    </w:p>
    <w:p w14:paraId="37486DBC" w14:textId="77777777" w:rsidR="00B96F61" w:rsidRDefault="00B96F61" w:rsidP="00B96F61">
      <w:pPr>
        <w:spacing w:line="276" w:lineRule="auto"/>
        <w:ind w:firstLine="360"/>
        <w:jc w:val="both"/>
        <w:rPr>
          <w:rFonts w:eastAsia="Arial"/>
        </w:rPr>
      </w:pPr>
      <w:r w:rsidRPr="004B6C1D">
        <w:rPr>
          <w:rFonts w:eastAsia="Arial"/>
        </w:rPr>
        <w:t>Palyginamasis ir klinikinis veiksmingumas grindžiami tiesioginio palyginimo tyrimo PALOMA 1 ir PALOMA 2 duomenimis, kuri</w:t>
      </w:r>
      <w:r>
        <w:rPr>
          <w:rFonts w:eastAsia="Arial"/>
        </w:rPr>
        <w:t>uose</w:t>
      </w:r>
      <w:r w:rsidRPr="004B6C1D">
        <w:rPr>
          <w:rFonts w:eastAsia="Arial"/>
        </w:rPr>
        <w:t xml:space="preserve"> </w:t>
      </w:r>
      <w:proofErr w:type="spellStart"/>
      <w:r w:rsidRPr="004B6C1D">
        <w:rPr>
          <w:rFonts w:eastAsia="Arial"/>
        </w:rPr>
        <w:t>palbociklibo</w:t>
      </w:r>
      <w:proofErr w:type="spellEnd"/>
      <w:r w:rsidRPr="004B6C1D">
        <w:rPr>
          <w:rFonts w:eastAsia="Arial"/>
        </w:rPr>
        <w:t xml:space="preserve"> ir </w:t>
      </w:r>
      <w:proofErr w:type="spellStart"/>
      <w:r w:rsidRPr="004B6C1D">
        <w:rPr>
          <w:rFonts w:eastAsia="Arial"/>
        </w:rPr>
        <w:t>letrozolo</w:t>
      </w:r>
      <w:proofErr w:type="spellEnd"/>
      <w:r>
        <w:rPr>
          <w:rFonts w:eastAsia="Arial"/>
        </w:rPr>
        <w:t xml:space="preserve"> </w:t>
      </w:r>
      <w:r w:rsidRPr="004B6C1D">
        <w:rPr>
          <w:rFonts w:eastAsia="Arial"/>
        </w:rPr>
        <w:t xml:space="preserve">derinys </w:t>
      </w:r>
      <w:r>
        <w:rPr>
          <w:rFonts w:eastAsia="Arial"/>
        </w:rPr>
        <w:t>pa</w:t>
      </w:r>
      <w:r w:rsidRPr="004B6C1D">
        <w:rPr>
          <w:rFonts w:eastAsia="Arial"/>
        </w:rPr>
        <w:t xml:space="preserve">lygintas su placebo ir </w:t>
      </w:r>
      <w:proofErr w:type="spellStart"/>
      <w:r w:rsidRPr="004B6C1D">
        <w:rPr>
          <w:rFonts w:eastAsia="Arial"/>
        </w:rPr>
        <w:t>letrozolo</w:t>
      </w:r>
      <w:proofErr w:type="spellEnd"/>
      <w:r w:rsidRPr="004B6C1D">
        <w:rPr>
          <w:rFonts w:eastAsia="Arial"/>
        </w:rPr>
        <w:t xml:space="preserve"> deriniu ir netiesioginio palyginimo (tinklinės meta-analizės, kurioje </w:t>
      </w:r>
      <w:proofErr w:type="spellStart"/>
      <w:r w:rsidRPr="004B6C1D">
        <w:rPr>
          <w:rFonts w:eastAsia="Arial"/>
        </w:rPr>
        <w:t>palbociklibo</w:t>
      </w:r>
      <w:proofErr w:type="spellEnd"/>
      <w:r w:rsidRPr="004B6C1D">
        <w:rPr>
          <w:rFonts w:eastAsia="Arial"/>
        </w:rPr>
        <w:t xml:space="preserve"> ir </w:t>
      </w:r>
      <w:proofErr w:type="spellStart"/>
      <w:r w:rsidRPr="004B6C1D">
        <w:rPr>
          <w:rFonts w:eastAsia="Arial"/>
        </w:rPr>
        <w:t>letrozolo</w:t>
      </w:r>
      <w:proofErr w:type="spellEnd"/>
      <w:r w:rsidRPr="004B6C1D">
        <w:rPr>
          <w:rFonts w:eastAsia="Arial"/>
        </w:rPr>
        <w:t xml:space="preserve"> derinys </w:t>
      </w:r>
      <w:r>
        <w:rPr>
          <w:rFonts w:eastAsia="Arial"/>
        </w:rPr>
        <w:t>pa</w:t>
      </w:r>
      <w:r w:rsidRPr="004B6C1D">
        <w:rPr>
          <w:rFonts w:eastAsia="Arial"/>
        </w:rPr>
        <w:t xml:space="preserve">lygintas su įvairiais vaistais, įskaitant </w:t>
      </w:r>
      <w:proofErr w:type="spellStart"/>
      <w:r w:rsidRPr="004B6C1D">
        <w:rPr>
          <w:rFonts w:eastAsia="Arial"/>
        </w:rPr>
        <w:t>ribociklibo</w:t>
      </w:r>
      <w:proofErr w:type="spellEnd"/>
      <w:r w:rsidRPr="004B6C1D">
        <w:rPr>
          <w:rFonts w:eastAsia="Arial"/>
        </w:rPr>
        <w:t xml:space="preserve"> ir </w:t>
      </w:r>
      <w:proofErr w:type="spellStart"/>
      <w:r w:rsidRPr="004B6C1D">
        <w:rPr>
          <w:rFonts w:eastAsia="Arial"/>
        </w:rPr>
        <w:t>letrozolo</w:t>
      </w:r>
      <w:proofErr w:type="spellEnd"/>
      <w:r w:rsidRPr="004B6C1D">
        <w:rPr>
          <w:rFonts w:eastAsia="Arial"/>
        </w:rPr>
        <w:t xml:space="preserve">, </w:t>
      </w:r>
      <w:proofErr w:type="spellStart"/>
      <w:r w:rsidRPr="004B6C1D">
        <w:rPr>
          <w:rFonts w:eastAsia="Arial"/>
        </w:rPr>
        <w:t>ribociklibo</w:t>
      </w:r>
      <w:proofErr w:type="spellEnd"/>
      <w:r w:rsidRPr="004B6C1D">
        <w:rPr>
          <w:rFonts w:eastAsia="Arial"/>
        </w:rPr>
        <w:t xml:space="preserve"> ir </w:t>
      </w:r>
      <w:proofErr w:type="spellStart"/>
      <w:r w:rsidRPr="004B6C1D">
        <w:rPr>
          <w:rFonts w:eastAsia="Arial"/>
        </w:rPr>
        <w:t>fulvestranto</w:t>
      </w:r>
      <w:proofErr w:type="spellEnd"/>
      <w:r w:rsidRPr="004B6C1D">
        <w:rPr>
          <w:rFonts w:eastAsia="Arial"/>
        </w:rPr>
        <w:t xml:space="preserve">, </w:t>
      </w:r>
      <w:proofErr w:type="spellStart"/>
      <w:r w:rsidRPr="004B6C1D">
        <w:rPr>
          <w:rFonts w:eastAsia="Arial"/>
        </w:rPr>
        <w:t>abemaciklibo</w:t>
      </w:r>
      <w:proofErr w:type="spellEnd"/>
      <w:r w:rsidRPr="004B6C1D">
        <w:rPr>
          <w:rFonts w:eastAsia="Arial"/>
        </w:rPr>
        <w:t xml:space="preserve"> ir </w:t>
      </w:r>
      <w:proofErr w:type="spellStart"/>
      <w:r w:rsidRPr="004B6C1D">
        <w:rPr>
          <w:rFonts w:eastAsia="Arial"/>
        </w:rPr>
        <w:t>fulvestranto</w:t>
      </w:r>
      <w:proofErr w:type="spellEnd"/>
      <w:r w:rsidRPr="004B6C1D">
        <w:rPr>
          <w:rFonts w:eastAsia="Arial"/>
        </w:rPr>
        <w:t xml:space="preserve"> derinius) duomenimis.</w:t>
      </w:r>
      <w:r>
        <w:rPr>
          <w:rFonts w:eastAsia="Arial"/>
        </w:rPr>
        <w:t xml:space="preserve"> </w:t>
      </w:r>
    </w:p>
    <w:p w14:paraId="70A693D2" w14:textId="77777777" w:rsidR="00B96F61" w:rsidRPr="001769BE" w:rsidRDefault="00B96F61" w:rsidP="00B96F61">
      <w:pPr>
        <w:spacing w:line="276" w:lineRule="auto"/>
        <w:ind w:firstLine="360"/>
        <w:jc w:val="both"/>
        <w:rPr>
          <w:rFonts w:eastAsia="Arial"/>
          <w:szCs w:val="20"/>
        </w:rPr>
      </w:pPr>
      <w:r w:rsidRPr="004B6C1D">
        <w:rPr>
          <w:rFonts w:eastAsia="Arial"/>
        </w:rPr>
        <w:t>Detalaus vertinimo metu nustatyta, kad</w:t>
      </w:r>
      <w:r>
        <w:rPr>
          <w:rFonts w:eastAsia="Arial"/>
        </w:rPr>
        <w:t xml:space="preserve"> remiantis Lietuvos </w:t>
      </w:r>
      <w:r w:rsidRPr="008F593A">
        <w:rPr>
          <w:rFonts w:eastAsia="Arial"/>
        </w:rPr>
        <w:t>Respublikos sveikatos apsaugos ministro 2000 m. sausio 28 d. įsakyme Nr. 49  „Dėl kompensuojamųjų vaistų sąrašų patvirtinimo“ pateiktu ligų ir kompensuojamųjų vaistų joms gydyti sąraš</w:t>
      </w:r>
      <w:r>
        <w:rPr>
          <w:rFonts w:eastAsia="Arial"/>
        </w:rPr>
        <w:t xml:space="preserve">u ir Lietuvoje piktybinio krūties naviko gydymą reglamentuojančiu Lietuvos </w:t>
      </w:r>
      <w:r w:rsidRPr="008F593A">
        <w:rPr>
          <w:rFonts w:eastAsia="Arial"/>
        </w:rPr>
        <w:t>Respublikos sveikatos apsaugos ministro</w:t>
      </w:r>
      <w:r>
        <w:rPr>
          <w:rFonts w:eastAsia="Arial"/>
        </w:rPr>
        <w:t xml:space="preserve"> įsakymu </w:t>
      </w:r>
      <w:r w:rsidRPr="008F593A">
        <w:rPr>
          <w:rFonts w:eastAsia="Arial"/>
        </w:rPr>
        <w:t xml:space="preserve"> „</w:t>
      </w:r>
      <w:r>
        <w:rPr>
          <w:rFonts w:eastAsia="Arial"/>
        </w:rPr>
        <w:t xml:space="preserve"> Dėl k</w:t>
      </w:r>
      <w:r w:rsidRPr="008F593A">
        <w:rPr>
          <w:rFonts w:eastAsia="Arial"/>
        </w:rPr>
        <w:t xml:space="preserve">rūties </w:t>
      </w:r>
      <w:r w:rsidRPr="008F593A">
        <w:rPr>
          <w:rFonts w:eastAsia="Arial"/>
        </w:rPr>
        <w:lastRenderedPageBreak/>
        <w:t>piktybinio naviko ambulatorinio gydymo kompensuojamaisiais vaistais tvarkos apraš</w:t>
      </w:r>
      <w:r>
        <w:rPr>
          <w:rFonts w:eastAsia="Arial"/>
        </w:rPr>
        <w:t>o patvirtinimo</w:t>
      </w:r>
      <w:r w:rsidRPr="008F593A">
        <w:rPr>
          <w:rFonts w:eastAsia="Arial"/>
        </w:rPr>
        <w:t>“</w:t>
      </w:r>
      <w:r>
        <w:rPr>
          <w:rFonts w:eastAsia="Arial"/>
        </w:rPr>
        <w:t xml:space="preserve"> </w:t>
      </w:r>
      <w:r w:rsidRPr="00132EFA">
        <w:rPr>
          <w:color w:val="000000"/>
        </w:rPr>
        <w:t xml:space="preserve">2011 m. liepos 22 d. Nr. </w:t>
      </w:r>
      <w:r w:rsidRPr="00132EFA">
        <w:rPr>
          <w:rFonts w:eastAsia="Arial"/>
        </w:rPr>
        <w:t>V-713</w:t>
      </w:r>
      <w:r>
        <w:rPr>
          <w:rFonts w:eastAsia="Arial"/>
        </w:rPr>
        <w:t xml:space="preserve">, </w:t>
      </w:r>
      <w:r w:rsidRPr="004B6C1D">
        <w:rPr>
          <w:rFonts w:eastAsia="Arial"/>
        </w:rPr>
        <w:t xml:space="preserve">įprastinę klinikinę praktiką atitinkantis palyginamasis gydymas yra netiesioginio palyginimo analizėje pateiktas gydymas </w:t>
      </w:r>
      <w:proofErr w:type="spellStart"/>
      <w:r w:rsidRPr="008F593A">
        <w:rPr>
          <w:rFonts w:eastAsia="Arial"/>
          <w:i/>
        </w:rPr>
        <w:t>ribociklibu</w:t>
      </w:r>
      <w:proofErr w:type="spellEnd"/>
      <w:r w:rsidRPr="008F593A">
        <w:rPr>
          <w:rFonts w:eastAsia="Arial"/>
          <w:i/>
        </w:rPr>
        <w:t xml:space="preserve"> ir </w:t>
      </w:r>
      <w:proofErr w:type="spellStart"/>
      <w:r w:rsidRPr="008F593A">
        <w:rPr>
          <w:rFonts w:eastAsia="Arial"/>
          <w:i/>
        </w:rPr>
        <w:t>letrozolu</w:t>
      </w:r>
      <w:proofErr w:type="spellEnd"/>
      <w:r w:rsidRPr="004B6C1D">
        <w:rPr>
          <w:rFonts w:eastAsia="Arial"/>
        </w:rPr>
        <w:t xml:space="preserve">, tačiau </w:t>
      </w:r>
      <w:r>
        <w:rPr>
          <w:rFonts w:eastAsia="Arial"/>
        </w:rPr>
        <w:t xml:space="preserve">Lietuvos </w:t>
      </w:r>
      <w:r w:rsidRPr="004B6C1D">
        <w:rPr>
          <w:rFonts w:eastAsia="Arial"/>
        </w:rPr>
        <w:t xml:space="preserve">klinikinę praktiką taip pat atitinka </w:t>
      </w:r>
      <w:proofErr w:type="spellStart"/>
      <w:r w:rsidRPr="008F593A">
        <w:rPr>
          <w:rFonts w:eastAsia="Arial"/>
          <w:i/>
        </w:rPr>
        <w:t>fulvestranto</w:t>
      </w:r>
      <w:proofErr w:type="spellEnd"/>
      <w:r w:rsidRPr="008F593A">
        <w:rPr>
          <w:rFonts w:eastAsia="Arial"/>
          <w:i/>
        </w:rPr>
        <w:t xml:space="preserve"> ir </w:t>
      </w:r>
      <w:proofErr w:type="spellStart"/>
      <w:r w:rsidRPr="008F593A">
        <w:rPr>
          <w:rFonts w:eastAsia="Arial"/>
          <w:i/>
        </w:rPr>
        <w:t>ribociklibo</w:t>
      </w:r>
      <w:proofErr w:type="spellEnd"/>
      <w:r w:rsidRPr="004B6C1D">
        <w:rPr>
          <w:rFonts w:eastAsia="Arial"/>
        </w:rPr>
        <w:t xml:space="preserve"> ar </w:t>
      </w:r>
      <w:proofErr w:type="spellStart"/>
      <w:r w:rsidRPr="008F593A">
        <w:rPr>
          <w:rFonts w:eastAsia="Arial"/>
          <w:i/>
        </w:rPr>
        <w:t>fulvestranto</w:t>
      </w:r>
      <w:proofErr w:type="spellEnd"/>
      <w:r w:rsidRPr="008F593A">
        <w:rPr>
          <w:rFonts w:eastAsia="Arial"/>
          <w:i/>
        </w:rPr>
        <w:t xml:space="preserve"> ir </w:t>
      </w:r>
      <w:proofErr w:type="spellStart"/>
      <w:r w:rsidRPr="008F593A">
        <w:rPr>
          <w:rFonts w:eastAsia="Arial"/>
          <w:i/>
        </w:rPr>
        <w:t>abemaciklibo</w:t>
      </w:r>
      <w:proofErr w:type="spellEnd"/>
      <w:r w:rsidRPr="004B6C1D">
        <w:rPr>
          <w:rFonts w:eastAsia="Arial"/>
        </w:rPr>
        <w:t xml:space="preserve"> deriniai. </w:t>
      </w:r>
    </w:p>
    <w:p w14:paraId="4181C6EA" w14:textId="77777777" w:rsidR="00B96F61" w:rsidRPr="001769BE" w:rsidRDefault="00B96F61" w:rsidP="00B96F61">
      <w:pPr>
        <w:spacing w:line="276" w:lineRule="auto"/>
        <w:ind w:firstLine="360"/>
        <w:jc w:val="both"/>
        <w:rPr>
          <w:rFonts w:eastAsia="Arial"/>
          <w:szCs w:val="20"/>
        </w:rPr>
      </w:pPr>
      <w:r>
        <w:rPr>
          <w:rFonts w:eastAsia="Arial"/>
          <w:b/>
          <w:i/>
        </w:rPr>
        <w:tab/>
      </w:r>
      <w:r>
        <w:rPr>
          <w:rFonts w:eastAsia="Arial"/>
        </w:rPr>
        <w:t xml:space="preserve"> </w:t>
      </w:r>
    </w:p>
    <w:p w14:paraId="2AB8E0F1" w14:textId="77777777" w:rsidR="00B96F61" w:rsidRDefault="00B96F61" w:rsidP="00B96F61">
      <w:pPr>
        <w:tabs>
          <w:tab w:val="left" w:pos="284"/>
        </w:tabs>
        <w:spacing w:line="276" w:lineRule="auto"/>
        <w:jc w:val="both"/>
        <w:rPr>
          <w:rFonts w:eastAsia="Arial"/>
          <w:b/>
        </w:rPr>
      </w:pPr>
      <w:r>
        <w:rPr>
          <w:rFonts w:eastAsia="Arial"/>
          <w:b/>
        </w:rPr>
        <w:tab/>
        <w:t>Tiesioginis palyginimas</w:t>
      </w:r>
    </w:p>
    <w:p w14:paraId="119A408A" w14:textId="77777777" w:rsidR="00B96F61" w:rsidRDefault="00B96F61" w:rsidP="00B96F61">
      <w:pPr>
        <w:tabs>
          <w:tab w:val="left" w:pos="284"/>
        </w:tabs>
        <w:spacing w:line="276" w:lineRule="auto"/>
        <w:jc w:val="both"/>
        <w:rPr>
          <w:rFonts w:eastAsia="Arial"/>
          <w:b/>
        </w:rPr>
      </w:pPr>
    </w:p>
    <w:p w14:paraId="65AAB071" w14:textId="0F31BD9B" w:rsidR="00B96F61" w:rsidRDefault="00B96F61" w:rsidP="00B96F61">
      <w:pPr>
        <w:tabs>
          <w:tab w:val="left" w:pos="284"/>
          <w:tab w:val="left" w:pos="1276"/>
        </w:tabs>
        <w:spacing w:line="276" w:lineRule="auto"/>
        <w:jc w:val="both"/>
        <w:rPr>
          <w:rFonts w:eastAsia="Arial"/>
          <w:bCs/>
          <w:iCs/>
        </w:rPr>
      </w:pPr>
      <w:r>
        <w:rPr>
          <w:rFonts w:eastAsia="Arial"/>
          <w:b/>
        </w:rPr>
        <w:tab/>
      </w:r>
      <w:r w:rsidRPr="0020156B">
        <w:rPr>
          <w:rFonts w:eastAsia="Arial"/>
          <w:bCs/>
          <w:iCs/>
        </w:rPr>
        <w:t xml:space="preserve">Tarnybos vertinimu, įprastinę klinikinę praktiką atitinkantis palyginamasis gydymas yra </w:t>
      </w:r>
      <w:proofErr w:type="spellStart"/>
      <w:r w:rsidRPr="0020156B">
        <w:rPr>
          <w:rFonts w:eastAsia="Arial"/>
          <w:bCs/>
          <w:iCs/>
        </w:rPr>
        <w:t>ribociklib</w:t>
      </w:r>
      <w:r w:rsidR="00702E95">
        <w:rPr>
          <w:rFonts w:eastAsia="Arial"/>
          <w:bCs/>
          <w:iCs/>
        </w:rPr>
        <w:t>as</w:t>
      </w:r>
      <w:proofErr w:type="spellEnd"/>
      <w:r w:rsidRPr="0020156B">
        <w:rPr>
          <w:rFonts w:eastAsia="Arial"/>
          <w:bCs/>
          <w:iCs/>
        </w:rPr>
        <w:t xml:space="preserve"> ir </w:t>
      </w:r>
      <w:proofErr w:type="spellStart"/>
      <w:r w:rsidRPr="0020156B">
        <w:rPr>
          <w:rFonts w:eastAsia="Arial"/>
          <w:bCs/>
          <w:iCs/>
        </w:rPr>
        <w:t>letrozol</w:t>
      </w:r>
      <w:r w:rsidR="00702E95">
        <w:rPr>
          <w:rFonts w:eastAsia="Arial"/>
          <w:bCs/>
          <w:iCs/>
        </w:rPr>
        <w:t>as</w:t>
      </w:r>
      <w:proofErr w:type="spellEnd"/>
      <w:r w:rsidRPr="0020156B">
        <w:rPr>
          <w:rFonts w:eastAsia="Arial"/>
          <w:bCs/>
          <w:iCs/>
        </w:rPr>
        <w:t xml:space="preserve">, tačiau Lietuvos klinikinę praktiką taip pat atitinka </w:t>
      </w:r>
      <w:proofErr w:type="spellStart"/>
      <w:r w:rsidRPr="0020156B">
        <w:rPr>
          <w:rFonts w:eastAsia="Arial"/>
          <w:bCs/>
          <w:iCs/>
        </w:rPr>
        <w:t>fulvestranto</w:t>
      </w:r>
      <w:proofErr w:type="spellEnd"/>
      <w:r w:rsidRPr="0020156B">
        <w:rPr>
          <w:rFonts w:eastAsia="Arial"/>
          <w:bCs/>
          <w:iCs/>
        </w:rPr>
        <w:t xml:space="preserve"> ir </w:t>
      </w:r>
      <w:proofErr w:type="spellStart"/>
      <w:r w:rsidRPr="0020156B">
        <w:rPr>
          <w:rFonts w:eastAsia="Arial"/>
          <w:bCs/>
          <w:iCs/>
        </w:rPr>
        <w:t>ribociklibo</w:t>
      </w:r>
      <w:proofErr w:type="spellEnd"/>
      <w:r w:rsidRPr="0020156B">
        <w:rPr>
          <w:rFonts w:eastAsia="Arial"/>
          <w:bCs/>
          <w:iCs/>
        </w:rPr>
        <w:t xml:space="preserve"> ar </w:t>
      </w:r>
      <w:proofErr w:type="spellStart"/>
      <w:r w:rsidRPr="0020156B">
        <w:rPr>
          <w:rFonts w:eastAsia="Arial"/>
          <w:bCs/>
          <w:iCs/>
        </w:rPr>
        <w:t>fulvestranto</w:t>
      </w:r>
      <w:proofErr w:type="spellEnd"/>
      <w:r w:rsidRPr="0020156B">
        <w:rPr>
          <w:rFonts w:eastAsia="Arial"/>
          <w:bCs/>
          <w:iCs/>
        </w:rPr>
        <w:t xml:space="preserve"> ir </w:t>
      </w:r>
      <w:proofErr w:type="spellStart"/>
      <w:r w:rsidRPr="0020156B">
        <w:rPr>
          <w:rFonts w:eastAsia="Arial"/>
          <w:bCs/>
          <w:iCs/>
        </w:rPr>
        <w:t>abemaciklibo</w:t>
      </w:r>
      <w:proofErr w:type="spellEnd"/>
      <w:r w:rsidRPr="0020156B">
        <w:rPr>
          <w:rFonts w:eastAsia="Arial"/>
          <w:bCs/>
          <w:iCs/>
        </w:rPr>
        <w:t xml:space="preserve"> deriniai. PALOMA-2 tyrime </w:t>
      </w:r>
      <w:proofErr w:type="spellStart"/>
      <w:r w:rsidRPr="0020156B">
        <w:rPr>
          <w:rFonts w:eastAsia="Arial"/>
          <w:bCs/>
          <w:iCs/>
        </w:rPr>
        <w:t>playginamasis</w:t>
      </w:r>
      <w:proofErr w:type="spellEnd"/>
      <w:r w:rsidRPr="0020156B">
        <w:rPr>
          <w:rFonts w:eastAsia="Arial"/>
          <w:bCs/>
          <w:iCs/>
        </w:rPr>
        <w:t xml:space="preserve"> gydymas buvo placebo ir </w:t>
      </w:r>
      <w:proofErr w:type="spellStart"/>
      <w:r w:rsidRPr="0020156B">
        <w:rPr>
          <w:rFonts w:eastAsia="Arial"/>
          <w:bCs/>
          <w:iCs/>
        </w:rPr>
        <w:t>letrozolo</w:t>
      </w:r>
      <w:proofErr w:type="spellEnd"/>
      <w:r w:rsidRPr="0020156B">
        <w:rPr>
          <w:rFonts w:eastAsia="Arial"/>
          <w:bCs/>
          <w:iCs/>
        </w:rPr>
        <w:t xml:space="preserve"> derinys, kuris yra laikomas </w:t>
      </w:r>
      <w:r w:rsidRPr="00B22F67">
        <w:rPr>
          <w:rFonts w:eastAsia="Arial"/>
          <w:bCs/>
          <w:i/>
        </w:rPr>
        <w:t>netinkamu</w:t>
      </w:r>
      <w:r w:rsidRPr="0020156B">
        <w:rPr>
          <w:rFonts w:eastAsia="Arial"/>
          <w:bCs/>
          <w:iCs/>
        </w:rPr>
        <w:t xml:space="preserve"> palyginamuoju.</w:t>
      </w:r>
    </w:p>
    <w:p w14:paraId="603FD5BC" w14:textId="455D62DB" w:rsidR="00B96F61" w:rsidRDefault="00B96F61" w:rsidP="00B96F61">
      <w:pPr>
        <w:tabs>
          <w:tab w:val="left" w:pos="284"/>
          <w:tab w:val="left" w:pos="1276"/>
        </w:tabs>
        <w:spacing w:line="276" w:lineRule="auto"/>
        <w:jc w:val="both"/>
        <w:rPr>
          <w:rFonts w:eastAsia="Arial"/>
          <w:bCs/>
          <w:iCs/>
        </w:rPr>
      </w:pPr>
      <w:r>
        <w:rPr>
          <w:rFonts w:eastAsia="Arial"/>
          <w:bCs/>
          <w:iCs/>
        </w:rPr>
        <w:tab/>
      </w:r>
      <w:r>
        <w:rPr>
          <w:rFonts w:eastAsia="Arial"/>
          <w:bCs/>
        </w:rPr>
        <w:t xml:space="preserve">Tiesioginio palyginimo dalyje Pareiškėjas pateikė </w:t>
      </w:r>
      <w:r w:rsidRPr="005A29BB">
        <w:rPr>
          <w:rFonts w:eastAsia="Arial"/>
          <w:bCs/>
        </w:rPr>
        <w:t>klinikini</w:t>
      </w:r>
      <w:r>
        <w:rPr>
          <w:rFonts w:eastAsia="Arial"/>
          <w:bCs/>
        </w:rPr>
        <w:t>us</w:t>
      </w:r>
      <w:r w:rsidRPr="005A29BB">
        <w:rPr>
          <w:rFonts w:eastAsia="Arial"/>
          <w:bCs/>
        </w:rPr>
        <w:t xml:space="preserve"> tyrim</w:t>
      </w:r>
      <w:r>
        <w:rPr>
          <w:rFonts w:eastAsia="Arial"/>
          <w:bCs/>
        </w:rPr>
        <w:t>us</w:t>
      </w:r>
      <w:r w:rsidRPr="005A29BB">
        <w:rPr>
          <w:rFonts w:eastAsia="Arial"/>
          <w:bCs/>
        </w:rPr>
        <w:t xml:space="preserve"> PALOMA-1 bei PALOMA-2. PALOMA-1 </w:t>
      </w:r>
      <w:r>
        <w:rPr>
          <w:rFonts w:eastAsia="Arial"/>
          <w:bCs/>
        </w:rPr>
        <w:t xml:space="preserve">tyrimas buvo atviras </w:t>
      </w:r>
      <w:r w:rsidRPr="005A29BB">
        <w:rPr>
          <w:rFonts w:eastAsia="Arial"/>
          <w:bCs/>
        </w:rPr>
        <w:t>II fazės,</w:t>
      </w:r>
      <w:r>
        <w:rPr>
          <w:rFonts w:eastAsia="Arial"/>
          <w:bCs/>
        </w:rPr>
        <w:t xml:space="preserve"> o</w:t>
      </w:r>
      <w:r w:rsidRPr="005A29BB">
        <w:rPr>
          <w:rFonts w:eastAsia="Arial"/>
          <w:bCs/>
        </w:rPr>
        <w:t xml:space="preserve"> PALOMA-2</w:t>
      </w:r>
      <w:r>
        <w:rPr>
          <w:rFonts w:eastAsia="Arial"/>
          <w:bCs/>
        </w:rPr>
        <w:t xml:space="preserve">– dvigubai koduotas, </w:t>
      </w:r>
      <w:r w:rsidRPr="005A29BB">
        <w:rPr>
          <w:rFonts w:eastAsia="Arial"/>
          <w:bCs/>
        </w:rPr>
        <w:t>III fazės</w:t>
      </w:r>
      <w:r>
        <w:rPr>
          <w:rFonts w:eastAsia="Arial"/>
          <w:bCs/>
        </w:rPr>
        <w:t xml:space="preserve"> klinikinis tyrimas, abiejuose tyrimuose </w:t>
      </w:r>
      <w:proofErr w:type="spellStart"/>
      <w:r>
        <w:rPr>
          <w:rFonts w:eastAsia="Arial"/>
          <w:bCs/>
        </w:rPr>
        <w:t>palbociklibo</w:t>
      </w:r>
      <w:proofErr w:type="spellEnd"/>
      <w:r>
        <w:rPr>
          <w:rFonts w:eastAsia="Arial"/>
          <w:bCs/>
        </w:rPr>
        <w:t xml:space="preserve"> ir </w:t>
      </w:r>
      <w:proofErr w:type="spellStart"/>
      <w:r>
        <w:rPr>
          <w:rFonts w:eastAsia="Arial"/>
          <w:bCs/>
        </w:rPr>
        <w:t>letrozolo</w:t>
      </w:r>
      <w:proofErr w:type="spellEnd"/>
      <w:r>
        <w:rPr>
          <w:rFonts w:eastAsia="Arial"/>
          <w:bCs/>
        </w:rPr>
        <w:t xml:space="preserve"> derinys lygintas su </w:t>
      </w:r>
      <w:proofErr w:type="spellStart"/>
      <w:r>
        <w:rPr>
          <w:rFonts w:eastAsia="Arial"/>
          <w:bCs/>
        </w:rPr>
        <w:t>letrozolu</w:t>
      </w:r>
      <w:proofErr w:type="spellEnd"/>
      <w:r>
        <w:rPr>
          <w:rFonts w:eastAsia="Arial"/>
          <w:bCs/>
        </w:rPr>
        <w:t xml:space="preserve">. </w:t>
      </w:r>
    </w:p>
    <w:p w14:paraId="0BF782B7" w14:textId="77777777" w:rsidR="00B96F61" w:rsidRDefault="00B96F61" w:rsidP="00B96F61">
      <w:pPr>
        <w:tabs>
          <w:tab w:val="left" w:pos="284"/>
          <w:tab w:val="left" w:pos="1276"/>
        </w:tabs>
        <w:spacing w:line="276" w:lineRule="auto"/>
        <w:jc w:val="both"/>
        <w:rPr>
          <w:rFonts w:eastAsia="Arial"/>
          <w:bCs/>
          <w:iCs/>
        </w:rPr>
      </w:pPr>
      <w:r>
        <w:rPr>
          <w:rFonts w:eastAsia="Arial"/>
          <w:bCs/>
          <w:iCs/>
        </w:rPr>
        <w:tab/>
      </w:r>
      <w:r w:rsidRPr="0020156B">
        <w:rPr>
          <w:rFonts w:eastAsia="Arial"/>
          <w:bCs/>
          <w:iCs/>
        </w:rPr>
        <w:t>Pagrindiniai PALOMA-2 tyrimo įtraukimo kriterijai</w:t>
      </w:r>
      <w:r>
        <w:rPr>
          <w:rFonts w:eastAsia="Arial"/>
          <w:bCs/>
          <w:iCs/>
        </w:rPr>
        <w:t xml:space="preserve"> buvo šie: </w:t>
      </w:r>
      <w:r w:rsidRPr="0020156B">
        <w:rPr>
          <w:rFonts w:eastAsia="Arial"/>
          <w:bCs/>
          <w:iCs/>
        </w:rPr>
        <w:t>18 metų ir vyresnės moterys</w:t>
      </w:r>
      <w:r>
        <w:rPr>
          <w:rFonts w:eastAsia="Arial"/>
          <w:bCs/>
          <w:iCs/>
        </w:rPr>
        <w:t xml:space="preserve">, </w:t>
      </w:r>
      <w:r w:rsidRPr="0020156B">
        <w:rPr>
          <w:rFonts w:eastAsia="Arial"/>
          <w:bCs/>
          <w:iCs/>
        </w:rPr>
        <w:t xml:space="preserve">patvirtinta vietiškai išplitusi ar </w:t>
      </w:r>
      <w:proofErr w:type="spellStart"/>
      <w:r w:rsidRPr="0020156B">
        <w:rPr>
          <w:rFonts w:eastAsia="Arial"/>
          <w:bCs/>
          <w:iCs/>
        </w:rPr>
        <w:t>metastazavusi</w:t>
      </w:r>
      <w:proofErr w:type="spellEnd"/>
      <w:r w:rsidRPr="0020156B">
        <w:rPr>
          <w:rFonts w:eastAsia="Arial"/>
          <w:bCs/>
          <w:iCs/>
        </w:rPr>
        <w:t xml:space="preserve"> krūties </w:t>
      </w:r>
      <w:proofErr w:type="spellStart"/>
      <w:r w:rsidRPr="0020156B">
        <w:rPr>
          <w:rFonts w:eastAsia="Arial"/>
          <w:bCs/>
          <w:iCs/>
        </w:rPr>
        <w:t>adenokarcinoma</w:t>
      </w:r>
      <w:proofErr w:type="spellEnd"/>
      <w:r w:rsidRPr="0020156B">
        <w:rPr>
          <w:rFonts w:eastAsia="Arial"/>
          <w:bCs/>
          <w:iCs/>
        </w:rPr>
        <w:t xml:space="preserve">, kurios negalima išgydyti operaciniu ar radioterapijos būdu ir kurioms kliniškai chemoterapija nėra </w:t>
      </w:r>
      <w:proofErr w:type="spellStart"/>
      <w:r w:rsidRPr="0020156B">
        <w:rPr>
          <w:rFonts w:eastAsia="Arial"/>
          <w:bCs/>
          <w:iCs/>
        </w:rPr>
        <w:t>indikuotina</w:t>
      </w:r>
      <w:proofErr w:type="spellEnd"/>
      <w:r>
        <w:rPr>
          <w:rFonts w:eastAsia="Arial"/>
          <w:bCs/>
          <w:iCs/>
        </w:rPr>
        <w:t xml:space="preserve">, </w:t>
      </w:r>
      <w:r w:rsidRPr="0020156B">
        <w:rPr>
          <w:rFonts w:eastAsia="Arial"/>
          <w:bCs/>
          <w:iCs/>
        </w:rPr>
        <w:t>patvirtint</w:t>
      </w:r>
      <w:r>
        <w:rPr>
          <w:rFonts w:eastAsia="Arial"/>
          <w:bCs/>
          <w:iCs/>
        </w:rPr>
        <w:t>a</w:t>
      </w:r>
      <w:r w:rsidRPr="0020156B">
        <w:rPr>
          <w:rFonts w:eastAsia="Arial"/>
          <w:bCs/>
          <w:iCs/>
        </w:rPr>
        <w:t xml:space="preserve"> estrogenų receptoriams teigiama (ER+) krūties </w:t>
      </w:r>
      <w:proofErr w:type="spellStart"/>
      <w:r w:rsidRPr="0020156B">
        <w:rPr>
          <w:rFonts w:eastAsia="Arial"/>
          <w:bCs/>
          <w:iCs/>
        </w:rPr>
        <w:t>adenokarcinoma</w:t>
      </w:r>
      <w:proofErr w:type="spellEnd"/>
      <w:r>
        <w:rPr>
          <w:rFonts w:eastAsia="Arial"/>
          <w:bCs/>
          <w:iCs/>
        </w:rPr>
        <w:t xml:space="preserve">, </w:t>
      </w:r>
      <w:r w:rsidRPr="0020156B">
        <w:rPr>
          <w:rFonts w:eastAsia="Arial"/>
          <w:bCs/>
          <w:iCs/>
        </w:rPr>
        <w:t xml:space="preserve">anksčiau nebuvo taikyta jokia sisteminė terapija vietiškai išplitusiai ar </w:t>
      </w:r>
      <w:proofErr w:type="spellStart"/>
      <w:r w:rsidRPr="0020156B">
        <w:rPr>
          <w:rFonts w:eastAsia="Arial"/>
          <w:bCs/>
          <w:iCs/>
        </w:rPr>
        <w:t>metastazavusiai</w:t>
      </w:r>
      <w:proofErr w:type="spellEnd"/>
      <w:r w:rsidRPr="0020156B">
        <w:rPr>
          <w:rFonts w:eastAsia="Arial"/>
          <w:bCs/>
          <w:iCs/>
        </w:rPr>
        <w:t xml:space="preserve"> krūties </w:t>
      </w:r>
      <w:proofErr w:type="spellStart"/>
      <w:r w:rsidRPr="0020156B">
        <w:rPr>
          <w:rFonts w:eastAsia="Arial"/>
          <w:bCs/>
          <w:iCs/>
        </w:rPr>
        <w:t>adenokarcinomai</w:t>
      </w:r>
      <w:proofErr w:type="spellEnd"/>
      <w:r w:rsidRPr="0020156B">
        <w:rPr>
          <w:rFonts w:eastAsia="Arial"/>
          <w:bCs/>
          <w:iCs/>
        </w:rPr>
        <w:t xml:space="preserve"> gydyti</w:t>
      </w:r>
      <w:r>
        <w:rPr>
          <w:rFonts w:eastAsia="Arial"/>
          <w:bCs/>
          <w:iCs/>
        </w:rPr>
        <w:t xml:space="preserve">. </w:t>
      </w:r>
      <w:proofErr w:type="spellStart"/>
      <w:r w:rsidRPr="0020156B">
        <w:rPr>
          <w:rFonts w:eastAsia="Arial"/>
          <w:bCs/>
          <w:iCs/>
        </w:rPr>
        <w:t>Pomenopauzinis</w:t>
      </w:r>
      <w:proofErr w:type="spellEnd"/>
      <w:r w:rsidRPr="0020156B">
        <w:rPr>
          <w:rFonts w:eastAsia="Arial"/>
          <w:bCs/>
          <w:iCs/>
        </w:rPr>
        <w:t xml:space="preserve"> laikotarpis</w:t>
      </w:r>
      <w:r>
        <w:rPr>
          <w:rFonts w:eastAsia="Arial"/>
          <w:bCs/>
          <w:iCs/>
        </w:rPr>
        <w:t xml:space="preserve"> buvo laikomas esant šioms sąlygoms: </w:t>
      </w:r>
      <w:r w:rsidRPr="0020156B">
        <w:rPr>
          <w:rFonts w:eastAsia="Arial"/>
          <w:bCs/>
          <w:iCs/>
        </w:rPr>
        <w:t>abipusi</w:t>
      </w:r>
      <w:r>
        <w:rPr>
          <w:rFonts w:eastAsia="Arial"/>
          <w:bCs/>
          <w:iCs/>
        </w:rPr>
        <w:t>s</w:t>
      </w:r>
      <w:r w:rsidRPr="0020156B">
        <w:rPr>
          <w:rFonts w:eastAsia="Arial"/>
          <w:bCs/>
          <w:iCs/>
        </w:rPr>
        <w:t xml:space="preserve"> chirurgini</w:t>
      </w:r>
      <w:r>
        <w:rPr>
          <w:rFonts w:eastAsia="Arial"/>
          <w:bCs/>
          <w:iCs/>
        </w:rPr>
        <w:t xml:space="preserve">s </w:t>
      </w:r>
      <w:r w:rsidRPr="0020156B">
        <w:rPr>
          <w:rFonts w:eastAsia="Arial"/>
          <w:bCs/>
          <w:iCs/>
        </w:rPr>
        <w:t>kiaušidžių pašalinim</w:t>
      </w:r>
      <w:r>
        <w:rPr>
          <w:rFonts w:eastAsia="Arial"/>
          <w:bCs/>
          <w:iCs/>
        </w:rPr>
        <w:t xml:space="preserve">as, </w:t>
      </w:r>
      <w:r w:rsidRPr="0020156B">
        <w:rPr>
          <w:rFonts w:eastAsia="Arial"/>
          <w:bCs/>
          <w:iCs/>
        </w:rPr>
        <w:t>menstruacijų nebuvim</w:t>
      </w:r>
      <w:r>
        <w:rPr>
          <w:rFonts w:eastAsia="Arial"/>
          <w:bCs/>
          <w:iCs/>
        </w:rPr>
        <w:t>as</w:t>
      </w:r>
      <w:r w:rsidRPr="0020156B">
        <w:rPr>
          <w:rFonts w:eastAsia="Arial"/>
          <w:bCs/>
          <w:iCs/>
        </w:rPr>
        <w:t xml:space="preserve"> nepertraukiamai bent 12 pastarųjų mėnesių</w:t>
      </w:r>
      <w:r>
        <w:rPr>
          <w:rFonts w:eastAsia="Arial"/>
          <w:bCs/>
          <w:iCs/>
        </w:rPr>
        <w:t xml:space="preserve">, </w:t>
      </w:r>
      <w:r w:rsidRPr="0020156B">
        <w:rPr>
          <w:rFonts w:eastAsia="Arial"/>
          <w:bCs/>
          <w:iCs/>
        </w:rPr>
        <w:t xml:space="preserve">folikulus stimuliuojančio hormono ir </w:t>
      </w:r>
      <w:proofErr w:type="spellStart"/>
      <w:r w:rsidRPr="0020156B">
        <w:rPr>
          <w:rFonts w:eastAsia="Arial"/>
          <w:bCs/>
          <w:iCs/>
        </w:rPr>
        <w:t>estradiolio</w:t>
      </w:r>
      <w:proofErr w:type="spellEnd"/>
      <w:r w:rsidRPr="0020156B">
        <w:rPr>
          <w:rFonts w:eastAsia="Arial"/>
          <w:bCs/>
          <w:iCs/>
        </w:rPr>
        <w:t xml:space="preserve"> kiekis atitinka </w:t>
      </w:r>
      <w:proofErr w:type="spellStart"/>
      <w:r w:rsidRPr="0020156B">
        <w:rPr>
          <w:rFonts w:eastAsia="Arial"/>
          <w:bCs/>
          <w:iCs/>
        </w:rPr>
        <w:t>pomenopauzines</w:t>
      </w:r>
      <w:proofErr w:type="spellEnd"/>
      <w:r w:rsidRPr="0020156B">
        <w:rPr>
          <w:rFonts w:eastAsia="Arial"/>
          <w:bCs/>
          <w:iCs/>
        </w:rPr>
        <w:t xml:space="preserve"> normas, nesant kitų patologinių ir fiziologinių priežasčių</w:t>
      </w:r>
      <w:r>
        <w:rPr>
          <w:rFonts w:eastAsia="Arial"/>
          <w:bCs/>
          <w:iCs/>
        </w:rPr>
        <w:t xml:space="preserve">. </w:t>
      </w:r>
      <w:r w:rsidRPr="0020156B">
        <w:rPr>
          <w:rFonts w:eastAsia="Arial"/>
          <w:bCs/>
          <w:iCs/>
        </w:rPr>
        <w:t>Pagrindiniai PALOMA-2 tyrimo atmetimo kriterijai</w:t>
      </w:r>
      <w:r>
        <w:rPr>
          <w:rFonts w:eastAsia="Arial"/>
          <w:bCs/>
          <w:iCs/>
        </w:rPr>
        <w:t xml:space="preserve"> buvo šie: </w:t>
      </w:r>
      <w:r w:rsidRPr="0020156B">
        <w:rPr>
          <w:rFonts w:eastAsia="Arial"/>
          <w:bCs/>
          <w:iCs/>
        </w:rPr>
        <w:t>HER2 rodmuo teigiamas</w:t>
      </w:r>
      <w:r>
        <w:rPr>
          <w:rFonts w:eastAsia="Arial"/>
          <w:bCs/>
          <w:iCs/>
        </w:rPr>
        <w:t xml:space="preserve">, </w:t>
      </w:r>
      <w:r w:rsidRPr="0020156B">
        <w:rPr>
          <w:rFonts w:eastAsia="Arial"/>
          <w:bCs/>
          <w:iCs/>
        </w:rPr>
        <w:t xml:space="preserve">pacientės su pažengusiu, simptominiu, </w:t>
      </w:r>
      <w:proofErr w:type="spellStart"/>
      <w:r w:rsidRPr="0020156B">
        <w:rPr>
          <w:rFonts w:eastAsia="Arial"/>
          <w:bCs/>
          <w:iCs/>
        </w:rPr>
        <w:t>visceraliniu</w:t>
      </w:r>
      <w:proofErr w:type="spellEnd"/>
      <w:r w:rsidRPr="0020156B">
        <w:rPr>
          <w:rFonts w:eastAsia="Arial"/>
          <w:bCs/>
          <w:iCs/>
        </w:rPr>
        <w:t xml:space="preserve"> išplitimu, kurioms grėsė gyvybei grėsmingos komplikacijos artimu metu, įskaitant masyvų, nekontroliuojamą skystį pleuros, perikardo ar pilvaplėvės ertmėse, plaučių </w:t>
      </w:r>
      <w:proofErr w:type="spellStart"/>
      <w:r w:rsidRPr="0020156B">
        <w:rPr>
          <w:rFonts w:eastAsia="Arial"/>
          <w:bCs/>
          <w:iCs/>
        </w:rPr>
        <w:t>limfangitą</w:t>
      </w:r>
      <w:proofErr w:type="spellEnd"/>
      <w:r w:rsidRPr="0020156B">
        <w:rPr>
          <w:rFonts w:eastAsia="Arial"/>
          <w:bCs/>
          <w:iCs/>
        </w:rPr>
        <w:t xml:space="preserve"> ir &gt; 50 proc. kepenų pažeidimą</w:t>
      </w:r>
      <w:r>
        <w:rPr>
          <w:rFonts w:eastAsia="Arial"/>
          <w:bCs/>
          <w:iCs/>
        </w:rPr>
        <w:t xml:space="preserve">, </w:t>
      </w:r>
      <w:r w:rsidRPr="0020156B">
        <w:rPr>
          <w:rFonts w:eastAsia="Arial"/>
          <w:bCs/>
          <w:iCs/>
        </w:rPr>
        <w:t xml:space="preserve">aktyvios nekontroliuojamos ar simptominės metastazės galvos smegenyse, </w:t>
      </w:r>
      <w:proofErr w:type="spellStart"/>
      <w:r w:rsidRPr="0020156B">
        <w:rPr>
          <w:rFonts w:eastAsia="Arial"/>
          <w:bCs/>
          <w:iCs/>
        </w:rPr>
        <w:t>karcinomatozinis</w:t>
      </w:r>
      <w:proofErr w:type="spellEnd"/>
      <w:r w:rsidRPr="0020156B">
        <w:rPr>
          <w:rFonts w:eastAsia="Arial"/>
          <w:bCs/>
          <w:iCs/>
        </w:rPr>
        <w:t xml:space="preserve"> meningitas ar </w:t>
      </w:r>
      <w:proofErr w:type="spellStart"/>
      <w:r w:rsidRPr="0020156B">
        <w:rPr>
          <w:rFonts w:eastAsia="Arial"/>
          <w:bCs/>
          <w:iCs/>
        </w:rPr>
        <w:t>leptomeninginė</w:t>
      </w:r>
      <w:proofErr w:type="spellEnd"/>
      <w:r w:rsidRPr="0020156B">
        <w:rPr>
          <w:rFonts w:eastAsia="Arial"/>
          <w:bCs/>
          <w:iCs/>
        </w:rPr>
        <w:t xml:space="preserve"> liga.</w:t>
      </w:r>
    </w:p>
    <w:p w14:paraId="315E4BCC" w14:textId="77777777" w:rsidR="00B96F61" w:rsidRPr="001769BE" w:rsidRDefault="00B96F61" w:rsidP="00B96F61">
      <w:pPr>
        <w:tabs>
          <w:tab w:val="left" w:pos="709"/>
          <w:tab w:val="left" w:pos="1276"/>
        </w:tabs>
        <w:spacing w:line="276" w:lineRule="auto"/>
        <w:jc w:val="both"/>
        <w:rPr>
          <w:rFonts w:eastAsia="Arial"/>
          <w:bCs/>
          <w:iCs/>
        </w:rPr>
      </w:pPr>
      <w:r>
        <w:rPr>
          <w:rFonts w:eastAsia="Arial"/>
          <w:bCs/>
          <w:iCs/>
        </w:rPr>
        <w:tab/>
      </w:r>
      <w:r w:rsidRPr="00920397">
        <w:rPr>
          <w:rFonts w:eastAsia="Arial"/>
          <w:bCs/>
        </w:rPr>
        <w:t xml:space="preserve">Į klinikinį tyrimą PALOMA-2 buvo įtrauktos 666 pacientės: 444 į </w:t>
      </w:r>
      <w:proofErr w:type="spellStart"/>
      <w:r w:rsidRPr="00920397">
        <w:rPr>
          <w:rFonts w:eastAsia="Arial"/>
          <w:bCs/>
        </w:rPr>
        <w:t>palbociklibo-letrozolo</w:t>
      </w:r>
      <w:proofErr w:type="spellEnd"/>
      <w:r w:rsidRPr="00920397">
        <w:rPr>
          <w:rFonts w:eastAsia="Arial"/>
          <w:bCs/>
        </w:rPr>
        <w:t xml:space="preserve"> grupę ir 222 į placebo-</w:t>
      </w:r>
      <w:proofErr w:type="spellStart"/>
      <w:r w:rsidRPr="00920397">
        <w:rPr>
          <w:rFonts w:eastAsia="Arial"/>
          <w:bCs/>
        </w:rPr>
        <w:t>letrozolo</w:t>
      </w:r>
      <w:proofErr w:type="spellEnd"/>
      <w:r w:rsidRPr="00920397">
        <w:rPr>
          <w:rFonts w:eastAsia="Arial"/>
          <w:bCs/>
        </w:rPr>
        <w:t xml:space="preserve"> grupę (</w:t>
      </w:r>
      <w:r>
        <w:rPr>
          <w:rFonts w:eastAsia="Arial"/>
          <w:bCs/>
        </w:rPr>
        <w:t>3 pav.</w:t>
      </w:r>
      <w:r w:rsidRPr="00920397">
        <w:rPr>
          <w:rFonts w:eastAsia="Arial"/>
          <w:bCs/>
        </w:rPr>
        <w:t>). Pagrindinės gydymo nutraukimo priežastys tyrime buvo ligos progresavimas (n=297/406), nepageidaujami reiškiniai (n=43/406), bendras būklės pablogėjimas (n=23/406).</w:t>
      </w:r>
      <w:r>
        <w:rPr>
          <w:rFonts w:eastAsia="Arial"/>
          <w:bCs/>
        </w:rPr>
        <w:t xml:space="preserve"> </w:t>
      </w:r>
    </w:p>
    <w:p w14:paraId="098E961F" w14:textId="77777777" w:rsidR="00B96F61" w:rsidRPr="0020156B" w:rsidRDefault="00B96F61" w:rsidP="00B96F61">
      <w:pPr>
        <w:tabs>
          <w:tab w:val="left" w:pos="492"/>
        </w:tabs>
        <w:spacing w:line="276" w:lineRule="auto"/>
        <w:jc w:val="both"/>
        <w:outlineLvl w:val="1"/>
        <w:rPr>
          <w:rFonts w:eastAsia="Arial"/>
          <w:bCs/>
          <w:lang w:val="en-US"/>
        </w:rPr>
      </w:pPr>
      <w:r>
        <w:rPr>
          <w:rFonts w:eastAsia="Arial"/>
          <w:b/>
        </w:rPr>
        <w:tab/>
      </w:r>
      <w:r w:rsidRPr="0020156B">
        <w:rPr>
          <w:rFonts w:eastAsia="Arial"/>
          <w:bCs/>
        </w:rPr>
        <w:t>Pirminė vertinamoji baigtis buvo išgyvenamumas be ligos progresavimo</w:t>
      </w:r>
      <w:r>
        <w:rPr>
          <w:rFonts w:eastAsia="Arial"/>
          <w:bCs/>
        </w:rPr>
        <w:t xml:space="preserve">. </w:t>
      </w:r>
      <w:r w:rsidRPr="00263F79">
        <w:rPr>
          <w:rFonts w:eastAsia="Arial"/>
          <w:bCs/>
        </w:rPr>
        <w:t>Po 23 mėnesių stebėjimo medianos</w:t>
      </w:r>
      <w:r>
        <w:rPr>
          <w:rFonts w:eastAsia="Arial"/>
          <w:bCs/>
        </w:rPr>
        <w:t xml:space="preserve"> </w:t>
      </w:r>
      <w:r w:rsidRPr="00263F79">
        <w:rPr>
          <w:rFonts w:eastAsia="Arial"/>
          <w:bCs/>
        </w:rPr>
        <w:t xml:space="preserve">IBLP tyrėjų vertinimu </w:t>
      </w:r>
      <w:proofErr w:type="spellStart"/>
      <w:r w:rsidRPr="00263F79">
        <w:rPr>
          <w:rFonts w:eastAsia="Arial"/>
          <w:bCs/>
        </w:rPr>
        <w:t>palbociklibo-letrozolo</w:t>
      </w:r>
      <w:proofErr w:type="spellEnd"/>
      <w:r w:rsidRPr="00263F79">
        <w:rPr>
          <w:rFonts w:eastAsia="Arial"/>
          <w:bCs/>
        </w:rPr>
        <w:t xml:space="preserve"> grupėje buvo 24,8 (22,1 - neįvertinama), o placebo – </w:t>
      </w:r>
      <w:proofErr w:type="spellStart"/>
      <w:r w:rsidRPr="00263F79">
        <w:rPr>
          <w:rFonts w:eastAsia="Arial"/>
          <w:bCs/>
        </w:rPr>
        <w:t>letrozolo</w:t>
      </w:r>
      <w:proofErr w:type="spellEnd"/>
      <w:r w:rsidRPr="00263F79">
        <w:rPr>
          <w:rFonts w:eastAsia="Arial"/>
          <w:bCs/>
        </w:rPr>
        <w:t xml:space="preserve"> grupėje - 14,5 (95 proc.</w:t>
      </w:r>
      <w:r>
        <w:rPr>
          <w:rFonts w:eastAsia="Arial"/>
          <w:bCs/>
        </w:rPr>
        <w:t xml:space="preserve"> </w:t>
      </w:r>
      <w:proofErr w:type="spellStart"/>
      <w:r>
        <w:rPr>
          <w:rFonts w:eastAsia="Arial"/>
          <w:bCs/>
        </w:rPr>
        <w:t>pasikliautinasis</w:t>
      </w:r>
      <w:proofErr w:type="spellEnd"/>
      <w:r>
        <w:rPr>
          <w:rFonts w:eastAsia="Arial"/>
          <w:bCs/>
        </w:rPr>
        <w:t xml:space="preserve"> intervalas (PI)</w:t>
      </w:r>
      <w:r w:rsidRPr="00263F79">
        <w:rPr>
          <w:rFonts w:eastAsia="Arial"/>
          <w:bCs/>
        </w:rPr>
        <w:t xml:space="preserve"> 12,9 - 17,1), ligos progresavimo ar mirties RS  0,576 (0,463 - 0,718, vienpus</w:t>
      </w:r>
      <w:r>
        <w:rPr>
          <w:rFonts w:eastAsia="Arial"/>
          <w:bCs/>
        </w:rPr>
        <w:t>is</w:t>
      </w:r>
      <w:r w:rsidRPr="00263F79">
        <w:rPr>
          <w:rFonts w:eastAsia="Arial"/>
          <w:bCs/>
        </w:rPr>
        <w:t xml:space="preserve"> p &lt; 0,000001) (</w:t>
      </w:r>
      <w:r>
        <w:rPr>
          <w:rFonts w:eastAsia="Arial"/>
          <w:bCs/>
        </w:rPr>
        <w:t>1 lentelė, 5 pav.</w:t>
      </w:r>
      <w:r w:rsidRPr="00263F79">
        <w:rPr>
          <w:rFonts w:eastAsia="Arial"/>
          <w:bCs/>
        </w:rPr>
        <w:t>).</w:t>
      </w:r>
      <w:r>
        <w:rPr>
          <w:rFonts w:eastAsia="Arial"/>
          <w:bCs/>
        </w:rPr>
        <w:t xml:space="preserve"> </w:t>
      </w:r>
      <w:r w:rsidRPr="0020156B">
        <w:rPr>
          <w:rFonts w:eastAsia="Arial"/>
          <w:bCs/>
        </w:rPr>
        <w:t xml:space="preserve">Remiantis atnaujintos analizės duomenimis (37,6 mėn. stebėjimo mediana </w:t>
      </w:r>
      <w:proofErr w:type="spellStart"/>
      <w:r w:rsidRPr="0020156B">
        <w:rPr>
          <w:rFonts w:eastAsia="Arial"/>
          <w:bCs/>
        </w:rPr>
        <w:t>palbociklibo-letrozolo</w:t>
      </w:r>
      <w:proofErr w:type="spellEnd"/>
      <w:r w:rsidRPr="0020156B">
        <w:rPr>
          <w:rFonts w:eastAsia="Arial"/>
          <w:bCs/>
        </w:rPr>
        <w:t xml:space="preserve"> grupėje ir 37,3 </w:t>
      </w:r>
      <w:proofErr w:type="spellStart"/>
      <w:r w:rsidRPr="0020156B">
        <w:rPr>
          <w:rFonts w:eastAsia="Arial"/>
          <w:bCs/>
        </w:rPr>
        <w:t>mėn</w:t>
      </w:r>
      <w:proofErr w:type="spellEnd"/>
      <w:r w:rsidRPr="0020156B">
        <w:rPr>
          <w:rFonts w:eastAsia="Arial"/>
          <w:bCs/>
        </w:rPr>
        <w:t>, stebėjimo mediana placebo-</w:t>
      </w:r>
      <w:proofErr w:type="spellStart"/>
      <w:r w:rsidRPr="0020156B">
        <w:rPr>
          <w:rFonts w:eastAsia="Arial"/>
          <w:bCs/>
        </w:rPr>
        <w:t>letrozolo</w:t>
      </w:r>
      <w:proofErr w:type="spellEnd"/>
      <w:r w:rsidRPr="0020156B">
        <w:rPr>
          <w:rFonts w:eastAsia="Arial"/>
          <w:bCs/>
        </w:rPr>
        <w:t xml:space="preserve"> grupėje), IBLP mediana tyrėjų vertinimu </w:t>
      </w:r>
      <w:proofErr w:type="spellStart"/>
      <w:r w:rsidRPr="0020156B">
        <w:rPr>
          <w:rFonts w:eastAsia="Arial"/>
          <w:bCs/>
        </w:rPr>
        <w:t>palbociklibo-letrozolo</w:t>
      </w:r>
      <w:proofErr w:type="spellEnd"/>
      <w:r w:rsidRPr="0020156B">
        <w:rPr>
          <w:rFonts w:eastAsia="Arial"/>
          <w:bCs/>
        </w:rPr>
        <w:t xml:space="preserve"> grupėje buvo 27,6 mėn. </w:t>
      </w:r>
      <w:r w:rsidRPr="00DB46C1">
        <w:rPr>
          <w:rFonts w:eastAsia="Arial"/>
          <w:bCs/>
          <w:lang w:val="en-US"/>
        </w:rPr>
        <w:t xml:space="preserve">(95 proc. PI 22,4 – 30,3 </w:t>
      </w:r>
      <w:proofErr w:type="spellStart"/>
      <w:r w:rsidRPr="00DB46C1">
        <w:rPr>
          <w:rFonts w:eastAsia="Arial"/>
          <w:bCs/>
          <w:lang w:val="en-US"/>
        </w:rPr>
        <w:t>mėn</w:t>
      </w:r>
      <w:proofErr w:type="spellEnd"/>
      <w:r w:rsidRPr="00DB46C1">
        <w:rPr>
          <w:rFonts w:eastAsia="Arial"/>
          <w:bCs/>
          <w:lang w:val="en-US"/>
        </w:rPr>
        <w:t>.), o placebo-</w:t>
      </w:r>
      <w:proofErr w:type="spellStart"/>
      <w:r w:rsidRPr="00DB46C1">
        <w:rPr>
          <w:rFonts w:eastAsia="Arial"/>
          <w:bCs/>
          <w:lang w:val="en-US"/>
        </w:rPr>
        <w:t>letrozolo</w:t>
      </w:r>
      <w:proofErr w:type="spellEnd"/>
      <w:r w:rsidRPr="00DB46C1">
        <w:rPr>
          <w:rFonts w:eastAsia="Arial"/>
          <w:bCs/>
          <w:lang w:val="en-US"/>
        </w:rPr>
        <w:t xml:space="preserve"> </w:t>
      </w:r>
      <w:proofErr w:type="spellStart"/>
      <w:r w:rsidRPr="00DB46C1">
        <w:rPr>
          <w:rFonts w:eastAsia="Arial"/>
          <w:bCs/>
          <w:lang w:val="en-US"/>
        </w:rPr>
        <w:t>grupėje</w:t>
      </w:r>
      <w:proofErr w:type="spellEnd"/>
      <w:r w:rsidRPr="00DB46C1">
        <w:rPr>
          <w:rFonts w:eastAsia="Arial"/>
          <w:bCs/>
          <w:lang w:val="en-US"/>
        </w:rPr>
        <w:t xml:space="preserve"> 14,5 </w:t>
      </w:r>
      <w:proofErr w:type="spellStart"/>
      <w:r w:rsidRPr="00DB46C1">
        <w:rPr>
          <w:rFonts w:eastAsia="Arial"/>
          <w:bCs/>
          <w:lang w:val="en-US"/>
        </w:rPr>
        <w:t>mėn</w:t>
      </w:r>
      <w:proofErr w:type="spellEnd"/>
      <w:r w:rsidRPr="00DB46C1">
        <w:rPr>
          <w:rFonts w:eastAsia="Arial"/>
          <w:bCs/>
          <w:lang w:val="en-US"/>
        </w:rPr>
        <w:t>. (95 proc. PI 12,3‒17,1), (RS, 0,563 (95 proc. PI 0,461–0,687); P &lt; 0,0001).</w:t>
      </w:r>
    </w:p>
    <w:p w14:paraId="3E21E1E7" w14:textId="77777777" w:rsidR="00B96F61" w:rsidRPr="0020156B" w:rsidRDefault="00B96F61" w:rsidP="00B96F61">
      <w:pPr>
        <w:tabs>
          <w:tab w:val="left" w:pos="492"/>
        </w:tabs>
        <w:spacing w:line="276" w:lineRule="auto"/>
        <w:jc w:val="both"/>
        <w:outlineLvl w:val="1"/>
        <w:rPr>
          <w:rFonts w:eastAsia="Arial"/>
          <w:bCs/>
        </w:rPr>
      </w:pPr>
      <w:r>
        <w:rPr>
          <w:rFonts w:eastAsia="Arial"/>
          <w:bCs/>
        </w:rPr>
        <w:tab/>
        <w:t xml:space="preserve">Antrinės vertinamosios baigtys buvo bendras išgyvenamumas, laikas iki tolesnio priešvėžinio gydymo, pacientų praneštos baigtys. </w:t>
      </w:r>
      <w:r w:rsidRPr="00320130">
        <w:rPr>
          <w:rFonts w:eastAsia="Arial"/>
          <w:bCs/>
        </w:rPr>
        <w:t xml:space="preserve">Galutinės IBLP analizės metu buvo atlikta tarpinė BI analizė. Ši analizė buvo atlikta įvykus 133 mirtims abejose grupėse, o tai atitiko apie 34 proc. mirčių reikalingų galutinei BI analizei. Paraiškoje nurodyta, kad nebuvo galima pateikti išvadų apie BI dėl nepakankamos duomenų brandos, bet buvo pažymėta, kad iš anksto numatytas reikšmingumo lygmuo </w:t>
      </w:r>
      <w:r w:rsidRPr="00320130">
        <w:rPr>
          <w:rFonts w:eastAsia="Arial"/>
          <w:bCs/>
        </w:rPr>
        <w:lastRenderedPageBreak/>
        <w:t xml:space="preserve">nebuvo pasiektas, todėl BI duomenys turi būti renkami iki numatytos galutinės BI </w:t>
      </w:r>
      <w:proofErr w:type="spellStart"/>
      <w:r w:rsidRPr="00320130">
        <w:rPr>
          <w:rFonts w:eastAsia="Arial"/>
          <w:bCs/>
        </w:rPr>
        <w:t>analizės.Laiko</w:t>
      </w:r>
      <w:proofErr w:type="spellEnd"/>
      <w:r w:rsidRPr="00320130">
        <w:rPr>
          <w:rFonts w:eastAsia="Arial"/>
          <w:bCs/>
        </w:rPr>
        <w:t xml:space="preserve"> iki pirmo tolesnio priešvėžinio gydymo mediana </w:t>
      </w:r>
      <w:proofErr w:type="spellStart"/>
      <w:r w:rsidRPr="00320130">
        <w:rPr>
          <w:rFonts w:eastAsia="Arial"/>
          <w:bCs/>
        </w:rPr>
        <w:t>palbociklibo-letrozolo</w:t>
      </w:r>
      <w:proofErr w:type="spellEnd"/>
      <w:r w:rsidRPr="00320130">
        <w:rPr>
          <w:rFonts w:eastAsia="Arial"/>
          <w:bCs/>
        </w:rPr>
        <w:t xml:space="preserve"> grupėje buvo 28,0 mėn.  </w:t>
      </w:r>
      <w:r w:rsidRPr="00E11794">
        <w:rPr>
          <w:rFonts w:eastAsia="Arial"/>
          <w:bCs/>
          <w:lang w:val="en-US"/>
        </w:rPr>
        <w:t>(95 proc. PI 23,6–29,6), o placebo-</w:t>
      </w:r>
      <w:proofErr w:type="spellStart"/>
      <w:r w:rsidRPr="00E11794">
        <w:rPr>
          <w:rFonts w:eastAsia="Arial"/>
          <w:bCs/>
          <w:lang w:val="en-US"/>
        </w:rPr>
        <w:t>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17,7 </w:t>
      </w:r>
      <w:proofErr w:type="spellStart"/>
      <w:r w:rsidRPr="00E11794">
        <w:rPr>
          <w:rFonts w:eastAsia="Arial"/>
          <w:bCs/>
          <w:lang w:val="en-US"/>
        </w:rPr>
        <w:t>mėn</w:t>
      </w:r>
      <w:proofErr w:type="spellEnd"/>
      <w:r w:rsidRPr="00E11794">
        <w:rPr>
          <w:rFonts w:eastAsia="Arial"/>
          <w:bCs/>
          <w:lang w:val="en-US"/>
        </w:rPr>
        <w:t xml:space="preserve">. (95 proc. PI 14,3–21,5), RS 0,637 (95 proc. PI 0,524-0,775), p&lt;0,0001. </w:t>
      </w:r>
      <w:proofErr w:type="spellStart"/>
      <w:r w:rsidRPr="00E11794">
        <w:rPr>
          <w:rFonts w:eastAsia="Arial"/>
          <w:bCs/>
          <w:lang w:val="en-US"/>
        </w:rPr>
        <w:t>Laiko</w:t>
      </w:r>
      <w:proofErr w:type="spellEnd"/>
      <w:r w:rsidRPr="00E11794">
        <w:rPr>
          <w:rFonts w:eastAsia="Arial"/>
          <w:bCs/>
          <w:lang w:val="en-US"/>
        </w:rPr>
        <w:t xml:space="preserve"> </w:t>
      </w:r>
      <w:proofErr w:type="spellStart"/>
      <w:r w:rsidRPr="00E11794">
        <w:rPr>
          <w:rFonts w:eastAsia="Arial"/>
          <w:bCs/>
          <w:lang w:val="en-US"/>
        </w:rPr>
        <w:t>iki</w:t>
      </w:r>
      <w:proofErr w:type="spellEnd"/>
      <w:r w:rsidRPr="00E11794">
        <w:rPr>
          <w:rFonts w:eastAsia="Arial"/>
          <w:bCs/>
          <w:lang w:val="en-US"/>
        </w:rPr>
        <w:t xml:space="preserve"> </w:t>
      </w:r>
      <w:proofErr w:type="spellStart"/>
      <w:r w:rsidRPr="00E11794">
        <w:rPr>
          <w:rFonts w:eastAsia="Arial"/>
          <w:bCs/>
          <w:lang w:val="en-US"/>
        </w:rPr>
        <w:t>antro</w:t>
      </w:r>
      <w:proofErr w:type="spellEnd"/>
      <w:r w:rsidRPr="00E11794">
        <w:rPr>
          <w:rFonts w:eastAsia="Arial"/>
          <w:bCs/>
          <w:lang w:val="en-US"/>
        </w:rPr>
        <w:t xml:space="preserve"> </w:t>
      </w:r>
      <w:proofErr w:type="spellStart"/>
      <w:r w:rsidRPr="00E11794">
        <w:rPr>
          <w:rFonts w:eastAsia="Arial"/>
          <w:bCs/>
          <w:lang w:val="en-US"/>
        </w:rPr>
        <w:t>tolesnio</w:t>
      </w:r>
      <w:proofErr w:type="spellEnd"/>
      <w:r w:rsidRPr="00E11794">
        <w:rPr>
          <w:rFonts w:eastAsia="Arial"/>
          <w:bCs/>
          <w:lang w:val="en-US"/>
        </w:rPr>
        <w:t xml:space="preserve"> </w:t>
      </w:r>
      <w:proofErr w:type="spellStart"/>
      <w:r w:rsidRPr="00E11794">
        <w:rPr>
          <w:rFonts w:eastAsia="Arial"/>
          <w:bCs/>
          <w:lang w:val="en-US"/>
        </w:rPr>
        <w:t>priešvėžinio</w:t>
      </w:r>
      <w:proofErr w:type="spellEnd"/>
      <w:r w:rsidRPr="00E11794">
        <w:rPr>
          <w:rFonts w:eastAsia="Arial"/>
          <w:bCs/>
          <w:lang w:val="en-US"/>
        </w:rPr>
        <w:t xml:space="preserve"> </w:t>
      </w:r>
      <w:proofErr w:type="spellStart"/>
      <w:r w:rsidRPr="00E11794">
        <w:rPr>
          <w:rFonts w:eastAsia="Arial"/>
          <w:bCs/>
          <w:lang w:val="en-US"/>
        </w:rPr>
        <w:t>gydymo</w:t>
      </w:r>
      <w:proofErr w:type="spellEnd"/>
      <w:r w:rsidRPr="00E11794">
        <w:rPr>
          <w:rFonts w:eastAsia="Arial"/>
          <w:bCs/>
          <w:lang w:val="en-US"/>
        </w:rPr>
        <w:t xml:space="preserve"> </w:t>
      </w:r>
      <w:proofErr w:type="spellStart"/>
      <w:r w:rsidRPr="00E11794">
        <w:rPr>
          <w:rFonts w:eastAsia="Arial"/>
          <w:bCs/>
          <w:lang w:val="en-US"/>
        </w:rPr>
        <w:t>mediana</w:t>
      </w:r>
      <w:proofErr w:type="spellEnd"/>
      <w:r w:rsidRPr="00E11794">
        <w:rPr>
          <w:rFonts w:eastAsia="Arial"/>
          <w:bCs/>
          <w:lang w:val="en-US"/>
        </w:rPr>
        <w:t xml:space="preserve">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w:t>
      </w:r>
      <w:proofErr w:type="spellStart"/>
      <w:r w:rsidRPr="00E11794">
        <w:rPr>
          <w:rFonts w:eastAsia="Arial"/>
          <w:bCs/>
          <w:lang w:val="en-US"/>
        </w:rPr>
        <w:t>buvo</w:t>
      </w:r>
      <w:proofErr w:type="spellEnd"/>
      <w:r w:rsidRPr="00E11794">
        <w:rPr>
          <w:rFonts w:eastAsia="Arial"/>
          <w:bCs/>
          <w:lang w:val="en-US"/>
        </w:rPr>
        <w:t xml:space="preserve"> 38,8 </w:t>
      </w:r>
      <w:proofErr w:type="spellStart"/>
      <w:r w:rsidRPr="00E11794">
        <w:rPr>
          <w:rFonts w:eastAsia="Arial"/>
          <w:bCs/>
          <w:lang w:val="en-US"/>
        </w:rPr>
        <w:t>mėn</w:t>
      </w:r>
      <w:proofErr w:type="spellEnd"/>
      <w:r w:rsidRPr="00E11794">
        <w:rPr>
          <w:rFonts w:eastAsia="Arial"/>
          <w:bCs/>
          <w:lang w:val="en-US"/>
        </w:rPr>
        <w:t>.  (95 proc. PI 34,4–</w:t>
      </w:r>
      <w:proofErr w:type="spellStart"/>
      <w:r w:rsidRPr="00E11794">
        <w:rPr>
          <w:rFonts w:eastAsia="Arial"/>
          <w:bCs/>
          <w:lang w:val="en-US"/>
        </w:rPr>
        <w:t>neįvertinama</w:t>
      </w:r>
      <w:proofErr w:type="spellEnd"/>
      <w:r w:rsidRPr="00E11794">
        <w:rPr>
          <w:rFonts w:eastAsia="Arial"/>
          <w:bCs/>
          <w:lang w:val="en-US"/>
        </w:rPr>
        <w:t>), o placebo-</w:t>
      </w:r>
      <w:proofErr w:type="spellStart"/>
      <w:r w:rsidRPr="00E11794">
        <w:rPr>
          <w:rFonts w:eastAsia="Arial"/>
          <w:bCs/>
          <w:lang w:val="en-US"/>
        </w:rPr>
        <w:t>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28,8 </w:t>
      </w:r>
      <w:proofErr w:type="spellStart"/>
      <w:r w:rsidRPr="00E11794">
        <w:rPr>
          <w:rFonts w:eastAsia="Arial"/>
          <w:bCs/>
          <w:lang w:val="en-US"/>
        </w:rPr>
        <w:t>mėn</w:t>
      </w:r>
      <w:proofErr w:type="spellEnd"/>
      <w:r w:rsidRPr="00E11794">
        <w:rPr>
          <w:rFonts w:eastAsia="Arial"/>
          <w:bCs/>
          <w:lang w:val="en-US"/>
        </w:rPr>
        <w:t>. (95 proc. PI 25,7‒33,5). RS 0,724 (95 proc. PI 0,581-0,903), p&lt;0,005.</w:t>
      </w:r>
    </w:p>
    <w:p w14:paraId="34E42F10" w14:textId="77777777" w:rsidR="00B96F61" w:rsidRDefault="00B96F61" w:rsidP="00B96F61">
      <w:pPr>
        <w:tabs>
          <w:tab w:val="left" w:pos="492"/>
        </w:tabs>
        <w:spacing w:line="276" w:lineRule="auto"/>
        <w:jc w:val="both"/>
        <w:outlineLvl w:val="1"/>
        <w:rPr>
          <w:rFonts w:eastAsia="Arial"/>
          <w:bCs/>
          <w:lang w:val="en-US"/>
        </w:rPr>
      </w:pPr>
      <w:r>
        <w:rPr>
          <w:rFonts w:eastAsia="Arial"/>
          <w:bCs/>
          <w:lang w:val="en-US"/>
        </w:rPr>
        <w:tab/>
      </w:r>
      <w:proofErr w:type="spellStart"/>
      <w:r w:rsidRPr="00E11794">
        <w:rPr>
          <w:rFonts w:eastAsia="Arial"/>
          <w:bCs/>
          <w:lang w:val="en-US"/>
        </w:rPr>
        <w:t>Klinikiniame</w:t>
      </w:r>
      <w:proofErr w:type="spellEnd"/>
      <w:r w:rsidRPr="00E11794">
        <w:rPr>
          <w:rFonts w:eastAsia="Arial"/>
          <w:bCs/>
          <w:lang w:val="en-US"/>
        </w:rPr>
        <w:t xml:space="preserve"> </w:t>
      </w:r>
      <w:proofErr w:type="spellStart"/>
      <w:r w:rsidRPr="00E11794">
        <w:rPr>
          <w:rFonts w:eastAsia="Arial"/>
          <w:bCs/>
          <w:lang w:val="en-US"/>
        </w:rPr>
        <w:t>tyrime</w:t>
      </w:r>
      <w:proofErr w:type="spellEnd"/>
      <w:r w:rsidRPr="00E11794">
        <w:rPr>
          <w:rFonts w:eastAsia="Arial"/>
          <w:bCs/>
          <w:lang w:val="en-US"/>
        </w:rPr>
        <w:t xml:space="preserve"> PALOMA-2 </w:t>
      </w:r>
      <w:proofErr w:type="spellStart"/>
      <w:r w:rsidRPr="00E11794">
        <w:rPr>
          <w:rFonts w:eastAsia="Arial"/>
          <w:bCs/>
          <w:lang w:val="en-US"/>
        </w:rPr>
        <w:t>pacientų</w:t>
      </w:r>
      <w:proofErr w:type="spellEnd"/>
      <w:r w:rsidRPr="00E11794">
        <w:rPr>
          <w:rFonts w:eastAsia="Arial"/>
          <w:bCs/>
          <w:lang w:val="en-US"/>
        </w:rPr>
        <w:t xml:space="preserve"> </w:t>
      </w:r>
      <w:proofErr w:type="spellStart"/>
      <w:r w:rsidRPr="00E11794">
        <w:rPr>
          <w:rFonts w:eastAsia="Arial"/>
          <w:bCs/>
          <w:lang w:val="en-US"/>
        </w:rPr>
        <w:t>praneštos</w:t>
      </w:r>
      <w:proofErr w:type="spellEnd"/>
      <w:r w:rsidRPr="00E11794">
        <w:rPr>
          <w:rFonts w:eastAsia="Arial"/>
          <w:bCs/>
          <w:lang w:val="en-US"/>
        </w:rPr>
        <w:t xml:space="preserve"> </w:t>
      </w:r>
      <w:proofErr w:type="spellStart"/>
      <w:r w:rsidRPr="00E11794">
        <w:rPr>
          <w:rFonts w:eastAsia="Arial"/>
          <w:bCs/>
          <w:lang w:val="en-US"/>
        </w:rPr>
        <w:t>baigtys</w:t>
      </w:r>
      <w:proofErr w:type="spellEnd"/>
      <w:r w:rsidRPr="00E11794">
        <w:rPr>
          <w:rFonts w:eastAsia="Arial"/>
          <w:bCs/>
          <w:lang w:val="en-US"/>
        </w:rPr>
        <w:t xml:space="preserve"> </w:t>
      </w:r>
      <w:proofErr w:type="spellStart"/>
      <w:r w:rsidRPr="00E11794">
        <w:rPr>
          <w:rFonts w:eastAsia="Arial"/>
          <w:bCs/>
          <w:lang w:val="en-US"/>
        </w:rPr>
        <w:t>buvo</w:t>
      </w:r>
      <w:proofErr w:type="spellEnd"/>
      <w:r w:rsidRPr="00E11794">
        <w:rPr>
          <w:rFonts w:eastAsia="Arial"/>
          <w:bCs/>
          <w:lang w:val="en-US"/>
        </w:rPr>
        <w:t xml:space="preserve"> </w:t>
      </w:r>
      <w:proofErr w:type="spellStart"/>
      <w:r w:rsidRPr="00E11794">
        <w:rPr>
          <w:rFonts w:eastAsia="Arial"/>
          <w:bCs/>
          <w:lang w:val="en-US"/>
        </w:rPr>
        <w:t>vertinamos</w:t>
      </w:r>
      <w:proofErr w:type="spellEnd"/>
      <w:r w:rsidRPr="00E11794">
        <w:rPr>
          <w:rFonts w:eastAsia="Arial"/>
          <w:bCs/>
          <w:lang w:val="en-US"/>
        </w:rPr>
        <w:t xml:space="preserve"> </w:t>
      </w:r>
      <w:proofErr w:type="spellStart"/>
      <w:r w:rsidRPr="00E11794">
        <w:rPr>
          <w:rFonts w:eastAsia="Arial"/>
          <w:bCs/>
          <w:lang w:val="en-US"/>
        </w:rPr>
        <w:t>pagal</w:t>
      </w:r>
      <w:proofErr w:type="spellEnd"/>
      <w:r w:rsidRPr="00E11794">
        <w:rPr>
          <w:rFonts w:eastAsia="Arial"/>
          <w:bCs/>
          <w:lang w:val="en-US"/>
        </w:rPr>
        <w:t xml:space="preserve"> </w:t>
      </w:r>
      <w:proofErr w:type="spellStart"/>
      <w:r w:rsidRPr="00E11794">
        <w:rPr>
          <w:rFonts w:eastAsia="Arial"/>
          <w:bCs/>
          <w:lang w:val="en-US"/>
        </w:rPr>
        <w:t>krūties</w:t>
      </w:r>
      <w:proofErr w:type="spellEnd"/>
      <w:r w:rsidRPr="00E11794">
        <w:rPr>
          <w:rFonts w:eastAsia="Arial"/>
          <w:bCs/>
          <w:lang w:val="en-US"/>
        </w:rPr>
        <w:t xml:space="preserve"> </w:t>
      </w:r>
      <w:proofErr w:type="spellStart"/>
      <w:r w:rsidRPr="00E11794">
        <w:rPr>
          <w:rFonts w:eastAsia="Arial"/>
          <w:bCs/>
          <w:lang w:val="en-US"/>
        </w:rPr>
        <w:t>vėžiui</w:t>
      </w:r>
      <w:proofErr w:type="spellEnd"/>
      <w:r w:rsidRPr="00E11794">
        <w:rPr>
          <w:rFonts w:eastAsia="Arial"/>
          <w:bCs/>
          <w:lang w:val="en-US"/>
        </w:rPr>
        <w:t xml:space="preserve"> </w:t>
      </w:r>
      <w:proofErr w:type="spellStart"/>
      <w:r w:rsidRPr="00E11794">
        <w:rPr>
          <w:rFonts w:eastAsia="Arial"/>
          <w:bCs/>
          <w:lang w:val="en-US"/>
        </w:rPr>
        <w:t>specifišką</w:t>
      </w:r>
      <w:proofErr w:type="spellEnd"/>
      <w:r w:rsidRPr="00E11794">
        <w:rPr>
          <w:rFonts w:eastAsia="Arial"/>
          <w:bCs/>
          <w:lang w:val="en-US"/>
        </w:rPr>
        <w:t xml:space="preserve"> </w:t>
      </w:r>
      <w:proofErr w:type="spellStart"/>
      <w:r w:rsidRPr="00E11794">
        <w:rPr>
          <w:rFonts w:eastAsia="Arial"/>
          <w:bCs/>
          <w:lang w:val="en-US"/>
        </w:rPr>
        <w:t>gyvenimo</w:t>
      </w:r>
      <w:proofErr w:type="spellEnd"/>
      <w:r w:rsidRPr="00E11794">
        <w:rPr>
          <w:rFonts w:eastAsia="Arial"/>
          <w:bCs/>
          <w:lang w:val="en-US"/>
        </w:rPr>
        <w:t xml:space="preserve"> </w:t>
      </w:r>
      <w:proofErr w:type="spellStart"/>
      <w:r w:rsidRPr="00E11794">
        <w:rPr>
          <w:rFonts w:eastAsia="Arial"/>
          <w:bCs/>
          <w:lang w:val="en-US"/>
        </w:rPr>
        <w:t>kokybės</w:t>
      </w:r>
      <w:proofErr w:type="spellEnd"/>
      <w:r w:rsidRPr="00E11794">
        <w:rPr>
          <w:rFonts w:eastAsia="Arial"/>
          <w:bCs/>
          <w:lang w:val="en-US"/>
        </w:rPr>
        <w:t xml:space="preserve"> </w:t>
      </w:r>
      <w:proofErr w:type="spellStart"/>
      <w:r w:rsidRPr="00E11794">
        <w:rPr>
          <w:rFonts w:eastAsia="Arial"/>
          <w:bCs/>
          <w:lang w:val="en-US"/>
        </w:rPr>
        <w:t>klausimyną</w:t>
      </w:r>
      <w:proofErr w:type="spellEnd"/>
      <w:r w:rsidRPr="00E11794">
        <w:rPr>
          <w:rFonts w:eastAsia="Arial"/>
          <w:bCs/>
          <w:lang w:val="en-US"/>
        </w:rPr>
        <w:t xml:space="preserve"> FACT-B </w:t>
      </w:r>
      <w:proofErr w:type="spellStart"/>
      <w:r w:rsidRPr="00E11794">
        <w:rPr>
          <w:rFonts w:eastAsia="Arial"/>
          <w:bCs/>
          <w:lang w:val="en-US"/>
        </w:rPr>
        <w:t>bei</w:t>
      </w:r>
      <w:proofErr w:type="spellEnd"/>
      <w:r w:rsidRPr="00E11794">
        <w:rPr>
          <w:rFonts w:eastAsia="Arial"/>
          <w:bCs/>
          <w:lang w:val="en-US"/>
        </w:rPr>
        <w:t xml:space="preserve"> EQ-5D </w:t>
      </w:r>
      <w:proofErr w:type="spellStart"/>
      <w:r w:rsidRPr="00E11794">
        <w:rPr>
          <w:rFonts w:eastAsia="Arial"/>
          <w:bCs/>
          <w:lang w:val="en-US"/>
        </w:rPr>
        <w:t>klausimyną</w:t>
      </w:r>
      <w:proofErr w:type="spellEnd"/>
      <w:r w:rsidRPr="00E11794">
        <w:rPr>
          <w:rFonts w:eastAsia="Arial"/>
          <w:bCs/>
          <w:lang w:val="en-US"/>
        </w:rPr>
        <w:t xml:space="preserve">. </w:t>
      </w:r>
      <w:proofErr w:type="spellStart"/>
      <w:r w:rsidRPr="00E11794">
        <w:rPr>
          <w:rFonts w:eastAsia="Arial"/>
          <w:bCs/>
          <w:lang w:val="en-US"/>
        </w:rPr>
        <w:t>Bendras</w:t>
      </w:r>
      <w:proofErr w:type="spellEnd"/>
      <w:r w:rsidRPr="00E11794">
        <w:rPr>
          <w:rFonts w:eastAsia="Arial"/>
          <w:bCs/>
          <w:lang w:val="en-US"/>
        </w:rPr>
        <w:t xml:space="preserve"> FACT-B </w:t>
      </w:r>
      <w:proofErr w:type="spellStart"/>
      <w:r w:rsidRPr="00E11794">
        <w:rPr>
          <w:rFonts w:eastAsia="Arial"/>
          <w:bCs/>
          <w:lang w:val="en-US"/>
        </w:rPr>
        <w:t>įverčio</w:t>
      </w:r>
      <w:proofErr w:type="spellEnd"/>
      <w:r w:rsidRPr="00E11794">
        <w:rPr>
          <w:rFonts w:eastAsia="Arial"/>
          <w:bCs/>
          <w:lang w:val="en-US"/>
        </w:rPr>
        <w:t xml:space="preserve"> </w:t>
      </w:r>
      <w:proofErr w:type="spellStart"/>
      <w:r w:rsidRPr="00E11794">
        <w:rPr>
          <w:rFonts w:eastAsia="Arial"/>
          <w:bCs/>
          <w:lang w:val="en-US"/>
        </w:rPr>
        <w:t>pokytis</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w:t>
      </w:r>
      <w:proofErr w:type="spellStart"/>
      <w:r w:rsidRPr="00E11794">
        <w:rPr>
          <w:rFonts w:eastAsia="Arial"/>
          <w:bCs/>
          <w:lang w:val="en-US"/>
        </w:rPr>
        <w:t>su</w:t>
      </w:r>
      <w:proofErr w:type="spellEnd"/>
      <w:r w:rsidRPr="00E11794">
        <w:rPr>
          <w:rFonts w:eastAsia="Arial"/>
          <w:bCs/>
          <w:lang w:val="en-US"/>
        </w:rPr>
        <w:t xml:space="preserve"> </w:t>
      </w:r>
      <w:proofErr w:type="spellStart"/>
      <w:r w:rsidRPr="00E11794">
        <w:rPr>
          <w:rFonts w:eastAsia="Arial"/>
          <w:bCs/>
          <w:lang w:val="en-US"/>
        </w:rPr>
        <w:t>pradiniu</w:t>
      </w:r>
      <w:proofErr w:type="spellEnd"/>
      <w:r w:rsidRPr="00E11794">
        <w:rPr>
          <w:rFonts w:eastAsia="Arial"/>
          <w:bCs/>
          <w:lang w:val="en-US"/>
        </w:rPr>
        <w:t xml:space="preserve"> </w:t>
      </w:r>
      <w:proofErr w:type="spellStart"/>
      <w:r w:rsidRPr="00E11794">
        <w:rPr>
          <w:rFonts w:eastAsia="Arial"/>
          <w:bCs/>
          <w:lang w:val="en-US"/>
        </w:rPr>
        <w:t>buvo</w:t>
      </w:r>
      <w:proofErr w:type="spellEnd"/>
      <w:r w:rsidRPr="00E11794">
        <w:rPr>
          <w:rFonts w:eastAsia="Arial"/>
          <w:bCs/>
          <w:lang w:val="en-US"/>
        </w:rPr>
        <w:t xml:space="preserve"> -0,11 (95% CI –1,42 -1,21)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w:t>
      </w:r>
      <w:proofErr w:type="spellStart"/>
      <w:r w:rsidRPr="00E11794">
        <w:rPr>
          <w:rFonts w:eastAsia="Arial"/>
          <w:bCs/>
          <w:lang w:val="en-US"/>
        </w:rPr>
        <w:t>ir</w:t>
      </w:r>
      <w:proofErr w:type="spellEnd"/>
      <w:r w:rsidRPr="00E11794">
        <w:rPr>
          <w:rFonts w:eastAsia="Arial"/>
          <w:bCs/>
          <w:lang w:val="en-US"/>
        </w:rPr>
        <w:t xml:space="preserve"> 0,22 (95% CI -1,68 - 2,12) placebo-</w:t>
      </w:r>
      <w:proofErr w:type="spellStart"/>
      <w:r w:rsidRPr="00E11794">
        <w:rPr>
          <w:rFonts w:eastAsia="Arial"/>
          <w:bCs/>
          <w:lang w:val="en-US"/>
        </w:rPr>
        <w:t>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p = 0,782. </w:t>
      </w:r>
      <w:proofErr w:type="spellStart"/>
      <w:r w:rsidRPr="00E11794">
        <w:rPr>
          <w:rFonts w:eastAsia="Arial"/>
          <w:bCs/>
          <w:lang w:val="en-US"/>
        </w:rPr>
        <w:t>Bendras</w:t>
      </w:r>
      <w:proofErr w:type="spellEnd"/>
      <w:r w:rsidRPr="00E11794">
        <w:rPr>
          <w:rFonts w:eastAsia="Arial"/>
          <w:bCs/>
          <w:lang w:val="en-US"/>
        </w:rPr>
        <w:t xml:space="preserve"> FACT-G </w:t>
      </w:r>
      <w:proofErr w:type="spellStart"/>
      <w:r w:rsidRPr="00E11794">
        <w:rPr>
          <w:rFonts w:eastAsia="Arial"/>
          <w:bCs/>
          <w:lang w:val="en-US"/>
        </w:rPr>
        <w:t>įvertis</w:t>
      </w:r>
      <w:proofErr w:type="spellEnd"/>
      <w:r w:rsidRPr="00E11794">
        <w:rPr>
          <w:rFonts w:eastAsia="Arial"/>
          <w:bCs/>
          <w:lang w:val="en-US"/>
        </w:rPr>
        <w:t xml:space="preserve">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w:t>
      </w:r>
      <w:proofErr w:type="spellStart"/>
      <w:r w:rsidRPr="00E11794">
        <w:rPr>
          <w:rFonts w:eastAsia="Arial"/>
          <w:bCs/>
          <w:lang w:val="en-US"/>
        </w:rPr>
        <w:t>buvo</w:t>
      </w:r>
      <w:proofErr w:type="spellEnd"/>
      <w:r w:rsidRPr="00E11794">
        <w:rPr>
          <w:rFonts w:eastAsia="Arial"/>
          <w:bCs/>
          <w:lang w:val="en-US"/>
        </w:rPr>
        <w:t xml:space="preserve"> 78,8 [95% CI 77,8, 79,9], o placebo-</w:t>
      </w:r>
      <w:proofErr w:type="spellStart"/>
      <w:r w:rsidRPr="00E11794">
        <w:rPr>
          <w:rFonts w:eastAsia="Arial"/>
          <w:bCs/>
          <w:lang w:val="en-US"/>
        </w:rPr>
        <w:t>letrozolo</w:t>
      </w:r>
      <w:proofErr w:type="spellEnd"/>
      <w:r w:rsidRPr="00E11794">
        <w:rPr>
          <w:rFonts w:eastAsia="Arial"/>
          <w:bCs/>
          <w:lang w:val="en-US"/>
        </w:rPr>
        <w:t xml:space="preserve"> 78,7 [77,1, 80,3]; p = 0,883). FACT-G </w:t>
      </w:r>
      <w:proofErr w:type="spellStart"/>
      <w:r w:rsidRPr="00E11794">
        <w:rPr>
          <w:rFonts w:eastAsia="Arial"/>
          <w:bCs/>
          <w:lang w:val="en-US"/>
        </w:rPr>
        <w:t>įverčio</w:t>
      </w:r>
      <w:proofErr w:type="spellEnd"/>
      <w:r w:rsidRPr="00E11794">
        <w:rPr>
          <w:rFonts w:eastAsia="Arial"/>
          <w:bCs/>
          <w:lang w:val="en-US"/>
        </w:rPr>
        <w:t xml:space="preserve"> </w:t>
      </w:r>
      <w:proofErr w:type="spellStart"/>
      <w:r w:rsidRPr="00E11794">
        <w:rPr>
          <w:rFonts w:eastAsia="Arial"/>
          <w:bCs/>
          <w:lang w:val="en-US"/>
        </w:rPr>
        <w:t>pokytis</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w:t>
      </w:r>
      <w:proofErr w:type="spellStart"/>
      <w:r w:rsidRPr="00E11794">
        <w:rPr>
          <w:rFonts w:eastAsia="Arial"/>
          <w:bCs/>
          <w:lang w:val="en-US"/>
        </w:rPr>
        <w:t>su</w:t>
      </w:r>
      <w:proofErr w:type="spellEnd"/>
      <w:r w:rsidRPr="00E11794">
        <w:rPr>
          <w:rFonts w:eastAsia="Arial"/>
          <w:bCs/>
          <w:lang w:val="en-US"/>
        </w:rPr>
        <w:t xml:space="preserve"> </w:t>
      </w:r>
      <w:proofErr w:type="spellStart"/>
      <w:r w:rsidRPr="00E11794">
        <w:rPr>
          <w:rFonts w:eastAsia="Arial"/>
          <w:bCs/>
          <w:lang w:val="en-US"/>
        </w:rPr>
        <w:t>pradiniu</w:t>
      </w:r>
      <w:proofErr w:type="spellEnd"/>
      <w:r w:rsidRPr="00E11794">
        <w:rPr>
          <w:rFonts w:eastAsia="Arial"/>
          <w:bCs/>
          <w:lang w:val="en-US"/>
        </w:rPr>
        <w:t xml:space="preserve">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grupėje</w:t>
      </w:r>
      <w:proofErr w:type="spellEnd"/>
      <w:r w:rsidRPr="00E11794">
        <w:rPr>
          <w:rFonts w:eastAsia="Arial"/>
          <w:bCs/>
          <w:lang w:val="en-US"/>
        </w:rPr>
        <w:t xml:space="preserve"> </w:t>
      </w:r>
      <w:proofErr w:type="spellStart"/>
      <w:r w:rsidRPr="00E11794">
        <w:rPr>
          <w:rFonts w:eastAsia="Arial"/>
          <w:bCs/>
          <w:lang w:val="en-US"/>
        </w:rPr>
        <w:t>buvo</w:t>
      </w:r>
      <w:proofErr w:type="spellEnd"/>
      <w:r w:rsidRPr="00E11794">
        <w:rPr>
          <w:rFonts w:eastAsia="Arial"/>
          <w:bCs/>
          <w:lang w:val="en-US"/>
        </w:rPr>
        <w:t xml:space="preserve"> -0,39, 95% CI –1,46 - 0,68), o placebo-</w:t>
      </w:r>
      <w:proofErr w:type="spellStart"/>
      <w:r w:rsidRPr="00E11794">
        <w:rPr>
          <w:rFonts w:eastAsia="Arial"/>
          <w:bCs/>
          <w:lang w:val="en-US"/>
        </w:rPr>
        <w:t>letrozolo</w:t>
      </w:r>
      <w:proofErr w:type="spellEnd"/>
      <w:r w:rsidRPr="00E11794">
        <w:rPr>
          <w:rFonts w:eastAsia="Arial"/>
          <w:bCs/>
          <w:lang w:val="en-US"/>
        </w:rPr>
        <w:t xml:space="preserve"> – -0,53 (95% CI, –2,08 - 1,02</w:t>
      </w:r>
      <w:proofErr w:type="gramStart"/>
      <w:r w:rsidRPr="00E11794">
        <w:rPr>
          <w:rFonts w:eastAsia="Arial"/>
          <w:bCs/>
          <w:lang w:val="en-US"/>
        </w:rPr>
        <w:t>),  p</w:t>
      </w:r>
      <w:proofErr w:type="gramEnd"/>
      <w:r w:rsidRPr="00E11794">
        <w:rPr>
          <w:rFonts w:eastAsia="Arial"/>
          <w:bCs/>
          <w:lang w:val="en-US"/>
        </w:rPr>
        <w:t>= 0,883.</w:t>
      </w:r>
      <w:r>
        <w:rPr>
          <w:rFonts w:eastAsia="Arial"/>
          <w:bCs/>
          <w:lang w:val="en-US"/>
        </w:rPr>
        <w:t xml:space="preserve"> </w:t>
      </w:r>
      <w:proofErr w:type="spellStart"/>
      <w:r w:rsidRPr="00E11794">
        <w:rPr>
          <w:rFonts w:eastAsia="Arial"/>
          <w:bCs/>
          <w:lang w:val="en-US"/>
        </w:rPr>
        <w:t>Fizinės</w:t>
      </w:r>
      <w:proofErr w:type="spellEnd"/>
      <w:r w:rsidRPr="00E11794">
        <w:rPr>
          <w:rFonts w:eastAsia="Arial"/>
          <w:bCs/>
          <w:lang w:val="en-US"/>
        </w:rPr>
        <w:t xml:space="preserve"> </w:t>
      </w:r>
      <w:proofErr w:type="spellStart"/>
      <w:r w:rsidRPr="00E11794">
        <w:rPr>
          <w:rFonts w:eastAsia="Arial"/>
          <w:bCs/>
          <w:lang w:val="en-US"/>
        </w:rPr>
        <w:t>gerovės</w:t>
      </w:r>
      <w:proofErr w:type="spellEnd"/>
      <w:r w:rsidRPr="00E11794">
        <w:rPr>
          <w:rFonts w:eastAsia="Arial"/>
          <w:bCs/>
          <w:lang w:val="en-US"/>
        </w:rPr>
        <w:t xml:space="preserve">, </w:t>
      </w:r>
      <w:proofErr w:type="spellStart"/>
      <w:r w:rsidRPr="00E11794">
        <w:rPr>
          <w:rFonts w:eastAsia="Arial"/>
          <w:bCs/>
          <w:lang w:val="en-US"/>
        </w:rPr>
        <w:t>socialinės</w:t>
      </w:r>
      <w:proofErr w:type="spellEnd"/>
      <w:r w:rsidRPr="00E11794">
        <w:rPr>
          <w:rFonts w:eastAsia="Arial"/>
          <w:bCs/>
          <w:lang w:val="en-US"/>
        </w:rPr>
        <w:t>/</w:t>
      </w:r>
      <w:proofErr w:type="spellStart"/>
      <w:r w:rsidRPr="00E11794">
        <w:rPr>
          <w:rFonts w:eastAsia="Arial"/>
          <w:bCs/>
          <w:lang w:val="en-US"/>
        </w:rPr>
        <w:t>šeimos</w:t>
      </w:r>
      <w:proofErr w:type="spellEnd"/>
      <w:r w:rsidRPr="00E11794">
        <w:rPr>
          <w:rFonts w:eastAsia="Arial"/>
          <w:bCs/>
          <w:lang w:val="en-US"/>
        </w:rPr>
        <w:t xml:space="preserve"> </w:t>
      </w:r>
      <w:proofErr w:type="spellStart"/>
      <w:r w:rsidRPr="00E11794">
        <w:rPr>
          <w:rFonts w:eastAsia="Arial"/>
          <w:bCs/>
          <w:lang w:val="en-US"/>
        </w:rPr>
        <w:t>gerovės</w:t>
      </w:r>
      <w:proofErr w:type="spellEnd"/>
      <w:r w:rsidRPr="00E11794">
        <w:rPr>
          <w:rFonts w:eastAsia="Arial"/>
          <w:bCs/>
          <w:lang w:val="en-US"/>
        </w:rPr>
        <w:t xml:space="preserve">, </w:t>
      </w:r>
      <w:proofErr w:type="spellStart"/>
      <w:r w:rsidRPr="00E11794">
        <w:rPr>
          <w:rFonts w:eastAsia="Arial"/>
          <w:bCs/>
          <w:lang w:val="en-US"/>
        </w:rPr>
        <w:t>emocinės</w:t>
      </w:r>
      <w:proofErr w:type="spellEnd"/>
      <w:r w:rsidRPr="00E11794">
        <w:rPr>
          <w:rFonts w:eastAsia="Arial"/>
          <w:bCs/>
          <w:lang w:val="en-US"/>
        </w:rPr>
        <w:t xml:space="preserve"> </w:t>
      </w:r>
      <w:proofErr w:type="spellStart"/>
      <w:r w:rsidRPr="00E11794">
        <w:rPr>
          <w:rFonts w:eastAsia="Arial"/>
          <w:bCs/>
          <w:lang w:val="en-US"/>
        </w:rPr>
        <w:t>gerovės</w:t>
      </w:r>
      <w:proofErr w:type="spellEnd"/>
      <w:r w:rsidRPr="00E11794">
        <w:rPr>
          <w:rFonts w:eastAsia="Arial"/>
          <w:bCs/>
          <w:lang w:val="en-US"/>
        </w:rPr>
        <w:t xml:space="preserve">, </w:t>
      </w:r>
      <w:proofErr w:type="spellStart"/>
      <w:r w:rsidRPr="00E11794">
        <w:rPr>
          <w:rFonts w:eastAsia="Arial"/>
          <w:bCs/>
          <w:lang w:val="en-US"/>
        </w:rPr>
        <w:t>funkcinės</w:t>
      </w:r>
      <w:proofErr w:type="spellEnd"/>
      <w:r w:rsidRPr="00E11794">
        <w:rPr>
          <w:rFonts w:eastAsia="Arial"/>
          <w:bCs/>
          <w:lang w:val="en-US"/>
        </w:rPr>
        <w:t xml:space="preserve"> </w:t>
      </w:r>
      <w:proofErr w:type="spellStart"/>
      <w:r w:rsidRPr="00E11794">
        <w:rPr>
          <w:rFonts w:eastAsia="Arial"/>
          <w:bCs/>
          <w:lang w:val="en-US"/>
        </w:rPr>
        <w:t>gerovės</w:t>
      </w:r>
      <w:proofErr w:type="spellEnd"/>
      <w:r w:rsidRPr="00E11794">
        <w:rPr>
          <w:rFonts w:eastAsia="Arial"/>
          <w:bCs/>
          <w:lang w:val="en-US"/>
        </w:rPr>
        <w:t xml:space="preserve"> </w:t>
      </w:r>
      <w:proofErr w:type="spellStart"/>
      <w:r w:rsidRPr="00E11794">
        <w:rPr>
          <w:rFonts w:eastAsia="Arial"/>
          <w:bCs/>
          <w:lang w:val="en-US"/>
        </w:rPr>
        <w:t>įverčių</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w:t>
      </w:r>
      <w:proofErr w:type="spellStart"/>
      <w:r w:rsidRPr="00E11794">
        <w:rPr>
          <w:rFonts w:eastAsia="Arial"/>
          <w:bCs/>
          <w:lang w:val="en-US"/>
        </w:rPr>
        <w:t>su</w:t>
      </w:r>
      <w:proofErr w:type="spellEnd"/>
      <w:r w:rsidRPr="00E11794">
        <w:rPr>
          <w:rFonts w:eastAsia="Arial"/>
          <w:bCs/>
          <w:lang w:val="en-US"/>
        </w:rPr>
        <w:t xml:space="preserve"> </w:t>
      </w:r>
      <w:proofErr w:type="spellStart"/>
      <w:r w:rsidRPr="00E11794">
        <w:rPr>
          <w:rFonts w:eastAsia="Arial"/>
          <w:bCs/>
          <w:lang w:val="en-US"/>
        </w:rPr>
        <w:t>pradiniais</w:t>
      </w:r>
      <w:proofErr w:type="spellEnd"/>
      <w:r w:rsidRPr="00E11794">
        <w:rPr>
          <w:rFonts w:eastAsia="Arial"/>
          <w:bCs/>
          <w:lang w:val="en-US"/>
        </w:rPr>
        <w:t xml:space="preserve"> </w:t>
      </w:r>
      <w:proofErr w:type="spellStart"/>
      <w:r w:rsidRPr="00E11794">
        <w:rPr>
          <w:rFonts w:eastAsia="Arial"/>
          <w:bCs/>
          <w:lang w:val="en-US"/>
        </w:rPr>
        <w:t>pokyčiai</w:t>
      </w:r>
      <w:proofErr w:type="spellEnd"/>
      <w:r w:rsidRPr="00E11794">
        <w:rPr>
          <w:rFonts w:eastAsia="Arial"/>
          <w:bCs/>
          <w:lang w:val="en-US"/>
        </w:rPr>
        <w:t xml:space="preserve"> tarp </w:t>
      </w:r>
      <w:proofErr w:type="spellStart"/>
      <w:r w:rsidRPr="00E11794">
        <w:rPr>
          <w:rFonts w:eastAsia="Arial"/>
          <w:bCs/>
          <w:lang w:val="en-US"/>
        </w:rPr>
        <w:t>grupių</w:t>
      </w:r>
      <w:proofErr w:type="spellEnd"/>
      <w:r w:rsidRPr="00E11794">
        <w:rPr>
          <w:rFonts w:eastAsia="Arial"/>
          <w:bCs/>
          <w:lang w:val="en-US"/>
        </w:rPr>
        <w:t xml:space="preserve"> </w:t>
      </w:r>
      <w:proofErr w:type="spellStart"/>
      <w:r w:rsidRPr="00E11794">
        <w:rPr>
          <w:rFonts w:eastAsia="Arial"/>
          <w:bCs/>
          <w:lang w:val="en-US"/>
        </w:rPr>
        <w:t>statistiškai</w:t>
      </w:r>
      <w:proofErr w:type="spellEnd"/>
      <w:r w:rsidRPr="00E11794">
        <w:rPr>
          <w:rFonts w:eastAsia="Arial"/>
          <w:bCs/>
          <w:lang w:val="en-US"/>
        </w:rPr>
        <w:t xml:space="preserve"> </w:t>
      </w:r>
      <w:proofErr w:type="spellStart"/>
      <w:r w:rsidRPr="00E11794">
        <w:rPr>
          <w:rFonts w:eastAsia="Arial"/>
          <w:bCs/>
          <w:lang w:val="en-US"/>
        </w:rPr>
        <w:t>reikšmingai</w:t>
      </w:r>
      <w:proofErr w:type="spellEnd"/>
      <w:r w:rsidRPr="00E11794">
        <w:rPr>
          <w:rFonts w:eastAsia="Arial"/>
          <w:bCs/>
          <w:lang w:val="en-US"/>
        </w:rPr>
        <w:t xml:space="preserve"> </w:t>
      </w:r>
      <w:proofErr w:type="spellStart"/>
      <w:r w:rsidRPr="00E11794">
        <w:rPr>
          <w:rFonts w:eastAsia="Arial"/>
          <w:bCs/>
          <w:lang w:val="en-US"/>
        </w:rPr>
        <w:t>nesiskyrė</w:t>
      </w:r>
      <w:proofErr w:type="spellEnd"/>
      <w:r w:rsidRPr="00E11794">
        <w:rPr>
          <w:rFonts w:eastAsia="Arial"/>
          <w:bCs/>
          <w:lang w:val="en-US"/>
        </w:rPr>
        <w:t xml:space="preserve">. Taip pat </w:t>
      </w:r>
      <w:proofErr w:type="spellStart"/>
      <w:r w:rsidRPr="00E11794">
        <w:rPr>
          <w:rFonts w:eastAsia="Arial"/>
          <w:bCs/>
          <w:lang w:val="en-US"/>
        </w:rPr>
        <w:t>nebuvo</w:t>
      </w:r>
      <w:proofErr w:type="spellEnd"/>
      <w:r w:rsidRPr="00E11794">
        <w:rPr>
          <w:rFonts w:eastAsia="Arial"/>
          <w:bCs/>
          <w:lang w:val="en-US"/>
        </w:rPr>
        <w:t xml:space="preserve"> </w:t>
      </w:r>
      <w:proofErr w:type="spellStart"/>
      <w:r w:rsidRPr="00E11794">
        <w:rPr>
          <w:rFonts w:eastAsia="Arial"/>
          <w:bCs/>
          <w:lang w:val="en-US"/>
        </w:rPr>
        <w:t>nustatyta</w:t>
      </w:r>
      <w:proofErr w:type="spellEnd"/>
      <w:r w:rsidRPr="00E11794">
        <w:rPr>
          <w:rFonts w:eastAsia="Arial"/>
          <w:bCs/>
          <w:lang w:val="en-US"/>
        </w:rPr>
        <w:t xml:space="preserve"> </w:t>
      </w:r>
      <w:proofErr w:type="spellStart"/>
      <w:r w:rsidRPr="00E11794">
        <w:rPr>
          <w:rFonts w:eastAsia="Arial"/>
          <w:bCs/>
          <w:lang w:val="en-US"/>
        </w:rPr>
        <w:t>statistiškai</w:t>
      </w:r>
      <w:proofErr w:type="spellEnd"/>
      <w:r w:rsidRPr="00E11794">
        <w:rPr>
          <w:rFonts w:eastAsia="Arial"/>
          <w:bCs/>
          <w:lang w:val="en-US"/>
        </w:rPr>
        <w:t xml:space="preserve"> </w:t>
      </w:r>
      <w:proofErr w:type="spellStart"/>
      <w:r w:rsidRPr="00E11794">
        <w:rPr>
          <w:rFonts w:eastAsia="Arial"/>
          <w:bCs/>
          <w:lang w:val="en-US"/>
        </w:rPr>
        <w:t>reikšmingo</w:t>
      </w:r>
      <w:proofErr w:type="spellEnd"/>
      <w:r w:rsidRPr="00E11794">
        <w:rPr>
          <w:rFonts w:eastAsia="Arial"/>
          <w:bCs/>
          <w:lang w:val="en-US"/>
        </w:rPr>
        <w:t xml:space="preserve"> </w:t>
      </w:r>
      <w:proofErr w:type="spellStart"/>
      <w:r w:rsidRPr="00E11794">
        <w:rPr>
          <w:rFonts w:eastAsia="Arial"/>
          <w:bCs/>
          <w:lang w:val="en-US"/>
        </w:rPr>
        <w:t>skirtumo</w:t>
      </w:r>
      <w:proofErr w:type="spellEnd"/>
      <w:r w:rsidRPr="00E11794">
        <w:rPr>
          <w:rFonts w:eastAsia="Arial"/>
          <w:bCs/>
          <w:lang w:val="en-US"/>
        </w:rPr>
        <w:t xml:space="preserve"> tarp </w:t>
      </w:r>
      <w:proofErr w:type="spellStart"/>
      <w:r w:rsidRPr="00E11794">
        <w:rPr>
          <w:rFonts w:eastAsia="Arial"/>
          <w:bCs/>
          <w:lang w:val="en-US"/>
        </w:rPr>
        <w:t>grupių</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FACT-B TOI </w:t>
      </w:r>
      <w:proofErr w:type="spellStart"/>
      <w:r w:rsidRPr="00E11794">
        <w:rPr>
          <w:rFonts w:eastAsia="Arial"/>
          <w:bCs/>
          <w:lang w:val="en-US"/>
        </w:rPr>
        <w:t>įverčių</w:t>
      </w:r>
      <w:proofErr w:type="spellEnd"/>
      <w:r w:rsidRPr="00E11794">
        <w:rPr>
          <w:rFonts w:eastAsia="Arial"/>
          <w:bCs/>
          <w:lang w:val="en-US"/>
        </w:rPr>
        <w:t xml:space="preserve"> </w:t>
      </w:r>
      <w:proofErr w:type="spellStart"/>
      <w:r w:rsidRPr="00E11794">
        <w:rPr>
          <w:rFonts w:eastAsia="Arial"/>
          <w:bCs/>
          <w:lang w:val="en-US"/>
        </w:rPr>
        <w:t>pokyčius</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w:t>
      </w:r>
      <w:proofErr w:type="spellStart"/>
      <w:r w:rsidRPr="00E11794">
        <w:rPr>
          <w:rFonts w:eastAsia="Arial"/>
          <w:bCs/>
          <w:lang w:val="en-US"/>
        </w:rPr>
        <w:t>su</w:t>
      </w:r>
      <w:proofErr w:type="spellEnd"/>
      <w:r w:rsidRPr="00E11794">
        <w:rPr>
          <w:rFonts w:eastAsia="Arial"/>
          <w:bCs/>
          <w:lang w:val="en-US"/>
        </w:rPr>
        <w:t xml:space="preserve"> </w:t>
      </w:r>
      <w:proofErr w:type="spellStart"/>
      <w:r w:rsidRPr="00E11794">
        <w:rPr>
          <w:rFonts w:eastAsia="Arial"/>
          <w:bCs/>
          <w:lang w:val="en-US"/>
        </w:rPr>
        <w:t>pradiniais</w:t>
      </w:r>
      <w:proofErr w:type="spellEnd"/>
      <w:r w:rsidRPr="00E11794">
        <w:rPr>
          <w:rFonts w:eastAsia="Arial"/>
          <w:bCs/>
          <w:lang w:val="en-US"/>
        </w:rPr>
        <w:t xml:space="preserve"> </w:t>
      </w:r>
      <w:proofErr w:type="spellStart"/>
      <w:r w:rsidRPr="00E11794">
        <w:rPr>
          <w:rFonts w:eastAsia="Arial"/>
          <w:bCs/>
          <w:lang w:val="en-US"/>
        </w:rPr>
        <w:t>įverčiais</w:t>
      </w:r>
      <w:proofErr w:type="spellEnd"/>
      <w:r w:rsidRPr="00E11794">
        <w:rPr>
          <w:rFonts w:eastAsia="Arial"/>
          <w:bCs/>
          <w:lang w:val="en-US"/>
        </w:rPr>
        <w:t xml:space="preserve">. </w:t>
      </w:r>
      <w:proofErr w:type="spellStart"/>
      <w:r w:rsidRPr="00E11794">
        <w:rPr>
          <w:rFonts w:eastAsia="Arial"/>
          <w:bCs/>
          <w:lang w:val="en-US"/>
        </w:rPr>
        <w:t>Gydymo</w:t>
      </w:r>
      <w:proofErr w:type="spellEnd"/>
      <w:r w:rsidRPr="00E11794">
        <w:rPr>
          <w:rFonts w:eastAsia="Arial"/>
          <w:bCs/>
          <w:lang w:val="en-US"/>
        </w:rPr>
        <w:t xml:space="preserve"> </w:t>
      </w:r>
      <w:proofErr w:type="spellStart"/>
      <w:r w:rsidRPr="00E11794">
        <w:rPr>
          <w:rFonts w:eastAsia="Arial"/>
          <w:bCs/>
          <w:lang w:val="en-US"/>
        </w:rPr>
        <w:t>metu</w:t>
      </w:r>
      <w:proofErr w:type="spellEnd"/>
      <w:r w:rsidRPr="00E11794">
        <w:rPr>
          <w:rFonts w:eastAsia="Arial"/>
          <w:bCs/>
          <w:lang w:val="en-US"/>
        </w:rPr>
        <w:t xml:space="preserve"> </w:t>
      </w:r>
      <w:proofErr w:type="spellStart"/>
      <w:r w:rsidRPr="00E11794">
        <w:rPr>
          <w:rFonts w:eastAsia="Arial"/>
          <w:bCs/>
          <w:lang w:val="en-US"/>
        </w:rPr>
        <w:t>bendro</w:t>
      </w:r>
      <w:proofErr w:type="spellEnd"/>
      <w:r w:rsidRPr="00E11794">
        <w:rPr>
          <w:rFonts w:eastAsia="Arial"/>
          <w:bCs/>
          <w:lang w:val="en-US"/>
        </w:rPr>
        <w:t xml:space="preserve"> EQ-5D </w:t>
      </w:r>
      <w:proofErr w:type="spellStart"/>
      <w:r w:rsidRPr="00E11794">
        <w:rPr>
          <w:rFonts w:eastAsia="Arial"/>
          <w:bCs/>
          <w:lang w:val="en-US"/>
        </w:rPr>
        <w:t>įverčio</w:t>
      </w:r>
      <w:proofErr w:type="spellEnd"/>
      <w:r w:rsidRPr="00E11794">
        <w:rPr>
          <w:rFonts w:eastAsia="Arial"/>
          <w:bCs/>
          <w:lang w:val="en-US"/>
        </w:rPr>
        <w:t xml:space="preserve"> </w:t>
      </w:r>
      <w:proofErr w:type="spellStart"/>
      <w:r w:rsidRPr="00E11794">
        <w:rPr>
          <w:rFonts w:eastAsia="Arial"/>
          <w:bCs/>
          <w:lang w:val="en-US"/>
        </w:rPr>
        <w:t>pokyčiai</w:t>
      </w:r>
      <w:proofErr w:type="spellEnd"/>
      <w:r w:rsidRPr="00E11794">
        <w:rPr>
          <w:rFonts w:eastAsia="Arial"/>
          <w:bCs/>
          <w:lang w:val="en-US"/>
        </w:rPr>
        <w:t xml:space="preserve"> tarp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ir</w:t>
      </w:r>
      <w:proofErr w:type="spellEnd"/>
      <w:r w:rsidRPr="00E11794">
        <w:rPr>
          <w:rFonts w:eastAsia="Arial"/>
          <w:bCs/>
          <w:lang w:val="en-US"/>
        </w:rPr>
        <w:t xml:space="preserve"> placebo-</w:t>
      </w:r>
      <w:proofErr w:type="spellStart"/>
      <w:r w:rsidRPr="00E11794">
        <w:rPr>
          <w:rFonts w:eastAsia="Arial"/>
          <w:bCs/>
          <w:lang w:val="en-US"/>
        </w:rPr>
        <w:t>letrozolo</w:t>
      </w:r>
      <w:proofErr w:type="spellEnd"/>
      <w:r w:rsidRPr="00E11794">
        <w:rPr>
          <w:rFonts w:eastAsia="Arial"/>
          <w:bCs/>
          <w:lang w:val="en-US"/>
        </w:rPr>
        <w:t xml:space="preserve"> </w:t>
      </w:r>
      <w:proofErr w:type="spellStart"/>
      <w:r w:rsidRPr="00E11794">
        <w:rPr>
          <w:rFonts w:eastAsia="Arial"/>
          <w:bCs/>
          <w:lang w:val="en-US"/>
        </w:rPr>
        <w:t>grupių</w:t>
      </w:r>
      <w:proofErr w:type="spellEnd"/>
      <w:r w:rsidRPr="00E11794">
        <w:rPr>
          <w:rFonts w:eastAsia="Arial"/>
          <w:bCs/>
          <w:lang w:val="en-US"/>
        </w:rPr>
        <w:t xml:space="preserve"> </w:t>
      </w:r>
      <w:proofErr w:type="spellStart"/>
      <w:r w:rsidRPr="00E11794">
        <w:rPr>
          <w:rFonts w:eastAsia="Arial"/>
          <w:bCs/>
          <w:lang w:val="en-US"/>
        </w:rPr>
        <w:t>statistiškai</w:t>
      </w:r>
      <w:proofErr w:type="spellEnd"/>
      <w:r w:rsidRPr="00E11794">
        <w:rPr>
          <w:rFonts w:eastAsia="Arial"/>
          <w:bCs/>
          <w:lang w:val="en-US"/>
        </w:rPr>
        <w:t xml:space="preserve"> </w:t>
      </w:r>
      <w:proofErr w:type="spellStart"/>
      <w:r w:rsidRPr="00E11794">
        <w:rPr>
          <w:rFonts w:eastAsia="Arial"/>
          <w:bCs/>
          <w:lang w:val="en-US"/>
        </w:rPr>
        <w:t>reikšmingai</w:t>
      </w:r>
      <w:proofErr w:type="spellEnd"/>
      <w:r w:rsidRPr="00E11794">
        <w:rPr>
          <w:rFonts w:eastAsia="Arial"/>
          <w:bCs/>
          <w:lang w:val="en-US"/>
        </w:rPr>
        <w:t xml:space="preserve"> </w:t>
      </w:r>
      <w:proofErr w:type="spellStart"/>
      <w:r w:rsidRPr="00E11794">
        <w:rPr>
          <w:rFonts w:eastAsia="Arial"/>
          <w:bCs/>
          <w:lang w:val="en-US"/>
        </w:rPr>
        <w:t>nesiskyrė</w:t>
      </w:r>
      <w:proofErr w:type="spellEnd"/>
      <w:r w:rsidRPr="00E11794">
        <w:rPr>
          <w:rFonts w:eastAsia="Arial"/>
          <w:bCs/>
          <w:lang w:val="en-US"/>
        </w:rPr>
        <w:t xml:space="preserve"> (0,74 [95% CI, 0,72-0,75] </w:t>
      </w:r>
      <w:proofErr w:type="spellStart"/>
      <w:r>
        <w:rPr>
          <w:rFonts w:eastAsia="Arial"/>
          <w:bCs/>
          <w:lang w:val="en-US"/>
        </w:rPr>
        <w:t>ir</w:t>
      </w:r>
      <w:proofErr w:type="spellEnd"/>
      <w:r w:rsidRPr="00E11794">
        <w:rPr>
          <w:rFonts w:eastAsia="Arial"/>
          <w:bCs/>
          <w:lang w:val="en-US"/>
        </w:rPr>
        <w:t xml:space="preserve"> 0,71 [95% CI, 0,69-0,73]; p = 0,0925). EQ-5D </w:t>
      </w:r>
      <w:proofErr w:type="spellStart"/>
      <w:r w:rsidRPr="00E11794">
        <w:rPr>
          <w:rFonts w:eastAsia="Arial"/>
          <w:bCs/>
          <w:lang w:val="en-US"/>
        </w:rPr>
        <w:t>pokytis</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w:t>
      </w:r>
      <w:proofErr w:type="spellStart"/>
      <w:r w:rsidRPr="00E11794">
        <w:rPr>
          <w:rFonts w:eastAsia="Arial"/>
          <w:bCs/>
          <w:lang w:val="en-US"/>
        </w:rPr>
        <w:t>su</w:t>
      </w:r>
      <w:proofErr w:type="spellEnd"/>
      <w:r w:rsidRPr="00E11794">
        <w:rPr>
          <w:rFonts w:eastAsia="Arial"/>
          <w:bCs/>
          <w:lang w:val="en-US"/>
        </w:rPr>
        <w:t xml:space="preserve"> </w:t>
      </w:r>
      <w:proofErr w:type="spellStart"/>
      <w:r w:rsidRPr="00E11794">
        <w:rPr>
          <w:rFonts w:eastAsia="Arial"/>
          <w:bCs/>
          <w:lang w:val="en-US"/>
        </w:rPr>
        <w:t>pradiniu</w:t>
      </w:r>
      <w:proofErr w:type="spellEnd"/>
      <w:r w:rsidRPr="00E11794">
        <w:rPr>
          <w:rFonts w:eastAsia="Arial"/>
          <w:bCs/>
          <w:lang w:val="en-US"/>
        </w:rPr>
        <w:t xml:space="preserve"> tarp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ir</w:t>
      </w:r>
      <w:proofErr w:type="spellEnd"/>
      <w:r w:rsidRPr="00E11794">
        <w:rPr>
          <w:rFonts w:eastAsia="Arial"/>
          <w:bCs/>
          <w:lang w:val="en-US"/>
        </w:rPr>
        <w:t xml:space="preserve"> placebo-</w:t>
      </w:r>
      <w:proofErr w:type="spellStart"/>
      <w:r w:rsidRPr="00E11794">
        <w:rPr>
          <w:rFonts w:eastAsia="Arial"/>
          <w:bCs/>
          <w:lang w:val="en-US"/>
        </w:rPr>
        <w:t>letrozolo</w:t>
      </w:r>
      <w:proofErr w:type="spellEnd"/>
      <w:r w:rsidRPr="00E11794">
        <w:rPr>
          <w:rFonts w:eastAsia="Arial"/>
          <w:bCs/>
          <w:lang w:val="en-US"/>
        </w:rPr>
        <w:t xml:space="preserve"> </w:t>
      </w:r>
      <w:proofErr w:type="spellStart"/>
      <w:r w:rsidRPr="00E11794">
        <w:rPr>
          <w:rFonts w:eastAsia="Arial"/>
          <w:bCs/>
          <w:lang w:val="en-US"/>
        </w:rPr>
        <w:t>grupių</w:t>
      </w:r>
      <w:proofErr w:type="spellEnd"/>
      <w:r w:rsidRPr="00E11794">
        <w:rPr>
          <w:rFonts w:eastAsia="Arial"/>
          <w:bCs/>
          <w:lang w:val="en-US"/>
        </w:rPr>
        <w:t xml:space="preserve"> </w:t>
      </w:r>
      <w:proofErr w:type="spellStart"/>
      <w:r w:rsidRPr="00E11794">
        <w:rPr>
          <w:rFonts w:eastAsia="Arial"/>
          <w:bCs/>
          <w:lang w:val="en-US"/>
        </w:rPr>
        <w:t>taip</w:t>
      </w:r>
      <w:proofErr w:type="spellEnd"/>
      <w:r w:rsidRPr="00E11794">
        <w:rPr>
          <w:rFonts w:eastAsia="Arial"/>
          <w:bCs/>
          <w:lang w:val="en-US"/>
        </w:rPr>
        <w:t xml:space="preserve"> pat </w:t>
      </w:r>
      <w:proofErr w:type="spellStart"/>
      <w:r w:rsidRPr="00E11794">
        <w:rPr>
          <w:rFonts w:eastAsia="Arial"/>
          <w:bCs/>
          <w:lang w:val="en-US"/>
        </w:rPr>
        <w:t>statistiškai</w:t>
      </w:r>
      <w:proofErr w:type="spellEnd"/>
      <w:r w:rsidRPr="00E11794">
        <w:rPr>
          <w:rFonts w:eastAsia="Arial"/>
          <w:bCs/>
          <w:lang w:val="en-US"/>
        </w:rPr>
        <w:t xml:space="preserve"> </w:t>
      </w:r>
      <w:proofErr w:type="spellStart"/>
      <w:r w:rsidRPr="00E11794">
        <w:rPr>
          <w:rFonts w:eastAsia="Arial"/>
          <w:bCs/>
          <w:lang w:val="en-US"/>
        </w:rPr>
        <w:t>reikšmingai</w:t>
      </w:r>
      <w:proofErr w:type="spellEnd"/>
      <w:r w:rsidRPr="00E11794">
        <w:rPr>
          <w:rFonts w:eastAsia="Arial"/>
          <w:bCs/>
          <w:lang w:val="en-US"/>
        </w:rPr>
        <w:t xml:space="preserve"> </w:t>
      </w:r>
      <w:proofErr w:type="spellStart"/>
      <w:r w:rsidRPr="00E11794">
        <w:rPr>
          <w:rFonts w:eastAsia="Arial"/>
          <w:bCs/>
          <w:lang w:val="en-US"/>
        </w:rPr>
        <w:t>nesiskyrė</w:t>
      </w:r>
      <w:proofErr w:type="spellEnd"/>
      <w:r w:rsidRPr="00E11794">
        <w:rPr>
          <w:rFonts w:eastAsia="Arial"/>
          <w:bCs/>
          <w:lang w:val="en-US"/>
        </w:rPr>
        <w:t xml:space="preserve"> (0,014 [95% CI, 0,00-0,03] vs –0,010 [95% CI, –0,03 to 0,01]; P = 0,0925).</w:t>
      </w:r>
      <w:r>
        <w:rPr>
          <w:rFonts w:eastAsia="Arial"/>
          <w:bCs/>
          <w:lang w:val="en-US"/>
        </w:rPr>
        <w:t xml:space="preserve"> </w:t>
      </w:r>
      <w:proofErr w:type="spellStart"/>
      <w:r w:rsidRPr="00E11794">
        <w:rPr>
          <w:rFonts w:eastAsia="Arial"/>
          <w:bCs/>
          <w:lang w:val="en-US"/>
        </w:rPr>
        <w:t>Gydymo</w:t>
      </w:r>
      <w:proofErr w:type="spellEnd"/>
      <w:r w:rsidRPr="00E11794">
        <w:rPr>
          <w:rFonts w:eastAsia="Arial"/>
          <w:bCs/>
          <w:lang w:val="en-US"/>
        </w:rPr>
        <w:t xml:space="preserve"> </w:t>
      </w:r>
      <w:proofErr w:type="spellStart"/>
      <w:r w:rsidRPr="00E11794">
        <w:rPr>
          <w:rFonts w:eastAsia="Arial"/>
          <w:bCs/>
          <w:lang w:val="en-US"/>
        </w:rPr>
        <w:t>metu</w:t>
      </w:r>
      <w:proofErr w:type="spellEnd"/>
      <w:r w:rsidRPr="00E11794">
        <w:rPr>
          <w:rFonts w:eastAsia="Arial"/>
          <w:bCs/>
          <w:lang w:val="en-US"/>
        </w:rPr>
        <w:t xml:space="preserve"> VAS </w:t>
      </w:r>
      <w:proofErr w:type="spellStart"/>
      <w:r w:rsidRPr="00E11794">
        <w:rPr>
          <w:rFonts w:eastAsia="Arial"/>
          <w:bCs/>
          <w:lang w:val="en-US"/>
        </w:rPr>
        <w:t>įvertis</w:t>
      </w:r>
      <w:proofErr w:type="spellEnd"/>
      <w:r w:rsidRPr="00E11794">
        <w:rPr>
          <w:rFonts w:eastAsia="Arial"/>
          <w:bCs/>
          <w:lang w:val="en-US"/>
        </w:rPr>
        <w:t xml:space="preserve"> (75,07 vs 75,25; P = 0,869) </w:t>
      </w:r>
      <w:proofErr w:type="spellStart"/>
      <w:r w:rsidRPr="00E11794">
        <w:rPr>
          <w:rFonts w:eastAsia="Arial"/>
          <w:bCs/>
          <w:lang w:val="en-US"/>
        </w:rPr>
        <w:t>ir</w:t>
      </w:r>
      <w:proofErr w:type="spellEnd"/>
      <w:r w:rsidRPr="00E11794">
        <w:rPr>
          <w:rFonts w:eastAsia="Arial"/>
          <w:bCs/>
          <w:lang w:val="en-US"/>
        </w:rPr>
        <w:t xml:space="preserve"> VAS </w:t>
      </w:r>
      <w:proofErr w:type="spellStart"/>
      <w:r w:rsidRPr="00E11794">
        <w:rPr>
          <w:rFonts w:eastAsia="Arial"/>
          <w:bCs/>
          <w:lang w:val="en-US"/>
        </w:rPr>
        <w:t>pokytis</w:t>
      </w:r>
      <w:proofErr w:type="spellEnd"/>
      <w:r w:rsidRPr="00E11794">
        <w:rPr>
          <w:rFonts w:eastAsia="Arial"/>
          <w:bCs/>
          <w:lang w:val="en-US"/>
        </w:rPr>
        <w:t xml:space="preserve"> </w:t>
      </w:r>
      <w:proofErr w:type="spellStart"/>
      <w:r w:rsidRPr="00E11794">
        <w:rPr>
          <w:rFonts w:eastAsia="Arial"/>
          <w:bCs/>
          <w:lang w:val="en-US"/>
        </w:rPr>
        <w:t>lyginant</w:t>
      </w:r>
      <w:proofErr w:type="spellEnd"/>
      <w:r w:rsidRPr="00E11794">
        <w:rPr>
          <w:rFonts w:eastAsia="Arial"/>
          <w:bCs/>
          <w:lang w:val="en-US"/>
        </w:rPr>
        <w:t xml:space="preserve"> </w:t>
      </w:r>
      <w:proofErr w:type="spellStart"/>
      <w:r w:rsidRPr="00E11794">
        <w:rPr>
          <w:rFonts w:eastAsia="Arial"/>
          <w:bCs/>
          <w:lang w:val="en-US"/>
        </w:rPr>
        <w:t>su</w:t>
      </w:r>
      <w:proofErr w:type="spellEnd"/>
      <w:r w:rsidRPr="00E11794">
        <w:rPr>
          <w:rFonts w:eastAsia="Arial"/>
          <w:bCs/>
          <w:lang w:val="en-US"/>
        </w:rPr>
        <w:t xml:space="preserve"> </w:t>
      </w:r>
      <w:proofErr w:type="spellStart"/>
      <w:r w:rsidRPr="00E11794">
        <w:rPr>
          <w:rFonts w:eastAsia="Arial"/>
          <w:bCs/>
          <w:lang w:val="en-US"/>
        </w:rPr>
        <w:t>pradiniu</w:t>
      </w:r>
      <w:proofErr w:type="spellEnd"/>
      <w:r w:rsidRPr="00E11794">
        <w:rPr>
          <w:rFonts w:eastAsia="Arial"/>
          <w:bCs/>
          <w:lang w:val="en-US"/>
        </w:rPr>
        <w:t xml:space="preserve"> (1,99 vs 2,17; P = 0,869) tarp </w:t>
      </w:r>
      <w:proofErr w:type="spellStart"/>
      <w:r w:rsidRPr="00E11794">
        <w:rPr>
          <w:rFonts w:eastAsia="Arial"/>
          <w:bCs/>
          <w:lang w:val="en-US"/>
        </w:rPr>
        <w:t>palbociklibo-letrozolo</w:t>
      </w:r>
      <w:proofErr w:type="spellEnd"/>
      <w:r w:rsidRPr="00E11794">
        <w:rPr>
          <w:rFonts w:eastAsia="Arial"/>
          <w:bCs/>
          <w:lang w:val="en-US"/>
        </w:rPr>
        <w:t xml:space="preserve"> </w:t>
      </w:r>
      <w:proofErr w:type="spellStart"/>
      <w:r w:rsidRPr="00E11794">
        <w:rPr>
          <w:rFonts w:eastAsia="Arial"/>
          <w:bCs/>
          <w:lang w:val="en-US"/>
        </w:rPr>
        <w:t>ir</w:t>
      </w:r>
      <w:proofErr w:type="spellEnd"/>
      <w:r w:rsidRPr="00E11794">
        <w:rPr>
          <w:rFonts w:eastAsia="Arial"/>
          <w:bCs/>
          <w:lang w:val="en-US"/>
        </w:rPr>
        <w:t xml:space="preserve"> placebo-</w:t>
      </w:r>
      <w:proofErr w:type="spellStart"/>
      <w:r w:rsidRPr="00E11794">
        <w:rPr>
          <w:rFonts w:eastAsia="Arial"/>
          <w:bCs/>
          <w:lang w:val="en-US"/>
        </w:rPr>
        <w:t>letrozolo</w:t>
      </w:r>
      <w:proofErr w:type="spellEnd"/>
      <w:r w:rsidRPr="00E11794">
        <w:rPr>
          <w:rFonts w:eastAsia="Arial"/>
          <w:bCs/>
          <w:lang w:val="en-US"/>
        </w:rPr>
        <w:t xml:space="preserve"> </w:t>
      </w:r>
      <w:proofErr w:type="spellStart"/>
      <w:r w:rsidRPr="00E11794">
        <w:rPr>
          <w:rFonts w:eastAsia="Arial"/>
          <w:bCs/>
          <w:lang w:val="en-US"/>
        </w:rPr>
        <w:t>grupių</w:t>
      </w:r>
      <w:proofErr w:type="spellEnd"/>
      <w:r w:rsidRPr="00E11794">
        <w:rPr>
          <w:rFonts w:eastAsia="Arial"/>
          <w:bCs/>
          <w:lang w:val="en-US"/>
        </w:rPr>
        <w:t xml:space="preserve"> </w:t>
      </w:r>
      <w:proofErr w:type="spellStart"/>
      <w:r w:rsidRPr="00E11794">
        <w:rPr>
          <w:rFonts w:eastAsia="Arial"/>
          <w:bCs/>
          <w:lang w:val="en-US"/>
        </w:rPr>
        <w:t>statistiškai</w:t>
      </w:r>
      <w:proofErr w:type="spellEnd"/>
      <w:r w:rsidRPr="00E11794">
        <w:rPr>
          <w:rFonts w:eastAsia="Arial"/>
          <w:bCs/>
          <w:lang w:val="en-US"/>
        </w:rPr>
        <w:t xml:space="preserve"> </w:t>
      </w:r>
      <w:proofErr w:type="spellStart"/>
      <w:r w:rsidRPr="00E11794">
        <w:rPr>
          <w:rFonts w:eastAsia="Arial"/>
          <w:bCs/>
          <w:lang w:val="en-US"/>
        </w:rPr>
        <w:t>reikšmingai</w:t>
      </w:r>
      <w:proofErr w:type="spellEnd"/>
      <w:r w:rsidRPr="00E11794">
        <w:rPr>
          <w:rFonts w:eastAsia="Arial"/>
          <w:bCs/>
          <w:lang w:val="en-US"/>
        </w:rPr>
        <w:t xml:space="preserve"> </w:t>
      </w:r>
      <w:proofErr w:type="spellStart"/>
      <w:r w:rsidRPr="00E11794">
        <w:rPr>
          <w:rFonts w:eastAsia="Arial"/>
          <w:bCs/>
          <w:lang w:val="en-US"/>
        </w:rPr>
        <w:t>nesiskyrė</w:t>
      </w:r>
      <w:proofErr w:type="spellEnd"/>
      <w:r w:rsidRPr="00E11794">
        <w:rPr>
          <w:rFonts w:eastAsia="Arial"/>
          <w:bCs/>
          <w:lang w:val="en-US"/>
        </w:rPr>
        <w:t xml:space="preserve">. </w:t>
      </w:r>
    </w:p>
    <w:p w14:paraId="30EE51FA" w14:textId="77777777" w:rsidR="00B96F61" w:rsidRDefault="00B96F61" w:rsidP="00B96F61">
      <w:pPr>
        <w:tabs>
          <w:tab w:val="left" w:pos="492"/>
        </w:tabs>
        <w:spacing w:line="276" w:lineRule="auto"/>
        <w:ind w:firstLine="709"/>
        <w:jc w:val="both"/>
        <w:outlineLvl w:val="1"/>
        <w:rPr>
          <w:rFonts w:eastAsia="Arial"/>
          <w:bCs/>
          <w:lang w:val="en-US"/>
        </w:rPr>
      </w:pPr>
      <w:r>
        <w:rPr>
          <w:rFonts w:eastAsia="Arial"/>
          <w:bCs/>
          <w:lang w:val="en-US"/>
        </w:rPr>
        <w:tab/>
      </w:r>
      <w:proofErr w:type="spellStart"/>
      <w:r w:rsidRPr="003455CF">
        <w:rPr>
          <w:rFonts w:eastAsia="Arial"/>
          <w:bCs/>
          <w:lang w:val="en-US"/>
        </w:rPr>
        <w:t>Remiantis</w:t>
      </w:r>
      <w:proofErr w:type="spellEnd"/>
      <w:r w:rsidRPr="003455CF">
        <w:rPr>
          <w:rFonts w:eastAsia="Arial"/>
          <w:bCs/>
          <w:lang w:val="en-US"/>
        </w:rPr>
        <w:t xml:space="preserve"> PALOMA 2 </w:t>
      </w:r>
      <w:proofErr w:type="spellStart"/>
      <w:r w:rsidRPr="003455CF">
        <w:rPr>
          <w:rFonts w:eastAsia="Arial"/>
          <w:bCs/>
          <w:lang w:val="en-US"/>
        </w:rPr>
        <w:t>tyrimo</w:t>
      </w:r>
      <w:proofErr w:type="spellEnd"/>
      <w:r w:rsidRPr="003455CF">
        <w:rPr>
          <w:rFonts w:eastAsia="Arial"/>
          <w:bCs/>
          <w:lang w:val="en-US"/>
        </w:rPr>
        <w:t xml:space="preserve"> </w:t>
      </w:r>
      <w:proofErr w:type="spellStart"/>
      <w:r w:rsidRPr="003455CF">
        <w:rPr>
          <w:rFonts w:eastAsia="Arial"/>
          <w:bCs/>
          <w:lang w:val="en-US"/>
        </w:rPr>
        <w:t>saugumo</w:t>
      </w:r>
      <w:proofErr w:type="spellEnd"/>
      <w:r w:rsidRPr="003455CF">
        <w:rPr>
          <w:rFonts w:eastAsia="Arial"/>
          <w:bCs/>
          <w:lang w:val="en-US"/>
        </w:rPr>
        <w:t xml:space="preserve"> </w:t>
      </w:r>
      <w:proofErr w:type="spellStart"/>
      <w:r w:rsidRPr="003455CF">
        <w:rPr>
          <w:rFonts w:eastAsia="Arial"/>
          <w:bCs/>
          <w:lang w:val="en-US"/>
        </w:rPr>
        <w:t>duomenimis</w:t>
      </w:r>
      <w:proofErr w:type="spellEnd"/>
      <w:r w:rsidRPr="003455CF">
        <w:rPr>
          <w:rFonts w:eastAsia="Arial"/>
          <w:bCs/>
          <w:lang w:val="en-US"/>
        </w:rPr>
        <w:t xml:space="preserve">, </w:t>
      </w:r>
      <w:proofErr w:type="spellStart"/>
      <w:r w:rsidRPr="003455CF">
        <w:rPr>
          <w:rFonts w:eastAsia="Arial"/>
          <w:bCs/>
          <w:lang w:val="en-US"/>
        </w:rPr>
        <w:t>palbociklibo</w:t>
      </w:r>
      <w:proofErr w:type="spellEnd"/>
      <w:r w:rsidRPr="003455CF">
        <w:rPr>
          <w:rFonts w:eastAsia="Arial"/>
          <w:bCs/>
          <w:lang w:val="en-US"/>
        </w:rPr>
        <w:t xml:space="preserve"> </w:t>
      </w:r>
      <w:proofErr w:type="spellStart"/>
      <w:r w:rsidRPr="003455CF">
        <w:rPr>
          <w:rFonts w:eastAsia="Arial"/>
          <w:bCs/>
          <w:lang w:val="en-US"/>
        </w:rPr>
        <w:t>ir</w:t>
      </w:r>
      <w:proofErr w:type="spellEnd"/>
      <w:r w:rsidRPr="003455CF">
        <w:rPr>
          <w:rFonts w:eastAsia="Arial"/>
          <w:bCs/>
          <w:lang w:val="en-US"/>
        </w:rPr>
        <w:t xml:space="preserve"> </w:t>
      </w:r>
      <w:proofErr w:type="spellStart"/>
      <w:r w:rsidRPr="003455CF">
        <w:rPr>
          <w:rFonts w:eastAsia="Arial"/>
          <w:bCs/>
          <w:lang w:val="en-US"/>
        </w:rPr>
        <w:t>letrozolo</w:t>
      </w:r>
      <w:proofErr w:type="spellEnd"/>
      <w:r w:rsidRPr="003455CF">
        <w:rPr>
          <w:rFonts w:eastAsia="Arial"/>
          <w:bCs/>
          <w:lang w:val="en-US"/>
        </w:rPr>
        <w:t xml:space="preserve"> </w:t>
      </w:r>
      <w:proofErr w:type="spellStart"/>
      <w:r w:rsidRPr="003455CF">
        <w:rPr>
          <w:rFonts w:eastAsia="Arial"/>
          <w:bCs/>
          <w:lang w:val="en-US"/>
        </w:rPr>
        <w:t>vartojimas</w:t>
      </w:r>
      <w:proofErr w:type="spellEnd"/>
      <w:r w:rsidRPr="003455CF">
        <w:rPr>
          <w:rFonts w:eastAsia="Arial"/>
          <w:bCs/>
          <w:lang w:val="en-US"/>
        </w:rPr>
        <w:t xml:space="preserve"> </w:t>
      </w:r>
      <w:proofErr w:type="spellStart"/>
      <w:r w:rsidRPr="003455CF">
        <w:rPr>
          <w:rFonts w:eastAsia="Arial"/>
          <w:bCs/>
          <w:lang w:val="en-US"/>
        </w:rPr>
        <w:t>buvo</w:t>
      </w:r>
      <w:proofErr w:type="spellEnd"/>
      <w:r w:rsidRPr="003455CF">
        <w:rPr>
          <w:rFonts w:eastAsia="Arial"/>
          <w:bCs/>
          <w:lang w:val="en-US"/>
        </w:rPr>
        <w:t xml:space="preserve"> </w:t>
      </w:r>
      <w:proofErr w:type="spellStart"/>
      <w:r w:rsidRPr="003455CF">
        <w:rPr>
          <w:rFonts w:eastAsia="Arial"/>
          <w:bCs/>
          <w:lang w:val="en-US"/>
        </w:rPr>
        <w:t>siejamas</w:t>
      </w:r>
      <w:proofErr w:type="spellEnd"/>
      <w:r w:rsidRPr="003455CF">
        <w:rPr>
          <w:rFonts w:eastAsia="Arial"/>
          <w:bCs/>
          <w:lang w:val="en-US"/>
        </w:rPr>
        <w:t xml:space="preserve"> </w:t>
      </w:r>
      <w:proofErr w:type="spellStart"/>
      <w:r w:rsidRPr="003455CF">
        <w:rPr>
          <w:rFonts w:eastAsia="Arial"/>
          <w:bCs/>
          <w:lang w:val="en-US"/>
        </w:rPr>
        <w:t>su</w:t>
      </w:r>
      <w:proofErr w:type="spellEnd"/>
      <w:r w:rsidRPr="003455CF">
        <w:rPr>
          <w:rFonts w:eastAsia="Arial"/>
          <w:bCs/>
          <w:lang w:val="en-US"/>
        </w:rPr>
        <w:t xml:space="preserve"> </w:t>
      </w:r>
      <w:proofErr w:type="spellStart"/>
      <w:r w:rsidRPr="003455CF">
        <w:rPr>
          <w:rFonts w:eastAsia="Arial"/>
          <w:bCs/>
          <w:lang w:val="en-US"/>
        </w:rPr>
        <w:t>hematologinių</w:t>
      </w:r>
      <w:proofErr w:type="spellEnd"/>
      <w:r w:rsidRPr="003455CF">
        <w:rPr>
          <w:rFonts w:eastAsia="Arial"/>
          <w:bCs/>
          <w:lang w:val="en-US"/>
        </w:rPr>
        <w:t xml:space="preserve"> </w:t>
      </w:r>
      <w:proofErr w:type="spellStart"/>
      <w:r w:rsidRPr="003455CF">
        <w:rPr>
          <w:rFonts w:eastAsia="Arial"/>
          <w:bCs/>
          <w:lang w:val="en-US"/>
        </w:rPr>
        <w:t>rodiklių</w:t>
      </w:r>
      <w:proofErr w:type="spellEnd"/>
      <w:r w:rsidRPr="003455CF">
        <w:rPr>
          <w:rFonts w:eastAsia="Arial"/>
          <w:bCs/>
          <w:lang w:val="en-US"/>
        </w:rPr>
        <w:t xml:space="preserve"> </w:t>
      </w:r>
      <w:proofErr w:type="spellStart"/>
      <w:r w:rsidRPr="003455CF">
        <w:rPr>
          <w:rFonts w:eastAsia="Arial"/>
          <w:bCs/>
          <w:lang w:val="en-US"/>
        </w:rPr>
        <w:t>nuokrypiais</w:t>
      </w:r>
      <w:proofErr w:type="spellEnd"/>
      <w:r w:rsidRPr="003455CF">
        <w:rPr>
          <w:rFonts w:eastAsia="Arial"/>
          <w:bCs/>
          <w:lang w:val="en-US"/>
        </w:rPr>
        <w:t xml:space="preserve"> (</w:t>
      </w:r>
      <w:proofErr w:type="spellStart"/>
      <w:r w:rsidRPr="003455CF">
        <w:rPr>
          <w:rFonts w:eastAsia="Arial"/>
          <w:bCs/>
          <w:lang w:val="en-US"/>
        </w:rPr>
        <w:t>neutropenija</w:t>
      </w:r>
      <w:proofErr w:type="spellEnd"/>
      <w:r w:rsidRPr="003455CF">
        <w:rPr>
          <w:rFonts w:eastAsia="Arial"/>
          <w:bCs/>
          <w:lang w:val="en-US"/>
        </w:rPr>
        <w:t xml:space="preserve">, </w:t>
      </w:r>
      <w:proofErr w:type="spellStart"/>
      <w:r w:rsidRPr="003455CF">
        <w:rPr>
          <w:rFonts w:eastAsia="Arial"/>
          <w:bCs/>
          <w:lang w:val="en-US"/>
        </w:rPr>
        <w:t>leukopenija</w:t>
      </w:r>
      <w:proofErr w:type="spellEnd"/>
      <w:r w:rsidRPr="003455CF">
        <w:rPr>
          <w:rFonts w:eastAsia="Arial"/>
          <w:bCs/>
          <w:lang w:val="en-US"/>
        </w:rPr>
        <w:t xml:space="preserve">, </w:t>
      </w:r>
      <w:proofErr w:type="spellStart"/>
      <w:r w:rsidRPr="003455CF">
        <w:rPr>
          <w:rFonts w:eastAsia="Arial"/>
          <w:bCs/>
          <w:lang w:val="en-US"/>
        </w:rPr>
        <w:t>anemija</w:t>
      </w:r>
      <w:proofErr w:type="spellEnd"/>
      <w:r w:rsidRPr="003455CF">
        <w:rPr>
          <w:rFonts w:eastAsia="Arial"/>
          <w:bCs/>
          <w:lang w:val="en-US"/>
        </w:rPr>
        <w:t xml:space="preserve">, </w:t>
      </w:r>
      <w:proofErr w:type="spellStart"/>
      <w:r w:rsidRPr="003455CF">
        <w:rPr>
          <w:rFonts w:eastAsia="Arial"/>
          <w:bCs/>
          <w:lang w:val="en-US"/>
        </w:rPr>
        <w:t>trombocitopenija</w:t>
      </w:r>
      <w:proofErr w:type="spellEnd"/>
      <w:proofErr w:type="gramStart"/>
      <w:r w:rsidRPr="003455CF">
        <w:rPr>
          <w:rFonts w:eastAsia="Arial"/>
          <w:bCs/>
          <w:lang w:val="en-US"/>
        </w:rPr>
        <w:t xml:space="preserve">),  </w:t>
      </w:r>
      <w:proofErr w:type="spellStart"/>
      <w:r w:rsidRPr="003455CF">
        <w:rPr>
          <w:rFonts w:eastAsia="Arial"/>
          <w:bCs/>
          <w:lang w:val="en-US"/>
        </w:rPr>
        <w:t>alopecija</w:t>
      </w:r>
      <w:proofErr w:type="spellEnd"/>
      <w:proofErr w:type="gramEnd"/>
      <w:r w:rsidRPr="003455CF">
        <w:rPr>
          <w:rFonts w:eastAsia="Arial"/>
          <w:bCs/>
          <w:lang w:val="en-US"/>
        </w:rPr>
        <w:t xml:space="preserve">, </w:t>
      </w:r>
      <w:proofErr w:type="spellStart"/>
      <w:r w:rsidRPr="003455CF">
        <w:rPr>
          <w:rFonts w:eastAsia="Arial"/>
          <w:bCs/>
          <w:lang w:val="en-US"/>
        </w:rPr>
        <w:t>stomatitu</w:t>
      </w:r>
      <w:proofErr w:type="spellEnd"/>
      <w:r w:rsidRPr="003455CF">
        <w:rPr>
          <w:rFonts w:eastAsia="Arial"/>
          <w:bCs/>
          <w:lang w:val="en-US"/>
        </w:rPr>
        <w:t xml:space="preserve">. </w:t>
      </w:r>
      <w:proofErr w:type="spellStart"/>
      <w:r w:rsidRPr="003455CF">
        <w:rPr>
          <w:rFonts w:eastAsia="Arial"/>
          <w:bCs/>
          <w:lang w:val="en-US"/>
        </w:rPr>
        <w:t>Dėl</w:t>
      </w:r>
      <w:proofErr w:type="spellEnd"/>
      <w:r w:rsidRPr="003455CF">
        <w:rPr>
          <w:rFonts w:eastAsia="Arial"/>
          <w:bCs/>
          <w:lang w:val="en-US"/>
        </w:rPr>
        <w:t xml:space="preserve"> NR </w:t>
      </w:r>
      <w:proofErr w:type="spellStart"/>
      <w:r w:rsidRPr="003455CF">
        <w:rPr>
          <w:rFonts w:eastAsia="Arial"/>
          <w:bCs/>
          <w:lang w:val="en-US"/>
        </w:rPr>
        <w:t>laikinai</w:t>
      </w:r>
      <w:proofErr w:type="spellEnd"/>
      <w:r w:rsidRPr="003455CF">
        <w:rPr>
          <w:rFonts w:eastAsia="Arial"/>
          <w:bCs/>
          <w:lang w:val="en-US"/>
        </w:rPr>
        <w:t xml:space="preserve"> </w:t>
      </w:r>
      <w:proofErr w:type="spellStart"/>
      <w:r w:rsidRPr="003455CF">
        <w:rPr>
          <w:rFonts w:eastAsia="Arial"/>
          <w:bCs/>
          <w:lang w:val="en-US"/>
        </w:rPr>
        <w:t>gydymą</w:t>
      </w:r>
      <w:proofErr w:type="spellEnd"/>
      <w:r w:rsidRPr="003455CF">
        <w:rPr>
          <w:rFonts w:eastAsia="Arial"/>
          <w:bCs/>
          <w:lang w:val="en-US"/>
        </w:rPr>
        <w:t xml:space="preserve"> </w:t>
      </w:r>
      <w:proofErr w:type="spellStart"/>
      <w:r w:rsidRPr="003455CF">
        <w:rPr>
          <w:rFonts w:eastAsia="Arial"/>
          <w:bCs/>
          <w:lang w:val="en-US"/>
        </w:rPr>
        <w:t>turėjo</w:t>
      </w:r>
      <w:proofErr w:type="spellEnd"/>
      <w:r w:rsidRPr="003455CF">
        <w:rPr>
          <w:rFonts w:eastAsia="Arial"/>
          <w:bCs/>
          <w:lang w:val="en-US"/>
        </w:rPr>
        <w:t xml:space="preserve"> </w:t>
      </w:r>
      <w:proofErr w:type="spellStart"/>
      <w:r w:rsidRPr="003455CF">
        <w:rPr>
          <w:rFonts w:eastAsia="Arial"/>
          <w:bCs/>
          <w:lang w:val="en-US"/>
        </w:rPr>
        <w:t>nutraukti</w:t>
      </w:r>
      <w:proofErr w:type="spellEnd"/>
      <w:r w:rsidRPr="003455CF">
        <w:rPr>
          <w:rFonts w:eastAsia="Arial"/>
          <w:bCs/>
          <w:lang w:val="en-US"/>
        </w:rPr>
        <w:t xml:space="preserve"> </w:t>
      </w:r>
      <w:proofErr w:type="spellStart"/>
      <w:r w:rsidRPr="003455CF">
        <w:rPr>
          <w:rFonts w:eastAsia="Arial"/>
          <w:bCs/>
          <w:lang w:val="en-US"/>
        </w:rPr>
        <w:t>ženkliai</w:t>
      </w:r>
      <w:proofErr w:type="spellEnd"/>
      <w:r w:rsidRPr="003455CF">
        <w:rPr>
          <w:rFonts w:eastAsia="Arial"/>
          <w:bCs/>
          <w:lang w:val="en-US"/>
        </w:rPr>
        <w:t xml:space="preserve"> </w:t>
      </w:r>
      <w:proofErr w:type="spellStart"/>
      <w:r w:rsidRPr="003455CF">
        <w:rPr>
          <w:rFonts w:eastAsia="Arial"/>
          <w:bCs/>
          <w:lang w:val="en-US"/>
        </w:rPr>
        <w:t>daugiau</w:t>
      </w:r>
      <w:proofErr w:type="spellEnd"/>
      <w:r w:rsidRPr="003455CF">
        <w:rPr>
          <w:rFonts w:eastAsia="Arial"/>
          <w:bCs/>
          <w:lang w:val="en-US"/>
        </w:rPr>
        <w:t xml:space="preserve"> </w:t>
      </w:r>
      <w:proofErr w:type="spellStart"/>
      <w:r w:rsidRPr="003455CF">
        <w:rPr>
          <w:rFonts w:eastAsia="Arial"/>
          <w:bCs/>
          <w:lang w:val="en-US"/>
        </w:rPr>
        <w:t>pacientų</w:t>
      </w:r>
      <w:proofErr w:type="spellEnd"/>
      <w:r w:rsidRPr="003455CF">
        <w:rPr>
          <w:rFonts w:eastAsia="Arial"/>
          <w:bCs/>
          <w:lang w:val="en-US"/>
        </w:rPr>
        <w:t xml:space="preserve"> </w:t>
      </w:r>
      <w:proofErr w:type="spellStart"/>
      <w:r w:rsidRPr="003455CF">
        <w:rPr>
          <w:rFonts w:eastAsia="Arial"/>
          <w:bCs/>
          <w:lang w:val="en-US"/>
        </w:rPr>
        <w:t>gydytų</w:t>
      </w:r>
      <w:proofErr w:type="spellEnd"/>
      <w:r w:rsidRPr="003455CF">
        <w:rPr>
          <w:rFonts w:eastAsia="Arial"/>
          <w:bCs/>
          <w:lang w:val="en-US"/>
        </w:rPr>
        <w:t xml:space="preserve"> </w:t>
      </w:r>
      <w:proofErr w:type="spellStart"/>
      <w:r w:rsidRPr="003455CF">
        <w:rPr>
          <w:rFonts w:eastAsia="Arial"/>
          <w:bCs/>
          <w:lang w:val="en-US"/>
        </w:rPr>
        <w:t>palbociklibu</w:t>
      </w:r>
      <w:proofErr w:type="spellEnd"/>
      <w:r w:rsidRPr="003455CF">
        <w:rPr>
          <w:rFonts w:eastAsia="Arial"/>
          <w:bCs/>
          <w:lang w:val="en-US"/>
        </w:rPr>
        <w:t xml:space="preserve"> </w:t>
      </w:r>
      <w:proofErr w:type="spellStart"/>
      <w:r w:rsidRPr="003455CF">
        <w:rPr>
          <w:rFonts w:eastAsia="Arial"/>
          <w:bCs/>
          <w:lang w:val="en-US"/>
        </w:rPr>
        <w:t>nei</w:t>
      </w:r>
      <w:proofErr w:type="spellEnd"/>
      <w:r w:rsidRPr="003455CF">
        <w:rPr>
          <w:rFonts w:eastAsia="Arial"/>
          <w:bCs/>
          <w:lang w:val="en-US"/>
        </w:rPr>
        <w:t xml:space="preserve"> </w:t>
      </w:r>
      <w:proofErr w:type="spellStart"/>
      <w:r w:rsidRPr="003455CF">
        <w:rPr>
          <w:rFonts w:eastAsia="Arial"/>
          <w:bCs/>
          <w:lang w:val="en-US"/>
        </w:rPr>
        <w:t>placebu</w:t>
      </w:r>
      <w:proofErr w:type="spellEnd"/>
      <w:r w:rsidRPr="003455CF">
        <w:rPr>
          <w:rFonts w:eastAsia="Arial"/>
          <w:bCs/>
          <w:lang w:val="en-US"/>
        </w:rPr>
        <w:t>.</w:t>
      </w:r>
    </w:p>
    <w:p w14:paraId="41CBC381" w14:textId="77777777" w:rsidR="00B96F61" w:rsidRDefault="00B96F61" w:rsidP="00B96F61">
      <w:pPr>
        <w:tabs>
          <w:tab w:val="left" w:pos="709"/>
          <w:tab w:val="left" w:pos="14656"/>
        </w:tabs>
        <w:spacing w:line="276" w:lineRule="auto"/>
        <w:jc w:val="both"/>
        <w:rPr>
          <w:rFonts w:eastAsia="Arial"/>
          <w:bCs/>
          <w:iCs/>
          <w:color w:val="000000" w:themeColor="text1"/>
        </w:rPr>
      </w:pPr>
      <w:r>
        <w:rPr>
          <w:rFonts w:eastAsia="Arial"/>
          <w:bCs/>
          <w:iCs/>
          <w:color w:val="000000" w:themeColor="text1"/>
        </w:rPr>
        <w:tab/>
        <w:t>Atsakydamas į klausimą dėl galutinių bendro išgyvenamumo duomenų PALOMA-</w:t>
      </w:r>
      <w:r w:rsidRPr="004E7C1C">
        <w:rPr>
          <w:rFonts w:eastAsia="Arial"/>
          <w:bCs/>
          <w:iCs/>
          <w:color w:val="000000" w:themeColor="text1"/>
        </w:rPr>
        <w:t>2 klini</w:t>
      </w:r>
      <w:r>
        <w:rPr>
          <w:rFonts w:eastAsia="Arial"/>
          <w:bCs/>
          <w:iCs/>
          <w:color w:val="000000" w:themeColor="text1"/>
        </w:rPr>
        <w:t xml:space="preserve">kiniame tyrime, Pareiškėjas pateikė </w:t>
      </w:r>
      <w:r w:rsidRPr="004E7C1C">
        <w:rPr>
          <w:rFonts w:eastAsia="Arial"/>
          <w:bCs/>
          <w:iCs/>
          <w:color w:val="000000" w:themeColor="text1"/>
        </w:rPr>
        <w:t xml:space="preserve">PALOMA-2 galutinės </w:t>
      </w:r>
      <w:r>
        <w:rPr>
          <w:rFonts w:eastAsia="Arial"/>
          <w:bCs/>
          <w:iCs/>
          <w:color w:val="000000" w:themeColor="text1"/>
        </w:rPr>
        <w:t xml:space="preserve">BI </w:t>
      </w:r>
      <w:r w:rsidRPr="004E7C1C">
        <w:rPr>
          <w:rFonts w:eastAsia="Arial"/>
          <w:bCs/>
          <w:iCs/>
          <w:color w:val="000000" w:themeColor="text1"/>
        </w:rPr>
        <w:t>analizės rezultatus</w:t>
      </w:r>
      <w:r>
        <w:rPr>
          <w:rFonts w:eastAsia="Arial"/>
          <w:bCs/>
          <w:iCs/>
          <w:color w:val="000000" w:themeColor="text1"/>
        </w:rPr>
        <w:t>. BI s</w:t>
      </w:r>
      <w:r w:rsidRPr="004E7C1C">
        <w:rPr>
          <w:rFonts w:eastAsia="Arial"/>
          <w:bCs/>
          <w:iCs/>
          <w:color w:val="000000" w:themeColor="text1"/>
        </w:rPr>
        <w:t xml:space="preserve">tebėjimo laiko mediana buvo 90,1 mėn. Iš 666 pacientų mirė 405 pacientai: 273 iš 444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ir 132 iš 222 placebo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w:t>
      </w:r>
      <w:r>
        <w:rPr>
          <w:rFonts w:eastAsia="Arial"/>
          <w:bCs/>
          <w:iCs/>
          <w:color w:val="000000" w:themeColor="text1"/>
        </w:rPr>
        <w:t>BI</w:t>
      </w:r>
      <w:r w:rsidRPr="004E7C1C">
        <w:rPr>
          <w:rFonts w:eastAsia="Arial"/>
          <w:bCs/>
          <w:iCs/>
          <w:color w:val="000000" w:themeColor="text1"/>
        </w:rPr>
        <w:t xml:space="preserve"> mediana buvo 53</w:t>
      </w:r>
      <w:r>
        <w:rPr>
          <w:rFonts w:eastAsia="Arial"/>
          <w:bCs/>
          <w:iCs/>
          <w:color w:val="000000" w:themeColor="text1"/>
        </w:rPr>
        <w:t>,</w:t>
      </w:r>
      <w:r w:rsidRPr="004E7C1C">
        <w:rPr>
          <w:rFonts w:eastAsia="Arial"/>
          <w:bCs/>
          <w:iCs/>
          <w:color w:val="000000" w:themeColor="text1"/>
        </w:rPr>
        <w:t>9 mėn. (95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PI</w:t>
      </w:r>
      <w:r w:rsidRPr="004E7C1C">
        <w:rPr>
          <w:rFonts w:eastAsia="Arial"/>
          <w:bCs/>
          <w:iCs/>
          <w:color w:val="000000" w:themeColor="text1"/>
        </w:rPr>
        <w:t xml:space="preserve"> 49</w:t>
      </w:r>
      <w:r>
        <w:rPr>
          <w:rFonts w:eastAsia="Arial"/>
          <w:bCs/>
          <w:iCs/>
          <w:color w:val="000000" w:themeColor="text1"/>
        </w:rPr>
        <w:t>,</w:t>
      </w:r>
      <w:r w:rsidRPr="004E7C1C">
        <w:rPr>
          <w:rFonts w:eastAsia="Arial"/>
          <w:bCs/>
          <w:iCs/>
          <w:color w:val="000000" w:themeColor="text1"/>
        </w:rPr>
        <w:t xml:space="preserve">8 </w:t>
      </w:r>
      <w:r>
        <w:rPr>
          <w:rFonts w:eastAsia="Arial"/>
          <w:bCs/>
          <w:iCs/>
          <w:color w:val="000000" w:themeColor="text1"/>
        </w:rPr>
        <w:t xml:space="preserve">- </w:t>
      </w:r>
      <w:r w:rsidRPr="004E7C1C">
        <w:rPr>
          <w:rFonts w:eastAsia="Arial"/>
          <w:bCs/>
          <w:iCs/>
          <w:color w:val="000000" w:themeColor="text1"/>
        </w:rPr>
        <w:t>60</w:t>
      </w:r>
      <w:r>
        <w:rPr>
          <w:rFonts w:eastAsia="Arial"/>
          <w:bCs/>
          <w:iCs/>
          <w:color w:val="000000" w:themeColor="text1"/>
        </w:rPr>
        <w:t>,</w:t>
      </w:r>
      <w:r w:rsidRPr="004E7C1C">
        <w:rPr>
          <w:rFonts w:eastAsia="Arial"/>
          <w:bCs/>
          <w:iCs/>
          <w:color w:val="000000" w:themeColor="text1"/>
        </w:rPr>
        <w:t xml:space="preserve">8)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w:t>
      </w:r>
      <w:r>
        <w:rPr>
          <w:rFonts w:eastAsia="Arial"/>
          <w:bCs/>
          <w:iCs/>
          <w:color w:val="000000" w:themeColor="text1"/>
        </w:rPr>
        <w:t>ir</w:t>
      </w:r>
      <w:r w:rsidRPr="004E7C1C">
        <w:rPr>
          <w:rFonts w:eastAsia="Arial"/>
          <w:bCs/>
          <w:iCs/>
          <w:color w:val="000000" w:themeColor="text1"/>
        </w:rPr>
        <w:t xml:space="preserve"> 51</w:t>
      </w:r>
      <w:r>
        <w:rPr>
          <w:rFonts w:eastAsia="Arial"/>
          <w:bCs/>
          <w:iCs/>
          <w:color w:val="000000" w:themeColor="text1"/>
        </w:rPr>
        <w:t>,</w:t>
      </w:r>
      <w:r w:rsidRPr="004E7C1C">
        <w:rPr>
          <w:rFonts w:eastAsia="Arial"/>
          <w:bCs/>
          <w:iCs/>
          <w:color w:val="000000" w:themeColor="text1"/>
        </w:rPr>
        <w:t>2 mėn. (95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w:t>
      </w:r>
      <w:r w:rsidRPr="004E7C1C">
        <w:rPr>
          <w:rFonts w:eastAsia="Arial"/>
          <w:bCs/>
          <w:iCs/>
          <w:color w:val="000000" w:themeColor="text1"/>
        </w:rPr>
        <w:t>I</w:t>
      </w:r>
      <w:r>
        <w:rPr>
          <w:rFonts w:eastAsia="Arial"/>
          <w:bCs/>
          <w:iCs/>
          <w:color w:val="000000" w:themeColor="text1"/>
        </w:rPr>
        <w:t xml:space="preserve"> </w:t>
      </w:r>
      <w:r w:rsidRPr="004E7C1C">
        <w:rPr>
          <w:rFonts w:eastAsia="Arial"/>
          <w:bCs/>
          <w:iCs/>
          <w:color w:val="000000" w:themeColor="text1"/>
        </w:rPr>
        <w:t>43</w:t>
      </w:r>
      <w:r>
        <w:rPr>
          <w:rFonts w:eastAsia="Arial"/>
          <w:bCs/>
          <w:iCs/>
          <w:color w:val="000000" w:themeColor="text1"/>
        </w:rPr>
        <w:t>,</w:t>
      </w:r>
      <w:r w:rsidRPr="004E7C1C">
        <w:rPr>
          <w:rFonts w:eastAsia="Arial"/>
          <w:bCs/>
          <w:iCs/>
          <w:color w:val="000000" w:themeColor="text1"/>
        </w:rPr>
        <w:t xml:space="preserve">7 </w:t>
      </w:r>
      <w:r>
        <w:rPr>
          <w:rFonts w:eastAsia="Arial"/>
          <w:bCs/>
          <w:iCs/>
          <w:color w:val="000000" w:themeColor="text1"/>
        </w:rPr>
        <w:t>–</w:t>
      </w:r>
      <w:r w:rsidRPr="004E7C1C">
        <w:rPr>
          <w:rFonts w:eastAsia="Arial"/>
          <w:bCs/>
          <w:iCs/>
          <w:color w:val="000000" w:themeColor="text1"/>
        </w:rPr>
        <w:t xml:space="preserve"> 58</w:t>
      </w:r>
      <w:r>
        <w:rPr>
          <w:rFonts w:eastAsia="Arial"/>
          <w:bCs/>
          <w:iCs/>
          <w:color w:val="000000" w:themeColor="text1"/>
        </w:rPr>
        <w:t>,</w:t>
      </w:r>
      <w:r w:rsidRPr="004E7C1C">
        <w:rPr>
          <w:rFonts w:eastAsia="Arial"/>
          <w:bCs/>
          <w:iCs/>
          <w:color w:val="000000" w:themeColor="text1"/>
        </w:rPr>
        <w:t xml:space="preserve">9) placebo su </w:t>
      </w:r>
      <w:proofErr w:type="spellStart"/>
      <w:r w:rsidRPr="004E7C1C">
        <w:rPr>
          <w:rFonts w:eastAsia="Arial"/>
          <w:bCs/>
          <w:iCs/>
          <w:color w:val="000000" w:themeColor="text1"/>
        </w:rPr>
        <w:t>letrozolu</w:t>
      </w:r>
      <w:proofErr w:type="spellEnd"/>
      <w:r>
        <w:rPr>
          <w:rFonts w:eastAsia="Arial"/>
          <w:bCs/>
          <w:iCs/>
          <w:color w:val="000000" w:themeColor="text1"/>
        </w:rPr>
        <w:t xml:space="preserve"> grupėje</w:t>
      </w:r>
      <w:r w:rsidRPr="004E7C1C">
        <w:rPr>
          <w:rFonts w:eastAsia="Arial"/>
          <w:bCs/>
          <w:iCs/>
          <w:color w:val="000000" w:themeColor="text1"/>
        </w:rPr>
        <w:t xml:space="preserve"> (</w:t>
      </w:r>
      <w:r>
        <w:rPr>
          <w:rFonts w:eastAsia="Arial"/>
          <w:bCs/>
          <w:iCs/>
          <w:color w:val="000000" w:themeColor="text1"/>
        </w:rPr>
        <w:t>RS</w:t>
      </w:r>
      <w:r w:rsidRPr="004E7C1C">
        <w:rPr>
          <w:rFonts w:eastAsia="Arial"/>
          <w:bCs/>
          <w:iCs/>
          <w:color w:val="000000" w:themeColor="text1"/>
        </w:rPr>
        <w:t xml:space="preserve"> 0</w:t>
      </w:r>
      <w:r>
        <w:rPr>
          <w:rFonts w:eastAsia="Arial"/>
          <w:bCs/>
          <w:iCs/>
          <w:color w:val="000000" w:themeColor="text1"/>
        </w:rPr>
        <w:t>,</w:t>
      </w:r>
      <w:r w:rsidRPr="004E7C1C">
        <w:rPr>
          <w:rFonts w:eastAsia="Arial"/>
          <w:bCs/>
          <w:iCs/>
          <w:color w:val="000000" w:themeColor="text1"/>
        </w:rPr>
        <w:t>96 [95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w:t>
      </w:r>
      <w:r w:rsidRPr="004E7C1C">
        <w:rPr>
          <w:rFonts w:eastAsia="Arial"/>
          <w:bCs/>
          <w:iCs/>
          <w:color w:val="000000" w:themeColor="text1"/>
        </w:rPr>
        <w:t>I</w:t>
      </w:r>
      <w:r>
        <w:rPr>
          <w:rFonts w:eastAsia="Arial"/>
          <w:bCs/>
          <w:iCs/>
          <w:color w:val="000000" w:themeColor="text1"/>
        </w:rPr>
        <w:t xml:space="preserve"> </w:t>
      </w:r>
      <w:r w:rsidRPr="004E7C1C">
        <w:rPr>
          <w:rFonts w:eastAsia="Arial"/>
          <w:bCs/>
          <w:iCs/>
          <w:color w:val="000000" w:themeColor="text1"/>
        </w:rPr>
        <w:t>0</w:t>
      </w:r>
      <w:r>
        <w:rPr>
          <w:rFonts w:eastAsia="Arial"/>
          <w:bCs/>
          <w:iCs/>
          <w:color w:val="000000" w:themeColor="text1"/>
        </w:rPr>
        <w:t>,</w:t>
      </w:r>
      <w:r w:rsidRPr="004E7C1C">
        <w:rPr>
          <w:rFonts w:eastAsia="Arial"/>
          <w:bCs/>
          <w:iCs/>
          <w:color w:val="000000" w:themeColor="text1"/>
        </w:rPr>
        <w:t xml:space="preserve">78 </w:t>
      </w:r>
      <w:r>
        <w:rPr>
          <w:rFonts w:eastAsia="Arial"/>
          <w:bCs/>
          <w:iCs/>
          <w:color w:val="000000" w:themeColor="text1"/>
        </w:rPr>
        <w:t>–</w:t>
      </w:r>
      <w:r w:rsidRPr="004E7C1C">
        <w:rPr>
          <w:rFonts w:eastAsia="Arial"/>
          <w:bCs/>
          <w:iCs/>
          <w:color w:val="000000" w:themeColor="text1"/>
        </w:rPr>
        <w:t xml:space="preserve"> 1</w:t>
      </w:r>
      <w:r>
        <w:rPr>
          <w:rFonts w:eastAsia="Arial"/>
          <w:bCs/>
          <w:iCs/>
          <w:color w:val="000000" w:themeColor="text1"/>
        </w:rPr>
        <w:t>,</w:t>
      </w:r>
      <w:r w:rsidRPr="004E7C1C">
        <w:rPr>
          <w:rFonts w:eastAsia="Arial"/>
          <w:bCs/>
          <w:iCs/>
          <w:color w:val="000000" w:themeColor="text1"/>
        </w:rPr>
        <w:t>18]</w:t>
      </w:r>
      <w:r>
        <w:rPr>
          <w:rFonts w:eastAsia="Arial"/>
          <w:bCs/>
          <w:iCs/>
          <w:color w:val="000000" w:themeColor="text1"/>
        </w:rPr>
        <w:t xml:space="preserve">, </w:t>
      </w:r>
      <w:r w:rsidRPr="004E7C1C">
        <w:rPr>
          <w:rFonts w:eastAsia="Arial"/>
          <w:bCs/>
          <w:iCs/>
          <w:color w:val="000000" w:themeColor="text1"/>
        </w:rPr>
        <w:t>P=0</w:t>
      </w:r>
      <w:r>
        <w:rPr>
          <w:rFonts w:eastAsia="Arial"/>
          <w:bCs/>
          <w:iCs/>
          <w:color w:val="000000" w:themeColor="text1"/>
        </w:rPr>
        <w:t>,</w:t>
      </w:r>
      <w:r w:rsidRPr="004E7C1C">
        <w:rPr>
          <w:rFonts w:eastAsia="Arial"/>
          <w:bCs/>
          <w:iCs/>
          <w:color w:val="000000" w:themeColor="text1"/>
        </w:rPr>
        <w:t>34). Duomenų surinkimo metu 45 (10</w:t>
      </w:r>
      <w:r>
        <w:rPr>
          <w:rFonts w:eastAsia="Arial"/>
          <w:bCs/>
          <w:iCs/>
          <w:color w:val="000000" w:themeColor="text1"/>
        </w:rPr>
        <w:t>,</w:t>
      </w:r>
      <w:r w:rsidRPr="004E7C1C">
        <w:rPr>
          <w:rFonts w:eastAsia="Arial"/>
          <w:bCs/>
          <w:iCs/>
          <w:color w:val="000000" w:themeColor="text1"/>
        </w:rPr>
        <w:t>1</w:t>
      </w:r>
      <w:r>
        <w:rPr>
          <w:rFonts w:eastAsia="Arial"/>
          <w:bCs/>
          <w:iCs/>
          <w:color w:val="000000" w:themeColor="text1"/>
        </w:rPr>
        <w:t xml:space="preserve"> proc.</w:t>
      </w:r>
      <w:r w:rsidRPr="004E7C1C">
        <w:rPr>
          <w:rFonts w:eastAsia="Arial"/>
          <w:bCs/>
          <w:iCs/>
          <w:color w:val="000000" w:themeColor="text1"/>
        </w:rPr>
        <w:t>) ir 5 (2</w:t>
      </w:r>
      <w:r>
        <w:rPr>
          <w:rFonts w:eastAsia="Arial"/>
          <w:bCs/>
          <w:iCs/>
          <w:color w:val="000000" w:themeColor="text1"/>
        </w:rPr>
        <w:t>,</w:t>
      </w:r>
      <w:r w:rsidRPr="004E7C1C">
        <w:rPr>
          <w:rFonts w:eastAsia="Arial"/>
          <w:bCs/>
          <w:iCs/>
          <w:color w:val="000000" w:themeColor="text1"/>
        </w:rPr>
        <w:t>3</w:t>
      </w:r>
      <w:r>
        <w:rPr>
          <w:rFonts w:eastAsia="Arial"/>
          <w:bCs/>
          <w:iCs/>
          <w:color w:val="000000" w:themeColor="text1"/>
        </w:rPr>
        <w:t xml:space="preserve"> proc.</w:t>
      </w:r>
      <w:r w:rsidRPr="004E7C1C">
        <w:rPr>
          <w:rFonts w:eastAsia="Arial"/>
          <w:bCs/>
          <w:iCs/>
          <w:color w:val="000000" w:themeColor="text1"/>
        </w:rPr>
        <w:t xml:space="preserve">) pacientai dar tęsė paskirtą gydymą atitinkamai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ir placebo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grupėse (</w:t>
      </w:r>
      <w:r>
        <w:rPr>
          <w:rFonts w:eastAsia="Arial"/>
          <w:bCs/>
          <w:iCs/>
          <w:color w:val="000000" w:themeColor="text1"/>
        </w:rPr>
        <w:t>12 pav.</w:t>
      </w:r>
      <w:r w:rsidRPr="004E7C1C">
        <w:rPr>
          <w:rFonts w:eastAsia="Arial"/>
          <w:bCs/>
          <w:iCs/>
          <w:color w:val="000000" w:themeColor="text1"/>
        </w:rPr>
        <w:t>). Gydymo trukmės mediana atitinkamai buvo 22</w:t>
      </w:r>
      <w:r>
        <w:rPr>
          <w:rFonts w:eastAsia="Arial"/>
          <w:bCs/>
          <w:iCs/>
          <w:color w:val="000000" w:themeColor="text1"/>
        </w:rPr>
        <w:t>,0</w:t>
      </w:r>
      <w:r w:rsidRPr="004E7C1C">
        <w:rPr>
          <w:rFonts w:eastAsia="Arial"/>
          <w:bCs/>
          <w:iCs/>
          <w:color w:val="000000" w:themeColor="text1"/>
        </w:rPr>
        <w:t xml:space="preserve"> ir 13</w:t>
      </w:r>
      <w:r>
        <w:rPr>
          <w:rFonts w:eastAsia="Arial"/>
          <w:bCs/>
          <w:iCs/>
          <w:color w:val="000000" w:themeColor="text1"/>
        </w:rPr>
        <w:t>,</w:t>
      </w:r>
      <w:r w:rsidRPr="004E7C1C">
        <w:rPr>
          <w:rFonts w:eastAsia="Arial"/>
          <w:bCs/>
          <w:iCs/>
          <w:color w:val="000000" w:themeColor="text1"/>
        </w:rPr>
        <w:t xml:space="preserve">8 mėn. </w:t>
      </w:r>
    </w:p>
    <w:p w14:paraId="411803FB" w14:textId="77777777" w:rsidR="00B96F61" w:rsidRPr="004E7C1C" w:rsidRDefault="00B96F61" w:rsidP="00B96F61">
      <w:pPr>
        <w:tabs>
          <w:tab w:val="left" w:pos="709"/>
          <w:tab w:val="left" w:pos="14656"/>
        </w:tabs>
        <w:spacing w:line="276" w:lineRule="auto"/>
        <w:jc w:val="both"/>
        <w:rPr>
          <w:rFonts w:eastAsia="Arial"/>
          <w:bCs/>
          <w:iCs/>
          <w:color w:val="000000" w:themeColor="text1"/>
        </w:rPr>
      </w:pPr>
      <w:r>
        <w:rPr>
          <w:rFonts w:eastAsia="Arial"/>
          <w:bCs/>
          <w:iCs/>
          <w:color w:val="000000" w:themeColor="text1"/>
        </w:rPr>
        <w:tab/>
      </w:r>
      <w:r w:rsidRPr="004E7C1C">
        <w:rPr>
          <w:rFonts w:eastAsia="Arial"/>
          <w:bCs/>
          <w:iCs/>
          <w:color w:val="000000" w:themeColor="text1"/>
        </w:rPr>
        <w:t>Duomenų surinkimo metu 15,9</w:t>
      </w:r>
      <w:r>
        <w:rPr>
          <w:rFonts w:eastAsia="Arial"/>
          <w:bCs/>
          <w:iCs/>
          <w:color w:val="000000" w:themeColor="text1"/>
        </w:rPr>
        <w:t xml:space="preserve"> proc.</w:t>
      </w:r>
      <w:r w:rsidRPr="004E7C1C">
        <w:rPr>
          <w:rFonts w:eastAsia="Arial"/>
          <w:bCs/>
          <w:iCs/>
          <w:color w:val="000000" w:themeColor="text1"/>
        </w:rPr>
        <w:t xml:space="preserve"> ITT populiacijos neb</w:t>
      </w:r>
      <w:r>
        <w:rPr>
          <w:rFonts w:eastAsia="Arial"/>
          <w:bCs/>
          <w:iCs/>
          <w:color w:val="000000" w:themeColor="text1"/>
        </w:rPr>
        <w:t>eb</w:t>
      </w:r>
      <w:r w:rsidRPr="004E7C1C">
        <w:rPr>
          <w:rFonts w:eastAsia="Arial"/>
          <w:bCs/>
          <w:iCs/>
          <w:color w:val="000000" w:themeColor="text1"/>
        </w:rPr>
        <w:t>uvo stebimi dėl išgyvenimo (pamesti iš stebėjimo arba nutraukę sutikimą)</w:t>
      </w:r>
      <w:r>
        <w:rPr>
          <w:rFonts w:eastAsia="Arial"/>
          <w:bCs/>
          <w:iCs/>
          <w:color w:val="000000" w:themeColor="text1"/>
        </w:rPr>
        <w:t xml:space="preserve"> - </w:t>
      </w:r>
      <w:r w:rsidRPr="004E7C1C">
        <w:rPr>
          <w:rFonts w:eastAsia="Arial"/>
          <w:bCs/>
          <w:iCs/>
          <w:color w:val="000000" w:themeColor="text1"/>
        </w:rPr>
        <w:t xml:space="preserve">59 pacientai </w:t>
      </w:r>
      <w:r>
        <w:rPr>
          <w:rFonts w:eastAsia="Arial"/>
          <w:bCs/>
          <w:iCs/>
          <w:color w:val="000000" w:themeColor="text1"/>
        </w:rPr>
        <w:t>(</w:t>
      </w:r>
      <w:r w:rsidRPr="004E7C1C">
        <w:rPr>
          <w:rFonts w:eastAsia="Arial"/>
          <w:bCs/>
          <w:iCs/>
          <w:color w:val="000000" w:themeColor="text1"/>
        </w:rPr>
        <w:t>13</w:t>
      </w:r>
      <w:r>
        <w:rPr>
          <w:rFonts w:eastAsia="Arial"/>
          <w:bCs/>
          <w:iCs/>
          <w:color w:val="000000" w:themeColor="text1"/>
        </w:rPr>
        <w:t>,3 proc.)</w:t>
      </w:r>
      <w:r w:rsidRPr="004E7C1C">
        <w:rPr>
          <w:rFonts w:eastAsia="Arial"/>
          <w:bCs/>
          <w:iCs/>
          <w:color w:val="000000" w:themeColor="text1"/>
        </w:rPr>
        <w:t xml:space="preserve">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w:t>
      </w:r>
      <w:r>
        <w:rPr>
          <w:rFonts w:eastAsia="Arial"/>
          <w:bCs/>
          <w:iCs/>
          <w:color w:val="000000" w:themeColor="text1"/>
        </w:rPr>
        <w:t xml:space="preserve">grupėje ir </w:t>
      </w:r>
      <w:r w:rsidRPr="004E7C1C">
        <w:rPr>
          <w:rFonts w:eastAsia="Arial"/>
          <w:bCs/>
          <w:iCs/>
          <w:color w:val="000000" w:themeColor="text1"/>
        </w:rPr>
        <w:t>47 pa</w:t>
      </w:r>
      <w:r>
        <w:rPr>
          <w:rFonts w:eastAsia="Arial"/>
          <w:bCs/>
          <w:iCs/>
          <w:color w:val="000000" w:themeColor="text1"/>
        </w:rPr>
        <w:t>cientai</w:t>
      </w:r>
      <w:r w:rsidRPr="004E7C1C">
        <w:rPr>
          <w:rFonts w:eastAsia="Arial"/>
          <w:bCs/>
          <w:iCs/>
          <w:color w:val="000000" w:themeColor="text1"/>
        </w:rPr>
        <w:t xml:space="preserve"> </w:t>
      </w:r>
      <w:r>
        <w:rPr>
          <w:rFonts w:eastAsia="Arial"/>
          <w:bCs/>
          <w:iCs/>
          <w:color w:val="000000" w:themeColor="text1"/>
        </w:rPr>
        <w:t>(</w:t>
      </w:r>
      <w:r w:rsidRPr="004E7C1C">
        <w:rPr>
          <w:rFonts w:eastAsia="Arial"/>
          <w:bCs/>
          <w:iCs/>
          <w:color w:val="000000" w:themeColor="text1"/>
        </w:rPr>
        <w:t>21</w:t>
      </w:r>
      <w:r>
        <w:rPr>
          <w:rFonts w:eastAsia="Arial"/>
          <w:bCs/>
          <w:iCs/>
          <w:color w:val="000000" w:themeColor="text1"/>
        </w:rPr>
        <w:t>,</w:t>
      </w:r>
      <w:r w:rsidRPr="004E7C1C">
        <w:rPr>
          <w:rFonts w:eastAsia="Arial"/>
          <w:bCs/>
          <w:iCs/>
          <w:color w:val="000000" w:themeColor="text1"/>
        </w:rPr>
        <w:t>2</w:t>
      </w:r>
      <w:r>
        <w:rPr>
          <w:rFonts w:eastAsia="Arial"/>
          <w:bCs/>
          <w:iCs/>
          <w:color w:val="000000" w:themeColor="text1"/>
        </w:rPr>
        <w:t xml:space="preserve"> proc.) </w:t>
      </w:r>
      <w:r w:rsidRPr="004E7C1C">
        <w:rPr>
          <w:rFonts w:eastAsia="Arial"/>
          <w:bCs/>
          <w:iCs/>
          <w:color w:val="000000" w:themeColor="text1"/>
        </w:rPr>
        <w:t xml:space="preserve">placebo su </w:t>
      </w:r>
      <w:proofErr w:type="spellStart"/>
      <w:r w:rsidRPr="004E7C1C">
        <w:rPr>
          <w:rFonts w:eastAsia="Arial"/>
          <w:bCs/>
          <w:iCs/>
          <w:color w:val="000000" w:themeColor="text1"/>
        </w:rPr>
        <w:t>letrozolu</w:t>
      </w:r>
      <w:proofErr w:type="spellEnd"/>
      <w:r>
        <w:rPr>
          <w:rFonts w:eastAsia="Arial"/>
          <w:bCs/>
          <w:iCs/>
          <w:color w:val="000000" w:themeColor="text1"/>
        </w:rPr>
        <w:t xml:space="preserve"> grupėje (</w:t>
      </w:r>
      <w:r w:rsidRPr="005636DC">
        <w:rPr>
          <w:rFonts w:eastAsia="Arial"/>
          <w:bCs/>
          <w:iCs/>
          <w:color w:val="000000" w:themeColor="text1"/>
        </w:rPr>
        <w:t>13 pav.</w:t>
      </w:r>
      <w:r>
        <w:rPr>
          <w:rFonts w:eastAsia="Arial"/>
          <w:bCs/>
          <w:iCs/>
          <w:color w:val="000000" w:themeColor="text1"/>
        </w:rPr>
        <w:t>)</w:t>
      </w:r>
      <w:r w:rsidRPr="004E7C1C">
        <w:rPr>
          <w:rFonts w:eastAsia="Arial"/>
          <w:bCs/>
          <w:iCs/>
          <w:color w:val="000000" w:themeColor="text1"/>
        </w:rPr>
        <w:t xml:space="preserve">. Dėl galimos įtakos </w:t>
      </w:r>
      <w:r>
        <w:rPr>
          <w:rFonts w:eastAsia="Arial"/>
          <w:bCs/>
          <w:iCs/>
          <w:color w:val="000000" w:themeColor="text1"/>
        </w:rPr>
        <w:t>BI</w:t>
      </w:r>
      <w:r w:rsidRPr="004E7C1C">
        <w:rPr>
          <w:rFonts w:eastAsia="Arial"/>
          <w:bCs/>
          <w:iCs/>
          <w:color w:val="000000" w:themeColor="text1"/>
        </w:rPr>
        <w:t xml:space="preserve"> rezultatams, buvo dėtos pastangos atstatyti išgyvenamumo duomenis. Su atstatytais duomenimis disbalansas tarp grupių sumažėjo iki 41 (9</w:t>
      </w:r>
      <w:r>
        <w:rPr>
          <w:rFonts w:eastAsia="Arial"/>
          <w:bCs/>
          <w:iCs/>
          <w:color w:val="000000" w:themeColor="text1"/>
        </w:rPr>
        <w:t>,2 proc.</w:t>
      </w:r>
      <w:r w:rsidRPr="004E7C1C">
        <w:rPr>
          <w:rFonts w:eastAsia="Arial"/>
          <w:bCs/>
          <w:iCs/>
          <w:color w:val="000000" w:themeColor="text1"/>
        </w:rPr>
        <w:t xml:space="preserve">) </w:t>
      </w:r>
      <w:r>
        <w:rPr>
          <w:rFonts w:eastAsia="Arial"/>
          <w:bCs/>
          <w:iCs/>
          <w:color w:val="000000" w:themeColor="text1"/>
        </w:rPr>
        <w:t xml:space="preserve">ir </w:t>
      </w:r>
      <w:r w:rsidRPr="004E7C1C">
        <w:rPr>
          <w:rFonts w:eastAsia="Arial"/>
          <w:bCs/>
          <w:iCs/>
          <w:color w:val="000000" w:themeColor="text1"/>
        </w:rPr>
        <w:t xml:space="preserve"> 26 (11</w:t>
      </w:r>
      <w:r>
        <w:rPr>
          <w:rFonts w:eastAsia="Arial"/>
          <w:bCs/>
          <w:iCs/>
          <w:color w:val="000000" w:themeColor="text1"/>
        </w:rPr>
        <w:t>,</w:t>
      </w:r>
      <w:r w:rsidRPr="004E7C1C">
        <w:rPr>
          <w:rFonts w:eastAsia="Arial"/>
          <w:bCs/>
          <w:iCs/>
          <w:color w:val="000000" w:themeColor="text1"/>
        </w:rPr>
        <w:t>7</w:t>
      </w:r>
      <w:r>
        <w:rPr>
          <w:rFonts w:eastAsia="Arial"/>
          <w:bCs/>
          <w:iCs/>
          <w:color w:val="000000" w:themeColor="text1"/>
        </w:rPr>
        <w:t xml:space="preserve"> proc.</w:t>
      </w:r>
      <w:r w:rsidRPr="004E7C1C">
        <w:rPr>
          <w:rFonts w:eastAsia="Arial"/>
          <w:bCs/>
          <w:iCs/>
          <w:color w:val="000000" w:themeColor="text1"/>
        </w:rPr>
        <w:t>)</w:t>
      </w:r>
      <w:r>
        <w:rPr>
          <w:rFonts w:eastAsia="Arial"/>
          <w:bCs/>
          <w:iCs/>
          <w:color w:val="000000" w:themeColor="text1"/>
        </w:rPr>
        <w:t xml:space="preserve"> </w:t>
      </w:r>
      <w:r w:rsidRPr="004E7C1C">
        <w:rPr>
          <w:rFonts w:eastAsia="Arial"/>
          <w:bCs/>
          <w:iCs/>
          <w:color w:val="000000" w:themeColor="text1"/>
        </w:rPr>
        <w:t xml:space="preserve">atitinkamai. Dėl to </w:t>
      </w:r>
      <w:r>
        <w:rPr>
          <w:rFonts w:eastAsia="Arial"/>
          <w:bCs/>
          <w:iCs/>
          <w:color w:val="000000" w:themeColor="text1"/>
        </w:rPr>
        <w:t>BI</w:t>
      </w:r>
      <w:r w:rsidRPr="004E7C1C">
        <w:rPr>
          <w:rFonts w:eastAsia="Arial"/>
          <w:bCs/>
          <w:iCs/>
          <w:color w:val="000000" w:themeColor="text1"/>
        </w:rPr>
        <w:t xml:space="preserve"> mediana buvo 53</w:t>
      </w:r>
      <w:r>
        <w:rPr>
          <w:rFonts w:eastAsia="Arial"/>
          <w:bCs/>
          <w:iCs/>
          <w:color w:val="000000" w:themeColor="text1"/>
        </w:rPr>
        <w:t>,</w:t>
      </w:r>
      <w:r w:rsidRPr="004E7C1C">
        <w:rPr>
          <w:rFonts w:eastAsia="Arial"/>
          <w:bCs/>
          <w:iCs/>
          <w:color w:val="000000" w:themeColor="text1"/>
        </w:rPr>
        <w:t>8 mėn.</w:t>
      </w:r>
      <w:r>
        <w:rPr>
          <w:rFonts w:eastAsia="Arial"/>
          <w:bCs/>
          <w:iCs/>
          <w:color w:val="000000" w:themeColor="text1"/>
        </w:rPr>
        <w:t xml:space="preserve"> </w:t>
      </w:r>
      <w:r w:rsidRPr="004E7C1C">
        <w:rPr>
          <w:rFonts w:eastAsia="Arial"/>
          <w:bCs/>
          <w:iCs/>
          <w:color w:val="000000" w:themeColor="text1"/>
        </w:rPr>
        <w:t>(95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PI</w:t>
      </w:r>
      <w:r w:rsidRPr="004E7C1C">
        <w:rPr>
          <w:rFonts w:eastAsia="Arial"/>
          <w:bCs/>
          <w:iCs/>
          <w:color w:val="000000" w:themeColor="text1"/>
        </w:rPr>
        <w:t xml:space="preserve"> 49</w:t>
      </w:r>
      <w:r>
        <w:rPr>
          <w:rFonts w:eastAsia="Arial"/>
          <w:bCs/>
          <w:iCs/>
          <w:color w:val="000000" w:themeColor="text1"/>
        </w:rPr>
        <w:t>,</w:t>
      </w:r>
      <w:r w:rsidRPr="004E7C1C">
        <w:rPr>
          <w:rFonts w:eastAsia="Arial"/>
          <w:bCs/>
          <w:iCs/>
          <w:color w:val="000000" w:themeColor="text1"/>
        </w:rPr>
        <w:t xml:space="preserve">8 </w:t>
      </w:r>
      <w:r>
        <w:rPr>
          <w:rFonts w:eastAsia="Arial"/>
          <w:bCs/>
          <w:iCs/>
          <w:color w:val="000000" w:themeColor="text1"/>
        </w:rPr>
        <w:t>–</w:t>
      </w:r>
      <w:r w:rsidRPr="004E7C1C">
        <w:rPr>
          <w:rFonts w:eastAsia="Arial"/>
          <w:bCs/>
          <w:iCs/>
          <w:color w:val="000000" w:themeColor="text1"/>
        </w:rPr>
        <w:t xml:space="preserve"> 59</w:t>
      </w:r>
      <w:r>
        <w:rPr>
          <w:rFonts w:eastAsia="Arial"/>
          <w:bCs/>
          <w:iCs/>
          <w:color w:val="000000" w:themeColor="text1"/>
        </w:rPr>
        <w:t>,</w:t>
      </w:r>
      <w:r w:rsidRPr="004E7C1C">
        <w:rPr>
          <w:rFonts w:eastAsia="Arial"/>
          <w:bCs/>
          <w:iCs/>
          <w:color w:val="000000" w:themeColor="text1"/>
        </w:rPr>
        <w:t xml:space="preserve">2)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w:t>
      </w:r>
      <w:r>
        <w:rPr>
          <w:rFonts w:eastAsia="Arial"/>
          <w:bCs/>
          <w:iCs/>
          <w:color w:val="000000" w:themeColor="text1"/>
        </w:rPr>
        <w:t>ir</w:t>
      </w:r>
      <w:r w:rsidRPr="004E7C1C">
        <w:rPr>
          <w:rFonts w:eastAsia="Arial"/>
          <w:bCs/>
          <w:iCs/>
          <w:color w:val="000000" w:themeColor="text1"/>
        </w:rPr>
        <w:t xml:space="preserve"> 49</w:t>
      </w:r>
      <w:r>
        <w:rPr>
          <w:rFonts w:eastAsia="Arial"/>
          <w:bCs/>
          <w:iCs/>
          <w:color w:val="000000" w:themeColor="text1"/>
        </w:rPr>
        <w:t>,</w:t>
      </w:r>
      <w:r w:rsidRPr="004E7C1C">
        <w:rPr>
          <w:rFonts w:eastAsia="Arial"/>
          <w:bCs/>
          <w:iCs/>
          <w:color w:val="000000" w:themeColor="text1"/>
        </w:rPr>
        <w:t>8 mėn. (95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w:t>
      </w:r>
      <w:r w:rsidRPr="004E7C1C">
        <w:rPr>
          <w:rFonts w:eastAsia="Arial"/>
          <w:bCs/>
          <w:iCs/>
          <w:color w:val="000000" w:themeColor="text1"/>
        </w:rPr>
        <w:t>I 42</w:t>
      </w:r>
      <w:r>
        <w:rPr>
          <w:rFonts w:eastAsia="Arial"/>
          <w:bCs/>
          <w:iCs/>
          <w:color w:val="000000" w:themeColor="text1"/>
        </w:rPr>
        <w:t>,</w:t>
      </w:r>
      <w:r w:rsidRPr="004E7C1C">
        <w:rPr>
          <w:rFonts w:eastAsia="Arial"/>
          <w:bCs/>
          <w:iCs/>
          <w:color w:val="000000" w:themeColor="text1"/>
        </w:rPr>
        <w:t xml:space="preserve">3 </w:t>
      </w:r>
      <w:r>
        <w:rPr>
          <w:rFonts w:eastAsia="Arial"/>
          <w:bCs/>
          <w:iCs/>
          <w:color w:val="000000" w:themeColor="text1"/>
        </w:rPr>
        <w:t>–</w:t>
      </w:r>
      <w:r w:rsidRPr="004E7C1C">
        <w:rPr>
          <w:rFonts w:eastAsia="Arial"/>
          <w:bCs/>
          <w:iCs/>
          <w:color w:val="000000" w:themeColor="text1"/>
        </w:rPr>
        <w:t xml:space="preserve"> 56</w:t>
      </w:r>
      <w:r>
        <w:rPr>
          <w:rFonts w:eastAsia="Arial"/>
          <w:bCs/>
          <w:iCs/>
          <w:color w:val="000000" w:themeColor="text1"/>
        </w:rPr>
        <w:t>,</w:t>
      </w:r>
      <w:r w:rsidRPr="004E7C1C">
        <w:rPr>
          <w:rFonts w:eastAsia="Arial"/>
          <w:bCs/>
          <w:iCs/>
          <w:color w:val="000000" w:themeColor="text1"/>
        </w:rPr>
        <w:t xml:space="preserve">4) placebo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(R</w:t>
      </w:r>
      <w:r>
        <w:rPr>
          <w:rFonts w:eastAsia="Arial"/>
          <w:bCs/>
          <w:iCs/>
          <w:color w:val="000000" w:themeColor="text1"/>
        </w:rPr>
        <w:t>S</w:t>
      </w:r>
      <w:r w:rsidRPr="004E7C1C">
        <w:rPr>
          <w:rFonts w:eastAsia="Arial"/>
          <w:bCs/>
          <w:iCs/>
          <w:color w:val="000000" w:themeColor="text1"/>
        </w:rPr>
        <w:t xml:space="preserve"> 0</w:t>
      </w:r>
      <w:r>
        <w:rPr>
          <w:rFonts w:eastAsia="Arial"/>
          <w:bCs/>
          <w:iCs/>
          <w:color w:val="000000" w:themeColor="text1"/>
        </w:rPr>
        <w:t>,</w:t>
      </w:r>
      <w:r w:rsidRPr="004E7C1C">
        <w:rPr>
          <w:rFonts w:eastAsia="Arial"/>
          <w:bCs/>
          <w:iCs/>
          <w:color w:val="000000" w:themeColor="text1"/>
        </w:rPr>
        <w:t>92 [95</w:t>
      </w:r>
      <w:r>
        <w:rPr>
          <w:rFonts w:eastAsia="Arial"/>
          <w:bCs/>
          <w:iCs/>
          <w:color w:val="000000" w:themeColor="text1"/>
        </w:rPr>
        <w:t xml:space="preserve"> proc. P</w:t>
      </w:r>
      <w:r w:rsidRPr="004E7C1C">
        <w:rPr>
          <w:rFonts w:eastAsia="Arial"/>
          <w:bCs/>
          <w:iCs/>
          <w:color w:val="000000" w:themeColor="text1"/>
        </w:rPr>
        <w:t>I</w:t>
      </w:r>
      <w:r>
        <w:rPr>
          <w:rFonts w:eastAsia="Arial"/>
          <w:bCs/>
          <w:iCs/>
          <w:color w:val="000000" w:themeColor="text1"/>
        </w:rPr>
        <w:t xml:space="preserve"> </w:t>
      </w:r>
      <w:r w:rsidRPr="004E7C1C">
        <w:rPr>
          <w:rFonts w:eastAsia="Arial"/>
          <w:bCs/>
          <w:iCs/>
          <w:color w:val="000000" w:themeColor="text1"/>
        </w:rPr>
        <w:t>0</w:t>
      </w:r>
      <w:r>
        <w:rPr>
          <w:rFonts w:eastAsia="Arial"/>
          <w:bCs/>
          <w:iCs/>
          <w:color w:val="000000" w:themeColor="text1"/>
        </w:rPr>
        <w:t>,</w:t>
      </w:r>
      <w:r w:rsidRPr="004E7C1C">
        <w:rPr>
          <w:rFonts w:eastAsia="Arial"/>
          <w:bCs/>
          <w:iCs/>
          <w:color w:val="000000" w:themeColor="text1"/>
        </w:rPr>
        <w:t xml:space="preserve">76 </w:t>
      </w:r>
      <w:r>
        <w:rPr>
          <w:rFonts w:eastAsia="Arial"/>
          <w:bCs/>
          <w:iCs/>
          <w:color w:val="000000" w:themeColor="text1"/>
        </w:rPr>
        <w:t>–</w:t>
      </w:r>
      <w:r w:rsidRPr="004E7C1C">
        <w:rPr>
          <w:rFonts w:eastAsia="Arial"/>
          <w:bCs/>
          <w:iCs/>
          <w:color w:val="000000" w:themeColor="text1"/>
        </w:rPr>
        <w:t xml:space="preserve"> 1</w:t>
      </w:r>
      <w:r>
        <w:rPr>
          <w:rFonts w:eastAsia="Arial"/>
          <w:bCs/>
          <w:iCs/>
          <w:color w:val="000000" w:themeColor="text1"/>
        </w:rPr>
        <w:t>,</w:t>
      </w:r>
      <w:r w:rsidRPr="004E7C1C">
        <w:rPr>
          <w:rFonts w:eastAsia="Arial"/>
          <w:bCs/>
          <w:iCs/>
          <w:color w:val="000000" w:themeColor="text1"/>
        </w:rPr>
        <w:t>12].</w:t>
      </w:r>
    </w:p>
    <w:p w14:paraId="515D7F09" w14:textId="77777777" w:rsidR="00B96F61" w:rsidRPr="004E7C1C"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bCs/>
          <w:iCs/>
          <w:color w:val="000000" w:themeColor="text1"/>
        </w:rPr>
      </w:pPr>
      <w:r>
        <w:rPr>
          <w:rFonts w:eastAsia="Arial"/>
          <w:bCs/>
          <w:iCs/>
          <w:color w:val="000000" w:themeColor="text1"/>
        </w:rPr>
        <w:tab/>
      </w:r>
      <w:r w:rsidRPr="004E7C1C">
        <w:rPr>
          <w:rFonts w:eastAsia="Arial"/>
          <w:bCs/>
          <w:iCs/>
          <w:color w:val="000000" w:themeColor="text1"/>
        </w:rPr>
        <w:t>Iš viso 399 (89</w:t>
      </w:r>
      <w:r>
        <w:rPr>
          <w:rFonts w:eastAsia="Arial"/>
          <w:bCs/>
          <w:iCs/>
          <w:color w:val="000000" w:themeColor="text1"/>
        </w:rPr>
        <w:t>,</w:t>
      </w:r>
      <w:r w:rsidRPr="004E7C1C">
        <w:rPr>
          <w:rFonts w:eastAsia="Arial"/>
          <w:bCs/>
          <w:iCs/>
          <w:color w:val="000000" w:themeColor="text1"/>
        </w:rPr>
        <w:t>9</w:t>
      </w:r>
      <w:r>
        <w:rPr>
          <w:rFonts w:eastAsia="Arial"/>
          <w:bCs/>
          <w:iCs/>
          <w:color w:val="000000" w:themeColor="text1"/>
        </w:rPr>
        <w:t xml:space="preserve"> proc.</w:t>
      </w:r>
      <w:r w:rsidRPr="004E7C1C">
        <w:rPr>
          <w:rFonts w:eastAsia="Arial"/>
          <w:bCs/>
          <w:iCs/>
          <w:color w:val="000000" w:themeColor="text1"/>
        </w:rPr>
        <w:t xml:space="preserve">) pacientai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w:t>
      </w:r>
      <w:r>
        <w:rPr>
          <w:rFonts w:eastAsia="Arial"/>
          <w:bCs/>
          <w:iCs/>
          <w:color w:val="000000" w:themeColor="text1"/>
        </w:rPr>
        <w:t>ir</w:t>
      </w:r>
      <w:r w:rsidRPr="004E7C1C">
        <w:rPr>
          <w:rFonts w:eastAsia="Arial"/>
          <w:bCs/>
          <w:iCs/>
          <w:color w:val="000000" w:themeColor="text1"/>
        </w:rPr>
        <w:t xml:space="preserve"> 217 (97</w:t>
      </w:r>
      <w:r>
        <w:rPr>
          <w:rFonts w:eastAsia="Arial"/>
          <w:bCs/>
          <w:iCs/>
          <w:color w:val="000000" w:themeColor="text1"/>
        </w:rPr>
        <w:t>,</w:t>
      </w:r>
      <w:r w:rsidRPr="004E7C1C">
        <w:rPr>
          <w:rFonts w:eastAsia="Arial"/>
          <w:bCs/>
          <w:iCs/>
          <w:color w:val="000000" w:themeColor="text1"/>
        </w:rPr>
        <w:t>7</w:t>
      </w:r>
      <w:r>
        <w:rPr>
          <w:rFonts w:eastAsia="Arial"/>
          <w:bCs/>
          <w:iCs/>
          <w:color w:val="000000" w:themeColor="text1"/>
        </w:rPr>
        <w:t xml:space="preserve"> proc.</w:t>
      </w:r>
      <w:r w:rsidRPr="004E7C1C">
        <w:rPr>
          <w:rFonts w:eastAsia="Arial"/>
          <w:bCs/>
          <w:iCs/>
          <w:color w:val="000000" w:themeColor="text1"/>
        </w:rPr>
        <w:t xml:space="preserve">) placebo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nutraukė gydymą. Iš jų 322 (80</w:t>
      </w:r>
      <w:r>
        <w:rPr>
          <w:rFonts w:eastAsia="Arial"/>
          <w:bCs/>
          <w:iCs/>
          <w:color w:val="000000" w:themeColor="text1"/>
        </w:rPr>
        <w:t>,</w:t>
      </w:r>
      <w:r w:rsidRPr="004E7C1C">
        <w:rPr>
          <w:rFonts w:eastAsia="Arial"/>
          <w:bCs/>
          <w:iCs/>
          <w:color w:val="000000" w:themeColor="text1"/>
        </w:rPr>
        <w:t>7</w:t>
      </w:r>
      <w:r>
        <w:rPr>
          <w:rFonts w:eastAsia="Arial"/>
          <w:bCs/>
          <w:iCs/>
          <w:color w:val="000000" w:themeColor="text1"/>
        </w:rPr>
        <w:t xml:space="preserve"> proc.</w:t>
      </w:r>
      <w:r w:rsidRPr="004E7C1C">
        <w:rPr>
          <w:rFonts w:eastAsia="Arial"/>
          <w:bCs/>
          <w:iCs/>
          <w:color w:val="000000" w:themeColor="text1"/>
        </w:rPr>
        <w:t>) ir 190 (87</w:t>
      </w:r>
      <w:r>
        <w:rPr>
          <w:rFonts w:eastAsia="Arial"/>
          <w:bCs/>
          <w:iCs/>
          <w:color w:val="000000" w:themeColor="text1"/>
        </w:rPr>
        <w:t>,</w:t>
      </w:r>
      <w:r w:rsidRPr="004E7C1C">
        <w:rPr>
          <w:rFonts w:eastAsia="Arial"/>
          <w:bCs/>
          <w:iCs/>
          <w:color w:val="000000" w:themeColor="text1"/>
        </w:rPr>
        <w:t>6</w:t>
      </w:r>
      <w:r>
        <w:rPr>
          <w:rFonts w:eastAsia="Arial"/>
          <w:bCs/>
          <w:iCs/>
          <w:color w:val="000000" w:themeColor="text1"/>
        </w:rPr>
        <w:t xml:space="preserve"> proc.</w:t>
      </w:r>
      <w:r w:rsidRPr="004E7C1C">
        <w:rPr>
          <w:rFonts w:eastAsia="Arial"/>
          <w:bCs/>
          <w:iCs/>
          <w:color w:val="000000" w:themeColor="text1"/>
        </w:rPr>
        <w:t>) atitinkami gavo ≥1 sisteminę terapiją po gydymo nutraukimo (</w:t>
      </w:r>
      <w:r>
        <w:rPr>
          <w:rFonts w:eastAsia="Arial"/>
          <w:bCs/>
          <w:iCs/>
          <w:color w:val="000000" w:themeColor="text1"/>
        </w:rPr>
        <w:t>14 pav.</w:t>
      </w:r>
      <w:r w:rsidRPr="004E7C1C">
        <w:rPr>
          <w:rFonts w:eastAsia="Arial"/>
          <w:bCs/>
          <w:iCs/>
          <w:color w:val="000000" w:themeColor="text1"/>
        </w:rPr>
        <w:t>). Iš šių 399 ir 217 gydymą nutraukusių pacientų atitinkamai 47 (11</w:t>
      </w:r>
      <w:r>
        <w:rPr>
          <w:rFonts w:eastAsia="Arial"/>
          <w:bCs/>
          <w:iCs/>
          <w:color w:val="000000" w:themeColor="text1"/>
        </w:rPr>
        <w:t>,</w:t>
      </w:r>
      <w:r w:rsidRPr="004E7C1C">
        <w:rPr>
          <w:rFonts w:eastAsia="Arial"/>
          <w:bCs/>
          <w:iCs/>
          <w:color w:val="000000" w:themeColor="text1"/>
        </w:rPr>
        <w:t>8</w:t>
      </w:r>
      <w:r>
        <w:rPr>
          <w:rFonts w:eastAsia="Arial"/>
          <w:bCs/>
          <w:iCs/>
          <w:color w:val="000000" w:themeColor="text1"/>
        </w:rPr>
        <w:t xml:space="preserve"> proc.</w:t>
      </w:r>
      <w:r w:rsidRPr="004E7C1C">
        <w:rPr>
          <w:rFonts w:eastAsia="Arial"/>
          <w:bCs/>
          <w:iCs/>
          <w:color w:val="000000" w:themeColor="text1"/>
        </w:rPr>
        <w:t>) ir 58 (26</w:t>
      </w:r>
      <w:r>
        <w:rPr>
          <w:rFonts w:eastAsia="Arial"/>
          <w:bCs/>
          <w:iCs/>
          <w:color w:val="000000" w:themeColor="text1"/>
        </w:rPr>
        <w:t>,</w:t>
      </w:r>
      <w:r w:rsidRPr="004E7C1C">
        <w:rPr>
          <w:rFonts w:eastAsia="Arial"/>
          <w:bCs/>
          <w:iCs/>
          <w:color w:val="000000" w:themeColor="text1"/>
        </w:rPr>
        <w:t>7</w:t>
      </w:r>
      <w:r>
        <w:rPr>
          <w:rFonts w:eastAsia="Arial"/>
          <w:bCs/>
          <w:iCs/>
          <w:color w:val="000000" w:themeColor="text1"/>
        </w:rPr>
        <w:t xml:space="preserve"> proc.</w:t>
      </w:r>
      <w:r w:rsidRPr="004E7C1C">
        <w:rPr>
          <w:rFonts w:eastAsia="Arial"/>
          <w:bCs/>
          <w:iCs/>
          <w:color w:val="000000" w:themeColor="text1"/>
        </w:rPr>
        <w:t xml:space="preserve">) pacientai gavo gydymą CDK4/6 inhibitoriais </w:t>
      </w:r>
      <w:r w:rsidRPr="004E7C1C">
        <w:rPr>
          <w:rFonts w:eastAsia="Arial"/>
          <w:bCs/>
          <w:iCs/>
          <w:color w:val="000000" w:themeColor="text1"/>
        </w:rPr>
        <w:lastRenderedPageBreak/>
        <w:t xml:space="preserve">po tyrimo, iš jų daugiausiai </w:t>
      </w:r>
      <w:proofErr w:type="spellStart"/>
      <w:r w:rsidRPr="004E7C1C">
        <w:rPr>
          <w:rFonts w:eastAsia="Arial"/>
          <w:bCs/>
          <w:iCs/>
          <w:color w:val="000000" w:themeColor="text1"/>
        </w:rPr>
        <w:t>palbociklibą</w:t>
      </w:r>
      <w:proofErr w:type="spellEnd"/>
      <w:r w:rsidRPr="004E7C1C">
        <w:rPr>
          <w:rFonts w:eastAsia="Arial"/>
          <w:bCs/>
          <w:iCs/>
          <w:color w:val="000000" w:themeColor="text1"/>
        </w:rPr>
        <w:t xml:space="preserve"> (74</w:t>
      </w:r>
      <w:r>
        <w:rPr>
          <w:rFonts w:eastAsia="Arial"/>
          <w:bCs/>
          <w:iCs/>
          <w:color w:val="000000" w:themeColor="text1"/>
        </w:rPr>
        <w:t>,</w:t>
      </w:r>
      <w:r w:rsidRPr="004E7C1C">
        <w:rPr>
          <w:rFonts w:eastAsia="Arial"/>
          <w:bCs/>
          <w:iCs/>
          <w:color w:val="000000" w:themeColor="text1"/>
        </w:rPr>
        <w:t>5</w:t>
      </w:r>
      <w:r>
        <w:rPr>
          <w:rFonts w:eastAsia="Arial"/>
          <w:bCs/>
          <w:iCs/>
          <w:color w:val="000000" w:themeColor="text1"/>
        </w:rPr>
        <w:t xml:space="preserve"> proc.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ir 89</w:t>
      </w:r>
      <w:r>
        <w:rPr>
          <w:rFonts w:eastAsia="Arial"/>
          <w:bCs/>
          <w:iCs/>
          <w:color w:val="000000" w:themeColor="text1"/>
        </w:rPr>
        <w:t>,</w:t>
      </w:r>
      <w:r w:rsidRPr="004E7C1C">
        <w:rPr>
          <w:rFonts w:eastAsia="Arial"/>
          <w:bCs/>
          <w:iCs/>
          <w:color w:val="000000" w:themeColor="text1"/>
        </w:rPr>
        <w:t>7</w:t>
      </w:r>
      <w:r>
        <w:rPr>
          <w:rFonts w:eastAsia="Arial"/>
          <w:bCs/>
          <w:iCs/>
          <w:color w:val="000000" w:themeColor="text1"/>
        </w:rPr>
        <w:t xml:space="preserve"> proc.</w:t>
      </w:r>
      <w:r w:rsidRPr="004E7C1C">
        <w:rPr>
          <w:rFonts w:eastAsia="Arial"/>
          <w:bCs/>
          <w:iCs/>
          <w:color w:val="000000" w:themeColor="text1"/>
        </w:rPr>
        <w:t xml:space="preserve"> placebo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grupėse). Laiko mediana iki pirmos sekančios terapijos ilgesn</w:t>
      </w:r>
      <w:r>
        <w:rPr>
          <w:rFonts w:eastAsia="Arial"/>
          <w:bCs/>
          <w:iCs/>
          <w:color w:val="000000" w:themeColor="text1"/>
        </w:rPr>
        <w:t>ė</w:t>
      </w:r>
      <w:r w:rsidRPr="004E7C1C">
        <w:rPr>
          <w:rFonts w:eastAsia="Arial"/>
          <w:bCs/>
          <w:iCs/>
          <w:color w:val="000000" w:themeColor="text1"/>
        </w:rPr>
        <w:t xml:space="preserve"> buvo </w:t>
      </w:r>
      <w:proofErr w:type="spellStart"/>
      <w:r w:rsidRPr="004E7C1C">
        <w:rPr>
          <w:rFonts w:eastAsia="Arial"/>
          <w:bCs/>
          <w:iCs/>
          <w:color w:val="000000" w:themeColor="text1"/>
        </w:rPr>
        <w:t>palbociklibo</w:t>
      </w:r>
      <w:proofErr w:type="spellEnd"/>
      <w:r w:rsidRPr="004E7C1C">
        <w:rPr>
          <w:rFonts w:eastAsia="Arial"/>
          <w:bCs/>
          <w:iCs/>
          <w:color w:val="000000" w:themeColor="text1"/>
        </w:rPr>
        <w:t xml:space="preserve">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grupėje (38</w:t>
      </w:r>
      <w:r>
        <w:rPr>
          <w:rFonts w:eastAsia="Arial"/>
          <w:bCs/>
          <w:iCs/>
          <w:color w:val="000000" w:themeColor="text1"/>
        </w:rPr>
        <w:t>,</w:t>
      </w:r>
      <w:r w:rsidRPr="004E7C1C">
        <w:rPr>
          <w:rFonts w:eastAsia="Arial"/>
          <w:bCs/>
          <w:iCs/>
          <w:color w:val="000000" w:themeColor="text1"/>
        </w:rPr>
        <w:t>1 mėn. [95</w:t>
      </w:r>
      <w:r>
        <w:rPr>
          <w:rFonts w:eastAsia="Arial"/>
          <w:bCs/>
          <w:iCs/>
          <w:color w:val="000000" w:themeColor="text1"/>
        </w:rPr>
        <w:t xml:space="preserve"> proc. P</w:t>
      </w:r>
      <w:r w:rsidRPr="004E7C1C">
        <w:rPr>
          <w:rFonts w:eastAsia="Arial"/>
          <w:bCs/>
          <w:iCs/>
          <w:color w:val="000000" w:themeColor="text1"/>
        </w:rPr>
        <w:t>I 34</w:t>
      </w:r>
      <w:r>
        <w:rPr>
          <w:rFonts w:eastAsia="Arial"/>
          <w:bCs/>
          <w:iCs/>
          <w:color w:val="000000" w:themeColor="text1"/>
        </w:rPr>
        <w:t>,</w:t>
      </w:r>
      <w:r w:rsidRPr="004E7C1C">
        <w:rPr>
          <w:rFonts w:eastAsia="Arial"/>
          <w:bCs/>
          <w:iCs/>
          <w:color w:val="000000" w:themeColor="text1"/>
        </w:rPr>
        <w:t>1</w:t>
      </w:r>
      <w:r>
        <w:rPr>
          <w:rFonts w:eastAsia="Arial"/>
          <w:bCs/>
          <w:iCs/>
          <w:color w:val="000000" w:themeColor="text1"/>
        </w:rPr>
        <w:t xml:space="preserve"> – </w:t>
      </w:r>
      <w:r w:rsidRPr="004E7C1C">
        <w:rPr>
          <w:rFonts w:eastAsia="Arial"/>
          <w:bCs/>
          <w:iCs/>
          <w:color w:val="000000" w:themeColor="text1"/>
        </w:rPr>
        <w:t>42</w:t>
      </w:r>
      <w:r>
        <w:rPr>
          <w:rFonts w:eastAsia="Arial"/>
          <w:bCs/>
          <w:iCs/>
          <w:color w:val="000000" w:themeColor="text1"/>
        </w:rPr>
        <w:t>,</w:t>
      </w:r>
      <w:r w:rsidRPr="004E7C1C">
        <w:rPr>
          <w:rFonts w:eastAsia="Arial"/>
          <w:bCs/>
          <w:iCs/>
          <w:color w:val="000000" w:themeColor="text1"/>
        </w:rPr>
        <w:t xml:space="preserve">2]) lyginant su placebo su </w:t>
      </w:r>
      <w:proofErr w:type="spellStart"/>
      <w:r w:rsidRPr="004E7C1C">
        <w:rPr>
          <w:rFonts w:eastAsia="Arial"/>
          <w:bCs/>
          <w:iCs/>
          <w:color w:val="000000" w:themeColor="text1"/>
        </w:rPr>
        <w:t>letrozolu</w:t>
      </w:r>
      <w:proofErr w:type="spellEnd"/>
      <w:r w:rsidRPr="004E7C1C">
        <w:rPr>
          <w:rFonts w:eastAsia="Arial"/>
          <w:bCs/>
          <w:iCs/>
          <w:color w:val="000000" w:themeColor="text1"/>
        </w:rPr>
        <w:t xml:space="preserve"> grupe (29</w:t>
      </w:r>
      <w:r>
        <w:rPr>
          <w:rFonts w:eastAsia="Arial"/>
          <w:bCs/>
          <w:iCs/>
          <w:color w:val="000000" w:themeColor="text1"/>
        </w:rPr>
        <w:t>,</w:t>
      </w:r>
      <w:r w:rsidRPr="004E7C1C">
        <w:rPr>
          <w:rFonts w:eastAsia="Arial"/>
          <w:bCs/>
          <w:iCs/>
          <w:color w:val="000000" w:themeColor="text1"/>
        </w:rPr>
        <w:t>8 mėn. [95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PI</w:t>
      </w:r>
      <w:r w:rsidRPr="004E7C1C">
        <w:rPr>
          <w:rFonts w:eastAsia="Arial"/>
          <w:bCs/>
          <w:iCs/>
          <w:color w:val="000000" w:themeColor="text1"/>
        </w:rPr>
        <w:t xml:space="preserve"> 24</w:t>
      </w:r>
      <w:r>
        <w:rPr>
          <w:rFonts w:eastAsia="Arial"/>
          <w:bCs/>
          <w:iCs/>
          <w:color w:val="000000" w:themeColor="text1"/>
        </w:rPr>
        <w:t>,</w:t>
      </w:r>
      <w:r w:rsidRPr="004E7C1C">
        <w:rPr>
          <w:rFonts w:eastAsia="Arial"/>
          <w:bCs/>
          <w:iCs/>
          <w:color w:val="000000" w:themeColor="text1"/>
        </w:rPr>
        <w:t>7</w:t>
      </w:r>
      <w:r>
        <w:rPr>
          <w:rFonts w:eastAsia="Arial"/>
          <w:bCs/>
          <w:iCs/>
          <w:color w:val="000000" w:themeColor="text1"/>
        </w:rPr>
        <w:t xml:space="preserve"> - </w:t>
      </w:r>
      <w:r w:rsidRPr="004E7C1C">
        <w:rPr>
          <w:rFonts w:eastAsia="Arial"/>
          <w:bCs/>
          <w:iCs/>
          <w:color w:val="000000" w:themeColor="text1"/>
        </w:rPr>
        <w:t>34</w:t>
      </w:r>
      <w:r>
        <w:rPr>
          <w:rFonts w:eastAsia="Arial"/>
          <w:bCs/>
          <w:iCs/>
          <w:color w:val="000000" w:themeColor="text1"/>
        </w:rPr>
        <w:t>,</w:t>
      </w:r>
      <w:r w:rsidRPr="004E7C1C">
        <w:rPr>
          <w:rFonts w:eastAsia="Arial"/>
          <w:bCs/>
          <w:iCs/>
          <w:color w:val="000000" w:themeColor="text1"/>
        </w:rPr>
        <w:t>8]</w:t>
      </w:r>
      <w:r>
        <w:rPr>
          <w:rFonts w:eastAsia="Arial"/>
          <w:bCs/>
          <w:iCs/>
          <w:color w:val="000000" w:themeColor="text1"/>
        </w:rPr>
        <w:t>,</w:t>
      </w:r>
      <w:r w:rsidRPr="004E7C1C">
        <w:rPr>
          <w:rFonts w:eastAsia="Arial"/>
          <w:bCs/>
          <w:iCs/>
          <w:color w:val="000000" w:themeColor="text1"/>
        </w:rPr>
        <w:t xml:space="preserve"> </w:t>
      </w:r>
      <w:r>
        <w:rPr>
          <w:rFonts w:eastAsia="Arial"/>
          <w:bCs/>
          <w:iCs/>
          <w:color w:val="000000" w:themeColor="text1"/>
        </w:rPr>
        <w:t>RS</w:t>
      </w:r>
      <w:r w:rsidRPr="004E7C1C">
        <w:rPr>
          <w:rFonts w:eastAsia="Arial"/>
          <w:bCs/>
          <w:iCs/>
          <w:color w:val="000000" w:themeColor="text1"/>
        </w:rPr>
        <w:t xml:space="preserve"> 0</w:t>
      </w:r>
      <w:r>
        <w:rPr>
          <w:rFonts w:eastAsia="Arial"/>
          <w:bCs/>
          <w:iCs/>
          <w:color w:val="000000" w:themeColor="text1"/>
        </w:rPr>
        <w:t>,</w:t>
      </w:r>
      <w:r w:rsidRPr="004E7C1C">
        <w:rPr>
          <w:rFonts w:eastAsia="Arial"/>
          <w:bCs/>
          <w:iCs/>
          <w:color w:val="000000" w:themeColor="text1"/>
        </w:rPr>
        <w:t>73 [95</w:t>
      </w:r>
      <w:r>
        <w:rPr>
          <w:rFonts w:eastAsia="Arial"/>
          <w:bCs/>
          <w:iCs/>
          <w:color w:val="000000" w:themeColor="text1"/>
        </w:rPr>
        <w:t xml:space="preserve"> proc.</w:t>
      </w:r>
      <w:r w:rsidRPr="004E7C1C">
        <w:rPr>
          <w:rFonts w:eastAsia="Arial"/>
          <w:bCs/>
          <w:iCs/>
          <w:color w:val="000000" w:themeColor="text1"/>
        </w:rPr>
        <w:t xml:space="preserve"> </w:t>
      </w:r>
      <w:r>
        <w:rPr>
          <w:rFonts w:eastAsia="Arial"/>
          <w:bCs/>
          <w:iCs/>
          <w:color w:val="000000" w:themeColor="text1"/>
        </w:rPr>
        <w:t>P</w:t>
      </w:r>
      <w:r w:rsidRPr="004E7C1C">
        <w:rPr>
          <w:rFonts w:eastAsia="Arial"/>
          <w:bCs/>
          <w:iCs/>
          <w:color w:val="000000" w:themeColor="text1"/>
        </w:rPr>
        <w:t>I 0</w:t>
      </w:r>
      <w:r>
        <w:rPr>
          <w:rFonts w:eastAsia="Arial"/>
          <w:bCs/>
          <w:iCs/>
          <w:color w:val="000000" w:themeColor="text1"/>
        </w:rPr>
        <w:t>,</w:t>
      </w:r>
      <w:r w:rsidRPr="004E7C1C">
        <w:rPr>
          <w:rFonts w:eastAsia="Arial"/>
          <w:bCs/>
          <w:iCs/>
          <w:color w:val="000000" w:themeColor="text1"/>
        </w:rPr>
        <w:t>61</w:t>
      </w:r>
      <w:r>
        <w:rPr>
          <w:rFonts w:eastAsia="Arial"/>
          <w:bCs/>
          <w:iCs/>
          <w:color w:val="000000" w:themeColor="text1"/>
        </w:rPr>
        <w:t xml:space="preserve"> – </w:t>
      </w:r>
      <w:r w:rsidRPr="004E7C1C">
        <w:rPr>
          <w:rFonts w:eastAsia="Arial"/>
          <w:bCs/>
          <w:iCs/>
          <w:color w:val="000000" w:themeColor="text1"/>
        </w:rPr>
        <w:t>0</w:t>
      </w:r>
      <w:r>
        <w:rPr>
          <w:rFonts w:eastAsia="Arial"/>
          <w:bCs/>
          <w:iCs/>
          <w:color w:val="000000" w:themeColor="text1"/>
        </w:rPr>
        <w:t>,</w:t>
      </w:r>
      <w:r w:rsidRPr="004E7C1C">
        <w:rPr>
          <w:rFonts w:eastAsia="Arial"/>
          <w:bCs/>
          <w:iCs/>
          <w:color w:val="000000" w:themeColor="text1"/>
        </w:rPr>
        <w:t>88].</w:t>
      </w:r>
    </w:p>
    <w:p w14:paraId="0ADF67B8" w14:textId="77777777" w:rsidR="00B96F61" w:rsidRPr="001769BE"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b/>
          <w:iCs/>
          <w:color w:val="000000" w:themeColor="text1"/>
        </w:rPr>
      </w:pPr>
      <w:r>
        <w:rPr>
          <w:rFonts w:eastAsia="Arial"/>
          <w:bCs/>
          <w:iCs/>
          <w:color w:val="000000" w:themeColor="text1"/>
        </w:rPr>
        <w:tab/>
        <w:t>Pareiškėjo teigimu, p</w:t>
      </w:r>
      <w:r w:rsidRPr="004E7C1C">
        <w:rPr>
          <w:rFonts w:eastAsia="Arial"/>
          <w:bCs/>
          <w:iCs/>
          <w:color w:val="000000" w:themeColor="text1"/>
        </w:rPr>
        <w:t xml:space="preserve">er ilgą stebėjimo laikotarpį po tyrimo, perėjimai prailgino </w:t>
      </w:r>
      <w:r>
        <w:rPr>
          <w:rFonts w:eastAsia="Arial"/>
          <w:bCs/>
          <w:iCs/>
          <w:color w:val="000000" w:themeColor="text1"/>
        </w:rPr>
        <w:t>BI</w:t>
      </w:r>
      <w:r w:rsidRPr="004E7C1C">
        <w:rPr>
          <w:rFonts w:eastAsia="Arial"/>
          <w:bCs/>
          <w:iCs/>
          <w:color w:val="000000" w:themeColor="text1"/>
        </w:rPr>
        <w:t xml:space="preserve"> kontrolinėje grupėje. Taip pat didelis skaičius skirtų </w:t>
      </w:r>
      <w:proofErr w:type="spellStart"/>
      <w:r w:rsidRPr="004E7C1C">
        <w:rPr>
          <w:rFonts w:eastAsia="Arial"/>
          <w:bCs/>
          <w:iCs/>
          <w:color w:val="000000" w:themeColor="text1"/>
        </w:rPr>
        <w:t>terapijų</w:t>
      </w:r>
      <w:proofErr w:type="spellEnd"/>
      <w:r w:rsidRPr="004E7C1C">
        <w:rPr>
          <w:rFonts w:eastAsia="Arial"/>
          <w:bCs/>
          <w:iCs/>
          <w:color w:val="000000" w:themeColor="text1"/>
        </w:rPr>
        <w:t xml:space="preserve"> po tyrimo, CDK4/6 inhibitorių skyrimo po tyrimo disbalansas galimai </w:t>
      </w:r>
      <w:r>
        <w:rPr>
          <w:rFonts w:eastAsia="Arial"/>
          <w:bCs/>
          <w:iCs/>
          <w:color w:val="000000" w:themeColor="text1"/>
        </w:rPr>
        <w:t>padarė įtaką</w:t>
      </w:r>
      <w:r w:rsidRPr="004E7C1C">
        <w:rPr>
          <w:rFonts w:eastAsia="Arial"/>
          <w:bCs/>
          <w:iCs/>
          <w:color w:val="000000" w:themeColor="text1"/>
        </w:rPr>
        <w:t xml:space="preserve"> </w:t>
      </w:r>
      <w:r>
        <w:rPr>
          <w:rFonts w:eastAsia="Arial"/>
          <w:bCs/>
          <w:iCs/>
          <w:color w:val="000000" w:themeColor="text1"/>
        </w:rPr>
        <w:t>BI</w:t>
      </w:r>
      <w:r w:rsidRPr="004E7C1C">
        <w:rPr>
          <w:rFonts w:eastAsia="Arial"/>
          <w:bCs/>
          <w:iCs/>
          <w:color w:val="000000" w:themeColor="text1"/>
        </w:rPr>
        <w:t xml:space="preserve"> rezultat</w:t>
      </w:r>
      <w:r>
        <w:rPr>
          <w:rFonts w:eastAsia="Arial"/>
          <w:bCs/>
          <w:iCs/>
          <w:color w:val="000000" w:themeColor="text1"/>
        </w:rPr>
        <w:t>ams</w:t>
      </w:r>
      <w:r w:rsidRPr="004E7C1C">
        <w:rPr>
          <w:rFonts w:eastAsia="Arial"/>
          <w:bCs/>
          <w:iCs/>
          <w:color w:val="000000" w:themeColor="text1"/>
        </w:rPr>
        <w:t xml:space="preserve">, dėl ko </w:t>
      </w:r>
      <w:r>
        <w:rPr>
          <w:rFonts w:eastAsia="Arial"/>
          <w:bCs/>
          <w:iCs/>
          <w:color w:val="000000" w:themeColor="text1"/>
        </w:rPr>
        <w:t>BI</w:t>
      </w:r>
      <w:r w:rsidRPr="004E7C1C">
        <w:rPr>
          <w:rFonts w:eastAsia="Arial"/>
          <w:bCs/>
          <w:iCs/>
          <w:color w:val="000000" w:themeColor="text1"/>
        </w:rPr>
        <w:t xml:space="preserve"> skirtumas tarp grupių nebuvo reikšming</w:t>
      </w:r>
      <w:r>
        <w:rPr>
          <w:rFonts w:eastAsia="Arial"/>
          <w:bCs/>
          <w:iCs/>
          <w:color w:val="000000" w:themeColor="text1"/>
        </w:rPr>
        <w:t>as</w:t>
      </w:r>
      <w:r w:rsidRPr="001769BE">
        <w:rPr>
          <w:rFonts w:eastAsia="Arial"/>
          <w:bCs/>
          <w:iCs/>
          <w:color w:val="000000" w:themeColor="text1"/>
        </w:rPr>
        <w:t>.</w:t>
      </w:r>
      <w:r w:rsidRPr="001769BE">
        <w:rPr>
          <w:bCs/>
        </w:rPr>
        <w:t xml:space="preserve"> </w:t>
      </w:r>
      <w:r w:rsidRPr="001769BE">
        <w:rPr>
          <w:rFonts w:eastAsia="Arial"/>
          <w:bCs/>
          <w:iCs/>
          <w:color w:val="000000" w:themeColor="text1"/>
        </w:rPr>
        <w:t>Tarnyba suti</w:t>
      </w:r>
      <w:r>
        <w:rPr>
          <w:rFonts w:eastAsia="Arial"/>
          <w:bCs/>
          <w:iCs/>
          <w:color w:val="000000" w:themeColor="text1"/>
        </w:rPr>
        <w:t>ko</w:t>
      </w:r>
      <w:r w:rsidRPr="001769BE">
        <w:rPr>
          <w:rFonts w:eastAsia="Arial"/>
          <w:bCs/>
          <w:iCs/>
          <w:color w:val="000000" w:themeColor="text1"/>
        </w:rPr>
        <w:t xml:space="preserve"> su Pareiškėju, kad dėl pacientų atsisakymo dalyvauti </w:t>
      </w:r>
      <w:proofErr w:type="spellStart"/>
      <w:r w:rsidRPr="001769BE">
        <w:rPr>
          <w:rFonts w:eastAsia="Arial"/>
          <w:bCs/>
          <w:iCs/>
          <w:color w:val="000000" w:themeColor="text1"/>
        </w:rPr>
        <w:t>ilagalaikaime</w:t>
      </w:r>
      <w:proofErr w:type="spellEnd"/>
      <w:r w:rsidRPr="001769BE">
        <w:rPr>
          <w:rFonts w:eastAsia="Arial"/>
          <w:bCs/>
          <w:iCs/>
          <w:color w:val="000000" w:themeColor="text1"/>
        </w:rPr>
        <w:t xml:space="preserve"> stebėjime, pacientų perėjimo iš placebo grupės į </w:t>
      </w:r>
      <w:proofErr w:type="spellStart"/>
      <w:r w:rsidRPr="001769BE">
        <w:rPr>
          <w:rFonts w:eastAsia="Arial"/>
          <w:bCs/>
          <w:iCs/>
          <w:color w:val="000000" w:themeColor="text1"/>
        </w:rPr>
        <w:t>palbaciklibo</w:t>
      </w:r>
      <w:proofErr w:type="spellEnd"/>
      <w:r w:rsidRPr="001769BE">
        <w:rPr>
          <w:rFonts w:eastAsia="Arial"/>
          <w:bCs/>
          <w:iCs/>
          <w:color w:val="000000" w:themeColor="text1"/>
        </w:rPr>
        <w:t xml:space="preserve"> grupę (</w:t>
      </w:r>
      <w:proofErr w:type="spellStart"/>
      <w:r w:rsidRPr="001769BE">
        <w:rPr>
          <w:rFonts w:eastAsia="Arial"/>
          <w:bCs/>
          <w:iCs/>
          <w:color w:val="000000" w:themeColor="text1"/>
        </w:rPr>
        <w:t>t.y</w:t>
      </w:r>
      <w:proofErr w:type="spellEnd"/>
      <w:r w:rsidRPr="001769BE">
        <w:rPr>
          <w:rFonts w:eastAsia="Arial"/>
          <w:bCs/>
          <w:iCs/>
          <w:color w:val="000000" w:themeColor="text1"/>
        </w:rPr>
        <w:t>. taikytas kryž</w:t>
      </w:r>
      <w:r>
        <w:rPr>
          <w:rFonts w:eastAsia="Arial"/>
          <w:bCs/>
          <w:iCs/>
          <w:color w:val="000000" w:themeColor="text1"/>
        </w:rPr>
        <w:t>m</w:t>
      </w:r>
      <w:r w:rsidRPr="001769BE">
        <w:rPr>
          <w:rFonts w:eastAsia="Arial"/>
          <w:bCs/>
          <w:iCs/>
          <w:color w:val="000000" w:themeColor="text1"/>
        </w:rPr>
        <w:t>i</w:t>
      </w:r>
      <w:r>
        <w:rPr>
          <w:rFonts w:eastAsia="Arial"/>
          <w:bCs/>
          <w:iCs/>
          <w:color w:val="000000" w:themeColor="text1"/>
        </w:rPr>
        <w:t>n</w:t>
      </w:r>
      <w:r w:rsidRPr="001769BE">
        <w:rPr>
          <w:rFonts w:eastAsia="Arial"/>
          <w:bCs/>
          <w:iCs/>
          <w:color w:val="000000" w:themeColor="text1"/>
        </w:rPr>
        <w:t>is gydymas) ir dėl atsiradusios ligos progresijos</w:t>
      </w:r>
      <w:r>
        <w:rPr>
          <w:rFonts w:eastAsia="Arial"/>
          <w:bCs/>
          <w:iCs/>
          <w:color w:val="000000" w:themeColor="text1"/>
        </w:rPr>
        <w:t xml:space="preserve"> po</w:t>
      </w:r>
      <w:r w:rsidRPr="001769BE">
        <w:rPr>
          <w:rFonts w:eastAsia="Arial"/>
          <w:bCs/>
          <w:iCs/>
          <w:color w:val="000000" w:themeColor="text1"/>
        </w:rPr>
        <w:t xml:space="preserve"> taikyto kito gydymo, tikėtina</w:t>
      </w:r>
      <w:r>
        <w:rPr>
          <w:rFonts w:eastAsia="Arial"/>
          <w:bCs/>
          <w:iCs/>
          <w:color w:val="000000" w:themeColor="text1"/>
        </w:rPr>
        <w:t xml:space="preserve">, jog </w:t>
      </w:r>
      <w:r w:rsidRPr="001769BE">
        <w:rPr>
          <w:rFonts w:eastAsia="Arial"/>
          <w:bCs/>
          <w:iCs/>
          <w:color w:val="000000" w:themeColor="text1"/>
        </w:rPr>
        <w:t>galuti</w:t>
      </w:r>
      <w:r>
        <w:rPr>
          <w:rFonts w:eastAsia="Arial"/>
          <w:bCs/>
          <w:iCs/>
          <w:color w:val="000000" w:themeColor="text1"/>
        </w:rPr>
        <w:t>niai</w:t>
      </w:r>
      <w:r w:rsidRPr="001769BE">
        <w:rPr>
          <w:rFonts w:eastAsia="Arial"/>
          <w:bCs/>
          <w:iCs/>
          <w:color w:val="000000" w:themeColor="text1"/>
        </w:rPr>
        <w:t xml:space="preserve"> BI rezultatai negali būti tinkamai įvertinti tarp palyginamųjų grupių. </w:t>
      </w:r>
      <w:proofErr w:type="spellStart"/>
      <w:r>
        <w:rPr>
          <w:rFonts w:eastAsia="Arial"/>
          <w:bCs/>
          <w:iCs/>
          <w:color w:val="000000" w:themeColor="text1"/>
        </w:rPr>
        <w:t>P</w:t>
      </w:r>
      <w:r w:rsidRPr="001769BE">
        <w:rPr>
          <w:rFonts w:eastAsia="Arial"/>
          <w:bCs/>
          <w:iCs/>
          <w:color w:val="000000" w:themeColor="text1"/>
        </w:rPr>
        <w:t>albociklibui</w:t>
      </w:r>
      <w:proofErr w:type="spellEnd"/>
      <w:r w:rsidRPr="001769BE">
        <w:rPr>
          <w:rFonts w:eastAsia="Arial"/>
          <w:bCs/>
          <w:iCs/>
          <w:color w:val="000000" w:themeColor="text1"/>
        </w:rPr>
        <w:t xml:space="preserve"> būdingas CDK /6 inhibit</w:t>
      </w:r>
      <w:r>
        <w:rPr>
          <w:rFonts w:eastAsia="Arial"/>
          <w:bCs/>
          <w:iCs/>
          <w:color w:val="000000" w:themeColor="text1"/>
        </w:rPr>
        <w:t>or</w:t>
      </w:r>
      <w:r w:rsidRPr="001769BE">
        <w:rPr>
          <w:rFonts w:eastAsia="Arial"/>
          <w:bCs/>
          <w:iCs/>
          <w:color w:val="000000" w:themeColor="text1"/>
        </w:rPr>
        <w:t>ių terapinės klasės savybės</w:t>
      </w:r>
      <w:r>
        <w:rPr>
          <w:rFonts w:eastAsia="Arial"/>
          <w:bCs/>
          <w:iCs/>
          <w:color w:val="000000" w:themeColor="text1"/>
        </w:rPr>
        <w:t>, todėl a</w:t>
      </w:r>
      <w:r w:rsidRPr="001769BE">
        <w:rPr>
          <w:rFonts w:eastAsia="Arial"/>
          <w:bCs/>
          <w:iCs/>
          <w:color w:val="000000" w:themeColor="text1"/>
        </w:rPr>
        <w:t xml:space="preserve">tsižvelgiant į </w:t>
      </w:r>
      <w:proofErr w:type="spellStart"/>
      <w:r w:rsidRPr="001769BE">
        <w:rPr>
          <w:rFonts w:eastAsia="Arial"/>
          <w:bCs/>
          <w:iCs/>
          <w:color w:val="000000" w:themeColor="text1"/>
        </w:rPr>
        <w:t>neteisiogin</w:t>
      </w:r>
      <w:r>
        <w:rPr>
          <w:rFonts w:eastAsia="Arial"/>
          <w:bCs/>
          <w:iCs/>
          <w:color w:val="000000" w:themeColor="text1"/>
        </w:rPr>
        <w:t>io</w:t>
      </w:r>
      <w:proofErr w:type="spellEnd"/>
      <w:r w:rsidRPr="001769BE">
        <w:rPr>
          <w:rFonts w:eastAsia="Arial"/>
          <w:bCs/>
          <w:iCs/>
          <w:color w:val="000000" w:themeColor="text1"/>
        </w:rPr>
        <w:t xml:space="preserve"> palyginimo analizės rezultatus (žr. atsakymą į esminį prieštaravimą), manoma, kad jo veiksmingumas nesiskiria nuo kitų CDK4/6 </w:t>
      </w:r>
      <w:proofErr w:type="spellStart"/>
      <w:r w:rsidRPr="001769BE">
        <w:rPr>
          <w:rFonts w:eastAsia="Arial"/>
          <w:bCs/>
          <w:iCs/>
          <w:color w:val="000000" w:themeColor="text1"/>
        </w:rPr>
        <w:t>inhibiorių</w:t>
      </w:r>
      <w:proofErr w:type="spellEnd"/>
      <w:r w:rsidRPr="001769BE">
        <w:rPr>
          <w:rFonts w:eastAsia="Arial"/>
          <w:bCs/>
          <w:iCs/>
          <w:color w:val="000000" w:themeColor="text1"/>
        </w:rPr>
        <w:t>.</w:t>
      </w:r>
      <w:r>
        <w:rPr>
          <w:rFonts w:eastAsia="Arial"/>
          <w:bCs/>
          <w:iCs/>
          <w:color w:val="000000" w:themeColor="text1"/>
        </w:rPr>
        <w:t xml:space="preserve"> </w:t>
      </w:r>
    </w:p>
    <w:p w14:paraId="379AC374" w14:textId="77777777" w:rsidR="00B96F61" w:rsidRDefault="00B96F61" w:rsidP="00B96F61">
      <w:pPr>
        <w:tabs>
          <w:tab w:val="left" w:pos="492"/>
        </w:tabs>
        <w:spacing w:line="276" w:lineRule="auto"/>
        <w:jc w:val="both"/>
        <w:outlineLvl w:val="1"/>
        <w:rPr>
          <w:rFonts w:eastAsia="Arial"/>
          <w:b/>
        </w:rPr>
      </w:pPr>
    </w:p>
    <w:p w14:paraId="4749092A" w14:textId="77777777" w:rsidR="00B96F61" w:rsidRPr="003455CF" w:rsidRDefault="00B96F61" w:rsidP="00B96F61">
      <w:pPr>
        <w:tabs>
          <w:tab w:val="left" w:pos="492"/>
        </w:tabs>
        <w:spacing w:line="276" w:lineRule="auto"/>
        <w:jc w:val="both"/>
        <w:outlineLvl w:val="1"/>
        <w:rPr>
          <w:rFonts w:eastAsia="Arial"/>
          <w:bCs/>
        </w:rPr>
      </w:pPr>
      <w:r>
        <w:rPr>
          <w:rFonts w:eastAsia="Arial"/>
          <w:b/>
        </w:rPr>
        <w:tab/>
        <w:t>Netiesioginis palyginimas</w:t>
      </w:r>
    </w:p>
    <w:p w14:paraId="57F169CC" w14:textId="77777777" w:rsidR="00B96F61" w:rsidRDefault="00B96F61" w:rsidP="00B96F61">
      <w:pPr>
        <w:tabs>
          <w:tab w:val="left" w:pos="284"/>
          <w:tab w:val="left" w:pos="1276"/>
        </w:tabs>
        <w:spacing w:line="276" w:lineRule="auto"/>
        <w:jc w:val="both"/>
        <w:rPr>
          <w:rFonts w:eastAsia="Arial"/>
          <w:bCs/>
          <w:iCs/>
        </w:rPr>
      </w:pPr>
      <w:r>
        <w:rPr>
          <w:rFonts w:eastAsia="Arial"/>
          <w:bCs/>
          <w:iCs/>
        </w:rPr>
        <w:t xml:space="preserve"> </w:t>
      </w:r>
    </w:p>
    <w:p w14:paraId="63749345" w14:textId="77777777" w:rsidR="00B96F61" w:rsidRPr="00403C20" w:rsidRDefault="00B96F61" w:rsidP="00B96F61">
      <w:pPr>
        <w:spacing w:line="276" w:lineRule="auto"/>
        <w:ind w:firstLine="720"/>
        <w:jc w:val="both"/>
        <w:rPr>
          <w:rFonts w:eastAsia="Arial"/>
          <w:bCs/>
        </w:rPr>
      </w:pPr>
      <w:r>
        <w:rPr>
          <w:rFonts w:eastAsia="Arial"/>
          <w:bCs/>
        </w:rPr>
        <w:t xml:space="preserve">Netiesioginio palyginimo dalyje Pareiškėjas pateikė </w:t>
      </w:r>
      <w:r w:rsidRPr="001D5CCF">
        <w:rPr>
          <w:rFonts w:eastAsia="Arial"/>
          <w:bCs/>
        </w:rPr>
        <w:t xml:space="preserve">3 tinklinių meta-analizių duomenis </w:t>
      </w:r>
      <w:r w:rsidRPr="00D7513E">
        <w:rPr>
          <w:rFonts w:eastAsia="Arial"/>
          <w:bCs/>
        </w:rPr>
        <w:t xml:space="preserve">– </w:t>
      </w:r>
      <w:proofErr w:type="spellStart"/>
      <w:r w:rsidRPr="00D7513E">
        <w:rPr>
          <w:rFonts w:eastAsia="Arial"/>
          <w:bCs/>
        </w:rPr>
        <w:t>Guiliano</w:t>
      </w:r>
      <w:proofErr w:type="spellEnd"/>
      <w:r w:rsidRPr="00D7513E">
        <w:rPr>
          <w:rFonts w:eastAsia="Arial"/>
          <w:bCs/>
        </w:rPr>
        <w:t xml:space="preserve"> M </w:t>
      </w:r>
      <w:r w:rsidRPr="007F19C0">
        <w:rPr>
          <w:rFonts w:eastAsia="Arial"/>
          <w:bCs/>
          <w:i/>
          <w:iCs/>
        </w:rPr>
        <w:t>et al</w:t>
      </w:r>
      <w:r w:rsidRPr="00D7513E">
        <w:rPr>
          <w:rFonts w:eastAsia="Arial"/>
          <w:bCs/>
        </w:rPr>
        <w:t>, 2019</w:t>
      </w:r>
      <w:r>
        <w:rPr>
          <w:rFonts w:eastAsia="Arial"/>
          <w:bCs/>
        </w:rPr>
        <w:t xml:space="preserve">, </w:t>
      </w:r>
      <w:proofErr w:type="spellStart"/>
      <w:r w:rsidRPr="006528A1">
        <w:rPr>
          <w:rFonts w:eastAsia="Arial"/>
          <w:bCs/>
        </w:rPr>
        <w:t>Piezzo</w:t>
      </w:r>
      <w:proofErr w:type="spellEnd"/>
      <w:r>
        <w:rPr>
          <w:rFonts w:eastAsia="Arial"/>
          <w:bCs/>
        </w:rPr>
        <w:t xml:space="preserve"> M </w:t>
      </w:r>
      <w:r w:rsidRPr="007F19C0">
        <w:rPr>
          <w:rFonts w:eastAsia="Arial"/>
          <w:bCs/>
          <w:i/>
          <w:iCs/>
        </w:rPr>
        <w:t>et al</w:t>
      </w:r>
      <w:r>
        <w:rPr>
          <w:rFonts w:eastAsia="Arial"/>
          <w:bCs/>
        </w:rPr>
        <w:t xml:space="preserve">, </w:t>
      </w:r>
      <w:r w:rsidRPr="001D5CCF">
        <w:rPr>
          <w:rFonts w:eastAsia="Arial"/>
          <w:bCs/>
        </w:rPr>
        <w:t xml:space="preserve">2020 m. ir </w:t>
      </w:r>
      <w:proofErr w:type="spellStart"/>
      <w:r w:rsidRPr="001D5CCF">
        <w:rPr>
          <w:rFonts w:eastAsia="Arial"/>
          <w:bCs/>
        </w:rPr>
        <w:t>Petrelli</w:t>
      </w:r>
      <w:proofErr w:type="spellEnd"/>
      <w:r w:rsidRPr="001D5CCF">
        <w:rPr>
          <w:rFonts w:eastAsia="Arial"/>
          <w:bCs/>
        </w:rPr>
        <w:t xml:space="preserve"> F </w:t>
      </w:r>
      <w:r w:rsidRPr="001D5CCF">
        <w:rPr>
          <w:rFonts w:eastAsia="Arial"/>
          <w:bCs/>
          <w:i/>
          <w:iCs/>
        </w:rPr>
        <w:t>et al</w:t>
      </w:r>
      <w:r w:rsidRPr="001D5CCF">
        <w:rPr>
          <w:rFonts w:eastAsia="Arial"/>
          <w:bCs/>
        </w:rPr>
        <w:t xml:space="preserve">, 2019. </w:t>
      </w:r>
      <w:r>
        <w:rPr>
          <w:rFonts w:eastAsia="Arial"/>
          <w:bCs/>
        </w:rPr>
        <w:t>Tarnybos vertinimu,</w:t>
      </w:r>
      <w:r w:rsidRPr="001D5CCF">
        <w:rPr>
          <w:rFonts w:eastAsia="Arial"/>
          <w:bCs/>
        </w:rPr>
        <w:t xml:space="preserve"> </w:t>
      </w:r>
      <w:r>
        <w:rPr>
          <w:rFonts w:eastAsia="Arial"/>
          <w:bCs/>
        </w:rPr>
        <w:t xml:space="preserve">labiausiai </w:t>
      </w:r>
      <w:r w:rsidRPr="00FC5A11">
        <w:rPr>
          <w:rFonts w:eastAsia="Arial"/>
          <w:bCs/>
        </w:rPr>
        <w:t xml:space="preserve">įprastinę klinikinę praktiką </w:t>
      </w:r>
      <w:r>
        <w:rPr>
          <w:rFonts w:eastAsia="Arial"/>
          <w:bCs/>
        </w:rPr>
        <w:t xml:space="preserve">pacientėms po menopauzės </w:t>
      </w:r>
      <w:r w:rsidRPr="00FC5A11">
        <w:rPr>
          <w:rFonts w:eastAsia="Arial"/>
          <w:bCs/>
        </w:rPr>
        <w:t xml:space="preserve">Lietuvoje atitinkantis palyginamasis gydymas </w:t>
      </w:r>
      <w:r>
        <w:rPr>
          <w:rFonts w:eastAsia="Arial"/>
          <w:bCs/>
        </w:rPr>
        <w:t xml:space="preserve">yra </w:t>
      </w:r>
      <w:proofErr w:type="spellStart"/>
      <w:r>
        <w:rPr>
          <w:rFonts w:eastAsia="Arial"/>
          <w:bCs/>
        </w:rPr>
        <w:t>ribociklibo</w:t>
      </w:r>
      <w:proofErr w:type="spellEnd"/>
      <w:r>
        <w:rPr>
          <w:rFonts w:eastAsia="Arial"/>
          <w:bCs/>
        </w:rPr>
        <w:t xml:space="preserve"> ir </w:t>
      </w:r>
      <w:proofErr w:type="spellStart"/>
      <w:r>
        <w:rPr>
          <w:rFonts w:eastAsia="Arial"/>
          <w:bCs/>
        </w:rPr>
        <w:t>letrozolo</w:t>
      </w:r>
      <w:proofErr w:type="spellEnd"/>
      <w:r>
        <w:rPr>
          <w:rFonts w:eastAsia="Arial"/>
          <w:bCs/>
        </w:rPr>
        <w:t xml:space="preserve"> derinys (svarstomo derinio vaistinių preparatų atitinkantis veikimo mechanizmas), tačiau klinikinę praktiką taip pat atitinka </w:t>
      </w:r>
      <w:proofErr w:type="spellStart"/>
      <w:r>
        <w:rPr>
          <w:rFonts w:eastAsia="Arial"/>
          <w:bCs/>
        </w:rPr>
        <w:t>fulvestranto</w:t>
      </w:r>
      <w:proofErr w:type="spellEnd"/>
      <w:r>
        <w:rPr>
          <w:rFonts w:eastAsia="Arial"/>
          <w:bCs/>
        </w:rPr>
        <w:t xml:space="preserve"> ir </w:t>
      </w:r>
      <w:proofErr w:type="spellStart"/>
      <w:r>
        <w:rPr>
          <w:rFonts w:eastAsia="Arial"/>
          <w:bCs/>
        </w:rPr>
        <w:t>ribociklibo</w:t>
      </w:r>
      <w:proofErr w:type="spellEnd"/>
      <w:r>
        <w:rPr>
          <w:rFonts w:eastAsia="Arial"/>
          <w:bCs/>
        </w:rPr>
        <w:t xml:space="preserve"> ar </w:t>
      </w:r>
      <w:proofErr w:type="spellStart"/>
      <w:r>
        <w:rPr>
          <w:rFonts w:eastAsia="Arial"/>
          <w:bCs/>
        </w:rPr>
        <w:t>fulvestranto</w:t>
      </w:r>
      <w:proofErr w:type="spellEnd"/>
      <w:r>
        <w:rPr>
          <w:rFonts w:eastAsia="Arial"/>
          <w:bCs/>
        </w:rPr>
        <w:t xml:space="preserve"> ir </w:t>
      </w:r>
      <w:proofErr w:type="spellStart"/>
      <w:r>
        <w:rPr>
          <w:rFonts w:eastAsia="Arial"/>
          <w:bCs/>
        </w:rPr>
        <w:t>abemaciklibo</w:t>
      </w:r>
      <w:proofErr w:type="spellEnd"/>
      <w:r>
        <w:rPr>
          <w:rFonts w:eastAsia="Arial"/>
          <w:bCs/>
        </w:rPr>
        <w:t xml:space="preserve"> deriniai. </w:t>
      </w:r>
      <w:proofErr w:type="spellStart"/>
      <w:r w:rsidRPr="00D7513E">
        <w:rPr>
          <w:rFonts w:eastAsia="Arial"/>
          <w:bCs/>
        </w:rPr>
        <w:t>Guiliano</w:t>
      </w:r>
      <w:proofErr w:type="spellEnd"/>
      <w:r w:rsidRPr="00D7513E">
        <w:rPr>
          <w:rFonts w:eastAsia="Arial"/>
          <w:bCs/>
        </w:rPr>
        <w:t xml:space="preserve"> M </w:t>
      </w:r>
      <w:r w:rsidRPr="007F19C0">
        <w:rPr>
          <w:rFonts w:eastAsia="Arial"/>
          <w:bCs/>
          <w:i/>
          <w:iCs/>
        </w:rPr>
        <w:t>et al</w:t>
      </w:r>
      <w:r>
        <w:rPr>
          <w:rFonts w:eastAsia="Arial"/>
          <w:bCs/>
        </w:rPr>
        <w:t xml:space="preserve"> tyrime pateiktas palyginimas su visais tinkamais palyginamaisiais vaistiniais preparatais,</w:t>
      </w:r>
      <w:r w:rsidRPr="00802355">
        <w:rPr>
          <w:rFonts w:eastAsia="Arial"/>
          <w:bCs/>
        </w:rPr>
        <w:t xml:space="preserve"> </w:t>
      </w:r>
      <w:proofErr w:type="spellStart"/>
      <w:r w:rsidRPr="00403C20">
        <w:rPr>
          <w:rFonts w:eastAsia="Arial"/>
          <w:bCs/>
        </w:rPr>
        <w:t>Petrelli</w:t>
      </w:r>
      <w:proofErr w:type="spellEnd"/>
      <w:r w:rsidRPr="00403C20">
        <w:rPr>
          <w:rFonts w:eastAsia="Arial"/>
          <w:bCs/>
        </w:rPr>
        <w:t xml:space="preserve"> F </w:t>
      </w:r>
      <w:r w:rsidRPr="007F19C0">
        <w:rPr>
          <w:rFonts w:eastAsia="Arial"/>
          <w:bCs/>
          <w:i/>
          <w:iCs/>
        </w:rPr>
        <w:t>et al</w:t>
      </w:r>
      <w:r>
        <w:rPr>
          <w:rFonts w:eastAsia="Arial"/>
          <w:bCs/>
          <w:i/>
          <w:iCs/>
        </w:rPr>
        <w:t xml:space="preserve"> </w:t>
      </w:r>
      <w:r>
        <w:rPr>
          <w:rFonts w:eastAsia="Arial"/>
          <w:bCs/>
        </w:rPr>
        <w:t xml:space="preserve">– su </w:t>
      </w:r>
      <w:proofErr w:type="spellStart"/>
      <w:r>
        <w:rPr>
          <w:rFonts w:eastAsia="Arial"/>
          <w:bCs/>
        </w:rPr>
        <w:t>ribociklibu</w:t>
      </w:r>
      <w:proofErr w:type="spellEnd"/>
      <w:r>
        <w:rPr>
          <w:rFonts w:eastAsia="Arial"/>
          <w:bCs/>
        </w:rPr>
        <w:t xml:space="preserve"> ir </w:t>
      </w:r>
      <w:proofErr w:type="spellStart"/>
      <w:r>
        <w:rPr>
          <w:rFonts w:eastAsia="Arial"/>
          <w:bCs/>
        </w:rPr>
        <w:t>letrozolu</w:t>
      </w:r>
      <w:proofErr w:type="spellEnd"/>
      <w:r>
        <w:rPr>
          <w:rFonts w:eastAsia="Arial"/>
          <w:bCs/>
        </w:rPr>
        <w:t xml:space="preserve">, o </w:t>
      </w:r>
      <w:proofErr w:type="spellStart"/>
      <w:r w:rsidRPr="006528A1">
        <w:rPr>
          <w:rFonts w:eastAsia="Arial"/>
          <w:bCs/>
        </w:rPr>
        <w:t>Piezzo</w:t>
      </w:r>
      <w:proofErr w:type="spellEnd"/>
      <w:r>
        <w:rPr>
          <w:rFonts w:eastAsia="Arial"/>
          <w:bCs/>
        </w:rPr>
        <w:t xml:space="preserve"> M et al – svarstymui aktualių duomenų su tinkamais palyginamaisiais vaistinių preparatų deriniais nebuvo pateikta. </w:t>
      </w:r>
    </w:p>
    <w:p w14:paraId="0A42A7F2" w14:textId="77777777" w:rsidR="00B96F61" w:rsidRDefault="00B96F61" w:rsidP="00B96F61">
      <w:pPr>
        <w:spacing w:line="276" w:lineRule="auto"/>
        <w:ind w:firstLine="720"/>
        <w:jc w:val="both"/>
        <w:rPr>
          <w:rFonts w:eastAsia="Arial"/>
          <w:bCs/>
        </w:rPr>
      </w:pPr>
      <w:r w:rsidRPr="00D7513E">
        <w:rPr>
          <w:rFonts w:eastAsia="Arial"/>
          <w:bCs/>
        </w:rPr>
        <w:t>Į</w:t>
      </w:r>
      <w:r>
        <w:rPr>
          <w:rFonts w:eastAsia="Arial"/>
          <w:bCs/>
        </w:rPr>
        <w:t xml:space="preserve"> M.</w:t>
      </w:r>
      <w:r w:rsidRPr="00D7513E">
        <w:rPr>
          <w:rFonts w:eastAsia="Arial"/>
          <w:bCs/>
        </w:rPr>
        <w:t xml:space="preserve"> </w:t>
      </w:r>
      <w:proofErr w:type="spellStart"/>
      <w:r w:rsidRPr="00D7513E">
        <w:rPr>
          <w:rFonts w:eastAsia="Arial"/>
          <w:bCs/>
        </w:rPr>
        <w:t>Guiliano</w:t>
      </w:r>
      <w:proofErr w:type="spellEnd"/>
      <w:r w:rsidRPr="00D7513E">
        <w:rPr>
          <w:rFonts w:eastAsia="Arial"/>
          <w:bCs/>
        </w:rPr>
        <w:t xml:space="preserve"> ir bendraautorių atliktą tinklinę meta-analizę buvo įtraukti 140</w:t>
      </w:r>
      <w:r>
        <w:rPr>
          <w:rFonts w:eastAsia="Arial"/>
          <w:bCs/>
        </w:rPr>
        <w:t xml:space="preserve"> </w:t>
      </w:r>
      <w:r w:rsidRPr="00D7513E">
        <w:rPr>
          <w:rFonts w:eastAsia="Arial"/>
          <w:bCs/>
        </w:rPr>
        <w:t>tyrimų, kuriuose dalyvavo 50029 pacientai.</w:t>
      </w:r>
      <w:r>
        <w:rPr>
          <w:rFonts w:eastAsia="Arial"/>
          <w:bCs/>
        </w:rPr>
        <w:t xml:space="preserve"> Tyrime nebuvo nurodyta, ar įtrauktuose klinikiniuose tyrimuose pacientės buvo patyrusios natūralią menopauzę, ar ji buvo sukelta chirurginiu ar vaistiniais preparatais. Įtrauktų pacienčių amžius svyravo nuo </w:t>
      </w:r>
      <w:r w:rsidRPr="00B907F9">
        <w:rPr>
          <w:rFonts w:eastAsia="Arial"/>
          <w:bCs/>
        </w:rPr>
        <w:t>45,</w:t>
      </w:r>
      <w:r>
        <w:rPr>
          <w:rFonts w:eastAsia="Arial"/>
          <w:bCs/>
        </w:rPr>
        <w:t>8 iki 72,6 metų (mediana 58 metai (</w:t>
      </w:r>
      <w:proofErr w:type="spellStart"/>
      <w:r>
        <w:rPr>
          <w:rFonts w:eastAsia="Arial"/>
          <w:bCs/>
        </w:rPr>
        <w:t>interkvartilinis</w:t>
      </w:r>
      <w:proofErr w:type="spellEnd"/>
      <w:r>
        <w:rPr>
          <w:rFonts w:eastAsia="Arial"/>
          <w:bCs/>
        </w:rPr>
        <w:t xml:space="preserve"> 25 ir 75 </w:t>
      </w:r>
      <w:proofErr w:type="spellStart"/>
      <w:r>
        <w:rPr>
          <w:rFonts w:eastAsia="Arial"/>
          <w:bCs/>
        </w:rPr>
        <w:t>procentilių</w:t>
      </w:r>
      <w:proofErr w:type="spellEnd"/>
      <w:r>
        <w:rPr>
          <w:rFonts w:eastAsia="Arial"/>
          <w:bCs/>
        </w:rPr>
        <w:t xml:space="preserve"> diapazonas (IPD) 55-63). </w:t>
      </w:r>
      <w:r w:rsidRPr="002F46D6">
        <w:rPr>
          <w:rFonts w:eastAsia="Arial"/>
          <w:bCs/>
        </w:rPr>
        <w:t xml:space="preserve">Tarp </w:t>
      </w:r>
      <w:r>
        <w:rPr>
          <w:rFonts w:eastAsia="Arial"/>
          <w:bCs/>
        </w:rPr>
        <w:t xml:space="preserve">įtrauktų tyrimų, </w:t>
      </w:r>
      <w:r w:rsidRPr="002F46D6">
        <w:rPr>
          <w:rFonts w:eastAsia="Arial"/>
          <w:bCs/>
        </w:rPr>
        <w:t xml:space="preserve">65 proc. </w:t>
      </w:r>
      <w:r>
        <w:rPr>
          <w:rFonts w:eastAsia="Arial"/>
          <w:bCs/>
        </w:rPr>
        <w:t>vaistiniai preparatai</w:t>
      </w:r>
      <w:r w:rsidRPr="002F46D6">
        <w:rPr>
          <w:rFonts w:eastAsia="Arial"/>
          <w:bCs/>
        </w:rPr>
        <w:t xml:space="preserve"> taikyti pirmos eil</w:t>
      </w:r>
      <w:r>
        <w:rPr>
          <w:rFonts w:eastAsia="Arial"/>
          <w:bCs/>
        </w:rPr>
        <w:t xml:space="preserve">ės, </w:t>
      </w:r>
      <w:r w:rsidRPr="002F46D6">
        <w:rPr>
          <w:rFonts w:eastAsia="Arial"/>
          <w:bCs/>
        </w:rPr>
        <w:t>11 proc. – antros eil</w:t>
      </w:r>
      <w:r>
        <w:rPr>
          <w:rFonts w:eastAsia="Arial"/>
          <w:bCs/>
        </w:rPr>
        <w:t xml:space="preserve">ės, 24 proc. – pirmos ir antros eilės gydymui. Į F. </w:t>
      </w:r>
      <w:proofErr w:type="spellStart"/>
      <w:r w:rsidRPr="00403C20">
        <w:rPr>
          <w:rFonts w:eastAsia="Arial"/>
          <w:bCs/>
        </w:rPr>
        <w:t>Petrelli</w:t>
      </w:r>
      <w:proofErr w:type="spellEnd"/>
      <w:r>
        <w:rPr>
          <w:rFonts w:eastAsia="Arial"/>
          <w:bCs/>
        </w:rPr>
        <w:t xml:space="preserve"> </w:t>
      </w:r>
      <w:r w:rsidRPr="00D7513E">
        <w:rPr>
          <w:rFonts w:eastAsia="Arial"/>
          <w:bCs/>
        </w:rPr>
        <w:t>ir bendraautorių atliktą tinklinę meta-analizę buvo įtraukti</w:t>
      </w:r>
      <w:r>
        <w:rPr>
          <w:rFonts w:eastAsia="Arial"/>
          <w:bCs/>
        </w:rPr>
        <w:t xml:space="preserve"> </w:t>
      </w:r>
      <w:r w:rsidRPr="007F19C0">
        <w:rPr>
          <w:rFonts w:eastAsia="Arial"/>
          <w:bCs/>
        </w:rPr>
        <w:t>6</w:t>
      </w:r>
      <w:r>
        <w:rPr>
          <w:rFonts w:eastAsia="Arial"/>
          <w:bCs/>
        </w:rPr>
        <w:t xml:space="preserve"> </w:t>
      </w:r>
      <w:r w:rsidRPr="007F19C0">
        <w:rPr>
          <w:rFonts w:eastAsia="Arial"/>
          <w:bCs/>
        </w:rPr>
        <w:t>tyrimai</w:t>
      </w:r>
      <w:r>
        <w:rPr>
          <w:rFonts w:eastAsia="Arial"/>
          <w:bCs/>
        </w:rPr>
        <w:t xml:space="preserve">, kuriuose dalyvavo 3743 pacientai iš kurių </w:t>
      </w:r>
      <w:r w:rsidRPr="00663ED4">
        <w:rPr>
          <w:rFonts w:eastAsia="Arial"/>
          <w:bCs/>
        </w:rPr>
        <w:t>1</w:t>
      </w:r>
      <w:r>
        <w:rPr>
          <w:rFonts w:eastAsia="Arial"/>
          <w:bCs/>
        </w:rPr>
        <w:t xml:space="preserve">827 tyrime skirtas gydymas buvo pirmos eilės ir </w:t>
      </w:r>
      <w:r w:rsidRPr="00663ED4">
        <w:rPr>
          <w:rFonts w:eastAsia="Arial"/>
          <w:bCs/>
        </w:rPr>
        <w:t>19</w:t>
      </w:r>
      <w:r>
        <w:rPr>
          <w:rFonts w:eastAsia="Arial"/>
          <w:bCs/>
        </w:rPr>
        <w:t xml:space="preserve">16 – antros. Į tyrimą įtrauktos pacientės, patyrusios fiziologinę menopauzę, </w:t>
      </w:r>
      <w:proofErr w:type="spellStart"/>
      <w:r>
        <w:rPr>
          <w:rFonts w:eastAsia="Arial"/>
          <w:bCs/>
        </w:rPr>
        <w:t>t.y</w:t>
      </w:r>
      <w:proofErr w:type="spellEnd"/>
      <w:r>
        <w:rPr>
          <w:rFonts w:eastAsia="Arial"/>
          <w:bCs/>
        </w:rPr>
        <w:t xml:space="preserve">. į tyrimą neįtrauktos pacientės, kurioms menopauzė buvo sukelta </w:t>
      </w:r>
      <w:proofErr w:type="spellStart"/>
      <w:r>
        <w:rPr>
          <w:rFonts w:eastAsia="Arial"/>
          <w:bCs/>
        </w:rPr>
        <w:t>vaistiais</w:t>
      </w:r>
      <w:proofErr w:type="spellEnd"/>
      <w:r>
        <w:rPr>
          <w:rFonts w:eastAsia="Arial"/>
          <w:bCs/>
        </w:rPr>
        <w:t xml:space="preserve"> preparatais. </w:t>
      </w:r>
      <w:r w:rsidRPr="003455CF">
        <w:rPr>
          <w:rFonts w:eastAsia="Arial"/>
          <w:bCs/>
        </w:rPr>
        <w:t xml:space="preserve">Tarnybos vertinimu, netiesioginio palyginimo populiacijos atitinka tikėtiną Lietuvos pacientų populiaciją. Tyrimuose pateikiamas palyginamojo </w:t>
      </w:r>
      <w:proofErr w:type="spellStart"/>
      <w:r w:rsidRPr="003455CF">
        <w:rPr>
          <w:rFonts w:eastAsia="Arial"/>
          <w:bCs/>
        </w:rPr>
        <w:t>palbociklibo</w:t>
      </w:r>
      <w:proofErr w:type="spellEnd"/>
      <w:r w:rsidRPr="003455CF">
        <w:rPr>
          <w:rFonts w:eastAsia="Arial"/>
          <w:bCs/>
        </w:rPr>
        <w:t xml:space="preserve"> ir </w:t>
      </w:r>
      <w:proofErr w:type="spellStart"/>
      <w:r w:rsidRPr="003455CF">
        <w:rPr>
          <w:rFonts w:eastAsia="Arial"/>
          <w:bCs/>
        </w:rPr>
        <w:t>letrozolo</w:t>
      </w:r>
      <w:proofErr w:type="spellEnd"/>
      <w:r w:rsidRPr="003455CF">
        <w:rPr>
          <w:rFonts w:eastAsia="Arial"/>
          <w:bCs/>
        </w:rPr>
        <w:t xml:space="preserve"> efektyvumo duomenys su kitais aktualiais vaistiniais preparatais lokaliai progresavusio arba </w:t>
      </w:r>
      <w:proofErr w:type="spellStart"/>
      <w:r w:rsidRPr="003455CF">
        <w:rPr>
          <w:rFonts w:eastAsia="Arial"/>
          <w:bCs/>
        </w:rPr>
        <w:t>metastazavusio</w:t>
      </w:r>
      <w:proofErr w:type="spellEnd"/>
      <w:r w:rsidRPr="003455CF">
        <w:rPr>
          <w:rFonts w:eastAsia="Arial"/>
          <w:bCs/>
        </w:rPr>
        <w:t xml:space="preserve"> krūties vėžio (HR+/HER2-) gydymui.</w:t>
      </w:r>
    </w:p>
    <w:p w14:paraId="3A319547" w14:textId="77777777" w:rsidR="00B96F61" w:rsidRDefault="00B96F61" w:rsidP="00B96F61">
      <w:pPr>
        <w:spacing w:line="276" w:lineRule="auto"/>
        <w:ind w:firstLine="720"/>
        <w:jc w:val="both"/>
        <w:rPr>
          <w:rFonts w:eastAsia="Arial"/>
          <w:bCs/>
        </w:rPr>
      </w:pPr>
      <w:r w:rsidRPr="00D7513E">
        <w:rPr>
          <w:rFonts w:eastAsia="Arial"/>
          <w:bCs/>
        </w:rPr>
        <w:t>Į</w:t>
      </w:r>
      <w:r>
        <w:rPr>
          <w:rFonts w:eastAsia="Arial"/>
          <w:bCs/>
        </w:rPr>
        <w:t xml:space="preserve"> M.</w:t>
      </w:r>
      <w:r w:rsidRPr="00D7513E">
        <w:rPr>
          <w:rFonts w:eastAsia="Arial"/>
          <w:bCs/>
        </w:rPr>
        <w:t xml:space="preserve"> </w:t>
      </w:r>
      <w:proofErr w:type="spellStart"/>
      <w:r w:rsidRPr="00D7513E">
        <w:rPr>
          <w:rFonts w:eastAsia="Arial"/>
          <w:bCs/>
        </w:rPr>
        <w:t>Guiliano</w:t>
      </w:r>
      <w:proofErr w:type="spellEnd"/>
      <w:r w:rsidRPr="00D7513E">
        <w:rPr>
          <w:rFonts w:eastAsia="Arial"/>
          <w:bCs/>
        </w:rPr>
        <w:t xml:space="preserve"> ir bendraautorių atliktą tinklinę meta-analizę buvo įtraukti 140</w:t>
      </w:r>
      <w:r>
        <w:rPr>
          <w:rFonts w:eastAsia="Arial"/>
          <w:bCs/>
        </w:rPr>
        <w:t xml:space="preserve"> antros</w:t>
      </w:r>
      <w:r w:rsidRPr="000013D6">
        <w:rPr>
          <w:rFonts w:eastAsia="Arial"/>
          <w:bCs/>
        </w:rPr>
        <w:t xml:space="preserve"> ir </w:t>
      </w:r>
      <w:r>
        <w:rPr>
          <w:rFonts w:eastAsia="Arial"/>
          <w:bCs/>
        </w:rPr>
        <w:t>trečios</w:t>
      </w:r>
      <w:r w:rsidRPr="000013D6">
        <w:rPr>
          <w:rFonts w:eastAsia="Arial"/>
          <w:bCs/>
        </w:rPr>
        <w:t xml:space="preserve"> klinikin</w:t>
      </w:r>
      <w:r>
        <w:rPr>
          <w:rFonts w:eastAsia="Arial"/>
          <w:bCs/>
        </w:rPr>
        <w:t>ės fazės</w:t>
      </w:r>
      <w:r w:rsidRPr="00D7513E">
        <w:rPr>
          <w:rFonts w:eastAsia="Arial"/>
          <w:bCs/>
        </w:rPr>
        <w:t xml:space="preserve"> tyrimų</w:t>
      </w:r>
      <w:r>
        <w:rPr>
          <w:rFonts w:eastAsia="Arial"/>
          <w:bCs/>
        </w:rPr>
        <w:t>. Į analizę įtraukti tyrimai, kuriuose vertintas HR</w:t>
      </w:r>
      <w:r w:rsidRPr="006528A1">
        <w:rPr>
          <w:rFonts w:eastAsia="Arial"/>
          <w:bCs/>
        </w:rPr>
        <w:t xml:space="preserve">+/HER2- </w:t>
      </w:r>
      <w:proofErr w:type="spellStart"/>
      <w:r w:rsidRPr="006528A1">
        <w:rPr>
          <w:rFonts w:eastAsia="Arial"/>
          <w:bCs/>
        </w:rPr>
        <w:t>metastatiniu</w:t>
      </w:r>
      <w:proofErr w:type="spellEnd"/>
      <w:r w:rsidRPr="006528A1">
        <w:rPr>
          <w:rFonts w:eastAsia="Arial"/>
          <w:bCs/>
        </w:rPr>
        <w:t xml:space="preserve"> krūties vėžiu sergančių pacienčių</w:t>
      </w:r>
      <w:r>
        <w:rPr>
          <w:rFonts w:eastAsia="Arial"/>
          <w:bCs/>
        </w:rPr>
        <w:t xml:space="preserve"> po menopauzės</w:t>
      </w:r>
      <w:r w:rsidRPr="006528A1">
        <w:rPr>
          <w:rFonts w:eastAsia="Arial"/>
          <w:bCs/>
        </w:rPr>
        <w:t xml:space="preserve"> gydymas </w:t>
      </w:r>
      <w:proofErr w:type="spellStart"/>
      <w:r>
        <w:rPr>
          <w:rFonts w:eastAsia="Arial"/>
          <w:bCs/>
        </w:rPr>
        <w:t>hormonoterapija</w:t>
      </w:r>
      <w:proofErr w:type="spellEnd"/>
      <w:r>
        <w:rPr>
          <w:rFonts w:eastAsia="Arial"/>
          <w:bCs/>
        </w:rPr>
        <w:t xml:space="preserve"> arba </w:t>
      </w:r>
      <w:proofErr w:type="spellStart"/>
      <w:r>
        <w:rPr>
          <w:rFonts w:eastAsia="Arial"/>
          <w:bCs/>
        </w:rPr>
        <w:t>hormonoterapijos</w:t>
      </w:r>
      <w:proofErr w:type="spellEnd"/>
      <w:r>
        <w:rPr>
          <w:rFonts w:eastAsia="Arial"/>
          <w:bCs/>
        </w:rPr>
        <w:t xml:space="preserve"> ir CDK </w:t>
      </w:r>
      <w:r w:rsidRPr="006528A1">
        <w:rPr>
          <w:rFonts w:eastAsia="Arial"/>
          <w:bCs/>
        </w:rPr>
        <w:t>4</w:t>
      </w:r>
      <w:r>
        <w:rPr>
          <w:rFonts w:eastAsia="Arial"/>
          <w:bCs/>
        </w:rPr>
        <w:t xml:space="preserve">/6 deriniu. Analizėje pateiktos išgyvenamumo be ligos progresavimo ir bendro atsako rizikos santykiai. Į F. </w:t>
      </w:r>
      <w:proofErr w:type="spellStart"/>
      <w:r w:rsidRPr="00403C20">
        <w:rPr>
          <w:rFonts w:eastAsia="Arial"/>
          <w:bCs/>
        </w:rPr>
        <w:t>Petrelli</w:t>
      </w:r>
      <w:proofErr w:type="spellEnd"/>
      <w:r>
        <w:rPr>
          <w:rFonts w:eastAsia="Arial"/>
          <w:bCs/>
        </w:rPr>
        <w:t xml:space="preserve"> </w:t>
      </w:r>
      <w:r w:rsidRPr="00D7513E">
        <w:rPr>
          <w:rFonts w:eastAsia="Arial"/>
          <w:bCs/>
        </w:rPr>
        <w:t>ir bendraautorių atliktą tinklinę meta-analizę buvo įtraukti</w:t>
      </w:r>
      <w:r>
        <w:rPr>
          <w:rFonts w:eastAsia="Arial"/>
          <w:bCs/>
        </w:rPr>
        <w:t xml:space="preserve"> </w:t>
      </w:r>
      <w:r w:rsidRPr="007F19C0">
        <w:rPr>
          <w:rFonts w:eastAsia="Arial"/>
          <w:bCs/>
        </w:rPr>
        <w:t>6</w:t>
      </w:r>
      <w:r>
        <w:rPr>
          <w:rFonts w:eastAsia="Arial"/>
          <w:bCs/>
        </w:rPr>
        <w:t xml:space="preserve"> trečios klinikinės fazės</w:t>
      </w:r>
      <w:r w:rsidRPr="007F19C0">
        <w:rPr>
          <w:rFonts w:eastAsia="Arial"/>
          <w:bCs/>
        </w:rPr>
        <w:t xml:space="preserve"> tyrimai</w:t>
      </w:r>
      <w:r>
        <w:rPr>
          <w:rFonts w:eastAsia="Arial"/>
          <w:bCs/>
        </w:rPr>
        <w:t>. Į analizę įtraukti tyrimai, kuriuose vertintas HR</w:t>
      </w:r>
      <w:r w:rsidRPr="006528A1">
        <w:rPr>
          <w:rFonts w:eastAsia="Arial"/>
          <w:bCs/>
        </w:rPr>
        <w:t xml:space="preserve">+/HER2- </w:t>
      </w:r>
      <w:proofErr w:type="spellStart"/>
      <w:r w:rsidRPr="006528A1">
        <w:rPr>
          <w:rFonts w:eastAsia="Arial"/>
          <w:bCs/>
        </w:rPr>
        <w:t>metastatiniu</w:t>
      </w:r>
      <w:proofErr w:type="spellEnd"/>
      <w:r w:rsidRPr="006528A1">
        <w:rPr>
          <w:rFonts w:eastAsia="Arial"/>
          <w:bCs/>
        </w:rPr>
        <w:t xml:space="preserve"> krūties vėžiu sergančių pacienčių</w:t>
      </w:r>
      <w:r>
        <w:rPr>
          <w:rFonts w:eastAsia="Arial"/>
          <w:bCs/>
        </w:rPr>
        <w:t xml:space="preserve"> po menopauzės gydymas CDK 4/6 </w:t>
      </w:r>
      <w:proofErr w:type="spellStart"/>
      <w:r>
        <w:rPr>
          <w:rFonts w:eastAsia="Arial"/>
          <w:bCs/>
        </w:rPr>
        <w:t>inihibitoriumi</w:t>
      </w:r>
      <w:proofErr w:type="spellEnd"/>
      <w:r>
        <w:rPr>
          <w:rFonts w:eastAsia="Arial"/>
          <w:bCs/>
        </w:rPr>
        <w:t xml:space="preserve"> (</w:t>
      </w:r>
      <w:proofErr w:type="spellStart"/>
      <w:r>
        <w:rPr>
          <w:rFonts w:eastAsia="Arial"/>
          <w:bCs/>
        </w:rPr>
        <w:t>ribociklibu</w:t>
      </w:r>
      <w:proofErr w:type="spellEnd"/>
      <w:r>
        <w:rPr>
          <w:rFonts w:eastAsia="Arial"/>
          <w:bCs/>
        </w:rPr>
        <w:t xml:space="preserve">, </w:t>
      </w:r>
      <w:proofErr w:type="spellStart"/>
      <w:r>
        <w:rPr>
          <w:rFonts w:eastAsia="Arial"/>
          <w:bCs/>
        </w:rPr>
        <w:t>palbociklibu</w:t>
      </w:r>
      <w:proofErr w:type="spellEnd"/>
      <w:r>
        <w:rPr>
          <w:rFonts w:eastAsia="Arial"/>
          <w:bCs/>
        </w:rPr>
        <w:t xml:space="preserve">) ir </w:t>
      </w:r>
      <w:proofErr w:type="spellStart"/>
      <w:r>
        <w:rPr>
          <w:rFonts w:eastAsia="Arial"/>
          <w:bCs/>
        </w:rPr>
        <w:t>aromatazės</w:t>
      </w:r>
      <w:proofErr w:type="spellEnd"/>
      <w:r>
        <w:rPr>
          <w:rFonts w:eastAsia="Arial"/>
          <w:bCs/>
        </w:rPr>
        <w:t xml:space="preserve"> inhibitoriumi (</w:t>
      </w:r>
      <w:proofErr w:type="spellStart"/>
      <w:r>
        <w:rPr>
          <w:rFonts w:eastAsia="Arial"/>
          <w:bCs/>
        </w:rPr>
        <w:t>letrozolu</w:t>
      </w:r>
      <w:proofErr w:type="spellEnd"/>
      <w:r>
        <w:rPr>
          <w:rFonts w:eastAsia="Arial"/>
          <w:bCs/>
        </w:rPr>
        <w:t>).</w:t>
      </w:r>
      <w:r w:rsidRPr="003455CF">
        <w:t xml:space="preserve"> </w:t>
      </w:r>
      <w:r w:rsidRPr="003455CF">
        <w:rPr>
          <w:rFonts w:eastAsia="Arial"/>
          <w:bCs/>
        </w:rPr>
        <w:t xml:space="preserve">Tarnybos vertinimu, išgyvenamumas be ligos progresavimo yra </w:t>
      </w:r>
      <w:r w:rsidRPr="003455CF">
        <w:rPr>
          <w:rFonts w:eastAsia="Arial"/>
          <w:bCs/>
        </w:rPr>
        <w:lastRenderedPageBreak/>
        <w:t xml:space="preserve">pakaitinė vertinamoji baigtis. Atsižvelgiant į pacientų populiaciją, lokaliai progresavęs arba </w:t>
      </w:r>
      <w:proofErr w:type="spellStart"/>
      <w:r w:rsidRPr="003455CF">
        <w:rPr>
          <w:rFonts w:eastAsia="Arial"/>
          <w:bCs/>
        </w:rPr>
        <w:t>metastazavęs</w:t>
      </w:r>
      <w:proofErr w:type="spellEnd"/>
      <w:r w:rsidRPr="003455CF">
        <w:rPr>
          <w:rFonts w:eastAsia="Arial"/>
          <w:bCs/>
        </w:rPr>
        <w:t xml:space="preserve"> krūties vėžys (HR+/HER2-), </w:t>
      </w:r>
      <w:proofErr w:type="spellStart"/>
      <w:r w:rsidRPr="003455CF">
        <w:rPr>
          <w:rFonts w:eastAsia="Arial"/>
          <w:bCs/>
        </w:rPr>
        <w:t>palbociklibo</w:t>
      </w:r>
      <w:proofErr w:type="spellEnd"/>
      <w:r w:rsidRPr="003455CF">
        <w:rPr>
          <w:rFonts w:eastAsia="Arial"/>
          <w:bCs/>
        </w:rPr>
        <w:t xml:space="preserve"> ir </w:t>
      </w:r>
      <w:proofErr w:type="spellStart"/>
      <w:r w:rsidRPr="003455CF">
        <w:rPr>
          <w:rFonts w:eastAsia="Arial"/>
          <w:bCs/>
        </w:rPr>
        <w:t>letrozolo</w:t>
      </w:r>
      <w:proofErr w:type="spellEnd"/>
      <w:r w:rsidRPr="003455CF">
        <w:rPr>
          <w:rFonts w:eastAsia="Arial"/>
          <w:bCs/>
        </w:rPr>
        <w:t xml:space="preserve"> derinio veiksmingumui įvertinti reikalingi bendro išgyvenamumo duomenys. </w:t>
      </w:r>
    </w:p>
    <w:p w14:paraId="1B389EA2" w14:textId="77777777" w:rsidR="00B96F61" w:rsidRDefault="00B96F61" w:rsidP="00B96F61">
      <w:pPr>
        <w:spacing w:line="276" w:lineRule="auto"/>
        <w:ind w:firstLine="720"/>
        <w:jc w:val="both"/>
        <w:rPr>
          <w:rFonts w:eastAsia="Arial"/>
          <w:bCs/>
        </w:rPr>
      </w:pPr>
      <w:r>
        <w:rPr>
          <w:rFonts w:eastAsia="Arial"/>
          <w:bCs/>
        </w:rPr>
        <w:t>Remiantis M.</w:t>
      </w:r>
      <w:r w:rsidRPr="00D7513E">
        <w:rPr>
          <w:rFonts w:eastAsia="Arial"/>
          <w:bCs/>
        </w:rPr>
        <w:t xml:space="preserve"> </w:t>
      </w:r>
      <w:proofErr w:type="spellStart"/>
      <w:r w:rsidRPr="00D7513E">
        <w:rPr>
          <w:rFonts w:eastAsia="Arial"/>
          <w:bCs/>
        </w:rPr>
        <w:t>Guiliano</w:t>
      </w:r>
      <w:proofErr w:type="spellEnd"/>
      <w:r w:rsidRPr="00D7513E">
        <w:rPr>
          <w:rFonts w:eastAsia="Arial"/>
          <w:bCs/>
        </w:rPr>
        <w:t xml:space="preserve"> </w:t>
      </w:r>
      <w:r>
        <w:rPr>
          <w:rFonts w:eastAsia="Arial"/>
          <w:bCs/>
        </w:rPr>
        <w:t xml:space="preserve">ir bendraautorių tinkline meta-analize, </w:t>
      </w:r>
      <w:r w:rsidRPr="00D7513E">
        <w:rPr>
          <w:rFonts w:eastAsia="Arial"/>
          <w:bCs/>
        </w:rPr>
        <w:t xml:space="preserve">autoriai nenustatė statistiškai reikšmingų skirtumų pagal </w:t>
      </w:r>
      <w:r>
        <w:rPr>
          <w:rFonts w:eastAsia="Arial"/>
          <w:bCs/>
        </w:rPr>
        <w:t xml:space="preserve">IBLP bei bendro atsako skirtumų lyginant </w:t>
      </w:r>
      <w:proofErr w:type="spellStart"/>
      <w:r>
        <w:rPr>
          <w:rFonts w:eastAsia="Arial"/>
          <w:bCs/>
        </w:rPr>
        <w:t>palbociklibo</w:t>
      </w:r>
      <w:proofErr w:type="spellEnd"/>
      <w:r>
        <w:rPr>
          <w:rFonts w:eastAsia="Arial"/>
          <w:bCs/>
        </w:rPr>
        <w:t xml:space="preserve"> derinį su </w:t>
      </w:r>
      <w:proofErr w:type="spellStart"/>
      <w:r>
        <w:rPr>
          <w:rFonts w:eastAsia="Arial"/>
          <w:bCs/>
        </w:rPr>
        <w:t>ribociklibo</w:t>
      </w:r>
      <w:proofErr w:type="spellEnd"/>
      <w:r>
        <w:rPr>
          <w:rFonts w:eastAsia="Arial"/>
          <w:bCs/>
        </w:rPr>
        <w:t xml:space="preserve"> ir </w:t>
      </w:r>
      <w:proofErr w:type="spellStart"/>
      <w:r>
        <w:rPr>
          <w:rFonts w:eastAsia="Arial"/>
          <w:bCs/>
        </w:rPr>
        <w:t>letrozolo</w:t>
      </w:r>
      <w:proofErr w:type="spellEnd"/>
      <w:r>
        <w:rPr>
          <w:rFonts w:eastAsia="Arial"/>
          <w:bCs/>
        </w:rPr>
        <w:t xml:space="preserve"> ar </w:t>
      </w:r>
      <w:proofErr w:type="spellStart"/>
      <w:r>
        <w:rPr>
          <w:rFonts w:eastAsia="Arial"/>
          <w:bCs/>
        </w:rPr>
        <w:t>fulvestranto</w:t>
      </w:r>
      <w:proofErr w:type="spellEnd"/>
      <w:r>
        <w:rPr>
          <w:rFonts w:eastAsia="Arial"/>
          <w:bCs/>
        </w:rPr>
        <w:t xml:space="preserve"> deriniais ir </w:t>
      </w:r>
      <w:proofErr w:type="spellStart"/>
      <w:r>
        <w:rPr>
          <w:rFonts w:eastAsia="Arial"/>
          <w:bCs/>
        </w:rPr>
        <w:t>abemaciklibo</w:t>
      </w:r>
      <w:proofErr w:type="spellEnd"/>
      <w:r>
        <w:rPr>
          <w:rFonts w:eastAsia="Arial"/>
          <w:bCs/>
        </w:rPr>
        <w:t xml:space="preserve"> ir </w:t>
      </w:r>
      <w:proofErr w:type="spellStart"/>
      <w:r>
        <w:rPr>
          <w:rFonts w:eastAsia="Arial"/>
          <w:bCs/>
        </w:rPr>
        <w:t>fulvestranto</w:t>
      </w:r>
      <w:proofErr w:type="spellEnd"/>
      <w:r>
        <w:rPr>
          <w:rFonts w:eastAsia="Arial"/>
          <w:bCs/>
        </w:rPr>
        <w:t xml:space="preserve"> deriniu. Gydant </w:t>
      </w:r>
      <w:proofErr w:type="spellStart"/>
      <w:r>
        <w:rPr>
          <w:rFonts w:eastAsia="Arial"/>
          <w:bCs/>
        </w:rPr>
        <w:t>palbociklibu</w:t>
      </w:r>
      <w:proofErr w:type="spellEnd"/>
      <w:r>
        <w:rPr>
          <w:rFonts w:eastAsia="Arial"/>
          <w:bCs/>
        </w:rPr>
        <w:t xml:space="preserve"> ir </w:t>
      </w:r>
      <w:proofErr w:type="spellStart"/>
      <w:r>
        <w:rPr>
          <w:rFonts w:eastAsia="Arial"/>
          <w:bCs/>
        </w:rPr>
        <w:t>letrozolo</w:t>
      </w:r>
      <w:proofErr w:type="spellEnd"/>
      <w:r>
        <w:rPr>
          <w:rFonts w:eastAsia="Arial"/>
          <w:bCs/>
        </w:rPr>
        <w:t xml:space="preserve"> deriniu pacientų IBLP reikšmingai nesiskyrė nuo </w:t>
      </w:r>
      <w:proofErr w:type="spellStart"/>
      <w:r>
        <w:rPr>
          <w:rFonts w:eastAsia="Arial"/>
          <w:bCs/>
        </w:rPr>
        <w:t>ribociklibo</w:t>
      </w:r>
      <w:proofErr w:type="spellEnd"/>
      <w:r>
        <w:rPr>
          <w:rFonts w:eastAsia="Arial"/>
          <w:bCs/>
        </w:rPr>
        <w:t xml:space="preserve"> ir </w:t>
      </w:r>
      <w:proofErr w:type="spellStart"/>
      <w:r>
        <w:rPr>
          <w:rFonts w:eastAsia="Arial"/>
          <w:bCs/>
        </w:rPr>
        <w:t>letrozolo</w:t>
      </w:r>
      <w:proofErr w:type="spellEnd"/>
      <w:r>
        <w:rPr>
          <w:rFonts w:eastAsia="Arial"/>
          <w:bCs/>
        </w:rPr>
        <w:t xml:space="preserve"> derinio (RS 1,06 95 proc. PI [0,54-2,08]), </w:t>
      </w:r>
      <w:proofErr w:type="spellStart"/>
      <w:r>
        <w:rPr>
          <w:rFonts w:eastAsia="Arial"/>
          <w:bCs/>
        </w:rPr>
        <w:t>ribociklibo</w:t>
      </w:r>
      <w:proofErr w:type="spellEnd"/>
      <w:r>
        <w:rPr>
          <w:rFonts w:eastAsia="Arial"/>
          <w:bCs/>
        </w:rPr>
        <w:t xml:space="preserve"> ir </w:t>
      </w:r>
      <w:proofErr w:type="spellStart"/>
      <w:r>
        <w:rPr>
          <w:rFonts w:eastAsia="Arial"/>
          <w:bCs/>
        </w:rPr>
        <w:t>fulvestranto</w:t>
      </w:r>
      <w:proofErr w:type="spellEnd"/>
      <w:r>
        <w:rPr>
          <w:rFonts w:eastAsia="Arial"/>
          <w:bCs/>
        </w:rPr>
        <w:t xml:space="preserve"> (RS 1,12 95 proc. PI [0,52-2,72]), </w:t>
      </w:r>
      <w:proofErr w:type="spellStart"/>
      <w:r>
        <w:rPr>
          <w:rFonts w:eastAsia="Arial"/>
          <w:bCs/>
        </w:rPr>
        <w:t>abemaciklibo</w:t>
      </w:r>
      <w:proofErr w:type="spellEnd"/>
      <w:r>
        <w:rPr>
          <w:rFonts w:eastAsia="Arial"/>
          <w:bCs/>
        </w:rPr>
        <w:t xml:space="preserve"> ir </w:t>
      </w:r>
      <w:proofErr w:type="spellStart"/>
      <w:r>
        <w:rPr>
          <w:rFonts w:eastAsia="Arial"/>
          <w:bCs/>
        </w:rPr>
        <w:t>fulvestranto</w:t>
      </w:r>
      <w:proofErr w:type="spellEnd"/>
      <w:r>
        <w:rPr>
          <w:rFonts w:eastAsia="Arial"/>
          <w:bCs/>
        </w:rPr>
        <w:t xml:space="preserve"> (RS 1,06, 95 proc. PI [0,36-3,21]). F. </w:t>
      </w:r>
      <w:proofErr w:type="spellStart"/>
      <w:r w:rsidRPr="00403C20">
        <w:rPr>
          <w:rFonts w:eastAsia="Arial"/>
          <w:bCs/>
        </w:rPr>
        <w:t>Petrelli</w:t>
      </w:r>
      <w:proofErr w:type="spellEnd"/>
      <w:r>
        <w:rPr>
          <w:rFonts w:eastAsia="Arial"/>
          <w:bCs/>
        </w:rPr>
        <w:t xml:space="preserve"> </w:t>
      </w:r>
      <w:r w:rsidRPr="00D7513E">
        <w:rPr>
          <w:rFonts w:eastAsia="Arial"/>
          <w:bCs/>
        </w:rPr>
        <w:t>ir bendraautorių atlikt</w:t>
      </w:r>
      <w:r>
        <w:rPr>
          <w:rFonts w:eastAsia="Arial"/>
          <w:bCs/>
        </w:rPr>
        <w:t xml:space="preserve">os tinklinės meta-analizės duomenimis, nenustatytas reikšmingas IBLP ir bendro atsako dažnio skirtumas tarp </w:t>
      </w:r>
      <w:proofErr w:type="spellStart"/>
      <w:r>
        <w:rPr>
          <w:rFonts w:eastAsia="Arial"/>
          <w:bCs/>
        </w:rPr>
        <w:t>palbociklibo</w:t>
      </w:r>
      <w:proofErr w:type="spellEnd"/>
      <w:r>
        <w:rPr>
          <w:rFonts w:eastAsia="Arial"/>
          <w:bCs/>
        </w:rPr>
        <w:t xml:space="preserve"> ir </w:t>
      </w:r>
      <w:proofErr w:type="spellStart"/>
      <w:r>
        <w:rPr>
          <w:rFonts w:eastAsia="Arial"/>
          <w:bCs/>
        </w:rPr>
        <w:t>letrozolo</w:t>
      </w:r>
      <w:proofErr w:type="spellEnd"/>
      <w:r>
        <w:rPr>
          <w:rFonts w:eastAsia="Arial"/>
          <w:bCs/>
        </w:rPr>
        <w:t xml:space="preserve"> bei </w:t>
      </w:r>
      <w:proofErr w:type="spellStart"/>
      <w:r>
        <w:rPr>
          <w:rFonts w:eastAsia="Arial"/>
          <w:bCs/>
        </w:rPr>
        <w:t>ribociklibo</w:t>
      </w:r>
      <w:proofErr w:type="spellEnd"/>
      <w:r>
        <w:rPr>
          <w:rFonts w:eastAsia="Arial"/>
          <w:bCs/>
        </w:rPr>
        <w:t xml:space="preserve"> ir </w:t>
      </w:r>
      <w:proofErr w:type="spellStart"/>
      <w:r>
        <w:rPr>
          <w:rFonts w:eastAsia="Arial"/>
          <w:bCs/>
        </w:rPr>
        <w:t>letrozolo</w:t>
      </w:r>
      <w:proofErr w:type="spellEnd"/>
      <w:r>
        <w:rPr>
          <w:rFonts w:eastAsia="Arial"/>
          <w:bCs/>
        </w:rPr>
        <w:t xml:space="preserve"> derinių (RS 1,04, 95 proc. PI [0,73-1,46]). Tarnybos vertinimu, r</w:t>
      </w:r>
      <w:r w:rsidRPr="003455CF">
        <w:rPr>
          <w:rFonts w:eastAsia="Arial"/>
          <w:bCs/>
        </w:rPr>
        <w:t xml:space="preserve">emiantis netiesioginio palyginimo išgyvenamumo be ligos progresavimo duomenimis, tikėtina, jog tarp </w:t>
      </w:r>
      <w:proofErr w:type="spellStart"/>
      <w:r w:rsidRPr="003455CF">
        <w:rPr>
          <w:rFonts w:eastAsia="Arial"/>
          <w:bCs/>
        </w:rPr>
        <w:t>palbociklibo</w:t>
      </w:r>
      <w:proofErr w:type="spellEnd"/>
      <w:r w:rsidRPr="003455CF">
        <w:rPr>
          <w:rFonts w:eastAsia="Arial"/>
          <w:bCs/>
        </w:rPr>
        <w:t xml:space="preserve"> ir </w:t>
      </w:r>
      <w:proofErr w:type="spellStart"/>
      <w:r w:rsidRPr="003455CF">
        <w:rPr>
          <w:rFonts w:eastAsia="Arial"/>
          <w:bCs/>
        </w:rPr>
        <w:t>letrozolo</w:t>
      </w:r>
      <w:proofErr w:type="spellEnd"/>
      <w:r w:rsidRPr="003455CF">
        <w:rPr>
          <w:rFonts w:eastAsia="Arial"/>
          <w:bCs/>
        </w:rPr>
        <w:t xml:space="preserve"> bei </w:t>
      </w:r>
      <w:proofErr w:type="spellStart"/>
      <w:r w:rsidRPr="003455CF">
        <w:rPr>
          <w:rFonts w:eastAsia="Arial"/>
          <w:bCs/>
        </w:rPr>
        <w:t>ribociklibo</w:t>
      </w:r>
      <w:proofErr w:type="spellEnd"/>
      <w:r w:rsidRPr="003455CF">
        <w:rPr>
          <w:rFonts w:eastAsia="Arial"/>
          <w:bCs/>
        </w:rPr>
        <w:t xml:space="preserve"> ir </w:t>
      </w:r>
      <w:proofErr w:type="spellStart"/>
      <w:r w:rsidRPr="003455CF">
        <w:rPr>
          <w:rFonts w:eastAsia="Arial"/>
          <w:bCs/>
        </w:rPr>
        <w:t>letrozolo</w:t>
      </w:r>
      <w:proofErr w:type="spellEnd"/>
      <w:r w:rsidRPr="003455CF">
        <w:rPr>
          <w:rFonts w:eastAsia="Arial"/>
          <w:bCs/>
        </w:rPr>
        <w:t xml:space="preserve"> ar </w:t>
      </w:r>
      <w:proofErr w:type="spellStart"/>
      <w:r w:rsidRPr="003455CF">
        <w:rPr>
          <w:rFonts w:eastAsia="Arial"/>
          <w:bCs/>
        </w:rPr>
        <w:t>fulvestranto</w:t>
      </w:r>
      <w:proofErr w:type="spellEnd"/>
      <w:r w:rsidRPr="003455CF">
        <w:rPr>
          <w:rFonts w:eastAsia="Arial"/>
          <w:bCs/>
        </w:rPr>
        <w:t xml:space="preserve"> derinių arba </w:t>
      </w:r>
      <w:proofErr w:type="spellStart"/>
      <w:r w:rsidRPr="003455CF">
        <w:rPr>
          <w:rFonts w:eastAsia="Arial"/>
          <w:bCs/>
        </w:rPr>
        <w:t>abemaciklibo</w:t>
      </w:r>
      <w:proofErr w:type="spellEnd"/>
      <w:r w:rsidRPr="003455CF">
        <w:rPr>
          <w:rFonts w:eastAsia="Arial"/>
          <w:bCs/>
        </w:rPr>
        <w:t xml:space="preserve"> ir </w:t>
      </w:r>
      <w:proofErr w:type="spellStart"/>
      <w:r w:rsidRPr="003455CF">
        <w:rPr>
          <w:rFonts w:eastAsia="Arial"/>
          <w:bCs/>
        </w:rPr>
        <w:t>fulvestranto</w:t>
      </w:r>
      <w:proofErr w:type="spellEnd"/>
      <w:r w:rsidRPr="003455CF">
        <w:rPr>
          <w:rFonts w:eastAsia="Arial"/>
          <w:bCs/>
        </w:rPr>
        <w:t xml:space="preserve"> derinių </w:t>
      </w:r>
      <w:proofErr w:type="spellStart"/>
      <w:r w:rsidRPr="003455CF">
        <w:rPr>
          <w:rFonts w:eastAsia="Arial"/>
          <w:bCs/>
        </w:rPr>
        <w:t>reikšmigo</w:t>
      </w:r>
      <w:proofErr w:type="spellEnd"/>
      <w:r w:rsidRPr="003455CF">
        <w:rPr>
          <w:rFonts w:eastAsia="Arial"/>
          <w:bCs/>
        </w:rPr>
        <w:t xml:space="preserve"> skirtumo išgyvenamumui be ligos progresavimo ir bendro atsako dažnio nėra, tačiau šios vertinamosios baigtys yra pakaitinės, todėl siekiant įvertinti </w:t>
      </w:r>
      <w:proofErr w:type="spellStart"/>
      <w:r w:rsidRPr="003455CF">
        <w:rPr>
          <w:rFonts w:eastAsia="Arial"/>
          <w:bCs/>
        </w:rPr>
        <w:t>palbociklibo</w:t>
      </w:r>
      <w:proofErr w:type="spellEnd"/>
      <w:r w:rsidRPr="003455CF">
        <w:rPr>
          <w:rFonts w:eastAsia="Arial"/>
          <w:bCs/>
        </w:rPr>
        <w:t xml:space="preserve"> ir </w:t>
      </w:r>
      <w:proofErr w:type="spellStart"/>
      <w:r w:rsidRPr="003455CF">
        <w:rPr>
          <w:rFonts w:eastAsia="Arial"/>
          <w:bCs/>
        </w:rPr>
        <w:t>letrozolo</w:t>
      </w:r>
      <w:proofErr w:type="spellEnd"/>
      <w:r w:rsidRPr="003455CF">
        <w:rPr>
          <w:rFonts w:eastAsia="Arial"/>
          <w:bCs/>
        </w:rPr>
        <w:t xml:space="preserve"> derinio veiksmingumą, reikalingi bendro išgyvenamumo duomenys.</w:t>
      </w:r>
    </w:p>
    <w:p w14:paraId="662A7E85" w14:textId="77777777" w:rsidR="00B96F61" w:rsidRPr="009B4F5B" w:rsidRDefault="00B96F61" w:rsidP="00B96F61">
      <w:pPr>
        <w:spacing w:line="276" w:lineRule="auto"/>
        <w:ind w:firstLine="720"/>
        <w:jc w:val="both"/>
        <w:rPr>
          <w:b/>
          <w:bCs/>
        </w:rPr>
      </w:pPr>
      <w:r w:rsidRPr="00D92053">
        <w:rPr>
          <w:bCs/>
        </w:rPr>
        <w:t xml:space="preserve">Atsakydamas į esminį prieštaravimą, Pareiškėjas pateikė </w:t>
      </w:r>
      <w:r w:rsidRPr="004B6C1D">
        <w:t>netiesioginio palyginimo bendro išgyvenamumo duomenis lyginant</w:t>
      </w:r>
      <w:r>
        <w:t xml:space="preserve"> </w:t>
      </w:r>
      <w:proofErr w:type="spellStart"/>
      <w:r w:rsidRPr="00973A04">
        <w:rPr>
          <w:iCs/>
        </w:rPr>
        <w:t>palbociklibo</w:t>
      </w:r>
      <w:proofErr w:type="spellEnd"/>
      <w:r w:rsidRPr="00973A04">
        <w:rPr>
          <w:iCs/>
        </w:rPr>
        <w:t xml:space="preserve"> ir </w:t>
      </w:r>
      <w:proofErr w:type="spellStart"/>
      <w:r w:rsidRPr="00973A04">
        <w:rPr>
          <w:iCs/>
        </w:rPr>
        <w:t>letrozolo</w:t>
      </w:r>
      <w:proofErr w:type="spellEnd"/>
      <w:r w:rsidRPr="00973A04">
        <w:rPr>
          <w:iCs/>
        </w:rPr>
        <w:t xml:space="preserve"> derinį su</w:t>
      </w:r>
      <w:r>
        <w:rPr>
          <w:iCs/>
        </w:rPr>
        <w:t xml:space="preserve"> kitais </w:t>
      </w:r>
      <w:r w:rsidRPr="004D2988">
        <w:rPr>
          <w:bCs/>
        </w:rPr>
        <w:t>CDK4/6 inhibitoriais</w:t>
      </w:r>
      <w:r>
        <w:rPr>
          <w:bCs/>
        </w:rPr>
        <w:t xml:space="preserve"> derinyje su </w:t>
      </w:r>
      <w:proofErr w:type="spellStart"/>
      <w:r>
        <w:rPr>
          <w:bCs/>
        </w:rPr>
        <w:t>aromatazės</w:t>
      </w:r>
      <w:proofErr w:type="spellEnd"/>
      <w:r>
        <w:rPr>
          <w:bCs/>
        </w:rPr>
        <w:t xml:space="preserve"> inhibitoriumi arba </w:t>
      </w:r>
      <w:proofErr w:type="spellStart"/>
      <w:r>
        <w:rPr>
          <w:bCs/>
        </w:rPr>
        <w:t>fulvestrantu</w:t>
      </w:r>
      <w:proofErr w:type="spellEnd"/>
      <w:r w:rsidRPr="00973A04">
        <w:rPr>
          <w:iCs/>
        </w:rPr>
        <w:t>.</w:t>
      </w:r>
      <w:r w:rsidRPr="00D92053">
        <w:rPr>
          <w:b/>
          <w:bCs/>
        </w:rPr>
        <w:t xml:space="preserve"> </w:t>
      </w:r>
      <w:r w:rsidRPr="004D2988">
        <w:rPr>
          <w:bCs/>
        </w:rPr>
        <w:t>Nesant tiesioginių palyginimų, atlikta tinklinė meta</w:t>
      </w:r>
      <w:r>
        <w:rPr>
          <w:bCs/>
        </w:rPr>
        <w:t>-</w:t>
      </w:r>
      <w:r w:rsidRPr="004D2988">
        <w:rPr>
          <w:bCs/>
        </w:rPr>
        <w:t>analiz</w:t>
      </w:r>
      <w:r>
        <w:rPr>
          <w:bCs/>
        </w:rPr>
        <w:t xml:space="preserve">ė. Į analizę įtraukti tyrimai, </w:t>
      </w:r>
      <w:r w:rsidRPr="004D2988">
        <w:rPr>
          <w:bCs/>
        </w:rPr>
        <w:t xml:space="preserve">3 fazės </w:t>
      </w:r>
      <w:proofErr w:type="spellStart"/>
      <w:r>
        <w:rPr>
          <w:bCs/>
        </w:rPr>
        <w:t>atitiktinių</w:t>
      </w:r>
      <w:proofErr w:type="spellEnd"/>
      <w:r>
        <w:rPr>
          <w:bCs/>
        </w:rPr>
        <w:t xml:space="preserve"> imčių</w:t>
      </w:r>
      <w:r w:rsidRPr="004D2988">
        <w:rPr>
          <w:bCs/>
        </w:rPr>
        <w:t xml:space="preserve"> klinikiniai tyrimai, kuriuose HR+/HER2- </w:t>
      </w:r>
      <w:proofErr w:type="spellStart"/>
      <w:r w:rsidRPr="004D2988">
        <w:rPr>
          <w:bCs/>
        </w:rPr>
        <w:t>metastazavusiu</w:t>
      </w:r>
      <w:proofErr w:type="spellEnd"/>
      <w:r w:rsidRPr="004D2988">
        <w:rPr>
          <w:bCs/>
        </w:rPr>
        <w:t xml:space="preserve"> krūties vėžiu sergan</w:t>
      </w:r>
      <w:r>
        <w:rPr>
          <w:bCs/>
        </w:rPr>
        <w:t>čios</w:t>
      </w:r>
      <w:r w:rsidRPr="004D2988">
        <w:rPr>
          <w:bCs/>
        </w:rPr>
        <w:t xml:space="preserve"> pacient</w:t>
      </w:r>
      <w:r>
        <w:rPr>
          <w:bCs/>
        </w:rPr>
        <w:t>ės</w:t>
      </w:r>
      <w:r w:rsidRPr="004D2988">
        <w:rPr>
          <w:bCs/>
        </w:rPr>
        <w:t xml:space="preserve"> buvo gydom</w:t>
      </w:r>
      <w:r>
        <w:rPr>
          <w:bCs/>
        </w:rPr>
        <w:t>os</w:t>
      </w:r>
      <w:r w:rsidRPr="004D2988">
        <w:rPr>
          <w:bCs/>
        </w:rPr>
        <w:t xml:space="preserve"> CDK4/6 inhibitoriais derinyje su endokrinine terapija (PI, </w:t>
      </w:r>
      <w:proofErr w:type="spellStart"/>
      <w:r w:rsidRPr="004D2988">
        <w:rPr>
          <w:bCs/>
        </w:rPr>
        <w:t>fulvestrantas</w:t>
      </w:r>
      <w:proofErr w:type="spellEnd"/>
      <w:r w:rsidRPr="004D2988">
        <w:rPr>
          <w:bCs/>
        </w:rPr>
        <w:t xml:space="preserve"> ar </w:t>
      </w:r>
      <w:proofErr w:type="spellStart"/>
      <w:r w:rsidRPr="004D2988">
        <w:rPr>
          <w:bCs/>
        </w:rPr>
        <w:t>tamoksifenas</w:t>
      </w:r>
      <w:proofErr w:type="spellEnd"/>
      <w:r w:rsidRPr="004D2988">
        <w:rPr>
          <w:bCs/>
        </w:rPr>
        <w:t xml:space="preserve">) arba viena endokrinine terapija pirmos ar antros eilės terapijoje. </w:t>
      </w:r>
      <w:r>
        <w:rPr>
          <w:b/>
          <w:bCs/>
        </w:rPr>
        <w:t xml:space="preserve"> </w:t>
      </w:r>
      <w:r w:rsidRPr="004D2988">
        <w:rPr>
          <w:bCs/>
        </w:rPr>
        <w:t xml:space="preserve">Į analizę įtraukti septyni III fazės </w:t>
      </w:r>
      <w:proofErr w:type="spellStart"/>
      <w:r>
        <w:rPr>
          <w:bCs/>
        </w:rPr>
        <w:t>atistiktinių</w:t>
      </w:r>
      <w:proofErr w:type="spellEnd"/>
      <w:r>
        <w:rPr>
          <w:bCs/>
        </w:rPr>
        <w:t xml:space="preserve"> imčių</w:t>
      </w:r>
      <w:r w:rsidRPr="004D2988">
        <w:rPr>
          <w:bCs/>
        </w:rPr>
        <w:t xml:space="preserve"> klinikiniai tyrimai PALOMA-2, PALOMA-3, MONALEESA-2, MONALEESA-3, MONALEESA-7, MONARCH-2 ir MONARCH-3</w:t>
      </w:r>
      <w:r>
        <w:rPr>
          <w:bCs/>
        </w:rPr>
        <w:t xml:space="preserve">. </w:t>
      </w:r>
      <w:r w:rsidRPr="004D2988">
        <w:rPr>
          <w:bCs/>
        </w:rPr>
        <w:t>Analizė</w:t>
      </w:r>
      <w:r>
        <w:rPr>
          <w:bCs/>
        </w:rPr>
        <w:t>je</w:t>
      </w:r>
      <w:r w:rsidRPr="004D2988">
        <w:rPr>
          <w:bCs/>
        </w:rPr>
        <w:t xml:space="preserve"> </w:t>
      </w:r>
      <w:r>
        <w:rPr>
          <w:bCs/>
        </w:rPr>
        <w:t>įtraukti</w:t>
      </w:r>
      <w:r w:rsidRPr="004D2988">
        <w:rPr>
          <w:bCs/>
        </w:rPr>
        <w:t xml:space="preserve"> 4415 pacient</w:t>
      </w:r>
      <w:r>
        <w:rPr>
          <w:bCs/>
        </w:rPr>
        <w:t>ų duomenys</w:t>
      </w:r>
      <w:r w:rsidRPr="004D2988">
        <w:rPr>
          <w:bCs/>
        </w:rPr>
        <w:t xml:space="preserve">, iš kurių 2718 pacientų gavo CDK4/6 inhibitorius (1153 </w:t>
      </w:r>
      <w:proofErr w:type="spellStart"/>
      <w:r w:rsidRPr="004D2988">
        <w:rPr>
          <w:bCs/>
        </w:rPr>
        <w:t>ribociklibą</w:t>
      </w:r>
      <w:proofErr w:type="spellEnd"/>
      <w:r w:rsidRPr="004D2988">
        <w:rPr>
          <w:bCs/>
        </w:rPr>
        <w:t xml:space="preserve">, 791 </w:t>
      </w:r>
      <w:proofErr w:type="spellStart"/>
      <w:r w:rsidRPr="004D2988">
        <w:rPr>
          <w:bCs/>
        </w:rPr>
        <w:t>palbociklibą</w:t>
      </w:r>
      <w:proofErr w:type="spellEnd"/>
      <w:r w:rsidRPr="004D2988">
        <w:rPr>
          <w:bCs/>
        </w:rPr>
        <w:t xml:space="preserve">, 774 </w:t>
      </w:r>
      <w:proofErr w:type="spellStart"/>
      <w:r w:rsidRPr="004D2988">
        <w:rPr>
          <w:bCs/>
        </w:rPr>
        <w:t>abemaciklibą</w:t>
      </w:r>
      <w:proofErr w:type="spellEnd"/>
      <w:r w:rsidRPr="004D2988">
        <w:rPr>
          <w:bCs/>
        </w:rPr>
        <w:t>)</w:t>
      </w:r>
      <w:r>
        <w:rPr>
          <w:bCs/>
        </w:rPr>
        <w:t xml:space="preserve">, </w:t>
      </w:r>
      <w:r w:rsidRPr="004D2988">
        <w:rPr>
          <w:bCs/>
        </w:rPr>
        <w:t xml:space="preserve"> </w:t>
      </w:r>
      <w:r>
        <w:rPr>
          <w:bCs/>
        </w:rPr>
        <w:t>keturiuose tyrimuose</w:t>
      </w:r>
      <w:r w:rsidRPr="004D2988">
        <w:rPr>
          <w:bCs/>
        </w:rPr>
        <w:t xml:space="preserve"> (1441 pacientas) </w:t>
      </w:r>
      <w:r>
        <w:rPr>
          <w:bCs/>
        </w:rPr>
        <w:t xml:space="preserve">kartu taikyta </w:t>
      </w:r>
      <w:r w:rsidRPr="004D2988">
        <w:rPr>
          <w:bCs/>
        </w:rPr>
        <w:t xml:space="preserve">endokrininė terapija buvo </w:t>
      </w:r>
      <w:proofErr w:type="spellStart"/>
      <w:r>
        <w:rPr>
          <w:bCs/>
        </w:rPr>
        <w:t>aromatazės</w:t>
      </w:r>
      <w:proofErr w:type="spellEnd"/>
      <w:r>
        <w:rPr>
          <w:bCs/>
        </w:rPr>
        <w:t xml:space="preserve"> inhibitorius</w:t>
      </w:r>
      <w:r w:rsidRPr="004D2988">
        <w:rPr>
          <w:bCs/>
        </w:rPr>
        <w:t xml:space="preserve"> ar </w:t>
      </w:r>
      <w:proofErr w:type="spellStart"/>
      <w:r w:rsidRPr="004D2988">
        <w:rPr>
          <w:bCs/>
        </w:rPr>
        <w:t>tamoksifenas</w:t>
      </w:r>
      <w:proofErr w:type="spellEnd"/>
      <w:r>
        <w:rPr>
          <w:bCs/>
        </w:rPr>
        <w:t xml:space="preserve">, trijuose </w:t>
      </w:r>
      <w:r w:rsidRPr="004D2988">
        <w:rPr>
          <w:bCs/>
        </w:rPr>
        <w:t xml:space="preserve">(1277 pacientai) </w:t>
      </w:r>
      <w:r>
        <w:rPr>
          <w:bCs/>
        </w:rPr>
        <w:t>-</w:t>
      </w:r>
      <w:r w:rsidRPr="004D2988">
        <w:rPr>
          <w:bCs/>
        </w:rPr>
        <w:t xml:space="preserve"> </w:t>
      </w:r>
      <w:proofErr w:type="spellStart"/>
      <w:r w:rsidRPr="004D2988">
        <w:rPr>
          <w:bCs/>
        </w:rPr>
        <w:t>fulvestrantas</w:t>
      </w:r>
      <w:proofErr w:type="spellEnd"/>
      <w:r w:rsidRPr="004D2988">
        <w:rPr>
          <w:bCs/>
        </w:rPr>
        <w:t>. Stebėjimo mediana buvo 70</w:t>
      </w:r>
      <w:r>
        <w:rPr>
          <w:bCs/>
        </w:rPr>
        <w:t>,</w:t>
      </w:r>
      <w:r w:rsidRPr="004D2988">
        <w:rPr>
          <w:bCs/>
        </w:rPr>
        <w:t>2 mėn. (48</w:t>
      </w:r>
      <w:r>
        <w:rPr>
          <w:bCs/>
        </w:rPr>
        <w:t>,</w:t>
      </w:r>
      <w:r w:rsidRPr="004D2988">
        <w:rPr>
          <w:bCs/>
        </w:rPr>
        <w:t>7–97</w:t>
      </w:r>
      <w:r>
        <w:rPr>
          <w:bCs/>
        </w:rPr>
        <w:t>,</w:t>
      </w:r>
      <w:r w:rsidRPr="004D2988">
        <w:rPr>
          <w:bCs/>
        </w:rPr>
        <w:t>2 mėn.).</w:t>
      </w:r>
    </w:p>
    <w:p w14:paraId="0744B413" w14:textId="77777777" w:rsidR="00B96F61" w:rsidRDefault="00B96F61" w:rsidP="00B96F61">
      <w:pPr>
        <w:spacing w:line="276" w:lineRule="auto"/>
        <w:ind w:right="10" w:firstLine="720"/>
        <w:jc w:val="both"/>
        <w:outlineLvl w:val="0"/>
        <w:rPr>
          <w:bCs/>
        </w:rPr>
      </w:pPr>
      <w:r>
        <w:rPr>
          <w:bCs/>
        </w:rPr>
        <w:t xml:space="preserve">Remiantis Pareiškėjo pateikta netiesioginio palyginimo meta-analize, </w:t>
      </w:r>
      <w:proofErr w:type="spellStart"/>
      <w:r>
        <w:rPr>
          <w:bCs/>
        </w:rPr>
        <w:t>palbociklibo</w:t>
      </w:r>
      <w:proofErr w:type="spellEnd"/>
      <w:r>
        <w:rPr>
          <w:bCs/>
        </w:rPr>
        <w:t xml:space="preserve"> ir </w:t>
      </w:r>
      <w:proofErr w:type="spellStart"/>
      <w:r>
        <w:rPr>
          <w:bCs/>
        </w:rPr>
        <w:t>aromatazės</w:t>
      </w:r>
      <w:proofErr w:type="spellEnd"/>
      <w:r>
        <w:rPr>
          <w:bCs/>
        </w:rPr>
        <w:t xml:space="preserve"> inhibitoriaus derinio BI duomenys buvo panašūs kaip ir </w:t>
      </w:r>
      <w:proofErr w:type="spellStart"/>
      <w:r>
        <w:rPr>
          <w:bCs/>
        </w:rPr>
        <w:t>ribociklibo</w:t>
      </w:r>
      <w:proofErr w:type="spellEnd"/>
      <w:r>
        <w:rPr>
          <w:bCs/>
        </w:rPr>
        <w:t xml:space="preserve"> ir </w:t>
      </w:r>
      <w:proofErr w:type="spellStart"/>
      <w:r>
        <w:rPr>
          <w:bCs/>
        </w:rPr>
        <w:t>aromatazės</w:t>
      </w:r>
      <w:proofErr w:type="spellEnd"/>
      <w:r>
        <w:rPr>
          <w:bCs/>
        </w:rPr>
        <w:t xml:space="preserve"> inhibitoriaus derinio (</w:t>
      </w:r>
      <w:r w:rsidRPr="004D2988">
        <w:rPr>
          <w:bCs/>
        </w:rPr>
        <w:t>RS 1</w:t>
      </w:r>
      <w:r>
        <w:rPr>
          <w:bCs/>
        </w:rPr>
        <w:t>,</w:t>
      </w:r>
      <w:r w:rsidRPr="004D2988">
        <w:rPr>
          <w:bCs/>
        </w:rPr>
        <w:t>26 [95</w:t>
      </w:r>
      <w:r>
        <w:rPr>
          <w:bCs/>
        </w:rPr>
        <w:t xml:space="preserve"> proc.</w:t>
      </w:r>
      <w:r w:rsidRPr="004D2988">
        <w:rPr>
          <w:bCs/>
        </w:rPr>
        <w:t xml:space="preserve"> </w:t>
      </w:r>
      <w:r>
        <w:rPr>
          <w:bCs/>
        </w:rPr>
        <w:t>P</w:t>
      </w:r>
      <w:r w:rsidRPr="004D2988">
        <w:rPr>
          <w:bCs/>
        </w:rPr>
        <w:t>I 0</w:t>
      </w:r>
      <w:r>
        <w:rPr>
          <w:bCs/>
        </w:rPr>
        <w:t>,</w:t>
      </w:r>
      <w:r w:rsidRPr="004D2988">
        <w:rPr>
          <w:bCs/>
        </w:rPr>
        <w:t>88–1</w:t>
      </w:r>
      <w:r>
        <w:rPr>
          <w:bCs/>
        </w:rPr>
        <w:t>,</w:t>
      </w:r>
      <w:r w:rsidRPr="004D2988">
        <w:rPr>
          <w:bCs/>
        </w:rPr>
        <w:t>80, p = 0</w:t>
      </w:r>
      <w:r>
        <w:rPr>
          <w:bCs/>
        </w:rPr>
        <w:t>,</w:t>
      </w:r>
      <w:r w:rsidRPr="004D2988">
        <w:rPr>
          <w:bCs/>
        </w:rPr>
        <w:t>21]</w:t>
      </w:r>
      <w:r>
        <w:rPr>
          <w:bCs/>
        </w:rPr>
        <w:t xml:space="preserve">, </w:t>
      </w:r>
      <w:proofErr w:type="spellStart"/>
      <w:r>
        <w:rPr>
          <w:bCs/>
        </w:rPr>
        <w:t>fulvestranto</w:t>
      </w:r>
      <w:proofErr w:type="spellEnd"/>
      <w:r>
        <w:rPr>
          <w:bCs/>
        </w:rPr>
        <w:t xml:space="preserve"> ir </w:t>
      </w:r>
      <w:proofErr w:type="spellStart"/>
      <w:r>
        <w:rPr>
          <w:bCs/>
        </w:rPr>
        <w:t>ribociklibo</w:t>
      </w:r>
      <w:proofErr w:type="spellEnd"/>
      <w:r>
        <w:rPr>
          <w:bCs/>
        </w:rPr>
        <w:t xml:space="preserve"> (RS </w:t>
      </w:r>
      <w:r w:rsidRPr="004D2988">
        <w:rPr>
          <w:bCs/>
        </w:rPr>
        <w:t>1</w:t>
      </w:r>
      <w:r>
        <w:rPr>
          <w:bCs/>
        </w:rPr>
        <w:t>,</w:t>
      </w:r>
      <w:r w:rsidRPr="004D2988">
        <w:rPr>
          <w:bCs/>
        </w:rPr>
        <w:t>12 (95</w:t>
      </w:r>
      <w:r>
        <w:rPr>
          <w:bCs/>
        </w:rPr>
        <w:t xml:space="preserve"> </w:t>
      </w:r>
      <w:proofErr w:type="spellStart"/>
      <w:r>
        <w:rPr>
          <w:bCs/>
        </w:rPr>
        <w:t>procc</w:t>
      </w:r>
      <w:proofErr w:type="spellEnd"/>
      <w:r>
        <w:rPr>
          <w:bCs/>
        </w:rPr>
        <w:t>.</w:t>
      </w:r>
      <w:r w:rsidRPr="004D2988">
        <w:rPr>
          <w:bCs/>
        </w:rPr>
        <w:t xml:space="preserve"> </w:t>
      </w:r>
      <w:r>
        <w:rPr>
          <w:bCs/>
        </w:rPr>
        <w:t>P</w:t>
      </w:r>
      <w:r w:rsidRPr="004D2988">
        <w:rPr>
          <w:bCs/>
        </w:rPr>
        <w:t>I 0</w:t>
      </w:r>
      <w:r>
        <w:rPr>
          <w:bCs/>
        </w:rPr>
        <w:t>,</w:t>
      </w:r>
      <w:r w:rsidRPr="004D2988">
        <w:rPr>
          <w:bCs/>
        </w:rPr>
        <w:t>75–1</w:t>
      </w:r>
      <w:r>
        <w:rPr>
          <w:bCs/>
        </w:rPr>
        <w:t>,</w:t>
      </w:r>
      <w:r w:rsidRPr="004D2988">
        <w:rPr>
          <w:bCs/>
        </w:rPr>
        <w:t>66, p = 0</w:t>
      </w:r>
      <w:r>
        <w:rPr>
          <w:bCs/>
        </w:rPr>
        <w:t>,</w:t>
      </w:r>
      <w:r w:rsidRPr="004D2988">
        <w:rPr>
          <w:bCs/>
        </w:rPr>
        <w:t>59)</w:t>
      </w:r>
      <w:r>
        <w:rPr>
          <w:bCs/>
        </w:rPr>
        <w:t xml:space="preserve">, </w:t>
      </w:r>
      <w:proofErr w:type="spellStart"/>
      <w:r>
        <w:rPr>
          <w:bCs/>
        </w:rPr>
        <w:t>fulvestranto</w:t>
      </w:r>
      <w:proofErr w:type="spellEnd"/>
      <w:r>
        <w:rPr>
          <w:bCs/>
        </w:rPr>
        <w:t xml:space="preserve"> ir </w:t>
      </w:r>
      <w:proofErr w:type="spellStart"/>
      <w:r>
        <w:rPr>
          <w:bCs/>
        </w:rPr>
        <w:t>abemaciklibo</w:t>
      </w:r>
      <w:proofErr w:type="spellEnd"/>
      <w:r>
        <w:rPr>
          <w:bCs/>
        </w:rPr>
        <w:t xml:space="preserve"> derinio (RS </w:t>
      </w:r>
      <w:r w:rsidRPr="004D2988">
        <w:rPr>
          <w:bCs/>
        </w:rPr>
        <w:t>1</w:t>
      </w:r>
      <w:r>
        <w:rPr>
          <w:bCs/>
        </w:rPr>
        <w:t>,</w:t>
      </w:r>
      <w:r w:rsidRPr="004D2988">
        <w:rPr>
          <w:bCs/>
        </w:rPr>
        <w:t>08 (95</w:t>
      </w:r>
      <w:r>
        <w:rPr>
          <w:bCs/>
        </w:rPr>
        <w:t xml:space="preserve"> proc. P</w:t>
      </w:r>
      <w:r w:rsidRPr="004D2988">
        <w:rPr>
          <w:bCs/>
        </w:rPr>
        <w:t>I 0</w:t>
      </w:r>
      <w:r>
        <w:rPr>
          <w:bCs/>
        </w:rPr>
        <w:t>,</w:t>
      </w:r>
      <w:r w:rsidRPr="004D2988">
        <w:rPr>
          <w:bCs/>
        </w:rPr>
        <w:t>72–1</w:t>
      </w:r>
      <w:r>
        <w:rPr>
          <w:bCs/>
        </w:rPr>
        <w:t>,</w:t>
      </w:r>
      <w:r w:rsidRPr="004D2988">
        <w:rPr>
          <w:bCs/>
        </w:rPr>
        <w:t>61, p = 0</w:t>
      </w:r>
      <w:r>
        <w:rPr>
          <w:bCs/>
        </w:rPr>
        <w:t>,</w:t>
      </w:r>
      <w:r w:rsidRPr="004D2988">
        <w:rPr>
          <w:bCs/>
        </w:rPr>
        <w:t xml:space="preserve">73) atitinkamai. </w:t>
      </w:r>
    </w:p>
    <w:p w14:paraId="71BCE4C3" w14:textId="4AB2E375" w:rsidR="00B96F61" w:rsidRPr="009B4F5B" w:rsidRDefault="00B96F61" w:rsidP="00B96F61">
      <w:pPr>
        <w:spacing w:line="276" w:lineRule="auto"/>
        <w:ind w:right="10" w:firstLine="720"/>
        <w:jc w:val="both"/>
        <w:outlineLvl w:val="0"/>
        <w:rPr>
          <w:bCs/>
        </w:rPr>
      </w:pPr>
      <w:r w:rsidRPr="009B4F5B">
        <w:rPr>
          <w:bCs/>
        </w:rPr>
        <w:t>Atsižvelgiant į anksčiau</w:t>
      </w:r>
      <w:r w:rsidR="00702E95">
        <w:rPr>
          <w:bCs/>
        </w:rPr>
        <w:t xml:space="preserve"> vaistinio preparato </w:t>
      </w:r>
      <w:r w:rsidR="00702E95" w:rsidRPr="009B4F5B">
        <w:rPr>
          <w:bCs/>
        </w:rPr>
        <w:t>KISQALI</w:t>
      </w:r>
      <w:r w:rsidRPr="009B4F5B">
        <w:rPr>
          <w:bCs/>
        </w:rPr>
        <w:t xml:space="preserve"> </w:t>
      </w:r>
      <w:r w:rsidR="00702E95">
        <w:rPr>
          <w:bCs/>
        </w:rPr>
        <w:t xml:space="preserve">paraiškoje </w:t>
      </w:r>
      <w:r w:rsidRPr="009B4F5B">
        <w:rPr>
          <w:bCs/>
        </w:rPr>
        <w:t xml:space="preserve">įvertintą netiesioginio  palyginimo analizę, kurioje </w:t>
      </w:r>
      <w:proofErr w:type="spellStart"/>
      <w:r w:rsidRPr="009B4F5B">
        <w:rPr>
          <w:bCs/>
        </w:rPr>
        <w:t>abemaciklibo</w:t>
      </w:r>
      <w:proofErr w:type="spellEnd"/>
      <w:r w:rsidRPr="009B4F5B">
        <w:rPr>
          <w:bCs/>
        </w:rPr>
        <w:t xml:space="preserve"> kartu su </w:t>
      </w:r>
      <w:proofErr w:type="spellStart"/>
      <w:r w:rsidRPr="009B4F5B">
        <w:rPr>
          <w:bCs/>
        </w:rPr>
        <w:t>aromatazės</w:t>
      </w:r>
      <w:proofErr w:type="spellEnd"/>
      <w:r w:rsidRPr="009B4F5B">
        <w:rPr>
          <w:bCs/>
        </w:rPr>
        <w:t xml:space="preserve"> inhibitoriumi arba </w:t>
      </w:r>
      <w:proofErr w:type="spellStart"/>
      <w:r w:rsidRPr="009B4F5B">
        <w:rPr>
          <w:bCs/>
        </w:rPr>
        <w:t>fulvestrantu</w:t>
      </w:r>
      <w:proofErr w:type="spellEnd"/>
      <w:r w:rsidRPr="009B4F5B">
        <w:rPr>
          <w:bCs/>
        </w:rPr>
        <w:t xml:space="preserve">, </w:t>
      </w:r>
      <w:proofErr w:type="spellStart"/>
      <w:r w:rsidRPr="009B4F5B">
        <w:rPr>
          <w:bCs/>
        </w:rPr>
        <w:t>ribociklibo</w:t>
      </w:r>
      <w:proofErr w:type="spellEnd"/>
      <w:r w:rsidRPr="009B4F5B">
        <w:rPr>
          <w:bCs/>
        </w:rPr>
        <w:t xml:space="preserve"> su </w:t>
      </w:r>
      <w:proofErr w:type="spellStart"/>
      <w:r w:rsidRPr="009B4F5B">
        <w:rPr>
          <w:bCs/>
        </w:rPr>
        <w:t>fulvestrantu</w:t>
      </w:r>
      <w:proofErr w:type="spellEnd"/>
      <w:r w:rsidRPr="009B4F5B">
        <w:rPr>
          <w:bCs/>
        </w:rPr>
        <w:t xml:space="preserve">, </w:t>
      </w:r>
      <w:proofErr w:type="spellStart"/>
      <w:r w:rsidRPr="009B4F5B">
        <w:rPr>
          <w:bCs/>
        </w:rPr>
        <w:t>palbociklibo</w:t>
      </w:r>
      <w:proofErr w:type="spellEnd"/>
      <w:r w:rsidRPr="009B4F5B">
        <w:rPr>
          <w:bCs/>
        </w:rPr>
        <w:t xml:space="preserve"> su </w:t>
      </w:r>
      <w:proofErr w:type="spellStart"/>
      <w:r w:rsidRPr="009B4F5B">
        <w:rPr>
          <w:bCs/>
        </w:rPr>
        <w:t>aromatazės</w:t>
      </w:r>
      <w:proofErr w:type="spellEnd"/>
      <w:r w:rsidRPr="009B4F5B">
        <w:rPr>
          <w:bCs/>
        </w:rPr>
        <w:t xml:space="preserve"> inhibitoriumi arba </w:t>
      </w:r>
      <w:proofErr w:type="spellStart"/>
      <w:r w:rsidRPr="009B4F5B">
        <w:rPr>
          <w:bCs/>
        </w:rPr>
        <w:t>fulvestrantu</w:t>
      </w:r>
      <w:proofErr w:type="spellEnd"/>
      <w:r w:rsidRPr="009B4F5B">
        <w:rPr>
          <w:bCs/>
        </w:rPr>
        <w:t xml:space="preserve">, </w:t>
      </w:r>
      <w:proofErr w:type="spellStart"/>
      <w:r w:rsidRPr="009B4F5B">
        <w:rPr>
          <w:bCs/>
        </w:rPr>
        <w:t>aromatazės</w:t>
      </w:r>
      <w:proofErr w:type="spellEnd"/>
      <w:r w:rsidRPr="009B4F5B">
        <w:rPr>
          <w:bCs/>
        </w:rPr>
        <w:t xml:space="preserve"> inhibitoriumi arba </w:t>
      </w:r>
      <w:proofErr w:type="spellStart"/>
      <w:r w:rsidRPr="009B4F5B">
        <w:rPr>
          <w:bCs/>
        </w:rPr>
        <w:t>fulvestrantu</w:t>
      </w:r>
      <w:proofErr w:type="spellEnd"/>
      <w:r w:rsidRPr="009B4F5B">
        <w:rPr>
          <w:bCs/>
        </w:rPr>
        <w:t xml:space="preserve"> gydymo poveikis IBLP buvo įvertintas kaip nesiskiri</w:t>
      </w:r>
      <w:r w:rsidR="00702E95">
        <w:rPr>
          <w:bCs/>
        </w:rPr>
        <w:t>a</w:t>
      </w:r>
      <w:r w:rsidRPr="009B4F5B">
        <w:rPr>
          <w:bCs/>
        </w:rPr>
        <w:t xml:space="preserve">ntis bei pareiškėjui pateikus netiesioginio palyginimo bendro išgyvenamumo duomenis </w:t>
      </w:r>
      <w:proofErr w:type="spellStart"/>
      <w:r w:rsidRPr="009B4F5B">
        <w:rPr>
          <w:bCs/>
        </w:rPr>
        <w:t>palbociklibo</w:t>
      </w:r>
      <w:proofErr w:type="spellEnd"/>
      <w:r w:rsidRPr="009B4F5B">
        <w:rPr>
          <w:bCs/>
        </w:rPr>
        <w:t xml:space="preserve"> ir </w:t>
      </w:r>
      <w:proofErr w:type="spellStart"/>
      <w:r w:rsidRPr="009B4F5B">
        <w:rPr>
          <w:bCs/>
        </w:rPr>
        <w:t>letrozolo</w:t>
      </w:r>
      <w:proofErr w:type="spellEnd"/>
      <w:r w:rsidRPr="009B4F5B">
        <w:rPr>
          <w:bCs/>
        </w:rPr>
        <w:t xml:space="preserve"> derinio efektyvumui įrodyti,  </w:t>
      </w:r>
      <w:proofErr w:type="spellStart"/>
      <w:r w:rsidRPr="009B4F5B">
        <w:rPr>
          <w:bCs/>
        </w:rPr>
        <w:t>palbociklibo</w:t>
      </w:r>
      <w:proofErr w:type="spellEnd"/>
      <w:r w:rsidRPr="009B4F5B">
        <w:rPr>
          <w:bCs/>
        </w:rPr>
        <w:t xml:space="preserve"> naudą</w:t>
      </w:r>
      <w:r w:rsidR="00702E95">
        <w:rPr>
          <w:bCs/>
        </w:rPr>
        <w:t xml:space="preserve"> vertinama kaip nesiskirianti</w:t>
      </w:r>
      <w:r w:rsidRPr="009B4F5B">
        <w:rPr>
          <w:bCs/>
        </w:rPr>
        <w:t>, lyginant su Lietuvos klinikine praktika (</w:t>
      </w:r>
      <w:proofErr w:type="spellStart"/>
      <w:r w:rsidRPr="009B4F5B">
        <w:rPr>
          <w:bCs/>
        </w:rPr>
        <w:t>t.y</w:t>
      </w:r>
      <w:proofErr w:type="spellEnd"/>
      <w:r w:rsidRPr="009B4F5B">
        <w:rPr>
          <w:bCs/>
        </w:rPr>
        <w:t xml:space="preserve">. </w:t>
      </w:r>
      <w:proofErr w:type="spellStart"/>
      <w:r w:rsidRPr="009B4F5B">
        <w:rPr>
          <w:bCs/>
        </w:rPr>
        <w:t>ribociklibo</w:t>
      </w:r>
      <w:proofErr w:type="spellEnd"/>
      <w:r w:rsidRPr="009B4F5B">
        <w:rPr>
          <w:bCs/>
        </w:rPr>
        <w:t xml:space="preserve"> ir </w:t>
      </w:r>
      <w:proofErr w:type="spellStart"/>
      <w:r w:rsidRPr="009B4F5B">
        <w:rPr>
          <w:bCs/>
        </w:rPr>
        <w:t>aromatazės</w:t>
      </w:r>
      <w:proofErr w:type="spellEnd"/>
      <w:r w:rsidRPr="009B4F5B">
        <w:rPr>
          <w:bCs/>
        </w:rPr>
        <w:t xml:space="preserve"> inhibitoriaus, </w:t>
      </w:r>
      <w:proofErr w:type="spellStart"/>
      <w:r w:rsidRPr="009B4F5B">
        <w:rPr>
          <w:bCs/>
        </w:rPr>
        <w:t>ribociklibo</w:t>
      </w:r>
      <w:proofErr w:type="spellEnd"/>
      <w:r w:rsidRPr="009B4F5B">
        <w:rPr>
          <w:bCs/>
        </w:rPr>
        <w:t xml:space="preserve"> ir </w:t>
      </w:r>
      <w:proofErr w:type="spellStart"/>
      <w:r w:rsidRPr="009B4F5B">
        <w:rPr>
          <w:bCs/>
        </w:rPr>
        <w:t>fulvestranto</w:t>
      </w:r>
      <w:proofErr w:type="spellEnd"/>
      <w:r w:rsidRPr="009B4F5B">
        <w:rPr>
          <w:bCs/>
        </w:rPr>
        <w:t xml:space="preserve"> arba </w:t>
      </w:r>
      <w:proofErr w:type="spellStart"/>
      <w:r w:rsidRPr="009B4F5B">
        <w:rPr>
          <w:bCs/>
        </w:rPr>
        <w:t>abemaciklibo</w:t>
      </w:r>
      <w:proofErr w:type="spellEnd"/>
      <w:r w:rsidRPr="009B4F5B">
        <w:rPr>
          <w:bCs/>
        </w:rPr>
        <w:t xml:space="preserve"> ir </w:t>
      </w:r>
      <w:proofErr w:type="spellStart"/>
      <w:r w:rsidRPr="009B4F5B">
        <w:rPr>
          <w:bCs/>
        </w:rPr>
        <w:t>fulvestranto</w:t>
      </w:r>
      <w:proofErr w:type="spellEnd"/>
      <w:r w:rsidRPr="009B4F5B">
        <w:rPr>
          <w:bCs/>
        </w:rPr>
        <w:t xml:space="preserve"> deriniais).</w:t>
      </w:r>
    </w:p>
    <w:p w14:paraId="76A0FEF4" w14:textId="77777777" w:rsidR="00B96F61" w:rsidRPr="0020156B" w:rsidRDefault="00B96F61" w:rsidP="00B96F61">
      <w:pPr>
        <w:tabs>
          <w:tab w:val="left" w:pos="426"/>
        </w:tabs>
        <w:jc w:val="both"/>
        <w:rPr>
          <w:bCs/>
          <w:iCs/>
          <w:color w:val="000000"/>
          <w:lang w:eastAsia="lt-LT"/>
        </w:rPr>
      </w:pPr>
    </w:p>
    <w:p w14:paraId="1961C90F" w14:textId="77777777" w:rsidR="00B96F61" w:rsidRDefault="00B96F61" w:rsidP="00B96F61">
      <w:pPr>
        <w:tabs>
          <w:tab w:val="left" w:pos="426"/>
        </w:tabs>
        <w:jc w:val="both"/>
        <w:rPr>
          <w:b/>
          <w:color w:val="000000"/>
          <w:lang w:eastAsia="lt-LT"/>
        </w:rPr>
      </w:pPr>
      <w:r w:rsidRPr="00D05364">
        <w:rPr>
          <w:b/>
          <w:color w:val="000000"/>
          <w:lang w:eastAsia="lt-LT"/>
        </w:rPr>
        <w:t>4.1 Klinikinių įrodymų pranašumai (</w:t>
      </w:r>
      <w:r w:rsidRPr="00D05364">
        <w:rPr>
          <w:b/>
          <w:i/>
          <w:color w:val="000000"/>
          <w:lang w:eastAsia="lt-LT"/>
        </w:rPr>
        <w:t xml:space="preserve">angl. </w:t>
      </w:r>
      <w:proofErr w:type="spellStart"/>
      <w:r w:rsidRPr="00D05364">
        <w:rPr>
          <w:b/>
          <w:i/>
          <w:color w:val="000000"/>
          <w:lang w:eastAsia="lt-LT"/>
        </w:rPr>
        <w:t>strength</w:t>
      </w:r>
      <w:proofErr w:type="spellEnd"/>
      <w:r w:rsidRPr="00D05364">
        <w:rPr>
          <w:b/>
          <w:color w:val="000000"/>
          <w:lang w:eastAsia="lt-LT"/>
        </w:rPr>
        <w:t>)</w:t>
      </w:r>
    </w:p>
    <w:p w14:paraId="576B0603" w14:textId="77777777" w:rsidR="00B96F61" w:rsidRPr="00D05364" w:rsidRDefault="00B96F61" w:rsidP="00B96F61">
      <w:pPr>
        <w:tabs>
          <w:tab w:val="left" w:pos="426"/>
        </w:tabs>
        <w:jc w:val="both"/>
        <w:rPr>
          <w:b/>
          <w:color w:val="000000"/>
          <w:lang w:eastAsia="lt-LT"/>
        </w:rPr>
      </w:pPr>
    </w:p>
    <w:p w14:paraId="3FD27875" w14:textId="77777777" w:rsidR="00B96F61" w:rsidRPr="00795722" w:rsidRDefault="00B96F61" w:rsidP="00B96F61">
      <w:pPr>
        <w:pStyle w:val="Sraopastraipa"/>
        <w:numPr>
          <w:ilvl w:val="0"/>
          <w:numId w:val="13"/>
        </w:numPr>
        <w:tabs>
          <w:tab w:val="left" w:pos="426"/>
        </w:tabs>
        <w:spacing w:line="276" w:lineRule="auto"/>
        <w:jc w:val="both"/>
        <w:rPr>
          <w:bCs/>
          <w:color w:val="000000"/>
          <w:lang w:eastAsia="lt-LT"/>
        </w:rPr>
      </w:pPr>
      <w:r w:rsidRPr="00795722">
        <w:rPr>
          <w:bCs/>
          <w:color w:val="000000"/>
          <w:lang w:eastAsia="lt-LT"/>
        </w:rPr>
        <w:lastRenderedPageBreak/>
        <w:t>PALOMA-2 buvo atsitiktinių imčių, dvigubai aklas, aktyviu palyginamuoju kontroliuojamas 3 fazės klinikinis tyrimas.</w:t>
      </w:r>
    </w:p>
    <w:p w14:paraId="0863F267" w14:textId="77777777" w:rsidR="00B96F61" w:rsidRPr="00D05364" w:rsidRDefault="00B96F61" w:rsidP="00B96F61">
      <w:pPr>
        <w:tabs>
          <w:tab w:val="left" w:pos="426"/>
        </w:tabs>
        <w:jc w:val="both"/>
        <w:rPr>
          <w:b/>
          <w:color w:val="000000"/>
          <w:lang w:eastAsia="lt-LT"/>
        </w:rPr>
      </w:pPr>
    </w:p>
    <w:p w14:paraId="7D572159" w14:textId="77777777" w:rsidR="00B96F61" w:rsidRDefault="00B96F61" w:rsidP="00B96F61">
      <w:pPr>
        <w:tabs>
          <w:tab w:val="left" w:pos="426"/>
        </w:tabs>
        <w:jc w:val="both"/>
        <w:rPr>
          <w:b/>
          <w:color w:val="000000"/>
          <w:lang w:eastAsia="lt-LT"/>
        </w:rPr>
      </w:pPr>
      <w:r w:rsidRPr="00D05364">
        <w:rPr>
          <w:b/>
          <w:color w:val="000000"/>
          <w:lang w:eastAsia="lt-LT"/>
        </w:rPr>
        <w:t>4.2 Klinikinių įrodymų trūkumai (</w:t>
      </w:r>
      <w:r w:rsidRPr="00D05364">
        <w:rPr>
          <w:b/>
          <w:i/>
          <w:color w:val="000000"/>
          <w:lang w:eastAsia="lt-LT"/>
        </w:rPr>
        <w:t xml:space="preserve">angl. </w:t>
      </w:r>
      <w:proofErr w:type="spellStart"/>
      <w:r w:rsidRPr="00D05364">
        <w:rPr>
          <w:b/>
          <w:i/>
          <w:color w:val="000000"/>
          <w:lang w:eastAsia="lt-LT"/>
        </w:rPr>
        <w:t>weakness</w:t>
      </w:r>
      <w:proofErr w:type="spellEnd"/>
      <w:r w:rsidRPr="00D05364">
        <w:rPr>
          <w:b/>
          <w:color w:val="000000"/>
          <w:lang w:eastAsia="lt-LT"/>
        </w:rPr>
        <w:t>)</w:t>
      </w:r>
    </w:p>
    <w:p w14:paraId="12A73B8F" w14:textId="77777777" w:rsidR="00B96F61" w:rsidRDefault="00B96F61" w:rsidP="00B96F61">
      <w:pPr>
        <w:tabs>
          <w:tab w:val="left" w:pos="426"/>
        </w:tabs>
        <w:jc w:val="both"/>
        <w:rPr>
          <w:b/>
          <w:color w:val="000000"/>
          <w:lang w:eastAsia="lt-LT"/>
        </w:rPr>
      </w:pPr>
    </w:p>
    <w:p w14:paraId="34A4A9E7" w14:textId="77777777" w:rsidR="00B96F61" w:rsidRPr="00F75ACD" w:rsidRDefault="00B96F61" w:rsidP="00B96F61">
      <w:pPr>
        <w:pStyle w:val="Sraopastraipa"/>
        <w:numPr>
          <w:ilvl w:val="0"/>
          <w:numId w:val="13"/>
        </w:numPr>
        <w:tabs>
          <w:tab w:val="left" w:pos="426"/>
        </w:tabs>
        <w:spacing w:line="276" w:lineRule="auto"/>
        <w:jc w:val="both"/>
        <w:rPr>
          <w:bCs/>
          <w:color w:val="000000"/>
          <w:lang w:eastAsia="lt-LT"/>
        </w:rPr>
      </w:pPr>
      <w:r w:rsidRPr="00F75ACD">
        <w:rPr>
          <w:bCs/>
          <w:color w:val="000000"/>
          <w:lang w:eastAsia="lt-LT"/>
        </w:rPr>
        <w:t xml:space="preserve">Nepateikti tiesioginio palyginimo duomenys apie </w:t>
      </w:r>
      <w:proofErr w:type="spellStart"/>
      <w:r w:rsidRPr="00F75ACD">
        <w:rPr>
          <w:bCs/>
          <w:color w:val="000000"/>
          <w:lang w:eastAsia="lt-LT"/>
        </w:rPr>
        <w:t>palbociklibo</w:t>
      </w:r>
      <w:proofErr w:type="spellEnd"/>
      <w:r w:rsidRPr="00F75ACD">
        <w:rPr>
          <w:bCs/>
          <w:color w:val="000000"/>
          <w:lang w:eastAsia="lt-LT"/>
        </w:rPr>
        <w:t xml:space="preserve"> ir </w:t>
      </w:r>
      <w:proofErr w:type="spellStart"/>
      <w:r w:rsidRPr="00F75ACD">
        <w:rPr>
          <w:bCs/>
          <w:color w:val="000000"/>
          <w:lang w:eastAsia="lt-LT"/>
        </w:rPr>
        <w:t>letrozolo</w:t>
      </w:r>
      <w:proofErr w:type="spellEnd"/>
      <w:r w:rsidRPr="00F75ACD">
        <w:rPr>
          <w:bCs/>
          <w:color w:val="000000"/>
          <w:lang w:eastAsia="lt-LT"/>
        </w:rPr>
        <w:t xml:space="preserve"> palyginamąjį veiksmingumą su Lietuvos klinikinei praktikai aktualiu </w:t>
      </w:r>
      <w:proofErr w:type="spellStart"/>
      <w:r w:rsidRPr="00F75ACD">
        <w:rPr>
          <w:bCs/>
          <w:color w:val="000000"/>
          <w:lang w:eastAsia="lt-LT"/>
        </w:rPr>
        <w:t>ribociklibo</w:t>
      </w:r>
      <w:proofErr w:type="spellEnd"/>
      <w:r w:rsidRPr="00F75ACD">
        <w:rPr>
          <w:bCs/>
          <w:color w:val="000000"/>
          <w:lang w:eastAsia="lt-LT"/>
        </w:rPr>
        <w:t xml:space="preserve"> ir </w:t>
      </w:r>
      <w:proofErr w:type="spellStart"/>
      <w:r w:rsidRPr="00F75ACD">
        <w:rPr>
          <w:bCs/>
          <w:color w:val="000000"/>
          <w:lang w:eastAsia="lt-LT"/>
        </w:rPr>
        <w:t>letrozolo</w:t>
      </w:r>
      <w:proofErr w:type="spellEnd"/>
      <w:r w:rsidRPr="00F75ACD">
        <w:rPr>
          <w:bCs/>
          <w:color w:val="000000"/>
          <w:lang w:eastAsia="lt-LT"/>
        </w:rPr>
        <w:t xml:space="preserve"> deriniu. </w:t>
      </w:r>
    </w:p>
    <w:p w14:paraId="25F89291" w14:textId="5C45C8FC" w:rsidR="00D4485B" w:rsidRDefault="00D4485B" w:rsidP="00A93AA6">
      <w:pPr>
        <w:pStyle w:val="Sraopastraipa"/>
        <w:tabs>
          <w:tab w:val="left" w:pos="426"/>
        </w:tabs>
        <w:ind w:left="0"/>
        <w:rPr>
          <w:b/>
          <w:bCs/>
          <w:caps/>
        </w:rPr>
      </w:pPr>
    </w:p>
    <w:p w14:paraId="19F98FDD" w14:textId="77777777" w:rsidR="00B96F61" w:rsidRPr="00E33EFF" w:rsidRDefault="00B96F61"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Default="00C62B36" w:rsidP="00A93AA6">
      <w:pPr>
        <w:tabs>
          <w:tab w:val="left" w:pos="426"/>
        </w:tabs>
        <w:rPr>
          <w:i/>
          <w:color w:val="00B050"/>
          <w:sz w:val="22"/>
          <w:szCs w:val="22"/>
        </w:rPr>
      </w:pPr>
    </w:p>
    <w:p w14:paraId="48F43273" w14:textId="77777777" w:rsidR="00B96F61" w:rsidRDefault="00B96F61" w:rsidP="00B96F61">
      <w:pPr>
        <w:shd w:val="clear" w:color="auto" w:fill="FFFFFF"/>
        <w:spacing w:line="276" w:lineRule="auto"/>
        <w:rPr>
          <w:iCs/>
          <w:lang w:eastAsia="lt-LT"/>
        </w:rPr>
      </w:pPr>
      <w:r>
        <w:rPr>
          <w:iCs/>
          <w:lang w:eastAsia="lt-LT"/>
        </w:rPr>
        <w:t xml:space="preserve">Vertinimui pateikta kaštų mažinimo analizė, lyginant </w:t>
      </w:r>
      <w:proofErr w:type="spellStart"/>
      <w:r>
        <w:rPr>
          <w:iCs/>
          <w:lang w:eastAsia="lt-LT"/>
        </w:rPr>
        <w:t>palbociklibo</w:t>
      </w:r>
      <w:proofErr w:type="spellEnd"/>
      <w:r>
        <w:rPr>
          <w:iCs/>
          <w:lang w:eastAsia="lt-LT"/>
        </w:rPr>
        <w:t xml:space="preserve"> ir </w:t>
      </w:r>
      <w:proofErr w:type="spellStart"/>
      <w:r>
        <w:rPr>
          <w:iCs/>
          <w:lang w:eastAsia="lt-LT"/>
        </w:rPr>
        <w:t>letrozolo</w:t>
      </w:r>
      <w:proofErr w:type="spellEnd"/>
      <w:r>
        <w:rPr>
          <w:iCs/>
          <w:lang w:eastAsia="lt-LT"/>
        </w:rPr>
        <w:t xml:space="preserve"> derinio kaštus su:</w:t>
      </w:r>
    </w:p>
    <w:p w14:paraId="5B402ED5" w14:textId="77777777" w:rsidR="00B96F61" w:rsidRDefault="00B96F61" w:rsidP="00B96F61">
      <w:pPr>
        <w:shd w:val="clear" w:color="auto" w:fill="FFFFFF"/>
        <w:spacing w:line="276" w:lineRule="auto"/>
        <w:rPr>
          <w:iCs/>
          <w:lang w:eastAsia="lt-LT"/>
        </w:rPr>
      </w:pPr>
      <w:proofErr w:type="spellStart"/>
      <w:r>
        <w:rPr>
          <w:iCs/>
          <w:lang w:eastAsia="lt-LT"/>
        </w:rPr>
        <w:t>Abemaciklibo</w:t>
      </w:r>
      <w:proofErr w:type="spellEnd"/>
      <w:r>
        <w:rPr>
          <w:iCs/>
          <w:lang w:eastAsia="lt-LT"/>
        </w:rPr>
        <w:t xml:space="preserve"> ir </w:t>
      </w:r>
      <w:proofErr w:type="spellStart"/>
      <w:r>
        <w:rPr>
          <w:iCs/>
          <w:lang w:eastAsia="lt-LT"/>
        </w:rPr>
        <w:t>fulvestranto</w:t>
      </w:r>
      <w:proofErr w:type="spellEnd"/>
      <w:r>
        <w:rPr>
          <w:iCs/>
          <w:lang w:eastAsia="lt-LT"/>
        </w:rPr>
        <w:t xml:space="preserve"> deriniu;</w:t>
      </w:r>
    </w:p>
    <w:p w14:paraId="48517F0A" w14:textId="77777777" w:rsidR="00B96F61" w:rsidRDefault="00B96F61" w:rsidP="00B96F61">
      <w:pPr>
        <w:shd w:val="clear" w:color="auto" w:fill="FFFFFF"/>
        <w:spacing w:line="276" w:lineRule="auto"/>
        <w:rPr>
          <w:iCs/>
          <w:lang w:eastAsia="lt-LT"/>
        </w:rPr>
      </w:pPr>
      <w:proofErr w:type="spellStart"/>
      <w:r>
        <w:rPr>
          <w:iCs/>
          <w:lang w:eastAsia="lt-LT"/>
        </w:rPr>
        <w:t>Ribociklibo</w:t>
      </w:r>
      <w:proofErr w:type="spellEnd"/>
      <w:r>
        <w:rPr>
          <w:iCs/>
          <w:lang w:eastAsia="lt-LT"/>
        </w:rPr>
        <w:t xml:space="preserve"> ir </w:t>
      </w:r>
      <w:proofErr w:type="spellStart"/>
      <w:r>
        <w:rPr>
          <w:iCs/>
          <w:lang w:eastAsia="lt-LT"/>
        </w:rPr>
        <w:t>letrozolo</w:t>
      </w:r>
      <w:proofErr w:type="spellEnd"/>
      <w:r>
        <w:rPr>
          <w:iCs/>
          <w:lang w:eastAsia="lt-LT"/>
        </w:rPr>
        <w:t xml:space="preserve"> deriniu;</w:t>
      </w:r>
    </w:p>
    <w:p w14:paraId="79837E6B" w14:textId="77777777" w:rsidR="00B96F61" w:rsidRDefault="00B96F61" w:rsidP="00B96F61">
      <w:pPr>
        <w:shd w:val="clear" w:color="auto" w:fill="FFFFFF"/>
        <w:spacing w:line="276" w:lineRule="auto"/>
        <w:rPr>
          <w:iCs/>
          <w:lang w:eastAsia="lt-LT"/>
        </w:rPr>
      </w:pPr>
      <w:proofErr w:type="spellStart"/>
      <w:r>
        <w:rPr>
          <w:iCs/>
          <w:lang w:eastAsia="lt-LT"/>
        </w:rPr>
        <w:t>Ribociklibo</w:t>
      </w:r>
      <w:proofErr w:type="spellEnd"/>
      <w:r>
        <w:rPr>
          <w:iCs/>
          <w:lang w:eastAsia="lt-LT"/>
        </w:rPr>
        <w:t xml:space="preserve"> ir </w:t>
      </w:r>
      <w:proofErr w:type="spellStart"/>
      <w:r>
        <w:rPr>
          <w:iCs/>
          <w:lang w:eastAsia="lt-LT"/>
        </w:rPr>
        <w:t>fulvestranto</w:t>
      </w:r>
      <w:proofErr w:type="spellEnd"/>
      <w:r>
        <w:rPr>
          <w:iCs/>
          <w:lang w:eastAsia="lt-LT"/>
        </w:rPr>
        <w:t xml:space="preserve"> deriniu.</w:t>
      </w:r>
    </w:p>
    <w:p w14:paraId="4495BC44" w14:textId="77777777" w:rsidR="00B96F61" w:rsidRDefault="00B96F61" w:rsidP="00B96F61">
      <w:pPr>
        <w:shd w:val="clear" w:color="auto" w:fill="FFFFFF"/>
        <w:spacing w:line="276" w:lineRule="auto"/>
        <w:rPr>
          <w:iCs/>
          <w:lang w:eastAsia="lt-LT"/>
        </w:rPr>
      </w:pPr>
    </w:p>
    <w:p w14:paraId="3F645E09" w14:textId="77777777" w:rsidR="00B96F61" w:rsidRPr="00144E65" w:rsidRDefault="00B96F61" w:rsidP="00B96F61">
      <w:pPr>
        <w:shd w:val="clear" w:color="auto" w:fill="FFFFFF"/>
        <w:spacing w:line="276" w:lineRule="auto"/>
        <w:rPr>
          <w:iCs/>
          <w:lang w:eastAsia="lt-LT"/>
        </w:rPr>
      </w:pPr>
      <w:r>
        <w:rPr>
          <w:iCs/>
          <w:lang w:eastAsia="lt-LT"/>
        </w:rPr>
        <w:t xml:space="preserve">Tarnyba atliko analizės rezultato perskaičiavimą, taikant konfidencialias kainas, pagal gamintojų sutartis su VLK. Atlikus analizės rezultato perskaičiavimą, įvertinta, jog gydymas </w:t>
      </w:r>
      <w:proofErr w:type="spellStart"/>
      <w:r>
        <w:rPr>
          <w:iCs/>
          <w:lang w:eastAsia="lt-LT"/>
        </w:rPr>
        <w:t>palbociklibo</w:t>
      </w:r>
      <w:proofErr w:type="spellEnd"/>
      <w:r>
        <w:rPr>
          <w:iCs/>
          <w:lang w:eastAsia="lt-LT"/>
        </w:rPr>
        <w:t xml:space="preserve"> ir </w:t>
      </w:r>
      <w:proofErr w:type="spellStart"/>
      <w:r>
        <w:rPr>
          <w:iCs/>
          <w:lang w:eastAsia="lt-LT"/>
        </w:rPr>
        <w:t>letrozolo</w:t>
      </w:r>
      <w:proofErr w:type="spellEnd"/>
      <w:r>
        <w:rPr>
          <w:iCs/>
          <w:lang w:eastAsia="lt-LT"/>
        </w:rPr>
        <w:t xml:space="preserve"> deriniu yra pigesnis už gydymo alternatyvas, taikant vienerių metų laiko perspektyvą.</w:t>
      </w:r>
    </w:p>
    <w:p w14:paraId="4F2B3DF1" w14:textId="77777777" w:rsidR="00B96F61" w:rsidRPr="00E33EFF" w:rsidRDefault="00B96F61"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1521A694" w:rsidR="009E44AE" w:rsidRDefault="009E44AE"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18"/>
        <w:gridCol w:w="3477"/>
        <w:gridCol w:w="3413"/>
      </w:tblGrid>
      <w:tr w:rsidR="006B5FF2" w:rsidRPr="00D05364" w14:paraId="17B25DDB" w14:textId="77777777" w:rsidTr="00CE0954">
        <w:trPr>
          <w:trHeight w:val="364"/>
          <w:jc w:val="center"/>
        </w:trPr>
        <w:tc>
          <w:tcPr>
            <w:tcW w:w="9908" w:type="dxa"/>
            <w:gridSpan w:val="3"/>
            <w:tcBorders>
              <w:top w:val="single" w:sz="12" w:space="0" w:color="auto"/>
              <w:bottom w:val="single" w:sz="4" w:space="0" w:color="auto"/>
            </w:tcBorders>
            <w:vAlign w:val="center"/>
          </w:tcPr>
          <w:p w14:paraId="4040F98D" w14:textId="77777777" w:rsidR="006B5FF2" w:rsidRPr="00D05364" w:rsidRDefault="006B5FF2" w:rsidP="00CE0954">
            <w:pPr>
              <w:tabs>
                <w:tab w:val="left" w:pos="567"/>
              </w:tabs>
              <w:jc w:val="center"/>
              <w:rPr>
                <w:b/>
                <w:i/>
                <w:iCs/>
                <w:color w:val="00B050"/>
                <w:sz w:val="22"/>
                <w:szCs w:val="22"/>
                <w:lang w:eastAsia="lt-LT"/>
              </w:rPr>
            </w:pPr>
            <w:r w:rsidRPr="00D05364">
              <w:rPr>
                <w:b/>
                <w:lang w:eastAsia="lt-LT"/>
              </w:rPr>
              <w:t>Kaštai</w:t>
            </w:r>
          </w:p>
        </w:tc>
      </w:tr>
      <w:tr w:rsidR="006B5FF2" w:rsidRPr="00D05364" w14:paraId="036BCD2C" w14:textId="77777777" w:rsidTr="00CE0954">
        <w:trPr>
          <w:jc w:val="center"/>
        </w:trPr>
        <w:tc>
          <w:tcPr>
            <w:tcW w:w="3018" w:type="dxa"/>
            <w:tcBorders>
              <w:top w:val="single" w:sz="4" w:space="0" w:color="auto"/>
              <w:bottom w:val="single" w:sz="4" w:space="0" w:color="auto"/>
            </w:tcBorders>
          </w:tcPr>
          <w:p w14:paraId="30C766E9" w14:textId="77777777" w:rsidR="006B5FF2" w:rsidRPr="00D05364" w:rsidRDefault="006B5FF2" w:rsidP="00CE0954">
            <w:pPr>
              <w:tabs>
                <w:tab w:val="left" w:pos="567"/>
              </w:tabs>
              <w:jc w:val="both"/>
              <w:rPr>
                <w:color w:val="00B050"/>
                <w:lang w:eastAsia="lt-LT"/>
              </w:rPr>
            </w:pPr>
          </w:p>
        </w:tc>
        <w:tc>
          <w:tcPr>
            <w:tcW w:w="3477" w:type="dxa"/>
            <w:tcBorders>
              <w:top w:val="single" w:sz="4" w:space="0" w:color="auto"/>
              <w:bottom w:val="single" w:sz="4" w:space="0" w:color="auto"/>
            </w:tcBorders>
          </w:tcPr>
          <w:p w14:paraId="6CC3D601" w14:textId="77777777" w:rsidR="006B5FF2" w:rsidRPr="00D05364" w:rsidRDefault="006B5FF2" w:rsidP="00CE0954">
            <w:pPr>
              <w:tabs>
                <w:tab w:val="left" w:pos="567"/>
              </w:tabs>
              <w:jc w:val="both"/>
              <w:rPr>
                <w:i/>
                <w:iCs/>
                <w:lang w:eastAsia="lt-LT"/>
              </w:rPr>
            </w:pPr>
            <w:r>
              <w:rPr>
                <w:i/>
                <w:iCs/>
                <w:lang w:eastAsia="lt-LT"/>
              </w:rPr>
              <w:t>Vaistinių preparatų įsigijimo kaštai</w:t>
            </w:r>
          </w:p>
        </w:tc>
        <w:tc>
          <w:tcPr>
            <w:tcW w:w="3413" w:type="dxa"/>
            <w:tcBorders>
              <w:top w:val="single" w:sz="4" w:space="0" w:color="auto"/>
              <w:bottom w:val="single" w:sz="4" w:space="0" w:color="auto"/>
            </w:tcBorders>
          </w:tcPr>
          <w:p w14:paraId="2FF5CAA4" w14:textId="77777777" w:rsidR="006B5FF2" w:rsidRPr="00D05364" w:rsidRDefault="006B5FF2" w:rsidP="00CE0954">
            <w:pPr>
              <w:tabs>
                <w:tab w:val="left" w:pos="567"/>
              </w:tabs>
              <w:jc w:val="both"/>
              <w:rPr>
                <w:i/>
                <w:lang w:eastAsia="lt-LT"/>
              </w:rPr>
            </w:pPr>
            <w:r w:rsidRPr="00D05364">
              <w:rPr>
                <w:i/>
                <w:lang w:eastAsia="lt-LT"/>
              </w:rPr>
              <w:t>Skirtumas</w:t>
            </w:r>
            <w:r>
              <w:rPr>
                <w:i/>
                <w:lang w:eastAsia="lt-LT"/>
              </w:rPr>
              <w:t xml:space="preserve"> (</w:t>
            </w:r>
            <w:proofErr w:type="spellStart"/>
            <w:r>
              <w:rPr>
                <w:i/>
                <w:lang w:eastAsia="lt-LT"/>
              </w:rPr>
              <w:t>vs</w:t>
            </w:r>
            <w:proofErr w:type="spellEnd"/>
            <w:r>
              <w:rPr>
                <w:i/>
                <w:lang w:eastAsia="lt-LT"/>
              </w:rPr>
              <w:t xml:space="preserve"> </w:t>
            </w:r>
            <w:proofErr w:type="spellStart"/>
            <w:r>
              <w:rPr>
                <w:i/>
                <w:lang w:eastAsia="lt-LT"/>
              </w:rPr>
              <w:t>palbociklibas+letrozolas</w:t>
            </w:r>
            <w:proofErr w:type="spellEnd"/>
            <w:r>
              <w:rPr>
                <w:i/>
                <w:lang w:eastAsia="lt-LT"/>
              </w:rPr>
              <w:t>)</w:t>
            </w:r>
          </w:p>
        </w:tc>
      </w:tr>
      <w:tr w:rsidR="006B5FF2" w:rsidRPr="00D05364" w14:paraId="2FD374FC" w14:textId="77777777" w:rsidTr="00CE0954">
        <w:trPr>
          <w:jc w:val="center"/>
        </w:trPr>
        <w:tc>
          <w:tcPr>
            <w:tcW w:w="3018" w:type="dxa"/>
            <w:tcBorders>
              <w:top w:val="single" w:sz="4" w:space="0" w:color="auto"/>
              <w:bottom w:val="single" w:sz="4" w:space="0" w:color="auto"/>
            </w:tcBorders>
          </w:tcPr>
          <w:p w14:paraId="59AAD16C" w14:textId="77777777" w:rsidR="006B5FF2" w:rsidRPr="00181596" w:rsidRDefault="006B5FF2" w:rsidP="00CE0954">
            <w:pPr>
              <w:tabs>
                <w:tab w:val="left" w:pos="567"/>
              </w:tabs>
              <w:jc w:val="both"/>
              <w:rPr>
                <w:b/>
                <w:iCs/>
                <w:color w:val="00B050"/>
                <w:lang w:eastAsia="lt-LT"/>
              </w:rPr>
            </w:pPr>
            <w:proofErr w:type="spellStart"/>
            <w:r w:rsidRPr="00181596">
              <w:rPr>
                <w:b/>
                <w:iCs/>
                <w:color w:val="000000"/>
                <w:lang w:eastAsia="lt-LT"/>
              </w:rPr>
              <w:t>Palbociklibas+letrozolas</w:t>
            </w:r>
            <w:proofErr w:type="spellEnd"/>
          </w:p>
        </w:tc>
        <w:tc>
          <w:tcPr>
            <w:tcW w:w="3477" w:type="dxa"/>
            <w:tcBorders>
              <w:top w:val="single" w:sz="4" w:space="0" w:color="auto"/>
              <w:bottom w:val="single" w:sz="4" w:space="0" w:color="auto"/>
            </w:tcBorders>
          </w:tcPr>
          <w:p w14:paraId="0930FE2B" w14:textId="67F0370A" w:rsidR="006B5FF2" w:rsidRPr="00D05364" w:rsidRDefault="00AA7E81" w:rsidP="00CE0954">
            <w:pPr>
              <w:tabs>
                <w:tab w:val="left" w:pos="567"/>
              </w:tabs>
              <w:jc w:val="both"/>
              <w:rPr>
                <w:i/>
                <w:iCs/>
                <w:lang w:eastAsia="lt-LT"/>
              </w:rPr>
            </w:pPr>
            <w:r>
              <w:rPr>
                <w:i/>
                <w:iCs/>
                <w:lang w:eastAsia="lt-LT"/>
              </w:rPr>
              <w:t>***</w:t>
            </w:r>
          </w:p>
        </w:tc>
        <w:tc>
          <w:tcPr>
            <w:tcW w:w="3413" w:type="dxa"/>
            <w:tcBorders>
              <w:top w:val="single" w:sz="4" w:space="0" w:color="auto"/>
              <w:bottom w:val="single" w:sz="4" w:space="0" w:color="auto"/>
            </w:tcBorders>
          </w:tcPr>
          <w:p w14:paraId="37937A9C" w14:textId="6DC43126" w:rsidR="006B5FF2" w:rsidRPr="00D05364" w:rsidRDefault="00AA7E81" w:rsidP="00CE0954">
            <w:pPr>
              <w:tabs>
                <w:tab w:val="left" w:pos="567"/>
              </w:tabs>
              <w:jc w:val="both"/>
              <w:rPr>
                <w:lang w:eastAsia="lt-LT"/>
              </w:rPr>
            </w:pPr>
            <w:r>
              <w:rPr>
                <w:lang w:eastAsia="lt-LT"/>
              </w:rPr>
              <w:t>***</w:t>
            </w:r>
          </w:p>
        </w:tc>
      </w:tr>
      <w:tr w:rsidR="000D112D" w:rsidRPr="00D05364" w14:paraId="422A90C8" w14:textId="77777777" w:rsidTr="00CE0954">
        <w:trPr>
          <w:jc w:val="center"/>
        </w:trPr>
        <w:tc>
          <w:tcPr>
            <w:tcW w:w="3018" w:type="dxa"/>
            <w:tcBorders>
              <w:top w:val="single" w:sz="4" w:space="0" w:color="auto"/>
              <w:bottom w:val="single" w:sz="4" w:space="0" w:color="auto"/>
            </w:tcBorders>
          </w:tcPr>
          <w:p w14:paraId="5E3BB7DE" w14:textId="77777777" w:rsidR="000D112D" w:rsidRPr="00D05364" w:rsidRDefault="000D112D" w:rsidP="000D112D">
            <w:pPr>
              <w:tabs>
                <w:tab w:val="left" w:pos="567"/>
              </w:tabs>
              <w:jc w:val="both"/>
              <w:rPr>
                <w:iCs/>
                <w:color w:val="000000"/>
                <w:lang w:eastAsia="lt-LT"/>
              </w:rPr>
            </w:pPr>
            <w:proofErr w:type="spellStart"/>
            <w:r>
              <w:rPr>
                <w:iCs/>
                <w:color w:val="000000"/>
                <w:lang w:eastAsia="lt-LT"/>
              </w:rPr>
              <w:t>Abemaciklibas+fulvestrantas</w:t>
            </w:r>
            <w:proofErr w:type="spellEnd"/>
          </w:p>
        </w:tc>
        <w:tc>
          <w:tcPr>
            <w:tcW w:w="3477" w:type="dxa"/>
            <w:tcBorders>
              <w:top w:val="single" w:sz="4" w:space="0" w:color="auto"/>
            </w:tcBorders>
          </w:tcPr>
          <w:p w14:paraId="3409B510" w14:textId="1F73E4E4" w:rsidR="000D112D" w:rsidRPr="00D05364" w:rsidRDefault="000D112D" w:rsidP="000D112D">
            <w:pPr>
              <w:tabs>
                <w:tab w:val="left" w:pos="567"/>
              </w:tabs>
              <w:jc w:val="both"/>
              <w:rPr>
                <w:i/>
                <w:iCs/>
                <w:lang w:eastAsia="lt-LT"/>
              </w:rPr>
            </w:pPr>
            <w:r w:rsidRPr="007F7DB2">
              <w:rPr>
                <w:iCs/>
                <w:lang w:eastAsia="lt-LT"/>
              </w:rPr>
              <w:t>******</w:t>
            </w:r>
          </w:p>
        </w:tc>
        <w:tc>
          <w:tcPr>
            <w:tcW w:w="3413" w:type="dxa"/>
            <w:tcBorders>
              <w:top w:val="single" w:sz="4" w:space="0" w:color="auto"/>
              <w:bottom w:val="single" w:sz="4" w:space="0" w:color="auto"/>
            </w:tcBorders>
          </w:tcPr>
          <w:p w14:paraId="7373F27D" w14:textId="6C016C65" w:rsidR="000D112D" w:rsidRPr="00D05364" w:rsidRDefault="000D112D" w:rsidP="000D112D">
            <w:pPr>
              <w:tabs>
                <w:tab w:val="left" w:pos="567"/>
              </w:tabs>
              <w:jc w:val="both"/>
              <w:rPr>
                <w:lang w:eastAsia="lt-LT"/>
              </w:rPr>
            </w:pPr>
            <w:r w:rsidRPr="007F7DB2">
              <w:rPr>
                <w:iCs/>
                <w:lang w:eastAsia="lt-LT"/>
              </w:rPr>
              <w:t>******</w:t>
            </w:r>
          </w:p>
        </w:tc>
      </w:tr>
      <w:tr w:rsidR="000D112D" w:rsidRPr="00D05364" w14:paraId="588A1E7F" w14:textId="77777777" w:rsidTr="00CE0954">
        <w:trPr>
          <w:jc w:val="center"/>
        </w:trPr>
        <w:tc>
          <w:tcPr>
            <w:tcW w:w="3018" w:type="dxa"/>
            <w:tcBorders>
              <w:top w:val="single" w:sz="4" w:space="0" w:color="auto"/>
              <w:bottom w:val="single" w:sz="4" w:space="0" w:color="auto"/>
            </w:tcBorders>
          </w:tcPr>
          <w:p w14:paraId="76012DBB" w14:textId="77777777" w:rsidR="000D112D" w:rsidRPr="00D05364" w:rsidRDefault="000D112D" w:rsidP="000D112D">
            <w:pPr>
              <w:tabs>
                <w:tab w:val="left" w:pos="567"/>
              </w:tabs>
              <w:jc w:val="both"/>
              <w:rPr>
                <w:iCs/>
                <w:color w:val="000000"/>
                <w:lang w:eastAsia="lt-LT"/>
              </w:rPr>
            </w:pPr>
            <w:proofErr w:type="spellStart"/>
            <w:r>
              <w:rPr>
                <w:iCs/>
                <w:color w:val="000000"/>
                <w:lang w:eastAsia="lt-LT"/>
              </w:rPr>
              <w:t>Ribociklibas+letrozolas</w:t>
            </w:r>
            <w:proofErr w:type="spellEnd"/>
          </w:p>
        </w:tc>
        <w:tc>
          <w:tcPr>
            <w:tcW w:w="3477" w:type="dxa"/>
          </w:tcPr>
          <w:p w14:paraId="26446069" w14:textId="4D037068" w:rsidR="000D112D" w:rsidRPr="00D05364" w:rsidRDefault="000D112D" w:rsidP="000D112D">
            <w:pPr>
              <w:tabs>
                <w:tab w:val="left" w:pos="567"/>
              </w:tabs>
              <w:jc w:val="both"/>
              <w:rPr>
                <w:i/>
                <w:iCs/>
                <w:lang w:eastAsia="lt-LT"/>
              </w:rPr>
            </w:pPr>
            <w:r w:rsidRPr="007F7DB2">
              <w:rPr>
                <w:iCs/>
                <w:lang w:eastAsia="lt-LT"/>
              </w:rPr>
              <w:t>******</w:t>
            </w:r>
          </w:p>
        </w:tc>
        <w:tc>
          <w:tcPr>
            <w:tcW w:w="3413" w:type="dxa"/>
            <w:tcBorders>
              <w:top w:val="single" w:sz="4" w:space="0" w:color="auto"/>
              <w:bottom w:val="single" w:sz="4" w:space="0" w:color="auto"/>
            </w:tcBorders>
          </w:tcPr>
          <w:p w14:paraId="28337131" w14:textId="0C8FE87F" w:rsidR="000D112D" w:rsidRPr="002077A8" w:rsidRDefault="000D112D" w:rsidP="000D112D">
            <w:pPr>
              <w:tabs>
                <w:tab w:val="left" w:pos="567"/>
              </w:tabs>
              <w:jc w:val="both"/>
              <w:rPr>
                <w:lang w:eastAsia="lt-LT"/>
              </w:rPr>
            </w:pPr>
            <w:r w:rsidRPr="007F7DB2">
              <w:rPr>
                <w:iCs/>
                <w:lang w:eastAsia="lt-LT"/>
              </w:rPr>
              <w:t>******</w:t>
            </w:r>
          </w:p>
        </w:tc>
      </w:tr>
      <w:tr w:rsidR="000D112D" w:rsidRPr="00D05364" w14:paraId="735C8549" w14:textId="77777777" w:rsidTr="00CE0954">
        <w:trPr>
          <w:jc w:val="center"/>
        </w:trPr>
        <w:tc>
          <w:tcPr>
            <w:tcW w:w="3018" w:type="dxa"/>
            <w:tcBorders>
              <w:top w:val="single" w:sz="4" w:space="0" w:color="auto"/>
              <w:bottom w:val="single" w:sz="4" w:space="0" w:color="auto"/>
            </w:tcBorders>
          </w:tcPr>
          <w:p w14:paraId="45C0C2BB" w14:textId="77777777" w:rsidR="000D112D" w:rsidRPr="00D05364" w:rsidRDefault="000D112D" w:rsidP="000D112D">
            <w:pPr>
              <w:tabs>
                <w:tab w:val="left" w:pos="567"/>
              </w:tabs>
              <w:rPr>
                <w:iCs/>
                <w:color w:val="000000"/>
                <w:lang w:eastAsia="lt-LT"/>
              </w:rPr>
            </w:pPr>
            <w:proofErr w:type="spellStart"/>
            <w:r>
              <w:rPr>
                <w:iCs/>
                <w:color w:val="000000"/>
                <w:lang w:eastAsia="lt-LT"/>
              </w:rPr>
              <w:t>Ribociklibas+fulvestrantas</w:t>
            </w:r>
            <w:proofErr w:type="spellEnd"/>
          </w:p>
        </w:tc>
        <w:tc>
          <w:tcPr>
            <w:tcW w:w="3477" w:type="dxa"/>
            <w:tcBorders>
              <w:bottom w:val="single" w:sz="4" w:space="0" w:color="auto"/>
            </w:tcBorders>
          </w:tcPr>
          <w:p w14:paraId="0EFB5C8C" w14:textId="3C45003B" w:rsidR="000D112D" w:rsidRPr="00D05364" w:rsidRDefault="000D112D" w:rsidP="000D112D">
            <w:pPr>
              <w:tabs>
                <w:tab w:val="left" w:pos="567"/>
              </w:tabs>
              <w:jc w:val="both"/>
              <w:rPr>
                <w:i/>
                <w:iCs/>
                <w:lang w:eastAsia="lt-LT"/>
              </w:rPr>
            </w:pPr>
            <w:r w:rsidRPr="007F7DB2">
              <w:rPr>
                <w:iCs/>
                <w:lang w:eastAsia="lt-LT"/>
              </w:rPr>
              <w:t>******</w:t>
            </w:r>
          </w:p>
        </w:tc>
        <w:tc>
          <w:tcPr>
            <w:tcW w:w="3413" w:type="dxa"/>
            <w:tcBorders>
              <w:top w:val="single" w:sz="4" w:space="0" w:color="auto"/>
              <w:bottom w:val="single" w:sz="4" w:space="0" w:color="auto"/>
            </w:tcBorders>
          </w:tcPr>
          <w:p w14:paraId="5C1A2DD1" w14:textId="60E2F67D" w:rsidR="000D112D" w:rsidRPr="00D05364" w:rsidRDefault="000D112D" w:rsidP="000D112D">
            <w:pPr>
              <w:tabs>
                <w:tab w:val="left" w:pos="567"/>
              </w:tabs>
              <w:jc w:val="both"/>
              <w:rPr>
                <w:lang w:eastAsia="lt-LT"/>
              </w:rPr>
            </w:pPr>
            <w:r w:rsidRPr="007F7DB2">
              <w:rPr>
                <w:iCs/>
                <w:lang w:eastAsia="lt-LT"/>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139C7D0"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25B3C40C"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7A8D69A5"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5EFD5B9"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42080F3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96F61" w:rsidRPr="00E33EFF" w14:paraId="7091A05B" w14:textId="77777777" w:rsidTr="0061611B">
        <w:tc>
          <w:tcPr>
            <w:tcW w:w="4815" w:type="dxa"/>
          </w:tcPr>
          <w:p w14:paraId="21FBD2B7" w14:textId="2C74D1A1" w:rsidR="00B96F61" w:rsidRPr="00B96F61" w:rsidRDefault="00000000"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6B5FF2">
                  <w:rPr>
                    <w:rStyle w:val="Style2"/>
                    <w:rFonts w:ascii="MS Gothic" w:eastAsia="MS Gothic" w:hAnsi="MS Gothic" w:hint="eastAsia"/>
                    <w:sz w:val="24"/>
                  </w:rPr>
                  <w:t>☐</w:t>
                </w:r>
              </w:sdtContent>
            </w:sdt>
            <w:r w:rsidR="00B96F61" w:rsidRPr="00B96F61">
              <w:t xml:space="preserve"> 32.3. atitinka referencinę naudingumo vertę, taikant PGS</w:t>
            </w:r>
          </w:p>
          <w:p w14:paraId="54CF781E" w14:textId="77777777" w:rsidR="00B96F61" w:rsidRPr="00B96F61"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3FF53C" w14:textId="77777777" w:rsidR="00B96F61" w:rsidRPr="00B96F61" w:rsidRDefault="00000000"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Content>
                <w:r w:rsidR="00B96F61" w:rsidRPr="00B96F61">
                  <w:rPr>
                    <w:rStyle w:val="Style2"/>
                    <w:rFonts w:ascii="MS Gothic" w:eastAsia="MS Gothic" w:hAnsi="MS Gothic" w:hint="eastAsia"/>
                    <w:sz w:val="24"/>
                  </w:rPr>
                  <w:t>☒</w:t>
                </w:r>
              </w:sdtContent>
            </w:sdt>
            <w:r w:rsidR="00B96F61" w:rsidRPr="00B96F61">
              <w:t xml:space="preserve"> 32.3. gydymo juo kaštai yra mažesni ar tokie patys esant iš esmės nesiskiriančiam palyginamajam efektyvumui, taikant PGS, lyginant su įprasta klinikine praktika</w:t>
            </w:r>
          </w:p>
          <w:p w14:paraId="25E4BD1E" w14:textId="77777777" w:rsidR="00B96F61" w:rsidRPr="00B96F61"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4EAFCC92" w14:textId="77777777" w:rsidR="00B96F61" w:rsidRPr="00B96F61" w:rsidRDefault="00000000"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96F61" w:rsidRPr="00B96F61">
                  <w:rPr>
                    <w:rStyle w:val="Style2"/>
                    <w:rFonts w:ascii="Segoe UI Symbol" w:eastAsia="MS Gothic" w:hAnsi="Segoe UI Symbol" w:cs="Segoe UI Symbol"/>
                    <w:sz w:val="24"/>
                  </w:rPr>
                  <w:t>☐</w:t>
                </w:r>
              </w:sdtContent>
            </w:sdt>
            <w:r w:rsidR="00B96F61" w:rsidRPr="00B96F61">
              <w:t xml:space="preserve"> 33.3. neatitinka referencinės naudingumo vertės Lietuvos Respublikoje</w:t>
            </w:r>
          </w:p>
          <w:p w14:paraId="4947EBB5" w14:textId="77777777" w:rsidR="00B96F61" w:rsidRPr="00B96F61"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2A6375" w14:textId="77777777" w:rsidR="00B96F61" w:rsidRPr="00B96F61" w:rsidRDefault="00000000"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96F61" w:rsidRPr="00B96F61">
                  <w:rPr>
                    <w:rStyle w:val="Style2"/>
                    <w:rFonts w:ascii="Segoe UI Symbol" w:eastAsia="MS Gothic" w:hAnsi="Segoe UI Symbol" w:cs="Segoe UI Symbol"/>
                    <w:sz w:val="24"/>
                  </w:rPr>
                  <w:t>☐</w:t>
                </w:r>
              </w:sdtContent>
            </w:sdt>
            <w:r w:rsidR="00B96F61" w:rsidRPr="00B96F61">
              <w:t xml:space="preserve"> 33.3. gydymo juo kaštai yra didesni esant iš esmės nesiskiriančiam palyginamajam efektyvumui, taikant PGS, lyginant su įprasta klinikine praktika</w:t>
            </w:r>
          </w:p>
          <w:p w14:paraId="60365E23" w14:textId="77777777" w:rsidR="00B96F61" w:rsidRPr="00B96F61"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20C64E5E" w14:textId="77777777" w:rsidR="00B96F61" w:rsidRPr="00B96F61" w:rsidRDefault="00000000"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96F61" w:rsidRPr="00B96F61">
                  <w:rPr>
                    <w:rStyle w:val="Style2"/>
                    <w:rFonts w:ascii="Segoe UI Symbol" w:eastAsia="MS Gothic" w:hAnsi="Segoe UI Symbol" w:cs="Segoe UI Symbol"/>
                    <w:sz w:val="24"/>
                  </w:rPr>
                  <w:t>☐</w:t>
                </w:r>
              </w:sdtContent>
            </w:sdt>
            <w:r w:rsidR="00B96F61" w:rsidRPr="00B96F61">
              <w:t xml:space="preserve"> 33.3. pateikti duomenys apie kaštų naudingumą yra netinkami vertinti</w:t>
            </w:r>
          </w:p>
          <w:p w14:paraId="470A48A4" w14:textId="77777777" w:rsidR="00B96F61" w:rsidRPr="00B96F61"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1B0312BE" w14:textId="77777777" w:rsidR="00B96F61" w:rsidRPr="00E33EFF" w:rsidRDefault="00B96F61" w:rsidP="00B96F61">
      <w:pPr>
        <w:spacing w:line="276"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p>
    <w:p w14:paraId="06BC01EE" w14:textId="593D4E29" w:rsidR="000723FF" w:rsidRDefault="00B96F61"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33EFF">
        <w:t>34.3. kompensuoti vaistinį prepa</w:t>
      </w:r>
      <w:r>
        <w:t xml:space="preserve">ratą pagal paraiškoje nurodytą </w:t>
      </w:r>
      <w:r w:rsidRPr="00E33EFF">
        <w:t>indikaciją su skyrimo sąlygomis</w:t>
      </w:r>
      <w:r>
        <w:t xml:space="preserve">, </w:t>
      </w:r>
      <w:r w:rsidRPr="00E33EFF">
        <w:t xml:space="preserve">taikant PGS, dėl iš esmės nesiskiriančio gydymo efektyvumo ir sukuriamos naudos pacientų sveikatai, lyginant su įprasta klinikine praktika, ir dėl </w:t>
      </w:r>
      <w:r>
        <w:t>mažesnių gydymo kaštų</w:t>
      </w:r>
    </w:p>
    <w:p w14:paraId="67BD264B" w14:textId="77777777" w:rsidR="00702E95" w:rsidRPr="00E33EFF" w:rsidRDefault="00702E95" w:rsidP="00B9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8B4292E" w14:textId="5E4CCCA2"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Default="000723FF" w:rsidP="00824B92">
      <w:pPr>
        <w:rPr>
          <w:b/>
          <w:lang w:eastAsia="lt-LT"/>
        </w:rPr>
      </w:pPr>
      <w:r w:rsidRPr="00DC5BAC">
        <w:rPr>
          <w:b/>
          <w:lang w:eastAsia="lt-LT"/>
        </w:rPr>
        <w:t>Terapinės indikacijos</w:t>
      </w:r>
    </w:p>
    <w:p w14:paraId="3955CE26" w14:textId="77777777" w:rsidR="00B96F61" w:rsidRPr="00DC5BAC" w:rsidRDefault="00B96F61" w:rsidP="00824B92">
      <w:pPr>
        <w:rPr>
          <w:b/>
          <w:lang w:eastAsia="lt-LT"/>
        </w:rPr>
      </w:pPr>
    </w:p>
    <w:p w14:paraId="4FDC534D" w14:textId="33EC58AA" w:rsidR="00B96F61" w:rsidRDefault="00000000" w:rsidP="00B96F61">
      <w:pPr>
        <w:pStyle w:val="Betarp"/>
        <w:rPr>
          <w:rFonts w:ascii="Times New Roman" w:hAnsi="Times New Roman"/>
          <w:sz w:val="24"/>
          <w:szCs w:val="24"/>
        </w:rPr>
      </w:pPr>
      <w:sdt>
        <w:sdtPr>
          <w:rPr>
            <w:rStyle w:val="Style2"/>
            <w:rFonts w:ascii="Times New Roman" w:hAnsi="Times New Roman"/>
            <w:sz w:val="24"/>
            <w:szCs w:val="24"/>
          </w:rPr>
          <w:id w:val="1146316688"/>
          <w15:color w:val="FFCC00"/>
          <w14:checkbox>
            <w14:checked w14:val="0"/>
            <w14:checkedState w14:val="2612" w14:font="MS Gothic"/>
            <w14:uncheckedState w14:val="2610" w14:font="MS Gothic"/>
          </w14:checkbox>
        </w:sdtPr>
        <w:sdtContent>
          <w:r w:rsidR="00B22F67">
            <w:rPr>
              <w:rStyle w:val="Style2"/>
              <w:rFonts w:ascii="MS Gothic" w:eastAsia="MS Gothic" w:hAnsi="MS Gothic" w:hint="eastAsia"/>
              <w:sz w:val="24"/>
              <w:szCs w:val="24"/>
            </w:rPr>
            <w:t>☐</w:t>
          </w:r>
        </w:sdtContent>
      </w:sdt>
      <w:r w:rsidR="00B96F61" w:rsidRPr="0002553B">
        <w:rPr>
          <w:rFonts w:ascii="Times New Roman" w:hAnsi="Times New Roman"/>
          <w:sz w:val="24"/>
          <w:szCs w:val="24"/>
        </w:rPr>
        <w:t xml:space="preserve"> Siūloma kompensuoti Pareiškėjo teikiamą indikaciją be pakeitimų.</w:t>
      </w:r>
    </w:p>
    <w:p w14:paraId="527495E6" w14:textId="77777777" w:rsidR="00B96F61" w:rsidRPr="003455CF" w:rsidRDefault="00B96F61" w:rsidP="00B96F61">
      <w:pPr>
        <w:pStyle w:val="Betarp"/>
        <w:rPr>
          <w:rFonts w:ascii="Times New Roman" w:hAnsi="Times New Roman"/>
          <w:sz w:val="24"/>
          <w:szCs w:val="24"/>
        </w:rPr>
      </w:pPr>
    </w:p>
    <w:p w14:paraId="5DA78C18" w14:textId="77777777" w:rsidR="00B96F61" w:rsidRPr="00D05364" w:rsidRDefault="00B96F61" w:rsidP="00B96F61">
      <w:pPr>
        <w:spacing w:after="120" w:line="276" w:lineRule="auto"/>
        <w:jc w:val="both"/>
      </w:pPr>
      <w:r w:rsidRPr="000660C6">
        <w:t xml:space="preserve">IBRANCE skirtas lokaliai progresavusiam arba </w:t>
      </w:r>
      <w:proofErr w:type="spellStart"/>
      <w:r w:rsidRPr="000660C6">
        <w:t>metastazavusiam</w:t>
      </w:r>
      <w:proofErr w:type="spellEnd"/>
      <w:r w:rsidRPr="000660C6">
        <w:t xml:space="preserve"> krūties vėžiui gydyti, kuriame yra</w:t>
      </w:r>
      <w:r>
        <w:t xml:space="preserve"> </w:t>
      </w:r>
      <w:r w:rsidRPr="000660C6">
        <w:t>hormonų receptorių (HR), o žmogaus epidermio augimo faktoriaus 2-ojo tipo receptorių (HER2)</w:t>
      </w:r>
      <w:r>
        <w:t xml:space="preserve"> </w:t>
      </w:r>
      <w:r w:rsidRPr="000660C6">
        <w:t xml:space="preserve">rodmuo neigiamas, vaisto skiriant kartu su </w:t>
      </w:r>
      <w:proofErr w:type="spellStart"/>
      <w:r w:rsidRPr="000660C6">
        <w:t>aromatazės</w:t>
      </w:r>
      <w:proofErr w:type="spellEnd"/>
      <w:r w:rsidRPr="000660C6">
        <w:t xml:space="preserve"> inhibitoriumi.</w:t>
      </w:r>
      <w:r>
        <w:t xml:space="preserve"> </w:t>
      </w:r>
      <w:r w:rsidRPr="000660C6">
        <w:t xml:space="preserve">Moterims, kurioms prasidėjusi </w:t>
      </w:r>
      <w:proofErr w:type="spellStart"/>
      <w:r w:rsidRPr="000660C6">
        <w:t>premenopauzė</w:t>
      </w:r>
      <w:proofErr w:type="spellEnd"/>
      <w:r w:rsidRPr="000660C6">
        <w:t xml:space="preserve"> arba </w:t>
      </w:r>
      <w:proofErr w:type="spellStart"/>
      <w:r w:rsidRPr="000660C6">
        <w:t>perimenopauzė</w:t>
      </w:r>
      <w:proofErr w:type="spellEnd"/>
      <w:r w:rsidRPr="000660C6">
        <w:t>, endokrininę terapiją reikia derinti</w:t>
      </w:r>
      <w:r>
        <w:t xml:space="preserve"> </w:t>
      </w:r>
      <w:r w:rsidRPr="000660C6">
        <w:t xml:space="preserve">su </w:t>
      </w:r>
      <w:proofErr w:type="spellStart"/>
      <w:r w:rsidRPr="000660C6">
        <w:t>luteinizuojančio</w:t>
      </w:r>
      <w:proofErr w:type="spellEnd"/>
      <w:r w:rsidRPr="000660C6">
        <w:t xml:space="preserve"> hormono išsiskyrimą stimuliuojančio hormono (LHAH) </w:t>
      </w:r>
      <w:proofErr w:type="spellStart"/>
      <w:r w:rsidRPr="000660C6">
        <w:t>agonistu</w:t>
      </w:r>
      <w:proofErr w:type="spellEnd"/>
      <w:r w:rsidRPr="000660C6">
        <w:t>.</w:t>
      </w:r>
    </w:p>
    <w:p w14:paraId="7FB65200" w14:textId="77777777" w:rsidR="00B96F61" w:rsidRPr="0002553B" w:rsidRDefault="00000000" w:rsidP="00B96F61">
      <w:pPr>
        <w:pStyle w:val="Betarp"/>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Content>
          <w:r w:rsidR="00B96F61" w:rsidRPr="0002553B">
            <w:rPr>
              <w:rStyle w:val="Style2"/>
              <w:rFonts w:ascii="Segoe UI Symbol" w:eastAsia="MS Gothic" w:hAnsi="Segoe UI Symbol" w:cs="Segoe UI Symbol"/>
              <w:sz w:val="24"/>
              <w:szCs w:val="24"/>
            </w:rPr>
            <w:t>☐</w:t>
          </w:r>
        </w:sdtContent>
      </w:sdt>
      <w:r w:rsidR="00B96F61" w:rsidRPr="0002553B">
        <w:rPr>
          <w:rFonts w:ascii="Times New Roman" w:hAnsi="Times New Roman"/>
          <w:sz w:val="24"/>
          <w:szCs w:val="24"/>
        </w:rPr>
        <w:t xml:space="preserve"> Siūloma kompensuoti Pareiškėjo teikiamą indikaciją su pakeitimais.</w:t>
      </w:r>
    </w:p>
    <w:p w14:paraId="1074CFAD" w14:textId="77777777" w:rsidR="00B96F61" w:rsidRPr="0002553B" w:rsidRDefault="00B96F61" w:rsidP="00B96F61">
      <w:pPr>
        <w:pStyle w:val="Betarp"/>
        <w:rPr>
          <w:rFonts w:ascii="Times New Roman" w:hAnsi="Times New Roman"/>
          <w:sz w:val="24"/>
          <w:szCs w:val="24"/>
        </w:rPr>
      </w:pPr>
    </w:p>
    <w:p w14:paraId="6C4FD51F" w14:textId="77777777" w:rsidR="00B96F61" w:rsidRPr="0002553B" w:rsidRDefault="00B96F61" w:rsidP="00B96F61">
      <w:pPr>
        <w:pStyle w:val="Betarp"/>
        <w:rPr>
          <w:rFonts w:ascii="Times New Roman" w:hAnsi="Times New Roman"/>
          <w:b/>
          <w:sz w:val="24"/>
          <w:szCs w:val="24"/>
        </w:rPr>
      </w:pPr>
      <w:r w:rsidRPr="0002553B">
        <w:rPr>
          <w:rFonts w:ascii="Times New Roman" w:hAnsi="Times New Roman"/>
          <w:b/>
          <w:sz w:val="24"/>
          <w:szCs w:val="24"/>
        </w:rPr>
        <w:t>Skyrimo sąlygos</w:t>
      </w:r>
    </w:p>
    <w:p w14:paraId="4DAFE5B8" w14:textId="77777777" w:rsidR="00B96F61" w:rsidRPr="0002553B" w:rsidRDefault="00000000" w:rsidP="00B96F61">
      <w:pPr>
        <w:pStyle w:val="Betarp"/>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Content>
          <w:r w:rsidR="00B96F61" w:rsidRPr="0002553B">
            <w:rPr>
              <w:rStyle w:val="Style2"/>
              <w:rFonts w:ascii="Segoe UI Symbol" w:eastAsia="MS Gothic" w:hAnsi="Segoe UI Symbol" w:cs="Segoe UI Symbol"/>
              <w:sz w:val="24"/>
              <w:szCs w:val="24"/>
            </w:rPr>
            <w:t>☐</w:t>
          </w:r>
        </w:sdtContent>
      </w:sdt>
      <w:r w:rsidR="00B96F61" w:rsidRPr="0002553B">
        <w:rPr>
          <w:rFonts w:ascii="Times New Roman" w:hAnsi="Times New Roman"/>
          <w:sz w:val="24"/>
          <w:szCs w:val="24"/>
        </w:rPr>
        <w:t xml:space="preserve"> Pareiškėjo siūlomos skyrimo sąlygos priimtinos. </w:t>
      </w:r>
    </w:p>
    <w:p w14:paraId="700CAD6A" w14:textId="77777777" w:rsidR="00B96F61" w:rsidRDefault="00000000" w:rsidP="00B96F61">
      <w:pPr>
        <w:pStyle w:val="Betarp"/>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B96F61">
            <w:rPr>
              <w:rStyle w:val="Style2"/>
              <w:rFonts w:ascii="MS Gothic" w:eastAsia="MS Gothic" w:hAnsi="MS Gothic" w:hint="eastAsia"/>
              <w:sz w:val="24"/>
              <w:szCs w:val="24"/>
            </w:rPr>
            <w:t>☒</w:t>
          </w:r>
        </w:sdtContent>
      </w:sdt>
      <w:r w:rsidR="00B96F61" w:rsidRPr="0002553B">
        <w:rPr>
          <w:rFonts w:ascii="Times New Roman" w:hAnsi="Times New Roman"/>
          <w:sz w:val="24"/>
          <w:szCs w:val="24"/>
        </w:rPr>
        <w:t xml:space="preserve"> Pareiškėjo siūlomos skyrimo sąlygos nepriimtinos.</w:t>
      </w:r>
    </w:p>
    <w:p w14:paraId="3165B917" w14:textId="77777777" w:rsidR="00B96F61" w:rsidRPr="0002553B" w:rsidRDefault="00B96F61" w:rsidP="00B96F61">
      <w:pPr>
        <w:pStyle w:val="Betarp"/>
        <w:rPr>
          <w:rFonts w:ascii="Times New Roman" w:hAnsi="Times New Roman"/>
          <w:sz w:val="24"/>
          <w:szCs w:val="24"/>
        </w:rPr>
      </w:pPr>
      <w:r w:rsidRPr="0002553B">
        <w:rPr>
          <w:rFonts w:ascii="Times New Roman" w:hAnsi="Times New Roman"/>
          <w:sz w:val="24"/>
          <w:szCs w:val="24"/>
        </w:rPr>
        <w:t xml:space="preserve"> </w:t>
      </w:r>
    </w:p>
    <w:p w14:paraId="267A6B51" w14:textId="77777777" w:rsidR="00B96F61" w:rsidRPr="00E65BC7" w:rsidRDefault="00B96F61" w:rsidP="00B96F61">
      <w:pPr>
        <w:spacing w:line="276" w:lineRule="auto"/>
        <w:jc w:val="both"/>
        <w:rPr>
          <w:rFonts w:eastAsia="Calibri"/>
        </w:rPr>
      </w:pPr>
      <w:r>
        <w:rPr>
          <w:rFonts w:eastAsia="Calibri"/>
        </w:rPr>
        <w:t>N</w:t>
      </w:r>
      <w:r w:rsidRPr="00E65BC7">
        <w:rPr>
          <w:rFonts w:eastAsia="Calibri"/>
        </w:rPr>
        <w:t xml:space="preserve">epriklausomai nuo menopauzės statuso moterų lokaliai progresavusiam ar </w:t>
      </w:r>
      <w:proofErr w:type="spellStart"/>
      <w:r w:rsidRPr="00E65BC7">
        <w:rPr>
          <w:rFonts w:eastAsia="Calibri"/>
        </w:rPr>
        <w:t>metastazavusiam</w:t>
      </w:r>
      <w:proofErr w:type="spellEnd"/>
      <w:r w:rsidRPr="00E65BC7">
        <w:rPr>
          <w:rFonts w:eastAsia="Calibri"/>
        </w:rPr>
        <w:t xml:space="preserve"> krūties vėžiui, kai nustatoma hormonų receptorių ir nenustatoma žmogaus epidermio augimo faktoriaus 2-ojo tipo receptorių (</w:t>
      </w:r>
      <w:proofErr w:type="spellStart"/>
      <w:r w:rsidRPr="00E65BC7">
        <w:rPr>
          <w:rFonts w:eastAsia="Calibri"/>
        </w:rPr>
        <w:t>ang</w:t>
      </w:r>
      <w:proofErr w:type="spellEnd"/>
      <w:r w:rsidRPr="00E65BC7">
        <w:rPr>
          <w:rFonts w:eastAsia="Calibri"/>
        </w:rPr>
        <w:t xml:space="preserve">. </w:t>
      </w:r>
      <w:proofErr w:type="spellStart"/>
      <w:r w:rsidRPr="00E65BC7">
        <w:rPr>
          <w:rFonts w:eastAsia="Calibri"/>
          <w:i/>
          <w:iCs/>
        </w:rPr>
        <w:t>human</w:t>
      </w:r>
      <w:proofErr w:type="spellEnd"/>
      <w:r w:rsidRPr="00E65BC7">
        <w:rPr>
          <w:rFonts w:eastAsia="Calibri"/>
          <w:i/>
          <w:iCs/>
        </w:rPr>
        <w:t xml:space="preserve"> </w:t>
      </w:r>
      <w:proofErr w:type="spellStart"/>
      <w:r w:rsidRPr="00E65BC7">
        <w:rPr>
          <w:rFonts w:eastAsia="Calibri"/>
          <w:i/>
          <w:iCs/>
        </w:rPr>
        <w:t>epidermal</w:t>
      </w:r>
      <w:proofErr w:type="spellEnd"/>
      <w:r w:rsidRPr="00E65BC7">
        <w:rPr>
          <w:rFonts w:eastAsia="Calibri"/>
          <w:i/>
          <w:iCs/>
        </w:rPr>
        <w:t xml:space="preserve"> </w:t>
      </w:r>
      <w:proofErr w:type="spellStart"/>
      <w:r w:rsidRPr="00E65BC7">
        <w:rPr>
          <w:rFonts w:eastAsia="Calibri"/>
          <w:i/>
          <w:iCs/>
        </w:rPr>
        <w:t>grow</w:t>
      </w:r>
      <w:proofErr w:type="spellEnd"/>
      <w:r w:rsidRPr="00E65BC7">
        <w:rPr>
          <w:rFonts w:eastAsia="Calibri"/>
          <w:i/>
          <w:iCs/>
        </w:rPr>
        <w:t xml:space="preserve"> </w:t>
      </w:r>
      <w:proofErr w:type="spellStart"/>
      <w:r w:rsidRPr="00E65BC7">
        <w:rPr>
          <w:rFonts w:eastAsia="Calibri"/>
          <w:i/>
          <w:iCs/>
        </w:rPr>
        <w:t>factor</w:t>
      </w:r>
      <w:proofErr w:type="spellEnd"/>
      <w:r w:rsidRPr="00E65BC7">
        <w:rPr>
          <w:rFonts w:eastAsia="Calibri"/>
          <w:i/>
          <w:iCs/>
        </w:rPr>
        <w:t xml:space="preserve"> </w:t>
      </w:r>
      <w:proofErr w:type="spellStart"/>
      <w:r w:rsidRPr="00E65BC7">
        <w:rPr>
          <w:rFonts w:eastAsia="Calibri"/>
          <w:i/>
          <w:iCs/>
        </w:rPr>
        <w:t>recpetor</w:t>
      </w:r>
      <w:proofErr w:type="spellEnd"/>
      <w:r w:rsidRPr="00E65BC7">
        <w:rPr>
          <w:rFonts w:eastAsia="Calibri"/>
          <w:i/>
          <w:iCs/>
        </w:rPr>
        <w:t xml:space="preserve"> 2</w:t>
      </w:r>
      <w:r w:rsidRPr="00E65BC7">
        <w:rPr>
          <w:rFonts w:eastAsia="Calibri"/>
        </w:rPr>
        <w:t xml:space="preserve">, toliau – HER2) rodmens, gydyti derinant su </w:t>
      </w:r>
      <w:proofErr w:type="spellStart"/>
      <w:r w:rsidRPr="00E65BC7">
        <w:rPr>
          <w:rFonts w:eastAsia="Calibri"/>
        </w:rPr>
        <w:t>aromatazės</w:t>
      </w:r>
      <w:proofErr w:type="spellEnd"/>
      <w:r w:rsidRPr="00E65BC7">
        <w:rPr>
          <w:rFonts w:eastAsia="Calibri"/>
        </w:rPr>
        <w:t xml:space="preserve"> inhibitoriumi kaip pradinė endokrininė terapija. Moterims prieš menopauzę arba </w:t>
      </w:r>
      <w:proofErr w:type="spellStart"/>
      <w:r w:rsidRPr="00E65BC7">
        <w:rPr>
          <w:rFonts w:eastAsia="Calibri"/>
        </w:rPr>
        <w:t>perimenopauzės</w:t>
      </w:r>
      <w:proofErr w:type="spellEnd"/>
      <w:r w:rsidRPr="00E65BC7">
        <w:rPr>
          <w:rFonts w:eastAsia="Calibri"/>
        </w:rPr>
        <w:t xml:space="preserve"> laikotarpiu endokrininę terapiją reikia skirti kartu su </w:t>
      </w:r>
      <w:proofErr w:type="spellStart"/>
      <w:r w:rsidRPr="00E65BC7">
        <w:rPr>
          <w:rFonts w:eastAsia="Calibri"/>
        </w:rPr>
        <w:t>liuteinizuojantį</w:t>
      </w:r>
      <w:proofErr w:type="spellEnd"/>
      <w:r w:rsidRPr="00E65BC7">
        <w:rPr>
          <w:rFonts w:eastAsia="Calibri"/>
        </w:rPr>
        <w:t xml:space="preserve"> hormoną atpalaiduojančio hormono </w:t>
      </w:r>
      <w:proofErr w:type="spellStart"/>
      <w:r w:rsidRPr="00E65BC7">
        <w:rPr>
          <w:rFonts w:eastAsia="Calibri"/>
        </w:rPr>
        <w:t>agonistu</w:t>
      </w:r>
      <w:proofErr w:type="spellEnd"/>
      <w:r>
        <w:rPr>
          <w:rFonts w:eastAsia="Calibri"/>
        </w:rPr>
        <w:t xml:space="preserve">. </w:t>
      </w:r>
    </w:p>
    <w:p w14:paraId="4173D299" w14:textId="77777777" w:rsidR="00B96F61" w:rsidRPr="0002553B" w:rsidRDefault="00B96F61" w:rsidP="00B96F61">
      <w:pPr>
        <w:pStyle w:val="Betarp"/>
        <w:spacing w:line="276" w:lineRule="auto"/>
        <w:rPr>
          <w:rFonts w:ascii="Times New Roman" w:hAnsi="Times New Roman"/>
          <w:sz w:val="24"/>
          <w:szCs w:val="24"/>
          <w:lang w:eastAsia="lt-LT"/>
        </w:rPr>
      </w:pPr>
    </w:p>
    <w:p w14:paraId="7CDFF220" w14:textId="58191D98" w:rsidR="000723FF" w:rsidRPr="000723FF" w:rsidRDefault="000723FF" w:rsidP="00B96F61">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B9771" w14:textId="77777777" w:rsidR="001814F3" w:rsidRDefault="001814F3">
      <w:r>
        <w:separator/>
      </w:r>
    </w:p>
  </w:endnote>
  <w:endnote w:type="continuationSeparator" w:id="0">
    <w:p w14:paraId="57E854BF" w14:textId="77777777" w:rsidR="001814F3" w:rsidRDefault="0018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8C03B" w14:textId="77777777" w:rsidR="001814F3" w:rsidRDefault="001814F3">
      <w:r>
        <w:separator/>
      </w:r>
    </w:p>
  </w:footnote>
  <w:footnote w:type="continuationSeparator" w:id="0">
    <w:p w14:paraId="503AF89C" w14:textId="77777777" w:rsidR="001814F3" w:rsidRDefault="0018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5F3EC6DB"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112D">
      <w:rPr>
        <w:rStyle w:val="Puslapionumeris"/>
        <w:noProof/>
      </w:rPr>
      <w:t>1</w:t>
    </w:r>
    <w:r w:rsidR="000D112D">
      <w:rPr>
        <w:rStyle w:val="Puslapionumeris"/>
        <w:noProof/>
      </w:rPr>
      <w:t>1</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4ED26C9"/>
    <w:multiLevelType w:val="hybridMultilevel"/>
    <w:tmpl w:val="F72AB422"/>
    <w:lvl w:ilvl="0" w:tplc="0E5AE42C">
      <w:start w:val="2"/>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0331947">
    <w:abstractNumId w:val="7"/>
  </w:num>
  <w:num w:numId="2" w16cid:durableId="1203904764">
    <w:abstractNumId w:val="2"/>
  </w:num>
  <w:num w:numId="3" w16cid:durableId="891578159">
    <w:abstractNumId w:val="9"/>
  </w:num>
  <w:num w:numId="4" w16cid:durableId="1058671843">
    <w:abstractNumId w:val="8"/>
  </w:num>
  <w:num w:numId="5" w16cid:durableId="97454553">
    <w:abstractNumId w:val="6"/>
  </w:num>
  <w:num w:numId="6" w16cid:durableId="547113242">
    <w:abstractNumId w:val="5"/>
  </w:num>
  <w:num w:numId="7" w16cid:durableId="547376747">
    <w:abstractNumId w:val="4"/>
  </w:num>
  <w:num w:numId="8" w16cid:durableId="334723680">
    <w:abstractNumId w:val="12"/>
  </w:num>
  <w:num w:numId="9" w16cid:durableId="82149164">
    <w:abstractNumId w:val="0"/>
  </w:num>
  <w:num w:numId="10" w16cid:durableId="26300124">
    <w:abstractNumId w:val="10"/>
  </w:num>
  <w:num w:numId="11" w16cid:durableId="1684629989">
    <w:abstractNumId w:val="11"/>
  </w:num>
  <w:num w:numId="12" w16cid:durableId="279992741">
    <w:abstractNumId w:val="3"/>
  </w:num>
  <w:num w:numId="13" w16cid:durableId="50647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112C"/>
    <w:rsid w:val="00042924"/>
    <w:rsid w:val="00053975"/>
    <w:rsid w:val="00057A2B"/>
    <w:rsid w:val="000606BE"/>
    <w:rsid w:val="000723FF"/>
    <w:rsid w:val="000736B8"/>
    <w:rsid w:val="0008190F"/>
    <w:rsid w:val="00081D9C"/>
    <w:rsid w:val="00082907"/>
    <w:rsid w:val="0008378D"/>
    <w:rsid w:val="00084928"/>
    <w:rsid w:val="000908A5"/>
    <w:rsid w:val="00092805"/>
    <w:rsid w:val="000C454C"/>
    <w:rsid w:val="000D112D"/>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14F3"/>
    <w:rsid w:val="00184689"/>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4D07"/>
    <w:rsid w:val="002E57AD"/>
    <w:rsid w:val="002E6F80"/>
    <w:rsid w:val="002F0E4F"/>
    <w:rsid w:val="002F1053"/>
    <w:rsid w:val="00317B0E"/>
    <w:rsid w:val="003343D2"/>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330A7"/>
    <w:rsid w:val="00450518"/>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02FD"/>
    <w:rsid w:val="005A23D4"/>
    <w:rsid w:val="005A2D1E"/>
    <w:rsid w:val="005B3756"/>
    <w:rsid w:val="005C1AB2"/>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A7446"/>
    <w:rsid w:val="006B1987"/>
    <w:rsid w:val="006B5B71"/>
    <w:rsid w:val="006B5FF2"/>
    <w:rsid w:val="006B6CB0"/>
    <w:rsid w:val="006C0296"/>
    <w:rsid w:val="006C2B64"/>
    <w:rsid w:val="006D4C85"/>
    <w:rsid w:val="006D66AC"/>
    <w:rsid w:val="006E33F6"/>
    <w:rsid w:val="006F1251"/>
    <w:rsid w:val="006F1C23"/>
    <w:rsid w:val="00702C18"/>
    <w:rsid w:val="00702E95"/>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7519"/>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553AF"/>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57FF1"/>
    <w:rsid w:val="00A701C9"/>
    <w:rsid w:val="00A81785"/>
    <w:rsid w:val="00A81BDC"/>
    <w:rsid w:val="00A84803"/>
    <w:rsid w:val="00A84C51"/>
    <w:rsid w:val="00A86F2B"/>
    <w:rsid w:val="00A91366"/>
    <w:rsid w:val="00A93AA6"/>
    <w:rsid w:val="00AA3A80"/>
    <w:rsid w:val="00AA4E48"/>
    <w:rsid w:val="00AA6202"/>
    <w:rsid w:val="00AA7B57"/>
    <w:rsid w:val="00AA7E81"/>
    <w:rsid w:val="00AC26FC"/>
    <w:rsid w:val="00AC4A99"/>
    <w:rsid w:val="00AC64D2"/>
    <w:rsid w:val="00AD02E7"/>
    <w:rsid w:val="00AE0FE8"/>
    <w:rsid w:val="00AE1322"/>
    <w:rsid w:val="00AF60D5"/>
    <w:rsid w:val="00B00959"/>
    <w:rsid w:val="00B04415"/>
    <w:rsid w:val="00B06509"/>
    <w:rsid w:val="00B11D60"/>
    <w:rsid w:val="00B13D65"/>
    <w:rsid w:val="00B21805"/>
    <w:rsid w:val="00B22F67"/>
    <w:rsid w:val="00B3072E"/>
    <w:rsid w:val="00B36E15"/>
    <w:rsid w:val="00B37245"/>
    <w:rsid w:val="00B4017A"/>
    <w:rsid w:val="00B4468D"/>
    <w:rsid w:val="00B71C72"/>
    <w:rsid w:val="00B81E92"/>
    <w:rsid w:val="00B908D7"/>
    <w:rsid w:val="00B915AB"/>
    <w:rsid w:val="00B935E8"/>
    <w:rsid w:val="00B93B30"/>
    <w:rsid w:val="00B94CB5"/>
    <w:rsid w:val="00B96F61"/>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28E8"/>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77CF0"/>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6D35"/>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0TEXT">
    <w:name w:val="0: TEXT"/>
    <w:basedOn w:val="prastasis"/>
    <w:link w:val="0TEXTChar"/>
    <w:qFormat/>
    <w:rsid w:val="00B96F61"/>
    <w:pPr>
      <w:ind w:firstLine="567"/>
      <w:jc w:val="both"/>
    </w:pPr>
    <w:rPr>
      <w:rFonts w:eastAsiaTheme="minorHAnsi"/>
      <w:bCs/>
      <w:color w:val="000000"/>
      <w:lang w:val="en-GB"/>
    </w:rPr>
  </w:style>
  <w:style w:type="character" w:customStyle="1" w:styleId="0TEXTChar">
    <w:name w:val="0: TEXT Char"/>
    <w:basedOn w:val="Numatytasispastraiposriftas"/>
    <w:link w:val="0TEXT"/>
    <w:rsid w:val="00B96F61"/>
    <w:rPr>
      <w:rFonts w:eastAsiaTheme="minorHAnsi"/>
      <w:b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7FB5-0CA5-4233-AAE5-232B0FFB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18016</Words>
  <Characters>10270</Characters>
  <Application>Microsoft Office Word</Application>
  <DocSecurity>0</DocSecurity>
  <Lines>85</Lines>
  <Paragraphs>56</Paragraphs>
  <ScaleCrop>false</ScaleCrop>
  <Company/>
  <LinksUpToDate>false</LinksUpToDate>
  <CharactersWithSpaces>28230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2024-10-14T20:22:00Z</dcterms:created>
  <dcterms:modified xsi:type="dcterms:W3CDTF">2024-10-20T18:47:00Z</dcterms:modified>
</cp:coreProperties>
</file>