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F41262">
      <w:pPr>
        <w:spacing w:line="360" w:lineRule="auto"/>
        <w:ind w:left="5529"/>
      </w:pPr>
    </w:p>
    <w:p w14:paraId="12FA4B9E" w14:textId="77777777" w:rsidR="001B3C5B" w:rsidRPr="00E33EFF" w:rsidRDefault="001B3C5B" w:rsidP="00F41262">
      <w:pPr>
        <w:spacing w:line="360" w:lineRule="auto"/>
        <w:ind w:left="6096"/>
      </w:pPr>
      <w:r w:rsidRPr="00E33EFF">
        <w:t>Forma patvirtinta</w:t>
      </w:r>
    </w:p>
    <w:p w14:paraId="7206970B" w14:textId="70E9BD2E" w:rsidR="004C263A" w:rsidRPr="00E33EFF" w:rsidRDefault="001B3C5B" w:rsidP="00F41262">
      <w:pPr>
        <w:spacing w:line="360" w:lineRule="auto"/>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F41262">
      <w:pPr>
        <w:spacing w:line="360" w:lineRule="auto"/>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41262">
      <w:pPr>
        <w:spacing w:line="360" w:lineRule="auto"/>
      </w:pPr>
    </w:p>
    <w:p w14:paraId="77AFB67E" w14:textId="16397257" w:rsidR="00613501" w:rsidRPr="00E33EFF" w:rsidRDefault="002F0E4F" w:rsidP="00F41262">
      <w:pPr>
        <w:spacing w:line="360" w:lineRule="auto"/>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F41262">
      <w:pPr>
        <w:spacing w:line="360" w:lineRule="auto"/>
        <w:jc w:val="center"/>
        <w:rPr>
          <w:b/>
        </w:rPr>
      </w:pPr>
    </w:p>
    <w:p w14:paraId="0DE7936D" w14:textId="672A4EFC" w:rsidR="00041A8B" w:rsidRPr="00D05364" w:rsidRDefault="00041A8B" w:rsidP="00F41262">
      <w:pPr>
        <w:spacing w:line="360" w:lineRule="auto"/>
        <w:jc w:val="center"/>
      </w:pPr>
      <w:proofErr w:type="spellStart"/>
      <w:r>
        <w:rPr>
          <w:b/>
        </w:rPr>
        <w:t>Tukysa</w:t>
      </w:r>
      <w:proofErr w:type="spellEnd"/>
      <w:r>
        <w:rPr>
          <w:b/>
        </w:rPr>
        <w:t xml:space="preserve"> </w:t>
      </w:r>
      <w:r>
        <w:rPr>
          <w:b/>
          <w:lang w:val="en-US"/>
        </w:rPr>
        <w:t xml:space="preserve">150 mg </w:t>
      </w:r>
      <w:r>
        <w:rPr>
          <w:b/>
        </w:rPr>
        <w:t>p</w:t>
      </w:r>
      <w:r w:rsidRPr="003910BF">
        <w:rPr>
          <w:b/>
        </w:rPr>
        <w:t>lėvele dengtos tabletės</w:t>
      </w:r>
    </w:p>
    <w:p w14:paraId="080F70AD" w14:textId="77777777" w:rsidR="00041A8B" w:rsidRPr="00D05364" w:rsidRDefault="00041A8B" w:rsidP="00F41262">
      <w:pPr>
        <w:spacing w:line="360" w:lineRule="auto"/>
        <w:jc w:val="center"/>
      </w:pPr>
      <w:r w:rsidRPr="00D05364">
        <w:t>(</w:t>
      </w:r>
      <w:proofErr w:type="spellStart"/>
      <w:r>
        <w:rPr>
          <w:b/>
        </w:rPr>
        <w:t>Tukatinibas</w:t>
      </w:r>
      <w:proofErr w:type="spellEnd"/>
      <w:r w:rsidRPr="00D05364">
        <w:t>)</w:t>
      </w:r>
    </w:p>
    <w:p w14:paraId="7245D69E" w14:textId="77777777" w:rsidR="00937907" w:rsidRPr="00E33EFF" w:rsidRDefault="00937907" w:rsidP="00F41262">
      <w:pPr>
        <w:spacing w:line="360" w:lineRule="auto"/>
        <w:jc w:val="center"/>
      </w:pPr>
    </w:p>
    <w:p w14:paraId="1D98E530" w14:textId="21598E69" w:rsidR="00943E06" w:rsidRPr="00041A8B" w:rsidRDefault="00943E06" w:rsidP="00F41262">
      <w:pPr>
        <w:spacing w:line="360" w:lineRule="auto"/>
        <w:jc w:val="center"/>
        <w:rPr>
          <w:b/>
          <w:lang w:val="en-US"/>
        </w:rPr>
      </w:pPr>
      <w:r>
        <w:rPr>
          <w:b/>
        </w:rPr>
        <w:t>ST</w:t>
      </w:r>
      <w:r w:rsidR="00041A8B">
        <w:rPr>
          <w:b/>
        </w:rPr>
        <w:t>V-</w:t>
      </w:r>
      <w:r w:rsidR="00041A8B">
        <w:rPr>
          <w:b/>
          <w:lang w:val="en-US"/>
        </w:rPr>
        <w:t>124</w:t>
      </w:r>
    </w:p>
    <w:p w14:paraId="5BC2EA5D" w14:textId="45A77B4A" w:rsidR="00937907" w:rsidRPr="00E33EFF" w:rsidRDefault="00937907" w:rsidP="00F41262">
      <w:pPr>
        <w:spacing w:line="360" w:lineRule="auto"/>
        <w:jc w:val="center"/>
        <w:rPr>
          <w:b/>
        </w:rPr>
      </w:pPr>
    </w:p>
    <w:p w14:paraId="453197C8" w14:textId="77777777" w:rsidR="00D4708D" w:rsidRPr="00E33EFF" w:rsidRDefault="00D4708D" w:rsidP="00F41262">
      <w:pPr>
        <w:spacing w:line="360" w:lineRule="auto"/>
        <w:jc w:val="center"/>
        <w:rPr>
          <w:b/>
        </w:rPr>
      </w:pPr>
    </w:p>
    <w:p w14:paraId="78C89D1C" w14:textId="0DEFFAA5" w:rsidR="00D4485B" w:rsidRPr="00E33EFF" w:rsidRDefault="00B13D65" w:rsidP="00F41262">
      <w:pPr>
        <w:pStyle w:val="ListParagraph"/>
        <w:numPr>
          <w:ilvl w:val="0"/>
          <w:numId w:val="12"/>
        </w:numPr>
        <w:tabs>
          <w:tab w:val="left" w:pos="567"/>
        </w:tabs>
        <w:spacing w:line="360" w:lineRule="auto"/>
        <w:ind w:left="567" w:hanging="567"/>
        <w:rPr>
          <w:b/>
          <w:bCs/>
          <w:caps/>
        </w:rPr>
      </w:pPr>
      <w:r w:rsidRPr="00E33EFF">
        <w:rPr>
          <w:b/>
          <w:bCs/>
          <w:caps/>
        </w:rPr>
        <w:t>Bendroji dalis</w:t>
      </w:r>
    </w:p>
    <w:p w14:paraId="04A7C7A7" w14:textId="77777777" w:rsidR="00B13D65" w:rsidRPr="00E33EFF" w:rsidRDefault="00B13D65" w:rsidP="00F41262">
      <w:pPr>
        <w:pStyle w:val="ListParagraph"/>
        <w:tabs>
          <w:tab w:val="left" w:pos="284"/>
        </w:tabs>
        <w:spacing w:line="360" w:lineRule="auto"/>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F41262">
            <w:pPr>
              <w:rPr>
                <w:rFonts w:eastAsia="Arial"/>
              </w:rPr>
            </w:pPr>
            <w:r w:rsidRPr="00E33EFF">
              <w:rPr>
                <w:rFonts w:eastAsia="Arial"/>
              </w:rPr>
              <w:t>1.1</w:t>
            </w:r>
          </w:p>
        </w:tc>
        <w:tc>
          <w:tcPr>
            <w:tcW w:w="3694" w:type="dxa"/>
          </w:tcPr>
          <w:p w14:paraId="6C3AE864" w14:textId="77777777" w:rsidR="00B13D65" w:rsidRPr="00E33EFF" w:rsidRDefault="00B13D65" w:rsidP="00F41262">
            <w:pPr>
              <w:rPr>
                <w:rFonts w:eastAsia="Arial"/>
              </w:rPr>
            </w:pPr>
            <w:r w:rsidRPr="00E33EFF">
              <w:rPr>
                <w:rFonts w:eastAsia="Arial"/>
              </w:rPr>
              <w:t>Pareiškėjas</w:t>
            </w:r>
          </w:p>
          <w:p w14:paraId="2AF240DC" w14:textId="77777777" w:rsidR="00B13D65" w:rsidRPr="00E33EFF" w:rsidRDefault="00B13D65" w:rsidP="00F41262">
            <w:pPr>
              <w:rPr>
                <w:rFonts w:eastAsia="Arial"/>
              </w:rPr>
            </w:pPr>
          </w:p>
        </w:tc>
        <w:tc>
          <w:tcPr>
            <w:tcW w:w="5167" w:type="dxa"/>
          </w:tcPr>
          <w:p w14:paraId="2AAF0D91" w14:textId="1DE9467A" w:rsidR="00B13D65" w:rsidRPr="00E33EFF" w:rsidRDefault="00041A8B" w:rsidP="00F41262">
            <w:pPr>
              <w:rPr>
                <w:rFonts w:eastAsia="Arial"/>
              </w:rPr>
            </w:pPr>
            <w:r w:rsidRPr="00FE4B39">
              <w:rPr>
                <w:rFonts w:asciiTheme="majorBidi" w:hAnsiTheme="majorBidi" w:cstheme="majorBidi"/>
                <w:lang w:eastAsia="lt-LT"/>
              </w:rPr>
              <w:t xml:space="preserve">Swixx </w:t>
            </w:r>
            <w:proofErr w:type="spellStart"/>
            <w:r w:rsidRPr="00FE4B39">
              <w:rPr>
                <w:rFonts w:asciiTheme="majorBidi" w:hAnsiTheme="majorBidi" w:cstheme="majorBidi"/>
                <w:lang w:eastAsia="lt-LT"/>
              </w:rPr>
              <w:t>Biopharma</w:t>
            </w:r>
            <w:proofErr w:type="spellEnd"/>
            <w:r w:rsidRPr="00FE4B39">
              <w:rPr>
                <w:rFonts w:asciiTheme="majorBidi" w:hAnsiTheme="majorBidi" w:cstheme="majorBidi"/>
                <w:lang w:eastAsia="lt-LT"/>
              </w:rPr>
              <w:t>, UAB</w:t>
            </w:r>
          </w:p>
        </w:tc>
      </w:tr>
      <w:tr w:rsidR="00B13D65" w:rsidRPr="00E33EFF" w14:paraId="31998B0D" w14:textId="77777777" w:rsidTr="00BE7489">
        <w:trPr>
          <w:trHeight w:val="538"/>
        </w:trPr>
        <w:tc>
          <w:tcPr>
            <w:tcW w:w="632" w:type="dxa"/>
          </w:tcPr>
          <w:p w14:paraId="2005EC67" w14:textId="662300D0" w:rsidR="00B13D65" w:rsidRPr="00E33EFF" w:rsidRDefault="002E0702" w:rsidP="00F41262">
            <w:pPr>
              <w:rPr>
                <w:rFonts w:eastAsia="Arial"/>
              </w:rPr>
            </w:pPr>
            <w:r w:rsidRPr="00E33EFF">
              <w:rPr>
                <w:rFonts w:eastAsia="Arial"/>
              </w:rPr>
              <w:t>1.2</w:t>
            </w:r>
          </w:p>
        </w:tc>
        <w:tc>
          <w:tcPr>
            <w:tcW w:w="3694" w:type="dxa"/>
          </w:tcPr>
          <w:p w14:paraId="1E4AE3B1" w14:textId="77777777" w:rsidR="00B13D65" w:rsidRPr="00E33EFF" w:rsidRDefault="00B13D65" w:rsidP="00F4126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F41262">
            <w:pPr>
              <w:rPr>
                <w:bCs/>
                <w:color w:val="000000"/>
                <w:lang w:eastAsia="lt-LT"/>
              </w:rPr>
            </w:pPr>
          </w:p>
        </w:tc>
        <w:tc>
          <w:tcPr>
            <w:tcW w:w="5167" w:type="dxa"/>
          </w:tcPr>
          <w:p w14:paraId="3CA218AD" w14:textId="4066ABE2" w:rsidR="00B13D65" w:rsidRPr="00E33EFF" w:rsidRDefault="00041A8B" w:rsidP="00F41262">
            <w:pPr>
              <w:rPr>
                <w:rStyle w:val="Style2"/>
              </w:rPr>
            </w:pPr>
            <w:r w:rsidRPr="00FE4B39">
              <w:rPr>
                <w:rFonts w:asciiTheme="majorBidi" w:hAnsiTheme="majorBidi" w:cstheme="majorBidi"/>
                <w:color w:val="000000"/>
              </w:rPr>
              <w:t>2021-02-11</w:t>
            </w:r>
          </w:p>
        </w:tc>
      </w:tr>
      <w:tr w:rsidR="00B13D65" w:rsidRPr="00E33EFF" w14:paraId="15968AE1" w14:textId="77777777" w:rsidTr="00BE7489">
        <w:trPr>
          <w:trHeight w:val="1500"/>
        </w:trPr>
        <w:tc>
          <w:tcPr>
            <w:tcW w:w="632" w:type="dxa"/>
          </w:tcPr>
          <w:p w14:paraId="6A784245" w14:textId="1E461489" w:rsidR="00B13D65" w:rsidRPr="00E33EFF" w:rsidRDefault="002E0702" w:rsidP="00F41262">
            <w:pPr>
              <w:rPr>
                <w:rFonts w:eastAsia="Arial"/>
              </w:rPr>
            </w:pPr>
            <w:r w:rsidRPr="00E33EFF">
              <w:rPr>
                <w:rFonts w:eastAsia="Arial"/>
              </w:rPr>
              <w:t>1.3</w:t>
            </w:r>
          </w:p>
        </w:tc>
        <w:tc>
          <w:tcPr>
            <w:tcW w:w="3694" w:type="dxa"/>
          </w:tcPr>
          <w:p w14:paraId="22933506" w14:textId="77777777" w:rsidR="00B13D65" w:rsidRPr="00E33EFF" w:rsidRDefault="00B13D65" w:rsidP="00F41262">
            <w:r w:rsidRPr="00E33EFF">
              <w:t xml:space="preserve">Paraiškos tipas </w:t>
            </w:r>
          </w:p>
          <w:p w14:paraId="0465E680" w14:textId="7F0A0714" w:rsidR="00B13D65" w:rsidRPr="00E33EFF" w:rsidRDefault="00B13D65" w:rsidP="00F4126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F41262">
            <w:pPr>
              <w:rPr>
                <w:bCs/>
                <w:color w:val="000000"/>
                <w:lang w:eastAsia="lt-LT"/>
              </w:rPr>
            </w:pPr>
          </w:p>
        </w:tc>
        <w:tc>
          <w:tcPr>
            <w:tcW w:w="5167" w:type="dxa"/>
          </w:tcPr>
          <w:p w14:paraId="208F40EC" w14:textId="2F4EA9C5" w:rsidR="00B13D65" w:rsidRPr="00E33EFF" w:rsidRDefault="00000000" w:rsidP="00F4126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F4126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F4126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3B0A4F72" w14:textId="3F5FB073" w:rsidR="00B13D65" w:rsidRPr="00E33EFF" w:rsidRDefault="00000000" w:rsidP="00F4126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F41262">
            <w:pPr>
              <w:rPr>
                <w:rFonts w:eastAsia="Arial"/>
              </w:rPr>
            </w:pPr>
            <w:r w:rsidRPr="00E33EFF">
              <w:rPr>
                <w:rFonts w:eastAsia="Arial"/>
              </w:rPr>
              <w:lastRenderedPageBreak/>
              <w:t>1.</w:t>
            </w:r>
            <w:r w:rsidR="002E0702" w:rsidRPr="00E33EFF">
              <w:rPr>
                <w:rFonts w:eastAsia="Arial"/>
              </w:rPr>
              <w:t>4</w:t>
            </w:r>
          </w:p>
        </w:tc>
        <w:tc>
          <w:tcPr>
            <w:tcW w:w="3694" w:type="dxa"/>
          </w:tcPr>
          <w:p w14:paraId="483071A3" w14:textId="7E02FB97" w:rsidR="00B13D65" w:rsidRPr="00E33EFF" w:rsidRDefault="00B13D65" w:rsidP="00F4126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5845C60" w14:textId="10CF4033" w:rsidR="00B13D65" w:rsidRPr="00E33EFF" w:rsidRDefault="00000000" w:rsidP="00F4126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29C2CBBB" w14:textId="7E502899" w:rsidR="00B13D65" w:rsidRPr="00041A8B" w:rsidRDefault="00000000" w:rsidP="00F41262">
            <w:sdt>
              <w:sdtPr>
                <w:rPr>
                  <w:rStyle w:val="Style2"/>
                  <w:sz w:val="24"/>
                </w:rPr>
                <w:id w:val="-970507926"/>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B13D65" w:rsidRPr="00E33EFF">
              <w:t xml:space="preserve"> Ne</w:t>
            </w:r>
          </w:p>
        </w:tc>
      </w:tr>
      <w:tr w:rsidR="00D417D2" w:rsidRPr="00E33EFF" w14:paraId="7841E5F8" w14:textId="77777777" w:rsidTr="00BE7489">
        <w:trPr>
          <w:trHeight w:val="476"/>
        </w:trPr>
        <w:tc>
          <w:tcPr>
            <w:tcW w:w="632" w:type="dxa"/>
          </w:tcPr>
          <w:p w14:paraId="109D2861" w14:textId="73BF27DF" w:rsidR="00D417D2" w:rsidRPr="00E33EFF" w:rsidRDefault="00D417D2" w:rsidP="00F41262">
            <w:pPr>
              <w:rPr>
                <w:rFonts w:eastAsia="Arial"/>
              </w:rPr>
            </w:pPr>
            <w:r w:rsidRPr="00E33EFF">
              <w:rPr>
                <w:rFonts w:eastAsia="Arial"/>
              </w:rPr>
              <w:t>1.5</w:t>
            </w:r>
          </w:p>
        </w:tc>
        <w:tc>
          <w:tcPr>
            <w:tcW w:w="3694" w:type="dxa"/>
          </w:tcPr>
          <w:p w14:paraId="7822D63E" w14:textId="68C38334" w:rsidR="00D417D2" w:rsidRPr="00E33EFF" w:rsidRDefault="00D417D2" w:rsidP="00F41262">
            <w:pPr>
              <w:rPr>
                <w:bCs/>
                <w:color w:val="000000"/>
                <w:lang w:eastAsia="lt-LT"/>
              </w:rPr>
            </w:pPr>
            <w:r w:rsidRPr="00E33EFF">
              <w:t>STV paraiškos pobūdis</w:t>
            </w:r>
          </w:p>
        </w:tc>
        <w:tc>
          <w:tcPr>
            <w:tcW w:w="5167" w:type="dxa"/>
          </w:tcPr>
          <w:p w14:paraId="403461B9" w14:textId="68A37216" w:rsidR="00D417D2" w:rsidRPr="00E33EFF" w:rsidRDefault="00000000" w:rsidP="00F41262">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F4126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041A8B">
        <w:trPr>
          <w:trHeight w:val="95"/>
        </w:trPr>
        <w:tc>
          <w:tcPr>
            <w:tcW w:w="632" w:type="dxa"/>
          </w:tcPr>
          <w:p w14:paraId="17ABF217" w14:textId="14AC00D7" w:rsidR="00B13D65" w:rsidRPr="00E33EFF" w:rsidRDefault="00B13D65" w:rsidP="00F41262">
            <w:pPr>
              <w:rPr>
                <w:rFonts w:eastAsia="Arial"/>
              </w:rPr>
            </w:pPr>
            <w:r w:rsidRPr="00E33EFF">
              <w:rPr>
                <w:rFonts w:eastAsia="Arial"/>
              </w:rPr>
              <w:t>1.</w:t>
            </w:r>
            <w:r w:rsidR="00D417D2" w:rsidRPr="00E33EFF">
              <w:rPr>
                <w:rFonts w:eastAsia="Arial"/>
              </w:rPr>
              <w:t>6</w:t>
            </w:r>
          </w:p>
        </w:tc>
        <w:tc>
          <w:tcPr>
            <w:tcW w:w="3694" w:type="dxa"/>
          </w:tcPr>
          <w:p w14:paraId="3A6B054C" w14:textId="560576FD" w:rsidR="00AE1322" w:rsidRDefault="00DE4484" w:rsidP="00F4126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6B4FEEC1" w14:textId="378668B0" w:rsidR="00B13D65" w:rsidRPr="00E33EFF" w:rsidRDefault="007656B2" w:rsidP="00F4126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04138503" w14:textId="77777777" w:rsidR="00041A8B" w:rsidRPr="003910BF" w:rsidRDefault="00041A8B" w:rsidP="00F41262">
            <w:pPr>
              <w:pStyle w:val="ListParagraph"/>
              <w:spacing w:after="120"/>
              <w:ind w:left="0"/>
              <w:contextualSpacing w:val="0"/>
              <w:jc w:val="both"/>
              <w:rPr>
                <w:rFonts w:asciiTheme="majorBidi" w:hAnsiTheme="majorBidi" w:cstheme="majorBidi"/>
                <w:color w:val="000000"/>
              </w:rPr>
            </w:pPr>
            <w:r w:rsidRPr="00FE4B39">
              <w:rPr>
                <w:rFonts w:asciiTheme="majorBidi" w:hAnsiTheme="majorBidi" w:cstheme="majorBidi"/>
                <w:color w:val="000000"/>
              </w:rPr>
              <w:t xml:space="preserve">TUKYSA skirtas vartoti derinyje su </w:t>
            </w:r>
            <w:proofErr w:type="spellStart"/>
            <w:r w:rsidRPr="00FE4B39">
              <w:rPr>
                <w:rFonts w:asciiTheme="majorBidi" w:hAnsiTheme="majorBidi" w:cstheme="majorBidi"/>
                <w:color w:val="000000"/>
              </w:rPr>
              <w:t>trastuzumabu</w:t>
            </w:r>
            <w:proofErr w:type="spellEnd"/>
            <w:r w:rsidRPr="00FE4B39">
              <w:rPr>
                <w:rFonts w:asciiTheme="majorBidi" w:hAnsiTheme="majorBidi" w:cstheme="majorBidi"/>
                <w:color w:val="000000"/>
              </w:rPr>
              <w:t xml:space="preserve"> ir </w:t>
            </w:r>
            <w:proofErr w:type="spellStart"/>
            <w:r w:rsidRPr="00FE4B39">
              <w:rPr>
                <w:rFonts w:asciiTheme="majorBidi" w:hAnsiTheme="majorBidi" w:cstheme="majorBidi"/>
                <w:color w:val="000000"/>
              </w:rPr>
              <w:t>kapecitabinu</w:t>
            </w:r>
            <w:proofErr w:type="spellEnd"/>
            <w:r w:rsidRPr="00FE4B39">
              <w:rPr>
                <w:rFonts w:asciiTheme="majorBidi" w:hAnsiTheme="majorBidi" w:cstheme="majorBidi"/>
                <w:color w:val="000000"/>
              </w:rPr>
              <w:t xml:space="preserve"> suaugusiems pacientams, sergantiems žmogaus epidermio augimo faktoriaus receptoriaus 2 (angl. </w:t>
            </w:r>
            <w:proofErr w:type="spellStart"/>
            <w:r w:rsidRPr="00D75C19">
              <w:rPr>
                <w:rFonts w:asciiTheme="majorBidi" w:hAnsiTheme="majorBidi" w:cstheme="majorBidi"/>
                <w:i/>
                <w:iCs/>
                <w:color w:val="000000"/>
              </w:rPr>
              <w:t>human</w:t>
            </w:r>
            <w:proofErr w:type="spellEnd"/>
            <w:r w:rsidRPr="00D75C19">
              <w:rPr>
                <w:rFonts w:asciiTheme="majorBidi" w:hAnsiTheme="majorBidi" w:cstheme="majorBidi"/>
                <w:i/>
                <w:iCs/>
                <w:color w:val="000000"/>
              </w:rPr>
              <w:t xml:space="preserve"> </w:t>
            </w:r>
            <w:proofErr w:type="spellStart"/>
            <w:r w:rsidRPr="00D75C19">
              <w:rPr>
                <w:rFonts w:asciiTheme="majorBidi" w:hAnsiTheme="majorBidi" w:cstheme="majorBidi"/>
                <w:i/>
                <w:iCs/>
                <w:color w:val="000000"/>
              </w:rPr>
              <w:t>epidermal</w:t>
            </w:r>
            <w:proofErr w:type="spellEnd"/>
            <w:r w:rsidRPr="00D75C19">
              <w:rPr>
                <w:rFonts w:asciiTheme="majorBidi" w:hAnsiTheme="majorBidi" w:cstheme="majorBidi"/>
                <w:i/>
                <w:iCs/>
                <w:color w:val="000000"/>
              </w:rPr>
              <w:t xml:space="preserve"> </w:t>
            </w:r>
            <w:proofErr w:type="spellStart"/>
            <w:r w:rsidRPr="00D75C19">
              <w:rPr>
                <w:rFonts w:asciiTheme="majorBidi" w:hAnsiTheme="majorBidi" w:cstheme="majorBidi"/>
                <w:i/>
                <w:iCs/>
                <w:color w:val="000000"/>
              </w:rPr>
              <w:t>grow</w:t>
            </w:r>
            <w:proofErr w:type="spellEnd"/>
            <w:r w:rsidRPr="00D75C19">
              <w:rPr>
                <w:rFonts w:asciiTheme="majorBidi" w:hAnsiTheme="majorBidi" w:cstheme="majorBidi"/>
                <w:i/>
                <w:iCs/>
                <w:color w:val="000000"/>
              </w:rPr>
              <w:t xml:space="preserve"> </w:t>
            </w:r>
            <w:proofErr w:type="spellStart"/>
            <w:r w:rsidRPr="00D75C19">
              <w:rPr>
                <w:rFonts w:asciiTheme="majorBidi" w:hAnsiTheme="majorBidi" w:cstheme="majorBidi"/>
                <w:i/>
                <w:iCs/>
                <w:color w:val="000000"/>
              </w:rPr>
              <w:t>factor</w:t>
            </w:r>
            <w:proofErr w:type="spellEnd"/>
            <w:r w:rsidRPr="00D75C19">
              <w:rPr>
                <w:rFonts w:asciiTheme="majorBidi" w:hAnsiTheme="majorBidi" w:cstheme="majorBidi"/>
                <w:i/>
                <w:iCs/>
                <w:color w:val="000000"/>
              </w:rPr>
              <w:t xml:space="preserve"> </w:t>
            </w:r>
            <w:proofErr w:type="spellStart"/>
            <w:r w:rsidRPr="00D75C19">
              <w:rPr>
                <w:rFonts w:asciiTheme="majorBidi" w:hAnsiTheme="majorBidi" w:cstheme="majorBidi"/>
                <w:i/>
                <w:iCs/>
                <w:color w:val="000000"/>
              </w:rPr>
              <w:t>receptor</w:t>
            </w:r>
            <w:proofErr w:type="spellEnd"/>
            <w:r w:rsidRPr="00FE4B39">
              <w:rPr>
                <w:rFonts w:asciiTheme="majorBidi" w:hAnsiTheme="majorBidi" w:cstheme="majorBidi"/>
                <w:color w:val="000000"/>
              </w:rPr>
              <w:t xml:space="preserve"> 2, toliau – HER2) teigiamu vietiškai išplitusiu arba </w:t>
            </w:r>
            <w:proofErr w:type="spellStart"/>
            <w:r w:rsidRPr="00FE4B39">
              <w:rPr>
                <w:rFonts w:asciiTheme="majorBidi" w:hAnsiTheme="majorBidi" w:cstheme="majorBidi"/>
                <w:color w:val="000000"/>
              </w:rPr>
              <w:t>metastazavusiu</w:t>
            </w:r>
            <w:proofErr w:type="spellEnd"/>
            <w:r w:rsidRPr="00FE4B39">
              <w:rPr>
                <w:rFonts w:asciiTheme="majorBidi" w:hAnsiTheme="majorBidi" w:cstheme="majorBidi"/>
                <w:color w:val="000000"/>
              </w:rPr>
              <w:t xml:space="preserve"> krūties vėžiu, kai anksčiau buvo taikomi bent 2 ankstesni prieš </w:t>
            </w:r>
            <w:r w:rsidRPr="003910BF">
              <w:rPr>
                <w:rFonts w:asciiTheme="majorBidi" w:hAnsiTheme="majorBidi" w:cstheme="majorBidi"/>
                <w:color w:val="000000"/>
              </w:rPr>
              <w:t>HER2 nukreipti gydymo režimai.</w:t>
            </w:r>
          </w:p>
          <w:p w14:paraId="13F7DFB0" w14:textId="7BE26821" w:rsidR="00B13D65" w:rsidRPr="00E33EFF" w:rsidRDefault="00041A8B" w:rsidP="00F41262">
            <w:pPr>
              <w:pStyle w:val="ListParagraph"/>
              <w:spacing w:after="120"/>
              <w:ind w:left="0"/>
              <w:contextualSpacing w:val="0"/>
              <w:jc w:val="both"/>
            </w:pPr>
            <w:r>
              <w:rPr>
                <w:rFonts w:asciiTheme="majorBidi" w:hAnsiTheme="majorBidi" w:cstheme="majorBidi"/>
                <w:color w:val="000000"/>
              </w:rPr>
              <w:t>TLK-10 AM: C50</w:t>
            </w:r>
          </w:p>
        </w:tc>
      </w:tr>
      <w:tr w:rsidR="00B13D65" w:rsidRPr="00E33EFF" w14:paraId="2F79DC08" w14:textId="77777777" w:rsidTr="00BE7489">
        <w:trPr>
          <w:trHeight w:val="378"/>
        </w:trPr>
        <w:tc>
          <w:tcPr>
            <w:tcW w:w="632" w:type="dxa"/>
          </w:tcPr>
          <w:p w14:paraId="547885A2" w14:textId="08AA8055" w:rsidR="00B13D65" w:rsidRPr="00E33EFF" w:rsidRDefault="00B13D65" w:rsidP="00F41262">
            <w:pPr>
              <w:rPr>
                <w:rFonts w:eastAsia="Arial"/>
              </w:rPr>
            </w:pPr>
            <w:r w:rsidRPr="00E33EFF">
              <w:rPr>
                <w:rFonts w:eastAsia="Arial"/>
              </w:rPr>
              <w:t>1.</w:t>
            </w:r>
            <w:r w:rsidR="002E0702" w:rsidRPr="00E33EFF">
              <w:rPr>
                <w:rFonts w:eastAsia="Arial"/>
              </w:rPr>
              <w:t>6</w:t>
            </w:r>
          </w:p>
        </w:tc>
        <w:tc>
          <w:tcPr>
            <w:tcW w:w="3694" w:type="dxa"/>
          </w:tcPr>
          <w:p w14:paraId="2EAB877F" w14:textId="39A36941" w:rsidR="00B13D65" w:rsidRPr="00E33EFF" w:rsidRDefault="007656B2" w:rsidP="00F4126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F41262">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F41262">
            <w:pPr>
              <w:rPr>
                <w:rFonts w:eastAsia="Arial"/>
              </w:rPr>
            </w:pPr>
            <w:r w:rsidRPr="00E33EFF">
              <w:rPr>
                <w:rFonts w:eastAsia="Arial"/>
              </w:rPr>
              <w:t>1.7</w:t>
            </w:r>
          </w:p>
        </w:tc>
        <w:tc>
          <w:tcPr>
            <w:tcW w:w="3694" w:type="dxa"/>
          </w:tcPr>
          <w:p w14:paraId="738E1926" w14:textId="50A9DC79" w:rsidR="00B13D65" w:rsidRDefault="007656B2" w:rsidP="00F4126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1F7BF92F" w14:textId="1810A9D9" w:rsidR="007C7519" w:rsidRDefault="007C7519" w:rsidP="00F41262">
            <w:pPr>
              <w:rPr>
                <w:bCs/>
                <w:i/>
                <w:color w:val="000000"/>
                <w:lang w:eastAsia="lt-LT"/>
              </w:rPr>
            </w:pPr>
            <w:r w:rsidRPr="007C7519">
              <w:rPr>
                <w:bCs/>
                <w:i/>
                <w:color w:val="000000"/>
                <w:lang w:eastAsia="lt-LT"/>
              </w:rPr>
              <w:t>Tiesioginis</w:t>
            </w:r>
          </w:p>
          <w:p w14:paraId="6B944CE9" w14:textId="4B47D4DA" w:rsidR="00041A8B" w:rsidRPr="007C7519" w:rsidRDefault="00041A8B" w:rsidP="00F41262">
            <w:pPr>
              <w:rPr>
                <w:bCs/>
                <w:i/>
                <w:color w:val="000000"/>
                <w:lang w:eastAsia="lt-LT"/>
              </w:rPr>
            </w:pPr>
            <w:r>
              <w:rPr>
                <w:bCs/>
                <w:i/>
                <w:color w:val="000000"/>
                <w:lang w:eastAsia="lt-LT"/>
              </w:rPr>
              <w:t>Netiesioginis</w:t>
            </w:r>
          </w:p>
          <w:p w14:paraId="61EC5BBD" w14:textId="7A8BD8B4" w:rsidR="009F4D66" w:rsidRPr="00E33EFF" w:rsidRDefault="009F4D66" w:rsidP="00F41262">
            <w:pPr>
              <w:rPr>
                <w:bCs/>
                <w:color w:val="000000"/>
                <w:lang w:eastAsia="lt-LT"/>
              </w:rPr>
            </w:pPr>
          </w:p>
          <w:p w14:paraId="62057D94" w14:textId="77777777" w:rsidR="00413F24" w:rsidRPr="00E33EFF" w:rsidRDefault="00413F24" w:rsidP="00F41262">
            <w:pPr>
              <w:rPr>
                <w:bCs/>
                <w:color w:val="000000"/>
                <w:lang w:eastAsia="lt-LT"/>
              </w:rPr>
            </w:pPr>
          </w:p>
          <w:p w14:paraId="6CC1022E" w14:textId="2B6BCEE1" w:rsidR="009F4D66" w:rsidRPr="00E33EFF" w:rsidRDefault="009F4D66" w:rsidP="00F41262">
            <w:pPr>
              <w:rPr>
                <w:bCs/>
                <w:color w:val="000000"/>
                <w:lang w:eastAsia="lt-LT"/>
              </w:rPr>
            </w:pPr>
          </w:p>
        </w:tc>
        <w:tc>
          <w:tcPr>
            <w:tcW w:w="5167" w:type="dxa"/>
          </w:tcPr>
          <w:p w14:paraId="5481FC83" w14:textId="77777777" w:rsidR="007C7519" w:rsidRDefault="007C7519" w:rsidP="00F41262">
            <w:pPr>
              <w:rPr>
                <w:rStyle w:val="Style2"/>
                <w:sz w:val="24"/>
              </w:rPr>
            </w:pPr>
          </w:p>
          <w:p w14:paraId="0367CC97" w14:textId="77777777" w:rsidR="00041A8B" w:rsidRDefault="00041A8B" w:rsidP="00F41262">
            <w:pPr>
              <w:rPr>
                <w:rStyle w:val="Style2"/>
                <w:sz w:val="24"/>
              </w:rPr>
            </w:pPr>
          </w:p>
          <w:p w14:paraId="52E405BE" w14:textId="77777777" w:rsidR="00B13D65" w:rsidRDefault="00000000" w:rsidP="00F41262">
            <w:sdt>
              <w:sdtPr>
                <w:rPr>
                  <w:rStyle w:val="Style2"/>
                  <w:sz w:val="24"/>
                </w:rPr>
                <w:id w:val="-352420698"/>
                <w15:color w:val="FFCC00"/>
                <w14:checkbox>
                  <w14:checked w14:val="1"/>
                  <w14:checkedState w14:val="2612" w14:font="MS Gothic"/>
                  <w14:uncheckedState w14:val="2610" w14:font="MS Gothic"/>
                </w14:checkbox>
              </w:sdtPr>
              <w:sdtContent>
                <w:r w:rsidR="0047414A">
                  <w:rPr>
                    <w:rStyle w:val="Style2"/>
                    <w:rFonts w:ascii="MS Gothic" w:eastAsia="MS Gothic" w:hAnsi="MS Gothic" w:hint="eastAsia"/>
                    <w:sz w:val="24"/>
                  </w:rPr>
                  <w:t>☒</w:t>
                </w:r>
              </w:sdtContent>
            </w:sdt>
            <w:r w:rsidR="009F4D66" w:rsidRPr="00E33EFF">
              <w:t xml:space="preserve"> Netinkama</w:t>
            </w:r>
            <w:r w:rsidR="0047414A">
              <w:t>s</w:t>
            </w:r>
          </w:p>
          <w:p w14:paraId="10BD2BBC" w14:textId="77777777" w:rsidR="00041A8B" w:rsidRPr="00E33EFF" w:rsidRDefault="00000000" w:rsidP="00F41262">
            <w:sdt>
              <w:sdtPr>
                <w:rPr>
                  <w:rStyle w:val="Style2"/>
                  <w:sz w:val="24"/>
                </w:rPr>
                <w:id w:val="1480955706"/>
                <w15:color w:val="FFCC00"/>
                <w14:checkbox>
                  <w14:checked w14:val="1"/>
                  <w14:checkedState w14:val="2612" w14:font="MS Gothic"/>
                  <w14:uncheckedState w14:val="2610" w14:font="MS Gothic"/>
                </w14:checkbox>
              </w:sdtPr>
              <w:sdtContent>
                <w:r w:rsidR="00041A8B">
                  <w:rPr>
                    <w:rStyle w:val="Style2"/>
                    <w:rFonts w:ascii="MS Gothic" w:eastAsia="MS Gothic" w:hAnsi="MS Gothic" w:hint="eastAsia"/>
                    <w:sz w:val="24"/>
                  </w:rPr>
                  <w:t>☒</w:t>
                </w:r>
              </w:sdtContent>
            </w:sdt>
            <w:r w:rsidR="00041A8B" w:rsidRPr="00E33EFF">
              <w:t xml:space="preserve"> Tinkamas</w:t>
            </w:r>
          </w:p>
          <w:p w14:paraId="41B44044" w14:textId="52A2C3C6" w:rsidR="00041A8B" w:rsidRPr="00E33EFF" w:rsidRDefault="00041A8B" w:rsidP="00F41262"/>
        </w:tc>
      </w:tr>
    </w:tbl>
    <w:p w14:paraId="108176F7" w14:textId="640C6F75" w:rsidR="00F70C9E" w:rsidRPr="00E33EFF" w:rsidRDefault="00F70C9E" w:rsidP="00F41262">
      <w:pPr>
        <w:pStyle w:val="ListParagraph"/>
        <w:tabs>
          <w:tab w:val="left" w:pos="426"/>
        </w:tabs>
        <w:spacing w:line="360" w:lineRule="auto"/>
        <w:ind w:left="0"/>
        <w:rPr>
          <w:b/>
          <w:bCs/>
          <w:caps/>
        </w:rPr>
      </w:pPr>
    </w:p>
    <w:p w14:paraId="2871CA7F" w14:textId="2370BDDB" w:rsidR="00F70C9E" w:rsidRPr="00E33EFF" w:rsidRDefault="00F70C9E" w:rsidP="00F41262">
      <w:pPr>
        <w:spacing w:line="360"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41262">
      <w:pPr>
        <w:spacing w:line="360" w:lineRule="auto"/>
        <w:rPr>
          <w:rFonts w:eastAsia="Arial"/>
        </w:rPr>
      </w:pPr>
    </w:p>
    <w:tbl>
      <w:tblPr>
        <w:tblStyle w:val="TableGrid"/>
        <w:tblW w:w="9493" w:type="dxa"/>
        <w:tblLayout w:type="fixed"/>
        <w:tblLook w:val="04A0" w:firstRow="1" w:lastRow="0" w:firstColumn="1" w:lastColumn="0" w:noHBand="0" w:noVBand="1"/>
      </w:tblPr>
      <w:tblGrid>
        <w:gridCol w:w="2873"/>
        <w:gridCol w:w="1375"/>
        <w:gridCol w:w="3454"/>
        <w:gridCol w:w="1791"/>
      </w:tblGrid>
      <w:tr w:rsidR="00041A8B" w:rsidRPr="00D05364" w14:paraId="5B6FC221" w14:textId="77777777" w:rsidTr="00041A8B">
        <w:trPr>
          <w:trHeight w:val="924"/>
        </w:trPr>
        <w:tc>
          <w:tcPr>
            <w:tcW w:w="2873" w:type="dxa"/>
          </w:tcPr>
          <w:p w14:paraId="2F9EDA14" w14:textId="77777777" w:rsidR="00041A8B" w:rsidRPr="00D05364" w:rsidRDefault="00041A8B" w:rsidP="00F41262">
            <w:pPr>
              <w:rPr>
                <w:rFonts w:eastAsia="Arial"/>
              </w:rPr>
            </w:pPr>
            <w:r w:rsidRPr="00D05364">
              <w:rPr>
                <w:rFonts w:eastAsia="Arial"/>
              </w:rPr>
              <w:t>STV agentūros pavadinimas, šalis</w:t>
            </w:r>
          </w:p>
        </w:tc>
        <w:tc>
          <w:tcPr>
            <w:tcW w:w="1375" w:type="dxa"/>
          </w:tcPr>
          <w:p w14:paraId="7C20F021" w14:textId="77777777" w:rsidR="00041A8B" w:rsidRPr="00D05364" w:rsidRDefault="00041A8B" w:rsidP="00F41262">
            <w:pPr>
              <w:rPr>
                <w:rFonts w:eastAsia="Arial"/>
              </w:rPr>
            </w:pPr>
            <w:r w:rsidRPr="00D05364">
              <w:rPr>
                <w:rFonts w:eastAsia="Arial"/>
              </w:rPr>
              <w:t>STV vertinimas atliktas</w:t>
            </w:r>
          </w:p>
        </w:tc>
        <w:tc>
          <w:tcPr>
            <w:tcW w:w="3454" w:type="dxa"/>
          </w:tcPr>
          <w:p w14:paraId="16A90B0A" w14:textId="77777777" w:rsidR="00041A8B" w:rsidRPr="00D05364" w:rsidRDefault="00041A8B" w:rsidP="00F41262">
            <w:pPr>
              <w:rPr>
                <w:rFonts w:eastAsia="Arial"/>
              </w:rPr>
            </w:pPr>
            <w:r w:rsidRPr="00D05364">
              <w:rPr>
                <w:rFonts w:eastAsia="Arial"/>
              </w:rPr>
              <w:t>Klinikinio vertinimo išvada</w:t>
            </w:r>
          </w:p>
        </w:tc>
        <w:tc>
          <w:tcPr>
            <w:tcW w:w="1791" w:type="dxa"/>
          </w:tcPr>
          <w:p w14:paraId="6E194B6F" w14:textId="77777777" w:rsidR="00041A8B" w:rsidRPr="00D05364" w:rsidRDefault="00041A8B" w:rsidP="00F41262">
            <w:pPr>
              <w:rPr>
                <w:rFonts w:eastAsia="Arial"/>
              </w:rPr>
            </w:pPr>
            <w:proofErr w:type="spellStart"/>
            <w:r w:rsidRPr="00D05364">
              <w:rPr>
                <w:rFonts w:eastAsia="Arial"/>
              </w:rPr>
              <w:t>Farmakoekonominio</w:t>
            </w:r>
            <w:proofErr w:type="spellEnd"/>
            <w:r w:rsidRPr="00D05364">
              <w:rPr>
                <w:rFonts w:eastAsia="Arial"/>
              </w:rPr>
              <w:t xml:space="preserve"> vertinimo išvada</w:t>
            </w:r>
          </w:p>
        </w:tc>
      </w:tr>
      <w:tr w:rsidR="00041A8B" w:rsidRPr="00D05364" w14:paraId="3694650A" w14:textId="77777777" w:rsidTr="00041A8B">
        <w:trPr>
          <w:trHeight w:val="1765"/>
        </w:trPr>
        <w:tc>
          <w:tcPr>
            <w:tcW w:w="2873" w:type="dxa"/>
          </w:tcPr>
          <w:p w14:paraId="69775FE6" w14:textId="77777777" w:rsidR="00041A8B" w:rsidRPr="00D05364" w:rsidRDefault="00041A8B" w:rsidP="00F41262">
            <w:pPr>
              <w:autoSpaceDE w:val="0"/>
              <w:autoSpaceDN w:val="0"/>
              <w:adjustRightInd w:val="0"/>
              <w:rPr>
                <w:bCs/>
              </w:rPr>
            </w:pPr>
            <w:r w:rsidRPr="00D05364">
              <w:rPr>
                <w:bCs/>
              </w:rPr>
              <w:t>Nacionalinis sveikatos ir klinikinės kompetencijos institutas, Didžioji Britanija</w:t>
            </w:r>
          </w:p>
          <w:p w14:paraId="23A6FAAF" w14:textId="77777777" w:rsidR="00041A8B" w:rsidRPr="00D05364" w:rsidRDefault="00041A8B" w:rsidP="00F41262">
            <w:pPr>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375" w:type="dxa"/>
          </w:tcPr>
          <w:p w14:paraId="57EBD647" w14:textId="77777777" w:rsidR="00041A8B" w:rsidRPr="00D05364" w:rsidRDefault="00000000" w:rsidP="00F41262">
            <w:sdt>
              <w:sdtPr>
                <w:rPr>
                  <w:rStyle w:val="Style2"/>
                </w:rPr>
                <w:id w:val="1558205022"/>
                <w15:color w:val="FFCC00"/>
                <w14:checkbox>
                  <w14:checked w14:val="1"/>
                  <w14:checkedState w14:val="2612" w14:font="MS Gothic"/>
                  <w14:uncheckedState w14:val="2610" w14:font="MS Gothic"/>
                </w14:checkbox>
              </w:sdtPr>
              <w:sdtContent>
                <w:r w:rsidR="00041A8B">
                  <w:rPr>
                    <w:rStyle w:val="Style2"/>
                    <w:rFonts w:ascii="MS Gothic" w:eastAsia="MS Gothic" w:hAnsi="MS Gothic" w:hint="eastAsia"/>
                  </w:rPr>
                  <w:t>☒</w:t>
                </w:r>
              </w:sdtContent>
            </w:sdt>
            <w:r w:rsidR="00041A8B" w:rsidRPr="00D05364">
              <w:t xml:space="preserve"> Taip</w:t>
            </w:r>
          </w:p>
          <w:p w14:paraId="0D883F4F" w14:textId="77777777" w:rsidR="00041A8B" w:rsidRPr="00D05364" w:rsidRDefault="00000000" w:rsidP="00F41262">
            <w:sdt>
              <w:sdtPr>
                <w:rPr>
                  <w:rStyle w:val="Style2"/>
                </w:rPr>
                <w:id w:val="866029625"/>
                <w15:color w:val="FFCC00"/>
                <w14:checkbox>
                  <w14:checked w14:val="0"/>
                  <w14:checkedState w14:val="2612" w14:font="MS Gothic"/>
                  <w14:uncheckedState w14:val="2610" w14:font="MS Gothic"/>
                </w14:checkbox>
              </w:sdtPr>
              <w:sdtContent>
                <w:r w:rsidR="00041A8B" w:rsidRPr="00D05364">
                  <w:rPr>
                    <w:rStyle w:val="Style2"/>
                    <w:rFonts w:ascii="MS Gothic" w:eastAsia="MS Gothic" w:hAnsi="MS Gothic" w:hint="eastAsia"/>
                  </w:rPr>
                  <w:t>☐</w:t>
                </w:r>
              </w:sdtContent>
            </w:sdt>
            <w:r w:rsidR="00041A8B" w:rsidRPr="00D05364">
              <w:t xml:space="preserve"> Ne</w:t>
            </w:r>
          </w:p>
          <w:p w14:paraId="3EF16130" w14:textId="77777777" w:rsidR="00041A8B" w:rsidRPr="00E06187" w:rsidRDefault="00041A8B" w:rsidP="00F41262">
            <w:pPr>
              <w:rPr>
                <w:rFonts w:eastAsia="Arial"/>
              </w:rPr>
            </w:pPr>
            <w:r>
              <w:rPr>
                <w:rFonts w:eastAsia="Arial"/>
                <w:lang w:val="en-US"/>
              </w:rPr>
              <w:t>2022 04 27</w:t>
            </w:r>
          </w:p>
        </w:tc>
        <w:tc>
          <w:tcPr>
            <w:tcW w:w="3454" w:type="dxa"/>
          </w:tcPr>
          <w:p w14:paraId="4D2A3DB6" w14:textId="77777777" w:rsidR="00041A8B" w:rsidRPr="00636FA4" w:rsidRDefault="00041A8B" w:rsidP="00F41262">
            <w:pPr>
              <w:pStyle w:val="ListParagraph"/>
              <w:spacing w:after="120"/>
              <w:ind w:left="0"/>
              <w:contextualSpacing w:val="0"/>
              <w:jc w:val="both"/>
              <w:rPr>
                <w:rFonts w:asciiTheme="majorBidi" w:hAnsiTheme="majorBidi" w:cstheme="majorBidi"/>
                <w:color w:val="000000"/>
              </w:rPr>
            </w:pPr>
            <w:r w:rsidRPr="00FE4B39">
              <w:rPr>
                <w:rFonts w:asciiTheme="majorBidi" w:hAnsiTheme="majorBidi" w:cstheme="majorBidi"/>
                <w:color w:val="000000"/>
              </w:rPr>
              <w:t xml:space="preserve">TUKYSA skirtas vartoti derinyje su </w:t>
            </w:r>
            <w:proofErr w:type="spellStart"/>
            <w:r w:rsidRPr="00FE4B39">
              <w:rPr>
                <w:rFonts w:asciiTheme="majorBidi" w:hAnsiTheme="majorBidi" w:cstheme="majorBidi"/>
                <w:color w:val="000000"/>
              </w:rPr>
              <w:t>trastuzumabu</w:t>
            </w:r>
            <w:proofErr w:type="spellEnd"/>
            <w:r w:rsidRPr="00FE4B39">
              <w:rPr>
                <w:rFonts w:asciiTheme="majorBidi" w:hAnsiTheme="majorBidi" w:cstheme="majorBidi"/>
                <w:color w:val="000000"/>
              </w:rPr>
              <w:t xml:space="preserve"> ir </w:t>
            </w:r>
            <w:proofErr w:type="spellStart"/>
            <w:r w:rsidRPr="00FE4B39">
              <w:rPr>
                <w:rFonts w:asciiTheme="majorBidi" w:hAnsiTheme="majorBidi" w:cstheme="majorBidi"/>
                <w:color w:val="000000"/>
              </w:rPr>
              <w:t>kapecitabinu</w:t>
            </w:r>
            <w:proofErr w:type="spellEnd"/>
            <w:r w:rsidRPr="00FE4B39">
              <w:rPr>
                <w:rFonts w:asciiTheme="majorBidi" w:hAnsiTheme="majorBidi" w:cstheme="majorBidi"/>
                <w:color w:val="000000"/>
              </w:rPr>
              <w:t xml:space="preserve"> suaugusiems pacientams, sergantiems žmogaus epidermio augimo faktoriaus receptoriaus HER2</w:t>
            </w:r>
            <w:r>
              <w:rPr>
                <w:rFonts w:asciiTheme="majorBidi" w:hAnsiTheme="majorBidi" w:cstheme="majorBidi"/>
                <w:color w:val="000000"/>
              </w:rPr>
              <w:t xml:space="preserve"> </w:t>
            </w:r>
            <w:r w:rsidRPr="00FE4B39">
              <w:rPr>
                <w:rFonts w:asciiTheme="majorBidi" w:hAnsiTheme="majorBidi" w:cstheme="majorBidi"/>
                <w:color w:val="000000"/>
              </w:rPr>
              <w:t xml:space="preserve">teigiamu vietiškai išplitusiu arba </w:t>
            </w:r>
            <w:proofErr w:type="spellStart"/>
            <w:r w:rsidRPr="00FE4B39">
              <w:rPr>
                <w:rFonts w:asciiTheme="majorBidi" w:hAnsiTheme="majorBidi" w:cstheme="majorBidi"/>
                <w:color w:val="000000"/>
              </w:rPr>
              <w:t>metastazavusiu</w:t>
            </w:r>
            <w:proofErr w:type="spellEnd"/>
            <w:r w:rsidRPr="00FE4B39">
              <w:rPr>
                <w:rFonts w:asciiTheme="majorBidi" w:hAnsiTheme="majorBidi" w:cstheme="majorBidi"/>
                <w:color w:val="000000"/>
              </w:rPr>
              <w:t xml:space="preserve"> krūties vėžiu, kai anksčiau buvo taikomi bent 2 ankstesni prieš </w:t>
            </w:r>
            <w:r w:rsidRPr="003910BF">
              <w:rPr>
                <w:rFonts w:asciiTheme="majorBidi" w:hAnsiTheme="majorBidi" w:cstheme="majorBidi"/>
                <w:color w:val="000000"/>
              </w:rPr>
              <w:t>HER2 nukreipti gydymo režimai.</w:t>
            </w:r>
          </w:p>
        </w:tc>
        <w:tc>
          <w:tcPr>
            <w:tcW w:w="1791" w:type="dxa"/>
          </w:tcPr>
          <w:p w14:paraId="688E4FB3" w14:textId="77777777" w:rsidR="00041A8B" w:rsidRPr="00D05364" w:rsidRDefault="00041A8B" w:rsidP="00F41262">
            <w:pPr>
              <w:rPr>
                <w:rFonts w:eastAsia="Arial"/>
              </w:rPr>
            </w:pPr>
            <w:r w:rsidRPr="00D028E7">
              <w:rPr>
                <w:rFonts w:eastAsia="Arial"/>
              </w:rPr>
              <w:t>Rekomenduojama kompensuoti sumažinus kainą.</w:t>
            </w:r>
          </w:p>
        </w:tc>
      </w:tr>
      <w:tr w:rsidR="00041A8B" w:rsidRPr="00D05364" w14:paraId="39764F2B" w14:textId="77777777" w:rsidTr="00041A8B">
        <w:trPr>
          <w:trHeight w:val="1547"/>
        </w:trPr>
        <w:tc>
          <w:tcPr>
            <w:tcW w:w="2873" w:type="dxa"/>
          </w:tcPr>
          <w:p w14:paraId="75F4F065" w14:textId="77777777" w:rsidR="00041A8B" w:rsidRPr="00D05364" w:rsidRDefault="00041A8B" w:rsidP="00F41262">
            <w:pPr>
              <w:rPr>
                <w:rFonts w:eastAsia="Arial"/>
              </w:rPr>
            </w:pPr>
            <w:r w:rsidRPr="00D05364">
              <w:rPr>
                <w:rFonts w:eastAsia="Arial"/>
              </w:rPr>
              <w:t>Kanados sveikatos technologijų agentūra</w:t>
            </w:r>
          </w:p>
          <w:p w14:paraId="50B742A2" w14:textId="77777777" w:rsidR="00041A8B" w:rsidRPr="00D05364" w:rsidRDefault="00041A8B" w:rsidP="00F41262">
            <w:pPr>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375" w:type="dxa"/>
          </w:tcPr>
          <w:p w14:paraId="218428EE" w14:textId="77777777" w:rsidR="00041A8B" w:rsidRPr="00D05364" w:rsidRDefault="00000000" w:rsidP="00F41262">
            <w:sdt>
              <w:sdtPr>
                <w:rPr>
                  <w:rStyle w:val="Style2"/>
                </w:rPr>
                <w:id w:val="-372539057"/>
                <w15:color w:val="FFCC00"/>
                <w14:checkbox>
                  <w14:checked w14:val="1"/>
                  <w14:checkedState w14:val="2612" w14:font="MS Gothic"/>
                  <w14:uncheckedState w14:val="2610" w14:font="MS Gothic"/>
                </w14:checkbox>
              </w:sdtPr>
              <w:sdtContent>
                <w:r w:rsidR="00041A8B">
                  <w:rPr>
                    <w:rStyle w:val="Style2"/>
                    <w:rFonts w:ascii="MS Gothic" w:eastAsia="MS Gothic" w:hAnsi="MS Gothic" w:hint="eastAsia"/>
                  </w:rPr>
                  <w:t>☒</w:t>
                </w:r>
              </w:sdtContent>
            </w:sdt>
            <w:r w:rsidR="00041A8B" w:rsidRPr="00D05364">
              <w:t xml:space="preserve"> Taip</w:t>
            </w:r>
          </w:p>
          <w:p w14:paraId="6622F166" w14:textId="77777777" w:rsidR="00041A8B" w:rsidRDefault="00000000" w:rsidP="00F41262">
            <w:sdt>
              <w:sdtPr>
                <w:rPr>
                  <w:rStyle w:val="Style2"/>
                </w:rPr>
                <w:id w:val="594442222"/>
                <w15:color w:val="FFCC00"/>
                <w14:checkbox>
                  <w14:checked w14:val="0"/>
                  <w14:checkedState w14:val="2612" w14:font="MS Gothic"/>
                  <w14:uncheckedState w14:val="2610" w14:font="MS Gothic"/>
                </w14:checkbox>
              </w:sdtPr>
              <w:sdtContent>
                <w:r w:rsidR="00041A8B" w:rsidRPr="00D05364">
                  <w:rPr>
                    <w:rStyle w:val="Style2"/>
                    <w:rFonts w:ascii="Segoe UI Symbol" w:eastAsia="MS Gothic" w:hAnsi="Segoe UI Symbol" w:cs="Segoe UI Symbol"/>
                  </w:rPr>
                  <w:t>☐</w:t>
                </w:r>
              </w:sdtContent>
            </w:sdt>
            <w:r w:rsidR="00041A8B" w:rsidRPr="00D05364">
              <w:t xml:space="preserve"> Ne</w:t>
            </w:r>
          </w:p>
          <w:p w14:paraId="6593C612" w14:textId="77777777" w:rsidR="00041A8B" w:rsidRPr="0048442D" w:rsidRDefault="00041A8B" w:rsidP="00F41262">
            <w:r>
              <w:t>2021 12 21</w:t>
            </w:r>
          </w:p>
        </w:tc>
        <w:tc>
          <w:tcPr>
            <w:tcW w:w="3454" w:type="dxa"/>
          </w:tcPr>
          <w:p w14:paraId="71228F95" w14:textId="77777777" w:rsidR="00041A8B" w:rsidRPr="00D05364" w:rsidRDefault="00041A8B" w:rsidP="00F41262">
            <w:pPr>
              <w:jc w:val="both"/>
              <w:rPr>
                <w:rFonts w:eastAsia="Arial"/>
              </w:rPr>
            </w:pPr>
            <w:r w:rsidRPr="00FE4B39">
              <w:rPr>
                <w:rFonts w:asciiTheme="majorBidi" w:hAnsiTheme="majorBidi" w:cstheme="majorBidi"/>
                <w:color w:val="000000"/>
              </w:rPr>
              <w:t xml:space="preserve">TUKYSA skirtas vartoti derinyje su </w:t>
            </w:r>
            <w:proofErr w:type="spellStart"/>
            <w:r w:rsidRPr="00FE4B39">
              <w:rPr>
                <w:rFonts w:asciiTheme="majorBidi" w:hAnsiTheme="majorBidi" w:cstheme="majorBidi"/>
                <w:color w:val="000000"/>
              </w:rPr>
              <w:t>trastuzumabu</w:t>
            </w:r>
            <w:proofErr w:type="spellEnd"/>
            <w:r w:rsidRPr="00FE4B39">
              <w:rPr>
                <w:rFonts w:asciiTheme="majorBidi" w:hAnsiTheme="majorBidi" w:cstheme="majorBidi"/>
                <w:color w:val="000000"/>
              </w:rPr>
              <w:t xml:space="preserve"> ir </w:t>
            </w:r>
            <w:proofErr w:type="spellStart"/>
            <w:r w:rsidRPr="00FE4B39">
              <w:rPr>
                <w:rFonts w:asciiTheme="majorBidi" w:hAnsiTheme="majorBidi" w:cstheme="majorBidi"/>
                <w:color w:val="000000"/>
              </w:rPr>
              <w:t>kapecitabinu</w:t>
            </w:r>
            <w:proofErr w:type="spellEnd"/>
            <w:r w:rsidRPr="00FE4B39">
              <w:rPr>
                <w:rFonts w:asciiTheme="majorBidi" w:hAnsiTheme="majorBidi" w:cstheme="majorBidi"/>
                <w:color w:val="000000"/>
              </w:rPr>
              <w:t xml:space="preserve"> suaugusiems pacientams, sergantiems HER</w:t>
            </w:r>
            <w:r>
              <w:rPr>
                <w:rFonts w:asciiTheme="majorBidi" w:hAnsiTheme="majorBidi" w:cstheme="majorBidi"/>
                <w:color w:val="000000"/>
              </w:rPr>
              <w:t>2</w:t>
            </w:r>
            <w:r w:rsidRPr="00FE4B39">
              <w:rPr>
                <w:rFonts w:asciiTheme="majorBidi" w:hAnsiTheme="majorBidi" w:cstheme="majorBidi"/>
                <w:color w:val="000000"/>
              </w:rPr>
              <w:t xml:space="preserve"> teigiamu vietiškai išplitusiu arba </w:t>
            </w:r>
            <w:proofErr w:type="spellStart"/>
            <w:r w:rsidRPr="00FE4B39">
              <w:rPr>
                <w:rFonts w:asciiTheme="majorBidi" w:hAnsiTheme="majorBidi" w:cstheme="majorBidi"/>
                <w:color w:val="000000"/>
              </w:rPr>
              <w:t>metastazavusiu</w:t>
            </w:r>
            <w:proofErr w:type="spellEnd"/>
            <w:r w:rsidRPr="00FE4B39">
              <w:rPr>
                <w:rFonts w:asciiTheme="majorBidi" w:hAnsiTheme="majorBidi" w:cstheme="majorBidi"/>
                <w:color w:val="000000"/>
              </w:rPr>
              <w:t xml:space="preserve"> krūties vėžiu,</w:t>
            </w:r>
            <w:r>
              <w:rPr>
                <w:rFonts w:asciiTheme="majorBidi" w:hAnsiTheme="majorBidi" w:cstheme="majorBidi"/>
                <w:color w:val="000000"/>
              </w:rPr>
              <w:t xml:space="preserve"> įskaitant pacientus, kuriems nustatytos metastazės galvos smegenyse,</w:t>
            </w:r>
            <w:r w:rsidRPr="00FE4B39">
              <w:rPr>
                <w:rFonts w:asciiTheme="majorBidi" w:hAnsiTheme="majorBidi" w:cstheme="majorBidi"/>
                <w:color w:val="000000"/>
              </w:rPr>
              <w:t xml:space="preserve"> kai anksčiau </w:t>
            </w:r>
            <w:r>
              <w:rPr>
                <w:rFonts w:asciiTheme="majorBidi" w:hAnsiTheme="majorBidi" w:cstheme="majorBidi"/>
                <w:color w:val="000000"/>
              </w:rPr>
              <w:t xml:space="preserve">kartu ar atskirai vartojo </w:t>
            </w:r>
            <w:proofErr w:type="spellStart"/>
            <w:r>
              <w:rPr>
                <w:rFonts w:asciiTheme="majorBidi" w:hAnsiTheme="majorBidi" w:cstheme="majorBidi"/>
                <w:color w:val="000000"/>
              </w:rPr>
              <w:t>trastuzumabą</w:t>
            </w:r>
            <w:proofErr w:type="spellEnd"/>
            <w:r>
              <w:rPr>
                <w:rFonts w:asciiTheme="majorBidi" w:hAnsiTheme="majorBidi" w:cstheme="majorBidi"/>
                <w:color w:val="000000"/>
              </w:rPr>
              <w:t xml:space="preserve">, </w:t>
            </w:r>
            <w:proofErr w:type="spellStart"/>
            <w:r>
              <w:rPr>
                <w:rFonts w:asciiTheme="majorBidi" w:hAnsiTheme="majorBidi" w:cstheme="majorBidi"/>
                <w:color w:val="000000"/>
              </w:rPr>
              <w:t>pertuzumabą</w:t>
            </w:r>
            <w:proofErr w:type="spellEnd"/>
            <w:r>
              <w:rPr>
                <w:rFonts w:asciiTheme="majorBidi" w:hAnsiTheme="majorBidi" w:cstheme="majorBidi"/>
                <w:color w:val="000000"/>
              </w:rPr>
              <w:t xml:space="preserve"> ir </w:t>
            </w:r>
            <w:proofErr w:type="spellStart"/>
            <w:r>
              <w:rPr>
                <w:rFonts w:asciiTheme="majorBidi" w:hAnsiTheme="majorBidi" w:cstheme="majorBidi"/>
                <w:color w:val="000000"/>
              </w:rPr>
              <w:t>trastuzumabo</w:t>
            </w:r>
            <w:proofErr w:type="spellEnd"/>
            <w:r>
              <w:rPr>
                <w:rFonts w:asciiTheme="majorBidi" w:hAnsiTheme="majorBidi" w:cstheme="majorBidi"/>
                <w:color w:val="000000"/>
              </w:rPr>
              <w:t xml:space="preserve"> </w:t>
            </w:r>
            <w:proofErr w:type="spellStart"/>
            <w:r>
              <w:rPr>
                <w:rFonts w:asciiTheme="majorBidi" w:hAnsiTheme="majorBidi" w:cstheme="majorBidi"/>
                <w:color w:val="000000"/>
              </w:rPr>
              <w:t>emantaziną</w:t>
            </w:r>
            <w:proofErr w:type="spellEnd"/>
            <w:r w:rsidRPr="003910BF">
              <w:rPr>
                <w:rFonts w:asciiTheme="majorBidi" w:hAnsiTheme="majorBidi" w:cstheme="majorBidi"/>
                <w:color w:val="000000"/>
              </w:rPr>
              <w:t>.</w:t>
            </w:r>
          </w:p>
        </w:tc>
        <w:tc>
          <w:tcPr>
            <w:tcW w:w="1791" w:type="dxa"/>
          </w:tcPr>
          <w:p w14:paraId="55EB284F" w14:textId="77777777" w:rsidR="00041A8B" w:rsidRPr="00D05364" w:rsidRDefault="00041A8B" w:rsidP="00F41262">
            <w:pPr>
              <w:rPr>
                <w:rFonts w:eastAsia="Arial"/>
              </w:rPr>
            </w:pPr>
            <w:r w:rsidRPr="00D028E7">
              <w:rPr>
                <w:rFonts w:eastAsia="Arial"/>
              </w:rPr>
              <w:t>Rekomenduojama kompensuoti sumažinus kainą.</w:t>
            </w:r>
          </w:p>
        </w:tc>
      </w:tr>
      <w:tr w:rsidR="00041A8B" w:rsidRPr="00D05364" w14:paraId="6CA9DA28" w14:textId="77777777" w:rsidTr="00041A8B">
        <w:trPr>
          <w:trHeight w:val="1927"/>
        </w:trPr>
        <w:tc>
          <w:tcPr>
            <w:tcW w:w="2873" w:type="dxa"/>
          </w:tcPr>
          <w:p w14:paraId="0AC7F0C0" w14:textId="77777777" w:rsidR="00041A8B" w:rsidRPr="00D05364" w:rsidRDefault="00041A8B" w:rsidP="00F41262">
            <w:pPr>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336BBE35" w14:textId="77777777" w:rsidR="00041A8B" w:rsidRPr="00D05364" w:rsidRDefault="00041A8B" w:rsidP="00F41262">
            <w:pPr>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375" w:type="dxa"/>
          </w:tcPr>
          <w:p w14:paraId="476CC388" w14:textId="77777777" w:rsidR="00041A8B" w:rsidRPr="00D05364" w:rsidRDefault="00000000" w:rsidP="00F41262">
            <w:sdt>
              <w:sdtPr>
                <w:rPr>
                  <w:rStyle w:val="Style2"/>
                </w:rPr>
                <w:id w:val="-1888403732"/>
                <w15:color w:val="FFCC00"/>
                <w14:checkbox>
                  <w14:checked w14:val="0"/>
                  <w14:checkedState w14:val="2612" w14:font="MS Gothic"/>
                  <w14:uncheckedState w14:val="2610" w14:font="MS Gothic"/>
                </w14:checkbox>
              </w:sdtPr>
              <w:sdtContent>
                <w:r w:rsidR="00041A8B" w:rsidRPr="00D05364">
                  <w:rPr>
                    <w:rStyle w:val="Style2"/>
                    <w:rFonts w:ascii="Segoe UI Symbol" w:eastAsia="MS Gothic" w:hAnsi="Segoe UI Symbol" w:cs="Segoe UI Symbol"/>
                  </w:rPr>
                  <w:t>☐</w:t>
                </w:r>
              </w:sdtContent>
            </w:sdt>
            <w:r w:rsidR="00041A8B" w:rsidRPr="00D05364">
              <w:t xml:space="preserve"> Taip</w:t>
            </w:r>
          </w:p>
          <w:p w14:paraId="32960ECD" w14:textId="77777777" w:rsidR="00041A8B" w:rsidRPr="00D05364" w:rsidRDefault="00000000" w:rsidP="00F41262">
            <w:sdt>
              <w:sdtPr>
                <w:rPr>
                  <w:rStyle w:val="Style2"/>
                </w:rPr>
                <w:id w:val="1092201793"/>
                <w15:color w:val="FFCC00"/>
                <w14:checkbox>
                  <w14:checked w14:val="1"/>
                  <w14:checkedState w14:val="2612" w14:font="MS Gothic"/>
                  <w14:uncheckedState w14:val="2610" w14:font="MS Gothic"/>
                </w14:checkbox>
              </w:sdtPr>
              <w:sdtContent>
                <w:r w:rsidR="00041A8B">
                  <w:rPr>
                    <w:rStyle w:val="Style2"/>
                    <w:rFonts w:ascii="MS Gothic" w:eastAsia="MS Gothic" w:hAnsi="MS Gothic" w:hint="eastAsia"/>
                  </w:rPr>
                  <w:t>☒</w:t>
                </w:r>
              </w:sdtContent>
            </w:sdt>
            <w:r w:rsidR="00041A8B" w:rsidRPr="00D05364">
              <w:t xml:space="preserve"> Ne</w:t>
            </w:r>
          </w:p>
          <w:p w14:paraId="41C29282" w14:textId="77777777" w:rsidR="00041A8B" w:rsidRPr="00D05364" w:rsidRDefault="00041A8B" w:rsidP="00F41262">
            <w:pPr>
              <w:rPr>
                <w:rFonts w:eastAsia="Arial"/>
              </w:rPr>
            </w:pPr>
          </w:p>
        </w:tc>
        <w:tc>
          <w:tcPr>
            <w:tcW w:w="3454" w:type="dxa"/>
          </w:tcPr>
          <w:p w14:paraId="607B5C5E" w14:textId="77777777" w:rsidR="00041A8B" w:rsidRPr="00D05364" w:rsidRDefault="00041A8B" w:rsidP="00F41262">
            <w:pPr>
              <w:jc w:val="both"/>
              <w:rPr>
                <w:rFonts w:eastAsia="Arial"/>
              </w:rPr>
            </w:pPr>
            <w:r>
              <w:rPr>
                <w:rFonts w:eastAsia="Arial"/>
              </w:rPr>
              <w:t>Neatliktas pilnas STV įvertinimas.</w:t>
            </w:r>
          </w:p>
        </w:tc>
        <w:tc>
          <w:tcPr>
            <w:tcW w:w="1791" w:type="dxa"/>
          </w:tcPr>
          <w:p w14:paraId="77936580" w14:textId="77777777" w:rsidR="00041A8B" w:rsidRPr="00D05364" w:rsidRDefault="00041A8B" w:rsidP="00F41262">
            <w:pPr>
              <w:rPr>
                <w:rFonts w:eastAsia="Arial"/>
              </w:rPr>
            </w:pPr>
          </w:p>
        </w:tc>
      </w:tr>
      <w:tr w:rsidR="00041A8B" w:rsidRPr="00D05364" w14:paraId="5D2183D0" w14:textId="77777777" w:rsidTr="00041A8B">
        <w:trPr>
          <w:trHeight w:val="690"/>
        </w:trPr>
        <w:tc>
          <w:tcPr>
            <w:tcW w:w="2873" w:type="dxa"/>
          </w:tcPr>
          <w:p w14:paraId="4B2317B5" w14:textId="77777777" w:rsidR="00041A8B" w:rsidRPr="00D05364" w:rsidRDefault="00041A8B" w:rsidP="00F41262">
            <w:pPr>
              <w:rPr>
                <w:rFonts w:eastAsia="Arial"/>
              </w:rPr>
            </w:pPr>
            <w:r w:rsidRPr="00E6595A">
              <w:rPr>
                <w:rFonts w:eastAsia="Arial"/>
              </w:rPr>
              <w:t xml:space="preserve">Škotijos medicinos konsorciumas </w:t>
            </w:r>
            <w:r w:rsidRPr="001F216C">
              <w:rPr>
                <w:rFonts w:eastAsia="Arial"/>
              </w:rPr>
              <w:t xml:space="preserve">(angl. </w:t>
            </w:r>
            <w:proofErr w:type="spellStart"/>
            <w:r>
              <w:rPr>
                <w:rFonts w:eastAsia="Arial"/>
                <w:i/>
              </w:rPr>
              <w:t>Scottish</w:t>
            </w:r>
            <w:proofErr w:type="spellEnd"/>
            <w:r>
              <w:rPr>
                <w:rFonts w:eastAsia="Arial"/>
                <w:i/>
              </w:rPr>
              <w:t xml:space="preserve"> </w:t>
            </w:r>
            <w:proofErr w:type="spellStart"/>
            <w:r>
              <w:rPr>
                <w:rFonts w:eastAsia="Arial"/>
                <w:i/>
              </w:rPr>
              <w:t>Medicines</w:t>
            </w:r>
            <w:proofErr w:type="spellEnd"/>
            <w:r>
              <w:rPr>
                <w:rFonts w:eastAsia="Arial"/>
                <w:i/>
              </w:rPr>
              <w:t xml:space="preserve"> </w:t>
            </w:r>
            <w:proofErr w:type="spellStart"/>
            <w:r>
              <w:rPr>
                <w:rFonts w:eastAsia="Arial"/>
                <w:i/>
              </w:rPr>
              <w:t>Consortium</w:t>
            </w:r>
            <w:proofErr w:type="spellEnd"/>
            <w:r>
              <w:rPr>
                <w:rFonts w:eastAsia="Arial"/>
                <w:i/>
              </w:rPr>
              <w:t>, SMC</w:t>
            </w:r>
            <w:r w:rsidRPr="001F216C">
              <w:rPr>
                <w:rFonts w:eastAsia="Arial"/>
              </w:rPr>
              <w:t>)</w:t>
            </w:r>
            <w:r w:rsidRPr="00D05364">
              <w:rPr>
                <w:rFonts w:eastAsia="Arial"/>
              </w:rPr>
              <w:t xml:space="preserve"> </w:t>
            </w:r>
          </w:p>
        </w:tc>
        <w:tc>
          <w:tcPr>
            <w:tcW w:w="1375" w:type="dxa"/>
          </w:tcPr>
          <w:p w14:paraId="1C51593E" w14:textId="77777777" w:rsidR="00041A8B" w:rsidRPr="00D05364" w:rsidRDefault="00000000" w:rsidP="00F41262">
            <w:sdt>
              <w:sdtPr>
                <w:rPr>
                  <w:rStyle w:val="Style2"/>
                </w:rPr>
                <w:id w:val="1634437882"/>
                <w15:color w:val="FFCC00"/>
                <w14:checkbox>
                  <w14:checked w14:val="1"/>
                  <w14:checkedState w14:val="2612" w14:font="MS Gothic"/>
                  <w14:uncheckedState w14:val="2610" w14:font="MS Gothic"/>
                </w14:checkbox>
              </w:sdtPr>
              <w:sdtContent>
                <w:r w:rsidR="00041A8B">
                  <w:rPr>
                    <w:rStyle w:val="Style2"/>
                    <w:rFonts w:ascii="MS Gothic" w:eastAsia="MS Gothic" w:hAnsi="MS Gothic" w:hint="eastAsia"/>
                  </w:rPr>
                  <w:t>☒</w:t>
                </w:r>
              </w:sdtContent>
            </w:sdt>
            <w:r w:rsidR="00041A8B" w:rsidRPr="00D05364">
              <w:t xml:space="preserve"> Taip</w:t>
            </w:r>
          </w:p>
          <w:p w14:paraId="77D954DF" w14:textId="77777777" w:rsidR="00041A8B" w:rsidRDefault="00000000" w:rsidP="00F41262">
            <w:pPr>
              <w:rPr>
                <w:lang w:val="en-US"/>
              </w:rPr>
            </w:pPr>
            <w:sdt>
              <w:sdtPr>
                <w:rPr>
                  <w:rStyle w:val="Style2"/>
                </w:rPr>
                <w:id w:val="85655384"/>
                <w15:color w:val="FFCC00"/>
                <w14:checkbox>
                  <w14:checked w14:val="0"/>
                  <w14:checkedState w14:val="2612" w14:font="MS Gothic"/>
                  <w14:uncheckedState w14:val="2610" w14:font="MS Gothic"/>
                </w14:checkbox>
              </w:sdtPr>
              <w:sdtContent>
                <w:r w:rsidR="00041A8B" w:rsidRPr="00D05364">
                  <w:rPr>
                    <w:rStyle w:val="Style2"/>
                    <w:rFonts w:ascii="Segoe UI Symbol" w:eastAsia="MS Gothic" w:hAnsi="Segoe UI Symbol" w:cs="Segoe UI Symbol"/>
                  </w:rPr>
                  <w:t>☐</w:t>
                </w:r>
              </w:sdtContent>
            </w:sdt>
            <w:r w:rsidR="00041A8B" w:rsidRPr="00D05364">
              <w:t xml:space="preserve"> Ne</w:t>
            </w:r>
          </w:p>
          <w:p w14:paraId="6799D570" w14:textId="77777777" w:rsidR="00041A8B" w:rsidRPr="00F41262" w:rsidRDefault="00041A8B" w:rsidP="00F41262">
            <w:pPr>
              <w:rPr>
                <w:rStyle w:val="Style2"/>
                <w:sz w:val="24"/>
                <w:lang w:val="en-US"/>
              </w:rPr>
            </w:pPr>
            <w:r w:rsidRPr="00F41262">
              <w:rPr>
                <w:rStyle w:val="Style2"/>
                <w:sz w:val="24"/>
                <w:lang w:val="en-US"/>
              </w:rPr>
              <w:t>2021 12 10</w:t>
            </w:r>
          </w:p>
        </w:tc>
        <w:tc>
          <w:tcPr>
            <w:tcW w:w="3454" w:type="dxa"/>
          </w:tcPr>
          <w:p w14:paraId="139E0F38" w14:textId="77777777" w:rsidR="00041A8B" w:rsidRPr="00D05364" w:rsidRDefault="00041A8B" w:rsidP="00F41262">
            <w:pPr>
              <w:jc w:val="both"/>
              <w:rPr>
                <w:rFonts w:eastAsia="Arial"/>
              </w:rPr>
            </w:pPr>
            <w:r w:rsidRPr="00FE4B39">
              <w:rPr>
                <w:rFonts w:asciiTheme="majorBidi" w:hAnsiTheme="majorBidi" w:cstheme="majorBidi"/>
                <w:color w:val="000000"/>
              </w:rPr>
              <w:t xml:space="preserve">TUKYSA skirtas vartoti derinyje su </w:t>
            </w:r>
            <w:proofErr w:type="spellStart"/>
            <w:r w:rsidRPr="00FE4B39">
              <w:rPr>
                <w:rFonts w:asciiTheme="majorBidi" w:hAnsiTheme="majorBidi" w:cstheme="majorBidi"/>
                <w:color w:val="000000"/>
              </w:rPr>
              <w:t>trastuzumabu</w:t>
            </w:r>
            <w:proofErr w:type="spellEnd"/>
            <w:r w:rsidRPr="00FE4B39">
              <w:rPr>
                <w:rFonts w:asciiTheme="majorBidi" w:hAnsiTheme="majorBidi" w:cstheme="majorBidi"/>
                <w:color w:val="000000"/>
              </w:rPr>
              <w:t xml:space="preserve"> ir </w:t>
            </w:r>
            <w:proofErr w:type="spellStart"/>
            <w:r w:rsidRPr="00FE4B39">
              <w:rPr>
                <w:rFonts w:asciiTheme="majorBidi" w:hAnsiTheme="majorBidi" w:cstheme="majorBidi"/>
                <w:color w:val="000000"/>
              </w:rPr>
              <w:t>kapecitabinu</w:t>
            </w:r>
            <w:proofErr w:type="spellEnd"/>
            <w:r w:rsidRPr="00FE4B39">
              <w:rPr>
                <w:rFonts w:asciiTheme="majorBidi" w:hAnsiTheme="majorBidi" w:cstheme="majorBidi"/>
                <w:color w:val="000000"/>
              </w:rPr>
              <w:t xml:space="preserve"> suaugusiems pacientams, sergantiems žmogaus epidermio augimo faktoriaus receptoriaus HER2</w:t>
            </w:r>
            <w:r>
              <w:rPr>
                <w:rFonts w:asciiTheme="majorBidi" w:hAnsiTheme="majorBidi" w:cstheme="majorBidi"/>
                <w:color w:val="000000"/>
              </w:rPr>
              <w:t xml:space="preserve"> </w:t>
            </w:r>
            <w:r w:rsidRPr="00FE4B39">
              <w:rPr>
                <w:rFonts w:asciiTheme="majorBidi" w:hAnsiTheme="majorBidi" w:cstheme="majorBidi"/>
                <w:color w:val="000000"/>
              </w:rPr>
              <w:t xml:space="preserve">teigiamu vietiškai išplitusiu arba </w:t>
            </w:r>
            <w:proofErr w:type="spellStart"/>
            <w:r w:rsidRPr="00FE4B39">
              <w:rPr>
                <w:rFonts w:asciiTheme="majorBidi" w:hAnsiTheme="majorBidi" w:cstheme="majorBidi"/>
                <w:color w:val="000000"/>
              </w:rPr>
              <w:t>metastazavusiu</w:t>
            </w:r>
            <w:proofErr w:type="spellEnd"/>
            <w:r w:rsidRPr="00FE4B39">
              <w:rPr>
                <w:rFonts w:asciiTheme="majorBidi" w:hAnsiTheme="majorBidi" w:cstheme="majorBidi"/>
                <w:color w:val="000000"/>
              </w:rPr>
              <w:t xml:space="preserve"> krūties vėžiu, kai anksčiau buvo taikomi bent 2 ankstesni prieš </w:t>
            </w:r>
            <w:r w:rsidRPr="003910BF">
              <w:rPr>
                <w:rFonts w:asciiTheme="majorBidi" w:hAnsiTheme="majorBidi" w:cstheme="majorBidi"/>
                <w:color w:val="000000"/>
              </w:rPr>
              <w:t>HER2 nukreipti gydymo režimai.</w:t>
            </w:r>
          </w:p>
        </w:tc>
        <w:tc>
          <w:tcPr>
            <w:tcW w:w="1791" w:type="dxa"/>
          </w:tcPr>
          <w:p w14:paraId="31BA8F8B" w14:textId="77777777" w:rsidR="00041A8B" w:rsidRPr="00D05364" w:rsidRDefault="00041A8B" w:rsidP="00F41262">
            <w:pPr>
              <w:rPr>
                <w:rFonts w:eastAsia="Arial"/>
              </w:rPr>
            </w:pPr>
            <w:r w:rsidRPr="00D028E7">
              <w:rPr>
                <w:rFonts w:eastAsia="Arial"/>
              </w:rPr>
              <w:t>Rekomenduojama kompensuoti sumažinus kainą.</w:t>
            </w:r>
          </w:p>
        </w:tc>
      </w:tr>
    </w:tbl>
    <w:p w14:paraId="6FD6533B" w14:textId="77777777" w:rsidR="007B3908" w:rsidRPr="007B3908" w:rsidRDefault="007B3908" w:rsidP="00F41262">
      <w:pPr>
        <w:tabs>
          <w:tab w:val="left" w:pos="567"/>
        </w:tabs>
        <w:spacing w:line="360" w:lineRule="auto"/>
        <w:rPr>
          <w:b/>
          <w:bCs/>
          <w:caps/>
        </w:rPr>
      </w:pPr>
    </w:p>
    <w:p w14:paraId="5055E8A8" w14:textId="3A587D93" w:rsidR="002E6F80" w:rsidRPr="00E33EFF" w:rsidRDefault="00CC7832" w:rsidP="00F41262">
      <w:pPr>
        <w:pStyle w:val="ListParagraph"/>
        <w:numPr>
          <w:ilvl w:val="0"/>
          <w:numId w:val="12"/>
        </w:numPr>
        <w:tabs>
          <w:tab w:val="left" w:pos="567"/>
        </w:tabs>
        <w:spacing w:line="360" w:lineRule="auto"/>
        <w:ind w:hanging="720"/>
        <w:rPr>
          <w:b/>
          <w:bCs/>
          <w:caps/>
        </w:rPr>
      </w:pPr>
      <w:r w:rsidRPr="00E33EFF">
        <w:rPr>
          <w:b/>
          <w:bCs/>
          <w:caps/>
        </w:rPr>
        <w:t>Klinikinio vertinimo a</w:t>
      </w:r>
      <w:r w:rsidR="00D4485B" w:rsidRPr="00E33EFF">
        <w:rPr>
          <w:b/>
          <w:bCs/>
          <w:caps/>
        </w:rPr>
        <w:t>pibendrinimas</w:t>
      </w:r>
    </w:p>
    <w:p w14:paraId="25F89291" w14:textId="5C45C8FC" w:rsidR="00D4485B" w:rsidRDefault="00D4485B" w:rsidP="00F41262">
      <w:pPr>
        <w:pStyle w:val="ListParagraph"/>
        <w:tabs>
          <w:tab w:val="left" w:pos="426"/>
        </w:tabs>
        <w:spacing w:line="360" w:lineRule="auto"/>
        <w:ind w:left="0"/>
        <w:rPr>
          <w:b/>
          <w:bCs/>
          <w:caps/>
        </w:rPr>
      </w:pPr>
    </w:p>
    <w:p w14:paraId="7F8B3E2E" w14:textId="65485595" w:rsidR="007B3908" w:rsidRPr="00D93BE0" w:rsidRDefault="007B3908" w:rsidP="00F41262">
      <w:pPr>
        <w:pStyle w:val="0TEXT"/>
        <w:spacing w:line="360" w:lineRule="auto"/>
        <w:rPr>
          <w:rFonts w:asciiTheme="majorBidi" w:hAnsiTheme="majorBidi" w:cstheme="majorBidi"/>
          <w:lang w:val="lt-LT"/>
        </w:rPr>
      </w:pPr>
      <w:r>
        <w:rPr>
          <w:rFonts w:eastAsia="Arial"/>
          <w:bCs w:val="0"/>
          <w:lang w:val="lt-LT"/>
        </w:rPr>
        <w:t xml:space="preserve">Remiantis </w:t>
      </w:r>
      <w:r w:rsidRPr="00872134">
        <w:rPr>
          <w:rFonts w:eastAsia="Arial"/>
          <w:bCs w:val="0"/>
          <w:lang w:val="lt-LT"/>
        </w:rPr>
        <w:t xml:space="preserve">2020 m. </w:t>
      </w:r>
      <w:r w:rsidRPr="00872134">
        <w:rPr>
          <w:rFonts w:asciiTheme="majorBidi" w:hAnsiTheme="majorBidi" w:cstheme="majorBidi"/>
          <w:lang w:val="lt-LT"/>
        </w:rPr>
        <w:t>GLOBOCAN duomenimis, krū</w:t>
      </w:r>
      <w:r>
        <w:rPr>
          <w:rFonts w:asciiTheme="majorBidi" w:hAnsiTheme="majorBidi" w:cstheme="majorBidi"/>
          <w:lang w:val="lt-LT"/>
        </w:rPr>
        <w:t xml:space="preserve">ties vėžys (toliau - KV) yra dažniausias navikinis susirgimas moterų populiacijoje tiek Lietuvoje, tiek pasaulyje. </w:t>
      </w:r>
      <w:r>
        <w:rPr>
          <w:lang w:val="lt-LT"/>
        </w:rPr>
        <w:t xml:space="preserve">Nustatyta, jog </w:t>
      </w:r>
      <w:r w:rsidRPr="00044EE1">
        <w:rPr>
          <w:rFonts w:asciiTheme="majorBidi" w:hAnsiTheme="majorBidi" w:cstheme="majorBidi"/>
          <w:lang w:val="lt-LT"/>
        </w:rPr>
        <w:t>1 i</w:t>
      </w:r>
      <w:r>
        <w:rPr>
          <w:rFonts w:asciiTheme="majorBidi" w:hAnsiTheme="majorBidi" w:cstheme="majorBidi"/>
          <w:lang w:val="lt-LT"/>
        </w:rPr>
        <w:t xml:space="preserve">š </w:t>
      </w:r>
      <w:r w:rsidRPr="00044EE1">
        <w:rPr>
          <w:rFonts w:asciiTheme="majorBidi" w:hAnsiTheme="majorBidi" w:cstheme="majorBidi"/>
          <w:lang w:val="lt-LT"/>
        </w:rPr>
        <w:t>3</w:t>
      </w:r>
      <w:r>
        <w:rPr>
          <w:rFonts w:asciiTheme="majorBidi" w:hAnsiTheme="majorBidi" w:cstheme="majorBidi"/>
          <w:lang w:val="lt-LT"/>
        </w:rPr>
        <w:t xml:space="preserve"> pacientų ankstyvas KV progresuoja iki </w:t>
      </w:r>
      <w:proofErr w:type="spellStart"/>
      <w:r>
        <w:rPr>
          <w:rFonts w:asciiTheme="majorBidi" w:hAnsiTheme="majorBidi" w:cstheme="majorBidi"/>
          <w:lang w:val="lt-LT"/>
        </w:rPr>
        <w:t>metastatinio</w:t>
      </w:r>
      <w:proofErr w:type="spellEnd"/>
      <w:r>
        <w:rPr>
          <w:rFonts w:asciiTheme="majorBidi" w:hAnsiTheme="majorBidi" w:cstheme="majorBidi"/>
          <w:lang w:val="lt-LT"/>
        </w:rPr>
        <w:t xml:space="preserve"> (toliau - </w:t>
      </w:r>
      <w:proofErr w:type="spellStart"/>
      <w:r>
        <w:rPr>
          <w:rFonts w:asciiTheme="majorBidi" w:hAnsiTheme="majorBidi" w:cstheme="majorBidi"/>
          <w:lang w:val="lt-LT"/>
        </w:rPr>
        <w:t>mKV</w:t>
      </w:r>
      <w:proofErr w:type="spellEnd"/>
      <w:r>
        <w:rPr>
          <w:rFonts w:asciiTheme="majorBidi" w:hAnsiTheme="majorBidi" w:cstheme="majorBidi"/>
          <w:lang w:val="lt-LT"/>
        </w:rPr>
        <w:t xml:space="preserve">). </w:t>
      </w:r>
      <w:proofErr w:type="spellStart"/>
      <w:r>
        <w:rPr>
          <w:rFonts w:asciiTheme="majorBidi" w:hAnsiTheme="majorBidi" w:cstheme="majorBidi"/>
          <w:lang w:val="lt-LT"/>
        </w:rPr>
        <w:t>mKV</w:t>
      </w:r>
      <w:proofErr w:type="spellEnd"/>
      <w:r>
        <w:rPr>
          <w:rFonts w:asciiTheme="majorBidi" w:hAnsiTheme="majorBidi" w:cstheme="majorBidi"/>
          <w:lang w:val="lt-LT"/>
        </w:rPr>
        <w:t xml:space="preserve"> dažniausiai </w:t>
      </w:r>
      <w:proofErr w:type="spellStart"/>
      <w:r>
        <w:rPr>
          <w:rFonts w:asciiTheme="majorBidi" w:hAnsiTheme="majorBidi" w:cstheme="majorBidi"/>
          <w:lang w:val="lt-LT"/>
        </w:rPr>
        <w:t>metastazuoja</w:t>
      </w:r>
      <w:proofErr w:type="spellEnd"/>
      <w:r>
        <w:rPr>
          <w:rFonts w:asciiTheme="majorBidi" w:hAnsiTheme="majorBidi" w:cstheme="majorBidi"/>
          <w:lang w:val="lt-LT"/>
        </w:rPr>
        <w:t xml:space="preserve"> </w:t>
      </w:r>
      <w:r>
        <w:rPr>
          <w:lang w:val="lt-LT"/>
        </w:rPr>
        <w:t xml:space="preserve">į </w:t>
      </w:r>
      <w:r w:rsidRPr="00425638">
        <w:rPr>
          <w:lang w:val="lt-LT"/>
        </w:rPr>
        <w:t>kaulu</w:t>
      </w:r>
      <w:r>
        <w:rPr>
          <w:lang w:val="lt-LT"/>
        </w:rPr>
        <w:t>s</w:t>
      </w:r>
      <w:r w:rsidRPr="00425638">
        <w:rPr>
          <w:lang w:val="lt-LT"/>
        </w:rPr>
        <w:t>, kepen</w:t>
      </w:r>
      <w:r>
        <w:rPr>
          <w:lang w:val="lt-LT"/>
        </w:rPr>
        <w:t>is</w:t>
      </w:r>
      <w:r w:rsidRPr="00425638">
        <w:rPr>
          <w:lang w:val="lt-LT"/>
        </w:rPr>
        <w:t>, plaučiu</w:t>
      </w:r>
      <w:r>
        <w:rPr>
          <w:lang w:val="lt-LT"/>
        </w:rPr>
        <w:t>s ir</w:t>
      </w:r>
      <w:r w:rsidRPr="00425638">
        <w:rPr>
          <w:lang w:val="lt-LT"/>
        </w:rPr>
        <w:t xml:space="preserve"> galvos smegen</w:t>
      </w:r>
      <w:r>
        <w:rPr>
          <w:lang w:val="lt-LT"/>
        </w:rPr>
        <w:t>is</w:t>
      </w:r>
      <w:r w:rsidRPr="00425638">
        <w:rPr>
          <w:lang w:val="lt-LT"/>
        </w:rPr>
        <w:t xml:space="preserve">. </w:t>
      </w:r>
      <w:r>
        <w:rPr>
          <w:lang w:val="lt-LT"/>
        </w:rPr>
        <w:t xml:space="preserve">Metastazės galvos smegenyse nustatomos </w:t>
      </w:r>
      <w:r w:rsidRPr="0048442D">
        <w:rPr>
          <w:lang w:val="lt-LT"/>
        </w:rPr>
        <w:t xml:space="preserve">10-15 proc. </w:t>
      </w:r>
      <w:proofErr w:type="spellStart"/>
      <w:r w:rsidRPr="0048442D">
        <w:rPr>
          <w:lang w:val="lt-LT"/>
        </w:rPr>
        <w:t>mKV</w:t>
      </w:r>
      <w:proofErr w:type="spellEnd"/>
      <w:r w:rsidRPr="0048442D">
        <w:rPr>
          <w:lang w:val="lt-LT"/>
        </w:rPr>
        <w:t xml:space="preserve"> sergan</w:t>
      </w:r>
      <w:r>
        <w:rPr>
          <w:lang w:val="lt-LT"/>
        </w:rPr>
        <w:t xml:space="preserve">čių pacientų. </w:t>
      </w:r>
      <w:r w:rsidRPr="00425638">
        <w:rPr>
          <w:lang w:val="lt-LT"/>
        </w:rPr>
        <w:t xml:space="preserve">Vietiškai išplitęs </w:t>
      </w:r>
      <w:proofErr w:type="spellStart"/>
      <w:r w:rsidRPr="00425638">
        <w:rPr>
          <w:lang w:val="lt-LT"/>
        </w:rPr>
        <w:t>nerezektabilus</w:t>
      </w:r>
      <w:proofErr w:type="spellEnd"/>
      <w:r w:rsidRPr="00425638">
        <w:rPr>
          <w:lang w:val="lt-LT"/>
        </w:rPr>
        <w:t xml:space="preserve"> ar </w:t>
      </w:r>
      <w:proofErr w:type="spellStart"/>
      <w:r w:rsidRPr="00425638">
        <w:rPr>
          <w:lang w:val="lt-LT"/>
        </w:rPr>
        <w:t>metastazavęs</w:t>
      </w:r>
      <w:proofErr w:type="spellEnd"/>
      <w:r w:rsidRPr="00425638">
        <w:rPr>
          <w:lang w:val="lt-LT"/>
        </w:rPr>
        <w:t xml:space="preserve"> KV ligai progresuojant gydomas chemoterapija, </w:t>
      </w:r>
      <w:proofErr w:type="spellStart"/>
      <w:r w:rsidRPr="00425638">
        <w:rPr>
          <w:lang w:val="lt-LT"/>
        </w:rPr>
        <w:t>hormonoterapija</w:t>
      </w:r>
      <w:proofErr w:type="spellEnd"/>
      <w:r w:rsidRPr="00425638">
        <w:rPr>
          <w:lang w:val="lt-LT"/>
        </w:rPr>
        <w:t xml:space="preserve">, radioterapija, </w:t>
      </w:r>
      <w:proofErr w:type="spellStart"/>
      <w:r w:rsidRPr="00425638">
        <w:rPr>
          <w:lang w:val="lt-LT"/>
        </w:rPr>
        <w:t>monokloniniais</w:t>
      </w:r>
      <w:proofErr w:type="spellEnd"/>
      <w:r w:rsidRPr="00425638">
        <w:rPr>
          <w:lang w:val="lt-LT"/>
        </w:rPr>
        <w:t xml:space="preserve"> </w:t>
      </w:r>
      <w:proofErr w:type="spellStart"/>
      <w:r w:rsidRPr="00425638">
        <w:rPr>
          <w:lang w:val="lt-LT"/>
        </w:rPr>
        <w:t>antikūnais</w:t>
      </w:r>
      <w:proofErr w:type="spellEnd"/>
      <w:r w:rsidRPr="00425638">
        <w:rPr>
          <w:lang w:val="lt-LT"/>
        </w:rPr>
        <w:t xml:space="preserve">. </w:t>
      </w:r>
      <w:r>
        <w:rPr>
          <w:lang w:val="lt-LT"/>
        </w:rPr>
        <w:t xml:space="preserve">Esant simptomus sukeliančioms aktyvioms metastazėms galvos smegenyse gali būti taikomas vietinis gydymas. Tyrimų duomenimis, </w:t>
      </w:r>
      <w:proofErr w:type="spellStart"/>
      <w:r>
        <w:rPr>
          <w:lang w:val="lt-LT"/>
        </w:rPr>
        <w:t>metastainio</w:t>
      </w:r>
      <w:proofErr w:type="spellEnd"/>
      <w:r>
        <w:rPr>
          <w:lang w:val="lt-LT"/>
        </w:rPr>
        <w:t xml:space="preserve"> KV išgyvenamumo mediana yra </w:t>
      </w:r>
      <w:r w:rsidRPr="00BF1011">
        <w:rPr>
          <w:lang w:val="lt-LT"/>
        </w:rPr>
        <w:t>3</w:t>
      </w:r>
      <w:r>
        <w:rPr>
          <w:lang w:val="lt-LT"/>
        </w:rPr>
        <w:t xml:space="preserve">0 mėn., o penkių metų išgyvenamumo tikimybė – </w:t>
      </w:r>
      <w:r w:rsidRPr="00044EE1">
        <w:rPr>
          <w:lang w:val="lt-LT"/>
        </w:rPr>
        <w:t xml:space="preserve">29 proc. </w:t>
      </w:r>
      <w:r>
        <w:rPr>
          <w:rFonts w:asciiTheme="majorBidi" w:hAnsiTheme="majorBidi" w:cstheme="majorBidi"/>
          <w:lang w:val="lt-LT"/>
        </w:rPr>
        <w:t xml:space="preserve">Tyrimų duomenimis, </w:t>
      </w:r>
      <w:r w:rsidRPr="00E64E85">
        <w:rPr>
          <w:rFonts w:asciiTheme="majorBidi" w:hAnsiTheme="majorBidi" w:cstheme="majorBidi"/>
          <w:lang w:val="lt-LT"/>
        </w:rPr>
        <w:t>1 i</w:t>
      </w:r>
      <w:r>
        <w:rPr>
          <w:rFonts w:asciiTheme="majorBidi" w:hAnsiTheme="majorBidi" w:cstheme="majorBidi"/>
          <w:lang w:val="lt-LT"/>
        </w:rPr>
        <w:t xml:space="preserve">š </w:t>
      </w:r>
      <w:r w:rsidRPr="00A81BCC">
        <w:rPr>
          <w:rFonts w:asciiTheme="majorBidi" w:hAnsiTheme="majorBidi" w:cstheme="majorBidi"/>
          <w:lang w:val="lt-LT"/>
        </w:rPr>
        <w:t xml:space="preserve">5 </w:t>
      </w:r>
      <w:r>
        <w:rPr>
          <w:rFonts w:asciiTheme="majorBidi" w:hAnsiTheme="majorBidi" w:cstheme="majorBidi"/>
          <w:lang w:val="lt-LT"/>
        </w:rPr>
        <w:t xml:space="preserve">KV sergančių moterų būdinga </w:t>
      </w:r>
      <w:r w:rsidRPr="00593737">
        <w:rPr>
          <w:rFonts w:asciiTheme="majorBidi" w:hAnsiTheme="majorBidi" w:cstheme="majorBidi"/>
          <w:lang w:val="lt-LT"/>
        </w:rPr>
        <w:t>žmogaus epidermio augimo faktoriaus receptoriaus 2</w:t>
      </w:r>
      <w:r>
        <w:rPr>
          <w:rFonts w:asciiTheme="majorBidi" w:hAnsiTheme="majorBidi" w:cstheme="majorBidi"/>
          <w:lang w:val="lt-LT"/>
        </w:rPr>
        <w:t xml:space="preserve"> (</w:t>
      </w:r>
      <w:r w:rsidRPr="00E64E85">
        <w:rPr>
          <w:rFonts w:asciiTheme="majorBidi" w:hAnsiTheme="majorBidi" w:cstheme="majorBidi"/>
          <w:lang w:val="lt-LT"/>
        </w:rPr>
        <w:t xml:space="preserve">angl. </w:t>
      </w:r>
      <w:proofErr w:type="spellStart"/>
      <w:r w:rsidRPr="003E0301">
        <w:rPr>
          <w:rFonts w:asciiTheme="majorBidi" w:hAnsiTheme="majorBidi" w:cstheme="majorBidi"/>
          <w:i/>
          <w:iCs/>
          <w:lang w:val="lt-LT"/>
        </w:rPr>
        <w:t>human</w:t>
      </w:r>
      <w:proofErr w:type="spellEnd"/>
      <w:r w:rsidRPr="003E0301">
        <w:rPr>
          <w:rFonts w:asciiTheme="majorBidi" w:hAnsiTheme="majorBidi" w:cstheme="majorBidi"/>
          <w:i/>
          <w:iCs/>
          <w:lang w:val="lt-LT"/>
        </w:rPr>
        <w:t xml:space="preserve"> </w:t>
      </w:r>
      <w:proofErr w:type="spellStart"/>
      <w:r w:rsidRPr="003E0301">
        <w:rPr>
          <w:rFonts w:asciiTheme="majorBidi" w:hAnsiTheme="majorBidi" w:cstheme="majorBidi"/>
          <w:i/>
          <w:iCs/>
          <w:lang w:val="lt-LT"/>
        </w:rPr>
        <w:t>epidermal</w:t>
      </w:r>
      <w:proofErr w:type="spellEnd"/>
      <w:r w:rsidRPr="003E0301">
        <w:rPr>
          <w:rFonts w:asciiTheme="majorBidi" w:hAnsiTheme="majorBidi" w:cstheme="majorBidi"/>
          <w:i/>
          <w:iCs/>
          <w:lang w:val="lt-LT"/>
        </w:rPr>
        <w:t xml:space="preserve"> </w:t>
      </w:r>
      <w:proofErr w:type="spellStart"/>
      <w:r w:rsidRPr="003E0301">
        <w:rPr>
          <w:rFonts w:asciiTheme="majorBidi" w:hAnsiTheme="majorBidi" w:cstheme="majorBidi"/>
          <w:i/>
          <w:iCs/>
          <w:lang w:val="lt-LT"/>
        </w:rPr>
        <w:t>grow</w:t>
      </w:r>
      <w:proofErr w:type="spellEnd"/>
      <w:r w:rsidRPr="003E0301">
        <w:rPr>
          <w:rFonts w:asciiTheme="majorBidi" w:hAnsiTheme="majorBidi" w:cstheme="majorBidi"/>
          <w:i/>
          <w:iCs/>
          <w:lang w:val="lt-LT"/>
        </w:rPr>
        <w:t xml:space="preserve"> </w:t>
      </w:r>
      <w:proofErr w:type="spellStart"/>
      <w:r w:rsidRPr="003E0301">
        <w:rPr>
          <w:rFonts w:asciiTheme="majorBidi" w:hAnsiTheme="majorBidi" w:cstheme="majorBidi"/>
          <w:i/>
          <w:iCs/>
          <w:lang w:val="lt-LT"/>
        </w:rPr>
        <w:t>factor</w:t>
      </w:r>
      <w:proofErr w:type="spellEnd"/>
      <w:r w:rsidRPr="003E0301">
        <w:rPr>
          <w:rFonts w:asciiTheme="majorBidi" w:hAnsiTheme="majorBidi" w:cstheme="majorBidi"/>
          <w:i/>
          <w:iCs/>
          <w:lang w:val="lt-LT"/>
        </w:rPr>
        <w:t xml:space="preserve"> </w:t>
      </w:r>
      <w:proofErr w:type="spellStart"/>
      <w:r w:rsidRPr="003E0301">
        <w:rPr>
          <w:rFonts w:asciiTheme="majorBidi" w:hAnsiTheme="majorBidi" w:cstheme="majorBidi"/>
          <w:i/>
          <w:iCs/>
          <w:lang w:val="lt-LT"/>
        </w:rPr>
        <w:t>receptor</w:t>
      </w:r>
      <w:proofErr w:type="spellEnd"/>
      <w:r w:rsidRPr="003E0301">
        <w:rPr>
          <w:rFonts w:asciiTheme="majorBidi" w:hAnsiTheme="majorBidi" w:cstheme="majorBidi"/>
          <w:i/>
          <w:iCs/>
          <w:lang w:val="lt-LT"/>
        </w:rPr>
        <w:t xml:space="preserve"> 2</w:t>
      </w:r>
      <w:r w:rsidRPr="00E64E85">
        <w:rPr>
          <w:rFonts w:asciiTheme="majorBidi" w:hAnsiTheme="majorBidi" w:cstheme="majorBidi"/>
          <w:lang w:val="lt-LT"/>
        </w:rPr>
        <w:t>, toliau – HER2</w:t>
      </w:r>
      <w:r>
        <w:rPr>
          <w:rFonts w:asciiTheme="majorBidi" w:hAnsiTheme="majorBidi" w:cstheme="majorBidi"/>
          <w:lang w:val="lt-LT"/>
        </w:rPr>
        <w:t>)</w:t>
      </w:r>
      <w:r w:rsidRPr="0007519D">
        <w:rPr>
          <w:rFonts w:asciiTheme="majorBidi" w:hAnsiTheme="majorBidi" w:cstheme="majorBidi"/>
          <w:lang w:val="lt-LT"/>
        </w:rPr>
        <w:t xml:space="preserve"> </w:t>
      </w:r>
      <w:r>
        <w:rPr>
          <w:rFonts w:asciiTheme="majorBidi" w:hAnsiTheme="majorBidi" w:cstheme="majorBidi"/>
          <w:lang w:val="lt-LT"/>
        </w:rPr>
        <w:t xml:space="preserve">raiška. </w:t>
      </w:r>
      <w:r w:rsidRPr="00230EB9">
        <w:rPr>
          <w:rFonts w:asciiTheme="majorBidi" w:hAnsiTheme="majorBidi" w:cstheme="majorBidi"/>
          <w:lang w:val="lt-LT"/>
        </w:rPr>
        <w:t xml:space="preserve">HER 2 teigiami </w:t>
      </w:r>
      <w:r>
        <w:rPr>
          <w:rFonts w:asciiTheme="majorBidi" w:hAnsiTheme="majorBidi" w:cstheme="majorBidi"/>
          <w:lang w:val="lt-LT"/>
        </w:rPr>
        <w:t>KV yra agresyvesnės eigos nei HER</w:t>
      </w:r>
      <w:r w:rsidRPr="00C10506">
        <w:rPr>
          <w:rFonts w:asciiTheme="majorBidi" w:hAnsiTheme="majorBidi" w:cstheme="majorBidi"/>
          <w:lang w:val="lt-LT"/>
        </w:rPr>
        <w:t xml:space="preserve"> 2 </w:t>
      </w:r>
      <w:r>
        <w:rPr>
          <w:rFonts w:asciiTheme="majorBidi" w:hAnsiTheme="majorBidi" w:cstheme="majorBidi"/>
          <w:lang w:val="lt-LT"/>
        </w:rPr>
        <w:t>neigiami KV. T</w:t>
      </w:r>
      <w:r w:rsidRPr="00230EB9">
        <w:rPr>
          <w:rFonts w:asciiTheme="majorBidi" w:hAnsiTheme="majorBidi" w:cstheme="majorBidi"/>
          <w:lang w:val="lt-LT"/>
        </w:rPr>
        <w:t xml:space="preserve">ais atvejais gali </w:t>
      </w:r>
      <w:proofErr w:type="spellStart"/>
      <w:r w:rsidRPr="00230EB9">
        <w:rPr>
          <w:rFonts w:asciiTheme="majorBidi" w:hAnsiTheme="majorBidi" w:cstheme="majorBidi"/>
          <w:lang w:val="lt-LT"/>
        </w:rPr>
        <w:t>būti</w:t>
      </w:r>
      <w:proofErr w:type="spellEnd"/>
      <w:r w:rsidRPr="00230EB9">
        <w:rPr>
          <w:rFonts w:asciiTheme="majorBidi" w:hAnsiTheme="majorBidi" w:cstheme="majorBidi"/>
          <w:lang w:val="lt-LT"/>
        </w:rPr>
        <w:t xml:space="preserve"> naudojama biologinė terapija </w:t>
      </w:r>
      <w:proofErr w:type="spellStart"/>
      <w:r w:rsidRPr="00230EB9">
        <w:rPr>
          <w:rFonts w:asciiTheme="majorBidi" w:hAnsiTheme="majorBidi" w:cstheme="majorBidi"/>
          <w:lang w:val="lt-LT"/>
        </w:rPr>
        <w:t>monokloniniais</w:t>
      </w:r>
      <w:proofErr w:type="spellEnd"/>
      <w:r w:rsidRPr="00230EB9">
        <w:rPr>
          <w:rFonts w:asciiTheme="majorBidi" w:hAnsiTheme="majorBidi" w:cstheme="majorBidi"/>
          <w:lang w:val="lt-LT"/>
        </w:rPr>
        <w:t xml:space="preserve"> </w:t>
      </w:r>
      <w:proofErr w:type="spellStart"/>
      <w:r w:rsidRPr="00230EB9">
        <w:rPr>
          <w:rFonts w:asciiTheme="majorBidi" w:hAnsiTheme="majorBidi" w:cstheme="majorBidi"/>
          <w:lang w:val="lt-LT"/>
        </w:rPr>
        <w:t>antikūnais</w:t>
      </w:r>
      <w:proofErr w:type="spellEnd"/>
      <w:r w:rsidRPr="00230EB9">
        <w:rPr>
          <w:rFonts w:asciiTheme="majorBidi" w:hAnsiTheme="majorBidi" w:cstheme="majorBidi"/>
          <w:lang w:val="lt-LT"/>
        </w:rPr>
        <w:t xml:space="preserve">, kurių veikimo taikinys – HER 2 receptoriai. </w:t>
      </w:r>
      <w:r>
        <w:rPr>
          <w:rFonts w:asciiTheme="majorBidi" w:hAnsiTheme="majorBidi" w:cstheme="majorBidi"/>
          <w:lang w:val="lt-LT"/>
        </w:rPr>
        <w:t xml:space="preserve">Lietuvoje kompensuojami </w:t>
      </w:r>
      <w:r w:rsidR="00F41262">
        <w:rPr>
          <w:rFonts w:asciiTheme="majorBidi" w:hAnsiTheme="majorBidi" w:cstheme="majorBidi"/>
          <w:lang w:val="lt-LT"/>
        </w:rPr>
        <w:t xml:space="preserve">prieš </w:t>
      </w:r>
      <w:r>
        <w:rPr>
          <w:rFonts w:asciiTheme="majorBidi" w:hAnsiTheme="majorBidi" w:cstheme="majorBidi"/>
          <w:lang w:val="lt-LT"/>
        </w:rPr>
        <w:t>HER</w:t>
      </w:r>
      <w:r w:rsidRPr="00086F35">
        <w:rPr>
          <w:rFonts w:asciiTheme="majorBidi" w:hAnsiTheme="majorBidi" w:cstheme="majorBidi"/>
          <w:lang w:val="lt-LT"/>
        </w:rPr>
        <w:t xml:space="preserve">2 </w:t>
      </w:r>
      <w:r w:rsidR="00F41262">
        <w:rPr>
          <w:rFonts w:asciiTheme="majorBidi" w:hAnsiTheme="majorBidi" w:cstheme="majorBidi"/>
          <w:lang w:val="lt-LT"/>
        </w:rPr>
        <w:t>nukreipti vaistiniai preparatai</w:t>
      </w:r>
      <w:r w:rsidRPr="00086F35">
        <w:rPr>
          <w:rFonts w:asciiTheme="majorBidi" w:hAnsiTheme="majorBidi" w:cstheme="majorBidi"/>
          <w:lang w:val="lt-LT"/>
        </w:rPr>
        <w:t xml:space="preserve"> yra </w:t>
      </w:r>
      <w:proofErr w:type="spellStart"/>
      <w:r w:rsidRPr="00086F35">
        <w:rPr>
          <w:rFonts w:asciiTheme="majorBidi" w:hAnsiTheme="majorBidi" w:cstheme="majorBidi"/>
          <w:lang w:val="lt-LT"/>
        </w:rPr>
        <w:t>monokloni</w:t>
      </w:r>
      <w:r w:rsidR="00F41262">
        <w:rPr>
          <w:rFonts w:asciiTheme="majorBidi" w:hAnsiTheme="majorBidi" w:cstheme="majorBidi"/>
          <w:lang w:val="lt-LT"/>
        </w:rPr>
        <w:t>ni</w:t>
      </w:r>
      <w:r w:rsidRPr="00086F35">
        <w:rPr>
          <w:rFonts w:asciiTheme="majorBidi" w:hAnsiTheme="majorBidi" w:cstheme="majorBidi"/>
          <w:lang w:val="lt-LT"/>
        </w:rPr>
        <w:t>ai</w:t>
      </w:r>
      <w:proofErr w:type="spellEnd"/>
      <w:r w:rsidRPr="00086F35">
        <w:rPr>
          <w:rFonts w:asciiTheme="majorBidi" w:hAnsiTheme="majorBidi" w:cstheme="majorBidi"/>
          <w:lang w:val="lt-LT"/>
        </w:rPr>
        <w:t xml:space="preserve"> antikūnai </w:t>
      </w:r>
      <w:proofErr w:type="spellStart"/>
      <w:r w:rsidRPr="00086F35">
        <w:rPr>
          <w:rFonts w:asciiTheme="majorBidi" w:hAnsiTheme="majorBidi" w:cstheme="majorBidi"/>
          <w:lang w:val="lt-LT"/>
        </w:rPr>
        <w:t>trastuzumabas</w:t>
      </w:r>
      <w:proofErr w:type="spellEnd"/>
      <w:r w:rsidRPr="00086F35">
        <w:rPr>
          <w:rFonts w:asciiTheme="majorBidi" w:hAnsiTheme="majorBidi" w:cstheme="majorBidi"/>
          <w:lang w:val="lt-LT"/>
        </w:rPr>
        <w:t xml:space="preserve"> ir </w:t>
      </w:r>
      <w:proofErr w:type="spellStart"/>
      <w:r w:rsidRPr="00086F35">
        <w:rPr>
          <w:rFonts w:asciiTheme="majorBidi" w:hAnsiTheme="majorBidi" w:cstheme="majorBidi"/>
          <w:lang w:val="lt-LT"/>
        </w:rPr>
        <w:t>pertuzumabas</w:t>
      </w:r>
      <w:proofErr w:type="spellEnd"/>
      <w:r w:rsidRPr="00086F35">
        <w:rPr>
          <w:rFonts w:asciiTheme="majorBidi" w:hAnsiTheme="majorBidi" w:cstheme="majorBidi"/>
          <w:lang w:val="lt-LT"/>
        </w:rPr>
        <w:t xml:space="preserve">, </w:t>
      </w:r>
      <w:r>
        <w:rPr>
          <w:rFonts w:asciiTheme="majorBidi" w:hAnsiTheme="majorBidi" w:cstheme="majorBidi"/>
          <w:lang w:val="lt-LT"/>
        </w:rPr>
        <w:t xml:space="preserve">antikūno </w:t>
      </w:r>
      <w:r w:rsidR="00F41262">
        <w:rPr>
          <w:rFonts w:asciiTheme="majorBidi" w:hAnsiTheme="majorBidi" w:cstheme="majorBidi"/>
          <w:lang w:val="lt-LT"/>
        </w:rPr>
        <w:t>-</w:t>
      </w:r>
      <w:r>
        <w:rPr>
          <w:rFonts w:asciiTheme="majorBidi" w:hAnsiTheme="majorBidi" w:cstheme="majorBidi"/>
          <w:lang w:val="lt-LT"/>
        </w:rPr>
        <w:t xml:space="preserve">vaisto </w:t>
      </w:r>
      <w:proofErr w:type="spellStart"/>
      <w:r>
        <w:rPr>
          <w:rFonts w:asciiTheme="majorBidi" w:hAnsiTheme="majorBidi" w:cstheme="majorBidi"/>
          <w:lang w:val="lt-LT"/>
        </w:rPr>
        <w:t>konjugatas</w:t>
      </w:r>
      <w:proofErr w:type="spellEnd"/>
      <w:r>
        <w:rPr>
          <w:rFonts w:asciiTheme="majorBidi" w:hAnsiTheme="majorBidi" w:cstheme="majorBidi"/>
          <w:lang w:val="lt-LT"/>
        </w:rPr>
        <w:t xml:space="preserve"> - </w:t>
      </w:r>
      <w:r w:rsidRPr="00086F35">
        <w:rPr>
          <w:rFonts w:asciiTheme="majorBidi" w:hAnsiTheme="majorBidi" w:cstheme="majorBidi"/>
          <w:lang w:val="lt-LT"/>
        </w:rPr>
        <w:t>ado-</w:t>
      </w:r>
      <w:proofErr w:type="spellStart"/>
      <w:r w:rsidRPr="00086F35">
        <w:rPr>
          <w:rFonts w:asciiTheme="majorBidi" w:hAnsiTheme="majorBidi" w:cstheme="majorBidi"/>
          <w:lang w:val="lt-LT"/>
        </w:rPr>
        <w:t>trastuzumab</w:t>
      </w:r>
      <w:r>
        <w:rPr>
          <w:rFonts w:asciiTheme="majorBidi" w:hAnsiTheme="majorBidi" w:cstheme="majorBidi"/>
          <w:lang w:val="lt-LT"/>
        </w:rPr>
        <w:t>as</w:t>
      </w:r>
      <w:proofErr w:type="spellEnd"/>
      <w:r w:rsidRPr="00086F35">
        <w:rPr>
          <w:rFonts w:asciiTheme="majorBidi" w:hAnsiTheme="majorBidi" w:cstheme="majorBidi"/>
          <w:lang w:val="lt-LT"/>
        </w:rPr>
        <w:t xml:space="preserve"> </w:t>
      </w:r>
      <w:proofErr w:type="spellStart"/>
      <w:r w:rsidRPr="00086F35">
        <w:rPr>
          <w:rFonts w:asciiTheme="majorBidi" w:hAnsiTheme="majorBidi" w:cstheme="majorBidi"/>
          <w:lang w:val="lt-LT"/>
        </w:rPr>
        <w:t>emtansi</w:t>
      </w:r>
      <w:r>
        <w:rPr>
          <w:rFonts w:asciiTheme="majorBidi" w:hAnsiTheme="majorBidi" w:cstheme="majorBidi"/>
          <w:lang w:val="lt-LT"/>
        </w:rPr>
        <w:t>nas</w:t>
      </w:r>
      <w:proofErr w:type="spellEnd"/>
      <w:r>
        <w:rPr>
          <w:rFonts w:asciiTheme="majorBidi" w:hAnsiTheme="majorBidi" w:cstheme="majorBidi"/>
          <w:lang w:val="lt-LT"/>
        </w:rPr>
        <w:t xml:space="preserve"> (</w:t>
      </w:r>
      <w:proofErr w:type="spellStart"/>
      <w:r>
        <w:rPr>
          <w:rFonts w:asciiTheme="majorBidi" w:hAnsiTheme="majorBidi" w:cstheme="majorBidi"/>
          <w:lang w:val="lt-LT"/>
        </w:rPr>
        <w:t>t.y</w:t>
      </w:r>
      <w:proofErr w:type="spellEnd"/>
      <w:r>
        <w:rPr>
          <w:rFonts w:asciiTheme="majorBidi" w:hAnsiTheme="majorBidi" w:cstheme="majorBidi"/>
          <w:lang w:val="lt-LT"/>
        </w:rPr>
        <w:t>. T-DM</w:t>
      </w:r>
      <w:r w:rsidRPr="00086F35">
        <w:rPr>
          <w:rFonts w:asciiTheme="majorBidi" w:hAnsiTheme="majorBidi" w:cstheme="majorBidi"/>
          <w:lang w:val="lt-LT"/>
        </w:rPr>
        <w:t>1</w:t>
      </w:r>
      <w:r>
        <w:rPr>
          <w:rFonts w:asciiTheme="majorBidi" w:hAnsiTheme="majorBidi" w:cstheme="majorBidi"/>
          <w:lang w:val="lt-LT"/>
        </w:rPr>
        <w:t>).</w:t>
      </w:r>
    </w:p>
    <w:p w14:paraId="15FCC95E" w14:textId="5B4B123C" w:rsidR="007D53E0" w:rsidRDefault="007B3908" w:rsidP="004C372A">
      <w:pPr>
        <w:spacing w:after="160" w:line="360" w:lineRule="auto"/>
        <w:ind w:firstLine="567"/>
        <w:jc w:val="both"/>
      </w:pPr>
      <w:r w:rsidRPr="004C372A">
        <w:t xml:space="preserve">Pareiškėjas daro prielaidą, kad </w:t>
      </w:r>
      <w:proofErr w:type="spellStart"/>
      <w:r w:rsidRPr="004C372A">
        <w:t>tukatinibo</w:t>
      </w:r>
      <w:proofErr w:type="spellEnd"/>
      <w:r w:rsidRPr="004C372A">
        <w:t xml:space="preserve"> deriniu gydomų pacientų grupę sudarytų iki </w:t>
      </w:r>
      <w:r w:rsidR="001B2F2E">
        <w:t xml:space="preserve">**** </w:t>
      </w:r>
      <w:r w:rsidRPr="004C372A">
        <w:t>pacientų, o atsižvelgiant į tai, kad prieinamas gydymas ir kitais chemoterapiniais vaistais būtų skiriamas</w:t>
      </w:r>
      <w:r w:rsidR="000423F5">
        <w:t xml:space="preserve"> </w:t>
      </w:r>
      <w:r w:rsidRPr="004C372A">
        <w:t xml:space="preserve"> </w:t>
      </w:r>
      <w:r w:rsidR="001B2F2E">
        <w:t xml:space="preserve">**** </w:t>
      </w:r>
      <w:r w:rsidRPr="004C372A">
        <w:t xml:space="preserve"> pacientų per metus. </w:t>
      </w:r>
    </w:p>
    <w:p w14:paraId="1BDD7482" w14:textId="76452692" w:rsidR="007B3908" w:rsidRPr="004C372A" w:rsidRDefault="007B3908" w:rsidP="004C372A">
      <w:pPr>
        <w:spacing w:after="160" w:line="360" w:lineRule="auto"/>
        <w:ind w:firstLine="567"/>
        <w:jc w:val="both"/>
      </w:pPr>
      <w:r w:rsidRPr="004C372A">
        <w:t xml:space="preserve">Remiantis </w:t>
      </w:r>
      <w:r w:rsidR="002B6997" w:rsidRPr="001366C9">
        <w:t xml:space="preserve">Lietuvos Respublikos sveikatos apsaugos ministro įsakymu „Dėl kompensuojamųjų vaistų sąrašų patvirtinimo“, 2000 m. sausio 28 d. Nr. 49 patvirtintu </w:t>
      </w:r>
      <w:r w:rsidR="002B6997" w:rsidRPr="001366C9">
        <w:rPr>
          <w:bCs/>
          <w:szCs w:val="20"/>
        </w:rPr>
        <w:t>Ligų ir kompensuojamųjų vaistų joms gydyti sąrašu (A sąrašas</w:t>
      </w:r>
      <w:r w:rsidR="002B6997" w:rsidRPr="001366C9">
        <w:rPr>
          <w:b/>
          <w:szCs w:val="20"/>
        </w:rPr>
        <w:t xml:space="preserve">) </w:t>
      </w:r>
      <w:r w:rsidRPr="004C372A">
        <w:t xml:space="preserve">, </w:t>
      </w:r>
      <w:r w:rsidR="002B6997" w:rsidRPr="004C372A">
        <w:t>(</w:t>
      </w:r>
      <w:r w:rsidRPr="004C372A">
        <w:t xml:space="preserve">toliau - A sąrašas) bei </w:t>
      </w:r>
      <w:bookmarkStart w:id="0" w:name="_Hlk179177787"/>
      <w:r w:rsidR="002B6997" w:rsidRPr="00B46C37">
        <w:t>Lietuvos Respublikos</w:t>
      </w:r>
      <w:r w:rsidR="002B6997" w:rsidRPr="001366C9">
        <w:t xml:space="preserve"> sveikatos apsaugos ministro įsakymu </w:t>
      </w:r>
      <w:r w:rsidR="002B6997" w:rsidRPr="004C372A">
        <w:t xml:space="preserve">„Dėl krūties piktybinio naviko ambulatorinio gydymo kompensuojamaisiais vaistais tvarkos aprašu“ </w:t>
      </w:r>
      <w:r w:rsidR="002B6997" w:rsidRPr="001366C9">
        <w:t xml:space="preserve">2011 m. liepos 22 d. įsakymu Nr. V-713 </w:t>
      </w:r>
      <w:r w:rsidRPr="004C372A">
        <w:t xml:space="preserve">patvirtintu </w:t>
      </w:r>
      <w:r w:rsidR="002B6997" w:rsidRPr="004C372A">
        <w:t>Krūties piktybinio naviko ambulatorinio gydymo kompensuojamaisiais vaistais tvarkos aprašu</w:t>
      </w:r>
      <w:r w:rsidR="002B6997" w:rsidRPr="004C372A">
        <w:rPr>
          <w:b/>
          <w:bCs/>
        </w:rPr>
        <w:t xml:space="preserve"> </w:t>
      </w:r>
      <w:bookmarkEnd w:id="0"/>
      <w:r w:rsidR="002B6997" w:rsidRPr="004C372A">
        <w:t>(</w:t>
      </w:r>
      <w:r w:rsidRPr="004C372A">
        <w:t xml:space="preserve">toliau – Aprašas) pacientams, sergantiems HER2  teigiamu </w:t>
      </w:r>
      <w:proofErr w:type="spellStart"/>
      <w:r w:rsidRPr="004C372A">
        <w:t>mKV</w:t>
      </w:r>
      <w:proofErr w:type="spellEnd"/>
      <w:r w:rsidRPr="004C372A">
        <w:t xml:space="preserve"> ar vietiškai atsinaujinusiu </w:t>
      </w:r>
      <w:proofErr w:type="spellStart"/>
      <w:r w:rsidRPr="004C372A">
        <w:t>nerezekuotinu</w:t>
      </w:r>
      <w:proofErr w:type="spellEnd"/>
      <w:r w:rsidRPr="004C372A">
        <w:t xml:space="preserve"> KV, kuriems dar nėra taikyta metastazavusios ligos į HER2+ nukreipta terapija ar chemoterapija, pirmiausiai skiriamas </w:t>
      </w:r>
      <w:proofErr w:type="spellStart"/>
      <w:r w:rsidRPr="004C372A">
        <w:t>pertuzumabo</w:t>
      </w:r>
      <w:proofErr w:type="spellEnd"/>
      <w:r w:rsidRPr="004C372A">
        <w:t xml:space="preserve"> ir </w:t>
      </w:r>
      <w:proofErr w:type="spellStart"/>
      <w:r w:rsidRPr="004C372A">
        <w:t>trastuzumabo</w:t>
      </w:r>
      <w:proofErr w:type="spellEnd"/>
      <w:r w:rsidRPr="004C372A">
        <w:t xml:space="preserve"> derinys kartu su </w:t>
      </w:r>
      <w:proofErr w:type="spellStart"/>
      <w:r w:rsidRPr="004C372A">
        <w:t>docetakseliu</w:t>
      </w:r>
      <w:proofErr w:type="spellEnd"/>
      <w:r w:rsidRPr="004C372A">
        <w:t xml:space="preserve">. Atsiradus ligos progresavimui, taikoma monoterapija T-DM1 (A sąrašas). Kadangi Lietuvoje </w:t>
      </w:r>
      <w:r w:rsidRPr="004C372A">
        <w:rPr>
          <w:lang w:eastAsia="lt-LT"/>
        </w:rPr>
        <w:t xml:space="preserve">gydant pacientus sergančius HER2+ </w:t>
      </w:r>
      <w:proofErr w:type="spellStart"/>
      <w:r w:rsidRPr="004C372A">
        <w:rPr>
          <w:lang w:eastAsia="lt-LT"/>
        </w:rPr>
        <w:t>nerezekuotinu</w:t>
      </w:r>
      <w:proofErr w:type="spellEnd"/>
      <w:r w:rsidRPr="004C372A">
        <w:rPr>
          <w:lang w:eastAsia="lt-LT"/>
        </w:rPr>
        <w:t xml:space="preserve"> arba </w:t>
      </w:r>
      <w:proofErr w:type="spellStart"/>
      <w:r w:rsidRPr="004C372A">
        <w:rPr>
          <w:lang w:eastAsia="lt-LT"/>
        </w:rPr>
        <w:t>mKV</w:t>
      </w:r>
      <w:proofErr w:type="spellEnd"/>
      <w:r w:rsidRPr="004C372A">
        <w:rPr>
          <w:lang w:eastAsia="lt-LT"/>
        </w:rPr>
        <w:t xml:space="preserve">, kuriems jau taikyti du arba daugiau prieš HER2 nukreipti gydymo režimai, nėra aiškaus gydymo standarto, </w:t>
      </w:r>
      <w:r w:rsidRPr="004C372A">
        <w:t xml:space="preserve">Tarnyba </w:t>
      </w:r>
      <w:r w:rsidR="002B6997" w:rsidRPr="004C372A">
        <w:t xml:space="preserve">vadovaudamasi </w:t>
      </w:r>
      <w:r w:rsidRPr="004C372A">
        <w:t xml:space="preserve">Lietuvos Respublikos sveikatos apsaugos ministro 2002 m. balandžio 5 d. įsakymo Nr. V-159 „Dėl vaistinių preparatų ir medicinos pagalbos priemonių įrašymo į kompensavimo sąrašus ir jų keitimo tvarkos aprašo patvirtinimo“ 21 punktu </w:t>
      </w:r>
      <w:r w:rsidR="001366C9" w:rsidRPr="004C372A">
        <w:t xml:space="preserve">kreipėsi nuomonės dėl </w:t>
      </w:r>
      <w:r w:rsidR="004C372A">
        <w:t xml:space="preserve">įprastinio vietiškai išplitusio arba metastazavusio gydymo Lietuvos klinikinėje praktikoje, kai buvo </w:t>
      </w:r>
      <w:r w:rsidR="004C372A" w:rsidRPr="004C372A">
        <w:rPr>
          <w:lang w:eastAsia="lt-LT"/>
        </w:rPr>
        <w:t>taikyti du arba daugiau prieš HER2 nukreipti gydymo režimai</w:t>
      </w:r>
      <w:r w:rsidR="004C372A">
        <w:t xml:space="preserve">, </w:t>
      </w:r>
      <w:r w:rsidR="001366C9" w:rsidRPr="004C372A">
        <w:t xml:space="preserve">į gydytoją specialistą. </w:t>
      </w:r>
      <w:proofErr w:type="spellStart"/>
      <w:r w:rsidR="001366C9" w:rsidRPr="004C372A">
        <w:t>Remi</w:t>
      </w:r>
      <w:r w:rsidR="00226B45">
        <w:t>a</w:t>
      </w:r>
      <w:r w:rsidR="001366C9" w:rsidRPr="004C372A">
        <w:t>natis</w:t>
      </w:r>
      <w:proofErr w:type="spellEnd"/>
      <w:r w:rsidR="001366C9" w:rsidRPr="004C372A">
        <w:t xml:space="preserve"> gydytojo specialisto pateikta informacija</w:t>
      </w:r>
      <w:r w:rsidR="00226B45">
        <w:t>,</w:t>
      </w:r>
      <w:r w:rsidRPr="004C372A">
        <w:t xml:space="preserve"> trečios eilės </w:t>
      </w:r>
      <w:proofErr w:type="spellStart"/>
      <w:r w:rsidRPr="004C372A">
        <w:t>mKV</w:t>
      </w:r>
      <w:proofErr w:type="spellEnd"/>
      <w:r w:rsidRPr="004C372A">
        <w:t xml:space="preserve"> gydymas yra </w:t>
      </w:r>
      <w:proofErr w:type="spellStart"/>
      <w:r w:rsidRPr="004C372A">
        <w:t>monoterapija</w:t>
      </w:r>
      <w:proofErr w:type="spellEnd"/>
      <w:r w:rsidRPr="004C372A">
        <w:t xml:space="preserve"> </w:t>
      </w:r>
      <w:proofErr w:type="spellStart"/>
      <w:r w:rsidRPr="004C372A">
        <w:t>kapecitabinu</w:t>
      </w:r>
      <w:proofErr w:type="spellEnd"/>
      <w:r w:rsidRPr="004C372A">
        <w:t xml:space="preserve">, o kai kuriais atvejais gali būti skiriamas </w:t>
      </w:r>
      <w:proofErr w:type="spellStart"/>
      <w:r w:rsidRPr="004C372A">
        <w:t>vinorelbinas</w:t>
      </w:r>
      <w:proofErr w:type="spellEnd"/>
      <w:r w:rsidRPr="004C372A">
        <w:t xml:space="preserve"> vietoje </w:t>
      </w:r>
      <w:proofErr w:type="spellStart"/>
      <w:r w:rsidRPr="004C372A">
        <w:t>kapecitabino</w:t>
      </w:r>
      <w:proofErr w:type="spellEnd"/>
      <w:r w:rsidRPr="004C372A">
        <w:t xml:space="preserve">. </w:t>
      </w:r>
      <w:proofErr w:type="spellStart"/>
      <w:r w:rsidRPr="004C372A">
        <w:t>Eribulinas</w:t>
      </w:r>
      <w:proofErr w:type="spellEnd"/>
      <w:r w:rsidRPr="004C372A">
        <w:t xml:space="preserve"> skiriamas tik</w:t>
      </w:r>
      <w:r w:rsidR="001366C9" w:rsidRPr="004C372A">
        <w:t xml:space="preserve"> tada,</w:t>
      </w:r>
      <w:r w:rsidRPr="004C372A">
        <w:t xml:space="preserve"> kai gydymas trečios eilės </w:t>
      </w:r>
      <w:r w:rsidR="001366C9" w:rsidRPr="004C372A">
        <w:t>vaistiniais preparatais neveiksmingas</w:t>
      </w:r>
      <w:r w:rsidRPr="004C372A">
        <w:t xml:space="preserve">. </w:t>
      </w:r>
    </w:p>
    <w:p w14:paraId="19CB5434" w14:textId="262BEC39" w:rsidR="007B3908" w:rsidRDefault="007B3908" w:rsidP="004C372A">
      <w:pPr>
        <w:tabs>
          <w:tab w:val="left" w:pos="426"/>
        </w:tabs>
        <w:spacing w:line="360" w:lineRule="auto"/>
        <w:jc w:val="both"/>
        <w:rPr>
          <w:rFonts w:eastAsia="Arial"/>
          <w:bCs/>
        </w:rPr>
      </w:pPr>
      <w:r>
        <w:rPr>
          <w:rFonts w:eastAsia="Arial"/>
          <w:bCs/>
        </w:rPr>
        <w:tab/>
      </w:r>
      <w:r w:rsidRPr="006D01DB">
        <w:rPr>
          <w:rFonts w:eastAsia="Arial"/>
          <w:bCs/>
        </w:rPr>
        <w:t>Remiantis Europos medicininės onkologijos draugijos gairėmis (</w:t>
      </w:r>
      <w:r w:rsidR="001366C9">
        <w:rPr>
          <w:rFonts w:eastAsia="Arial"/>
          <w:bCs/>
        </w:rPr>
        <w:t xml:space="preserve">angl. </w:t>
      </w:r>
      <w:proofErr w:type="spellStart"/>
      <w:r w:rsidR="001366C9">
        <w:rPr>
          <w:rFonts w:eastAsia="Arial"/>
          <w:bCs/>
        </w:rPr>
        <w:t>European</w:t>
      </w:r>
      <w:proofErr w:type="spellEnd"/>
      <w:r w:rsidR="001366C9">
        <w:rPr>
          <w:rFonts w:eastAsia="Arial"/>
          <w:bCs/>
        </w:rPr>
        <w:t xml:space="preserve"> </w:t>
      </w:r>
      <w:proofErr w:type="spellStart"/>
      <w:r w:rsidR="001366C9">
        <w:rPr>
          <w:rFonts w:eastAsia="Arial"/>
          <w:bCs/>
        </w:rPr>
        <w:t>society</w:t>
      </w:r>
      <w:proofErr w:type="spellEnd"/>
      <w:r w:rsidR="001366C9">
        <w:rPr>
          <w:rFonts w:eastAsia="Arial"/>
          <w:bCs/>
        </w:rPr>
        <w:t xml:space="preserve"> </w:t>
      </w:r>
      <w:proofErr w:type="spellStart"/>
      <w:r w:rsidR="001366C9">
        <w:rPr>
          <w:rFonts w:eastAsia="Arial"/>
          <w:bCs/>
        </w:rPr>
        <w:t>of</w:t>
      </w:r>
      <w:proofErr w:type="spellEnd"/>
      <w:r w:rsidR="001366C9">
        <w:rPr>
          <w:rFonts w:eastAsia="Arial"/>
          <w:bCs/>
        </w:rPr>
        <w:t xml:space="preserve"> </w:t>
      </w:r>
      <w:proofErr w:type="spellStart"/>
      <w:r w:rsidR="001366C9">
        <w:rPr>
          <w:rFonts w:eastAsia="Arial"/>
          <w:bCs/>
        </w:rPr>
        <w:t>medical</w:t>
      </w:r>
      <w:proofErr w:type="spellEnd"/>
      <w:r w:rsidR="001366C9">
        <w:rPr>
          <w:rFonts w:eastAsia="Arial"/>
          <w:bCs/>
        </w:rPr>
        <w:t xml:space="preserve"> </w:t>
      </w:r>
      <w:proofErr w:type="spellStart"/>
      <w:r w:rsidR="001366C9">
        <w:rPr>
          <w:rFonts w:eastAsia="Arial"/>
          <w:bCs/>
        </w:rPr>
        <w:t>oncology</w:t>
      </w:r>
      <w:proofErr w:type="spellEnd"/>
      <w:r w:rsidR="001366C9">
        <w:rPr>
          <w:rFonts w:eastAsia="Arial"/>
          <w:bCs/>
        </w:rPr>
        <w:t xml:space="preserve">, </w:t>
      </w:r>
      <w:r w:rsidRPr="006D01DB">
        <w:rPr>
          <w:rFonts w:eastAsia="Arial"/>
          <w:bCs/>
        </w:rPr>
        <w:t>ESMO</w:t>
      </w:r>
      <w:r w:rsidR="001366C9">
        <w:rPr>
          <w:rFonts w:eastAsia="Arial"/>
          <w:bCs/>
        </w:rPr>
        <w:t>)</w:t>
      </w:r>
      <w:r w:rsidRPr="006D01DB">
        <w:rPr>
          <w:rFonts w:eastAsia="Arial"/>
          <w:bCs/>
        </w:rPr>
        <w:t xml:space="preserve"> </w:t>
      </w:r>
      <w:r w:rsidR="001366C9">
        <w:rPr>
          <w:rFonts w:eastAsia="Arial"/>
          <w:bCs/>
        </w:rPr>
        <w:t>(</w:t>
      </w:r>
      <w:r w:rsidRPr="006D01DB">
        <w:rPr>
          <w:rFonts w:eastAsia="Arial"/>
          <w:bCs/>
        </w:rPr>
        <w:t>2021 bei 2023) pacientams, kuriems yra nustatytas HER2</w:t>
      </w:r>
      <w:r>
        <w:rPr>
          <w:rFonts w:eastAsia="Arial"/>
          <w:bCs/>
        </w:rPr>
        <w:t xml:space="preserve">+ </w:t>
      </w:r>
      <w:proofErr w:type="spellStart"/>
      <w:r>
        <w:rPr>
          <w:rFonts w:eastAsia="Arial"/>
          <w:bCs/>
        </w:rPr>
        <w:t>mKV</w:t>
      </w:r>
      <w:proofErr w:type="spellEnd"/>
      <w:r w:rsidRPr="006D01DB">
        <w:rPr>
          <w:rFonts w:eastAsia="Arial"/>
          <w:bCs/>
        </w:rPr>
        <w:t xml:space="preserve"> gali būti rekomenduojamas gydymas </w:t>
      </w:r>
      <w:proofErr w:type="spellStart"/>
      <w:r w:rsidRPr="006D01DB">
        <w:rPr>
          <w:rFonts w:eastAsia="Arial"/>
          <w:bCs/>
        </w:rPr>
        <w:t>trastuzuabo</w:t>
      </w:r>
      <w:proofErr w:type="spellEnd"/>
      <w:r w:rsidRPr="006D01DB">
        <w:rPr>
          <w:rFonts w:eastAsia="Arial"/>
          <w:bCs/>
        </w:rPr>
        <w:t xml:space="preserve"> ir </w:t>
      </w:r>
      <w:proofErr w:type="spellStart"/>
      <w:r w:rsidRPr="006D01DB">
        <w:rPr>
          <w:rFonts w:eastAsia="Arial"/>
          <w:bCs/>
        </w:rPr>
        <w:t>pertuzumabo</w:t>
      </w:r>
      <w:proofErr w:type="spellEnd"/>
      <w:r w:rsidRPr="006D01DB">
        <w:rPr>
          <w:rFonts w:eastAsia="Arial"/>
          <w:bCs/>
        </w:rPr>
        <w:t xml:space="preserve"> deriniu kartu su </w:t>
      </w:r>
      <w:proofErr w:type="spellStart"/>
      <w:r w:rsidRPr="006D01DB">
        <w:rPr>
          <w:rFonts w:eastAsia="Arial"/>
          <w:bCs/>
        </w:rPr>
        <w:t>docetakseliu</w:t>
      </w:r>
      <w:proofErr w:type="spellEnd"/>
      <w:r w:rsidRPr="006D01DB">
        <w:rPr>
          <w:rFonts w:eastAsia="Arial"/>
          <w:bCs/>
        </w:rPr>
        <w:t xml:space="preserve"> arba be jo</w:t>
      </w:r>
      <w:r>
        <w:rPr>
          <w:rFonts w:eastAsia="Arial"/>
          <w:bCs/>
        </w:rPr>
        <w:t xml:space="preserve">. </w:t>
      </w:r>
      <w:r w:rsidRPr="00A67A5F">
        <w:rPr>
          <w:rFonts w:eastAsia="Arial"/>
          <w:bCs/>
        </w:rPr>
        <w:t>Ligai progresuojant gali būti taikomas antros eilės</w:t>
      </w:r>
      <w:r>
        <w:rPr>
          <w:rFonts w:eastAsia="Arial"/>
          <w:bCs/>
        </w:rPr>
        <w:t xml:space="preserve"> gydymas priklausomai nuo metastazių galvos smegenyse: vertinamuoju </w:t>
      </w:r>
      <w:r w:rsidR="001366C9">
        <w:rPr>
          <w:rFonts w:eastAsia="Arial"/>
          <w:bCs/>
        </w:rPr>
        <w:t xml:space="preserve">vaistinių preparatų </w:t>
      </w:r>
      <w:r>
        <w:rPr>
          <w:rFonts w:eastAsia="Arial"/>
          <w:bCs/>
        </w:rPr>
        <w:t xml:space="preserve">deriniu - </w:t>
      </w:r>
      <w:proofErr w:type="spellStart"/>
      <w:r>
        <w:rPr>
          <w:rFonts w:eastAsia="Arial"/>
          <w:bCs/>
        </w:rPr>
        <w:t>tukatinibu</w:t>
      </w:r>
      <w:proofErr w:type="spellEnd"/>
      <w:r>
        <w:rPr>
          <w:rFonts w:eastAsia="Arial"/>
          <w:bCs/>
        </w:rPr>
        <w:t xml:space="preserve">, </w:t>
      </w:r>
      <w:proofErr w:type="spellStart"/>
      <w:r>
        <w:rPr>
          <w:rFonts w:eastAsia="Arial"/>
          <w:bCs/>
        </w:rPr>
        <w:t>kapecitabinu</w:t>
      </w:r>
      <w:proofErr w:type="spellEnd"/>
      <w:r>
        <w:rPr>
          <w:rFonts w:eastAsia="Arial"/>
          <w:bCs/>
        </w:rPr>
        <w:t xml:space="preserve"> ir </w:t>
      </w:r>
      <w:proofErr w:type="spellStart"/>
      <w:r>
        <w:rPr>
          <w:rFonts w:eastAsia="Arial"/>
          <w:bCs/>
        </w:rPr>
        <w:t>trastuzumabu</w:t>
      </w:r>
      <w:proofErr w:type="spellEnd"/>
      <w:r>
        <w:rPr>
          <w:rFonts w:eastAsia="Arial"/>
          <w:bCs/>
        </w:rPr>
        <w:t xml:space="preserve"> arba </w:t>
      </w:r>
      <w:r w:rsidRPr="00A67A5F">
        <w:rPr>
          <w:rFonts w:eastAsia="Arial"/>
          <w:bCs/>
        </w:rPr>
        <w:t>T-DM1</w:t>
      </w:r>
      <w:r>
        <w:rPr>
          <w:rFonts w:eastAsia="Arial"/>
          <w:bCs/>
        </w:rPr>
        <w:t xml:space="preserve"> arba </w:t>
      </w:r>
      <w:proofErr w:type="spellStart"/>
      <w:r>
        <w:rPr>
          <w:rFonts w:eastAsia="Arial"/>
          <w:bCs/>
        </w:rPr>
        <w:t>trastuzumabo</w:t>
      </w:r>
      <w:proofErr w:type="spellEnd"/>
      <w:r>
        <w:rPr>
          <w:rFonts w:eastAsia="Arial"/>
          <w:bCs/>
        </w:rPr>
        <w:t xml:space="preserve"> </w:t>
      </w:r>
      <w:proofErr w:type="spellStart"/>
      <w:r>
        <w:rPr>
          <w:rFonts w:eastAsia="Arial"/>
          <w:bCs/>
        </w:rPr>
        <w:t>derukstekanu</w:t>
      </w:r>
      <w:proofErr w:type="spellEnd"/>
      <w:r w:rsidR="001366C9">
        <w:rPr>
          <w:rFonts w:eastAsia="Arial"/>
          <w:bCs/>
        </w:rPr>
        <w:t>, kuris</w:t>
      </w:r>
      <w:r w:rsidR="004C372A">
        <w:rPr>
          <w:rFonts w:eastAsia="Arial"/>
          <w:bCs/>
        </w:rPr>
        <w:t xml:space="preserve"> </w:t>
      </w:r>
      <w:r>
        <w:rPr>
          <w:rFonts w:eastAsia="Arial"/>
          <w:bCs/>
        </w:rPr>
        <w:t xml:space="preserve">Lietuvoje nekompensuojamas. </w:t>
      </w:r>
      <w:r w:rsidRPr="00A67A5F">
        <w:rPr>
          <w:rFonts w:eastAsia="Arial"/>
          <w:bCs/>
        </w:rPr>
        <w:t xml:space="preserve">Jei antros eilės </w:t>
      </w:r>
      <w:r w:rsidR="001366C9">
        <w:rPr>
          <w:rFonts w:eastAsia="Arial"/>
          <w:bCs/>
        </w:rPr>
        <w:t>gydymas</w:t>
      </w:r>
      <w:r w:rsidR="001366C9" w:rsidRPr="00A67A5F">
        <w:rPr>
          <w:rFonts w:eastAsia="Arial"/>
          <w:bCs/>
        </w:rPr>
        <w:t xml:space="preserve"> </w:t>
      </w:r>
      <w:r w:rsidRPr="00A67A5F">
        <w:rPr>
          <w:rFonts w:eastAsia="Arial"/>
          <w:bCs/>
        </w:rPr>
        <w:t xml:space="preserve">buvo nepakankamai </w:t>
      </w:r>
      <w:r w:rsidR="001366C9">
        <w:rPr>
          <w:rFonts w:eastAsia="Arial"/>
          <w:bCs/>
        </w:rPr>
        <w:t>veik</w:t>
      </w:r>
      <w:r w:rsidR="004C372A">
        <w:rPr>
          <w:rFonts w:eastAsia="Arial"/>
          <w:bCs/>
        </w:rPr>
        <w:t>s</w:t>
      </w:r>
      <w:r w:rsidR="001366C9">
        <w:rPr>
          <w:rFonts w:eastAsia="Arial"/>
          <w:bCs/>
        </w:rPr>
        <w:t>mingas</w:t>
      </w:r>
      <w:r w:rsidRPr="00A67A5F">
        <w:rPr>
          <w:rFonts w:eastAsia="Arial"/>
          <w:bCs/>
        </w:rPr>
        <w:t xml:space="preserve">, </w:t>
      </w:r>
      <w:r>
        <w:rPr>
          <w:rFonts w:eastAsia="Arial"/>
          <w:bCs/>
        </w:rPr>
        <w:t xml:space="preserve">gali būti </w:t>
      </w:r>
      <w:r w:rsidRPr="00A67A5F">
        <w:rPr>
          <w:rFonts w:eastAsia="Arial"/>
          <w:bCs/>
        </w:rPr>
        <w:t>skiriama</w:t>
      </w:r>
      <w:r>
        <w:rPr>
          <w:rFonts w:eastAsia="Arial"/>
          <w:bCs/>
        </w:rPr>
        <w:t>s</w:t>
      </w:r>
      <w:r w:rsidRPr="00A67A5F">
        <w:rPr>
          <w:rFonts w:eastAsia="Arial"/>
          <w:bCs/>
        </w:rPr>
        <w:t xml:space="preserve"> trečios eilės</w:t>
      </w:r>
      <w:r>
        <w:rPr>
          <w:rFonts w:eastAsia="Arial"/>
          <w:bCs/>
        </w:rPr>
        <w:t xml:space="preserve"> gydymas</w:t>
      </w:r>
      <w:r w:rsidRPr="00A67A5F">
        <w:rPr>
          <w:rFonts w:eastAsia="Arial"/>
          <w:bCs/>
        </w:rPr>
        <w:t xml:space="preserve"> </w:t>
      </w:r>
      <w:r>
        <w:rPr>
          <w:rFonts w:eastAsia="Arial"/>
          <w:bCs/>
        </w:rPr>
        <w:t>vertinam</w:t>
      </w:r>
      <w:r w:rsidR="001366C9">
        <w:rPr>
          <w:rFonts w:eastAsia="Arial"/>
          <w:bCs/>
        </w:rPr>
        <w:t>u vaistinių preparatų</w:t>
      </w:r>
      <w:r>
        <w:rPr>
          <w:rFonts w:eastAsia="Arial"/>
          <w:bCs/>
        </w:rPr>
        <w:t xml:space="preserve"> deriniu – </w:t>
      </w:r>
      <w:proofErr w:type="spellStart"/>
      <w:r>
        <w:rPr>
          <w:rFonts w:eastAsia="Arial"/>
          <w:bCs/>
        </w:rPr>
        <w:t>tukatinibo</w:t>
      </w:r>
      <w:proofErr w:type="spellEnd"/>
      <w:r>
        <w:rPr>
          <w:rFonts w:eastAsia="Arial"/>
          <w:bCs/>
        </w:rPr>
        <w:t xml:space="preserve">, </w:t>
      </w:r>
      <w:proofErr w:type="spellStart"/>
      <w:r>
        <w:rPr>
          <w:rFonts w:eastAsia="Arial"/>
          <w:bCs/>
        </w:rPr>
        <w:t>kapecitabino</w:t>
      </w:r>
      <w:proofErr w:type="spellEnd"/>
      <w:r>
        <w:rPr>
          <w:rFonts w:eastAsia="Arial"/>
          <w:bCs/>
        </w:rPr>
        <w:t xml:space="preserve"> ir </w:t>
      </w:r>
      <w:proofErr w:type="spellStart"/>
      <w:r>
        <w:rPr>
          <w:rFonts w:eastAsia="Arial"/>
          <w:bCs/>
        </w:rPr>
        <w:t>trastuzumabo</w:t>
      </w:r>
      <w:proofErr w:type="spellEnd"/>
      <w:r>
        <w:rPr>
          <w:rFonts w:eastAsia="Arial"/>
          <w:bCs/>
        </w:rPr>
        <w:t xml:space="preserve"> deriniu nepriklausomai nuo metastazių galvos smegenyse (jei nereikalingas aktyvus metastazių gydymas), o jei metastazių galvos smegenyse nenustatyta ar jos yra stabilios, taip pat galima skirti </w:t>
      </w:r>
      <w:proofErr w:type="spellStart"/>
      <w:r>
        <w:rPr>
          <w:rFonts w:eastAsia="Arial"/>
          <w:bCs/>
        </w:rPr>
        <w:t>trastuzumabo</w:t>
      </w:r>
      <w:proofErr w:type="spellEnd"/>
      <w:r>
        <w:rPr>
          <w:rFonts w:eastAsia="Arial"/>
          <w:bCs/>
        </w:rPr>
        <w:t xml:space="preserve"> </w:t>
      </w:r>
      <w:proofErr w:type="spellStart"/>
      <w:r>
        <w:rPr>
          <w:rFonts w:eastAsia="Arial"/>
          <w:bCs/>
        </w:rPr>
        <w:t>derukstekaną</w:t>
      </w:r>
      <w:proofErr w:type="spellEnd"/>
      <w:r>
        <w:rPr>
          <w:rFonts w:eastAsia="Arial"/>
          <w:bCs/>
        </w:rPr>
        <w:t xml:space="preserve"> arba T-DM</w:t>
      </w:r>
      <w:r w:rsidRPr="00273F56">
        <w:rPr>
          <w:rFonts w:eastAsia="Arial"/>
          <w:bCs/>
        </w:rPr>
        <w:t>1</w:t>
      </w:r>
      <w:r>
        <w:rPr>
          <w:rFonts w:eastAsia="Arial"/>
          <w:bCs/>
        </w:rPr>
        <w:t xml:space="preserve">.  </w:t>
      </w:r>
    </w:p>
    <w:p w14:paraId="286A127A" w14:textId="7B031983" w:rsidR="007B3908" w:rsidRDefault="007B3908" w:rsidP="004C372A">
      <w:pPr>
        <w:tabs>
          <w:tab w:val="left" w:pos="426"/>
        </w:tabs>
        <w:spacing w:line="360" w:lineRule="auto"/>
        <w:jc w:val="both"/>
        <w:rPr>
          <w:rFonts w:eastAsia="Arial"/>
          <w:bCs/>
        </w:rPr>
      </w:pPr>
      <w:r>
        <w:rPr>
          <w:rFonts w:eastAsia="Arial"/>
          <w:bCs/>
        </w:rPr>
        <w:tab/>
      </w:r>
      <w:r w:rsidRPr="00FC5A11">
        <w:rPr>
          <w:rFonts w:eastAsia="Arial"/>
          <w:bCs/>
        </w:rPr>
        <w:t xml:space="preserve">Vadovaujantis Lietuvos Respublikos sveikatos apsaugos ministro 2002 m. balandžio 5 d. įsakymu Nr. V-159 „Dėl vaistinių preparatų ir medicinos pagalbos priemonių įrašymo į kompensavimo sąrašus ir jų keitimo tvarkos aprašo patvirtinimo“ 116-119 punktais, nustatyta, kad įprastinę klinikinę praktiką Lietuvoje atitinkantis palyginamasis gydymas yra netiesioginio palyginimo analizėje pateiktas  gydymas </w:t>
      </w:r>
      <w:proofErr w:type="spellStart"/>
      <w:r w:rsidRPr="00FC5A11">
        <w:rPr>
          <w:rFonts w:eastAsia="Arial"/>
          <w:bCs/>
        </w:rPr>
        <w:t>kapecitabino</w:t>
      </w:r>
      <w:proofErr w:type="spellEnd"/>
      <w:r w:rsidRPr="00FC5A11">
        <w:rPr>
          <w:rFonts w:eastAsia="Arial"/>
          <w:bCs/>
        </w:rPr>
        <w:t xml:space="preserve"> </w:t>
      </w:r>
      <w:proofErr w:type="spellStart"/>
      <w:r w:rsidRPr="00FC5A11">
        <w:rPr>
          <w:rFonts w:eastAsia="Arial"/>
          <w:bCs/>
        </w:rPr>
        <w:t>monoterapija</w:t>
      </w:r>
      <w:proofErr w:type="spellEnd"/>
      <w:r w:rsidRPr="00FC5A11">
        <w:rPr>
          <w:rFonts w:eastAsia="Arial"/>
          <w:bCs/>
        </w:rPr>
        <w:t xml:space="preserve">, kai kuriais atvejais – </w:t>
      </w:r>
      <w:proofErr w:type="spellStart"/>
      <w:r w:rsidRPr="00FC5A11">
        <w:rPr>
          <w:rFonts w:eastAsia="Arial"/>
          <w:bCs/>
        </w:rPr>
        <w:t>vinorelbinu</w:t>
      </w:r>
      <w:proofErr w:type="spellEnd"/>
      <w:r>
        <w:rPr>
          <w:rFonts w:eastAsia="Arial"/>
          <w:bCs/>
        </w:rPr>
        <w:t xml:space="preserve">. </w:t>
      </w:r>
    </w:p>
    <w:p w14:paraId="0853A605" w14:textId="1CECCC79" w:rsidR="007B3908" w:rsidRDefault="007B3908" w:rsidP="00F41262">
      <w:pPr>
        <w:tabs>
          <w:tab w:val="left" w:pos="426"/>
        </w:tabs>
        <w:spacing w:line="360" w:lineRule="auto"/>
        <w:jc w:val="both"/>
        <w:rPr>
          <w:rFonts w:eastAsia="Arial"/>
          <w:bCs/>
        </w:rPr>
      </w:pPr>
    </w:p>
    <w:p w14:paraId="0C14BD2D" w14:textId="77777777" w:rsidR="007B3908" w:rsidRDefault="007B3908" w:rsidP="00F41262">
      <w:pPr>
        <w:tabs>
          <w:tab w:val="left" w:pos="426"/>
        </w:tabs>
        <w:spacing w:line="360" w:lineRule="auto"/>
        <w:jc w:val="both"/>
        <w:rPr>
          <w:rFonts w:eastAsia="Arial"/>
          <w:bCs/>
          <w:i/>
          <w:iCs/>
        </w:rPr>
      </w:pPr>
      <w:r>
        <w:rPr>
          <w:rFonts w:eastAsia="Arial"/>
          <w:bCs/>
        </w:rPr>
        <w:tab/>
      </w:r>
      <w:r w:rsidRPr="00D93BE0">
        <w:rPr>
          <w:rFonts w:eastAsia="Arial"/>
          <w:bCs/>
          <w:i/>
          <w:iCs/>
        </w:rPr>
        <w:t xml:space="preserve">Tiesioginis palyginimas  </w:t>
      </w:r>
    </w:p>
    <w:p w14:paraId="21A8EFC7" w14:textId="012FD5D1" w:rsidR="007B3908" w:rsidRDefault="007B3908" w:rsidP="00F41262">
      <w:pPr>
        <w:tabs>
          <w:tab w:val="left" w:pos="492"/>
        </w:tabs>
        <w:spacing w:line="360" w:lineRule="auto"/>
        <w:jc w:val="both"/>
        <w:outlineLvl w:val="1"/>
        <w:rPr>
          <w:rFonts w:eastAsia="Arial"/>
          <w:bCs/>
        </w:rPr>
      </w:pPr>
      <w:r>
        <w:rPr>
          <w:rFonts w:eastAsia="Arial"/>
          <w:bCs/>
        </w:rPr>
        <w:tab/>
        <w:t>Par</w:t>
      </w:r>
      <w:r w:rsidR="001366C9">
        <w:rPr>
          <w:rFonts w:eastAsia="Arial"/>
          <w:bCs/>
        </w:rPr>
        <w:t xml:space="preserve">aiškoje </w:t>
      </w:r>
      <w:r>
        <w:rPr>
          <w:rFonts w:eastAsia="Arial"/>
          <w:bCs/>
        </w:rPr>
        <w:t>pateik</w:t>
      </w:r>
      <w:r w:rsidR="001366C9">
        <w:rPr>
          <w:rFonts w:eastAsia="Arial"/>
          <w:bCs/>
        </w:rPr>
        <w:t>tas</w:t>
      </w:r>
      <w:r>
        <w:rPr>
          <w:rFonts w:eastAsia="Arial"/>
          <w:bCs/>
        </w:rPr>
        <w:t xml:space="preserve"> trečios fazės </w:t>
      </w:r>
      <w:proofErr w:type="spellStart"/>
      <w:r>
        <w:rPr>
          <w:rFonts w:eastAsia="Arial"/>
          <w:bCs/>
        </w:rPr>
        <w:t>atsitikinių</w:t>
      </w:r>
      <w:proofErr w:type="spellEnd"/>
      <w:r>
        <w:rPr>
          <w:rFonts w:eastAsia="Arial"/>
          <w:bCs/>
        </w:rPr>
        <w:t xml:space="preserve"> imčių, </w:t>
      </w:r>
      <w:proofErr w:type="spellStart"/>
      <w:r>
        <w:rPr>
          <w:rFonts w:eastAsia="Arial"/>
          <w:bCs/>
        </w:rPr>
        <w:t>daugiacentri</w:t>
      </w:r>
      <w:r w:rsidR="001366C9">
        <w:rPr>
          <w:rFonts w:eastAsia="Arial"/>
          <w:bCs/>
        </w:rPr>
        <w:t>s</w:t>
      </w:r>
      <w:proofErr w:type="spellEnd"/>
      <w:r>
        <w:rPr>
          <w:rFonts w:eastAsia="Arial"/>
          <w:bCs/>
        </w:rPr>
        <w:t>, dvigubai koduot</w:t>
      </w:r>
      <w:r w:rsidR="001366C9">
        <w:rPr>
          <w:rFonts w:eastAsia="Arial"/>
          <w:bCs/>
        </w:rPr>
        <w:t>as</w:t>
      </w:r>
      <w:r>
        <w:rPr>
          <w:rFonts w:eastAsia="Arial"/>
          <w:bCs/>
        </w:rPr>
        <w:t>, placebu kontroliuojam</w:t>
      </w:r>
      <w:r w:rsidR="001366C9">
        <w:rPr>
          <w:rFonts w:eastAsia="Arial"/>
          <w:bCs/>
        </w:rPr>
        <w:t>as</w:t>
      </w:r>
      <w:r>
        <w:rPr>
          <w:rFonts w:eastAsia="Arial"/>
          <w:bCs/>
        </w:rPr>
        <w:t>, aktyvaus palyginimo tyrim</w:t>
      </w:r>
      <w:r w:rsidR="001366C9">
        <w:rPr>
          <w:rFonts w:eastAsia="Arial"/>
          <w:bCs/>
        </w:rPr>
        <w:t>as</w:t>
      </w:r>
      <w:r>
        <w:rPr>
          <w:rFonts w:eastAsia="Arial"/>
          <w:bCs/>
        </w:rPr>
        <w:t xml:space="preserve"> HER</w:t>
      </w:r>
      <w:r w:rsidRPr="00AD073C">
        <w:rPr>
          <w:rFonts w:eastAsia="Arial"/>
          <w:bCs/>
        </w:rPr>
        <w:t>2</w:t>
      </w:r>
      <w:r>
        <w:rPr>
          <w:rFonts w:eastAsia="Arial"/>
          <w:bCs/>
        </w:rPr>
        <w:t xml:space="preserve">CLIMB. Tyrime </w:t>
      </w:r>
      <w:r w:rsidR="001366C9">
        <w:rPr>
          <w:rFonts w:eastAsia="Arial"/>
          <w:bCs/>
        </w:rPr>
        <w:t>pa</w:t>
      </w:r>
      <w:r>
        <w:rPr>
          <w:rFonts w:eastAsia="Arial"/>
          <w:bCs/>
        </w:rPr>
        <w:t xml:space="preserve">lygintas </w:t>
      </w:r>
      <w:proofErr w:type="spellStart"/>
      <w:r>
        <w:rPr>
          <w:rFonts w:eastAsia="Arial"/>
          <w:bCs/>
        </w:rPr>
        <w:t>tukatinibo</w:t>
      </w:r>
      <w:proofErr w:type="spellEnd"/>
      <w:r>
        <w:rPr>
          <w:rFonts w:eastAsia="Arial"/>
          <w:bCs/>
        </w:rPr>
        <w:t xml:space="preserve">, </w:t>
      </w:r>
      <w:proofErr w:type="spellStart"/>
      <w:r>
        <w:rPr>
          <w:rFonts w:eastAsia="Arial"/>
          <w:bCs/>
        </w:rPr>
        <w:t>kapecitabino</w:t>
      </w:r>
      <w:proofErr w:type="spellEnd"/>
      <w:r>
        <w:rPr>
          <w:rFonts w:eastAsia="Arial"/>
          <w:bCs/>
        </w:rPr>
        <w:t xml:space="preserve"> ir </w:t>
      </w:r>
      <w:proofErr w:type="spellStart"/>
      <w:r>
        <w:rPr>
          <w:rFonts w:eastAsia="Arial"/>
          <w:bCs/>
        </w:rPr>
        <w:t>trastuzumabo</w:t>
      </w:r>
      <w:proofErr w:type="spellEnd"/>
      <w:r>
        <w:rPr>
          <w:rFonts w:eastAsia="Arial"/>
          <w:bCs/>
        </w:rPr>
        <w:t xml:space="preserve"> derinio efektyvumas gydant HER</w:t>
      </w:r>
      <w:r w:rsidRPr="00EA7368">
        <w:rPr>
          <w:rFonts w:eastAsia="Arial"/>
          <w:bCs/>
        </w:rPr>
        <w:t>2</w:t>
      </w:r>
      <w:r>
        <w:rPr>
          <w:rFonts w:eastAsia="Arial"/>
          <w:bCs/>
        </w:rPr>
        <w:t xml:space="preserve">+ </w:t>
      </w:r>
      <w:proofErr w:type="spellStart"/>
      <w:r>
        <w:rPr>
          <w:rFonts w:eastAsia="Arial"/>
          <w:bCs/>
        </w:rPr>
        <w:t>nerezekuojamą</w:t>
      </w:r>
      <w:proofErr w:type="spellEnd"/>
      <w:r>
        <w:rPr>
          <w:rFonts w:eastAsia="Arial"/>
          <w:bCs/>
        </w:rPr>
        <w:t xml:space="preserve">, vietiškai išplitusį arba </w:t>
      </w:r>
      <w:proofErr w:type="spellStart"/>
      <w:r>
        <w:rPr>
          <w:rFonts w:eastAsia="Arial"/>
          <w:bCs/>
        </w:rPr>
        <w:t>mKV</w:t>
      </w:r>
      <w:proofErr w:type="spellEnd"/>
      <w:r>
        <w:rPr>
          <w:rFonts w:eastAsia="Arial"/>
          <w:bCs/>
        </w:rPr>
        <w:t xml:space="preserve"> anksčiau gydytą </w:t>
      </w:r>
      <w:proofErr w:type="spellStart"/>
      <w:r>
        <w:rPr>
          <w:rFonts w:eastAsia="Arial"/>
          <w:bCs/>
        </w:rPr>
        <w:t>trastuzumabu</w:t>
      </w:r>
      <w:proofErr w:type="spellEnd"/>
      <w:r>
        <w:rPr>
          <w:rFonts w:eastAsia="Arial"/>
          <w:bCs/>
        </w:rPr>
        <w:t xml:space="preserve">, </w:t>
      </w:r>
      <w:proofErr w:type="spellStart"/>
      <w:r>
        <w:rPr>
          <w:rFonts w:eastAsia="Arial"/>
          <w:bCs/>
        </w:rPr>
        <w:t>pertuzumabu</w:t>
      </w:r>
      <w:proofErr w:type="spellEnd"/>
      <w:r>
        <w:rPr>
          <w:rFonts w:eastAsia="Arial"/>
          <w:bCs/>
        </w:rPr>
        <w:t xml:space="preserve"> ir T-DM1 su placebo</w:t>
      </w:r>
      <w:r w:rsidR="004C372A">
        <w:rPr>
          <w:rFonts w:eastAsia="Arial"/>
          <w:bCs/>
        </w:rPr>
        <w:t>,</w:t>
      </w:r>
      <w:r>
        <w:rPr>
          <w:rFonts w:eastAsia="Arial"/>
          <w:bCs/>
        </w:rPr>
        <w:t xml:space="preserve"> </w:t>
      </w:r>
      <w:proofErr w:type="spellStart"/>
      <w:r>
        <w:rPr>
          <w:rFonts w:eastAsia="Arial"/>
          <w:bCs/>
        </w:rPr>
        <w:t>kapecitabino</w:t>
      </w:r>
      <w:proofErr w:type="spellEnd"/>
      <w:r>
        <w:rPr>
          <w:rFonts w:eastAsia="Arial"/>
          <w:bCs/>
        </w:rPr>
        <w:t xml:space="preserve"> ir </w:t>
      </w:r>
      <w:proofErr w:type="spellStart"/>
      <w:r>
        <w:rPr>
          <w:rFonts w:eastAsia="Arial"/>
          <w:bCs/>
        </w:rPr>
        <w:t>trastuzumabo</w:t>
      </w:r>
      <w:proofErr w:type="spellEnd"/>
      <w:r>
        <w:rPr>
          <w:rFonts w:eastAsia="Arial"/>
          <w:bCs/>
        </w:rPr>
        <w:t xml:space="preserve"> deriniu. </w:t>
      </w:r>
      <w:r w:rsidR="004C372A">
        <w:rPr>
          <w:rFonts w:eastAsia="Arial"/>
          <w:bCs/>
        </w:rPr>
        <w:t>Atlikus detalų klinikinį vertinimą, nustatyta, jog tiesioginio palyginimo dalyje pateiktas palyginimas su placeb</w:t>
      </w:r>
      <w:r w:rsidR="00226B45">
        <w:rPr>
          <w:rFonts w:eastAsia="Arial"/>
          <w:bCs/>
        </w:rPr>
        <w:t>u</w:t>
      </w:r>
      <w:r w:rsidR="004C372A">
        <w:rPr>
          <w:rFonts w:eastAsia="Arial"/>
          <w:bCs/>
        </w:rPr>
        <w:t xml:space="preserve">, </w:t>
      </w:r>
      <w:proofErr w:type="spellStart"/>
      <w:r w:rsidR="004C372A">
        <w:rPr>
          <w:rFonts w:eastAsia="Arial"/>
          <w:bCs/>
        </w:rPr>
        <w:t>kapecitabino</w:t>
      </w:r>
      <w:proofErr w:type="spellEnd"/>
      <w:r w:rsidR="004C372A">
        <w:rPr>
          <w:rFonts w:eastAsia="Arial"/>
          <w:bCs/>
        </w:rPr>
        <w:t xml:space="preserve"> ir </w:t>
      </w:r>
      <w:proofErr w:type="spellStart"/>
      <w:r w:rsidR="004C372A">
        <w:rPr>
          <w:rFonts w:eastAsia="Arial"/>
          <w:bCs/>
        </w:rPr>
        <w:t>trastuzumabo</w:t>
      </w:r>
      <w:proofErr w:type="spellEnd"/>
      <w:r w:rsidR="004C372A">
        <w:rPr>
          <w:rFonts w:eastAsia="Arial"/>
          <w:bCs/>
        </w:rPr>
        <w:t xml:space="preserve"> deriniu neatitinka įprastinės klinikinės praktikos Lietuvoje (</w:t>
      </w:r>
      <w:proofErr w:type="spellStart"/>
      <w:r w:rsidR="004C372A">
        <w:rPr>
          <w:rFonts w:eastAsia="Arial"/>
          <w:bCs/>
        </w:rPr>
        <w:t>t.y</w:t>
      </w:r>
      <w:proofErr w:type="spellEnd"/>
      <w:r w:rsidR="004C372A">
        <w:rPr>
          <w:rFonts w:eastAsia="Arial"/>
          <w:bCs/>
        </w:rPr>
        <w:t xml:space="preserve"> </w:t>
      </w:r>
      <w:proofErr w:type="spellStart"/>
      <w:r w:rsidR="004C372A">
        <w:rPr>
          <w:rFonts w:eastAsia="Arial"/>
          <w:bCs/>
        </w:rPr>
        <w:t>kapecitabino</w:t>
      </w:r>
      <w:proofErr w:type="spellEnd"/>
      <w:r w:rsidR="004C372A">
        <w:rPr>
          <w:rFonts w:eastAsia="Arial"/>
          <w:bCs/>
        </w:rPr>
        <w:t xml:space="preserve"> </w:t>
      </w:r>
      <w:proofErr w:type="spellStart"/>
      <w:r w:rsidR="004C372A">
        <w:rPr>
          <w:rFonts w:eastAsia="Arial"/>
          <w:bCs/>
        </w:rPr>
        <w:t>monoterapija</w:t>
      </w:r>
      <w:proofErr w:type="spellEnd"/>
      <w:r w:rsidR="004C372A">
        <w:rPr>
          <w:rFonts w:eastAsia="Arial"/>
          <w:bCs/>
        </w:rPr>
        <w:t>).</w:t>
      </w:r>
      <w:r w:rsidR="00D72119">
        <w:rPr>
          <w:rFonts w:eastAsia="Arial"/>
          <w:bCs/>
        </w:rPr>
        <w:t xml:space="preserve"> Šio tyrimo rezultatai vertinami kaip žvalgomojo pobūdžio.</w:t>
      </w:r>
      <w:r w:rsidR="004C372A">
        <w:rPr>
          <w:rFonts w:eastAsia="Arial"/>
          <w:bCs/>
        </w:rPr>
        <w:t xml:space="preserve"> </w:t>
      </w:r>
    </w:p>
    <w:p w14:paraId="69035EE9" w14:textId="2F362AB4" w:rsidR="007B3908" w:rsidRPr="00D93BE0" w:rsidRDefault="007B3908" w:rsidP="00F41262">
      <w:pPr>
        <w:tabs>
          <w:tab w:val="left" w:pos="492"/>
        </w:tabs>
        <w:spacing w:line="360" w:lineRule="auto"/>
        <w:jc w:val="both"/>
        <w:outlineLvl w:val="1"/>
        <w:rPr>
          <w:rFonts w:eastAsia="Arial"/>
          <w:bCs/>
        </w:rPr>
      </w:pPr>
      <w:r>
        <w:rPr>
          <w:rFonts w:eastAsia="Arial"/>
          <w:bCs/>
        </w:rPr>
        <w:tab/>
        <w:t>Į tyrimą įtraukti pilnamečiai pacientai sergantys HER</w:t>
      </w:r>
      <w:r w:rsidRPr="00EA7368">
        <w:rPr>
          <w:rFonts w:eastAsia="Arial"/>
          <w:bCs/>
        </w:rPr>
        <w:t>2</w:t>
      </w:r>
      <w:r>
        <w:rPr>
          <w:rFonts w:eastAsia="Arial"/>
          <w:bCs/>
        </w:rPr>
        <w:t xml:space="preserve"> teigiamu </w:t>
      </w:r>
      <w:proofErr w:type="spellStart"/>
      <w:r>
        <w:rPr>
          <w:rFonts w:eastAsia="Arial"/>
          <w:bCs/>
        </w:rPr>
        <w:t>nerezekuojamu</w:t>
      </w:r>
      <w:proofErr w:type="spellEnd"/>
      <w:r>
        <w:rPr>
          <w:rFonts w:eastAsia="Arial"/>
          <w:bCs/>
        </w:rPr>
        <w:t xml:space="preserve">, vietiškai išplitusiu arba  </w:t>
      </w:r>
      <w:proofErr w:type="spellStart"/>
      <w:r>
        <w:rPr>
          <w:rFonts w:eastAsia="Arial"/>
          <w:bCs/>
        </w:rPr>
        <w:t>mKV</w:t>
      </w:r>
      <w:proofErr w:type="spellEnd"/>
      <w:r>
        <w:rPr>
          <w:rFonts w:eastAsia="Arial"/>
          <w:bCs/>
        </w:rPr>
        <w:t xml:space="preserve">. Visi įtraukti pacientai turėjo būti vartoję </w:t>
      </w:r>
      <w:proofErr w:type="spellStart"/>
      <w:r>
        <w:rPr>
          <w:rFonts w:eastAsia="Arial"/>
          <w:bCs/>
        </w:rPr>
        <w:t>trastuzumabą</w:t>
      </w:r>
      <w:proofErr w:type="spellEnd"/>
      <w:r>
        <w:rPr>
          <w:rFonts w:eastAsia="Arial"/>
          <w:bCs/>
        </w:rPr>
        <w:t xml:space="preserve">, </w:t>
      </w:r>
      <w:proofErr w:type="spellStart"/>
      <w:r>
        <w:rPr>
          <w:rFonts w:eastAsia="Arial"/>
          <w:bCs/>
        </w:rPr>
        <w:t>pertuzumabą</w:t>
      </w:r>
      <w:proofErr w:type="spellEnd"/>
      <w:r>
        <w:rPr>
          <w:rFonts w:eastAsia="Arial"/>
          <w:bCs/>
        </w:rPr>
        <w:t xml:space="preserve"> ir T-DM1, tačiau nepaisant </w:t>
      </w:r>
      <w:r w:rsidR="001366C9">
        <w:rPr>
          <w:rFonts w:eastAsia="Arial"/>
          <w:bCs/>
        </w:rPr>
        <w:t xml:space="preserve"> gydymo</w:t>
      </w:r>
      <w:r>
        <w:rPr>
          <w:rFonts w:eastAsia="Arial"/>
          <w:bCs/>
        </w:rPr>
        <w:t xml:space="preserve"> liga progresavo arba pacientas netoleravo skiriamo gydymo. Į tyrimą </w:t>
      </w:r>
      <w:r w:rsidR="001366C9">
        <w:rPr>
          <w:rFonts w:eastAsia="Arial"/>
          <w:bCs/>
        </w:rPr>
        <w:t xml:space="preserve">buvo </w:t>
      </w:r>
      <w:r>
        <w:rPr>
          <w:rFonts w:eastAsia="Arial"/>
          <w:bCs/>
        </w:rPr>
        <w:t xml:space="preserve">įtraukti pacientai nepriklausomai nuo metastazių galvos smegenyse buvimo, t.y. įtraukti pacientai su aktyviomis, neaktyviomis metastazėmis ir pacientai, kuriems metastazės galvos smegenyse nenustatytos, išskyrus pacientus, kuriems buvo reikalingas aktyvus metastazių gydymas.  </w:t>
      </w:r>
    </w:p>
    <w:p w14:paraId="415D04A2" w14:textId="77777777" w:rsidR="007B3908" w:rsidRDefault="007B3908" w:rsidP="00F41262">
      <w:pPr>
        <w:spacing w:line="360" w:lineRule="auto"/>
        <w:jc w:val="both"/>
        <w:outlineLvl w:val="1"/>
        <w:rPr>
          <w:rFonts w:eastAsia="Arial"/>
          <w:bCs/>
        </w:rPr>
      </w:pPr>
      <w:r>
        <w:rPr>
          <w:rFonts w:eastAsia="Arial"/>
          <w:bCs/>
        </w:rPr>
        <w:tab/>
      </w:r>
      <w:r w:rsidRPr="00D93BE0">
        <w:rPr>
          <w:rFonts w:eastAsia="Arial"/>
          <w:bCs/>
        </w:rPr>
        <w:t>Pagrindinė tyrimo vertinamoji baigtis</w:t>
      </w:r>
      <w:r>
        <w:rPr>
          <w:rFonts w:eastAsia="Arial"/>
          <w:bCs/>
        </w:rPr>
        <w:t xml:space="preserve"> </w:t>
      </w:r>
      <w:r w:rsidRPr="00D93BE0">
        <w:rPr>
          <w:rFonts w:eastAsia="Arial"/>
          <w:bCs/>
        </w:rPr>
        <w:t xml:space="preserve">buvo </w:t>
      </w:r>
      <w:r>
        <w:rPr>
          <w:rFonts w:eastAsia="Arial"/>
          <w:bCs/>
        </w:rPr>
        <w:t>i</w:t>
      </w:r>
      <w:r w:rsidRPr="00D93BE0">
        <w:rPr>
          <w:rFonts w:eastAsia="Arial"/>
          <w:bCs/>
        </w:rPr>
        <w:t>šgyvenamumas be ligos progresavimo</w:t>
      </w:r>
      <w:r>
        <w:rPr>
          <w:rFonts w:eastAsia="Arial"/>
          <w:bCs/>
        </w:rPr>
        <w:t>, antrinės – bendras išgyvenamumas, o</w:t>
      </w:r>
      <w:r w:rsidRPr="00D93BE0">
        <w:rPr>
          <w:rFonts w:eastAsia="Arial"/>
          <w:bCs/>
        </w:rPr>
        <w:t>bjektyvaus atsako dažnis</w:t>
      </w:r>
      <w:r>
        <w:rPr>
          <w:rFonts w:eastAsia="Arial"/>
          <w:bCs/>
        </w:rPr>
        <w:t xml:space="preserve">, atsako trukmė, klinikinės naudos dažnis. </w:t>
      </w:r>
      <w:r w:rsidRPr="00E66771">
        <w:rPr>
          <w:rFonts w:eastAsia="Arial"/>
          <w:bCs/>
        </w:rPr>
        <w:t xml:space="preserve">Pagrindinė bei svarbiausios antrinės vertinamosios išeitys vertintos ir </w:t>
      </w:r>
      <w:r>
        <w:rPr>
          <w:rFonts w:eastAsia="Arial"/>
          <w:bCs/>
        </w:rPr>
        <w:t xml:space="preserve">iš anksto numatytuose </w:t>
      </w:r>
      <w:r w:rsidRPr="00E66771">
        <w:rPr>
          <w:rFonts w:eastAsia="Arial"/>
          <w:bCs/>
        </w:rPr>
        <w:t>pogrupiuose</w:t>
      </w:r>
      <w:r>
        <w:rPr>
          <w:rFonts w:eastAsia="Arial"/>
          <w:bCs/>
        </w:rPr>
        <w:t xml:space="preserve"> (</w:t>
      </w:r>
      <w:r w:rsidRPr="00E66771">
        <w:rPr>
          <w:rFonts w:eastAsia="Arial"/>
          <w:bCs/>
        </w:rPr>
        <w:t>metastazės galvos smegenyse (taip/ne), geografinis regionas (JAV ar Kanada/kita), ECOG balas įtraukimo metu (0/1), amžius (&lt;65 / ≥65 metai), rasė (baltaodžiai/</w:t>
      </w:r>
      <w:proofErr w:type="spellStart"/>
      <w:r w:rsidRPr="00E66771">
        <w:rPr>
          <w:rFonts w:eastAsia="Arial"/>
          <w:bCs/>
        </w:rPr>
        <w:t>afroamerikiečiai</w:t>
      </w:r>
      <w:proofErr w:type="spellEnd"/>
      <w:r w:rsidRPr="00E66771">
        <w:rPr>
          <w:rFonts w:eastAsia="Arial"/>
          <w:bCs/>
        </w:rPr>
        <w:t>/kita), estrogeno ar progesterono hormonų receptorių raiška (taip/ne)</w:t>
      </w:r>
      <w:r>
        <w:rPr>
          <w:rFonts w:eastAsia="Arial"/>
          <w:bCs/>
        </w:rPr>
        <w:t xml:space="preserve">). </w:t>
      </w:r>
    </w:p>
    <w:p w14:paraId="28879B96" w14:textId="77777777" w:rsidR="007B3908" w:rsidRDefault="007B3908" w:rsidP="00F41262">
      <w:pPr>
        <w:spacing w:line="360" w:lineRule="auto"/>
        <w:ind w:firstLine="720"/>
        <w:jc w:val="both"/>
        <w:outlineLvl w:val="1"/>
        <w:rPr>
          <w:rFonts w:eastAsia="Arial"/>
          <w:iCs/>
          <w:color w:val="000000" w:themeColor="text1"/>
        </w:rPr>
      </w:pPr>
      <w:r>
        <w:rPr>
          <w:rFonts w:eastAsia="Arial"/>
          <w:bCs/>
        </w:rPr>
        <w:t xml:space="preserve">Pagal įtraukimo ir atmetimo kriterijus, buvo įtraukta </w:t>
      </w:r>
      <w:r w:rsidRPr="00A15F0D">
        <w:rPr>
          <w:rFonts w:eastAsia="Arial"/>
          <w:bCs/>
        </w:rPr>
        <w:t>819 pacient</w:t>
      </w:r>
      <w:r>
        <w:rPr>
          <w:rFonts w:eastAsia="Arial"/>
          <w:bCs/>
        </w:rPr>
        <w:t xml:space="preserve">ų, iš kurių </w:t>
      </w:r>
      <w:r w:rsidRPr="00A15F0D">
        <w:rPr>
          <w:rFonts w:eastAsia="Arial"/>
          <w:bCs/>
        </w:rPr>
        <w:t xml:space="preserve">612 </w:t>
      </w:r>
      <w:r>
        <w:rPr>
          <w:rFonts w:eastAsia="Arial"/>
          <w:bCs/>
        </w:rPr>
        <w:t xml:space="preserve">tiriamųjų hierarchinės </w:t>
      </w:r>
      <w:proofErr w:type="spellStart"/>
      <w:r>
        <w:rPr>
          <w:rFonts w:eastAsia="Arial"/>
          <w:bCs/>
        </w:rPr>
        <w:t>randomizacijos</w:t>
      </w:r>
      <w:proofErr w:type="spellEnd"/>
      <w:r>
        <w:rPr>
          <w:rFonts w:eastAsia="Arial"/>
          <w:bCs/>
        </w:rPr>
        <w:t xml:space="preserve"> schema, 2:1 santykiu, remiantis stratifikacijos faktoriais priskirti </w:t>
      </w:r>
      <w:proofErr w:type="spellStart"/>
      <w:r>
        <w:rPr>
          <w:rFonts w:eastAsia="Arial"/>
          <w:bCs/>
        </w:rPr>
        <w:t>tukatinibo</w:t>
      </w:r>
      <w:proofErr w:type="spellEnd"/>
      <w:r>
        <w:rPr>
          <w:rFonts w:eastAsia="Arial"/>
          <w:bCs/>
        </w:rPr>
        <w:t xml:space="preserve">, </w:t>
      </w:r>
      <w:proofErr w:type="spellStart"/>
      <w:r>
        <w:rPr>
          <w:rFonts w:eastAsia="Arial"/>
          <w:bCs/>
        </w:rPr>
        <w:t>trastuzumabo</w:t>
      </w:r>
      <w:proofErr w:type="spellEnd"/>
      <w:r>
        <w:rPr>
          <w:rFonts w:eastAsia="Arial"/>
          <w:bCs/>
        </w:rPr>
        <w:t xml:space="preserve"> ir </w:t>
      </w:r>
      <w:proofErr w:type="spellStart"/>
      <w:r>
        <w:rPr>
          <w:rFonts w:eastAsia="Arial"/>
          <w:bCs/>
        </w:rPr>
        <w:t>kapecitabino</w:t>
      </w:r>
      <w:proofErr w:type="spellEnd"/>
      <w:r>
        <w:rPr>
          <w:rFonts w:eastAsia="Arial"/>
          <w:bCs/>
        </w:rPr>
        <w:t xml:space="preserve"> (toliau – derinys su </w:t>
      </w:r>
      <w:proofErr w:type="spellStart"/>
      <w:r>
        <w:rPr>
          <w:rFonts w:eastAsia="Arial"/>
          <w:bCs/>
        </w:rPr>
        <w:t>tukatinibu</w:t>
      </w:r>
      <w:proofErr w:type="spellEnd"/>
      <w:r>
        <w:rPr>
          <w:rFonts w:eastAsia="Arial"/>
          <w:bCs/>
        </w:rPr>
        <w:t xml:space="preserve">) ar placebo, </w:t>
      </w:r>
      <w:proofErr w:type="spellStart"/>
      <w:r>
        <w:rPr>
          <w:rFonts w:eastAsia="Arial"/>
          <w:bCs/>
        </w:rPr>
        <w:t>trastuzumabo</w:t>
      </w:r>
      <w:proofErr w:type="spellEnd"/>
      <w:r>
        <w:rPr>
          <w:rFonts w:eastAsia="Arial"/>
          <w:bCs/>
        </w:rPr>
        <w:t xml:space="preserve"> ir </w:t>
      </w:r>
      <w:proofErr w:type="spellStart"/>
      <w:r>
        <w:rPr>
          <w:rFonts w:eastAsia="Arial"/>
          <w:bCs/>
        </w:rPr>
        <w:t>kapecitabino</w:t>
      </w:r>
      <w:proofErr w:type="spellEnd"/>
      <w:r>
        <w:rPr>
          <w:rFonts w:eastAsia="Arial"/>
          <w:bCs/>
        </w:rPr>
        <w:t xml:space="preserve"> (toliau – derinys su placebo) grupėms atitinkamai. </w:t>
      </w:r>
      <w:r w:rsidRPr="00E15B91">
        <w:rPr>
          <w:rFonts w:eastAsia="Arial"/>
          <w:bCs/>
        </w:rPr>
        <w:t xml:space="preserve">Deriniu su </w:t>
      </w:r>
      <w:proofErr w:type="spellStart"/>
      <w:r w:rsidRPr="00E15B91">
        <w:rPr>
          <w:rFonts w:eastAsia="Arial"/>
          <w:bCs/>
        </w:rPr>
        <w:t>kapecitabinu</w:t>
      </w:r>
      <w:proofErr w:type="spellEnd"/>
      <w:r>
        <w:rPr>
          <w:rFonts w:eastAsia="Arial"/>
          <w:bCs/>
        </w:rPr>
        <w:t xml:space="preserve"> gydomų pacientų</w:t>
      </w:r>
      <w:r w:rsidRPr="00E15B91">
        <w:rPr>
          <w:rFonts w:eastAsia="Arial"/>
          <w:bCs/>
        </w:rPr>
        <w:t xml:space="preserve"> grupei priskirta 410 pacient</w:t>
      </w:r>
      <w:r>
        <w:rPr>
          <w:rFonts w:eastAsia="Arial"/>
          <w:bCs/>
        </w:rPr>
        <w:t xml:space="preserve">ų (198 pacientai su metastazėmis galvos smegenyse ir </w:t>
      </w:r>
      <w:r w:rsidRPr="00D435B3">
        <w:rPr>
          <w:rFonts w:eastAsia="Arial"/>
          <w:bCs/>
        </w:rPr>
        <w:t>211 be j</w:t>
      </w:r>
      <w:r>
        <w:rPr>
          <w:rFonts w:eastAsia="Arial"/>
          <w:bCs/>
        </w:rPr>
        <w:t xml:space="preserve">ų) iš kurių </w:t>
      </w:r>
      <w:r w:rsidRPr="00E15B91">
        <w:rPr>
          <w:rFonts w:eastAsia="Arial"/>
          <w:bCs/>
        </w:rPr>
        <w:t>320 priklaus</w:t>
      </w:r>
      <w:r>
        <w:rPr>
          <w:rFonts w:eastAsia="Arial"/>
          <w:bCs/>
        </w:rPr>
        <w:t xml:space="preserve">ė IBLP populiacijai. </w:t>
      </w:r>
      <w:r w:rsidRPr="00E15B91">
        <w:rPr>
          <w:rFonts w:eastAsia="Arial"/>
          <w:bCs/>
        </w:rPr>
        <w:t>Derini</w:t>
      </w:r>
      <w:r>
        <w:rPr>
          <w:rFonts w:eastAsia="Arial"/>
          <w:bCs/>
        </w:rPr>
        <w:t>u</w:t>
      </w:r>
      <w:r w:rsidRPr="00E15B91">
        <w:rPr>
          <w:rFonts w:eastAsia="Arial"/>
          <w:bCs/>
        </w:rPr>
        <w:t xml:space="preserve"> su </w:t>
      </w:r>
      <w:r>
        <w:rPr>
          <w:rFonts w:eastAsia="Arial"/>
          <w:bCs/>
        </w:rPr>
        <w:t>placebu –</w:t>
      </w:r>
      <w:r w:rsidRPr="00E15B91">
        <w:rPr>
          <w:rFonts w:eastAsia="Arial"/>
          <w:bCs/>
        </w:rPr>
        <w:t xml:space="preserve"> </w:t>
      </w:r>
      <w:r w:rsidRPr="00B35FF0">
        <w:rPr>
          <w:rFonts w:eastAsia="Arial"/>
          <w:bCs/>
        </w:rPr>
        <w:t>2</w:t>
      </w:r>
      <w:r>
        <w:rPr>
          <w:rFonts w:eastAsia="Arial"/>
          <w:bCs/>
        </w:rPr>
        <w:t>02</w:t>
      </w:r>
      <w:r w:rsidRPr="00E15B91">
        <w:rPr>
          <w:rFonts w:eastAsia="Arial"/>
          <w:bCs/>
        </w:rPr>
        <w:t xml:space="preserve"> pacien</w:t>
      </w:r>
      <w:r>
        <w:rPr>
          <w:rFonts w:eastAsia="Arial"/>
          <w:bCs/>
        </w:rPr>
        <w:t>tai (93 pacientai su metastazėmis galvos smegenyse ir 108</w:t>
      </w:r>
      <w:r w:rsidRPr="00D435B3">
        <w:rPr>
          <w:rFonts w:eastAsia="Arial"/>
          <w:bCs/>
        </w:rPr>
        <w:t xml:space="preserve"> be j</w:t>
      </w:r>
      <w:r>
        <w:rPr>
          <w:rFonts w:eastAsia="Arial"/>
          <w:bCs/>
        </w:rPr>
        <w:t>ų) iš kurių 160</w:t>
      </w:r>
      <w:r w:rsidRPr="00E15B91">
        <w:rPr>
          <w:rFonts w:eastAsia="Arial"/>
          <w:bCs/>
        </w:rPr>
        <w:t xml:space="preserve"> priklaus</w:t>
      </w:r>
      <w:r>
        <w:rPr>
          <w:rFonts w:eastAsia="Arial"/>
          <w:bCs/>
        </w:rPr>
        <w:t xml:space="preserve">ė IBLP populiacijai. Gydymą deriniu su </w:t>
      </w:r>
      <w:proofErr w:type="spellStart"/>
      <w:r>
        <w:rPr>
          <w:rFonts w:eastAsia="Arial"/>
          <w:bCs/>
        </w:rPr>
        <w:t>tukatinibu</w:t>
      </w:r>
      <w:proofErr w:type="spellEnd"/>
      <w:r>
        <w:rPr>
          <w:rFonts w:eastAsia="Arial"/>
          <w:bCs/>
        </w:rPr>
        <w:t xml:space="preserve"> gavo </w:t>
      </w:r>
      <w:r w:rsidRPr="00837607">
        <w:rPr>
          <w:rFonts w:eastAsia="Arial"/>
          <w:bCs/>
        </w:rPr>
        <w:t xml:space="preserve">404 pacientai, deriniu su placebo – 197. </w:t>
      </w:r>
      <w:r>
        <w:rPr>
          <w:rFonts w:eastAsia="Arial"/>
          <w:iCs/>
          <w:color w:val="000000" w:themeColor="text1"/>
        </w:rPr>
        <w:t xml:space="preserve">Pagal pacientų ir pagrindines ligos charakteristikas įtraukimo metu, grupės abiejose populiacijose buvo subalansuotos, o esami skirtumai, tikėtina, nedarė reikšmingos įtakos klinikinio </w:t>
      </w:r>
      <w:proofErr w:type="spellStart"/>
      <w:r>
        <w:rPr>
          <w:rFonts w:eastAsia="Arial"/>
          <w:iCs/>
          <w:color w:val="000000" w:themeColor="text1"/>
        </w:rPr>
        <w:t>efektyvimo</w:t>
      </w:r>
      <w:proofErr w:type="spellEnd"/>
      <w:r>
        <w:rPr>
          <w:rFonts w:eastAsia="Arial"/>
          <w:iCs/>
          <w:color w:val="000000" w:themeColor="text1"/>
        </w:rPr>
        <w:t xml:space="preserve"> vertinimui. </w:t>
      </w:r>
    </w:p>
    <w:p w14:paraId="75689012" w14:textId="11FC1E37" w:rsidR="007B3908" w:rsidRDefault="007B3908" w:rsidP="00F41262">
      <w:pPr>
        <w:spacing w:line="360" w:lineRule="auto"/>
        <w:ind w:firstLine="720"/>
        <w:jc w:val="both"/>
        <w:outlineLvl w:val="1"/>
        <w:rPr>
          <w:rFonts w:asciiTheme="majorBidi" w:hAnsiTheme="majorBidi" w:cstheme="majorBidi"/>
        </w:rPr>
      </w:pPr>
      <w:r>
        <w:rPr>
          <w:rFonts w:eastAsia="Arial"/>
          <w:iCs/>
          <w:color w:val="000000" w:themeColor="text1"/>
        </w:rPr>
        <w:t>Tyrimo HER</w:t>
      </w:r>
      <w:r w:rsidRPr="004D5906">
        <w:rPr>
          <w:rFonts w:eastAsia="Arial"/>
          <w:iCs/>
          <w:color w:val="000000" w:themeColor="text1"/>
        </w:rPr>
        <w:t>2</w:t>
      </w:r>
      <w:r>
        <w:rPr>
          <w:rFonts w:eastAsia="Arial"/>
          <w:iCs/>
          <w:color w:val="000000" w:themeColor="text1"/>
        </w:rPr>
        <w:t xml:space="preserve">CLIMB (stebėjimo mediana – 14 mėn.) duomenimis, gydymas deriniu su </w:t>
      </w:r>
      <w:proofErr w:type="spellStart"/>
      <w:r>
        <w:rPr>
          <w:rFonts w:eastAsia="Arial"/>
          <w:iCs/>
          <w:color w:val="000000" w:themeColor="text1"/>
        </w:rPr>
        <w:t>tukatinibu</w:t>
      </w:r>
      <w:proofErr w:type="spellEnd"/>
      <w:r>
        <w:rPr>
          <w:rFonts w:eastAsia="Arial"/>
          <w:iCs/>
          <w:color w:val="000000" w:themeColor="text1"/>
        </w:rPr>
        <w:t xml:space="preserve">, lyginant su gydymu deriniu su placebu lėmė </w:t>
      </w:r>
      <w:r w:rsidRPr="00A64DBD">
        <w:rPr>
          <w:rFonts w:eastAsia="Arial"/>
          <w:iCs/>
          <w:color w:val="000000" w:themeColor="text1"/>
        </w:rPr>
        <w:t>46 proc. ma</w:t>
      </w:r>
      <w:r>
        <w:rPr>
          <w:rFonts w:eastAsia="Arial"/>
          <w:iCs/>
          <w:color w:val="000000" w:themeColor="text1"/>
        </w:rPr>
        <w:t xml:space="preserve">žesnę ligos progresavimo ar mirties </w:t>
      </w:r>
      <w:r w:rsidRPr="004D5906">
        <w:rPr>
          <w:rFonts w:eastAsia="Arial"/>
          <w:iCs/>
          <w:color w:val="000000" w:themeColor="text1"/>
        </w:rPr>
        <w:t xml:space="preserve">riziką (IBLP </w:t>
      </w:r>
      <w:r w:rsidRPr="004D5906">
        <w:rPr>
          <w:rFonts w:asciiTheme="majorBidi" w:hAnsiTheme="majorBidi" w:cstheme="majorBidi"/>
        </w:rPr>
        <w:t>RS=0,54; 95 proc. PI 0,42 – 0,71; p&lt;0,001</w:t>
      </w:r>
      <w:r w:rsidRPr="004D5906">
        <w:rPr>
          <w:rFonts w:eastAsia="Arial"/>
          <w:iCs/>
          <w:color w:val="000000" w:themeColor="text1"/>
        </w:rPr>
        <w:t>)</w:t>
      </w:r>
      <w:r>
        <w:rPr>
          <w:rFonts w:eastAsia="Arial"/>
          <w:iCs/>
          <w:color w:val="000000" w:themeColor="text1"/>
        </w:rPr>
        <w:t xml:space="preserve"> remiantis </w:t>
      </w:r>
      <w:r w:rsidR="001366C9">
        <w:rPr>
          <w:rFonts w:eastAsia="Arial"/>
          <w:iCs/>
          <w:color w:val="000000" w:themeColor="text1"/>
        </w:rPr>
        <w:t xml:space="preserve">koduotu </w:t>
      </w:r>
      <w:r>
        <w:rPr>
          <w:rFonts w:eastAsia="Arial"/>
          <w:iCs/>
          <w:color w:val="000000" w:themeColor="text1"/>
        </w:rPr>
        <w:t xml:space="preserve">nepriklausomu centriniu vertinimu (ANCV). IBLP mediana gydant deriniu su </w:t>
      </w:r>
      <w:proofErr w:type="spellStart"/>
      <w:r>
        <w:rPr>
          <w:rFonts w:eastAsia="Arial"/>
          <w:iCs/>
          <w:color w:val="000000" w:themeColor="text1"/>
        </w:rPr>
        <w:t>tukatinibu</w:t>
      </w:r>
      <w:proofErr w:type="spellEnd"/>
      <w:r>
        <w:rPr>
          <w:rFonts w:eastAsia="Arial"/>
          <w:iCs/>
          <w:color w:val="000000" w:themeColor="text1"/>
        </w:rPr>
        <w:t xml:space="preserve"> buvo </w:t>
      </w:r>
      <w:r w:rsidRPr="003F1FF7">
        <w:rPr>
          <w:rFonts w:eastAsia="Arial"/>
          <w:iCs/>
          <w:color w:val="000000" w:themeColor="text1"/>
        </w:rPr>
        <w:t>2,2 m</w:t>
      </w:r>
      <w:r>
        <w:rPr>
          <w:rFonts w:eastAsia="Arial"/>
          <w:iCs/>
          <w:color w:val="000000" w:themeColor="text1"/>
        </w:rPr>
        <w:t>ėn. ilgesnė (</w:t>
      </w:r>
      <w:r w:rsidRPr="00B07290">
        <w:rPr>
          <w:rFonts w:eastAsia="Arial"/>
          <w:iCs/>
          <w:color w:val="000000" w:themeColor="text1"/>
        </w:rPr>
        <w:t xml:space="preserve">7,8 </w:t>
      </w:r>
      <w:r>
        <w:rPr>
          <w:rFonts w:eastAsia="Arial"/>
          <w:iCs/>
          <w:color w:val="000000" w:themeColor="text1"/>
        </w:rPr>
        <w:t>mėn</w:t>
      </w:r>
      <w:r w:rsidRPr="00B07290">
        <w:rPr>
          <w:rFonts w:eastAsia="Arial"/>
          <w:iCs/>
          <w:color w:val="000000" w:themeColor="text1"/>
        </w:rPr>
        <w:t xml:space="preserve">. </w:t>
      </w:r>
      <w:r>
        <w:rPr>
          <w:rFonts w:eastAsia="Arial"/>
          <w:iCs/>
          <w:color w:val="000000" w:themeColor="text1"/>
        </w:rPr>
        <w:t xml:space="preserve">(95 proc. PI 7,5 – 9,6 mėn.) gydant deriniu su </w:t>
      </w:r>
      <w:proofErr w:type="spellStart"/>
      <w:r>
        <w:rPr>
          <w:rFonts w:eastAsia="Arial"/>
          <w:iCs/>
          <w:color w:val="000000" w:themeColor="text1"/>
        </w:rPr>
        <w:t>tukatinbu</w:t>
      </w:r>
      <w:proofErr w:type="spellEnd"/>
      <w:r>
        <w:rPr>
          <w:rFonts w:eastAsia="Arial"/>
          <w:iCs/>
          <w:color w:val="000000" w:themeColor="text1"/>
        </w:rPr>
        <w:t xml:space="preserve"> ir </w:t>
      </w:r>
      <w:r>
        <w:rPr>
          <w:rFonts w:eastAsia="Arial"/>
          <w:iCs/>
          <w:color w:val="000000" w:themeColor="text1"/>
          <w:lang w:val="en-US"/>
        </w:rPr>
        <w:t>5,6 m</w:t>
      </w:r>
      <w:r>
        <w:rPr>
          <w:rFonts w:eastAsia="Arial"/>
          <w:iCs/>
          <w:color w:val="000000" w:themeColor="text1"/>
        </w:rPr>
        <w:t xml:space="preserve">ėn. (95 proc. PI 4,2 – 7,1 mėn.) gydant deriniu su placebu). </w:t>
      </w:r>
      <w:r w:rsidRPr="004D5906">
        <w:rPr>
          <w:rFonts w:eastAsia="Arial"/>
          <w:iCs/>
          <w:color w:val="000000" w:themeColor="text1"/>
        </w:rPr>
        <w:t>Tarpinio stebėjimo duomenimis,</w:t>
      </w:r>
      <w:r w:rsidRPr="004D5906">
        <w:rPr>
          <w:rFonts w:eastAsia="Arial"/>
          <w:b/>
          <w:bCs/>
          <w:iCs/>
          <w:color w:val="000000" w:themeColor="text1"/>
        </w:rPr>
        <w:t xml:space="preserve"> </w:t>
      </w:r>
      <w:r w:rsidRPr="004D5906">
        <w:rPr>
          <w:rFonts w:eastAsia="Arial"/>
          <w:iCs/>
          <w:color w:val="000000" w:themeColor="text1"/>
        </w:rPr>
        <w:t xml:space="preserve">BI populiacijoje, derinio su </w:t>
      </w:r>
      <w:proofErr w:type="spellStart"/>
      <w:r w:rsidRPr="004D5906">
        <w:rPr>
          <w:rFonts w:eastAsia="Arial"/>
          <w:iCs/>
          <w:color w:val="000000" w:themeColor="text1"/>
        </w:rPr>
        <w:t>tukatinibu</w:t>
      </w:r>
      <w:proofErr w:type="spellEnd"/>
      <w:r w:rsidRPr="004D5906">
        <w:rPr>
          <w:rFonts w:eastAsia="Arial"/>
          <w:iCs/>
          <w:color w:val="000000" w:themeColor="text1"/>
        </w:rPr>
        <w:t xml:space="preserve"> vartojimas lėmė 34 proc. ma</w:t>
      </w:r>
      <w:r>
        <w:rPr>
          <w:rFonts w:eastAsia="Arial"/>
          <w:iCs/>
          <w:color w:val="000000" w:themeColor="text1"/>
        </w:rPr>
        <w:t xml:space="preserve">žesnę mirties riziką, nei derinio su placebu </w:t>
      </w:r>
      <w:r w:rsidRPr="004D5906">
        <w:rPr>
          <w:rFonts w:asciiTheme="majorBidi" w:hAnsiTheme="majorBidi" w:cstheme="majorBidi"/>
        </w:rPr>
        <w:t>(RS=0,66; 95 proc. PI 0,50-0,88; p=0,005)</w:t>
      </w:r>
      <w:r>
        <w:rPr>
          <w:rFonts w:asciiTheme="majorBidi" w:hAnsiTheme="majorBidi" w:cstheme="majorBidi"/>
        </w:rPr>
        <w:t xml:space="preserve">. </w:t>
      </w:r>
      <w:r>
        <w:rPr>
          <w:rFonts w:eastAsia="Arial"/>
          <w:iCs/>
          <w:color w:val="000000" w:themeColor="text1"/>
        </w:rPr>
        <w:t xml:space="preserve">BI mediana gydant deriniu su </w:t>
      </w:r>
      <w:proofErr w:type="spellStart"/>
      <w:r>
        <w:rPr>
          <w:rFonts w:eastAsia="Arial"/>
          <w:iCs/>
          <w:color w:val="000000" w:themeColor="text1"/>
        </w:rPr>
        <w:t>tukatinibu</w:t>
      </w:r>
      <w:proofErr w:type="spellEnd"/>
      <w:r>
        <w:rPr>
          <w:rFonts w:eastAsia="Arial"/>
          <w:iCs/>
          <w:color w:val="000000" w:themeColor="text1"/>
        </w:rPr>
        <w:t xml:space="preserve"> buvo </w:t>
      </w:r>
      <w:r>
        <w:rPr>
          <w:rFonts w:eastAsia="Arial"/>
          <w:iCs/>
          <w:color w:val="000000" w:themeColor="text1"/>
          <w:lang w:val="en-US"/>
        </w:rPr>
        <w:t>4,5 m</w:t>
      </w:r>
      <w:r>
        <w:rPr>
          <w:rFonts w:eastAsia="Arial"/>
          <w:iCs/>
          <w:color w:val="000000" w:themeColor="text1"/>
        </w:rPr>
        <w:t>ėn. ilgesnė (21</w:t>
      </w:r>
      <w:r w:rsidRPr="00B07290">
        <w:rPr>
          <w:rFonts w:eastAsia="Arial"/>
          <w:iCs/>
          <w:color w:val="000000" w:themeColor="text1"/>
        </w:rPr>
        <w:t>,</w:t>
      </w:r>
      <w:r>
        <w:rPr>
          <w:rFonts w:eastAsia="Arial"/>
          <w:iCs/>
          <w:color w:val="000000" w:themeColor="text1"/>
        </w:rPr>
        <w:t>9</w:t>
      </w:r>
      <w:r w:rsidRPr="00B07290">
        <w:rPr>
          <w:rFonts w:eastAsia="Arial"/>
          <w:iCs/>
          <w:color w:val="000000" w:themeColor="text1"/>
        </w:rPr>
        <w:t xml:space="preserve"> </w:t>
      </w:r>
      <w:r>
        <w:rPr>
          <w:rFonts w:eastAsia="Arial"/>
          <w:iCs/>
          <w:color w:val="000000" w:themeColor="text1"/>
        </w:rPr>
        <w:t>mėn</w:t>
      </w:r>
      <w:r w:rsidRPr="00B07290">
        <w:rPr>
          <w:rFonts w:eastAsia="Arial"/>
          <w:iCs/>
          <w:color w:val="000000" w:themeColor="text1"/>
        </w:rPr>
        <w:t xml:space="preserve">. </w:t>
      </w:r>
      <w:r>
        <w:rPr>
          <w:rFonts w:eastAsia="Arial"/>
          <w:iCs/>
          <w:color w:val="000000" w:themeColor="text1"/>
        </w:rPr>
        <w:t xml:space="preserve">(95 proc. PI 18,3 – 31 mėn.) gydant deriniu su </w:t>
      </w:r>
      <w:proofErr w:type="spellStart"/>
      <w:r>
        <w:rPr>
          <w:rFonts w:eastAsia="Arial"/>
          <w:iCs/>
          <w:color w:val="000000" w:themeColor="text1"/>
        </w:rPr>
        <w:t>tukatinbu</w:t>
      </w:r>
      <w:proofErr w:type="spellEnd"/>
      <w:r>
        <w:rPr>
          <w:rFonts w:eastAsia="Arial"/>
          <w:iCs/>
          <w:color w:val="000000" w:themeColor="text1"/>
        </w:rPr>
        <w:t xml:space="preserve"> ir </w:t>
      </w:r>
      <w:r>
        <w:rPr>
          <w:rFonts w:eastAsia="Arial"/>
          <w:iCs/>
          <w:color w:val="000000" w:themeColor="text1"/>
          <w:lang w:val="en-US"/>
        </w:rPr>
        <w:t>17,4 m</w:t>
      </w:r>
      <w:r>
        <w:rPr>
          <w:rFonts w:eastAsia="Arial"/>
          <w:iCs/>
          <w:color w:val="000000" w:themeColor="text1"/>
        </w:rPr>
        <w:t xml:space="preserve">ėn. (95 proc. PI 13,6 – 19,9 mėn.) gydant deriniu su placebu. </w:t>
      </w:r>
      <w:r>
        <w:rPr>
          <w:rFonts w:asciiTheme="majorBidi" w:hAnsiTheme="majorBidi" w:cstheme="majorBidi"/>
        </w:rPr>
        <w:t xml:space="preserve">IBLP pacientų su smegenų metastazėmis populiacijoje, </w:t>
      </w:r>
      <w:proofErr w:type="spellStart"/>
      <w:r>
        <w:rPr>
          <w:rFonts w:asciiTheme="majorBidi" w:hAnsiTheme="majorBidi" w:cstheme="majorBidi"/>
        </w:rPr>
        <w:t>tukatinibo</w:t>
      </w:r>
      <w:proofErr w:type="spellEnd"/>
      <w:r>
        <w:rPr>
          <w:rFonts w:asciiTheme="majorBidi" w:hAnsiTheme="majorBidi" w:cstheme="majorBidi"/>
        </w:rPr>
        <w:t xml:space="preserve"> derinio vartojimas sumažino ligos progresavimo ar mirties riziką </w:t>
      </w:r>
      <w:r w:rsidRPr="00FE4B39">
        <w:rPr>
          <w:rFonts w:asciiTheme="majorBidi" w:hAnsiTheme="majorBidi" w:cstheme="majorBidi"/>
        </w:rPr>
        <w:t>52</w:t>
      </w:r>
      <w:r>
        <w:rPr>
          <w:rFonts w:asciiTheme="majorBidi" w:hAnsiTheme="majorBidi" w:cstheme="majorBidi"/>
        </w:rPr>
        <w:t xml:space="preserve"> proc. lyginant su gydymu deriniu su placebu </w:t>
      </w:r>
      <w:r w:rsidRPr="004D5906">
        <w:rPr>
          <w:rFonts w:asciiTheme="majorBidi" w:hAnsiTheme="majorBidi" w:cstheme="majorBidi"/>
        </w:rPr>
        <w:t>(RS= 0,48; 95 proc. PI 0,34-0,69; p&lt;0,001</w:t>
      </w:r>
      <w:r w:rsidRPr="00FE4B39">
        <w:rPr>
          <w:rFonts w:asciiTheme="majorBidi" w:hAnsiTheme="majorBidi" w:cstheme="majorBidi"/>
        </w:rPr>
        <w:t>)</w:t>
      </w:r>
      <w:r>
        <w:rPr>
          <w:rFonts w:asciiTheme="majorBidi" w:hAnsiTheme="majorBidi" w:cstheme="majorBidi"/>
        </w:rPr>
        <w:t xml:space="preserve">. </w:t>
      </w:r>
      <w:r>
        <w:rPr>
          <w:rFonts w:eastAsia="Arial"/>
          <w:iCs/>
          <w:color w:val="000000" w:themeColor="text1"/>
        </w:rPr>
        <w:t xml:space="preserve">IBLP SM mediana gydant deriniu su </w:t>
      </w:r>
      <w:proofErr w:type="spellStart"/>
      <w:r>
        <w:rPr>
          <w:rFonts w:eastAsia="Arial"/>
          <w:iCs/>
          <w:color w:val="000000" w:themeColor="text1"/>
        </w:rPr>
        <w:t>tukatinibu</w:t>
      </w:r>
      <w:proofErr w:type="spellEnd"/>
      <w:r>
        <w:rPr>
          <w:rFonts w:eastAsia="Arial"/>
          <w:iCs/>
          <w:color w:val="000000" w:themeColor="text1"/>
        </w:rPr>
        <w:t xml:space="preserve"> buvo </w:t>
      </w:r>
      <w:r>
        <w:rPr>
          <w:rFonts w:eastAsia="Arial"/>
          <w:iCs/>
          <w:color w:val="000000" w:themeColor="text1"/>
          <w:lang w:val="en-US"/>
        </w:rPr>
        <w:t>2,2 m</w:t>
      </w:r>
      <w:r>
        <w:rPr>
          <w:rFonts w:eastAsia="Arial"/>
          <w:iCs/>
          <w:color w:val="000000" w:themeColor="text1"/>
        </w:rPr>
        <w:t>ėn. ilgesnė (</w:t>
      </w:r>
      <w:r w:rsidRPr="00B07290">
        <w:rPr>
          <w:rFonts w:eastAsia="Arial"/>
          <w:iCs/>
          <w:color w:val="000000" w:themeColor="text1"/>
        </w:rPr>
        <w:t>7,</w:t>
      </w:r>
      <w:r>
        <w:rPr>
          <w:rFonts w:eastAsia="Arial"/>
          <w:iCs/>
          <w:color w:val="000000" w:themeColor="text1"/>
        </w:rPr>
        <w:t>6</w:t>
      </w:r>
      <w:r w:rsidRPr="00B07290">
        <w:rPr>
          <w:rFonts w:eastAsia="Arial"/>
          <w:iCs/>
          <w:color w:val="000000" w:themeColor="text1"/>
        </w:rPr>
        <w:t xml:space="preserve"> </w:t>
      </w:r>
      <w:r>
        <w:rPr>
          <w:rFonts w:eastAsia="Arial"/>
          <w:iCs/>
          <w:color w:val="000000" w:themeColor="text1"/>
        </w:rPr>
        <w:t>mėn</w:t>
      </w:r>
      <w:r w:rsidRPr="00B07290">
        <w:rPr>
          <w:rFonts w:eastAsia="Arial"/>
          <w:iCs/>
          <w:color w:val="000000" w:themeColor="text1"/>
        </w:rPr>
        <w:t xml:space="preserve">. </w:t>
      </w:r>
      <w:r>
        <w:rPr>
          <w:rFonts w:eastAsia="Arial"/>
          <w:iCs/>
          <w:color w:val="000000" w:themeColor="text1"/>
        </w:rPr>
        <w:t xml:space="preserve">(95 proc. PI 6,2 – 9,5 mėn.) gydant deriniu su </w:t>
      </w:r>
      <w:proofErr w:type="spellStart"/>
      <w:r>
        <w:rPr>
          <w:rFonts w:eastAsia="Arial"/>
          <w:iCs/>
          <w:color w:val="000000" w:themeColor="text1"/>
        </w:rPr>
        <w:t>tukatinbu</w:t>
      </w:r>
      <w:proofErr w:type="spellEnd"/>
      <w:r>
        <w:rPr>
          <w:rFonts w:eastAsia="Arial"/>
          <w:iCs/>
          <w:color w:val="000000" w:themeColor="text1"/>
        </w:rPr>
        <w:t xml:space="preserve"> ir </w:t>
      </w:r>
      <w:r>
        <w:rPr>
          <w:rFonts w:eastAsia="Arial"/>
          <w:iCs/>
          <w:color w:val="000000" w:themeColor="text1"/>
          <w:lang w:val="en-US"/>
        </w:rPr>
        <w:t>5,4 m</w:t>
      </w:r>
      <w:r>
        <w:rPr>
          <w:rFonts w:eastAsia="Arial"/>
          <w:iCs/>
          <w:color w:val="000000" w:themeColor="text1"/>
        </w:rPr>
        <w:t>ėn. (95 proc. PI 4,1 – 5,7 mėn.) gydant deriniu su placebu).</w:t>
      </w:r>
      <w:r>
        <w:rPr>
          <w:rFonts w:asciiTheme="majorBidi" w:hAnsiTheme="majorBidi" w:cstheme="majorBidi"/>
        </w:rPr>
        <w:t xml:space="preserve"> Į gydymą deriniu su </w:t>
      </w:r>
      <w:proofErr w:type="spellStart"/>
      <w:r>
        <w:rPr>
          <w:rFonts w:asciiTheme="majorBidi" w:hAnsiTheme="majorBidi" w:cstheme="majorBidi"/>
        </w:rPr>
        <w:t>tukatinibu</w:t>
      </w:r>
      <w:proofErr w:type="spellEnd"/>
      <w:r>
        <w:rPr>
          <w:rFonts w:asciiTheme="majorBidi" w:hAnsiTheme="majorBidi" w:cstheme="majorBidi"/>
        </w:rPr>
        <w:t xml:space="preserve"> klinikinis atsakas nustatytas </w:t>
      </w:r>
      <w:r w:rsidRPr="004229B1">
        <w:rPr>
          <w:rFonts w:asciiTheme="majorBidi" w:hAnsiTheme="majorBidi" w:cstheme="majorBidi"/>
        </w:rPr>
        <w:t>40,6 proc. ir 22,8 proc. pacient</w:t>
      </w:r>
      <w:r>
        <w:rPr>
          <w:rFonts w:asciiTheme="majorBidi" w:hAnsiTheme="majorBidi" w:cstheme="majorBidi"/>
        </w:rPr>
        <w:t>ų BI populiacijoje, gydytų deriniu su placebu (</w:t>
      </w:r>
      <w:r w:rsidRPr="00FE4B39">
        <w:rPr>
          <w:rFonts w:asciiTheme="majorBidi" w:hAnsiTheme="majorBidi" w:cstheme="majorBidi"/>
        </w:rPr>
        <w:t>p&lt;0</w:t>
      </w:r>
      <w:r>
        <w:rPr>
          <w:rFonts w:asciiTheme="majorBidi" w:hAnsiTheme="majorBidi" w:cstheme="majorBidi"/>
        </w:rPr>
        <w:t>,</w:t>
      </w:r>
      <w:r w:rsidRPr="00FE4B39">
        <w:rPr>
          <w:rFonts w:asciiTheme="majorBidi" w:hAnsiTheme="majorBidi" w:cstheme="majorBidi"/>
        </w:rPr>
        <w:t>001</w:t>
      </w:r>
      <w:r>
        <w:rPr>
          <w:rFonts w:asciiTheme="majorBidi" w:hAnsiTheme="majorBidi" w:cstheme="majorBidi"/>
        </w:rPr>
        <w:t xml:space="preserve">). Pilną atsaką pasiekė daugiau pacientų gydytų placebo deriniu (0,9 proc. ir </w:t>
      </w:r>
      <w:r w:rsidRPr="00AD291F">
        <w:rPr>
          <w:rFonts w:asciiTheme="majorBidi" w:hAnsiTheme="majorBidi" w:cstheme="majorBidi"/>
        </w:rPr>
        <w:t>1,2 proc.</w:t>
      </w:r>
      <w:r>
        <w:rPr>
          <w:rFonts w:asciiTheme="majorBidi" w:hAnsiTheme="majorBidi" w:cstheme="majorBidi"/>
        </w:rPr>
        <w:t xml:space="preserve"> atitinkamai), dalinį – </w:t>
      </w:r>
      <w:proofErr w:type="spellStart"/>
      <w:r>
        <w:rPr>
          <w:rFonts w:asciiTheme="majorBidi" w:hAnsiTheme="majorBidi" w:cstheme="majorBidi"/>
        </w:rPr>
        <w:t>tukatinibu</w:t>
      </w:r>
      <w:proofErr w:type="spellEnd"/>
      <w:r>
        <w:rPr>
          <w:rFonts w:asciiTheme="majorBidi" w:hAnsiTheme="majorBidi" w:cstheme="majorBidi"/>
        </w:rPr>
        <w:t xml:space="preserve"> (</w:t>
      </w:r>
      <w:r w:rsidRPr="002200CA">
        <w:rPr>
          <w:rFonts w:asciiTheme="majorBidi" w:hAnsiTheme="majorBidi" w:cstheme="majorBidi"/>
        </w:rPr>
        <w:t>39,7</w:t>
      </w:r>
      <w:r>
        <w:rPr>
          <w:rFonts w:asciiTheme="majorBidi" w:hAnsiTheme="majorBidi" w:cstheme="majorBidi"/>
        </w:rPr>
        <w:t xml:space="preserve"> proc. ir 21,6</w:t>
      </w:r>
      <w:r w:rsidRPr="00AD291F">
        <w:rPr>
          <w:rFonts w:asciiTheme="majorBidi" w:hAnsiTheme="majorBidi" w:cstheme="majorBidi"/>
        </w:rPr>
        <w:t xml:space="preserve"> proc.</w:t>
      </w:r>
      <w:r>
        <w:rPr>
          <w:rFonts w:asciiTheme="majorBidi" w:hAnsiTheme="majorBidi" w:cstheme="majorBidi"/>
        </w:rPr>
        <w:t xml:space="preserve"> atitinkamai). Stabilią ligą pasiekė </w:t>
      </w:r>
      <w:r w:rsidRPr="00BF4306">
        <w:rPr>
          <w:rFonts w:asciiTheme="majorBidi" w:hAnsiTheme="majorBidi" w:cstheme="majorBidi"/>
        </w:rPr>
        <w:t xml:space="preserve">45,6 proc. </w:t>
      </w:r>
      <w:proofErr w:type="spellStart"/>
      <w:r w:rsidRPr="00BF4306">
        <w:rPr>
          <w:rFonts w:asciiTheme="majorBidi" w:hAnsiTheme="majorBidi" w:cstheme="majorBidi"/>
        </w:rPr>
        <w:t>tukatinibo</w:t>
      </w:r>
      <w:proofErr w:type="spellEnd"/>
      <w:r w:rsidRPr="00BF4306">
        <w:rPr>
          <w:rFonts w:asciiTheme="majorBidi" w:hAnsiTheme="majorBidi" w:cstheme="majorBidi"/>
        </w:rPr>
        <w:t xml:space="preserve"> deriniu ir 58,5 proc. deriniu su placebo gydyt</w:t>
      </w:r>
      <w:r>
        <w:rPr>
          <w:rFonts w:asciiTheme="majorBidi" w:hAnsiTheme="majorBidi" w:cstheme="majorBidi"/>
        </w:rPr>
        <w:t>ų pacientų. Vertinant gyvenimo kokybės klausimyną (</w:t>
      </w:r>
      <w:r w:rsidRPr="00FE4B39">
        <w:rPr>
          <w:rFonts w:asciiTheme="majorBidi" w:hAnsiTheme="majorBidi" w:cstheme="majorBidi"/>
        </w:rPr>
        <w:t>EQ-5D-5L</w:t>
      </w:r>
      <w:r>
        <w:rPr>
          <w:rFonts w:asciiTheme="majorBidi" w:hAnsiTheme="majorBidi" w:cstheme="majorBidi"/>
        </w:rPr>
        <w:t xml:space="preserve"> VAS), gyvenimo kokybė BI populiacijoje klausimyno balų suma tarp grupių reikšmingai nesiskyrė nei viename laiko taške, pagal šį klausimyną gyvenimo kokybė nesiskyrė ir pacientų su smegenų metastazėmis populiacijoje.</w:t>
      </w:r>
    </w:p>
    <w:p w14:paraId="476C06CA" w14:textId="77777777" w:rsidR="007B3908" w:rsidRDefault="007B3908" w:rsidP="00F41262">
      <w:pPr>
        <w:tabs>
          <w:tab w:val="left" w:pos="426"/>
        </w:tabs>
        <w:spacing w:line="360" w:lineRule="auto"/>
        <w:jc w:val="both"/>
        <w:rPr>
          <w:rFonts w:asciiTheme="majorBidi" w:hAnsiTheme="majorBidi" w:cstheme="majorBidi"/>
        </w:rPr>
      </w:pPr>
      <w:r>
        <w:rPr>
          <w:rFonts w:asciiTheme="majorBidi" w:hAnsiTheme="majorBidi" w:cstheme="majorBidi"/>
        </w:rPr>
        <w:tab/>
        <w:t>Tęstinio HER</w:t>
      </w:r>
      <w:r w:rsidRPr="00465147">
        <w:rPr>
          <w:rFonts w:asciiTheme="majorBidi" w:hAnsiTheme="majorBidi" w:cstheme="majorBidi"/>
        </w:rPr>
        <w:t>2CLIMB tyrimo duomenimis (steb</w:t>
      </w:r>
      <w:r>
        <w:rPr>
          <w:rFonts w:asciiTheme="majorBidi" w:hAnsiTheme="majorBidi" w:cstheme="majorBidi"/>
        </w:rPr>
        <w:t xml:space="preserve">ėjimo mediana – </w:t>
      </w:r>
      <w:r w:rsidRPr="00465147">
        <w:rPr>
          <w:rFonts w:asciiTheme="majorBidi" w:hAnsiTheme="majorBidi" w:cstheme="majorBidi"/>
        </w:rPr>
        <w:t>29,6 m</w:t>
      </w:r>
      <w:r>
        <w:rPr>
          <w:rFonts w:asciiTheme="majorBidi" w:hAnsiTheme="majorBidi" w:cstheme="majorBidi"/>
        </w:rPr>
        <w:t xml:space="preserve">ėn.), BI populiacijoje pacientams gydomiems </w:t>
      </w:r>
      <w:proofErr w:type="spellStart"/>
      <w:r>
        <w:rPr>
          <w:rFonts w:asciiTheme="majorBidi" w:hAnsiTheme="majorBidi" w:cstheme="majorBidi"/>
        </w:rPr>
        <w:t>tukatinibo</w:t>
      </w:r>
      <w:proofErr w:type="spellEnd"/>
      <w:r>
        <w:rPr>
          <w:rFonts w:asciiTheme="majorBidi" w:hAnsiTheme="majorBidi" w:cstheme="majorBidi"/>
        </w:rPr>
        <w:t xml:space="preserve"> deriniu pagal tyrėjo vertinimą ligos progresavimo ar mirties rizika buvo </w:t>
      </w:r>
      <w:r w:rsidRPr="00FE4B39">
        <w:rPr>
          <w:rFonts w:asciiTheme="majorBidi" w:hAnsiTheme="majorBidi" w:cstheme="majorBidi"/>
        </w:rPr>
        <w:t>43</w:t>
      </w:r>
      <w:r>
        <w:rPr>
          <w:rFonts w:asciiTheme="majorBidi" w:hAnsiTheme="majorBidi" w:cstheme="majorBidi"/>
        </w:rPr>
        <w:t xml:space="preserve"> proc. mažesnė</w:t>
      </w:r>
      <w:r w:rsidRPr="00FE4B39">
        <w:rPr>
          <w:rFonts w:asciiTheme="majorBidi" w:hAnsiTheme="majorBidi" w:cstheme="majorBidi"/>
        </w:rPr>
        <w:t xml:space="preserve"> </w:t>
      </w:r>
      <w:r>
        <w:rPr>
          <w:rFonts w:asciiTheme="majorBidi" w:hAnsiTheme="majorBidi" w:cstheme="majorBidi"/>
        </w:rPr>
        <w:t>lyginant su gydymu deriniu su placebu</w:t>
      </w:r>
      <w:r w:rsidRPr="00FE4B39">
        <w:rPr>
          <w:rFonts w:asciiTheme="majorBidi" w:hAnsiTheme="majorBidi" w:cstheme="majorBidi"/>
        </w:rPr>
        <w:t xml:space="preserve"> </w:t>
      </w:r>
      <w:r w:rsidRPr="00465147">
        <w:rPr>
          <w:rFonts w:asciiTheme="majorBidi" w:hAnsiTheme="majorBidi" w:cstheme="majorBidi"/>
        </w:rPr>
        <w:t>(IBLP RS=0,572, 95 proc. PI 0,470 – 0,697, p&lt;0,001). IBLP mediana buvo 7,6 mėn. (</w:t>
      </w:r>
      <w:r w:rsidRPr="00465147">
        <w:rPr>
          <w:rFonts w:asciiTheme="majorBidi" w:hAnsiTheme="majorBidi" w:cstheme="majorBidi"/>
          <w:lang w:val="en-US"/>
        </w:rPr>
        <w:t xml:space="preserve">95 proc. PI </w:t>
      </w:r>
      <w:r w:rsidRPr="00465147">
        <w:rPr>
          <w:rFonts w:asciiTheme="majorBidi" w:hAnsiTheme="majorBidi" w:cstheme="majorBidi"/>
        </w:rPr>
        <w:t xml:space="preserve">6,9 – 8,3) </w:t>
      </w:r>
      <w:proofErr w:type="spellStart"/>
      <w:r w:rsidRPr="00465147">
        <w:rPr>
          <w:rFonts w:asciiTheme="majorBidi" w:hAnsiTheme="majorBidi" w:cstheme="majorBidi"/>
        </w:rPr>
        <w:t>tukatinibo</w:t>
      </w:r>
      <w:proofErr w:type="spellEnd"/>
      <w:r w:rsidRPr="00465147">
        <w:rPr>
          <w:rFonts w:asciiTheme="majorBidi" w:hAnsiTheme="majorBidi" w:cstheme="majorBidi"/>
        </w:rPr>
        <w:t xml:space="preserve"> grupėje ir 4,9 mėn. (</w:t>
      </w:r>
      <w:r w:rsidRPr="00465147">
        <w:rPr>
          <w:rFonts w:asciiTheme="majorBidi" w:hAnsiTheme="majorBidi" w:cstheme="majorBidi"/>
          <w:lang w:val="en-US"/>
        </w:rPr>
        <w:t xml:space="preserve">95 proc. PI </w:t>
      </w:r>
      <w:r w:rsidRPr="00465147">
        <w:rPr>
          <w:rFonts w:asciiTheme="majorBidi" w:hAnsiTheme="majorBidi" w:cstheme="majorBidi"/>
        </w:rPr>
        <w:t>4,1 – 5,6) placebo.</w:t>
      </w:r>
      <w:r>
        <w:rPr>
          <w:rFonts w:asciiTheme="majorBidi" w:hAnsiTheme="majorBidi" w:cstheme="majorBidi"/>
        </w:rPr>
        <w:t xml:space="preserve"> </w:t>
      </w:r>
      <w:r w:rsidRPr="00465147">
        <w:rPr>
          <w:rFonts w:asciiTheme="majorBidi" w:hAnsiTheme="majorBidi" w:cstheme="majorBidi"/>
        </w:rPr>
        <w:t xml:space="preserve">Mirties rizika pacientams gydomiems </w:t>
      </w:r>
      <w:proofErr w:type="spellStart"/>
      <w:r w:rsidRPr="00465147">
        <w:rPr>
          <w:rFonts w:asciiTheme="majorBidi" w:hAnsiTheme="majorBidi" w:cstheme="majorBidi"/>
        </w:rPr>
        <w:t>tukatinibo</w:t>
      </w:r>
      <w:proofErr w:type="spellEnd"/>
      <w:r w:rsidRPr="00465147">
        <w:rPr>
          <w:rFonts w:asciiTheme="majorBidi" w:hAnsiTheme="majorBidi" w:cstheme="majorBidi"/>
        </w:rPr>
        <w:t xml:space="preserve"> deriniu buvo </w:t>
      </w:r>
      <w:r w:rsidRPr="00465147">
        <w:rPr>
          <w:rFonts w:asciiTheme="majorBidi" w:hAnsiTheme="majorBidi" w:cstheme="majorBidi"/>
          <w:lang w:val="en-US"/>
        </w:rPr>
        <w:t>27,5</w:t>
      </w:r>
      <w:r w:rsidRPr="00465147">
        <w:rPr>
          <w:rFonts w:asciiTheme="majorBidi" w:hAnsiTheme="majorBidi" w:cstheme="majorBidi"/>
        </w:rPr>
        <w:t xml:space="preserve"> proc. mažesnė lyginant su gydymu deriniu su placebu (BI RS=0,725, 95 proc. PI 0,585 – 0,898). BI mediana buvo 24,7 mėn. (</w:t>
      </w:r>
      <w:r w:rsidRPr="00465147">
        <w:rPr>
          <w:rFonts w:asciiTheme="majorBidi" w:hAnsiTheme="majorBidi" w:cstheme="majorBidi"/>
          <w:lang w:val="en-US"/>
        </w:rPr>
        <w:t xml:space="preserve">95 proc. PI </w:t>
      </w:r>
      <w:r w:rsidRPr="00465147">
        <w:rPr>
          <w:rFonts w:asciiTheme="majorBidi" w:hAnsiTheme="majorBidi" w:cstheme="majorBidi"/>
        </w:rPr>
        <w:t xml:space="preserve">21,6 – 28,9) </w:t>
      </w:r>
      <w:proofErr w:type="spellStart"/>
      <w:r w:rsidRPr="00465147">
        <w:rPr>
          <w:rFonts w:asciiTheme="majorBidi" w:hAnsiTheme="majorBidi" w:cstheme="majorBidi"/>
        </w:rPr>
        <w:t>tukatinibo</w:t>
      </w:r>
      <w:proofErr w:type="spellEnd"/>
      <w:r w:rsidRPr="00465147">
        <w:rPr>
          <w:rFonts w:asciiTheme="majorBidi" w:hAnsiTheme="majorBidi" w:cstheme="majorBidi"/>
        </w:rPr>
        <w:t xml:space="preserve"> ir 19,2 mėn. (95 proc. PI 16,4 – 21,4) placebo grupėje. </w:t>
      </w:r>
    </w:p>
    <w:p w14:paraId="164D3DCA" w14:textId="111D8D97" w:rsidR="007B3908" w:rsidRDefault="007B3908" w:rsidP="00F41262">
      <w:pPr>
        <w:tabs>
          <w:tab w:val="left" w:pos="426"/>
        </w:tabs>
        <w:spacing w:line="360" w:lineRule="auto"/>
        <w:jc w:val="both"/>
        <w:rPr>
          <w:rFonts w:eastAsia="Arial"/>
          <w:bCs/>
        </w:rPr>
      </w:pPr>
      <w:r>
        <w:rPr>
          <w:rFonts w:asciiTheme="majorBidi" w:hAnsiTheme="majorBidi" w:cstheme="majorBidi"/>
        </w:rPr>
        <w:tab/>
      </w:r>
      <w:r>
        <w:rPr>
          <w:rFonts w:eastAsia="Arial"/>
          <w:iCs/>
          <w:color w:val="000000" w:themeColor="text1"/>
        </w:rPr>
        <w:t xml:space="preserve">Remiantis </w:t>
      </w:r>
      <w:r w:rsidR="001366C9">
        <w:rPr>
          <w:rFonts w:eastAsia="Arial"/>
          <w:bCs/>
        </w:rPr>
        <w:t>t</w:t>
      </w:r>
      <w:r>
        <w:rPr>
          <w:rFonts w:eastAsia="Arial"/>
          <w:bCs/>
        </w:rPr>
        <w:t xml:space="preserve">yrimo HER2CLIMB saugumo populiacijos (pacientų, gavusių bent vieną tiriamojo medikamento dozę) duomenimis, derinio su </w:t>
      </w:r>
      <w:proofErr w:type="spellStart"/>
      <w:r>
        <w:rPr>
          <w:rFonts w:eastAsia="Arial"/>
          <w:bCs/>
        </w:rPr>
        <w:t>tukatinibu</w:t>
      </w:r>
      <w:proofErr w:type="spellEnd"/>
      <w:r>
        <w:rPr>
          <w:rFonts w:eastAsia="Arial"/>
          <w:bCs/>
        </w:rPr>
        <w:t xml:space="preserve"> grupėje </w:t>
      </w:r>
      <w:proofErr w:type="spellStart"/>
      <w:r>
        <w:rPr>
          <w:rFonts w:eastAsia="Arial"/>
          <w:bCs/>
        </w:rPr>
        <w:t>tukatinibo</w:t>
      </w:r>
      <w:proofErr w:type="spellEnd"/>
      <w:r>
        <w:rPr>
          <w:rFonts w:eastAsia="Arial"/>
          <w:bCs/>
        </w:rPr>
        <w:t xml:space="preserve"> gydymo trukmės mediana buvo </w:t>
      </w:r>
      <w:r w:rsidRPr="00F77C42">
        <w:rPr>
          <w:rFonts w:eastAsia="Arial"/>
          <w:bCs/>
        </w:rPr>
        <w:t>5,</w:t>
      </w:r>
      <w:r>
        <w:rPr>
          <w:rFonts w:eastAsia="Arial"/>
          <w:bCs/>
        </w:rPr>
        <w:t xml:space="preserve">8 mėn., </w:t>
      </w:r>
      <w:proofErr w:type="spellStart"/>
      <w:r>
        <w:rPr>
          <w:rFonts w:eastAsia="Arial"/>
          <w:bCs/>
        </w:rPr>
        <w:t>kapecitabinu</w:t>
      </w:r>
      <w:proofErr w:type="spellEnd"/>
      <w:r>
        <w:rPr>
          <w:rFonts w:eastAsia="Arial"/>
          <w:bCs/>
        </w:rPr>
        <w:t xml:space="preserve"> – 4,4</w:t>
      </w:r>
      <w:r w:rsidRPr="0067237F">
        <w:rPr>
          <w:rFonts w:eastAsia="Arial"/>
          <w:bCs/>
        </w:rPr>
        <w:t xml:space="preserve"> m</w:t>
      </w:r>
      <w:r>
        <w:rPr>
          <w:rFonts w:eastAsia="Arial"/>
          <w:bCs/>
        </w:rPr>
        <w:t xml:space="preserve">ėn. </w:t>
      </w:r>
      <w:proofErr w:type="spellStart"/>
      <w:r>
        <w:rPr>
          <w:rFonts w:eastAsia="Arial"/>
          <w:bCs/>
        </w:rPr>
        <w:t>trastuzumabu</w:t>
      </w:r>
      <w:proofErr w:type="spellEnd"/>
      <w:r>
        <w:rPr>
          <w:rFonts w:eastAsia="Arial"/>
          <w:bCs/>
        </w:rPr>
        <w:t xml:space="preserve"> – 6 mėn., </w:t>
      </w:r>
      <w:proofErr w:type="spellStart"/>
      <w:r>
        <w:rPr>
          <w:rFonts w:eastAsia="Arial"/>
          <w:bCs/>
        </w:rPr>
        <w:t>grupėjė</w:t>
      </w:r>
      <w:proofErr w:type="spellEnd"/>
      <w:r>
        <w:rPr>
          <w:rFonts w:eastAsia="Arial"/>
          <w:bCs/>
        </w:rPr>
        <w:t xml:space="preserve"> gydytoje deriniu su placebu – gydymo placebu bei </w:t>
      </w:r>
      <w:proofErr w:type="spellStart"/>
      <w:r>
        <w:rPr>
          <w:rFonts w:eastAsia="Arial"/>
          <w:bCs/>
        </w:rPr>
        <w:t>kapecatibu</w:t>
      </w:r>
      <w:proofErr w:type="spellEnd"/>
      <w:r>
        <w:rPr>
          <w:rFonts w:eastAsia="Arial"/>
          <w:bCs/>
        </w:rPr>
        <w:t xml:space="preserve"> trukmė buvo </w:t>
      </w:r>
      <w:r w:rsidRPr="00F77C42">
        <w:rPr>
          <w:rFonts w:eastAsia="Arial"/>
          <w:bCs/>
        </w:rPr>
        <w:t>4,4</w:t>
      </w:r>
      <w:r>
        <w:rPr>
          <w:rFonts w:eastAsia="Arial"/>
          <w:bCs/>
        </w:rPr>
        <w:t xml:space="preserve"> mėn., </w:t>
      </w:r>
      <w:proofErr w:type="spellStart"/>
      <w:r>
        <w:rPr>
          <w:rFonts w:eastAsia="Arial"/>
          <w:bCs/>
        </w:rPr>
        <w:t>trastuzumabu</w:t>
      </w:r>
      <w:proofErr w:type="spellEnd"/>
      <w:r>
        <w:rPr>
          <w:rFonts w:eastAsia="Arial"/>
          <w:bCs/>
        </w:rPr>
        <w:t xml:space="preserve"> – </w:t>
      </w:r>
      <w:r w:rsidRPr="00041601">
        <w:rPr>
          <w:rFonts w:eastAsia="Arial"/>
          <w:bCs/>
        </w:rPr>
        <w:t>4,</w:t>
      </w:r>
      <w:r>
        <w:rPr>
          <w:rFonts w:eastAsia="Arial"/>
          <w:bCs/>
        </w:rPr>
        <w:t>6 mėn.</w:t>
      </w:r>
      <w:r>
        <w:rPr>
          <w:rFonts w:asciiTheme="majorBidi" w:hAnsiTheme="majorBidi" w:cstheme="majorBidi"/>
        </w:rPr>
        <w:t xml:space="preserve"> </w:t>
      </w:r>
      <w:r>
        <w:rPr>
          <w:rFonts w:eastAsia="Arial"/>
          <w:bCs/>
        </w:rPr>
        <w:t xml:space="preserve">Pirminės analizės metu, gydymą </w:t>
      </w:r>
      <w:proofErr w:type="spellStart"/>
      <w:r>
        <w:rPr>
          <w:rFonts w:eastAsia="Arial"/>
          <w:bCs/>
        </w:rPr>
        <w:t>tukatinibo</w:t>
      </w:r>
      <w:proofErr w:type="spellEnd"/>
      <w:r>
        <w:rPr>
          <w:rFonts w:eastAsia="Arial"/>
          <w:bCs/>
        </w:rPr>
        <w:t xml:space="preserve"> deriniu buvo nutraukę </w:t>
      </w:r>
      <w:r w:rsidRPr="003F1FF7">
        <w:rPr>
          <w:rFonts w:eastAsia="Arial"/>
          <w:bCs/>
        </w:rPr>
        <w:t>11,1 proc. (</w:t>
      </w:r>
      <w:proofErr w:type="spellStart"/>
      <w:r w:rsidRPr="003F1FF7">
        <w:rPr>
          <w:rFonts w:eastAsia="Arial"/>
          <w:bCs/>
        </w:rPr>
        <w:t>tukatinibu</w:t>
      </w:r>
      <w:proofErr w:type="spellEnd"/>
      <w:r w:rsidRPr="003F1FF7">
        <w:rPr>
          <w:rFonts w:eastAsia="Arial"/>
          <w:bCs/>
        </w:rPr>
        <w:t xml:space="preserve"> – 5,7 proc., </w:t>
      </w:r>
      <w:proofErr w:type="spellStart"/>
      <w:r w:rsidRPr="003F1FF7">
        <w:rPr>
          <w:rFonts w:eastAsia="Arial"/>
          <w:bCs/>
        </w:rPr>
        <w:t>kapecitabinu</w:t>
      </w:r>
      <w:proofErr w:type="spellEnd"/>
      <w:r w:rsidRPr="003F1FF7">
        <w:rPr>
          <w:rFonts w:eastAsia="Arial"/>
          <w:bCs/>
        </w:rPr>
        <w:t xml:space="preserve"> – 10,1 proc., </w:t>
      </w:r>
      <w:proofErr w:type="spellStart"/>
      <w:r w:rsidRPr="003F1FF7">
        <w:rPr>
          <w:rFonts w:eastAsia="Arial"/>
          <w:bCs/>
        </w:rPr>
        <w:t>trastuzumabu</w:t>
      </w:r>
      <w:proofErr w:type="spellEnd"/>
      <w:r w:rsidRPr="003F1FF7">
        <w:rPr>
          <w:rFonts w:eastAsia="Arial"/>
          <w:bCs/>
        </w:rPr>
        <w:t xml:space="preserve"> – 4,5), placebo – 9,6 proc. (placebu – 3 proc., </w:t>
      </w:r>
      <w:proofErr w:type="spellStart"/>
      <w:r w:rsidRPr="003F1FF7">
        <w:rPr>
          <w:rFonts w:eastAsia="Arial"/>
          <w:bCs/>
        </w:rPr>
        <w:t>kapecitabinu</w:t>
      </w:r>
      <w:proofErr w:type="spellEnd"/>
      <w:r w:rsidRPr="003F1FF7">
        <w:rPr>
          <w:rFonts w:eastAsia="Arial"/>
          <w:bCs/>
        </w:rPr>
        <w:t xml:space="preserve"> – 9,6 proc., </w:t>
      </w:r>
      <w:proofErr w:type="spellStart"/>
      <w:r w:rsidRPr="003F1FF7">
        <w:rPr>
          <w:rFonts w:eastAsia="Arial"/>
          <w:bCs/>
        </w:rPr>
        <w:t>trastuzumabu</w:t>
      </w:r>
      <w:proofErr w:type="spellEnd"/>
      <w:r w:rsidRPr="003F1FF7">
        <w:rPr>
          <w:rFonts w:eastAsia="Arial"/>
          <w:bCs/>
        </w:rPr>
        <w:t xml:space="preserve"> – 2,5). Gydymo doz</w:t>
      </w:r>
      <w:r>
        <w:rPr>
          <w:rFonts w:eastAsia="Arial"/>
          <w:bCs/>
        </w:rPr>
        <w:t xml:space="preserve">ės modifikacijos (sumažinimo ar atidėjimo) reikėjo </w:t>
      </w:r>
      <w:r w:rsidRPr="003F1FF7">
        <w:rPr>
          <w:rFonts w:eastAsia="Arial"/>
          <w:bCs/>
        </w:rPr>
        <w:t xml:space="preserve">54 proc. </w:t>
      </w:r>
      <w:proofErr w:type="spellStart"/>
      <w:r w:rsidRPr="003F1FF7">
        <w:rPr>
          <w:rFonts w:eastAsia="Arial"/>
          <w:bCs/>
        </w:rPr>
        <w:t>tukatinibu</w:t>
      </w:r>
      <w:proofErr w:type="spellEnd"/>
      <w:r w:rsidRPr="003F1FF7">
        <w:rPr>
          <w:rFonts w:eastAsia="Arial"/>
          <w:bCs/>
        </w:rPr>
        <w:t xml:space="preserve"> ir 41,1 proc. placebo gydyt</w:t>
      </w:r>
      <w:r>
        <w:rPr>
          <w:rFonts w:eastAsia="Arial"/>
          <w:bCs/>
        </w:rPr>
        <w:t>ų pacientų.</w:t>
      </w:r>
      <w:r w:rsidRPr="00465147">
        <w:t xml:space="preserve"> </w:t>
      </w:r>
      <w:r w:rsidRPr="00465147">
        <w:rPr>
          <w:rFonts w:eastAsia="Arial"/>
          <w:bCs/>
        </w:rPr>
        <w:t xml:space="preserve">Nepageidaujamų reiškinių (NR) susijusių su gydymu dažnis tarp grupių buvo panašus – 99,3 proc. ir 97 proc. NR susijusių su gydymu, kurių laipsnis buvo ≥3 įvyko daugiau </w:t>
      </w:r>
      <w:proofErr w:type="spellStart"/>
      <w:r w:rsidRPr="00465147">
        <w:rPr>
          <w:rFonts w:eastAsia="Arial"/>
          <w:bCs/>
        </w:rPr>
        <w:t>kapecitabinu</w:t>
      </w:r>
      <w:proofErr w:type="spellEnd"/>
      <w:r w:rsidRPr="00465147">
        <w:rPr>
          <w:rFonts w:eastAsia="Arial"/>
          <w:bCs/>
        </w:rPr>
        <w:t xml:space="preserve"> gydytų pacientų grupėje – 55,2 proc. ir 26,9 proc., o bet kokių sunkių NR – placebo grupėje – 25,7 proc. ir 26,9 proc. Dėl su gydymu susijusių NR mirė 2 proc. (n=8) deriniu su </w:t>
      </w:r>
      <w:proofErr w:type="spellStart"/>
      <w:r w:rsidRPr="00465147">
        <w:rPr>
          <w:rFonts w:eastAsia="Arial"/>
          <w:bCs/>
        </w:rPr>
        <w:t>kapecitabinu</w:t>
      </w:r>
      <w:proofErr w:type="spellEnd"/>
      <w:r w:rsidRPr="00465147">
        <w:rPr>
          <w:rFonts w:eastAsia="Arial"/>
          <w:bCs/>
        </w:rPr>
        <w:t xml:space="preserve"> ir 3 proc. (n=6) su placebo gydytų pacientų. Dažniausios su gydymu susijusios NR deriniu su </w:t>
      </w:r>
      <w:proofErr w:type="spellStart"/>
      <w:r w:rsidRPr="00465147">
        <w:rPr>
          <w:rFonts w:eastAsia="Arial"/>
          <w:bCs/>
        </w:rPr>
        <w:t>tukatinibu</w:t>
      </w:r>
      <w:proofErr w:type="spellEnd"/>
      <w:r w:rsidRPr="00465147">
        <w:rPr>
          <w:rFonts w:eastAsia="Arial"/>
          <w:bCs/>
        </w:rPr>
        <w:t xml:space="preserve"> ar placebu gydytose grupėse buvo viduriavimas (80,9 proc. ir 53,3 proc.), rankų-pėdų liga (63,4 proc. ir 52,8 proc.), pykinimas (58,4 proc. ir 43,7 proc.), nuovargis (45 proc. ir 43,1 proc.), vėmimas (35,9 proc. ir 25,4 proc.). Daugelis NR buvo 1-2 laipsnio. Dažniausios ≥3 laipsnio su gydymu susijusios NR deriniu su </w:t>
      </w:r>
      <w:proofErr w:type="spellStart"/>
      <w:r w:rsidRPr="00465147">
        <w:rPr>
          <w:rFonts w:eastAsia="Arial"/>
          <w:bCs/>
        </w:rPr>
        <w:t>tukatinibu</w:t>
      </w:r>
      <w:proofErr w:type="spellEnd"/>
      <w:r w:rsidRPr="00465147">
        <w:rPr>
          <w:rFonts w:eastAsia="Arial"/>
          <w:bCs/>
        </w:rPr>
        <w:t xml:space="preserve"> gydytų pacientų grupėje buvo rankų-pėdų liga (13,1 proc.), viduriavimas (12,9 proc.) ir </w:t>
      </w:r>
      <w:proofErr w:type="spellStart"/>
      <w:r w:rsidRPr="00465147">
        <w:rPr>
          <w:rFonts w:eastAsia="Arial"/>
          <w:bCs/>
        </w:rPr>
        <w:t>alaninės</w:t>
      </w:r>
      <w:proofErr w:type="spellEnd"/>
      <w:r w:rsidRPr="00465147">
        <w:rPr>
          <w:rFonts w:eastAsia="Arial"/>
          <w:bCs/>
        </w:rPr>
        <w:t xml:space="preserve"> </w:t>
      </w:r>
      <w:proofErr w:type="spellStart"/>
      <w:r w:rsidRPr="00465147">
        <w:rPr>
          <w:rFonts w:eastAsia="Arial"/>
          <w:bCs/>
        </w:rPr>
        <w:t>transaminazės</w:t>
      </w:r>
      <w:proofErr w:type="spellEnd"/>
      <w:r w:rsidRPr="00465147">
        <w:rPr>
          <w:rFonts w:eastAsia="Arial"/>
          <w:bCs/>
        </w:rPr>
        <w:t xml:space="preserve"> (ALT) padidėjimas (5,4 proc.). </w:t>
      </w:r>
    </w:p>
    <w:p w14:paraId="5496BBF1" w14:textId="297956D8" w:rsidR="007B3908" w:rsidRDefault="007B3908" w:rsidP="00710EC8">
      <w:pPr>
        <w:spacing w:line="360" w:lineRule="auto"/>
        <w:ind w:right="10" w:firstLine="360"/>
        <w:jc w:val="both"/>
        <w:outlineLvl w:val="0"/>
        <w:rPr>
          <w:rFonts w:asciiTheme="majorBidi" w:hAnsiTheme="majorBidi" w:cstheme="majorBidi"/>
        </w:rPr>
      </w:pPr>
      <w:r>
        <w:rPr>
          <w:rFonts w:eastAsia="Arial"/>
          <w:bCs/>
        </w:rPr>
        <w:tab/>
      </w:r>
      <w:r>
        <w:rPr>
          <w:bCs/>
        </w:rPr>
        <w:t xml:space="preserve"> </w:t>
      </w:r>
    </w:p>
    <w:p w14:paraId="35B4FB39" w14:textId="77777777" w:rsidR="007B3908" w:rsidRDefault="007B3908" w:rsidP="00F41262">
      <w:pPr>
        <w:tabs>
          <w:tab w:val="left" w:pos="426"/>
        </w:tabs>
        <w:spacing w:line="360" w:lineRule="auto"/>
        <w:jc w:val="both"/>
        <w:rPr>
          <w:rFonts w:eastAsia="Arial"/>
          <w:bCs/>
          <w:i/>
          <w:iCs/>
        </w:rPr>
      </w:pPr>
      <w:r>
        <w:rPr>
          <w:rFonts w:eastAsia="Arial"/>
          <w:bCs/>
          <w:i/>
          <w:iCs/>
        </w:rPr>
        <w:tab/>
        <w:t>Net</w:t>
      </w:r>
      <w:r w:rsidRPr="00D93BE0">
        <w:rPr>
          <w:rFonts w:eastAsia="Arial"/>
          <w:bCs/>
          <w:i/>
          <w:iCs/>
        </w:rPr>
        <w:t xml:space="preserve">iesioginis palyginimas  </w:t>
      </w:r>
    </w:p>
    <w:p w14:paraId="7B16780B" w14:textId="77777777" w:rsidR="007B3908" w:rsidRPr="004D5906" w:rsidRDefault="007B3908" w:rsidP="00F41262">
      <w:pPr>
        <w:spacing w:line="360" w:lineRule="auto"/>
        <w:ind w:firstLine="720"/>
        <w:jc w:val="both"/>
        <w:outlineLvl w:val="1"/>
        <w:rPr>
          <w:rFonts w:eastAsia="Arial"/>
          <w:b/>
          <w:bCs/>
        </w:rPr>
      </w:pPr>
    </w:p>
    <w:p w14:paraId="280842FF" w14:textId="232A6521" w:rsidR="007B3908" w:rsidRDefault="007B3908" w:rsidP="00F41262">
      <w:pPr>
        <w:tabs>
          <w:tab w:val="left" w:pos="426"/>
        </w:tabs>
        <w:spacing w:line="360" w:lineRule="auto"/>
        <w:jc w:val="both"/>
        <w:rPr>
          <w:bCs/>
          <w:lang w:eastAsia="lt-LT"/>
        </w:rPr>
      </w:pPr>
      <w:r>
        <w:rPr>
          <w:rFonts w:eastAsia="Arial"/>
          <w:bCs/>
        </w:rPr>
        <w:tab/>
        <w:t xml:space="preserve">Pareiškėjas pateikė netiesioginio palyginimo tinklinę </w:t>
      </w:r>
      <w:proofErr w:type="spellStart"/>
      <w:r>
        <w:rPr>
          <w:rFonts w:eastAsia="Arial"/>
          <w:bCs/>
        </w:rPr>
        <w:t>metaanalizę</w:t>
      </w:r>
      <w:proofErr w:type="spellEnd"/>
      <w:r>
        <w:rPr>
          <w:rFonts w:eastAsia="Arial"/>
          <w:bCs/>
        </w:rPr>
        <w:t xml:space="preserve">, į kurią </w:t>
      </w:r>
      <w:r w:rsidR="001366C9">
        <w:rPr>
          <w:rFonts w:eastAsia="Arial"/>
          <w:bCs/>
        </w:rPr>
        <w:t>buvo</w:t>
      </w:r>
      <w:r w:rsidR="00226B45">
        <w:rPr>
          <w:rFonts w:eastAsia="Arial"/>
          <w:bCs/>
        </w:rPr>
        <w:t xml:space="preserve"> </w:t>
      </w:r>
      <w:r>
        <w:rPr>
          <w:rFonts w:eastAsia="Arial"/>
          <w:bCs/>
        </w:rPr>
        <w:t xml:space="preserve">įtraukti </w:t>
      </w:r>
      <w:r w:rsidRPr="00D44B48">
        <w:rPr>
          <w:rFonts w:eastAsia="Arial"/>
          <w:bCs/>
        </w:rPr>
        <w:t xml:space="preserve">7 </w:t>
      </w:r>
      <w:proofErr w:type="spellStart"/>
      <w:r w:rsidRPr="00D44B48">
        <w:rPr>
          <w:rFonts w:eastAsia="Arial"/>
          <w:bCs/>
        </w:rPr>
        <w:t>randomizuoti</w:t>
      </w:r>
      <w:proofErr w:type="spellEnd"/>
      <w:r w:rsidRPr="00D44B48">
        <w:rPr>
          <w:rFonts w:eastAsia="Arial"/>
          <w:bCs/>
        </w:rPr>
        <w:t>, kontroliuojami</w:t>
      </w:r>
      <w:r>
        <w:rPr>
          <w:rFonts w:eastAsia="Arial"/>
          <w:bCs/>
        </w:rPr>
        <w:t xml:space="preserve"> </w:t>
      </w:r>
      <w:r w:rsidRPr="00D44B48">
        <w:rPr>
          <w:rFonts w:eastAsia="Arial"/>
          <w:bCs/>
        </w:rPr>
        <w:t>3 faz</w:t>
      </w:r>
      <w:r>
        <w:rPr>
          <w:rFonts w:eastAsia="Arial"/>
          <w:bCs/>
        </w:rPr>
        <w:t>ės</w:t>
      </w:r>
      <w:r w:rsidRPr="00D44B48">
        <w:rPr>
          <w:rFonts w:eastAsia="Arial"/>
          <w:bCs/>
        </w:rPr>
        <w:t xml:space="preserve"> </w:t>
      </w:r>
      <w:proofErr w:type="spellStart"/>
      <w:r w:rsidRPr="00D44B48">
        <w:rPr>
          <w:rFonts w:eastAsia="Arial"/>
          <w:bCs/>
        </w:rPr>
        <w:t>klinkiniai</w:t>
      </w:r>
      <w:proofErr w:type="spellEnd"/>
      <w:r w:rsidRPr="00D44B48">
        <w:rPr>
          <w:rFonts w:eastAsia="Arial"/>
          <w:bCs/>
        </w:rPr>
        <w:t xml:space="preserve"> tyrimai, iš kuri</w:t>
      </w:r>
      <w:r>
        <w:rPr>
          <w:rFonts w:eastAsia="Arial"/>
          <w:bCs/>
        </w:rPr>
        <w:t>ų tik HER2CLIMB tyrimas buvo dvigubai koduotas. Detalaus vertinimo metu nustatyta, jog n</w:t>
      </w:r>
      <w:r w:rsidRPr="00D05364">
        <w:rPr>
          <w:bCs/>
          <w:lang w:eastAsia="lt-LT"/>
        </w:rPr>
        <w:t>etiesioginio palyginimo analizėje palyginam</w:t>
      </w:r>
      <w:r>
        <w:rPr>
          <w:bCs/>
          <w:lang w:eastAsia="lt-LT"/>
        </w:rPr>
        <w:t xml:space="preserve">ieji vaistai </w:t>
      </w:r>
      <w:proofErr w:type="spellStart"/>
      <w:r>
        <w:rPr>
          <w:bCs/>
          <w:lang w:eastAsia="lt-LT"/>
        </w:rPr>
        <w:t>kabecitabino</w:t>
      </w:r>
      <w:proofErr w:type="spellEnd"/>
      <w:r>
        <w:rPr>
          <w:bCs/>
          <w:lang w:eastAsia="lt-LT"/>
        </w:rPr>
        <w:t xml:space="preserve"> </w:t>
      </w:r>
      <w:proofErr w:type="spellStart"/>
      <w:r>
        <w:rPr>
          <w:bCs/>
          <w:lang w:eastAsia="lt-LT"/>
        </w:rPr>
        <w:t>monoterapija</w:t>
      </w:r>
      <w:proofErr w:type="spellEnd"/>
      <w:r>
        <w:rPr>
          <w:bCs/>
          <w:lang w:eastAsia="lt-LT"/>
        </w:rPr>
        <w:t xml:space="preserve"> ir </w:t>
      </w:r>
      <w:proofErr w:type="spellStart"/>
      <w:r>
        <w:rPr>
          <w:bCs/>
          <w:lang w:eastAsia="lt-LT"/>
        </w:rPr>
        <w:t>vinorelbinas</w:t>
      </w:r>
      <w:proofErr w:type="spellEnd"/>
      <w:r>
        <w:rPr>
          <w:bCs/>
          <w:lang w:eastAsia="lt-LT"/>
        </w:rPr>
        <w:t xml:space="preserve"> </w:t>
      </w:r>
      <w:r w:rsidRPr="00D05364">
        <w:rPr>
          <w:bCs/>
          <w:lang w:eastAsia="lt-LT"/>
        </w:rPr>
        <w:t xml:space="preserve"> atitinka įprastinę klinikinę praktiką Lietuvoje.</w:t>
      </w:r>
    </w:p>
    <w:p w14:paraId="5FFEF3FF" w14:textId="77777777" w:rsidR="007B3908" w:rsidRPr="00465147" w:rsidRDefault="007B3908" w:rsidP="00F41262">
      <w:pPr>
        <w:tabs>
          <w:tab w:val="left" w:pos="492"/>
        </w:tabs>
        <w:spacing w:line="360" w:lineRule="auto"/>
        <w:jc w:val="both"/>
        <w:outlineLvl w:val="1"/>
        <w:rPr>
          <w:rFonts w:eastAsia="Arial"/>
          <w:b/>
        </w:rPr>
      </w:pPr>
      <w:r>
        <w:rPr>
          <w:bCs/>
          <w:lang w:eastAsia="lt-LT"/>
        </w:rPr>
        <w:tab/>
      </w:r>
      <w:r>
        <w:rPr>
          <w:rFonts w:eastAsia="Arial"/>
          <w:bCs/>
        </w:rPr>
        <w:t xml:space="preserve">Remiantis tinklinės </w:t>
      </w:r>
      <w:proofErr w:type="spellStart"/>
      <w:r>
        <w:rPr>
          <w:rFonts w:eastAsia="Arial"/>
          <w:bCs/>
        </w:rPr>
        <w:t>metaanalizės</w:t>
      </w:r>
      <w:proofErr w:type="spellEnd"/>
      <w:r>
        <w:rPr>
          <w:rFonts w:eastAsia="Arial"/>
          <w:bCs/>
        </w:rPr>
        <w:t xml:space="preserve"> duomenimis, </w:t>
      </w:r>
      <w:proofErr w:type="spellStart"/>
      <w:r>
        <w:rPr>
          <w:rFonts w:eastAsia="Arial"/>
          <w:bCs/>
        </w:rPr>
        <w:t>tukatinibo</w:t>
      </w:r>
      <w:proofErr w:type="spellEnd"/>
      <w:r>
        <w:rPr>
          <w:rFonts w:eastAsia="Arial"/>
          <w:bCs/>
        </w:rPr>
        <w:t xml:space="preserve">, </w:t>
      </w:r>
      <w:proofErr w:type="spellStart"/>
      <w:r>
        <w:rPr>
          <w:rFonts w:eastAsia="Arial"/>
          <w:bCs/>
        </w:rPr>
        <w:t>trastuzumabo</w:t>
      </w:r>
      <w:proofErr w:type="spellEnd"/>
      <w:r>
        <w:rPr>
          <w:rFonts w:eastAsia="Arial"/>
          <w:bCs/>
        </w:rPr>
        <w:t xml:space="preserve"> ir </w:t>
      </w:r>
      <w:proofErr w:type="spellStart"/>
      <w:r>
        <w:rPr>
          <w:rFonts w:eastAsia="Arial"/>
          <w:bCs/>
        </w:rPr>
        <w:t>kapecitabino</w:t>
      </w:r>
      <w:proofErr w:type="spellEnd"/>
      <w:r>
        <w:rPr>
          <w:rFonts w:eastAsia="Arial"/>
          <w:bCs/>
        </w:rPr>
        <w:t xml:space="preserve"> derinio vartojimas palyginus su </w:t>
      </w:r>
      <w:proofErr w:type="spellStart"/>
      <w:r>
        <w:rPr>
          <w:rFonts w:eastAsia="Arial"/>
          <w:bCs/>
        </w:rPr>
        <w:t>monoterapija</w:t>
      </w:r>
      <w:proofErr w:type="spellEnd"/>
      <w:r>
        <w:rPr>
          <w:rFonts w:eastAsia="Arial"/>
          <w:bCs/>
        </w:rPr>
        <w:t xml:space="preserve"> </w:t>
      </w:r>
      <w:proofErr w:type="spellStart"/>
      <w:r>
        <w:rPr>
          <w:rFonts w:eastAsia="Arial"/>
          <w:bCs/>
        </w:rPr>
        <w:t>kapecitabinu</w:t>
      </w:r>
      <w:proofErr w:type="spellEnd"/>
      <w:r>
        <w:rPr>
          <w:rFonts w:eastAsia="Arial"/>
          <w:bCs/>
        </w:rPr>
        <w:t xml:space="preserve"> yra siejamas su 67 proc. mažesne ligos progresavimo ar mirties rizika (</w:t>
      </w:r>
      <w:r w:rsidRPr="00465147">
        <w:rPr>
          <w:rFonts w:eastAsia="Arial"/>
          <w:bCs/>
        </w:rPr>
        <w:t xml:space="preserve">IBLP RS=0,33, 95 proc. PI 0,23-0,46, p&lt;0,0001), o palyginus su </w:t>
      </w:r>
      <w:proofErr w:type="spellStart"/>
      <w:r w:rsidRPr="00465147">
        <w:rPr>
          <w:rFonts w:eastAsia="Arial"/>
          <w:bCs/>
        </w:rPr>
        <w:t>vinorelbinu</w:t>
      </w:r>
      <w:proofErr w:type="spellEnd"/>
      <w:r w:rsidRPr="00465147">
        <w:rPr>
          <w:rFonts w:eastAsia="Arial"/>
          <w:bCs/>
        </w:rPr>
        <w:t xml:space="preserve"> – 77 proc. (IBLP RS=0,23, 95 proc. PI 0,12-0,45, p&lt;0,0001). </w:t>
      </w:r>
      <w:proofErr w:type="spellStart"/>
      <w:r w:rsidRPr="00465147">
        <w:rPr>
          <w:rFonts w:eastAsia="Arial"/>
          <w:bCs/>
        </w:rPr>
        <w:t>Tukatinibo</w:t>
      </w:r>
      <w:proofErr w:type="spellEnd"/>
      <w:r w:rsidRPr="00465147">
        <w:rPr>
          <w:rFonts w:eastAsia="Arial"/>
          <w:bCs/>
        </w:rPr>
        <w:t xml:space="preserve">, </w:t>
      </w:r>
      <w:proofErr w:type="spellStart"/>
      <w:r w:rsidRPr="00465147">
        <w:rPr>
          <w:rFonts w:eastAsia="Arial"/>
          <w:bCs/>
        </w:rPr>
        <w:t>trastuzumabo</w:t>
      </w:r>
      <w:proofErr w:type="spellEnd"/>
      <w:r w:rsidRPr="00465147">
        <w:rPr>
          <w:rFonts w:eastAsia="Arial"/>
          <w:bCs/>
        </w:rPr>
        <w:t xml:space="preserve"> ir </w:t>
      </w:r>
      <w:proofErr w:type="spellStart"/>
      <w:r w:rsidRPr="00465147">
        <w:rPr>
          <w:rFonts w:eastAsia="Arial"/>
          <w:bCs/>
        </w:rPr>
        <w:t>kapecitabino</w:t>
      </w:r>
      <w:proofErr w:type="spellEnd"/>
      <w:r w:rsidRPr="00465147">
        <w:rPr>
          <w:rFonts w:eastAsia="Arial"/>
          <w:bCs/>
        </w:rPr>
        <w:t xml:space="preserve"> derinio vartojimas palyginus su </w:t>
      </w:r>
      <w:proofErr w:type="spellStart"/>
      <w:r w:rsidRPr="00465147">
        <w:rPr>
          <w:rFonts w:eastAsia="Arial"/>
          <w:bCs/>
        </w:rPr>
        <w:t>monoterapija</w:t>
      </w:r>
      <w:proofErr w:type="spellEnd"/>
      <w:r w:rsidRPr="00465147">
        <w:rPr>
          <w:rFonts w:eastAsia="Arial"/>
          <w:bCs/>
        </w:rPr>
        <w:t xml:space="preserve"> </w:t>
      </w:r>
      <w:proofErr w:type="spellStart"/>
      <w:r w:rsidRPr="00465147">
        <w:rPr>
          <w:rFonts w:eastAsia="Arial"/>
          <w:bCs/>
        </w:rPr>
        <w:t>kapecitabinu</w:t>
      </w:r>
      <w:proofErr w:type="spellEnd"/>
      <w:r w:rsidRPr="00465147">
        <w:rPr>
          <w:rFonts w:eastAsia="Arial"/>
          <w:bCs/>
        </w:rPr>
        <w:t xml:space="preserve"> mirties riziką sumažina 54 proc. (BI RS=0,46, 95 proc. PI 0,28-0,77, p=0,003), o palyginus su </w:t>
      </w:r>
      <w:proofErr w:type="spellStart"/>
      <w:r w:rsidRPr="00465147">
        <w:rPr>
          <w:rFonts w:eastAsia="Arial"/>
          <w:bCs/>
        </w:rPr>
        <w:t>vinorelbinu</w:t>
      </w:r>
      <w:proofErr w:type="spellEnd"/>
      <w:r w:rsidRPr="00465147">
        <w:rPr>
          <w:rFonts w:eastAsia="Arial"/>
          <w:bCs/>
        </w:rPr>
        <w:t xml:space="preserve"> – 51 proc. (BI RS=0,49, 95 proc. PI 0,25-0,94, p=0,033).</w:t>
      </w:r>
    </w:p>
    <w:p w14:paraId="52E362CA" w14:textId="77777777" w:rsidR="007B3908" w:rsidRDefault="007B3908" w:rsidP="00F41262">
      <w:pPr>
        <w:spacing w:line="360" w:lineRule="auto"/>
        <w:rPr>
          <w:bCs/>
          <w:lang w:eastAsia="lt-LT"/>
        </w:rPr>
      </w:pPr>
    </w:p>
    <w:p w14:paraId="7851C176" w14:textId="77777777" w:rsidR="007B3908" w:rsidRPr="003B3450" w:rsidRDefault="007B3908" w:rsidP="00F41262">
      <w:pPr>
        <w:tabs>
          <w:tab w:val="left" w:pos="426"/>
        </w:tabs>
        <w:spacing w:line="360" w:lineRule="auto"/>
        <w:jc w:val="both"/>
        <w:rPr>
          <w:bCs/>
          <w:i/>
          <w:color w:val="000000"/>
          <w:lang w:eastAsia="lt-LT"/>
        </w:rPr>
      </w:pPr>
      <w:r w:rsidRPr="003B3450">
        <w:rPr>
          <w:bCs/>
          <w:i/>
          <w:color w:val="000000"/>
          <w:lang w:eastAsia="lt-LT"/>
        </w:rPr>
        <w:t>Privalumai ir trūkumai</w:t>
      </w:r>
    </w:p>
    <w:p w14:paraId="7377C326" w14:textId="77777777" w:rsidR="007B3908" w:rsidRPr="003B3450" w:rsidRDefault="007B3908" w:rsidP="00F41262">
      <w:pPr>
        <w:tabs>
          <w:tab w:val="left" w:pos="426"/>
        </w:tabs>
        <w:spacing w:line="360" w:lineRule="auto"/>
        <w:jc w:val="both"/>
        <w:rPr>
          <w:iCs/>
        </w:rPr>
      </w:pPr>
      <w:r>
        <w:rPr>
          <w:bCs/>
          <w:color w:val="000000"/>
          <w:lang w:eastAsia="lt-LT"/>
        </w:rPr>
        <w:tab/>
      </w:r>
      <w:r w:rsidRPr="003B3450">
        <w:rPr>
          <w:bCs/>
          <w:color w:val="000000"/>
          <w:lang w:eastAsia="lt-LT"/>
        </w:rPr>
        <w:tab/>
        <w:t>Jei vaistinis preparatas būtų įrašytas į kompensavimo sąrašus, gydymo šiuo vaistiniu preparatu taikymas klinikinėje praktikoje galėtų turėti privalumų ir trūkumų medicininėms paslaugoms ar pacientams.</w:t>
      </w:r>
    </w:p>
    <w:p w14:paraId="54868F9A" w14:textId="77777777" w:rsidR="007B3908" w:rsidRPr="00465147" w:rsidRDefault="007B3908" w:rsidP="00F41262">
      <w:pPr>
        <w:pStyle w:val="ListParagraph"/>
        <w:spacing w:after="120" w:line="360" w:lineRule="auto"/>
        <w:ind w:left="0"/>
        <w:contextualSpacing w:val="0"/>
        <w:jc w:val="both"/>
        <w:rPr>
          <w:rFonts w:asciiTheme="majorBidi" w:hAnsiTheme="majorBidi" w:cstheme="majorBidi"/>
          <w:color w:val="000000"/>
        </w:rPr>
      </w:pPr>
      <w:r w:rsidRPr="003B3450">
        <w:rPr>
          <w:bCs/>
          <w:color w:val="000000"/>
          <w:lang w:eastAsia="lt-LT"/>
        </w:rPr>
        <w:tab/>
      </w:r>
      <w:r w:rsidRPr="003B3450">
        <w:rPr>
          <w:bCs/>
          <w:color w:val="000000"/>
          <w:u w:val="single"/>
          <w:lang w:eastAsia="lt-LT"/>
        </w:rPr>
        <w:t>Privalumai</w:t>
      </w:r>
      <w:r>
        <w:rPr>
          <w:bCs/>
          <w:color w:val="000000"/>
          <w:lang w:eastAsia="lt-LT"/>
        </w:rPr>
        <w:t xml:space="preserve">. </w:t>
      </w:r>
      <w:r w:rsidRPr="00A2739A">
        <w:rPr>
          <w:bCs/>
          <w:color w:val="000000"/>
          <w:lang w:eastAsia="lt-LT"/>
        </w:rPr>
        <w:t>Pacientams –</w:t>
      </w:r>
      <w:r>
        <w:rPr>
          <w:bCs/>
          <w:color w:val="000000"/>
          <w:lang w:eastAsia="lt-LT"/>
        </w:rPr>
        <w:t xml:space="preserve"> didesnė </w:t>
      </w:r>
      <w:r w:rsidRPr="00FE4B39">
        <w:rPr>
          <w:rFonts w:asciiTheme="majorBidi" w:hAnsiTheme="majorBidi" w:cstheme="majorBidi"/>
          <w:color w:val="000000"/>
        </w:rPr>
        <w:t xml:space="preserve">žmogaus epidermio augimo faktoriaus receptoriaus 2 teigiamu vietiškai išplitusiu arba </w:t>
      </w:r>
      <w:proofErr w:type="spellStart"/>
      <w:r w:rsidRPr="00FE4B39">
        <w:rPr>
          <w:rFonts w:asciiTheme="majorBidi" w:hAnsiTheme="majorBidi" w:cstheme="majorBidi"/>
          <w:color w:val="000000"/>
        </w:rPr>
        <w:t>metastazavusiu</w:t>
      </w:r>
      <w:proofErr w:type="spellEnd"/>
      <w:r w:rsidRPr="00FE4B39">
        <w:rPr>
          <w:rFonts w:asciiTheme="majorBidi" w:hAnsiTheme="majorBidi" w:cstheme="majorBidi"/>
          <w:color w:val="000000"/>
        </w:rPr>
        <w:t xml:space="preserve"> krūties vėžiu</w:t>
      </w:r>
      <w:r>
        <w:rPr>
          <w:rFonts w:asciiTheme="majorBidi" w:hAnsiTheme="majorBidi" w:cstheme="majorBidi"/>
          <w:color w:val="000000"/>
        </w:rPr>
        <w:t xml:space="preserve"> gydymo pasirinkimo galimybė</w:t>
      </w:r>
      <w:r w:rsidRPr="00FE4B39">
        <w:rPr>
          <w:rFonts w:asciiTheme="majorBidi" w:hAnsiTheme="majorBidi" w:cstheme="majorBidi"/>
          <w:color w:val="000000"/>
        </w:rPr>
        <w:t xml:space="preserve">, kai anksčiau buvo taikomi bent 2 ankstesni prieš </w:t>
      </w:r>
      <w:r w:rsidRPr="003910BF">
        <w:rPr>
          <w:rFonts w:asciiTheme="majorBidi" w:hAnsiTheme="majorBidi" w:cstheme="majorBidi"/>
          <w:color w:val="000000"/>
        </w:rPr>
        <w:t>HER2 nukreipti gydymo režimai</w:t>
      </w:r>
      <w:r>
        <w:rPr>
          <w:rFonts w:asciiTheme="majorBidi" w:hAnsiTheme="majorBidi" w:cstheme="majorBidi"/>
          <w:color w:val="000000"/>
        </w:rPr>
        <w:t>.</w:t>
      </w:r>
    </w:p>
    <w:p w14:paraId="493FD818" w14:textId="77777777" w:rsidR="007B3908" w:rsidRDefault="007B3908" w:rsidP="00F41262">
      <w:pPr>
        <w:tabs>
          <w:tab w:val="left" w:pos="426"/>
        </w:tabs>
        <w:spacing w:line="360" w:lineRule="auto"/>
        <w:jc w:val="both"/>
        <w:rPr>
          <w:rFonts w:eastAsia="Arial"/>
          <w:bCs/>
          <w:iCs/>
          <w:color w:val="000000" w:themeColor="text1"/>
        </w:rPr>
      </w:pPr>
      <w:r>
        <w:rPr>
          <w:bCs/>
          <w:color w:val="000000"/>
          <w:lang w:eastAsia="lt-LT"/>
        </w:rPr>
        <w:tab/>
      </w:r>
      <w:r>
        <w:rPr>
          <w:bCs/>
          <w:color w:val="000000"/>
          <w:lang w:eastAsia="lt-LT"/>
        </w:rPr>
        <w:tab/>
      </w:r>
      <w:r w:rsidRPr="003B3450">
        <w:rPr>
          <w:bCs/>
          <w:color w:val="000000"/>
          <w:u w:val="single"/>
          <w:lang w:eastAsia="lt-LT"/>
        </w:rPr>
        <w:t>Trūkumai</w:t>
      </w:r>
      <w:r w:rsidRPr="003B3450">
        <w:rPr>
          <w:bCs/>
          <w:color w:val="000000"/>
          <w:lang w:eastAsia="lt-LT"/>
        </w:rPr>
        <w:t>.</w:t>
      </w:r>
      <w:r>
        <w:rPr>
          <w:bCs/>
          <w:color w:val="000000"/>
          <w:lang w:eastAsia="lt-LT"/>
        </w:rPr>
        <w:t xml:space="preserve"> Pacientams ir medicinos paslaugoms – </w:t>
      </w:r>
      <w:r>
        <w:rPr>
          <w:rFonts w:eastAsia="Arial"/>
          <w:bCs/>
          <w:iCs/>
          <w:color w:val="000000" w:themeColor="text1"/>
        </w:rPr>
        <w:t>p</w:t>
      </w:r>
      <w:r w:rsidRPr="00C30EEF">
        <w:rPr>
          <w:rFonts w:eastAsia="Arial"/>
          <w:bCs/>
          <w:iCs/>
          <w:color w:val="000000" w:themeColor="text1"/>
        </w:rPr>
        <w:t xml:space="preserve">acientams vartojantiems </w:t>
      </w:r>
      <w:proofErr w:type="spellStart"/>
      <w:r>
        <w:rPr>
          <w:rFonts w:eastAsia="Arial"/>
          <w:bCs/>
          <w:iCs/>
          <w:color w:val="000000" w:themeColor="text1"/>
        </w:rPr>
        <w:t>Tukysa</w:t>
      </w:r>
      <w:proofErr w:type="spellEnd"/>
      <w:r>
        <w:rPr>
          <w:rFonts w:eastAsia="Arial"/>
          <w:bCs/>
          <w:iCs/>
          <w:color w:val="000000" w:themeColor="text1"/>
        </w:rPr>
        <w:t xml:space="preserve"> </w:t>
      </w:r>
      <w:r w:rsidRPr="00C30EEF">
        <w:rPr>
          <w:rFonts w:eastAsia="Arial"/>
          <w:bCs/>
          <w:iCs/>
          <w:color w:val="000000" w:themeColor="text1"/>
        </w:rPr>
        <w:t>reikalingas pastovus laboratorinių tyrimų rodmenų nenormalumų stebėjimas ir suvaldymas</w:t>
      </w:r>
      <w:r>
        <w:rPr>
          <w:rFonts w:eastAsia="Arial"/>
          <w:bCs/>
          <w:iCs/>
          <w:color w:val="000000" w:themeColor="text1"/>
        </w:rPr>
        <w:t xml:space="preserve"> dėl kurių g</w:t>
      </w:r>
      <w:r w:rsidRPr="00C30EEF">
        <w:rPr>
          <w:rFonts w:eastAsia="Arial"/>
          <w:bCs/>
          <w:iCs/>
          <w:color w:val="000000" w:themeColor="text1"/>
        </w:rPr>
        <w:t>ali reikėti laikinai nutraukti vaistinio preparato vartojimą.</w:t>
      </w:r>
    </w:p>
    <w:p w14:paraId="3151DFB2" w14:textId="77777777" w:rsidR="007B3908" w:rsidRDefault="007B3908" w:rsidP="00F41262">
      <w:pPr>
        <w:tabs>
          <w:tab w:val="left" w:pos="426"/>
        </w:tabs>
        <w:spacing w:line="360" w:lineRule="auto"/>
        <w:jc w:val="both"/>
        <w:rPr>
          <w:rFonts w:eastAsia="Arial"/>
          <w:bCs/>
          <w:iCs/>
          <w:color w:val="000000" w:themeColor="text1"/>
        </w:rPr>
      </w:pPr>
    </w:p>
    <w:p w14:paraId="7E12A7E9" w14:textId="3E3F666F" w:rsidR="007B3908" w:rsidRPr="007B3908" w:rsidRDefault="007B3908" w:rsidP="00F41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rFonts w:eastAsia="Arial"/>
          <w:bCs/>
          <w:iCs/>
          <w:color w:val="000000" w:themeColor="text1"/>
        </w:rPr>
        <w:tab/>
        <w:t>Apibendrinant</w:t>
      </w:r>
      <w:r w:rsidR="004C372A">
        <w:rPr>
          <w:rFonts w:eastAsia="Arial"/>
          <w:bCs/>
          <w:iCs/>
          <w:color w:val="000000" w:themeColor="text1"/>
        </w:rPr>
        <w:t xml:space="preserve"> </w:t>
      </w:r>
      <w:r w:rsidR="001366C9">
        <w:rPr>
          <w:rFonts w:eastAsia="Arial"/>
          <w:bCs/>
          <w:iCs/>
          <w:color w:val="000000" w:themeColor="text1"/>
        </w:rPr>
        <w:t>d</w:t>
      </w:r>
      <w:r>
        <w:rPr>
          <w:rFonts w:eastAsia="Arial"/>
          <w:bCs/>
          <w:iCs/>
          <w:color w:val="000000" w:themeColor="text1"/>
        </w:rPr>
        <w:t xml:space="preserve">idesnis </w:t>
      </w:r>
      <w:proofErr w:type="spellStart"/>
      <w:r>
        <w:rPr>
          <w:rFonts w:eastAsia="Arial"/>
          <w:bCs/>
        </w:rPr>
        <w:t>tukatinibo</w:t>
      </w:r>
      <w:proofErr w:type="spellEnd"/>
      <w:r>
        <w:rPr>
          <w:rFonts w:eastAsia="Arial"/>
          <w:bCs/>
        </w:rPr>
        <w:t xml:space="preserve">, </w:t>
      </w:r>
      <w:proofErr w:type="spellStart"/>
      <w:r>
        <w:rPr>
          <w:rFonts w:eastAsia="Arial"/>
          <w:bCs/>
        </w:rPr>
        <w:t>kapecitabino</w:t>
      </w:r>
      <w:proofErr w:type="spellEnd"/>
      <w:r>
        <w:rPr>
          <w:rFonts w:eastAsia="Arial"/>
          <w:bCs/>
        </w:rPr>
        <w:t xml:space="preserve"> ir </w:t>
      </w:r>
      <w:proofErr w:type="spellStart"/>
      <w:r>
        <w:rPr>
          <w:rFonts w:eastAsia="Arial"/>
          <w:bCs/>
        </w:rPr>
        <w:t>trastuzumabo</w:t>
      </w:r>
      <w:proofErr w:type="spellEnd"/>
      <w:r>
        <w:rPr>
          <w:rFonts w:eastAsia="Arial"/>
          <w:bCs/>
        </w:rPr>
        <w:t xml:space="preserve"> derinio</w:t>
      </w:r>
      <w:r w:rsidRPr="00C30EEF">
        <w:rPr>
          <w:rFonts w:eastAsia="Arial"/>
          <w:bCs/>
          <w:iCs/>
          <w:color w:val="000000" w:themeColor="text1"/>
        </w:rPr>
        <w:t xml:space="preserve"> klinikinis veiksmingumas</w:t>
      </w:r>
      <w:r>
        <w:rPr>
          <w:rFonts w:eastAsia="Arial"/>
          <w:bCs/>
          <w:iCs/>
          <w:color w:val="000000" w:themeColor="text1"/>
        </w:rPr>
        <w:t xml:space="preserve"> lyginant su šiuo metu </w:t>
      </w:r>
      <w:proofErr w:type="spellStart"/>
      <w:r>
        <w:rPr>
          <w:rFonts w:eastAsia="Arial"/>
          <w:bCs/>
          <w:iCs/>
          <w:color w:val="000000" w:themeColor="text1"/>
        </w:rPr>
        <w:t>klinkinėje</w:t>
      </w:r>
      <w:proofErr w:type="spellEnd"/>
      <w:r>
        <w:rPr>
          <w:rFonts w:eastAsia="Arial"/>
          <w:bCs/>
          <w:iCs/>
          <w:color w:val="000000" w:themeColor="text1"/>
        </w:rPr>
        <w:t xml:space="preserve"> praktikoje taikoma </w:t>
      </w:r>
      <w:proofErr w:type="spellStart"/>
      <w:r>
        <w:rPr>
          <w:rFonts w:eastAsia="Arial"/>
          <w:bCs/>
          <w:iCs/>
          <w:color w:val="000000" w:themeColor="text1"/>
        </w:rPr>
        <w:t>kapecitabino</w:t>
      </w:r>
      <w:proofErr w:type="spellEnd"/>
      <w:r>
        <w:rPr>
          <w:rFonts w:eastAsia="Arial"/>
          <w:bCs/>
          <w:iCs/>
          <w:color w:val="000000" w:themeColor="text1"/>
        </w:rPr>
        <w:t xml:space="preserve"> monoterapija </w:t>
      </w:r>
      <w:r w:rsidRPr="00C30EEF">
        <w:rPr>
          <w:rFonts w:eastAsia="Arial"/>
          <w:bCs/>
          <w:iCs/>
          <w:color w:val="000000" w:themeColor="text1"/>
        </w:rPr>
        <w:t>pagrįstas netiesioginio palyginimo duomenimis</w:t>
      </w:r>
      <w:r w:rsidR="001366C9">
        <w:rPr>
          <w:rFonts w:eastAsia="Arial"/>
          <w:bCs/>
          <w:iCs/>
          <w:color w:val="000000" w:themeColor="text1"/>
        </w:rPr>
        <w:t>.</w:t>
      </w:r>
      <w:r w:rsidR="0015092D">
        <w:rPr>
          <w:rFonts w:eastAsia="Arial"/>
          <w:bCs/>
          <w:iCs/>
          <w:color w:val="000000" w:themeColor="text1"/>
        </w:rPr>
        <w:t xml:space="preserve"> </w:t>
      </w:r>
      <w:r w:rsidR="001366C9">
        <w:rPr>
          <w:rFonts w:eastAsia="Arial"/>
          <w:bCs/>
          <w:iCs/>
          <w:color w:val="000000" w:themeColor="text1"/>
        </w:rPr>
        <w:t>T</w:t>
      </w:r>
      <w:r w:rsidRPr="00C30EEF">
        <w:rPr>
          <w:rFonts w:eastAsia="Arial"/>
          <w:bCs/>
          <w:iCs/>
          <w:color w:val="000000" w:themeColor="text1"/>
        </w:rPr>
        <w:t xml:space="preserve">iesioginio palyginimo su </w:t>
      </w:r>
      <w:proofErr w:type="spellStart"/>
      <w:r>
        <w:rPr>
          <w:rFonts w:eastAsia="Arial"/>
          <w:bCs/>
          <w:iCs/>
          <w:color w:val="000000" w:themeColor="text1"/>
        </w:rPr>
        <w:t>kapecitabino</w:t>
      </w:r>
      <w:proofErr w:type="spellEnd"/>
      <w:r>
        <w:rPr>
          <w:rFonts w:eastAsia="Arial"/>
          <w:bCs/>
          <w:iCs/>
          <w:color w:val="000000" w:themeColor="text1"/>
        </w:rPr>
        <w:t xml:space="preserve"> monoterapija </w:t>
      </w:r>
      <w:r w:rsidRPr="00C30EEF">
        <w:rPr>
          <w:rFonts w:eastAsia="Arial"/>
          <w:bCs/>
          <w:iCs/>
          <w:color w:val="000000" w:themeColor="text1"/>
        </w:rPr>
        <w:t>duomenų nepateikta</w:t>
      </w:r>
      <w:r>
        <w:rPr>
          <w:rFonts w:eastAsia="Arial"/>
          <w:bCs/>
          <w:iCs/>
          <w:color w:val="000000" w:themeColor="text1"/>
        </w:rPr>
        <w:t xml:space="preserve">. </w:t>
      </w:r>
      <w:r w:rsidR="001366C9">
        <w:rPr>
          <w:rFonts w:eastAsia="Arial"/>
          <w:bCs/>
          <w:iCs/>
          <w:color w:val="000000" w:themeColor="text1"/>
        </w:rPr>
        <w:t xml:space="preserve">Remiantis pateiktais duomenimis, klinikinis veiksmingumas įvertintas </w:t>
      </w:r>
      <w:r w:rsidRPr="00C30EEF">
        <w:rPr>
          <w:rFonts w:eastAsia="Arial"/>
          <w:bCs/>
          <w:iCs/>
          <w:color w:val="000000" w:themeColor="text1"/>
        </w:rPr>
        <w:t xml:space="preserve"> kaip </w:t>
      </w:r>
      <w:r w:rsidRPr="00D05364">
        <w:t>pagrindžiantis papildomos naudos pacientų sveikatai sukūrimą, lyginant su įprasta klinikine praktika</w:t>
      </w:r>
      <w:r w:rsidRPr="00C30EEF">
        <w:rPr>
          <w:rFonts w:eastAsia="Arial"/>
          <w:bCs/>
          <w:iCs/>
          <w:color w:val="000000" w:themeColor="text1"/>
        </w:rPr>
        <w:t>.</w:t>
      </w:r>
      <w:r w:rsidRPr="00D05364">
        <w:rPr>
          <w:rFonts w:eastAsia="Arial"/>
          <w:b/>
          <w:szCs w:val="22"/>
        </w:rPr>
        <w:br w:type="page"/>
      </w:r>
    </w:p>
    <w:p w14:paraId="6D981C86" w14:textId="77777777" w:rsidR="007B3908" w:rsidRPr="00E33EFF" w:rsidRDefault="007B3908" w:rsidP="00F41262">
      <w:pPr>
        <w:pStyle w:val="ListParagraph"/>
        <w:tabs>
          <w:tab w:val="left" w:pos="426"/>
        </w:tabs>
        <w:spacing w:line="360" w:lineRule="auto"/>
        <w:ind w:left="0"/>
        <w:rPr>
          <w:b/>
          <w:bCs/>
          <w:caps/>
        </w:rPr>
      </w:pPr>
    </w:p>
    <w:p w14:paraId="7DE09EB5" w14:textId="69E9DD74" w:rsidR="00E03C3F" w:rsidRPr="00E33EFF" w:rsidRDefault="00CC7832" w:rsidP="00F41262">
      <w:pPr>
        <w:pStyle w:val="ListParagraph"/>
        <w:numPr>
          <w:ilvl w:val="0"/>
          <w:numId w:val="12"/>
        </w:numPr>
        <w:tabs>
          <w:tab w:val="left" w:pos="567"/>
        </w:tabs>
        <w:spacing w:line="360" w:lineRule="auto"/>
        <w:ind w:hanging="720"/>
        <w:rPr>
          <w:b/>
          <w:bCs/>
          <w:caps/>
        </w:rPr>
      </w:pPr>
      <w:r w:rsidRPr="00E33EFF">
        <w:rPr>
          <w:b/>
          <w:bCs/>
          <w:caps/>
        </w:rPr>
        <w:t xml:space="preserve">ekonominio vertinimo </w:t>
      </w:r>
      <w:r w:rsidR="002F0E4F" w:rsidRPr="00E33EFF">
        <w:rPr>
          <w:b/>
          <w:bCs/>
          <w:caps/>
        </w:rPr>
        <w:t>apibendrinimas</w:t>
      </w:r>
    </w:p>
    <w:p w14:paraId="1A900598" w14:textId="0C3429E8" w:rsidR="00C62B36" w:rsidRDefault="00C62B36" w:rsidP="00F41262">
      <w:pPr>
        <w:tabs>
          <w:tab w:val="left" w:pos="426"/>
        </w:tabs>
        <w:spacing w:line="360" w:lineRule="auto"/>
        <w:rPr>
          <w:i/>
          <w:color w:val="00B050"/>
          <w:sz w:val="22"/>
          <w:szCs w:val="22"/>
        </w:rPr>
      </w:pPr>
    </w:p>
    <w:p w14:paraId="79A47095" w14:textId="77777777" w:rsidR="00F30257" w:rsidRDefault="00F30257" w:rsidP="00F41262">
      <w:pPr>
        <w:shd w:val="clear" w:color="auto" w:fill="FFFFFF"/>
        <w:spacing w:line="360" w:lineRule="auto"/>
        <w:jc w:val="both"/>
        <w:rPr>
          <w:color w:val="000000"/>
        </w:rPr>
      </w:pPr>
      <w:r>
        <w:t xml:space="preserve">Pareiškėjas pateiktoje kaštų naudingumo analizėje </w:t>
      </w:r>
      <w:proofErr w:type="spellStart"/>
      <w:r>
        <w:t>tukatinibo</w:t>
      </w:r>
      <w:proofErr w:type="spellEnd"/>
      <w:r>
        <w:t xml:space="preserve"> derinio su </w:t>
      </w:r>
      <w:proofErr w:type="spellStart"/>
      <w:r>
        <w:t>kapecitabinu</w:t>
      </w:r>
      <w:proofErr w:type="spellEnd"/>
      <w:r>
        <w:t xml:space="preserve"> ir </w:t>
      </w:r>
      <w:proofErr w:type="spellStart"/>
      <w:r>
        <w:t>trastuzumabu</w:t>
      </w:r>
      <w:proofErr w:type="spellEnd"/>
      <w:r>
        <w:t xml:space="preserve"> kaštų naudingumą lygina su </w:t>
      </w:r>
      <w:proofErr w:type="spellStart"/>
      <w:r>
        <w:t>eribulino</w:t>
      </w:r>
      <w:proofErr w:type="spellEnd"/>
      <w:r>
        <w:t xml:space="preserve"> kaštų naudingumu. </w:t>
      </w:r>
      <w:r>
        <w:rPr>
          <w:color w:val="000000"/>
        </w:rPr>
        <w:t xml:space="preserve">Tarnybos nuomone, atsižvelgiant į </w:t>
      </w:r>
      <w:r w:rsidRPr="009C39D4">
        <w:rPr>
          <w:color w:val="000000"/>
        </w:rPr>
        <w:t>Krūties piktybinio naviko ambulatorinio gydymo kompensuojamaisiais vaistais tvarkos apraš</w:t>
      </w:r>
      <w:r>
        <w:rPr>
          <w:color w:val="000000"/>
        </w:rPr>
        <w:t xml:space="preserve">o, patvirtinto Lietuvos Respublikos sveikatos apsaugos ministro </w:t>
      </w:r>
      <w:r w:rsidRPr="009C39D4">
        <w:rPr>
          <w:color w:val="000000"/>
        </w:rPr>
        <w:t xml:space="preserve">2011 m. liepos 22 d. </w:t>
      </w:r>
      <w:r>
        <w:rPr>
          <w:color w:val="000000"/>
        </w:rPr>
        <w:t xml:space="preserve">įsakymu </w:t>
      </w:r>
      <w:r w:rsidRPr="009C39D4">
        <w:rPr>
          <w:color w:val="000000"/>
        </w:rPr>
        <w:t>Nr. V-713</w:t>
      </w:r>
      <w:r>
        <w:rPr>
          <w:color w:val="000000"/>
        </w:rPr>
        <w:t xml:space="preserve">, bei </w:t>
      </w:r>
      <w:r w:rsidRPr="009C39D4">
        <w:rPr>
          <w:color w:val="000000"/>
        </w:rPr>
        <w:t>Ligų ir kompensuojamųjų vaistų joms gydyti sąraš</w:t>
      </w:r>
      <w:r>
        <w:rPr>
          <w:color w:val="000000"/>
        </w:rPr>
        <w:t>o</w:t>
      </w:r>
      <w:r w:rsidRPr="009C39D4">
        <w:rPr>
          <w:color w:val="000000"/>
        </w:rPr>
        <w:t xml:space="preserve"> (A sąraš</w:t>
      </w:r>
      <w:r>
        <w:rPr>
          <w:color w:val="000000"/>
        </w:rPr>
        <w:t>as</w:t>
      </w:r>
      <w:r w:rsidRPr="009C39D4">
        <w:rPr>
          <w:color w:val="000000"/>
        </w:rPr>
        <w:t>)</w:t>
      </w:r>
      <w:r>
        <w:rPr>
          <w:color w:val="000000"/>
        </w:rPr>
        <w:t xml:space="preserve">, patvirtinto Lietuvos Respublikos sveikatos apsaugos ministro </w:t>
      </w:r>
      <w:r w:rsidRPr="009C39D4">
        <w:rPr>
          <w:color w:val="000000"/>
        </w:rPr>
        <w:t xml:space="preserve">2000 m. sausio 28 d. </w:t>
      </w:r>
      <w:r>
        <w:rPr>
          <w:color w:val="000000"/>
        </w:rPr>
        <w:t xml:space="preserve">įsakymu </w:t>
      </w:r>
      <w:r w:rsidRPr="009C39D4">
        <w:rPr>
          <w:color w:val="000000"/>
        </w:rPr>
        <w:t>Nr. 49</w:t>
      </w:r>
      <w:r>
        <w:rPr>
          <w:color w:val="000000"/>
        </w:rPr>
        <w:t xml:space="preserve">, nuostatas, tinkamas palyginamasis gydymas Lietuvos klinikinėje praktikoje turėtų būti </w:t>
      </w:r>
      <w:proofErr w:type="spellStart"/>
      <w:r>
        <w:rPr>
          <w:color w:val="000000"/>
        </w:rPr>
        <w:t>kapecitabino</w:t>
      </w:r>
      <w:proofErr w:type="spellEnd"/>
      <w:r>
        <w:rPr>
          <w:color w:val="000000"/>
        </w:rPr>
        <w:t xml:space="preserve"> </w:t>
      </w:r>
      <w:proofErr w:type="spellStart"/>
      <w:r>
        <w:rPr>
          <w:color w:val="000000"/>
        </w:rPr>
        <w:t>monoterapija</w:t>
      </w:r>
      <w:proofErr w:type="spellEnd"/>
      <w:r>
        <w:rPr>
          <w:color w:val="000000"/>
        </w:rPr>
        <w:t xml:space="preserve">. Tarnyba kreipėsi į Pareiškėją, prašydama pateikti atnaujintą ekonominę analizę su tinkamu palyginamuoju gydymu – </w:t>
      </w:r>
      <w:proofErr w:type="spellStart"/>
      <w:r>
        <w:rPr>
          <w:color w:val="000000"/>
        </w:rPr>
        <w:t>kapecitabino</w:t>
      </w:r>
      <w:proofErr w:type="spellEnd"/>
      <w:r>
        <w:rPr>
          <w:color w:val="000000"/>
        </w:rPr>
        <w:t xml:space="preserve"> </w:t>
      </w:r>
      <w:proofErr w:type="spellStart"/>
      <w:r>
        <w:rPr>
          <w:color w:val="000000"/>
        </w:rPr>
        <w:t>monoterapija</w:t>
      </w:r>
      <w:proofErr w:type="spellEnd"/>
      <w:r>
        <w:rPr>
          <w:color w:val="000000"/>
        </w:rPr>
        <w:t>. Pareiškėjas pateikė atnaujintą ekonominę analizę su tinkamu palyginamuoju bei papildomai pateikė PGS su kainos nuolaida vaistiniam preparatui. Tarnyba atliko ekonominės analizės rezultato perskaičiavimą pritaikius Pareiškėjo naujai siūlomą PGS ir pakoregavus šias prielaidas:</w:t>
      </w:r>
    </w:p>
    <w:p w14:paraId="347FF233" w14:textId="77777777" w:rsidR="00F30257" w:rsidRPr="001531C6" w:rsidRDefault="00F30257" w:rsidP="00F41262">
      <w:pPr>
        <w:pStyle w:val="ListParagraph"/>
        <w:numPr>
          <w:ilvl w:val="0"/>
          <w:numId w:val="13"/>
        </w:numPr>
        <w:tabs>
          <w:tab w:val="left" w:pos="567"/>
        </w:tabs>
        <w:spacing w:line="360" w:lineRule="auto"/>
        <w:jc w:val="both"/>
        <w:rPr>
          <w:bCs/>
          <w:lang w:eastAsia="lt-LT"/>
        </w:rPr>
      </w:pPr>
      <w:r>
        <w:rPr>
          <w:bCs/>
          <w:lang w:eastAsia="lt-LT"/>
        </w:rPr>
        <w:t xml:space="preserve">Gyvenimo kokybės </w:t>
      </w:r>
      <w:r>
        <w:t xml:space="preserve">vertinimas ekonominėje analizėje yra labai neapibrėžtas dėl naudojamų skirtingų gyvenimo kokybės koeficientų šaltinių taikant skirtingą gydymą. Tarnyba lieka neaišku, kodėl gyvenimo kokybė turėtų būti žymiai blogesnė tai pacientų grupei, kuriai liga progresavo  po gydymo </w:t>
      </w:r>
      <w:proofErr w:type="spellStart"/>
      <w:r>
        <w:t>kapecitabinu</w:t>
      </w:r>
      <w:proofErr w:type="spellEnd"/>
      <w:r>
        <w:t xml:space="preserve"> lyginant su pacientais, kuriems liga progresavo po gydymo </w:t>
      </w:r>
      <w:proofErr w:type="spellStart"/>
      <w:r>
        <w:t>tukatinibo</w:t>
      </w:r>
      <w:proofErr w:type="spellEnd"/>
      <w:r>
        <w:t xml:space="preserve">, </w:t>
      </w:r>
      <w:proofErr w:type="spellStart"/>
      <w:r>
        <w:t>trastuzumabo</w:t>
      </w:r>
      <w:proofErr w:type="spellEnd"/>
      <w:r>
        <w:t xml:space="preserve"> ir </w:t>
      </w:r>
      <w:proofErr w:type="spellStart"/>
      <w:r>
        <w:t>kapecitabino</w:t>
      </w:r>
      <w:proofErr w:type="spellEnd"/>
      <w:r>
        <w:t xml:space="preserve"> deriniu. Siekiant pateikti konservatyvesnį analizės rezultato scenarijų, pagrindinio atvejo analizėje taikoma prielaida, jog </w:t>
      </w:r>
      <w:proofErr w:type="spellStart"/>
      <w:r>
        <w:t>pacientaų</w:t>
      </w:r>
      <w:proofErr w:type="spellEnd"/>
      <w:r>
        <w:t xml:space="preserve">, kurie buvo gydomi </w:t>
      </w:r>
      <w:proofErr w:type="spellStart"/>
      <w:r>
        <w:t>kapecitabinu</w:t>
      </w:r>
      <w:proofErr w:type="spellEnd"/>
      <w:r>
        <w:t xml:space="preserve">, gyvenimo kokybė visose būklėse atitinka HER2CLIMB klinikinio tyrimo palyginamosios grupės pacientų gyvenimo kokybę. Tokį analizės rezultato scenarijų pateikti Tarnyba prašė ir Pareiškėjo, Pareiškėjas atsakė, jog pakeitus gyvenimo kokybės įverčius, referencinė kaštų naudingumo vertė nėra viršijama, todėl šis neapibrėžtumas yra nereikšmingas. Tarnyba nesutinka, jog šis neapibrėžtumas analizėje yra nereikšmingas ir siekdama pateikti konservatyvesnį analizės rezultatą, analizėje taiko HER2CLIMB klinikiniame tyrime nustatytas gyvenimo kokybės įverčių reikšmes </w:t>
      </w:r>
      <w:proofErr w:type="spellStart"/>
      <w:r>
        <w:t>abiems</w:t>
      </w:r>
      <w:proofErr w:type="spellEnd"/>
      <w:r>
        <w:t xml:space="preserve"> pacientų grupėms;</w:t>
      </w:r>
    </w:p>
    <w:p w14:paraId="2B7B61ED" w14:textId="77777777" w:rsidR="00F30257" w:rsidRPr="001531C6" w:rsidRDefault="00F30257" w:rsidP="00F41262">
      <w:pPr>
        <w:pStyle w:val="ListParagraph"/>
        <w:numPr>
          <w:ilvl w:val="0"/>
          <w:numId w:val="13"/>
        </w:numPr>
        <w:tabs>
          <w:tab w:val="left" w:pos="567"/>
        </w:tabs>
        <w:spacing w:line="360" w:lineRule="auto"/>
        <w:jc w:val="both"/>
        <w:rPr>
          <w:bCs/>
          <w:lang w:eastAsia="lt-LT"/>
        </w:rPr>
      </w:pPr>
      <w:r>
        <w:t xml:space="preserve">Tarnybos nuomone, taikomas skirtingas dozės intensyvumo koeficientas skirtingiems vaistams gali nuvertinti </w:t>
      </w:r>
      <w:proofErr w:type="spellStart"/>
      <w:r>
        <w:t>tukatinibo</w:t>
      </w:r>
      <w:proofErr w:type="spellEnd"/>
      <w:r>
        <w:t xml:space="preserve"> gydymo kaštus. Atsižvelgiant į  tai, kad tikrasis dozės intensyvumas Lietuvos klinikinėje praktikoje yra neaiškus, pagrindinio atvejo analizėje yra taikomas 100 proc. dozės intensyvumo koeficientas visiems vaistiniams preparatams. </w:t>
      </w:r>
    </w:p>
    <w:p w14:paraId="3D08E279" w14:textId="38AA6275" w:rsidR="00D933D5" w:rsidRPr="001531C6" w:rsidRDefault="00F30257" w:rsidP="00710EC8">
      <w:pPr>
        <w:shd w:val="clear" w:color="auto" w:fill="FFFFFF"/>
        <w:spacing w:line="360" w:lineRule="auto"/>
        <w:jc w:val="both"/>
        <w:rPr>
          <w:rFonts w:eastAsia="Arial"/>
        </w:rPr>
      </w:pPr>
      <w:r w:rsidRPr="001531C6">
        <w:rPr>
          <w:rFonts w:eastAsia="Arial"/>
        </w:rPr>
        <w:t xml:space="preserve">Atlikus pagrindinio atvejo analizės rezultato perskaičiavimą bei išnagrinėjus jautrumo analizių rezultatus, </w:t>
      </w:r>
      <w:r>
        <w:rPr>
          <w:rFonts w:eastAsia="Arial"/>
        </w:rPr>
        <w:t xml:space="preserve">nustatyta, jog referencinė kaštų naudingumo vertė yra viršijama beveik pusėje simuliacijų ir tikimybė, jog vaistas bus kaštams naudingas yra </w:t>
      </w:r>
      <w:r w:rsidR="0015092D">
        <w:rPr>
          <w:rFonts w:eastAsia="Arial"/>
        </w:rPr>
        <w:t xml:space="preserve"> **** </w:t>
      </w:r>
      <w:r>
        <w:rPr>
          <w:rFonts w:eastAsia="Arial"/>
        </w:rPr>
        <w:t>. At</w:t>
      </w:r>
      <w:r w:rsidR="0015092D">
        <w:rPr>
          <w:rFonts w:eastAsia="Arial"/>
        </w:rPr>
        <w:t>si</w:t>
      </w:r>
      <w:r>
        <w:rPr>
          <w:rFonts w:eastAsia="Arial"/>
        </w:rPr>
        <w:t xml:space="preserve">žvelgiant, jog analizės rezultatas, keičiant kintamųjų įverčius </w:t>
      </w:r>
      <w:proofErr w:type="spellStart"/>
      <w:r>
        <w:rPr>
          <w:rFonts w:eastAsia="Arial"/>
        </w:rPr>
        <w:t>pasikliautinųjų</w:t>
      </w:r>
      <w:proofErr w:type="spellEnd"/>
      <w:r>
        <w:rPr>
          <w:rFonts w:eastAsia="Arial"/>
        </w:rPr>
        <w:t xml:space="preserve"> intervalų ribose, kinta plačiame intervale ir viršija referencinę kaštų naudingumo vertę, Tarnyba vertina, jog analizėje yra didelė klaidingo teigiamo sprendimo priėmimo rizika. </w:t>
      </w:r>
      <w:r w:rsidR="00D933D5">
        <w:rPr>
          <w:rFonts w:eastAsia="Arial"/>
        </w:rPr>
        <w:t xml:space="preserve">Dėl šios priežasties, Tarnyba mano, jog </w:t>
      </w:r>
      <w:proofErr w:type="spellStart"/>
      <w:r w:rsidR="00D933D5">
        <w:rPr>
          <w:rFonts w:eastAsia="Arial"/>
        </w:rPr>
        <w:t>Tukysa</w:t>
      </w:r>
      <w:proofErr w:type="spellEnd"/>
      <w:r w:rsidR="00D933D5">
        <w:rPr>
          <w:rFonts w:eastAsia="Arial"/>
        </w:rPr>
        <w:t xml:space="preserve"> (</w:t>
      </w:r>
      <w:proofErr w:type="spellStart"/>
      <w:r w:rsidR="00D933D5">
        <w:rPr>
          <w:rFonts w:eastAsia="Arial"/>
        </w:rPr>
        <w:t>tukatinibo</w:t>
      </w:r>
      <w:proofErr w:type="spellEnd"/>
      <w:r w:rsidR="00D933D5">
        <w:rPr>
          <w:rFonts w:eastAsia="Arial"/>
        </w:rPr>
        <w:t xml:space="preserve">) kaštų naudingumas turėtų būti pagerintas papildomai sumažinus vaistinio preparato kainą maždaug </w:t>
      </w:r>
      <w:r w:rsidR="0015092D">
        <w:rPr>
          <w:rFonts w:eastAsia="Arial"/>
        </w:rPr>
        <w:t>****.</w:t>
      </w:r>
      <w:r w:rsidR="00D933D5">
        <w:rPr>
          <w:rFonts w:eastAsia="Arial"/>
        </w:rPr>
        <w:t xml:space="preserve"> </w:t>
      </w:r>
    </w:p>
    <w:p w14:paraId="37687AF1" w14:textId="2C76714B" w:rsidR="00F30257" w:rsidRPr="001531C6" w:rsidRDefault="00F30257" w:rsidP="00F41262">
      <w:pPr>
        <w:shd w:val="clear" w:color="auto" w:fill="FFFFFF"/>
        <w:spacing w:line="360" w:lineRule="auto"/>
        <w:jc w:val="both"/>
        <w:rPr>
          <w:rFonts w:eastAsia="Arial"/>
        </w:rPr>
      </w:pPr>
    </w:p>
    <w:p w14:paraId="483862C0" w14:textId="77777777" w:rsidR="00F30257" w:rsidRPr="00E33EFF" w:rsidRDefault="00F30257" w:rsidP="00F41262">
      <w:pPr>
        <w:tabs>
          <w:tab w:val="left" w:pos="426"/>
        </w:tabs>
        <w:spacing w:line="360" w:lineRule="auto"/>
        <w:rPr>
          <w:b/>
          <w:bCs/>
          <w:caps/>
        </w:rPr>
      </w:pPr>
    </w:p>
    <w:p w14:paraId="174D84D7" w14:textId="2A98EE7C" w:rsidR="0035172D" w:rsidRPr="00E33EFF" w:rsidRDefault="0035172D" w:rsidP="00F41262">
      <w:pPr>
        <w:tabs>
          <w:tab w:val="left" w:pos="426"/>
        </w:tabs>
        <w:spacing w:line="360" w:lineRule="auto"/>
        <w:rPr>
          <w:b/>
          <w:lang w:eastAsia="lt-LT"/>
        </w:rPr>
      </w:pPr>
      <w:r w:rsidRPr="00E33EFF">
        <w:rPr>
          <w:b/>
          <w:lang w:eastAsia="lt-LT"/>
        </w:rPr>
        <w:t>Ekonominės analizės rezultatas</w:t>
      </w:r>
    </w:p>
    <w:p w14:paraId="4801D227" w14:textId="77777777" w:rsidR="009E44AE" w:rsidRPr="00E33EFF" w:rsidRDefault="009E44AE" w:rsidP="00F41262">
      <w:pPr>
        <w:tabs>
          <w:tab w:val="left" w:pos="426"/>
        </w:tabs>
        <w:spacing w:line="360" w:lineRule="auto"/>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F41262">
            <w:pPr>
              <w:tabs>
                <w:tab w:val="left" w:pos="567"/>
              </w:tabs>
              <w:spacing w:line="360" w:lineRule="auto"/>
              <w:jc w:val="center"/>
              <w:rPr>
                <w:b/>
                <w:bCs/>
                <w:sz w:val="26"/>
                <w:szCs w:val="26"/>
                <w:lang w:eastAsia="lt-LT"/>
              </w:rPr>
            </w:pPr>
            <w:r w:rsidRPr="00E33EFF">
              <w:rPr>
                <w:b/>
                <w:bCs/>
                <w:sz w:val="26"/>
                <w:szCs w:val="26"/>
                <w:lang w:eastAsia="lt-LT"/>
              </w:rPr>
              <w:t>Rezultatai</w:t>
            </w:r>
          </w:p>
        </w:tc>
      </w:tr>
      <w:tr w:rsidR="00BA5DBC" w:rsidRPr="00E33EFF" w14:paraId="319AF392" w14:textId="77777777" w:rsidTr="00BE7489">
        <w:trPr>
          <w:trHeight w:val="267"/>
          <w:jc w:val="center"/>
        </w:trPr>
        <w:tc>
          <w:tcPr>
            <w:tcW w:w="6200" w:type="dxa"/>
            <w:tcBorders>
              <w:left w:val="single" w:sz="4" w:space="0" w:color="auto"/>
            </w:tcBorders>
          </w:tcPr>
          <w:p w14:paraId="44CD8D27" w14:textId="27245A0B" w:rsidR="00BA5DBC" w:rsidRPr="00E33EFF" w:rsidRDefault="00BA5DBC" w:rsidP="00F41262">
            <w:pPr>
              <w:tabs>
                <w:tab w:val="left" w:pos="567"/>
              </w:tabs>
              <w:spacing w:line="360" w:lineRule="auto"/>
              <w:jc w:val="right"/>
              <w:rPr>
                <w:iCs/>
                <w:lang w:eastAsia="lt-LT"/>
              </w:rPr>
            </w:pPr>
            <w:r w:rsidRPr="00E33EFF">
              <w:rPr>
                <w:iCs/>
                <w:lang w:eastAsia="lt-LT"/>
              </w:rPr>
              <w:t>Kaštų skirtumas</w:t>
            </w:r>
          </w:p>
        </w:tc>
        <w:tc>
          <w:tcPr>
            <w:tcW w:w="3238" w:type="dxa"/>
            <w:tcBorders>
              <w:right w:val="single" w:sz="4" w:space="0" w:color="auto"/>
            </w:tcBorders>
          </w:tcPr>
          <w:p w14:paraId="1CACF0B4" w14:textId="0C4D8CEA" w:rsidR="00BA5DBC" w:rsidRPr="00E33EFF" w:rsidRDefault="001B2F2E" w:rsidP="00F41262">
            <w:pPr>
              <w:tabs>
                <w:tab w:val="left" w:pos="567"/>
              </w:tabs>
              <w:spacing w:line="360" w:lineRule="auto"/>
              <w:jc w:val="both"/>
              <w:rPr>
                <w:i/>
                <w:iCs/>
                <w:lang w:eastAsia="lt-LT"/>
              </w:rPr>
            </w:pPr>
            <w:r>
              <w:rPr>
                <w:i/>
                <w:iCs/>
                <w:lang w:eastAsia="lt-LT"/>
              </w:rPr>
              <w:t>***</w:t>
            </w:r>
          </w:p>
        </w:tc>
      </w:tr>
      <w:tr w:rsidR="00BA5DBC" w:rsidRPr="00E33EFF" w14:paraId="49F818A3" w14:textId="77777777" w:rsidTr="00BE7489">
        <w:trPr>
          <w:trHeight w:val="267"/>
          <w:jc w:val="center"/>
        </w:trPr>
        <w:tc>
          <w:tcPr>
            <w:tcW w:w="6200" w:type="dxa"/>
            <w:tcBorders>
              <w:left w:val="single" w:sz="4" w:space="0" w:color="auto"/>
            </w:tcBorders>
          </w:tcPr>
          <w:p w14:paraId="021DB925" w14:textId="389F1BF5" w:rsidR="00BA5DBC" w:rsidRPr="00E33EFF" w:rsidRDefault="00BA5DBC" w:rsidP="00F41262">
            <w:pPr>
              <w:tabs>
                <w:tab w:val="left" w:pos="567"/>
              </w:tabs>
              <w:spacing w:line="360" w:lineRule="auto"/>
              <w:jc w:val="right"/>
              <w:rPr>
                <w:iCs/>
                <w:lang w:eastAsia="lt-LT"/>
              </w:rPr>
            </w:pPr>
            <w:r w:rsidRPr="00E33EFF">
              <w:rPr>
                <w:iCs/>
                <w:lang w:eastAsia="lt-LT"/>
              </w:rPr>
              <w:t>Papildomi gyvenimo metai (LY)</w:t>
            </w:r>
          </w:p>
        </w:tc>
        <w:tc>
          <w:tcPr>
            <w:tcW w:w="3238" w:type="dxa"/>
            <w:tcBorders>
              <w:right w:val="single" w:sz="4" w:space="0" w:color="auto"/>
            </w:tcBorders>
          </w:tcPr>
          <w:p w14:paraId="4954817B" w14:textId="52E8F04D" w:rsidR="00BA5DBC" w:rsidRPr="00E33EFF" w:rsidRDefault="001B2F2E" w:rsidP="00F41262">
            <w:pPr>
              <w:tabs>
                <w:tab w:val="left" w:pos="567"/>
              </w:tabs>
              <w:spacing w:line="360" w:lineRule="auto"/>
              <w:jc w:val="both"/>
              <w:rPr>
                <w:i/>
                <w:iCs/>
                <w:lang w:eastAsia="lt-LT"/>
              </w:rPr>
            </w:pPr>
            <w:r>
              <w:rPr>
                <w:i/>
                <w:iCs/>
                <w:lang w:eastAsia="lt-LT"/>
              </w:rPr>
              <w:t>***</w:t>
            </w:r>
          </w:p>
        </w:tc>
      </w:tr>
      <w:tr w:rsidR="00BA5DBC" w:rsidRPr="00E33EFF" w14:paraId="20ADA742" w14:textId="77777777" w:rsidTr="00BE7489">
        <w:trPr>
          <w:trHeight w:val="267"/>
          <w:jc w:val="center"/>
        </w:trPr>
        <w:tc>
          <w:tcPr>
            <w:tcW w:w="6200" w:type="dxa"/>
            <w:tcBorders>
              <w:left w:val="single" w:sz="4" w:space="0" w:color="auto"/>
            </w:tcBorders>
          </w:tcPr>
          <w:p w14:paraId="0F567576" w14:textId="2606A2E9" w:rsidR="00BA5DBC" w:rsidRPr="00E33EFF" w:rsidRDefault="0058712F" w:rsidP="00F41262">
            <w:pPr>
              <w:tabs>
                <w:tab w:val="left" w:pos="567"/>
              </w:tabs>
              <w:spacing w:line="360" w:lineRule="auto"/>
              <w:jc w:val="right"/>
              <w:rPr>
                <w:iCs/>
                <w:lang w:eastAsia="lt-LT"/>
              </w:rPr>
            </w:pPr>
            <w:r w:rsidRPr="00E33EFF">
              <w:rPr>
                <w:iCs/>
                <w:lang w:eastAsia="lt-LT"/>
              </w:rPr>
              <w:t>Papildomi k</w:t>
            </w:r>
            <w:r w:rsidR="00BA5DBC" w:rsidRPr="00E33EFF">
              <w:rPr>
                <w:iCs/>
                <w:lang w:eastAsia="lt-LT"/>
              </w:rPr>
              <w:t>okybiški gyvenimo metai (QALY)</w:t>
            </w:r>
          </w:p>
        </w:tc>
        <w:tc>
          <w:tcPr>
            <w:tcW w:w="3238" w:type="dxa"/>
            <w:tcBorders>
              <w:right w:val="single" w:sz="4" w:space="0" w:color="auto"/>
            </w:tcBorders>
          </w:tcPr>
          <w:p w14:paraId="02E4DAE1" w14:textId="6643DE59" w:rsidR="00BA5DBC" w:rsidRPr="00E33EFF" w:rsidRDefault="001B2F2E" w:rsidP="00F41262">
            <w:pPr>
              <w:tabs>
                <w:tab w:val="left" w:pos="567"/>
              </w:tabs>
              <w:spacing w:line="360" w:lineRule="auto"/>
              <w:jc w:val="both"/>
              <w:rPr>
                <w:i/>
                <w:iCs/>
                <w:lang w:eastAsia="lt-LT"/>
              </w:rPr>
            </w:pPr>
            <w:r>
              <w:rPr>
                <w:i/>
                <w:iCs/>
                <w:lang w:eastAsia="lt-LT"/>
              </w:rPr>
              <w:t>***</w:t>
            </w:r>
          </w:p>
        </w:tc>
      </w:tr>
      <w:tr w:rsidR="00BA5DBC" w:rsidRPr="00E33EFF" w14:paraId="1FADA2B3" w14:textId="77777777" w:rsidTr="00BE7489">
        <w:trPr>
          <w:trHeight w:val="267"/>
          <w:jc w:val="center"/>
        </w:trPr>
        <w:tc>
          <w:tcPr>
            <w:tcW w:w="6200" w:type="dxa"/>
            <w:tcBorders>
              <w:left w:val="single" w:sz="4" w:space="0" w:color="auto"/>
            </w:tcBorders>
          </w:tcPr>
          <w:p w14:paraId="13E089E8" w14:textId="0BCEB339" w:rsidR="00BA5DBC" w:rsidRPr="00E33EFF" w:rsidRDefault="00BA5DBC" w:rsidP="00F41262">
            <w:pPr>
              <w:tabs>
                <w:tab w:val="left" w:pos="567"/>
              </w:tabs>
              <w:spacing w:line="360" w:lineRule="auto"/>
              <w:jc w:val="right"/>
              <w:rPr>
                <w:iCs/>
                <w:lang w:eastAsia="lt-LT"/>
              </w:rPr>
            </w:pPr>
            <w:r w:rsidRPr="00E33EFF">
              <w:rPr>
                <w:iCs/>
                <w:lang w:eastAsia="lt-LT"/>
              </w:rPr>
              <w:t>ICER už LY</w:t>
            </w:r>
          </w:p>
        </w:tc>
        <w:tc>
          <w:tcPr>
            <w:tcW w:w="3238" w:type="dxa"/>
            <w:tcBorders>
              <w:right w:val="single" w:sz="4" w:space="0" w:color="auto"/>
            </w:tcBorders>
          </w:tcPr>
          <w:p w14:paraId="2817448D" w14:textId="1CE0CC29" w:rsidR="00BA5DBC" w:rsidRPr="00E33EFF" w:rsidRDefault="001B2F2E" w:rsidP="00F41262">
            <w:pPr>
              <w:tabs>
                <w:tab w:val="left" w:pos="567"/>
              </w:tabs>
              <w:spacing w:line="360" w:lineRule="auto"/>
              <w:jc w:val="both"/>
              <w:rPr>
                <w:i/>
                <w:iCs/>
                <w:lang w:eastAsia="lt-LT"/>
              </w:rPr>
            </w:pPr>
            <w:r>
              <w:rPr>
                <w:i/>
                <w:iCs/>
                <w:lang w:eastAsia="lt-LT"/>
              </w:rPr>
              <w:t>***</w:t>
            </w:r>
          </w:p>
        </w:tc>
      </w:tr>
      <w:tr w:rsidR="009E44AE" w:rsidRPr="00E33EFF" w14:paraId="250DE960" w14:textId="77777777" w:rsidTr="00BE7489">
        <w:trPr>
          <w:trHeight w:val="267"/>
          <w:jc w:val="center"/>
        </w:trPr>
        <w:tc>
          <w:tcPr>
            <w:tcW w:w="6200" w:type="dxa"/>
            <w:tcBorders>
              <w:left w:val="single" w:sz="4" w:space="0" w:color="auto"/>
            </w:tcBorders>
          </w:tcPr>
          <w:p w14:paraId="207EFB23" w14:textId="77777777" w:rsidR="009E44AE" w:rsidRPr="00E33EFF" w:rsidRDefault="009E44AE" w:rsidP="00F41262">
            <w:pPr>
              <w:tabs>
                <w:tab w:val="left" w:pos="567"/>
              </w:tabs>
              <w:spacing w:line="360" w:lineRule="auto"/>
              <w:jc w:val="right"/>
              <w:rPr>
                <w:iCs/>
                <w:lang w:eastAsia="lt-LT"/>
              </w:rPr>
            </w:pPr>
            <w:r w:rsidRPr="00E33EFF">
              <w:rPr>
                <w:iCs/>
                <w:lang w:eastAsia="lt-LT"/>
              </w:rPr>
              <w:t>ICER už QALY</w:t>
            </w:r>
          </w:p>
        </w:tc>
        <w:tc>
          <w:tcPr>
            <w:tcW w:w="3238" w:type="dxa"/>
            <w:tcBorders>
              <w:right w:val="single" w:sz="4" w:space="0" w:color="auto"/>
            </w:tcBorders>
          </w:tcPr>
          <w:p w14:paraId="4275320D" w14:textId="32087741" w:rsidR="009E44AE" w:rsidRPr="00E33EFF" w:rsidRDefault="001B2F2E" w:rsidP="00F41262">
            <w:pPr>
              <w:tabs>
                <w:tab w:val="left" w:pos="567"/>
              </w:tabs>
              <w:spacing w:line="360" w:lineRule="auto"/>
              <w:jc w:val="both"/>
              <w:rPr>
                <w:i/>
                <w:iCs/>
                <w:lang w:eastAsia="lt-LT"/>
              </w:rPr>
            </w:pPr>
            <w:r>
              <w:rPr>
                <w:i/>
                <w:iCs/>
                <w:lang w:eastAsia="lt-LT"/>
              </w:rPr>
              <w:t>***</w:t>
            </w:r>
          </w:p>
        </w:tc>
      </w:tr>
      <w:tr w:rsidR="009E44AE" w:rsidRPr="00E33EFF"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E33EFF" w:rsidRDefault="009E44AE" w:rsidP="00F41262">
            <w:pPr>
              <w:tabs>
                <w:tab w:val="left" w:pos="567"/>
              </w:tabs>
              <w:spacing w:line="360" w:lineRule="auto"/>
              <w:jc w:val="right"/>
              <w:rPr>
                <w:iCs/>
                <w:lang w:eastAsia="lt-LT"/>
              </w:rPr>
            </w:pPr>
            <w:r w:rsidRPr="00E33EFF">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3E60ABAE" w:rsidR="009E44AE" w:rsidRPr="00E33EFF" w:rsidRDefault="001B2F2E" w:rsidP="00F41262">
            <w:pPr>
              <w:tabs>
                <w:tab w:val="left" w:pos="567"/>
              </w:tabs>
              <w:spacing w:line="360" w:lineRule="auto"/>
              <w:jc w:val="both"/>
              <w:rPr>
                <w:i/>
                <w:iCs/>
                <w:lang w:eastAsia="lt-LT"/>
              </w:rPr>
            </w:pPr>
            <w:r>
              <w:rPr>
                <w:i/>
                <w:iCs/>
                <w:lang w:eastAsia="lt-LT"/>
              </w:rPr>
              <w:t>***</w:t>
            </w:r>
          </w:p>
        </w:tc>
      </w:tr>
    </w:tbl>
    <w:p w14:paraId="5FC8C737" w14:textId="4136B7F4" w:rsidR="0035172D" w:rsidRPr="00E33EFF" w:rsidRDefault="00E5102E" w:rsidP="00F41262">
      <w:pPr>
        <w:tabs>
          <w:tab w:val="left" w:pos="567"/>
        </w:tabs>
        <w:spacing w:line="360" w:lineRule="auto"/>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 xml:space="preserve">angl. </w:t>
      </w:r>
      <w:proofErr w:type="spellStart"/>
      <w:r w:rsidR="00453862" w:rsidRPr="00E33EFF">
        <w:rPr>
          <w:i/>
          <w:sz w:val="20"/>
          <w:lang w:eastAsia="lt-LT"/>
        </w:rPr>
        <w:t>incremental</w:t>
      </w:r>
      <w:proofErr w:type="spellEnd"/>
      <w:r w:rsidR="00453862" w:rsidRPr="00E33EFF">
        <w:rPr>
          <w:i/>
          <w:sz w:val="20"/>
          <w:lang w:eastAsia="lt-LT"/>
        </w:rPr>
        <w:t xml:space="preserve"> </w:t>
      </w:r>
      <w:proofErr w:type="spellStart"/>
      <w:r w:rsidR="00453862" w:rsidRPr="00E33EFF">
        <w:rPr>
          <w:i/>
          <w:sz w:val="20"/>
          <w:lang w:eastAsia="lt-LT"/>
        </w:rPr>
        <w:t>cost-effectiveness</w:t>
      </w:r>
      <w:proofErr w:type="spellEnd"/>
      <w:r w:rsidR="00453862" w:rsidRPr="00E33EFF">
        <w:rPr>
          <w:i/>
          <w:sz w:val="20"/>
          <w:lang w:eastAsia="lt-LT"/>
        </w:rPr>
        <w:t xml:space="preserve"> </w:t>
      </w:r>
      <w:proofErr w:type="spellStart"/>
      <w:r w:rsidR="00453862" w:rsidRPr="00E33EFF">
        <w:rPr>
          <w:i/>
          <w:sz w:val="20"/>
          <w:lang w:eastAsia="lt-LT"/>
        </w:rPr>
        <w:t>ratio</w:t>
      </w:r>
      <w:proofErr w:type="spellEnd"/>
      <w:r w:rsidR="00453862" w:rsidRPr="00E33EFF">
        <w:rPr>
          <w:iCs/>
          <w:sz w:val="20"/>
          <w:lang w:eastAsia="lt-LT"/>
        </w:rPr>
        <w:t xml:space="preserve">) </w:t>
      </w:r>
      <w:proofErr w:type="spellStart"/>
      <w:r w:rsidR="00453862" w:rsidRPr="00E33EFF">
        <w:rPr>
          <w:iCs/>
          <w:sz w:val="20"/>
          <w:lang w:eastAsia="lt-LT"/>
        </w:rPr>
        <w:t>inkrementinis</w:t>
      </w:r>
      <w:proofErr w:type="spellEnd"/>
      <w:r w:rsidR="00453862" w:rsidRPr="00E33EFF">
        <w:rPr>
          <w:iCs/>
          <w:sz w:val="20"/>
          <w:lang w:eastAsia="lt-LT"/>
        </w:rPr>
        <w:t xml:space="preserve">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 xml:space="preserve">angl. </w:t>
      </w:r>
      <w:proofErr w:type="spellStart"/>
      <w:r w:rsidR="00453862" w:rsidRPr="00E33EFF">
        <w:rPr>
          <w:i/>
          <w:sz w:val="20"/>
          <w:lang w:eastAsia="lt-LT"/>
        </w:rPr>
        <w:t>life</w:t>
      </w:r>
      <w:proofErr w:type="spellEnd"/>
      <w:r w:rsidR="00453862" w:rsidRPr="00E33EFF">
        <w:rPr>
          <w:i/>
          <w:sz w:val="20"/>
          <w:lang w:eastAsia="lt-LT"/>
        </w:rPr>
        <w:t xml:space="preserve"> </w:t>
      </w:r>
      <w:proofErr w:type="spellStart"/>
      <w:r w:rsidR="00453862" w:rsidRPr="00E33EFF">
        <w:rPr>
          <w:i/>
          <w:sz w:val="20"/>
          <w:lang w:eastAsia="lt-LT"/>
        </w:rPr>
        <w:t>years</w:t>
      </w:r>
      <w:proofErr w:type="spellEnd"/>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w:t>
      </w:r>
      <w:proofErr w:type="spellStart"/>
      <w:r w:rsidR="00453862" w:rsidRPr="00E33EFF">
        <w:rPr>
          <w:i/>
          <w:sz w:val="20"/>
          <w:lang w:eastAsia="lt-LT"/>
        </w:rPr>
        <w:t>quality</w:t>
      </w:r>
      <w:proofErr w:type="spellEnd"/>
      <w:r w:rsidR="00453862" w:rsidRPr="00E33EFF">
        <w:rPr>
          <w:i/>
          <w:sz w:val="20"/>
          <w:lang w:eastAsia="lt-LT"/>
        </w:rPr>
        <w:t xml:space="preserve"> </w:t>
      </w:r>
      <w:proofErr w:type="spellStart"/>
      <w:r w:rsidR="00453862" w:rsidRPr="00E33EFF">
        <w:rPr>
          <w:i/>
          <w:sz w:val="20"/>
          <w:lang w:eastAsia="lt-LT"/>
        </w:rPr>
        <w:t>adjusted</w:t>
      </w:r>
      <w:proofErr w:type="spellEnd"/>
      <w:r w:rsidR="00453862" w:rsidRPr="00E33EFF">
        <w:rPr>
          <w:i/>
          <w:sz w:val="20"/>
          <w:lang w:eastAsia="lt-LT"/>
        </w:rPr>
        <w:t xml:space="preserve"> </w:t>
      </w:r>
      <w:proofErr w:type="spellStart"/>
      <w:r w:rsidR="00453862" w:rsidRPr="00E33EFF">
        <w:rPr>
          <w:i/>
          <w:sz w:val="20"/>
          <w:lang w:eastAsia="lt-LT"/>
        </w:rPr>
        <w:t>life</w:t>
      </w:r>
      <w:proofErr w:type="spellEnd"/>
      <w:r w:rsidR="00453862" w:rsidRPr="00E33EFF">
        <w:rPr>
          <w:i/>
          <w:sz w:val="20"/>
          <w:lang w:eastAsia="lt-LT"/>
        </w:rPr>
        <w:t xml:space="preserve"> </w:t>
      </w:r>
      <w:proofErr w:type="spellStart"/>
      <w:r w:rsidR="00453862" w:rsidRPr="00E33EFF">
        <w:rPr>
          <w:i/>
          <w:sz w:val="20"/>
          <w:lang w:eastAsia="lt-LT"/>
        </w:rPr>
        <w:t>years</w:t>
      </w:r>
      <w:proofErr w:type="spellEnd"/>
      <w:r w:rsidR="00453862" w:rsidRPr="00E33EFF">
        <w:rPr>
          <w:i/>
          <w:sz w:val="20"/>
          <w:lang w:eastAsia="lt-LT"/>
        </w:rPr>
        <w:t xml:space="preserve">) </w:t>
      </w:r>
      <w:r w:rsidR="00453862" w:rsidRPr="00E33EFF">
        <w:rPr>
          <w:iCs/>
          <w:sz w:val="20"/>
          <w:lang w:eastAsia="lt-LT"/>
        </w:rPr>
        <w:t>kokybiški gyvenimo metai.</w:t>
      </w:r>
    </w:p>
    <w:p w14:paraId="33875138" w14:textId="77777777" w:rsidR="0035172D" w:rsidRPr="00E33EFF" w:rsidRDefault="0035172D" w:rsidP="00F41262">
      <w:pPr>
        <w:tabs>
          <w:tab w:val="left" w:pos="426"/>
        </w:tabs>
        <w:spacing w:line="360" w:lineRule="auto"/>
        <w:rPr>
          <w:b/>
          <w:bCs/>
          <w:caps/>
        </w:rPr>
      </w:pPr>
    </w:p>
    <w:p w14:paraId="4FC424F9" w14:textId="4E767245" w:rsidR="00C62B36" w:rsidRPr="00E33EFF" w:rsidRDefault="00C62B36" w:rsidP="00F41262">
      <w:pPr>
        <w:pStyle w:val="ListParagraph"/>
        <w:numPr>
          <w:ilvl w:val="0"/>
          <w:numId w:val="12"/>
        </w:numPr>
        <w:tabs>
          <w:tab w:val="left" w:pos="567"/>
        </w:tabs>
        <w:spacing w:line="360" w:lineRule="auto"/>
        <w:ind w:hanging="720"/>
        <w:rPr>
          <w:b/>
          <w:bCs/>
          <w:caps/>
        </w:rPr>
      </w:pPr>
      <w:r w:rsidRPr="00E33EFF">
        <w:rPr>
          <w:b/>
          <w:bCs/>
          <w:caps/>
        </w:rPr>
        <w:t xml:space="preserve">Pacientų organizacijų pateikti duomenys </w:t>
      </w:r>
    </w:p>
    <w:p w14:paraId="79BCFF40" w14:textId="1992DF4A" w:rsidR="00937907" w:rsidRPr="00E33EFF" w:rsidRDefault="00000000" w:rsidP="00F41262">
      <w:pPr>
        <w:spacing w:after="120" w:line="360"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05AB5DF2" w:rsidR="00937907" w:rsidRPr="00E33EFF" w:rsidRDefault="00000000" w:rsidP="00F41262">
      <w:pPr>
        <w:spacing w:after="120" w:line="360"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041A8B">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F41262">
      <w:pPr>
        <w:spacing w:after="120" w:line="360" w:lineRule="auto"/>
        <w:jc w:val="both"/>
      </w:pPr>
    </w:p>
    <w:p w14:paraId="3D3277FA" w14:textId="3CEEB2D2" w:rsidR="00C62B36" w:rsidRPr="00E33EFF" w:rsidRDefault="00C62B36" w:rsidP="00F41262">
      <w:pPr>
        <w:pStyle w:val="ListParagraph"/>
        <w:numPr>
          <w:ilvl w:val="0"/>
          <w:numId w:val="12"/>
        </w:numPr>
        <w:tabs>
          <w:tab w:val="left" w:pos="567"/>
        </w:tabs>
        <w:spacing w:line="360" w:lineRule="auto"/>
        <w:ind w:hanging="720"/>
        <w:rPr>
          <w:b/>
          <w:bCs/>
          <w:caps/>
        </w:rPr>
      </w:pPr>
      <w:r w:rsidRPr="00E33EFF">
        <w:rPr>
          <w:b/>
          <w:bCs/>
          <w:caps/>
        </w:rPr>
        <w:t>Gydytojų organizacijų pateikti duomenys</w:t>
      </w:r>
    </w:p>
    <w:p w14:paraId="389A346C" w14:textId="17184B64" w:rsidR="00937907" w:rsidRPr="00E33EFF" w:rsidRDefault="00000000" w:rsidP="00F41262">
      <w:pPr>
        <w:spacing w:after="120" w:line="360"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18D6243F" w:rsidR="00662983" w:rsidRPr="00E33EFF" w:rsidRDefault="00000000" w:rsidP="00F41262">
      <w:pPr>
        <w:spacing w:after="120" w:line="360"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041A8B">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F41262">
      <w:pPr>
        <w:spacing w:after="120" w:line="360" w:lineRule="auto"/>
        <w:jc w:val="both"/>
      </w:pPr>
    </w:p>
    <w:p w14:paraId="78F23ECB" w14:textId="23A3A002" w:rsidR="002F0E4F" w:rsidRPr="00E33EFF" w:rsidRDefault="002F0E4F" w:rsidP="00F41262">
      <w:pPr>
        <w:pStyle w:val="ListParagraph"/>
        <w:numPr>
          <w:ilvl w:val="0"/>
          <w:numId w:val="12"/>
        </w:numPr>
        <w:tabs>
          <w:tab w:val="left" w:pos="567"/>
        </w:tabs>
        <w:spacing w:line="360" w:lineRule="auto"/>
        <w:ind w:hanging="720"/>
        <w:rPr>
          <w:b/>
          <w:bCs/>
          <w:caps/>
        </w:rPr>
      </w:pPr>
      <w:r w:rsidRPr="00E33EFF">
        <w:rPr>
          <w:b/>
          <w:bCs/>
          <w:caps/>
        </w:rPr>
        <w:t xml:space="preserve">Išvada </w:t>
      </w:r>
    </w:p>
    <w:p w14:paraId="08D5B3B6" w14:textId="6A394A31" w:rsidR="0061611B" w:rsidRPr="00E33EFF" w:rsidRDefault="0061611B" w:rsidP="00F41262">
      <w:pPr>
        <w:spacing w:line="360" w:lineRule="auto"/>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7CF29042"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041A8B">
                  <w:rPr>
                    <w:rStyle w:val="Style2"/>
                    <w:rFonts w:ascii="MS Gothic" w:eastAsia="MS Gothic" w:hAnsi="MS Gothic" w:hint="eastAsia"/>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91082A9"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041A8B">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4C23BD">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4C23BD">
            <w:pPr>
              <w:jc w:val="both"/>
            </w:pPr>
          </w:p>
          <w:p w14:paraId="0ADEC30D" w14:textId="1353964F" w:rsidR="00B13D65" w:rsidRPr="00E33EFF" w:rsidRDefault="00000000" w:rsidP="004C23BD">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6E0955D2"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taikant</w:t>
            </w:r>
            <w:r w:rsidR="00F30257">
              <w:t xml:space="preserve"> PGS</w:t>
            </w:r>
          </w:p>
          <w:p w14:paraId="3F76F153" w14:textId="77777777" w:rsidR="00662983" w:rsidRPr="00E33EFF" w:rsidRDefault="00662983"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DEF585B"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taikant </w:t>
            </w:r>
            <w:r w:rsidR="00F30257">
              <w:t>PGS</w:t>
            </w:r>
            <w:r w:rsidR="00B00959" w:rsidRPr="00E33EFF">
              <w:t>, lyginant su įprasta klinikine praktika</w:t>
            </w:r>
          </w:p>
          <w:p w14:paraId="25E4BD1E" w14:textId="77777777" w:rsidR="00B13D65" w:rsidRPr="00E33EFF" w:rsidRDefault="00B13D65"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09BC2B19"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D933D5">
                  <w:rPr>
                    <w:rStyle w:val="Style2"/>
                    <w:rFonts w:ascii="MS Gothic" w:eastAsia="MS Gothic" w:hAnsi="MS Gothic" w:cs="Segoe UI Symbol"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1619DF5D"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taikant</w:t>
            </w:r>
            <w:r w:rsidR="00F30257">
              <w:t xml:space="preserve"> PGS</w:t>
            </w:r>
            <w:r w:rsidR="00B00959" w:rsidRPr="00E33EFF">
              <w:t>, lyginant su įprasta klinikine praktika</w:t>
            </w:r>
          </w:p>
          <w:p w14:paraId="4A9C7D2A" w14:textId="77777777" w:rsidR="00662983" w:rsidRPr="00E33EFF" w:rsidRDefault="00662983"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70A48A4" w14:textId="525F9FD7" w:rsidR="00B13D65" w:rsidRPr="00E33EFF" w:rsidRDefault="00000000" w:rsidP="004C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tc>
      </w:tr>
    </w:tbl>
    <w:p w14:paraId="29A90384" w14:textId="4772D5ED" w:rsidR="004A3A61" w:rsidRPr="00E33EFF" w:rsidRDefault="004A3A61" w:rsidP="00F41262">
      <w:pPr>
        <w:spacing w:line="360" w:lineRule="auto"/>
      </w:pPr>
    </w:p>
    <w:p w14:paraId="1B85C083" w14:textId="77777777" w:rsidR="009E44AE" w:rsidRPr="00E33EFF" w:rsidRDefault="009E44AE" w:rsidP="00F41262">
      <w:pPr>
        <w:spacing w:line="360" w:lineRule="auto"/>
      </w:pPr>
    </w:p>
    <w:p w14:paraId="3B2D1F25" w14:textId="3A80E19F" w:rsidR="000001B0" w:rsidRPr="00E33EFF" w:rsidRDefault="000001B0" w:rsidP="00F41262">
      <w:pPr>
        <w:pStyle w:val="ListParagraph"/>
        <w:numPr>
          <w:ilvl w:val="0"/>
          <w:numId w:val="12"/>
        </w:numPr>
        <w:spacing w:line="360" w:lineRule="auto"/>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F41262">
      <w:pPr>
        <w:pStyle w:val="ListParagraph"/>
        <w:spacing w:line="360" w:lineRule="auto"/>
        <w:ind w:left="426"/>
      </w:pPr>
    </w:p>
    <w:p w14:paraId="2E704569" w14:textId="2018780B" w:rsidR="00D933D5" w:rsidRDefault="00D933D5" w:rsidP="00710EC8">
      <w:pPr>
        <w:spacing w:line="360" w:lineRule="auto"/>
        <w:ind w:firstLine="567"/>
        <w:jc w:val="both"/>
      </w:pPr>
      <w:r>
        <w:t>V</w:t>
      </w:r>
      <w:r w:rsidRPr="00E33EFF">
        <w:t xml:space="preserve">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34.4. rekomenduojama </w:t>
      </w:r>
      <w:r w:rsidRPr="00E33EFF">
        <w:rPr>
          <w:i/>
        </w:rPr>
        <w:t xml:space="preserve">nekompensuoti </w:t>
      </w:r>
      <w:r w:rsidRPr="00E33EFF">
        <w:t xml:space="preserve">vaistinio preparato pagal </w:t>
      </w:r>
      <w:r>
        <w:t xml:space="preserve">paraiškoje nurodytą </w:t>
      </w:r>
      <w:r w:rsidRPr="00E33EFF">
        <w:t>indikaciją</w:t>
      </w:r>
      <w:r>
        <w:t xml:space="preserve"> be skyrimo sąlygų, </w:t>
      </w:r>
      <w:r w:rsidRPr="00E33EFF">
        <w:t>ta</w:t>
      </w:r>
      <w:r>
        <w:t>ik</w:t>
      </w:r>
      <w:r w:rsidRPr="00E33EFF">
        <w:t>ant PGS dėl vertinimo išvadų</w:t>
      </w:r>
      <w:r>
        <w:t xml:space="preserve">, nurodytų 33.3 papunktyje (žr. 6 skyrių), </w:t>
      </w:r>
      <w:r w:rsidRPr="00E33EFF">
        <w:t xml:space="preserve"> neatitikties </w:t>
      </w:r>
      <w:r w:rsidRPr="003D6208">
        <w:t>34.1 papunktyje išdėstytoms sąlygoms</w:t>
      </w:r>
      <w:r>
        <w:t>.</w:t>
      </w:r>
    </w:p>
    <w:p w14:paraId="24238E1C" w14:textId="4004B8F7" w:rsidR="00D933D5" w:rsidRPr="00D71EAE" w:rsidRDefault="00D933D5" w:rsidP="00710EC8">
      <w:pPr>
        <w:spacing w:line="360" w:lineRule="auto"/>
        <w:ind w:firstLine="720"/>
        <w:jc w:val="both"/>
      </w:pPr>
      <w:r w:rsidRPr="00D71EAE">
        <w:t xml:space="preserve">Atsižvelgiant į tai, </w:t>
      </w:r>
      <w:proofErr w:type="spellStart"/>
      <w:r w:rsidR="00E47F95">
        <w:t>tukati</w:t>
      </w:r>
      <w:r>
        <w:t>n</w:t>
      </w:r>
      <w:r w:rsidR="00E47F95">
        <w:t>ib</w:t>
      </w:r>
      <w:r>
        <w:t>o</w:t>
      </w:r>
      <w:proofErr w:type="spellEnd"/>
      <w:r>
        <w:t xml:space="preserve"> </w:t>
      </w:r>
      <w:r w:rsidRPr="00D71EAE">
        <w:t>klinikinis veiksmingumas yra įvertintas kaip pagrindžiantis papildomos naudos pacientų sveikatai sukūrimą, lyginant su įprasta klinikine praktika,</w:t>
      </w:r>
      <w:r>
        <w:t xml:space="preserve"> Tarnyba</w:t>
      </w:r>
      <w:r w:rsidRPr="00D71EAE">
        <w:t xml:space="preserve"> vadovaudamasi Lietuvos Respublikos sveikatos apsaugos ministro 2002 m. balandžio 5 d. įsakymu Nr. 159 „Dėl Vaistinių preparatų ir medicinos pagalbos priemonių įrašymo į kompensavimo sąrašus ir jų keitimo tvarkos aprašo patvirtinimo“ 35 punktu, siūlo kompensuoti vaistinį preparatą </w:t>
      </w:r>
      <w:proofErr w:type="spellStart"/>
      <w:r>
        <w:t>tukatinibas</w:t>
      </w:r>
      <w:proofErr w:type="spellEnd"/>
      <w:r w:rsidRPr="00D71EAE">
        <w:t xml:space="preserve"> su sąlyga, jog kaštų naudingumas bus pagerintas sumažinus </w:t>
      </w:r>
      <w:proofErr w:type="spellStart"/>
      <w:r>
        <w:t>tukatinibo</w:t>
      </w:r>
      <w:proofErr w:type="spellEnd"/>
      <w:r>
        <w:t xml:space="preserve"> kainą. Tarnyba </w:t>
      </w:r>
      <w:r w:rsidRPr="00D71EAE">
        <w:t>siūlo su parei</w:t>
      </w:r>
      <w:r>
        <w:t xml:space="preserve">škėju derėtis dėl apytiksliai </w:t>
      </w:r>
      <w:r w:rsidR="002B6CDB">
        <w:t xml:space="preserve">**** </w:t>
      </w:r>
      <w:r w:rsidRPr="00D71EAE">
        <w:t xml:space="preserve"> nuolaidos, kuri, pagal tikimybinės jautrumo analizės rezu</w:t>
      </w:r>
      <w:r>
        <w:t>ltatą, užtikrintų maždaug</w:t>
      </w:r>
      <w:r w:rsidR="002B6CDB">
        <w:t xml:space="preserve"> ****</w:t>
      </w:r>
      <w:r w:rsidRPr="00D71EAE">
        <w:t xml:space="preserve"> tikimybę, kad </w:t>
      </w:r>
      <w:proofErr w:type="spellStart"/>
      <w:r>
        <w:t>tukatinibo</w:t>
      </w:r>
      <w:proofErr w:type="spellEnd"/>
      <w:r w:rsidRPr="00D71EAE">
        <w:t xml:space="preserve"> kaštų naudingumas neviršija referencinės kaštų naudingumo vertės. </w:t>
      </w:r>
    </w:p>
    <w:p w14:paraId="06BC01EE" w14:textId="44333E0B" w:rsidR="000723FF" w:rsidRPr="00E33EFF" w:rsidRDefault="000723FF" w:rsidP="00F41262">
      <w:pPr>
        <w:spacing w:line="360" w:lineRule="auto"/>
      </w:pPr>
    </w:p>
    <w:p w14:paraId="18B4292E" w14:textId="479B8985" w:rsidR="000723FF" w:rsidRPr="00E33EFF" w:rsidRDefault="00CC09D4" w:rsidP="00F41262">
      <w:pPr>
        <w:tabs>
          <w:tab w:val="left" w:pos="567"/>
        </w:tabs>
        <w:spacing w:line="360" w:lineRule="auto"/>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F41262">
      <w:pPr>
        <w:tabs>
          <w:tab w:val="left" w:pos="426"/>
        </w:tabs>
        <w:spacing w:line="360" w:lineRule="auto"/>
        <w:jc w:val="both"/>
        <w:rPr>
          <w:b/>
          <w:color w:val="000000"/>
          <w:lang w:eastAsia="lt-LT"/>
        </w:rPr>
      </w:pPr>
    </w:p>
    <w:p w14:paraId="529C92C4" w14:textId="152E5FB4" w:rsidR="000723FF" w:rsidRPr="00DC5BAC" w:rsidRDefault="000723FF" w:rsidP="00F41262">
      <w:pPr>
        <w:spacing w:line="360" w:lineRule="auto"/>
        <w:rPr>
          <w:b/>
          <w:lang w:eastAsia="lt-LT"/>
        </w:rPr>
      </w:pPr>
      <w:r w:rsidRPr="00DC5BAC">
        <w:rPr>
          <w:b/>
          <w:lang w:eastAsia="lt-LT"/>
        </w:rPr>
        <w:t>Terapinės indikacijos</w:t>
      </w:r>
    </w:p>
    <w:p w14:paraId="35CBE6F5" w14:textId="40FDC246" w:rsidR="007B3908" w:rsidRPr="007B3908" w:rsidRDefault="00000000" w:rsidP="00F41262">
      <w:pPr>
        <w:spacing w:line="360" w:lineRule="auto"/>
      </w:pPr>
      <w:sdt>
        <w:sdtPr>
          <w:rPr>
            <w:rStyle w:val="Style2"/>
          </w:rPr>
          <w:id w:val="1146316688"/>
          <w15:color w:val="FFCC00"/>
          <w14:checkbox>
            <w14:checked w14:val="1"/>
            <w14:checkedState w14:val="2612" w14:font="MS Gothic"/>
            <w14:uncheckedState w14:val="2610" w14:font="MS Gothic"/>
          </w14:checkbox>
        </w:sdtPr>
        <w:sdtContent>
          <w:r w:rsidR="00041A8B">
            <w:rPr>
              <w:rStyle w:val="Style2"/>
              <w:rFonts w:ascii="MS Gothic" w:eastAsia="MS Gothic" w:hAnsi="MS Gothic" w:hint="eastAsia"/>
            </w:rPr>
            <w:t>☒</w:t>
          </w:r>
        </w:sdtContent>
      </w:sdt>
      <w:r w:rsidR="000723FF" w:rsidRPr="00E33EFF">
        <w:t xml:space="preserve"> Siūloma kompensuoti Pareiškėjo teikiamą indikaciją be pakeitimų.</w:t>
      </w:r>
    </w:p>
    <w:p w14:paraId="34E5D392" w14:textId="6FF26446" w:rsidR="007B3908" w:rsidRPr="003910BF" w:rsidRDefault="007B3908" w:rsidP="00F41262">
      <w:pPr>
        <w:pStyle w:val="ListParagraph"/>
        <w:spacing w:after="120" w:line="360" w:lineRule="auto"/>
        <w:ind w:left="0"/>
        <w:contextualSpacing w:val="0"/>
        <w:jc w:val="both"/>
        <w:rPr>
          <w:rFonts w:asciiTheme="majorBidi" w:hAnsiTheme="majorBidi" w:cstheme="majorBidi"/>
          <w:color w:val="000000"/>
        </w:rPr>
      </w:pPr>
      <w:r w:rsidRPr="00FE4B39">
        <w:rPr>
          <w:rFonts w:asciiTheme="majorBidi" w:hAnsiTheme="majorBidi" w:cstheme="majorBidi"/>
          <w:color w:val="000000"/>
        </w:rPr>
        <w:t xml:space="preserve">TUKYSA skirtas vartoti derinyje su </w:t>
      </w:r>
      <w:proofErr w:type="spellStart"/>
      <w:r w:rsidRPr="00FE4B39">
        <w:rPr>
          <w:rFonts w:asciiTheme="majorBidi" w:hAnsiTheme="majorBidi" w:cstheme="majorBidi"/>
          <w:color w:val="000000"/>
        </w:rPr>
        <w:t>trastuzumabu</w:t>
      </w:r>
      <w:proofErr w:type="spellEnd"/>
      <w:r w:rsidRPr="00FE4B39">
        <w:rPr>
          <w:rFonts w:asciiTheme="majorBidi" w:hAnsiTheme="majorBidi" w:cstheme="majorBidi"/>
          <w:color w:val="000000"/>
        </w:rPr>
        <w:t xml:space="preserve"> ir </w:t>
      </w:r>
      <w:proofErr w:type="spellStart"/>
      <w:r w:rsidRPr="00FE4B39">
        <w:rPr>
          <w:rFonts w:asciiTheme="majorBidi" w:hAnsiTheme="majorBidi" w:cstheme="majorBidi"/>
          <w:color w:val="000000"/>
        </w:rPr>
        <w:t>kapecitabinu</w:t>
      </w:r>
      <w:proofErr w:type="spellEnd"/>
      <w:r w:rsidRPr="00FE4B39">
        <w:rPr>
          <w:rFonts w:asciiTheme="majorBidi" w:hAnsiTheme="majorBidi" w:cstheme="majorBidi"/>
          <w:color w:val="000000"/>
        </w:rPr>
        <w:t xml:space="preserve"> suaugusiems pacientams, sergantiems žmogaus epidermio augimo faktoriaus receptoriaus 2 (angl. </w:t>
      </w:r>
      <w:proofErr w:type="spellStart"/>
      <w:r w:rsidRPr="00D75C19">
        <w:rPr>
          <w:rFonts w:asciiTheme="majorBidi" w:hAnsiTheme="majorBidi" w:cstheme="majorBidi"/>
          <w:i/>
          <w:iCs/>
          <w:color w:val="000000"/>
        </w:rPr>
        <w:t>human</w:t>
      </w:r>
      <w:proofErr w:type="spellEnd"/>
      <w:r w:rsidRPr="00D75C19">
        <w:rPr>
          <w:rFonts w:asciiTheme="majorBidi" w:hAnsiTheme="majorBidi" w:cstheme="majorBidi"/>
          <w:i/>
          <w:iCs/>
          <w:color w:val="000000"/>
        </w:rPr>
        <w:t xml:space="preserve"> </w:t>
      </w:r>
      <w:proofErr w:type="spellStart"/>
      <w:r w:rsidRPr="00D75C19">
        <w:rPr>
          <w:rFonts w:asciiTheme="majorBidi" w:hAnsiTheme="majorBidi" w:cstheme="majorBidi"/>
          <w:i/>
          <w:iCs/>
          <w:color w:val="000000"/>
        </w:rPr>
        <w:t>epidermal</w:t>
      </w:r>
      <w:proofErr w:type="spellEnd"/>
      <w:r w:rsidRPr="00D75C19">
        <w:rPr>
          <w:rFonts w:asciiTheme="majorBidi" w:hAnsiTheme="majorBidi" w:cstheme="majorBidi"/>
          <w:i/>
          <w:iCs/>
          <w:color w:val="000000"/>
        </w:rPr>
        <w:t xml:space="preserve"> </w:t>
      </w:r>
      <w:proofErr w:type="spellStart"/>
      <w:r w:rsidRPr="00D75C19">
        <w:rPr>
          <w:rFonts w:asciiTheme="majorBidi" w:hAnsiTheme="majorBidi" w:cstheme="majorBidi"/>
          <w:i/>
          <w:iCs/>
          <w:color w:val="000000"/>
        </w:rPr>
        <w:t>grow</w:t>
      </w:r>
      <w:proofErr w:type="spellEnd"/>
      <w:r w:rsidRPr="00D75C19">
        <w:rPr>
          <w:rFonts w:asciiTheme="majorBidi" w:hAnsiTheme="majorBidi" w:cstheme="majorBidi"/>
          <w:i/>
          <w:iCs/>
          <w:color w:val="000000"/>
        </w:rPr>
        <w:t xml:space="preserve"> </w:t>
      </w:r>
      <w:proofErr w:type="spellStart"/>
      <w:r w:rsidRPr="00D75C19">
        <w:rPr>
          <w:rFonts w:asciiTheme="majorBidi" w:hAnsiTheme="majorBidi" w:cstheme="majorBidi"/>
          <w:i/>
          <w:iCs/>
          <w:color w:val="000000"/>
        </w:rPr>
        <w:t>factor</w:t>
      </w:r>
      <w:proofErr w:type="spellEnd"/>
      <w:r w:rsidRPr="00D75C19">
        <w:rPr>
          <w:rFonts w:asciiTheme="majorBidi" w:hAnsiTheme="majorBidi" w:cstheme="majorBidi"/>
          <w:i/>
          <w:iCs/>
          <w:color w:val="000000"/>
        </w:rPr>
        <w:t xml:space="preserve"> </w:t>
      </w:r>
      <w:proofErr w:type="spellStart"/>
      <w:r w:rsidRPr="00D75C19">
        <w:rPr>
          <w:rFonts w:asciiTheme="majorBidi" w:hAnsiTheme="majorBidi" w:cstheme="majorBidi"/>
          <w:i/>
          <w:iCs/>
          <w:color w:val="000000"/>
        </w:rPr>
        <w:t>receptor</w:t>
      </w:r>
      <w:proofErr w:type="spellEnd"/>
      <w:r w:rsidRPr="00FE4B39">
        <w:rPr>
          <w:rFonts w:asciiTheme="majorBidi" w:hAnsiTheme="majorBidi" w:cstheme="majorBidi"/>
          <w:color w:val="000000"/>
        </w:rPr>
        <w:t xml:space="preserve"> 2, toliau – HER2) teigiamu vietiškai išplitusiu arba </w:t>
      </w:r>
      <w:proofErr w:type="spellStart"/>
      <w:r w:rsidRPr="00FE4B39">
        <w:rPr>
          <w:rFonts w:asciiTheme="majorBidi" w:hAnsiTheme="majorBidi" w:cstheme="majorBidi"/>
          <w:color w:val="000000"/>
        </w:rPr>
        <w:t>metastazavusiu</w:t>
      </w:r>
      <w:proofErr w:type="spellEnd"/>
      <w:r w:rsidRPr="00FE4B39">
        <w:rPr>
          <w:rFonts w:asciiTheme="majorBidi" w:hAnsiTheme="majorBidi" w:cstheme="majorBidi"/>
          <w:color w:val="000000"/>
        </w:rPr>
        <w:t xml:space="preserve"> krūties vėžiu, kai anksčiau buvo taikomi bent 2 ankstesni prieš </w:t>
      </w:r>
      <w:r w:rsidRPr="003910BF">
        <w:rPr>
          <w:rFonts w:asciiTheme="majorBidi" w:hAnsiTheme="majorBidi" w:cstheme="majorBidi"/>
          <w:color w:val="000000"/>
        </w:rPr>
        <w:t>HER2 nukreipti gydymo režimai.</w:t>
      </w:r>
    </w:p>
    <w:p w14:paraId="597367EF" w14:textId="77777777" w:rsidR="000723FF" w:rsidRPr="00E33EFF" w:rsidRDefault="00000000" w:rsidP="00F41262">
      <w:pPr>
        <w:spacing w:line="360" w:lineRule="auto"/>
      </w:pPr>
      <w:sdt>
        <w:sdtPr>
          <w:rPr>
            <w:rStyle w:val="Style2"/>
          </w:rPr>
          <w:id w:val="1467245146"/>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Siūloma kompensuoti Pareiškėjo teikiamą indikaciją su pakeitimais.</w:t>
      </w:r>
    </w:p>
    <w:p w14:paraId="7DD65F7E" w14:textId="77777777" w:rsidR="000723FF" w:rsidRPr="00E33EFF" w:rsidRDefault="000723FF" w:rsidP="00F41262">
      <w:pPr>
        <w:spacing w:line="360" w:lineRule="auto"/>
      </w:pPr>
    </w:p>
    <w:p w14:paraId="241A6E6B" w14:textId="77777777" w:rsidR="000723FF" w:rsidRPr="00E33EFF" w:rsidRDefault="000723FF" w:rsidP="00F41262">
      <w:pPr>
        <w:spacing w:line="360" w:lineRule="auto"/>
        <w:rPr>
          <w:b/>
        </w:rPr>
      </w:pPr>
      <w:r w:rsidRPr="00E33EFF">
        <w:rPr>
          <w:b/>
        </w:rPr>
        <w:t>Skyrimo sąlygos</w:t>
      </w:r>
    </w:p>
    <w:p w14:paraId="2A4B6542" w14:textId="23B042DE" w:rsidR="000723FF" w:rsidRDefault="00000000" w:rsidP="00F41262">
      <w:pPr>
        <w:spacing w:line="360" w:lineRule="auto"/>
      </w:pPr>
      <w:sdt>
        <w:sdtPr>
          <w:rPr>
            <w:rStyle w:val="Style2"/>
          </w:rPr>
          <w:id w:val="169305347"/>
          <w15:color w:val="FFCC00"/>
          <w14:checkbox>
            <w14:checked w14:val="1"/>
            <w14:checkedState w14:val="2612" w14:font="MS Gothic"/>
            <w14:uncheckedState w14:val="2610" w14:font="MS Gothic"/>
          </w14:checkbox>
        </w:sdtPr>
        <w:sdtContent>
          <w:r w:rsidR="007B3908">
            <w:rPr>
              <w:rStyle w:val="Style2"/>
              <w:rFonts w:ascii="MS Gothic" w:eastAsia="MS Gothic" w:hAnsi="MS Gothic" w:hint="eastAsia"/>
            </w:rPr>
            <w:t>☒</w:t>
          </w:r>
        </w:sdtContent>
      </w:sdt>
      <w:r w:rsidR="000723FF" w:rsidRPr="00E33EFF">
        <w:t xml:space="preserve"> Pareiškėjo siūlomos skyrimo sąlygos priimtinos. </w:t>
      </w:r>
    </w:p>
    <w:p w14:paraId="32C0BB24" w14:textId="36BEEABF" w:rsidR="007B3908" w:rsidRPr="00E33EFF" w:rsidRDefault="007B3908" w:rsidP="00F41262">
      <w:pPr>
        <w:spacing w:line="360" w:lineRule="auto"/>
      </w:pPr>
      <w:r>
        <w:t xml:space="preserve">Skyrimo sąlygos neteikiamos. </w:t>
      </w:r>
    </w:p>
    <w:p w14:paraId="7CDFF220" w14:textId="036654C9" w:rsidR="000723FF" w:rsidRPr="007B3908" w:rsidRDefault="00000000" w:rsidP="00F41262">
      <w:pPr>
        <w:spacing w:line="360" w:lineRule="auto"/>
      </w:pPr>
      <w:sdt>
        <w:sdtPr>
          <w:rPr>
            <w:rStyle w:val="Style2"/>
          </w:rPr>
          <w:id w:val="1823936883"/>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Pareiškėjo siūlomos skyrimo sąlygos nepriimtinos. </w:t>
      </w:r>
    </w:p>
    <w:sectPr w:rsidR="000723FF" w:rsidRPr="007B3908"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5E8EB" w14:textId="77777777" w:rsidR="00781ED8" w:rsidRDefault="00781ED8">
      <w:r>
        <w:separator/>
      </w:r>
    </w:p>
  </w:endnote>
  <w:endnote w:type="continuationSeparator" w:id="0">
    <w:p w14:paraId="387917F4" w14:textId="77777777" w:rsidR="00781ED8" w:rsidRDefault="0078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4DEF4" w14:textId="77777777" w:rsidR="00781ED8" w:rsidRDefault="00781ED8">
      <w:r>
        <w:separator/>
      </w:r>
    </w:p>
  </w:footnote>
  <w:footnote w:type="continuationSeparator" w:id="0">
    <w:p w14:paraId="05915F6C" w14:textId="77777777" w:rsidR="00781ED8" w:rsidRDefault="00781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228663A3"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7F95">
      <w:rPr>
        <w:rStyle w:val="PageNumber"/>
        <w:noProof/>
      </w:rPr>
      <w:t>12</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A4E8E6E0"/>
    <w:lvl w:ilvl="0" w:tplc="C0DEA22A">
      <w:start w:val="1"/>
      <w:numFmt w:val="decimal"/>
      <w:lvlText w:val="%1."/>
      <w:lvlJc w:val="left"/>
      <w:pPr>
        <w:ind w:left="72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616124"/>
    <w:multiLevelType w:val="hybridMultilevel"/>
    <w:tmpl w:val="67CEDFE2"/>
    <w:lvl w:ilvl="0" w:tplc="4E64B7EC">
      <w:start w:val="9"/>
      <w:numFmt w:val="bullet"/>
      <w:lvlText w:val="-"/>
      <w:lvlJc w:val="left"/>
      <w:pPr>
        <w:ind w:left="792" w:hanging="360"/>
      </w:pPr>
      <w:rPr>
        <w:rFonts w:ascii="Times New Roman" w:eastAsia="Times New Roman" w:hAnsi="Times New Roman" w:cs="Times New Roman"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9213798">
    <w:abstractNumId w:val="6"/>
  </w:num>
  <w:num w:numId="2" w16cid:durableId="745343151">
    <w:abstractNumId w:val="1"/>
  </w:num>
  <w:num w:numId="3" w16cid:durableId="988483750">
    <w:abstractNumId w:val="8"/>
  </w:num>
  <w:num w:numId="4" w16cid:durableId="993875798">
    <w:abstractNumId w:val="7"/>
  </w:num>
  <w:num w:numId="5" w16cid:durableId="164250549">
    <w:abstractNumId w:val="5"/>
  </w:num>
  <w:num w:numId="6" w16cid:durableId="554463097">
    <w:abstractNumId w:val="4"/>
  </w:num>
  <w:num w:numId="7" w16cid:durableId="976683796">
    <w:abstractNumId w:val="3"/>
  </w:num>
  <w:num w:numId="8" w16cid:durableId="767191041">
    <w:abstractNumId w:val="12"/>
  </w:num>
  <w:num w:numId="9" w16cid:durableId="1809933796">
    <w:abstractNumId w:val="0"/>
  </w:num>
  <w:num w:numId="10" w16cid:durableId="1014456536">
    <w:abstractNumId w:val="9"/>
  </w:num>
  <w:num w:numId="11" w16cid:durableId="1631204119">
    <w:abstractNumId w:val="11"/>
  </w:num>
  <w:num w:numId="12" w16cid:durableId="455023100">
    <w:abstractNumId w:val="2"/>
  </w:num>
  <w:num w:numId="13" w16cid:durableId="1734694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1A8B"/>
    <w:rsid w:val="000423F5"/>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366C9"/>
    <w:rsid w:val="001408B8"/>
    <w:rsid w:val="0015092D"/>
    <w:rsid w:val="001517E2"/>
    <w:rsid w:val="001521D9"/>
    <w:rsid w:val="001554E2"/>
    <w:rsid w:val="0015720C"/>
    <w:rsid w:val="00162BFB"/>
    <w:rsid w:val="00164146"/>
    <w:rsid w:val="0017369C"/>
    <w:rsid w:val="00175D57"/>
    <w:rsid w:val="00180C39"/>
    <w:rsid w:val="00180D96"/>
    <w:rsid w:val="0018470E"/>
    <w:rsid w:val="00184BD3"/>
    <w:rsid w:val="001921F3"/>
    <w:rsid w:val="001A76CF"/>
    <w:rsid w:val="001B2F2E"/>
    <w:rsid w:val="001B3C5B"/>
    <w:rsid w:val="001D746F"/>
    <w:rsid w:val="001E4BBB"/>
    <w:rsid w:val="001E6304"/>
    <w:rsid w:val="0020381E"/>
    <w:rsid w:val="00213471"/>
    <w:rsid w:val="002151CD"/>
    <w:rsid w:val="00215906"/>
    <w:rsid w:val="00226B45"/>
    <w:rsid w:val="00237792"/>
    <w:rsid w:val="00241CD8"/>
    <w:rsid w:val="00243E47"/>
    <w:rsid w:val="00244B09"/>
    <w:rsid w:val="002519CB"/>
    <w:rsid w:val="0025697F"/>
    <w:rsid w:val="00260258"/>
    <w:rsid w:val="0026588E"/>
    <w:rsid w:val="00272428"/>
    <w:rsid w:val="00272948"/>
    <w:rsid w:val="00292392"/>
    <w:rsid w:val="002946C7"/>
    <w:rsid w:val="002B3CC1"/>
    <w:rsid w:val="002B6997"/>
    <w:rsid w:val="002B6CDB"/>
    <w:rsid w:val="002C09E0"/>
    <w:rsid w:val="002C1BB1"/>
    <w:rsid w:val="002C2786"/>
    <w:rsid w:val="002C3A10"/>
    <w:rsid w:val="002C4A90"/>
    <w:rsid w:val="002C4ED5"/>
    <w:rsid w:val="002D02EF"/>
    <w:rsid w:val="002E0702"/>
    <w:rsid w:val="002E4D07"/>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6208"/>
    <w:rsid w:val="003E321B"/>
    <w:rsid w:val="00404E8A"/>
    <w:rsid w:val="0040622F"/>
    <w:rsid w:val="00413F24"/>
    <w:rsid w:val="00422853"/>
    <w:rsid w:val="00423160"/>
    <w:rsid w:val="0043032D"/>
    <w:rsid w:val="00440981"/>
    <w:rsid w:val="0045009C"/>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3BD"/>
    <w:rsid w:val="004C263A"/>
    <w:rsid w:val="004C372A"/>
    <w:rsid w:val="004D48A6"/>
    <w:rsid w:val="004D6B35"/>
    <w:rsid w:val="004D7B8F"/>
    <w:rsid w:val="004E6458"/>
    <w:rsid w:val="004E6E7D"/>
    <w:rsid w:val="004F1AAC"/>
    <w:rsid w:val="004F1AE2"/>
    <w:rsid w:val="004F34F0"/>
    <w:rsid w:val="004F3B2B"/>
    <w:rsid w:val="004F6050"/>
    <w:rsid w:val="005005EF"/>
    <w:rsid w:val="005123C2"/>
    <w:rsid w:val="0052144B"/>
    <w:rsid w:val="00524066"/>
    <w:rsid w:val="005269F5"/>
    <w:rsid w:val="00534E11"/>
    <w:rsid w:val="005378D8"/>
    <w:rsid w:val="005400D9"/>
    <w:rsid w:val="005476A4"/>
    <w:rsid w:val="0055019B"/>
    <w:rsid w:val="00556E63"/>
    <w:rsid w:val="005601A4"/>
    <w:rsid w:val="00566DBB"/>
    <w:rsid w:val="005767DB"/>
    <w:rsid w:val="005815E6"/>
    <w:rsid w:val="005848A5"/>
    <w:rsid w:val="0058712F"/>
    <w:rsid w:val="005976CE"/>
    <w:rsid w:val="005A01AD"/>
    <w:rsid w:val="005A23D4"/>
    <w:rsid w:val="005A2D1E"/>
    <w:rsid w:val="005B3756"/>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1DF1"/>
    <w:rsid w:val="006C2B64"/>
    <w:rsid w:val="006D4C85"/>
    <w:rsid w:val="006D66AC"/>
    <w:rsid w:val="006E33F6"/>
    <w:rsid w:val="006E419F"/>
    <w:rsid w:val="006F1251"/>
    <w:rsid w:val="006F1C23"/>
    <w:rsid w:val="00702C18"/>
    <w:rsid w:val="00703166"/>
    <w:rsid w:val="00710EC8"/>
    <w:rsid w:val="007127F3"/>
    <w:rsid w:val="007301CF"/>
    <w:rsid w:val="007316FB"/>
    <w:rsid w:val="007374D0"/>
    <w:rsid w:val="00737E2D"/>
    <w:rsid w:val="007424D5"/>
    <w:rsid w:val="00750A88"/>
    <w:rsid w:val="007523DD"/>
    <w:rsid w:val="00757B7E"/>
    <w:rsid w:val="007656B2"/>
    <w:rsid w:val="0077016F"/>
    <w:rsid w:val="007713AD"/>
    <w:rsid w:val="00781ED8"/>
    <w:rsid w:val="00795DC5"/>
    <w:rsid w:val="00797153"/>
    <w:rsid w:val="007A21F7"/>
    <w:rsid w:val="007A2B68"/>
    <w:rsid w:val="007B0DDA"/>
    <w:rsid w:val="007B3908"/>
    <w:rsid w:val="007B4054"/>
    <w:rsid w:val="007C7519"/>
    <w:rsid w:val="007D3347"/>
    <w:rsid w:val="007D53E0"/>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263"/>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43E06"/>
    <w:rsid w:val="00951573"/>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16538"/>
    <w:rsid w:val="00A22ADF"/>
    <w:rsid w:val="00A31E86"/>
    <w:rsid w:val="00A54D87"/>
    <w:rsid w:val="00A5553C"/>
    <w:rsid w:val="00A701C9"/>
    <w:rsid w:val="00A7222C"/>
    <w:rsid w:val="00A81785"/>
    <w:rsid w:val="00A84803"/>
    <w:rsid w:val="00A84C51"/>
    <w:rsid w:val="00A86F2B"/>
    <w:rsid w:val="00A91366"/>
    <w:rsid w:val="00A93AA6"/>
    <w:rsid w:val="00AA3A80"/>
    <w:rsid w:val="00AA4E48"/>
    <w:rsid w:val="00AA6202"/>
    <w:rsid w:val="00AA7B57"/>
    <w:rsid w:val="00AB21BD"/>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244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F0C1C"/>
    <w:rsid w:val="00CF27FD"/>
    <w:rsid w:val="00CF44F5"/>
    <w:rsid w:val="00CF5F12"/>
    <w:rsid w:val="00D00D8F"/>
    <w:rsid w:val="00D13DDD"/>
    <w:rsid w:val="00D21F3A"/>
    <w:rsid w:val="00D23808"/>
    <w:rsid w:val="00D3016A"/>
    <w:rsid w:val="00D314DA"/>
    <w:rsid w:val="00D417D2"/>
    <w:rsid w:val="00D42960"/>
    <w:rsid w:val="00D43BD7"/>
    <w:rsid w:val="00D4485B"/>
    <w:rsid w:val="00D4708D"/>
    <w:rsid w:val="00D4744C"/>
    <w:rsid w:val="00D521DE"/>
    <w:rsid w:val="00D5470B"/>
    <w:rsid w:val="00D63068"/>
    <w:rsid w:val="00D63FC9"/>
    <w:rsid w:val="00D64392"/>
    <w:rsid w:val="00D6498C"/>
    <w:rsid w:val="00D72119"/>
    <w:rsid w:val="00D76A70"/>
    <w:rsid w:val="00D83182"/>
    <w:rsid w:val="00D8521E"/>
    <w:rsid w:val="00D9291C"/>
    <w:rsid w:val="00D933D5"/>
    <w:rsid w:val="00D93A97"/>
    <w:rsid w:val="00DB09D8"/>
    <w:rsid w:val="00DB1F64"/>
    <w:rsid w:val="00DC2F53"/>
    <w:rsid w:val="00DC3F8B"/>
    <w:rsid w:val="00DC5BAC"/>
    <w:rsid w:val="00DC6816"/>
    <w:rsid w:val="00DC76C2"/>
    <w:rsid w:val="00DD1CF2"/>
    <w:rsid w:val="00DE3E78"/>
    <w:rsid w:val="00DE4484"/>
    <w:rsid w:val="00DF41B7"/>
    <w:rsid w:val="00DF4A4A"/>
    <w:rsid w:val="00DF583C"/>
    <w:rsid w:val="00E03C3F"/>
    <w:rsid w:val="00E06FD7"/>
    <w:rsid w:val="00E07417"/>
    <w:rsid w:val="00E228E8"/>
    <w:rsid w:val="00E24D45"/>
    <w:rsid w:val="00E33DB8"/>
    <w:rsid w:val="00E33EFF"/>
    <w:rsid w:val="00E34387"/>
    <w:rsid w:val="00E348BA"/>
    <w:rsid w:val="00E369FE"/>
    <w:rsid w:val="00E37C6F"/>
    <w:rsid w:val="00E475F8"/>
    <w:rsid w:val="00E47F95"/>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0257"/>
    <w:rsid w:val="00F36972"/>
    <w:rsid w:val="00F41262"/>
    <w:rsid w:val="00F42426"/>
    <w:rsid w:val="00F456BC"/>
    <w:rsid w:val="00F50666"/>
    <w:rsid w:val="00F70C9E"/>
    <w:rsid w:val="00F74A74"/>
    <w:rsid w:val="00F7572C"/>
    <w:rsid w:val="00F8382C"/>
    <w:rsid w:val="00F855D7"/>
    <w:rsid w:val="00F92035"/>
    <w:rsid w:val="00F92748"/>
    <w:rsid w:val="00FA4169"/>
    <w:rsid w:val="00FB0D41"/>
    <w:rsid w:val="00FB2030"/>
    <w:rsid w:val="00FB7068"/>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rsid w:val="003D1877"/>
    <w:rPr>
      <w:sz w:val="24"/>
      <w:szCs w:val="24"/>
      <w:lang w:eastAsia="en-US"/>
    </w:rPr>
  </w:style>
  <w:style w:type="paragraph" w:customStyle="1" w:styleId="0TEXT">
    <w:name w:val="0: TEXT"/>
    <w:basedOn w:val="Normal"/>
    <w:link w:val="0TEXTChar"/>
    <w:qFormat/>
    <w:rsid w:val="00041A8B"/>
    <w:pPr>
      <w:ind w:firstLine="567"/>
      <w:jc w:val="both"/>
    </w:pPr>
    <w:rPr>
      <w:rFonts w:eastAsiaTheme="minorHAnsi"/>
      <w:bCs/>
      <w:color w:val="000000"/>
      <w:lang w:val="en-GB"/>
    </w:rPr>
  </w:style>
  <w:style w:type="character" w:customStyle="1" w:styleId="0TEXTChar">
    <w:name w:val="0: TEXT Char"/>
    <w:basedOn w:val="DefaultParagraphFont"/>
    <w:link w:val="0TEXT"/>
    <w:rsid w:val="00041A8B"/>
    <w:rPr>
      <w:rFonts w:eastAsiaTheme="minorHAnsi"/>
      <w:bC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7AD49-0101-4763-89B7-1CC43909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3832</Words>
  <Characters>21844</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Paraiškoje pateiktas trečios fazės atsitikinių imčių, daugiacentris, dvigubai k</vt:lpstr>
      <vt:lpstr>    Į tyrimą įtraukti pilnamečiai pacientai sergantys HER2 teigiamu nerezekuojamu, </vt:lpstr>
      <vt:lpstr>    Pagrindinė tyrimo vertinamoji baigtis buvo išgyvenamumas be ligos progresavimo,</vt:lpstr>
      <vt:lpstr>    Pagal įtraukimo ir atmetimo kriterijus, buvo įtraukta 819 pacientų, iš kurių 612</vt:lpstr>
      <vt:lpstr>    Tyrimo HER2CLIMB (stebėjimo mediana – 14 mėn.) duomenimis, gydymas deriniu su tu</vt:lpstr>
      <vt:lpstr/>
      <vt:lpstr>    </vt:lpstr>
      <vt:lpstr>    Remiantis tinklinės metaanalizės duomenimis, tukatinibo, trastuzumabo ir kapeci</vt:lpstr>
    </vt:vector>
  </TitlesOfParts>
  <Company/>
  <LinksUpToDate>false</LinksUpToDate>
  <CharactersWithSpaces>25625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2024-10-14T08:09:00Z</dcterms:created>
  <dcterms:modified xsi:type="dcterms:W3CDTF">2024-10-23T05:17:00Z</dcterms:modified>
</cp:coreProperties>
</file>