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BC61B" w14:textId="77777777" w:rsidR="00884901" w:rsidRPr="002645CA" w:rsidRDefault="00884901" w:rsidP="00884901">
      <w:pPr>
        <w:ind w:left="5529"/>
      </w:pPr>
    </w:p>
    <w:p w14:paraId="7E0BA650" w14:textId="77777777" w:rsidR="00884901" w:rsidRPr="002645CA" w:rsidRDefault="00884901" w:rsidP="00884901">
      <w:pPr>
        <w:ind w:left="6096"/>
      </w:pPr>
      <w:r w:rsidRPr="002645CA">
        <w:t>Forma patvirtinta</w:t>
      </w:r>
    </w:p>
    <w:p w14:paraId="1FF84739" w14:textId="77777777" w:rsidR="00884901" w:rsidRPr="002645CA" w:rsidRDefault="00884901" w:rsidP="00884901">
      <w:pPr>
        <w:ind w:left="6096"/>
      </w:pPr>
      <w:r w:rsidRPr="002645CA">
        <w:t>Valstybinės vaistų kontrolės tarnybos prie Lietuvos Respublikos sveikatos apsaugos ministerijos viršininko 2021 m. lapkričio 12 d. įsakymu Nr. (1.72E)1A-1418</w:t>
      </w:r>
    </w:p>
    <w:p w14:paraId="12D10870" w14:textId="77777777" w:rsidR="00884901" w:rsidRPr="002645CA" w:rsidRDefault="00884901" w:rsidP="00884901">
      <w:pPr>
        <w:ind w:left="6096"/>
      </w:pPr>
      <w:r w:rsidRPr="002645CA">
        <w:t>(Valstybinės vaistų kontrolės tarnybos prie Lietuvos Respublikos sveikatos apsaugos ministerijos viršininko 2022 m.                         d. įsakymo Nr.                    redakcija)</w:t>
      </w:r>
    </w:p>
    <w:p w14:paraId="783D6309" w14:textId="77777777" w:rsidR="00884901" w:rsidRPr="002645CA" w:rsidRDefault="00884901" w:rsidP="00884901"/>
    <w:p w14:paraId="660D52DE" w14:textId="77777777" w:rsidR="00884901" w:rsidRPr="002645CA" w:rsidRDefault="00884901" w:rsidP="00884901">
      <w:pPr>
        <w:jc w:val="center"/>
        <w:rPr>
          <w:b/>
          <w:bCs/>
          <w:caps/>
        </w:rPr>
      </w:pPr>
      <w:r w:rsidRPr="002645CA">
        <w:rPr>
          <w:b/>
        </w:rPr>
        <w:t xml:space="preserve">REKOMENDACIJA DĖL VAISTINIO PREPARATO </w:t>
      </w:r>
      <w:r w:rsidRPr="002645CA">
        <w:rPr>
          <w:b/>
          <w:bCs/>
          <w:caps/>
        </w:rPr>
        <w:t>Lietuvos Respublikos Sveikatos apsaugos ministerijos vaistinių preparatų ir medicinos pagalbos priemonių kompensavimo komisijai</w:t>
      </w:r>
    </w:p>
    <w:p w14:paraId="2830FF91" w14:textId="77777777" w:rsidR="00884901" w:rsidRPr="002645CA" w:rsidRDefault="00884901" w:rsidP="00884901">
      <w:pPr>
        <w:jc w:val="center"/>
        <w:rPr>
          <w:b/>
        </w:rPr>
      </w:pPr>
    </w:p>
    <w:p w14:paraId="0E1E4F91" w14:textId="77777777" w:rsidR="002645CA" w:rsidRPr="002645CA" w:rsidRDefault="00884901" w:rsidP="00884901">
      <w:pPr>
        <w:jc w:val="center"/>
        <w:rPr>
          <w:b/>
        </w:rPr>
      </w:pPr>
      <w:proofErr w:type="spellStart"/>
      <w:r w:rsidRPr="002645CA">
        <w:rPr>
          <w:b/>
        </w:rPr>
        <w:t>Lupkynis</w:t>
      </w:r>
      <w:proofErr w:type="spellEnd"/>
      <w:r w:rsidRPr="002645CA">
        <w:rPr>
          <w:b/>
        </w:rPr>
        <w:t xml:space="preserve"> 7,9 mg minkštosios kapsulės</w:t>
      </w:r>
    </w:p>
    <w:p w14:paraId="7BF61098" w14:textId="77777777" w:rsidR="002645CA" w:rsidRPr="002645CA" w:rsidRDefault="002645CA" w:rsidP="00884901">
      <w:pPr>
        <w:jc w:val="center"/>
      </w:pPr>
    </w:p>
    <w:p w14:paraId="6A83BFC8" w14:textId="39E0FEA2" w:rsidR="00884901" w:rsidRPr="002645CA" w:rsidRDefault="00884901" w:rsidP="00884901">
      <w:pPr>
        <w:jc w:val="center"/>
      </w:pPr>
      <w:r w:rsidRPr="002645CA">
        <w:t>(</w:t>
      </w:r>
      <w:proofErr w:type="spellStart"/>
      <w:r w:rsidRPr="002645CA">
        <w:rPr>
          <w:b/>
        </w:rPr>
        <w:t>Vok</w:t>
      </w:r>
      <w:r w:rsidR="00CE5617">
        <w:rPr>
          <w:b/>
        </w:rPr>
        <w:t>l</w:t>
      </w:r>
      <w:r w:rsidRPr="002645CA">
        <w:rPr>
          <w:b/>
        </w:rPr>
        <w:t>osporinas</w:t>
      </w:r>
      <w:proofErr w:type="spellEnd"/>
      <w:r w:rsidRPr="002645CA">
        <w:t>)</w:t>
      </w:r>
    </w:p>
    <w:p w14:paraId="5B614754" w14:textId="77777777" w:rsidR="00884901" w:rsidRPr="002645CA" w:rsidRDefault="00884901" w:rsidP="00884901">
      <w:pPr>
        <w:jc w:val="center"/>
      </w:pPr>
    </w:p>
    <w:p w14:paraId="3DFA3C08" w14:textId="77777777" w:rsidR="00884901" w:rsidRPr="002645CA" w:rsidRDefault="00884901" w:rsidP="00884901">
      <w:pPr>
        <w:jc w:val="center"/>
        <w:rPr>
          <w:b/>
        </w:rPr>
      </w:pPr>
      <w:r w:rsidRPr="002645CA">
        <w:rPr>
          <w:b/>
        </w:rPr>
        <w:t>STV- 170</w:t>
      </w:r>
    </w:p>
    <w:p w14:paraId="56AEB658" w14:textId="77777777" w:rsidR="00884901" w:rsidRPr="002645CA" w:rsidRDefault="00884901" w:rsidP="00884901">
      <w:pPr>
        <w:jc w:val="center"/>
        <w:rPr>
          <w:b/>
        </w:rPr>
      </w:pPr>
    </w:p>
    <w:p w14:paraId="07962FAE" w14:textId="77777777" w:rsidR="00884901" w:rsidRPr="002645CA" w:rsidRDefault="00884901" w:rsidP="00884901">
      <w:pPr>
        <w:pStyle w:val="ListParagraph"/>
        <w:numPr>
          <w:ilvl w:val="0"/>
          <w:numId w:val="1"/>
        </w:numPr>
        <w:tabs>
          <w:tab w:val="left" w:pos="284"/>
        </w:tabs>
        <w:rPr>
          <w:b/>
          <w:bCs/>
          <w:caps/>
        </w:rPr>
      </w:pPr>
      <w:r w:rsidRPr="002645CA">
        <w:rPr>
          <w:b/>
          <w:bCs/>
          <w:caps/>
        </w:rPr>
        <w:t>.Bendroji dalis</w:t>
      </w:r>
    </w:p>
    <w:p w14:paraId="27AFD44B" w14:textId="77777777" w:rsidR="00884901" w:rsidRPr="002645CA" w:rsidRDefault="00884901" w:rsidP="00884901">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884901" w:rsidRPr="002645CA" w14:paraId="27783F77" w14:textId="77777777" w:rsidTr="00E22393">
        <w:trPr>
          <w:trHeight w:val="538"/>
        </w:trPr>
        <w:tc>
          <w:tcPr>
            <w:tcW w:w="632" w:type="dxa"/>
          </w:tcPr>
          <w:p w14:paraId="1F700FEC"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1.1</w:t>
            </w:r>
          </w:p>
        </w:tc>
        <w:tc>
          <w:tcPr>
            <w:tcW w:w="3694" w:type="dxa"/>
          </w:tcPr>
          <w:p w14:paraId="291F9FEF"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Pareiškėjas</w:t>
            </w:r>
          </w:p>
          <w:p w14:paraId="3D476D70" w14:textId="77777777" w:rsidR="00884901" w:rsidRPr="002645CA" w:rsidRDefault="00884901" w:rsidP="00E22393">
            <w:pPr>
              <w:tabs>
                <w:tab w:val="left" w:pos="284"/>
              </w:tabs>
              <w:spacing w:line="280" w:lineRule="atLeast"/>
              <w:rPr>
                <w:rFonts w:eastAsia="Arial"/>
                <w:b/>
                <w:sz w:val="24"/>
                <w:szCs w:val="24"/>
              </w:rPr>
            </w:pPr>
          </w:p>
        </w:tc>
        <w:tc>
          <w:tcPr>
            <w:tcW w:w="4713" w:type="dxa"/>
          </w:tcPr>
          <w:p w14:paraId="07E2EBAF" w14:textId="581F4E34" w:rsidR="00884901" w:rsidRPr="002645CA" w:rsidRDefault="00884901" w:rsidP="00E22393">
            <w:pPr>
              <w:tabs>
                <w:tab w:val="left" w:pos="284"/>
              </w:tabs>
              <w:spacing w:line="280" w:lineRule="atLeast"/>
              <w:rPr>
                <w:rFonts w:eastAsia="Arial"/>
                <w:b/>
                <w:sz w:val="24"/>
                <w:szCs w:val="24"/>
              </w:rPr>
            </w:pPr>
            <w:r w:rsidRPr="002645CA">
              <w:rPr>
                <w:sz w:val="24"/>
                <w:szCs w:val="24"/>
              </w:rPr>
              <w:t xml:space="preserve">Swixx </w:t>
            </w:r>
            <w:proofErr w:type="spellStart"/>
            <w:r w:rsidRPr="002645CA">
              <w:rPr>
                <w:sz w:val="24"/>
                <w:szCs w:val="24"/>
              </w:rPr>
              <w:t>Biopharma</w:t>
            </w:r>
            <w:proofErr w:type="spellEnd"/>
            <w:r w:rsidRPr="002645CA">
              <w:rPr>
                <w:sz w:val="24"/>
                <w:szCs w:val="24"/>
              </w:rPr>
              <w:t>, UAB</w:t>
            </w:r>
            <w:r w:rsidRPr="002645CA">
              <w:rPr>
                <w:rFonts w:eastAsia="Arial"/>
                <w:b/>
                <w:sz w:val="24"/>
                <w:szCs w:val="24"/>
              </w:rPr>
              <w:t xml:space="preserve"> </w:t>
            </w:r>
          </w:p>
        </w:tc>
      </w:tr>
      <w:tr w:rsidR="00884901" w:rsidRPr="002645CA" w14:paraId="3A4E00C2" w14:textId="77777777" w:rsidTr="00E22393">
        <w:trPr>
          <w:trHeight w:val="538"/>
        </w:trPr>
        <w:tc>
          <w:tcPr>
            <w:tcW w:w="632" w:type="dxa"/>
          </w:tcPr>
          <w:p w14:paraId="4B27761F"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1.2</w:t>
            </w:r>
          </w:p>
        </w:tc>
        <w:tc>
          <w:tcPr>
            <w:tcW w:w="3694" w:type="dxa"/>
          </w:tcPr>
          <w:p w14:paraId="43EB5E73" w14:textId="77777777" w:rsidR="00884901" w:rsidRPr="002645CA" w:rsidRDefault="00884901" w:rsidP="00E22393">
            <w:pPr>
              <w:tabs>
                <w:tab w:val="left" w:pos="284"/>
              </w:tabs>
              <w:spacing w:line="280" w:lineRule="atLeast"/>
              <w:rPr>
                <w:b/>
                <w:bCs/>
                <w:color w:val="000000"/>
                <w:sz w:val="24"/>
                <w:szCs w:val="24"/>
              </w:rPr>
            </w:pPr>
            <w:r w:rsidRPr="002645CA">
              <w:rPr>
                <w:b/>
                <w:bCs/>
                <w:color w:val="000000"/>
                <w:sz w:val="24"/>
                <w:szCs w:val="24"/>
              </w:rPr>
              <w:t xml:space="preserve">Registracijos data </w:t>
            </w:r>
          </w:p>
          <w:p w14:paraId="37933DCA" w14:textId="77777777" w:rsidR="00884901" w:rsidRPr="002645CA" w:rsidRDefault="00884901" w:rsidP="00E22393">
            <w:pPr>
              <w:tabs>
                <w:tab w:val="left" w:pos="284"/>
              </w:tabs>
              <w:spacing w:line="280" w:lineRule="atLeast"/>
              <w:rPr>
                <w:bCs/>
                <w:color w:val="000000"/>
                <w:sz w:val="24"/>
                <w:szCs w:val="24"/>
              </w:rPr>
            </w:pPr>
          </w:p>
        </w:tc>
        <w:tc>
          <w:tcPr>
            <w:tcW w:w="4713" w:type="dxa"/>
          </w:tcPr>
          <w:p w14:paraId="26B64A52" w14:textId="47AAB675" w:rsidR="00884901" w:rsidRPr="002645CA" w:rsidRDefault="00000000" w:rsidP="00E22393">
            <w:pPr>
              <w:pStyle w:val="ListParagraph"/>
              <w:spacing w:after="120"/>
              <w:ind w:left="0"/>
              <w:contextualSpacing w:val="0"/>
              <w:jc w:val="both"/>
              <w:rPr>
                <w:rStyle w:val="Style2"/>
                <w:sz w:val="24"/>
                <w:szCs w:val="24"/>
              </w:rPr>
            </w:pPr>
            <w:sdt>
              <w:sdtPr>
                <w:rPr>
                  <w:color w:val="333333"/>
                  <w:sz w:val="32"/>
                  <w:shd w:val="clear" w:color="auto" w:fill="FFFFFF"/>
                </w:rPr>
                <w:alias w:val="Nurodykite konkrečią dieną"/>
                <w:tag w:val="Nurodykite pradžios datą"/>
                <w:id w:val="423238108"/>
                <w:placeholder>
                  <w:docPart w:val="A6CF7F05EAF4DE43A295B0EE4BC38DCC"/>
                </w:placeholder>
                <w15:color w:val="FFCC99"/>
                <w:date>
                  <w:dateFormat w:val="yyyy 'm.' MMMM d 'd.'"/>
                  <w:lid w:val="lt-LT"/>
                  <w:storeMappedDataAs w:val="dateTime"/>
                  <w:calendar w:val="gregorian"/>
                </w:date>
              </w:sdtPr>
              <w:sdtContent>
                <w:r w:rsidR="00884901" w:rsidRPr="002645CA">
                  <w:rPr>
                    <w:color w:val="333333"/>
                    <w:sz w:val="24"/>
                    <w:szCs w:val="24"/>
                    <w:shd w:val="clear" w:color="auto" w:fill="FFFFFF"/>
                  </w:rPr>
                  <w:t>2022 m. rugsėjo 15 d.</w:t>
                </w:r>
              </w:sdtContent>
            </w:sdt>
          </w:p>
        </w:tc>
      </w:tr>
      <w:tr w:rsidR="00884901" w:rsidRPr="002645CA" w14:paraId="2E6AC164" w14:textId="77777777" w:rsidTr="00E22393">
        <w:trPr>
          <w:trHeight w:val="1500"/>
        </w:trPr>
        <w:tc>
          <w:tcPr>
            <w:tcW w:w="632" w:type="dxa"/>
          </w:tcPr>
          <w:p w14:paraId="5D7FEB91"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1.3</w:t>
            </w:r>
          </w:p>
        </w:tc>
        <w:tc>
          <w:tcPr>
            <w:tcW w:w="3694" w:type="dxa"/>
          </w:tcPr>
          <w:p w14:paraId="0F7CF265" w14:textId="77777777" w:rsidR="00884901" w:rsidRPr="002645CA" w:rsidRDefault="00884901" w:rsidP="00E22393">
            <w:pPr>
              <w:pStyle w:val="NoSpacing"/>
              <w:rPr>
                <w:rFonts w:ascii="Times New Roman" w:hAnsi="Times New Roman"/>
                <w:b/>
                <w:sz w:val="24"/>
                <w:szCs w:val="24"/>
              </w:rPr>
            </w:pPr>
            <w:r w:rsidRPr="002645CA">
              <w:rPr>
                <w:rFonts w:ascii="Times New Roman" w:hAnsi="Times New Roman"/>
                <w:b/>
                <w:sz w:val="24"/>
                <w:szCs w:val="24"/>
              </w:rPr>
              <w:t xml:space="preserve">Paraiškos tipas </w:t>
            </w:r>
          </w:p>
          <w:p w14:paraId="476BC291" w14:textId="77777777" w:rsidR="00884901" w:rsidRPr="002645CA" w:rsidRDefault="00884901" w:rsidP="00E22393">
            <w:pPr>
              <w:rPr>
                <w:b/>
                <w:sz w:val="24"/>
                <w:szCs w:val="24"/>
              </w:rPr>
            </w:pPr>
            <w:r w:rsidRPr="002645CA">
              <w:rPr>
                <w:b/>
                <w:sz w:val="24"/>
                <w:szCs w:val="24"/>
              </w:rPr>
              <w:t xml:space="preserve">(pagal </w:t>
            </w:r>
            <w:r w:rsidRPr="002645CA">
              <w:rPr>
                <w:b/>
                <w:color w:val="333333"/>
                <w:sz w:val="24"/>
                <w:szCs w:val="24"/>
                <w:shd w:val="clear" w:color="auto" w:fill="FFFFFF"/>
              </w:rPr>
              <w:t>vaistinio preparato registracijos tipą, įtvirtintą</w:t>
            </w:r>
            <w:r w:rsidRPr="002645CA">
              <w:rPr>
                <w:b/>
                <w:sz w:val="24"/>
                <w:szCs w:val="24"/>
              </w:rPr>
              <w:t xml:space="preserve"> Direktyvos 2001/83/EB </w:t>
            </w:r>
            <w:proofErr w:type="spellStart"/>
            <w:r w:rsidRPr="002645CA">
              <w:rPr>
                <w:b/>
                <w:sz w:val="24"/>
                <w:szCs w:val="24"/>
              </w:rPr>
              <w:t>straipsiuose</w:t>
            </w:r>
            <w:proofErr w:type="spellEnd"/>
            <w:r w:rsidRPr="002645CA">
              <w:rPr>
                <w:b/>
                <w:sz w:val="24"/>
                <w:szCs w:val="24"/>
              </w:rPr>
              <w:t>)</w:t>
            </w:r>
          </w:p>
          <w:p w14:paraId="0C13FF28" w14:textId="77777777" w:rsidR="00884901" w:rsidRPr="002645CA" w:rsidRDefault="00884901" w:rsidP="00E22393">
            <w:pPr>
              <w:tabs>
                <w:tab w:val="left" w:pos="284"/>
              </w:tabs>
              <w:spacing w:line="280" w:lineRule="atLeast"/>
              <w:rPr>
                <w:b/>
                <w:bCs/>
                <w:color w:val="000000"/>
                <w:sz w:val="24"/>
                <w:szCs w:val="24"/>
              </w:rPr>
            </w:pPr>
          </w:p>
        </w:tc>
        <w:tc>
          <w:tcPr>
            <w:tcW w:w="4713" w:type="dxa"/>
          </w:tcPr>
          <w:p w14:paraId="76306A22" w14:textId="77777777" w:rsidR="00884901" w:rsidRPr="002645CA" w:rsidRDefault="00000000" w:rsidP="00E22393">
            <w:pPr>
              <w:pStyle w:val="ListParagraph"/>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8.3 str. (pilna byla, pagrįsta savais tyrimais) </w:t>
            </w:r>
          </w:p>
          <w:p w14:paraId="3A649AEE" w14:textId="77777777" w:rsidR="00884901" w:rsidRPr="002645CA" w:rsidRDefault="00000000" w:rsidP="00E22393">
            <w:pPr>
              <w:pStyle w:val="ListParagraph"/>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10 a str. (pripažintas medicininis vartojimas) </w:t>
            </w:r>
          </w:p>
          <w:p w14:paraId="40986A9D" w14:textId="77777777" w:rsidR="00884901" w:rsidRPr="002645CA" w:rsidRDefault="00000000" w:rsidP="00E22393">
            <w:pPr>
              <w:pStyle w:val="ListParagraph"/>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10.1 str. (</w:t>
            </w:r>
            <w:proofErr w:type="spellStart"/>
            <w:r w:rsidR="00884901" w:rsidRPr="002645CA">
              <w:rPr>
                <w:sz w:val="24"/>
                <w:szCs w:val="24"/>
              </w:rPr>
              <w:t>generinis</w:t>
            </w:r>
            <w:proofErr w:type="spellEnd"/>
            <w:r w:rsidR="00884901" w:rsidRPr="002645CA">
              <w:rPr>
                <w:sz w:val="24"/>
                <w:szCs w:val="24"/>
              </w:rPr>
              <w:t>)</w:t>
            </w:r>
          </w:p>
          <w:p w14:paraId="323ECDD2" w14:textId="77777777" w:rsidR="00884901" w:rsidRPr="002645CA" w:rsidRDefault="00000000" w:rsidP="00E22393">
            <w:pPr>
              <w:pStyle w:val="ListParagraph"/>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10.3 str. (hibridinis)</w:t>
            </w:r>
          </w:p>
        </w:tc>
      </w:tr>
      <w:tr w:rsidR="00884901" w:rsidRPr="002645CA" w14:paraId="4CE9FA42" w14:textId="77777777" w:rsidTr="00E22393">
        <w:trPr>
          <w:trHeight w:val="1442"/>
        </w:trPr>
        <w:tc>
          <w:tcPr>
            <w:tcW w:w="632" w:type="dxa"/>
          </w:tcPr>
          <w:p w14:paraId="5089D379"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1.4</w:t>
            </w:r>
          </w:p>
        </w:tc>
        <w:tc>
          <w:tcPr>
            <w:tcW w:w="3694" w:type="dxa"/>
          </w:tcPr>
          <w:p w14:paraId="5282A0FF" w14:textId="77777777" w:rsidR="00884901" w:rsidRPr="002645CA" w:rsidRDefault="00884901" w:rsidP="00E22393">
            <w:pPr>
              <w:tabs>
                <w:tab w:val="left" w:pos="284"/>
              </w:tabs>
              <w:spacing w:line="280" w:lineRule="atLeast"/>
              <w:rPr>
                <w:b/>
                <w:bCs/>
                <w:color w:val="000000"/>
                <w:sz w:val="24"/>
                <w:szCs w:val="24"/>
              </w:rPr>
            </w:pPr>
            <w:r w:rsidRPr="002645CA">
              <w:rPr>
                <w:b/>
                <w:bCs/>
                <w:color w:val="000000"/>
                <w:sz w:val="24"/>
                <w:szCs w:val="24"/>
              </w:rPr>
              <w:t xml:space="preserve">Ar vaistinis preparatas įrašytas į Bendrijos retųjų vaistinių preparatų registrą? </w:t>
            </w:r>
          </w:p>
          <w:p w14:paraId="786740E2" w14:textId="77777777" w:rsidR="00884901" w:rsidRPr="002645CA" w:rsidRDefault="00884901" w:rsidP="00E22393">
            <w:pPr>
              <w:tabs>
                <w:tab w:val="left" w:pos="284"/>
              </w:tabs>
              <w:spacing w:line="280" w:lineRule="atLeast"/>
              <w:rPr>
                <w:b/>
                <w:bCs/>
                <w:color w:val="000000"/>
                <w:sz w:val="24"/>
                <w:szCs w:val="24"/>
              </w:rPr>
            </w:pPr>
          </w:p>
        </w:tc>
        <w:tc>
          <w:tcPr>
            <w:tcW w:w="4713" w:type="dxa"/>
          </w:tcPr>
          <w:p w14:paraId="2C310DAC" w14:textId="77777777" w:rsidR="00884901" w:rsidRPr="002645CA" w:rsidRDefault="00000000" w:rsidP="00E22393">
            <w:pPr>
              <w:pStyle w:val="ListParagraph"/>
              <w:spacing w:after="120"/>
              <w:ind w:left="0"/>
              <w:contextualSpacing w:val="0"/>
              <w:jc w:val="both"/>
              <w:rPr>
                <w:sz w:val="24"/>
                <w:szCs w:val="24"/>
              </w:rPr>
            </w:pPr>
            <w:sdt>
              <w:sdtPr>
                <w:rPr>
                  <w:rStyle w:val="Style2"/>
                  <w:sz w:val="24"/>
                </w:rPr>
                <w:id w:val="2024432173"/>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Taip</w:t>
            </w:r>
          </w:p>
          <w:p w14:paraId="70E644CA" w14:textId="77777777" w:rsidR="00884901" w:rsidRPr="002645CA" w:rsidRDefault="00000000" w:rsidP="00E22393">
            <w:pPr>
              <w:pStyle w:val="ListParagraph"/>
              <w:spacing w:after="120"/>
              <w:ind w:left="0"/>
              <w:contextualSpacing w:val="0"/>
              <w:jc w:val="both"/>
              <w:rPr>
                <w:sz w:val="24"/>
                <w:szCs w:val="24"/>
              </w:rPr>
            </w:pPr>
            <w:sdt>
              <w:sdtPr>
                <w:rPr>
                  <w:rStyle w:val="Style2"/>
                  <w:sz w:val="24"/>
                </w:rPr>
                <w:id w:val="-970507926"/>
                <w15:color w:val="FFCC00"/>
                <w14:checkbox>
                  <w14:checked w14:val="1"/>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Ne</w:t>
            </w:r>
          </w:p>
        </w:tc>
      </w:tr>
      <w:tr w:rsidR="00884901" w:rsidRPr="002645CA" w14:paraId="4346BF1D" w14:textId="77777777" w:rsidTr="00E22393">
        <w:trPr>
          <w:trHeight w:val="1922"/>
        </w:trPr>
        <w:tc>
          <w:tcPr>
            <w:tcW w:w="632" w:type="dxa"/>
          </w:tcPr>
          <w:p w14:paraId="4732A000"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1.5</w:t>
            </w:r>
          </w:p>
        </w:tc>
        <w:tc>
          <w:tcPr>
            <w:tcW w:w="3694" w:type="dxa"/>
          </w:tcPr>
          <w:p w14:paraId="7C30FAA9" w14:textId="77777777" w:rsidR="00884901" w:rsidRPr="002645CA" w:rsidRDefault="00884901" w:rsidP="00E22393">
            <w:pPr>
              <w:tabs>
                <w:tab w:val="left" w:pos="284"/>
              </w:tabs>
              <w:spacing w:line="280" w:lineRule="atLeast"/>
              <w:rPr>
                <w:b/>
                <w:bCs/>
                <w:color w:val="000000"/>
                <w:sz w:val="24"/>
                <w:szCs w:val="24"/>
              </w:rPr>
            </w:pPr>
            <w:r w:rsidRPr="002645CA">
              <w:rPr>
                <w:b/>
                <w:bCs/>
                <w:color w:val="000000"/>
                <w:sz w:val="24"/>
                <w:szCs w:val="24"/>
              </w:rPr>
              <w:t>Teikiama (-</w:t>
            </w:r>
            <w:proofErr w:type="spellStart"/>
            <w:r w:rsidRPr="002645CA">
              <w:rPr>
                <w:b/>
                <w:bCs/>
                <w:color w:val="000000"/>
                <w:sz w:val="24"/>
                <w:szCs w:val="24"/>
              </w:rPr>
              <w:t>os</w:t>
            </w:r>
            <w:proofErr w:type="spellEnd"/>
            <w:r w:rsidRPr="002645CA">
              <w:rPr>
                <w:b/>
                <w:bCs/>
                <w:color w:val="000000"/>
                <w:sz w:val="24"/>
                <w:szCs w:val="24"/>
              </w:rPr>
              <w:t>) kompensuoti registruota (-</w:t>
            </w:r>
            <w:proofErr w:type="spellStart"/>
            <w:r w:rsidRPr="002645CA">
              <w:rPr>
                <w:b/>
                <w:bCs/>
                <w:color w:val="000000"/>
                <w:sz w:val="24"/>
                <w:szCs w:val="24"/>
              </w:rPr>
              <w:t>os</w:t>
            </w:r>
            <w:proofErr w:type="spellEnd"/>
            <w:r w:rsidRPr="002645CA">
              <w:rPr>
                <w:b/>
                <w:bCs/>
                <w:color w:val="000000"/>
                <w:sz w:val="24"/>
                <w:szCs w:val="24"/>
              </w:rPr>
              <w:t>) vaistinio preparato indikacija (-</w:t>
            </w:r>
            <w:proofErr w:type="spellStart"/>
            <w:r w:rsidRPr="002645CA">
              <w:rPr>
                <w:b/>
                <w:bCs/>
                <w:color w:val="000000"/>
                <w:sz w:val="24"/>
                <w:szCs w:val="24"/>
              </w:rPr>
              <w:t>os</w:t>
            </w:r>
            <w:proofErr w:type="spellEnd"/>
            <w:r w:rsidRPr="002645CA">
              <w:rPr>
                <w:b/>
                <w:bCs/>
                <w:color w:val="000000"/>
                <w:sz w:val="24"/>
                <w:szCs w:val="24"/>
              </w:rPr>
              <w:t xml:space="preserve">), </w:t>
            </w:r>
          </w:p>
          <w:p w14:paraId="7E0D1D5A" w14:textId="77777777" w:rsidR="00884901" w:rsidRPr="002645CA" w:rsidRDefault="00884901" w:rsidP="00E22393">
            <w:pPr>
              <w:tabs>
                <w:tab w:val="left" w:pos="284"/>
              </w:tabs>
              <w:spacing w:line="280" w:lineRule="atLeast"/>
              <w:rPr>
                <w:b/>
                <w:bCs/>
                <w:color w:val="000000"/>
                <w:sz w:val="24"/>
                <w:szCs w:val="24"/>
              </w:rPr>
            </w:pPr>
            <w:r w:rsidRPr="002645CA">
              <w:rPr>
                <w:b/>
                <w:bCs/>
                <w:color w:val="000000"/>
                <w:sz w:val="24"/>
                <w:szCs w:val="24"/>
              </w:rPr>
              <w:t>TLK kodas</w:t>
            </w:r>
          </w:p>
        </w:tc>
        <w:tc>
          <w:tcPr>
            <w:tcW w:w="4713" w:type="dxa"/>
          </w:tcPr>
          <w:p w14:paraId="426D51F7" w14:textId="29C3A7E9" w:rsidR="00884901" w:rsidRPr="002645CA" w:rsidRDefault="002645CA" w:rsidP="00884901">
            <w:pPr>
              <w:pStyle w:val="ListParagraph"/>
              <w:spacing w:after="120"/>
              <w:ind w:left="0"/>
              <w:contextualSpacing w:val="0"/>
              <w:jc w:val="both"/>
              <w:rPr>
                <w:sz w:val="24"/>
                <w:szCs w:val="24"/>
              </w:rPr>
            </w:pPr>
            <w:proofErr w:type="spellStart"/>
            <w:r w:rsidRPr="002645CA">
              <w:rPr>
                <w:sz w:val="24"/>
                <w:szCs w:val="24"/>
              </w:rPr>
              <w:t>Lupkynis</w:t>
            </w:r>
            <w:proofErr w:type="spellEnd"/>
            <w:r w:rsidRPr="002645CA">
              <w:rPr>
                <w:sz w:val="24"/>
                <w:szCs w:val="24"/>
              </w:rPr>
              <w:t xml:space="preserve"> vartojamas kartu su</w:t>
            </w:r>
            <w:r w:rsidRPr="002645CA">
              <w:t xml:space="preserve"> </w:t>
            </w:r>
            <w:proofErr w:type="spellStart"/>
            <w:r w:rsidR="00884901" w:rsidRPr="002645CA">
              <w:rPr>
                <w:sz w:val="24"/>
                <w:szCs w:val="24"/>
              </w:rPr>
              <w:t>mofetiliu</w:t>
            </w:r>
            <w:proofErr w:type="spellEnd"/>
            <w:r w:rsidR="00884901" w:rsidRPr="002645CA">
              <w:rPr>
                <w:sz w:val="24"/>
                <w:szCs w:val="24"/>
              </w:rPr>
              <w:t xml:space="preserve"> suaugusiems pacientams, sergantiems aktyviu III, IV arba V klasės (įskaitant mišriąsias III/V ir IV/V klases) </w:t>
            </w:r>
            <w:proofErr w:type="spellStart"/>
            <w:r w:rsidR="00884901" w:rsidRPr="002645CA">
              <w:rPr>
                <w:sz w:val="24"/>
                <w:szCs w:val="24"/>
              </w:rPr>
              <w:t>vilkliginiu</w:t>
            </w:r>
            <w:proofErr w:type="spellEnd"/>
            <w:r w:rsidR="00884901" w:rsidRPr="002645CA">
              <w:rPr>
                <w:sz w:val="24"/>
                <w:szCs w:val="24"/>
              </w:rPr>
              <w:t xml:space="preserve"> nefritu (VN), gydyti.</w:t>
            </w:r>
          </w:p>
          <w:p w14:paraId="3E68530C" w14:textId="76EE397C" w:rsidR="00884901" w:rsidRPr="002645CA" w:rsidRDefault="00884901" w:rsidP="00884901">
            <w:pPr>
              <w:pStyle w:val="ListParagraph"/>
              <w:spacing w:after="120"/>
              <w:ind w:left="0"/>
              <w:contextualSpacing w:val="0"/>
              <w:jc w:val="both"/>
              <w:rPr>
                <w:sz w:val="24"/>
                <w:szCs w:val="24"/>
              </w:rPr>
            </w:pPr>
            <w:r w:rsidRPr="002645CA">
              <w:rPr>
                <w:sz w:val="24"/>
                <w:szCs w:val="24"/>
              </w:rPr>
              <w:t>M32.1</w:t>
            </w:r>
          </w:p>
        </w:tc>
      </w:tr>
      <w:tr w:rsidR="00884901" w:rsidRPr="002645CA" w14:paraId="20B86531" w14:textId="77777777" w:rsidTr="00E22393">
        <w:trPr>
          <w:trHeight w:val="378"/>
        </w:trPr>
        <w:tc>
          <w:tcPr>
            <w:tcW w:w="632" w:type="dxa"/>
          </w:tcPr>
          <w:p w14:paraId="0C1E8784"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t>1.6</w:t>
            </w:r>
          </w:p>
        </w:tc>
        <w:tc>
          <w:tcPr>
            <w:tcW w:w="3694" w:type="dxa"/>
          </w:tcPr>
          <w:p w14:paraId="0A418D7A" w14:textId="77777777" w:rsidR="00884901" w:rsidRPr="002645CA" w:rsidRDefault="00884901" w:rsidP="00E22393">
            <w:pPr>
              <w:tabs>
                <w:tab w:val="left" w:pos="284"/>
              </w:tabs>
              <w:spacing w:line="280" w:lineRule="atLeast"/>
              <w:rPr>
                <w:bCs/>
                <w:color w:val="000000"/>
                <w:sz w:val="24"/>
                <w:szCs w:val="24"/>
                <w:u w:val="single"/>
              </w:rPr>
            </w:pPr>
            <w:r w:rsidRPr="002645CA">
              <w:rPr>
                <w:b/>
                <w:bCs/>
                <w:color w:val="000000"/>
                <w:sz w:val="24"/>
                <w:szCs w:val="24"/>
              </w:rPr>
              <w:t xml:space="preserve">Teikiamos skyrimo sąlygos </w:t>
            </w:r>
          </w:p>
        </w:tc>
        <w:tc>
          <w:tcPr>
            <w:tcW w:w="4713" w:type="dxa"/>
          </w:tcPr>
          <w:p w14:paraId="652A3ECF" w14:textId="596CF18B" w:rsidR="00884901" w:rsidRPr="002645CA" w:rsidRDefault="00884901" w:rsidP="00E22393">
            <w:pPr>
              <w:pStyle w:val="ListParagraph"/>
              <w:spacing w:after="120"/>
              <w:ind w:left="0"/>
              <w:contextualSpacing w:val="0"/>
              <w:jc w:val="both"/>
              <w:rPr>
                <w:sz w:val="24"/>
                <w:szCs w:val="24"/>
              </w:rPr>
            </w:pPr>
            <w:proofErr w:type="spellStart"/>
            <w:r w:rsidRPr="002645CA">
              <w:rPr>
                <w:sz w:val="24"/>
                <w:szCs w:val="24"/>
              </w:rPr>
              <w:t>Lupkynis</w:t>
            </w:r>
            <w:proofErr w:type="spellEnd"/>
            <w:r w:rsidRPr="002645CA">
              <w:rPr>
                <w:sz w:val="24"/>
                <w:szCs w:val="24"/>
              </w:rPr>
              <w:t xml:space="preserve"> vartojamas kartu su </w:t>
            </w:r>
            <w:proofErr w:type="spellStart"/>
            <w:r w:rsidRPr="002645CA">
              <w:rPr>
                <w:sz w:val="24"/>
                <w:szCs w:val="24"/>
              </w:rPr>
              <w:t>mikofenolato</w:t>
            </w:r>
            <w:proofErr w:type="spellEnd"/>
            <w:r w:rsidRPr="002645CA">
              <w:rPr>
                <w:sz w:val="24"/>
                <w:szCs w:val="24"/>
              </w:rPr>
              <w:t xml:space="preserve"> </w:t>
            </w:r>
            <w:proofErr w:type="spellStart"/>
            <w:r w:rsidRPr="002645CA">
              <w:rPr>
                <w:sz w:val="24"/>
                <w:szCs w:val="24"/>
              </w:rPr>
              <w:t>mofetiliu</w:t>
            </w:r>
            <w:proofErr w:type="spellEnd"/>
            <w:r w:rsidRPr="002645CA">
              <w:rPr>
                <w:sz w:val="24"/>
                <w:szCs w:val="24"/>
              </w:rPr>
              <w:t xml:space="preserve"> suaugusiems pacientams, sergantiems aktyviu III, IV arba V klasės </w:t>
            </w:r>
            <w:r w:rsidRPr="002645CA">
              <w:rPr>
                <w:sz w:val="24"/>
                <w:szCs w:val="24"/>
              </w:rPr>
              <w:lastRenderedPageBreak/>
              <w:t xml:space="preserve">(įskaitant mišriąsias III/V ir IV/V klases) </w:t>
            </w:r>
            <w:proofErr w:type="spellStart"/>
            <w:r w:rsidRPr="002645CA">
              <w:rPr>
                <w:sz w:val="24"/>
                <w:szCs w:val="24"/>
              </w:rPr>
              <w:t>vilkliginiu</w:t>
            </w:r>
            <w:proofErr w:type="spellEnd"/>
            <w:r w:rsidRPr="002645CA">
              <w:rPr>
                <w:sz w:val="24"/>
                <w:szCs w:val="24"/>
              </w:rPr>
              <w:t xml:space="preserve"> nefritu (VN), gydyti. </w:t>
            </w:r>
          </w:p>
        </w:tc>
      </w:tr>
      <w:tr w:rsidR="00884901" w:rsidRPr="002645CA" w14:paraId="2B07809A" w14:textId="77777777" w:rsidTr="00E22393">
        <w:trPr>
          <w:trHeight w:val="378"/>
        </w:trPr>
        <w:tc>
          <w:tcPr>
            <w:tcW w:w="632" w:type="dxa"/>
          </w:tcPr>
          <w:p w14:paraId="5D0EC20B" w14:textId="77777777" w:rsidR="00884901" w:rsidRPr="002645CA" w:rsidRDefault="00884901" w:rsidP="00E22393">
            <w:pPr>
              <w:tabs>
                <w:tab w:val="left" w:pos="284"/>
              </w:tabs>
              <w:spacing w:line="280" w:lineRule="atLeast"/>
              <w:rPr>
                <w:rFonts w:eastAsia="Arial"/>
                <w:b/>
                <w:sz w:val="24"/>
                <w:szCs w:val="24"/>
              </w:rPr>
            </w:pPr>
            <w:r w:rsidRPr="002645CA">
              <w:rPr>
                <w:rFonts w:eastAsia="Arial"/>
                <w:b/>
                <w:sz w:val="24"/>
                <w:szCs w:val="24"/>
              </w:rPr>
              <w:lastRenderedPageBreak/>
              <w:t>1.7</w:t>
            </w:r>
          </w:p>
        </w:tc>
        <w:tc>
          <w:tcPr>
            <w:tcW w:w="3694" w:type="dxa"/>
          </w:tcPr>
          <w:p w14:paraId="1A371782" w14:textId="77777777" w:rsidR="00884901" w:rsidRPr="002645CA" w:rsidRDefault="00884901" w:rsidP="00E22393">
            <w:pPr>
              <w:tabs>
                <w:tab w:val="left" w:pos="284"/>
              </w:tabs>
              <w:spacing w:line="280" w:lineRule="atLeast"/>
              <w:rPr>
                <w:b/>
                <w:bCs/>
                <w:color w:val="000000"/>
                <w:sz w:val="24"/>
                <w:szCs w:val="24"/>
              </w:rPr>
            </w:pPr>
            <w:r w:rsidRPr="002645CA">
              <w:rPr>
                <w:b/>
                <w:bCs/>
                <w:color w:val="000000"/>
                <w:sz w:val="24"/>
                <w:szCs w:val="24"/>
              </w:rPr>
              <w:t xml:space="preserve">Palyginamasis gydymas </w:t>
            </w:r>
          </w:p>
        </w:tc>
        <w:tc>
          <w:tcPr>
            <w:tcW w:w="4713" w:type="dxa"/>
          </w:tcPr>
          <w:p w14:paraId="4E8DA533" w14:textId="58940922" w:rsidR="00884901" w:rsidRPr="002645CA" w:rsidRDefault="00884901" w:rsidP="00E22393">
            <w:pPr>
              <w:spacing w:after="120"/>
              <w:jc w:val="both"/>
              <w:rPr>
                <w:sz w:val="24"/>
                <w:szCs w:val="24"/>
              </w:rPr>
            </w:pPr>
            <w:proofErr w:type="spellStart"/>
            <w:r w:rsidRPr="002645CA">
              <w:rPr>
                <w:sz w:val="24"/>
                <w:szCs w:val="24"/>
              </w:rPr>
              <w:t>Belimumabas</w:t>
            </w:r>
            <w:proofErr w:type="spellEnd"/>
          </w:p>
        </w:tc>
      </w:tr>
    </w:tbl>
    <w:p w14:paraId="59DD5D13" w14:textId="77777777" w:rsidR="00884901" w:rsidRPr="002645CA" w:rsidRDefault="00884901" w:rsidP="00884901">
      <w:pPr>
        <w:pStyle w:val="ListParagraph"/>
        <w:tabs>
          <w:tab w:val="left" w:pos="426"/>
        </w:tabs>
        <w:ind w:left="0"/>
        <w:rPr>
          <w:b/>
          <w:bCs/>
          <w:caps/>
        </w:rPr>
      </w:pPr>
    </w:p>
    <w:p w14:paraId="1C488689" w14:textId="77777777" w:rsidR="00884901" w:rsidRPr="002645CA" w:rsidRDefault="00884901" w:rsidP="00884901">
      <w:pPr>
        <w:spacing w:line="276" w:lineRule="auto"/>
        <w:jc w:val="both"/>
        <w:rPr>
          <w:rFonts w:eastAsia="Arial"/>
          <w:b/>
        </w:rPr>
      </w:pPr>
      <w:r w:rsidRPr="002645CA">
        <w:rPr>
          <w:rFonts w:eastAsia="Arial"/>
          <w:b/>
        </w:rPr>
        <w:t>1.8 Kitų valstybių atsakingų institucijų atlikto Sveikatos technologijų vertinimo (toliau – STV) išvados</w:t>
      </w:r>
    </w:p>
    <w:p w14:paraId="255DE713" w14:textId="77777777" w:rsidR="00884901" w:rsidRPr="002645CA" w:rsidRDefault="00884901" w:rsidP="00884901">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884901" w:rsidRPr="002645CA" w14:paraId="786AC704" w14:textId="77777777" w:rsidTr="00E22393">
        <w:trPr>
          <w:trHeight w:val="924"/>
        </w:trPr>
        <w:tc>
          <w:tcPr>
            <w:tcW w:w="2927" w:type="dxa"/>
          </w:tcPr>
          <w:p w14:paraId="57992213" w14:textId="77777777" w:rsidR="00884901" w:rsidRPr="002645CA" w:rsidRDefault="00884901" w:rsidP="00E22393">
            <w:pPr>
              <w:spacing w:line="276" w:lineRule="auto"/>
              <w:rPr>
                <w:rFonts w:eastAsia="Arial"/>
                <w:sz w:val="24"/>
                <w:szCs w:val="24"/>
              </w:rPr>
            </w:pPr>
            <w:r w:rsidRPr="002645CA">
              <w:rPr>
                <w:rFonts w:eastAsia="Arial"/>
                <w:sz w:val="24"/>
                <w:szCs w:val="24"/>
              </w:rPr>
              <w:t>STV agentūros pavadinimas, šalis</w:t>
            </w:r>
          </w:p>
        </w:tc>
        <w:tc>
          <w:tcPr>
            <w:tcW w:w="1915" w:type="dxa"/>
          </w:tcPr>
          <w:p w14:paraId="28BD1104" w14:textId="77777777" w:rsidR="00884901" w:rsidRPr="002645CA" w:rsidRDefault="00884901" w:rsidP="00E22393">
            <w:pPr>
              <w:spacing w:line="276" w:lineRule="auto"/>
              <w:rPr>
                <w:rFonts w:eastAsia="Arial"/>
                <w:sz w:val="24"/>
                <w:szCs w:val="24"/>
              </w:rPr>
            </w:pPr>
            <w:r w:rsidRPr="002645CA">
              <w:rPr>
                <w:rFonts w:eastAsia="Arial"/>
                <w:sz w:val="24"/>
                <w:szCs w:val="24"/>
              </w:rPr>
              <w:t>STV vertinimas atliktas</w:t>
            </w:r>
          </w:p>
        </w:tc>
        <w:tc>
          <w:tcPr>
            <w:tcW w:w="2351" w:type="dxa"/>
          </w:tcPr>
          <w:p w14:paraId="78427F52" w14:textId="77777777" w:rsidR="00884901" w:rsidRPr="002645CA" w:rsidRDefault="00884901" w:rsidP="00E22393">
            <w:pPr>
              <w:spacing w:line="276" w:lineRule="auto"/>
              <w:rPr>
                <w:rFonts w:eastAsia="Arial"/>
                <w:sz w:val="24"/>
                <w:szCs w:val="24"/>
              </w:rPr>
            </w:pPr>
            <w:r w:rsidRPr="002645CA">
              <w:rPr>
                <w:rFonts w:eastAsia="Arial"/>
                <w:sz w:val="24"/>
                <w:szCs w:val="24"/>
              </w:rPr>
              <w:t>Klinikinio vertinimo išvada</w:t>
            </w:r>
          </w:p>
        </w:tc>
        <w:tc>
          <w:tcPr>
            <w:tcW w:w="2725" w:type="dxa"/>
          </w:tcPr>
          <w:p w14:paraId="2A1B67D3" w14:textId="77777777" w:rsidR="00884901" w:rsidRPr="002645CA" w:rsidRDefault="00884901" w:rsidP="00E22393">
            <w:pPr>
              <w:spacing w:line="276" w:lineRule="auto"/>
              <w:rPr>
                <w:rFonts w:eastAsia="Arial"/>
                <w:sz w:val="24"/>
                <w:szCs w:val="24"/>
              </w:rPr>
            </w:pPr>
            <w:proofErr w:type="spellStart"/>
            <w:r w:rsidRPr="002645CA">
              <w:rPr>
                <w:rFonts w:eastAsia="Arial"/>
                <w:sz w:val="24"/>
                <w:szCs w:val="24"/>
              </w:rPr>
              <w:t>Farmakoekonominio</w:t>
            </w:r>
            <w:proofErr w:type="spellEnd"/>
            <w:r w:rsidRPr="002645CA">
              <w:rPr>
                <w:rFonts w:eastAsia="Arial"/>
                <w:sz w:val="24"/>
                <w:szCs w:val="24"/>
              </w:rPr>
              <w:t xml:space="preserve"> vertinimo išvada</w:t>
            </w:r>
          </w:p>
        </w:tc>
      </w:tr>
      <w:tr w:rsidR="00884901" w:rsidRPr="002645CA" w14:paraId="49708FC6" w14:textId="77777777" w:rsidTr="00E22393">
        <w:trPr>
          <w:trHeight w:val="1765"/>
        </w:trPr>
        <w:tc>
          <w:tcPr>
            <w:tcW w:w="2927" w:type="dxa"/>
          </w:tcPr>
          <w:p w14:paraId="3361DB97" w14:textId="77777777" w:rsidR="00884901" w:rsidRPr="002645CA" w:rsidRDefault="00884901" w:rsidP="00E22393">
            <w:pPr>
              <w:autoSpaceDE w:val="0"/>
              <w:autoSpaceDN w:val="0"/>
              <w:adjustRightInd w:val="0"/>
              <w:rPr>
                <w:bCs/>
                <w:sz w:val="22"/>
                <w:szCs w:val="22"/>
              </w:rPr>
            </w:pPr>
            <w:r w:rsidRPr="002645CA">
              <w:rPr>
                <w:bCs/>
                <w:sz w:val="22"/>
                <w:szCs w:val="22"/>
              </w:rPr>
              <w:t>Nacionalinis sveikatos ir klinikinės kompetencijos institutas, Didžioji Britanija</w:t>
            </w:r>
          </w:p>
          <w:p w14:paraId="4C320280" w14:textId="77777777" w:rsidR="00884901" w:rsidRPr="002645CA" w:rsidRDefault="00884901" w:rsidP="00E22393">
            <w:pPr>
              <w:spacing w:line="276" w:lineRule="auto"/>
              <w:rPr>
                <w:rFonts w:eastAsia="Arial"/>
                <w:sz w:val="22"/>
                <w:szCs w:val="22"/>
              </w:rPr>
            </w:pPr>
            <w:r w:rsidRPr="002645CA">
              <w:rPr>
                <w:rFonts w:eastAsia="Arial"/>
                <w:sz w:val="22"/>
                <w:szCs w:val="22"/>
              </w:rPr>
              <w:t xml:space="preserve">(angl. </w:t>
            </w:r>
            <w:proofErr w:type="spellStart"/>
            <w:r w:rsidRPr="002645CA">
              <w:rPr>
                <w:rFonts w:eastAsia="Arial"/>
                <w:i/>
                <w:sz w:val="22"/>
                <w:szCs w:val="22"/>
              </w:rPr>
              <w:t>National</w:t>
            </w:r>
            <w:proofErr w:type="spellEnd"/>
            <w:r w:rsidRPr="002645CA">
              <w:rPr>
                <w:rFonts w:eastAsia="Arial"/>
                <w:i/>
                <w:sz w:val="22"/>
                <w:szCs w:val="22"/>
              </w:rPr>
              <w:t xml:space="preserve"> Institute </w:t>
            </w:r>
            <w:proofErr w:type="spellStart"/>
            <w:r w:rsidRPr="002645CA">
              <w:rPr>
                <w:rFonts w:eastAsia="Arial"/>
                <w:i/>
                <w:sz w:val="22"/>
                <w:szCs w:val="22"/>
              </w:rPr>
              <w:t>for</w:t>
            </w:r>
            <w:proofErr w:type="spellEnd"/>
            <w:r w:rsidRPr="002645CA">
              <w:rPr>
                <w:rFonts w:eastAsia="Arial"/>
                <w:i/>
                <w:sz w:val="22"/>
                <w:szCs w:val="22"/>
              </w:rPr>
              <w:t xml:space="preserve"> </w:t>
            </w:r>
            <w:proofErr w:type="spellStart"/>
            <w:r w:rsidRPr="002645CA">
              <w:rPr>
                <w:rFonts w:eastAsia="Arial"/>
                <w:i/>
                <w:sz w:val="22"/>
                <w:szCs w:val="22"/>
              </w:rPr>
              <w:t>Health</w:t>
            </w:r>
            <w:proofErr w:type="spellEnd"/>
            <w:r w:rsidRPr="002645CA">
              <w:rPr>
                <w:rFonts w:eastAsia="Arial"/>
                <w:i/>
                <w:sz w:val="22"/>
                <w:szCs w:val="22"/>
              </w:rPr>
              <w:t xml:space="preserve"> </w:t>
            </w:r>
            <w:proofErr w:type="spellStart"/>
            <w:r w:rsidRPr="002645CA">
              <w:rPr>
                <w:rFonts w:eastAsia="Arial"/>
                <w:i/>
                <w:sz w:val="22"/>
                <w:szCs w:val="22"/>
              </w:rPr>
              <w:t>and</w:t>
            </w:r>
            <w:proofErr w:type="spellEnd"/>
            <w:r w:rsidRPr="002645CA">
              <w:rPr>
                <w:rFonts w:eastAsia="Arial"/>
                <w:i/>
                <w:sz w:val="22"/>
                <w:szCs w:val="22"/>
              </w:rPr>
              <w:t xml:space="preserve"> Care </w:t>
            </w:r>
            <w:proofErr w:type="spellStart"/>
            <w:r w:rsidRPr="002645CA">
              <w:rPr>
                <w:rFonts w:eastAsia="Arial"/>
                <w:i/>
                <w:sz w:val="22"/>
                <w:szCs w:val="22"/>
              </w:rPr>
              <w:t>Excellence</w:t>
            </w:r>
            <w:proofErr w:type="spellEnd"/>
            <w:r w:rsidRPr="002645CA">
              <w:rPr>
                <w:rFonts w:eastAsia="Arial"/>
                <w:i/>
                <w:sz w:val="22"/>
                <w:szCs w:val="22"/>
              </w:rPr>
              <w:t>, NICE</w:t>
            </w:r>
            <w:r w:rsidRPr="002645CA">
              <w:rPr>
                <w:rFonts w:eastAsia="Arial"/>
                <w:sz w:val="22"/>
                <w:szCs w:val="22"/>
              </w:rPr>
              <w:t>)</w:t>
            </w:r>
          </w:p>
        </w:tc>
        <w:tc>
          <w:tcPr>
            <w:tcW w:w="1915" w:type="dxa"/>
          </w:tcPr>
          <w:p w14:paraId="3596CFC1" w14:textId="77777777" w:rsidR="00884901" w:rsidRPr="002645CA" w:rsidRDefault="00000000" w:rsidP="00E22393">
            <w:sdt>
              <w:sdtPr>
                <w:rPr>
                  <w:rStyle w:val="Style2"/>
                  <w:sz w:val="24"/>
                </w:rPr>
                <w:id w:val="1558205022"/>
                <w15:color w:val="FFCC00"/>
                <w14:checkbox>
                  <w14:checked w14:val="1"/>
                  <w14:checkedState w14:val="2612" w14:font="MS Gothic"/>
                  <w14:uncheckedState w14:val="2610" w14:font="MS Gothic"/>
                </w14:checkbox>
              </w:sdtPr>
              <w:sdtContent>
                <w:r w:rsidR="00884901" w:rsidRPr="002645CA">
                  <w:rPr>
                    <w:rStyle w:val="Style2"/>
                    <w:rFonts w:ascii="MS Gothic" w:eastAsia="MS Gothic" w:hAnsi="MS Gothic"/>
                    <w:sz w:val="24"/>
                    <w:szCs w:val="24"/>
                  </w:rPr>
                  <w:t>☒</w:t>
                </w:r>
              </w:sdtContent>
            </w:sdt>
            <w:r w:rsidR="00884901" w:rsidRPr="002645CA">
              <w:t xml:space="preserve"> Taip</w:t>
            </w:r>
          </w:p>
          <w:p w14:paraId="75ACDE20" w14:textId="77777777" w:rsidR="00884901" w:rsidRPr="002645CA" w:rsidRDefault="00000000" w:rsidP="00E22393">
            <w:sdt>
              <w:sdtPr>
                <w:rPr>
                  <w:rStyle w:val="Style2"/>
                  <w:sz w:val="24"/>
                </w:rPr>
                <w:id w:val="866029625"/>
                <w15:color w:val="FFCC00"/>
                <w14:checkbox>
                  <w14:checked w14:val="0"/>
                  <w14:checkedState w14:val="2612" w14:font="MS Gothic"/>
                  <w14:uncheckedState w14:val="2610" w14:font="MS Gothic"/>
                </w14:checkbox>
              </w:sdtPr>
              <w:sdtContent>
                <w:r w:rsidR="00884901" w:rsidRPr="002645CA">
                  <w:rPr>
                    <w:rStyle w:val="Style2"/>
                    <w:rFonts w:ascii="MS Gothic" w:eastAsia="MS Gothic" w:hAnsi="MS Gothic"/>
                    <w:sz w:val="24"/>
                    <w:szCs w:val="24"/>
                  </w:rPr>
                  <w:t>☐</w:t>
                </w:r>
              </w:sdtContent>
            </w:sdt>
            <w:r w:rsidR="00884901" w:rsidRPr="002645CA">
              <w:t xml:space="preserve"> Ne</w:t>
            </w:r>
          </w:p>
          <w:p w14:paraId="03D2689D" w14:textId="77777777" w:rsidR="00884901" w:rsidRPr="002645CA" w:rsidRDefault="00000000" w:rsidP="00E22393">
            <w:pPr>
              <w:rPr>
                <w:rFonts w:eastAsia="Arial"/>
              </w:rPr>
            </w:pPr>
            <w:sdt>
              <w:sdtPr>
                <w:alias w:val="Nurodykite konkrečią dieną"/>
                <w:tag w:val="Nurodykite pradžios datą"/>
                <w:id w:val="922837954"/>
                <w:placeholder>
                  <w:docPart w:val="1A6BCFF065BC434094F36C70C1090DCE"/>
                </w:placeholder>
                <w15:color w:val="FFCC99"/>
                <w:date>
                  <w:dateFormat w:val="yyyy 'm.' MMMM d 'd.'"/>
                  <w:lid w:val="lt-LT"/>
                  <w:storeMappedDataAs w:val="dateTime"/>
                  <w:calendar w:val="gregorian"/>
                </w:date>
              </w:sdtPr>
              <w:sdtContent>
                <w:r w:rsidR="00884901" w:rsidRPr="002645CA">
                  <w:t>2023 gegužės 03 d.</w:t>
                </w:r>
              </w:sdtContent>
            </w:sdt>
          </w:p>
        </w:tc>
        <w:tc>
          <w:tcPr>
            <w:tcW w:w="5076" w:type="dxa"/>
            <w:gridSpan w:val="2"/>
          </w:tcPr>
          <w:p w14:paraId="3A041398" w14:textId="77777777" w:rsidR="00884901" w:rsidRPr="002645CA" w:rsidRDefault="00884901" w:rsidP="00E22393">
            <w:pPr>
              <w:spacing w:line="276" w:lineRule="auto"/>
              <w:rPr>
                <w:rFonts w:eastAsia="Arial"/>
                <w:szCs w:val="24"/>
              </w:rPr>
            </w:pPr>
            <w:proofErr w:type="spellStart"/>
            <w:r w:rsidRPr="002645CA">
              <w:rPr>
                <w:rFonts w:eastAsia="Arial"/>
                <w:szCs w:val="24"/>
              </w:rPr>
              <w:t>Voklosporinas</w:t>
            </w:r>
            <w:proofErr w:type="spellEnd"/>
            <w:r w:rsidRPr="002645CA">
              <w:rPr>
                <w:rFonts w:eastAsia="Arial"/>
                <w:szCs w:val="24"/>
              </w:rPr>
              <w:t xml:space="preserve"> su </w:t>
            </w:r>
            <w:proofErr w:type="spellStart"/>
            <w:r w:rsidRPr="002645CA">
              <w:rPr>
                <w:rFonts w:eastAsia="Arial"/>
                <w:szCs w:val="24"/>
              </w:rPr>
              <w:t>mikofenolato</w:t>
            </w:r>
            <w:proofErr w:type="spellEnd"/>
            <w:r w:rsidRPr="002645CA">
              <w:rPr>
                <w:rFonts w:eastAsia="Arial"/>
                <w:szCs w:val="24"/>
              </w:rPr>
              <w:t xml:space="preserve"> </w:t>
            </w:r>
            <w:proofErr w:type="spellStart"/>
            <w:r w:rsidRPr="002645CA">
              <w:rPr>
                <w:rFonts w:eastAsia="Arial"/>
                <w:szCs w:val="24"/>
              </w:rPr>
              <w:t>mofetiliu</w:t>
            </w:r>
            <w:proofErr w:type="spellEnd"/>
            <w:r w:rsidRPr="002645CA">
              <w:rPr>
                <w:rFonts w:eastAsia="Arial"/>
                <w:szCs w:val="24"/>
              </w:rPr>
              <w:t xml:space="preserve"> rekomenduojamas pagal rinkodaros teisę kaip alternatyva suaugusiųjų aktyviam 3–5 klasės (įskaitant mišrią 3 ir 5 bei 4 ir 5 klasių) </w:t>
            </w:r>
            <w:proofErr w:type="spellStart"/>
            <w:r w:rsidRPr="002645CA">
              <w:rPr>
                <w:rFonts w:eastAsia="Arial"/>
                <w:szCs w:val="24"/>
              </w:rPr>
              <w:t>vilkliginiam</w:t>
            </w:r>
            <w:proofErr w:type="spellEnd"/>
            <w:r w:rsidRPr="002645CA">
              <w:rPr>
                <w:rFonts w:eastAsia="Arial"/>
                <w:szCs w:val="24"/>
              </w:rPr>
              <w:t xml:space="preserve"> nefritui gydyti. Jis rekomenduojamas tik tuo atveju, jei įmonė tiekia </w:t>
            </w:r>
            <w:proofErr w:type="spellStart"/>
            <w:r w:rsidRPr="002645CA">
              <w:rPr>
                <w:rFonts w:eastAsia="Arial"/>
                <w:szCs w:val="24"/>
              </w:rPr>
              <w:t>vokosporiną</w:t>
            </w:r>
            <w:proofErr w:type="spellEnd"/>
            <w:r w:rsidRPr="002645CA">
              <w:rPr>
                <w:rFonts w:eastAsia="Arial"/>
                <w:szCs w:val="24"/>
              </w:rPr>
              <w:t xml:space="preserve"> pagal komercinį susitarimą.</w:t>
            </w:r>
          </w:p>
        </w:tc>
      </w:tr>
      <w:tr w:rsidR="00884901" w:rsidRPr="002645CA" w14:paraId="6A7ADCEC" w14:textId="77777777" w:rsidTr="00E22393">
        <w:trPr>
          <w:trHeight w:val="1547"/>
        </w:trPr>
        <w:tc>
          <w:tcPr>
            <w:tcW w:w="2927" w:type="dxa"/>
          </w:tcPr>
          <w:p w14:paraId="7E488BCC" w14:textId="77777777" w:rsidR="00884901" w:rsidRPr="002645CA" w:rsidRDefault="00884901" w:rsidP="00E22393">
            <w:pPr>
              <w:spacing w:line="276" w:lineRule="auto"/>
              <w:rPr>
                <w:rFonts w:eastAsia="Arial"/>
                <w:sz w:val="22"/>
                <w:szCs w:val="22"/>
              </w:rPr>
            </w:pPr>
            <w:r w:rsidRPr="002645CA">
              <w:rPr>
                <w:rFonts w:eastAsia="Arial"/>
                <w:sz w:val="22"/>
                <w:szCs w:val="22"/>
              </w:rPr>
              <w:t>Kanados sveikatos technologijų agentūra</w:t>
            </w:r>
          </w:p>
          <w:p w14:paraId="40280E64" w14:textId="77777777" w:rsidR="00884901" w:rsidRPr="002645CA" w:rsidRDefault="00884901" w:rsidP="00E22393">
            <w:pPr>
              <w:spacing w:line="276" w:lineRule="auto"/>
              <w:rPr>
                <w:rFonts w:eastAsia="Arial"/>
                <w:sz w:val="22"/>
                <w:szCs w:val="22"/>
              </w:rPr>
            </w:pPr>
            <w:r w:rsidRPr="002645CA">
              <w:rPr>
                <w:rFonts w:eastAsia="Arial"/>
                <w:sz w:val="22"/>
                <w:szCs w:val="22"/>
              </w:rPr>
              <w:t xml:space="preserve">(angl. </w:t>
            </w:r>
            <w:proofErr w:type="spellStart"/>
            <w:r w:rsidRPr="002645CA">
              <w:rPr>
                <w:rFonts w:eastAsia="Arial"/>
                <w:i/>
                <w:sz w:val="22"/>
                <w:szCs w:val="22"/>
              </w:rPr>
              <w:t>Canadian</w:t>
            </w:r>
            <w:proofErr w:type="spellEnd"/>
            <w:r w:rsidRPr="002645CA">
              <w:rPr>
                <w:rFonts w:eastAsia="Arial"/>
                <w:i/>
                <w:sz w:val="22"/>
                <w:szCs w:val="22"/>
              </w:rPr>
              <w:t xml:space="preserve"> </w:t>
            </w:r>
            <w:proofErr w:type="spellStart"/>
            <w:r w:rsidRPr="002645CA">
              <w:rPr>
                <w:rFonts w:eastAsia="Arial"/>
                <w:i/>
                <w:sz w:val="22"/>
                <w:szCs w:val="22"/>
              </w:rPr>
              <w:t>health</w:t>
            </w:r>
            <w:proofErr w:type="spellEnd"/>
            <w:r w:rsidRPr="002645CA">
              <w:rPr>
                <w:rFonts w:eastAsia="Arial"/>
                <w:i/>
                <w:sz w:val="22"/>
                <w:szCs w:val="22"/>
              </w:rPr>
              <w:t xml:space="preserve"> </w:t>
            </w:r>
            <w:proofErr w:type="spellStart"/>
            <w:r w:rsidRPr="002645CA">
              <w:rPr>
                <w:rFonts w:eastAsia="Arial"/>
                <w:i/>
                <w:sz w:val="22"/>
                <w:szCs w:val="22"/>
              </w:rPr>
              <w:t>Technology</w:t>
            </w:r>
            <w:proofErr w:type="spellEnd"/>
            <w:r w:rsidRPr="002645CA">
              <w:rPr>
                <w:rFonts w:eastAsia="Arial"/>
                <w:i/>
                <w:sz w:val="22"/>
                <w:szCs w:val="22"/>
              </w:rPr>
              <w:t xml:space="preserve"> </w:t>
            </w:r>
            <w:proofErr w:type="spellStart"/>
            <w:r w:rsidRPr="002645CA">
              <w:rPr>
                <w:rFonts w:eastAsia="Arial"/>
                <w:i/>
                <w:sz w:val="22"/>
                <w:szCs w:val="22"/>
              </w:rPr>
              <w:t>Assessment</w:t>
            </w:r>
            <w:proofErr w:type="spellEnd"/>
            <w:r w:rsidRPr="002645CA">
              <w:rPr>
                <w:rFonts w:eastAsia="Arial"/>
                <w:i/>
                <w:sz w:val="22"/>
                <w:szCs w:val="22"/>
              </w:rPr>
              <w:t xml:space="preserve"> </w:t>
            </w:r>
            <w:proofErr w:type="spellStart"/>
            <w:r w:rsidRPr="002645CA">
              <w:rPr>
                <w:rFonts w:eastAsia="Arial"/>
                <w:i/>
                <w:sz w:val="22"/>
                <w:szCs w:val="22"/>
              </w:rPr>
              <w:t>agency</w:t>
            </w:r>
            <w:proofErr w:type="spellEnd"/>
            <w:r w:rsidRPr="002645CA">
              <w:rPr>
                <w:rFonts w:eastAsia="Arial"/>
                <w:i/>
                <w:sz w:val="22"/>
                <w:szCs w:val="22"/>
              </w:rPr>
              <w:t>, CADTH</w:t>
            </w:r>
            <w:r w:rsidRPr="002645CA">
              <w:rPr>
                <w:rFonts w:eastAsia="Arial"/>
                <w:sz w:val="22"/>
                <w:szCs w:val="22"/>
              </w:rPr>
              <w:t>)</w:t>
            </w:r>
          </w:p>
        </w:tc>
        <w:tc>
          <w:tcPr>
            <w:tcW w:w="1915" w:type="dxa"/>
          </w:tcPr>
          <w:p w14:paraId="5BBCE0C7" w14:textId="77777777" w:rsidR="00884901" w:rsidRPr="002645CA" w:rsidRDefault="00000000" w:rsidP="00E22393">
            <w:sdt>
              <w:sdtPr>
                <w:rPr>
                  <w:rStyle w:val="Style2"/>
                  <w:sz w:val="24"/>
                </w:rPr>
                <w:id w:val="-372539057"/>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t xml:space="preserve"> Taip</w:t>
            </w:r>
          </w:p>
          <w:p w14:paraId="780812F3" w14:textId="77777777" w:rsidR="00884901" w:rsidRPr="002645CA" w:rsidRDefault="00000000" w:rsidP="00E22393">
            <w:sdt>
              <w:sdtPr>
                <w:rPr>
                  <w:rStyle w:val="Style2"/>
                  <w:sz w:val="24"/>
                </w:rPr>
                <w:id w:val="594442222"/>
                <w15:color w:val="FFCC00"/>
                <w14:checkbox>
                  <w14:checked w14:val="1"/>
                  <w14:checkedState w14:val="2612" w14:font="MS Gothic"/>
                  <w14:uncheckedState w14:val="2610" w14:font="MS Gothic"/>
                </w14:checkbox>
              </w:sdtPr>
              <w:sdtContent>
                <w:r w:rsidR="00884901" w:rsidRPr="002645CA">
                  <w:rPr>
                    <w:rStyle w:val="Style2"/>
                    <w:rFonts w:ascii="MS Gothic" w:eastAsia="MS Gothic" w:hAnsi="MS Gothic"/>
                    <w:sz w:val="24"/>
                    <w:szCs w:val="24"/>
                  </w:rPr>
                  <w:t>☒</w:t>
                </w:r>
              </w:sdtContent>
            </w:sdt>
            <w:r w:rsidR="00884901" w:rsidRPr="002645CA">
              <w:t xml:space="preserve"> Ne</w:t>
            </w:r>
          </w:p>
          <w:p w14:paraId="68CBDA41" w14:textId="77777777" w:rsidR="00884901" w:rsidRPr="002645CA" w:rsidRDefault="00000000" w:rsidP="00E22393">
            <w:pPr>
              <w:spacing w:line="276" w:lineRule="auto"/>
              <w:rPr>
                <w:rFonts w:eastAsia="Arial"/>
                <w:szCs w:val="24"/>
              </w:rPr>
            </w:pPr>
            <w:sdt>
              <w:sdtPr>
                <w:alias w:val="Nurodykite konkrečią dieną"/>
                <w:tag w:val="Nurodykite pradžios datą"/>
                <w:id w:val="1072468416"/>
                <w:placeholder>
                  <w:docPart w:val="8299414F4451C74F9711934829B39EE4"/>
                </w:placeholder>
                <w:showingPlcHdr/>
                <w15:color w:val="FFCC99"/>
                <w:date w:fullDate="2022-05-18T00:00:00Z">
                  <w:dateFormat w:val="yyyy 'm.' MMMM d 'd.'"/>
                  <w:lid w:val="lt-LT"/>
                  <w:storeMappedDataAs w:val="dateTime"/>
                  <w:calendar w:val="gregorian"/>
                </w:date>
              </w:sdtPr>
              <w:sdtContent>
                <w:r w:rsidR="00884901" w:rsidRPr="002645CA">
                  <w:rPr>
                    <w:rStyle w:val="PlaceholderText"/>
                    <w:szCs w:val="24"/>
                  </w:rPr>
                  <w:t>Click here to enter a date.</w:t>
                </w:r>
              </w:sdtContent>
            </w:sdt>
          </w:p>
        </w:tc>
        <w:tc>
          <w:tcPr>
            <w:tcW w:w="2351" w:type="dxa"/>
          </w:tcPr>
          <w:p w14:paraId="6F80D1B1" w14:textId="77777777" w:rsidR="00884901" w:rsidRPr="002645CA" w:rsidRDefault="00884901" w:rsidP="00E22393">
            <w:pPr>
              <w:spacing w:line="276" w:lineRule="auto"/>
              <w:rPr>
                <w:rFonts w:eastAsia="Arial"/>
                <w:szCs w:val="24"/>
              </w:rPr>
            </w:pPr>
          </w:p>
        </w:tc>
        <w:tc>
          <w:tcPr>
            <w:tcW w:w="2725" w:type="dxa"/>
          </w:tcPr>
          <w:p w14:paraId="3BF96A96" w14:textId="77777777" w:rsidR="00884901" w:rsidRPr="002645CA" w:rsidRDefault="00884901" w:rsidP="00E22393">
            <w:pPr>
              <w:spacing w:line="276" w:lineRule="auto"/>
              <w:rPr>
                <w:rFonts w:eastAsia="Arial"/>
                <w:szCs w:val="24"/>
              </w:rPr>
            </w:pPr>
          </w:p>
        </w:tc>
      </w:tr>
      <w:tr w:rsidR="00884901" w:rsidRPr="002645CA" w14:paraId="389F4617" w14:textId="77777777" w:rsidTr="00E22393">
        <w:trPr>
          <w:trHeight w:val="1927"/>
        </w:trPr>
        <w:tc>
          <w:tcPr>
            <w:tcW w:w="2927" w:type="dxa"/>
          </w:tcPr>
          <w:p w14:paraId="067A412D" w14:textId="77777777" w:rsidR="00884901" w:rsidRPr="002645CA" w:rsidRDefault="00884901" w:rsidP="00E22393">
            <w:pPr>
              <w:spacing w:line="276" w:lineRule="auto"/>
              <w:rPr>
                <w:rFonts w:eastAsia="Arial"/>
                <w:sz w:val="22"/>
                <w:szCs w:val="22"/>
              </w:rPr>
            </w:pPr>
            <w:r w:rsidRPr="002645CA">
              <w:rPr>
                <w:rFonts w:eastAsia="Arial"/>
                <w:sz w:val="22"/>
                <w:szCs w:val="22"/>
              </w:rPr>
              <w:t xml:space="preserve">Nacionalinis </w:t>
            </w:r>
            <w:proofErr w:type="spellStart"/>
            <w:r w:rsidRPr="002645CA">
              <w:rPr>
                <w:rFonts w:eastAsia="Arial"/>
                <w:sz w:val="22"/>
                <w:szCs w:val="22"/>
              </w:rPr>
              <w:t>farmakoekonomikos</w:t>
            </w:r>
            <w:proofErr w:type="spellEnd"/>
            <w:r w:rsidRPr="002645CA">
              <w:rPr>
                <w:rFonts w:eastAsia="Arial"/>
                <w:sz w:val="22"/>
                <w:szCs w:val="22"/>
              </w:rPr>
              <w:t xml:space="preserve"> centras, Airija</w:t>
            </w:r>
          </w:p>
          <w:p w14:paraId="1B22FCFE" w14:textId="77777777" w:rsidR="00884901" w:rsidRPr="002645CA" w:rsidRDefault="00884901" w:rsidP="00E22393">
            <w:pPr>
              <w:spacing w:line="276" w:lineRule="auto"/>
              <w:rPr>
                <w:rFonts w:eastAsia="Arial"/>
                <w:sz w:val="22"/>
                <w:szCs w:val="22"/>
              </w:rPr>
            </w:pPr>
            <w:r w:rsidRPr="002645CA">
              <w:rPr>
                <w:rFonts w:eastAsia="Arial"/>
                <w:sz w:val="22"/>
                <w:szCs w:val="22"/>
              </w:rPr>
              <w:t>(angl.</w:t>
            </w:r>
            <w:r w:rsidRPr="002645CA">
              <w:rPr>
                <w:rFonts w:eastAsia="Arial"/>
                <w:i/>
                <w:sz w:val="22"/>
                <w:szCs w:val="22"/>
              </w:rPr>
              <w:t xml:space="preserve"> </w:t>
            </w:r>
            <w:proofErr w:type="spellStart"/>
            <w:r w:rsidRPr="002645CA">
              <w:rPr>
                <w:rFonts w:eastAsia="Arial"/>
                <w:i/>
                <w:sz w:val="22"/>
                <w:szCs w:val="22"/>
              </w:rPr>
              <w:t>National</w:t>
            </w:r>
            <w:proofErr w:type="spellEnd"/>
            <w:r w:rsidRPr="002645CA">
              <w:rPr>
                <w:rFonts w:eastAsia="Arial"/>
                <w:i/>
                <w:sz w:val="22"/>
                <w:szCs w:val="22"/>
              </w:rPr>
              <w:t xml:space="preserve"> Centre </w:t>
            </w:r>
            <w:proofErr w:type="spellStart"/>
            <w:r w:rsidRPr="002645CA">
              <w:rPr>
                <w:rFonts w:eastAsia="Arial"/>
                <w:i/>
                <w:sz w:val="22"/>
                <w:szCs w:val="22"/>
              </w:rPr>
              <w:t>for</w:t>
            </w:r>
            <w:proofErr w:type="spellEnd"/>
            <w:r w:rsidRPr="002645CA">
              <w:rPr>
                <w:rFonts w:eastAsia="Arial"/>
                <w:i/>
                <w:sz w:val="22"/>
                <w:szCs w:val="22"/>
              </w:rPr>
              <w:t xml:space="preserve"> </w:t>
            </w:r>
            <w:proofErr w:type="spellStart"/>
            <w:r w:rsidRPr="002645CA">
              <w:rPr>
                <w:rFonts w:eastAsia="Arial"/>
                <w:i/>
                <w:sz w:val="22"/>
                <w:szCs w:val="22"/>
              </w:rPr>
              <w:t>Pharmacoeconomics</w:t>
            </w:r>
            <w:proofErr w:type="spellEnd"/>
            <w:r w:rsidRPr="002645CA">
              <w:rPr>
                <w:rFonts w:eastAsia="Arial"/>
                <w:i/>
                <w:sz w:val="22"/>
                <w:szCs w:val="22"/>
              </w:rPr>
              <w:t>, NCPE</w:t>
            </w:r>
            <w:r w:rsidRPr="002645CA">
              <w:rPr>
                <w:rFonts w:eastAsia="Arial"/>
                <w:sz w:val="22"/>
                <w:szCs w:val="22"/>
              </w:rPr>
              <w:t>)</w:t>
            </w:r>
          </w:p>
        </w:tc>
        <w:tc>
          <w:tcPr>
            <w:tcW w:w="1915" w:type="dxa"/>
          </w:tcPr>
          <w:p w14:paraId="2850651B" w14:textId="77777777" w:rsidR="00884901" w:rsidRPr="002645CA" w:rsidRDefault="00000000" w:rsidP="00E22393">
            <w:sdt>
              <w:sdtPr>
                <w:rPr>
                  <w:rStyle w:val="Style2"/>
                  <w:sz w:val="24"/>
                </w:rPr>
                <w:id w:val="-1888403732"/>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t xml:space="preserve"> Taip</w:t>
            </w:r>
          </w:p>
          <w:p w14:paraId="2F438591" w14:textId="77777777" w:rsidR="00884901" w:rsidRPr="002645CA" w:rsidRDefault="00000000" w:rsidP="00E22393">
            <w:sdt>
              <w:sdtPr>
                <w:rPr>
                  <w:rStyle w:val="Style2"/>
                  <w:sz w:val="24"/>
                </w:rPr>
                <w:id w:val="1092201793"/>
                <w15:color w:val="FFCC00"/>
                <w14:checkbox>
                  <w14:checked w14:val="1"/>
                  <w14:checkedState w14:val="2612" w14:font="MS Gothic"/>
                  <w14:uncheckedState w14:val="2610" w14:font="MS Gothic"/>
                </w14:checkbox>
              </w:sdtPr>
              <w:sdtContent>
                <w:r w:rsidR="00884901" w:rsidRPr="002645CA">
                  <w:rPr>
                    <w:rStyle w:val="Style2"/>
                    <w:rFonts w:ascii="MS Gothic" w:eastAsia="MS Gothic" w:hAnsi="MS Gothic"/>
                    <w:sz w:val="24"/>
                    <w:szCs w:val="24"/>
                  </w:rPr>
                  <w:t>☒</w:t>
                </w:r>
              </w:sdtContent>
            </w:sdt>
            <w:r w:rsidR="00884901" w:rsidRPr="002645CA">
              <w:t xml:space="preserve"> Ne</w:t>
            </w:r>
          </w:p>
          <w:p w14:paraId="4C67CD76" w14:textId="77777777" w:rsidR="00884901" w:rsidRPr="002645CA" w:rsidRDefault="00000000" w:rsidP="00E22393">
            <w:pPr>
              <w:spacing w:line="276" w:lineRule="auto"/>
              <w:rPr>
                <w:rFonts w:eastAsia="Arial"/>
                <w:szCs w:val="24"/>
              </w:rPr>
            </w:pPr>
            <w:sdt>
              <w:sdtPr>
                <w:alias w:val="Nurodykite konkrečią dieną"/>
                <w:tag w:val="Nurodykite pradžios datą"/>
                <w:id w:val="-198323198"/>
                <w:placeholder>
                  <w:docPart w:val="C3AF490F86E97A4AAD696EB1E72D86DE"/>
                </w:placeholder>
                <w:showingPlcHdr/>
                <w15:color w:val="FFCC99"/>
                <w:date w:fullDate="2022-05-18T00:00:00Z">
                  <w:dateFormat w:val="yyyy 'm.' MMMM d 'd.'"/>
                  <w:lid w:val="lt-LT"/>
                  <w:storeMappedDataAs w:val="dateTime"/>
                  <w:calendar w:val="gregorian"/>
                </w:date>
              </w:sdtPr>
              <w:sdtContent>
                <w:r w:rsidR="00884901" w:rsidRPr="002645CA">
                  <w:rPr>
                    <w:rStyle w:val="PlaceholderText"/>
                    <w:szCs w:val="24"/>
                  </w:rPr>
                  <w:t>Click here to enter a date.</w:t>
                </w:r>
              </w:sdtContent>
            </w:sdt>
          </w:p>
        </w:tc>
        <w:tc>
          <w:tcPr>
            <w:tcW w:w="2351" w:type="dxa"/>
          </w:tcPr>
          <w:p w14:paraId="45421423" w14:textId="77777777" w:rsidR="00884901" w:rsidRPr="002645CA" w:rsidRDefault="00884901" w:rsidP="00E22393">
            <w:pPr>
              <w:spacing w:line="276" w:lineRule="auto"/>
              <w:rPr>
                <w:rFonts w:eastAsia="Arial"/>
                <w:szCs w:val="24"/>
              </w:rPr>
            </w:pPr>
          </w:p>
        </w:tc>
        <w:tc>
          <w:tcPr>
            <w:tcW w:w="2725" w:type="dxa"/>
          </w:tcPr>
          <w:p w14:paraId="130B6E9D" w14:textId="77777777" w:rsidR="00884901" w:rsidRPr="002645CA" w:rsidRDefault="00884901" w:rsidP="00E22393">
            <w:pPr>
              <w:spacing w:line="276" w:lineRule="auto"/>
              <w:rPr>
                <w:rFonts w:eastAsia="Arial"/>
                <w:szCs w:val="24"/>
              </w:rPr>
            </w:pPr>
          </w:p>
        </w:tc>
      </w:tr>
    </w:tbl>
    <w:p w14:paraId="0630EC98" w14:textId="77777777" w:rsidR="00884901" w:rsidRPr="002645CA" w:rsidRDefault="00884901" w:rsidP="00884901">
      <w:pPr>
        <w:pStyle w:val="ListParagraph"/>
        <w:tabs>
          <w:tab w:val="left" w:pos="426"/>
        </w:tabs>
        <w:ind w:left="0"/>
        <w:rPr>
          <w:b/>
          <w:bCs/>
          <w:caps/>
        </w:rPr>
      </w:pPr>
    </w:p>
    <w:p w14:paraId="1DF12696" w14:textId="77777777" w:rsidR="00884901" w:rsidRPr="002645CA" w:rsidRDefault="00884901" w:rsidP="00884901">
      <w:pPr>
        <w:pStyle w:val="ListParagraph"/>
        <w:numPr>
          <w:ilvl w:val="0"/>
          <w:numId w:val="1"/>
        </w:numPr>
        <w:tabs>
          <w:tab w:val="left" w:pos="284"/>
        </w:tabs>
        <w:rPr>
          <w:b/>
          <w:bCs/>
          <w:caps/>
        </w:rPr>
      </w:pPr>
      <w:r w:rsidRPr="002645CA">
        <w:rPr>
          <w:b/>
          <w:bCs/>
          <w:caps/>
        </w:rPr>
        <w:t>Klinikinio vertinimo apibendrinimas</w:t>
      </w:r>
    </w:p>
    <w:p w14:paraId="47621824" w14:textId="77777777" w:rsidR="00884901" w:rsidRPr="002645CA" w:rsidRDefault="00884901" w:rsidP="00884901">
      <w:pPr>
        <w:spacing w:line="276" w:lineRule="auto"/>
        <w:rPr>
          <w:rFonts w:eastAsia="Arial"/>
          <w:i/>
        </w:rPr>
      </w:pPr>
    </w:p>
    <w:p w14:paraId="01BB12E2" w14:textId="77777777" w:rsidR="00884901" w:rsidRPr="002645CA" w:rsidRDefault="00884901" w:rsidP="00884901">
      <w:pPr>
        <w:pStyle w:val="0TEXT"/>
        <w:spacing w:before="30" w:line="276" w:lineRule="auto"/>
        <w:rPr>
          <w:lang w:val="lt-LT"/>
        </w:rPr>
      </w:pPr>
      <w:r w:rsidRPr="002645CA">
        <w:rPr>
          <w:lang w:val="lt-LT"/>
        </w:rPr>
        <w:t xml:space="preserve">Sisteminė raudonoji vilkligė (SRV) yra lėtinė autoimuninė liga, kuria dažniausiai serga 20–40 metų moterys. </w:t>
      </w:r>
      <w:proofErr w:type="spellStart"/>
      <w:r w:rsidRPr="002645CA">
        <w:rPr>
          <w:lang w:val="lt-LT"/>
        </w:rPr>
        <w:t>Vilkliginis</w:t>
      </w:r>
      <w:proofErr w:type="spellEnd"/>
      <w:r w:rsidRPr="002645CA">
        <w:rPr>
          <w:lang w:val="lt-LT"/>
        </w:rPr>
        <w:t xml:space="preserve"> nefritas (VN) yra viena iš dažniausių pasireiškiančių SRV formų, kuri yra sekinanti ir potencialiai pavojinga gyvybei būklė. SRV savo ruožtu yra autoimuninė liga, kuri gali paveikti įvairius organus ar kūno regionus. Taigi pacientams, sergantiems VN, pažeidžiami inkstai.</w:t>
      </w:r>
    </w:p>
    <w:p w14:paraId="00D0063A" w14:textId="77777777" w:rsidR="00884901" w:rsidRPr="002645CA" w:rsidRDefault="00884901" w:rsidP="00884901">
      <w:pPr>
        <w:pStyle w:val="0TEXT"/>
        <w:spacing w:before="30" w:line="276" w:lineRule="auto"/>
        <w:rPr>
          <w:lang w:val="lt-LT"/>
        </w:rPr>
      </w:pPr>
      <w:r w:rsidRPr="002645CA">
        <w:rPr>
          <w:lang w:val="lt-LT"/>
        </w:rPr>
        <w:t xml:space="preserve">Maždaug 20–58 procentų SRV sergančių pacientų išsivysto VN. Apskaičiuotas ligos paplitimas 100 000 gyventojų buvo atitinkamai 45,2 (95 % PI 43,3-47,4) ir 6,4 (95 % PI 5,7-7,2) sergant SRV ir VN. Sergančių VN mirtingumas yra didesnis nei SRV ir yra susijęs su 6–9 kartus padidėjusia mirtingumo rizika, palyginti su bendra populiacija. Tikslių duomenų apie VN sergamumą ir ligotumą Lietuvoje nėra skelbta. Valstybinio mokslinių tyrimų instituto, Inovatyvios medicinos centro mokslininkų duomenimis, SRV paplitimas Lietuvoje yra 35 atvejo /100000 </w:t>
      </w:r>
      <w:proofErr w:type="spellStart"/>
      <w:r w:rsidRPr="002645CA">
        <w:rPr>
          <w:lang w:val="lt-LT"/>
        </w:rPr>
        <w:t>saugusiųjų</w:t>
      </w:r>
      <w:proofErr w:type="spellEnd"/>
      <w:r w:rsidRPr="002645CA">
        <w:rPr>
          <w:lang w:val="lt-LT"/>
        </w:rPr>
        <w:t xml:space="preserve"> gyventojų. Kitaip tariant, Lietuvoje galėtų būti apie 1000 diagnozuotų, atitinkančius visus ligos kriterijus, sisteminės raudonosios vilkligės atvejų, tai atitinka ir higienos instituto skelbiamus duomenis (pagal M32). Atitinkamai, VN sergančių asmenų skaičiai gali siekti nuo 200 iki 400 atvejų (ligotumas). Naujai diagnozuojamų asmenų skaičius gali siekti 20-50 atvejų per metus (sergamumas).</w:t>
      </w:r>
    </w:p>
    <w:p w14:paraId="478B934C" w14:textId="77777777" w:rsidR="00884901" w:rsidRPr="002645CA" w:rsidRDefault="00884901" w:rsidP="00884901">
      <w:pPr>
        <w:pStyle w:val="0TEXT"/>
        <w:spacing w:before="30" w:line="276" w:lineRule="auto"/>
        <w:rPr>
          <w:lang w:val="lt-LT"/>
        </w:rPr>
      </w:pPr>
      <w:proofErr w:type="spellStart"/>
      <w:r w:rsidRPr="002645CA">
        <w:rPr>
          <w:lang w:val="lt-LT"/>
        </w:rPr>
        <w:t>Proteinurija</w:t>
      </w:r>
      <w:proofErr w:type="spellEnd"/>
      <w:r w:rsidRPr="002645CA">
        <w:rPr>
          <w:lang w:val="lt-LT"/>
        </w:rPr>
        <w:t xml:space="preserve"> po 12 gydymo mėnesių yra geriausia ilgalaikių inkstų pasekmių prognozė. Todėl klinikinėse gairėse, tokiose kaip Europos Sąjungos lygos prieš reumatą (EULAR) gairės ir Pasaulinės inkstų ligų gydymo asociacijos (KDIGO) gairės, didžiausias dėmesys skiriamas </w:t>
      </w:r>
      <w:proofErr w:type="spellStart"/>
      <w:r w:rsidRPr="002645CA">
        <w:rPr>
          <w:lang w:val="lt-LT"/>
        </w:rPr>
        <w:t>proteinurijos</w:t>
      </w:r>
      <w:proofErr w:type="spellEnd"/>
      <w:r w:rsidRPr="002645CA">
        <w:rPr>
          <w:lang w:val="lt-LT"/>
        </w:rPr>
        <w:t xml:space="preserve"> / šlapimo baltymų ir kreatinino santykio (UPCR) mažinimui per 12 mėnesių kaip pagrindiniam gydymo tikslui.</w:t>
      </w:r>
    </w:p>
    <w:p w14:paraId="509EAC3C" w14:textId="77777777" w:rsidR="00884901" w:rsidRPr="002645CA" w:rsidRDefault="00884901" w:rsidP="00884901">
      <w:pPr>
        <w:pStyle w:val="0TEXT"/>
        <w:spacing w:before="30" w:line="276" w:lineRule="auto"/>
        <w:rPr>
          <w:lang w:val="lt-LT"/>
        </w:rPr>
      </w:pPr>
      <w:r w:rsidRPr="002645CA">
        <w:rPr>
          <w:lang w:val="lt-LT"/>
        </w:rPr>
        <w:t xml:space="preserve">SRV gydymo tikslas – pasiekti, kad ligos eiga būtų neaktyvi arba nedidelio aktyvumo arba pasiekti VN remisiją. </w:t>
      </w:r>
    </w:p>
    <w:p w14:paraId="72425A87" w14:textId="77777777" w:rsidR="00884901" w:rsidRPr="002645CA" w:rsidRDefault="00884901" w:rsidP="00884901">
      <w:pPr>
        <w:pStyle w:val="0TEXT"/>
        <w:spacing w:before="30" w:line="276" w:lineRule="auto"/>
        <w:rPr>
          <w:lang w:val="lt-LT"/>
        </w:rPr>
      </w:pPr>
      <w:r w:rsidRPr="002645CA">
        <w:rPr>
          <w:lang w:val="lt-LT"/>
        </w:rPr>
        <w:t xml:space="preserve">EULAR gairėse pradinis gydymas skirstomas į kategorijas pagal rekomenduojamus pirmos eilės gydymo būdus ir alternatyvius gydymo būdus, iš kurių pastarasis gali būti svarstomas pacientams, kuriems yra nepalankių klinikinių prognostinių veiksnių. Pirmos eilės III ir IV klasės VN gydymas apima </w:t>
      </w:r>
      <w:proofErr w:type="spellStart"/>
      <w:r w:rsidRPr="002645CA">
        <w:rPr>
          <w:lang w:val="lt-LT"/>
        </w:rPr>
        <w:t>mikofenolato</w:t>
      </w:r>
      <w:proofErr w:type="spellEnd"/>
      <w:r w:rsidRPr="002645CA">
        <w:rPr>
          <w:lang w:val="lt-LT"/>
        </w:rPr>
        <w:t xml:space="preserve"> </w:t>
      </w:r>
      <w:proofErr w:type="spellStart"/>
      <w:r w:rsidRPr="002645CA">
        <w:rPr>
          <w:lang w:val="lt-LT"/>
        </w:rPr>
        <w:t>mofetilį</w:t>
      </w:r>
      <w:proofErr w:type="spellEnd"/>
      <w:r w:rsidRPr="002645CA">
        <w:rPr>
          <w:lang w:val="lt-LT"/>
        </w:rPr>
        <w:t xml:space="preserve"> (MMF), </w:t>
      </w:r>
      <w:proofErr w:type="spellStart"/>
      <w:r w:rsidRPr="002645CA">
        <w:rPr>
          <w:lang w:val="lt-LT"/>
        </w:rPr>
        <w:t>mikofenolio</w:t>
      </w:r>
      <w:proofErr w:type="spellEnd"/>
      <w:r w:rsidRPr="002645CA">
        <w:rPr>
          <w:lang w:val="lt-LT"/>
        </w:rPr>
        <w:t xml:space="preserve"> rūgštį (MPA) arba mažą </w:t>
      </w:r>
      <w:proofErr w:type="spellStart"/>
      <w:r w:rsidRPr="002645CA">
        <w:rPr>
          <w:lang w:val="lt-LT"/>
        </w:rPr>
        <w:t>ciklofosfamido</w:t>
      </w:r>
      <w:proofErr w:type="spellEnd"/>
      <w:r w:rsidRPr="002645CA">
        <w:rPr>
          <w:lang w:val="lt-LT"/>
        </w:rPr>
        <w:t xml:space="preserve"> dozę kartu su kortikosteroidais, tuo tarpu pirmosios eilės V klasės VN gydymas apima MMF arba MPA su impulsiniu intraveniniu </w:t>
      </w:r>
      <w:proofErr w:type="spellStart"/>
      <w:r w:rsidRPr="002645CA">
        <w:rPr>
          <w:lang w:val="lt-LT"/>
        </w:rPr>
        <w:t>metilprednizolonu</w:t>
      </w:r>
      <w:proofErr w:type="spellEnd"/>
      <w:r w:rsidRPr="002645CA">
        <w:rPr>
          <w:lang w:val="lt-LT"/>
        </w:rPr>
        <w:t xml:space="preserve"> vėliau skiriant kortikosteroidus. </w:t>
      </w:r>
    </w:p>
    <w:p w14:paraId="7697D9FC" w14:textId="77777777" w:rsidR="00884901" w:rsidRPr="002645CA" w:rsidRDefault="00884901" w:rsidP="00884901">
      <w:pPr>
        <w:pStyle w:val="0TEXT"/>
        <w:spacing w:before="30" w:line="276" w:lineRule="auto"/>
        <w:rPr>
          <w:lang w:val="lt-LT"/>
        </w:rPr>
      </w:pPr>
      <w:r w:rsidRPr="002645CA">
        <w:rPr>
          <w:lang w:val="lt-LT"/>
        </w:rPr>
        <w:t xml:space="preserve">Pacientams, kuriems pradinis gydymas nepasiekia atsako, taip pat gali būti skiriamas </w:t>
      </w:r>
      <w:proofErr w:type="spellStart"/>
      <w:r w:rsidRPr="002645CA">
        <w:rPr>
          <w:lang w:val="lt-LT"/>
        </w:rPr>
        <w:t>rituksimabas</w:t>
      </w:r>
      <w:proofErr w:type="spellEnd"/>
      <w:r w:rsidRPr="002645CA">
        <w:rPr>
          <w:lang w:val="lt-LT"/>
        </w:rPr>
        <w:t xml:space="preserve"> kaip </w:t>
      </w:r>
      <w:proofErr w:type="spellStart"/>
      <w:r w:rsidRPr="002645CA">
        <w:rPr>
          <w:lang w:val="lt-LT"/>
        </w:rPr>
        <w:t>monoterapija</w:t>
      </w:r>
      <w:proofErr w:type="spellEnd"/>
      <w:r w:rsidRPr="002645CA">
        <w:rPr>
          <w:lang w:val="lt-LT"/>
        </w:rPr>
        <w:t xml:space="preserve"> arba kaip papildomas gydymas. 2023 metais atnaujinus EULAR gairės </w:t>
      </w:r>
      <w:proofErr w:type="spellStart"/>
      <w:r w:rsidRPr="002645CA">
        <w:rPr>
          <w:lang w:val="lt-LT"/>
        </w:rPr>
        <w:t>voklosporinas</w:t>
      </w:r>
      <w:proofErr w:type="spellEnd"/>
      <w:r w:rsidRPr="002645CA">
        <w:rPr>
          <w:lang w:val="lt-LT"/>
        </w:rPr>
        <w:t xml:space="preserve"> ir </w:t>
      </w:r>
      <w:proofErr w:type="spellStart"/>
      <w:r w:rsidRPr="002645CA">
        <w:rPr>
          <w:lang w:val="lt-LT"/>
        </w:rPr>
        <w:t>belimumabas</w:t>
      </w:r>
      <w:proofErr w:type="spellEnd"/>
      <w:r w:rsidRPr="002645CA">
        <w:rPr>
          <w:lang w:val="lt-LT"/>
        </w:rPr>
        <w:t xml:space="preserve"> yra rekomenduojami VN gydymui. Nuo 2021 m. gegužės mėn. EVA patvirtino </w:t>
      </w:r>
      <w:proofErr w:type="spellStart"/>
      <w:r w:rsidRPr="002645CA">
        <w:rPr>
          <w:lang w:val="lt-LT"/>
        </w:rPr>
        <w:t>belimumabą</w:t>
      </w:r>
      <w:proofErr w:type="spellEnd"/>
      <w:r w:rsidRPr="002645CA">
        <w:rPr>
          <w:lang w:val="lt-LT"/>
        </w:rPr>
        <w:t xml:space="preserve"> skirtą naudoti kartu su baziniu imunosupresiniu gydymu suaugusiems pacientams, sergantiems aktyvia VN. </w:t>
      </w:r>
      <w:proofErr w:type="spellStart"/>
      <w:r w:rsidRPr="002645CA">
        <w:rPr>
          <w:lang w:val="lt-LT"/>
        </w:rPr>
        <w:t>Belimumabas</w:t>
      </w:r>
      <w:proofErr w:type="spellEnd"/>
      <w:r w:rsidRPr="002645CA">
        <w:rPr>
          <w:lang w:val="lt-LT"/>
        </w:rPr>
        <w:t xml:space="preserve"> taip pat turi patvirtintą indikaciją VN gydymui.</w:t>
      </w:r>
    </w:p>
    <w:p w14:paraId="3A929CF2" w14:textId="77777777" w:rsidR="00884901" w:rsidRPr="002645CA" w:rsidRDefault="00884901" w:rsidP="00884901">
      <w:pPr>
        <w:pStyle w:val="0TEXT"/>
        <w:spacing w:before="30" w:line="276" w:lineRule="auto"/>
        <w:rPr>
          <w:rFonts w:eastAsia="Calibri"/>
          <w:lang w:val="lt-LT"/>
        </w:rPr>
      </w:pPr>
      <w:r w:rsidRPr="002645CA">
        <w:rPr>
          <w:lang w:val="lt-LT"/>
        </w:rPr>
        <w:t>Remiantis 2017 m. rugsėjo 14d. SAM įsakymu V-1090 „</w:t>
      </w:r>
      <w:r w:rsidRPr="002645CA">
        <w:rPr>
          <w:rFonts w:eastAsia="Calibri"/>
          <w:lang w:val="lt-LT"/>
        </w:rPr>
        <w:t>Dėl Sisteminės raudonosios vilkligės gydymo vaistais, kurių įsigijimo išlaidos apmokamos Privalomojo sveikatos draudimo fondo biudžeto lėšomis, tvarkos aprašo patvirtinimo“</w:t>
      </w:r>
      <w:r w:rsidRPr="002645CA">
        <w:rPr>
          <w:lang w:val="lt-LT"/>
        </w:rPr>
        <w:t xml:space="preserve"> Lietuvoje </w:t>
      </w:r>
      <w:r w:rsidRPr="002645CA">
        <w:rPr>
          <w:rFonts w:eastAsia="Calibri"/>
          <w:lang w:val="lt-LT"/>
        </w:rPr>
        <w:t xml:space="preserve">SRV, esant vidaus organų pažeidimams (pvz.: </w:t>
      </w:r>
      <w:proofErr w:type="spellStart"/>
      <w:r w:rsidRPr="002645CA">
        <w:rPr>
          <w:rFonts w:eastAsia="Calibri"/>
          <w:lang w:val="lt-LT"/>
        </w:rPr>
        <w:t>vilklinžginis</w:t>
      </w:r>
      <w:proofErr w:type="spellEnd"/>
      <w:r w:rsidRPr="002645CA">
        <w:rPr>
          <w:rFonts w:eastAsia="Calibri"/>
          <w:lang w:val="lt-LT"/>
        </w:rPr>
        <w:t xml:space="preserve"> nefritas), gydoma hidroksichlorokvino (HCHL) ir (ar) </w:t>
      </w:r>
      <w:proofErr w:type="spellStart"/>
      <w:r w:rsidRPr="002645CA">
        <w:rPr>
          <w:rFonts w:eastAsia="AGaramondPro-Regular"/>
          <w:lang w:val="lt-LT"/>
        </w:rPr>
        <w:t>gliukokortikosteroidinio</w:t>
      </w:r>
      <w:proofErr w:type="spellEnd"/>
      <w:r w:rsidRPr="002645CA">
        <w:rPr>
          <w:rFonts w:eastAsia="AGaramondPro-Regular"/>
          <w:lang w:val="lt-LT"/>
        </w:rPr>
        <w:t xml:space="preserve"> hormono</w:t>
      </w:r>
      <w:r w:rsidRPr="002645CA">
        <w:rPr>
          <w:rFonts w:eastAsia="Calibri"/>
          <w:lang w:val="lt-LT"/>
        </w:rPr>
        <w:t xml:space="preserve"> (GSH), ir (ar) imunosupresinio vaisto (</w:t>
      </w:r>
      <w:proofErr w:type="spellStart"/>
      <w:r w:rsidRPr="002645CA">
        <w:rPr>
          <w:rFonts w:eastAsia="Calibri"/>
          <w:lang w:val="lt-LT"/>
        </w:rPr>
        <w:t>azatioprino</w:t>
      </w:r>
      <w:proofErr w:type="spellEnd"/>
      <w:r w:rsidRPr="002645CA">
        <w:rPr>
          <w:rFonts w:eastAsia="Calibri"/>
          <w:lang w:val="lt-LT"/>
        </w:rPr>
        <w:t xml:space="preserve">, </w:t>
      </w:r>
      <w:proofErr w:type="spellStart"/>
      <w:r w:rsidRPr="002645CA">
        <w:rPr>
          <w:rFonts w:eastAsia="Calibri"/>
          <w:lang w:val="lt-LT"/>
        </w:rPr>
        <w:t>mikofenolato</w:t>
      </w:r>
      <w:proofErr w:type="spellEnd"/>
      <w:r w:rsidRPr="002645CA">
        <w:rPr>
          <w:rFonts w:eastAsia="Calibri"/>
          <w:lang w:val="lt-LT"/>
        </w:rPr>
        <w:t xml:space="preserve"> </w:t>
      </w:r>
      <w:proofErr w:type="spellStart"/>
      <w:r w:rsidRPr="002645CA">
        <w:rPr>
          <w:rFonts w:eastAsia="Calibri"/>
          <w:lang w:val="lt-LT"/>
        </w:rPr>
        <w:t>mofetilio</w:t>
      </w:r>
      <w:proofErr w:type="spellEnd"/>
      <w:r w:rsidRPr="002645CA">
        <w:rPr>
          <w:rFonts w:eastAsia="Calibri"/>
          <w:lang w:val="lt-LT"/>
        </w:rPr>
        <w:t xml:space="preserve">, </w:t>
      </w:r>
      <w:proofErr w:type="spellStart"/>
      <w:r w:rsidRPr="002645CA">
        <w:rPr>
          <w:rFonts w:eastAsia="Calibri"/>
          <w:lang w:val="lt-LT"/>
        </w:rPr>
        <w:t>ciklosporino</w:t>
      </w:r>
      <w:proofErr w:type="spellEnd"/>
      <w:r w:rsidRPr="002645CA">
        <w:rPr>
          <w:rFonts w:eastAsia="Calibri"/>
          <w:lang w:val="lt-LT"/>
        </w:rPr>
        <w:t xml:space="preserve"> A, </w:t>
      </w:r>
      <w:proofErr w:type="spellStart"/>
      <w:r w:rsidRPr="002645CA">
        <w:rPr>
          <w:rFonts w:eastAsia="Calibri"/>
          <w:lang w:val="lt-LT"/>
        </w:rPr>
        <w:t>ciklofosfamido</w:t>
      </w:r>
      <w:proofErr w:type="spellEnd"/>
      <w:r w:rsidRPr="002645CA">
        <w:rPr>
          <w:rFonts w:eastAsia="Calibri"/>
          <w:lang w:val="lt-LT"/>
        </w:rPr>
        <w:t xml:space="preserve"> ar </w:t>
      </w:r>
      <w:proofErr w:type="spellStart"/>
      <w:r w:rsidRPr="002645CA">
        <w:rPr>
          <w:rFonts w:eastAsia="Calibri"/>
          <w:lang w:val="lt-LT"/>
        </w:rPr>
        <w:t>metotreksato</w:t>
      </w:r>
      <w:proofErr w:type="spellEnd"/>
      <w:r w:rsidRPr="002645CA">
        <w:rPr>
          <w:rFonts w:eastAsia="Calibri"/>
          <w:lang w:val="lt-LT"/>
        </w:rPr>
        <w:t xml:space="preserve"> (MTX)) deriniu. Gydymo efektyvumas vertinamas kas 1–6 mėnesius. Jei gydymas efektyvus, jis tęsiamas arba koreguojamos (mažinamos) GSH ir (ar) imunosupresinio vaisto dozės. Per 6 mėnesius laikotarpį nesant pagerėjimo arba esant paūmėjimui, gali būti keičiamas imunosupresinis preparatas ir (ar) skiriamas biologinis imuninę sistemą veikiantis vaistas (ISVV) </w:t>
      </w:r>
      <w:proofErr w:type="spellStart"/>
      <w:r w:rsidRPr="002645CA">
        <w:rPr>
          <w:rFonts w:eastAsia="Calibri"/>
          <w:lang w:val="lt-LT"/>
        </w:rPr>
        <w:t>belimumabas</w:t>
      </w:r>
      <w:proofErr w:type="spellEnd"/>
      <w:r w:rsidRPr="002645CA">
        <w:rPr>
          <w:rFonts w:eastAsia="Calibri"/>
          <w:lang w:val="lt-LT"/>
        </w:rPr>
        <w:t xml:space="preserve"> arba </w:t>
      </w:r>
      <w:proofErr w:type="spellStart"/>
      <w:r w:rsidRPr="002645CA">
        <w:rPr>
          <w:rFonts w:eastAsia="Calibri"/>
          <w:lang w:val="lt-LT"/>
        </w:rPr>
        <w:t>rituksimabas</w:t>
      </w:r>
      <w:proofErr w:type="spellEnd"/>
      <w:r w:rsidRPr="002645CA">
        <w:rPr>
          <w:rFonts w:eastAsia="Calibri"/>
          <w:lang w:val="lt-LT"/>
        </w:rPr>
        <w:t xml:space="preserve">. Anksčiau vartotas sintetinis ISVV gali būti skiriamas kartu su biologine terapija. Biologinis ISVV </w:t>
      </w:r>
      <w:proofErr w:type="spellStart"/>
      <w:r w:rsidRPr="002645CA">
        <w:rPr>
          <w:rFonts w:eastAsia="Calibri"/>
          <w:lang w:val="lt-LT"/>
        </w:rPr>
        <w:t>rituksimabas</w:t>
      </w:r>
      <w:proofErr w:type="spellEnd"/>
      <w:r w:rsidRPr="002645CA">
        <w:rPr>
          <w:rFonts w:eastAsia="Calibri"/>
          <w:lang w:val="lt-LT"/>
        </w:rPr>
        <w:t xml:space="preserve"> skiriamas esant aktyviai SRV pagal SLEDAI, išnaudojus kitas gydymo ISVV galimybes.</w:t>
      </w:r>
    </w:p>
    <w:p w14:paraId="259BC842" w14:textId="77777777" w:rsidR="00884901" w:rsidRPr="002645CA" w:rsidRDefault="00884901" w:rsidP="00884901">
      <w:pPr>
        <w:pStyle w:val="0TEXT"/>
        <w:spacing w:before="30" w:line="276" w:lineRule="auto"/>
        <w:rPr>
          <w:rFonts w:eastAsia="Calibri"/>
          <w:lang w:val="lt-LT"/>
        </w:rPr>
      </w:pPr>
      <w:r w:rsidRPr="002645CA">
        <w:rPr>
          <w:rFonts w:eastAsia="Calibri"/>
          <w:lang w:val="lt-LT"/>
        </w:rPr>
        <w:t xml:space="preserve">Siūlomas kompensuoti vaistinis preparatas </w:t>
      </w:r>
      <w:proofErr w:type="spellStart"/>
      <w:r w:rsidRPr="002645CA">
        <w:rPr>
          <w:rFonts w:eastAsia="Calibri"/>
          <w:lang w:val="lt-LT"/>
        </w:rPr>
        <w:t>voklosporinas</w:t>
      </w:r>
      <w:proofErr w:type="spellEnd"/>
      <w:r w:rsidRPr="002645CA">
        <w:rPr>
          <w:rFonts w:eastAsia="Calibri"/>
          <w:lang w:val="lt-LT"/>
        </w:rPr>
        <w:t xml:space="preserve"> galėtų būti skiriamas gydymui toje pačioje eilėje, kaip ir šiuo metu Lietuvoje jau kompensuojamas </w:t>
      </w:r>
      <w:proofErr w:type="spellStart"/>
      <w:r w:rsidRPr="002645CA">
        <w:rPr>
          <w:rFonts w:eastAsia="Calibri"/>
          <w:lang w:val="lt-LT"/>
        </w:rPr>
        <w:t>belimumabas</w:t>
      </w:r>
      <w:proofErr w:type="spellEnd"/>
      <w:r w:rsidRPr="002645CA">
        <w:rPr>
          <w:rFonts w:eastAsia="Calibri"/>
          <w:lang w:val="lt-LT"/>
        </w:rPr>
        <w:t xml:space="preserve">. </w:t>
      </w:r>
      <w:proofErr w:type="spellStart"/>
      <w:r w:rsidRPr="002645CA">
        <w:rPr>
          <w:rFonts w:eastAsia="Calibri"/>
          <w:lang w:val="lt-LT"/>
        </w:rPr>
        <w:t>T.y</w:t>
      </w:r>
      <w:proofErr w:type="spellEnd"/>
      <w:r w:rsidRPr="002645CA">
        <w:rPr>
          <w:rFonts w:eastAsia="Calibri"/>
          <w:lang w:val="lt-LT"/>
        </w:rPr>
        <w:t xml:space="preserve">. </w:t>
      </w:r>
      <w:proofErr w:type="spellStart"/>
      <w:r w:rsidRPr="002645CA">
        <w:rPr>
          <w:rFonts w:eastAsia="Calibri"/>
          <w:lang w:val="lt-LT"/>
        </w:rPr>
        <w:t>belimumabas</w:t>
      </w:r>
      <w:proofErr w:type="spellEnd"/>
      <w:r w:rsidRPr="002645CA">
        <w:rPr>
          <w:rFonts w:eastAsia="Calibri"/>
          <w:lang w:val="lt-LT"/>
        </w:rPr>
        <w:t xml:space="preserve"> laikomas pagrindine alternatyva gydymui </w:t>
      </w:r>
      <w:proofErr w:type="spellStart"/>
      <w:r w:rsidRPr="002645CA">
        <w:rPr>
          <w:rFonts w:eastAsia="Calibri"/>
          <w:lang w:val="lt-LT"/>
        </w:rPr>
        <w:t>voklosporinui</w:t>
      </w:r>
      <w:proofErr w:type="spellEnd"/>
      <w:r w:rsidRPr="002645CA">
        <w:rPr>
          <w:rFonts w:eastAsia="Calibri"/>
          <w:lang w:val="lt-LT"/>
        </w:rPr>
        <w:t>. Tokį palyginamąjį gydymą pasirinko ir pareiškėjas.</w:t>
      </w:r>
    </w:p>
    <w:p w14:paraId="645E455F" w14:textId="77777777" w:rsidR="00884901" w:rsidRPr="002645CA" w:rsidRDefault="00884901" w:rsidP="00884901">
      <w:pPr>
        <w:pStyle w:val="0TEXT"/>
        <w:spacing w:before="30" w:line="276" w:lineRule="auto"/>
        <w:rPr>
          <w:rFonts w:eastAsia="Arial"/>
          <w:iCs/>
          <w:lang w:val="lt-LT"/>
        </w:rPr>
      </w:pPr>
      <w:r w:rsidRPr="002645CA">
        <w:rPr>
          <w:rFonts w:eastAsia="Arial"/>
          <w:iCs/>
          <w:lang w:val="lt-LT"/>
        </w:rPr>
        <w:t xml:space="preserve">Pareiškėjas pateikė 3 tiesioginio palyginimo tyrimus, kur </w:t>
      </w:r>
      <w:proofErr w:type="spellStart"/>
      <w:r w:rsidRPr="002645CA">
        <w:rPr>
          <w:rFonts w:eastAsia="Arial"/>
          <w:iCs/>
          <w:lang w:val="lt-LT"/>
        </w:rPr>
        <w:t>voklosporino</w:t>
      </w:r>
      <w:proofErr w:type="spellEnd"/>
      <w:r w:rsidRPr="002645CA">
        <w:rPr>
          <w:rFonts w:eastAsia="Arial"/>
          <w:iCs/>
          <w:lang w:val="lt-LT"/>
        </w:rPr>
        <w:t xml:space="preserve"> veiksmingumas lygintas su placebo. Tačiau kadangi siūlomas vaistinis preparatas </w:t>
      </w:r>
      <w:proofErr w:type="spellStart"/>
      <w:r w:rsidRPr="002645CA">
        <w:rPr>
          <w:rFonts w:eastAsia="Arial"/>
          <w:iCs/>
          <w:lang w:val="lt-LT"/>
        </w:rPr>
        <w:t>voklosporinas</w:t>
      </w:r>
      <w:proofErr w:type="spellEnd"/>
      <w:r w:rsidRPr="002645CA">
        <w:rPr>
          <w:rFonts w:eastAsia="Arial"/>
          <w:iCs/>
          <w:lang w:val="lt-LT"/>
        </w:rPr>
        <w:t xml:space="preserve"> pagal naujausias gydymo gaires yra rekomenduojamas kaip antros gydymo eilės vaistinis preparatas, be to pareiškėjas siekia pagrįsti nesiskiriantį klinikinį veiksmingumą palyginus su </w:t>
      </w:r>
      <w:proofErr w:type="spellStart"/>
      <w:r w:rsidRPr="002645CA">
        <w:rPr>
          <w:rFonts w:eastAsia="Arial"/>
          <w:iCs/>
          <w:lang w:val="lt-LT"/>
        </w:rPr>
        <w:t>belimumabu</w:t>
      </w:r>
      <w:proofErr w:type="spellEnd"/>
      <w:r w:rsidRPr="002645CA">
        <w:rPr>
          <w:rFonts w:eastAsia="Arial"/>
          <w:iCs/>
          <w:lang w:val="lt-LT"/>
        </w:rPr>
        <w:t xml:space="preserve"> (šiuo metu Lietuvoje kompensuojamu vaistiniu preparatu šiai indikacijai) – šių tyrimų palyginamasis gydymas (placebas) yra netinkamas, ir šie tyrimai laikomi neaktualiais Lietuvos klinikinei praktikai.</w:t>
      </w:r>
    </w:p>
    <w:p w14:paraId="0F982C99" w14:textId="77777777" w:rsidR="00884901" w:rsidRPr="002645CA" w:rsidRDefault="00884901" w:rsidP="00884901">
      <w:pPr>
        <w:pStyle w:val="0TEXT"/>
        <w:spacing w:before="30" w:line="276" w:lineRule="auto"/>
        <w:rPr>
          <w:rFonts w:eastAsia="Arial"/>
          <w:lang w:val="lt-LT"/>
        </w:rPr>
      </w:pPr>
      <w:r w:rsidRPr="002645CA">
        <w:rPr>
          <w:lang w:val="lt-LT"/>
        </w:rPr>
        <w:t>Pareiškėjas pateikė netiesioginio palyginimo tyrimą. Į</w:t>
      </w:r>
      <w:r w:rsidRPr="002645CA">
        <w:rPr>
          <w:rFonts w:eastAsia="Arial"/>
          <w:lang w:val="lt-LT"/>
        </w:rPr>
        <w:t xml:space="preserve">vertinus tyrimo metu gautus rezultatus </w:t>
      </w:r>
      <w:proofErr w:type="spellStart"/>
      <w:r w:rsidRPr="002645CA">
        <w:rPr>
          <w:rFonts w:eastAsia="Arial"/>
          <w:lang w:val="lt-LT"/>
        </w:rPr>
        <w:t>voklosporino</w:t>
      </w:r>
      <w:proofErr w:type="spellEnd"/>
      <w:r w:rsidRPr="002645CA">
        <w:rPr>
          <w:rFonts w:eastAsia="Arial"/>
          <w:lang w:val="lt-LT"/>
        </w:rPr>
        <w:t xml:space="preserve"> efektyvumas ir veiksmingumas vertinant dalinį inkstų atsaką statistiškai reikšmingai nesiskyrė nuo </w:t>
      </w:r>
      <w:proofErr w:type="spellStart"/>
      <w:r w:rsidRPr="002645CA">
        <w:rPr>
          <w:rFonts w:eastAsia="Arial"/>
          <w:lang w:val="lt-LT"/>
        </w:rPr>
        <w:t>belimumabo</w:t>
      </w:r>
      <w:proofErr w:type="spellEnd"/>
      <w:r w:rsidRPr="002645CA">
        <w:rPr>
          <w:rFonts w:eastAsia="Arial"/>
          <w:lang w:val="lt-LT"/>
        </w:rPr>
        <w:t xml:space="preserve">, ir jie abu įrodė pranašumą prieš MMF. Tačiau pažymėtina, kad </w:t>
      </w:r>
      <w:proofErr w:type="spellStart"/>
      <w:r w:rsidRPr="002645CA">
        <w:rPr>
          <w:rFonts w:eastAsia="Arial"/>
          <w:lang w:val="lt-LT"/>
        </w:rPr>
        <w:t>voklosporinas</w:t>
      </w:r>
      <w:proofErr w:type="spellEnd"/>
      <w:r w:rsidRPr="002645CA">
        <w:rPr>
          <w:rFonts w:eastAsia="Arial"/>
          <w:lang w:val="lt-LT"/>
        </w:rPr>
        <w:t xml:space="preserve"> skaitine reikšme pasiekė geresnius rezultatus nei </w:t>
      </w:r>
      <w:proofErr w:type="spellStart"/>
      <w:r w:rsidRPr="002645CA">
        <w:rPr>
          <w:rFonts w:eastAsia="Arial"/>
          <w:lang w:val="lt-LT"/>
        </w:rPr>
        <w:t>belimumabas</w:t>
      </w:r>
      <w:proofErr w:type="spellEnd"/>
      <w:r w:rsidRPr="002645CA">
        <w:rPr>
          <w:rFonts w:eastAsia="Arial"/>
          <w:lang w:val="lt-LT"/>
        </w:rPr>
        <w:t>.</w:t>
      </w:r>
    </w:p>
    <w:p w14:paraId="5BF3B050" w14:textId="77777777" w:rsidR="00884901" w:rsidRPr="002645CA" w:rsidRDefault="00884901" w:rsidP="00884901">
      <w:pPr>
        <w:pStyle w:val="0TEXT"/>
        <w:spacing w:before="30" w:line="276" w:lineRule="auto"/>
        <w:rPr>
          <w:rFonts w:eastAsia="Calibri"/>
          <w:lang w:val="lt-LT"/>
        </w:rPr>
      </w:pPr>
      <w:r w:rsidRPr="002645CA">
        <w:rPr>
          <w:lang w:val="lt-LT"/>
        </w:rPr>
        <w:t xml:space="preserve">Remiantis naujausiomis 2023 m. Europos Sąjungos lygos prieš reumatą (EULAR) gairėmis nėra nurodoma, kad </w:t>
      </w:r>
      <w:proofErr w:type="spellStart"/>
      <w:r w:rsidRPr="002645CA">
        <w:rPr>
          <w:lang w:val="lt-LT"/>
        </w:rPr>
        <w:t>voklosporinas</w:t>
      </w:r>
      <w:proofErr w:type="spellEnd"/>
      <w:r w:rsidRPr="002645CA">
        <w:rPr>
          <w:lang w:val="lt-LT"/>
        </w:rPr>
        <w:t xml:space="preserve"> būtinai turi būti skiriamas anksčiau šiuo metu Lietuvoje kompensuojamo pirmos eilės </w:t>
      </w:r>
      <w:proofErr w:type="spellStart"/>
      <w:r w:rsidRPr="002645CA">
        <w:rPr>
          <w:lang w:val="lt-LT"/>
        </w:rPr>
        <w:t>vilkliginio</w:t>
      </w:r>
      <w:proofErr w:type="spellEnd"/>
      <w:r w:rsidRPr="002645CA">
        <w:rPr>
          <w:lang w:val="lt-LT"/>
        </w:rPr>
        <w:t xml:space="preserve"> nefrito gydymo (</w:t>
      </w:r>
      <w:r w:rsidRPr="002645CA">
        <w:rPr>
          <w:rFonts w:eastAsia="Calibri"/>
          <w:lang w:val="lt-LT"/>
        </w:rPr>
        <w:t xml:space="preserve">hidroksichlorokvino (HCHL) ir (ar) </w:t>
      </w:r>
      <w:proofErr w:type="spellStart"/>
      <w:r w:rsidRPr="002645CA">
        <w:rPr>
          <w:rFonts w:eastAsia="AGaramondPro-Regular"/>
          <w:lang w:val="lt-LT"/>
        </w:rPr>
        <w:t>gliukokortikosteroidinio</w:t>
      </w:r>
      <w:proofErr w:type="spellEnd"/>
      <w:r w:rsidRPr="002645CA">
        <w:rPr>
          <w:rFonts w:eastAsia="AGaramondPro-Regular"/>
          <w:lang w:val="lt-LT"/>
        </w:rPr>
        <w:t xml:space="preserve"> hormono</w:t>
      </w:r>
      <w:r w:rsidRPr="002645CA">
        <w:rPr>
          <w:rFonts w:eastAsia="Calibri"/>
          <w:lang w:val="lt-LT"/>
        </w:rPr>
        <w:t xml:space="preserve"> (GSH), ir (ar) imunosupresinio vaistinio preparato (</w:t>
      </w:r>
      <w:proofErr w:type="spellStart"/>
      <w:r w:rsidRPr="002645CA">
        <w:rPr>
          <w:rFonts w:eastAsia="Calibri"/>
          <w:lang w:val="lt-LT"/>
        </w:rPr>
        <w:t>azatioprino</w:t>
      </w:r>
      <w:proofErr w:type="spellEnd"/>
      <w:r w:rsidRPr="002645CA">
        <w:rPr>
          <w:rFonts w:eastAsia="Calibri"/>
          <w:lang w:val="lt-LT"/>
        </w:rPr>
        <w:t xml:space="preserve">, </w:t>
      </w:r>
      <w:proofErr w:type="spellStart"/>
      <w:r w:rsidRPr="002645CA">
        <w:rPr>
          <w:rFonts w:eastAsia="Calibri"/>
          <w:lang w:val="lt-LT"/>
        </w:rPr>
        <w:t>mikofenolato</w:t>
      </w:r>
      <w:proofErr w:type="spellEnd"/>
      <w:r w:rsidRPr="002645CA">
        <w:rPr>
          <w:rFonts w:eastAsia="Calibri"/>
          <w:lang w:val="lt-LT"/>
        </w:rPr>
        <w:t xml:space="preserve"> </w:t>
      </w:r>
      <w:proofErr w:type="spellStart"/>
      <w:r w:rsidRPr="002645CA">
        <w:rPr>
          <w:rFonts w:eastAsia="Calibri"/>
          <w:lang w:val="lt-LT"/>
        </w:rPr>
        <w:t>mofetilio</w:t>
      </w:r>
      <w:proofErr w:type="spellEnd"/>
      <w:r w:rsidRPr="002645CA">
        <w:rPr>
          <w:rFonts w:eastAsia="Calibri"/>
          <w:lang w:val="lt-LT"/>
        </w:rPr>
        <w:t xml:space="preserve"> (MMF), </w:t>
      </w:r>
      <w:proofErr w:type="spellStart"/>
      <w:r w:rsidRPr="002645CA">
        <w:rPr>
          <w:rFonts w:eastAsia="Calibri"/>
          <w:lang w:val="lt-LT"/>
        </w:rPr>
        <w:t>ciklosporino</w:t>
      </w:r>
      <w:proofErr w:type="spellEnd"/>
      <w:r w:rsidRPr="002645CA">
        <w:rPr>
          <w:rFonts w:eastAsia="Calibri"/>
          <w:lang w:val="lt-LT"/>
        </w:rPr>
        <w:t xml:space="preserve"> A, </w:t>
      </w:r>
      <w:proofErr w:type="spellStart"/>
      <w:r w:rsidRPr="002645CA">
        <w:rPr>
          <w:rFonts w:eastAsia="Calibri"/>
          <w:lang w:val="lt-LT"/>
        </w:rPr>
        <w:t>ciklofosfamido</w:t>
      </w:r>
      <w:proofErr w:type="spellEnd"/>
      <w:r w:rsidRPr="002645CA">
        <w:rPr>
          <w:rFonts w:eastAsia="Calibri"/>
          <w:lang w:val="lt-LT"/>
        </w:rPr>
        <w:t xml:space="preserve"> ar </w:t>
      </w:r>
      <w:proofErr w:type="spellStart"/>
      <w:r w:rsidRPr="002645CA">
        <w:rPr>
          <w:rFonts w:eastAsia="Calibri"/>
          <w:lang w:val="lt-LT"/>
        </w:rPr>
        <w:t>metotreksato</w:t>
      </w:r>
      <w:proofErr w:type="spellEnd"/>
      <w:r w:rsidRPr="002645CA">
        <w:rPr>
          <w:rFonts w:eastAsia="Calibri"/>
          <w:lang w:val="lt-LT"/>
        </w:rPr>
        <w:t xml:space="preserve"> (MTX)) deriniu).</w:t>
      </w:r>
    </w:p>
    <w:p w14:paraId="3DE67489" w14:textId="77777777" w:rsidR="00BB689A" w:rsidRPr="002645CA" w:rsidRDefault="00884901" w:rsidP="00BB689A">
      <w:pPr>
        <w:pStyle w:val="0TEXT"/>
        <w:spacing w:before="30" w:line="276" w:lineRule="auto"/>
        <w:rPr>
          <w:rFonts w:eastAsia="Calibri"/>
          <w:lang w:val="lt-LT"/>
        </w:rPr>
      </w:pPr>
      <w:r w:rsidRPr="002645CA">
        <w:rPr>
          <w:rFonts w:eastAsia="Calibri"/>
          <w:lang w:val="lt-LT"/>
        </w:rPr>
        <w:t xml:space="preserve">Pagal EULAR gaires dėl didelės gydymo </w:t>
      </w:r>
      <w:proofErr w:type="spellStart"/>
      <w:r w:rsidRPr="002645CA">
        <w:rPr>
          <w:rFonts w:eastAsia="Calibri"/>
          <w:lang w:val="lt-LT"/>
        </w:rPr>
        <w:t>belimumabu</w:t>
      </w:r>
      <w:proofErr w:type="spellEnd"/>
      <w:r w:rsidRPr="002645CA">
        <w:rPr>
          <w:rFonts w:eastAsia="Calibri"/>
          <w:lang w:val="lt-LT"/>
        </w:rPr>
        <w:t xml:space="preserve"> ar </w:t>
      </w:r>
      <w:proofErr w:type="spellStart"/>
      <w:r w:rsidRPr="002645CA">
        <w:rPr>
          <w:rFonts w:eastAsia="Calibri"/>
          <w:lang w:val="lt-LT"/>
        </w:rPr>
        <w:t>voklosporinu</w:t>
      </w:r>
      <w:proofErr w:type="spellEnd"/>
      <w:r w:rsidRPr="002645CA">
        <w:rPr>
          <w:rFonts w:eastAsia="Calibri"/>
          <w:lang w:val="lt-LT"/>
        </w:rPr>
        <w:t xml:space="preserve">  kainos ir potencialios galimybės skirti per stiprų pradinį gydymą kai kuriems pacientams, kurie gerai reaguotų į gydymą vien tik MMF arba mažomis intraveninio </w:t>
      </w:r>
      <w:proofErr w:type="spellStart"/>
      <w:r w:rsidRPr="002645CA">
        <w:rPr>
          <w:rFonts w:eastAsia="Calibri"/>
          <w:lang w:val="lt-LT"/>
        </w:rPr>
        <w:t>ciklofosfamido</w:t>
      </w:r>
      <w:proofErr w:type="spellEnd"/>
      <w:r w:rsidRPr="002645CA">
        <w:rPr>
          <w:rFonts w:eastAsia="Calibri"/>
          <w:lang w:val="lt-LT"/>
        </w:rPr>
        <w:t xml:space="preserve"> dozėmis, taip pat dėl galimų atitinkamų nepageidaujamų reakcijų, ypač svarbių ilgalaikiam </w:t>
      </w:r>
      <w:proofErr w:type="spellStart"/>
      <w:r w:rsidRPr="002645CA">
        <w:rPr>
          <w:rFonts w:eastAsia="Calibri"/>
          <w:lang w:val="lt-LT"/>
        </w:rPr>
        <w:t>kalcineurino</w:t>
      </w:r>
      <w:proofErr w:type="spellEnd"/>
      <w:r w:rsidRPr="002645CA">
        <w:rPr>
          <w:rFonts w:eastAsia="Calibri"/>
          <w:lang w:val="lt-LT"/>
        </w:rPr>
        <w:t xml:space="preserve"> inhibitorių naudojimui, liekama prie rekomendacijos, kad gydymas turėtų būti pradedamas MMF, </w:t>
      </w:r>
      <w:proofErr w:type="spellStart"/>
      <w:r w:rsidRPr="002645CA">
        <w:rPr>
          <w:rFonts w:eastAsia="Calibri"/>
          <w:lang w:val="lt-LT"/>
        </w:rPr>
        <w:t>ciklofosfamidu</w:t>
      </w:r>
      <w:proofErr w:type="spellEnd"/>
      <w:r w:rsidRPr="002645CA">
        <w:rPr>
          <w:rFonts w:eastAsia="Calibri"/>
          <w:lang w:val="lt-LT"/>
        </w:rPr>
        <w:t xml:space="preserve"> ir/ar GSH, suteikiant galimybė specialistams (esant poreikiui) skirti kombinuotą gydymą su </w:t>
      </w:r>
      <w:proofErr w:type="spellStart"/>
      <w:r w:rsidRPr="002645CA">
        <w:rPr>
          <w:rFonts w:eastAsia="Calibri"/>
          <w:lang w:val="lt-LT"/>
        </w:rPr>
        <w:t>belimumabu</w:t>
      </w:r>
      <w:proofErr w:type="spellEnd"/>
      <w:r w:rsidRPr="002645CA">
        <w:rPr>
          <w:rFonts w:eastAsia="Calibri"/>
          <w:lang w:val="lt-LT"/>
        </w:rPr>
        <w:t xml:space="preserve"> ar </w:t>
      </w:r>
      <w:proofErr w:type="spellStart"/>
      <w:r w:rsidRPr="002645CA">
        <w:rPr>
          <w:rFonts w:eastAsia="Calibri"/>
          <w:lang w:val="lt-LT"/>
        </w:rPr>
        <w:t>voklosporinu</w:t>
      </w:r>
      <w:proofErr w:type="spellEnd"/>
      <w:r w:rsidRPr="002645CA">
        <w:rPr>
          <w:rFonts w:eastAsia="Calibri"/>
          <w:lang w:val="lt-LT"/>
        </w:rPr>
        <w:t xml:space="preserve">. Remiantis EULAR gairėmis </w:t>
      </w:r>
      <w:proofErr w:type="spellStart"/>
      <w:r w:rsidRPr="002645CA">
        <w:rPr>
          <w:rFonts w:eastAsia="Calibri"/>
          <w:lang w:val="lt-LT"/>
        </w:rPr>
        <w:t>vilkliginio</w:t>
      </w:r>
      <w:proofErr w:type="spellEnd"/>
      <w:r w:rsidRPr="002645CA">
        <w:rPr>
          <w:rFonts w:eastAsia="Calibri"/>
          <w:lang w:val="lt-LT"/>
        </w:rPr>
        <w:t xml:space="preserve"> nefrito gydymui </w:t>
      </w:r>
      <w:proofErr w:type="spellStart"/>
      <w:r w:rsidRPr="002645CA">
        <w:rPr>
          <w:rFonts w:eastAsia="Calibri"/>
          <w:lang w:val="lt-LT"/>
        </w:rPr>
        <w:t>voklosporinas</w:t>
      </w:r>
      <w:proofErr w:type="spellEnd"/>
      <w:r w:rsidRPr="002645CA">
        <w:rPr>
          <w:rFonts w:eastAsia="Calibri"/>
          <w:lang w:val="lt-LT"/>
        </w:rPr>
        <w:t xml:space="preserve"> rekomenduotinas kaip antros eilės gydymas.</w:t>
      </w:r>
    </w:p>
    <w:p w14:paraId="5344DD4D" w14:textId="5DF33034" w:rsidR="008817A9" w:rsidRPr="002645CA" w:rsidRDefault="008817A9" w:rsidP="003E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eastAsia="Calibri"/>
        </w:rPr>
        <w:tab/>
        <w:t xml:space="preserve">Remiantis netiesioginio palyginimo tyrimo duomenimis, </w:t>
      </w:r>
      <w:r>
        <w:rPr>
          <w:iCs/>
        </w:rPr>
        <w:t xml:space="preserve">daroma išvada, kad </w:t>
      </w:r>
      <w:proofErr w:type="spellStart"/>
      <w:r w:rsidRPr="00F1708F">
        <w:rPr>
          <w:color w:val="000000"/>
        </w:rPr>
        <w:t>voklosporin</w:t>
      </w:r>
      <w:r>
        <w:t>o</w:t>
      </w:r>
      <w:proofErr w:type="spellEnd"/>
      <w:r>
        <w:t xml:space="preserve">  </w:t>
      </w:r>
      <w:proofErr w:type="spellStart"/>
      <w:r w:rsidR="00E97C7E">
        <w:t>palyginamasi</w:t>
      </w:r>
      <w:proofErr w:type="spellEnd"/>
      <w:r w:rsidR="00E97C7E">
        <w:t xml:space="preserve"> efektyvumas iš esmės nesiskiria nuo palyginamojo gydymo, o </w:t>
      </w:r>
      <w:r>
        <w:t xml:space="preserve">klinikinis veiksmingumas </w:t>
      </w:r>
      <w:r w:rsidRPr="002645CA">
        <w:t>įvertintas kaip pagrindžiantis nesiskiriančios naudos pacientų sveikatai sukūrimą, lyginant su įprasta klinikine praktika</w:t>
      </w:r>
      <w:r>
        <w:t xml:space="preserve">. </w:t>
      </w:r>
    </w:p>
    <w:p w14:paraId="344291F6" w14:textId="5A8F27C9" w:rsidR="008817A9" w:rsidRDefault="00884901" w:rsidP="00BB689A">
      <w:pPr>
        <w:pStyle w:val="0TEXT"/>
        <w:spacing w:before="30" w:line="276" w:lineRule="auto"/>
        <w:rPr>
          <w:rFonts w:eastAsia="Calibri"/>
          <w:lang w:val="lt-LT"/>
        </w:rPr>
      </w:pPr>
      <w:r w:rsidRPr="002645CA">
        <w:rPr>
          <w:rFonts w:eastAsia="Calibri"/>
          <w:lang w:val="lt-LT"/>
        </w:rPr>
        <w:t>Atsižvelgiant į tai, kas pirmiau išdėstyta</w:t>
      </w:r>
      <w:r w:rsidR="008817A9">
        <w:rPr>
          <w:rFonts w:eastAsia="Calibri"/>
          <w:lang w:val="lt-LT"/>
        </w:rPr>
        <w:t xml:space="preserve"> turėtų būti nustatytos tokios skyrimo sąlygos</w:t>
      </w:r>
      <w:r w:rsidR="008817A9" w:rsidRPr="003E4443">
        <w:rPr>
          <w:rFonts w:eastAsia="Calibri"/>
          <w:lang w:val="lt-LT"/>
        </w:rPr>
        <w:t>*</w:t>
      </w:r>
      <w:r w:rsidR="003E4443">
        <w:rPr>
          <w:rFonts w:eastAsia="Calibri"/>
          <w:lang w:val="lt-LT"/>
        </w:rPr>
        <w:t>:</w:t>
      </w:r>
    </w:p>
    <w:p w14:paraId="10F03E8E" w14:textId="15E340ED" w:rsidR="00884901" w:rsidRPr="002645CA" w:rsidRDefault="00884901" w:rsidP="00BB689A">
      <w:pPr>
        <w:pStyle w:val="0TEXT"/>
        <w:spacing w:before="30" w:line="276" w:lineRule="auto"/>
        <w:rPr>
          <w:rFonts w:eastAsia="Calibri"/>
          <w:lang w:val="lt-LT"/>
        </w:rPr>
      </w:pPr>
      <w:proofErr w:type="spellStart"/>
      <w:r w:rsidRPr="002645CA">
        <w:rPr>
          <w:rFonts w:eastAsia="Calibri"/>
          <w:lang w:val="lt-LT"/>
        </w:rPr>
        <w:t>Lupkynis</w:t>
      </w:r>
      <w:proofErr w:type="spellEnd"/>
      <w:r w:rsidRPr="002645CA">
        <w:rPr>
          <w:rFonts w:eastAsia="Calibri"/>
          <w:lang w:val="lt-LT"/>
        </w:rPr>
        <w:t xml:space="preserve"> (</w:t>
      </w:r>
      <w:proofErr w:type="spellStart"/>
      <w:r w:rsidRPr="002645CA">
        <w:rPr>
          <w:rFonts w:eastAsia="Calibri"/>
          <w:lang w:val="lt-LT"/>
        </w:rPr>
        <w:t>voklosporinas</w:t>
      </w:r>
      <w:proofErr w:type="spellEnd"/>
      <w:r w:rsidRPr="002645CA">
        <w:rPr>
          <w:rFonts w:eastAsia="Calibri"/>
          <w:lang w:val="lt-LT"/>
        </w:rPr>
        <w:t xml:space="preserve">) vartojamas kartu su </w:t>
      </w:r>
      <w:proofErr w:type="spellStart"/>
      <w:r w:rsidRPr="002645CA">
        <w:rPr>
          <w:rFonts w:eastAsia="Calibri"/>
          <w:lang w:val="lt-LT"/>
        </w:rPr>
        <w:t>mikofenolato</w:t>
      </w:r>
      <w:proofErr w:type="spellEnd"/>
      <w:r w:rsidRPr="002645CA">
        <w:rPr>
          <w:rFonts w:eastAsia="Calibri"/>
          <w:lang w:val="lt-LT"/>
        </w:rPr>
        <w:t xml:space="preserve"> </w:t>
      </w:r>
      <w:proofErr w:type="spellStart"/>
      <w:r w:rsidRPr="002645CA">
        <w:rPr>
          <w:rFonts w:eastAsia="Calibri"/>
          <w:lang w:val="lt-LT"/>
        </w:rPr>
        <w:t>mofetiliu</w:t>
      </w:r>
      <w:proofErr w:type="spellEnd"/>
      <w:r w:rsidRPr="002645CA">
        <w:rPr>
          <w:rFonts w:eastAsia="Calibri"/>
          <w:lang w:val="lt-LT"/>
        </w:rPr>
        <w:t xml:space="preserve"> suaugusiems pacientams, sergantiems aktyviu III, IV arba V klasės (įskaitant mišriąsias III/V ir IV/V klases) </w:t>
      </w:r>
      <w:proofErr w:type="spellStart"/>
      <w:r w:rsidRPr="002645CA">
        <w:rPr>
          <w:rFonts w:eastAsia="Calibri"/>
          <w:lang w:val="lt-LT"/>
        </w:rPr>
        <w:t>vilkliginiu</w:t>
      </w:r>
      <w:proofErr w:type="spellEnd"/>
      <w:r w:rsidRPr="002645CA">
        <w:rPr>
          <w:rFonts w:eastAsia="Calibri"/>
          <w:lang w:val="lt-LT"/>
        </w:rPr>
        <w:t xml:space="preserve"> nefritu (VN), gydyti, jei gydant HCHL ir (ar) GSH, ir (ar) imunosupresinio vaisto (</w:t>
      </w:r>
      <w:proofErr w:type="spellStart"/>
      <w:r w:rsidRPr="002645CA">
        <w:rPr>
          <w:rFonts w:eastAsia="Calibri"/>
          <w:lang w:val="lt-LT"/>
        </w:rPr>
        <w:t>azatioprino</w:t>
      </w:r>
      <w:proofErr w:type="spellEnd"/>
      <w:r w:rsidRPr="002645CA">
        <w:rPr>
          <w:rFonts w:eastAsia="Calibri"/>
          <w:lang w:val="lt-LT"/>
        </w:rPr>
        <w:t xml:space="preserve">, </w:t>
      </w:r>
      <w:proofErr w:type="spellStart"/>
      <w:r w:rsidRPr="002645CA">
        <w:rPr>
          <w:rFonts w:eastAsia="Calibri"/>
          <w:lang w:val="lt-LT"/>
        </w:rPr>
        <w:t>mikofenolato</w:t>
      </w:r>
      <w:proofErr w:type="spellEnd"/>
      <w:r w:rsidRPr="002645CA">
        <w:rPr>
          <w:rFonts w:eastAsia="Calibri"/>
          <w:lang w:val="lt-LT"/>
        </w:rPr>
        <w:t xml:space="preserve"> </w:t>
      </w:r>
      <w:proofErr w:type="spellStart"/>
      <w:r w:rsidRPr="002645CA">
        <w:rPr>
          <w:rFonts w:eastAsia="Calibri"/>
          <w:lang w:val="lt-LT"/>
        </w:rPr>
        <w:t>mofetilio</w:t>
      </w:r>
      <w:proofErr w:type="spellEnd"/>
      <w:r w:rsidRPr="002645CA">
        <w:rPr>
          <w:rFonts w:eastAsia="Calibri"/>
          <w:lang w:val="lt-LT"/>
        </w:rPr>
        <w:t xml:space="preserve">, </w:t>
      </w:r>
      <w:proofErr w:type="spellStart"/>
      <w:r w:rsidRPr="002645CA">
        <w:rPr>
          <w:rFonts w:eastAsia="Calibri"/>
          <w:lang w:val="lt-LT"/>
        </w:rPr>
        <w:t>ciklosporino</w:t>
      </w:r>
      <w:proofErr w:type="spellEnd"/>
      <w:r w:rsidRPr="002645CA">
        <w:rPr>
          <w:rFonts w:eastAsia="Calibri"/>
          <w:lang w:val="lt-LT"/>
        </w:rPr>
        <w:t xml:space="preserve"> A, </w:t>
      </w:r>
      <w:proofErr w:type="spellStart"/>
      <w:r w:rsidRPr="002645CA">
        <w:rPr>
          <w:rFonts w:eastAsia="Calibri"/>
          <w:lang w:val="lt-LT"/>
        </w:rPr>
        <w:t>ciklofosfamido</w:t>
      </w:r>
      <w:proofErr w:type="spellEnd"/>
      <w:r w:rsidRPr="002645CA">
        <w:rPr>
          <w:rFonts w:eastAsia="Calibri"/>
          <w:lang w:val="lt-LT"/>
        </w:rPr>
        <w:t xml:space="preserve"> ar MTX) deriniu per 6 mėnesius nėra pagerėjimo ar yra paūmėjimas.</w:t>
      </w:r>
    </w:p>
    <w:p w14:paraId="56BD2FC9" w14:textId="77777777" w:rsidR="008817A9" w:rsidRPr="00197A0C" w:rsidRDefault="008817A9" w:rsidP="008817A9">
      <w:pPr>
        <w:jc w:val="both"/>
        <w:rPr>
          <w:iCs/>
        </w:rPr>
      </w:pPr>
      <w:r w:rsidRPr="00197A0C">
        <w:rPr>
          <w:iCs/>
        </w:rPr>
        <w:t xml:space="preserve">*Taikytina </w:t>
      </w:r>
      <w:r>
        <w:rPr>
          <w:iCs/>
        </w:rPr>
        <w:t xml:space="preserve">priėmus </w:t>
      </w:r>
      <w:r w:rsidRPr="00197A0C">
        <w:rPr>
          <w:rFonts w:eastAsia="Calibri"/>
          <w:iCs/>
        </w:rPr>
        <w:t>sprendim</w:t>
      </w:r>
      <w:r>
        <w:rPr>
          <w:rFonts w:eastAsia="Calibri"/>
          <w:iCs/>
        </w:rPr>
        <w:t>ą</w:t>
      </w:r>
      <w:r w:rsidRPr="00197A0C">
        <w:rPr>
          <w:rFonts w:eastAsia="Calibri"/>
          <w:iCs/>
        </w:rPr>
        <w:t xml:space="preserve"> kompensuoti šį vaistinį preparatą.</w:t>
      </w:r>
      <w:r w:rsidRPr="00197A0C">
        <w:rPr>
          <w:rFonts w:eastAsiaTheme="minorHAnsi"/>
          <w:iCs/>
          <w:lang w:eastAsia="lt-LT"/>
        </w:rPr>
        <w:t xml:space="preserve"> </w:t>
      </w:r>
    </w:p>
    <w:p w14:paraId="66CEE440" w14:textId="0927ADAD" w:rsidR="00884901" w:rsidRPr="002645CA" w:rsidRDefault="00884901" w:rsidP="00D65100">
      <w:pPr>
        <w:pStyle w:val="BodyText"/>
        <w:spacing w:line="276" w:lineRule="auto"/>
        <w:jc w:val="both"/>
      </w:pPr>
    </w:p>
    <w:p w14:paraId="2A174996" w14:textId="77777777" w:rsidR="00884901" w:rsidRPr="002645CA" w:rsidRDefault="00884901" w:rsidP="00884901">
      <w:pPr>
        <w:pStyle w:val="ListParagraph"/>
        <w:numPr>
          <w:ilvl w:val="0"/>
          <w:numId w:val="1"/>
        </w:numPr>
        <w:tabs>
          <w:tab w:val="left" w:pos="426"/>
        </w:tabs>
        <w:rPr>
          <w:b/>
          <w:bCs/>
          <w:caps/>
        </w:rPr>
      </w:pPr>
      <w:r w:rsidRPr="002645CA">
        <w:rPr>
          <w:b/>
          <w:bCs/>
          <w:caps/>
        </w:rPr>
        <w:t>Farmakoekonominio vertinimo apibendrinimas</w:t>
      </w:r>
    </w:p>
    <w:p w14:paraId="5A6ECD44" w14:textId="77777777" w:rsidR="00884901" w:rsidRPr="002645CA" w:rsidRDefault="00884901" w:rsidP="00884901">
      <w:pPr>
        <w:tabs>
          <w:tab w:val="left" w:pos="426"/>
        </w:tabs>
        <w:rPr>
          <w:i/>
          <w:sz w:val="22"/>
          <w:szCs w:val="22"/>
        </w:rPr>
      </w:pPr>
    </w:p>
    <w:p w14:paraId="4ED50B78" w14:textId="77777777" w:rsidR="00D65100" w:rsidRPr="002645CA" w:rsidRDefault="00D65100" w:rsidP="00D65100">
      <w:pPr>
        <w:tabs>
          <w:tab w:val="left" w:pos="360"/>
        </w:tabs>
        <w:spacing w:line="276" w:lineRule="auto"/>
        <w:jc w:val="both"/>
        <w:rPr>
          <w:szCs w:val="20"/>
        </w:rPr>
      </w:pPr>
      <w:r w:rsidRPr="002645CA">
        <w:tab/>
        <w:t>Pareiškėjas kompensavimui paraišką teikia pagal indikaciją: „</w:t>
      </w:r>
      <w:proofErr w:type="spellStart"/>
      <w:r w:rsidRPr="002645CA">
        <w:t>Lupkynis</w:t>
      </w:r>
      <w:proofErr w:type="spellEnd"/>
      <w:r w:rsidRPr="002645CA">
        <w:t xml:space="preserve"> vartojamas kartu su </w:t>
      </w:r>
      <w:proofErr w:type="spellStart"/>
      <w:r w:rsidRPr="002645CA">
        <w:t>mikofenolato</w:t>
      </w:r>
      <w:proofErr w:type="spellEnd"/>
      <w:r w:rsidRPr="002645CA">
        <w:t xml:space="preserve"> </w:t>
      </w:r>
      <w:proofErr w:type="spellStart"/>
      <w:r w:rsidRPr="002645CA">
        <w:t>mofetiliu</w:t>
      </w:r>
      <w:proofErr w:type="spellEnd"/>
      <w:r w:rsidRPr="002645CA">
        <w:t xml:space="preserve"> suaugusiems pacientams, sergantiems aktyviu III, IV arba V klasės (įskaitant mišriąsias III/V ir IV/V klases) </w:t>
      </w:r>
      <w:proofErr w:type="spellStart"/>
      <w:r w:rsidRPr="002645CA">
        <w:t>vilkliginiu</w:t>
      </w:r>
      <w:proofErr w:type="spellEnd"/>
      <w:r w:rsidRPr="002645CA">
        <w:t xml:space="preserve"> nefritu, gydyti (TLK-10-AM - M32.1, </w:t>
      </w:r>
      <w:proofErr w:type="spellStart"/>
      <w:r w:rsidRPr="002645CA">
        <w:t>vilkliginis</w:t>
      </w:r>
      <w:proofErr w:type="spellEnd"/>
      <w:r w:rsidRPr="002645CA">
        <w:t xml:space="preserve"> nefritas (VN)).</w:t>
      </w:r>
    </w:p>
    <w:p w14:paraId="5E25D7CE" w14:textId="77777777" w:rsidR="00D65100" w:rsidRPr="002645CA" w:rsidRDefault="00D65100" w:rsidP="00D65100">
      <w:pPr>
        <w:tabs>
          <w:tab w:val="left" w:pos="360"/>
        </w:tabs>
        <w:spacing w:line="276" w:lineRule="auto"/>
        <w:jc w:val="both"/>
        <w:rPr>
          <w:color w:val="000000"/>
          <w:shd w:val="clear" w:color="auto" w:fill="FFFFFF"/>
        </w:rPr>
      </w:pPr>
      <w:r w:rsidRPr="002645CA">
        <w:tab/>
        <w:t>Remiantis 2017 m. rugsėjo 14d. SAM įsakymu V-1090 „</w:t>
      </w:r>
      <w:r w:rsidRPr="002645CA">
        <w:rPr>
          <w:rFonts w:eastAsia="Calibri"/>
        </w:rPr>
        <w:t xml:space="preserve">Dėl Sisteminės raudonosios vilkligės gydymo vaistais, kurių įsigijimo išlaidos apmokamos Privalomojo sveikatos draudimo fondo biudžeto lėšomis, tvarkos aprašo patvirtinimo“ bei </w:t>
      </w:r>
      <w:r w:rsidRPr="002645CA">
        <w:t>naujausiomis 2023 m. Europos Sąjungos lygos prieš reumatą (EULAR) gairėmis</w:t>
      </w:r>
      <w:r w:rsidRPr="002645CA">
        <w:rPr>
          <w:rFonts w:eastAsia="Calibri"/>
        </w:rPr>
        <w:t xml:space="preserve"> </w:t>
      </w:r>
      <w:r w:rsidRPr="002645CA">
        <w:t>palyginamasis gydymas (</w:t>
      </w:r>
      <w:proofErr w:type="spellStart"/>
      <w:r w:rsidRPr="002645CA">
        <w:t>belimumabas</w:t>
      </w:r>
      <w:proofErr w:type="spellEnd"/>
      <w:r w:rsidRPr="002645CA">
        <w:t>) atitinka įprastą klinikinę praktiką Lietuvoje ir yra tinkamas ekonominės analizės palyginamasis</w:t>
      </w:r>
      <w:r w:rsidRPr="002645CA">
        <w:rPr>
          <w:rFonts w:eastAsia="Calibri"/>
        </w:rPr>
        <w:t xml:space="preserve">. </w:t>
      </w:r>
      <w:proofErr w:type="spellStart"/>
      <w:r w:rsidRPr="002645CA">
        <w:rPr>
          <w:rFonts w:eastAsia="Calibri"/>
        </w:rPr>
        <w:t>B</w:t>
      </w:r>
      <w:r w:rsidRPr="002645CA">
        <w:rPr>
          <w:color w:val="000000"/>
          <w:shd w:val="clear" w:color="auto" w:fill="FFFFFF"/>
        </w:rPr>
        <w:t>elimumabas</w:t>
      </w:r>
      <w:proofErr w:type="spellEnd"/>
      <w:r w:rsidRPr="002645CA">
        <w:rPr>
          <w:color w:val="000000"/>
          <w:shd w:val="clear" w:color="auto" w:fill="FFFFFF"/>
        </w:rPr>
        <w:t xml:space="preserve"> indukcijos etape yra skiriamas derinyje su MMF arba CYC ir KKS, palaikomajam gydymui – MFF arba </w:t>
      </w:r>
      <w:proofErr w:type="spellStart"/>
      <w:r w:rsidRPr="002645CA">
        <w:rPr>
          <w:color w:val="000000"/>
          <w:shd w:val="clear" w:color="auto" w:fill="FFFFFF"/>
        </w:rPr>
        <w:t>azatioprinu</w:t>
      </w:r>
      <w:proofErr w:type="spellEnd"/>
      <w:r w:rsidRPr="002645CA">
        <w:rPr>
          <w:color w:val="000000"/>
          <w:shd w:val="clear" w:color="auto" w:fill="FFFFFF"/>
        </w:rPr>
        <w:t xml:space="preserve">. Atitinkamai, ekonominė analizė yra atliekama </w:t>
      </w:r>
      <w:proofErr w:type="spellStart"/>
      <w:r w:rsidRPr="002645CA">
        <w:rPr>
          <w:color w:val="000000"/>
          <w:shd w:val="clear" w:color="auto" w:fill="FFFFFF"/>
        </w:rPr>
        <w:t>voklosporiną</w:t>
      </w:r>
      <w:proofErr w:type="spellEnd"/>
      <w:r w:rsidRPr="002645CA">
        <w:rPr>
          <w:color w:val="000000"/>
          <w:shd w:val="clear" w:color="auto" w:fill="FFFFFF"/>
        </w:rPr>
        <w:t xml:space="preserve"> lyginat su </w:t>
      </w:r>
      <w:proofErr w:type="spellStart"/>
      <w:r w:rsidRPr="002645CA">
        <w:rPr>
          <w:color w:val="000000"/>
          <w:shd w:val="clear" w:color="auto" w:fill="FFFFFF"/>
        </w:rPr>
        <w:t>belimumabu</w:t>
      </w:r>
      <w:proofErr w:type="spellEnd"/>
      <w:r w:rsidRPr="002645CA">
        <w:rPr>
          <w:color w:val="000000"/>
          <w:shd w:val="clear" w:color="auto" w:fill="FFFFFF"/>
        </w:rPr>
        <w:t xml:space="preserve"> skiriamus deriniuose. </w:t>
      </w:r>
    </w:p>
    <w:p w14:paraId="6CD4D22D" w14:textId="77777777" w:rsidR="00D65100" w:rsidRPr="002645CA" w:rsidRDefault="00D65100" w:rsidP="00D65100">
      <w:pPr>
        <w:tabs>
          <w:tab w:val="left" w:pos="360"/>
        </w:tabs>
        <w:spacing w:line="276" w:lineRule="auto"/>
        <w:jc w:val="both"/>
        <w:rPr>
          <w:rFonts w:eastAsia="Calibri"/>
        </w:rPr>
      </w:pPr>
      <w:r w:rsidRPr="002645CA">
        <w:tab/>
        <w:t xml:space="preserve">Indikaciją su skyrimo sąlygomis atitinkančios populiacijos klinikinis veiksmingumas ir saugumas pagrįstas dviem placebu kontroliuotais klinikiniais tyrimais (AURORA 1 ir AURA-LV) , kuriuose dalyvavo III arba IV klasės (vien tik arba kartu su V klase) arba  V klasės VN sergantys pacientai. </w:t>
      </w:r>
      <w:r w:rsidRPr="002645CA">
        <w:rPr>
          <w:rFonts w:eastAsia="Arial"/>
        </w:rPr>
        <w:t xml:space="preserve">Pareiškėjas pateikė netiesioginį </w:t>
      </w:r>
      <w:proofErr w:type="spellStart"/>
      <w:r w:rsidRPr="002645CA">
        <w:rPr>
          <w:rFonts w:eastAsia="Arial"/>
        </w:rPr>
        <w:t>voklosporino</w:t>
      </w:r>
      <w:proofErr w:type="spellEnd"/>
      <w:r w:rsidRPr="002645CA">
        <w:rPr>
          <w:rFonts w:eastAsia="Arial"/>
        </w:rPr>
        <w:t xml:space="preserve"> efektyvumo ir saugumo palyginimą su praktikoje taikomais gydymais VN.</w:t>
      </w:r>
      <w:r w:rsidRPr="002645CA">
        <w:rPr>
          <w:rFonts w:eastAsia="Calibri"/>
        </w:rPr>
        <w:t xml:space="preserve"> </w:t>
      </w:r>
      <w:r w:rsidRPr="002645CA">
        <w:t xml:space="preserve">Remiantis SAM įsakymo Nr. 159 reikalavimais, dėl iš esmės nesiskiriančio gydymo efektyvumo ir sukuriamos naudos pacientų sveikatai, lyginant su įprasta klinikine praktika, Pareiškėjas teikia kaštų mažinimo analizę. Atitinkamai modeliavimas nėra taikomas ir klinikiniai duomenys ekonominėje analizėje nėra įtraukiami: </w:t>
      </w:r>
      <w:proofErr w:type="spellStart"/>
      <w:r w:rsidRPr="002645CA">
        <w:t>voklosporino</w:t>
      </w:r>
      <w:proofErr w:type="spellEnd"/>
      <w:r w:rsidRPr="002645CA">
        <w:t xml:space="preserve"> ir </w:t>
      </w:r>
      <w:proofErr w:type="spellStart"/>
      <w:r w:rsidRPr="002645CA">
        <w:t>belimumabo</w:t>
      </w:r>
      <w:proofErr w:type="spellEnd"/>
      <w:r w:rsidRPr="002645CA">
        <w:rPr>
          <w:shd w:val="clear" w:color="auto" w:fill="FFFFFF"/>
        </w:rPr>
        <w:t xml:space="preserve"> kaštų lyginamoji analizė vertinama iš kaštų mažinimo perspektyvos (sveikatai sukuriama nauda nevertinama)</w:t>
      </w:r>
      <w:r w:rsidRPr="002645CA">
        <w:t>.</w:t>
      </w:r>
    </w:p>
    <w:p w14:paraId="3B8FE81B" w14:textId="77777777" w:rsidR="00D65100" w:rsidRPr="002645CA" w:rsidRDefault="00D65100" w:rsidP="00D65100">
      <w:pPr>
        <w:tabs>
          <w:tab w:val="left" w:pos="360"/>
        </w:tabs>
        <w:spacing w:line="276" w:lineRule="auto"/>
        <w:jc w:val="both"/>
      </w:pPr>
      <w:r w:rsidRPr="002645CA">
        <w:tab/>
        <w:t>Iš Pareiškėjo pateiktų klinikinių duomenų matyti, kad esminius kaštų skirtumus lemia vaistinių preparatų įsigijimo, skyrimo ir nepageidaujamo poveikio kaštai. Kaštai vertinami penkerių metų laikotarpiu, kadangi stebimi vaistinių preparatų dozavimo skirtumai pirmaisiais ir sekančiais gydymo metais. Apskaičiuojant vaistinių preparatų įsigijimo ir skyrimo kaštus vadovaujamasi vaistinių preparatų charakteristikų santraukose nurodytu dozavimu ir VLK pateiktais duomenimis apie 2023 m.  sisteminei raudonajai vilkligei gydyti (TLK-10-AM kodas - M32) skirtas pakuotes (ir pacientų skaičių).</w:t>
      </w:r>
    </w:p>
    <w:p w14:paraId="1AC8330C" w14:textId="78BC6E1A" w:rsidR="00D65100" w:rsidRPr="002645CA" w:rsidRDefault="00D65100" w:rsidP="00D65100">
      <w:pPr>
        <w:tabs>
          <w:tab w:val="left" w:pos="360"/>
        </w:tabs>
        <w:spacing w:line="276" w:lineRule="auto"/>
        <w:jc w:val="both"/>
        <w:rPr>
          <w:color w:val="000000"/>
          <w:lang w:eastAsia="lt-LT"/>
        </w:rPr>
      </w:pPr>
      <w:r w:rsidRPr="002645CA">
        <w:rPr>
          <w:iCs/>
          <w:lang w:eastAsia="lt-LT"/>
        </w:rPr>
        <w:tab/>
        <w:t xml:space="preserve">Palyginamoji kaštų analizė atliekama įtraukiant galutinę Pareiškėjo Lietuvai siūlomą bazinę </w:t>
      </w:r>
      <w:proofErr w:type="spellStart"/>
      <w:r w:rsidRPr="002645CA">
        <w:rPr>
          <w:iCs/>
          <w:lang w:eastAsia="lt-LT"/>
        </w:rPr>
        <w:t>voklosporino</w:t>
      </w:r>
      <w:proofErr w:type="spellEnd"/>
      <w:r w:rsidRPr="002645CA">
        <w:rPr>
          <w:iCs/>
          <w:lang w:eastAsia="lt-LT"/>
        </w:rPr>
        <w:t xml:space="preserve"> kainą su nuolaida (su PGS</w:t>
      </w:r>
      <w:r w:rsidRPr="002645CA">
        <w:rPr>
          <w:lang w:eastAsia="lt-LT"/>
        </w:rPr>
        <w:t xml:space="preserve">) ir konfidencialias </w:t>
      </w:r>
      <w:proofErr w:type="spellStart"/>
      <w:r w:rsidRPr="002645CA">
        <w:rPr>
          <w:lang w:eastAsia="lt-LT"/>
        </w:rPr>
        <w:t>belimumabo</w:t>
      </w:r>
      <w:proofErr w:type="spellEnd"/>
      <w:r w:rsidRPr="002645CA">
        <w:rPr>
          <w:lang w:eastAsia="lt-LT"/>
        </w:rPr>
        <w:t xml:space="preserve"> kainas (su PGS</w:t>
      </w:r>
      <w:r w:rsidRPr="002645CA">
        <w:rPr>
          <w:color w:val="000000"/>
          <w:lang w:eastAsia="lt-LT"/>
        </w:rPr>
        <w:t xml:space="preserve">). Deriniuose skiriamų VP kainos taikomos remiantis 2024 m. II </w:t>
      </w:r>
      <w:proofErr w:type="spellStart"/>
      <w:r w:rsidRPr="002645CA">
        <w:rPr>
          <w:color w:val="000000"/>
          <w:lang w:eastAsia="lt-LT"/>
        </w:rPr>
        <w:t>pusm</w:t>
      </w:r>
      <w:proofErr w:type="spellEnd"/>
      <w:r w:rsidRPr="002645CA">
        <w:rPr>
          <w:color w:val="000000"/>
          <w:lang w:eastAsia="lt-LT"/>
        </w:rPr>
        <w:t xml:space="preserve">. kainyno įkainiais (VLK duomenys). Dienos stacionaro bei DRG įkainiai remiantis 2024 m. II </w:t>
      </w:r>
      <w:proofErr w:type="spellStart"/>
      <w:r w:rsidRPr="002645CA">
        <w:rPr>
          <w:color w:val="000000"/>
          <w:lang w:eastAsia="lt-LT"/>
        </w:rPr>
        <w:t>pusm</w:t>
      </w:r>
      <w:proofErr w:type="spellEnd"/>
      <w:r w:rsidRPr="002645CA">
        <w:rPr>
          <w:color w:val="000000"/>
          <w:lang w:eastAsia="lt-LT"/>
        </w:rPr>
        <w:t>. ASPP įkainiais (2023 m. atvejai).</w:t>
      </w:r>
    </w:p>
    <w:p w14:paraId="6FD8DF77" w14:textId="23F05161" w:rsidR="00D65100" w:rsidRPr="002645CA" w:rsidRDefault="00D65100" w:rsidP="00D65100">
      <w:pPr>
        <w:tabs>
          <w:tab w:val="left" w:pos="360"/>
        </w:tabs>
        <w:spacing w:line="276" w:lineRule="auto"/>
        <w:jc w:val="both"/>
        <w:rPr>
          <w:color w:val="000000"/>
          <w:lang w:eastAsia="lt-LT"/>
        </w:rPr>
      </w:pPr>
    </w:p>
    <w:p w14:paraId="4B65CF1D" w14:textId="68EA2FB0" w:rsidR="00D65100" w:rsidRPr="002645CA" w:rsidRDefault="00D65100" w:rsidP="00D65100">
      <w:pPr>
        <w:tabs>
          <w:tab w:val="left" w:pos="567"/>
        </w:tabs>
        <w:jc w:val="center"/>
        <w:rPr>
          <w:i/>
          <w:iCs/>
          <w:lang w:eastAsia="lt-LT"/>
        </w:rPr>
      </w:pPr>
      <w:r w:rsidRPr="002645CA">
        <w:rPr>
          <w:b/>
          <w:iCs/>
          <w:lang w:eastAsia="lt-LT"/>
        </w:rPr>
        <w:t>Galutinis ekonominės analizės rezultatas</w:t>
      </w:r>
    </w:p>
    <w:p w14:paraId="7B34559D" w14:textId="77777777" w:rsidR="00D65100" w:rsidRPr="002645CA" w:rsidRDefault="00D65100" w:rsidP="00D65100">
      <w:pPr>
        <w:tabs>
          <w:tab w:val="left" w:pos="567"/>
        </w:tabs>
        <w:jc w:val="center"/>
        <w:rPr>
          <w:i/>
          <w:iCs/>
          <w:lang w:eastAsia="lt-LT"/>
        </w:rPr>
      </w:pPr>
    </w:p>
    <w:tbl>
      <w:tblPr>
        <w:tblStyle w:val="TableGrid"/>
        <w:tblW w:w="0" w:type="auto"/>
        <w:tblLook w:val="04A0" w:firstRow="1" w:lastRow="0" w:firstColumn="1" w:lastColumn="0" w:noHBand="0" w:noVBand="1"/>
      </w:tblPr>
      <w:tblGrid>
        <w:gridCol w:w="2416"/>
        <w:gridCol w:w="2410"/>
        <w:gridCol w:w="2407"/>
        <w:gridCol w:w="2396"/>
      </w:tblGrid>
      <w:tr w:rsidR="00D65100" w:rsidRPr="002645CA" w14:paraId="7887D9F6" w14:textId="77777777" w:rsidTr="003B14B4">
        <w:tc>
          <w:tcPr>
            <w:tcW w:w="2442" w:type="dxa"/>
          </w:tcPr>
          <w:p w14:paraId="1BC75724" w14:textId="77777777" w:rsidR="00D65100" w:rsidRPr="002645CA" w:rsidRDefault="00D65100" w:rsidP="00D65100">
            <w:pPr>
              <w:tabs>
                <w:tab w:val="left" w:pos="567"/>
              </w:tabs>
              <w:jc w:val="both"/>
              <w:rPr>
                <w:b/>
                <w:iCs/>
                <w:sz w:val="24"/>
                <w:szCs w:val="24"/>
              </w:rPr>
            </w:pPr>
            <w:r w:rsidRPr="002645CA">
              <w:rPr>
                <w:b/>
                <w:iCs/>
                <w:sz w:val="24"/>
                <w:szCs w:val="24"/>
              </w:rPr>
              <w:t xml:space="preserve">Kaštų </w:t>
            </w:r>
            <w:proofErr w:type="spellStart"/>
            <w:r w:rsidRPr="002645CA">
              <w:rPr>
                <w:b/>
                <w:iCs/>
                <w:sz w:val="24"/>
                <w:szCs w:val="24"/>
              </w:rPr>
              <w:t>stuktūra</w:t>
            </w:r>
            <w:proofErr w:type="spellEnd"/>
          </w:p>
        </w:tc>
        <w:tc>
          <w:tcPr>
            <w:tcW w:w="2443" w:type="dxa"/>
          </w:tcPr>
          <w:p w14:paraId="4966BE1E" w14:textId="77777777" w:rsidR="00D65100" w:rsidRPr="002645CA" w:rsidRDefault="00D65100" w:rsidP="00D65100">
            <w:pPr>
              <w:tabs>
                <w:tab w:val="left" w:pos="567"/>
              </w:tabs>
              <w:jc w:val="both"/>
              <w:rPr>
                <w:b/>
                <w:iCs/>
                <w:sz w:val="24"/>
                <w:szCs w:val="24"/>
              </w:rPr>
            </w:pPr>
            <w:proofErr w:type="spellStart"/>
            <w:r w:rsidRPr="002645CA">
              <w:rPr>
                <w:b/>
                <w:sz w:val="24"/>
                <w:szCs w:val="24"/>
              </w:rPr>
              <w:t>Voclosporinas</w:t>
            </w:r>
            <w:proofErr w:type="spellEnd"/>
            <w:r w:rsidRPr="002645CA">
              <w:rPr>
                <w:b/>
                <w:sz w:val="24"/>
                <w:szCs w:val="24"/>
              </w:rPr>
              <w:t xml:space="preserve"> + MMF</w:t>
            </w:r>
          </w:p>
        </w:tc>
        <w:tc>
          <w:tcPr>
            <w:tcW w:w="2443" w:type="dxa"/>
          </w:tcPr>
          <w:p w14:paraId="05986E07" w14:textId="77777777" w:rsidR="00D65100" w:rsidRPr="002645CA" w:rsidRDefault="00D65100" w:rsidP="00D65100">
            <w:pPr>
              <w:tabs>
                <w:tab w:val="left" w:pos="567"/>
              </w:tabs>
              <w:jc w:val="both"/>
              <w:rPr>
                <w:b/>
                <w:iCs/>
                <w:sz w:val="24"/>
                <w:szCs w:val="24"/>
              </w:rPr>
            </w:pPr>
            <w:proofErr w:type="spellStart"/>
            <w:r w:rsidRPr="002645CA">
              <w:rPr>
                <w:b/>
                <w:sz w:val="24"/>
                <w:szCs w:val="24"/>
              </w:rPr>
              <w:t>Belimumabas</w:t>
            </w:r>
            <w:proofErr w:type="spellEnd"/>
            <w:r w:rsidRPr="002645CA">
              <w:rPr>
                <w:b/>
                <w:sz w:val="24"/>
                <w:szCs w:val="24"/>
              </w:rPr>
              <w:t xml:space="preserve"> + MMF/CYC</w:t>
            </w:r>
          </w:p>
        </w:tc>
        <w:tc>
          <w:tcPr>
            <w:tcW w:w="2443" w:type="dxa"/>
          </w:tcPr>
          <w:p w14:paraId="43C1AFF3" w14:textId="77777777" w:rsidR="00D65100" w:rsidRPr="002645CA" w:rsidRDefault="00D65100" w:rsidP="00D65100">
            <w:pPr>
              <w:tabs>
                <w:tab w:val="left" w:pos="567"/>
              </w:tabs>
              <w:jc w:val="both"/>
              <w:rPr>
                <w:b/>
                <w:iCs/>
                <w:sz w:val="24"/>
                <w:szCs w:val="24"/>
              </w:rPr>
            </w:pPr>
            <w:r w:rsidRPr="002645CA">
              <w:rPr>
                <w:b/>
                <w:iCs/>
                <w:sz w:val="24"/>
                <w:szCs w:val="24"/>
              </w:rPr>
              <w:t>Skirtumas, Eur.</w:t>
            </w:r>
          </w:p>
        </w:tc>
      </w:tr>
      <w:tr w:rsidR="00D65100" w:rsidRPr="002645CA" w14:paraId="48AA1239" w14:textId="77777777" w:rsidTr="003B14B4">
        <w:tc>
          <w:tcPr>
            <w:tcW w:w="2442" w:type="dxa"/>
          </w:tcPr>
          <w:p w14:paraId="0EC1A6A9" w14:textId="77777777" w:rsidR="00D65100" w:rsidRPr="002645CA" w:rsidRDefault="00D65100" w:rsidP="003B14B4">
            <w:pPr>
              <w:tabs>
                <w:tab w:val="left" w:pos="567"/>
              </w:tabs>
              <w:jc w:val="both"/>
              <w:rPr>
                <w:iCs/>
                <w:sz w:val="24"/>
                <w:szCs w:val="24"/>
              </w:rPr>
            </w:pPr>
            <w:r w:rsidRPr="002645CA">
              <w:rPr>
                <w:iCs/>
                <w:sz w:val="24"/>
                <w:szCs w:val="24"/>
              </w:rPr>
              <w:t>VP įsigijimo</w:t>
            </w:r>
          </w:p>
        </w:tc>
        <w:tc>
          <w:tcPr>
            <w:tcW w:w="2443" w:type="dxa"/>
          </w:tcPr>
          <w:p w14:paraId="36235146" w14:textId="17652061" w:rsidR="00D65100" w:rsidRPr="007E584A" w:rsidRDefault="007E584A" w:rsidP="003B14B4">
            <w:pPr>
              <w:tabs>
                <w:tab w:val="left" w:pos="567"/>
              </w:tabs>
              <w:jc w:val="both"/>
              <w:rPr>
                <w:iCs/>
                <w:color w:val="FF0000"/>
                <w:sz w:val="24"/>
                <w:szCs w:val="24"/>
                <w:lang w:val="en-US"/>
              </w:rPr>
            </w:pPr>
            <w:r w:rsidRPr="007E584A">
              <w:rPr>
                <w:iCs/>
                <w:color w:val="000000" w:themeColor="text1"/>
                <w:sz w:val="24"/>
                <w:szCs w:val="24"/>
                <w:lang w:val="en-US"/>
              </w:rPr>
              <w:t>***</w:t>
            </w:r>
          </w:p>
        </w:tc>
        <w:tc>
          <w:tcPr>
            <w:tcW w:w="2443" w:type="dxa"/>
          </w:tcPr>
          <w:p w14:paraId="03F1C6E5" w14:textId="06649B4F" w:rsidR="00D65100" w:rsidRPr="00753393" w:rsidRDefault="00753393" w:rsidP="003B14B4">
            <w:pPr>
              <w:jc w:val="both"/>
              <w:rPr>
                <w:color w:val="000000"/>
                <w:sz w:val="24"/>
                <w:szCs w:val="24"/>
              </w:rPr>
            </w:pPr>
            <w:r w:rsidRPr="00753393">
              <w:rPr>
                <w:sz w:val="24"/>
                <w:szCs w:val="24"/>
                <w:highlight w:val="red"/>
                <w:lang w:val="en-US"/>
              </w:rPr>
              <w:t>***</w:t>
            </w:r>
          </w:p>
        </w:tc>
        <w:tc>
          <w:tcPr>
            <w:tcW w:w="2443" w:type="dxa"/>
          </w:tcPr>
          <w:p w14:paraId="6D67F836" w14:textId="3AE394C9" w:rsidR="00D65100" w:rsidRPr="002645CA" w:rsidRDefault="00753393" w:rsidP="003B14B4">
            <w:pPr>
              <w:jc w:val="both"/>
              <w:rPr>
                <w:color w:val="000000"/>
                <w:sz w:val="24"/>
                <w:szCs w:val="24"/>
              </w:rPr>
            </w:pPr>
            <w:r w:rsidRPr="00753393">
              <w:rPr>
                <w:sz w:val="24"/>
                <w:szCs w:val="24"/>
                <w:highlight w:val="red"/>
                <w:lang w:val="en-US"/>
              </w:rPr>
              <w:t>***</w:t>
            </w:r>
            <w:r w:rsidRPr="00753393">
              <w:rPr>
                <w:sz w:val="24"/>
                <w:szCs w:val="24"/>
              </w:rPr>
              <w:t xml:space="preserve"> Eur.</w:t>
            </w:r>
          </w:p>
        </w:tc>
      </w:tr>
      <w:tr w:rsidR="00D65100" w:rsidRPr="002645CA" w14:paraId="3AFB3660" w14:textId="77777777" w:rsidTr="003B14B4">
        <w:tc>
          <w:tcPr>
            <w:tcW w:w="2442" w:type="dxa"/>
          </w:tcPr>
          <w:p w14:paraId="3F89F00C" w14:textId="77777777" w:rsidR="00D65100" w:rsidRPr="002645CA" w:rsidRDefault="00D65100" w:rsidP="003B14B4">
            <w:pPr>
              <w:tabs>
                <w:tab w:val="left" w:pos="567"/>
              </w:tabs>
              <w:jc w:val="both"/>
              <w:rPr>
                <w:iCs/>
                <w:sz w:val="24"/>
                <w:szCs w:val="24"/>
              </w:rPr>
            </w:pPr>
            <w:r w:rsidRPr="002645CA">
              <w:rPr>
                <w:iCs/>
                <w:sz w:val="24"/>
                <w:szCs w:val="24"/>
              </w:rPr>
              <w:t>VP skyrimo</w:t>
            </w:r>
          </w:p>
        </w:tc>
        <w:tc>
          <w:tcPr>
            <w:tcW w:w="2443" w:type="dxa"/>
          </w:tcPr>
          <w:p w14:paraId="29CABFF2" w14:textId="77777777" w:rsidR="00D65100" w:rsidRPr="002645CA" w:rsidRDefault="00D65100" w:rsidP="003B14B4">
            <w:pPr>
              <w:tabs>
                <w:tab w:val="left" w:pos="567"/>
              </w:tabs>
              <w:jc w:val="both"/>
              <w:rPr>
                <w:color w:val="000000"/>
                <w:sz w:val="24"/>
                <w:szCs w:val="24"/>
              </w:rPr>
            </w:pPr>
            <w:r w:rsidRPr="002645CA">
              <w:rPr>
                <w:color w:val="000000"/>
                <w:sz w:val="24"/>
                <w:szCs w:val="24"/>
              </w:rPr>
              <w:t>-</w:t>
            </w:r>
          </w:p>
        </w:tc>
        <w:tc>
          <w:tcPr>
            <w:tcW w:w="2443" w:type="dxa"/>
          </w:tcPr>
          <w:p w14:paraId="62327A9B" w14:textId="38E998B3" w:rsidR="00D65100" w:rsidRPr="002645CA" w:rsidRDefault="007E584A" w:rsidP="003B14B4">
            <w:pPr>
              <w:jc w:val="both"/>
              <w:rPr>
                <w:color w:val="000000"/>
                <w:sz w:val="24"/>
                <w:szCs w:val="24"/>
              </w:rPr>
            </w:pPr>
            <w:r>
              <w:rPr>
                <w:color w:val="000000"/>
                <w:sz w:val="24"/>
                <w:szCs w:val="24"/>
              </w:rPr>
              <w:t>***</w:t>
            </w:r>
          </w:p>
        </w:tc>
        <w:tc>
          <w:tcPr>
            <w:tcW w:w="2443" w:type="dxa"/>
          </w:tcPr>
          <w:p w14:paraId="45968864" w14:textId="3E6E8C31" w:rsidR="00D65100" w:rsidRPr="002645CA" w:rsidRDefault="007E584A" w:rsidP="003B14B4">
            <w:pPr>
              <w:tabs>
                <w:tab w:val="left" w:pos="567"/>
              </w:tabs>
              <w:jc w:val="both"/>
              <w:rPr>
                <w:color w:val="000000"/>
                <w:sz w:val="24"/>
                <w:szCs w:val="24"/>
              </w:rPr>
            </w:pPr>
            <w:r>
              <w:rPr>
                <w:color w:val="000000"/>
                <w:sz w:val="24"/>
                <w:szCs w:val="24"/>
              </w:rPr>
              <w:t>***</w:t>
            </w:r>
          </w:p>
        </w:tc>
      </w:tr>
      <w:tr w:rsidR="00D65100" w:rsidRPr="002645CA" w14:paraId="3C4AE88B" w14:textId="77777777" w:rsidTr="003B14B4">
        <w:tc>
          <w:tcPr>
            <w:tcW w:w="2442" w:type="dxa"/>
          </w:tcPr>
          <w:p w14:paraId="5261D6BE" w14:textId="77777777" w:rsidR="00D65100" w:rsidRPr="002645CA" w:rsidRDefault="00D65100" w:rsidP="003B14B4">
            <w:pPr>
              <w:tabs>
                <w:tab w:val="left" w:pos="567"/>
              </w:tabs>
              <w:jc w:val="both"/>
              <w:rPr>
                <w:iCs/>
                <w:sz w:val="24"/>
                <w:szCs w:val="24"/>
              </w:rPr>
            </w:pPr>
            <w:r w:rsidRPr="002645CA">
              <w:rPr>
                <w:iCs/>
                <w:sz w:val="24"/>
                <w:szCs w:val="24"/>
              </w:rPr>
              <w:t>Nepageidaujamo poveikio</w:t>
            </w:r>
          </w:p>
        </w:tc>
        <w:tc>
          <w:tcPr>
            <w:tcW w:w="2443" w:type="dxa"/>
          </w:tcPr>
          <w:p w14:paraId="0E781703" w14:textId="14E4CEBD" w:rsidR="00D65100" w:rsidRPr="002645CA" w:rsidRDefault="007E584A" w:rsidP="003B14B4">
            <w:pPr>
              <w:tabs>
                <w:tab w:val="left" w:pos="567"/>
              </w:tabs>
              <w:jc w:val="both"/>
              <w:rPr>
                <w:iCs/>
                <w:sz w:val="24"/>
                <w:szCs w:val="24"/>
              </w:rPr>
            </w:pPr>
            <w:r>
              <w:rPr>
                <w:iCs/>
                <w:sz w:val="24"/>
                <w:szCs w:val="24"/>
              </w:rPr>
              <w:t>***</w:t>
            </w:r>
          </w:p>
        </w:tc>
        <w:tc>
          <w:tcPr>
            <w:tcW w:w="2443" w:type="dxa"/>
          </w:tcPr>
          <w:p w14:paraId="3017755B" w14:textId="6EE3E921" w:rsidR="00D65100" w:rsidRPr="002645CA" w:rsidRDefault="007E584A" w:rsidP="003B14B4">
            <w:pPr>
              <w:tabs>
                <w:tab w:val="left" w:pos="567"/>
              </w:tabs>
              <w:jc w:val="both"/>
              <w:rPr>
                <w:iCs/>
                <w:sz w:val="24"/>
                <w:szCs w:val="24"/>
              </w:rPr>
            </w:pPr>
            <w:r>
              <w:rPr>
                <w:iCs/>
                <w:sz w:val="24"/>
                <w:szCs w:val="24"/>
              </w:rPr>
              <w:t>***</w:t>
            </w:r>
          </w:p>
        </w:tc>
        <w:tc>
          <w:tcPr>
            <w:tcW w:w="2443" w:type="dxa"/>
          </w:tcPr>
          <w:p w14:paraId="0EFDDE6E" w14:textId="01315C2A" w:rsidR="00D65100" w:rsidRPr="002645CA" w:rsidRDefault="007E584A" w:rsidP="003B14B4">
            <w:pPr>
              <w:tabs>
                <w:tab w:val="left" w:pos="567"/>
              </w:tabs>
              <w:jc w:val="both"/>
              <w:rPr>
                <w:iCs/>
                <w:sz w:val="24"/>
                <w:szCs w:val="24"/>
              </w:rPr>
            </w:pPr>
            <w:r>
              <w:rPr>
                <w:iCs/>
                <w:sz w:val="24"/>
                <w:szCs w:val="24"/>
              </w:rPr>
              <w:t>***</w:t>
            </w:r>
          </w:p>
        </w:tc>
      </w:tr>
      <w:tr w:rsidR="00D65100" w:rsidRPr="002645CA" w14:paraId="435E72FC" w14:textId="77777777" w:rsidTr="003B14B4">
        <w:tc>
          <w:tcPr>
            <w:tcW w:w="2442" w:type="dxa"/>
          </w:tcPr>
          <w:p w14:paraId="20C7FA62" w14:textId="77777777" w:rsidR="00D65100" w:rsidRPr="002645CA" w:rsidRDefault="00D65100" w:rsidP="003B14B4">
            <w:pPr>
              <w:tabs>
                <w:tab w:val="left" w:pos="567"/>
              </w:tabs>
              <w:jc w:val="both"/>
              <w:rPr>
                <w:iCs/>
                <w:sz w:val="24"/>
                <w:szCs w:val="24"/>
              </w:rPr>
            </w:pPr>
            <w:r w:rsidRPr="002645CA">
              <w:rPr>
                <w:iCs/>
                <w:sz w:val="24"/>
                <w:szCs w:val="24"/>
              </w:rPr>
              <w:t>Viso (bendrieji kaštai)</w:t>
            </w:r>
          </w:p>
        </w:tc>
        <w:tc>
          <w:tcPr>
            <w:tcW w:w="2443" w:type="dxa"/>
          </w:tcPr>
          <w:p w14:paraId="32DD4BEE" w14:textId="06FB7C00" w:rsidR="00D65100" w:rsidRPr="002645CA" w:rsidRDefault="007E584A" w:rsidP="003B14B4">
            <w:pPr>
              <w:tabs>
                <w:tab w:val="left" w:pos="567"/>
              </w:tabs>
              <w:jc w:val="both"/>
              <w:rPr>
                <w:iCs/>
                <w:sz w:val="24"/>
                <w:szCs w:val="24"/>
              </w:rPr>
            </w:pPr>
            <w:r>
              <w:rPr>
                <w:b/>
                <w:bCs/>
                <w:color w:val="000000"/>
                <w:sz w:val="24"/>
                <w:szCs w:val="24"/>
              </w:rPr>
              <w:t>***</w:t>
            </w:r>
          </w:p>
        </w:tc>
        <w:tc>
          <w:tcPr>
            <w:tcW w:w="2443" w:type="dxa"/>
          </w:tcPr>
          <w:p w14:paraId="6EB6CA7E" w14:textId="63E24622" w:rsidR="00D65100" w:rsidRPr="002645CA" w:rsidRDefault="00753393" w:rsidP="003B14B4">
            <w:pPr>
              <w:tabs>
                <w:tab w:val="left" w:pos="567"/>
              </w:tabs>
              <w:jc w:val="both"/>
              <w:rPr>
                <w:iCs/>
                <w:sz w:val="24"/>
                <w:szCs w:val="24"/>
              </w:rPr>
            </w:pPr>
            <w:r w:rsidRPr="00753393">
              <w:rPr>
                <w:sz w:val="24"/>
                <w:szCs w:val="24"/>
                <w:highlight w:val="red"/>
                <w:lang w:val="en-US"/>
              </w:rPr>
              <w:t>***</w:t>
            </w:r>
          </w:p>
        </w:tc>
        <w:tc>
          <w:tcPr>
            <w:tcW w:w="2443" w:type="dxa"/>
          </w:tcPr>
          <w:p w14:paraId="7583263A" w14:textId="0F59A922" w:rsidR="00D65100" w:rsidRPr="002645CA" w:rsidRDefault="00753393" w:rsidP="003B14B4">
            <w:pPr>
              <w:tabs>
                <w:tab w:val="left" w:pos="567"/>
              </w:tabs>
              <w:jc w:val="both"/>
              <w:rPr>
                <w:iCs/>
                <w:sz w:val="24"/>
                <w:szCs w:val="24"/>
              </w:rPr>
            </w:pPr>
            <w:r w:rsidRPr="00753393">
              <w:rPr>
                <w:sz w:val="24"/>
                <w:szCs w:val="24"/>
                <w:highlight w:val="red"/>
                <w:lang w:val="en-US"/>
              </w:rPr>
              <w:t>***</w:t>
            </w:r>
            <w:r w:rsidRPr="00753393">
              <w:rPr>
                <w:sz w:val="24"/>
                <w:szCs w:val="24"/>
              </w:rPr>
              <w:t xml:space="preserve"> Eur.</w:t>
            </w:r>
            <w:r w:rsidRPr="002645CA">
              <w:rPr>
                <w:b/>
                <w:bCs/>
                <w:color w:val="000000"/>
                <w:sz w:val="24"/>
                <w:szCs w:val="24"/>
              </w:rPr>
              <w:t xml:space="preserve"> </w:t>
            </w:r>
            <w:r w:rsidR="00D65100" w:rsidRPr="002645CA">
              <w:rPr>
                <w:b/>
                <w:bCs/>
                <w:color w:val="000000"/>
                <w:sz w:val="24"/>
                <w:szCs w:val="24"/>
              </w:rPr>
              <w:t>(</w:t>
            </w:r>
            <w:r w:rsidR="007E584A">
              <w:rPr>
                <w:b/>
                <w:bCs/>
                <w:color w:val="000000"/>
                <w:sz w:val="24"/>
                <w:szCs w:val="24"/>
              </w:rPr>
              <w:t>***</w:t>
            </w:r>
            <w:r w:rsidR="00D65100" w:rsidRPr="002645CA">
              <w:rPr>
                <w:b/>
                <w:bCs/>
                <w:color w:val="000000"/>
                <w:sz w:val="24"/>
                <w:szCs w:val="24"/>
              </w:rPr>
              <w:t xml:space="preserve"> proc.)</w:t>
            </w:r>
          </w:p>
        </w:tc>
      </w:tr>
    </w:tbl>
    <w:p w14:paraId="556EB075" w14:textId="4DDE0420" w:rsidR="00D65100" w:rsidRPr="002645CA" w:rsidRDefault="00D65100" w:rsidP="00D65100">
      <w:pPr>
        <w:tabs>
          <w:tab w:val="left" w:pos="360"/>
        </w:tabs>
        <w:spacing w:line="276" w:lineRule="auto"/>
        <w:jc w:val="both"/>
        <w:rPr>
          <w:color w:val="000000"/>
          <w:lang w:eastAsia="lt-LT"/>
        </w:rPr>
      </w:pPr>
    </w:p>
    <w:p w14:paraId="0D5B01AB" w14:textId="01C48416" w:rsidR="00D65100" w:rsidRPr="002645CA" w:rsidRDefault="00D65100" w:rsidP="00D65100">
      <w:pPr>
        <w:tabs>
          <w:tab w:val="left" w:pos="360"/>
        </w:tabs>
        <w:spacing w:line="276" w:lineRule="auto"/>
        <w:jc w:val="both"/>
        <w:rPr>
          <w:iCs/>
          <w:lang w:eastAsia="lt-LT"/>
        </w:rPr>
      </w:pPr>
      <w:r w:rsidRPr="002645CA">
        <w:rPr>
          <w:color w:val="000000"/>
          <w:lang w:eastAsia="lt-LT"/>
        </w:rPr>
        <w:tab/>
      </w:r>
      <w:r w:rsidRPr="002645CA">
        <w:rPr>
          <w:iCs/>
          <w:lang w:eastAsia="lt-LT"/>
        </w:rPr>
        <w:t xml:space="preserve">Gautais ekonominės analizės duomenimis, lyginant </w:t>
      </w:r>
      <w:proofErr w:type="spellStart"/>
      <w:r w:rsidRPr="002645CA">
        <w:rPr>
          <w:iCs/>
          <w:lang w:eastAsia="lt-LT"/>
        </w:rPr>
        <w:t>voklosporinas+MMF</w:t>
      </w:r>
      <w:proofErr w:type="spellEnd"/>
      <w:r w:rsidRPr="002645CA">
        <w:rPr>
          <w:iCs/>
          <w:lang w:eastAsia="lt-LT"/>
        </w:rPr>
        <w:t xml:space="preserve"> ir </w:t>
      </w:r>
      <w:proofErr w:type="spellStart"/>
      <w:r w:rsidRPr="002645CA">
        <w:rPr>
          <w:iCs/>
          <w:lang w:eastAsia="lt-LT"/>
        </w:rPr>
        <w:t>belimumabas</w:t>
      </w:r>
      <w:proofErr w:type="spellEnd"/>
      <w:r w:rsidRPr="002645CA">
        <w:rPr>
          <w:iCs/>
          <w:lang w:eastAsia="lt-LT"/>
        </w:rPr>
        <w:t xml:space="preserve">+ MMF/CYC arba MMF/AZA bendruosius kaštus per penkerių metų gydymo laikotarpį, apskaičiuotas  kaštų skirtumas yra </w:t>
      </w:r>
      <w:r w:rsidR="00753393" w:rsidRPr="00753393">
        <w:rPr>
          <w:highlight w:val="red"/>
          <w:lang w:val="en-US"/>
        </w:rPr>
        <w:t>***</w:t>
      </w:r>
      <w:r w:rsidR="00753393" w:rsidRPr="00753393">
        <w:t xml:space="preserve"> Eur.</w:t>
      </w:r>
      <w:r w:rsidR="00753393" w:rsidRPr="002645CA">
        <w:rPr>
          <w:iCs/>
          <w:lang w:eastAsia="lt-LT"/>
        </w:rPr>
        <w:t xml:space="preserve"> </w:t>
      </w:r>
      <w:r w:rsidRPr="002645CA">
        <w:rPr>
          <w:iCs/>
          <w:lang w:eastAsia="lt-LT"/>
        </w:rPr>
        <w:t>(</w:t>
      </w:r>
      <w:r w:rsidR="007E584A">
        <w:rPr>
          <w:iCs/>
          <w:lang w:eastAsia="lt-LT"/>
        </w:rPr>
        <w:t>***</w:t>
      </w:r>
      <w:r w:rsidRPr="002645CA">
        <w:rPr>
          <w:iCs/>
          <w:lang w:eastAsia="lt-LT"/>
        </w:rPr>
        <w:t xml:space="preserve"> proc.), </w:t>
      </w:r>
      <w:proofErr w:type="spellStart"/>
      <w:r w:rsidRPr="002645CA">
        <w:rPr>
          <w:iCs/>
          <w:lang w:eastAsia="lt-LT"/>
        </w:rPr>
        <w:t>t.y</w:t>
      </w:r>
      <w:proofErr w:type="spellEnd"/>
      <w:r w:rsidRPr="002645CA">
        <w:rPr>
          <w:iCs/>
          <w:lang w:eastAsia="lt-LT"/>
        </w:rPr>
        <w:t xml:space="preserve">, kaštų mažinimas yra nepasiekiamas ir </w:t>
      </w:r>
      <w:proofErr w:type="spellStart"/>
      <w:r w:rsidRPr="002645CA">
        <w:rPr>
          <w:iCs/>
          <w:lang w:eastAsia="lt-LT"/>
        </w:rPr>
        <w:t>voklosporinas</w:t>
      </w:r>
      <w:proofErr w:type="spellEnd"/>
      <w:r w:rsidRPr="002645CA">
        <w:rPr>
          <w:iCs/>
          <w:lang w:eastAsia="lt-LT"/>
        </w:rPr>
        <w:t xml:space="preserve"> yra brangesnė gydymo alternatyva. </w:t>
      </w:r>
    </w:p>
    <w:p w14:paraId="775BBA56" w14:textId="77777777" w:rsidR="00D65100" w:rsidRPr="002645CA" w:rsidRDefault="00D65100" w:rsidP="00D65100">
      <w:pPr>
        <w:pStyle w:val="ListParagraph"/>
        <w:spacing w:after="120" w:line="276" w:lineRule="auto"/>
        <w:ind w:left="0" w:firstLine="360"/>
        <w:jc w:val="both"/>
        <w:rPr>
          <w:iCs/>
        </w:rPr>
      </w:pPr>
    </w:p>
    <w:p w14:paraId="15085E72" w14:textId="77777777" w:rsidR="00D65100" w:rsidRPr="002645CA" w:rsidRDefault="00D65100" w:rsidP="00D65100">
      <w:pPr>
        <w:pStyle w:val="ListParagraph"/>
        <w:spacing w:after="120" w:line="276" w:lineRule="auto"/>
        <w:ind w:left="0" w:firstLine="360"/>
        <w:jc w:val="both"/>
        <w:rPr>
          <w:i/>
          <w:color w:val="000000" w:themeColor="text1"/>
        </w:rPr>
      </w:pPr>
      <w:r w:rsidRPr="002645CA">
        <w:rPr>
          <w:i/>
          <w:iCs/>
        </w:rPr>
        <w:t xml:space="preserve">Siekiant, kad </w:t>
      </w:r>
      <w:r w:rsidRPr="002645CA">
        <w:rPr>
          <w:i/>
        </w:rPr>
        <w:t xml:space="preserve">suaugusiems pacientams, sergantiems aktyviu III, IV arba V klasės (įskaitant mišriąsias III/V ir IV/V klases) </w:t>
      </w:r>
      <w:proofErr w:type="spellStart"/>
      <w:r w:rsidRPr="002645CA">
        <w:rPr>
          <w:i/>
        </w:rPr>
        <w:t>vilkliginiu</w:t>
      </w:r>
      <w:proofErr w:type="spellEnd"/>
      <w:r w:rsidRPr="002645CA">
        <w:rPr>
          <w:i/>
        </w:rPr>
        <w:t xml:space="preserve"> nefritu, gydyti </w:t>
      </w:r>
      <w:proofErr w:type="spellStart"/>
      <w:r w:rsidRPr="002645CA">
        <w:rPr>
          <w:i/>
        </w:rPr>
        <w:t>voklosporino</w:t>
      </w:r>
      <w:proofErr w:type="spellEnd"/>
      <w:r w:rsidRPr="002645CA">
        <w:rPr>
          <w:i/>
        </w:rPr>
        <w:t xml:space="preserve"> bendrieji kaštai būtų nedidesni nei įprastos klinikinės praktikos Lietuvoje (</w:t>
      </w:r>
      <w:proofErr w:type="spellStart"/>
      <w:r w:rsidRPr="002645CA">
        <w:rPr>
          <w:i/>
        </w:rPr>
        <w:t>belimumabo</w:t>
      </w:r>
      <w:proofErr w:type="spellEnd"/>
      <w:r w:rsidRPr="002645CA">
        <w:rPr>
          <w:i/>
        </w:rPr>
        <w:t>), skiriant juos deriniuose, reikalinga</w:t>
      </w:r>
      <w:r w:rsidRPr="002645CA">
        <w:rPr>
          <w:b/>
          <w:i/>
        </w:rPr>
        <w:t xml:space="preserve"> </w:t>
      </w:r>
      <w:proofErr w:type="spellStart"/>
      <w:r w:rsidRPr="002645CA">
        <w:rPr>
          <w:i/>
        </w:rPr>
        <w:t>voklosporino</w:t>
      </w:r>
      <w:proofErr w:type="spellEnd"/>
      <w:r w:rsidRPr="002645CA">
        <w:rPr>
          <w:i/>
        </w:rPr>
        <w:t xml:space="preserve"> (</w:t>
      </w:r>
      <w:proofErr w:type="spellStart"/>
      <w:r w:rsidRPr="002645CA">
        <w:rPr>
          <w:i/>
        </w:rPr>
        <w:t>Lupkynis</w:t>
      </w:r>
      <w:proofErr w:type="spellEnd"/>
      <w:r w:rsidRPr="002645CA">
        <w:rPr>
          <w:i/>
        </w:rPr>
        <w:t xml:space="preserve">) kainą sumažinti </w:t>
      </w:r>
      <w:r w:rsidRPr="002645CA">
        <w:rPr>
          <w:i/>
          <w:u w:val="single"/>
        </w:rPr>
        <w:t>ne mažiau 26 proc.</w:t>
      </w:r>
    </w:p>
    <w:p w14:paraId="541B9F97" w14:textId="77777777" w:rsidR="00884901" w:rsidRPr="002645CA" w:rsidRDefault="00884901" w:rsidP="00884901">
      <w:pPr>
        <w:tabs>
          <w:tab w:val="left" w:pos="426"/>
        </w:tabs>
        <w:rPr>
          <w:b/>
          <w:bCs/>
          <w:caps/>
          <w:color w:val="FF0000"/>
        </w:rPr>
      </w:pPr>
    </w:p>
    <w:p w14:paraId="42C646B0" w14:textId="77777777" w:rsidR="00884901" w:rsidRPr="002645CA" w:rsidRDefault="00884901" w:rsidP="00884901">
      <w:pPr>
        <w:pStyle w:val="ListParagraph"/>
        <w:numPr>
          <w:ilvl w:val="0"/>
          <w:numId w:val="1"/>
        </w:numPr>
        <w:tabs>
          <w:tab w:val="left" w:pos="284"/>
        </w:tabs>
        <w:rPr>
          <w:b/>
          <w:bCs/>
          <w:caps/>
        </w:rPr>
      </w:pPr>
      <w:r w:rsidRPr="002645CA">
        <w:rPr>
          <w:b/>
          <w:bCs/>
          <w:caps/>
        </w:rPr>
        <w:t xml:space="preserve">Pacientų organizacijų pateikti duomenys </w:t>
      </w:r>
    </w:p>
    <w:p w14:paraId="4B9297D1" w14:textId="77777777" w:rsidR="00884901" w:rsidRPr="002645CA" w:rsidRDefault="00000000" w:rsidP="00884901">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884901" w:rsidRPr="002645CA">
            <w:rPr>
              <w:rStyle w:val="Style2"/>
              <w:rFonts w:ascii="MS Gothic" w:eastAsia="MS Gothic" w:hAnsi="MS Gothic"/>
            </w:rPr>
            <w:t>☐</w:t>
          </w:r>
        </w:sdtContent>
      </w:sdt>
      <w:r w:rsidR="00884901" w:rsidRPr="002645CA">
        <w:t xml:space="preserve"> Pacientų organizacijos pozicija pateikta. Žr. priedą.</w:t>
      </w:r>
    </w:p>
    <w:p w14:paraId="51D70A83" w14:textId="77777777" w:rsidR="00884901" w:rsidRPr="002645CA" w:rsidRDefault="00000000" w:rsidP="00884901">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884901" w:rsidRPr="002645CA">
            <w:rPr>
              <w:rStyle w:val="Style2"/>
              <w:rFonts w:ascii="MS Gothic" w:eastAsia="MS Gothic" w:hAnsi="MS Gothic"/>
            </w:rPr>
            <w:t>☒</w:t>
          </w:r>
        </w:sdtContent>
      </w:sdt>
      <w:r w:rsidR="00884901" w:rsidRPr="002645CA">
        <w:t xml:space="preserve"> Pacientų organizacijos pozicija nepateikta.</w:t>
      </w:r>
    </w:p>
    <w:p w14:paraId="41BB1869" w14:textId="77777777" w:rsidR="00884901" w:rsidRPr="002645CA" w:rsidRDefault="00884901" w:rsidP="00884901">
      <w:pPr>
        <w:pStyle w:val="ListParagraph"/>
        <w:numPr>
          <w:ilvl w:val="0"/>
          <w:numId w:val="1"/>
        </w:numPr>
        <w:tabs>
          <w:tab w:val="left" w:pos="426"/>
        </w:tabs>
        <w:rPr>
          <w:b/>
          <w:bCs/>
          <w:caps/>
        </w:rPr>
      </w:pPr>
      <w:r w:rsidRPr="002645CA">
        <w:rPr>
          <w:b/>
          <w:bCs/>
          <w:caps/>
        </w:rPr>
        <w:t>Gydytojų organizacijų pateikti duomenys</w:t>
      </w:r>
    </w:p>
    <w:p w14:paraId="41A43F4C" w14:textId="77777777" w:rsidR="00884901" w:rsidRPr="002645CA" w:rsidRDefault="00000000" w:rsidP="00884901">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884901" w:rsidRPr="002645CA">
            <w:rPr>
              <w:rStyle w:val="Style2"/>
              <w:rFonts w:ascii="MS Gothic" w:eastAsia="MS Gothic" w:hAnsi="MS Gothic"/>
            </w:rPr>
            <w:t>☐</w:t>
          </w:r>
        </w:sdtContent>
      </w:sdt>
      <w:r w:rsidR="00884901" w:rsidRPr="002645CA">
        <w:t xml:space="preserve"> Gydytojų specialistų organizacijos pozicija pateikta. Žr. priedą.</w:t>
      </w:r>
    </w:p>
    <w:p w14:paraId="551D2791" w14:textId="77777777" w:rsidR="00884901" w:rsidRPr="002645CA" w:rsidRDefault="00000000" w:rsidP="00884901">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884901" w:rsidRPr="002645CA">
            <w:rPr>
              <w:rStyle w:val="Style2"/>
              <w:rFonts w:ascii="MS Gothic" w:eastAsia="MS Gothic" w:hAnsi="MS Gothic"/>
            </w:rPr>
            <w:t>☒</w:t>
          </w:r>
        </w:sdtContent>
      </w:sdt>
      <w:r w:rsidR="00884901" w:rsidRPr="002645CA">
        <w:t xml:space="preserve"> Gydytojų specialistų organizacijos pozicija nepateikta.</w:t>
      </w:r>
    </w:p>
    <w:p w14:paraId="5A83C129" w14:textId="77777777" w:rsidR="00884901" w:rsidRPr="002645CA" w:rsidRDefault="00884901" w:rsidP="00884901">
      <w:pPr>
        <w:pStyle w:val="ListParagraph"/>
        <w:numPr>
          <w:ilvl w:val="0"/>
          <w:numId w:val="1"/>
        </w:numPr>
        <w:tabs>
          <w:tab w:val="left" w:pos="426"/>
        </w:tabs>
        <w:rPr>
          <w:b/>
          <w:bCs/>
          <w:caps/>
        </w:rPr>
      </w:pPr>
      <w:r w:rsidRPr="002645CA">
        <w:rPr>
          <w:b/>
          <w:bCs/>
          <w:caps/>
        </w:rPr>
        <w:t xml:space="preserve">Išvada </w:t>
      </w:r>
    </w:p>
    <w:p w14:paraId="0B9639C9" w14:textId="77777777" w:rsidR="00884901" w:rsidRPr="002645CA" w:rsidRDefault="00884901" w:rsidP="00884901">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884901" w:rsidRPr="002645CA" w14:paraId="2C444795" w14:textId="77777777" w:rsidTr="00E22393">
        <w:tc>
          <w:tcPr>
            <w:tcW w:w="4815" w:type="dxa"/>
          </w:tcPr>
          <w:p w14:paraId="1D33791D"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szCs w:val="24"/>
              </w:rPr>
            </w:pPr>
            <w:r w:rsidRPr="002645CA">
              <w:rPr>
                <w:rStyle w:val="Style2"/>
                <w:rFonts w:eastAsia="MS Gothic"/>
                <w:b/>
                <w:bCs/>
                <w:sz w:val="24"/>
                <w:szCs w:val="24"/>
              </w:rPr>
              <w:t>Rekomenduojama kompensuoti</w:t>
            </w:r>
          </w:p>
        </w:tc>
        <w:tc>
          <w:tcPr>
            <w:tcW w:w="4814" w:type="dxa"/>
          </w:tcPr>
          <w:p w14:paraId="5AB9FDA3"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szCs w:val="24"/>
              </w:rPr>
            </w:pPr>
            <w:r w:rsidRPr="002645CA">
              <w:rPr>
                <w:rStyle w:val="Style2"/>
                <w:rFonts w:eastAsia="MS Gothic"/>
                <w:b/>
                <w:bCs/>
                <w:sz w:val="24"/>
                <w:szCs w:val="24"/>
              </w:rPr>
              <w:t xml:space="preserve">Rekomenduojama nekompensuoti </w:t>
            </w:r>
          </w:p>
        </w:tc>
      </w:tr>
      <w:tr w:rsidR="00884901" w:rsidRPr="002645CA" w14:paraId="48317B8B" w14:textId="77777777" w:rsidTr="00E22393">
        <w:tc>
          <w:tcPr>
            <w:tcW w:w="9629" w:type="dxa"/>
            <w:gridSpan w:val="2"/>
          </w:tcPr>
          <w:p w14:paraId="527AF226"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2645CA">
              <w:rPr>
                <w:rStyle w:val="Style2"/>
                <w:rFonts w:eastAsia="MS Gothic"/>
                <w:b/>
                <w:bCs/>
                <w:sz w:val="24"/>
                <w:szCs w:val="24"/>
              </w:rPr>
              <w:t>Palyginamasis efektyvumas</w:t>
            </w:r>
          </w:p>
          <w:p w14:paraId="51A87F89"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884901" w:rsidRPr="002645CA" w14:paraId="2D191BC8" w14:textId="77777777" w:rsidTr="00E22393">
        <w:tc>
          <w:tcPr>
            <w:tcW w:w="4815" w:type="dxa"/>
          </w:tcPr>
          <w:p w14:paraId="2D5D55FE"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32.1. yra didesnis</w:t>
            </w:r>
          </w:p>
          <w:p w14:paraId="70B8CA96"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C40CA1C"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1"/>
                  <w14:checkedState w14:val="2612" w14:font="MS Gothic"/>
                  <w14:uncheckedState w14:val="2610" w14:font="MS Gothic"/>
                </w14:checkbox>
              </w:sdtPr>
              <w:sdtContent>
                <w:r w:rsidR="00884901" w:rsidRPr="00E97C7E">
                  <w:rPr>
                    <w:rStyle w:val="Style2"/>
                    <w:rFonts w:ascii="Segoe UI Symbol" w:eastAsia="MS Gothic" w:hAnsi="Segoe UI Symbol" w:cs="Segoe UI Symbol"/>
                    <w:sz w:val="24"/>
                    <w:szCs w:val="24"/>
                  </w:rPr>
                  <w:t>☒</w:t>
                </w:r>
              </w:sdtContent>
            </w:sdt>
            <w:r w:rsidR="00884901" w:rsidRPr="00E97C7E">
              <w:rPr>
                <w:sz w:val="24"/>
                <w:szCs w:val="24"/>
              </w:rPr>
              <w:t xml:space="preserve"> 32.1. iš esmės nesiskiria</w:t>
            </w:r>
          </w:p>
        </w:tc>
        <w:tc>
          <w:tcPr>
            <w:tcW w:w="4814" w:type="dxa"/>
          </w:tcPr>
          <w:p w14:paraId="5C968A7B"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33.1. yra mažesnis</w:t>
            </w:r>
          </w:p>
          <w:p w14:paraId="164B89B2"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AEE328D"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33.1. yra neįrodytas kaip toks pat</w:t>
            </w:r>
          </w:p>
          <w:p w14:paraId="4F16309A"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15354A5"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33.1 neįrodytas kaip didesnis</w:t>
            </w:r>
          </w:p>
          <w:p w14:paraId="14E30979"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4EF1E07" w14:textId="67F021DF"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69842114"/>
                <w15:color w:val="FFCC00"/>
                <w14:checkbox>
                  <w14:checked w14:val="0"/>
                  <w14:checkedState w14:val="2612" w14:font="MS Gothic"/>
                  <w14:uncheckedState w14:val="2610" w14:font="MS Gothic"/>
                </w14:checkbox>
              </w:sdtPr>
              <w:sdtContent>
                <w:r w:rsidR="00E97C7E">
                  <w:rPr>
                    <w:rStyle w:val="Style2"/>
                    <w:rFonts w:ascii="MS Gothic" w:eastAsia="MS Gothic" w:hAnsi="MS Gothic" w:hint="eastAsia"/>
                    <w:sz w:val="24"/>
                    <w:szCs w:val="24"/>
                  </w:rPr>
                  <w:t>☐</w:t>
                </w:r>
              </w:sdtContent>
            </w:sdt>
            <w:r w:rsidR="00884901" w:rsidRPr="002645CA">
              <w:rPr>
                <w:sz w:val="24"/>
                <w:szCs w:val="24"/>
              </w:rPr>
              <w:t xml:space="preserve"> 33.1. pateikti duomenys apie palyginamąjį efektyvumą yra netinkami vertinti</w:t>
            </w:r>
          </w:p>
          <w:p w14:paraId="445FDFCA"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884901" w:rsidRPr="002645CA" w14:paraId="1FBF7D47" w14:textId="77777777" w:rsidTr="00E22393">
        <w:tc>
          <w:tcPr>
            <w:tcW w:w="9629" w:type="dxa"/>
            <w:gridSpan w:val="2"/>
          </w:tcPr>
          <w:p w14:paraId="374B8180"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2645CA">
              <w:rPr>
                <w:rStyle w:val="Style2"/>
                <w:rFonts w:eastAsia="MS Gothic"/>
                <w:b/>
                <w:bCs/>
                <w:sz w:val="24"/>
                <w:szCs w:val="24"/>
              </w:rPr>
              <w:t>Klinikinis veiksmingumas</w:t>
            </w:r>
          </w:p>
          <w:p w14:paraId="66B3EE07"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884901" w:rsidRPr="002645CA" w14:paraId="232396E2" w14:textId="77777777" w:rsidTr="00E22393">
        <w:tc>
          <w:tcPr>
            <w:tcW w:w="4815" w:type="dxa"/>
          </w:tcPr>
          <w:p w14:paraId="1035D481"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481080007"/>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32.2. yra įvertintas kaip pagrindžiantis papildomos naudos pacientų sveikatai sukūrimą, lyginant su įprasta klinikine praktika</w:t>
            </w:r>
          </w:p>
          <w:p w14:paraId="7C2605D1"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9BA2287"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862061586"/>
                <w15:color w:val="FFCC00"/>
                <w14:checkbox>
                  <w14:checked w14:val="1"/>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32.2. įvertintas kaip pagrindžiantis nesiskiriančios naudos pacientų sveikatai sukūrimą, lyginant su įprasta klinikine praktika</w:t>
            </w:r>
          </w:p>
          <w:p w14:paraId="54CB7BC5"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4814" w:type="dxa"/>
          </w:tcPr>
          <w:p w14:paraId="1D580F88" w14:textId="77777777" w:rsidR="00884901" w:rsidRPr="002645CA" w:rsidRDefault="00000000" w:rsidP="002645CA">
            <w:pPr>
              <w:jc w:val="both"/>
              <w:rPr>
                <w:sz w:val="24"/>
                <w:szCs w:val="24"/>
              </w:rPr>
            </w:pPr>
            <w:sdt>
              <w:sdtPr>
                <w:rPr>
                  <w:rStyle w:val="Style2"/>
                  <w:sz w:val="24"/>
                </w:rPr>
                <w:id w:val="-1034573056"/>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33.1. yra įvertintas kaip nepagrindžiantis papildomos naudos pacientų sveikatai sukūrimo, lyginant su  įprasta klinikine praktika.</w:t>
            </w:r>
          </w:p>
          <w:p w14:paraId="56589B83" w14:textId="77777777" w:rsidR="00884901" w:rsidRPr="002645CA" w:rsidRDefault="00884901" w:rsidP="002645CA">
            <w:pPr>
              <w:jc w:val="both"/>
              <w:rPr>
                <w:sz w:val="24"/>
                <w:szCs w:val="24"/>
              </w:rPr>
            </w:pPr>
          </w:p>
          <w:p w14:paraId="2052D8E4" w14:textId="77777777" w:rsidR="00884901" w:rsidRPr="002645CA" w:rsidRDefault="00000000" w:rsidP="002645CA">
            <w:pPr>
              <w:jc w:val="both"/>
              <w:rPr>
                <w:sz w:val="24"/>
                <w:szCs w:val="24"/>
              </w:rPr>
            </w:pPr>
            <w:sdt>
              <w:sdtPr>
                <w:rPr>
                  <w:rStyle w:val="Style2"/>
                  <w:sz w:val="24"/>
                </w:rPr>
                <w:id w:val="1289549109"/>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33.1. nesiskiriančios naudos pacientų sveikatai sukūrimo, lyginant su įprasta klinikine praktika.</w:t>
            </w:r>
          </w:p>
          <w:p w14:paraId="255776AD"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708824"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884901" w:rsidRPr="002645CA" w14:paraId="362D0ACD" w14:textId="77777777" w:rsidTr="00E22393">
        <w:tc>
          <w:tcPr>
            <w:tcW w:w="9629" w:type="dxa"/>
            <w:gridSpan w:val="2"/>
          </w:tcPr>
          <w:p w14:paraId="276032B8"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2645CA">
              <w:rPr>
                <w:rStyle w:val="Style2"/>
                <w:rFonts w:eastAsia="MS Gothic"/>
                <w:b/>
                <w:bCs/>
                <w:sz w:val="24"/>
                <w:szCs w:val="24"/>
              </w:rPr>
              <w:t>Kaštų naudingumas</w:t>
            </w:r>
          </w:p>
          <w:p w14:paraId="308695C9"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p>
        </w:tc>
      </w:tr>
      <w:tr w:rsidR="00884901" w:rsidRPr="002645CA" w14:paraId="70DADF28" w14:textId="77777777" w:rsidTr="00E22393">
        <w:tc>
          <w:tcPr>
            <w:tcW w:w="4815" w:type="dxa"/>
          </w:tcPr>
          <w:p w14:paraId="79041896"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32.3. atitinka referencinę naudingumo vertę, taikant PGS</w:t>
            </w:r>
          </w:p>
          <w:p w14:paraId="2D302296"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AABA425"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308081728"/>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32.3. gydymo juo kaštai yra mažesni ar tokie patys esant iš esmės nesiskiriančiam palyginamajam efektyvumui, taikant PGS&gt;</w:t>
            </w:r>
          </w:p>
          <w:p w14:paraId="15C4D624"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4814" w:type="dxa"/>
          </w:tcPr>
          <w:p w14:paraId="3B57ED7C"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33.3. neatitinka referencinės naudingumo vertės Lietuvos Respublikoje;</w:t>
            </w:r>
          </w:p>
          <w:p w14:paraId="373E6FAF"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14F6AE8" w14:textId="1E7D667B"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135473618"/>
                <w15:color w:val="FFCC00"/>
                <w14:checkbox>
                  <w14:checked w14:val="1"/>
                  <w14:checkedState w14:val="2612" w14:font="MS Gothic"/>
                  <w14:uncheckedState w14:val="2610" w14:font="MS Gothic"/>
                </w14:checkbox>
              </w:sdtPr>
              <w:sdtContent>
                <w:r w:rsidR="00D65100" w:rsidRPr="002645CA">
                  <w:rPr>
                    <w:rStyle w:val="Style2"/>
                    <w:rFonts w:ascii="Segoe UI Symbol" w:eastAsia="MS Gothic" w:hAnsi="Segoe UI Symbol" w:cs="Segoe UI Symbol"/>
                    <w:sz w:val="24"/>
                    <w:szCs w:val="24"/>
                  </w:rPr>
                  <w:t>☒</w:t>
                </w:r>
              </w:sdtContent>
            </w:sdt>
            <w:r w:rsidR="00884901" w:rsidRPr="002645CA">
              <w:rPr>
                <w:sz w:val="24"/>
                <w:szCs w:val="24"/>
              </w:rPr>
              <w:t xml:space="preserve"> 33.3. gydymo juo kaštai yra didesni esant iš esmės nesiskiriančiam palyginamajam efektyvumui, taikant PGS</w:t>
            </w:r>
          </w:p>
          <w:p w14:paraId="0EC53A6C"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F5F09B1" w14:textId="77777777" w:rsidR="00884901" w:rsidRPr="002645CA" w:rsidRDefault="00000000"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884901" w:rsidRPr="002645CA">
                  <w:rPr>
                    <w:rStyle w:val="Style2"/>
                    <w:rFonts w:ascii="Segoe UI Symbol" w:eastAsia="MS Gothic" w:hAnsi="Segoe UI Symbol" w:cs="Segoe UI Symbol"/>
                    <w:sz w:val="24"/>
                    <w:szCs w:val="24"/>
                  </w:rPr>
                  <w:t>☐</w:t>
                </w:r>
              </w:sdtContent>
            </w:sdt>
            <w:r w:rsidR="00884901" w:rsidRPr="002645CA">
              <w:rPr>
                <w:sz w:val="24"/>
                <w:szCs w:val="24"/>
              </w:rPr>
              <w:t xml:space="preserve"> 33.3. pateikti duomenys apie kaštų naudingumą yra netinkami vertinti</w:t>
            </w:r>
          </w:p>
          <w:p w14:paraId="3C039794" w14:textId="77777777" w:rsidR="00884901" w:rsidRPr="002645CA" w:rsidRDefault="00884901" w:rsidP="0026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bl>
    <w:p w14:paraId="17AFEBEF" w14:textId="77777777" w:rsidR="00884901" w:rsidRPr="002645CA" w:rsidRDefault="00884901" w:rsidP="00884901">
      <w:pPr>
        <w:pStyle w:val="ListParagraph"/>
        <w:shd w:val="clear" w:color="auto" w:fill="FFFFFF"/>
        <w:tabs>
          <w:tab w:val="left" w:pos="284"/>
        </w:tabs>
        <w:spacing w:line="276" w:lineRule="auto"/>
        <w:rPr>
          <w:rFonts w:eastAsia="Arial"/>
          <w:b/>
        </w:rPr>
      </w:pPr>
    </w:p>
    <w:p w14:paraId="52FAE09A" w14:textId="77777777" w:rsidR="00884901" w:rsidRPr="002645CA" w:rsidRDefault="00884901" w:rsidP="00884901">
      <w:pPr>
        <w:pStyle w:val="ListParagraph"/>
        <w:numPr>
          <w:ilvl w:val="0"/>
          <w:numId w:val="1"/>
        </w:numPr>
        <w:shd w:val="clear" w:color="auto" w:fill="FFFFFF"/>
        <w:tabs>
          <w:tab w:val="left" w:pos="284"/>
        </w:tabs>
        <w:spacing w:line="276" w:lineRule="auto"/>
        <w:rPr>
          <w:rFonts w:eastAsia="Arial"/>
          <w:b/>
        </w:rPr>
      </w:pPr>
      <w:r w:rsidRPr="002645CA">
        <w:rPr>
          <w:rFonts w:eastAsia="Arial"/>
          <w:b/>
        </w:rPr>
        <w:t>REKOMENDACIJA</w:t>
      </w:r>
    </w:p>
    <w:p w14:paraId="7D87574C" w14:textId="77777777" w:rsidR="00884901" w:rsidRPr="002645CA" w:rsidRDefault="00884901" w:rsidP="00884901">
      <w:pPr>
        <w:pStyle w:val="ListParagraph"/>
        <w:shd w:val="clear" w:color="auto" w:fill="FFFFFF"/>
        <w:tabs>
          <w:tab w:val="left" w:pos="284"/>
        </w:tabs>
        <w:spacing w:line="276" w:lineRule="auto"/>
        <w:ind w:left="426"/>
        <w:rPr>
          <w:rFonts w:eastAsia="Arial"/>
          <w:b/>
        </w:rPr>
      </w:pPr>
    </w:p>
    <w:p w14:paraId="6CC5FC0C" w14:textId="77777777" w:rsidR="00D65100" w:rsidRPr="002645CA" w:rsidRDefault="00D65100" w:rsidP="00D65100">
      <w:pPr>
        <w:spacing w:line="276" w:lineRule="auto"/>
        <w:ind w:firstLine="567"/>
        <w:jc w:val="both"/>
        <w:rPr>
          <w:color w:val="000000" w:themeColor="text1"/>
        </w:rPr>
      </w:pPr>
      <w:r w:rsidRPr="002645CA">
        <w:t>Vadovaujantis</w:t>
      </w:r>
      <w:r w:rsidRPr="002645CA">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02635259" w14:textId="77777777" w:rsidR="00D65100" w:rsidRPr="002645CA" w:rsidRDefault="00D65100" w:rsidP="00D65100">
      <w:pPr>
        <w:spacing w:line="276" w:lineRule="auto"/>
        <w:jc w:val="both"/>
      </w:pPr>
      <w:r w:rsidRPr="002645CA">
        <w:rPr>
          <w:color w:val="000000"/>
        </w:rPr>
        <w:t>34.4.</w:t>
      </w:r>
      <w:r w:rsidRPr="002645CA">
        <w:rPr>
          <w:color w:val="000000" w:themeColor="text1"/>
        </w:rPr>
        <w:t xml:space="preserve"> </w:t>
      </w:r>
      <w:r w:rsidRPr="002645CA">
        <w:t xml:space="preserve">rekomenduojama </w:t>
      </w:r>
      <w:r w:rsidRPr="002645CA">
        <w:rPr>
          <w:i/>
        </w:rPr>
        <w:t xml:space="preserve">nekompensuoti </w:t>
      </w:r>
      <w:r w:rsidRPr="002645CA">
        <w:t>vaistinio preparato pagal paraiškoje nurodytą indikaciją, su skyrimo sąlygomis, taikant PGS, dėl iš esmės nesiskiriančio gydymo efektyvumo ir sukuriamos naudos pacientų sveikatai, lyginant su įprasta klinikine praktika ir didesnių gydymo kaštų (kaštų mažinimas nepasiektas).</w:t>
      </w:r>
    </w:p>
    <w:p w14:paraId="375AC8B8" w14:textId="77777777" w:rsidR="00D65100" w:rsidRDefault="00D65100" w:rsidP="00D65100">
      <w:pPr>
        <w:spacing w:line="276" w:lineRule="auto"/>
        <w:jc w:val="both"/>
      </w:pPr>
    </w:p>
    <w:p w14:paraId="077135DD" w14:textId="72FA1579" w:rsidR="002645CA" w:rsidRPr="002645CA" w:rsidRDefault="002645CA" w:rsidP="00D65100">
      <w:pPr>
        <w:spacing w:line="276" w:lineRule="auto"/>
        <w:jc w:val="both"/>
        <w:rPr>
          <w:b/>
          <w:bCs/>
        </w:rPr>
      </w:pPr>
      <w:r w:rsidRPr="002645CA">
        <w:rPr>
          <w:b/>
          <w:bCs/>
        </w:rPr>
        <w:t>Pastaba</w:t>
      </w:r>
    </w:p>
    <w:p w14:paraId="5EECDA0D" w14:textId="1F93286C" w:rsidR="00E97C7E" w:rsidRPr="003E4443" w:rsidRDefault="00D65100" w:rsidP="003E4443">
      <w:pPr>
        <w:shd w:val="clear" w:color="auto" w:fill="FFFFFF"/>
        <w:spacing w:line="276" w:lineRule="auto"/>
        <w:ind w:firstLine="720"/>
        <w:jc w:val="both"/>
        <w:rPr>
          <w:rFonts w:eastAsia="Arial"/>
          <w:iCs/>
        </w:rPr>
      </w:pPr>
      <w:r w:rsidRPr="002645CA">
        <w:rPr>
          <w:rFonts w:eastAsia="Arial"/>
          <w:iCs/>
        </w:rPr>
        <w:t xml:space="preserve">Atkreiptinas dėmesys, kad siekiant jog </w:t>
      </w:r>
      <w:proofErr w:type="spellStart"/>
      <w:r w:rsidRPr="002645CA">
        <w:rPr>
          <w:rFonts w:eastAsia="Arial"/>
          <w:iCs/>
        </w:rPr>
        <w:t>voklosporino</w:t>
      </w:r>
      <w:proofErr w:type="spellEnd"/>
      <w:r w:rsidRPr="002645CA">
        <w:rPr>
          <w:rFonts w:eastAsia="Arial"/>
          <w:iCs/>
        </w:rPr>
        <w:t xml:space="preserve"> teikiama kaina atitiktų Tvarkos aprašo Nr.159 papunktį </w:t>
      </w:r>
      <w:r w:rsidRPr="002645CA">
        <w:rPr>
          <w:iCs/>
          <w:color w:val="000000"/>
        </w:rPr>
        <w:t>54.1</w:t>
      </w:r>
      <w:r w:rsidRPr="002645CA">
        <w:rPr>
          <w:iCs/>
          <w:color w:val="000000"/>
          <w:vertAlign w:val="superscript"/>
        </w:rPr>
        <w:t>1</w:t>
      </w:r>
      <w:r w:rsidRPr="002645CA">
        <w:rPr>
          <w:rFonts w:eastAsia="Arial"/>
          <w:iCs/>
        </w:rPr>
        <w:t xml:space="preserve"> </w:t>
      </w:r>
      <w:r w:rsidRPr="002645CA">
        <w:rPr>
          <w:iCs/>
          <w:color w:val="000000"/>
        </w:rPr>
        <w:t>&lt;...gydymo vaistiniu preparatu kaštai, mažėja ne mažiau kaip 5 proc....&gt;,</w:t>
      </w:r>
      <w:r w:rsidRPr="002645CA">
        <w:rPr>
          <w:rFonts w:eastAsia="Arial"/>
          <w:iCs/>
        </w:rPr>
        <w:t xml:space="preserve"> </w:t>
      </w:r>
      <w:proofErr w:type="spellStart"/>
      <w:r w:rsidRPr="002645CA">
        <w:rPr>
          <w:rFonts w:eastAsia="Arial"/>
          <w:iCs/>
        </w:rPr>
        <w:t>voklosporino</w:t>
      </w:r>
      <w:proofErr w:type="spellEnd"/>
      <w:r w:rsidRPr="002645CA">
        <w:rPr>
          <w:rFonts w:eastAsia="Arial"/>
          <w:iCs/>
        </w:rPr>
        <w:t xml:space="preserve"> (</w:t>
      </w:r>
      <w:proofErr w:type="spellStart"/>
      <w:r w:rsidRPr="002645CA">
        <w:rPr>
          <w:rFonts w:eastAsia="Arial"/>
          <w:iCs/>
        </w:rPr>
        <w:t>Lupkynis</w:t>
      </w:r>
      <w:proofErr w:type="spellEnd"/>
      <w:r w:rsidRPr="002645CA">
        <w:rPr>
          <w:rFonts w:eastAsia="Arial"/>
          <w:iCs/>
        </w:rPr>
        <w:t>)  pakuotės (</w:t>
      </w:r>
      <w:r w:rsidRPr="002645CA">
        <w:rPr>
          <w:iCs/>
          <w:lang w:eastAsia="lt-LT"/>
        </w:rPr>
        <w:t>7.9 mg, N180</w:t>
      </w:r>
      <w:r w:rsidRPr="002645CA">
        <w:rPr>
          <w:rFonts w:eastAsia="Arial"/>
          <w:iCs/>
        </w:rPr>
        <w:t xml:space="preserve">) kaina atitinkamai turi būti sumažinta </w:t>
      </w:r>
      <w:r w:rsidRPr="002645CA">
        <w:rPr>
          <w:rFonts w:eastAsia="Arial"/>
          <w:iCs/>
          <w:u w:val="single"/>
        </w:rPr>
        <w:t xml:space="preserve">ne mažiau </w:t>
      </w:r>
      <w:r w:rsidR="007E584A">
        <w:rPr>
          <w:rFonts w:eastAsia="Arial"/>
          <w:iCs/>
          <w:u w:val="single"/>
        </w:rPr>
        <w:t>*****</w:t>
      </w:r>
      <w:r w:rsidRPr="002645CA">
        <w:rPr>
          <w:rFonts w:eastAsia="Arial"/>
          <w:iCs/>
        </w:rPr>
        <w:t>.</w:t>
      </w:r>
    </w:p>
    <w:sectPr w:rsidR="00E97C7E" w:rsidRPr="003E4443"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315FE" w14:textId="77777777" w:rsidR="007F25F5" w:rsidRDefault="007F25F5">
      <w:r>
        <w:separator/>
      </w:r>
    </w:p>
  </w:endnote>
  <w:endnote w:type="continuationSeparator" w:id="0">
    <w:p w14:paraId="4714ECBB" w14:textId="77777777" w:rsidR="007F25F5" w:rsidRDefault="007F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23BF" w14:textId="77777777" w:rsidR="00E97C7E" w:rsidRDefault="00E97C7E">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67A5" w14:textId="77777777" w:rsidR="007F25F5" w:rsidRDefault="007F25F5">
      <w:r>
        <w:separator/>
      </w:r>
    </w:p>
  </w:footnote>
  <w:footnote w:type="continuationSeparator" w:id="0">
    <w:p w14:paraId="02C62735" w14:textId="77777777" w:rsidR="007F25F5" w:rsidRDefault="007F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61BDD" w14:textId="77777777" w:rsidR="00E97C7E" w:rsidRDefault="008849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7A20A" w14:textId="77777777" w:rsidR="00E97C7E" w:rsidRDefault="00E97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C51F" w14:textId="5D875B60" w:rsidR="00E97C7E" w:rsidRDefault="008849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393">
      <w:rPr>
        <w:rStyle w:val="PageNumber"/>
        <w:noProof/>
      </w:rPr>
      <w:t>6</w:t>
    </w:r>
    <w:r>
      <w:rPr>
        <w:rStyle w:val="PageNumber"/>
      </w:rPr>
      <w:fldChar w:fldCharType="end"/>
    </w:r>
  </w:p>
  <w:p w14:paraId="312621EF" w14:textId="77777777" w:rsidR="00E97C7E" w:rsidRDefault="00E97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6D545" w14:textId="77777777" w:rsidR="00E97C7E" w:rsidRDefault="00E97C7E"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A3244"/>
    <w:multiLevelType w:val="hybridMultilevel"/>
    <w:tmpl w:val="117AD174"/>
    <w:lvl w:ilvl="0" w:tplc="E896572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843A1CA2">
      <w:numFmt w:val="bullet"/>
      <w:lvlText w:val="•"/>
      <w:lvlJc w:val="left"/>
      <w:pPr>
        <w:ind w:left="1500" w:hanging="360"/>
      </w:pPr>
      <w:rPr>
        <w:rFonts w:hint="default"/>
        <w:lang w:val="lt-LT" w:eastAsia="en-US" w:bidi="ar-SA"/>
      </w:rPr>
    </w:lvl>
    <w:lvl w:ilvl="2" w:tplc="BEA07A28">
      <w:numFmt w:val="bullet"/>
      <w:lvlText w:val="•"/>
      <w:lvlJc w:val="left"/>
      <w:pPr>
        <w:ind w:left="2180" w:hanging="360"/>
      </w:pPr>
      <w:rPr>
        <w:rFonts w:hint="default"/>
        <w:lang w:val="lt-LT" w:eastAsia="en-US" w:bidi="ar-SA"/>
      </w:rPr>
    </w:lvl>
    <w:lvl w:ilvl="3" w:tplc="E0AA90FC">
      <w:numFmt w:val="bullet"/>
      <w:lvlText w:val="•"/>
      <w:lvlJc w:val="left"/>
      <w:pPr>
        <w:ind w:left="2860" w:hanging="360"/>
      </w:pPr>
      <w:rPr>
        <w:rFonts w:hint="default"/>
        <w:lang w:val="lt-LT" w:eastAsia="en-US" w:bidi="ar-SA"/>
      </w:rPr>
    </w:lvl>
    <w:lvl w:ilvl="4" w:tplc="9D1EFFF0">
      <w:numFmt w:val="bullet"/>
      <w:lvlText w:val="•"/>
      <w:lvlJc w:val="left"/>
      <w:pPr>
        <w:ind w:left="3540" w:hanging="360"/>
      </w:pPr>
      <w:rPr>
        <w:rFonts w:hint="default"/>
        <w:lang w:val="lt-LT" w:eastAsia="en-US" w:bidi="ar-SA"/>
      </w:rPr>
    </w:lvl>
    <w:lvl w:ilvl="5" w:tplc="24564F9C">
      <w:numFmt w:val="bullet"/>
      <w:lvlText w:val="•"/>
      <w:lvlJc w:val="left"/>
      <w:pPr>
        <w:ind w:left="4220" w:hanging="360"/>
      </w:pPr>
      <w:rPr>
        <w:rFonts w:hint="default"/>
        <w:lang w:val="lt-LT" w:eastAsia="en-US" w:bidi="ar-SA"/>
      </w:rPr>
    </w:lvl>
    <w:lvl w:ilvl="6" w:tplc="89CE102C">
      <w:numFmt w:val="bullet"/>
      <w:lvlText w:val="•"/>
      <w:lvlJc w:val="left"/>
      <w:pPr>
        <w:ind w:left="4900" w:hanging="360"/>
      </w:pPr>
      <w:rPr>
        <w:rFonts w:hint="default"/>
        <w:lang w:val="lt-LT" w:eastAsia="en-US" w:bidi="ar-SA"/>
      </w:rPr>
    </w:lvl>
    <w:lvl w:ilvl="7" w:tplc="C53894C6">
      <w:numFmt w:val="bullet"/>
      <w:lvlText w:val="•"/>
      <w:lvlJc w:val="left"/>
      <w:pPr>
        <w:ind w:left="5580" w:hanging="360"/>
      </w:pPr>
      <w:rPr>
        <w:rFonts w:hint="default"/>
        <w:lang w:val="lt-LT" w:eastAsia="en-US" w:bidi="ar-SA"/>
      </w:rPr>
    </w:lvl>
    <w:lvl w:ilvl="8" w:tplc="E7D6A6F6">
      <w:numFmt w:val="bullet"/>
      <w:lvlText w:val="•"/>
      <w:lvlJc w:val="left"/>
      <w:pPr>
        <w:ind w:left="6260" w:hanging="360"/>
      </w:pPr>
      <w:rPr>
        <w:rFonts w:hint="default"/>
        <w:lang w:val="lt-LT" w:eastAsia="en-US" w:bidi="ar-SA"/>
      </w:rPr>
    </w:lvl>
  </w:abstractNum>
  <w:abstractNum w:abstractNumId="1"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21232">
    <w:abstractNumId w:val="1"/>
  </w:num>
  <w:num w:numId="2" w16cid:durableId="15750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01"/>
    <w:rsid w:val="00025E44"/>
    <w:rsid w:val="00080DB9"/>
    <w:rsid w:val="00092F88"/>
    <w:rsid w:val="000D345D"/>
    <w:rsid w:val="001137F1"/>
    <w:rsid w:val="00197042"/>
    <w:rsid w:val="001A465F"/>
    <w:rsid w:val="001D516F"/>
    <w:rsid w:val="00200119"/>
    <w:rsid w:val="002645CA"/>
    <w:rsid w:val="002A0C91"/>
    <w:rsid w:val="002A4216"/>
    <w:rsid w:val="002C0709"/>
    <w:rsid w:val="0030743D"/>
    <w:rsid w:val="00307CEC"/>
    <w:rsid w:val="00312BC5"/>
    <w:rsid w:val="00355C5A"/>
    <w:rsid w:val="003607DF"/>
    <w:rsid w:val="0038441A"/>
    <w:rsid w:val="003E4443"/>
    <w:rsid w:val="004039B0"/>
    <w:rsid w:val="004A479F"/>
    <w:rsid w:val="004C47BC"/>
    <w:rsid w:val="004D1F5A"/>
    <w:rsid w:val="004E2B3F"/>
    <w:rsid w:val="00563FAC"/>
    <w:rsid w:val="00590A1F"/>
    <w:rsid w:val="00595C48"/>
    <w:rsid w:val="00613362"/>
    <w:rsid w:val="00622897"/>
    <w:rsid w:val="00645837"/>
    <w:rsid w:val="006C6423"/>
    <w:rsid w:val="006F64F1"/>
    <w:rsid w:val="006F7769"/>
    <w:rsid w:val="006F7D17"/>
    <w:rsid w:val="00735A96"/>
    <w:rsid w:val="0074129B"/>
    <w:rsid w:val="00753393"/>
    <w:rsid w:val="007D62AA"/>
    <w:rsid w:val="007E584A"/>
    <w:rsid w:val="007F25F5"/>
    <w:rsid w:val="007F376F"/>
    <w:rsid w:val="008817A9"/>
    <w:rsid w:val="00884901"/>
    <w:rsid w:val="00892F58"/>
    <w:rsid w:val="0091634E"/>
    <w:rsid w:val="00952B4D"/>
    <w:rsid w:val="00954853"/>
    <w:rsid w:val="009F06B7"/>
    <w:rsid w:val="00A3675C"/>
    <w:rsid w:val="00A72C58"/>
    <w:rsid w:val="00A94D2C"/>
    <w:rsid w:val="00AF15D3"/>
    <w:rsid w:val="00BB689A"/>
    <w:rsid w:val="00C44335"/>
    <w:rsid w:val="00CE5617"/>
    <w:rsid w:val="00CF33CA"/>
    <w:rsid w:val="00CF7088"/>
    <w:rsid w:val="00D030A5"/>
    <w:rsid w:val="00D232F8"/>
    <w:rsid w:val="00D46E0B"/>
    <w:rsid w:val="00D65100"/>
    <w:rsid w:val="00DE4C28"/>
    <w:rsid w:val="00DF2DB6"/>
    <w:rsid w:val="00E75EED"/>
    <w:rsid w:val="00E97C7E"/>
    <w:rsid w:val="00EC0FC7"/>
    <w:rsid w:val="00EF5063"/>
    <w:rsid w:val="00FC01E1"/>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90A4E"/>
  <w14:defaultImageDpi w14:val="32767"/>
  <w15:chartTrackingRefBased/>
  <w15:docId w15:val="{D6170DB4-3920-46BE-AA11-AA87DB0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01"/>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4901"/>
    <w:pPr>
      <w:tabs>
        <w:tab w:val="center" w:pos="4986"/>
        <w:tab w:val="right" w:pos="9972"/>
      </w:tabs>
    </w:pPr>
  </w:style>
  <w:style w:type="character" w:customStyle="1" w:styleId="HeaderChar">
    <w:name w:val="Header Char"/>
    <w:basedOn w:val="DefaultParagraphFont"/>
    <w:link w:val="Header"/>
    <w:rsid w:val="00884901"/>
    <w:rPr>
      <w:rFonts w:ascii="Times New Roman" w:eastAsia="Times New Roman" w:hAnsi="Times New Roman" w:cs="Times New Roman"/>
      <w:lang w:val="lt-LT"/>
    </w:rPr>
  </w:style>
  <w:style w:type="paragraph" w:styleId="Footer">
    <w:name w:val="footer"/>
    <w:basedOn w:val="Normal"/>
    <w:link w:val="FooterChar"/>
    <w:rsid w:val="00884901"/>
    <w:pPr>
      <w:tabs>
        <w:tab w:val="center" w:pos="4986"/>
        <w:tab w:val="right" w:pos="9972"/>
      </w:tabs>
    </w:pPr>
  </w:style>
  <w:style w:type="character" w:customStyle="1" w:styleId="FooterChar">
    <w:name w:val="Footer Char"/>
    <w:basedOn w:val="DefaultParagraphFont"/>
    <w:link w:val="Footer"/>
    <w:rsid w:val="00884901"/>
    <w:rPr>
      <w:rFonts w:ascii="Times New Roman" w:eastAsia="Times New Roman" w:hAnsi="Times New Roman" w:cs="Times New Roman"/>
      <w:lang w:val="lt-LT"/>
    </w:rPr>
  </w:style>
  <w:style w:type="character" w:styleId="PageNumber">
    <w:name w:val="page number"/>
    <w:basedOn w:val="DefaultParagraphFont"/>
    <w:rsid w:val="00884901"/>
  </w:style>
  <w:style w:type="table" w:styleId="TableGrid">
    <w:name w:val="Table Grid"/>
    <w:basedOn w:val="TableNormal"/>
    <w:rsid w:val="0088490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
    <w:basedOn w:val="Normal"/>
    <w:link w:val="ListParagraphChar"/>
    <w:uiPriority w:val="34"/>
    <w:qFormat/>
    <w:rsid w:val="00884901"/>
    <w:pPr>
      <w:ind w:left="720"/>
      <w:contextualSpacing/>
    </w:pPr>
  </w:style>
  <w:style w:type="character" w:customStyle="1" w:styleId="Style2">
    <w:name w:val="Style2"/>
    <w:basedOn w:val="DefaultParagraphFont"/>
    <w:uiPriority w:val="1"/>
    <w:rsid w:val="00884901"/>
    <w:rPr>
      <w:sz w:val="32"/>
    </w:rPr>
  </w:style>
  <w:style w:type="character" w:styleId="PlaceholderText">
    <w:name w:val="Placeholder Text"/>
    <w:basedOn w:val="DefaultParagraphFont"/>
    <w:uiPriority w:val="99"/>
    <w:rsid w:val="00884901"/>
    <w:rPr>
      <w:color w:val="808080"/>
    </w:rPr>
  </w:style>
  <w:style w:type="paragraph" w:styleId="NoSpacing">
    <w:name w:val="No Spacing"/>
    <w:uiPriority w:val="1"/>
    <w:qFormat/>
    <w:rsid w:val="00884901"/>
    <w:rPr>
      <w:rFonts w:ascii="Calibri" w:eastAsia="Calibri" w:hAnsi="Calibri" w:cs="Times New Roman"/>
      <w:sz w:val="22"/>
      <w:szCs w:val="22"/>
      <w:lang w:val="lt-LT"/>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884901"/>
    <w:rPr>
      <w:rFonts w:ascii="Times New Roman" w:eastAsia="Times New Roman" w:hAnsi="Times New Roman" w:cs="Times New Roman"/>
      <w:lang w:val="lt-LT"/>
    </w:rPr>
  </w:style>
  <w:style w:type="character" w:customStyle="1" w:styleId="ui-provider">
    <w:name w:val="ui-provider"/>
    <w:basedOn w:val="DefaultParagraphFont"/>
    <w:rsid w:val="00884901"/>
  </w:style>
  <w:style w:type="paragraph" w:customStyle="1" w:styleId="TableParagraph">
    <w:name w:val="Table Paragraph"/>
    <w:basedOn w:val="Normal"/>
    <w:uiPriority w:val="1"/>
    <w:qFormat/>
    <w:rsid w:val="00884901"/>
    <w:pPr>
      <w:widowControl w:val="0"/>
      <w:autoSpaceDE w:val="0"/>
      <w:autoSpaceDN w:val="0"/>
      <w:ind w:left="107"/>
    </w:pPr>
    <w:rPr>
      <w:sz w:val="22"/>
      <w:szCs w:val="22"/>
      <w:lang w:val="en-GB" w:eastAsia="en-GB" w:bidi="en-GB"/>
    </w:rPr>
  </w:style>
  <w:style w:type="paragraph" w:customStyle="1" w:styleId="Default">
    <w:name w:val="Default"/>
    <w:rsid w:val="00884901"/>
    <w:pPr>
      <w:autoSpaceDE w:val="0"/>
      <w:autoSpaceDN w:val="0"/>
      <w:adjustRightInd w:val="0"/>
    </w:pPr>
    <w:rPr>
      <w:rFonts w:ascii="Times New Roman" w:eastAsia="Times New Roman" w:hAnsi="Times New Roman" w:cs="Times New Roman"/>
      <w:color w:val="000000"/>
      <w:lang w:val="lt-LT"/>
    </w:rPr>
  </w:style>
  <w:style w:type="paragraph" w:styleId="BodyText">
    <w:name w:val="Body Text"/>
    <w:basedOn w:val="Normal"/>
    <w:link w:val="BodyTextChar"/>
    <w:uiPriority w:val="1"/>
    <w:unhideWhenUsed/>
    <w:qFormat/>
    <w:rsid w:val="00884901"/>
    <w:pPr>
      <w:spacing w:after="120"/>
    </w:pPr>
    <w:rPr>
      <w:szCs w:val="20"/>
    </w:rPr>
  </w:style>
  <w:style w:type="character" w:customStyle="1" w:styleId="BodyTextChar">
    <w:name w:val="Body Text Char"/>
    <w:basedOn w:val="DefaultParagraphFont"/>
    <w:link w:val="BodyText"/>
    <w:uiPriority w:val="1"/>
    <w:rsid w:val="00884901"/>
    <w:rPr>
      <w:rFonts w:ascii="Times New Roman" w:eastAsia="Times New Roman" w:hAnsi="Times New Roman" w:cs="Times New Roman"/>
      <w:szCs w:val="20"/>
      <w:lang w:val="lt-LT"/>
    </w:rPr>
  </w:style>
  <w:style w:type="paragraph" w:styleId="BalloonText">
    <w:name w:val="Balloon Text"/>
    <w:basedOn w:val="Normal"/>
    <w:link w:val="BalloonTextChar"/>
    <w:semiHidden/>
    <w:unhideWhenUsed/>
    <w:rsid w:val="00884901"/>
    <w:rPr>
      <w:rFonts w:ascii="Segoe UI" w:hAnsi="Segoe UI" w:cs="Segoe UI"/>
      <w:sz w:val="18"/>
      <w:szCs w:val="18"/>
    </w:rPr>
  </w:style>
  <w:style w:type="character" w:customStyle="1" w:styleId="BalloonTextChar">
    <w:name w:val="Balloon Text Char"/>
    <w:basedOn w:val="DefaultParagraphFont"/>
    <w:link w:val="BalloonText"/>
    <w:semiHidden/>
    <w:rsid w:val="00884901"/>
    <w:rPr>
      <w:rFonts w:ascii="Segoe UI" w:eastAsia="Times New Roman" w:hAnsi="Segoe UI" w:cs="Segoe UI"/>
      <w:sz w:val="18"/>
      <w:szCs w:val="18"/>
      <w:lang w:val="lt-LT"/>
    </w:rPr>
  </w:style>
  <w:style w:type="paragraph" w:customStyle="1" w:styleId="0TEXT">
    <w:name w:val="0: TEXT"/>
    <w:basedOn w:val="Normal"/>
    <w:link w:val="0TEXTChar"/>
    <w:qFormat/>
    <w:rsid w:val="00884901"/>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884901"/>
    <w:rPr>
      <w:rFonts w:ascii="Times New Roman" w:hAnsi="Times New Roman" w:cs="Times New Roman"/>
      <w:bCs/>
      <w:color w:val="000000"/>
    </w:rPr>
  </w:style>
  <w:style w:type="paragraph" w:styleId="CommentText">
    <w:name w:val="annotation text"/>
    <w:basedOn w:val="Normal"/>
    <w:link w:val="CommentTextChar"/>
    <w:uiPriority w:val="99"/>
    <w:unhideWhenUsed/>
    <w:rsid w:val="00BB689A"/>
    <w:rPr>
      <w:sz w:val="20"/>
      <w:szCs w:val="20"/>
    </w:rPr>
  </w:style>
  <w:style w:type="character" w:customStyle="1" w:styleId="CommentTextChar">
    <w:name w:val="Comment Text Char"/>
    <w:basedOn w:val="DefaultParagraphFont"/>
    <w:link w:val="CommentText"/>
    <w:uiPriority w:val="99"/>
    <w:rsid w:val="00BB689A"/>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BB689A"/>
    <w:rPr>
      <w:sz w:val="16"/>
      <w:szCs w:val="16"/>
    </w:rPr>
  </w:style>
  <w:style w:type="paragraph" w:styleId="Revision">
    <w:name w:val="Revision"/>
    <w:hidden/>
    <w:uiPriority w:val="99"/>
    <w:semiHidden/>
    <w:rsid w:val="008817A9"/>
    <w:rPr>
      <w:rFonts w:ascii="Times New Roman" w:eastAsia="Times New Roman" w:hAnsi="Times New Roman" w:cs="Times New Roman"/>
      <w:lang w:val="lt-LT"/>
    </w:rPr>
  </w:style>
  <w:style w:type="paragraph" w:styleId="CommentSubject">
    <w:name w:val="annotation subject"/>
    <w:basedOn w:val="CommentText"/>
    <w:next w:val="CommentText"/>
    <w:link w:val="CommentSubjectChar"/>
    <w:uiPriority w:val="99"/>
    <w:semiHidden/>
    <w:unhideWhenUsed/>
    <w:rsid w:val="00E97C7E"/>
    <w:rPr>
      <w:b/>
      <w:bCs/>
    </w:rPr>
  </w:style>
  <w:style w:type="character" w:customStyle="1" w:styleId="CommentSubjectChar">
    <w:name w:val="Comment Subject Char"/>
    <w:basedOn w:val="CommentTextChar"/>
    <w:link w:val="CommentSubject"/>
    <w:uiPriority w:val="99"/>
    <w:semiHidden/>
    <w:rsid w:val="00E97C7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4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CF7F05EAF4DE43A295B0EE4BC38DCC"/>
        <w:category>
          <w:name w:val="General"/>
          <w:gallery w:val="placeholder"/>
        </w:category>
        <w:types>
          <w:type w:val="bbPlcHdr"/>
        </w:types>
        <w:behaviors>
          <w:behavior w:val="content"/>
        </w:behaviors>
        <w:guid w:val="{F93D3771-2762-1B4C-8EC5-80AA4AACB129}"/>
      </w:docPartPr>
      <w:docPartBody>
        <w:p w:rsidR="00032CAA" w:rsidRDefault="003B5E37" w:rsidP="003B5E37">
          <w:pPr>
            <w:pStyle w:val="A6CF7F05EAF4DE43A295B0EE4BC38DCC"/>
          </w:pPr>
          <w:r>
            <w:rPr>
              <w:rStyle w:val="PlaceholderText"/>
            </w:rPr>
            <w:t>Click here to enter a date.</w:t>
          </w:r>
        </w:p>
      </w:docPartBody>
    </w:docPart>
    <w:docPart>
      <w:docPartPr>
        <w:name w:val="1A6BCFF065BC434094F36C70C1090DCE"/>
        <w:category>
          <w:name w:val="General"/>
          <w:gallery w:val="placeholder"/>
        </w:category>
        <w:types>
          <w:type w:val="bbPlcHdr"/>
        </w:types>
        <w:behaviors>
          <w:behavior w:val="content"/>
        </w:behaviors>
        <w:guid w:val="{F5A40DCB-9C26-D743-A4FB-8F78CEF26ACA}"/>
      </w:docPartPr>
      <w:docPartBody>
        <w:p w:rsidR="00032CAA" w:rsidRDefault="003B5E37" w:rsidP="003B5E37">
          <w:pPr>
            <w:pStyle w:val="1A6BCFF065BC434094F36C70C1090DCE"/>
          </w:pPr>
          <w:r>
            <w:rPr>
              <w:rStyle w:val="PlaceholderText"/>
            </w:rPr>
            <w:t>Click here to enter a date.</w:t>
          </w:r>
        </w:p>
      </w:docPartBody>
    </w:docPart>
    <w:docPart>
      <w:docPartPr>
        <w:name w:val="8299414F4451C74F9711934829B39EE4"/>
        <w:category>
          <w:name w:val="General"/>
          <w:gallery w:val="placeholder"/>
        </w:category>
        <w:types>
          <w:type w:val="bbPlcHdr"/>
        </w:types>
        <w:behaviors>
          <w:behavior w:val="content"/>
        </w:behaviors>
        <w:guid w:val="{3D3FFAD6-D7F8-D645-90E6-BD7D197D7809}"/>
      </w:docPartPr>
      <w:docPartBody>
        <w:p w:rsidR="00032CAA" w:rsidRDefault="003B5E37" w:rsidP="003B5E37">
          <w:pPr>
            <w:pStyle w:val="8299414F4451C74F9711934829B39EE4"/>
          </w:pPr>
          <w:r>
            <w:rPr>
              <w:rStyle w:val="PlaceholderText"/>
            </w:rPr>
            <w:t>Click here to enter a date.</w:t>
          </w:r>
        </w:p>
      </w:docPartBody>
    </w:docPart>
    <w:docPart>
      <w:docPartPr>
        <w:name w:val="C3AF490F86E97A4AAD696EB1E72D86DE"/>
        <w:category>
          <w:name w:val="General"/>
          <w:gallery w:val="placeholder"/>
        </w:category>
        <w:types>
          <w:type w:val="bbPlcHdr"/>
        </w:types>
        <w:behaviors>
          <w:behavior w:val="content"/>
        </w:behaviors>
        <w:guid w:val="{BFB654B5-DC43-5846-B78B-0C2B461F5AEB}"/>
      </w:docPartPr>
      <w:docPartBody>
        <w:p w:rsidR="00032CAA" w:rsidRDefault="003B5E37" w:rsidP="003B5E37">
          <w:pPr>
            <w:pStyle w:val="C3AF490F86E97A4AAD696EB1E72D86D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37"/>
    <w:rsid w:val="00032CAA"/>
    <w:rsid w:val="002B75A6"/>
    <w:rsid w:val="00355C5A"/>
    <w:rsid w:val="003B5E37"/>
    <w:rsid w:val="00525A98"/>
    <w:rsid w:val="00735A96"/>
    <w:rsid w:val="00815A6A"/>
    <w:rsid w:val="00952B4D"/>
    <w:rsid w:val="00A022DE"/>
    <w:rsid w:val="00B66E16"/>
    <w:rsid w:val="00C632CD"/>
    <w:rsid w:val="00CA61F1"/>
    <w:rsid w:val="00C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5E37"/>
    <w:rPr>
      <w:color w:val="808080"/>
    </w:rPr>
  </w:style>
  <w:style w:type="paragraph" w:customStyle="1" w:styleId="A6CF7F05EAF4DE43A295B0EE4BC38DCC">
    <w:name w:val="A6CF7F05EAF4DE43A295B0EE4BC38DCC"/>
    <w:rsid w:val="003B5E37"/>
  </w:style>
  <w:style w:type="paragraph" w:customStyle="1" w:styleId="1A6BCFF065BC434094F36C70C1090DCE">
    <w:name w:val="1A6BCFF065BC434094F36C70C1090DCE"/>
    <w:rsid w:val="003B5E37"/>
  </w:style>
  <w:style w:type="paragraph" w:customStyle="1" w:styleId="8299414F4451C74F9711934829B39EE4">
    <w:name w:val="8299414F4451C74F9711934829B39EE4"/>
    <w:rsid w:val="003B5E37"/>
  </w:style>
  <w:style w:type="paragraph" w:customStyle="1" w:styleId="C3AF490F86E97A4AAD696EB1E72D86DE">
    <w:name w:val="C3AF490F86E97A4AAD696EB1E72D86DE"/>
    <w:rsid w:val="003B5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2421</Words>
  <Characters>13802</Characters>
  <Application>Microsoft Office Word</Application>
  <DocSecurity>0</DocSecurity>
  <Lines>115</Lines>
  <Paragraphs>32</Paragraphs>
  <ScaleCrop>false</ScaleCrop>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Armindas Varkala</cp:lastModifiedBy>
  <cp:revision>3</cp:revision>
  <dcterms:created xsi:type="dcterms:W3CDTF">2024-10-15T06:56:00Z</dcterms:created>
  <dcterms:modified xsi:type="dcterms:W3CDTF">2024-10-24T05:23:00Z</dcterms:modified>
</cp:coreProperties>
</file>