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2E4A8E79" w14:textId="2B669F8B" w:rsidR="00B4630F" w:rsidRPr="00D05364" w:rsidRDefault="00B4630F" w:rsidP="00B4630F">
      <w:pPr>
        <w:jc w:val="center"/>
        <w:rPr>
          <w:b/>
        </w:rPr>
      </w:pPr>
      <w:r>
        <w:rPr>
          <w:b/>
        </w:rPr>
        <w:t xml:space="preserve">Vabysmo </w:t>
      </w:r>
      <w:r w:rsidRPr="00A57EB1">
        <w:rPr>
          <w:b/>
        </w:rPr>
        <w:t>120 mg/ml 0,24ml</w:t>
      </w:r>
      <w:r>
        <w:rPr>
          <w:b/>
        </w:rPr>
        <w:t xml:space="preserve"> </w:t>
      </w:r>
      <w:r w:rsidRPr="00A57EB1">
        <w:rPr>
          <w:b/>
        </w:rPr>
        <w:t>injekcinis tirpalas</w:t>
      </w:r>
    </w:p>
    <w:p w14:paraId="46C2D966" w14:textId="77777777" w:rsidR="00937907" w:rsidRPr="000203E1" w:rsidRDefault="00937907" w:rsidP="00937907">
      <w:pPr>
        <w:jc w:val="center"/>
      </w:pPr>
    </w:p>
    <w:p w14:paraId="08647554" w14:textId="77777777" w:rsidR="00B4630F" w:rsidRPr="00FF13F4" w:rsidRDefault="00B4630F" w:rsidP="00B4630F">
      <w:pPr>
        <w:jc w:val="center"/>
        <w:rPr>
          <w:b/>
          <w:bCs/>
        </w:rPr>
      </w:pPr>
      <w:r w:rsidRPr="00FF13F4">
        <w:rPr>
          <w:b/>
          <w:bCs/>
        </w:rPr>
        <w:t>Faricimabas</w:t>
      </w:r>
    </w:p>
    <w:p w14:paraId="7245D69E" w14:textId="77777777" w:rsidR="00937907" w:rsidRPr="000203E1" w:rsidRDefault="00937907" w:rsidP="00937907">
      <w:pPr>
        <w:jc w:val="center"/>
      </w:pPr>
    </w:p>
    <w:p w14:paraId="74B322DB" w14:textId="77777777" w:rsidR="00B4630F" w:rsidRPr="00D05364" w:rsidRDefault="00B4630F" w:rsidP="00B4630F">
      <w:pPr>
        <w:jc w:val="center"/>
        <w:rPr>
          <w:b/>
        </w:rPr>
      </w:pPr>
      <w:r w:rsidRPr="00D05364">
        <w:rPr>
          <w:b/>
        </w:rPr>
        <w:t>Paraiškos numeris</w:t>
      </w:r>
      <w:r>
        <w:rPr>
          <w:b/>
        </w:rPr>
        <w:t xml:space="preserve"> STV-165</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1A154A" w:rsidRPr="000203E1" w14:paraId="18A83EC2" w14:textId="77777777" w:rsidTr="00BE7489">
        <w:trPr>
          <w:trHeight w:val="538"/>
        </w:trPr>
        <w:tc>
          <w:tcPr>
            <w:tcW w:w="632" w:type="dxa"/>
          </w:tcPr>
          <w:p w14:paraId="0646FBEA" w14:textId="77777777" w:rsidR="001A154A" w:rsidRPr="000203E1" w:rsidRDefault="001A154A" w:rsidP="001A154A">
            <w:pPr>
              <w:rPr>
                <w:rFonts w:eastAsia="Arial"/>
              </w:rPr>
            </w:pPr>
            <w:r w:rsidRPr="000203E1">
              <w:rPr>
                <w:rFonts w:eastAsia="Arial"/>
              </w:rPr>
              <w:t>1.1</w:t>
            </w:r>
          </w:p>
        </w:tc>
        <w:tc>
          <w:tcPr>
            <w:tcW w:w="3694" w:type="dxa"/>
          </w:tcPr>
          <w:p w14:paraId="6C3AE864" w14:textId="77777777" w:rsidR="001A154A" w:rsidRPr="000203E1" w:rsidRDefault="001A154A" w:rsidP="001A154A">
            <w:pPr>
              <w:rPr>
                <w:rFonts w:eastAsia="Arial"/>
              </w:rPr>
            </w:pPr>
            <w:r w:rsidRPr="000203E1">
              <w:rPr>
                <w:rFonts w:eastAsia="Arial"/>
              </w:rPr>
              <w:t>Pareiškėjas</w:t>
            </w:r>
          </w:p>
          <w:p w14:paraId="2AF240DC" w14:textId="77777777" w:rsidR="001A154A" w:rsidRPr="000203E1" w:rsidRDefault="001A154A" w:rsidP="001A154A">
            <w:pPr>
              <w:rPr>
                <w:rFonts w:eastAsia="Arial"/>
              </w:rPr>
            </w:pPr>
          </w:p>
        </w:tc>
        <w:tc>
          <w:tcPr>
            <w:tcW w:w="5167" w:type="dxa"/>
          </w:tcPr>
          <w:p w14:paraId="2AAF0D91" w14:textId="567BC591" w:rsidR="001A154A" w:rsidRPr="000203E1" w:rsidRDefault="001A154A" w:rsidP="001A154A">
            <w:pPr>
              <w:rPr>
                <w:rFonts w:eastAsia="Arial"/>
              </w:rPr>
            </w:pPr>
            <w:r w:rsidRPr="00C37E52">
              <w:t>UAB „Roche Lietuva ”</w:t>
            </w:r>
          </w:p>
        </w:tc>
      </w:tr>
      <w:tr w:rsidR="001A154A" w:rsidRPr="000203E1" w14:paraId="31998B0D" w14:textId="77777777" w:rsidTr="00BE7489">
        <w:trPr>
          <w:trHeight w:val="538"/>
        </w:trPr>
        <w:tc>
          <w:tcPr>
            <w:tcW w:w="632" w:type="dxa"/>
          </w:tcPr>
          <w:p w14:paraId="2005EC67" w14:textId="662300D0" w:rsidR="001A154A" w:rsidRPr="000203E1" w:rsidRDefault="001A154A" w:rsidP="001A154A">
            <w:pPr>
              <w:rPr>
                <w:rFonts w:eastAsia="Arial"/>
              </w:rPr>
            </w:pPr>
            <w:r w:rsidRPr="000203E1">
              <w:rPr>
                <w:rFonts w:eastAsia="Arial"/>
              </w:rPr>
              <w:t>1.2</w:t>
            </w:r>
          </w:p>
        </w:tc>
        <w:tc>
          <w:tcPr>
            <w:tcW w:w="3694" w:type="dxa"/>
          </w:tcPr>
          <w:p w14:paraId="1E4AE3B1" w14:textId="77777777" w:rsidR="001A154A" w:rsidRPr="000203E1" w:rsidRDefault="001A154A" w:rsidP="001A154A">
            <w:pPr>
              <w:rPr>
                <w:bCs/>
                <w:lang w:eastAsia="lt-LT"/>
              </w:rPr>
            </w:pPr>
            <w:r w:rsidRPr="000203E1">
              <w:rPr>
                <w:bCs/>
                <w:lang w:eastAsia="lt-LT"/>
              </w:rPr>
              <w:t xml:space="preserve">Registracijos data </w:t>
            </w:r>
          </w:p>
          <w:p w14:paraId="3A0DC096" w14:textId="77777777" w:rsidR="001A154A" w:rsidRPr="000203E1" w:rsidRDefault="001A154A" w:rsidP="001A154A">
            <w:pPr>
              <w:rPr>
                <w:bCs/>
                <w:lang w:eastAsia="lt-LT"/>
              </w:rPr>
            </w:pPr>
          </w:p>
        </w:tc>
        <w:tc>
          <w:tcPr>
            <w:tcW w:w="5167" w:type="dxa"/>
          </w:tcPr>
          <w:p w14:paraId="3CA218AD" w14:textId="5244F3A5" w:rsidR="001A154A" w:rsidRPr="007C6AF4" w:rsidRDefault="00000000" w:rsidP="001A154A">
            <w:pPr>
              <w:rPr>
                <w:rStyle w:val="Style2"/>
                <w:sz w:val="24"/>
              </w:rPr>
            </w:pPr>
            <w:sdt>
              <w:sdtPr>
                <w:rPr>
                  <w:sz w:val="32"/>
                </w:rPr>
                <w:alias w:val="Nurodykite konkrečią dieną"/>
                <w:tag w:val="Nurodykite pradžios datą"/>
                <w:id w:val="423238108"/>
                <w:placeholder>
                  <w:docPart w:val="868F5D2BE2B6476C9C687053D1286EC7"/>
                </w:placeholder>
                <w15:color w:val="FFCC99"/>
                <w:date w:fullDate="2022-09-15T00:00:00Z">
                  <w:dateFormat w:val="yyyy 'm.' MMMM d 'd.'"/>
                  <w:lid w:val="lt-LT"/>
                  <w:storeMappedDataAs w:val="dateTime"/>
                  <w:calendar w:val="gregorian"/>
                </w:date>
              </w:sdtPr>
              <w:sdtEndPr>
                <w:rPr>
                  <w:sz w:val="24"/>
                </w:rPr>
              </w:sdtEndPr>
              <w:sdtContent>
                <w:r w:rsidR="001A154A" w:rsidRPr="007C6AF4">
                  <w:t>2022 m. rugsėjo 15 d.</w:t>
                </w:r>
              </w:sdtContent>
            </w:sdt>
          </w:p>
        </w:tc>
      </w:tr>
      <w:tr w:rsidR="001A154A" w:rsidRPr="000203E1" w14:paraId="15968AE1" w14:textId="77777777" w:rsidTr="00BE7489">
        <w:trPr>
          <w:trHeight w:val="1500"/>
        </w:trPr>
        <w:tc>
          <w:tcPr>
            <w:tcW w:w="632" w:type="dxa"/>
          </w:tcPr>
          <w:p w14:paraId="6A784245" w14:textId="1E461489" w:rsidR="001A154A" w:rsidRPr="000203E1" w:rsidRDefault="001A154A" w:rsidP="001A154A">
            <w:pPr>
              <w:rPr>
                <w:rFonts w:eastAsia="Arial"/>
              </w:rPr>
            </w:pPr>
            <w:r w:rsidRPr="000203E1">
              <w:rPr>
                <w:rFonts w:eastAsia="Arial"/>
              </w:rPr>
              <w:t>1.3</w:t>
            </w:r>
          </w:p>
        </w:tc>
        <w:tc>
          <w:tcPr>
            <w:tcW w:w="3694" w:type="dxa"/>
          </w:tcPr>
          <w:p w14:paraId="22933506" w14:textId="77777777" w:rsidR="001A154A" w:rsidRPr="000203E1" w:rsidRDefault="001A154A" w:rsidP="001A154A">
            <w:r w:rsidRPr="000203E1">
              <w:t xml:space="preserve">Paraiškos tipas </w:t>
            </w:r>
          </w:p>
          <w:p w14:paraId="0465E680" w14:textId="7F0A0714" w:rsidR="001A154A" w:rsidRPr="000203E1" w:rsidRDefault="001A154A" w:rsidP="001A154A">
            <w:r w:rsidRPr="000203E1">
              <w:t xml:space="preserve">(pagal </w:t>
            </w:r>
            <w:r w:rsidRPr="000203E1">
              <w:rPr>
                <w:shd w:val="clear" w:color="auto" w:fill="FFFFFF"/>
              </w:rPr>
              <w:t>vaistinio preparato registracijos tipą, įtvirtintą</w:t>
            </w:r>
            <w:r w:rsidRPr="000203E1">
              <w:t xml:space="preserve"> Direktyvos 2001/83/EB straipsiuose)</w:t>
            </w:r>
          </w:p>
          <w:p w14:paraId="77089D80" w14:textId="6681D72A" w:rsidR="001A154A" w:rsidRPr="000203E1" w:rsidRDefault="001A154A" w:rsidP="001A154A">
            <w:pPr>
              <w:rPr>
                <w:bCs/>
                <w:lang w:eastAsia="lt-LT"/>
              </w:rPr>
            </w:pPr>
          </w:p>
        </w:tc>
        <w:tc>
          <w:tcPr>
            <w:tcW w:w="5167" w:type="dxa"/>
          </w:tcPr>
          <w:p w14:paraId="208F40EC" w14:textId="37E9424D" w:rsidR="001A154A" w:rsidRPr="000203E1" w:rsidRDefault="00000000" w:rsidP="001A154A">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1A154A">
                  <w:rPr>
                    <w:rStyle w:val="Style2"/>
                    <w:rFonts w:ascii="MS Gothic" w:eastAsia="MS Gothic" w:hAnsi="MS Gothic" w:hint="eastAsia"/>
                    <w:sz w:val="22"/>
                    <w:szCs w:val="22"/>
                  </w:rPr>
                  <w:t>☒</w:t>
                </w:r>
              </w:sdtContent>
            </w:sdt>
            <w:r w:rsidR="001A154A" w:rsidRPr="000203E1">
              <w:rPr>
                <w:sz w:val="22"/>
                <w:szCs w:val="22"/>
              </w:rPr>
              <w:t xml:space="preserve">8.3 str. (pilna byla, pagrįsta savais tyrimais) </w:t>
            </w:r>
          </w:p>
          <w:p w14:paraId="32BA564E" w14:textId="3FDA3E01" w:rsidR="001A154A" w:rsidRPr="000203E1" w:rsidRDefault="00000000" w:rsidP="001A154A">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1A154A" w:rsidRPr="000203E1">
                  <w:rPr>
                    <w:rStyle w:val="Style2"/>
                    <w:rFonts w:ascii="Segoe UI Symbol" w:eastAsia="MS Gothic" w:hAnsi="Segoe UI Symbol" w:cs="Segoe UI Symbol"/>
                    <w:sz w:val="22"/>
                    <w:szCs w:val="22"/>
                  </w:rPr>
                  <w:t>☐</w:t>
                </w:r>
              </w:sdtContent>
            </w:sdt>
            <w:r w:rsidR="001A154A" w:rsidRPr="000203E1">
              <w:rPr>
                <w:sz w:val="22"/>
                <w:szCs w:val="22"/>
              </w:rPr>
              <w:t xml:space="preserve">10 a str. (pripažintas medicininis vartojimas) </w:t>
            </w:r>
          </w:p>
          <w:p w14:paraId="318DCD7F" w14:textId="32333E53" w:rsidR="001A154A" w:rsidRPr="000203E1" w:rsidRDefault="00000000" w:rsidP="001A154A">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1A154A" w:rsidRPr="000203E1">
                  <w:rPr>
                    <w:rStyle w:val="Style2"/>
                    <w:rFonts w:ascii="Segoe UI Symbol" w:eastAsia="MS Gothic" w:hAnsi="Segoe UI Symbol" w:cs="Segoe UI Symbol"/>
                    <w:sz w:val="22"/>
                    <w:szCs w:val="22"/>
                  </w:rPr>
                  <w:t>☐</w:t>
                </w:r>
              </w:sdtContent>
            </w:sdt>
            <w:r w:rsidR="001A154A" w:rsidRPr="000203E1">
              <w:rPr>
                <w:sz w:val="22"/>
                <w:szCs w:val="22"/>
              </w:rPr>
              <w:t>10.1 str. (generinis)</w:t>
            </w:r>
          </w:p>
          <w:p w14:paraId="3B0A4F72" w14:textId="3F5FB073" w:rsidR="001A154A" w:rsidRPr="000203E1" w:rsidRDefault="00000000" w:rsidP="001A154A">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1A154A" w:rsidRPr="000203E1">
                  <w:rPr>
                    <w:rStyle w:val="Style2"/>
                    <w:rFonts w:ascii="Segoe UI Symbol" w:eastAsia="MS Gothic" w:hAnsi="Segoe UI Symbol" w:cs="Segoe UI Symbol"/>
                    <w:sz w:val="22"/>
                    <w:szCs w:val="22"/>
                  </w:rPr>
                  <w:t>☐</w:t>
                </w:r>
              </w:sdtContent>
            </w:sdt>
            <w:r w:rsidR="001A154A" w:rsidRPr="000203E1">
              <w:rPr>
                <w:sz w:val="22"/>
                <w:szCs w:val="22"/>
              </w:rPr>
              <w:t>10.3 str. (hibridinis)</w:t>
            </w:r>
          </w:p>
        </w:tc>
      </w:tr>
      <w:tr w:rsidR="001A154A" w:rsidRPr="000203E1" w14:paraId="310E9662" w14:textId="77777777" w:rsidTr="00BE7489">
        <w:trPr>
          <w:trHeight w:val="1442"/>
        </w:trPr>
        <w:tc>
          <w:tcPr>
            <w:tcW w:w="632" w:type="dxa"/>
          </w:tcPr>
          <w:p w14:paraId="4B5A91A2" w14:textId="561B5E5F" w:rsidR="001A154A" w:rsidRPr="000203E1" w:rsidRDefault="001A154A" w:rsidP="001A154A">
            <w:pPr>
              <w:rPr>
                <w:rFonts w:eastAsia="Arial"/>
              </w:rPr>
            </w:pPr>
            <w:r w:rsidRPr="000203E1">
              <w:rPr>
                <w:rFonts w:eastAsia="Arial"/>
              </w:rPr>
              <w:t>1.4</w:t>
            </w:r>
          </w:p>
        </w:tc>
        <w:tc>
          <w:tcPr>
            <w:tcW w:w="3694" w:type="dxa"/>
          </w:tcPr>
          <w:p w14:paraId="6C91E105" w14:textId="77777777" w:rsidR="001A154A" w:rsidRPr="000203E1" w:rsidRDefault="001A154A" w:rsidP="001A154A">
            <w:pPr>
              <w:rPr>
                <w:bCs/>
                <w:lang w:eastAsia="lt-LT"/>
              </w:rPr>
            </w:pPr>
            <w:r w:rsidRPr="000203E1">
              <w:rPr>
                <w:bCs/>
                <w:lang w:eastAsia="lt-LT"/>
              </w:rPr>
              <w:t xml:space="preserve">Ar vaistinis preparatas įrašytas į Bendrijos retųjų vaistinių preparatų registrą? </w:t>
            </w:r>
          </w:p>
          <w:p w14:paraId="33726F9C" w14:textId="77777777" w:rsidR="001A154A" w:rsidRPr="000203E1" w:rsidRDefault="001A154A" w:rsidP="001A154A">
            <w:pPr>
              <w:rPr>
                <w:bCs/>
                <w:i/>
                <w:lang w:eastAsia="lt-LT"/>
              </w:rPr>
            </w:pPr>
          </w:p>
          <w:p w14:paraId="483071A3" w14:textId="0F633FFC" w:rsidR="001A154A" w:rsidRPr="000203E1" w:rsidRDefault="001A154A" w:rsidP="001A154A">
            <w:pPr>
              <w:rPr>
                <w:bCs/>
                <w:lang w:eastAsia="lt-LT"/>
              </w:rPr>
            </w:pPr>
            <w:r w:rsidRPr="000203E1">
              <w:rPr>
                <w:bCs/>
                <w:i/>
                <w:sz w:val="20"/>
                <w:lang w:eastAsia="lt-LT"/>
              </w:rPr>
              <w:t>Jei taip, nurodykite įrašymo datą ir numerį</w:t>
            </w:r>
          </w:p>
        </w:tc>
        <w:tc>
          <w:tcPr>
            <w:tcW w:w="5167" w:type="dxa"/>
          </w:tcPr>
          <w:p w14:paraId="05845C60" w14:textId="10CF4033" w:rsidR="001A154A" w:rsidRPr="000203E1" w:rsidRDefault="00000000" w:rsidP="001A154A">
            <w:sdt>
              <w:sdtPr>
                <w:rPr>
                  <w:rStyle w:val="Style2"/>
                  <w:sz w:val="24"/>
                </w:rPr>
                <w:id w:val="2024432173"/>
                <w15:color w:val="FFCC00"/>
                <w14:checkbox>
                  <w14:checked w14:val="0"/>
                  <w14:checkedState w14:val="2612" w14:font="MS Gothic"/>
                  <w14:uncheckedState w14:val="2610" w14:font="MS Gothic"/>
                </w14:checkbox>
              </w:sdtPr>
              <w:sdtContent>
                <w:r w:rsidR="001A154A" w:rsidRPr="000203E1">
                  <w:rPr>
                    <w:rStyle w:val="Style2"/>
                    <w:rFonts w:ascii="MS Gothic" w:eastAsia="MS Gothic" w:hAnsi="MS Gothic" w:hint="eastAsia"/>
                    <w:sz w:val="24"/>
                  </w:rPr>
                  <w:t>☐</w:t>
                </w:r>
              </w:sdtContent>
            </w:sdt>
            <w:r w:rsidR="001A154A" w:rsidRPr="000203E1">
              <w:t xml:space="preserve"> Taip</w:t>
            </w:r>
          </w:p>
          <w:p w14:paraId="41D88067" w14:textId="3EDE2B03" w:rsidR="001A154A" w:rsidRPr="000203E1" w:rsidRDefault="00000000" w:rsidP="001A154A">
            <w:sdt>
              <w:sdtPr>
                <w:rPr>
                  <w:rStyle w:val="Style2"/>
                  <w:sz w:val="24"/>
                </w:rPr>
                <w:id w:val="-970507926"/>
                <w15:color w:val="FFCC00"/>
                <w14:checkbox>
                  <w14:checked w14:val="1"/>
                  <w14:checkedState w14:val="2612" w14:font="MS Gothic"/>
                  <w14:uncheckedState w14:val="2610" w14:font="MS Gothic"/>
                </w14:checkbox>
              </w:sdtPr>
              <w:sdtContent>
                <w:r w:rsidR="001A154A">
                  <w:rPr>
                    <w:rStyle w:val="Style2"/>
                    <w:rFonts w:ascii="MS Gothic" w:eastAsia="MS Gothic" w:hAnsi="MS Gothic" w:hint="eastAsia"/>
                    <w:sz w:val="24"/>
                  </w:rPr>
                  <w:t>☒</w:t>
                </w:r>
              </w:sdtContent>
            </w:sdt>
            <w:r w:rsidR="001A154A" w:rsidRPr="000203E1">
              <w:t xml:space="preserve"> Ne</w:t>
            </w:r>
          </w:p>
          <w:p w14:paraId="29C2CBBB" w14:textId="70B5BF58" w:rsidR="001A154A" w:rsidRPr="000203E1" w:rsidRDefault="001A154A" w:rsidP="001A154A">
            <w:pPr>
              <w:rPr>
                <w:rFonts w:eastAsia="Arial"/>
              </w:rPr>
            </w:pPr>
          </w:p>
        </w:tc>
      </w:tr>
      <w:tr w:rsidR="001A154A" w:rsidRPr="000203E1" w14:paraId="7841E5F8" w14:textId="77777777" w:rsidTr="00BE7489">
        <w:trPr>
          <w:trHeight w:val="476"/>
        </w:trPr>
        <w:tc>
          <w:tcPr>
            <w:tcW w:w="632" w:type="dxa"/>
          </w:tcPr>
          <w:p w14:paraId="109D2861" w14:textId="73BF27DF" w:rsidR="001A154A" w:rsidRPr="000203E1" w:rsidRDefault="001A154A" w:rsidP="001A154A">
            <w:pPr>
              <w:rPr>
                <w:rFonts w:eastAsia="Arial"/>
              </w:rPr>
            </w:pPr>
            <w:r w:rsidRPr="000203E1">
              <w:rPr>
                <w:rFonts w:eastAsia="Arial"/>
              </w:rPr>
              <w:t>1.5</w:t>
            </w:r>
          </w:p>
        </w:tc>
        <w:tc>
          <w:tcPr>
            <w:tcW w:w="3694" w:type="dxa"/>
          </w:tcPr>
          <w:p w14:paraId="7822D63E" w14:textId="68C38334" w:rsidR="001A154A" w:rsidRPr="000203E1" w:rsidRDefault="001A154A" w:rsidP="001A154A">
            <w:pPr>
              <w:rPr>
                <w:bCs/>
                <w:lang w:eastAsia="lt-LT"/>
              </w:rPr>
            </w:pPr>
            <w:r w:rsidRPr="000203E1">
              <w:t>STV paraiškos pobūdis</w:t>
            </w:r>
          </w:p>
        </w:tc>
        <w:tc>
          <w:tcPr>
            <w:tcW w:w="5167" w:type="dxa"/>
          </w:tcPr>
          <w:p w14:paraId="403461B9" w14:textId="306A37F8" w:rsidR="001A154A" w:rsidRPr="000203E1" w:rsidRDefault="00000000" w:rsidP="001A154A">
            <w:sdt>
              <w:sdtPr>
                <w:rPr>
                  <w:rStyle w:val="Style2"/>
                  <w:sz w:val="24"/>
                </w:rPr>
                <w:id w:val="-468433535"/>
                <w15:color w:val="FFCC00"/>
                <w14:checkbox>
                  <w14:checked w14:val="1"/>
                  <w14:checkedState w14:val="2612" w14:font="MS Gothic"/>
                  <w14:uncheckedState w14:val="2610" w14:font="MS Gothic"/>
                </w14:checkbox>
              </w:sdtPr>
              <w:sdtContent>
                <w:r w:rsidR="001A154A">
                  <w:rPr>
                    <w:rStyle w:val="Style2"/>
                    <w:rFonts w:ascii="MS Gothic" w:eastAsia="MS Gothic" w:hAnsi="MS Gothic" w:hint="eastAsia"/>
                    <w:sz w:val="24"/>
                  </w:rPr>
                  <w:t>☒</w:t>
                </w:r>
              </w:sdtContent>
            </w:sdt>
            <w:r w:rsidR="001A154A" w:rsidRPr="000203E1">
              <w:t xml:space="preserve"> Pilna paraiška</w:t>
            </w:r>
          </w:p>
          <w:p w14:paraId="6B8213E3" w14:textId="3495CDF4" w:rsidR="001A154A" w:rsidRPr="000203E1" w:rsidRDefault="00000000" w:rsidP="001A154A">
            <w:sdt>
              <w:sdtPr>
                <w:rPr>
                  <w:rStyle w:val="Style2"/>
                  <w:sz w:val="24"/>
                </w:rPr>
                <w:id w:val="-1489014904"/>
                <w15:color w:val="FFCC00"/>
                <w14:checkbox>
                  <w14:checked w14:val="0"/>
                  <w14:checkedState w14:val="2612" w14:font="MS Gothic"/>
                  <w14:uncheckedState w14:val="2610" w14:font="MS Gothic"/>
                </w14:checkbox>
              </w:sdtPr>
              <w:sdtContent>
                <w:r w:rsidR="001A154A" w:rsidRPr="000203E1">
                  <w:rPr>
                    <w:rStyle w:val="Style2"/>
                    <w:rFonts w:ascii="MS Gothic" w:eastAsia="MS Gothic" w:hAnsi="MS Gothic" w:hint="eastAsia"/>
                    <w:sz w:val="24"/>
                  </w:rPr>
                  <w:t>☐</w:t>
                </w:r>
              </w:sdtContent>
            </w:sdt>
            <w:r w:rsidR="001A154A" w:rsidRPr="000203E1">
              <w:t xml:space="preserve"> Supaprastinta paraiška</w:t>
            </w:r>
          </w:p>
        </w:tc>
      </w:tr>
      <w:tr w:rsidR="001A154A" w:rsidRPr="000203E1" w14:paraId="274D1DAF" w14:textId="77777777" w:rsidTr="00BE7489">
        <w:trPr>
          <w:trHeight w:val="1922"/>
        </w:trPr>
        <w:tc>
          <w:tcPr>
            <w:tcW w:w="632" w:type="dxa"/>
          </w:tcPr>
          <w:p w14:paraId="17ABF217" w14:textId="14AC00D7" w:rsidR="001A154A" w:rsidRPr="000203E1" w:rsidRDefault="001A154A" w:rsidP="001A154A">
            <w:pPr>
              <w:rPr>
                <w:rFonts w:eastAsia="Arial"/>
              </w:rPr>
            </w:pPr>
            <w:bookmarkStart w:id="0" w:name="_Hlk178090347"/>
            <w:r w:rsidRPr="000203E1">
              <w:rPr>
                <w:rFonts w:eastAsia="Arial"/>
              </w:rPr>
              <w:t>1.6</w:t>
            </w:r>
          </w:p>
        </w:tc>
        <w:tc>
          <w:tcPr>
            <w:tcW w:w="3694" w:type="dxa"/>
          </w:tcPr>
          <w:p w14:paraId="4D49DBF5" w14:textId="77777777" w:rsidR="001A154A" w:rsidRPr="000203E1" w:rsidRDefault="001A154A" w:rsidP="001A154A">
            <w:pPr>
              <w:rPr>
                <w:bCs/>
                <w:lang w:eastAsia="lt-LT"/>
              </w:rPr>
            </w:pPr>
            <w:r w:rsidRPr="000203E1">
              <w:rPr>
                <w:bCs/>
                <w:lang w:eastAsia="lt-LT"/>
              </w:rPr>
              <w:t>Pareiškėjo teikiama (-os) kompensuoti vaistinio preparato indikacija (-os)</w:t>
            </w:r>
          </w:p>
          <w:p w14:paraId="6B4FEEC1" w14:textId="6A619694" w:rsidR="001A154A" w:rsidRPr="000203E1" w:rsidRDefault="001A154A" w:rsidP="001A154A">
            <w:pPr>
              <w:rPr>
                <w:bCs/>
                <w:lang w:eastAsia="lt-LT"/>
              </w:rPr>
            </w:pPr>
            <w:r w:rsidRPr="000203E1">
              <w:rPr>
                <w:bCs/>
                <w:lang w:eastAsia="lt-LT"/>
              </w:rPr>
              <w:t>Kodas pagal TLK-10 AM</w:t>
            </w:r>
          </w:p>
        </w:tc>
        <w:tc>
          <w:tcPr>
            <w:tcW w:w="5167" w:type="dxa"/>
          </w:tcPr>
          <w:p w14:paraId="44F522A2" w14:textId="77777777" w:rsidR="001A154A" w:rsidRPr="00F43B84" w:rsidRDefault="001A154A" w:rsidP="001A154A">
            <w:pPr>
              <w:autoSpaceDE w:val="0"/>
              <w:autoSpaceDN w:val="0"/>
              <w:adjustRightInd w:val="0"/>
              <w:jc w:val="both"/>
              <w:rPr>
                <w:rFonts w:eastAsiaTheme="minorHAnsi"/>
                <w:color w:val="000000"/>
              </w:rPr>
            </w:pPr>
            <w:r w:rsidRPr="00F43B84">
              <w:rPr>
                <w:rFonts w:eastAsiaTheme="minorHAnsi"/>
                <w:color w:val="000000"/>
              </w:rPr>
              <w:t xml:space="preserve">Vabysmo skirtas suaugusiems pacientams gydyti: </w:t>
            </w:r>
          </w:p>
          <w:p w14:paraId="0B3E88C8" w14:textId="77777777" w:rsidR="001A154A" w:rsidRPr="00F43B84" w:rsidRDefault="001A154A" w:rsidP="001A154A">
            <w:pPr>
              <w:autoSpaceDE w:val="0"/>
              <w:autoSpaceDN w:val="0"/>
              <w:adjustRightInd w:val="0"/>
              <w:jc w:val="both"/>
              <w:rPr>
                <w:rFonts w:eastAsiaTheme="minorHAnsi"/>
                <w:color w:val="000000"/>
              </w:rPr>
            </w:pPr>
            <w:r w:rsidRPr="00F43B84">
              <w:rPr>
                <w:rFonts w:eastAsiaTheme="minorHAnsi"/>
                <w:color w:val="000000"/>
              </w:rPr>
              <w:t xml:space="preserve">• neovaskulinę (eksudacinę) su amžiumi susijusią geltonosios dėmės degeneraciją (angl. </w:t>
            </w:r>
            <w:r w:rsidRPr="00F43B84">
              <w:rPr>
                <w:rFonts w:eastAsiaTheme="minorHAnsi"/>
                <w:i/>
                <w:iCs/>
                <w:color w:val="000000"/>
              </w:rPr>
              <w:t xml:space="preserve">neovascular </w:t>
            </w:r>
            <w:r w:rsidRPr="00F43B84">
              <w:rPr>
                <w:rFonts w:eastAsiaTheme="minorHAnsi"/>
                <w:color w:val="000000"/>
              </w:rPr>
              <w:t>[</w:t>
            </w:r>
            <w:r w:rsidRPr="00F43B84">
              <w:rPr>
                <w:rFonts w:eastAsiaTheme="minorHAnsi"/>
                <w:i/>
                <w:iCs/>
                <w:color w:val="000000"/>
              </w:rPr>
              <w:t>wet</w:t>
            </w:r>
            <w:r w:rsidRPr="00F43B84">
              <w:rPr>
                <w:rFonts w:eastAsiaTheme="minorHAnsi"/>
                <w:color w:val="000000"/>
              </w:rPr>
              <w:t xml:space="preserve">] </w:t>
            </w:r>
            <w:r w:rsidRPr="00F43B84">
              <w:rPr>
                <w:rFonts w:eastAsiaTheme="minorHAnsi"/>
                <w:i/>
                <w:iCs/>
                <w:color w:val="000000"/>
              </w:rPr>
              <w:t>age-related macular degeneration – nAMD</w:t>
            </w:r>
            <w:r w:rsidRPr="00F43B84">
              <w:rPr>
                <w:rFonts w:eastAsiaTheme="minorHAnsi"/>
                <w:color w:val="000000"/>
              </w:rPr>
              <w:t xml:space="preserve">), </w:t>
            </w:r>
          </w:p>
          <w:p w14:paraId="791211A8" w14:textId="77777777" w:rsidR="001A154A" w:rsidRPr="00935E13" w:rsidRDefault="001A154A" w:rsidP="001A154A">
            <w:pPr>
              <w:pStyle w:val="Sraopastraipa"/>
              <w:spacing w:after="120"/>
              <w:ind w:left="0"/>
              <w:contextualSpacing w:val="0"/>
              <w:jc w:val="both"/>
              <w:rPr>
                <w:rFonts w:eastAsiaTheme="minorHAnsi"/>
                <w:color w:val="000000"/>
              </w:rPr>
            </w:pPr>
            <w:r w:rsidRPr="00F43B84">
              <w:rPr>
                <w:rFonts w:eastAsiaTheme="minorHAnsi"/>
                <w:color w:val="000000"/>
              </w:rPr>
              <w:t xml:space="preserve">• regos sutrikimui dėl diabetinės geltonosios dėmės edemos (angl. </w:t>
            </w:r>
            <w:r w:rsidRPr="00F43B84">
              <w:rPr>
                <w:rFonts w:eastAsiaTheme="minorHAnsi"/>
                <w:i/>
                <w:iCs/>
                <w:color w:val="000000"/>
              </w:rPr>
              <w:t>diabetic macular oedema – DME</w:t>
            </w:r>
            <w:r w:rsidRPr="00F43B84">
              <w:rPr>
                <w:rFonts w:eastAsiaTheme="minorHAnsi"/>
                <w:color w:val="000000"/>
              </w:rPr>
              <w:t>).</w:t>
            </w:r>
          </w:p>
          <w:p w14:paraId="453C524B" w14:textId="77777777" w:rsidR="001A154A" w:rsidRPr="00471684" w:rsidRDefault="001A154A" w:rsidP="001A154A">
            <w:pPr>
              <w:pStyle w:val="Sraopastraipa"/>
              <w:spacing w:after="120"/>
              <w:ind w:left="0"/>
              <w:contextualSpacing w:val="0"/>
              <w:jc w:val="both"/>
              <w:rPr>
                <w:color w:val="FF0000"/>
              </w:rPr>
            </w:pPr>
            <w:r>
              <w:rPr>
                <w:color w:val="000000"/>
                <w:lang w:eastAsia="lt-LT"/>
              </w:rPr>
              <w:t>E10.34, E11.34</w:t>
            </w:r>
          </w:p>
          <w:p w14:paraId="13F7DFB0" w14:textId="72E48CA9" w:rsidR="001A154A" w:rsidRPr="000203E1" w:rsidRDefault="001A154A" w:rsidP="001A154A"/>
        </w:tc>
      </w:tr>
      <w:bookmarkEnd w:id="0"/>
      <w:tr w:rsidR="001A154A" w:rsidRPr="000203E1" w14:paraId="2F79DC08" w14:textId="77777777" w:rsidTr="00BE7489">
        <w:trPr>
          <w:trHeight w:val="378"/>
        </w:trPr>
        <w:tc>
          <w:tcPr>
            <w:tcW w:w="632" w:type="dxa"/>
          </w:tcPr>
          <w:p w14:paraId="547885A2" w14:textId="2EE70237" w:rsidR="001A154A" w:rsidRPr="000203E1" w:rsidRDefault="001A154A" w:rsidP="001A154A">
            <w:pPr>
              <w:rPr>
                <w:rFonts w:eastAsia="Arial"/>
              </w:rPr>
            </w:pPr>
            <w:r w:rsidRPr="000203E1">
              <w:rPr>
                <w:rFonts w:eastAsia="Arial"/>
              </w:rPr>
              <w:lastRenderedPageBreak/>
              <w:t>1.</w:t>
            </w:r>
            <w:r>
              <w:rPr>
                <w:rFonts w:eastAsia="Arial"/>
              </w:rPr>
              <w:t>7</w:t>
            </w:r>
          </w:p>
        </w:tc>
        <w:tc>
          <w:tcPr>
            <w:tcW w:w="3694" w:type="dxa"/>
          </w:tcPr>
          <w:p w14:paraId="2EAB877F" w14:textId="39A36941" w:rsidR="001A154A" w:rsidRPr="000203E1" w:rsidRDefault="001A154A" w:rsidP="001A154A">
            <w:pPr>
              <w:rPr>
                <w:bCs/>
                <w:u w:val="single"/>
                <w:lang w:eastAsia="lt-LT"/>
              </w:rPr>
            </w:pPr>
            <w:r w:rsidRPr="000203E1">
              <w:rPr>
                <w:bCs/>
                <w:lang w:eastAsia="lt-LT"/>
              </w:rPr>
              <w:t xml:space="preserve">Pareiškėjo teikiamos skyrimo sąlygos </w:t>
            </w:r>
          </w:p>
        </w:tc>
        <w:tc>
          <w:tcPr>
            <w:tcW w:w="5167" w:type="dxa"/>
          </w:tcPr>
          <w:p w14:paraId="020496B9" w14:textId="77777777" w:rsidR="001A154A" w:rsidRPr="00AA21DF" w:rsidRDefault="001A154A" w:rsidP="001A154A">
            <w:pPr>
              <w:jc w:val="both"/>
            </w:pPr>
            <w:r w:rsidRPr="00AA21DF">
              <w:t>Gydymą faricimabu pradėti ir tęsti gali tik gydytojas oftalmologas, turintis gydymo šiuo vaistiniu preparatu patirties.</w:t>
            </w:r>
          </w:p>
          <w:p w14:paraId="0516EBD0" w14:textId="77777777" w:rsidR="001A154A" w:rsidRPr="00A04767" w:rsidRDefault="001A154A" w:rsidP="001A154A">
            <w:pPr>
              <w:jc w:val="both"/>
            </w:pPr>
            <w:r>
              <w:t xml:space="preserve">1. </w:t>
            </w:r>
            <w:r w:rsidRPr="00A04767">
              <w:t xml:space="preserve">Gydymas faricimabu, kaip gydymas pirmuoju </w:t>
            </w:r>
            <w:r w:rsidRPr="00A04767">
              <w:rPr>
                <w:i/>
              </w:rPr>
              <w:t>anti-</w:t>
            </w:r>
            <w:r w:rsidRPr="00A04767">
              <w:t>KEAF, taikomas diabetinės geltonosios dėmes edemos (DGDE)</w:t>
            </w:r>
            <w:r w:rsidRPr="00754B2F">
              <w:t xml:space="preserve"> sukeltam regos </w:t>
            </w:r>
            <w:r>
              <w:t>sutrikimui</w:t>
            </w:r>
            <w:r w:rsidRPr="00754B2F">
              <w:t xml:space="preserve"> gydyti</w:t>
            </w:r>
            <w:r w:rsidRPr="00A04767">
              <w:t xml:space="preserve"> pacientams, kurių ligos būklė atitinka bendrus klinikinius gydymo </w:t>
            </w:r>
            <w:r w:rsidRPr="00A04767">
              <w:rPr>
                <w:i/>
              </w:rPr>
              <w:t>anti-</w:t>
            </w:r>
            <w:r w:rsidRPr="00A04767">
              <w:t xml:space="preserve">KEAF preparatais pradžios kriterijus, ir, kai bendri gydymo faricimabu kaštai atitinka mažiausių bendrų PSDF išlaidų ligos gydymui nuostatą, formaliai paskelbtą VVKT vertinimo ir VLK faktinių duomenų pagrindu. Šis vaistinis preparatas skiriamas pacientams, kuriems yra nustatytas bent vienas iš toliau išvardintų požymių: </w:t>
            </w:r>
          </w:p>
          <w:p w14:paraId="5B612B4F" w14:textId="77777777" w:rsidR="001A154A" w:rsidRPr="00313AD2" w:rsidRDefault="001A154A" w:rsidP="001A154A">
            <w:pPr>
              <w:pStyle w:val="Sraopastraipa"/>
              <w:numPr>
                <w:ilvl w:val="0"/>
                <w:numId w:val="13"/>
              </w:numPr>
              <w:jc w:val="both"/>
            </w:pPr>
            <w:r w:rsidRPr="00313AD2">
              <w:t xml:space="preserve">tinklainės sustorėjimas geltonosios dėmės centre ar per 500 µm nuo geltonosios dėmės centro; </w:t>
            </w:r>
          </w:p>
          <w:p w14:paraId="39C74EA1" w14:textId="77777777" w:rsidR="001A154A" w:rsidRPr="00037A6B" w:rsidRDefault="001A154A" w:rsidP="001A154A">
            <w:pPr>
              <w:pStyle w:val="Sraopastraipa"/>
              <w:numPr>
                <w:ilvl w:val="0"/>
                <w:numId w:val="13"/>
              </w:numPr>
              <w:jc w:val="both"/>
            </w:pPr>
            <w:r w:rsidRPr="00037A6B">
              <w:t xml:space="preserve">kietasis eksudatas geltonosios dėmės centre ar per 500 µm nuo geltonosios dėmės centro, jei šalia esanti tinklainė yra sustorėjusi; </w:t>
            </w:r>
          </w:p>
          <w:p w14:paraId="2E205859" w14:textId="77777777" w:rsidR="001A154A" w:rsidRDefault="001A154A" w:rsidP="001A154A">
            <w:pPr>
              <w:pStyle w:val="Sraopastraipa"/>
              <w:numPr>
                <w:ilvl w:val="0"/>
                <w:numId w:val="13"/>
              </w:numPr>
              <w:jc w:val="both"/>
            </w:pPr>
            <w:r w:rsidRPr="00101D6D">
              <w:t>1 disko dydžio tinklainės sustorėjimo zona ar zonos, kurios bent dalis turi būti arčiau nei 1 disko skersmuo nuo geltonosios dėmės centro.</w:t>
            </w:r>
          </w:p>
          <w:p w14:paraId="0579DF58" w14:textId="29EA0A5A" w:rsidR="001A154A" w:rsidRPr="000203E1" w:rsidRDefault="001A154A" w:rsidP="001A154A">
            <w:r>
              <w:t xml:space="preserve">2. </w:t>
            </w:r>
            <w:r w:rsidRPr="00A04767">
              <w:t xml:space="preserve">Gydymas faricimabu taikomas </w:t>
            </w:r>
            <w:bookmarkStart w:id="1" w:name="_Hlk147404495"/>
            <w:r w:rsidRPr="00754B2F">
              <w:t>diabetin</w:t>
            </w:r>
            <w:r>
              <w:t>ės</w:t>
            </w:r>
            <w:r w:rsidRPr="00754B2F">
              <w:t xml:space="preserve"> geltonosios dėmes </w:t>
            </w:r>
            <w:r>
              <w:t>edemos</w:t>
            </w:r>
            <w:r w:rsidRPr="00754B2F">
              <w:t xml:space="preserve"> sukeltam regos </w:t>
            </w:r>
            <w:r>
              <w:t>sutrikimui</w:t>
            </w:r>
            <w:r w:rsidRPr="00754B2F">
              <w:t xml:space="preserve"> gydyti</w:t>
            </w:r>
            <w:r>
              <w:t xml:space="preserve"> pacientams</w:t>
            </w:r>
            <w:r w:rsidRPr="00A04767">
              <w:t xml:space="preserve">, kurie </w:t>
            </w:r>
            <w:r w:rsidRPr="00A04767">
              <w:rPr>
                <w:spacing w:val="-4"/>
              </w:rPr>
              <w:t xml:space="preserve">nepakankamai reaguoja į gydymą pirmuoju </w:t>
            </w:r>
            <w:r w:rsidRPr="00A04767">
              <w:rPr>
                <w:i/>
                <w:spacing w:val="-4"/>
              </w:rPr>
              <w:t>anti-</w:t>
            </w:r>
            <w:r w:rsidRPr="00A04767">
              <w:rPr>
                <w:spacing w:val="-4"/>
              </w:rPr>
              <w:t xml:space="preserve">KEAF, arba, kuriems </w:t>
            </w:r>
            <w:r w:rsidRPr="00A04767">
              <w:t xml:space="preserve">pirmuoju </w:t>
            </w:r>
            <w:r w:rsidRPr="00A04767">
              <w:rPr>
                <w:i/>
              </w:rPr>
              <w:t>anti-</w:t>
            </w:r>
            <w:r w:rsidRPr="00A04767">
              <w:t xml:space="preserve">KEAF pradėtas gydymas buvo nutrauktas dėl netinkamumo, ir kuriems yra tinkamas kito </w:t>
            </w:r>
            <w:r w:rsidRPr="00A04767">
              <w:rPr>
                <w:i/>
              </w:rPr>
              <w:t>anti-</w:t>
            </w:r>
            <w:r w:rsidRPr="00A04767">
              <w:t>KEAF vaistinio preparato taikymas.</w:t>
            </w:r>
            <w:bookmarkEnd w:id="1"/>
          </w:p>
        </w:tc>
      </w:tr>
      <w:tr w:rsidR="001A154A" w:rsidRPr="000203E1" w14:paraId="3B125269" w14:textId="77777777" w:rsidTr="00BE7489">
        <w:trPr>
          <w:trHeight w:val="378"/>
        </w:trPr>
        <w:tc>
          <w:tcPr>
            <w:tcW w:w="632" w:type="dxa"/>
          </w:tcPr>
          <w:p w14:paraId="0058E11F" w14:textId="3C0D7626" w:rsidR="001A154A" w:rsidRPr="000203E1" w:rsidRDefault="001A154A" w:rsidP="001A154A">
            <w:pPr>
              <w:rPr>
                <w:rFonts w:eastAsia="Arial"/>
              </w:rPr>
            </w:pPr>
            <w:r w:rsidRPr="000203E1">
              <w:rPr>
                <w:rFonts w:eastAsia="Arial"/>
              </w:rPr>
              <w:t>1.</w:t>
            </w:r>
            <w:r>
              <w:rPr>
                <w:rFonts w:eastAsia="Arial"/>
              </w:rPr>
              <w:t>8</w:t>
            </w:r>
          </w:p>
        </w:tc>
        <w:tc>
          <w:tcPr>
            <w:tcW w:w="3694" w:type="dxa"/>
          </w:tcPr>
          <w:p w14:paraId="738E1926" w14:textId="77777777" w:rsidR="001A154A" w:rsidRPr="000203E1" w:rsidRDefault="001A154A" w:rsidP="001A154A">
            <w:pPr>
              <w:rPr>
                <w:bCs/>
                <w:lang w:eastAsia="lt-LT"/>
              </w:rPr>
            </w:pPr>
            <w:r w:rsidRPr="000203E1">
              <w:rPr>
                <w:bCs/>
                <w:lang w:eastAsia="lt-LT"/>
              </w:rPr>
              <w:t xml:space="preserve">Pareiškėjo teikiamas palyginamasis gydymas </w:t>
            </w:r>
          </w:p>
          <w:p w14:paraId="61EC5BBD" w14:textId="7A8BD8B4" w:rsidR="001A154A" w:rsidRPr="000203E1" w:rsidRDefault="001A154A" w:rsidP="001A154A">
            <w:pPr>
              <w:rPr>
                <w:bCs/>
                <w:lang w:eastAsia="lt-LT"/>
              </w:rPr>
            </w:pPr>
          </w:p>
          <w:p w14:paraId="62057D94" w14:textId="77777777" w:rsidR="001A154A" w:rsidRPr="000203E1" w:rsidRDefault="001A154A" w:rsidP="001A154A">
            <w:pPr>
              <w:rPr>
                <w:bCs/>
                <w:lang w:eastAsia="lt-LT"/>
              </w:rPr>
            </w:pPr>
          </w:p>
          <w:p w14:paraId="6CC1022E" w14:textId="2B6BCEE1" w:rsidR="001A154A" w:rsidRPr="000203E1" w:rsidRDefault="001A154A" w:rsidP="001A154A">
            <w:pPr>
              <w:rPr>
                <w:bCs/>
                <w:lang w:eastAsia="lt-LT"/>
              </w:rPr>
            </w:pPr>
          </w:p>
        </w:tc>
        <w:tc>
          <w:tcPr>
            <w:tcW w:w="5167" w:type="dxa"/>
          </w:tcPr>
          <w:p w14:paraId="0273BE6A" w14:textId="5A6F16B6" w:rsidR="001A154A" w:rsidRPr="001A154A" w:rsidRDefault="001A154A" w:rsidP="001A154A">
            <w:pPr>
              <w:rPr>
                <w:rStyle w:val="Style2"/>
                <w:i/>
                <w:iCs/>
                <w:sz w:val="24"/>
              </w:rPr>
            </w:pPr>
            <w:r w:rsidRPr="001A154A">
              <w:rPr>
                <w:rStyle w:val="Style2"/>
                <w:i/>
                <w:iCs/>
                <w:sz w:val="24"/>
              </w:rPr>
              <w:t>Tiesioginis</w:t>
            </w:r>
          </w:p>
          <w:p w14:paraId="1F113AC0" w14:textId="0329CC0A" w:rsidR="001A154A" w:rsidRPr="000203E1" w:rsidRDefault="00000000" w:rsidP="001A154A">
            <w:sdt>
              <w:sdtPr>
                <w:rPr>
                  <w:rStyle w:val="Style2"/>
                  <w:sz w:val="24"/>
                </w:rPr>
                <w:id w:val="1480955706"/>
                <w15:color w:val="FFCC00"/>
                <w14:checkbox>
                  <w14:checked w14:val="0"/>
                  <w14:checkedState w14:val="2612" w14:font="MS Gothic"/>
                  <w14:uncheckedState w14:val="2610" w14:font="MS Gothic"/>
                </w14:checkbox>
              </w:sdtPr>
              <w:sdtContent>
                <w:r w:rsidR="00D91B5A">
                  <w:rPr>
                    <w:rStyle w:val="Style2"/>
                    <w:rFonts w:ascii="MS Gothic" w:eastAsia="MS Gothic" w:hAnsi="MS Gothic" w:hint="eastAsia"/>
                    <w:sz w:val="24"/>
                  </w:rPr>
                  <w:t>☐</w:t>
                </w:r>
              </w:sdtContent>
            </w:sdt>
            <w:r w:rsidR="001A154A" w:rsidRPr="000203E1">
              <w:t xml:space="preserve"> Tinkamas</w:t>
            </w:r>
          </w:p>
          <w:p w14:paraId="3EACE28C" w14:textId="10CAB245" w:rsidR="001A154A" w:rsidRDefault="00000000" w:rsidP="001A154A">
            <w:sdt>
              <w:sdtPr>
                <w:rPr>
                  <w:rStyle w:val="Style2"/>
                  <w:sz w:val="24"/>
                </w:rPr>
                <w:id w:val="-352420698"/>
                <w15:color w:val="FFCC00"/>
                <w14:checkbox>
                  <w14:checked w14:val="1"/>
                  <w14:checkedState w14:val="2612" w14:font="MS Gothic"/>
                  <w14:uncheckedState w14:val="2610" w14:font="MS Gothic"/>
                </w14:checkbox>
              </w:sdtPr>
              <w:sdtContent>
                <w:r w:rsidR="00D91B5A">
                  <w:rPr>
                    <w:rStyle w:val="Style2"/>
                    <w:rFonts w:ascii="MS Gothic" w:eastAsia="MS Gothic" w:hAnsi="MS Gothic" w:hint="eastAsia"/>
                    <w:sz w:val="24"/>
                  </w:rPr>
                  <w:t>☒</w:t>
                </w:r>
              </w:sdtContent>
            </w:sdt>
            <w:r w:rsidR="001A154A" w:rsidRPr="000203E1">
              <w:t xml:space="preserve"> Netinkama</w:t>
            </w:r>
            <w:r w:rsidR="001A154A">
              <w:t>s</w:t>
            </w:r>
          </w:p>
          <w:p w14:paraId="449390FA" w14:textId="77777777" w:rsidR="001A154A" w:rsidRDefault="001A154A" w:rsidP="001A154A"/>
          <w:p w14:paraId="7002F768" w14:textId="18429546" w:rsidR="001A154A" w:rsidRPr="001A154A" w:rsidRDefault="001A154A" w:rsidP="001A154A">
            <w:pPr>
              <w:rPr>
                <w:i/>
                <w:iCs/>
              </w:rPr>
            </w:pPr>
            <w:r w:rsidRPr="001A154A">
              <w:rPr>
                <w:i/>
                <w:iCs/>
              </w:rPr>
              <w:t>Netiesioginis</w:t>
            </w:r>
          </w:p>
          <w:p w14:paraId="392B75B7" w14:textId="3D574743" w:rsidR="001A154A" w:rsidRPr="000203E1" w:rsidRDefault="00000000" w:rsidP="001A154A">
            <w:sdt>
              <w:sdtPr>
                <w:rPr>
                  <w:rStyle w:val="Style2"/>
                  <w:sz w:val="24"/>
                </w:rPr>
                <w:id w:val="2041854688"/>
                <w15:color w:val="FFCC00"/>
                <w14:checkbox>
                  <w14:checked w14:val="1"/>
                  <w14:checkedState w14:val="2612" w14:font="MS Gothic"/>
                  <w14:uncheckedState w14:val="2610" w14:font="MS Gothic"/>
                </w14:checkbox>
              </w:sdtPr>
              <w:sdtContent>
                <w:r w:rsidR="001A154A">
                  <w:rPr>
                    <w:rStyle w:val="Style2"/>
                    <w:rFonts w:ascii="MS Gothic" w:eastAsia="MS Gothic" w:hAnsi="MS Gothic" w:hint="eastAsia"/>
                    <w:sz w:val="24"/>
                  </w:rPr>
                  <w:t>☒</w:t>
                </w:r>
              </w:sdtContent>
            </w:sdt>
            <w:r w:rsidR="001A154A" w:rsidRPr="000203E1">
              <w:t xml:space="preserve"> Tinkamas</w:t>
            </w:r>
          </w:p>
          <w:p w14:paraId="41B44044" w14:textId="35BE308D" w:rsidR="001A154A" w:rsidRPr="000203E1" w:rsidRDefault="00000000" w:rsidP="001A154A">
            <w:sdt>
              <w:sdtPr>
                <w:rPr>
                  <w:rStyle w:val="Style2"/>
                  <w:sz w:val="24"/>
                </w:rPr>
                <w:id w:val="-404226742"/>
                <w15:color w:val="FFCC00"/>
                <w14:checkbox>
                  <w14:checked w14:val="0"/>
                  <w14:checkedState w14:val="2612" w14:font="MS Gothic"/>
                  <w14:uncheckedState w14:val="2610" w14:font="MS Gothic"/>
                </w14:checkbox>
              </w:sdtPr>
              <w:sdtContent>
                <w:r w:rsidR="001A154A" w:rsidRPr="000203E1">
                  <w:rPr>
                    <w:rStyle w:val="Style2"/>
                    <w:rFonts w:ascii="MS Gothic" w:eastAsia="MS Gothic" w:hAnsi="MS Gothic" w:hint="eastAsia"/>
                    <w:sz w:val="24"/>
                  </w:rPr>
                  <w:t>☐</w:t>
                </w:r>
              </w:sdtContent>
            </w:sdt>
            <w:r w:rsidR="001A154A" w:rsidRPr="000203E1">
              <w:t xml:space="preserve"> Netinkama</w:t>
            </w:r>
            <w:r w:rsidR="001A154A">
              <w:t>s</w:t>
            </w:r>
          </w:p>
        </w:tc>
      </w:tr>
    </w:tbl>
    <w:p w14:paraId="108176F7" w14:textId="640C6F75" w:rsidR="00F70C9E" w:rsidRPr="000203E1" w:rsidRDefault="00F70C9E" w:rsidP="00E03C3F">
      <w:pPr>
        <w:pStyle w:val="Sraopastraipa"/>
        <w:tabs>
          <w:tab w:val="left" w:pos="426"/>
        </w:tabs>
        <w:ind w:left="0"/>
        <w:rPr>
          <w:b/>
          <w:bCs/>
          <w:caps/>
        </w:rPr>
      </w:pPr>
    </w:p>
    <w:p w14:paraId="4194BBBA" w14:textId="77777777" w:rsidR="00235E5B" w:rsidRDefault="00235E5B" w:rsidP="00880A44">
      <w:pPr>
        <w:spacing w:line="276" w:lineRule="auto"/>
        <w:jc w:val="both"/>
        <w:rPr>
          <w:rFonts w:eastAsia="Arial"/>
          <w:b/>
        </w:rPr>
      </w:pPr>
    </w:p>
    <w:p w14:paraId="35C78504" w14:textId="77777777" w:rsidR="00235E5B" w:rsidRDefault="00235E5B" w:rsidP="00880A44">
      <w:pPr>
        <w:spacing w:line="276" w:lineRule="auto"/>
        <w:jc w:val="both"/>
        <w:rPr>
          <w:rFonts w:eastAsia="Arial"/>
          <w:b/>
        </w:rPr>
      </w:pPr>
    </w:p>
    <w:p w14:paraId="307B5410" w14:textId="77777777" w:rsidR="00235E5B" w:rsidRDefault="00235E5B" w:rsidP="00880A44">
      <w:pPr>
        <w:spacing w:line="276" w:lineRule="auto"/>
        <w:jc w:val="both"/>
        <w:rPr>
          <w:rFonts w:eastAsia="Arial"/>
          <w:b/>
        </w:rPr>
      </w:pPr>
    </w:p>
    <w:p w14:paraId="42106150" w14:textId="77777777" w:rsidR="00235E5B" w:rsidRDefault="00235E5B" w:rsidP="00880A44">
      <w:pPr>
        <w:spacing w:line="276" w:lineRule="auto"/>
        <w:jc w:val="both"/>
        <w:rPr>
          <w:rFonts w:eastAsia="Arial"/>
          <w:b/>
        </w:rPr>
      </w:pPr>
    </w:p>
    <w:p w14:paraId="54566254" w14:textId="77777777" w:rsidR="00235E5B" w:rsidRDefault="00235E5B" w:rsidP="00880A44">
      <w:pPr>
        <w:spacing w:line="276" w:lineRule="auto"/>
        <w:jc w:val="both"/>
        <w:rPr>
          <w:rFonts w:eastAsia="Arial"/>
          <w:b/>
        </w:rPr>
      </w:pPr>
    </w:p>
    <w:p w14:paraId="153B98CD" w14:textId="77777777" w:rsidR="00235E5B" w:rsidRDefault="00235E5B" w:rsidP="00880A44">
      <w:pPr>
        <w:spacing w:line="276" w:lineRule="auto"/>
        <w:jc w:val="both"/>
        <w:rPr>
          <w:rFonts w:eastAsia="Arial"/>
          <w:b/>
        </w:rPr>
      </w:pPr>
    </w:p>
    <w:p w14:paraId="475D2D53" w14:textId="77777777" w:rsidR="00235E5B" w:rsidRDefault="00235E5B" w:rsidP="00880A44">
      <w:pPr>
        <w:spacing w:line="276" w:lineRule="auto"/>
        <w:jc w:val="both"/>
        <w:rPr>
          <w:rFonts w:eastAsia="Arial"/>
          <w:b/>
        </w:rPr>
      </w:pPr>
    </w:p>
    <w:p w14:paraId="4E8E554C" w14:textId="77777777" w:rsidR="00235E5B" w:rsidRDefault="00235E5B" w:rsidP="00880A44">
      <w:pPr>
        <w:spacing w:line="276" w:lineRule="auto"/>
        <w:jc w:val="both"/>
        <w:rPr>
          <w:rFonts w:eastAsia="Arial"/>
          <w:b/>
        </w:rPr>
      </w:pPr>
    </w:p>
    <w:p w14:paraId="4AA3D9F9" w14:textId="77777777" w:rsidR="00235E5B" w:rsidRDefault="00235E5B" w:rsidP="00880A44">
      <w:pPr>
        <w:spacing w:line="276" w:lineRule="auto"/>
        <w:jc w:val="both"/>
        <w:rPr>
          <w:rFonts w:eastAsia="Arial"/>
          <w:b/>
        </w:rPr>
      </w:pPr>
    </w:p>
    <w:p w14:paraId="2871CA7F" w14:textId="00A81114" w:rsidR="00F70C9E" w:rsidRPr="000203E1" w:rsidRDefault="00F70C9E" w:rsidP="00880A44">
      <w:pPr>
        <w:spacing w:line="276" w:lineRule="auto"/>
        <w:jc w:val="both"/>
        <w:rPr>
          <w:rFonts w:eastAsia="Arial"/>
          <w:b/>
        </w:rPr>
      </w:pPr>
      <w:r w:rsidRPr="000203E1">
        <w:rPr>
          <w:rFonts w:eastAsia="Arial"/>
          <w:b/>
        </w:rPr>
        <w:lastRenderedPageBreak/>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0203E1" w:rsidRPr="000203E1" w14:paraId="7E72828B" w14:textId="77777777" w:rsidTr="00BE7489">
        <w:trPr>
          <w:trHeight w:val="924"/>
        </w:trPr>
        <w:tc>
          <w:tcPr>
            <w:tcW w:w="2855" w:type="dxa"/>
          </w:tcPr>
          <w:p w14:paraId="253D1DD4" w14:textId="5B2616C0" w:rsidR="00F70C9E" w:rsidRPr="000203E1" w:rsidRDefault="00F70C9E" w:rsidP="00824B92">
            <w:pPr>
              <w:rPr>
                <w:rFonts w:eastAsia="Arial"/>
              </w:rPr>
            </w:pPr>
            <w:r w:rsidRPr="000203E1">
              <w:rPr>
                <w:rFonts w:eastAsia="Arial"/>
              </w:rPr>
              <w:t>ST</w:t>
            </w:r>
            <w:r w:rsidR="00DF583C" w:rsidRPr="000203E1">
              <w:rPr>
                <w:rFonts w:eastAsia="Arial"/>
              </w:rPr>
              <w:t>V</w:t>
            </w:r>
            <w:r w:rsidRPr="000203E1">
              <w:rPr>
                <w:rFonts w:eastAsia="Arial"/>
              </w:rPr>
              <w:t xml:space="preserve"> agentūros pavadinimas, šalis</w:t>
            </w:r>
          </w:p>
        </w:tc>
        <w:tc>
          <w:tcPr>
            <w:tcW w:w="1851" w:type="dxa"/>
          </w:tcPr>
          <w:p w14:paraId="34AE1EDD" w14:textId="77777777" w:rsidR="00F70C9E" w:rsidRPr="000203E1" w:rsidRDefault="00F70C9E" w:rsidP="00824B92">
            <w:pPr>
              <w:rPr>
                <w:rFonts w:eastAsia="Arial"/>
              </w:rPr>
            </w:pPr>
            <w:r w:rsidRPr="000203E1">
              <w:rPr>
                <w:rFonts w:eastAsia="Arial"/>
              </w:rPr>
              <w:t>STV vertinimas atliktas</w:t>
            </w:r>
          </w:p>
        </w:tc>
        <w:tc>
          <w:tcPr>
            <w:tcW w:w="2244" w:type="dxa"/>
          </w:tcPr>
          <w:p w14:paraId="16E2DDC1" w14:textId="77777777" w:rsidR="00F70C9E" w:rsidRPr="000203E1" w:rsidRDefault="00F70C9E" w:rsidP="00824B92">
            <w:pPr>
              <w:rPr>
                <w:rFonts w:eastAsia="Arial"/>
              </w:rPr>
            </w:pPr>
            <w:r w:rsidRPr="000203E1">
              <w:rPr>
                <w:rFonts w:eastAsia="Arial"/>
              </w:rPr>
              <w:t>Klinikinio vertinimo išvada</w:t>
            </w:r>
          </w:p>
        </w:tc>
        <w:tc>
          <w:tcPr>
            <w:tcW w:w="2543" w:type="dxa"/>
          </w:tcPr>
          <w:p w14:paraId="1861E3F2" w14:textId="74803B5B" w:rsidR="00F70C9E" w:rsidRPr="000203E1" w:rsidRDefault="00F70C9E" w:rsidP="00824B92">
            <w:pPr>
              <w:rPr>
                <w:rFonts w:eastAsia="Arial"/>
              </w:rPr>
            </w:pPr>
            <w:r w:rsidRPr="000203E1">
              <w:rPr>
                <w:rFonts w:eastAsia="Arial"/>
              </w:rPr>
              <w:t>Farmako</w:t>
            </w:r>
            <w:r w:rsidR="00CA217D" w:rsidRPr="000203E1">
              <w:rPr>
                <w:rFonts w:eastAsia="Arial"/>
              </w:rPr>
              <w:t>e</w:t>
            </w:r>
            <w:r w:rsidR="00476256" w:rsidRPr="000203E1">
              <w:rPr>
                <w:rFonts w:eastAsia="Arial"/>
              </w:rPr>
              <w:t>ko</w:t>
            </w:r>
            <w:r w:rsidRPr="000203E1">
              <w:rPr>
                <w:rFonts w:eastAsia="Arial"/>
              </w:rPr>
              <w:t>nominio vertinimo išvada</w:t>
            </w:r>
          </w:p>
        </w:tc>
      </w:tr>
      <w:tr w:rsidR="00084A3F" w:rsidRPr="000203E1" w14:paraId="129FA8F6" w14:textId="77777777" w:rsidTr="00416BE4">
        <w:trPr>
          <w:trHeight w:val="2267"/>
        </w:trPr>
        <w:tc>
          <w:tcPr>
            <w:tcW w:w="2855" w:type="dxa"/>
          </w:tcPr>
          <w:p w14:paraId="0A070137" w14:textId="77777777" w:rsidR="00084A3F" w:rsidRPr="000203E1" w:rsidRDefault="00084A3F" w:rsidP="00824B92">
            <w:pPr>
              <w:rPr>
                <w:bCs/>
              </w:rPr>
            </w:pPr>
            <w:r w:rsidRPr="000203E1">
              <w:rPr>
                <w:bCs/>
              </w:rPr>
              <w:t>Nacionalinis sveikatos ir klinikinės kompetencijos institutas, Didžioji Britanija</w:t>
            </w:r>
          </w:p>
          <w:p w14:paraId="49C6520D" w14:textId="77777777" w:rsidR="00084A3F" w:rsidRPr="000203E1" w:rsidRDefault="00084A3F" w:rsidP="00824B92">
            <w:pPr>
              <w:rPr>
                <w:rFonts w:eastAsia="Arial"/>
                <w:lang w:val="en-GB"/>
              </w:rPr>
            </w:pPr>
            <w:r w:rsidRPr="000203E1">
              <w:rPr>
                <w:rFonts w:eastAsia="Arial"/>
                <w:lang w:val="en-GB"/>
              </w:rPr>
              <w:t xml:space="preserve">(angl. </w:t>
            </w:r>
            <w:r w:rsidRPr="000203E1">
              <w:rPr>
                <w:rFonts w:eastAsia="Arial"/>
                <w:i/>
                <w:lang w:val="en-GB"/>
              </w:rPr>
              <w:t>National Institute for Health and Care  Excellence, NICE</w:t>
            </w:r>
            <w:r w:rsidRPr="000203E1">
              <w:rPr>
                <w:rFonts w:eastAsia="Arial"/>
                <w:lang w:val="en-GB"/>
              </w:rPr>
              <w:t>)</w:t>
            </w:r>
          </w:p>
        </w:tc>
        <w:tc>
          <w:tcPr>
            <w:tcW w:w="1851" w:type="dxa"/>
          </w:tcPr>
          <w:p w14:paraId="5846A9F8" w14:textId="1CA4D552" w:rsidR="00084A3F" w:rsidRPr="000203E1" w:rsidRDefault="00000000" w:rsidP="00824B92">
            <w:sdt>
              <w:sdtPr>
                <w:rPr>
                  <w:rStyle w:val="Style2"/>
                  <w:sz w:val="24"/>
                </w:rPr>
                <w:id w:val="1558205022"/>
                <w15:color w:val="FFCC00"/>
                <w14:checkbox>
                  <w14:checked w14:val="1"/>
                  <w14:checkedState w14:val="2612" w14:font="MS Gothic"/>
                  <w14:uncheckedState w14:val="2610" w14:font="MS Gothic"/>
                </w14:checkbox>
              </w:sdtPr>
              <w:sdtContent>
                <w:r w:rsidR="00084A3F">
                  <w:rPr>
                    <w:rStyle w:val="Style2"/>
                    <w:rFonts w:ascii="MS Gothic" w:eastAsia="MS Gothic" w:hAnsi="MS Gothic" w:hint="eastAsia"/>
                    <w:sz w:val="24"/>
                  </w:rPr>
                  <w:t>☒</w:t>
                </w:r>
              </w:sdtContent>
            </w:sdt>
            <w:r w:rsidR="00084A3F" w:rsidRPr="000203E1">
              <w:t xml:space="preserve"> Taip</w:t>
            </w:r>
          </w:p>
          <w:p w14:paraId="29F3627E" w14:textId="77777777" w:rsidR="00084A3F" w:rsidRPr="000203E1" w:rsidRDefault="00000000" w:rsidP="00824B92">
            <w:sdt>
              <w:sdtPr>
                <w:rPr>
                  <w:rStyle w:val="Style2"/>
                  <w:sz w:val="24"/>
                </w:rPr>
                <w:id w:val="866029625"/>
                <w15:color w:val="FFCC00"/>
                <w14:checkbox>
                  <w14:checked w14:val="0"/>
                  <w14:checkedState w14:val="2612" w14:font="MS Gothic"/>
                  <w14:uncheckedState w14:val="2610" w14:font="MS Gothic"/>
                </w14:checkbox>
              </w:sdtPr>
              <w:sdtContent>
                <w:r w:rsidR="00084A3F" w:rsidRPr="000203E1">
                  <w:rPr>
                    <w:rStyle w:val="Style2"/>
                    <w:rFonts w:ascii="Segoe UI Symbol" w:eastAsia="MS Gothic" w:hAnsi="Segoe UI Symbol" w:cs="Segoe UI Symbol"/>
                    <w:sz w:val="24"/>
                  </w:rPr>
                  <w:t>☐</w:t>
                </w:r>
              </w:sdtContent>
            </w:sdt>
            <w:r w:rsidR="00084A3F" w:rsidRPr="000203E1">
              <w:t xml:space="preserve"> Ne</w:t>
            </w:r>
          </w:p>
          <w:p w14:paraId="7916359D" w14:textId="448FEF6A" w:rsidR="00084A3F" w:rsidRPr="000203E1" w:rsidRDefault="00000000" w:rsidP="00824B92">
            <w:pPr>
              <w:rPr>
                <w:rFonts w:eastAsia="Arial"/>
              </w:rPr>
            </w:pPr>
            <w:sdt>
              <w:sdtPr>
                <w:alias w:val="Nurodykite konkrečią dieną"/>
                <w:tag w:val="Nurodykite pradžios datą"/>
                <w:id w:val="922837954"/>
                <w:placeholder>
                  <w:docPart w:val="ECFFEA78C715405E8AF991CED8D8D81E"/>
                </w:placeholder>
                <w15:color w:val="FFCC99"/>
                <w:date w:fullDate="2022-06-29T00:00:00Z">
                  <w:dateFormat w:val="yyyy 'm.' MMMM d 'd.'"/>
                  <w:lid w:val="lt-LT"/>
                  <w:storeMappedDataAs w:val="dateTime"/>
                  <w:calendar w:val="gregorian"/>
                </w:date>
              </w:sdtPr>
              <w:sdtContent>
                <w:r w:rsidR="00084A3F">
                  <w:t>2022 m. birželio 29 d.</w:t>
                </w:r>
              </w:sdtContent>
            </w:sdt>
          </w:p>
        </w:tc>
        <w:tc>
          <w:tcPr>
            <w:tcW w:w="4787" w:type="dxa"/>
            <w:gridSpan w:val="2"/>
          </w:tcPr>
          <w:p w14:paraId="67430EE7" w14:textId="50C40F30" w:rsidR="00084A3F" w:rsidRPr="000203E1" w:rsidRDefault="00F2781D" w:rsidP="00824B92">
            <w:pPr>
              <w:rPr>
                <w:rFonts w:eastAsia="Arial"/>
              </w:rPr>
            </w:pPr>
            <w:r>
              <w:rPr>
                <w:rFonts w:eastAsia="Arial"/>
              </w:rPr>
              <w:t>Nesiskiriantis klinikinis efektyvumas.</w:t>
            </w:r>
          </w:p>
        </w:tc>
      </w:tr>
      <w:tr w:rsidR="00084A3F" w:rsidRPr="000203E1" w14:paraId="1CC31474" w14:textId="77777777" w:rsidTr="00442B7E">
        <w:trPr>
          <w:trHeight w:val="1547"/>
        </w:trPr>
        <w:tc>
          <w:tcPr>
            <w:tcW w:w="2855" w:type="dxa"/>
          </w:tcPr>
          <w:p w14:paraId="12218E35" w14:textId="77777777" w:rsidR="00084A3F" w:rsidRPr="000203E1" w:rsidRDefault="00084A3F" w:rsidP="00824B92">
            <w:pPr>
              <w:rPr>
                <w:rFonts w:eastAsia="Arial"/>
                <w:lang w:val="en-GB"/>
              </w:rPr>
            </w:pPr>
            <w:r w:rsidRPr="000203E1">
              <w:rPr>
                <w:rFonts w:eastAsia="Arial"/>
                <w:lang w:val="en-GB"/>
              </w:rPr>
              <w:t>Kanados sveikatos technologijų agentūra</w:t>
            </w:r>
          </w:p>
          <w:p w14:paraId="2C593A82" w14:textId="77777777" w:rsidR="00084A3F" w:rsidRPr="000203E1" w:rsidRDefault="00084A3F" w:rsidP="00824B92">
            <w:pPr>
              <w:rPr>
                <w:rFonts w:eastAsia="Arial"/>
                <w:lang w:val="en-GB"/>
              </w:rPr>
            </w:pPr>
            <w:r w:rsidRPr="000203E1">
              <w:rPr>
                <w:rFonts w:eastAsia="Arial"/>
                <w:lang w:val="en-GB"/>
              </w:rPr>
              <w:t xml:space="preserve">(angl. </w:t>
            </w:r>
            <w:r w:rsidRPr="000203E1">
              <w:rPr>
                <w:rFonts w:eastAsia="Arial"/>
                <w:i/>
                <w:lang w:val="en-GB"/>
              </w:rPr>
              <w:t>Canadian health Technology Assessment agency, CADTH</w:t>
            </w:r>
            <w:r w:rsidRPr="000203E1">
              <w:rPr>
                <w:rFonts w:eastAsia="Arial"/>
                <w:lang w:val="en-GB"/>
              </w:rPr>
              <w:t>)</w:t>
            </w:r>
          </w:p>
        </w:tc>
        <w:tc>
          <w:tcPr>
            <w:tcW w:w="1851" w:type="dxa"/>
          </w:tcPr>
          <w:p w14:paraId="762649FE" w14:textId="2146D030" w:rsidR="00084A3F" w:rsidRPr="000203E1" w:rsidRDefault="00000000" w:rsidP="00824B92">
            <w:sdt>
              <w:sdtPr>
                <w:rPr>
                  <w:rStyle w:val="Style2"/>
                  <w:sz w:val="24"/>
                </w:rPr>
                <w:id w:val="-372539057"/>
                <w15:color w:val="FFCC00"/>
                <w14:checkbox>
                  <w14:checked w14:val="1"/>
                  <w14:checkedState w14:val="2612" w14:font="MS Gothic"/>
                  <w14:uncheckedState w14:val="2610" w14:font="MS Gothic"/>
                </w14:checkbox>
              </w:sdtPr>
              <w:sdtContent>
                <w:r w:rsidR="00084A3F">
                  <w:rPr>
                    <w:rStyle w:val="Style2"/>
                    <w:rFonts w:ascii="MS Gothic" w:eastAsia="MS Gothic" w:hAnsi="MS Gothic" w:hint="eastAsia"/>
                    <w:sz w:val="24"/>
                  </w:rPr>
                  <w:t>☒</w:t>
                </w:r>
              </w:sdtContent>
            </w:sdt>
            <w:r w:rsidR="00084A3F" w:rsidRPr="000203E1">
              <w:t xml:space="preserve"> Taip</w:t>
            </w:r>
          </w:p>
          <w:p w14:paraId="35F17B07" w14:textId="77777777" w:rsidR="00084A3F" w:rsidRPr="000203E1" w:rsidRDefault="00000000" w:rsidP="00824B92">
            <w:sdt>
              <w:sdtPr>
                <w:rPr>
                  <w:rStyle w:val="Style2"/>
                  <w:sz w:val="24"/>
                </w:rPr>
                <w:id w:val="594442222"/>
                <w15:color w:val="FFCC00"/>
                <w14:checkbox>
                  <w14:checked w14:val="0"/>
                  <w14:checkedState w14:val="2612" w14:font="MS Gothic"/>
                  <w14:uncheckedState w14:val="2610" w14:font="MS Gothic"/>
                </w14:checkbox>
              </w:sdtPr>
              <w:sdtContent>
                <w:r w:rsidR="00084A3F" w:rsidRPr="000203E1">
                  <w:rPr>
                    <w:rStyle w:val="Style2"/>
                    <w:rFonts w:ascii="Segoe UI Symbol" w:eastAsia="MS Gothic" w:hAnsi="Segoe UI Symbol" w:cs="Segoe UI Symbol"/>
                    <w:sz w:val="24"/>
                  </w:rPr>
                  <w:t>☐</w:t>
                </w:r>
              </w:sdtContent>
            </w:sdt>
            <w:r w:rsidR="00084A3F" w:rsidRPr="000203E1">
              <w:t xml:space="preserve"> Ne</w:t>
            </w:r>
          </w:p>
          <w:p w14:paraId="0C0988CC" w14:textId="6B2A8F52" w:rsidR="00084A3F" w:rsidRPr="000203E1" w:rsidRDefault="00000000" w:rsidP="00824B92">
            <w:pPr>
              <w:rPr>
                <w:rFonts w:eastAsia="Arial"/>
              </w:rPr>
            </w:pPr>
            <w:sdt>
              <w:sdtPr>
                <w:alias w:val="Nurodykite konkrečią dieną"/>
                <w:tag w:val="Nurodykite pradžios datą"/>
                <w:id w:val="1072468416"/>
                <w:placeholder>
                  <w:docPart w:val="F848472D87EF41B9967E381DC612B4D8"/>
                </w:placeholder>
                <w15:color w:val="FFCC99"/>
                <w:date w:fullDate="2022-08-24T00:00:00Z">
                  <w:dateFormat w:val="yyyy 'm.' MMMM d 'd.'"/>
                  <w:lid w:val="lt-LT"/>
                  <w:storeMappedDataAs w:val="dateTime"/>
                  <w:calendar w:val="gregorian"/>
                </w:date>
              </w:sdtPr>
              <w:sdtContent>
                <w:r w:rsidR="00084A3F">
                  <w:t>2022 m. rugpjūčio 24 d.</w:t>
                </w:r>
              </w:sdtContent>
            </w:sdt>
          </w:p>
        </w:tc>
        <w:tc>
          <w:tcPr>
            <w:tcW w:w="4787" w:type="dxa"/>
            <w:gridSpan w:val="2"/>
          </w:tcPr>
          <w:p w14:paraId="1F599B46" w14:textId="6733FED5" w:rsidR="00084A3F" w:rsidRDefault="00F2781D" w:rsidP="00824B92">
            <w:pPr>
              <w:rPr>
                <w:rFonts w:eastAsia="Arial"/>
              </w:rPr>
            </w:pPr>
            <w:r>
              <w:rPr>
                <w:rFonts w:eastAsia="Arial"/>
              </w:rPr>
              <w:t>Nesiskiriantis klinikinis efektyvumas, turėtų būti skiriamas tik tokiu atveju, jei būtų pigiausia gydymo alternatyva.</w:t>
            </w:r>
          </w:p>
          <w:p w14:paraId="5C8CB330" w14:textId="77777777" w:rsidR="00F2781D" w:rsidRPr="00F2781D" w:rsidRDefault="00F2781D" w:rsidP="00F2781D">
            <w:pPr>
              <w:rPr>
                <w:rFonts w:eastAsia="Arial"/>
              </w:rPr>
            </w:pPr>
          </w:p>
        </w:tc>
      </w:tr>
      <w:tr w:rsidR="00F2781D" w:rsidRPr="000203E1" w14:paraId="21C94D47" w14:textId="77777777" w:rsidTr="00523B5E">
        <w:trPr>
          <w:trHeight w:val="2160"/>
        </w:trPr>
        <w:tc>
          <w:tcPr>
            <w:tcW w:w="2855" w:type="dxa"/>
          </w:tcPr>
          <w:p w14:paraId="02F45BB8" w14:textId="77777777" w:rsidR="00F2781D" w:rsidRPr="000203E1" w:rsidRDefault="00F2781D" w:rsidP="00F2781D">
            <w:pPr>
              <w:rPr>
                <w:rFonts w:eastAsia="Arial"/>
              </w:rPr>
            </w:pPr>
            <w:r w:rsidRPr="000203E1">
              <w:rPr>
                <w:rFonts w:eastAsia="Arial"/>
              </w:rPr>
              <w:t>Nacionalinis farmakoekonomikos centras, Airija</w:t>
            </w:r>
          </w:p>
          <w:p w14:paraId="736F5072" w14:textId="77777777" w:rsidR="00F2781D" w:rsidRPr="000203E1" w:rsidRDefault="00F2781D" w:rsidP="00F2781D">
            <w:pPr>
              <w:rPr>
                <w:rFonts w:eastAsia="Arial"/>
              </w:rPr>
            </w:pPr>
            <w:r w:rsidRPr="000203E1">
              <w:rPr>
                <w:rFonts w:eastAsia="Arial"/>
              </w:rPr>
              <w:t>(angl.</w:t>
            </w:r>
            <w:r w:rsidRPr="000203E1">
              <w:rPr>
                <w:rFonts w:eastAsia="Arial"/>
                <w:i/>
              </w:rPr>
              <w:t xml:space="preserve"> National Centre for Pharmacoeconomics, NCPE</w:t>
            </w:r>
            <w:r w:rsidRPr="000203E1">
              <w:rPr>
                <w:rFonts w:eastAsia="Arial"/>
              </w:rPr>
              <w:t>)</w:t>
            </w:r>
          </w:p>
        </w:tc>
        <w:tc>
          <w:tcPr>
            <w:tcW w:w="1851" w:type="dxa"/>
          </w:tcPr>
          <w:p w14:paraId="106E24DF" w14:textId="77777777" w:rsidR="00F2781D" w:rsidRPr="000203E1" w:rsidRDefault="00000000" w:rsidP="00F2781D">
            <w:sdt>
              <w:sdtPr>
                <w:rPr>
                  <w:rStyle w:val="Style2"/>
                  <w:sz w:val="24"/>
                </w:rPr>
                <w:id w:val="-1888403732"/>
                <w15:color w:val="FFCC00"/>
                <w14:checkbox>
                  <w14:checked w14:val="0"/>
                  <w14:checkedState w14:val="2612" w14:font="MS Gothic"/>
                  <w14:uncheckedState w14:val="2610" w14:font="MS Gothic"/>
                </w14:checkbox>
              </w:sdtPr>
              <w:sdtContent>
                <w:r w:rsidR="00F2781D" w:rsidRPr="000203E1">
                  <w:rPr>
                    <w:rStyle w:val="Style2"/>
                    <w:rFonts w:ascii="Segoe UI Symbol" w:eastAsia="MS Gothic" w:hAnsi="Segoe UI Symbol" w:cs="Segoe UI Symbol"/>
                    <w:sz w:val="24"/>
                  </w:rPr>
                  <w:t>☐</w:t>
                </w:r>
              </w:sdtContent>
            </w:sdt>
            <w:r w:rsidR="00F2781D" w:rsidRPr="000203E1">
              <w:t xml:space="preserve"> Taip</w:t>
            </w:r>
          </w:p>
          <w:p w14:paraId="6C89485D" w14:textId="4A42493A" w:rsidR="00F2781D" w:rsidRPr="000203E1" w:rsidRDefault="00000000" w:rsidP="00F2781D">
            <w:sdt>
              <w:sdtPr>
                <w:rPr>
                  <w:rStyle w:val="Style2"/>
                  <w:sz w:val="24"/>
                </w:rPr>
                <w:id w:val="1092201793"/>
                <w15:color w:val="FFCC00"/>
                <w14:checkbox>
                  <w14:checked w14:val="1"/>
                  <w14:checkedState w14:val="2612" w14:font="MS Gothic"/>
                  <w14:uncheckedState w14:val="2610" w14:font="MS Gothic"/>
                </w14:checkbox>
              </w:sdtPr>
              <w:sdtContent>
                <w:r w:rsidR="00F2781D">
                  <w:rPr>
                    <w:rStyle w:val="Style2"/>
                    <w:rFonts w:ascii="MS Gothic" w:eastAsia="MS Gothic" w:hAnsi="MS Gothic" w:hint="eastAsia"/>
                    <w:sz w:val="24"/>
                  </w:rPr>
                  <w:t>☒</w:t>
                </w:r>
              </w:sdtContent>
            </w:sdt>
            <w:r w:rsidR="00F2781D" w:rsidRPr="000203E1">
              <w:t xml:space="preserve"> Ne</w:t>
            </w:r>
          </w:p>
          <w:p w14:paraId="69AA1151" w14:textId="225092CB" w:rsidR="00F2781D" w:rsidRPr="000203E1" w:rsidRDefault="00F2781D" w:rsidP="00F2781D">
            <w:pPr>
              <w:rPr>
                <w:rFonts w:eastAsia="Arial"/>
              </w:rPr>
            </w:pPr>
          </w:p>
        </w:tc>
        <w:tc>
          <w:tcPr>
            <w:tcW w:w="4787" w:type="dxa"/>
            <w:gridSpan w:val="2"/>
          </w:tcPr>
          <w:p w14:paraId="60651AFD" w14:textId="692C1A89" w:rsidR="00F2781D" w:rsidRPr="000203E1" w:rsidRDefault="00F2781D" w:rsidP="00F2781D">
            <w:pPr>
              <w:rPr>
                <w:rFonts w:eastAsia="Arial"/>
              </w:rPr>
            </w:pPr>
            <w:r>
              <w:rPr>
                <w:rFonts w:eastAsia="Arial"/>
              </w:rPr>
              <w:t>Vyksta vertinimas</w:t>
            </w:r>
          </w:p>
        </w:tc>
      </w:tr>
    </w:tbl>
    <w:p w14:paraId="2EB7FD31" w14:textId="4D2A8479" w:rsidR="007A2B68" w:rsidRPr="000203E1" w:rsidRDefault="007A2B68" w:rsidP="00E03C3F">
      <w:pPr>
        <w:pStyle w:val="Sraopastraipa"/>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5055E8A8" w14:textId="471A9757" w:rsidR="002E6F80" w:rsidRDefault="00CC7832" w:rsidP="00CC09D4">
      <w:pPr>
        <w:pStyle w:val="Sraopastraipa"/>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1CB4715D" w14:textId="77777777" w:rsidR="007C6AF4" w:rsidRPr="000203E1" w:rsidRDefault="007C6AF4" w:rsidP="007C6AF4">
      <w:pPr>
        <w:pStyle w:val="Sraopastraipa"/>
        <w:tabs>
          <w:tab w:val="left" w:pos="567"/>
        </w:tabs>
        <w:ind w:left="927"/>
        <w:rPr>
          <w:b/>
          <w:bCs/>
          <w:caps/>
        </w:rPr>
      </w:pPr>
    </w:p>
    <w:p w14:paraId="23B81831" w14:textId="77777777" w:rsidR="00F30B60" w:rsidRDefault="00F30B60" w:rsidP="00F30B60">
      <w:pPr>
        <w:spacing w:line="276" w:lineRule="auto"/>
        <w:ind w:firstLine="720"/>
        <w:jc w:val="both"/>
      </w:pPr>
      <w:r>
        <w:t xml:space="preserve">Diabetinė retinopatija (DR) yra dažna mikrokraujagyslinė diabeto komplikacija, galinti sukelti regėjimo praradimą ir aklumą. Ji lemia 2,5 % visų aklumo atvejų ir 1,4 % visų vidutinio sunkumo ir sunkių regėjimo sutrikimų. Diabetinė geltonosios dėmės edema (DGDE) yra sunki DR apraiška, ir pagrindinė DR sergančių pacientų centrinio regėjimo netekimo priežastis. Vidutinis DGDE sergančių pacientų amžius priklauso nuo cukrinio diabeto tipo, ir yra maždaug 60-70 metų, sergantiesiems 2 tipo cukriniu diabetu, arba  maždaug  37-50 metų sergantiesiems 1 tipo cukriniu diabetu. </w:t>
      </w:r>
    </w:p>
    <w:p w14:paraId="6884C479" w14:textId="77777777" w:rsidR="00F30B60" w:rsidRDefault="00F30B60" w:rsidP="00F30B60">
      <w:pPr>
        <w:spacing w:line="276" w:lineRule="auto"/>
        <w:ind w:firstLine="720"/>
        <w:jc w:val="both"/>
        <w:rPr>
          <w:szCs w:val="20"/>
        </w:rPr>
      </w:pPr>
      <w:bookmarkStart w:id="2" w:name="_Hlk179618538"/>
      <w:r>
        <w:t>Remiantis LR Sveikatos apsaugos ministro 2014 m. rugpjūčio 28 d. įsakymu Nr. V-910 „Dėl centralizuotai apmokamų vaistinių preparatų ir medicinos pagalbos priemonių sąrašo patvirtinimo“ ranibizumabas ar afliberceptas yra centralizuotai perkami pacientų, sergančių DGDE, gydymui. Lietuvoje šiuo metu nėra numatyta vieno anti-KEAF vaistinių preparato keitimo kitu tos pačios grupės vaistu pacientams sergantiems DGDE, kurie nepakankamai reagavo į gydymą pirmuoju anti-KEAF, arba kuriems pirmuoju anti-KEAF pradėtas gydymas buvo nutrauktas dėl netinkamumo.</w:t>
      </w:r>
    </w:p>
    <w:p w14:paraId="48724A65" w14:textId="77777777" w:rsidR="00F30B60" w:rsidRDefault="00F30B60" w:rsidP="00F30B60">
      <w:pPr>
        <w:spacing w:line="276" w:lineRule="auto"/>
        <w:ind w:firstLine="720"/>
        <w:jc w:val="both"/>
        <w:rPr>
          <w:rFonts w:eastAsia="Arial"/>
          <w:iCs/>
        </w:rPr>
      </w:pPr>
      <w:r>
        <w:rPr>
          <w:rFonts w:eastAsia="Arial"/>
          <w:iCs/>
        </w:rPr>
        <w:t>Faricimabas yra humanizuotas bispecifinis imunoglobulino G1 (IgG1) klasės antikūnas, kuris veikia slopindamas du skirtingus mechanizmus – neutralizuodamas tiek angiopoetiną-2 (Ang-2), tiek ir kraujagyslių endotelio augimo faktorių A (KEAF-A).</w:t>
      </w:r>
    </w:p>
    <w:p w14:paraId="639CE8DE" w14:textId="77777777" w:rsidR="00F30B60" w:rsidRDefault="00F30B60" w:rsidP="00F30B60">
      <w:pPr>
        <w:spacing w:line="276" w:lineRule="auto"/>
        <w:ind w:firstLine="720"/>
        <w:jc w:val="both"/>
        <w:rPr>
          <w:szCs w:val="20"/>
        </w:rPr>
      </w:pPr>
      <w:r>
        <w:rPr>
          <w:rFonts w:eastAsia="Arial"/>
          <w:iCs/>
        </w:rPr>
        <w:t xml:space="preserve">Faricimabo veiksmingumas ir saugumas DGDE gydymui buvo tirtas dviejuose identiško dizaino, dvigubai koduotuose, daugiacentriuose, randomizuotuose, aktyviu palyginamuoju vaistiniu preparatu kontroliuojamuose III fazės klinikiniuose tyrimuose YOSEMITE ir RHINE (N=1891).  </w:t>
      </w:r>
    </w:p>
    <w:p w14:paraId="159E873C" w14:textId="77777777" w:rsidR="00F30B60" w:rsidRDefault="00F30B60" w:rsidP="00F30B60">
      <w:pPr>
        <w:spacing w:line="276" w:lineRule="auto"/>
        <w:ind w:firstLine="720"/>
        <w:jc w:val="both"/>
      </w:pPr>
      <w:r>
        <w:t xml:space="preserve">Atlikus detalų klininį vertinimą nustatyta, kad ranibizumabas, kaip palyginamasis gydymas, atitinka pirmąją Pareiškėjo siūlomų skyrimo sąlygų dalį (faricimabas skiriamas kaip pirmos eilės gydymas, pacientams, kurie anksčiau nėra gavę gydymo dėl DGDE), tačiau neatitinka antrosios Pareiškėjo siūlomų sąlygų dalies (faricimabas skiriamas pacientams, kurie </w:t>
      </w:r>
      <w:r>
        <w:rPr>
          <w:spacing w:val="-4"/>
        </w:rPr>
        <w:t xml:space="preserve">nepakankamai reaguoja į gydymą pirmuoju </w:t>
      </w:r>
      <w:r>
        <w:rPr>
          <w:i/>
          <w:spacing w:val="-4"/>
        </w:rPr>
        <w:t>anti-</w:t>
      </w:r>
      <w:r>
        <w:rPr>
          <w:spacing w:val="-4"/>
        </w:rPr>
        <w:t xml:space="preserve">KEAF, arba, kuriems </w:t>
      </w:r>
      <w:r>
        <w:t xml:space="preserve">pirmuoju </w:t>
      </w:r>
      <w:r>
        <w:rPr>
          <w:i/>
        </w:rPr>
        <w:t>anti-</w:t>
      </w:r>
      <w:r>
        <w:t xml:space="preserve">KEAF pradėtas gydymas buvo nutrauktas dėl netinkamumo, ir kuriems yra tinkamas kito </w:t>
      </w:r>
      <w:r>
        <w:rPr>
          <w:i/>
        </w:rPr>
        <w:t>anti-</w:t>
      </w:r>
      <w:r>
        <w:t>KEAF vaistinio preparato taikymas). Tarnybos vertinimu pacientams, kurie nepakankamai reagavo į gydymą pirmuoju anti-KEAF, arba kuriems pirmuoju anti-KEAF pradėtas gydymas buvo nutrauktas dėl netinkamumo, gydymas faricimabu turėtų būti lyginamas su deksametazonu. Šiuo atveju Pareiškėjo pateiktas palyginamieji vaistai – ranibizumabas ir afliberceptas - nėra tinkami.</w:t>
      </w:r>
    </w:p>
    <w:bookmarkEnd w:id="2"/>
    <w:p w14:paraId="7DB6C290" w14:textId="77777777" w:rsidR="00F30B60" w:rsidRDefault="00F30B60" w:rsidP="00F30B60">
      <w:pPr>
        <w:tabs>
          <w:tab w:val="left" w:pos="284"/>
        </w:tabs>
        <w:spacing w:line="276" w:lineRule="auto"/>
        <w:ind w:firstLine="720"/>
        <w:jc w:val="both"/>
        <w:rPr>
          <w:i/>
          <w:iCs/>
        </w:rPr>
      </w:pPr>
    </w:p>
    <w:p w14:paraId="6753103C" w14:textId="77777777" w:rsidR="00F30B60" w:rsidRDefault="00F30B60" w:rsidP="00F30B60">
      <w:pPr>
        <w:tabs>
          <w:tab w:val="left" w:pos="284"/>
        </w:tabs>
        <w:spacing w:line="276" w:lineRule="auto"/>
        <w:ind w:firstLine="720"/>
        <w:jc w:val="both"/>
      </w:pPr>
      <w:r>
        <w:rPr>
          <w:i/>
          <w:iCs/>
        </w:rPr>
        <w:t>Tiesioginis palyginimas</w:t>
      </w:r>
      <w:r>
        <w:rPr>
          <w:rFonts w:eastAsia="Arial"/>
          <w:iCs/>
        </w:rPr>
        <w:t xml:space="preserve"> </w:t>
      </w:r>
    </w:p>
    <w:p w14:paraId="78A2CCCC" w14:textId="77777777" w:rsidR="00F30B60" w:rsidRDefault="00F30B60" w:rsidP="00F30B60">
      <w:pPr>
        <w:tabs>
          <w:tab w:val="left" w:pos="284"/>
        </w:tabs>
        <w:spacing w:line="276" w:lineRule="auto"/>
        <w:ind w:firstLine="720"/>
        <w:jc w:val="both"/>
      </w:pPr>
      <w:r>
        <w:t xml:space="preserve">Palyginamuoju gydymu buvo pasirinktas vaistinis preparatas afliberceptas, kuris yra įtrauktas į centralizuotai apmokamų vaistų ir medicinos pagalbos priemonių sarašą, su atitinkančiomis skyrimo sąlygomis (analogiškos sąlygos siūlomos ir tos pačios farmakoterapinės grupės preparatui faricimabui). </w:t>
      </w:r>
    </w:p>
    <w:p w14:paraId="1897A9BE" w14:textId="77777777" w:rsidR="00F30B60" w:rsidRDefault="00F30B60" w:rsidP="00F30B60">
      <w:pPr>
        <w:tabs>
          <w:tab w:val="left" w:pos="426"/>
        </w:tabs>
        <w:spacing w:line="276" w:lineRule="auto"/>
        <w:ind w:firstLine="720"/>
        <w:jc w:val="both"/>
        <w:rPr>
          <w:rFonts w:eastAsia="Arial"/>
          <w:color w:val="FF0000"/>
        </w:rPr>
      </w:pPr>
      <w:r>
        <w:rPr>
          <w:u w:val="single"/>
        </w:rPr>
        <w:t>Pirminė vertinamoji baigtis</w:t>
      </w:r>
      <w:r>
        <w:t xml:space="preserve"> YOSEMITE ir RHINE tyrimuose </w:t>
      </w:r>
      <w:r>
        <w:rPr>
          <w:rFonts w:eastAsia="Arial"/>
        </w:rPr>
        <w:t xml:space="preserve">buvo GKRA rodmens pokytis nuo pradinių reikšmių iki 48-osios, 52-osios ir 56-osios savaitės, išmatuotas naudojant ETDRS raidžių skalę. Bendroje, abiejų tyrimų, populiacijoje (angl. </w:t>
      </w:r>
      <w:r>
        <w:rPr>
          <w:rFonts w:eastAsia="Arial"/>
          <w:i/>
        </w:rPr>
        <w:t>pooled population</w:t>
      </w:r>
      <w:r>
        <w:rPr>
          <w:rFonts w:eastAsia="Arial"/>
        </w:rPr>
        <w:t xml:space="preserve">) vidutinis GKRA pokytis po 48, 52 ir 56 savaičių buvo 11,2, 11,2 ir 10,5 raidės faricimabo Q8W, PTI gydymo režimų grupėse ir aflibercepto Q8W grupėje atitinkamai. Skirtumas tarp faricimabo Q8W ir PTI palyginimus su aflibercepto Q8W gydymo režimo grupe, buvo 0,7 raidės </w:t>
      </w:r>
      <w:r>
        <w:t xml:space="preserve">(95% CI: -0,4, 1,7) ir 0,6 raidės (95% CI: -0,4, 1,7) atitinkamai ir </w:t>
      </w:r>
      <w:r>
        <w:rPr>
          <w:u w:val="single"/>
        </w:rPr>
        <w:t>statistiškai reikšmingai nesiskyrė</w:t>
      </w:r>
      <w:r>
        <w:t xml:space="preserve">. Abiejuose tyrimuose pacientai, gydyti faricimabu Q8W arba PTI neturėjo statistiškai reikšmingai didesnio GKRA pokyčio po 48/52/56 tyrimo savaičių lyginant su pacientais, gydytais afliberceptu Q8W. Bendroje abiejų tyrimų </w:t>
      </w:r>
      <w:r>
        <w:lastRenderedPageBreak/>
        <w:t>populiacijoje vidutinis GKRA pokytis nuo pradinių reikšmių faricimabo Q8W arba PTI grupėse ir aflibercepto Q8W grupėje buvo atitinkamai 0,3 raidės (95% CI: -0,1, 1,5) ir 0,4 raidės (95% CI: -0,9, 1,6) 48/52/56 tyrimo savaitę.</w:t>
      </w:r>
    </w:p>
    <w:p w14:paraId="0D57ACC7" w14:textId="77777777" w:rsidR="00F30B60" w:rsidRDefault="00F30B60" w:rsidP="00F30B60">
      <w:pPr>
        <w:tabs>
          <w:tab w:val="left" w:pos="426"/>
        </w:tabs>
        <w:spacing w:line="276" w:lineRule="auto"/>
        <w:ind w:firstLine="720"/>
        <w:jc w:val="both"/>
        <w:rPr>
          <w:rFonts w:eastAsia="Arial"/>
          <w:iCs/>
        </w:rPr>
      </w:pPr>
      <w:r>
        <w:t>Bendrai, f</w:t>
      </w:r>
      <w:r>
        <w:rPr>
          <w:rFonts w:eastAsia="Arial"/>
          <w:iCs/>
        </w:rPr>
        <w:t>aricimabas buvo gerai toleruojamas, šio vaistinio preparato saugumo profilis buvo priimtinas lyginant su afliberceptu. Nepageidaujamų reakcijų, susijusių su gydyta akimi, dažnis buvo panašus tarp pacientų gydytų faricimabu ir afliberceptu. Dauguma šių reakcijų buvo lengvos ar vidutinio sunkumo ir pasiskirstė tolygiai tarp gydymo grupių. Sunkios nepageidaujamos reakcijos iš esmės pasiskirstė tolygiai tarp skirtingų gydymo grupių, skirtumai nebuvo kliniškai reikšmingi.</w:t>
      </w:r>
    </w:p>
    <w:p w14:paraId="778BFE18" w14:textId="77777777" w:rsidR="00F30B60" w:rsidRDefault="00F30B60" w:rsidP="00F30B60">
      <w:pPr>
        <w:tabs>
          <w:tab w:val="left" w:pos="426"/>
        </w:tabs>
        <w:spacing w:line="276" w:lineRule="auto"/>
        <w:ind w:firstLine="720"/>
        <w:jc w:val="both"/>
        <w:rPr>
          <w:szCs w:val="20"/>
        </w:rPr>
      </w:pPr>
    </w:p>
    <w:p w14:paraId="509FDA93" w14:textId="77777777" w:rsidR="00F30B60" w:rsidRDefault="00F30B60" w:rsidP="00F30B60">
      <w:pPr>
        <w:tabs>
          <w:tab w:val="left" w:pos="284"/>
        </w:tabs>
        <w:spacing w:line="276" w:lineRule="auto"/>
        <w:ind w:firstLine="720"/>
        <w:jc w:val="both"/>
        <w:rPr>
          <w:rFonts w:eastAsia="Arial"/>
          <w:i/>
          <w:iCs/>
        </w:rPr>
      </w:pPr>
      <w:r>
        <w:rPr>
          <w:rFonts w:eastAsia="Arial"/>
          <w:i/>
          <w:iCs/>
        </w:rPr>
        <w:t>Netiesioginis palyginimas</w:t>
      </w:r>
    </w:p>
    <w:p w14:paraId="1F911CFC" w14:textId="77777777" w:rsidR="00F30B60" w:rsidRDefault="00F30B60" w:rsidP="00F30B60">
      <w:pPr>
        <w:tabs>
          <w:tab w:val="left" w:pos="284"/>
        </w:tabs>
        <w:spacing w:line="276" w:lineRule="auto"/>
        <w:ind w:firstLine="720"/>
        <w:jc w:val="both"/>
        <w:rPr>
          <w:bCs/>
          <w:iCs/>
          <w:lang w:eastAsia="lt-LT"/>
        </w:rPr>
      </w:pPr>
      <w:r>
        <w:rPr>
          <w:bCs/>
          <w:iCs/>
          <w:lang w:eastAsia="lt-LT"/>
        </w:rPr>
        <w:t>Netiesioginėje analizėje palyginamasis vaistinis preparatas – ranibizumabas – atitinka įprastą klinikinę praktiką Lietuvoje. Sisteminė literatūros apžvalga buvo atlikta siekiant identifikuoti įrodymus iš aktualių</w:t>
      </w:r>
      <w:r>
        <w:rPr>
          <w:bCs/>
          <w:iCs/>
          <w:color w:val="FF0000"/>
          <w:lang w:eastAsia="lt-LT"/>
        </w:rPr>
        <w:t xml:space="preserve"> </w:t>
      </w:r>
      <w:r>
        <w:rPr>
          <w:bCs/>
          <w:iCs/>
          <w:lang w:eastAsia="lt-LT"/>
        </w:rPr>
        <w:t xml:space="preserve">randomizuotų kontroliuojamų tyrimų, pagrindžiančius skirtingų vaistų, skiriamų DGDE gydymui, efektyvumą ir saugumą. Iš viso, į atranką buvo įtrauktos 6215 </w:t>
      </w:r>
      <w:r>
        <w:t xml:space="preserve">publikacijos. Iš viso analizei  buvo atrinktos 135 publikacijos, kuriose aprašyti 83 tyrimai buvo įtrauktos į sisteminę literatūros apžvalgą. Identifikavus aktualius tyrimus, buvo vertinta, ar jie yra tinkami atlikti tinklinei meta-analizei, dėl palyginamojo faricimabo ir kitų vaistinių preparatų DGDE gydymui efektyvumo. Vertinant buvo remiamasi PICO (angl. </w:t>
      </w:r>
      <w:r>
        <w:rPr>
          <w:i/>
        </w:rPr>
        <w:t>Population, Intervention, Comparison and Outcomes</w:t>
      </w:r>
      <w:r>
        <w:t>) kriterijais.</w:t>
      </w:r>
    </w:p>
    <w:p w14:paraId="1D11B263" w14:textId="77777777" w:rsidR="00F30B60" w:rsidRDefault="00F30B60" w:rsidP="00F30B60">
      <w:pPr>
        <w:pStyle w:val="NICEnormal"/>
        <w:spacing w:line="276" w:lineRule="auto"/>
        <w:ind w:firstLine="720"/>
        <w:jc w:val="both"/>
        <w:rPr>
          <w:rFonts w:ascii="Times New Roman" w:hAnsi="Times New Roman"/>
          <w:sz w:val="24"/>
          <w:lang w:val="lt-LT"/>
        </w:rPr>
      </w:pPr>
      <w:r>
        <w:rPr>
          <w:rFonts w:ascii="Times New Roman" w:hAnsi="Times New Roman"/>
          <w:sz w:val="24"/>
        </w:rPr>
        <w:t xml:space="preserve">Bazinio atvejo TMA rodo, kad faricimabo veiksmingumas yra panašus į visų palyginamųjų preparatų veiksmingumą, pagal vidutinį GKRA balų pokytį nuo pradinio lygio, laikotarpyje - iki vienerių metų. </w:t>
      </w:r>
      <w:r>
        <w:rPr>
          <w:rFonts w:ascii="Times New Roman" w:hAnsi="Times New Roman"/>
          <w:sz w:val="24"/>
          <w:lang w:val="lt-LT"/>
        </w:rPr>
        <w:t>Faricimabo regėjimo pokyčiai nuo pradinio laikotarpio iki vienerių metų yra panašūs į visų lyginamųjų preparatų regėjimo pokyčius. Modelio įvertinimas parodė, kad įtrauktų tyrimų heterogeniškumo nustatymui gali trūkti esamų duomenų, todėl gautas rezultatas turėtų būti interpretuojamas su atsargumu. TMA rezultatai laikytini patikimais ir atspindi naujausią faricimabo ir atitinkamų lyginamųjų preparatų lyginamojo veiksmingumo analizę. TMA rezultatai parodė, kad gydymas faricimabu yra panašus į gydymą kitais anti-KEAF vaistais, atsižvelgiant į regėjimo rezultatus pagal GKRA skalę ir morfologinius rezultatus, t.y. mažėjantį tinklainės storį, kai intravitrealinių injekcijų dažnis yra panašus arba mažesnis nei dabartinis priežiūros standartas</w:t>
      </w:r>
      <w:r>
        <w:rPr>
          <w:rFonts w:ascii="Times New Roman" w:eastAsia="Arial" w:hAnsi="Times New Roman"/>
          <w:sz w:val="24"/>
          <w:lang w:val="lt-LT"/>
        </w:rPr>
        <w:t>.</w:t>
      </w:r>
    </w:p>
    <w:p w14:paraId="4AF53457" w14:textId="77777777" w:rsidR="00F30B60" w:rsidRDefault="00F30B60" w:rsidP="00F30B60">
      <w:pPr>
        <w:spacing w:line="276" w:lineRule="auto"/>
        <w:ind w:firstLine="720"/>
        <w:jc w:val="both"/>
      </w:pPr>
      <w:r>
        <w:t xml:space="preserve">Nebuvo pagrįstas faricimabo veiksmingumas pacientams, kurie nepakankamai reagavo į gydymą pirmuoju anti-KEAF, arba, kuriems pirmuoju anti-KEAF pradėtas gydymas buvo neefektyvus, netoleruojamas arba kontraindikuotinas. Apibendrinant, faricimabo klinikinis veiksmingumas yra laikomas nesiskiriantis nuo ranibizumabo (kuris atitinka Lietuvos klinikinę praktiką) arba aflibercepto, gydant pacientus, sergančius DGDE, kurie anksčiau nebuvo gydyti anti-KEAF vaistiniais preparatais. </w:t>
      </w:r>
    </w:p>
    <w:p w14:paraId="25F89291" w14:textId="5C45C8FC" w:rsidR="00D4485B" w:rsidRPr="000203E1" w:rsidRDefault="00D4485B" w:rsidP="00A93AA6">
      <w:pPr>
        <w:pStyle w:val="Sraopastraipa"/>
        <w:tabs>
          <w:tab w:val="left" w:pos="426"/>
        </w:tabs>
        <w:ind w:left="0"/>
        <w:rPr>
          <w:b/>
          <w:bCs/>
          <w:caps/>
        </w:rPr>
      </w:pPr>
    </w:p>
    <w:p w14:paraId="7DE09EB5" w14:textId="69E9DD74" w:rsidR="00E03C3F" w:rsidRDefault="00CC7832" w:rsidP="00CC09D4">
      <w:pPr>
        <w:pStyle w:val="Sraopastraipa"/>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5BE142A1" w14:textId="77777777" w:rsidR="007C6AF4" w:rsidRPr="000203E1" w:rsidRDefault="007C6AF4" w:rsidP="007C6AF4">
      <w:pPr>
        <w:pStyle w:val="Sraopastraipa"/>
        <w:tabs>
          <w:tab w:val="left" w:pos="567"/>
        </w:tabs>
        <w:ind w:left="927"/>
        <w:rPr>
          <w:b/>
          <w:bCs/>
          <w:caps/>
        </w:rPr>
      </w:pPr>
    </w:p>
    <w:p w14:paraId="28552646" w14:textId="77777777" w:rsidR="00156835" w:rsidRPr="00156835" w:rsidRDefault="00156835" w:rsidP="00156835">
      <w:pPr>
        <w:tabs>
          <w:tab w:val="left" w:pos="567"/>
        </w:tabs>
        <w:spacing w:line="276" w:lineRule="auto"/>
        <w:ind w:firstLine="567"/>
        <w:jc w:val="both"/>
        <w:rPr>
          <w:iCs/>
        </w:rPr>
      </w:pPr>
      <w:r w:rsidRPr="00156835">
        <w:rPr>
          <w:iCs/>
        </w:rPr>
        <w:t xml:space="preserve">Vertinimui pateiktas analizės modelis, kuriame lyginami faricimabo ir aflibercepto kaštai. Tarnyba po pirminio išsamaus vertinimo kreipėsi į Pareiškėją, užduodama klausimus, kilusius vertinimo metu. Tarnyba nurodė, jog remiantis klinikinio vertinimo dalies išvada, prašoma faricimabo gydymo kaštus lyginti su ranibizumabo gydymo kaštais. Taip pat, Tarnyba pabrėžė, jog vykdant centralizuotus pirkimus ir vertinant vaisto kainas, yra lyginamos vaisto dozės kainos, o ne gydymo kurso kainos, todėl Pareiškėjo prašėme pateikti analizės scenarijų, kuriame įvadinis dozavimas taikomas pagal preparatų charakteristikų santrauką, o palaikomųjų dozių dažnis yra </w:t>
      </w:r>
      <w:r w:rsidRPr="00156835">
        <w:rPr>
          <w:iCs/>
        </w:rPr>
        <w:lastRenderedPageBreak/>
        <w:t>vienodas (kitaip sakant – analizėje turi būti lyginamos vienos pakuotės kainos, nes šiuo metu Lietuvoje diabetinės geltonosios dėmės edemos gydymas anti-KEAF preparatais yra finansuojamas centralizuotų pirkimų metu). Pareiškėjas atsisakė pateikti tokį analizės scenarijų. Dėl prašomo analizės scenarijaus paprastumo, Tarnyba atlieka kainų palyginimą.</w:t>
      </w:r>
    </w:p>
    <w:p w14:paraId="65AA0187" w14:textId="77777777" w:rsidR="00156835" w:rsidRPr="00156835" w:rsidRDefault="00156835" w:rsidP="00156835">
      <w:pPr>
        <w:tabs>
          <w:tab w:val="left" w:pos="567"/>
        </w:tabs>
        <w:spacing w:line="276" w:lineRule="auto"/>
        <w:ind w:firstLine="567"/>
        <w:jc w:val="both"/>
        <w:rPr>
          <w:iCs/>
        </w:rPr>
      </w:pPr>
      <w:r w:rsidRPr="00156835">
        <w:rPr>
          <w:iCs/>
        </w:rPr>
        <w:t>Pareiškėjas su paraiška pateikė PGS, tačiau remiantis VLK atliktu įtakos PSDF biudžetui vertinimu, PGS negali būti pritaikoma. Dėl šios priežasties, Tarnyba pateikia pakuočių palyginimą nepritaikius PGS siūlomos kainos ir pritaikius šią kainą, jei būtų rastas kitoks kainų mažinimo būdas.</w:t>
      </w:r>
    </w:p>
    <w:p w14:paraId="6268095B" w14:textId="4609776D" w:rsidR="00300FE6" w:rsidRDefault="00156835" w:rsidP="00156835">
      <w:pPr>
        <w:tabs>
          <w:tab w:val="left" w:pos="567"/>
        </w:tabs>
        <w:spacing w:line="276" w:lineRule="auto"/>
        <w:ind w:firstLine="567"/>
        <w:jc w:val="both"/>
        <w:rPr>
          <w:iCs/>
        </w:rPr>
      </w:pPr>
      <w:r w:rsidRPr="00156835">
        <w:rPr>
          <w:iCs/>
        </w:rPr>
        <w:t>Apskaičiavus analizės rezultatą nustatyta, jog gydymas Vabysmo (faricimabu) yra brangesnė gydymo alternatyva.</w:t>
      </w:r>
    </w:p>
    <w:p w14:paraId="2785CF69" w14:textId="77777777" w:rsidR="00156835" w:rsidRPr="00156835" w:rsidRDefault="00156835" w:rsidP="00156835">
      <w:pPr>
        <w:tabs>
          <w:tab w:val="left" w:pos="567"/>
        </w:tabs>
        <w:spacing w:line="276" w:lineRule="auto"/>
        <w:ind w:firstLine="567"/>
        <w:jc w:val="both"/>
        <w:rPr>
          <w:b/>
          <w:bCs/>
          <w:iCs/>
          <w:color w:val="000000"/>
          <w:lang w:eastAsia="lt-LT"/>
        </w:rPr>
      </w:pPr>
    </w:p>
    <w:p w14:paraId="4EA332BC" w14:textId="0887F253" w:rsidR="007E5632" w:rsidRPr="00D05364" w:rsidRDefault="007E5632" w:rsidP="007E5632">
      <w:pPr>
        <w:tabs>
          <w:tab w:val="left" w:pos="567"/>
        </w:tabs>
        <w:jc w:val="both"/>
        <w:rPr>
          <w:i/>
          <w:iCs/>
          <w:color w:val="00B050"/>
          <w:lang w:eastAsia="lt-LT"/>
        </w:rPr>
      </w:pPr>
      <w:r w:rsidRPr="00D05364">
        <w:rPr>
          <w:lang w:eastAsia="lt-LT"/>
        </w:rPr>
        <w:t>Pagrindinis ekonominės analizės rezultatas</w:t>
      </w:r>
    </w:p>
    <w:tbl>
      <w:tblPr>
        <w:tblStyle w:val="Lentelstinklelis"/>
        <w:tblW w:w="0" w:type="auto"/>
        <w:tblLook w:val="04A0" w:firstRow="1" w:lastRow="0" w:firstColumn="1" w:lastColumn="0" w:noHBand="0" w:noVBand="1"/>
      </w:tblPr>
      <w:tblGrid>
        <w:gridCol w:w="2420"/>
        <w:gridCol w:w="2400"/>
        <w:gridCol w:w="2397"/>
        <w:gridCol w:w="2412"/>
      </w:tblGrid>
      <w:tr w:rsidR="00156835" w:rsidRPr="00F22908" w14:paraId="60FA8D94" w14:textId="77777777" w:rsidTr="00156835">
        <w:tc>
          <w:tcPr>
            <w:tcW w:w="2420" w:type="dxa"/>
          </w:tcPr>
          <w:p w14:paraId="54792EF3" w14:textId="77777777" w:rsidR="00156835" w:rsidRPr="00F22908" w:rsidRDefault="00156835" w:rsidP="00AC0B0B">
            <w:pPr>
              <w:tabs>
                <w:tab w:val="left" w:pos="567"/>
              </w:tabs>
              <w:jc w:val="both"/>
            </w:pPr>
            <w:r w:rsidRPr="00F22908">
              <w:t>Vaistinis preparatas</w:t>
            </w:r>
          </w:p>
        </w:tc>
        <w:tc>
          <w:tcPr>
            <w:tcW w:w="2400" w:type="dxa"/>
          </w:tcPr>
          <w:p w14:paraId="480B0B93" w14:textId="77777777" w:rsidR="00156835" w:rsidRPr="00F22908" w:rsidRDefault="00156835" w:rsidP="00AC0B0B">
            <w:pPr>
              <w:tabs>
                <w:tab w:val="left" w:pos="567"/>
              </w:tabs>
              <w:jc w:val="both"/>
            </w:pPr>
            <w:r w:rsidRPr="00F22908">
              <w:t>Pakuotė</w:t>
            </w:r>
          </w:p>
        </w:tc>
        <w:tc>
          <w:tcPr>
            <w:tcW w:w="2397" w:type="dxa"/>
          </w:tcPr>
          <w:p w14:paraId="6AC7E46F" w14:textId="77777777" w:rsidR="00156835" w:rsidRPr="00F22908" w:rsidRDefault="00156835" w:rsidP="00AC0B0B">
            <w:pPr>
              <w:tabs>
                <w:tab w:val="left" w:pos="567"/>
              </w:tabs>
              <w:jc w:val="both"/>
            </w:pPr>
            <w:r w:rsidRPr="00F22908">
              <w:t>Bazinė kaina, EUR</w:t>
            </w:r>
          </w:p>
        </w:tc>
        <w:tc>
          <w:tcPr>
            <w:tcW w:w="2412" w:type="dxa"/>
          </w:tcPr>
          <w:p w14:paraId="119374F5" w14:textId="77777777" w:rsidR="00156835" w:rsidRPr="00F22908" w:rsidRDefault="00156835" w:rsidP="00AC0B0B">
            <w:pPr>
              <w:tabs>
                <w:tab w:val="left" w:pos="567"/>
              </w:tabs>
              <w:jc w:val="both"/>
            </w:pPr>
            <w:r w:rsidRPr="00F22908">
              <w:t>PGS (negali būti pritaikoma), EUR</w:t>
            </w:r>
          </w:p>
        </w:tc>
      </w:tr>
      <w:tr w:rsidR="00156835" w:rsidRPr="00F22908" w14:paraId="53C30DFF" w14:textId="77777777" w:rsidTr="00156835">
        <w:tc>
          <w:tcPr>
            <w:tcW w:w="2420" w:type="dxa"/>
          </w:tcPr>
          <w:p w14:paraId="071657E9" w14:textId="77777777" w:rsidR="00156835" w:rsidRPr="00F22908" w:rsidRDefault="00156835" w:rsidP="00AC0B0B">
            <w:pPr>
              <w:tabs>
                <w:tab w:val="left" w:pos="567"/>
              </w:tabs>
              <w:jc w:val="both"/>
            </w:pPr>
            <w:r w:rsidRPr="00F22908">
              <w:t>Faricimabas</w:t>
            </w:r>
          </w:p>
        </w:tc>
        <w:tc>
          <w:tcPr>
            <w:tcW w:w="2400" w:type="dxa"/>
          </w:tcPr>
          <w:p w14:paraId="7F3743C2" w14:textId="77777777" w:rsidR="00156835" w:rsidRPr="00F22908" w:rsidRDefault="00156835" w:rsidP="00AC0B0B">
            <w:pPr>
              <w:tabs>
                <w:tab w:val="left" w:pos="567"/>
              </w:tabs>
              <w:jc w:val="both"/>
            </w:pPr>
            <w:r w:rsidRPr="00F22908">
              <w:t>120 mg/ml (0,05 ml)</w:t>
            </w:r>
          </w:p>
        </w:tc>
        <w:tc>
          <w:tcPr>
            <w:tcW w:w="2397" w:type="dxa"/>
          </w:tcPr>
          <w:p w14:paraId="062F5993" w14:textId="40CE4B87" w:rsidR="00156835" w:rsidRPr="00F22908" w:rsidRDefault="00687D9E" w:rsidP="00AC0B0B">
            <w:pPr>
              <w:tabs>
                <w:tab w:val="left" w:pos="567"/>
              </w:tabs>
              <w:jc w:val="both"/>
            </w:pPr>
            <w:r>
              <w:t>***</w:t>
            </w:r>
          </w:p>
        </w:tc>
        <w:tc>
          <w:tcPr>
            <w:tcW w:w="2412" w:type="dxa"/>
          </w:tcPr>
          <w:p w14:paraId="618C05B0" w14:textId="628B5991" w:rsidR="00156835" w:rsidRPr="00F22908" w:rsidRDefault="00687D9E" w:rsidP="00AC0B0B">
            <w:pPr>
              <w:tabs>
                <w:tab w:val="left" w:pos="567"/>
              </w:tabs>
              <w:jc w:val="both"/>
            </w:pPr>
            <w:r>
              <w:t xml:space="preserve">*** </w:t>
            </w:r>
            <w:r w:rsidR="00156835" w:rsidRPr="00F22908">
              <w:t>*</w:t>
            </w:r>
          </w:p>
        </w:tc>
      </w:tr>
      <w:tr w:rsidR="00156835" w:rsidRPr="00F22908" w14:paraId="28465037" w14:textId="77777777" w:rsidTr="00156835">
        <w:tc>
          <w:tcPr>
            <w:tcW w:w="2420" w:type="dxa"/>
          </w:tcPr>
          <w:p w14:paraId="7CFCE067" w14:textId="77777777" w:rsidR="00156835" w:rsidRPr="00F22908" w:rsidRDefault="00156835" w:rsidP="00AC0B0B">
            <w:pPr>
              <w:tabs>
                <w:tab w:val="left" w:pos="567"/>
              </w:tabs>
              <w:jc w:val="both"/>
            </w:pPr>
            <w:r w:rsidRPr="00F22908">
              <w:t>Ranibizumabas</w:t>
            </w:r>
          </w:p>
        </w:tc>
        <w:tc>
          <w:tcPr>
            <w:tcW w:w="2400" w:type="dxa"/>
          </w:tcPr>
          <w:p w14:paraId="0C39B76C" w14:textId="77777777" w:rsidR="00156835" w:rsidRPr="00F22908" w:rsidRDefault="00156835" w:rsidP="00AC0B0B">
            <w:pPr>
              <w:tabs>
                <w:tab w:val="left" w:pos="567"/>
              </w:tabs>
              <w:jc w:val="both"/>
            </w:pPr>
            <w:r w:rsidRPr="00F22908">
              <w:t>10 mg/ml (0,05 ml)</w:t>
            </w:r>
          </w:p>
        </w:tc>
        <w:tc>
          <w:tcPr>
            <w:tcW w:w="2397" w:type="dxa"/>
          </w:tcPr>
          <w:p w14:paraId="1D3E6235" w14:textId="2A3F7FAD" w:rsidR="00156835" w:rsidRPr="00F22908" w:rsidRDefault="00687D9E" w:rsidP="00AC0B0B">
            <w:pPr>
              <w:tabs>
                <w:tab w:val="left" w:pos="567"/>
              </w:tabs>
              <w:jc w:val="both"/>
            </w:pPr>
            <w:r>
              <w:t>***</w:t>
            </w:r>
          </w:p>
        </w:tc>
        <w:tc>
          <w:tcPr>
            <w:tcW w:w="2412" w:type="dxa"/>
            <w:shd w:val="clear" w:color="auto" w:fill="D9D9D9" w:themeFill="background1" w:themeFillShade="D9"/>
          </w:tcPr>
          <w:p w14:paraId="7D4A5907" w14:textId="77777777" w:rsidR="00156835" w:rsidRPr="00F22908" w:rsidRDefault="00156835" w:rsidP="00AC0B0B">
            <w:pPr>
              <w:tabs>
                <w:tab w:val="left" w:pos="567"/>
              </w:tabs>
              <w:jc w:val="both"/>
            </w:pPr>
          </w:p>
        </w:tc>
      </w:tr>
    </w:tbl>
    <w:p w14:paraId="21940DF0" w14:textId="37076E77" w:rsidR="007E5632" w:rsidRPr="00156835" w:rsidRDefault="00156835" w:rsidP="00156835">
      <w:pPr>
        <w:tabs>
          <w:tab w:val="left" w:pos="567"/>
        </w:tabs>
        <w:jc w:val="both"/>
      </w:pPr>
      <w:r w:rsidRPr="00F22908">
        <w:t>*siūloma PGS kaina negali būti pritaikoma pagrindinio atvejo analizėje, nes PGS nėra priimtina VLK</w:t>
      </w:r>
    </w:p>
    <w:p w14:paraId="2FC05D7E" w14:textId="516252FC" w:rsidR="002E6F80" w:rsidRPr="00164D64" w:rsidRDefault="002E6F80" w:rsidP="002E6F80">
      <w:pPr>
        <w:tabs>
          <w:tab w:val="left" w:pos="284"/>
        </w:tabs>
        <w:rPr>
          <w:bCs/>
          <w:i/>
          <w:caps/>
        </w:rPr>
      </w:pPr>
    </w:p>
    <w:p w14:paraId="33875138" w14:textId="77777777" w:rsidR="0035172D" w:rsidRPr="000203E1" w:rsidRDefault="0035172D" w:rsidP="00A93AA6">
      <w:pPr>
        <w:tabs>
          <w:tab w:val="left" w:pos="426"/>
        </w:tabs>
        <w:rPr>
          <w:b/>
          <w:bCs/>
          <w:caps/>
        </w:rPr>
      </w:pPr>
    </w:p>
    <w:p w14:paraId="4FC424F9" w14:textId="4E767245" w:rsidR="00C62B36" w:rsidRPr="000203E1"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79BCFF40" w14:textId="5E362386" w:rsidR="00937907" w:rsidRPr="000203E1"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7256DB">
            <w:rPr>
              <w:rStyle w:val="Style2"/>
              <w:rFonts w:ascii="MS Gothic" w:eastAsia="MS Gothic" w:hAnsi="MS Gothic" w:hint="eastAsia"/>
              <w:sz w:val="24"/>
            </w:rPr>
            <w:t>☒</w:t>
          </w:r>
        </w:sdtContent>
      </w:sdt>
      <w:r w:rsidR="00937907" w:rsidRPr="000203E1">
        <w:t xml:space="preserve"> Pacientų organizacijos pozicija pateikta. Žr. priedą.</w:t>
      </w:r>
    </w:p>
    <w:p w14:paraId="62992180" w14:textId="69C8EE33" w:rsidR="00937907" w:rsidRPr="000203E1"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7256DB">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937907">
      <w:pPr>
        <w:spacing w:after="120"/>
        <w:jc w:val="both"/>
      </w:pPr>
    </w:p>
    <w:p w14:paraId="3D3277FA" w14:textId="3CEEB2D2" w:rsidR="00C62B36" w:rsidRPr="000203E1" w:rsidRDefault="00C62B36" w:rsidP="00CC09D4">
      <w:pPr>
        <w:pStyle w:val="Sraopastraipa"/>
        <w:numPr>
          <w:ilvl w:val="0"/>
          <w:numId w:val="12"/>
        </w:numPr>
        <w:tabs>
          <w:tab w:val="left" w:pos="567"/>
        </w:tabs>
        <w:ind w:hanging="720"/>
        <w:rPr>
          <w:b/>
          <w:bCs/>
          <w:caps/>
        </w:rPr>
      </w:pPr>
      <w:r w:rsidRPr="000203E1">
        <w:rPr>
          <w:b/>
          <w:bCs/>
          <w:caps/>
        </w:rPr>
        <w:t>Gydytojų organizacijų pateikti duomenys</w:t>
      </w:r>
    </w:p>
    <w:p w14:paraId="389A346C" w14:textId="781458B0" w:rsidR="00937907" w:rsidRPr="000203E1"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7E5632">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pateikta. </w:t>
      </w:r>
      <w:r w:rsidR="00662983" w:rsidRPr="000203E1">
        <w:t>Žr. priedą</w:t>
      </w:r>
      <w:r w:rsidR="00937907" w:rsidRPr="000203E1">
        <w:t>.</w:t>
      </w:r>
    </w:p>
    <w:p w14:paraId="5D8CC48C" w14:textId="7AA56ADF" w:rsidR="00662983" w:rsidRPr="000203E1"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Sraopastraipa"/>
        <w:numPr>
          <w:ilvl w:val="0"/>
          <w:numId w:val="12"/>
        </w:numPr>
        <w:tabs>
          <w:tab w:val="left" w:pos="567"/>
        </w:tabs>
        <w:ind w:hanging="720"/>
        <w:rPr>
          <w:b/>
          <w:bCs/>
          <w:caps/>
        </w:rPr>
      </w:pPr>
      <w:r w:rsidRPr="000203E1">
        <w:rPr>
          <w:b/>
          <w:bCs/>
          <w:caps/>
        </w:rPr>
        <w:t xml:space="preserve">Išvada </w:t>
      </w:r>
    </w:p>
    <w:p w14:paraId="30069D85" w14:textId="77777777" w:rsidR="0061611B" w:rsidRPr="000203E1" w:rsidRDefault="0061611B" w:rsidP="0061611B">
      <w:pPr>
        <w:ind w:left="360"/>
        <w:rPr>
          <w:i/>
          <w:szCs w:val="22"/>
        </w:rPr>
      </w:pPr>
    </w:p>
    <w:p w14:paraId="08D5B3B6" w14:textId="0623EE7A" w:rsidR="0061611B" w:rsidRPr="000203E1" w:rsidRDefault="0061611B" w:rsidP="0061611B">
      <w:pPr>
        <w:rPr>
          <w:i/>
          <w:szCs w:val="22"/>
        </w:rPr>
      </w:pPr>
      <w:r w:rsidRPr="000203E1">
        <w:rPr>
          <w:i/>
          <w:szCs w:val="22"/>
        </w:rPr>
        <w:t>Pildoma tik paraiškai</w:t>
      </w:r>
    </w:p>
    <w:tbl>
      <w:tblPr>
        <w:tblStyle w:val="Lentelstinklelis"/>
        <w:tblW w:w="0" w:type="auto"/>
        <w:tblLook w:val="04A0" w:firstRow="1" w:lastRow="0" w:firstColumn="1" w:lastColumn="0" w:noHBand="0" w:noVBand="1"/>
      </w:tblPr>
      <w:tblGrid>
        <w:gridCol w:w="4815"/>
        <w:gridCol w:w="4814"/>
      </w:tblGrid>
      <w:tr w:rsidR="000203E1" w:rsidRPr="000203E1" w14:paraId="25A2473E" w14:textId="77777777" w:rsidTr="00C16245">
        <w:trPr>
          <w:trHeight w:val="510"/>
        </w:trPr>
        <w:tc>
          <w:tcPr>
            <w:tcW w:w="4815" w:type="dxa"/>
            <w:vAlign w:val="center"/>
          </w:tcPr>
          <w:p w14:paraId="7EFE6941" w14:textId="23B8BB6D"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Rekomenduojama kompensuoti</w:t>
            </w:r>
          </w:p>
        </w:tc>
        <w:tc>
          <w:tcPr>
            <w:tcW w:w="4814" w:type="dxa"/>
            <w:vAlign w:val="center"/>
          </w:tcPr>
          <w:p w14:paraId="330A1A5E" w14:textId="19247DC1"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 xml:space="preserve">Rekomenduojama nekompensuoti </w:t>
            </w:r>
          </w:p>
        </w:tc>
      </w:tr>
      <w:tr w:rsidR="000203E1" w:rsidRPr="000203E1" w14:paraId="143A7356" w14:textId="77777777" w:rsidTr="00C16245">
        <w:trPr>
          <w:trHeight w:val="510"/>
        </w:trPr>
        <w:tc>
          <w:tcPr>
            <w:tcW w:w="9629" w:type="dxa"/>
            <w:gridSpan w:val="2"/>
            <w:vAlign w:val="center"/>
          </w:tcPr>
          <w:p w14:paraId="0AF5D6B4" w14:textId="6D8B6C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Palyginamasis efektyvumas</w:t>
            </w:r>
          </w:p>
        </w:tc>
      </w:tr>
      <w:tr w:rsidR="000203E1" w:rsidRPr="000203E1" w14:paraId="28A0C814" w14:textId="77777777" w:rsidTr="0061611B">
        <w:tc>
          <w:tcPr>
            <w:tcW w:w="4815" w:type="dxa"/>
          </w:tcPr>
          <w:p w14:paraId="216769B5" w14:textId="144FEB07"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32.1. yra didesnis</w:t>
            </w:r>
            <w:r w:rsidR="00B00959" w:rsidRPr="000203E1">
              <w:t>, lyginant su įprasta klinikine praktika</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1A9D48FC" w:rsidR="00B13D65" w:rsidRPr="000203E1"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6160B1">
                  <w:rPr>
                    <w:rStyle w:val="Style2"/>
                    <w:rFonts w:ascii="MS Gothic" w:eastAsia="MS Gothic" w:hAnsi="MS Gothic" w:hint="eastAsia"/>
                    <w:sz w:val="24"/>
                  </w:rPr>
                  <w:t>☒</w:t>
                </w:r>
              </w:sdtContent>
            </w:sdt>
            <w:r w:rsidR="00B13D65" w:rsidRPr="000203E1">
              <w:t xml:space="preserve"> 32.1. iš esmės nesiskiria</w:t>
            </w:r>
            <w:r w:rsidR="00B00959" w:rsidRPr="000203E1">
              <w:t>, lyginant su įprasta klinikine praktika</w:t>
            </w:r>
          </w:p>
        </w:tc>
        <w:tc>
          <w:tcPr>
            <w:tcW w:w="4814" w:type="dxa"/>
          </w:tcPr>
          <w:p w14:paraId="507828D9" w14:textId="10556E2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mažesnis</w:t>
            </w:r>
            <w:r w:rsidR="00B00959" w:rsidRPr="000203E1">
              <w:t>, lyginant su įprasta klinikine praktika</w:t>
            </w:r>
          </w:p>
          <w:p w14:paraId="7F95DEEC"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neįrodytas kaip toks pat</w:t>
            </w:r>
            <w:r w:rsidR="00B00959" w:rsidRPr="000203E1">
              <w:t>, lyginant su įprasta klinikine praktika</w:t>
            </w:r>
          </w:p>
          <w:p w14:paraId="35205E8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0953110A"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3839B4">
                  <w:rPr>
                    <w:rStyle w:val="Style2"/>
                    <w:rFonts w:ascii="MS Gothic" w:eastAsia="MS Gothic" w:hAnsi="MS Gothic" w:hint="eastAsia"/>
                    <w:sz w:val="24"/>
                  </w:rPr>
                  <w:t>☐</w:t>
                </w:r>
              </w:sdtContent>
            </w:sdt>
            <w:r w:rsidR="00662983" w:rsidRPr="000203E1">
              <w:t xml:space="preserve"> 33.1 </w:t>
            </w:r>
            <w:r w:rsidR="00B00959" w:rsidRPr="000203E1">
              <w:t xml:space="preserve">yra </w:t>
            </w:r>
            <w:r w:rsidR="00B13D65" w:rsidRPr="000203E1">
              <w:t>neįrodytas kaip didesnis</w:t>
            </w:r>
            <w:r w:rsidR="00B00959" w:rsidRPr="000203E1">
              <w:t>, lyginant su įprasta klinikine praktika</w:t>
            </w:r>
          </w:p>
          <w:p w14:paraId="512E653B"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pateikti duomenys apie palyginamąjį efektyvumą yra netinkami vertinti</w:t>
            </w:r>
          </w:p>
          <w:p w14:paraId="5DDAA96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61CC3FE" w14:textId="77777777" w:rsidTr="00C16245">
        <w:trPr>
          <w:trHeight w:val="510"/>
        </w:trPr>
        <w:tc>
          <w:tcPr>
            <w:tcW w:w="9629" w:type="dxa"/>
            <w:gridSpan w:val="2"/>
            <w:vAlign w:val="center"/>
          </w:tcPr>
          <w:p w14:paraId="1AB46894" w14:textId="3E765638"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Klinikinis veiksmingumas</w:t>
            </w:r>
          </w:p>
        </w:tc>
      </w:tr>
      <w:tr w:rsidR="000203E1" w:rsidRPr="000203E1" w14:paraId="3C60570A" w14:textId="77777777" w:rsidTr="0061611B">
        <w:tc>
          <w:tcPr>
            <w:tcW w:w="4815" w:type="dxa"/>
          </w:tcPr>
          <w:p w14:paraId="6897B306" w14:textId="70C15EA4"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32.2. yra įvertintas kaip pagrindžiantis papildomos naudos pacientų sveikatai sukūrimą, lyginant su įprasta klinikine praktika</w:t>
            </w:r>
          </w:p>
          <w:p w14:paraId="71D5710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203AE586"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6160B1">
                  <w:rPr>
                    <w:rStyle w:val="Style2"/>
                    <w:rFonts w:ascii="MS Gothic" w:eastAsia="MS Gothic" w:hAnsi="MS Gothic" w:hint="eastAsia"/>
                    <w:sz w:val="24"/>
                  </w:rPr>
                  <w:t>☒</w:t>
                </w:r>
              </w:sdtContent>
            </w:sdt>
            <w:r w:rsidR="00B13D65" w:rsidRPr="000203E1">
              <w:t xml:space="preserve"> 32.2. </w:t>
            </w:r>
            <w:r w:rsidR="00B00959" w:rsidRPr="000203E1">
              <w:t xml:space="preserve">yra </w:t>
            </w:r>
            <w:r w:rsidR="00B13D65" w:rsidRPr="000203E1">
              <w:t>įvertintas kaip pagrindžiantis nesiskiriančios naudos pacientų sveikatai sukūrimą, lyginant su įprasta klinikine praktika</w:t>
            </w:r>
          </w:p>
          <w:p w14:paraId="287AD233"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0203E1"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įvertintas kaip nepagrindžiantis papildomos </w:t>
            </w:r>
            <w:r w:rsidR="00662983" w:rsidRPr="000203E1">
              <w:t>naudos pacientų sveikatai sukūrimo, lyginant su  įprasta klinikine praktika</w:t>
            </w:r>
          </w:p>
          <w:p w14:paraId="6C70BCFC" w14:textId="77777777" w:rsidR="00662983" w:rsidRPr="000203E1" w:rsidRDefault="00662983" w:rsidP="00BD1E5A">
            <w:pPr>
              <w:jc w:val="both"/>
            </w:pPr>
          </w:p>
          <w:p w14:paraId="0ADEC30D" w14:textId="1353964F" w:rsidR="00B13D65" w:rsidRPr="000203E1"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B13D65" w:rsidRPr="000203E1">
              <w:t xml:space="preserve"> </w:t>
            </w:r>
            <w:r w:rsidR="00662983" w:rsidRPr="000203E1">
              <w:t xml:space="preserve">33.1. </w:t>
            </w:r>
            <w:r w:rsidR="00B00959" w:rsidRPr="000203E1">
              <w:t xml:space="preserve">yra įvertintas kaip nepagrindžiantis </w:t>
            </w:r>
            <w:r w:rsidR="00B13D65" w:rsidRPr="000203E1">
              <w:t>nesiskiriančios naudos pacientų sveikatai sukūrimo, lyginant su įprasta klinikine praktika</w:t>
            </w:r>
          </w:p>
          <w:p w14:paraId="1EED790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18B1E844"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0203E1">
                  <w:rPr>
                    <w:rStyle w:val="Style2"/>
                    <w:rFonts w:ascii="MS Gothic" w:eastAsia="MS Gothic" w:hAnsi="MS Gothic" w:hint="eastAsia"/>
                    <w:sz w:val="24"/>
                  </w:rPr>
                  <w:t>☐</w:t>
                </w:r>
              </w:sdtContent>
            </w:sdt>
            <w:r w:rsidR="00B13D65" w:rsidRPr="000203E1">
              <w:t xml:space="preserve"> 32.3. atitinka referencinę naudingumo vertę,</w:t>
            </w:r>
            <w:r w:rsidR="006160B1">
              <w:t xml:space="preserve"> </w:t>
            </w:r>
            <w:r w:rsidR="006160B1" w:rsidRPr="000203E1">
              <w:t xml:space="preserve"> </w:t>
            </w:r>
            <w:r w:rsidR="00B13D65" w:rsidRPr="000203E1">
              <w:t>netaikant PGS</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3A566D4A"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32.3. gydymo juo kaštai yra mažesni ar tokie patys esant iš esmės nesiskiriančiam palyginamajam efektyvumui, netaikant PGS</w:t>
            </w:r>
            <w:r w:rsidR="00B00959" w:rsidRPr="000203E1">
              <w:t>, lyginant su įprasta klinikine praktika</w:t>
            </w:r>
          </w:p>
          <w:p w14:paraId="25E4BD1E"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neatitinka referencinės naudingumo vertės Lietuvos Respublikoje</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061E94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1"/>
                  <w14:checkedState w14:val="2612" w14:font="MS Gothic"/>
                  <w14:uncheckedState w14:val="2610" w14:font="MS Gothic"/>
                </w14:checkbox>
              </w:sdtPr>
              <w:sdtContent>
                <w:r w:rsidR="006160B1">
                  <w:rPr>
                    <w:rStyle w:val="Style2"/>
                    <w:rFonts w:ascii="MS Gothic" w:eastAsia="MS Gothic" w:hAnsi="MS Gothic" w:hint="eastAsia"/>
                    <w:sz w:val="24"/>
                  </w:rPr>
                  <w:t>☒</w:t>
                </w:r>
              </w:sdtContent>
            </w:sdt>
            <w:r w:rsidR="00B13D65" w:rsidRPr="000203E1">
              <w:t xml:space="preserve"> 33.3. gydymo juo kaštai yra didesni esant iš esmės nesiskiriančiam palyginamajam efektyvumui, netaikant PGS</w:t>
            </w:r>
            <w:r w:rsidR="00B00959" w:rsidRPr="000203E1">
              <w:t>, lyginant su įprasta klinikine praktika</w:t>
            </w:r>
          </w:p>
          <w:p w14:paraId="4A9C7D2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0203E1" w:rsidRDefault="004A3A61" w:rsidP="00381024"/>
    <w:p w14:paraId="29A90384" w14:textId="4772D5ED" w:rsidR="004A3A61" w:rsidRPr="000203E1" w:rsidRDefault="004A3A61" w:rsidP="00381024"/>
    <w:p w14:paraId="1B85C083" w14:textId="77777777" w:rsidR="009E44AE" w:rsidRPr="000203E1" w:rsidRDefault="009E44AE" w:rsidP="00381024"/>
    <w:p w14:paraId="59422C01" w14:textId="04EA8D59" w:rsidR="004F3B2B" w:rsidRPr="00C054CF" w:rsidRDefault="000001B0" w:rsidP="00E60FDB">
      <w:pPr>
        <w:pStyle w:val="Sraopastraipa"/>
        <w:numPr>
          <w:ilvl w:val="0"/>
          <w:numId w:val="12"/>
        </w:numPr>
        <w:ind w:left="567" w:hanging="567"/>
      </w:pPr>
      <w:r w:rsidRPr="000203E1">
        <w:rPr>
          <w:b/>
        </w:rPr>
        <w:t>REKOME</w:t>
      </w:r>
      <w:r w:rsidR="00D83182" w:rsidRPr="000203E1">
        <w:rPr>
          <w:b/>
        </w:rPr>
        <w:t>N</w:t>
      </w:r>
      <w:r w:rsidRPr="000203E1">
        <w:rPr>
          <w:b/>
        </w:rPr>
        <w:t>DACIJA</w:t>
      </w:r>
    </w:p>
    <w:p w14:paraId="353D370C" w14:textId="77777777" w:rsidR="00C054CF" w:rsidRPr="000203E1" w:rsidRDefault="00C054CF" w:rsidP="00C054CF">
      <w:pPr>
        <w:pStyle w:val="Sraopastraipa"/>
        <w:ind w:left="567"/>
      </w:pPr>
    </w:p>
    <w:p w14:paraId="1F5FB255" w14:textId="77777777" w:rsidR="00C054CF" w:rsidRDefault="00EE35C9" w:rsidP="00C054CF">
      <w:pPr>
        <w:spacing w:line="276" w:lineRule="auto"/>
        <w:ind w:firstLine="567"/>
        <w:jc w:val="both"/>
      </w:pPr>
      <w:r w:rsidRPr="00EE35C9">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p>
    <w:p w14:paraId="06BC01EE" w14:textId="7BA26092" w:rsidR="000723FF" w:rsidRDefault="00EE35C9" w:rsidP="00C054CF">
      <w:pPr>
        <w:spacing w:line="276" w:lineRule="auto"/>
        <w:jc w:val="both"/>
      </w:pPr>
      <w:r w:rsidRPr="00EE35C9">
        <w:t xml:space="preserve">34.4. rekomenduojama </w:t>
      </w:r>
      <w:r w:rsidRPr="00464055">
        <w:rPr>
          <w:i/>
          <w:iCs/>
        </w:rPr>
        <w:t>nekompensuoti</w:t>
      </w:r>
      <w:r w:rsidRPr="00EE35C9">
        <w:t xml:space="preserve"> vaistinio preparato pagal paraiškoje nurodytą indikaciją su skyrimo sąlygomis, taikant PGS ir netaikant PGS dėl vertinimo išvadų, nurodytų 33.3 papunktyje (žr. 8 ir 17 skyrius),  neatitikties 34.3 papunktyje išdėstytoms sąlygoms.</w:t>
      </w:r>
    </w:p>
    <w:p w14:paraId="697126CA" w14:textId="77777777" w:rsidR="00EE35C9" w:rsidRPr="000203E1" w:rsidRDefault="00EE35C9" w:rsidP="00381024"/>
    <w:p w14:paraId="0D584D0C" w14:textId="58A968A9" w:rsidR="007C6AF4" w:rsidRPr="000203E1" w:rsidRDefault="00CC09D4" w:rsidP="00464055">
      <w:pPr>
        <w:tabs>
          <w:tab w:val="left" w:pos="567"/>
        </w:tabs>
        <w:ind w:left="567" w:hanging="567"/>
        <w:jc w:val="both"/>
      </w:pPr>
      <w:r w:rsidRPr="000203E1">
        <w:rPr>
          <w:b/>
          <w:lang w:eastAsia="lt-LT"/>
        </w:rPr>
        <w:tab/>
      </w:r>
    </w:p>
    <w:p w14:paraId="7CDFF220" w14:textId="58191D98" w:rsidR="000723FF" w:rsidRPr="000203E1" w:rsidRDefault="000723FF" w:rsidP="00824B92">
      <w:pPr>
        <w:rPr>
          <w:b/>
        </w:rPr>
      </w:pPr>
    </w:p>
    <w:sectPr w:rsidR="000723FF" w:rsidRPr="000203E1"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B7B94" w14:textId="77777777" w:rsidR="003745BD" w:rsidRDefault="003745BD">
      <w:r>
        <w:separator/>
      </w:r>
    </w:p>
  </w:endnote>
  <w:endnote w:type="continuationSeparator" w:id="0">
    <w:p w14:paraId="7ABD2F35" w14:textId="77777777" w:rsidR="003745BD" w:rsidRDefault="0037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01076" w14:textId="77777777" w:rsidR="003745BD" w:rsidRDefault="003745BD">
      <w:r>
        <w:separator/>
      </w:r>
    </w:p>
  </w:footnote>
  <w:footnote w:type="continuationSeparator" w:id="0">
    <w:p w14:paraId="706EEA67" w14:textId="77777777" w:rsidR="003745BD" w:rsidRDefault="0037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7A8722C0"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054CF">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0E49D0"/>
    <w:multiLevelType w:val="hybridMultilevel"/>
    <w:tmpl w:val="1E46DC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AD2E58"/>
    <w:multiLevelType w:val="hybridMultilevel"/>
    <w:tmpl w:val="F6943F7A"/>
    <w:lvl w:ilvl="0" w:tplc="AB64BC8E">
      <w:start w:val="1"/>
      <w:numFmt w:val="decimal"/>
      <w:lvlText w:val="%1."/>
      <w:lvlJc w:val="left"/>
      <w:pPr>
        <w:ind w:left="927"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2DA43466"/>
    <w:multiLevelType w:val="hybridMultilevel"/>
    <w:tmpl w:val="1E46DC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06661716">
    <w:abstractNumId w:val="8"/>
  </w:num>
  <w:num w:numId="2" w16cid:durableId="315719654">
    <w:abstractNumId w:val="1"/>
  </w:num>
  <w:num w:numId="3" w16cid:durableId="1620144362">
    <w:abstractNumId w:val="10"/>
  </w:num>
  <w:num w:numId="4" w16cid:durableId="623779001">
    <w:abstractNumId w:val="9"/>
  </w:num>
  <w:num w:numId="5" w16cid:durableId="309333608">
    <w:abstractNumId w:val="7"/>
  </w:num>
  <w:num w:numId="6" w16cid:durableId="841360292">
    <w:abstractNumId w:val="6"/>
  </w:num>
  <w:num w:numId="7" w16cid:durableId="213321123">
    <w:abstractNumId w:val="4"/>
  </w:num>
  <w:num w:numId="8" w16cid:durableId="1094863335">
    <w:abstractNumId w:val="13"/>
  </w:num>
  <w:num w:numId="9" w16cid:durableId="1661352294">
    <w:abstractNumId w:val="0"/>
  </w:num>
  <w:num w:numId="10" w16cid:durableId="639188625">
    <w:abstractNumId w:val="11"/>
  </w:num>
  <w:num w:numId="11" w16cid:durableId="1024096685">
    <w:abstractNumId w:val="12"/>
  </w:num>
  <w:num w:numId="12" w16cid:durableId="281958265">
    <w:abstractNumId w:val="3"/>
  </w:num>
  <w:num w:numId="13" w16cid:durableId="1716813207">
    <w:abstractNumId w:val="5"/>
  </w:num>
  <w:num w:numId="14" w16cid:durableId="129028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2757B"/>
    <w:rsid w:val="00031D0E"/>
    <w:rsid w:val="000337E6"/>
    <w:rsid w:val="0003402E"/>
    <w:rsid w:val="00034EAE"/>
    <w:rsid w:val="00042924"/>
    <w:rsid w:val="000514E8"/>
    <w:rsid w:val="00053975"/>
    <w:rsid w:val="00055C8E"/>
    <w:rsid w:val="00057A2B"/>
    <w:rsid w:val="000606BE"/>
    <w:rsid w:val="000723FF"/>
    <w:rsid w:val="000736B8"/>
    <w:rsid w:val="0008190F"/>
    <w:rsid w:val="00081D9C"/>
    <w:rsid w:val="00082907"/>
    <w:rsid w:val="0008378D"/>
    <w:rsid w:val="00084A3F"/>
    <w:rsid w:val="000908A5"/>
    <w:rsid w:val="00092805"/>
    <w:rsid w:val="000C454C"/>
    <w:rsid w:val="000D5038"/>
    <w:rsid w:val="000E29D4"/>
    <w:rsid w:val="000E746C"/>
    <w:rsid w:val="000F3540"/>
    <w:rsid w:val="00100491"/>
    <w:rsid w:val="00104E2E"/>
    <w:rsid w:val="00107287"/>
    <w:rsid w:val="001123C0"/>
    <w:rsid w:val="00117406"/>
    <w:rsid w:val="00121EF0"/>
    <w:rsid w:val="00124A9E"/>
    <w:rsid w:val="00130703"/>
    <w:rsid w:val="0013153F"/>
    <w:rsid w:val="001353AF"/>
    <w:rsid w:val="001408B8"/>
    <w:rsid w:val="001517E2"/>
    <w:rsid w:val="001521D9"/>
    <w:rsid w:val="001554E2"/>
    <w:rsid w:val="00156835"/>
    <w:rsid w:val="00164146"/>
    <w:rsid w:val="00164D64"/>
    <w:rsid w:val="0017369C"/>
    <w:rsid w:val="00175D57"/>
    <w:rsid w:val="00180C39"/>
    <w:rsid w:val="00180D96"/>
    <w:rsid w:val="00184BD3"/>
    <w:rsid w:val="001921F3"/>
    <w:rsid w:val="001A154A"/>
    <w:rsid w:val="001B3C5B"/>
    <w:rsid w:val="001D41E2"/>
    <w:rsid w:val="001D5B91"/>
    <w:rsid w:val="001D746F"/>
    <w:rsid w:val="001E4BBB"/>
    <w:rsid w:val="001E6304"/>
    <w:rsid w:val="00202A91"/>
    <w:rsid w:val="002032D0"/>
    <w:rsid w:val="0020381E"/>
    <w:rsid w:val="00213471"/>
    <w:rsid w:val="00215906"/>
    <w:rsid w:val="00235E5B"/>
    <w:rsid w:val="00241CD8"/>
    <w:rsid w:val="00244B09"/>
    <w:rsid w:val="002519CB"/>
    <w:rsid w:val="00252CC9"/>
    <w:rsid w:val="0025697F"/>
    <w:rsid w:val="00260258"/>
    <w:rsid w:val="00260372"/>
    <w:rsid w:val="0026588E"/>
    <w:rsid w:val="00272428"/>
    <w:rsid w:val="00272948"/>
    <w:rsid w:val="00283E59"/>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00FE6"/>
    <w:rsid w:val="00306298"/>
    <w:rsid w:val="00314816"/>
    <w:rsid w:val="00317B0E"/>
    <w:rsid w:val="003337D4"/>
    <w:rsid w:val="00347FAA"/>
    <w:rsid w:val="003500B3"/>
    <w:rsid w:val="0035172D"/>
    <w:rsid w:val="0036187D"/>
    <w:rsid w:val="00367EDB"/>
    <w:rsid w:val="003745BD"/>
    <w:rsid w:val="00381024"/>
    <w:rsid w:val="003839B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273D4"/>
    <w:rsid w:val="00433770"/>
    <w:rsid w:val="00453862"/>
    <w:rsid w:val="0045469B"/>
    <w:rsid w:val="00461338"/>
    <w:rsid w:val="00464055"/>
    <w:rsid w:val="004677DB"/>
    <w:rsid w:val="00472C73"/>
    <w:rsid w:val="00476256"/>
    <w:rsid w:val="004811E0"/>
    <w:rsid w:val="00484D17"/>
    <w:rsid w:val="0048630F"/>
    <w:rsid w:val="0049438E"/>
    <w:rsid w:val="004947A1"/>
    <w:rsid w:val="0049482A"/>
    <w:rsid w:val="00495F69"/>
    <w:rsid w:val="004979D3"/>
    <w:rsid w:val="004A00E7"/>
    <w:rsid w:val="004A3A61"/>
    <w:rsid w:val="004B59BA"/>
    <w:rsid w:val="004B5A03"/>
    <w:rsid w:val="004C263A"/>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6EA8"/>
    <w:rsid w:val="005976CE"/>
    <w:rsid w:val="005A23D4"/>
    <w:rsid w:val="005A2D1E"/>
    <w:rsid w:val="005A4698"/>
    <w:rsid w:val="005B3756"/>
    <w:rsid w:val="005C493F"/>
    <w:rsid w:val="005C6BF7"/>
    <w:rsid w:val="005C71BF"/>
    <w:rsid w:val="005D002C"/>
    <w:rsid w:val="005D30E1"/>
    <w:rsid w:val="005D6555"/>
    <w:rsid w:val="005D7BDF"/>
    <w:rsid w:val="005E4870"/>
    <w:rsid w:val="005E696D"/>
    <w:rsid w:val="005F71D9"/>
    <w:rsid w:val="005F7602"/>
    <w:rsid w:val="006062BE"/>
    <w:rsid w:val="00613143"/>
    <w:rsid w:val="00613501"/>
    <w:rsid w:val="006160B1"/>
    <w:rsid w:val="0061611B"/>
    <w:rsid w:val="006166A8"/>
    <w:rsid w:val="006174A1"/>
    <w:rsid w:val="006174C5"/>
    <w:rsid w:val="00621D6C"/>
    <w:rsid w:val="00633B49"/>
    <w:rsid w:val="0064297F"/>
    <w:rsid w:val="00645102"/>
    <w:rsid w:val="00646CF3"/>
    <w:rsid w:val="00653D11"/>
    <w:rsid w:val="00662983"/>
    <w:rsid w:val="006834D3"/>
    <w:rsid w:val="00687D9E"/>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036AC"/>
    <w:rsid w:val="007127F3"/>
    <w:rsid w:val="0072546A"/>
    <w:rsid w:val="007256DB"/>
    <w:rsid w:val="007301CF"/>
    <w:rsid w:val="007316FB"/>
    <w:rsid w:val="007324E3"/>
    <w:rsid w:val="00737E2D"/>
    <w:rsid w:val="007424D5"/>
    <w:rsid w:val="00750A88"/>
    <w:rsid w:val="007523DD"/>
    <w:rsid w:val="00757B7E"/>
    <w:rsid w:val="007656B2"/>
    <w:rsid w:val="00766750"/>
    <w:rsid w:val="0077016F"/>
    <w:rsid w:val="007713AD"/>
    <w:rsid w:val="00781F39"/>
    <w:rsid w:val="00790B0A"/>
    <w:rsid w:val="00795DC5"/>
    <w:rsid w:val="00797153"/>
    <w:rsid w:val="007A21F7"/>
    <w:rsid w:val="007A2B68"/>
    <w:rsid w:val="007A4C37"/>
    <w:rsid w:val="007B0DDA"/>
    <w:rsid w:val="007C6AF4"/>
    <w:rsid w:val="007D3347"/>
    <w:rsid w:val="007E5466"/>
    <w:rsid w:val="007E5632"/>
    <w:rsid w:val="007F1949"/>
    <w:rsid w:val="007F2592"/>
    <w:rsid w:val="00800A08"/>
    <w:rsid w:val="008138A9"/>
    <w:rsid w:val="00817A84"/>
    <w:rsid w:val="00817B8D"/>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D212D"/>
    <w:rsid w:val="008E473B"/>
    <w:rsid w:val="008E51A6"/>
    <w:rsid w:val="008E7329"/>
    <w:rsid w:val="008F2ED5"/>
    <w:rsid w:val="0092297E"/>
    <w:rsid w:val="00923651"/>
    <w:rsid w:val="00927B56"/>
    <w:rsid w:val="009341BF"/>
    <w:rsid w:val="00937907"/>
    <w:rsid w:val="00941739"/>
    <w:rsid w:val="00951573"/>
    <w:rsid w:val="009538F5"/>
    <w:rsid w:val="00963003"/>
    <w:rsid w:val="00966EEF"/>
    <w:rsid w:val="00971B28"/>
    <w:rsid w:val="00983471"/>
    <w:rsid w:val="009837A0"/>
    <w:rsid w:val="009909AB"/>
    <w:rsid w:val="009B37DB"/>
    <w:rsid w:val="009C7A8C"/>
    <w:rsid w:val="009D23F9"/>
    <w:rsid w:val="009D4FA8"/>
    <w:rsid w:val="009E44AE"/>
    <w:rsid w:val="009E6CD6"/>
    <w:rsid w:val="009F358F"/>
    <w:rsid w:val="009F4D66"/>
    <w:rsid w:val="00A00C3C"/>
    <w:rsid w:val="00A01091"/>
    <w:rsid w:val="00A03B15"/>
    <w:rsid w:val="00A042B9"/>
    <w:rsid w:val="00A06DBB"/>
    <w:rsid w:val="00A22ADF"/>
    <w:rsid w:val="00A31E86"/>
    <w:rsid w:val="00A366C4"/>
    <w:rsid w:val="00A54D87"/>
    <w:rsid w:val="00A5553C"/>
    <w:rsid w:val="00A60AA9"/>
    <w:rsid w:val="00A67CD3"/>
    <w:rsid w:val="00A701C9"/>
    <w:rsid w:val="00A81785"/>
    <w:rsid w:val="00A84803"/>
    <w:rsid w:val="00A84C51"/>
    <w:rsid w:val="00A86F2B"/>
    <w:rsid w:val="00A91366"/>
    <w:rsid w:val="00A92F91"/>
    <w:rsid w:val="00A93AA6"/>
    <w:rsid w:val="00AA1CE3"/>
    <w:rsid w:val="00AA4E48"/>
    <w:rsid w:val="00AA6202"/>
    <w:rsid w:val="00AA7B57"/>
    <w:rsid w:val="00AB2806"/>
    <w:rsid w:val="00AC26FC"/>
    <w:rsid w:val="00AC4A99"/>
    <w:rsid w:val="00AC64D2"/>
    <w:rsid w:val="00AD02E7"/>
    <w:rsid w:val="00AE0FE8"/>
    <w:rsid w:val="00AF60D5"/>
    <w:rsid w:val="00B00959"/>
    <w:rsid w:val="00B04415"/>
    <w:rsid w:val="00B06509"/>
    <w:rsid w:val="00B11D60"/>
    <w:rsid w:val="00B13D65"/>
    <w:rsid w:val="00B21805"/>
    <w:rsid w:val="00B3072E"/>
    <w:rsid w:val="00B32299"/>
    <w:rsid w:val="00B36E15"/>
    <w:rsid w:val="00B37245"/>
    <w:rsid w:val="00B4017A"/>
    <w:rsid w:val="00B4468D"/>
    <w:rsid w:val="00B4615A"/>
    <w:rsid w:val="00B4630F"/>
    <w:rsid w:val="00B52380"/>
    <w:rsid w:val="00B6051C"/>
    <w:rsid w:val="00B71C72"/>
    <w:rsid w:val="00B71EE7"/>
    <w:rsid w:val="00B81E92"/>
    <w:rsid w:val="00B908D7"/>
    <w:rsid w:val="00B935E8"/>
    <w:rsid w:val="00B93B30"/>
    <w:rsid w:val="00B94CB5"/>
    <w:rsid w:val="00BA0DD9"/>
    <w:rsid w:val="00BA5DBC"/>
    <w:rsid w:val="00BA6584"/>
    <w:rsid w:val="00BB6312"/>
    <w:rsid w:val="00BC4D06"/>
    <w:rsid w:val="00BD585E"/>
    <w:rsid w:val="00BD6919"/>
    <w:rsid w:val="00BE1EA7"/>
    <w:rsid w:val="00BE7489"/>
    <w:rsid w:val="00BF2E0D"/>
    <w:rsid w:val="00BF3927"/>
    <w:rsid w:val="00BF3F8B"/>
    <w:rsid w:val="00BF76DA"/>
    <w:rsid w:val="00C054CF"/>
    <w:rsid w:val="00C07C7B"/>
    <w:rsid w:val="00C16245"/>
    <w:rsid w:val="00C22DC5"/>
    <w:rsid w:val="00C24479"/>
    <w:rsid w:val="00C273F2"/>
    <w:rsid w:val="00C37B53"/>
    <w:rsid w:val="00C434EB"/>
    <w:rsid w:val="00C517D2"/>
    <w:rsid w:val="00C5772E"/>
    <w:rsid w:val="00C62B36"/>
    <w:rsid w:val="00C7012C"/>
    <w:rsid w:val="00C712EA"/>
    <w:rsid w:val="00CA217D"/>
    <w:rsid w:val="00CC09D4"/>
    <w:rsid w:val="00CC668D"/>
    <w:rsid w:val="00CC7832"/>
    <w:rsid w:val="00CD488E"/>
    <w:rsid w:val="00CD714A"/>
    <w:rsid w:val="00CF0C1C"/>
    <w:rsid w:val="00CF27FD"/>
    <w:rsid w:val="00CF5F12"/>
    <w:rsid w:val="00D00D8F"/>
    <w:rsid w:val="00D21F3A"/>
    <w:rsid w:val="00D23808"/>
    <w:rsid w:val="00D3016A"/>
    <w:rsid w:val="00D417D2"/>
    <w:rsid w:val="00D42960"/>
    <w:rsid w:val="00D43BD7"/>
    <w:rsid w:val="00D4485B"/>
    <w:rsid w:val="00D46CCD"/>
    <w:rsid w:val="00D4708D"/>
    <w:rsid w:val="00D4744C"/>
    <w:rsid w:val="00D521DE"/>
    <w:rsid w:val="00D544B9"/>
    <w:rsid w:val="00D5470B"/>
    <w:rsid w:val="00D63068"/>
    <w:rsid w:val="00D6498C"/>
    <w:rsid w:val="00D76A70"/>
    <w:rsid w:val="00D83182"/>
    <w:rsid w:val="00D8521E"/>
    <w:rsid w:val="00D916FA"/>
    <w:rsid w:val="00D91B5A"/>
    <w:rsid w:val="00D923C9"/>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0FDB"/>
    <w:rsid w:val="00E619C6"/>
    <w:rsid w:val="00E745A1"/>
    <w:rsid w:val="00E81529"/>
    <w:rsid w:val="00E83A13"/>
    <w:rsid w:val="00EB6FC5"/>
    <w:rsid w:val="00EC2356"/>
    <w:rsid w:val="00EC2582"/>
    <w:rsid w:val="00EC337C"/>
    <w:rsid w:val="00ED0CFF"/>
    <w:rsid w:val="00ED31D2"/>
    <w:rsid w:val="00ED4450"/>
    <w:rsid w:val="00EE0EAC"/>
    <w:rsid w:val="00EE3322"/>
    <w:rsid w:val="00EE33CB"/>
    <w:rsid w:val="00EE35C9"/>
    <w:rsid w:val="00EE3A22"/>
    <w:rsid w:val="00F0061A"/>
    <w:rsid w:val="00F02834"/>
    <w:rsid w:val="00F04EEB"/>
    <w:rsid w:val="00F05467"/>
    <w:rsid w:val="00F055D2"/>
    <w:rsid w:val="00F07CD7"/>
    <w:rsid w:val="00F127E9"/>
    <w:rsid w:val="00F14B5D"/>
    <w:rsid w:val="00F259FC"/>
    <w:rsid w:val="00F2781D"/>
    <w:rsid w:val="00F30B60"/>
    <w:rsid w:val="00F36972"/>
    <w:rsid w:val="00F42426"/>
    <w:rsid w:val="00F456BC"/>
    <w:rsid w:val="00F50666"/>
    <w:rsid w:val="00F70731"/>
    <w:rsid w:val="00F70C9E"/>
    <w:rsid w:val="00F74A74"/>
    <w:rsid w:val="00F7572C"/>
    <w:rsid w:val="00F8382C"/>
    <w:rsid w:val="00F855D7"/>
    <w:rsid w:val="00F92035"/>
    <w:rsid w:val="00F92748"/>
    <w:rsid w:val="00F93ADF"/>
    <w:rsid w:val="00FA4169"/>
    <w:rsid w:val="00FA7423"/>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Lash Style Table,YHEC table,Summary box,Dossier Table"/>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Bullet1,Bullet 1,Dairy Paragraphe,Bulleted - 2,1. Bullet Blank,Table Header Row,Bullet Point,Bullet List"/>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Bullet1 Diagrama,Bullet 1 Diagrama,Dairy Paragraphe Diagrama,Bulleted - 2 Diagrama,1. Bullet Blank Diagrama,Table Header Row Diagrama,Bullet Point Diagrama,Bullet List Diagrama"/>
    <w:basedOn w:val="Numatytasispastraiposriftas"/>
    <w:link w:val="Sraopastraipa"/>
    <w:uiPriority w:val="34"/>
    <w:locked/>
    <w:rsid w:val="001A154A"/>
    <w:rPr>
      <w:sz w:val="24"/>
      <w:szCs w:val="24"/>
      <w:lang w:eastAsia="en-US"/>
    </w:rPr>
  </w:style>
  <w:style w:type="paragraph" w:customStyle="1" w:styleId="NICEnormal">
    <w:name w:val="NICE normal"/>
    <w:link w:val="NICEnormalChar"/>
    <w:qFormat/>
    <w:rsid w:val="00ED4450"/>
    <w:pPr>
      <w:spacing w:after="240" w:line="360" w:lineRule="auto"/>
    </w:pPr>
    <w:rPr>
      <w:rFonts w:ascii="Arial" w:eastAsia="SimSun" w:hAnsi="Arial"/>
      <w:sz w:val="22"/>
      <w:szCs w:val="24"/>
      <w:lang w:val="en-GB" w:eastAsia="en-US"/>
    </w:rPr>
  </w:style>
  <w:style w:type="character" w:customStyle="1" w:styleId="NICEnormalChar">
    <w:name w:val="NICE normal Char"/>
    <w:link w:val="NICEnormal"/>
    <w:rsid w:val="00ED4450"/>
    <w:rPr>
      <w:rFonts w:ascii="Arial" w:eastAsia="SimSun"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20807">
      <w:bodyDiv w:val="1"/>
      <w:marLeft w:val="0"/>
      <w:marRight w:val="0"/>
      <w:marTop w:val="0"/>
      <w:marBottom w:val="0"/>
      <w:divBdr>
        <w:top w:val="none" w:sz="0" w:space="0" w:color="auto"/>
        <w:left w:val="none" w:sz="0" w:space="0" w:color="auto"/>
        <w:bottom w:val="none" w:sz="0" w:space="0" w:color="auto"/>
        <w:right w:val="none" w:sz="0" w:space="0" w:color="auto"/>
      </w:divBdr>
    </w:div>
    <w:div w:id="393045148">
      <w:bodyDiv w:val="1"/>
      <w:marLeft w:val="0"/>
      <w:marRight w:val="0"/>
      <w:marTop w:val="0"/>
      <w:marBottom w:val="0"/>
      <w:divBdr>
        <w:top w:val="none" w:sz="0" w:space="0" w:color="auto"/>
        <w:left w:val="none" w:sz="0" w:space="0" w:color="auto"/>
        <w:bottom w:val="none" w:sz="0" w:space="0" w:color="auto"/>
        <w:right w:val="none" w:sz="0" w:space="0" w:color="auto"/>
      </w:divBdr>
    </w:div>
    <w:div w:id="700009132">
      <w:bodyDiv w:val="1"/>
      <w:marLeft w:val="0"/>
      <w:marRight w:val="0"/>
      <w:marTop w:val="0"/>
      <w:marBottom w:val="0"/>
      <w:divBdr>
        <w:top w:val="none" w:sz="0" w:space="0" w:color="auto"/>
        <w:left w:val="none" w:sz="0" w:space="0" w:color="auto"/>
        <w:bottom w:val="none" w:sz="0" w:space="0" w:color="auto"/>
        <w:right w:val="none" w:sz="0" w:space="0" w:color="auto"/>
      </w:divBdr>
    </w:div>
    <w:div w:id="1039160556">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338539074">
      <w:bodyDiv w:val="1"/>
      <w:marLeft w:val="0"/>
      <w:marRight w:val="0"/>
      <w:marTop w:val="0"/>
      <w:marBottom w:val="0"/>
      <w:divBdr>
        <w:top w:val="none" w:sz="0" w:space="0" w:color="auto"/>
        <w:left w:val="none" w:sz="0" w:space="0" w:color="auto"/>
        <w:bottom w:val="none" w:sz="0" w:space="0" w:color="auto"/>
        <w:right w:val="none" w:sz="0" w:space="0" w:color="auto"/>
      </w:divBdr>
    </w:div>
    <w:div w:id="1394623504">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619678525">
      <w:bodyDiv w:val="1"/>
      <w:marLeft w:val="0"/>
      <w:marRight w:val="0"/>
      <w:marTop w:val="0"/>
      <w:marBottom w:val="0"/>
      <w:divBdr>
        <w:top w:val="none" w:sz="0" w:space="0" w:color="auto"/>
        <w:left w:val="none" w:sz="0" w:space="0" w:color="auto"/>
        <w:bottom w:val="none" w:sz="0" w:space="0" w:color="auto"/>
        <w:right w:val="none" w:sz="0" w:space="0" w:color="auto"/>
      </w:divBdr>
    </w:div>
    <w:div w:id="16700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8F5D2BE2B6476C9C687053D1286EC7"/>
        <w:category>
          <w:name w:val="Bendrosios nuostatos"/>
          <w:gallery w:val="placeholder"/>
        </w:category>
        <w:types>
          <w:type w:val="bbPlcHdr"/>
        </w:types>
        <w:behaviors>
          <w:behavior w:val="content"/>
        </w:behaviors>
        <w:guid w:val="{82E14056-23B1-48EB-BB35-23B3B99CD96E}"/>
      </w:docPartPr>
      <w:docPartBody>
        <w:p w:rsidR="00CE2068" w:rsidRDefault="00D10AA0" w:rsidP="00D10AA0">
          <w:pPr>
            <w:pStyle w:val="868F5D2BE2B6476C9C687053D1286EC7"/>
          </w:pPr>
          <w:r>
            <w:rPr>
              <w:rStyle w:val="Vietosrezervavimoenklotekstas"/>
            </w:rPr>
            <w:t>Click here to enter a date.</w:t>
          </w:r>
        </w:p>
      </w:docPartBody>
    </w:docPart>
    <w:docPart>
      <w:docPartPr>
        <w:name w:val="ECFFEA78C715405E8AF991CED8D8D81E"/>
        <w:category>
          <w:name w:val="Bendrosios nuostatos"/>
          <w:gallery w:val="placeholder"/>
        </w:category>
        <w:types>
          <w:type w:val="bbPlcHdr"/>
        </w:types>
        <w:behaviors>
          <w:behavior w:val="content"/>
        </w:behaviors>
        <w:guid w:val="{0960F520-75EC-4F9C-887E-BCC56547E15A}"/>
      </w:docPartPr>
      <w:docPartBody>
        <w:p w:rsidR="00CE2068" w:rsidRDefault="00D10AA0" w:rsidP="00D10AA0">
          <w:pPr>
            <w:pStyle w:val="ECFFEA78C715405E8AF991CED8D8D81E"/>
          </w:pPr>
          <w:r>
            <w:rPr>
              <w:rStyle w:val="Vietosrezervavimoenklotekstas"/>
            </w:rPr>
            <w:t>Click here to enter a date.</w:t>
          </w:r>
        </w:p>
      </w:docPartBody>
    </w:docPart>
    <w:docPart>
      <w:docPartPr>
        <w:name w:val="F848472D87EF41B9967E381DC612B4D8"/>
        <w:category>
          <w:name w:val="Bendrosios nuostatos"/>
          <w:gallery w:val="placeholder"/>
        </w:category>
        <w:types>
          <w:type w:val="bbPlcHdr"/>
        </w:types>
        <w:behaviors>
          <w:behavior w:val="content"/>
        </w:behaviors>
        <w:guid w:val="{3B7E7977-4542-4A7E-8135-1FD7A1284F4D}"/>
      </w:docPartPr>
      <w:docPartBody>
        <w:p w:rsidR="00CE2068" w:rsidRDefault="00D10AA0" w:rsidP="00D10AA0">
          <w:pPr>
            <w:pStyle w:val="F848472D87EF41B9967E381DC612B4D8"/>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80FBA"/>
    <w:rsid w:val="001C35A9"/>
    <w:rsid w:val="00237556"/>
    <w:rsid w:val="00296131"/>
    <w:rsid w:val="003337D4"/>
    <w:rsid w:val="00380F96"/>
    <w:rsid w:val="0038794F"/>
    <w:rsid w:val="0039303B"/>
    <w:rsid w:val="004144A3"/>
    <w:rsid w:val="004160E7"/>
    <w:rsid w:val="004273D4"/>
    <w:rsid w:val="004416C6"/>
    <w:rsid w:val="00456E96"/>
    <w:rsid w:val="00495F69"/>
    <w:rsid w:val="004F394F"/>
    <w:rsid w:val="004F5AB2"/>
    <w:rsid w:val="005074B9"/>
    <w:rsid w:val="005B7520"/>
    <w:rsid w:val="005C62E5"/>
    <w:rsid w:val="005E40DD"/>
    <w:rsid w:val="007036AC"/>
    <w:rsid w:val="007219C1"/>
    <w:rsid w:val="007324E3"/>
    <w:rsid w:val="00753462"/>
    <w:rsid w:val="00766750"/>
    <w:rsid w:val="00772325"/>
    <w:rsid w:val="007A2FE0"/>
    <w:rsid w:val="007C6D1D"/>
    <w:rsid w:val="0090074D"/>
    <w:rsid w:val="009538F5"/>
    <w:rsid w:val="00957DE5"/>
    <w:rsid w:val="00965672"/>
    <w:rsid w:val="009B3BF0"/>
    <w:rsid w:val="009D5E5E"/>
    <w:rsid w:val="009F1BB4"/>
    <w:rsid w:val="00A366C4"/>
    <w:rsid w:val="00AA1CE3"/>
    <w:rsid w:val="00AB6ED4"/>
    <w:rsid w:val="00B14210"/>
    <w:rsid w:val="00B22ED6"/>
    <w:rsid w:val="00B23DC0"/>
    <w:rsid w:val="00B32299"/>
    <w:rsid w:val="00B45F0C"/>
    <w:rsid w:val="00B4615A"/>
    <w:rsid w:val="00B96656"/>
    <w:rsid w:val="00C1134F"/>
    <w:rsid w:val="00C2401D"/>
    <w:rsid w:val="00C250D7"/>
    <w:rsid w:val="00C53A68"/>
    <w:rsid w:val="00C93C8F"/>
    <w:rsid w:val="00CA5BB4"/>
    <w:rsid w:val="00CB4BD1"/>
    <w:rsid w:val="00CD139C"/>
    <w:rsid w:val="00CE2068"/>
    <w:rsid w:val="00CE2DA9"/>
    <w:rsid w:val="00CE44BE"/>
    <w:rsid w:val="00CF45B0"/>
    <w:rsid w:val="00D0142D"/>
    <w:rsid w:val="00D10AA0"/>
    <w:rsid w:val="00D4356B"/>
    <w:rsid w:val="00D47115"/>
    <w:rsid w:val="00D7162F"/>
    <w:rsid w:val="00DB4DB5"/>
    <w:rsid w:val="00DE4D10"/>
    <w:rsid w:val="00E44A86"/>
    <w:rsid w:val="00E522EB"/>
    <w:rsid w:val="00E60827"/>
    <w:rsid w:val="00EE3A22"/>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10AA0"/>
    <w:rPr>
      <w:color w:val="808080"/>
    </w:rPr>
  </w:style>
  <w:style w:type="paragraph" w:customStyle="1" w:styleId="868F5D2BE2B6476C9C687053D1286EC7">
    <w:name w:val="868F5D2BE2B6476C9C687053D1286EC7"/>
    <w:rsid w:val="00D10AA0"/>
    <w:pPr>
      <w:spacing w:line="278" w:lineRule="auto"/>
    </w:pPr>
    <w:rPr>
      <w:kern w:val="2"/>
      <w:sz w:val="24"/>
      <w:szCs w:val="24"/>
      <w14:ligatures w14:val="standardContextual"/>
    </w:rPr>
  </w:style>
  <w:style w:type="paragraph" w:customStyle="1" w:styleId="ECFFEA78C715405E8AF991CED8D8D81E">
    <w:name w:val="ECFFEA78C715405E8AF991CED8D8D81E"/>
    <w:rsid w:val="00D10AA0"/>
    <w:pPr>
      <w:spacing w:line="278" w:lineRule="auto"/>
    </w:pPr>
    <w:rPr>
      <w:kern w:val="2"/>
      <w:sz w:val="24"/>
      <w:szCs w:val="24"/>
      <w14:ligatures w14:val="standardContextual"/>
    </w:rPr>
  </w:style>
  <w:style w:type="paragraph" w:customStyle="1" w:styleId="F848472D87EF41B9967E381DC612B4D8">
    <w:name w:val="F848472D87EF41B9967E381DC612B4D8"/>
    <w:rsid w:val="00D10A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CE116-87CA-4309-BA58-34E42B81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9624</Words>
  <Characters>5486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15080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2024-10-22T06:59:00Z</dcterms:created>
  <dcterms:modified xsi:type="dcterms:W3CDTF">2024-11-04T07:23:00Z</dcterms:modified>
</cp:coreProperties>
</file>